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5AEB" w14:textId="77777777" w:rsidR="005A2E58" w:rsidRPr="000F6799" w:rsidRDefault="005A2E58" w:rsidP="005A2E58">
      <w:pPr>
        <w:spacing w:after="160"/>
        <w:jc w:val="center"/>
        <w:outlineLvl w:val="0"/>
        <w:rPr>
          <w:rFonts w:ascii="Arial" w:eastAsia="Times New Roman" w:hAnsi="Arial" w:cs="Arial"/>
          <w:b/>
          <w:bCs/>
          <w:kern w:val="32"/>
          <w:lang w:val="en-GB"/>
        </w:rPr>
      </w:pPr>
      <w:r w:rsidRPr="000F6799">
        <w:rPr>
          <w:rFonts w:ascii="Times New Roman" w:eastAsia="Times New Roman" w:hAnsi="Times New Roman" w:cs="Times New Roman"/>
          <w:noProof/>
          <w:lang w:val="en-US"/>
        </w:rPr>
        <w:drawing>
          <wp:inline distT="0" distB="0" distL="0" distR="0" wp14:anchorId="4F867A28" wp14:editId="75092A84">
            <wp:extent cx="1924050" cy="1454150"/>
            <wp:effectExtent l="0" t="0" r="0" b="0"/>
            <wp:docPr id="1" name="Picture 1" descr="Description: Description: cid:image003.png@01D0DB27.E464C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0DB27.E464C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54150"/>
                    </a:xfrm>
                    <a:prstGeom prst="rect">
                      <a:avLst/>
                    </a:prstGeom>
                    <a:noFill/>
                    <a:ln>
                      <a:noFill/>
                    </a:ln>
                  </pic:spPr>
                </pic:pic>
              </a:graphicData>
            </a:graphic>
          </wp:inline>
        </w:drawing>
      </w:r>
    </w:p>
    <w:p w14:paraId="55B7A3E4" w14:textId="77777777" w:rsidR="005A2E58" w:rsidRPr="000F6799" w:rsidRDefault="005A2E58" w:rsidP="005A2E58">
      <w:pPr>
        <w:spacing w:after="160"/>
        <w:jc w:val="center"/>
        <w:outlineLvl w:val="0"/>
        <w:rPr>
          <w:rFonts w:ascii="Arial" w:eastAsia="Times New Roman" w:hAnsi="Arial" w:cs="Arial"/>
          <w:b/>
          <w:bCs/>
          <w:kern w:val="32"/>
          <w:lang w:val="en-GB"/>
        </w:rPr>
      </w:pPr>
      <w:r w:rsidRPr="000F6799">
        <w:rPr>
          <w:rFonts w:ascii="Arial" w:eastAsia="Times New Roman" w:hAnsi="Arial" w:cs="Arial"/>
          <w:b/>
          <w:bCs/>
          <w:kern w:val="32"/>
          <w:lang w:val="en-GB"/>
        </w:rPr>
        <w:t>IN THE HIGH COURT OF SOUTH AFRICA</w:t>
      </w:r>
    </w:p>
    <w:p w14:paraId="0117365A" w14:textId="77777777" w:rsidR="005A2E58" w:rsidRPr="000F6799" w:rsidRDefault="005A2E58" w:rsidP="005A2E58">
      <w:pPr>
        <w:spacing w:after="160"/>
        <w:jc w:val="center"/>
        <w:outlineLvl w:val="0"/>
        <w:rPr>
          <w:rFonts w:ascii="Arial" w:eastAsia="Times New Roman" w:hAnsi="Arial" w:cs="Arial"/>
          <w:b/>
          <w:bCs/>
          <w:kern w:val="32"/>
          <w:lang w:val="en-GB"/>
        </w:rPr>
      </w:pPr>
      <w:r w:rsidRPr="000F6799">
        <w:rPr>
          <w:rFonts w:ascii="Arial" w:eastAsia="Times New Roman" w:hAnsi="Arial" w:cs="Arial"/>
          <w:b/>
          <w:bCs/>
          <w:kern w:val="32"/>
          <w:lang w:val="en-GB"/>
        </w:rPr>
        <w:t>(GAUTENG DIVISION, PRETORIA)</w:t>
      </w:r>
    </w:p>
    <w:p w14:paraId="728CC9F9" w14:textId="77777777" w:rsidR="005A2E58" w:rsidRPr="000F6799" w:rsidRDefault="005A2E58" w:rsidP="005A2E58">
      <w:pPr>
        <w:spacing w:after="160"/>
        <w:jc w:val="both"/>
        <w:outlineLvl w:val="0"/>
        <w:rPr>
          <w:rFonts w:ascii="Arial" w:eastAsia="Times New Roman" w:hAnsi="Arial" w:cs="Arial"/>
          <w:kern w:val="32"/>
          <w:lang w:val="en-GB"/>
        </w:rPr>
      </w:pPr>
    </w:p>
    <w:p w14:paraId="1E2D46E7" w14:textId="77777777" w:rsidR="005A2E58" w:rsidRPr="000F6799" w:rsidRDefault="005A2E58" w:rsidP="005A2E58">
      <w:pPr>
        <w:spacing w:after="160"/>
        <w:jc w:val="right"/>
        <w:outlineLvl w:val="0"/>
        <w:rPr>
          <w:rFonts w:ascii="Arial" w:eastAsia="Times New Roman" w:hAnsi="Arial" w:cs="Arial"/>
          <w:b/>
          <w:bCs/>
          <w:kern w:val="32"/>
          <w:lang w:val="en-GB"/>
        </w:rPr>
      </w:pPr>
      <w:r w:rsidRPr="000F6799">
        <w:rPr>
          <w:rFonts w:ascii="Arial" w:eastAsia="Times New Roman" w:hAnsi="Arial" w:cs="Arial"/>
          <w:kern w:val="32"/>
          <w:lang w:val="en-GB"/>
        </w:rPr>
        <w:t xml:space="preserve">Case No: </w:t>
      </w:r>
      <w:r w:rsidRPr="005A2E58">
        <w:rPr>
          <w:rFonts w:ascii="Arial" w:hAnsi="Arial" w:cs="Arial"/>
          <w:b/>
          <w:bCs/>
        </w:rPr>
        <w:t>9233/2022</w:t>
      </w:r>
    </w:p>
    <w:p w14:paraId="4A05CB15" w14:textId="77777777" w:rsidR="005A2E58" w:rsidRPr="000F6799" w:rsidRDefault="005A2E58" w:rsidP="005A2E58">
      <w:pPr>
        <w:spacing w:after="160"/>
        <w:jc w:val="both"/>
        <w:outlineLvl w:val="0"/>
        <w:rPr>
          <w:rFonts w:ascii="Arial" w:eastAsia="Times New Roman" w:hAnsi="Arial" w:cs="Arial"/>
          <w:b/>
          <w:bCs/>
          <w:color w:val="FF0000"/>
          <w:kern w:val="32"/>
          <w:lang w:val="en-GB"/>
        </w:rPr>
      </w:pPr>
      <w:r w:rsidRPr="000F6799">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7BB10FEC" wp14:editId="52BCC83F">
                <wp:simplePos x="0" y="0"/>
                <wp:positionH relativeFrom="margin">
                  <wp:posOffset>5715</wp:posOffset>
                </wp:positionH>
                <wp:positionV relativeFrom="paragraph">
                  <wp:posOffset>9525</wp:posOffset>
                </wp:positionV>
                <wp:extent cx="3098800" cy="1193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193800"/>
                        </a:xfrm>
                        <a:prstGeom prst="rect">
                          <a:avLst/>
                        </a:prstGeom>
                        <a:solidFill>
                          <a:srgbClr val="FFFFFF"/>
                        </a:solidFill>
                        <a:ln w="9525">
                          <a:solidFill>
                            <a:srgbClr val="000000"/>
                          </a:solidFill>
                          <a:miter lim="800000"/>
                          <a:headEnd/>
                          <a:tailEnd/>
                        </a:ln>
                      </wps:spPr>
                      <wps:txbx>
                        <w:txbxContent>
                          <w:p w14:paraId="225B65E4" w14:textId="2A9CBB27" w:rsidR="005A2E58" w:rsidRPr="007C20F4" w:rsidRDefault="0027466D" w:rsidP="0027466D">
                            <w:pPr>
                              <w:widowControl w:val="0"/>
                              <w:autoSpaceDE w:val="0"/>
                              <w:autoSpaceDN w:val="0"/>
                              <w:adjustRightInd w:val="0"/>
                              <w:ind w:left="426" w:hanging="426"/>
                              <w:contextualSpacing/>
                              <w:rPr>
                                <w:rFonts w:ascii="Calibri" w:hAnsi="Calibri"/>
                                <w:sz w:val="20"/>
                                <w:lang w:val="af-ZA"/>
                              </w:rPr>
                            </w:pPr>
                            <w:r w:rsidRPr="007C20F4">
                              <w:rPr>
                                <w:rFonts w:ascii="Calibri" w:eastAsia="Times New Roman" w:hAnsi="Calibri" w:cs="Times New Roman"/>
                                <w:sz w:val="20"/>
                                <w:lang w:val="af-ZA"/>
                              </w:rPr>
                              <w:t>(1)</w:t>
                            </w:r>
                            <w:r w:rsidRPr="007C20F4">
                              <w:rPr>
                                <w:rFonts w:ascii="Calibri" w:eastAsia="Times New Roman" w:hAnsi="Calibri" w:cs="Times New Roman"/>
                                <w:sz w:val="20"/>
                                <w:lang w:val="af-ZA"/>
                              </w:rPr>
                              <w:tab/>
                            </w:r>
                            <w:r w:rsidR="005A2E58">
                              <w:rPr>
                                <w:rFonts w:ascii="Calibri" w:hAnsi="Calibri"/>
                                <w:sz w:val="20"/>
                                <w:lang w:val="af-ZA"/>
                              </w:rPr>
                              <w:t>REPORTABLE: YES/NO</w:t>
                            </w:r>
                          </w:p>
                          <w:p w14:paraId="2760A88E" w14:textId="77203BA2" w:rsidR="005A2E58" w:rsidRPr="007C20F4" w:rsidRDefault="0027466D" w:rsidP="0027466D">
                            <w:pPr>
                              <w:widowControl w:val="0"/>
                              <w:autoSpaceDE w:val="0"/>
                              <w:autoSpaceDN w:val="0"/>
                              <w:adjustRightInd w:val="0"/>
                              <w:ind w:left="426" w:hanging="426"/>
                              <w:contextualSpacing/>
                              <w:rPr>
                                <w:rFonts w:ascii="Calibri" w:hAnsi="Calibri"/>
                                <w:sz w:val="20"/>
                                <w:lang w:val="af-ZA"/>
                              </w:rPr>
                            </w:pPr>
                            <w:r w:rsidRPr="007C20F4">
                              <w:rPr>
                                <w:rFonts w:ascii="Calibri" w:eastAsia="Times New Roman" w:hAnsi="Calibri" w:cs="Times New Roman"/>
                                <w:sz w:val="20"/>
                                <w:lang w:val="af-ZA"/>
                              </w:rPr>
                              <w:t>(2)</w:t>
                            </w:r>
                            <w:r w:rsidRPr="007C20F4">
                              <w:rPr>
                                <w:rFonts w:ascii="Calibri" w:eastAsia="Times New Roman" w:hAnsi="Calibri" w:cs="Times New Roman"/>
                                <w:sz w:val="20"/>
                                <w:lang w:val="af-ZA"/>
                              </w:rPr>
                              <w:tab/>
                            </w:r>
                            <w:r w:rsidR="005A2E58" w:rsidRPr="007C20F4">
                              <w:rPr>
                                <w:rFonts w:ascii="Calibri" w:hAnsi="Calibri"/>
                                <w:sz w:val="20"/>
                                <w:lang w:val="af-ZA"/>
                              </w:rPr>
                              <w:t>OF</w:t>
                            </w:r>
                            <w:r w:rsidR="005A2E58">
                              <w:rPr>
                                <w:rFonts w:ascii="Calibri" w:hAnsi="Calibri"/>
                                <w:sz w:val="20"/>
                                <w:lang w:val="af-ZA"/>
                              </w:rPr>
                              <w:t xml:space="preserve"> INTEREST TO OTHERS JUDGES: YES/NO</w:t>
                            </w:r>
                          </w:p>
                          <w:p w14:paraId="422F296D" w14:textId="42454977" w:rsidR="005A2E58" w:rsidRPr="007C20F4" w:rsidRDefault="0027466D" w:rsidP="0027466D">
                            <w:pPr>
                              <w:widowControl w:val="0"/>
                              <w:autoSpaceDE w:val="0"/>
                              <w:autoSpaceDN w:val="0"/>
                              <w:adjustRightInd w:val="0"/>
                              <w:ind w:left="426" w:hanging="426"/>
                              <w:contextualSpacing/>
                              <w:rPr>
                                <w:rFonts w:ascii="Calibri" w:hAnsi="Calibri"/>
                                <w:sz w:val="20"/>
                                <w:lang w:val="af-ZA"/>
                              </w:rPr>
                            </w:pPr>
                            <w:r w:rsidRPr="007C20F4">
                              <w:rPr>
                                <w:rFonts w:ascii="Calibri" w:eastAsia="Times New Roman" w:hAnsi="Calibri" w:cs="Times New Roman"/>
                                <w:sz w:val="20"/>
                                <w:lang w:val="af-ZA"/>
                              </w:rPr>
                              <w:t>(3)</w:t>
                            </w:r>
                            <w:r w:rsidRPr="007C20F4">
                              <w:rPr>
                                <w:rFonts w:ascii="Calibri" w:eastAsia="Times New Roman" w:hAnsi="Calibri" w:cs="Times New Roman"/>
                                <w:sz w:val="20"/>
                                <w:lang w:val="af-ZA"/>
                              </w:rPr>
                              <w:tab/>
                            </w:r>
                            <w:r w:rsidR="005A2E58" w:rsidRPr="007C20F4">
                              <w:rPr>
                                <w:rFonts w:ascii="Calibri" w:hAnsi="Calibri"/>
                                <w:sz w:val="20"/>
                                <w:lang w:val="af-ZA"/>
                              </w:rPr>
                              <w:t>REVISED</w:t>
                            </w:r>
                          </w:p>
                          <w:p w14:paraId="26550C45" w14:textId="77777777" w:rsidR="005A2E58" w:rsidRDefault="005A2E58" w:rsidP="005A2E58">
                            <w:pPr>
                              <w:tabs>
                                <w:tab w:val="center" w:pos="4320"/>
                                <w:tab w:val="right" w:pos="8640"/>
                              </w:tabs>
                              <w:spacing w:after="200" w:line="276" w:lineRule="auto"/>
                              <w:ind w:left="720"/>
                              <w:contextualSpacing/>
                              <w:rPr>
                                <w:rFonts w:ascii="Calibri" w:hAnsi="Calibri"/>
                                <w:sz w:val="20"/>
                                <w:lang w:val="af-ZA"/>
                              </w:rPr>
                            </w:pPr>
                          </w:p>
                          <w:p w14:paraId="27C48C75" w14:textId="02D1DC1F" w:rsidR="005A2E58" w:rsidRPr="00AC3FA0" w:rsidRDefault="005A2E58" w:rsidP="005A2E58">
                            <w:pPr>
                              <w:tabs>
                                <w:tab w:val="center" w:pos="4320"/>
                                <w:tab w:val="right" w:pos="8640"/>
                              </w:tabs>
                              <w:spacing w:line="276" w:lineRule="auto"/>
                              <w:contextualSpacing/>
                              <w:rPr>
                                <w:rFonts w:ascii="Calibri" w:hAnsi="Calibri"/>
                                <w:sz w:val="20"/>
                                <w:lang w:val="af-ZA"/>
                              </w:rPr>
                            </w:pPr>
                            <w:r>
                              <w:rPr>
                                <w:rFonts w:ascii="Calibri" w:hAnsi="Calibri"/>
                                <w:b/>
                                <w:bCs/>
                                <w:noProof/>
                                <w:u w:val="dotted"/>
                                <w:lang w:eastAsia="en-ZA"/>
                              </w:rPr>
                              <w:t xml:space="preserve">                           </w:t>
                            </w:r>
                            <w:r>
                              <w:rPr>
                                <w:rFonts w:ascii="Calibri" w:hAnsi="Calibri"/>
                                <w:b/>
                                <w:bCs/>
                                <w:noProof/>
                                <w:lang w:eastAsia="en-ZA"/>
                              </w:rPr>
                              <w:tab/>
                            </w:r>
                            <w:r w:rsidRPr="00AC3FA0">
                              <w:rPr>
                                <w:rFonts w:ascii="Calibri" w:hAnsi="Calibri"/>
                                <w:sz w:val="20"/>
                                <w:lang w:val="af-ZA"/>
                              </w:rPr>
                              <w:t>......</w:t>
                            </w:r>
                            <w:r>
                              <w:rPr>
                                <w:rFonts w:ascii="Calibri" w:hAnsi="Calibri"/>
                                <w:sz w:val="20"/>
                                <w:u w:val="dotted"/>
                                <w:lang w:val="af-ZA"/>
                              </w:rPr>
                              <w:t>12 OCTOBER 2023</w:t>
                            </w:r>
                            <w:r w:rsidRPr="00AC3FA0">
                              <w:rPr>
                                <w:rFonts w:ascii="Calibri" w:hAnsi="Calibri"/>
                                <w:sz w:val="20"/>
                                <w:lang w:val="af-ZA"/>
                              </w:rPr>
                              <w:t>.......</w:t>
                            </w:r>
                          </w:p>
                          <w:p w14:paraId="3A4D32BB" w14:textId="77777777" w:rsidR="005A2E58" w:rsidRPr="007C20F4" w:rsidRDefault="005A2E58" w:rsidP="005A2E58">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10FEC" id="_x0000_t202" coordsize="21600,21600" o:spt="202" path="m,l,21600r21600,l21600,xe">
                <v:stroke joinstyle="miter"/>
                <v:path gradientshapeok="t" o:connecttype="rect"/>
              </v:shapetype>
              <v:shape id="Text Box 6" o:spid="_x0000_s1026" type="#_x0000_t202" style="position:absolute;left:0;text-align:left;margin-left:.45pt;margin-top:.75pt;width:244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j1KQIAAFE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">
                <v:textbox>
                  <w:txbxContent>
                    <w:p w14:paraId="225B65E4" w14:textId="2A9CBB27" w:rsidR="005A2E58" w:rsidRPr="007C20F4" w:rsidRDefault="0027466D" w:rsidP="0027466D">
                      <w:pPr>
                        <w:widowControl w:val="0"/>
                        <w:autoSpaceDE w:val="0"/>
                        <w:autoSpaceDN w:val="0"/>
                        <w:adjustRightInd w:val="0"/>
                        <w:ind w:left="426" w:hanging="426"/>
                        <w:contextualSpacing/>
                        <w:rPr>
                          <w:rFonts w:ascii="Calibri" w:hAnsi="Calibri"/>
                          <w:sz w:val="20"/>
                          <w:lang w:val="af-ZA"/>
                        </w:rPr>
                      </w:pPr>
                      <w:r w:rsidRPr="007C20F4">
                        <w:rPr>
                          <w:rFonts w:ascii="Calibri" w:eastAsia="Times New Roman" w:hAnsi="Calibri" w:cs="Times New Roman"/>
                          <w:sz w:val="20"/>
                          <w:lang w:val="af-ZA"/>
                        </w:rPr>
                        <w:t>(1)</w:t>
                      </w:r>
                      <w:r w:rsidRPr="007C20F4">
                        <w:rPr>
                          <w:rFonts w:ascii="Calibri" w:eastAsia="Times New Roman" w:hAnsi="Calibri" w:cs="Times New Roman"/>
                          <w:sz w:val="20"/>
                          <w:lang w:val="af-ZA"/>
                        </w:rPr>
                        <w:tab/>
                      </w:r>
                      <w:r w:rsidR="005A2E58">
                        <w:rPr>
                          <w:rFonts w:ascii="Calibri" w:hAnsi="Calibri"/>
                          <w:sz w:val="20"/>
                          <w:lang w:val="af-ZA"/>
                        </w:rPr>
                        <w:t>REPORTABLE: YES/NO</w:t>
                      </w:r>
                    </w:p>
                    <w:p w14:paraId="2760A88E" w14:textId="77203BA2" w:rsidR="005A2E58" w:rsidRPr="007C20F4" w:rsidRDefault="0027466D" w:rsidP="0027466D">
                      <w:pPr>
                        <w:widowControl w:val="0"/>
                        <w:autoSpaceDE w:val="0"/>
                        <w:autoSpaceDN w:val="0"/>
                        <w:adjustRightInd w:val="0"/>
                        <w:ind w:left="426" w:hanging="426"/>
                        <w:contextualSpacing/>
                        <w:rPr>
                          <w:rFonts w:ascii="Calibri" w:hAnsi="Calibri"/>
                          <w:sz w:val="20"/>
                          <w:lang w:val="af-ZA"/>
                        </w:rPr>
                      </w:pPr>
                      <w:r w:rsidRPr="007C20F4">
                        <w:rPr>
                          <w:rFonts w:ascii="Calibri" w:eastAsia="Times New Roman" w:hAnsi="Calibri" w:cs="Times New Roman"/>
                          <w:sz w:val="20"/>
                          <w:lang w:val="af-ZA"/>
                        </w:rPr>
                        <w:t>(2)</w:t>
                      </w:r>
                      <w:r w:rsidRPr="007C20F4">
                        <w:rPr>
                          <w:rFonts w:ascii="Calibri" w:eastAsia="Times New Roman" w:hAnsi="Calibri" w:cs="Times New Roman"/>
                          <w:sz w:val="20"/>
                          <w:lang w:val="af-ZA"/>
                        </w:rPr>
                        <w:tab/>
                      </w:r>
                      <w:r w:rsidR="005A2E58" w:rsidRPr="007C20F4">
                        <w:rPr>
                          <w:rFonts w:ascii="Calibri" w:hAnsi="Calibri"/>
                          <w:sz w:val="20"/>
                          <w:lang w:val="af-ZA"/>
                        </w:rPr>
                        <w:t>OF</w:t>
                      </w:r>
                      <w:r w:rsidR="005A2E58">
                        <w:rPr>
                          <w:rFonts w:ascii="Calibri" w:hAnsi="Calibri"/>
                          <w:sz w:val="20"/>
                          <w:lang w:val="af-ZA"/>
                        </w:rPr>
                        <w:t xml:space="preserve"> INTEREST TO OTHERS JUDGES: YES/NO</w:t>
                      </w:r>
                    </w:p>
                    <w:p w14:paraId="422F296D" w14:textId="42454977" w:rsidR="005A2E58" w:rsidRPr="007C20F4" w:rsidRDefault="0027466D" w:rsidP="0027466D">
                      <w:pPr>
                        <w:widowControl w:val="0"/>
                        <w:autoSpaceDE w:val="0"/>
                        <w:autoSpaceDN w:val="0"/>
                        <w:adjustRightInd w:val="0"/>
                        <w:ind w:left="426" w:hanging="426"/>
                        <w:contextualSpacing/>
                        <w:rPr>
                          <w:rFonts w:ascii="Calibri" w:hAnsi="Calibri"/>
                          <w:sz w:val="20"/>
                          <w:lang w:val="af-ZA"/>
                        </w:rPr>
                      </w:pPr>
                      <w:r w:rsidRPr="007C20F4">
                        <w:rPr>
                          <w:rFonts w:ascii="Calibri" w:eastAsia="Times New Roman" w:hAnsi="Calibri" w:cs="Times New Roman"/>
                          <w:sz w:val="20"/>
                          <w:lang w:val="af-ZA"/>
                        </w:rPr>
                        <w:t>(3)</w:t>
                      </w:r>
                      <w:r w:rsidRPr="007C20F4">
                        <w:rPr>
                          <w:rFonts w:ascii="Calibri" w:eastAsia="Times New Roman" w:hAnsi="Calibri" w:cs="Times New Roman"/>
                          <w:sz w:val="20"/>
                          <w:lang w:val="af-ZA"/>
                        </w:rPr>
                        <w:tab/>
                      </w:r>
                      <w:r w:rsidR="005A2E58" w:rsidRPr="007C20F4">
                        <w:rPr>
                          <w:rFonts w:ascii="Calibri" w:hAnsi="Calibri"/>
                          <w:sz w:val="20"/>
                          <w:lang w:val="af-ZA"/>
                        </w:rPr>
                        <w:t>REVISED</w:t>
                      </w:r>
                    </w:p>
                    <w:p w14:paraId="26550C45" w14:textId="77777777" w:rsidR="005A2E58" w:rsidRDefault="005A2E58" w:rsidP="005A2E58">
                      <w:pPr>
                        <w:tabs>
                          <w:tab w:val="center" w:pos="4320"/>
                          <w:tab w:val="right" w:pos="8640"/>
                        </w:tabs>
                        <w:spacing w:after="200" w:line="276" w:lineRule="auto"/>
                        <w:ind w:left="720"/>
                        <w:contextualSpacing/>
                        <w:rPr>
                          <w:rFonts w:ascii="Calibri" w:hAnsi="Calibri"/>
                          <w:sz w:val="20"/>
                          <w:lang w:val="af-ZA"/>
                        </w:rPr>
                      </w:pPr>
                    </w:p>
                    <w:p w14:paraId="27C48C75" w14:textId="02D1DC1F" w:rsidR="005A2E58" w:rsidRPr="00AC3FA0" w:rsidRDefault="005A2E58" w:rsidP="005A2E58">
                      <w:pPr>
                        <w:tabs>
                          <w:tab w:val="center" w:pos="4320"/>
                          <w:tab w:val="right" w:pos="8640"/>
                        </w:tabs>
                        <w:spacing w:line="276" w:lineRule="auto"/>
                        <w:contextualSpacing/>
                        <w:rPr>
                          <w:rFonts w:ascii="Calibri" w:hAnsi="Calibri"/>
                          <w:sz w:val="20"/>
                          <w:lang w:val="af-ZA"/>
                        </w:rPr>
                      </w:pPr>
                      <w:r>
                        <w:rPr>
                          <w:rFonts w:ascii="Calibri" w:hAnsi="Calibri"/>
                          <w:b/>
                          <w:bCs/>
                          <w:noProof/>
                          <w:u w:val="dotted"/>
                          <w:lang w:eastAsia="en-ZA"/>
                        </w:rPr>
                        <w:t xml:space="preserve">                           </w:t>
                      </w:r>
                      <w:r>
                        <w:rPr>
                          <w:rFonts w:ascii="Calibri" w:hAnsi="Calibri"/>
                          <w:b/>
                          <w:bCs/>
                          <w:noProof/>
                          <w:lang w:eastAsia="en-ZA"/>
                        </w:rPr>
                        <w:tab/>
                      </w:r>
                      <w:r w:rsidRPr="00AC3FA0">
                        <w:rPr>
                          <w:rFonts w:ascii="Calibri" w:hAnsi="Calibri"/>
                          <w:sz w:val="20"/>
                          <w:lang w:val="af-ZA"/>
                        </w:rPr>
                        <w:t>......</w:t>
                      </w:r>
                      <w:r>
                        <w:rPr>
                          <w:rFonts w:ascii="Calibri" w:hAnsi="Calibri"/>
                          <w:sz w:val="20"/>
                          <w:u w:val="dotted"/>
                          <w:lang w:val="af-ZA"/>
                        </w:rPr>
                        <w:t>12 OCTOBER 2023</w:t>
                      </w:r>
                      <w:r w:rsidRPr="00AC3FA0">
                        <w:rPr>
                          <w:rFonts w:ascii="Calibri" w:hAnsi="Calibri"/>
                          <w:sz w:val="20"/>
                          <w:lang w:val="af-ZA"/>
                        </w:rPr>
                        <w:t>.......</w:t>
                      </w:r>
                    </w:p>
                    <w:p w14:paraId="3A4D32BB" w14:textId="77777777" w:rsidR="005A2E58" w:rsidRPr="007C20F4" w:rsidRDefault="005A2E58" w:rsidP="005A2E58">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w10:wrap anchorx="margin"/>
              </v:shape>
            </w:pict>
          </mc:Fallback>
        </mc:AlternateContent>
      </w:r>
    </w:p>
    <w:p w14:paraId="5B4CC330" w14:textId="77777777" w:rsidR="005A2E58" w:rsidRPr="000F6799" w:rsidRDefault="005A2E58" w:rsidP="005A2E58">
      <w:pPr>
        <w:spacing w:after="160"/>
        <w:jc w:val="both"/>
        <w:outlineLvl w:val="0"/>
        <w:rPr>
          <w:rFonts w:ascii="Arial" w:eastAsia="Times New Roman" w:hAnsi="Arial" w:cs="Arial"/>
          <w:kern w:val="32"/>
          <w:lang w:val="en-GB"/>
        </w:rPr>
      </w:pPr>
    </w:p>
    <w:p w14:paraId="2AE8EB1F" w14:textId="77777777" w:rsidR="005A2E58" w:rsidRPr="000F6799" w:rsidRDefault="005A2E58" w:rsidP="005A2E58">
      <w:pPr>
        <w:spacing w:after="160"/>
        <w:jc w:val="both"/>
        <w:outlineLvl w:val="0"/>
        <w:rPr>
          <w:rFonts w:ascii="Arial" w:eastAsia="Times New Roman" w:hAnsi="Arial" w:cs="Arial"/>
          <w:kern w:val="32"/>
          <w:lang w:val="en-GB"/>
        </w:rPr>
      </w:pPr>
    </w:p>
    <w:p w14:paraId="4490C034" w14:textId="77777777" w:rsidR="005A2E58" w:rsidRPr="000F6799" w:rsidRDefault="005A2E58" w:rsidP="005A2E58">
      <w:pPr>
        <w:tabs>
          <w:tab w:val="left" w:pos="7690"/>
        </w:tabs>
        <w:spacing w:after="160"/>
        <w:jc w:val="both"/>
        <w:outlineLvl w:val="0"/>
        <w:rPr>
          <w:rFonts w:ascii="Arial" w:eastAsia="Times New Roman" w:hAnsi="Arial" w:cs="Arial"/>
          <w:kern w:val="32"/>
          <w:lang w:val="en-GB"/>
        </w:rPr>
      </w:pPr>
      <w:r w:rsidRPr="000F6799">
        <w:rPr>
          <w:rFonts w:ascii="Arial" w:eastAsia="Times New Roman" w:hAnsi="Arial" w:cs="Arial"/>
          <w:kern w:val="32"/>
          <w:lang w:val="en-GB"/>
        </w:rPr>
        <w:tab/>
      </w:r>
    </w:p>
    <w:p w14:paraId="002A70B9" w14:textId="77777777" w:rsidR="005A2E58" w:rsidRPr="000F6799" w:rsidRDefault="005A2E58" w:rsidP="005A2E58">
      <w:pPr>
        <w:spacing w:line="360" w:lineRule="auto"/>
        <w:jc w:val="both"/>
        <w:outlineLvl w:val="0"/>
        <w:rPr>
          <w:rFonts w:ascii="Arial" w:eastAsia="Times New Roman" w:hAnsi="Arial" w:cs="Arial"/>
          <w:kern w:val="32"/>
        </w:rPr>
      </w:pPr>
    </w:p>
    <w:p w14:paraId="7E02E134" w14:textId="77777777" w:rsidR="005A2E58" w:rsidRPr="000F6799" w:rsidRDefault="005A2E58" w:rsidP="005A2E58">
      <w:pPr>
        <w:spacing w:line="360" w:lineRule="auto"/>
        <w:jc w:val="both"/>
        <w:outlineLvl w:val="0"/>
        <w:rPr>
          <w:rFonts w:ascii="Arial" w:eastAsia="Times New Roman" w:hAnsi="Arial" w:cs="Arial"/>
          <w:kern w:val="32"/>
        </w:rPr>
      </w:pPr>
      <w:r w:rsidRPr="000F6799">
        <w:rPr>
          <w:rFonts w:ascii="Arial" w:eastAsia="Times New Roman" w:hAnsi="Arial" w:cs="Arial"/>
          <w:kern w:val="32"/>
        </w:rPr>
        <w:t>In the matter between:</w:t>
      </w:r>
    </w:p>
    <w:p w14:paraId="24D660D4" w14:textId="4F4D6381" w:rsidR="00650E4C" w:rsidRDefault="00650E4C" w:rsidP="009472CC">
      <w:pPr>
        <w:pStyle w:val="WestPleadingpara1"/>
        <w:tabs>
          <w:tab w:val="clear" w:pos="567"/>
        </w:tabs>
        <w:ind w:left="0" w:firstLine="0"/>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61"/>
      </w:tblGrid>
      <w:tr w:rsidR="00C93AC5" w14:paraId="7D384F9A" w14:textId="77777777" w:rsidTr="00AC62E4">
        <w:tc>
          <w:tcPr>
            <w:tcW w:w="5812" w:type="dxa"/>
          </w:tcPr>
          <w:p w14:paraId="66B6C267" w14:textId="2AB6143B" w:rsidR="00C93AC5" w:rsidRPr="00C93AC5" w:rsidRDefault="00251A93" w:rsidP="005A2E58">
            <w:pPr>
              <w:pStyle w:val="WestPleadingpara1"/>
              <w:tabs>
                <w:tab w:val="clear" w:pos="567"/>
              </w:tabs>
              <w:spacing w:line="240" w:lineRule="auto"/>
              <w:ind w:left="0" w:firstLine="0"/>
            </w:pPr>
            <w:r>
              <w:rPr>
                <w:b/>
                <w:bCs/>
              </w:rPr>
              <w:t>THE ASSOCIATION OF MEAT IMPORTERS AND EXPORTERS</w:t>
            </w:r>
          </w:p>
        </w:tc>
        <w:tc>
          <w:tcPr>
            <w:tcW w:w="3261" w:type="dxa"/>
          </w:tcPr>
          <w:p w14:paraId="0C4CE6A0" w14:textId="57982069" w:rsidR="00C93AC5" w:rsidRDefault="00251A93" w:rsidP="009472CC">
            <w:pPr>
              <w:pStyle w:val="WestPleadingpara1"/>
              <w:tabs>
                <w:tab w:val="clear" w:pos="567"/>
              </w:tabs>
              <w:ind w:left="0" w:firstLine="0"/>
              <w:jc w:val="right"/>
            </w:pPr>
            <w:r>
              <w:t>Applicant</w:t>
            </w:r>
          </w:p>
        </w:tc>
      </w:tr>
      <w:tr w:rsidR="00C93AC5" w14:paraId="2716BCB1" w14:textId="77777777" w:rsidTr="00AC62E4">
        <w:tc>
          <w:tcPr>
            <w:tcW w:w="5812" w:type="dxa"/>
          </w:tcPr>
          <w:p w14:paraId="7F5F3BB0" w14:textId="77777777" w:rsidR="00C93AC5" w:rsidRPr="00C93AC5" w:rsidRDefault="00C93AC5" w:rsidP="009472CC">
            <w:pPr>
              <w:pStyle w:val="WestPleadingpara1"/>
              <w:tabs>
                <w:tab w:val="clear" w:pos="567"/>
              </w:tabs>
              <w:ind w:left="0" w:firstLine="0"/>
            </w:pPr>
          </w:p>
        </w:tc>
        <w:tc>
          <w:tcPr>
            <w:tcW w:w="3261" w:type="dxa"/>
          </w:tcPr>
          <w:p w14:paraId="0381D6B6" w14:textId="77777777" w:rsidR="00C93AC5" w:rsidRDefault="00C93AC5" w:rsidP="009472CC">
            <w:pPr>
              <w:pStyle w:val="WestPleadingpara1"/>
              <w:tabs>
                <w:tab w:val="clear" w:pos="567"/>
              </w:tabs>
              <w:ind w:left="0" w:firstLine="0"/>
              <w:jc w:val="right"/>
            </w:pPr>
          </w:p>
        </w:tc>
      </w:tr>
      <w:tr w:rsidR="00C93AC5" w14:paraId="58B1525C" w14:textId="77777777" w:rsidTr="00AC62E4">
        <w:tc>
          <w:tcPr>
            <w:tcW w:w="5812" w:type="dxa"/>
          </w:tcPr>
          <w:p w14:paraId="2B9ADF5C" w14:textId="2C2BF30E" w:rsidR="00C93AC5" w:rsidRPr="00C93AC5" w:rsidRDefault="00C93AC5" w:rsidP="009472CC">
            <w:pPr>
              <w:pStyle w:val="WestPleadingpara1"/>
              <w:tabs>
                <w:tab w:val="clear" w:pos="567"/>
              </w:tabs>
              <w:ind w:left="0" w:firstLine="0"/>
            </w:pPr>
            <w:r>
              <w:t>and</w:t>
            </w:r>
          </w:p>
        </w:tc>
        <w:tc>
          <w:tcPr>
            <w:tcW w:w="3261" w:type="dxa"/>
          </w:tcPr>
          <w:p w14:paraId="6F778EE1" w14:textId="77777777" w:rsidR="00C93AC5" w:rsidRDefault="00C93AC5" w:rsidP="009472CC">
            <w:pPr>
              <w:pStyle w:val="WestPleadingpara1"/>
              <w:tabs>
                <w:tab w:val="clear" w:pos="567"/>
              </w:tabs>
              <w:ind w:left="0" w:firstLine="0"/>
              <w:jc w:val="right"/>
            </w:pPr>
          </w:p>
        </w:tc>
      </w:tr>
      <w:tr w:rsidR="00C93AC5" w14:paraId="165F3357" w14:textId="77777777" w:rsidTr="00AC62E4">
        <w:tc>
          <w:tcPr>
            <w:tcW w:w="5812" w:type="dxa"/>
          </w:tcPr>
          <w:p w14:paraId="3F4E590D" w14:textId="77777777" w:rsidR="00C93AC5" w:rsidRPr="00C93AC5" w:rsidRDefault="00C93AC5" w:rsidP="009472CC">
            <w:pPr>
              <w:pStyle w:val="WestPleadingpara1"/>
              <w:tabs>
                <w:tab w:val="clear" w:pos="567"/>
              </w:tabs>
              <w:ind w:left="0" w:firstLine="0"/>
            </w:pPr>
          </w:p>
        </w:tc>
        <w:tc>
          <w:tcPr>
            <w:tcW w:w="3261" w:type="dxa"/>
          </w:tcPr>
          <w:p w14:paraId="3BBB2AA1" w14:textId="77777777" w:rsidR="00C93AC5" w:rsidRDefault="00C93AC5" w:rsidP="009472CC">
            <w:pPr>
              <w:pStyle w:val="WestPleadingpara1"/>
              <w:tabs>
                <w:tab w:val="clear" w:pos="567"/>
              </w:tabs>
              <w:ind w:left="0" w:firstLine="0"/>
              <w:jc w:val="right"/>
            </w:pPr>
          </w:p>
        </w:tc>
      </w:tr>
      <w:tr w:rsidR="00C93AC5" w14:paraId="68FD21FF" w14:textId="77777777" w:rsidTr="00AC62E4">
        <w:tc>
          <w:tcPr>
            <w:tcW w:w="5812" w:type="dxa"/>
          </w:tcPr>
          <w:p w14:paraId="4AA170E9" w14:textId="6D44B034" w:rsidR="00C93AC5" w:rsidRPr="00251A93" w:rsidRDefault="00251A93" w:rsidP="005A2E58">
            <w:pPr>
              <w:pStyle w:val="WestPleadingpara1"/>
              <w:tabs>
                <w:tab w:val="clear" w:pos="567"/>
              </w:tabs>
              <w:spacing w:line="240" w:lineRule="auto"/>
              <w:ind w:left="0" w:firstLine="0"/>
              <w:rPr>
                <w:b/>
                <w:bCs/>
              </w:rPr>
            </w:pPr>
            <w:r>
              <w:rPr>
                <w:b/>
                <w:bCs/>
              </w:rPr>
              <w:t xml:space="preserve">INTERNATIONAL TRADE ADMINISTRATION COMMISSION </w:t>
            </w:r>
          </w:p>
        </w:tc>
        <w:tc>
          <w:tcPr>
            <w:tcW w:w="3261" w:type="dxa"/>
          </w:tcPr>
          <w:p w14:paraId="2E7566FF" w14:textId="66E8CEEA" w:rsidR="00C93AC5" w:rsidRDefault="00251A93" w:rsidP="009472CC">
            <w:pPr>
              <w:pStyle w:val="WestPleadingpara1"/>
              <w:tabs>
                <w:tab w:val="clear" w:pos="567"/>
              </w:tabs>
              <w:ind w:left="0" w:firstLine="0"/>
              <w:jc w:val="right"/>
            </w:pPr>
            <w:r>
              <w:t>First Respondent</w:t>
            </w:r>
          </w:p>
        </w:tc>
      </w:tr>
      <w:tr w:rsidR="00C93AC5" w14:paraId="6DC5238E" w14:textId="77777777" w:rsidTr="00AC62E4">
        <w:tc>
          <w:tcPr>
            <w:tcW w:w="5812" w:type="dxa"/>
          </w:tcPr>
          <w:p w14:paraId="147EDD84" w14:textId="77777777" w:rsidR="00C93AC5" w:rsidRPr="00C93AC5" w:rsidRDefault="00C93AC5" w:rsidP="009472CC">
            <w:pPr>
              <w:pStyle w:val="WestPleadingpara1"/>
              <w:tabs>
                <w:tab w:val="clear" w:pos="567"/>
              </w:tabs>
              <w:ind w:left="0" w:firstLine="0"/>
            </w:pPr>
          </w:p>
        </w:tc>
        <w:tc>
          <w:tcPr>
            <w:tcW w:w="3261" w:type="dxa"/>
          </w:tcPr>
          <w:p w14:paraId="6204D0A5" w14:textId="77777777" w:rsidR="00C93AC5" w:rsidRDefault="00C93AC5" w:rsidP="009472CC">
            <w:pPr>
              <w:pStyle w:val="WestPleadingpara1"/>
              <w:tabs>
                <w:tab w:val="clear" w:pos="567"/>
              </w:tabs>
              <w:ind w:left="0" w:firstLine="0"/>
              <w:jc w:val="right"/>
            </w:pPr>
          </w:p>
        </w:tc>
      </w:tr>
      <w:tr w:rsidR="00251A93" w14:paraId="69022276" w14:textId="77777777" w:rsidTr="00AC62E4">
        <w:tc>
          <w:tcPr>
            <w:tcW w:w="5812" w:type="dxa"/>
          </w:tcPr>
          <w:p w14:paraId="4510D76F" w14:textId="3E67FC2A" w:rsidR="00251A93" w:rsidRPr="00251A93" w:rsidRDefault="00251A93" w:rsidP="005A2E58">
            <w:pPr>
              <w:pStyle w:val="WestPleadingpara1"/>
              <w:tabs>
                <w:tab w:val="clear" w:pos="567"/>
              </w:tabs>
              <w:spacing w:line="240" w:lineRule="auto"/>
              <w:ind w:left="0" w:firstLine="0"/>
              <w:rPr>
                <w:b/>
                <w:bCs/>
              </w:rPr>
            </w:pPr>
            <w:r w:rsidRPr="00251A93">
              <w:rPr>
                <w:b/>
                <w:bCs/>
              </w:rPr>
              <w:t xml:space="preserve">MINISTER OF TRADE, INDUSTRY AND COMPETITION </w:t>
            </w:r>
          </w:p>
        </w:tc>
        <w:tc>
          <w:tcPr>
            <w:tcW w:w="3261" w:type="dxa"/>
          </w:tcPr>
          <w:p w14:paraId="3225A39A" w14:textId="4537126B" w:rsidR="00251A93" w:rsidRDefault="00251A93" w:rsidP="009472CC">
            <w:pPr>
              <w:pStyle w:val="WestPleadingpara1"/>
              <w:tabs>
                <w:tab w:val="clear" w:pos="567"/>
              </w:tabs>
              <w:ind w:left="0" w:firstLine="0"/>
              <w:jc w:val="right"/>
            </w:pPr>
            <w:r>
              <w:t>Second Respondent</w:t>
            </w:r>
          </w:p>
        </w:tc>
      </w:tr>
      <w:tr w:rsidR="00251A93" w14:paraId="520335C0" w14:textId="77777777" w:rsidTr="00AC62E4">
        <w:tc>
          <w:tcPr>
            <w:tcW w:w="5812" w:type="dxa"/>
          </w:tcPr>
          <w:p w14:paraId="59A65605" w14:textId="77777777" w:rsidR="00251A93" w:rsidRPr="00C93AC5" w:rsidRDefault="00251A93" w:rsidP="009472CC">
            <w:pPr>
              <w:pStyle w:val="WestPleadingpara1"/>
              <w:tabs>
                <w:tab w:val="clear" w:pos="567"/>
              </w:tabs>
              <w:ind w:left="0" w:firstLine="0"/>
            </w:pPr>
          </w:p>
        </w:tc>
        <w:tc>
          <w:tcPr>
            <w:tcW w:w="3261" w:type="dxa"/>
          </w:tcPr>
          <w:p w14:paraId="5D3EEC7C" w14:textId="77777777" w:rsidR="00251A93" w:rsidRDefault="00251A93" w:rsidP="009472CC">
            <w:pPr>
              <w:pStyle w:val="WestPleadingpara1"/>
              <w:tabs>
                <w:tab w:val="clear" w:pos="567"/>
              </w:tabs>
              <w:ind w:left="0" w:firstLine="0"/>
              <w:jc w:val="right"/>
            </w:pPr>
          </w:p>
        </w:tc>
      </w:tr>
      <w:tr w:rsidR="00251A93" w14:paraId="5762EA24" w14:textId="77777777" w:rsidTr="00AC62E4">
        <w:tc>
          <w:tcPr>
            <w:tcW w:w="5812" w:type="dxa"/>
          </w:tcPr>
          <w:p w14:paraId="5EF289E6" w14:textId="668BEC8D" w:rsidR="00251A93" w:rsidRPr="00251A93" w:rsidRDefault="00251A93" w:rsidP="009472CC">
            <w:pPr>
              <w:pStyle w:val="WestPleadingpara1"/>
              <w:tabs>
                <w:tab w:val="clear" w:pos="567"/>
              </w:tabs>
              <w:ind w:left="0" w:firstLine="0"/>
              <w:rPr>
                <w:b/>
                <w:bCs/>
              </w:rPr>
            </w:pPr>
            <w:r w:rsidRPr="00251A93">
              <w:rPr>
                <w:b/>
                <w:bCs/>
              </w:rPr>
              <w:t>MINISTER OF FINANCE</w:t>
            </w:r>
          </w:p>
        </w:tc>
        <w:tc>
          <w:tcPr>
            <w:tcW w:w="3261" w:type="dxa"/>
          </w:tcPr>
          <w:p w14:paraId="19A12DB3" w14:textId="207540C6" w:rsidR="00251A93" w:rsidRDefault="00251A93" w:rsidP="009472CC">
            <w:pPr>
              <w:pStyle w:val="WestPleadingpara1"/>
              <w:tabs>
                <w:tab w:val="clear" w:pos="567"/>
              </w:tabs>
              <w:ind w:left="0" w:firstLine="0"/>
              <w:jc w:val="right"/>
            </w:pPr>
            <w:r>
              <w:t>Third Respondent</w:t>
            </w:r>
          </w:p>
        </w:tc>
      </w:tr>
      <w:tr w:rsidR="00251A93" w14:paraId="336EB825" w14:textId="77777777" w:rsidTr="00AC62E4">
        <w:tc>
          <w:tcPr>
            <w:tcW w:w="5812" w:type="dxa"/>
          </w:tcPr>
          <w:p w14:paraId="615FDDE9" w14:textId="77777777" w:rsidR="00251A93" w:rsidRPr="00251A93" w:rsidRDefault="00251A93" w:rsidP="009472CC">
            <w:pPr>
              <w:pStyle w:val="WestPleadingpara1"/>
              <w:tabs>
                <w:tab w:val="clear" w:pos="567"/>
              </w:tabs>
              <w:ind w:left="0" w:firstLine="0"/>
              <w:rPr>
                <w:b/>
                <w:bCs/>
              </w:rPr>
            </w:pPr>
          </w:p>
        </w:tc>
        <w:tc>
          <w:tcPr>
            <w:tcW w:w="3261" w:type="dxa"/>
          </w:tcPr>
          <w:p w14:paraId="35D1246A" w14:textId="77777777" w:rsidR="00251A93" w:rsidRDefault="00251A93" w:rsidP="009472CC">
            <w:pPr>
              <w:pStyle w:val="WestPleadingpara1"/>
              <w:tabs>
                <w:tab w:val="clear" w:pos="567"/>
              </w:tabs>
              <w:ind w:left="0" w:firstLine="0"/>
              <w:jc w:val="right"/>
            </w:pPr>
          </w:p>
        </w:tc>
      </w:tr>
      <w:tr w:rsidR="00251A93" w14:paraId="017EB010" w14:textId="77777777" w:rsidTr="00AC62E4">
        <w:tc>
          <w:tcPr>
            <w:tcW w:w="5812" w:type="dxa"/>
          </w:tcPr>
          <w:p w14:paraId="00116D40" w14:textId="6CF389A0" w:rsidR="00251A93" w:rsidRPr="00251A93" w:rsidRDefault="00251A93" w:rsidP="009472CC">
            <w:pPr>
              <w:pStyle w:val="WestPleadingpara1"/>
              <w:tabs>
                <w:tab w:val="clear" w:pos="567"/>
              </w:tabs>
              <w:ind w:left="0" w:firstLine="0"/>
              <w:rPr>
                <w:b/>
                <w:bCs/>
              </w:rPr>
            </w:pPr>
            <w:r w:rsidRPr="00251A93">
              <w:rPr>
                <w:b/>
                <w:bCs/>
              </w:rPr>
              <w:t>SOUTH AFRICAN REVENUE SERVICE</w:t>
            </w:r>
          </w:p>
        </w:tc>
        <w:tc>
          <w:tcPr>
            <w:tcW w:w="3261" w:type="dxa"/>
          </w:tcPr>
          <w:p w14:paraId="3798F1BD" w14:textId="75909074" w:rsidR="00251A93" w:rsidRDefault="00251A93" w:rsidP="009472CC">
            <w:pPr>
              <w:pStyle w:val="WestPleadingpara1"/>
              <w:tabs>
                <w:tab w:val="clear" w:pos="567"/>
              </w:tabs>
              <w:ind w:left="0" w:firstLine="0"/>
              <w:jc w:val="right"/>
            </w:pPr>
            <w:r>
              <w:t>Fourth Respondent</w:t>
            </w:r>
          </w:p>
        </w:tc>
      </w:tr>
      <w:tr w:rsidR="00251A93" w14:paraId="3D8DFC81" w14:textId="77777777" w:rsidTr="00AC62E4">
        <w:tc>
          <w:tcPr>
            <w:tcW w:w="5812" w:type="dxa"/>
          </w:tcPr>
          <w:p w14:paraId="0992B545" w14:textId="77777777" w:rsidR="00251A93" w:rsidRPr="00251A93" w:rsidRDefault="00251A93" w:rsidP="009472CC">
            <w:pPr>
              <w:pStyle w:val="WestPleadingpara1"/>
              <w:tabs>
                <w:tab w:val="clear" w:pos="567"/>
              </w:tabs>
              <w:ind w:left="0" w:firstLine="0"/>
              <w:rPr>
                <w:b/>
                <w:bCs/>
              </w:rPr>
            </w:pPr>
          </w:p>
        </w:tc>
        <w:tc>
          <w:tcPr>
            <w:tcW w:w="3261" w:type="dxa"/>
          </w:tcPr>
          <w:p w14:paraId="5C40D090" w14:textId="77777777" w:rsidR="00251A93" w:rsidRDefault="00251A93" w:rsidP="009472CC">
            <w:pPr>
              <w:pStyle w:val="WestPleadingpara1"/>
              <w:tabs>
                <w:tab w:val="clear" w:pos="567"/>
              </w:tabs>
              <w:ind w:left="0" w:firstLine="0"/>
              <w:jc w:val="right"/>
            </w:pPr>
          </w:p>
        </w:tc>
      </w:tr>
      <w:tr w:rsidR="00251A93" w14:paraId="0D2D233F" w14:textId="77777777" w:rsidTr="00AC62E4">
        <w:tc>
          <w:tcPr>
            <w:tcW w:w="5812" w:type="dxa"/>
          </w:tcPr>
          <w:p w14:paraId="7E17C5E6" w14:textId="081E4410" w:rsidR="00251A93" w:rsidRPr="00251A93" w:rsidRDefault="00251A93" w:rsidP="009472CC">
            <w:pPr>
              <w:pStyle w:val="WestPleadingpara1"/>
              <w:tabs>
                <w:tab w:val="clear" w:pos="567"/>
              </w:tabs>
              <w:ind w:left="0" w:firstLine="0"/>
              <w:rPr>
                <w:b/>
                <w:bCs/>
              </w:rPr>
            </w:pPr>
            <w:r w:rsidRPr="00251A93">
              <w:rPr>
                <w:b/>
                <w:bCs/>
              </w:rPr>
              <w:lastRenderedPageBreak/>
              <w:t xml:space="preserve">SOUTH AFRICAN POULTRY ASSOCIATION </w:t>
            </w:r>
          </w:p>
        </w:tc>
        <w:tc>
          <w:tcPr>
            <w:tcW w:w="3261" w:type="dxa"/>
          </w:tcPr>
          <w:p w14:paraId="710FFB6B" w14:textId="4E4680AA" w:rsidR="00251A93" w:rsidRDefault="00251A93" w:rsidP="009472CC">
            <w:pPr>
              <w:pStyle w:val="WestPleadingpara1"/>
              <w:tabs>
                <w:tab w:val="clear" w:pos="567"/>
              </w:tabs>
              <w:ind w:left="0" w:firstLine="0"/>
              <w:jc w:val="right"/>
            </w:pPr>
            <w:r>
              <w:t>Fifth Respondent</w:t>
            </w:r>
          </w:p>
        </w:tc>
      </w:tr>
      <w:tr w:rsidR="00362AFC" w14:paraId="6AE92A27" w14:textId="77777777" w:rsidTr="00AC62E4">
        <w:tc>
          <w:tcPr>
            <w:tcW w:w="5812" w:type="dxa"/>
          </w:tcPr>
          <w:p w14:paraId="499B4CAF" w14:textId="77777777" w:rsidR="00362AFC" w:rsidRPr="00251A93" w:rsidRDefault="00362AFC" w:rsidP="009472CC">
            <w:pPr>
              <w:pStyle w:val="WestPleadingpara1"/>
              <w:tabs>
                <w:tab w:val="clear" w:pos="567"/>
              </w:tabs>
              <w:ind w:left="0" w:firstLine="0"/>
              <w:rPr>
                <w:b/>
                <w:bCs/>
              </w:rPr>
            </w:pPr>
          </w:p>
        </w:tc>
        <w:tc>
          <w:tcPr>
            <w:tcW w:w="3261" w:type="dxa"/>
          </w:tcPr>
          <w:p w14:paraId="65D9ADB0" w14:textId="77777777" w:rsidR="00362AFC" w:rsidRDefault="00362AFC" w:rsidP="009472CC">
            <w:pPr>
              <w:pStyle w:val="WestPleadingpara1"/>
              <w:tabs>
                <w:tab w:val="clear" w:pos="567"/>
              </w:tabs>
              <w:ind w:left="0" w:firstLine="0"/>
              <w:jc w:val="right"/>
            </w:pPr>
          </w:p>
        </w:tc>
      </w:tr>
      <w:tr w:rsidR="00C93AC5" w14:paraId="2B5C0D26" w14:textId="77777777" w:rsidTr="00AD7171">
        <w:tc>
          <w:tcPr>
            <w:tcW w:w="9073" w:type="dxa"/>
            <w:gridSpan w:val="2"/>
          </w:tcPr>
          <w:p w14:paraId="48A98B91" w14:textId="0B8629DD" w:rsidR="00C93AC5" w:rsidRDefault="00362AFC" w:rsidP="00B55FD3">
            <w:pPr>
              <w:pStyle w:val="WestPleadingpara1"/>
              <w:tabs>
                <w:tab w:val="clear" w:pos="567"/>
              </w:tabs>
              <w:ind w:left="0" w:firstLine="0"/>
            </w:pPr>
            <w:r w:rsidRPr="002B619C">
              <w:rPr>
                <w:i/>
              </w:rPr>
              <w:t xml:space="preserve">This </w:t>
            </w:r>
            <w:r>
              <w:rPr>
                <w:i/>
              </w:rPr>
              <w:t xml:space="preserve">judgment was prepared and authored by the Judge whose name is reflected and is handed down electronically by circulation to the </w:t>
            </w:r>
            <w:r w:rsidR="003B32CC">
              <w:rPr>
                <w:i/>
              </w:rPr>
              <w:t>p</w:t>
            </w:r>
            <w:r>
              <w:rPr>
                <w:i/>
              </w:rPr>
              <w:t>arties/their legal representatives by email and by uploading it to the electronic file of this matter on Caselines. The date for handing down is deemed to be</w:t>
            </w:r>
            <w:r w:rsidR="005A5A73">
              <w:rPr>
                <w:i/>
              </w:rPr>
              <w:t xml:space="preserve"> the12 October </w:t>
            </w:r>
            <w:r>
              <w:rPr>
                <w:i/>
              </w:rPr>
              <w:t>2023.</w:t>
            </w:r>
          </w:p>
        </w:tc>
      </w:tr>
    </w:tbl>
    <w:p w14:paraId="3AAD0FF0" w14:textId="45C70F1E" w:rsidR="003D40C5" w:rsidRDefault="003D40C5" w:rsidP="00921826">
      <w:pPr>
        <w:snapToGrid w:val="0"/>
        <w:jc w:val="both"/>
        <w:rPr>
          <w:rFonts w:ascii="Arial" w:hAnsi="Arial" w:cs="Arial"/>
        </w:rPr>
      </w:pPr>
    </w:p>
    <w:tbl>
      <w:tblPr>
        <w:tblStyle w:val="TableGrid"/>
        <w:tblW w:w="9073" w:type="dxa"/>
        <w:tblInd w:w="-147" w:type="dxa"/>
        <w:tblBorders>
          <w:left w:val="none" w:sz="0" w:space="0" w:color="auto"/>
          <w:right w:val="none" w:sz="0" w:space="0" w:color="auto"/>
        </w:tblBorders>
        <w:tblLook w:val="04A0" w:firstRow="1" w:lastRow="0" w:firstColumn="1" w:lastColumn="0" w:noHBand="0" w:noVBand="1"/>
      </w:tblPr>
      <w:tblGrid>
        <w:gridCol w:w="9073"/>
      </w:tblGrid>
      <w:tr w:rsidR="006C12AF" w14:paraId="5AD1D681" w14:textId="77777777" w:rsidTr="006C12AF">
        <w:tc>
          <w:tcPr>
            <w:tcW w:w="9073" w:type="dxa"/>
          </w:tcPr>
          <w:p w14:paraId="34A1C1A4" w14:textId="77777777" w:rsidR="006C12AF" w:rsidRDefault="006C12AF" w:rsidP="00921826">
            <w:pPr>
              <w:snapToGrid w:val="0"/>
              <w:jc w:val="both"/>
              <w:rPr>
                <w:rFonts w:ascii="Arial" w:hAnsi="Arial" w:cs="Arial"/>
                <w:b/>
                <w:bCs/>
              </w:rPr>
            </w:pPr>
          </w:p>
          <w:p w14:paraId="2EECB960" w14:textId="77777777" w:rsidR="006C12AF" w:rsidRDefault="006C12AF" w:rsidP="00921826">
            <w:pPr>
              <w:snapToGrid w:val="0"/>
              <w:jc w:val="center"/>
              <w:rPr>
                <w:rFonts w:ascii="Arial" w:hAnsi="Arial" w:cs="Arial"/>
                <w:b/>
                <w:bCs/>
              </w:rPr>
            </w:pPr>
            <w:r>
              <w:rPr>
                <w:rFonts w:ascii="Arial" w:hAnsi="Arial" w:cs="Arial"/>
                <w:b/>
                <w:bCs/>
              </w:rPr>
              <w:t>JUDGMENT</w:t>
            </w:r>
          </w:p>
          <w:p w14:paraId="0DE9BBAF" w14:textId="4C53599D" w:rsidR="006C12AF" w:rsidRDefault="006C12AF" w:rsidP="00921826">
            <w:pPr>
              <w:snapToGrid w:val="0"/>
              <w:jc w:val="both"/>
              <w:rPr>
                <w:rFonts w:ascii="Arial" w:hAnsi="Arial" w:cs="Arial"/>
                <w:b/>
                <w:bCs/>
              </w:rPr>
            </w:pPr>
          </w:p>
        </w:tc>
      </w:tr>
    </w:tbl>
    <w:p w14:paraId="1B8B3B82" w14:textId="31C8F214" w:rsidR="00BF1F84" w:rsidRPr="00137A38" w:rsidRDefault="000B4886" w:rsidP="005A2E58">
      <w:pPr>
        <w:pStyle w:val="RetiefPleadingpara1"/>
        <w:numPr>
          <w:ilvl w:val="0"/>
          <w:numId w:val="0"/>
        </w:numPr>
        <w:spacing w:before="240" w:after="480"/>
        <w:rPr>
          <w:b/>
          <w:bCs/>
          <w:szCs w:val="24"/>
        </w:rPr>
      </w:pPr>
      <w:r w:rsidRPr="00137A38">
        <w:rPr>
          <w:b/>
          <w:bCs/>
          <w:szCs w:val="24"/>
        </w:rPr>
        <w:t>RETIEF J</w:t>
      </w:r>
    </w:p>
    <w:p w14:paraId="5DE8A986" w14:textId="1DD58358" w:rsidR="00251A93" w:rsidRPr="00251A93" w:rsidRDefault="00251A93" w:rsidP="009472CC">
      <w:pPr>
        <w:pStyle w:val="RetiefPleadingpara1"/>
        <w:numPr>
          <w:ilvl w:val="0"/>
          <w:numId w:val="0"/>
        </w:numPr>
        <w:spacing w:after="480"/>
        <w:rPr>
          <w:b/>
          <w:bCs/>
          <w:szCs w:val="24"/>
          <w:u w:val="single"/>
        </w:rPr>
      </w:pPr>
      <w:r w:rsidRPr="00251A93">
        <w:rPr>
          <w:b/>
          <w:bCs/>
          <w:szCs w:val="24"/>
          <w:u w:val="single"/>
        </w:rPr>
        <w:t>INTRODUCTION</w:t>
      </w:r>
    </w:p>
    <w:p w14:paraId="1C5B474B" w14:textId="1567982A" w:rsidR="00DE45BB" w:rsidRDefault="0027466D" w:rsidP="0027466D">
      <w:pPr>
        <w:pStyle w:val="RetiefPleadingpara1"/>
        <w:numPr>
          <w:ilvl w:val="0"/>
          <w:numId w:val="0"/>
        </w:numPr>
        <w:tabs>
          <w:tab w:val="left" w:pos="851"/>
        </w:tabs>
        <w:spacing w:before="480" w:after="480"/>
        <w:rPr>
          <w:szCs w:val="24"/>
        </w:rPr>
      </w:pPr>
      <w:r>
        <w:rPr>
          <w:szCs w:val="24"/>
        </w:rPr>
        <w:t>[1]</w:t>
      </w:r>
      <w:r>
        <w:rPr>
          <w:szCs w:val="24"/>
        </w:rPr>
        <w:tab/>
      </w:r>
      <w:r w:rsidR="00251A93">
        <w:rPr>
          <w:szCs w:val="24"/>
        </w:rPr>
        <w:t>Th</w:t>
      </w:r>
      <w:r w:rsidR="00DE45BB">
        <w:rPr>
          <w:szCs w:val="24"/>
        </w:rPr>
        <w:t>is</w:t>
      </w:r>
      <w:r w:rsidR="00F76AA7">
        <w:rPr>
          <w:szCs w:val="24"/>
        </w:rPr>
        <w:t xml:space="preserve"> is a </w:t>
      </w:r>
      <w:r w:rsidR="00F01229">
        <w:rPr>
          <w:szCs w:val="24"/>
        </w:rPr>
        <w:t>judicial review</w:t>
      </w:r>
      <w:r w:rsidR="00F76AA7">
        <w:rPr>
          <w:szCs w:val="24"/>
        </w:rPr>
        <w:t xml:space="preserve"> </w:t>
      </w:r>
      <w:r w:rsidR="003C3E77">
        <w:rPr>
          <w:szCs w:val="24"/>
        </w:rPr>
        <w:t>aris</w:t>
      </w:r>
      <w:r w:rsidR="00C71214">
        <w:rPr>
          <w:szCs w:val="24"/>
        </w:rPr>
        <w:t>ing</w:t>
      </w:r>
      <w:r w:rsidR="003C3E77">
        <w:rPr>
          <w:szCs w:val="24"/>
        </w:rPr>
        <w:t xml:space="preserve"> </w:t>
      </w:r>
      <w:r w:rsidR="00DE45BB">
        <w:rPr>
          <w:szCs w:val="24"/>
        </w:rPr>
        <w:t>from</w:t>
      </w:r>
      <w:r w:rsidR="003C3E77">
        <w:rPr>
          <w:szCs w:val="24"/>
        </w:rPr>
        <w:t xml:space="preserve"> </w:t>
      </w:r>
      <w:r w:rsidR="00DE45BB">
        <w:rPr>
          <w:szCs w:val="24"/>
        </w:rPr>
        <w:t xml:space="preserve">a </w:t>
      </w:r>
      <w:r w:rsidR="003C3E77">
        <w:rPr>
          <w:szCs w:val="24"/>
        </w:rPr>
        <w:t xml:space="preserve">decision </w:t>
      </w:r>
      <w:r w:rsidR="006C7AAB">
        <w:rPr>
          <w:szCs w:val="24"/>
        </w:rPr>
        <w:t xml:space="preserve">taken by </w:t>
      </w:r>
      <w:r w:rsidR="003C3E77">
        <w:rPr>
          <w:szCs w:val="24"/>
        </w:rPr>
        <w:t xml:space="preserve">the Third Respondent </w:t>
      </w:r>
      <w:r w:rsidR="00DE45BB">
        <w:rPr>
          <w:szCs w:val="24"/>
        </w:rPr>
        <w:t>[</w:t>
      </w:r>
      <w:r w:rsidR="003C3E77">
        <w:rPr>
          <w:szCs w:val="24"/>
        </w:rPr>
        <w:t>Finance Minister</w:t>
      </w:r>
      <w:r w:rsidR="00DE45BB">
        <w:rPr>
          <w:szCs w:val="24"/>
        </w:rPr>
        <w:t>]</w:t>
      </w:r>
      <w:r w:rsidR="003C3E77">
        <w:rPr>
          <w:szCs w:val="24"/>
        </w:rPr>
        <w:t xml:space="preserve"> to</w:t>
      </w:r>
      <w:r w:rsidR="00A519A3">
        <w:rPr>
          <w:szCs w:val="24"/>
        </w:rPr>
        <w:t xml:space="preserve">, subsequent upon accepting a final report by the First Respondent, to </w:t>
      </w:r>
      <w:r w:rsidR="00DE45BB">
        <w:rPr>
          <w:szCs w:val="24"/>
        </w:rPr>
        <w:t>effect a ministerial amendment to the tariffs in Schedule 2 of the Customs and Excise Act 91 of 1964 [Customs Act]. Th</w:t>
      </w:r>
      <w:r w:rsidR="007A779F">
        <w:rPr>
          <w:szCs w:val="24"/>
        </w:rPr>
        <w:t xml:space="preserve">e </w:t>
      </w:r>
      <w:r w:rsidR="00DE45BB">
        <w:rPr>
          <w:szCs w:val="24"/>
        </w:rPr>
        <w:t xml:space="preserve">ministerial amendment </w:t>
      </w:r>
      <w:r w:rsidR="00C71214">
        <w:rPr>
          <w:szCs w:val="24"/>
        </w:rPr>
        <w:t xml:space="preserve">gives effect to the </w:t>
      </w:r>
      <w:r w:rsidR="003C3E77" w:rsidRPr="00DE45BB">
        <w:rPr>
          <w:szCs w:val="24"/>
        </w:rPr>
        <w:t>continu</w:t>
      </w:r>
      <w:r w:rsidR="00C71214">
        <w:rPr>
          <w:szCs w:val="24"/>
        </w:rPr>
        <w:t>ation</w:t>
      </w:r>
      <w:r w:rsidR="00251A93" w:rsidRPr="00DE45BB">
        <w:rPr>
          <w:szCs w:val="24"/>
        </w:rPr>
        <w:t xml:space="preserve"> </w:t>
      </w:r>
      <w:r w:rsidR="00C71214">
        <w:rPr>
          <w:szCs w:val="24"/>
        </w:rPr>
        <w:t>of t</w:t>
      </w:r>
      <w:r w:rsidR="003C3E77" w:rsidRPr="00DE45BB">
        <w:rPr>
          <w:szCs w:val="24"/>
        </w:rPr>
        <w:t>he imposition</w:t>
      </w:r>
      <w:r w:rsidR="00251A93" w:rsidRPr="00DE45BB">
        <w:rPr>
          <w:szCs w:val="24"/>
        </w:rPr>
        <w:t xml:space="preserve"> of anti-dumping duties imposed on frozen </w:t>
      </w:r>
      <w:r w:rsidR="003C3E77" w:rsidRPr="00B43434">
        <w:rPr>
          <w:color w:val="000000" w:themeColor="text1"/>
          <w:szCs w:val="24"/>
        </w:rPr>
        <w:t>bone</w:t>
      </w:r>
      <w:r w:rsidR="007D6F85" w:rsidRPr="00B43434">
        <w:rPr>
          <w:color w:val="000000" w:themeColor="text1"/>
          <w:szCs w:val="24"/>
        </w:rPr>
        <w:t>-in</w:t>
      </w:r>
      <w:r w:rsidR="003C3E77" w:rsidRPr="00B43434">
        <w:rPr>
          <w:color w:val="000000" w:themeColor="text1"/>
          <w:szCs w:val="24"/>
        </w:rPr>
        <w:t xml:space="preserve"> </w:t>
      </w:r>
      <w:r w:rsidR="007D6F85" w:rsidRPr="00DE45BB">
        <w:rPr>
          <w:szCs w:val="24"/>
        </w:rPr>
        <w:t xml:space="preserve">portions of fowl of the species </w:t>
      </w:r>
      <w:r w:rsidR="00D265F9" w:rsidRPr="00DE45BB">
        <w:rPr>
          <w:szCs w:val="24"/>
        </w:rPr>
        <w:t>“</w:t>
      </w:r>
      <w:r w:rsidR="00D265F9" w:rsidRPr="00DE45BB">
        <w:rPr>
          <w:i/>
          <w:iCs/>
          <w:szCs w:val="24"/>
        </w:rPr>
        <w:t>Gallus domesticus</w:t>
      </w:r>
      <w:r w:rsidR="00D265F9" w:rsidRPr="00DE45BB">
        <w:rPr>
          <w:szCs w:val="24"/>
        </w:rPr>
        <w:t>” (</w:t>
      </w:r>
      <w:r w:rsidR="00251A93" w:rsidRPr="00DE45BB">
        <w:rPr>
          <w:szCs w:val="24"/>
        </w:rPr>
        <w:t>chicken</w:t>
      </w:r>
      <w:r w:rsidR="00D265F9" w:rsidRPr="00DE45BB">
        <w:rPr>
          <w:szCs w:val="24"/>
        </w:rPr>
        <w:t>)</w:t>
      </w:r>
      <w:r w:rsidR="00251A93" w:rsidRPr="00DE45BB">
        <w:rPr>
          <w:szCs w:val="24"/>
        </w:rPr>
        <w:t xml:space="preserve"> </w:t>
      </w:r>
      <w:r w:rsidR="00DE45BB">
        <w:rPr>
          <w:szCs w:val="24"/>
        </w:rPr>
        <w:t>[t</w:t>
      </w:r>
      <w:r w:rsidR="003C3E77" w:rsidRPr="00DE45BB">
        <w:rPr>
          <w:szCs w:val="24"/>
        </w:rPr>
        <w:t>he product</w:t>
      </w:r>
      <w:r w:rsidR="00362AFC">
        <w:rPr>
          <w:szCs w:val="24"/>
        </w:rPr>
        <w:t>]</w:t>
      </w:r>
      <w:r w:rsidR="003C3E77" w:rsidRPr="00DE45BB">
        <w:rPr>
          <w:szCs w:val="24"/>
        </w:rPr>
        <w:t xml:space="preserve"> </w:t>
      </w:r>
      <w:r w:rsidR="00251A93" w:rsidRPr="00DE45BB">
        <w:rPr>
          <w:szCs w:val="24"/>
        </w:rPr>
        <w:t xml:space="preserve">originating in or imported from Germany, the </w:t>
      </w:r>
      <w:r w:rsidR="004E0590" w:rsidRPr="00DE45BB">
        <w:rPr>
          <w:szCs w:val="24"/>
        </w:rPr>
        <w:t>Netherlands,</w:t>
      </w:r>
      <w:r w:rsidR="00251A93" w:rsidRPr="00DE45BB">
        <w:rPr>
          <w:szCs w:val="24"/>
        </w:rPr>
        <w:t xml:space="preserve"> and the United Kingdom.</w:t>
      </w:r>
    </w:p>
    <w:p w14:paraId="0922D8B8" w14:textId="1B07CD9C" w:rsidR="00F01229" w:rsidRPr="00FF021A" w:rsidRDefault="0027466D" w:rsidP="0027466D">
      <w:pPr>
        <w:pStyle w:val="RetiefPleadingpara1"/>
        <w:numPr>
          <w:ilvl w:val="0"/>
          <w:numId w:val="0"/>
        </w:numPr>
        <w:tabs>
          <w:tab w:val="left" w:pos="851"/>
        </w:tabs>
        <w:spacing w:before="480" w:after="480"/>
        <w:rPr>
          <w:szCs w:val="24"/>
        </w:rPr>
      </w:pPr>
      <w:r w:rsidRPr="00FF021A">
        <w:rPr>
          <w:szCs w:val="24"/>
        </w:rPr>
        <w:t>[2</w:t>
      </w:r>
      <w:bookmarkStart w:id="0" w:name="_GoBack"/>
      <w:bookmarkEnd w:id="0"/>
      <w:r w:rsidRPr="00FF021A">
        <w:rPr>
          <w:szCs w:val="24"/>
        </w:rPr>
        <w:t>]</w:t>
      </w:r>
      <w:r w:rsidRPr="00FF021A">
        <w:rPr>
          <w:szCs w:val="24"/>
        </w:rPr>
        <w:tab/>
      </w:r>
      <w:r w:rsidR="00DE45BB">
        <w:rPr>
          <w:szCs w:val="24"/>
        </w:rPr>
        <w:t>The original imposition</w:t>
      </w:r>
      <w:r w:rsidR="00F76AA7">
        <w:rPr>
          <w:szCs w:val="24"/>
        </w:rPr>
        <w:t xml:space="preserve"> </w:t>
      </w:r>
      <w:r w:rsidR="007A779F">
        <w:rPr>
          <w:szCs w:val="24"/>
        </w:rPr>
        <w:t xml:space="preserve">on the product </w:t>
      </w:r>
      <w:r w:rsidR="00DE45BB">
        <w:rPr>
          <w:szCs w:val="24"/>
        </w:rPr>
        <w:t>was</w:t>
      </w:r>
      <w:r w:rsidR="00D265F9" w:rsidRPr="00DE45BB">
        <w:rPr>
          <w:szCs w:val="24"/>
        </w:rPr>
        <w:t xml:space="preserve"> </w:t>
      </w:r>
      <w:r w:rsidR="00DE45BB">
        <w:rPr>
          <w:szCs w:val="24"/>
        </w:rPr>
        <w:t>effect</w:t>
      </w:r>
      <w:r w:rsidR="00DE45BB" w:rsidRPr="00DE45BB">
        <w:rPr>
          <w:szCs w:val="24"/>
        </w:rPr>
        <w:t xml:space="preserve">ed on </w:t>
      </w:r>
      <w:r w:rsidR="00D265F9" w:rsidRPr="00DE45BB">
        <w:rPr>
          <w:szCs w:val="24"/>
        </w:rPr>
        <w:t xml:space="preserve">25 February 2015 </w:t>
      </w:r>
      <w:r w:rsidR="00DE45BB" w:rsidRPr="00DE45BB">
        <w:rPr>
          <w:szCs w:val="24"/>
        </w:rPr>
        <w:t>[</w:t>
      </w:r>
      <w:r w:rsidR="00342A95" w:rsidRPr="00DE45BB">
        <w:rPr>
          <w:szCs w:val="24"/>
        </w:rPr>
        <w:t xml:space="preserve">initial </w:t>
      </w:r>
      <w:r w:rsidR="0066501E" w:rsidRPr="00DE45BB">
        <w:rPr>
          <w:szCs w:val="24"/>
        </w:rPr>
        <w:t>imposition</w:t>
      </w:r>
      <w:r w:rsidR="00DE45BB" w:rsidRPr="00DE45BB">
        <w:rPr>
          <w:szCs w:val="24"/>
        </w:rPr>
        <w:t>]. T</w:t>
      </w:r>
      <w:r w:rsidR="003C3E77" w:rsidRPr="00DE45BB">
        <w:rPr>
          <w:szCs w:val="24"/>
        </w:rPr>
        <w:t xml:space="preserve">he recommendation to continue </w:t>
      </w:r>
      <w:r w:rsidR="00DE45BB">
        <w:rPr>
          <w:szCs w:val="24"/>
        </w:rPr>
        <w:t>such</w:t>
      </w:r>
      <w:r w:rsidR="003C3E77" w:rsidRPr="00DE45BB">
        <w:rPr>
          <w:szCs w:val="24"/>
        </w:rPr>
        <w:t xml:space="preserve"> </w:t>
      </w:r>
      <w:r w:rsidR="0066501E" w:rsidRPr="00DE45BB">
        <w:rPr>
          <w:szCs w:val="24"/>
        </w:rPr>
        <w:t>imposition</w:t>
      </w:r>
      <w:r w:rsidR="003C3E77" w:rsidRPr="00DE45BB">
        <w:rPr>
          <w:szCs w:val="24"/>
        </w:rPr>
        <w:t xml:space="preserve"> </w:t>
      </w:r>
      <w:r w:rsidR="006C7AAB" w:rsidRPr="00DE45BB">
        <w:rPr>
          <w:szCs w:val="24"/>
        </w:rPr>
        <w:t>emanate</w:t>
      </w:r>
      <w:r w:rsidR="00FF021A">
        <w:rPr>
          <w:szCs w:val="24"/>
        </w:rPr>
        <w:t>d</w:t>
      </w:r>
      <w:r w:rsidR="006C7AAB" w:rsidRPr="00DE45BB">
        <w:rPr>
          <w:szCs w:val="24"/>
        </w:rPr>
        <w:t xml:space="preserve"> from </w:t>
      </w:r>
      <w:r w:rsidR="00FF021A">
        <w:rPr>
          <w:szCs w:val="24"/>
        </w:rPr>
        <w:t>a</w:t>
      </w:r>
      <w:r w:rsidR="00F76AA7">
        <w:rPr>
          <w:szCs w:val="24"/>
        </w:rPr>
        <w:t xml:space="preserve"> </w:t>
      </w:r>
      <w:r w:rsidR="00FF021A" w:rsidRPr="00FF021A">
        <w:rPr>
          <w:szCs w:val="24"/>
        </w:rPr>
        <w:t>review process [sunset review]</w:t>
      </w:r>
      <w:r w:rsidR="009A3892">
        <w:rPr>
          <w:szCs w:val="24"/>
        </w:rPr>
        <w:t>,</w:t>
      </w:r>
      <w:r w:rsidR="00FF021A">
        <w:rPr>
          <w:szCs w:val="24"/>
        </w:rPr>
        <w:t xml:space="preserve"> </w:t>
      </w:r>
      <w:r w:rsidR="00FA32D5">
        <w:rPr>
          <w:szCs w:val="24"/>
        </w:rPr>
        <w:t xml:space="preserve">which process was </w:t>
      </w:r>
      <w:r w:rsidR="00FF021A">
        <w:rPr>
          <w:szCs w:val="24"/>
        </w:rPr>
        <w:t xml:space="preserve">duly </w:t>
      </w:r>
      <w:r w:rsidR="00FF021A" w:rsidRPr="00DE45BB">
        <w:rPr>
          <w:szCs w:val="24"/>
        </w:rPr>
        <w:t>initiated and finalised by the First Respondent, the International Trade Administration Commission [ITAC]</w:t>
      </w:r>
      <w:r w:rsidR="00FF021A">
        <w:rPr>
          <w:szCs w:val="24"/>
        </w:rPr>
        <w:t xml:space="preserve">. </w:t>
      </w:r>
    </w:p>
    <w:p w14:paraId="6207F87B" w14:textId="14D06D8F" w:rsidR="00DE45BB" w:rsidRPr="00DE45BB" w:rsidRDefault="0027466D" w:rsidP="0027466D">
      <w:pPr>
        <w:pStyle w:val="RetiefPleadingpara1"/>
        <w:numPr>
          <w:ilvl w:val="0"/>
          <w:numId w:val="0"/>
        </w:numPr>
        <w:tabs>
          <w:tab w:val="left" w:pos="851"/>
        </w:tabs>
        <w:spacing w:before="480" w:after="480"/>
        <w:rPr>
          <w:szCs w:val="24"/>
        </w:rPr>
      </w:pPr>
      <w:r w:rsidRPr="00DE45BB">
        <w:rPr>
          <w:szCs w:val="24"/>
        </w:rPr>
        <w:lastRenderedPageBreak/>
        <w:t>[3]</w:t>
      </w:r>
      <w:r w:rsidRPr="00DE45BB">
        <w:rPr>
          <w:szCs w:val="24"/>
        </w:rPr>
        <w:tab/>
      </w:r>
      <w:r w:rsidR="00A921E3">
        <w:rPr>
          <w:szCs w:val="24"/>
        </w:rPr>
        <w:t>ITAC</w:t>
      </w:r>
      <w:r w:rsidR="00F01229">
        <w:rPr>
          <w:szCs w:val="24"/>
        </w:rPr>
        <w:t xml:space="preserve"> is </w:t>
      </w:r>
      <w:r w:rsidR="00A921E3">
        <w:rPr>
          <w:szCs w:val="24"/>
        </w:rPr>
        <w:t xml:space="preserve">the investigating authority </w:t>
      </w:r>
      <w:r w:rsidR="00F76AA7">
        <w:rPr>
          <w:szCs w:val="24"/>
        </w:rPr>
        <w:t>who is s</w:t>
      </w:r>
      <w:r w:rsidR="00A921E3">
        <w:rPr>
          <w:szCs w:val="24"/>
        </w:rPr>
        <w:t xml:space="preserve">tatutorily mandated by the </w:t>
      </w:r>
      <w:r w:rsidR="0066501E">
        <w:rPr>
          <w:szCs w:val="24"/>
        </w:rPr>
        <w:t>International</w:t>
      </w:r>
      <w:r w:rsidR="00A921E3">
        <w:rPr>
          <w:szCs w:val="24"/>
        </w:rPr>
        <w:t xml:space="preserve"> Trade </w:t>
      </w:r>
      <w:r w:rsidR="00FC5373">
        <w:rPr>
          <w:szCs w:val="24"/>
        </w:rPr>
        <w:t>Administration</w:t>
      </w:r>
      <w:r w:rsidR="00A921E3">
        <w:rPr>
          <w:szCs w:val="24"/>
        </w:rPr>
        <w:t xml:space="preserve"> Act 71 of 2002 [ITA Act] to, </w:t>
      </w:r>
      <w:r w:rsidR="00A921E3" w:rsidRPr="00A921E3">
        <w:rPr>
          <w:i/>
          <w:iCs/>
          <w:szCs w:val="24"/>
        </w:rPr>
        <w:t>inter alia</w:t>
      </w:r>
      <w:r w:rsidR="00A921E3">
        <w:rPr>
          <w:szCs w:val="24"/>
        </w:rPr>
        <w:t>, conduct investigations pertaining to the introduction</w:t>
      </w:r>
      <w:r w:rsidR="007A779F">
        <w:rPr>
          <w:szCs w:val="24"/>
        </w:rPr>
        <w:t xml:space="preserve">, </w:t>
      </w:r>
      <w:r w:rsidR="009472CC">
        <w:rPr>
          <w:szCs w:val="24"/>
        </w:rPr>
        <w:t>continuation,</w:t>
      </w:r>
      <w:r w:rsidR="00A921E3">
        <w:rPr>
          <w:szCs w:val="24"/>
        </w:rPr>
        <w:t xml:space="preserve"> or amendment of anti-dumping duties for the Southern African Customs Union [SACU].</w:t>
      </w:r>
    </w:p>
    <w:p w14:paraId="13607971" w14:textId="2A54DDDF" w:rsidR="00FF021A" w:rsidRDefault="0027466D" w:rsidP="0027466D">
      <w:pPr>
        <w:pStyle w:val="RetiefPleadingpara1"/>
        <w:numPr>
          <w:ilvl w:val="0"/>
          <w:numId w:val="0"/>
        </w:numPr>
        <w:tabs>
          <w:tab w:val="left" w:pos="851"/>
        </w:tabs>
        <w:spacing w:before="480" w:after="480"/>
        <w:rPr>
          <w:szCs w:val="24"/>
        </w:rPr>
      </w:pPr>
      <w:r>
        <w:rPr>
          <w:szCs w:val="24"/>
        </w:rPr>
        <w:t>[4]</w:t>
      </w:r>
      <w:r>
        <w:rPr>
          <w:szCs w:val="24"/>
        </w:rPr>
        <w:tab/>
      </w:r>
      <w:r w:rsidR="00457A5F">
        <w:rPr>
          <w:szCs w:val="24"/>
        </w:rPr>
        <w:t>The Applicant</w:t>
      </w:r>
      <w:r w:rsidR="00DE45BB">
        <w:rPr>
          <w:szCs w:val="24"/>
        </w:rPr>
        <w:t xml:space="preserve"> [</w:t>
      </w:r>
      <w:r w:rsidR="00457A5F">
        <w:rPr>
          <w:szCs w:val="24"/>
        </w:rPr>
        <w:t>AMIE</w:t>
      </w:r>
      <w:r w:rsidR="00DE45BB">
        <w:rPr>
          <w:szCs w:val="24"/>
        </w:rPr>
        <w:t xml:space="preserve">], </w:t>
      </w:r>
      <w:r w:rsidR="00A921E3">
        <w:rPr>
          <w:szCs w:val="24"/>
        </w:rPr>
        <w:t xml:space="preserve">is </w:t>
      </w:r>
      <w:r w:rsidR="00DE45BB">
        <w:rPr>
          <w:szCs w:val="24"/>
        </w:rPr>
        <w:t>a</w:t>
      </w:r>
      <w:r w:rsidR="00362AFC">
        <w:rPr>
          <w:szCs w:val="24"/>
        </w:rPr>
        <w:t xml:space="preserve"> </w:t>
      </w:r>
      <w:r w:rsidR="00457A5F">
        <w:rPr>
          <w:szCs w:val="24"/>
        </w:rPr>
        <w:t xml:space="preserve">voluntary association </w:t>
      </w:r>
      <w:r w:rsidR="00DE45BB">
        <w:rPr>
          <w:szCs w:val="24"/>
        </w:rPr>
        <w:t>who represent</w:t>
      </w:r>
      <w:r w:rsidR="00FF021A">
        <w:rPr>
          <w:szCs w:val="24"/>
        </w:rPr>
        <w:t>s the</w:t>
      </w:r>
      <w:r w:rsidR="00457A5F">
        <w:rPr>
          <w:szCs w:val="24"/>
        </w:rPr>
        <w:t xml:space="preserve"> meat importers and exporters of South Africa</w:t>
      </w:r>
      <w:r w:rsidR="00A20BBA">
        <w:rPr>
          <w:szCs w:val="24"/>
        </w:rPr>
        <w:t xml:space="preserve">. </w:t>
      </w:r>
      <w:r w:rsidR="00F76AA7">
        <w:rPr>
          <w:szCs w:val="24"/>
        </w:rPr>
        <w:t>I</w:t>
      </w:r>
      <w:r w:rsidR="00FF021A">
        <w:rPr>
          <w:szCs w:val="24"/>
        </w:rPr>
        <w:t xml:space="preserve">mporters of the product are the parties </w:t>
      </w:r>
      <w:r w:rsidR="00A20BBA">
        <w:rPr>
          <w:szCs w:val="24"/>
        </w:rPr>
        <w:t xml:space="preserve">liable for the payment of </w:t>
      </w:r>
      <w:r w:rsidR="00FF021A">
        <w:rPr>
          <w:szCs w:val="24"/>
        </w:rPr>
        <w:t xml:space="preserve">such </w:t>
      </w:r>
      <w:r w:rsidR="00A20BBA">
        <w:rPr>
          <w:szCs w:val="24"/>
        </w:rPr>
        <w:t>anti-dumping duties.</w:t>
      </w:r>
      <w:r w:rsidR="00A921E3">
        <w:rPr>
          <w:szCs w:val="24"/>
        </w:rPr>
        <w:t xml:space="preserve"> </w:t>
      </w:r>
      <w:r w:rsidR="00DC3597">
        <w:rPr>
          <w:szCs w:val="24"/>
        </w:rPr>
        <w:t>AMIE</w:t>
      </w:r>
      <w:r w:rsidR="00F76AA7">
        <w:rPr>
          <w:szCs w:val="24"/>
        </w:rPr>
        <w:t>,</w:t>
      </w:r>
      <w:r w:rsidR="00FA32D5">
        <w:rPr>
          <w:szCs w:val="24"/>
        </w:rPr>
        <w:t xml:space="preserve"> </w:t>
      </w:r>
      <w:r w:rsidR="00F76AA7">
        <w:rPr>
          <w:szCs w:val="24"/>
        </w:rPr>
        <w:t>an</w:t>
      </w:r>
      <w:r w:rsidR="00FA32D5">
        <w:rPr>
          <w:szCs w:val="24"/>
        </w:rPr>
        <w:t xml:space="preserve"> interested party in the sunset review</w:t>
      </w:r>
      <w:r w:rsidR="00F76AA7">
        <w:rPr>
          <w:szCs w:val="24"/>
        </w:rPr>
        <w:t>, o</w:t>
      </w:r>
      <w:r w:rsidR="00FA32D5">
        <w:rPr>
          <w:szCs w:val="24"/>
        </w:rPr>
        <w:t xml:space="preserve">pposed the continuation of the imposed anti-dumping </w:t>
      </w:r>
      <w:r w:rsidR="00F76AA7">
        <w:rPr>
          <w:szCs w:val="24"/>
        </w:rPr>
        <w:t>duties on the product</w:t>
      </w:r>
      <w:r w:rsidR="00803CE6">
        <w:rPr>
          <w:szCs w:val="24"/>
        </w:rPr>
        <w:t>.</w:t>
      </w:r>
    </w:p>
    <w:p w14:paraId="17A87067" w14:textId="33ADB711" w:rsidR="00457A5F" w:rsidRPr="00FF021A" w:rsidRDefault="0027466D" w:rsidP="0027466D">
      <w:pPr>
        <w:pStyle w:val="RetiefPleadingpara1"/>
        <w:numPr>
          <w:ilvl w:val="0"/>
          <w:numId w:val="0"/>
        </w:numPr>
        <w:tabs>
          <w:tab w:val="left" w:pos="851"/>
        </w:tabs>
        <w:spacing w:before="480" w:after="480"/>
        <w:rPr>
          <w:szCs w:val="24"/>
        </w:rPr>
      </w:pPr>
      <w:r w:rsidRPr="00FF021A">
        <w:rPr>
          <w:szCs w:val="24"/>
        </w:rPr>
        <w:t>[5]</w:t>
      </w:r>
      <w:r w:rsidRPr="00FF021A">
        <w:rPr>
          <w:szCs w:val="24"/>
        </w:rPr>
        <w:tab/>
      </w:r>
      <w:r w:rsidR="00A921E3">
        <w:rPr>
          <w:szCs w:val="24"/>
        </w:rPr>
        <w:t>AMIE</w:t>
      </w:r>
      <w:r w:rsidR="00F76AA7">
        <w:rPr>
          <w:szCs w:val="24"/>
        </w:rPr>
        <w:t>,</w:t>
      </w:r>
      <w:r w:rsidR="00A921E3">
        <w:rPr>
          <w:szCs w:val="24"/>
        </w:rPr>
        <w:t xml:space="preserve"> </w:t>
      </w:r>
      <w:r w:rsidR="00FF021A">
        <w:rPr>
          <w:szCs w:val="24"/>
        </w:rPr>
        <w:t>in bringing this judicial review, saw fit, out of an abundance of caution,</w:t>
      </w:r>
      <w:r w:rsidR="00362AFC">
        <w:rPr>
          <w:szCs w:val="24"/>
        </w:rPr>
        <w:t xml:space="preserve"> </w:t>
      </w:r>
      <w:r w:rsidR="00FF021A">
        <w:rPr>
          <w:szCs w:val="24"/>
        </w:rPr>
        <w:t xml:space="preserve">to </w:t>
      </w:r>
      <w:r w:rsidR="00DE45BB">
        <w:rPr>
          <w:szCs w:val="24"/>
        </w:rPr>
        <w:t xml:space="preserve">cast </w:t>
      </w:r>
      <w:r w:rsidR="009A3892">
        <w:rPr>
          <w:szCs w:val="24"/>
        </w:rPr>
        <w:t>its</w:t>
      </w:r>
      <w:r w:rsidR="00DE45BB">
        <w:rPr>
          <w:szCs w:val="24"/>
        </w:rPr>
        <w:t xml:space="preserve"> </w:t>
      </w:r>
      <w:r w:rsidR="00362AFC">
        <w:rPr>
          <w:szCs w:val="24"/>
        </w:rPr>
        <w:t xml:space="preserve">relief </w:t>
      </w:r>
      <w:r w:rsidR="00DE45BB">
        <w:rPr>
          <w:szCs w:val="24"/>
        </w:rPr>
        <w:t>net wide</w:t>
      </w:r>
      <w:r w:rsidR="007A779F">
        <w:rPr>
          <w:szCs w:val="24"/>
        </w:rPr>
        <w:t xml:space="preserve"> </w:t>
      </w:r>
      <w:r w:rsidR="00C71214">
        <w:rPr>
          <w:szCs w:val="24"/>
        </w:rPr>
        <w:t>by</w:t>
      </w:r>
      <w:r w:rsidR="00803CE6">
        <w:rPr>
          <w:szCs w:val="24"/>
        </w:rPr>
        <w:t xml:space="preserve"> way of </w:t>
      </w:r>
      <w:r w:rsidR="00C71214">
        <w:rPr>
          <w:szCs w:val="24"/>
        </w:rPr>
        <w:t xml:space="preserve">its </w:t>
      </w:r>
      <w:r w:rsidR="00803CE6">
        <w:rPr>
          <w:szCs w:val="24"/>
        </w:rPr>
        <w:t>amended relief</w:t>
      </w:r>
      <w:r w:rsidR="00FF021A">
        <w:rPr>
          <w:szCs w:val="24"/>
        </w:rPr>
        <w:t xml:space="preserve">. </w:t>
      </w:r>
      <w:r w:rsidR="00F76AA7">
        <w:rPr>
          <w:szCs w:val="24"/>
        </w:rPr>
        <w:t xml:space="preserve">In so doing, </w:t>
      </w:r>
      <w:r w:rsidR="00DC3597">
        <w:rPr>
          <w:szCs w:val="24"/>
        </w:rPr>
        <w:t>AMIE</w:t>
      </w:r>
      <w:r w:rsidR="00FF021A">
        <w:rPr>
          <w:szCs w:val="24"/>
        </w:rPr>
        <w:t xml:space="preserve"> seeks </w:t>
      </w:r>
      <w:r w:rsidR="00DE45BB">
        <w:rPr>
          <w:szCs w:val="24"/>
        </w:rPr>
        <w:t xml:space="preserve">to </w:t>
      </w:r>
      <w:r w:rsidR="00457A5F">
        <w:rPr>
          <w:szCs w:val="24"/>
        </w:rPr>
        <w:t xml:space="preserve">review and set aside </w:t>
      </w:r>
      <w:r w:rsidR="00F76AA7">
        <w:rPr>
          <w:szCs w:val="24"/>
        </w:rPr>
        <w:t xml:space="preserve">the initiation of the sunset review, ITAC’s final recommendation and both the </w:t>
      </w:r>
      <w:r w:rsidR="00803CE6">
        <w:rPr>
          <w:szCs w:val="24"/>
        </w:rPr>
        <w:t>Second Respondent [</w:t>
      </w:r>
      <w:r w:rsidR="009A3892">
        <w:rPr>
          <w:szCs w:val="24"/>
        </w:rPr>
        <w:t>Trade Minister</w:t>
      </w:r>
      <w:r w:rsidR="00803CE6">
        <w:rPr>
          <w:szCs w:val="24"/>
        </w:rPr>
        <w:t xml:space="preserve">] </w:t>
      </w:r>
      <w:r w:rsidR="00F76AA7">
        <w:rPr>
          <w:szCs w:val="24"/>
        </w:rPr>
        <w:t>and Finance Ministers’ decisions in the administrative chain</w:t>
      </w:r>
      <w:r w:rsidR="00803CE6">
        <w:rPr>
          <w:szCs w:val="24"/>
        </w:rPr>
        <w:t>.</w:t>
      </w:r>
      <w:r w:rsidR="00F76AA7">
        <w:rPr>
          <w:szCs w:val="24"/>
        </w:rPr>
        <w:t xml:space="preserve"> </w:t>
      </w:r>
      <w:r w:rsidR="00DC3597">
        <w:rPr>
          <w:szCs w:val="24"/>
        </w:rPr>
        <w:t>AMIE</w:t>
      </w:r>
      <w:r w:rsidR="00FF021A">
        <w:rPr>
          <w:szCs w:val="24"/>
        </w:rPr>
        <w:t xml:space="preserve"> </w:t>
      </w:r>
      <w:r w:rsidR="00F76AA7">
        <w:rPr>
          <w:szCs w:val="24"/>
        </w:rPr>
        <w:t>brings its judicial review</w:t>
      </w:r>
      <w:r w:rsidR="00FF021A">
        <w:rPr>
          <w:szCs w:val="24"/>
        </w:rPr>
        <w:t xml:space="preserve"> </w:t>
      </w:r>
      <w:r w:rsidR="00362AFC" w:rsidRPr="00FF021A">
        <w:rPr>
          <w:szCs w:val="24"/>
        </w:rPr>
        <w:t>by way of</w:t>
      </w:r>
      <w:r w:rsidR="00DF6115" w:rsidRPr="00FF021A">
        <w:rPr>
          <w:szCs w:val="24"/>
        </w:rPr>
        <w:t xml:space="preserve"> the</w:t>
      </w:r>
      <w:r w:rsidR="00362AFC" w:rsidRPr="00FF021A">
        <w:rPr>
          <w:szCs w:val="24"/>
        </w:rPr>
        <w:t xml:space="preserve"> Promotion of Administrative Justice Act 3 of 2000 [PAJA]</w:t>
      </w:r>
      <w:r w:rsidR="00DF6115" w:rsidRPr="00FF021A">
        <w:rPr>
          <w:szCs w:val="24"/>
        </w:rPr>
        <w:t>,</w:t>
      </w:r>
      <w:r w:rsidR="00362AFC" w:rsidRPr="00FF021A">
        <w:rPr>
          <w:szCs w:val="24"/>
        </w:rPr>
        <w:t xml:space="preserve"> alternatively by way of a legality review. </w:t>
      </w:r>
    </w:p>
    <w:p w14:paraId="6DC3C067" w14:textId="62E2D90D" w:rsidR="00362AFC" w:rsidRDefault="0027466D" w:rsidP="0027466D">
      <w:pPr>
        <w:pStyle w:val="RetiefPleadingpara1"/>
        <w:numPr>
          <w:ilvl w:val="0"/>
          <w:numId w:val="0"/>
        </w:numPr>
        <w:tabs>
          <w:tab w:val="left" w:pos="851"/>
        </w:tabs>
        <w:spacing w:before="480" w:after="480"/>
        <w:rPr>
          <w:szCs w:val="24"/>
        </w:rPr>
      </w:pPr>
      <w:r>
        <w:rPr>
          <w:szCs w:val="24"/>
        </w:rPr>
        <w:t>[6]</w:t>
      </w:r>
      <w:r>
        <w:rPr>
          <w:szCs w:val="24"/>
        </w:rPr>
        <w:tab/>
      </w:r>
      <w:r w:rsidR="00DE45BB">
        <w:rPr>
          <w:szCs w:val="24"/>
        </w:rPr>
        <w:t xml:space="preserve">The Fifth Respondent [SAPA], </w:t>
      </w:r>
      <w:r w:rsidR="00F01229">
        <w:rPr>
          <w:szCs w:val="24"/>
        </w:rPr>
        <w:t xml:space="preserve">is </w:t>
      </w:r>
      <w:r w:rsidR="00DE45BB">
        <w:rPr>
          <w:szCs w:val="24"/>
        </w:rPr>
        <w:t>an association who represents the poultry industry in South Africa</w:t>
      </w:r>
      <w:r w:rsidR="00FF021A">
        <w:rPr>
          <w:szCs w:val="24"/>
        </w:rPr>
        <w:t>. SAPA was instrumental in</w:t>
      </w:r>
      <w:r w:rsidR="00803CE6">
        <w:rPr>
          <w:szCs w:val="24"/>
        </w:rPr>
        <w:t xml:space="preserve"> </w:t>
      </w:r>
      <w:r w:rsidR="00FF021A">
        <w:rPr>
          <w:szCs w:val="24"/>
        </w:rPr>
        <w:t>achieving t</w:t>
      </w:r>
      <w:r w:rsidR="00362AFC">
        <w:rPr>
          <w:szCs w:val="24"/>
        </w:rPr>
        <w:t xml:space="preserve">he initial imposition </w:t>
      </w:r>
      <w:r w:rsidR="00FF021A">
        <w:rPr>
          <w:szCs w:val="24"/>
        </w:rPr>
        <w:t>and</w:t>
      </w:r>
      <w:r w:rsidR="00C71214">
        <w:rPr>
          <w:szCs w:val="24"/>
        </w:rPr>
        <w:t xml:space="preserve"> its </w:t>
      </w:r>
      <w:r w:rsidR="00803CE6">
        <w:rPr>
          <w:szCs w:val="24"/>
        </w:rPr>
        <w:t>application</w:t>
      </w:r>
      <w:r w:rsidR="00C71214">
        <w:rPr>
          <w:szCs w:val="24"/>
        </w:rPr>
        <w:t xml:space="preserve"> </w:t>
      </w:r>
      <w:r w:rsidR="00FF021A">
        <w:rPr>
          <w:szCs w:val="24"/>
        </w:rPr>
        <w:t xml:space="preserve">triggered </w:t>
      </w:r>
      <w:r w:rsidR="005A5A73">
        <w:rPr>
          <w:szCs w:val="24"/>
        </w:rPr>
        <w:t>the sunset review</w:t>
      </w:r>
      <w:r w:rsidR="00C71214">
        <w:rPr>
          <w:szCs w:val="24"/>
        </w:rPr>
        <w:t>.</w:t>
      </w:r>
      <w:r w:rsidR="00FF021A">
        <w:rPr>
          <w:szCs w:val="24"/>
        </w:rPr>
        <w:t xml:space="preserve"> </w:t>
      </w:r>
    </w:p>
    <w:p w14:paraId="02783D26" w14:textId="32758E5A" w:rsidR="00DE45BB" w:rsidRPr="00723CD9" w:rsidRDefault="0027466D" w:rsidP="0027466D">
      <w:pPr>
        <w:pStyle w:val="RetiefPleadingpara1"/>
        <w:numPr>
          <w:ilvl w:val="0"/>
          <w:numId w:val="0"/>
        </w:numPr>
        <w:tabs>
          <w:tab w:val="left" w:pos="851"/>
        </w:tabs>
        <w:spacing w:before="480" w:after="480"/>
        <w:rPr>
          <w:szCs w:val="24"/>
        </w:rPr>
      </w:pPr>
      <w:r w:rsidRPr="00723CD9">
        <w:rPr>
          <w:szCs w:val="24"/>
        </w:rPr>
        <w:t>[7]</w:t>
      </w:r>
      <w:r w:rsidRPr="00723CD9">
        <w:rPr>
          <w:szCs w:val="24"/>
        </w:rPr>
        <w:tab/>
      </w:r>
      <w:r w:rsidR="00362AFC">
        <w:rPr>
          <w:szCs w:val="24"/>
        </w:rPr>
        <w:t>ITAC</w:t>
      </w:r>
      <w:r w:rsidR="00A921E3">
        <w:rPr>
          <w:szCs w:val="24"/>
        </w:rPr>
        <w:t>,</w:t>
      </w:r>
      <w:r w:rsidR="00362AFC">
        <w:rPr>
          <w:szCs w:val="24"/>
        </w:rPr>
        <w:t xml:space="preserve"> SAPA</w:t>
      </w:r>
      <w:r w:rsidR="00A921E3">
        <w:rPr>
          <w:szCs w:val="24"/>
        </w:rPr>
        <w:t xml:space="preserve"> and</w:t>
      </w:r>
      <w:r w:rsidR="00362AFC">
        <w:rPr>
          <w:szCs w:val="24"/>
        </w:rPr>
        <w:t xml:space="preserve"> the Trade Minister</w:t>
      </w:r>
      <w:r w:rsidR="00803CE6">
        <w:rPr>
          <w:szCs w:val="24"/>
        </w:rPr>
        <w:t xml:space="preserve"> </w:t>
      </w:r>
      <w:r w:rsidR="00362AFC">
        <w:rPr>
          <w:szCs w:val="24"/>
        </w:rPr>
        <w:t>oppose AMIE’s relief.</w:t>
      </w:r>
    </w:p>
    <w:p w14:paraId="358EDD1A" w14:textId="2D6FBB6A" w:rsidR="00DE45BB" w:rsidRDefault="0027466D" w:rsidP="0027466D">
      <w:pPr>
        <w:pStyle w:val="RetiefPleadingpara1"/>
        <w:numPr>
          <w:ilvl w:val="0"/>
          <w:numId w:val="0"/>
        </w:numPr>
        <w:tabs>
          <w:tab w:val="left" w:pos="851"/>
        </w:tabs>
        <w:spacing w:before="480" w:after="480"/>
        <w:rPr>
          <w:color w:val="000000" w:themeColor="text1"/>
          <w:szCs w:val="24"/>
        </w:rPr>
      </w:pPr>
      <w:r>
        <w:rPr>
          <w:szCs w:val="24"/>
        </w:rPr>
        <w:t>[8]</w:t>
      </w:r>
      <w:r>
        <w:rPr>
          <w:szCs w:val="24"/>
        </w:rPr>
        <w:tab/>
      </w:r>
      <w:r w:rsidR="00362AFC">
        <w:rPr>
          <w:color w:val="000000" w:themeColor="text1"/>
          <w:szCs w:val="24"/>
        </w:rPr>
        <w:t xml:space="preserve">The Finance Minister and the Fourth Respondent [SARS] </w:t>
      </w:r>
      <w:r w:rsidR="00F01229">
        <w:rPr>
          <w:color w:val="000000" w:themeColor="text1"/>
          <w:szCs w:val="24"/>
        </w:rPr>
        <w:t xml:space="preserve">have not </w:t>
      </w:r>
      <w:r w:rsidR="009A3892">
        <w:rPr>
          <w:color w:val="000000" w:themeColor="text1"/>
          <w:szCs w:val="24"/>
        </w:rPr>
        <w:t>filed opposing</w:t>
      </w:r>
      <w:r w:rsidR="00F01229">
        <w:rPr>
          <w:color w:val="000000" w:themeColor="text1"/>
          <w:szCs w:val="24"/>
        </w:rPr>
        <w:t xml:space="preserve"> papers, </w:t>
      </w:r>
      <w:r w:rsidR="00362AFC">
        <w:rPr>
          <w:color w:val="000000" w:themeColor="text1"/>
          <w:szCs w:val="24"/>
        </w:rPr>
        <w:t>the Finance Minister</w:t>
      </w:r>
      <w:r w:rsidR="00803CE6">
        <w:rPr>
          <w:color w:val="000000" w:themeColor="text1"/>
          <w:szCs w:val="24"/>
        </w:rPr>
        <w:t xml:space="preserve"> however, </w:t>
      </w:r>
      <w:r w:rsidR="00362AFC">
        <w:rPr>
          <w:color w:val="000000" w:themeColor="text1"/>
          <w:szCs w:val="24"/>
        </w:rPr>
        <w:t>serv</w:t>
      </w:r>
      <w:r w:rsidR="00FF021A">
        <w:rPr>
          <w:color w:val="000000" w:themeColor="text1"/>
          <w:szCs w:val="24"/>
        </w:rPr>
        <w:t>ed</w:t>
      </w:r>
      <w:r w:rsidR="00362AFC">
        <w:rPr>
          <w:color w:val="000000" w:themeColor="text1"/>
          <w:szCs w:val="24"/>
        </w:rPr>
        <w:t xml:space="preserve"> a notice to abide.</w:t>
      </w:r>
    </w:p>
    <w:p w14:paraId="375D9F95" w14:textId="52ACF71D" w:rsidR="00D265F9" w:rsidRPr="00362AFC" w:rsidRDefault="00362AFC" w:rsidP="009472CC">
      <w:pPr>
        <w:pStyle w:val="RetiefPleadingpara1"/>
        <w:numPr>
          <w:ilvl w:val="0"/>
          <w:numId w:val="0"/>
        </w:numPr>
        <w:spacing w:before="480" w:after="480"/>
        <w:rPr>
          <w:b/>
          <w:bCs/>
          <w:szCs w:val="24"/>
          <w:u w:val="single"/>
        </w:rPr>
      </w:pPr>
      <w:r>
        <w:rPr>
          <w:b/>
          <w:bCs/>
          <w:szCs w:val="24"/>
          <w:u w:val="single"/>
        </w:rPr>
        <w:lastRenderedPageBreak/>
        <w:t>BACKGROUND</w:t>
      </w:r>
      <w:r w:rsidR="006757D1">
        <w:rPr>
          <w:b/>
          <w:bCs/>
          <w:szCs w:val="24"/>
          <w:u w:val="single"/>
        </w:rPr>
        <w:t xml:space="preserve"> AND</w:t>
      </w:r>
      <w:r w:rsidR="00803CE6">
        <w:rPr>
          <w:b/>
          <w:bCs/>
          <w:szCs w:val="24"/>
          <w:u w:val="single"/>
        </w:rPr>
        <w:t xml:space="preserve"> </w:t>
      </w:r>
      <w:r w:rsidR="006757D1">
        <w:rPr>
          <w:b/>
          <w:bCs/>
          <w:szCs w:val="24"/>
          <w:u w:val="single"/>
        </w:rPr>
        <w:t>LEGISLATIVE FRAMEWORK</w:t>
      </w:r>
      <w:r>
        <w:rPr>
          <w:b/>
          <w:bCs/>
          <w:szCs w:val="24"/>
          <w:u w:val="single"/>
        </w:rPr>
        <w:t xml:space="preserve"> </w:t>
      </w:r>
    </w:p>
    <w:p w14:paraId="04BDC6DB" w14:textId="3105252B" w:rsidR="00FF021A" w:rsidRDefault="0027466D" w:rsidP="0027466D">
      <w:pPr>
        <w:pStyle w:val="RetiefPleadingpara1"/>
        <w:numPr>
          <w:ilvl w:val="0"/>
          <w:numId w:val="0"/>
        </w:numPr>
        <w:tabs>
          <w:tab w:val="left" w:pos="851"/>
        </w:tabs>
        <w:spacing w:before="480" w:after="480"/>
        <w:rPr>
          <w:szCs w:val="24"/>
        </w:rPr>
      </w:pPr>
      <w:r>
        <w:rPr>
          <w:szCs w:val="24"/>
        </w:rPr>
        <w:t>[9]</w:t>
      </w:r>
      <w:r>
        <w:rPr>
          <w:szCs w:val="24"/>
        </w:rPr>
        <w:tab/>
      </w:r>
      <w:r w:rsidR="00FF021A">
        <w:rPr>
          <w:szCs w:val="24"/>
        </w:rPr>
        <w:t xml:space="preserve">The </w:t>
      </w:r>
      <w:r w:rsidR="00883A50">
        <w:rPr>
          <w:szCs w:val="24"/>
        </w:rPr>
        <w:t>subject</w:t>
      </w:r>
      <w:r w:rsidR="00FF021A">
        <w:rPr>
          <w:szCs w:val="24"/>
        </w:rPr>
        <w:t xml:space="preserve"> matter of th</w:t>
      </w:r>
      <w:r w:rsidR="00C71214">
        <w:rPr>
          <w:szCs w:val="24"/>
        </w:rPr>
        <w:t>e review</w:t>
      </w:r>
      <w:r w:rsidR="00FF021A">
        <w:rPr>
          <w:szCs w:val="24"/>
        </w:rPr>
        <w:t xml:space="preserve"> </w:t>
      </w:r>
      <w:r w:rsidR="00883A50">
        <w:rPr>
          <w:szCs w:val="24"/>
        </w:rPr>
        <w:t xml:space="preserve">essentially deals with </w:t>
      </w:r>
      <w:r w:rsidR="0047232B">
        <w:rPr>
          <w:szCs w:val="24"/>
        </w:rPr>
        <w:t xml:space="preserve">the ‘manipulation’ of economic activity within the poultry industry by </w:t>
      </w:r>
      <w:r w:rsidR="00883A50">
        <w:rPr>
          <w:szCs w:val="24"/>
        </w:rPr>
        <w:t xml:space="preserve">preventing </w:t>
      </w:r>
      <w:r w:rsidR="00883A50" w:rsidRPr="00DE45BB">
        <w:rPr>
          <w:szCs w:val="24"/>
        </w:rPr>
        <w:t xml:space="preserve">Germany, the </w:t>
      </w:r>
      <w:r w:rsidR="0077544E" w:rsidRPr="00DE45BB">
        <w:rPr>
          <w:szCs w:val="24"/>
        </w:rPr>
        <w:t>Netherlands,</w:t>
      </w:r>
      <w:r w:rsidR="00883A50" w:rsidRPr="00DE45BB">
        <w:rPr>
          <w:szCs w:val="24"/>
        </w:rPr>
        <w:t xml:space="preserve"> and the United Kingdom</w:t>
      </w:r>
      <w:r w:rsidR="00883A50">
        <w:rPr>
          <w:szCs w:val="24"/>
        </w:rPr>
        <w:t xml:space="preserve"> from </w:t>
      </w:r>
      <w:r w:rsidR="00FF021A">
        <w:rPr>
          <w:szCs w:val="24"/>
        </w:rPr>
        <w:t xml:space="preserve">dumping the product </w:t>
      </w:r>
      <w:r w:rsidR="0077544E">
        <w:rPr>
          <w:szCs w:val="24"/>
        </w:rPr>
        <w:t>into South</w:t>
      </w:r>
      <w:r w:rsidR="00FF021A">
        <w:rPr>
          <w:szCs w:val="24"/>
        </w:rPr>
        <w:t xml:space="preserve"> Africa’s established </w:t>
      </w:r>
      <w:r w:rsidR="00883A50">
        <w:rPr>
          <w:szCs w:val="24"/>
        </w:rPr>
        <w:t xml:space="preserve">poultry </w:t>
      </w:r>
      <w:r w:rsidR="00FF021A">
        <w:rPr>
          <w:szCs w:val="24"/>
        </w:rPr>
        <w:t>market</w:t>
      </w:r>
      <w:r w:rsidR="00883A50">
        <w:rPr>
          <w:szCs w:val="24"/>
        </w:rPr>
        <w:t xml:space="preserve"> without consequences</w:t>
      </w:r>
      <w:r w:rsidR="00FF021A" w:rsidRPr="00DE45BB">
        <w:rPr>
          <w:szCs w:val="24"/>
        </w:rPr>
        <w:t>.</w:t>
      </w:r>
      <w:r w:rsidR="00FF021A">
        <w:rPr>
          <w:szCs w:val="24"/>
        </w:rPr>
        <w:t xml:space="preserve"> </w:t>
      </w:r>
      <w:r w:rsidR="00883A50">
        <w:rPr>
          <w:szCs w:val="24"/>
        </w:rPr>
        <w:t>By d</w:t>
      </w:r>
      <w:r w:rsidR="00FF021A">
        <w:rPr>
          <w:szCs w:val="24"/>
        </w:rPr>
        <w:t xml:space="preserve">umping </w:t>
      </w:r>
      <w:r w:rsidR="00883A50">
        <w:rPr>
          <w:szCs w:val="24"/>
        </w:rPr>
        <w:t>one generally refers to</w:t>
      </w:r>
      <w:r w:rsidR="00FF021A">
        <w:rPr>
          <w:szCs w:val="24"/>
        </w:rPr>
        <w:t xml:space="preserve"> the introduction of goods into the commerce of a country or its common customs area at an export price less than the normal value of those goods in the country of origin. According to the General Agreement on Tariffs and Trade of 1947 [GATT]</w:t>
      </w:r>
      <w:r w:rsidR="001325A4">
        <w:rPr>
          <w:szCs w:val="24"/>
        </w:rPr>
        <w:t xml:space="preserve">, </w:t>
      </w:r>
      <w:r w:rsidR="007A779F">
        <w:rPr>
          <w:szCs w:val="24"/>
        </w:rPr>
        <w:t xml:space="preserve">of which South Africa is a signatory, </w:t>
      </w:r>
      <w:r w:rsidR="00FF021A">
        <w:rPr>
          <w:szCs w:val="24"/>
        </w:rPr>
        <w:t>dumping is to be condemned if it causes or threatens material injury to an established industry in the territory of a contracting party or if it materially retards the establishment of a domestic industry.</w:t>
      </w:r>
      <w:r w:rsidR="00FF021A">
        <w:rPr>
          <w:rStyle w:val="FootnoteReference"/>
          <w:szCs w:val="24"/>
        </w:rPr>
        <w:footnoteReference w:id="1"/>
      </w:r>
    </w:p>
    <w:p w14:paraId="2C0147B2" w14:textId="5D0C0413" w:rsidR="00FF021A" w:rsidRDefault="0027466D" w:rsidP="0027466D">
      <w:pPr>
        <w:pStyle w:val="RetiefPleadingpara1"/>
        <w:numPr>
          <w:ilvl w:val="0"/>
          <w:numId w:val="0"/>
        </w:numPr>
        <w:tabs>
          <w:tab w:val="left" w:pos="851"/>
        </w:tabs>
        <w:spacing w:before="480" w:after="480"/>
        <w:rPr>
          <w:szCs w:val="24"/>
        </w:rPr>
      </w:pPr>
      <w:r>
        <w:rPr>
          <w:szCs w:val="24"/>
        </w:rPr>
        <w:t>[10]</w:t>
      </w:r>
      <w:r>
        <w:rPr>
          <w:szCs w:val="24"/>
        </w:rPr>
        <w:tab/>
      </w:r>
      <w:r w:rsidR="00FF021A">
        <w:rPr>
          <w:szCs w:val="24"/>
        </w:rPr>
        <w:t>In</w:t>
      </w:r>
      <w:r w:rsidR="001325A4">
        <w:rPr>
          <w:szCs w:val="24"/>
        </w:rPr>
        <w:t xml:space="preserve"> </w:t>
      </w:r>
      <w:r w:rsidR="00FF021A">
        <w:rPr>
          <w:szCs w:val="24"/>
        </w:rPr>
        <w:t xml:space="preserve">circumstances of harm or </w:t>
      </w:r>
      <w:r w:rsidR="001325A4">
        <w:rPr>
          <w:szCs w:val="24"/>
        </w:rPr>
        <w:t>in the l</w:t>
      </w:r>
      <w:r w:rsidR="00FF021A">
        <w:rPr>
          <w:szCs w:val="24"/>
        </w:rPr>
        <w:t>ikelihood thereof, anti-dumping duties are permissibl</w:t>
      </w:r>
      <w:r w:rsidR="00FF021A" w:rsidRPr="007A779F">
        <w:rPr>
          <w:color w:val="000000" w:themeColor="text1"/>
          <w:szCs w:val="24"/>
        </w:rPr>
        <w:t>y raised on such offending goods</w:t>
      </w:r>
      <w:r w:rsidR="001325A4" w:rsidRPr="007A779F">
        <w:rPr>
          <w:color w:val="000000" w:themeColor="text1"/>
          <w:szCs w:val="24"/>
        </w:rPr>
        <w:t xml:space="preserve">. Permissible </w:t>
      </w:r>
      <w:r w:rsidR="00FF021A" w:rsidRPr="007A779F">
        <w:rPr>
          <w:color w:val="000000" w:themeColor="text1"/>
          <w:szCs w:val="24"/>
        </w:rPr>
        <w:t xml:space="preserve">in terms of </w:t>
      </w:r>
      <w:r w:rsidR="0047232B" w:rsidRPr="007A779F">
        <w:rPr>
          <w:color w:val="000000" w:themeColor="text1"/>
          <w:szCs w:val="24"/>
        </w:rPr>
        <w:t>GATT</w:t>
      </w:r>
      <w:r w:rsidR="00FF021A" w:rsidRPr="007A779F">
        <w:rPr>
          <w:color w:val="000000" w:themeColor="text1"/>
          <w:szCs w:val="24"/>
        </w:rPr>
        <w:t xml:space="preserve"> and under </w:t>
      </w:r>
      <w:r w:rsidR="00FF021A">
        <w:rPr>
          <w:szCs w:val="24"/>
        </w:rPr>
        <w:t>our municipal law. The municipal law referred to is the International Tr</w:t>
      </w:r>
      <w:r w:rsidR="00235F77">
        <w:rPr>
          <w:szCs w:val="24"/>
        </w:rPr>
        <w:t>a</w:t>
      </w:r>
      <w:r w:rsidR="00FF021A">
        <w:rPr>
          <w:szCs w:val="24"/>
        </w:rPr>
        <w:t xml:space="preserve">de Administration Act 71 of 2002 [ITA Act] and its regulations. One of </w:t>
      </w:r>
      <w:r w:rsidR="006D413A">
        <w:rPr>
          <w:szCs w:val="24"/>
        </w:rPr>
        <w:t>the</w:t>
      </w:r>
      <w:r w:rsidR="001325A4">
        <w:rPr>
          <w:szCs w:val="24"/>
        </w:rPr>
        <w:t xml:space="preserve"> </w:t>
      </w:r>
      <w:r w:rsidR="00FF021A">
        <w:rPr>
          <w:szCs w:val="24"/>
        </w:rPr>
        <w:t xml:space="preserve">objects </w:t>
      </w:r>
      <w:r w:rsidR="001325A4">
        <w:rPr>
          <w:szCs w:val="24"/>
        </w:rPr>
        <w:t xml:space="preserve">of the ITA Act </w:t>
      </w:r>
      <w:r w:rsidR="00FF021A">
        <w:rPr>
          <w:szCs w:val="24"/>
        </w:rPr>
        <w:t>is to provide for the control of the import of goods, and for the amendment of custom duties.</w:t>
      </w:r>
      <w:r w:rsidR="006D413A">
        <w:rPr>
          <w:szCs w:val="24"/>
        </w:rPr>
        <w:t xml:space="preserve"> Anti-dumping duties are</w:t>
      </w:r>
      <w:r w:rsidR="00FF021A">
        <w:rPr>
          <w:szCs w:val="24"/>
        </w:rPr>
        <w:t xml:space="preserve"> levied</w:t>
      </w:r>
      <w:r w:rsidR="006D413A">
        <w:rPr>
          <w:szCs w:val="24"/>
        </w:rPr>
        <w:t xml:space="preserve"> on such goods. Such duties are</w:t>
      </w:r>
      <w:r w:rsidR="00FF021A">
        <w:rPr>
          <w:szCs w:val="24"/>
        </w:rPr>
        <w:t xml:space="preserve"> subject to ministerial amendment from time to time following a process which commences with an issued recommendation by ITAC.</w:t>
      </w:r>
      <w:r w:rsidR="00FF021A">
        <w:rPr>
          <w:rStyle w:val="FootnoteReference"/>
          <w:szCs w:val="24"/>
        </w:rPr>
        <w:footnoteReference w:id="2"/>
      </w:r>
      <w:r w:rsidR="00FF021A">
        <w:rPr>
          <w:szCs w:val="24"/>
        </w:rPr>
        <w:t xml:space="preserve"> </w:t>
      </w:r>
    </w:p>
    <w:p w14:paraId="4D5A6054" w14:textId="19D00993" w:rsidR="00E52995" w:rsidRDefault="0027466D" w:rsidP="0027466D">
      <w:pPr>
        <w:pStyle w:val="RetiefPleadingpara1"/>
        <w:numPr>
          <w:ilvl w:val="0"/>
          <w:numId w:val="0"/>
        </w:numPr>
        <w:tabs>
          <w:tab w:val="left" w:pos="851"/>
        </w:tabs>
        <w:spacing w:before="480" w:after="480"/>
        <w:rPr>
          <w:szCs w:val="24"/>
        </w:rPr>
      </w:pPr>
      <w:r>
        <w:rPr>
          <w:szCs w:val="24"/>
        </w:rPr>
        <w:lastRenderedPageBreak/>
        <w:t>[11]</w:t>
      </w:r>
      <w:r>
        <w:rPr>
          <w:szCs w:val="24"/>
        </w:rPr>
        <w:tab/>
      </w:r>
      <w:r w:rsidR="00FF021A">
        <w:rPr>
          <w:szCs w:val="24"/>
        </w:rPr>
        <w:t>T</w:t>
      </w:r>
      <w:r w:rsidR="00362AFC">
        <w:rPr>
          <w:szCs w:val="24"/>
        </w:rPr>
        <w:t xml:space="preserve">he use of </w:t>
      </w:r>
      <w:r w:rsidR="006459B0">
        <w:rPr>
          <w:szCs w:val="24"/>
        </w:rPr>
        <w:t>a tariff</w:t>
      </w:r>
      <w:r w:rsidR="00362AFC">
        <w:rPr>
          <w:szCs w:val="24"/>
        </w:rPr>
        <w:t xml:space="preserve"> </w:t>
      </w:r>
      <w:r w:rsidR="00FF021A">
        <w:rPr>
          <w:szCs w:val="24"/>
        </w:rPr>
        <w:t xml:space="preserve">becomes </w:t>
      </w:r>
      <w:r w:rsidR="00362AFC">
        <w:rPr>
          <w:szCs w:val="24"/>
        </w:rPr>
        <w:t>a potent instrument to manipulate economic activity</w:t>
      </w:r>
      <w:r w:rsidR="00050073">
        <w:rPr>
          <w:szCs w:val="24"/>
        </w:rPr>
        <w:t>.</w:t>
      </w:r>
      <w:r w:rsidR="00362AFC">
        <w:rPr>
          <w:rStyle w:val="FootnoteReference"/>
          <w:szCs w:val="24"/>
        </w:rPr>
        <w:footnoteReference w:id="3"/>
      </w:r>
      <w:r w:rsidR="00362AFC">
        <w:rPr>
          <w:szCs w:val="24"/>
        </w:rPr>
        <w:t xml:space="preserve"> </w:t>
      </w:r>
      <w:r w:rsidR="00050073">
        <w:rPr>
          <w:szCs w:val="24"/>
        </w:rPr>
        <w:t xml:space="preserve">Consequently, the necessity </w:t>
      </w:r>
      <w:r w:rsidR="00FF021A">
        <w:rPr>
          <w:szCs w:val="24"/>
        </w:rPr>
        <w:t xml:space="preserve">to gain insight into </w:t>
      </w:r>
      <w:r w:rsidR="0047232B">
        <w:rPr>
          <w:szCs w:val="24"/>
        </w:rPr>
        <w:t xml:space="preserve">the need for </w:t>
      </w:r>
      <w:r w:rsidR="00362AFC">
        <w:rPr>
          <w:szCs w:val="24"/>
        </w:rPr>
        <w:t xml:space="preserve">ministerial </w:t>
      </w:r>
      <w:r w:rsidR="0066501E">
        <w:rPr>
          <w:szCs w:val="24"/>
        </w:rPr>
        <w:t>amendments</w:t>
      </w:r>
      <w:r w:rsidR="00362AFC">
        <w:rPr>
          <w:szCs w:val="24"/>
        </w:rPr>
        <w:t xml:space="preserve"> to the </w:t>
      </w:r>
      <w:r w:rsidR="00050073">
        <w:rPr>
          <w:szCs w:val="24"/>
        </w:rPr>
        <w:t>S</w:t>
      </w:r>
      <w:r w:rsidR="00362AFC">
        <w:rPr>
          <w:szCs w:val="24"/>
        </w:rPr>
        <w:t xml:space="preserve">chedules of the Customs Act and the importance of a lawful administrative process to achieve </w:t>
      </w:r>
      <w:r w:rsidR="00FF021A">
        <w:rPr>
          <w:szCs w:val="24"/>
        </w:rPr>
        <w:t xml:space="preserve">it, </w:t>
      </w:r>
      <w:r w:rsidR="00050073">
        <w:rPr>
          <w:szCs w:val="24"/>
        </w:rPr>
        <w:t>becomes apparent</w:t>
      </w:r>
      <w:r w:rsidR="0047232B">
        <w:rPr>
          <w:szCs w:val="24"/>
        </w:rPr>
        <w:t>.</w:t>
      </w:r>
    </w:p>
    <w:p w14:paraId="4C81003F" w14:textId="0F6466FF" w:rsidR="002F7333" w:rsidRPr="00362AFC" w:rsidRDefault="0027466D" w:rsidP="0027466D">
      <w:pPr>
        <w:pStyle w:val="RetiefPleadingpara1"/>
        <w:numPr>
          <w:ilvl w:val="0"/>
          <w:numId w:val="0"/>
        </w:numPr>
        <w:tabs>
          <w:tab w:val="left" w:pos="851"/>
        </w:tabs>
        <w:spacing w:before="480" w:after="480"/>
        <w:rPr>
          <w:szCs w:val="24"/>
        </w:rPr>
      </w:pPr>
      <w:r w:rsidRPr="00362AFC">
        <w:rPr>
          <w:szCs w:val="24"/>
        </w:rPr>
        <w:t>[12]</w:t>
      </w:r>
      <w:r w:rsidRPr="00362AFC">
        <w:rPr>
          <w:szCs w:val="24"/>
        </w:rPr>
        <w:tab/>
      </w:r>
      <w:r w:rsidR="00050073">
        <w:rPr>
          <w:szCs w:val="24"/>
        </w:rPr>
        <w:t xml:space="preserve">To advance such insight, </w:t>
      </w:r>
      <w:r w:rsidR="00FF021A">
        <w:rPr>
          <w:szCs w:val="24"/>
        </w:rPr>
        <w:t xml:space="preserve">I consider </w:t>
      </w:r>
      <w:r w:rsidR="00362AFC">
        <w:rPr>
          <w:szCs w:val="24"/>
        </w:rPr>
        <w:t>the apt</w:t>
      </w:r>
      <w:r w:rsidR="006D413A">
        <w:rPr>
          <w:szCs w:val="24"/>
        </w:rPr>
        <w:t xml:space="preserve"> </w:t>
      </w:r>
      <w:r w:rsidR="00362AFC">
        <w:rPr>
          <w:szCs w:val="24"/>
        </w:rPr>
        <w:t xml:space="preserve">description </w:t>
      </w:r>
      <w:r w:rsidR="00050073">
        <w:rPr>
          <w:szCs w:val="24"/>
        </w:rPr>
        <w:t xml:space="preserve">of the process pencilled </w:t>
      </w:r>
      <w:r w:rsidR="00362AFC">
        <w:rPr>
          <w:szCs w:val="24"/>
        </w:rPr>
        <w:t>by t</w:t>
      </w:r>
      <w:r w:rsidR="00E52995" w:rsidRPr="00362AFC">
        <w:rPr>
          <w:szCs w:val="24"/>
        </w:rPr>
        <w:t>he</w:t>
      </w:r>
      <w:r w:rsidR="002F7333" w:rsidRPr="00362AFC">
        <w:rPr>
          <w:szCs w:val="24"/>
        </w:rPr>
        <w:t xml:space="preserve"> Constitutional Court</w:t>
      </w:r>
      <w:r w:rsidR="00E52995" w:rsidRPr="00362AFC">
        <w:rPr>
          <w:szCs w:val="24"/>
        </w:rPr>
        <w:t xml:space="preserve"> </w:t>
      </w:r>
      <w:r w:rsidR="00362AFC">
        <w:rPr>
          <w:szCs w:val="24"/>
        </w:rPr>
        <w:t xml:space="preserve">[CC] </w:t>
      </w:r>
      <w:r w:rsidR="002F7333" w:rsidRPr="00362AFC">
        <w:rPr>
          <w:szCs w:val="24"/>
        </w:rPr>
        <w:t xml:space="preserve">in </w:t>
      </w:r>
      <w:r w:rsidR="002F7333" w:rsidRPr="00362AFC">
        <w:rPr>
          <w:b/>
          <w:bCs/>
          <w:szCs w:val="24"/>
        </w:rPr>
        <w:t>International Trade Administration Commission v SCAW South Africa (Pty) Ltd</w:t>
      </w:r>
      <w:r w:rsidR="002F7333">
        <w:rPr>
          <w:rStyle w:val="FootnoteReference"/>
          <w:szCs w:val="24"/>
        </w:rPr>
        <w:footnoteReference w:id="4"/>
      </w:r>
      <w:r w:rsidR="002F7333" w:rsidRPr="00362AFC">
        <w:rPr>
          <w:b/>
          <w:bCs/>
          <w:szCs w:val="24"/>
        </w:rPr>
        <w:t xml:space="preserve"> </w:t>
      </w:r>
      <w:r w:rsidR="006D413A" w:rsidRPr="00832139">
        <w:rPr>
          <w:szCs w:val="24"/>
        </w:rPr>
        <w:t>as regulated by the ITA Act</w:t>
      </w:r>
      <w:r w:rsidR="006D413A">
        <w:rPr>
          <w:b/>
          <w:bCs/>
          <w:szCs w:val="24"/>
        </w:rPr>
        <w:t xml:space="preserve"> </w:t>
      </w:r>
      <w:r w:rsidR="00362AFC">
        <w:rPr>
          <w:szCs w:val="24"/>
        </w:rPr>
        <w:t>when they</w:t>
      </w:r>
      <w:r w:rsidR="00E52995" w:rsidRPr="00362AFC">
        <w:rPr>
          <w:szCs w:val="24"/>
        </w:rPr>
        <w:t xml:space="preserve"> stat</w:t>
      </w:r>
      <w:r w:rsidR="00362AFC">
        <w:rPr>
          <w:szCs w:val="24"/>
        </w:rPr>
        <w:t>e</w:t>
      </w:r>
      <w:r w:rsidR="006D413A">
        <w:rPr>
          <w:szCs w:val="24"/>
        </w:rPr>
        <w:t>d</w:t>
      </w:r>
      <w:r w:rsidR="002F7333" w:rsidRPr="00362AFC">
        <w:rPr>
          <w:szCs w:val="24"/>
        </w:rPr>
        <w:t>:</w:t>
      </w:r>
    </w:p>
    <w:p w14:paraId="66272BA5" w14:textId="390305FD" w:rsidR="00251A93" w:rsidRPr="005E68CE" w:rsidRDefault="00172F44" w:rsidP="009472CC">
      <w:pPr>
        <w:pStyle w:val="RetiefPleadingpara1"/>
        <w:numPr>
          <w:ilvl w:val="0"/>
          <w:numId w:val="0"/>
        </w:numPr>
        <w:tabs>
          <w:tab w:val="left" w:pos="1418"/>
        </w:tabs>
        <w:spacing w:before="480" w:after="480"/>
        <w:ind w:left="1418" w:hanging="567"/>
        <w:rPr>
          <w:i/>
          <w:iCs/>
          <w:szCs w:val="24"/>
        </w:rPr>
      </w:pPr>
      <w:r>
        <w:rPr>
          <w:szCs w:val="24"/>
        </w:rPr>
        <w:t>“</w:t>
      </w:r>
      <w:r w:rsidR="005E68CE" w:rsidRPr="005E68CE">
        <w:rPr>
          <w:i/>
          <w:iCs/>
          <w:szCs w:val="24"/>
        </w:rPr>
        <w:t>1.</w:t>
      </w:r>
      <w:r w:rsidR="005E68CE" w:rsidRPr="005E68CE">
        <w:rPr>
          <w:i/>
          <w:iCs/>
          <w:szCs w:val="24"/>
        </w:rPr>
        <w:tab/>
      </w:r>
      <w:r w:rsidR="00D4396F" w:rsidRPr="005E68CE">
        <w:rPr>
          <w:i/>
          <w:iCs/>
          <w:szCs w:val="24"/>
        </w:rPr>
        <w:t>In the p</w:t>
      </w:r>
      <w:r w:rsidRPr="005E68CE">
        <w:rPr>
          <w:i/>
          <w:iCs/>
          <w:szCs w:val="24"/>
        </w:rPr>
        <w:t>arlance</w:t>
      </w:r>
      <w:r w:rsidR="00D4396F" w:rsidRPr="005E68CE">
        <w:rPr>
          <w:i/>
          <w:iCs/>
          <w:szCs w:val="24"/>
        </w:rPr>
        <w:t xml:space="preserve"> of international trade, dumping means the introduction of goods into the commerce of a country or its common customs area at an export price </w:t>
      </w:r>
      <w:r w:rsidR="00F564DA" w:rsidRPr="005E68CE">
        <w:rPr>
          <w:i/>
          <w:iCs/>
          <w:szCs w:val="24"/>
        </w:rPr>
        <w:t xml:space="preserve">less than the normal value of those goods. An international agreement binding on the Republic and so too our municipal law regulates dumping that harms or is likely to harm domestic trade and industry. At both levels, it is permissible to impose anti-dumping duties on offending export goods. Anti-dumping duties are harnessed to counteract or reduce harmful dumping and other adverse trade practices. </w:t>
      </w:r>
    </w:p>
    <w:p w14:paraId="64BAB7FC" w14:textId="1EBA8A63" w:rsidR="00F564DA" w:rsidRPr="005E68CE" w:rsidRDefault="005E68CE" w:rsidP="009472CC">
      <w:pPr>
        <w:pStyle w:val="RetiefPleadingpara1"/>
        <w:numPr>
          <w:ilvl w:val="0"/>
          <w:numId w:val="0"/>
        </w:numPr>
        <w:tabs>
          <w:tab w:val="left" w:pos="1418"/>
        </w:tabs>
        <w:spacing w:before="480" w:after="480"/>
        <w:ind w:left="1418" w:hanging="567"/>
        <w:rPr>
          <w:i/>
          <w:iCs/>
          <w:szCs w:val="24"/>
        </w:rPr>
      </w:pPr>
      <w:r w:rsidRPr="005E68CE">
        <w:rPr>
          <w:i/>
          <w:iCs/>
          <w:szCs w:val="24"/>
        </w:rPr>
        <w:t>2.</w:t>
      </w:r>
      <w:r w:rsidRPr="005E68CE">
        <w:rPr>
          <w:i/>
          <w:iCs/>
          <w:szCs w:val="24"/>
        </w:rPr>
        <w:tab/>
      </w:r>
      <w:r w:rsidR="00F564DA" w:rsidRPr="005E68CE">
        <w:rPr>
          <w:i/>
          <w:iCs/>
          <w:szCs w:val="24"/>
        </w:rPr>
        <w:t>South Africa is a member of the World Trade Organization (WTO). Its international obligations on the tariff and trade arise from the WTO agreement on implementation of Article VI of</w:t>
      </w:r>
      <w:r w:rsidR="004F1E14" w:rsidRPr="005E68CE">
        <w:rPr>
          <w:i/>
          <w:iCs/>
          <w:szCs w:val="24"/>
        </w:rPr>
        <w:t xml:space="preserve"> the General Agreement on Tariffs and Trade 1994 (</w:t>
      </w:r>
      <w:r w:rsidRPr="005E68CE">
        <w:rPr>
          <w:i/>
          <w:iCs/>
          <w:szCs w:val="24"/>
        </w:rPr>
        <w:t>A</w:t>
      </w:r>
      <w:r w:rsidR="004F1E14" w:rsidRPr="005E68CE">
        <w:rPr>
          <w:i/>
          <w:iCs/>
          <w:szCs w:val="24"/>
        </w:rPr>
        <w:t>nti-</w:t>
      </w:r>
      <w:r w:rsidRPr="005E68CE">
        <w:rPr>
          <w:i/>
          <w:iCs/>
          <w:szCs w:val="24"/>
        </w:rPr>
        <w:t>D</w:t>
      </w:r>
      <w:r w:rsidR="004F1E14" w:rsidRPr="005E68CE">
        <w:rPr>
          <w:i/>
          <w:iCs/>
          <w:szCs w:val="24"/>
        </w:rPr>
        <w:t xml:space="preserve">umping </w:t>
      </w:r>
      <w:r w:rsidRPr="005E68CE">
        <w:rPr>
          <w:i/>
          <w:iCs/>
          <w:szCs w:val="24"/>
        </w:rPr>
        <w:t>A</w:t>
      </w:r>
      <w:r w:rsidR="004F1E14" w:rsidRPr="005E68CE">
        <w:rPr>
          <w:i/>
          <w:iCs/>
          <w:szCs w:val="24"/>
        </w:rPr>
        <w:t xml:space="preserve">greement). The Republic’s </w:t>
      </w:r>
      <w:r w:rsidR="004F1E14" w:rsidRPr="005E68CE">
        <w:rPr>
          <w:i/>
          <w:iCs/>
          <w:szCs w:val="24"/>
        </w:rPr>
        <w:lastRenderedPageBreak/>
        <w:t xml:space="preserve">obligations in terms of the anti-dumping agreement are honoured through domestic legislation. The main source of legislation is the International Trade Administration Act of 2002 (the Act), the anti-dumping regulations promulgated in terms of the Act read together with the Customs and Excise Act, 1964 (Customs Act), and where appropriate, the Board of Tariffs and Trade Act of 1986 (BTT Act). </w:t>
      </w:r>
    </w:p>
    <w:p w14:paraId="61763876" w14:textId="64E265C6" w:rsidR="004F1E14" w:rsidRPr="00251A93" w:rsidRDefault="005E68CE" w:rsidP="009472CC">
      <w:pPr>
        <w:pStyle w:val="RetiefPleadingpara1"/>
        <w:numPr>
          <w:ilvl w:val="0"/>
          <w:numId w:val="0"/>
        </w:numPr>
        <w:tabs>
          <w:tab w:val="left" w:pos="1418"/>
        </w:tabs>
        <w:spacing w:before="480" w:after="480"/>
        <w:ind w:left="1418" w:hanging="567"/>
        <w:rPr>
          <w:szCs w:val="24"/>
        </w:rPr>
      </w:pPr>
      <w:r w:rsidRPr="005E68CE">
        <w:rPr>
          <w:i/>
          <w:iCs/>
          <w:szCs w:val="24"/>
        </w:rPr>
        <w:t>3.</w:t>
      </w:r>
      <w:r w:rsidRPr="005E68CE">
        <w:rPr>
          <w:i/>
          <w:iCs/>
          <w:szCs w:val="24"/>
        </w:rPr>
        <w:tab/>
      </w:r>
      <w:r w:rsidR="004F1E14" w:rsidRPr="005E68CE">
        <w:rPr>
          <w:i/>
          <w:iCs/>
          <w:szCs w:val="24"/>
        </w:rPr>
        <w:t>The Act has established and charged the International Trade Administration Commission (ITAC) with the duty to make recommendations to the Minister of Trade and Industry</w:t>
      </w:r>
      <w:r w:rsidRPr="005E68CE">
        <w:rPr>
          <w:i/>
          <w:iCs/>
          <w:szCs w:val="24"/>
        </w:rPr>
        <w:t xml:space="preserve"> (Minister)</w:t>
      </w:r>
      <w:r w:rsidR="004F1E14" w:rsidRPr="005E68CE">
        <w:rPr>
          <w:i/>
          <w:iCs/>
          <w:szCs w:val="24"/>
        </w:rPr>
        <w:t xml:space="preserve"> who, in turn may ask the Minister of </w:t>
      </w:r>
      <w:r w:rsidR="006459B0" w:rsidRPr="005E68CE">
        <w:rPr>
          <w:i/>
          <w:iCs/>
          <w:szCs w:val="24"/>
        </w:rPr>
        <w:t>Finance to</w:t>
      </w:r>
      <w:r w:rsidR="004F1E14" w:rsidRPr="005E68CE">
        <w:rPr>
          <w:i/>
          <w:iCs/>
          <w:szCs w:val="24"/>
        </w:rPr>
        <w:t xml:space="preserve"> lift or impose anti-dumping duties on specified goods introduced into the commerce of the Republic.</w:t>
      </w:r>
      <w:r>
        <w:rPr>
          <w:szCs w:val="24"/>
        </w:rPr>
        <w:t>”</w:t>
      </w:r>
      <w:r w:rsidR="004F1E14">
        <w:rPr>
          <w:szCs w:val="24"/>
        </w:rPr>
        <w:t xml:space="preserve"> </w:t>
      </w:r>
    </w:p>
    <w:p w14:paraId="25D42C6B" w14:textId="1AF3A096" w:rsidR="00783EEF" w:rsidRDefault="0027466D" w:rsidP="0027466D">
      <w:pPr>
        <w:pStyle w:val="RetiefPleadingpara1"/>
        <w:numPr>
          <w:ilvl w:val="0"/>
          <w:numId w:val="0"/>
        </w:numPr>
        <w:tabs>
          <w:tab w:val="left" w:pos="851"/>
        </w:tabs>
        <w:spacing w:before="480" w:after="480"/>
        <w:rPr>
          <w:szCs w:val="24"/>
        </w:rPr>
      </w:pPr>
      <w:r>
        <w:rPr>
          <w:szCs w:val="24"/>
        </w:rPr>
        <w:t>[13]</w:t>
      </w:r>
      <w:r>
        <w:rPr>
          <w:szCs w:val="24"/>
        </w:rPr>
        <w:tab/>
      </w:r>
      <w:r w:rsidR="00E52995">
        <w:rPr>
          <w:szCs w:val="24"/>
        </w:rPr>
        <w:t>The</w:t>
      </w:r>
      <w:r w:rsidR="00EF6FE0">
        <w:rPr>
          <w:szCs w:val="24"/>
        </w:rPr>
        <w:t xml:space="preserve"> </w:t>
      </w:r>
      <w:r w:rsidR="00FF021A">
        <w:rPr>
          <w:szCs w:val="24"/>
        </w:rPr>
        <w:t xml:space="preserve">administrative </w:t>
      </w:r>
      <w:r w:rsidR="00BC1139">
        <w:rPr>
          <w:szCs w:val="24"/>
        </w:rPr>
        <w:t xml:space="preserve">process </w:t>
      </w:r>
      <w:r w:rsidR="00362AFC">
        <w:rPr>
          <w:szCs w:val="24"/>
        </w:rPr>
        <w:t xml:space="preserve">described by the CC in the </w:t>
      </w:r>
      <w:r w:rsidR="00362AFC" w:rsidRPr="006757D1">
        <w:rPr>
          <w:b/>
          <w:bCs/>
          <w:szCs w:val="24"/>
        </w:rPr>
        <w:t>SCAW</w:t>
      </w:r>
      <w:r w:rsidR="00362AFC">
        <w:rPr>
          <w:szCs w:val="24"/>
        </w:rPr>
        <w:t xml:space="preserve"> </w:t>
      </w:r>
      <w:r w:rsidR="0047232B">
        <w:rPr>
          <w:szCs w:val="24"/>
        </w:rPr>
        <w:t xml:space="preserve">matter </w:t>
      </w:r>
      <w:r w:rsidR="00FF021A">
        <w:rPr>
          <w:szCs w:val="24"/>
        </w:rPr>
        <w:t xml:space="preserve">was </w:t>
      </w:r>
      <w:r w:rsidR="00D46BA5">
        <w:rPr>
          <w:szCs w:val="24"/>
        </w:rPr>
        <w:t>aptly described</w:t>
      </w:r>
      <w:r w:rsidR="00FF021A">
        <w:rPr>
          <w:szCs w:val="24"/>
        </w:rPr>
        <w:t xml:space="preserve"> </w:t>
      </w:r>
      <w:r w:rsidR="00362AFC">
        <w:rPr>
          <w:szCs w:val="24"/>
        </w:rPr>
        <w:t>by ITAC in its papers as</w:t>
      </w:r>
      <w:r w:rsidR="006D413A">
        <w:rPr>
          <w:szCs w:val="24"/>
        </w:rPr>
        <w:t xml:space="preserve"> </w:t>
      </w:r>
      <w:r w:rsidR="00362AFC">
        <w:rPr>
          <w:szCs w:val="24"/>
        </w:rPr>
        <w:t>a</w:t>
      </w:r>
      <w:r w:rsidR="00BC1139" w:rsidRPr="00362AFC">
        <w:rPr>
          <w:szCs w:val="24"/>
        </w:rPr>
        <w:t xml:space="preserve"> three-tier</w:t>
      </w:r>
      <w:r w:rsidR="00A921E3">
        <w:rPr>
          <w:szCs w:val="24"/>
        </w:rPr>
        <w:t>ed</w:t>
      </w:r>
      <w:r w:rsidR="00BC1139" w:rsidRPr="00362AFC">
        <w:rPr>
          <w:szCs w:val="24"/>
        </w:rPr>
        <w:t xml:space="preserve"> process</w:t>
      </w:r>
      <w:r w:rsidR="00362AFC">
        <w:rPr>
          <w:szCs w:val="24"/>
        </w:rPr>
        <w:t xml:space="preserve"> between ITAC, the Trade Minister and the Finance </w:t>
      </w:r>
      <w:r w:rsidR="0066501E">
        <w:rPr>
          <w:szCs w:val="24"/>
        </w:rPr>
        <w:t>Minister</w:t>
      </w:r>
      <w:r w:rsidR="00362AFC">
        <w:rPr>
          <w:szCs w:val="24"/>
        </w:rPr>
        <w:t>.</w:t>
      </w:r>
      <w:r w:rsidR="00AC7A93" w:rsidRPr="00362AFC">
        <w:rPr>
          <w:szCs w:val="24"/>
        </w:rPr>
        <w:t xml:space="preserve"> </w:t>
      </w:r>
      <w:r w:rsidR="00FF021A">
        <w:rPr>
          <w:szCs w:val="24"/>
        </w:rPr>
        <w:t>Of significance in th</w:t>
      </w:r>
      <w:r w:rsidR="0047232B">
        <w:rPr>
          <w:szCs w:val="24"/>
        </w:rPr>
        <w:t>is</w:t>
      </w:r>
      <w:r w:rsidR="00FF021A">
        <w:rPr>
          <w:szCs w:val="24"/>
        </w:rPr>
        <w:t xml:space="preserve"> </w:t>
      </w:r>
      <w:r w:rsidR="00050073">
        <w:rPr>
          <w:szCs w:val="24"/>
        </w:rPr>
        <w:t xml:space="preserve">three-tiered </w:t>
      </w:r>
      <w:r w:rsidR="00FF021A">
        <w:rPr>
          <w:szCs w:val="24"/>
        </w:rPr>
        <w:t xml:space="preserve">process </w:t>
      </w:r>
      <w:r w:rsidR="00362AFC">
        <w:rPr>
          <w:szCs w:val="24"/>
        </w:rPr>
        <w:t>is ITAC’s</w:t>
      </w:r>
      <w:r w:rsidR="00362AFC" w:rsidRPr="00362AFC">
        <w:rPr>
          <w:color w:val="FF0000"/>
          <w:szCs w:val="24"/>
        </w:rPr>
        <w:t xml:space="preserve"> </w:t>
      </w:r>
      <w:r w:rsidR="00362AFC" w:rsidRPr="006D413A">
        <w:rPr>
          <w:color w:val="000000" w:themeColor="text1"/>
          <w:szCs w:val="24"/>
        </w:rPr>
        <w:t xml:space="preserve">final </w:t>
      </w:r>
      <w:r w:rsidR="00FF021A" w:rsidRPr="006D413A">
        <w:rPr>
          <w:color w:val="000000" w:themeColor="text1"/>
          <w:szCs w:val="24"/>
        </w:rPr>
        <w:t xml:space="preserve">issued </w:t>
      </w:r>
      <w:r w:rsidR="00362AFC" w:rsidRPr="006D413A">
        <w:rPr>
          <w:color w:val="000000" w:themeColor="text1"/>
          <w:szCs w:val="24"/>
        </w:rPr>
        <w:t>recommendation</w:t>
      </w:r>
      <w:r w:rsidR="00FF021A" w:rsidRPr="006D413A">
        <w:rPr>
          <w:color w:val="000000" w:themeColor="text1"/>
          <w:szCs w:val="24"/>
        </w:rPr>
        <w:t xml:space="preserve">. </w:t>
      </w:r>
      <w:r w:rsidR="00832139">
        <w:rPr>
          <w:color w:val="000000" w:themeColor="text1"/>
          <w:szCs w:val="24"/>
        </w:rPr>
        <w:t>Significant i</w:t>
      </w:r>
      <w:r w:rsidR="0047232B">
        <w:rPr>
          <w:color w:val="000000" w:themeColor="text1"/>
          <w:szCs w:val="24"/>
        </w:rPr>
        <w:t>n that, a</w:t>
      </w:r>
      <w:r w:rsidR="00AC7A93" w:rsidRPr="006D413A">
        <w:rPr>
          <w:color w:val="000000" w:themeColor="text1"/>
          <w:szCs w:val="24"/>
        </w:rPr>
        <w:t xml:space="preserve">bsent </w:t>
      </w:r>
      <w:r w:rsidR="00A921E3">
        <w:rPr>
          <w:szCs w:val="24"/>
        </w:rPr>
        <w:t xml:space="preserve">ITAC’s </w:t>
      </w:r>
      <w:r w:rsidR="00FF021A">
        <w:rPr>
          <w:szCs w:val="24"/>
        </w:rPr>
        <w:t xml:space="preserve">recommendation, </w:t>
      </w:r>
      <w:r w:rsidR="00AC7A93" w:rsidRPr="00362AFC">
        <w:rPr>
          <w:szCs w:val="24"/>
        </w:rPr>
        <w:t xml:space="preserve">the </w:t>
      </w:r>
      <w:r w:rsidR="00362AFC">
        <w:rPr>
          <w:szCs w:val="24"/>
        </w:rPr>
        <w:t>Trade</w:t>
      </w:r>
      <w:r w:rsidR="00AC7A93" w:rsidRPr="00362AFC">
        <w:rPr>
          <w:szCs w:val="24"/>
        </w:rPr>
        <w:t xml:space="preserve"> Minister may not on his or her own request the Finance Minister to </w:t>
      </w:r>
      <w:r w:rsidR="00A921E3">
        <w:rPr>
          <w:szCs w:val="24"/>
        </w:rPr>
        <w:t xml:space="preserve">exercise his </w:t>
      </w:r>
      <w:r w:rsidR="00050073">
        <w:rPr>
          <w:szCs w:val="24"/>
        </w:rPr>
        <w:t xml:space="preserve">or her </w:t>
      </w:r>
      <w:r w:rsidR="00A921E3">
        <w:rPr>
          <w:szCs w:val="24"/>
        </w:rPr>
        <w:t xml:space="preserve">discretion to </w:t>
      </w:r>
      <w:r w:rsidR="00AC7A93" w:rsidRPr="00362AFC">
        <w:rPr>
          <w:szCs w:val="24"/>
        </w:rPr>
        <w:t>impose ant</w:t>
      </w:r>
      <w:r w:rsidR="00DF6115">
        <w:rPr>
          <w:szCs w:val="24"/>
        </w:rPr>
        <w:t>i</w:t>
      </w:r>
      <w:r w:rsidR="00AC7A93" w:rsidRPr="00362AFC">
        <w:rPr>
          <w:szCs w:val="24"/>
        </w:rPr>
        <w:t>-dumping duties</w:t>
      </w:r>
      <w:r w:rsidR="00AC7A93" w:rsidRPr="00362AFC">
        <w:rPr>
          <w:i/>
          <w:iCs/>
          <w:szCs w:val="24"/>
        </w:rPr>
        <w:t>.</w:t>
      </w:r>
    </w:p>
    <w:p w14:paraId="77E06B73" w14:textId="42002762" w:rsidR="00DF6115" w:rsidRPr="00DF6115" w:rsidRDefault="0027466D" w:rsidP="0027466D">
      <w:pPr>
        <w:pStyle w:val="RetiefPleadingpara1"/>
        <w:numPr>
          <w:ilvl w:val="0"/>
          <w:numId w:val="0"/>
        </w:numPr>
        <w:tabs>
          <w:tab w:val="left" w:pos="851"/>
        </w:tabs>
        <w:spacing w:before="480" w:after="480"/>
        <w:rPr>
          <w:szCs w:val="24"/>
        </w:rPr>
      </w:pPr>
      <w:r w:rsidRPr="00DF6115">
        <w:rPr>
          <w:szCs w:val="24"/>
        </w:rPr>
        <w:t>[14]</w:t>
      </w:r>
      <w:r w:rsidRPr="00DF6115">
        <w:rPr>
          <w:szCs w:val="24"/>
        </w:rPr>
        <w:tab/>
      </w:r>
      <w:r w:rsidR="00362AFC" w:rsidRPr="00783EEF">
        <w:rPr>
          <w:szCs w:val="24"/>
        </w:rPr>
        <w:t xml:space="preserve">The was </w:t>
      </w:r>
      <w:r w:rsidR="00D46BA5">
        <w:rPr>
          <w:szCs w:val="24"/>
        </w:rPr>
        <w:t>highlighted</w:t>
      </w:r>
      <w:r w:rsidR="00362AFC" w:rsidRPr="00783EEF">
        <w:rPr>
          <w:szCs w:val="24"/>
        </w:rPr>
        <w:t xml:space="preserve"> by</w:t>
      </w:r>
      <w:r w:rsidR="00AE1644" w:rsidRPr="00783EEF">
        <w:rPr>
          <w:szCs w:val="24"/>
        </w:rPr>
        <w:t xml:space="preserve"> </w:t>
      </w:r>
      <w:r w:rsidR="00AE1644" w:rsidRPr="00783EEF">
        <w:rPr>
          <w:color w:val="000000" w:themeColor="text1"/>
          <w:szCs w:val="24"/>
        </w:rPr>
        <w:t>Harms, ADP</w:t>
      </w:r>
      <w:r w:rsidR="00235F77">
        <w:rPr>
          <w:color w:val="000000" w:themeColor="text1"/>
          <w:szCs w:val="24"/>
        </w:rPr>
        <w:t xml:space="preserve"> (</w:t>
      </w:r>
      <w:r w:rsidR="006D413A">
        <w:rPr>
          <w:color w:val="000000" w:themeColor="text1"/>
          <w:szCs w:val="24"/>
        </w:rPr>
        <w:t>as he then was</w:t>
      </w:r>
      <w:r w:rsidR="00235F77">
        <w:rPr>
          <w:color w:val="000000" w:themeColor="text1"/>
          <w:szCs w:val="24"/>
        </w:rPr>
        <w:t>)</w:t>
      </w:r>
      <w:r w:rsidR="00362AFC" w:rsidRPr="00783EEF">
        <w:rPr>
          <w:color w:val="000000" w:themeColor="text1"/>
          <w:szCs w:val="24"/>
        </w:rPr>
        <w:t xml:space="preserve"> </w:t>
      </w:r>
      <w:r w:rsidR="00AE1644" w:rsidRPr="00783EEF">
        <w:rPr>
          <w:color w:val="000000" w:themeColor="text1"/>
          <w:szCs w:val="24"/>
        </w:rPr>
        <w:t>in</w:t>
      </w:r>
      <w:r w:rsidR="00DF6115">
        <w:rPr>
          <w:color w:val="000000" w:themeColor="text1"/>
          <w:szCs w:val="24"/>
        </w:rPr>
        <w:t xml:space="preserve"> the</w:t>
      </w:r>
      <w:r w:rsidR="00AE1644" w:rsidRPr="00783EEF">
        <w:rPr>
          <w:color w:val="000000" w:themeColor="text1"/>
          <w:szCs w:val="24"/>
        </w:rPr>
        <w:t xml:space="preserve"> </w:t>
      </w:r>
      <w:r w:rsidR="00E42DD7" w:rsidRPr="00DF6115">
        <w:rPr>
          <w:b/>
          <w:bCs/>
          <w:color w:val="000000" w:themeColor="text1"/>
          <w:szCs w:val="24"/>
        </w:rPr>
        <w:t xml:space="preserve">Minister of Finance and Another v </w:t>
      </w:r>
      <w:r w:rsidR="00AE1644" w:rsidRPr="00DF6115">
        <w:rPr>
          <w:b/>
          <w:bCs/>
          <w:color w:val="000000" w:themeColor="text1"/>
          <w:szCs w:val="24"/>
        </w:rPr>
        <w:t>Paper Manu</w:t>
      </w:r>
      <w:r w:rsidR="00E42DD7" w:rsidRPr="00DF6115">
        <w:rPr>
          <w:b/>
          <w:bCs/>
          <w:color w:val="000000" w:themeColor="text1"/>
          <w:szCs w:val="24"/>
        </w:rPr>
        <w:t>factures Association of South Africa</w:t>
      </w:r>
      <w:r w:rsidR="007E348B" w:rsidRPr="007E348B">
        <w:rPr>
          <w:rStyle w:val="FootnoteReference"/>
          <w:color w:val="000000" w:themeColor="text1"/>
          <w:szCs w:val="24"/>
        </w:rPr>
        <w:footnoteReference w:id="5"/>
      </w:r>
      <w:r w:rsidR="00E42DD7" w:rsidRPr="00783EEF">
        <w:rPr>
          <w:color w:val="000000" w:themeColor="text1"/>
          <w:szCs w:val="24"/>
        </w:rPr>
        <w:t xml:space="preserve"> matter </w:t>
      </w:r>
      <w:r w:rsidR="00362AFC" w:rsidRPr="00783EEF">
        <w:rPr>
          <w:color w:val="000000" w:themeColor="text1"/>
          <w:szCs w:val="24"/>
        </w:rPr>
        <w:t>when he stated that:</w:t>
      </w:r>
      <w:r w:rsidR="00E42DD7" w:rsidRPr="00783EEF">
        <w:rPr>
          <w:color w:val="000000" w:themeColor="text1"/>
          <w:szCs w:val="24"/>
        </w:rPr>
        <w:t xml:space="preserve"> </w:t>
      </w:r>
    </w:p>
    <w:p w14:paraId="33275130" w14:textId="7BD169BB" w:rsidR="003F2296" w:rsidRPr="00783EEF" w:rsidRDefault="00DF6115" w:rsidP="009472CC">
      <w:pPr>
        <w:pStyle w:val="RetiefPleadingpara1"/>
        <w:numPr>
          <w:ilvl w:val="0"/>
          <w:numId w:val="0"/>
        </w:numPr>
        <w:tabs>
          <w:tab w:val="left" w:pos="851"/>
        </w:tabs>
        <w:spacing w:before="480" w:after="480"/>
        <w:ind w:left="851"/>
        <w:rPr>
          <w:szCs w:val="24"/>
        </w:rPr>
      </w:pPr>
      <w:r>
        <w:rPr>
          <w:color w:val="000000" w:themeColor="text1"/>
          <w:szCs w:val="24"/>
        </w:rPr>
        <w:lastRenderedPageBreak/>
        <w:t>“</w:t>
      </w:r>
      <w:r w:rsidR="00362AFC" w:rsidRPr="00783EEF">
        <w:rPr>
          <w:i/>
          <w:iCs/>
          <w:color w:val="000000" w:themeColor="text1"/>
          <w:szCs w:val="24"/>
        </w:rPr>
        <w:t>-</w:t>
      </w:r>
      <w:r w:rsidR="00E42DD7" w:rsidRPr="00783EEF">
        <w:rPr>
          <w:i/>
          <w:iCs/>
          <w:color w:val="000000" w:themeColor="text1"/>
          <w:szCs w:val="24"/>
        </w:rPr>
        <w:t xml:space="preserve"> ITAC</w:t>
      </w:r>
      <w:r w:rsidR="00362AFC" w:rsidRPr="00783EEF">
        <w:rPr>
          <w:i/>
          <w:iCs/>
          <w:color w:val="000000" w:themeColor="text1"/>
          <w:szCs w:val="24"/>
        </w:rPr>
        <w:t>’s</w:t>
      </w:r>
      <w:r w:rsidR="00E42DD7" w:rsidRPr="00783EEF">
        <w:rPr>
          <w:i/>
          <w:iCs/>
          <w:color w:val="000000" w:themeColor="text1"/>
          <w:szCs w:val="24"/>
        </w:rPr>
        <w:t xml:space="preserve"> report is not only an </w:t>
      </w:r>
      <w:r w:rsidR="00E42DD7" w:rsidRPr="00832139">
        <w:rPr>
          <w:i/>
          <w:iCs/>
          <w:color w:val="000000" w:themeColor="text1"/>
          <w:szCs w:val="24"/>
          <w:u w:val="single"/>
        </w:rPr>
        <w:t>important link</w:t>
      </w:r>
      <w:r w:rsidR="00E42DD7" w:rsidRPr="00783EEF">
        <w:rPr>
          <w:i/>
          <w:iCs/>
          <w:color w:val="000000" w:themeColor="text1"/>
          <w:szCs w:val="24"/>
        </w:rPr>
        <w:t xml:space="preserve"> </w:t>
      </w:r>
      <w:r w:rsidR="00832139">
        <w:rPr>
          <w:i/>
          <w:iCs/>
          <w:color w:val="000000" w:themeColor="text1"/>
          <w:szCs w:val="24"/>
        </w:rPr>
        <w:t xml:space="preserve">(own emphasis) </w:t>
      </w:r>
      <w:r w:rsidR="00E42DD7" w:rsidRPr="00783EEF">
        <w:rPr>
          <w:i/>
          <w:iCs/>
          <w:color w:val="000000" w:themeColor="text1"/>
          <w:szCs w:val="24"/>
        </w:rPr>
        <w:t xml:space="preserve">in the administrative and legislative chain; it is indeed a jurisdictional fact for the </w:t>
      </w:r>
      <w:r w:rsidR="003F2296" w:rsidRPr="00783EEF">
        <w:rPr>
          <w:i/>
          <w:iCs/>
          <w:color w:val="000000" w:themeColor="text1"/>
          <w:szCs w:val="24"/>
        </w:rPr>
        <w:t>mi</w:t>
      </w:r>
      <w:r w:rsidR="00E42DD7" w:rsidRPr="00783EEF">
        <w:rPr>
          <w:i/>
          <w:iCs/>
          <w:color w:val="000000" w:themeColor="text1"/>
          <w:szCs w:val="24"/>
        </w:rPr>
        <w:t>nister</w:t>
      </w:r>
      <w:r w:rsidR="003F2296" w:rsidRPr="00783EEF">
        <w:rPr>
          <w:i/>
          <w:iCs/>
          <w:color w:val="000000" w:themeColor="text1"/>
          <w:szCs w:val="24"/>
        </w:rPr>
        <w:t>ial actions that follow</w:t>
      </w:r>
      <w:r w:rsidR="00AC7A93" w:rsidRPr="00783EEF">
        <w:rPr>
          <w:i/>
          <w:iCs/>
          <w:color w:val="000000" w:themeColor="text1"/>
          <w:szCs w:val="24"/>
        </w:rPr>
        <w:t>.</w:t>
      </w:r>
      <w:r w:rsidR="003F2296" w:rsidRPr="00783EEF">
        <w:rPr>
          <w:i/>
          <w:iCs/>
          <w:color w:val="000000" w:themeColor="text1"/>
          <w:szCs w:val="24"/>
        </w:rPr>
        <w:t xml:space="preserve"> It is consequently not </w:t>
      </w:r>
      <w:r w:rsidR="0066501E" w:rsidRPr="00783EEF">
        <w:rPr>
          <w:i/>
          <w:iCs/>
          <w:color w:val="000000" w:themeColor="text1"/>
          <w:szCs w:val="24"/>
        </w:rPr>
        <w:t>surprising</w:t>
      </w:r>
      <w:r w:rsidR="003F2296" w:rsidRPr="00783EEF">
        <w:rPr>
          <w:i/>
          <w:iCs/>
          <w:color w:val="000000" w:themeColor="text1"/>
          <w:szCs w:val="24"/>
        </w:rPr>
        <w:t xml:space="preserve"> that the ITA Act makes special provision for the review of any determination, recommendation or decision</w:t>
      </w:r>
      <w:r w:rsidR="00AE1644" w:rsidRPr="00783EEF">
        <w:rPr>
          <w:i/>
          <w:iCs/>
          <w:color w:val="000000" w:themeColor="text1"/>
          <w:szCs w:val="24"/>
        </w:rPr>
        <w:t>s</w:t>
      </w:r>
      <w:r w:rsidR="003F2296" w:rsidRPr="00783EEF">
        <w:rPr>
          <w:i/>
          <w:iCs/>
          <w:color w:val="000000" w:themeColor="text1"/>
          <w:szCs w:val="24"/>
        </w:rPr>
        <w:t xml:space="preserve"> of </w:t>
      </w:r>
      <w:r w:rsidR="00AC7A93" w:rsidRPr="00783EEF">
        <w:rPr>
          <w:i/>
          <w:iCs/>
          <w:color w:val="000000" w:themeColor="text1"/>
          <w:szCs w:val="24"/>
        </w:rPr>
        <w:t>ITAC</w:t>
      </w:r>
      <w:r w:rsidR="003F2296" w:rsidRPr="00783EEF">
        <w:rPr>
          <w:i/>
          <w:iCs/>
          <w:color w:val="000000" w:themeColor="text1"/>
          <w:szCs w:val="24"/>
        </w:rPr>
        <w:t xml:space="preserve"> (s46). A fatal flaw in the process at the ITAC stage affects the whole process.”</w:t>
      </w:r>
    </w:p>
    <w:p w14:paraId="366A8738" w14:textId="1B666367" w:rsidR="00D46BA5" w:rsidRDefault="0027466D" w:rsidP="0027466D">
      <w:pPr>
        <w:pStyle w:val="RetiefPleadingpara1"/>
        <w:numPr>
          <w:ilvl w:val="0"/>
          <w:numId w:val="0"/>
        </w:numPr>
        <w:tabs>
          <w:tab w:val="left" w:pos="851"/>
        </w:tabs>
        <w:spacing w:before="480" w:after="480"/>
        <w:rPr>
          <w:szCs w:val="24"/>
        </w:rPr>
      </w:pPr>
      <w:r>
        <w:rPr>
          <w:szCs w:val="24"/>
        </w:rPr>
        <w:t>[15]</w:t>
      </w:r>
      <w:r>
        <w:rPr>
          <w:szCs w:val="24"/>
        </w:rPr>
        <w:tab/>
      </w:r>
      <w:r w:rsidR="00DC3597">
        <w:rPr>
          <w:szCs w:val="24"/>
        </w:rPr>
        <w:t>AMIE</w:t>
      </w:r>
      <w:r w:rsidR="00C106AE">
        <w:rPr>
          <w:szCs w:val="24"/>
        </w:rPr>
        <w:t xml:space="preserve"> did not bring a self-standing challenge against ITAC’s decision to initiate the sunset review and subsequent final determination in terms of section 46 of </w:t>
      </w:r>
      <w:r w:rsidR="00235F77">
        <w:rPr>
          <w:szCs w:val="24"/>
        </w:rPr>
        <w:t xml:space="preserve">the </w:t>
      </w:r>
      <w:r w:rsidR="00C106AE">
        <w:rPr>
          <w:szCs w:val="24"/>
        </w:rPr>
        <w:t xml:space="preserve">ITA </w:t>
      </w:r>
      <w:r w:rsidR="004D2327">
        <w:rPr>
          <w:szCs w:val="24"/>
        </w:rPr>
        <w:t>Act but</w:t>
      </w:r>
      <w:r w:rsidR="00832139">
        <w:rPr>
          <w:szCs w:val="24"/>
        </w:rPr>
        <w:t xml:space="preserve"> brings its judicial review at the end of the administrative chain</w:t>
      </w:r>
      <w:r w:rsidR="005A5A73">
        <w:rPr>
          <w:szCs w:val="24"/>
        </w:rPr>
        <w:t>,</w:t>
      </w:r>
      <w:r w:rsidR="00832139">
        <w:rPr>
          <w:szCs w:val="24"/>
        </w:rPr>
        <w:t xml:space="preserve"> contending that </w:t>
      </w:r>
      <w:r w:rsidR="00D46BA5">
        <w:rPr>
          <w:szCs w:val="24"/>
        </w:rPr>
        <w:t>the decisions taken at the Finance Minister’s stage will be di</w:t>
      </w:r>
      <w:r w:rsidR="004D2327">
        <w:rPr>
          <w:szCs w:val="24"/>
        </w:rPr>
        <w:t>s</w:t>
      </w:r>
      <w:r w:rsidR="00D46BA5">
        <w:rPr>
          <w:szCs w:val="24"/>
        </w:rPr>
        <w:t xml:space="preserve">positive of the matter. </w:t>
      </w:r>
      <w:r w:rsidR="00832139">
        <w:rPr>
          <w:szCs w:val="24"/>
        </w:rPr>
        <w:t>I deal with this aspect hereunder.</w:t>
      </w:r>
      <w:r w:rsidR="00832139">
        <w:rPr>
          <w:rStyle w:val="FootnoteReference"/>
          <w:szCs w:val="24"/>
        </w:rPr>
        <w:footnoteReference w:id="6"/>
      </w:r>
    </w:p>
    <w:p w14:paraId="1B531006" w14:textId="177916A5" w:rsidR="00D46BA5" w:rsidRDefault="0027466D" w:rsidP="0027466D">
      <w:pPr>
        <w:pStyle w:val="RetiefPleadingpara1"/>
        <w:numPr>
          <w:ilvl w:val="0"/>
          <w:numId w:val="0"/>
        </w:numPr>
        <w:tabs>
          <w:tab w:val="left" w:pos="851"/>
        </w:tabs>
        <w:spacing w:before="480" w:after="480"/>
        <w:rPr>
          <w:szCs w:val="24"/>
        </w:rPr>
      </w:pPr>
      <w:r>
        <w:rPr>
          <w:szCs w:val="24"/>
        </w:rPr>
        <w:t>[16]</w:t>
      </w:r>
      <w:r>
        <w:rPr>
          <w:szCs w:val="24"/>
        </w:rPr>
        <w:tab/>
      </w:r>
      <w:r w:rsidR="00D46BA5" w:rsidRPr="00832139">
        <w:rPr>
          <w:color w:val="000000" w:themeColor="text1"/>
          <w:szCs w:val="24"/>
        </w:rPr>
        <w:t xml:space="preserve">SAPA and ITAC do not hold this view and </w:t>
      </w:r>
      <w:r w:rsidR="00D46BA5">
        <w:rPr>
          <w:szCs w:val="24"/>
        </w:rPr>
        <w:t>argue that all the decisions at every stage of the three-tiered process stand to be set aside, including ITAC’s decision to initiate the sunset review.</w:t>
      </w:r>
      <w:r w:rsidR="00E23508">
        <w:rPr>
          <w:szCs w:val="24"/>
        </w:rPr>
        <w:t xml:space="preserve"> The PAJA vers</w:t>
      </w:r>
      <w:r w:rsidR="004D2327">
        <w:rPr>
          <w:szCs w:val="24"/>
        </w:rPr>
        <w:t>u</w:t>
      </w:r>
      <w:r w:rsidR="00E23508">
        <w:rPr>
          <w:szCs w:val="24"/>
        </w:rPr>
        <w:t xml:space="preserve">s legality review dispute too remained </w:t>
      </w:r>
      <w:r w:rsidR="004D2327">
        <w:rPr>
          <w:szCs w:val="24"/>
        </w:rPr>
        <w:t>a</w:t>
      </w:r>
      <w:r w:rsidR="00E23508">
        <w:rPr>
          <w:szCs w:val="24"/>
        </w:rPr>
        <w:t>live between the parties.</w:t>
      </w:r>
    </w:p>
    <w:p w14:paraId="7FD95F3D" w14:textId="31940B0F" w:rsidR="00E23508" w:rsidRPr="00832139" w:rsidRDefault="0027466D" w:rsidP="0027466D">
      <w:pPr>
        <w:pStyle w:val="RetiefPleadingpara1"/>
        <w:numPr>
          <w:ilvl w:val="0"/>
          <w:numId w:val="0"/>
        </w:numPr>
        <w:tabs>
          <w:tab w:val="left" w:pos="851"/>
        </w:tabs>
        <w:spacing w:before="480" w:after="480"/>
        <w:rPr>
          <w:szCs w:val="24"/>
        </w:rPr>
      </w:pPr>
      <w:r w:rsidRPr="00832139">
        <w:rPr>
          <w:szCs w:val="24"/>
        </w:rPr>
        <w:t>[17]</w:t>
      </w:r>
      <w:r w:rsidRPr="00832139">
        <w:rPr>
          <w:szCs w:val="24"/>
        </w:rPr>
        <w:tab/>
      </w:r>
      <w:r w:rsidR="00D64E65" w:rsidRPr="00832139">
        <w:rPr>
          <w:szCs w:val="24"/>
        </w:rPr>
        <w:t>To settle the dust</w:t>
      </w:r>
      <w:r w:rsidR="004D2327">
        <w:rPr>
          <w:szCs w:val="24"/>
        </w:rPr>
        <w:t>,</w:t>
      </w:r>
      <w:r w:rsidR="00D64E65" w:rsidRPr="00832139">
        <w:rPr>
          <w:szCs w:val="24"/>
        </w:rPr>
        <w:t xml:space="preserve"> I will first deal with the </w:t>
      </w:r>
      <w:r w:rsidR="008D542F" w:rsidRPr="00832139">
        <w:rPr>
          <w:szCs w:val="24"/>
        </w:rPr>
        <w:t xml:space="preserve">ambit of </w:t>
      </w:r>
      <w:r w:rsidR="005F3072" w:rsidRPr="00832139">
        <w:rPr>
          <w:szCs w:val="24"/>
        </w:rPr>
        <w:t xml:space="preserve">the determinable </w:t>
      </w:r>
      <w:r w:rsidR="008D542F" w:rsidRPr="00832139">
        <w:rPr>
          <w:szCs w:val="24"/>
        </w:rPr>
        <w:t>issue/s</w:t>
      </w:r>
      <w:r w:rsidR="00D46BA5" w:rsidRPr="00832139">
        <w:rPr>
          <w:szCs w:val="24"/>
        </w:rPr>
        <w:t xml:space="preserve"> </w:t>
      </w:r>
      <w:r w:rsidR="00E23508" w:rsidRPr="00832139">
        <w:rPr>
          <w:szCs w:val="24"/>
        </w:rPr>
        <w:t>and whether they stand to be reviewed by way of PAJA</w:t>
      </w:r>
      <w:r w:rsidR="004D2327">
        <w:rPr>
          <w:szCs w:val="24"/>
        </w:rPr>
        <w:t>,</w:t>
      </w:r>
      <w:r w:rsidR="00E23508" w:rsidRPr="00832139">
        <w:rPr>
          <w:szCs w:val="24"/>
        </w:rPr>
        <w:t xml:space="preserve"> alternatively by way of a legality review before I deal with the merits of the grounds raised.</w:t>
      </w:r>
    </w:p>
    <w:p w14:paraId="4445AB5F" w14:textId="73D2805F" w:rsidR="00CB2E2F" w:rsidRDefault="00CB2E2F" w:rsidP="009472CC">
      <w:pPr>
        <w:pStyle w:val="RetiefPleadingpara1"/>
        <w:numPr>
          <w:ilvl w:val="0"/>
          <w:numId w:val="0"/>
        </w:numPr>
        <w:spacing w:before="480" w:after="480"/>
        <w:rPr>
          <w:b/>
          <w:bCs/>
          <w:szCs w:val="24"/>
          <w:u w:val="single"/>
        </w:rPr>
      </w:pPr>
      <w:r w:rsidRPr="00E23508">
        <w:rPr>
          <w:b/>
          <w:bCs/>
          <w:szCs w:val="24"/>
          <w:u w:val="single"/>
        </w:rPr>
        <w:t>ISSUE</w:t>
      </w:r>
      <w:r w:rsidR="008D542F" w:rsidRPr="00E23508">
        <w:rPr>
          <w:b/>
          <w:bCs/>
          <w:szCs w:val="24"/>
          <w:u w:val="single"/>
        </w:rPr>
        <w:t>/</w:t>
      </w:r>
      <w:r w:rsidRPr="00E23508">
        <w:rPr>
          <w:b/>
          <w:bCs/>
          <w:szCs w:val="24"/>
          <w:u w:val="single"/>
        </w:rPr>
        <w:t xml:space="preserve">S </w:t>
      </w:r>
      <w:r w:rsidR="00B92524" w:rsidRPr="00E23508">
        <w:rPr>
          <w:b/>
          <w:bCs/>
          <w:szCs w:val="24"/>
          <w:u w:val="single"/>
        </w:rPr>
        <w:t xml:space="preserve">FOR </w:t>
      </w:r>
      <w:r w:rsidRPr="00E23508">
        <w:rPr>
          <w:b/>
          <w:bCs/>
          <w:szCs w:val="24"/>
          <w:u w:val="single"/>
        </w:rPr>
        <w:t>DETER</w:t>
      </w:r>
      <w:r w:rsidR="00CB7E67" w:rsidRPr="00E23508">
        <w:rPr>
          <w:b/>
          <w:bCs/>
          <w:szCs w:val="24"/>
          <w:u w:val="single"/>
        </w:rPr>
        <w:t>M</w:t>
      </w:r>
      <w:r w:rsidR="00B92524" w:rsidRPr="00E23508">
        <w:rPr>
          <w:b/>
          <w:bCs/>
          <w:szCs w:val="24"/>
          <w:u w:val="single"/>
        </w:rPr>
        <w:t>INATION</w:t>
      </w:r>
      <w:r w:rsidR="00832139">
        <w:rPr>
          <w:b/>
          <w:bCs/>
          <w:szCs w:val="24"/>
          <w:u w:val="single"/>
        </w:rPr>
        <w:t xml:space="preserve"> </w:t>
      </w:r>
      <w:r w:rsidR="00E23508">
        <w:rPr>
          <w:b/>
          <w:bCs/>
          <w:szCs w:val="24"/>
          <w:u w:val="single"/>
        </w:rPr>
        <w:t xml:space="preserve">AND PAJA </w:t>
      </w:r>
      <w:r w:rsidR="00832139">
        <w:rPr>
          <w:b/>
          <w:bCs/>
          <w:szCs w:val="24"/>
          <w:u w:val="single"/>
        </w:rPr>
        <w:t>vs</w:t>
      </w:r>
      <w:r w:rsidR="00E23508">
        <w:rPr>
          <w:b/>
          <w:bCs/>
          <w:szCs w:val="24"/>
          <w:u w:val="single"/>
        </w:rPr>
        <w:t xml:space="preserve"> LEGALITY REVIEW</w:t>
      </w:r>
    </w:p>
    <w:p w14:paraId="62FF1CA3" w14:textId="6D93B153" w:rsidR="00E23508" w:rsidRPr="004D2327" w:rsidRDefault="00E23508" w:rsidP="009472CC">
      <w:pPr>
        <w:pStyle w:val="RetiefPleadingpara1"/>
        <w:numPr>
          <w:ilvl w:val="0"/>
          <w:numId w:val="0"/>
        </w:numPr>
        <w:spacing w:before="480" w:after="480"/>
        <w:rPr>
          <w:i/>
          <w:iCs/>
          <w:szCs w:val="24"/>
        </w:rPr>
      </w:pPr>
      <w:r w:rsidRPr="00E23508">
        <w:rPr>
          <w:i/>
          <w:iCs/>
          <w:szCs w:val="24"/>
          <w:u w:val="single"/>
        </w:rPr>
        <w:lastRenderedPageBreak/>
        <w:t>Whose decision</w:t>
      </w:r>
      <w:r w:rsidR="00832139">
        <w:rPr>
          <w:i/>
          <w:iCs/>
          <w:szCs w:val="24"/>
          <w:u w:val="single"/>
        </w:rPr>
        <w:t>/</w:t>
      </w:r>
      <w:r w:rsidRPr="00E23508">
        <w:rPr>
          <w:i/>
          <w:iCs/>
          <w:szCs w:val="24"/>
          <w:u w:val="single"/>
        </w:rPr>
        <w:t>s stand to be reviewed</w:t>
      </w:r>
      <w:r w:rsidRPr="004D2327">
        <w:rPr>
          <w:i/>
          <w:iCs/>
          <w:szCs w:val="24"/>
        </w:rPr>
        <w:t>?</w:t>
      </w:r>
    </w:p>
    <w:p w14:paraId="15D48A24" w14:textId="7F2E62DF" w:rsidR="00CB2E2F" w:rsidRPr="006B336B" w:rsidRDefault="0027466D" w:rsidP="0027466D">
      <w:pPr>
        <w:pStyle w:val="RetiefPleadingpara1"/>
        <w:numPr>
          <w:ilvl w:val="0"/>
          <w:numId w:val="0"/>
        </w:numPr>
        <w:tabs>
          <w:tab w:val="left" w:pos="851"/>
        </w:tabs>
        <w:spacing w:before="480" w:after="480"/>
        <w:rPr>
          <w:szCs w:val="24"/>
        </w:rPr>
      </w:pPr>
      <w:r w:rsidRPr="006B336B">
        <w:rPr>
          <w:szCs w:val="24"/>
        </w:rPr>
        <w:t>[18]</w:t>
      </w:r>
      <w:r w:rsidRPr="006B336B">
        <w:rPr>
          <w:szCs w:val="24"/>
        </w:rPr>
        <w:tab/>
      </w:r>
      <w:r w:rsidR="00DC3597">
        <w:rPr>
          <w:szCs w:val="24"/>
        </w:rPr>
        <w:t>AMIE</w:t>
      </w:r>
      <w:r w:rsidR="00CB2E2F">
        <w:rPr>
          <w:szCs w:val="24"/>
        </w:rPr>
        <w:t xml:space="preserve"> </w:t>
      </w:r>
      <w:r w:rsidR="00D64E65">
        <w:rPr>
          <w:szCs w:val="24"/>
        </w:rPr>
        <w:t xml:space="preserve">in its amended relief, </w:t>
      </w:r>
      <w:r w:rsidR="008D542F">
        <w:rPr>
          <w:szCs w:val="24"/>
        </w:rPr>
        <w:t>out of caution only,</w:t>
      </w:r>
      <w:r w:rsidR="00CB2E2F">
        <w:rPr>
          <w:szCs w:val="24"/>
        </w:rPr>
        <w:t xml:space="preserve"> seeks to review all the decisions </w:t>
      </w:r>
      <w:r w:rsidR="006B336B">
        <w:rPr>
          <w:szCs w:val="24"/>
        </w:rPr>
        <w:t xml:space="preserve">at every stage </w:t>
      </w:r>
      <w:r w:rsidR="00CB2E2F">
        <w:rPr>
          <w:szCs w:val="24"/>
        </w:rPr>
        <w:t>in the administrative chain including ITAC’S initiation of the sunset review</w:t>
      </w:r>
      <w:r w:rsidR="008D542F">
        <w:rPr>
          <w:szCs w:val="24"/>
        </w:rPr>
        <w:t>.</w:t>
      </w:r>
      <w:r w:rsidR="00CB2E2F">
        <w:rPr>
          <w:szCs w:val="24"/>
        </w:rPr>
        <w:t xml:space="preserve"> </w:t>
      </w:r>
      <w:r w:rsidR="008D542F">
        <w:rPr>
          <w:szCs w:val="24"/>
        </w:rPr>
        <w:t xml:space="preserve">However, </w:t>
      </w:r>
      <w:r w:rsidR="006B336B">
        <w:rPr>
          <w:szCs w:val="24"/>
        </w:rPr>
        <w:t xml:space="preserve">abandoning caution in argument argues </w:t>
      </w:r>
      <w:r w:rsidR="008D542F">
        <w:rPr>
          <w:szCs w:val="24"/>
        </w:rPr>
        <w:t>that</w:t>
      </w:r>
      <w:r w:rsidR="006B336B">
        <w:rPr>
          <w:szCs w:val="24"/>
        </w:rPr>
        <w:t xml:space="preserve"> </w:t>
      </w:r>
      <w:r w:rsidR="00CB2E2F" w:rsidRPr="006B336B">
        <w:rPr>
          <w:szCs w:val="24"/>
        </w:rPr>
        <w:t xml:space="preserve">the Finance Minister’s decision to continue the imposition of the anti-dumping duties and his subsequent decision to effect the ministerial amendment to Schedule 2 of the Customs Act will be dispositive of the entire application </w:t>
      </w:r>
      <w:r w:rsidR="000147F9">
        <w:rPr>
          <w:szCs w:val="24"/>
        </w:rPr>
        <w:t xml:space="preserve">[Finance Minister’s </w:t>
      </w:r>
      <w:r w:rsidR="00CB2E2F" w:rsidRPr="006B336B">
        <w:rPr>
          <w:szCs w:val="24"/>
        </w:rPr>
        <w:t>decision].</w:t>
      </w:r>
    </w:p>
    <w:p w14:paraId="15C4432C" w14:textId="52F0E92E" w:rsidR="00CB2E2F" w:rsidRPr="00554A70" w:rsidRDefault="0027466D" w:rsidP="0027466D">
      <w:pPr>
        <w:pStyle w:val="RetiefPleadingpara1"/>
        <w:numPr>
          <w:ilvl w:val="0"/>
          <w:numId w:val="0"/>
        </w:numPr>
        <w:tabs>
          <w:tab w:val="left" w:pos="851"/>
        </w:tabs>
        <w:spacing w:before="480" w:after="480"/>
        <w:rPr>
          <w:szCs w:val="24"/>
        </w:rPr>
      </w:pPr>
      <w:r w:rsidRPr="00554A70">
        <w:rPr>
          <w:szCs w:val="24"/>
        </w:rPr>
        <w:t>[19]</w:t>
      </w:r>
      <w:r w:rsidRPr="00554A70">
        <w:rPr>
          <w:szCs w:val="24"/>
        </w:rPr>
        <w:tab/>
      </w:r>
      <w:r w:rsidR="00D64E65">
        <w:rPr>
          <w:szCs w:val="24"/>
        </w:rPr>
        <w:t xml:space="preserve">Relying on </w:t>
      </w:r>
      <w:r w:rsidR="00CB2E2F">
        <w:rPr>
          <w:szCs w:val="24"/>
        </w:rPr>
        <w:t xml:space="preserve">this proposition AMIE referred the Court to the Supreme Court of Appeal [SCA] matter of </w:t>
      </w:r>
      <w:r w:rsidR="00CB2E2F" w:rsidRPr="00F236AC">
        <w:rPr>
          <w:b/>
          <w:bCs/>
          <w:szCs w:val="24"/>
        </w:rPr>
        <w:t>PG Group and Others v National Energy Regulator of South Africa</w:t>
      </w:r>
      <w:r w:rsidR="00CB2E2F">
        <w:rPr>
          <w:rStyle w:val="FootnoteReference"/>
          <w:szCs w:val="24"/>
        </w:rPr>
        <w:footnoteReference w:id="7"/>
      </w:r>
      <w:r w:rsidR="00CB2E2F">
        <w:rPr>
          <w:szCs w:val="24"/>
        </w:rPr>
        <w:t xml:space="preserve"> </w:t>
      </w:r>
      <w:r w:rsidR="00CB2E2F" w:rsidRPr="00554A70">
        <w:rPr>
          <w:szCs w:val="24"/>
        </w:rPr>
        <w:t>[</w:t>
      </w:r>
      <w:r w:rsidR="00CB2E2F" w:rsidRPr="006B336B">
        <w:rPr>
          <w:b/>
          <w:bCs/>
          <w:szCs w:val="24"/>
        </w:rPr>
        <w:t>PG</w:t>
      </w:r>
      <w:r w:rsidR="00CB2E2F" w:rsidRPr="00554A70">
        <w:rPr>
          <w:szCs w:val="24"/>
        </w:rPr>
        <w:t xml:space="preserve"> matter] stating that the SCA dealt with a similar stage process  </w:t>
      </w:r>
      <w:r w:rsidR="00142AE5">
        <w:rPr>
          <w:szCs w:val="24"/>
        </w:rPr>
        <w:t xml:space="preserve">as </w:t>
      </w:r>
      <w:r w:rsidR="00CB2E2F" w:rsidRPr="00554A70">
        <w:rPr>
          <w:szCs w:val="24"/>
        </w:rPr>
        <w:t>in this matter in that</w:t>
      </w:r>
      <w:r w:rsidR="005A5A73">
        <w:rPr>
          <w:szCs w:val="24"/>
        </w:rPr>
        <w:t>,</w:t>
      </w:r>
      <w:r w:rsidR="00CB2E2F" w:rsidRPr="00554A70">
        <w:rPr>
          <w:szCs w:val="24"/>
        </w:rPr>
        <w:t xml:space="preserve"> the determination of the maximum gas prices was made by way of a staged process</w:t>
      </w:r>
      <w:r w:rsidR="00D64E65">
        <w:rPr>
          <w:szCs w:val="24"/>
        </w:rPr>
        <w:t xml:space="preserve"> which only</w:t>
      </w:r>
      <w:r w:rsidR="00CB2E2F" w:rsidRPr="00554A70">
        <w:rPr>
          <w:szCs w:val="24"/>
        </w:rPr>
        <w:t xml:space="preserve"> became binding on its completion when NERSA gave its decision on </w:t>
      </w:r>
      <w:r w:rsidR="00142AE5">
        <w:rPr>
          <w:szCs w:val="24"/>
        </w:rPr>
        <w:t xml:space="preserve">the </w:t>
      </w:r>
      <w:r w:rsidR="00CB2E2F" w:rsidRPr="00554A70">
        <w:rPr>
          <w:szCs w:val="24"/>
        </w:rPr>
        <w:t>Sasol Gas’s application.</w:t>
      </w:r>
      <w:r w:rsidR="00CB2E2F" w:rsidRPr="00554A70">
        <w:rPr>
          <w:rStyle w:val="FootnoteReference"/>
          <w:szCs w:val="24"/>
        </w:rPr>
        <w:footnoteReference w:id="8"/>
      </w:r>
      <w:r w:rsidR="00CB2E2F" w:rsidRPr="00554A70">
        <w:rPr>
          <w:szCs w:val="24"/>
        </w:rPr>
        <w:t xml:space="preserve"> </w:t>
      </w:r>
      <w:r w:rsidR="005B6B2B">
        <w:rPr>
          <w:szCs w:val="24"/>
        </w:rPr>
        <w:t>The fact that there were various steps in the process did not render each step individually an administrative action which adversely affected the rights of any person</w:t>
      </w:r>
      <w:r w:rsidR="005B6B2B">
        <w:rPr>
          <w:rStyle w:val="FootnoteReference"/>
          <w:szCs w:val="24"/>
        </w:rPr>
        <w:footnoteReference w:id="9"/>
      </w:r>
      <w:r w:rsidR="005B6B2B">
        <w:rPr>
          <w:szCs w:val="24"/>
        </w:rPr>
        <w:t>.</w:t>
      </w:r>
    </w:p>
    <w:p w14:paraId="2551BC63" w14:textId="4B59E69D" w:rsidR="00CB2E2F" w:rsidRPr="00446517" w:rsidRDefault="0027466D" w:rsidP="0027466D">
      <w:pPr>
        <w:pStyle w:val="RetiefPleadingpara1"/>
        <w:numPr>
          <w:ilvl w:val="0"/>
          <w:numId w:val="0"/>
        </w:numPr>
        <w:tabs>
          <w:tab w:val="left" w:pos="851"/>
        </w:tabs>
        <w:spacing w:before="480" w:after="480"/>
        <w:rPr>
          <w:i/>
          <w:iCs/>
          <w:szCs w:val="24"/>
        </w:rPr>
      </w:pPr>
      <w:r w:rsidRPr="00446517">
        <w:rPr>
          <w:szCs w:val="24"/>
        </w:rPr>
        <w:t>[20]</w:t>
      </w:r>
      <w:r w:rsidRPr="00446517">
        <w:rPr>
          <w:szCs w:val="24"/>
        </w:rPr>
        <w:tab/>
      </w:r>
      <w:r w:rsidR="00CB2E2F" w:rsidRPr="00554A70">
        <w:rPr>
          <w:szCs w:val="24"/>
        </w:rPr>
        <w:t>The SCA</w:t>
      </w:r>
      <w:r w:rsidR="006B336B">
        <w:rPr>
          <w:szCs w:val="24"/>
        </w:rPr>
        <w:t xml:space="preserve"> in t</w:t>
      </w:r>
      <w:r w:rsidR="00CB2E2F" w:rsidRPr="00554A70">
        <w:rPr>
          <w:szCs w:val="24"/>
        </w:rPr>
        <w:t xml:space="preserve">he </w:t>
      </w:r>
      <w:r w:rsidR="00CB2E2F" w:rsidRPr="006B336B">
        <w:rPr>
          <w:b/>
          <w:bCs/>
          <w:szCs w:val="24"/>
        </w:rPr>
        <w:t xml:space="preserve">PG </w:t>
      </w:r>
      <w:r w:rsidR="00CB2E2F" w:rsidRPr="00554A70">
        <w:rPr>
          <w:szCs w:val="24"/>
        </w:rPr>
        <w:t>matter</w:t>
      </w:r>
      <w:r w:rsidR="006B336B">
        <w:rPr>
          <w:szCs w:val="24"/>
        </w:rPr>
        <w:t xml:space="preserve"> </w:t>
      </w:r>
      <w:r w:rsidR="005B6B2B">
        <w:rPr>
          <w:szCs w:val="24"/>
        </w:rPr>
        <w:t xml:space="preserve">also </w:t>
      </w:r>
      <w:r w:rsidR="00CB2E2F" w:rsidRPr="00554A70">
        <w:rPr>
          <w:szCs w:val="24"/>
        </w:rPr>
        <w:t>consider</w:t>
      </w:r>
      <w:r w:rsidR="006B336B">
        <w:rPr>
          <w:szCs w:val="24"/>
        </w:rPr>
        <w:t>ed</w:t>
      </w:r>
      <w:r w:rsidR="00CB2E2F" w:rsidRPr="00554A70">
        <w:rPr>
          <w:szCs w:val="24"/>
        </w:rPr>
        <w:t xml:space="preserve"> the reasoning of the CC in </w:t>
      </w:r>
      <w:r w:rsidR="00CB2E2F" w:rsidRPr="00554A70">
        <w:rPr>
          <w:b/>
          <w:bCs/>
          <w:szCs w:val="24"/>
        </w:rPr>
        <w:t xml:space="preserve">Minister of Health and Another </w:t>
      </w:r>
      <w:r w:rsidR="00CB2E2F" w:rsidRPr="00554A70">
        <w:rPr>
          <w:b/>
          <w:bCs/>
          <w:i/>
          <w:iCs/>
          <w:szCs w:val="24"/>
        </w:rPr>
        <w:t>N.O</w:t>
      </w:r>
      <w:r w:rsidR="00CB2E2F" w:rsidRPr="00554A70">
        <w:rPr>
          <w:b/>
          <w:bCs/>
          <w:szCs w:val="24"/>
        </w:rPr>
        <w:t xml:space="preserve"> v New Clicks South Africa (Pty) Ltd and Others (Treatment Action Campaign and Another as </w:t>
      </w:r>
      <w:r w:rsidR="00CB2E2F" w:rsidRPr="00554A70">
        <w:rPr>
          <w:b/>
          <w:bCs/>
          <w:i/>
          <w:iCs/>
          <w:szCs w:val="24"/>
        </w:rPr>
        <w:t>Amicus Curiae</w:t>
      </w:r>
      <w:r w:rsidR="00CB2E2F" w:rsidRPr="00554A70">
        <w:rPr>
          <w:b/>
          <w:bCs/>
          <w:szCs w:val="24"/>
        </w:rPr>
        <w:t>)</w:t>
      </w:r>
      <w:r w:rsidR="00CB2E2F" w:rsidRPr="00554A70">
        <w:rPr>
          <w:rStyle w:val="FootnoteReference"/>
          <w:szCs w:val="24"/>
        </w:rPr>
        <w:footnoteReference w:id="10"/>
      </w:r>
      <w:r w:rsidR="00CB2E2F" w:rsidRPr="00554A70">
        <w:rPr>
          <w:szCs w:val="24"/>
        </w:rPr>
        <w:t xml:space="preserve"> [</w:t>
      </w:r>
      <w:r w:rsidR="00CB2E2F" w:rsidRPr="00245926">
        <w:rPr>
          <w:b/>
          <w:bCs/>
          <w:szCs w:val="24"/>
        </w:rPr>
        <w:t xml:space="preserve">Clicks </w:t>
      </w:r>
      <w:r w:rsidR="00CB2E2F" w:rsidRPr="00554A70">
        <w:rPr>
          <w:szCs w:val="24"/>
        </w:rPr>
        <w:lastRenderedPageBreak/>
        <w:t>matter]</w:t>
      </w:r>
      <w:r w:rsidR="006B336B">
        <w:rPr>
          <w:szCs w:val="24"/>
        </w:rPr>
        <w:t xml:space="preserve"> in </w:t>
      </w:r>
      <w:r w:rsidR="005B6B2B">
        <w:rPr>
          <w:szCs w:val="24"/>
        </w:rPr>
        <w:t xml:space="preserve">which </w:t>
      </w:r>
      <w:r w:rsidR="006B336B">
        <w:rPr>
          <w:szCs w:val="24"/>
        </w:rPr>
        <w:t>the CC</w:t>
      </w:r>
      <w:r w:rsidR="00CB2E2F" w:rsidRPr="00554A70">
        <w:rPr>
          <w:szCs w:val="24"/>
        </w:rPr>
        <w:t xml:space="preserve"> was confronted with a</w:t>
      </w:r>
      <w:r w:rsidR="00CB2E2F">
        <w:rPr>
          <w:szCs w:val="24"/>
        </w:rPr>
        <w:t xml:space="preserve"> stage/tiered decision process</w:t>
      </w:r>
      <w:r w:rsidR="005A5A73">
        <w:rPr>
          <w:szCs w:val="24"/>
        </w:rPr>
        <w:t xml:space="preserve"> involving a final decision to be taken by the Minister of Health t</w:t>
      </w:r>
      <w:r w:rsidR="00CB2E2F">
        <w:rPr>
          <w:szCs w:val="24"/>
        </w:rPr>
        <w:t>o amend regulations to the Medicine Act</w:t>
      </w:r>
      <w:r w:rsidR="005A5A73">
        <w:rPr>
          <w:szCs w:val="24"/>
        </w:rPr>
        <w:t xml:space="preserve">. The Minister of Health </w:t>
      </w:r>
      <w:r w:rsidR="00F81C19">
        <w:rPr>
          <w:szCs w:val="24"/>
        </w:rPr>
        <w:t>was</w:t>
      </w:r>
      <w:r w:rsidR="00CB2E2F">
        <w:rPr>
          <w:szCs w:val="24"/>
        </w:rPr>
        <w:t xml:space="preserve"> obliged to consider the </w:t>
      </w:r>
      <w:r w:rsidR="00CB2E2F" w:rsidRPr="007E348B">
        <w:rPr>
          <w:szCs w:val="24"/>
        </w:rPr>
        <w:t xml:space="preserve">recommendations </w:t>
      </w:r>
      <w:r w:rsidR="00CB2E2F">
        <w:rPr>
          <w:szCs w:val="24"/>
        </w:rPr>
        <w:t>of</w:t>
      </w:r>
      <w:r w:rsidR="00CB2E2F" w:rsidRPr="007E348B">
        <w:rPr>
          <w:szCs w:val="24"/>
        </w:rPr>
        <w:t xml:space="preserve"> a Pricing Committee</w:t>
      </w:r>
      <w:r w:rsidR="005A5A73">
        <w:rPr>
          <w:szCs w:val="24"/>
        </w:rPr>
        <w:t xml:space="preserve">, </w:t>
      </w:r>
      <w:r w:rsidR="00F81C19">
        <w:rPr>
          <w:szCs w:val="24"/>
        </w:rPr>
        <w:t>a similar stage process as in this matter</w:t>
      </w:r>
      <w:r w:rsidR="005A5A73">
        <w:rPr>
          <w:szCs w:val="24"/>
        </w:rPr>
        <w:t xml:space="preserve"> with the Finance Minister</w:t>
      </w:r>
      <w:r w:rsidR="00CB2E2F">
        <w:rPr>
          <w:szCs w:val="24"/>
        </w:rPr>
        <w:t xml:space="preserve">. Chaskalson CJ in his judgment </w:t>
      </w:r>
      <w:r w:rsidR="00F81C19">
        <w:rPr>
          <w:szCs w:val="24"/>
        </w:rPr>
        <w:t>reasoned</w:t>
      </w:r>
      <w:r w:rsidR="00245926">
        <w:rPr>
          <w:szCs w:val="24"/>
        </w:rPr>
        <w:t xml:space="preserve"> that</w:t>
      </w:r>
      <w:r w:rsidR="00F81C19">
        <w:rPr>
          <w:szCs w:val="24"/>
        </w:rPr>
        <w:t xml:space="preserve"> having regard to the process of making regulations by the Minister as the starting point and s</w:t>
      </w:r>
      <w:r w:rsidR="00CB2E2F">
        <w:rPr>
          <w:szCs w:val="24"/>
        </w:rPr>
        <w:t>aid:</w:t>
      </w:r>
      <w:r w:rsidR="00CB2E2F">
        <w:rPr>
          <w:rStyle w:val="FootnoteReference"/>
          <w:szCs w:val="24"/>
        </w:rPr>
        <w:footnoteReference w:id="11"/>
      </w:r>
      <w:r w:rsidR="00CB2E2F" w:rsidRPr="007E348B">
        <w:rPr>
          <w:szCs w:val="24"/>
        </w:rPr>
        <w:t xml:space="preserve"> </w:t>
      </w:r>
    </w:p>
    <w:p w14:paraId="552B37D8" w14:textId="760A3E2B" w:rsidR="00F81C19" w:rsidRPr="00F81C19" w:rsidRDefault="00CB2E2F" w:rsidP="009472CC">
      <w:pPr>
        <w:pStyle w:val="RetiefPleadingpara1"/>
        <w:numPr>
          <w:ilvl w:val="0"/>
          <w:numId w:val="0"/>
        </w:numPr>
        <w:tabs>
          <w:tab w:val="left" w:pos="851"/>
        </w:tabs>
        <w:spacing w:before="480" w:after="480"/>
        <w:ind w:left="851"/>
        <w:rPr>
          <w:i/>
          <w:iCs/>
          <w:szCs w:val="24"/>
        </w:rPr>
      </w:pPr>
      <w:r>
        <w:rPr>
          <w:szCs w:val="24"/>
        </w:rPr>
        <w:t>“</w:t>
      </w:r>
      <w:r w:rsidRPr="007E348B">
        <w:rPr>
          <w:i/>
          <w:iCs/>
          <w:szCs w:val="24"/>
        </w:rPr>
        <w:t xml:space="preserve">The making of the regulation……involves a two-stage process. First a recommendation by the Pricing Committee and, second a decision by the Minister as to whether or not to accept the recommendation……In the circumstances of the present case, to view the two stages of the process as unrelated, </w:t>
      </w:r>
      <w:r w:rsidRPr="007E348B">
        <w:rPr>
          <w:i/>
          <w:iCs/>
          <w:szCs w:val="24"/>
          <w:u w:val="single"/>
        </w:rPr>
        <w:t>separate and ind</w:t>
      </w:r>
      <w:r>
        <w:rPr>
          <w:i/>
          <w:iCs/>
          <w:szCs w:val="24"/>
          <w:u w:val="single"/>
        </w:rPr>
        <w:t>e</w:t>
      </w:r>
      <w:r w:rsidRPr="007E348B">
        <w:rPr>
          <w:i/>
          <w:iCs/>
          <w:szCs w:val="24"/>
          <w:u w:val="single"/>
        </w:rPr>
        <w:t>pendent decisions</w:t>
      </w:r>
      <w:r w:rsidRPr="007E348B">
        <w:rPr>
          <w:i/>
          <w:iCs/>
          <w:szCs w:val="24"/>
        </w:rPr>
        <w:t xml:space="preserve"> (own emphasis) each on its own having to be subject to PAJA, would be to put form above substance. The Minister was not obliged to act on the Pricing Committee’s recommendations. She had a discretion whether to do so. But ultimately there had to be </w:t>
      </w:r>
      <w:r w:rsidRPr="007E348B">
        <w:rPr>
          <w:i/>
          <w:iCs/>
          <w:szCs w:val="24"/>
          <w:u w:val="single"/>
        </w:rPr>
        <w:t>one decision</w:t>
      </w:r>
      <w:r w:rsidRPr="007E348B">
        <w:rPr>
          <w:i/>
          <w:iCs/>
          <w:szCs w:val="24"/>
        </w:rPr>
        <w:t xml:space="preserve"> (own emphasis) to which both the Pricing Committee and the Minister agreed. Neither had the power to take a binding decision without the occurrence of the other. It was only if and when agreement was reached that the regulations could be made.</w:t>
      </w:r>
      <w:r>
        <w:rPr>
          <w:i/>
          <w:iCs/>
          <w:szCs w:val="24"/>
        </w:rPr>
        <w:t>”</w:t>
      </w:r>
    </w:p>
    <w:p w14:paraId="771357B0" w14:textId="6BDE546E" w:rsidR="00CB2E2F" w:rsidRDefault="0027466D" w:rsidP="0027466D">
      <w:pPr>
        <w:pStyle w:val="RetiefPleadingpara1"/>
        <w:numPr>
          <w:ilvl w:val="0"/>
          <w:numId w:val="0"/>
        </w:numPr>
        <w:tabs>
          <w:tab w:val="left" w:pos="851"/>
        </w:tabs>
        <w:spacing w:before="480" w:after="480"/>
        <w:rPr>
          <w:szCs w:val="24"/>
        </w:rPr>
      </w:pPr>
      <w:r>
        <w:rPr>
          <w:szCs w:val="24"/>
        </w:rPr>
        <w:t>[21]</w:t>
      </w:r>
      <w:r>
        <w:rPr>
          <w:szCs w:val="24"/>
        </w:rPr>
        <w:tab/>
      </w:r>
      <w:r w:rsidR="005B6B2B">
        <w:rPr>
          <w:szCs w:val="24"/>
        </w:rPr>
        <w:t>On a</w:t>
      </w:r>
      <w:r w:rsidR="00CB2E2F">
        <w:rPr>
          <w:szCs w:val="24"/>
        </w:rPr>
        <w:t xml:space="preserve"> </w:t>
      </w:r>
      <w:r w:rsidR="006B336B">
        <w:rPr>
          <w:szCs w:val="24"/>
        </w:rPr>
        <w:t>s</w:t>
      </w:r>
      <w:r w:rsidR="00EE00EA">
        <w:rPr>
          <w:szCs w:val="24"/>
        </w:rPr>
        <w:t>imilar</w:t>
      </w:r>
      <w:r w:rsidR="006B336B">
        <w:rPr>
          <w:szCs w:val="24"/>
        </w:rPr>
        <w:t xml:space="preserve"> </w:t>
      </w:r>
      <w:r w:rsidR="005B6B2B">
        <w:rPr>
          <w:szCs w:val="24"/>
        </w:rPr>
        <w:t xml:space="preserve">process of </w:t>
      </w:r>
      <w:r w:rsidR="00CB2E2F">
        <w:rPr>
          <w:szCs w:val="24"/>
        </w:rPr>
        <w:t>reasoning</w:t>
      </w:r>
      <w:r w:rsidR="005B6B2B">
        <w:rPr>
          <w:szCs w:val="24"/>
        </w:rPr>
        <w:t xml:space="preserve"> in this case</w:t>
      </w:r>
      <w:r w:rsidR="00CB2E2F">
        <w:rPr>
          <w:szCs w:val="24"/>
        </w:rPr>
        <w:t>, the decision to continue the imposition of anti-dumping duties on the product was a three tiered/stage process which only became binding on its completion. ITAC’s final recommendation</w:t>
      </w:r>
      <w:r w:rsidR="00245926">
        <w:rPr>
          <w:szCs w:val="24"/>
        </w:rPr>
        <w:t>,</w:t>
      </w:r>
      <w:r w:rsidR="00CB2E2F">
        <w:rPr>
          <w:szCs w:val="24"/>
        </w:rPr>
        <w:t xml:space="preserve"> </w:t>
      </w:r>
      <w:r w:rsidR="00CB2E2F">
        <w:rPr>
          <w:szCs w:val="24"/>
        </w:rPr>
        <w:lastRenderedPageBreak/>
        <w:t>although called “final” in itself</w:t>
      </w:r>
      <w:r w:rsidR="00245926">
        <w:rPr>
          <w:szCs w:val="24"/>
        </w:rPr>
        <w:t>,</w:t>
      </w:r>
      <w:r w:rsidR="00CB2E2F">
        <w:rPr>
          <w:szCs w:val="24"/>
        </w:rPr>
        <w:t xml:space="preserve"> possessed no finality as it was subject to the Trade Minister’s approval and if not approved, remittance or rejection. The Trade Minister’s approval of ITAC’s final recommendation also possessed no finality as such approval did not complete the decision process. It was only when the Finance Minister was in agreement with both ITAC and the Trade Minister to continue the imposition and</w:t>
      </w:r>
      <w:r w:rsidR="00891391">
        <w:rPr>
          <w:szCs w:val="24"/>
        </w:rPr>
        <w:t>,</w:t>
      </w:r>
      <w:r w:rsidR="00CB2E2F">
        <w:rPr>
          <w:szCs w:val="24"/>
        </w:rPr>
        <w:t xml:space="preserve"> at what proposed tariff</w:t>
      </w:r>
      <w:r w:rsidR="00891391">
        <w:rPr>
          <w:szCs w:val="24"/>
        </w:rPr>
        <w:t>,</w:t>
      </w:r>
      <w:r w:rsidR="00CB2E2F">
        <w:rPr>
          <w:szCs w:val="24"/>
        </w:rPr>
        <w:t xml:space="preserve"> that the amendment was </w:t>
      </w:r>
      <w:r w:rsidR="004B624A">
        <w:rPr>
          <w:szCs w:val="24"/>
        </w:rPr>
        <w:t>a</w:t>
      </w:r>
      <w:r w:rsidR="00CB2E2F">
        <w:rPr>
          <w:szCs w:val="24"/>
        </w:rPr>
        <w:t>ffected. None of the decisions in the administrative chain</w:t>
      </w:r>
      <w:r w:rsidR="003C5C75">
        <w:rPr>
          <w:szCs w:val="24"/>
        </w:rPr>
        <w:t xml:space="preserve"> </w:t>
      </w:r>
      <w:r w:rsidR="00CB2E2F">
        <w:rPr>
          <w:szCs w:val="24"/>
        </w:rPr>
        <w:t>were independent</w:t>
      </w:r>
      <w:r w:rsidR="009A618B">
        <w:rPr>
          <w:szCs w:val="24"/>
        </w:rPr>
        <w:t>.</w:t>
      </w:r>
      <w:r w:rsidR="00BF33C1">
        <w:rPr>
          <w:szCs w:val="24"/>
        </w:rPr>
        <w:t xml:space="preserve"> Decisions which are not independent are not </w:t>
      </w:r>
      <w:r w:rsidR="00142AE5">
        <w:rPr>
          <w:szCs w:val="24"/>
        </w:rPr>
        <w:t xml:space="preserve">each </w:t>
      </w:r>
      <w:r w:rsidR="00BF33C1">
        <w:rPr>
          <w:szCs w:val="24"/>
        </w:rPr>
        <w:t xml:space="preserve">subject to administrative review. This statement is however qualified having regard to section 46 of the ITA Act which </w:t>
      </w:r>
      <w:r w:rsidR="001F083A">
        <w:rPr>
          <w:szCs w:val="24"/>
        </w:rPr>
        <w:t xml:space="preserve">statutorily </w:t>
      </w:r>
      <w:r w:rsidR="00BF33C1">
        <w:rPr>
          <w:szCs w:val="24"/>
        </w:rPr>
        <w:t xml:space="preserve">enables an affected person to review a determination, </w:t>
      </w:r>
      <w:r w:rsidR="00245926">
        <w:rPr>
          <w:szCs w:val="24"/>
        </w:rPr>
        <w:t>recommendation,</w:t>
      </w:r>
      <w:r w:rsidR="00BF33C1">
        <w:rPr>
          <w:szCs w:val="24"/>
        </w:rPr>
        <w:t xml:space="preserve"> or decision </w:t>
      </w:r>
      <w:r w:rsidR="001F083A">
        <w:rPr>
          <w:szCs w:val="24"/>
        </w:rPr>
        <w:t xml:space="preserve">of </w:t>
      </w:r>
      <w:r w:rsidR="00BF33C1">
        <w:rPr>
          <w:szCs w:val="24"/>
        </w:rPr>
        <w:t xml:space="preserve">ITAC’s. </w:t>
      </w:r>
      <w:r w:rsidR="005F132D">
        <w:rPr>
          <w:szCs w:val="24"/>
        </w:rPr>
        <w:t xml:space="preserve">As previously mention, </w:t>
      </w:r>
      <w:r w:rsidR="00245926">
        <w:rPr>
          <w:szCs w:val="24"/>
        </w:rPr>
        <w:t>AMIE does</w:t>
      </w:r>
      <w:r w:rsidR="00BF33C1">
        <w:rPr>
          <w:szCs w:val="24"/>
        </w:rPr>
        <w:t xml:space="preserve"> not rely on section 46 of the ITA Act </w:t>
      </w:r>
      <w:r w:rsidR="00142AE5">
        <w:rPr>
          <w:szCs w:val="24"/>
        </w:rPr>
        <w:t xml:space="preserve"> </w:t>
      </w:r>
      <w:r w:rsidR="00FC7812">
        <w:rPr>
          <w:szCs w:val="24"/>
        </w:rPr>
        <w:t xml:space="preserve">nor does it seek to review the decisions taken at the ITAC stage in isolation. </w:t>
      </w:r>
      <w:r w:rsidR="00DC3597">
        <w:rPr>
          <w:szCs w:val="24"/>
        </w:rPr>
        <w:t>AMIE</w:t>
      </w:r>
      <w:r w:rsidR="00FC7812">
        <w:rPr>
          <w:szCs w:val="24"/>
        </w:rPr>
        <w:t xml:space="preserve"> invites the Court to view the entire process in the administrative chain and argues that the</w:t>
      </w:r>
      <w:r w:rsidR="00152769">
        <w:rPr>
          <w:szCs w:val="24"/>
        </w:rPr>
        <w:t xml:space="preserve"> Finance Minister’s</w:t>
      </w:r>
      <w:r w:rsidR="001F083A">
        <w:rPr>
          <w:szCs w:val="24"/>
        </w:rPr>
        <w:t xml:space="preserve"> </w:t>
      </w:r>
      <w:r w:rsidR="00FC7812">
        <w:rPr>
          <w:szCs w:val="24"/>
        </w:rPr>
        <w:t xml:space="preserve">decision is decisive of the </w:t>
      </w:r>
      <w:r w:rsidR="00245926">
        <w:rPr>
          <w:szCs w:val="24"/>
        </w:rPr>
        <w:t>entire process</w:t>
      </w:r>
      <w:r w:rsidR="00FC7812">
        <w:rPr>
          <w:szCs w:val="24"/>
        </w:rPr>
        <w:t xml:space="preserve">. </w:t>
      </w:r>
    </w:p>
    <w:p w14:paraId="48646EC5" w14:textId="58E532E5" w:rsidR="00F22734" w:rsidRPr="00F22734" w:rsidRDefault="0027466D" w:rsidP="0027466D">
      <w:pPr>
        <w:pStyle w:val="RetiefPleadingpara1"/>
        <w:numPr>
          <w:ilvl w:val="0"/>
          <w:numId w:val="0"/>
        </w:numPr>
        <w:tabs>
          <w:tab w:val="left" w:pos="851"/>
        </w:tabs>
        <w:spacing w:before="480" w:after="480"/>
        <w:rPr>
          <w:szCs w:val="24"/>
        </w:rPr>
      </w:pPr>
      <w:r w:rsidRPr="00F22734">
        <w:rPr>
          <w:szCs w:val="24"/>
        </w:rPr>
        <w:t>[22]</w:t>
      </w:r>
      <w:r w:rsidRPr="00F22734">
        <w:rPr>
          <w:szCs w:val="24"/>
        </w:rPr>
        <w:tab/>
      </w:r>
      <w:r w:rsidR="00CB2E2F">
        <w:rPr>
          <w:szCs w:val="24"/>
        </w:rPr>
        <w:t xml:space="preserve">Both ITAC and SAPA </w:t>
      </w:r>
      <w:r w:rsidR="005F132D">
        <w:rPr>
          <w:szCs w:val="24"/>
        </w:rPr>
        <w:t xml:space="preserve">do no hold this view and </w:t>
      </w:r>
      <w:r w:rsidR="00CB2E2F">
        <w:rPr>
          <w:szCs w:val="24"/>
        </w:rPr>
        <w:t>both</w:t>
      </w:r>
      <w:r w:rsidR="00EE00EA">
        <w:rPr>
          <w:szCs w:val="24"/>
        </w:rPr>
        <w:t xml:space="preserve"> </w:t>
      </w:r>
      <w:r w:rsidR="00CB2E2F">
        <w:rPr>
          <w:szCs w:val="24"/>
        </w:rPr>
        <w:t>rel</w:t>
      </w:r>
      <w:r w:rsidR="005F132D">
        <w:rPr>
          <w:szCs w:val="24"/>
        </w:rPr>
        <w:t>y</w:t>
      </w:r>
      <w:r w:rsidR="00CB2E2F">
        <w:rPr>
          <w:szCs w:val="24"/>
        </w:rPr>
        <w:t xml:space="preserve"> on the principle stated by the SCA in the </w:t>
      </w:r>
      <w:r w:rsidR="00CB2E2F" w:rsidRPr="00F236AC">
        <w:rPr>
          <w:b/>
          <w:bCs/>
          <w:color w:val="000000" w:themeColor="text1"/>
          <w:szCs w:val="24"/>
        </w:rPr>
        <w:t>Oudekraal Estates (Pty) v City of Cape Town</w:t>
      </w:r>
      <w:r w:rsidR="00CB2E2F" w:rsidRPr="009B2078">
        <w:rPr>
          <w:rStyle w:val="FootnoteReference"/>
          <w:szCs w:val="24"/>
        </w:rPr>
        <w:footnoteReference w:id="12"/>
      </w:r>
      <w:r w:rsidR="00CB2E2F" w:rsidRPr="00A20BBA">
        <w:rPr>
          <w:i/>
          <w:iCs/>
          <w:color w:val="000000" w:themeColor="text1"/>
          <w:szCs w:val="24"/>
        </w:rPr>
        <w:t xml:space="preserve"> </w:t>
      </w:r>
      <w:r w:rsidR="00CB2E2F">
        <w:rPr>
          <w:szCs w:val="24"/>
        </w:rPr>
        <w:t>matter</w:t>
      </w:r>
      <w:r w:rsidR="00994C33">
        <w:rPr>
          <w:szCs w:val="24"/>
        </w:rPr>
        <w:t>,</w:t>
      </w:r>
      <w:r w:rsidR="00CB2E2F">
        <w:rPr>
          <w:szCs w:val="24"/>
        </w:rPr>
        <w:t xml:space="preserve"> namely that: a</w:t>
      </w:r>
      <w:r w:rsidR="00A519A3">
        <w:rPr>
          <w:szCs w:val="24"/>
        </w:rPr>
        <w:t xml:space="preserve"> decision, albeit unlawful, stands i</w:t>
      </w:r>
      <w:r w:rsidR="00CB2E2F">
        <w:rPr>
          <w:szCs w:val="24"/>
        </w:rPr>
        <w:t xml:space="preserve">f not set aside by a Court in proceedings for judicial review. On this basis SAPA contended that ITAC’s decision to initiate the sunset review would have legal consequences, namely, that the initiation serves as the basis for ITAC’s ultimate recommendation to the Trade Minister. </w:t>
      </w:r>
      <w:r w:rsidR="00F22734" w:rsidRPr="00F22734">
        <w:rPr>
          <w:szCs w:val="24"/>
        </w:rPr>
        <w:t xml:space="preserve">Although </w:t>
      </w:r>
      <w:r w:rsidR="00F22734">
        <w:rPr>
          <w:szCs w:val="24"/>
        </w:rPr>
        <w:t>this is</w:t>
      </w:r>
      <w:r w:rsidR="005F132D">
        <w:rPr>
          <w:szCs w:val="24"/>
        </w:rPr>
        <w:t xml:space="preserve"> </w:t>
      </w:r>
      <w:r w:rsidR="00F22734" w:rsidRPr="00F22734">
        <w:rPr>
          <w:szCs w:val="24"/>
        </w:rPr>
        <w:t>correct</w:t>
      </w:r>
      <w:r w:rsidR="00152769">
        <w:rPr>
          <w:szCs w:val="24"/>
        </w:rPr>
        <w:t xml:space="preserve">, </w:t>
      </w:r>
      <w:r w:rsidR="001F083A">
        <w:rPr>
          <w:szCs w:val="24"/>
        </w:rPr>
        <w:t xml:space="preserve">whether </w:t>
      </w:r>
      <w:r w:rsidR="00E02B87">
        <w:rPr>
          <w:szCs w:val="24"/>
        </w:rPr>
        <w:t xml:space="preserve">such basis is </w:t>
      </w:r>
      <w:r w:rsidR="005F132D">
        <w:rPr>
          <w:szCs w:val="24"/>
        </w:rPr>
        <w:t xml:space="preserve">relevant </w:t>
      </w:r>
      <w:r w:rsidR="00CB2E2F" w:rsidRPr="00F22734">
        <w:rPr>
          <w:szCs w:val="24"/>
        </w:rPr>
        <w:t xml:space="preserve">requires further consideration. </w:t>
      </w:r>
    </w:p>
    <w:p w14:paraId="300E172F" w14:textId="23C85EAF" w:rsidR="00142AE5" w:rsidRDefault="0027466D" w:rsidP="0027466D">
      <w:pPr>
        <w:pStyle w:val="RetiefPleadingpara1"/>
        <w:numPr>
          <w:ilvl w:val="0"/>
          <w:numId w:val="0"/>
        </w:numPr>
        <w:tabs>
          <w:tab w:val="left" w:pos="851"/>
        </w:tabs>
        <w:spacing w:before="480" w:after="480"/>
        <w:rPr>
          <w:szCs w:val="24"/>
        </w:rPr>
      </w:pPr>
      <w:r>
        <w:rPr>
          <w:szCs w:val="24"/>
        </w:rPr>
        <w:lastRenderedPageBreak/>
        <w:t>[23]</w:t>
      </w:r>
      <w:r>
        <w:rPr>
          <w:szCs w:val="24"/>
        </w:rPr>
        <w:tab/>
      </w:r>
      <w:r w:rsidR="00CB2E2F">
        <w:rPr>
          <w:szCs w:val="24"/>
        </w:rPr>
        <w:t>In the</w:t>
      </w:r>
      <w:r w:rsidR="00CB2E2F" w:rsidRPr="009A3BFF">
        <w:rPr>
          <w:b/>
          <w:bCs/>
          <w:szCs w:val="24"/>
        </w:rPr>
        <w:t xml:space="preserve"> Oudekraal</w:t>
      </w:r>
      <w:r w:rsidR="00CB2E2F">
        <w:rPr>
          <w:szCs w:val="24"/>
        </w:rPr>
        <w:t xml:space="preserve"> matter the principle arose as a result of a collateral defence against the validity of an Administrator’s permission which, on the facts, </w:t>
      </w:r>
      <w:r w:rsidR="00EE00EA">
        <w:rPr>
          <w:szCs w:val="24"/>
        </w:rPr>
        <w:t xml:space="preserve">itself </w:t>
      </w:r>
      <w:r w:rsidR="00CB2E2F">
        <w:rPr>
          <w:szCs w:val="24"/>
        </w:rPr>
        <w:t xml:space="preserve">possessed finality. It was one final decision and not part of a tiered process. In other words, in </w:t>
      </w:r>
      <w:r w:rsidR="00CB2E2F" w:rsidRPr="009A3BFF">
        <w:rPr>
          <w:b/>
          <w:bCs/>
          <w:szCs w:val="24"/>
        </w:rPr>
        <w:t>Oudekraal</w:t>
      </w:r>
      <w:r w:rsidR="00CB2E2F">
        <w:rPr>
          <w:szCs w:val="24"/>
        </w:rPr>
        <w:t xml:space="preserve">, if the decision was not dealt with at the outset, its consequences (in this case unlawful and invalid consequences) stood as the final say on the matter. Conversely, only </w:t>
      </w:r>
      <w:r w:rsidR="00EE00EA">
        <w:rPr>
          <w:szCs w:val="24"/>
        </w:rPr>
        <w:t xml:space="preserve">the </w:t>
      </w:r>
      <w:r w:rsidR="00CB2E2F">
        <w:rPr>
          <w:szCs w:val="24"/>
        </w:rPr>
        <w:t>Finance Minister</w:t>
      </w:r>
      <w:r w:rsidR="00152769">
        <w:rPr>
          <w:szCs w:val="24"/>
        </w:rPr>
        <w:t>’s decision</w:t>
      </w:r>
      <w:r w:rsidR="00EE00EA">
        <w:rPr>
          <w:szCs w:val="24"/>
        </w:rPr>
        <w:t xml:space="preserve"> </w:t>
      </w:r>
      <w:r w:rsidR="00CB2E2F">
        <w:rPr>
          <w:szCs w:val="24"/>
        </w:rPr>
        <w:t>stands</w:t>
      </w:r>
      <w:r w:rsidR="00EE00EA">
        <w:rPr>
          <w:szCs w:val="24"/>
        </w:rPr>
        <w:t xml:space="preserve"> as</w:t>
      </w:r>
      <w:r w:rsidR="00CB2E2F">
        <w:rPr>
          <w:szCs w:val="24"/>
        </w:rPr>
        <w:t xml:space="preserve"> the final say </w:t>
      </w:r>
      <w:r w:rsidR="00EC003B">
        <w:rPr>
          <w:szCs w:val="24"/>
        </w:rPr>
        <w:t>i</w:t>
      </w:r>
      <w:r w:rsidR="00CB2E2F">
        <w:rPr>
          <w:szCs w:val="24"/>
        </w:rPr>
        <w:t>n the matter</w:t>
      </w:r>
      <w:r w:rsidR="00EE00EA">
        <w:rPr>
          <w:szCs w:val="24"/>
        </w:rPr>
        <w:t xml:space="preserve"> before me. </w:t>
      </w:r>
      <w:r w:rsidR="00142AE5">
        <w:rPr>
          <w:szCs w:val="24"/>
        </w:rPr>
        <w:t xml:space="preserve">I agree that setting aside the final decision would not, as </w:t>
      </w:r>
      <w:r w:rsidR="00DC3597">
        <w:rPr>
          <w:szCs w:val="24"/>
        </w:rPr>
        <w:t>AMIE</w:t>
      </w:r>
      <w:r w:rsidR="00142AE5">
        <w:rPr>
          <w:szCs w:val="24"/>
        </w:rPr>
        <w:t xml:space="preserve"> </w:t>
      </w:r>
      <w:r w:rsidR="00A519A3">
        <w:rPr>
          <w:szCs w:val="24"/>
        </w:rPr>
        <w:t xml:space="preserve">incorrectly </w:t>
      </w:r>
      <w:r w:rsidR="00142AE5">
        <w:rPr>
          <w:szCs w:val="24"/>
        </w:rPr>
        <w:t>contend</w:t>
      </w:r>
      <w:r w:rsidR="00A519A3">
        <w:rPr>
          <w:szCs w:val="24"/>
        </w:rPr>
        <w:t>ed</w:t>
      </w:r>
      <w:r w:rsidR="00142AE5">
        <w:rPr>
          <w:szCs w:val="24"/>
        </w:rPr>
        <w:t xml:space="preserve">, </w:t>
      </w:r>
      <w:r w:rsidR="00A519A3">
        <w:rPr>
          <w:szCs w:val="24"/>
        </w:rPr>
        <w:t xml:space="preserve">automatically </w:t>
      </w:r>
      <w:r w:rsidR="00142AE5">
        <w:rPr>
          <w:szCs w:val="24"/>
        </w:rPr>
        <w:t xml:space="preserve">render all the other </w:t>
      </w:r>
      <w:r w:rsidR="00A519A3">
        <w:rPr>
          <w:szCs w:val="24"/>
        </w:rPr>
        <w:t xml:space="preserve">recommendations or </w:t>
      </w:r>
      <w:r w:rsidR="00142AE5">
        <w:rPr>
          <w:szCs w:val="24"/>
        </w:rPr>
        <w:t xml:space="preserve">decisions at the various stages </w:t>
      </w:r>
      <w:r w:rsidR="00142AE5" w:rsidRPr="00142AE5">
        <w:rPr>
          <w:i/>
          <w:iCs/>
          <w:szCs w:val="24"/>
        </w:rPr>
        <w:t xml:space="preserve">ab </w:t>
      </w:r>
      <w:r w:rsidR="00142AE5">
        <w:rPr>
          <w:i/>
          <w:iCs/>
          <w:szCs w:val="24"/>
        </w:rPr>
        <w:t>i</w:t>
      </w:r>
      <w:r w:rsidR="00142AE5" w:rsidRPr="00142AE5">
        <w:rPr>
          <w:i/>
          <w:iCs/>
          <w:szCs w:val="24"/>
        </w:rPr>
        <w:t>nitio</w:t>
      </w:r>
      <w:r w:rsidR="00A519A3">
        <w:rPr>
          <w:i/>
          <w:iCs/>
          <w:szCs w:val="24"/>
        </w:rPr>
        <w:t>.</w:t>
      </w:r>
      <w:r w:rsidR="005F132D">
        <w:rPr>
          <w:rStyle w:val="FootnoteReference"/>
          <w:i/>
          <w:iCs/>
          <w:szCs w:val="24"/>
        </w:rPr>
        <w:footnoteReference w:id="13"/>
      </w:r>
      <w:r w:rsidR="00E02B87" w:rsidRPr="00E02B87">
        <w:rPr>
          <w:szCs w:val="24"/>
        </w:rPr>
        <w:t>The initiation decision serves more than a bases for ITAC’s final recommendation but triggers it. However, absent the Finance Minister’s approval it possess no effectiveness.</w:t>
      </w:r>
      <w:r w:rsidR="00E02B87">
        <w:rPr>
          <w:i/>
          <w:iCs/>
          <w:szCs w:val="24"/>
        </w:rPr>
        <w:t xml:space="preserve"> </w:t>
      </w:r>
    </w:p>
    <w:p w14:paraId="19A871E1" w14:textId="0C974F42" w:rsidR="00CB2E2F" w:rsidRDefault="0027466D" w:rsidP="0027466D">
      <w:pPr>
        <w:pStyle w:val="RetiefPleadingpara1"/>
        <w:numPr>
          <w:ilvl w:val="0"/>
          <w:numId w:val="0"/>
        </w:numPr>
        <w:tabs>
          <w:tab w:val="left" w:pos="851"/>
        </w:tabs>
        <w:spacing w:before="480" w:after="480"/>
        <w:rPr>
          <w:szCs w:val="24"/>
        </w:rPr>
      </w:pPr>
      <w:r>
        <w:rPr>
          <w:szCs w:val="24"/>
        </w:rPr>
        <w:t>[24]</w:t>
      </w:r>
      <w:r>
        <w:rPr>
          <w:szCs w:val="24"/>
        </w:rPr>
        <w:tab/>
      </w:r>
      <w:r w:rsidR="00E23508">
        <w:rPr>
          <w:szCs w:val="24"/>
        </w:rPr>
        <w:t>I</w:t>
      </w:r>
      <w:r w:rsidR="00CB2E2F">
        <w:rPr>
          <w:szCs w:val="24"/>
        </w:rPr>
        <w:t xml:space="preserve"> therefore find AMIE’s argument more compelling</w:t>
      </w:r>
      <w:r w:rsidR="000C066D">
        <w:rPr>
          <w:szCs w:val="24"/>
        </w:rPr>
        <w:t xml:space="preserve"> in the circumstances</w:t>
      </w:r>
      <w:r w:rsidR="00E23508">
        <w:rPr>
          <w:szCs w:val="24"/>
        </w:rPr>
        <w:t xml:space="preserve"> and notably in line with the CC in the </w:t>
      </w:r>
      <w:r w:rsidR="00E23508" w:rsidRPr="00994C33">
        <w:rPr>
          <w:b/>
          <w:bCs/>
          <w:szCs w:val="24"/>
        </w:rPr>
        <w:t xml:space="preserve">Clicks </w:t>
      </w:r>
      <w:r w:rsidR="00E23508">
        <w:rPr>
          <w:szCs w:val="24"/>
        </w:rPr>
        <w:t>matter.</w:t>
      </w:r>
      <w:r w:rsidR="00CB2E2F">
        <w:rPr>
          <w:szCs w:val="24"/>
        </w:rPr>
        <w:t xml:space="preserve"> </w:t>
      </w:r>
      <w:r w:rsidR="005F132D">
        <w:rPr>
          <w:szCs w:val="24"/>
        </w:rPr>
        <w:t xml:space="preserve">In consequence only </w:t>
      </w:r>
      <w:r w:rsidR="00E23508">
        <w:rPr>
          <w:szCs w:val="24"/>
        </w:rPr>
        <w:t xml:space="preserve">the </w:t>
      </w:r>
      <w:r w:rsidR="00152769">
        <w:rPr>
          <w:szCs w:val="24"/>
        </w:rPr>
        <w:t xml:space="preserve">Finance </w:t>
      </w:r>
      <w:r w:rsidR="00994C33">
        <w:rPr>
          <w:szCs w:val="24"/>
        </w:rPr>
        <w:t>Minister’s decision</w:t>
      </w:r>
      <w:r w:rsidR="00E23508">
        <w:rPr>
          <w:szCs w:val="24"/>
        </w:rPr>
        <w:t xml:space="preserve"> </w:t>
      </w:r>
      <w:r w:rsidR="005F132D">
        <w:rPr>
          <w:szCs w:val="24"/>
        </w:rPr>
        <w:t xml:space="preserve">stands to be reviewed. </w:t>
      </w:r>
    </w:p>
    <w:p w14:paraId="361A434B" w14:textId="258F99BF" w:rsidR="000147F9" w:rsidRPr="000147F9" w:rsidRDefault="000147F9" w:rsidP="009472CC">
      <w:pPr>
        <w:pStyle w:val="RetiefPleadingpara1"/>
        <w:numPr>
          <w:ilvl w:val="0"/>
          <w:numId w:val="0"/>
        </w:numPr>
        <w:spacing w:before="480" w:after="480"/>
        <w:rPr>
          <w:i/>
          <w:iCs/>
          <w:szCs w:val="24"/>
          <w:u w:val="single"/>
        </w:rPr>
      </w:pPr>
      <w:r w:rsidRPr="000147F9">
        <w:rPr>
          <w:i/>
          <w:iCs/>
          <w:szCs w:val="24"/>
          <w:u w:val="single"/>
        </w:rPr>
        <w:t>By way of PAJA or legality review</w:t>
      </w:r>
      <w:r w:rsidRPr="00994C33">
        <w:rPr>
          <w:i/>
          <w:iCs/>
          <w:szCs w:val="24"/>
        </w:rPr>
        <w:t>?</w:t>
      </w:r>
    </w:p>
    <w:p w14:paraId="6E257B35" w14:textId="5020923F" w:rsidR="00CB2E2F" w:rsidRPr="00A20BBA" w:rsidRDefault="0027466D" w:rsidP="0027466D">
      <w:pPr>
        <w:pStyle w:val="RetiefPleadingpara1"/>
        <w:numPr>
          <w:ilvl w:val="0"/>
          <w:numId w:val="0"/>
        </w:numPr>
        <w:tabs>
          <w:tab w:val="left" w:pos="851"/>
        </w:tabs>
        <w:spacing w:before="480" w:after="480"/>
        <w:rPr>
          <w:szCs w:val="24"/>
        </w:rPr>
      </w:pPr>
      <w:r w:rsidRPr="00A20BBA">
        <w:rPr>
          <w:szCs w:val="24"/>
        </w:rPr>
        <w:t>[25]</w:t>
      </w:r>
      <w:r w:rsidRPr="00A20BBA">
        <w:rPr>
          <w:szCs w:val="24"/>
        </w:rPr>
        <w:tab/>
      </w:r>
      <w:r w:rsidR="00DC3597">
        <w:rPr>
          <w:szCs w:val="24"/>
        </w:rPr>
        <w:t>AMIE</w:t>
      </w:r>
      <w:r w:rsidR="00CB2E2F">
        <w:rPr>
          <w:szCs w:val="24"/>
        </w:rPr>
        <w:t xml:space="preserve"> in their papers brought the review </w:t>
      </w:r>
      <w:r w:rsidR="000C066D">
        <w:rPr>
          <w:szCs w:val="24"/>
        </w:rPr>
        <w:t>relief against the Finance Minister</w:t>
      </w:r>
      <w:r w:rsidR="00152769">
        <w:rPr>
          <w:szCs w:val="24"/>
        </w:rPr>
        <w:t xml:space="preserve">’s decision </w:t>
      </w:r>
      <w:r w:rsidR="00CB2E2F">
        <w:rPr>
          <w:szCs w:val="24"/>
        </w:rPr>
        <w:t xml:space="preserve">by </w:t>
      </w:r>
      <w:r w:rsidR="000C066D">
        <w:rPr>
          <w:szCs w:val="24"/>
        </w:rPr>
        <w:t xml:space="preserve">way </w:t>
      </w:r>
      <w:r w:rsidR="00CB2E2F">
        <w:rPr>
          <w:szCs w:val="24"/>
        </w:rPr>
        <w:t>of PAJA</w:t>
      </w:r>
      <w:r w:rsidR="00994C33">
        <w:rPr>
          <w:szCs w:val="24"/>
        </w:rPr>
        <w:t>,</w:t>
      </w:r>
      <w:r w:rsidR="00CB2E2F">
        <w:rPr>
          <w:szCs w:val="24"/>
        </w:rPr>
        <w:t xml:space="preserve"> alternatively by way of a legality review. </w:t>
      </w:r>
      <w:r w:rsidR="00DC3597">
        <w:rPr>
          <w:szCs w:val="24"/>
        </w:rPr>
        <w:t>AMIE</w:t>
      </w:r>
      <w:r w:rsidR="000147F9">
        <w:rPr>
          <w:szCs w:val="24"/>
        </w:rPr>
        <w:t xml:space="preserve">, </w:t>
      </w:r>
      <w:r w:rsidR="00AD7716">
        <w:rPr>
          <w:szCs w:val="24"/>
        </w:rPr>
        <w:t>however,</w:t>
      </w:r>
      <w:r w:rsidR="000147F9">
        <w:rPr>
          <w:szCs w:val="24"/>
        </w:rPr>
        <w:t xml:space="preserve"> </w:t>
      </w:r>
      <w:r w:rsidR="00CB2E2F">
        <w:rPr>
          <w:szCs w:val="24"/>
        </w:rPr>
        <w:t>correctly</w:t>
      </w:r>
      <w:r w:rsidR="000147F9">
        <w:rPr>
          <w:szCs w:val="24"/>
        </w:rPr>
        <w:t>,</w:t>
      </w:r>
      <w:r w:rsidR="00CB2E2F">
        <w:rPr>
          <w:szCs w:val="24"/>
        </w:rPr>
        <w:t xml:space="preserve"> in argument</w:t>
      </w:r>
      <w:r w:rsidR="000147F9">
        <w:rPr>
          <w:szCs w:val="24"/>
        </w:rPr>
        <w:t xml:space="preserve"> </w:t>
      </w:r>
      <w:r w:rsidR="00CB2E2F">
        <w:rPr>
          <w:szCs w:val="24"/>
        </w:rPr>
        <w:t>conceded that the</w:t>
      </w:r>
      <w:r w:rsidR="000147F9">
        <w:rPr>
          <w:szCs w:val="24"/>
        </w:rPr>
        <w:t xml:space="preserve"> </w:t>
      </w:r>
      <w:r w:rsidR="000C066D">
        <w:rPr>
          <w:szCs w:val="24"/>
        </w:rPr>
        <w:t>Finance Minister</w:t>
      </w:r>
      <w:r w:rsidR="00152769">
        <w:rPr>
          <w:szCs w:val="24"/>
        </w:rPr>
        <w:t xml:space="preserve">’s </w:t>
      </w:r>
      <w:r w:rsidR="00994C33">
        <w:rPr>
          <w:szCs w:val="24"/>
        </w:rPr>
        <w:t>decision stands</w:t>
      </w:r>
      <w:r w:rsidR="00CB2E2F">
        <w:rPr>
          <w:szCs w:val="24"/>
        </w:rPr>
        <w:t xml:space="preserve"> to be reviewed on the principles of legality rather than PAJA. This concession is well made </w:t>
      </w:r>
      <w:r w:rsidR="000147F9">
        <w:rPr>
          <w:szCs w:val="24"/>
        </w:rPr>
        <w:t xml:space="preserve">having regard to what </w:t>
      </w:r>
      <w:r w:rsidR="00CB2E2F">
        <w:rPr>
          <w:szCs w:val="24"/>
        </w:rPr>
        <w:t>K</w:t>
      </w:r>
      <w:r w:rsidR="00AD7716">
        <w:rPr>
          <w:szCs w:val="24"/>
        </w:rPr>
        <w:t>h</w:t>
      </w:r>
      <w:r w:rsidR="00CB2E2F">
        <w:rPr>
          <w:szCs w:val="24"/>
        </w:rPr>
        <w:t xml:space="preserve">ampepe J, writing for the majority in the </w:t>
      </w:r>
      <w:r w:rsidR="00CB2E2F" w:rsidRPr="00F236AC">
        <w:rPr>
          <w:b/>
          <w:bCs/>
          <w:szCs w:val="24"/>
        </w:rPr>
        <w:t>Minister of Defence and Military Veterans v Motau</w:t>
      </w:r>
      <w:r w:rsidR="00CB2E2F" w:rsidRPr="00A20BBA">
        <w:rPr>
          <w:rStyle w:val="FootnoteReference"/>
          <w:szCs w:val="24"/>
        </w:rPr>
        <w:footnoteReference w:id="14"/>
      </w:r>
      <w:r w:rsidR="00CB2E2F" w:rsidRPr="00A20BBA">
        <w:rPr>
          <w:szCs w:val="24"/>
        </w:rPr>
        <w:t xml:space="preserve"> </w:t>
      </w:r>
      <w:r w:rsidR="000147F9">
        <w:rPr>
          <w:szCs w:val="24"/>
        </w:rPr>
        <w:t>had to say i</w:t>
      </w:r>
      <w:r w:rsidR="00CB2E2F" w:rsidRPr="00A20BBA">
        <w:rPr>
          <w:szCs w:val="24"/>
        </w:rPr>
        <w:t xml:space="preserve">n which the application of </w:t>
      </w:r>
      <w:r w:rsidR="00CB2E2F" w:rsidRPr="00A20BBA">
        <w:rPr>
          <w:szCs w:val="24"/>
        </w:rPr>
        <w:lastRenderedPageBreak/>
        <w:t>PAJA</w:t>
      </w:r>
      <w:r w:rsidR="00CB2E2F">
        <w:rPr>
          <w:szCs w:val="24"/>
        </w:rPr>
        <w:t>,</w:t>
      </w:r>
      <w:r w:rsidR="00CB2E2F" w:rsidRPr="00A20BBA">
        <w:rPr>
          <w:szCs w:val="24"/>
        </w:rPr>
        <w:t xml:space="preserve"> alternatively a legality review was discussed</w:t>
      </w:r>
      <w:r w:rsidR="000147F9">
        <w:rPr>
          <w:szCs w:val="24"/>
        </w:rPr>
        <w:t>. K</w:t>
      </w:r>
      <w:r w:rsidR="00AD7716">
        <w:rPr>
          <w:szCs w:val="24"/>
        </w:rPr>
        <w:t>h</w:t>
      </w:r>
      <w:r w:rsidR="000147F9">
        <w:rPr>
          <w:szCs w:val="24"/>
        </w:rPr>
        <w:t>ampepe J</w:t>
      </w:r>
      <w:r w:rsidR="000147F9" w:rsidRPr="00A20BBA">
        <w:rPr>
          <w:szCs w:val="24"/>
        </w:rPr>
        <w:t xml:space="preserve"> </w:t>
      </w:r>
      <w:r w:rsidR="00CB2E2F" w:rsidRPr="00A20BBA">
        <w:rPr>
          <w:szCs w:val="24"/>
        </w:rPr>
        <w:t>emphas</w:t>
      </w:r>
      <w:r w:rsidR="00CB2E2F">
        <w:rPr>
          <w:szCs w:val="24"/>
        </w:rPr>
        <w:t>i</w:t>
      </w:r>
      <w:r w:rsidR="00CB2E2F" w:rsidRPr="00A20BBA">
        <w:rPr>
          <w:szCs w:val="24"/>
        </w:rPr>
        <w:t>s</w:t>
      </w:r>
      <w:r w:rsidR="00CB2E2F">
        <w:rPr>
          <w:szCs w:val="24"/>
        </w:rPr>
        <w:t>ed</w:t>
      </w:r>
      <w:r w:rsidR="00CB2E2F" w:rsidRPr="00A20BBA">
        <w:rPr>
          <w:szCs w:val="24"/>
        </w:rPr>
        <w:t xml:space="preserve"> that the correct order of enquiry in review matters is to consider, first, whether PAJA applies, and only if it does not</w:t>
      </w:r>
      <w:r w:rsidR="00CB2E2F">
        <w:rPr>
          <w:szCs w:val="24"/>
        </w:rPr>
        <w:t>,</w:t>
      </w:r>
      <w:r w:rsidR="00CB2E2F" w:rsidRPr="00A20BBA">
        <w:rPr>
          <w:szCs w:val="24"/>
        </w:rPr>
        <w:t xml:space="preserve"> what is demanded by general constitutional principles such as the rule of law. </w:t>
      </w:r>
      <w:r w:rsidR="00CB2E2F">
        <w:rPr>
          <w:szCs w:val="24"/>
        </w:rPr>
        <w:t>If the powers of the decision</w:t>
      </w:r>
      <w:r w:rsidR="00AD7716">
        <w:rPr>
          <w:szCs w:val="24"/>
        </w:rPr>
        <w:t>-</w:t>
      </w:r>
      <w:r w:rsidR="00CB2E2F">
        <w:rPr>
          <w:szCs w:val="24"/>
        </w:rPr>
        <w:t>maker are more closely related to the formulation of policy (executive nature) then a legality review follows</w:t>
      </w:r>
      <w:r w:rsidR="00AD7716">
        <w:rPr>
          <w:szCs w:val="24"/>
        </w:rPr>
        <w:t>;</w:t>
      </w:r>
      <w:r w:rsidR="00CB2E2F">
        <w:rPr>
          <w:szCs w:val="24"/>
        </w:rPr>
        <w:t xml:space="preserve"> and if the decision relates to the implementation of legislation (administrative nature) then PAJA applies.</w:t>
      </w:r>
    </w:p>
    <w:p w14:paraId="2EF4A27B" w14:textId="0F5F2524" w:rsidR="00CB2E2F" w:rsidRPr="004177DB" w:rsidRDefault="0027466D" w:rsidP="0027466D">
      <w:pPr>
        <w:pStyle w:val="RetiefPleadingpara1"/>
        <w:numPr>
          <w:ilvl w:val="0"/>
          <w:numId w:val="0"/>
        </w:numPr>
        <w:tabs>
          <w:tab w:val="left" w:pos="851"/>
        </w:tabs>
        <w:spacing w:before="480" w:after="480"/>
        <w:rPr>
          <w:szCs w:val="24"/>
        </w:rPr>
      </w:pPr>
      <w:r w:rsidRPr="004177DB">
        <w:rPr>
          <w:szCs w:val="24"/>
        </w:rPr>
        <w:t>[26]</w:t>
      </w:r>
      <w:r w:rsidRPr="004177DB">
        <w:rPr>
          <w:szCs w:val="24"/>
        </w:rPr>
        <w:tab/>
      </w:r>
      <w:r w:rsidR="00CB2E2F">
        <w:rPr>
          <w:szCs w:val="24"/>
        </w:rPr>
        <w:t xml:space="preserve">Applying the enquiry, </w:t>
      </w:r>
      <w:r w:rsidR="00CB2E2F" w:rsidRPr="009A3BFF">
        <w:rPr>
          <w:i/>
          <w:iCs/>
          <w:szCs w:val="24"/>
        </w:rPr>
        <w:t>supra</w:t>
      </w:r>
      <w:r w:rsidR="00CB2E2F">
        <w:rPr>
          <w:szCs w:val="24"/>
        </w:rPr>
        <w:t xml:space="preserve">, it is common cause that the Finance Minister derives his power to </w:t>
      </w:r>
      <w:r w:rsidR="00465D9F">
        <w:rPr>
          <w:szCs w:val="24"/>
        </w:rPr>
        <w:t xml:space="preserve">make his final decision from </w:t>
      </w:r>
      <w:r w:rsidR="00CB2E2F">
        <w:rPr>
          <w:szCs w:val="24"/>
        </w:rPr>
        <w:t>the Customs Act</w:t>
      </w:r>
      <w:r w:rsidR="000C066D">
        <w:rPr>
          <w:szCs w:val="24"/>
        </w:rPr>
        <w:t>. H</w:t>
      </w:r>
      <w:r w:rsidR="00CB2E2F">
        <w:rPr>
          <w:szCs w:val="24"/>
        </w:rPr>
        <w:t>owever</w:t>
      </w:r>
      <w:r w:rsidR="00AD7716">
        <w:rPr>
          <w:szCs w:val="24"/>
        </w:rPr>
        <w:t>,</w:t>
      </w:r>
      <w:r w:rsidR="00CB2E2F">
        <w:rPr>
          <w:szCs w:val="24"/>
        </w:rPr>
        <w:t xml:space="preserve"> as is borne out of section 85(2) (b-d) of the Constitution read with section 1(i)(aa) of PAJA, the Finance Minister when executing such derived powers, does so as described in the </w:t>
      </w:r>
      <w:r w:rsidR="00CB2E2F" w:rsidRPr="004177DB">
        <w:rPr>
          <w:b/>
          <w:bCs/>
          <w:szCs w:val="24"/>
        </w:rPr>
        <w:t>SCAW</w:t>
      </w:r>
      <w:r w:rsidR="00CB2E2F">
        <w:rPr>
          <w:szCs w:val="24"/>
        </w:rPr>
        <w:t xml:space="preserve"> matter, within the realm of the development and implementation of national policy on international trade as catered for in section 85(2) (b-d) of the Constitution. Such powers are specifically excluded in section 1 of PAJA. Therefore, to venture into the applicability</w:t>
      </w:r>
      <w:r w:rsidR="00E921E6">
        <w:rPr>
          <w:szCs w:val="24"/>
        </w:rPr>
        <w:t xml:space="preserve">, </w:t>
      </w:r>
      <w:r w:rsidR="00B43434">
        <w:rPr>
          <w:szCs w:val="24"/>
        </w:rPr>
        <w:t xml:space="preserve">compliance </w:t>
      </w:r>
      <w:r w:rsidR="00CB2E2F">
        <w:rPr>
          <w:szCs w:val="24"/>
        </w:rPr>
        <w:t>of</w:t>
      </w:r>
      <w:r w:rsidR="00AD7716">
        <w:rPr>
          <w:szCs w:val="24"/>
        </w:rPr>
        <w:t>,</w:t>
      </w:r>
      <w:r w:rsidR="00CB2E2F">
        <w:rPr>
          <w:szCs w:val="24"/>
        </w:rPr>
        <w:t xml:space="preserve"> and applying the provisions of PAJA</w:t>
      </w:r>
      <w:r w:rsidR="00CB2E2F">
        <w:rPr>
          <w:rStyle w:val="FootnoteReference"/>
          <w:szCs w:val="24"/>
        </w:rPr>
        <w:footnoteReference w:id="15"/>
      </w:r>
      <w:r w:rsidR="00CB2E2F">
        <w:rPr>
          <w:szCs w:val="24"/>
        </w:rPr>
        <w:t xml:space="preserve"> becomes unnecessary. The Finance Minister’s function is executive of nature</w:t>
      </w:r>
      <w:r w:rsidR="000147F9">
        <w:rPr>
          <w:szCs w:val="24"/>
        </w:rPr>
        <w:t xml:space="preserve"> and </w:t>
      </w:r>
      <w:r w:rsidR="00DC3597">
        <w:rPr>
          <w:szCs w:val="24"/>
        </w:rPr>
        <w:t>AMIE</w:t>
      </w:r>
      <w:r w:rsidR="000147F9">
        <w:rPr>
          <w:szCs w:val="24"/>
        </w:rPr>
        <w:t>’s concession is well made and in line with the contentions of ITAC, the Trade Minister and SAPA.</w:t>
      </w:r>
    </w:p>
    <w:p w14:paraId="7A0A16AE" w14:textId="74417CD6" w:rsidR="00CB2E2F" w:rsidRDefault="0027466D" w:rsidP="0027466D">
      <w:pPr>
        <w:pStyle w:val="RetiefPleadingpara1"/>
        <w:numPr>
          <w:ilvl w:val="0"/>
          <w:numId w:val="0"/>
        </w:numPr>
        <w:tabs>
          <w:tab w:val="left" w:pos="851"/>
        </w:tabs>
        <w:spacing w:before="480" w:after="480"/>
        <w:rPr>
          <w:szCs w:val="24"/>
        </w:rPr>
      </w:pPr>
      <w:r>
        <w:rPr>
          <w:szCs w:val="24"/>
        </w:rPr>
        <w:t>[27]</w:t>
      </w:r>
      <w:r>
        <w:rPr>
          <w:szCs w:val="24"/>
        </w:rPr>
        <w:tab/>
      </w:r>
      <w:r w:rsidR="00CB2E2F" w:rsidRPr="00C97045">
        <w:rPr>
          <w:szCs w:val="24"/>
        </w:rPr>
        <w:t>It now flows that the Finance</w:t>
      </w:r>
      <w:r w:rsidR="00CB2E2F">
        <w:rPr>
          <w:szCs w:val="24"/>
        </w:rPr>
        <w:t xml:space="preserve"> Minister’s decision is to be dealt with through the legality lens. I proceed on this basis and as such do not deal with AMIE’s reliance on any PAJA grounds including their reliance on section 5(3) thereof.</w:t>
      </w:r>
    </w:p>
    <w:p w14:paraId="445F1759" w14:textId="75590C80" w:rsidR="000147F9" w:rsidRPr="000147F9" w:rsidRDefault="0027466D" w:rsidP="0027466D">
      <w:pPr>
        <w:pStyle w:val="RetiefPleadingpara1"/>
        <w:numPr>
          <w:ilvl w:val="0"/>
          <w:numId w:val="0"/>
        </w:numPr>
        <w:tabs>
          <w:tab w:val="left" w:pos="851"/>
        </w:tabs>
        <w:spacing w:before="480" w:after="480"/>
        <w:rPr>
          <w:szCs w:val="24"/>
        </w:rPr>
      </w:pPr>
      <w:r w:rsidRPr="000147F9">
        <w:rPr>
          <w:szCs w:val="24"/>
        </w:rPr>
        <w:lastRenderedPageBreak/>
        <w:t>[28]</w:t>
      </w:r>
      <w:r w:rsidRPr="000147F9">
        <w:rPr>
          <w:szCs w:val="24"/>
        </w:rPr>
        <w:tab/>
      </w:r>
      <w:r w:rsidR="00CB2E2F">
        <w:rPr>
          <w:szCs w:val="24"/>
        </w:rPr>
        <w:t>The doctrine of legality is part of the rule of law and emanates from section 1(c) of the Constitution and is a mirror image of administrative law - under a different name.</w:t>
      </w:r>
      <w:r w:rsidR="00CB2E2F">
        <w:rPr>
          <w:rStyle w:val="FootnoteReference"/>
          <w:szCs w:val="24"/>
        </w:rPr>
        <w:footnoteReference w:id="16"/>
      </w:r>
      <w:r w:rsidR="00CB2E2F">
        <w:rPr>
          <w:szCs w:val="24"/>
        </w:rPr>
        <w:t xml:space="preserve"> Legality grounds are not codified however</w:t>
      </w:r>
      <w:r w:rsidR="00C97045">
        <w:rPr>
          <w:szCs w:val="24"/>
        </w:rPr>
        <w:t>,</w:t>
      </w:r>
      <w:r w:rsidR="00CB2E2F">
        <w:rPr>
          <w:szCs w:val="24"/>
        </w:rPr>
        <w:t xml:space="preserve"> our </w:t>
      </w:r>
      <w:r w:rsidR="00C97045">
        <w:rPr>
          <w:szCs w:val="24"/>
        </w:rPr>
        <w:t>c</w:t>
      </w:r>
      <w:r w:rsidR="00CB2E2F">
        <w:rPr>
          <w:szCs w:val="24"/>
        </w:rPr>
        <w:t>ourts have recognised a wide range of review grounds in terms of the principle of legality. Whilst PAJA review grounds are codified and enumerated in section 6 of PAJA, section 6(f)(ii)(aa) includes a recognised legality ground, namely that “</w:t>
      </w:r>
      <w:r w:rsidR="00CB2E2F" w:rsidRPr="009B2078">
        <w:rPr>
          <w:i/>
          <w:iCs/>
          <w:szCs w:val="24"/>
        </w:rPr>
        <w:t>the action itself…</w:t>
      </w:r>
      <w:r w:rsidR="00C97045">
        <w:rPr>
          <w:i/>
          <w:iCs/>
          <w:szCs w:val="24"/>
        </w:rPr>
        <w:t>i</w:t>
      </w:r>
      <w:r w:rsidR="00CB2E2F" w:rsidRPr="009B2078">
        <w:rPr>
          <w:i/>
          <w:iCs/>
          <w:szCs w:val="24"/>
        </w:rPr>
        <w:t>s not rationally connected …. to the purpose for which it was taken</w:t>
      </w:r>
      <w:r w:rsidR="00CB2E2F">
        <w:rPr>
          <w:szCs w:val="24"/>
        </w:rPr>
        <w:t xml:space="preserve">.” </w:t>
      </w:r>
    </w:p>
    <w:p w14:paraId="73CB3B5B" w14:textId="679FB7BF" w:rsidR="00CB2E2F" w:rsidRDefault="0027466D" w:rsidP="0027466D">
      <w:pPr>
        <w:pStyle w:val="RetiefPleadingpara1"/>
        <w:numPr>
          <w:ilvl w:val="0"/>
          <w:numId w:val="0"/>
        </w:numPr>
        <w:tabs>
          <w:tab w:val="left" w:pos="851"/>
        </w:tabs>
        <w:spacing w:before="480" w:after="480"/>
        <w:rPr>
          <w:szCs w:val="24"/>
        </w:rPr>
      </w:pPr>
      <w:r>
        <w:rPr>
          <w:szCs w:val="24"/>
        </w:rPr>
        <w:t>[29]</w:t>
      </w:r>
      <w:r>
        <w:rPr>
          <w:szCs w:val="24"/>
        </w:rPr>
        <w:tab/>
      </w:r>
      <w:r w:rsidR="00DC3597">
        <w:rPr>
          <w:szCs w:val="24"/>
        </w:rPr>
        <w:t>AMIE</w:t>
      </w:r>
      <w:r w:rsidR="00CB2E2F">
        <w:rPr>
          <w:szCs w:val="24"/>
        </w:rPr>
        <w:t xml:space="preserve"> </w:t>
      </w:r>
      <w:r w:rsidR="000C066D">
        <w:rPr>
          <w:szCs w:val="24"/>
        </w:rPr>
        <w:t>in argument advanced</w:t>
      </w:r>
      <w:r w:rsidR="00CB2E2F">
        <w:rPr>
          <w:szCs w:val="24"/>
        </w:rPr>
        <w:t xml:space="preserve"> the grounds of lawfulness and </w:t>
      </w:r>
      <w:r w:rsidR="000C066D">
        <w:rPr>
          <w:szCs w:val="24"/>
        </w:rPr>
        <w:t>r</w:t>
      </w:r>
      <w:r w:rsidR="00CB2E2F">
        <w:rPr>
          <w:szCs w:val="24"/>
        </w:rPr>
        <w:t xml:space="preserve">ationality </w:t>
      </w:r>
      <w:r w:rsidR="000C066D">
        <w:rPr>
          <w:szCs w:val="24"/>
        </w:rPr>
        <w:t xml:space="preserve">as against the </w:t>
      </w:r>
      <w:r w:rsidR="00CB2E2F">
        <w:rPr>
          <w:szCs w:val="24"/>
        </w:rPr>
        <w:t>Finance Minister’s decision. Expanding th</w:t>
      </w:r>
      <w:r w:rsidR="000C066D">
        <w:rPr>
          <w:szCs w:val="24"/>
        </w:rPr>
        <w:t>ose</w:t>
      </w:r>
      <w:r w:rsidR="00CB2E2F">
        <w:rPr>
          <w:szCs w:val="24"/>
        </w:rPr>
        <w:t xml:space="preserve"> grounds, the issues for determination are:</w:t>
      </w:r>
    </w:p>
    <w:p w14:paraId="56B11841" w14:textId="4CF82B3E" w:rsidR="00CB2E2F" w:rsidRPr="00A20BBA" w:rsidRDefault="0027466D" w:rsidP="0027466D">
      <w:pPr>
        <w:pStyle w:val="RetiefPleadingpara1"/>
        <w:numPr>
          <w:ilvl w:val="0"/>
          <w:numId w:val="0"/>
        </w:numPr>
        <w:tabs>
          <w:tab w:val="left" w:pos="1701"/>
        </w:tabs>
        <w:spacing w:before="480" w:after="480"/>
        <w:ind w:left="1701" w:hanging="850"/>
      </w:pPr>
      <w:r w:rsidRPr="00A20BBA">
        <w:t>29.1</w:t>
      </w:r>
      <w:r w:rsidRPr="00A20BBA">
        <w:tab/>
      </w:r>
      <w:r w:rsidR="000C066D">
        <w:rPr>
          <w:szCs w:val="24"/>
        </w:rPr>
        <w:t xml:space="preserve">An enquiry into the </w:t>
      </w:r>
      <w:r w:rsidR="00152769">
        <w:rPr>
          <w:szCs w:val="24"/>
        </w:rPr>
        <w:t xml:space="preserve">Deputy </w:t>
      </w:r>
      <w:r w:rsidR="000C066D">
        <w:rPr>
          <w:szCs w:val="24"/>
        </w:rPr>
        <w:t xml:space="preserve">Minister’s </w:t>
      </w:r>
      <w:r w:rsidR="00CB2E2F">
        <w:rPr>
          <w:szCs w:val="24"/>
        </w:rPr>
        <w:t xml:space="preserve">authority and power to take the </w:t>
      </w:r>
      <w:r w:rsidR="00152769">
        <w:rPr>
          <w:szCs w:val="24"/>
        </w:rPr>
        <w:t xml:space="preserve">Finance Minister’s </w:t>
      </w:r>
      <w:r w:rsidR="00CB2E2F">
        <w:rPr>
          <w:szCs w:val="24"/>
        </w:rPr>
        <w:t>decision;</w:t>
      </w:r>
      <w:r w:rsidR="000C066D">
        <w:rPr>
          <w:szCs w:val="24"/>
        </w:rPr>
        <w:t xml:space="preserve"> and</w:t>
      </w:r>
    </w:p>
    <w:p w14:paraId="3F3BB48A" w14:textId="0A7887A3" w:rsidR="00CB2E2F" w:rsidRPr="000C066D" w:rsidRDefault="0027466D" w:rsidP="0027466D">
      <w:pPr>
        <w:pStyle w:val="RetiefPleadingpara1"/>
        <w:numPr>
          <w:ilvl w:val="0"/>
          <w:numId w:val="0"/>
        </w:numPr>
        <w:tabs>
          <w:tab w:val="left" w:pos="1701"/>
        </w:tabs>
        <w:spacing w:before="480" w:after="480"/>
        <w:ind w:left="1701" w:hanging="850"/>
        <w:rPr>
          <w:color w:val="000000" w:themeColor="text1"/>
          <w:szCs w:val="24"/>
        </w:rPr>
      </w:pPr>
      <w:r w:rsidRPr="000C066D">
        <w:rPr>
          <w:szCs w:val="24"/>
        </w:rPr>
        <w:t>29.2</w:t>
      </w:r>
      <w:r w:rsidRPr="000C066D">
        <w:rPr>
          <w:szCs w:val="24"/>
        </w:rPr>
        <w:tab/>
      </w:r>
      <w:r w:rsidR="00CB2E2F" w:rsidRPr="009A3BFF">
        <w:rPr>
          <w:color w:val="000000" w:themeColor="text1"/>
          <w:szCs w:val="24"/>
        </w:rPr>
        <w:t xml:space="preserve">The rationality of </w:t>
      </w:r>
      <w:r w:rsidR="00152769">
        <w:rPr>
          <w:color w:val="000000" w:themeColor="text1"/>
          <w:szCs w:val="24"/>
        </w:rPr>
        <w:t>the</w:t>
      </w:r>
      <w:r w:rsidR="00E921E6">
        <w:rPr>
          <w:color w:val="000000" w:themeColor="text1"/>
          <w:szCs w:val="24"/>
        </w:rPr>
        <w:t xml:space="preserve"> Deputy</w:t>
      </w:r>
      <w:r w:rsidR="00152769">
        <w:rPr>
          <w:color w:val="000000" w:themeColor="text1"/>
          <w:szCs w:val="24"/>
        </w:rPr>
        <w:t xml:space="preserve"> Minister’s </w:t>
      </w:r>
      <w:r w:rsidR="00CB2E2F" w:rsidRPr="009A3BFF">
        <w:rPr>
          <w:color w:val="000000" w:themeColor="text1"/>
          <w:szCs w:val="24"/>
        </w:rPr>
        <w:t>decision</w:t>
      </w:r>
      <w:r w:rsidR="000C066D">
        <w:rPr>
          <w:color w:val="000000" w:themeColor="text1"/>
          <w:szCs w:val="24"/>
        </w:rPr>
        <w:t>.</w:t>
      </w:r>
    </w:p>
    <w:p w14:paraId="7D87270B" w14:textId="4D60826E" w:rsidR="000C066D" w:rsidRDefault="0027466D" w:rsidP="0027466D">
      <w:pPr>
        <w:pStyle w:val="RetiefPleadingpara1"/>
        <w:numPr>
          <w:ilvl w:val="0"/>
          <w:numId w:val="0"/>
        </w:numPr>
        <w:tabs>
          <w:tab w:val="left" w:pos="851"/>
        </w:tabs>
        <w:spacing w:before="480" w:after="480"/>
        <w:rPr>
          <w:color w:val="000000" w:themeColor="text1"/>
          <w:szCs w:val="24"/>
        </w:rPr>
      </w:pPr>
      <w:r>
        <w:rPr>
          <w:szCs w:val="24"/>
        </w:rPr>
        <w:t>[30]</w:t>
      </w:r>
      <w:r>
        <w:rPr>
          <w:szCs w:val="24"/>
        </w:rPr>
        <w:tab/>
      </w:r>
      <w:r w:rsidR="000C066D">
        <w:rPr>
          <w:color w:val="000000" w:themeColor="text1"/>
          <w:szCs w:val="24"/>
        </w:rPr>
        <w:t>T</w:t>
      </w:r>
      <w:r w:rsidR="00C72F5C">
        <w:rPr>
          <w:color w:val="000000" w:themeColor="text1"/>
          <w:szCs w:val="24"/>
        </w:rPr>
        <w:t>he chronol</w:t>
      </w:r>
      <w:r w:rsidR="000C066D">
        <w:rPr>
          <w:color w:val="000000" w:themeColor="text1"/>
          <w:szCs w:val="24"/>
        </w:rPr>
        <w:t>o</w:t>
      </w:r>
      <w:r w:rsidR="00C72F5C">
        <w:rPr>
          <w:color w:val="000000" w:themeColor="text1"/>
          <w:szCs w:val="24"/>
        </w:rPr>
        <w:t xml:space="preserve">gy of the events are mostly common cause. I however deal with them to place complaints of procedural fairness and bias </w:t>
      </w:r>
      <w:r w:rsidR="00E02B87">
        <w:rPr>
          <w:color w:val="000000" w:themeColor="text1"/>
          <w:szCs w:val="24"/>
        </w:rPr>
        <w:t xml:space="preserve">levied against ITAC </w:t>
      </w:r>
      <w:r w:rsidR="00C72F5C">
        <w:rPr>
          <w:color w:val="000000" w:themeColor="text1"/>
          <w:szCs w:val="24"/>
        </w:rPr>
        <w:t xml:space="preserve">in context and to set the background upon which </w:t>
      </w:r>
      <w:r w:rsidR="00E02B87">
        <w:rPr>
          <w:color w:val="000000" w:themeColor="text1"/>
          <w:szCs w:val="24"/>
        </w:rPr>
        <w:t xml:space="preserve">the </w:t>
      </w:r>
      <w:r w:rsidR="00C72F5C">
        <w:rPr>
          <w:color w:val="000000" w:themeColor="text1"/>
          <w:szCs w:val="24"/>
        </w:rPr>
        <w:t xml:space="preserve">rationality </w:t>
      </w:r>
      <w:r w:rsidR="00E02B87">
        <w:rPr>
          <w:color w:val="000000" w:themeColor="text1"/>
          <w:szCs w:val="24"/>
        </w:rPr>
        <w:t xml:space="preserve">test, as against the Finance Minister, </w:t>
      </w:r>
      <w:r w:rsidR="00C72F5C">
        <w:rPr>
          <w:color w:val="000000" w:themeColor="text1"/>
          <w:szCs w:val="24"/>
        </w:rPr>
        <w:t>can be determined.</w:t>
      </w:r>
    </w:p>
    <w:p w14:paraId="0182D0D7" w14:textId="47F05E8D" w:rsidR="000C066D" w:rsidRPr="000C066D" w:rsidRDefault="000C066D" w:rsidP="009472CC">
      <w:pPr>
        <w:pStyle w:val="RetiefPleadingpara1"/>
        <w:numPr>
          <w:ilvl w:val="0"/>
          <w:numId w:val="0"/>
        </w:numPr>
        <w:spacing w:before="480" w:after="480"/>
        <w:rPr>
          <w:b/>
          <w:bCs/>
          <w:color w:val="000000" w:themeColor="text1"/>
          <w:szCs w:val="24"/>
          <w:u w:val="single"/>
        </w:rPr>
      </w:pPr>
      <w:r w:rsidRPr="000C066D">
        <w:rPr>
          <w:b/>
          <w:bCs/>
          <w:color w:val="000000" w:themeColor="text1"/>
          <w:szCs w:val="24"/>
          <w:u w:val="single"/>
        </w:rPr>
        <w:t xml:space="preserve">CHRONOLOGY OF EVENTS </w:t>
      </w:r>
    </w:p>
    <w:p w14:paraId="33C101D7" w14:textId="0451B384" w:rsidR="006757D1" w:rsidRPr="000C066D" w:rsidRDefault="0027466D" w:rsidP="0027466D">
      <w:pPr>
        <w:pStyle w:val="RetiefPleadingpara1"/>
        <w:numPr>
          <w:ilvl w:val="0"/>
          <w:numId w:val="0"/>
        </w:numPr>
        <w:tabs>
          <w:tab w:val="left" w:pos="851"/>
        </w:tabs>
        <w:spacing w:before="480" w:after="480"/>
        <w:rPr>
          <w:color w:val="000000" w:themeColor="text1"/>
          <w:szCs w:val="24"/>
        </w:rPr>
      </w:pPr>
      <w:r w:rsidRPr="000C066D">
        <w:rPr>
          <w:szCs w:val="24"/>
        </w:rPr>
        <w:lastRenderedPageBreak/>
        <w:t>[31]</w:t>
      </w:r>
      <w:r w:rsidRPr="000C066D">
        <w:rPr>
          <w:szCs w:val="24"/>
        </w:rPr>
        <w:tab/>
      </w:r>
      <w:r w:rsidR="006757D1" w:rsidRPr="000C066D">
        <w:rPr>
          <w:color w:val="000000" w:themeColor="text1"/>
          <w:szCs w:val="24"/>
        </w:rPr>
        <w:t>In 2015 anti-dumping duties were imposed on the product</w:t>
      </w:r>
      <w:r w:rsidR="00130854" w:rsidRPr="000C066D">
        <w:rPr>
          <w:color w:val="000000" w:themeColor="text1"/>
          <w:szCs w:val="24"/>
        </w:rPr>
        <w:t xml:space="preserve"> at a 7-digit tariff heading level.</w:t>
      </w:r>
      <w:r w:rsidR="00130854" w:rsidRPr="007959CB">
        <w:rPr>
          <w:rStyle w:val="FootnoteReference"/>
          <w:color w:val="000000" w:themeColor="text1"/>
          <w:szCs w:val="24"/>
        </w:rPr>
        <w:footnoteReference w:id="17"/>
      </w:r>
    </w:p>
    <w:p w14:paraId="58BF5B33" w14:textId="7581817E" w:rsidR="006D413A" w:rsidRPr="007959CB" w:rsidRDefault="0027466D" w:rsidP="0027466D">
      <w:pPr>
        <w:pStyle w:val="RetiefPleadingpara1"/>
        <w:numPr>
          <w:ilvl w:val="0"/>
          <w:numId w:val="0"/>
        </w:numPr>
        <w:tabs>
          <w:tab w:val="left" w:pos="851"/>
        </w:tabs>
        <w:spacing w:before="480" w:after="480"/>
        <w:rPr>
          <w:color w:val="000000" w:themeColor="text1"/>
          <w:szCs w:val="24"/>
        </w:rPr>
      </w:pPr>
      <w:r w:rsidRPr="007959CB">
        <w:rPr>
          <w:szCs w:val="24"/>
        </w:rPr>
        <w:t>[32]</w:t>
      </w:r>
      <w:r w:rsidRPr="007959CB">
        <w:rPr>
          <w:szCs w:val="24"/>
        </w:rPr>
        <w:tab/>
      </w:r>
      <w:r w:rsidR="006D413A" w:rsidRPr="007959CB">
        <w:rPr>
          <w:color w:val="000000" w:themeColor="text1"/>
          <w:szCs w:val="24"/>
        </w:rPr>
        <w:t xml:space="preserve">The original duties imposed </w:t>
      </w:r>
      <w:r w:rsidR="006757D1" w:rsidRPr="007959CB">
        <w:rPr>
          <w:color w:val="000000" w:themeColor="text1"/>
          <w:szCs w:val="24"/>
        </w:rPr>
        <w:t xml:space="preserve">have </w:t>
      </w:r>
      <w:r w:rsidR="006D413A" w:rsidRPr="007959CB">
        <w:rPr>
          <w:color w:val="000000" w:themeColor="text1"/>
          <w:szCs w:val="24"/>
        </w:rPr>
        <w:t xml:space="preserve">a lawful lifespan and </w:t>
      </w:r>
      <w:r w:rsidR="00B43434">
        <w:rPr>
          <w:color w:val="000000" w:themeColor="text1"/>
          <w:szCs w:val="24"/>
        </w:rPr>
        <w:t xml:space="preserve">as a result </w:t>
      </w:r>
      <w:r w:rsidR="006D413A" w:rsidRPr="007959CB">
        <w:rPr>
          <w:color w:val="000000" w:themeColor="text1"/>
          <w:szCs w:val="24"/>
        </w:rPr>
        <w:t>w</w:t>
      </w:r>
      <w:r w:rsidR="006757D1" w:rsidRPr="007959CB">
        <w:rPr>
          <w:color w:val="000000" w:themeColor="text1"/>
          <w:szCs w:val="24"/>
        </w:rPr>
        <w:t>ere</w:t>
      </w:r>
      <w:r w:rsidR="006D413A" w:rsidRPr="007959CB">
        <w:rPr>
          <w:color w:val="000000" w:themeColor="text1"/>
          <w:szCs w:val="24"/>
        </w:rPr>
        <w:t xml:space="preserve"> due to expire on 26 February 2020</w:t>
      </w:r>
      <w:r w:rsidR="00130854" w:rsidRPr="007959CB">
        <w:rPr>
          <w:color w:val="000000" w:themeColor="text1"/>
          <w:szCs w:val="24"/>
        </w:rPr>
        <w:t>. The expiration could be prevented by the receipt of a duly substantiated request</w:t>
      </w:r>
      <w:r w:rsidR="006D413A" w:rsidRPr="007959CB">
        <w:rPr>
          <w:color w:val="000000" w:themeColor="text1"/>
          <w:szCs w:val="24"/>
        </w:rPr>
        <w:t xml:space="preserve"> </w:t>
      </w:r>
      <w:r w:rsidR="00A256D9" w:rsidRPr="007959CB">
        <w:rPr>
          <w:color w:val="000000" w:themeColor="text1"/>
          <w:szCs w:val="24"/>
        </w:rPr>
        <w:t xml:space="preserve">[application] </w:t>
      </w:r>
      <w:r w:rsidR="00130854" w:rsidRPr="007959CB">
        <w:rPr>
          <w:color w:val="000000" w:themeColor="text1"/>
          <w:szCs w:val="24"/>
        </w:rPr>
        <w:t>by or on behalf of the SACU industry to review the position</w:t>
      </w:r>
      <w:r w:rsidR="00C72F5C">
        <w:rPr>
          <w:color w:val="000000" w:themeColor="text1"/>
          <w:szCs w:val="24"/>
        </w:rPr>
        <w:t xml:space="preserve">, </w:t>
      </w:r>
      <w:r w:rsidR="00C97045">
        <w:rPr>
          <w:color w:val="000000" w:themeColor="text1"/>
          <w:szCs w:val="24"/>
        </w:rPr>
        <w:t>a</w:t>
      </w:r>
      <w:r w:rsidR="006D413A" w:rsidRPr="007959CB">
        <w:rPr>
          <w:color w:val="000000" w:themeColor="text1"/>
          <w:szCs w:val="24"/>
        </w:rPr>
        <w:t xml:space="preserve"> sunset review</w:t>
      </w:r>
      <w:r w:rsidR="00130854" w:rsidRPr="007959CB">
        <w:rPr>
          <w:color w:val="000000" w:themeColor="text1"/>
          <w:szCs w:val="24"/>
        </w:rPr>
        <w:t>.</w:t>
      </w:r>
      <w:r w:rsidR="00130854" w:rsidRPr="007959CB">
        <w:rPr>
          <w:rStyle w:val="FootnoteReference"/>
          <w:color w:val="000000" w:themeColor="text1"/>
          <w:szCs w:val="24"/>
        </w:rPr>
        <w:footnoteReference w:id="18"/>
      </w:r>
      <w:r w:rsidR="00130854" w:rsidRPr="007959CB">
        <w:rPr>
          <w:color w:val="000000" w:themeColor="text1"/>
          <w:szCs w:val="24"/>
        </w:rPr>
        <w:t xml:space="preserve"> The purpose of a sunset review is for </w:t>
      </w:r>
      <w:r w:rsidR="006D413A" w:rsidRPr="007959CB">
        <w:rPr>
          <w:color w:val="000000" w:themeColor="text1"/>
          <w:szCs w:val="24"/>
        </w:rPr>
        <w:t>I</w:t>
      </w:r>
      <w:r w:rsidR="00130854" w:rsidRPr="007959CB">
        <w:rPr>
          <w:color w:val="000000" w:themeColor="text1"/>
          <w:szCs w:val="24"/>
        </w:rPr>
        <w:t xml:space="preserve">TAC to </w:t>
      </w:r>
      <w:r w:rsidR="006D413A" w:rsidRPr="007959CB">
        <w:rPr>
          <w:color w:val="000000" w:themeColor="text1"/>
          <w:szCs w:val="24"/>
        </w:rPr>
        <w:t>evaluate</w:t>
      </w:r>
      <w:r w:rsidR="006757D1" w:rsidRPr="007959CB">
        <w:rPr>
          <w:color w:val="000000" w:themeColor="text1"/>
          <w:szCs w:val="24"/>
        </w:rPr>
        <w:t xml:space="preserve"> </w:t>
      </w:r>
      <w:r w:rsidR="006D413A" w:rsidRPr="007959CB">
        <w:rPr>
          <w:color w:val="000000" w:themeColor="text1"/>
          <w:szCs w:val="24"/>
        </w:rPr>
        <w:t xml:space="preserve">whether the removal of the </w:t>
      </w:r>
      <w:r w:rsidR="006757D1" w:rsidRPr="007959CB">
        <w:rPr>
          <w:color w:val="000000" w:themeColor="text1"/>
          <w:szCs w:val="24"/>
        </w:rPr>
        <w:t xml:space="preserve">original </w:t>
      </w:r>
      <w:r w:rsidR="006D413A" w:rsidRPr="007959CB">
        <w:rPr>
          <w:color w:val="000000" w:themeColor="text1"/>
          <w:szCs w:val="24"/>
        </w:rPr>
        <w:t>duty w</w:t>
      </w:r>
      <w:r w:rsidR="006757D1" w:rsidRPr="007959CB">
        <w:rPr>
          <w:color w:val="000000" w:themeColor="text1"/>
          <w:szCs w:val="24"/>
        </w:rPr>
        <w:t>ould</w:t>
      </w:r>
      <w:r w:rsidR="006D413A" w:rsidRPr="007959CB">
        <w:rPr>
          <w:color w:val="000000" w:themeColor="text1"/>
          <w:szCs w:val="24"/>
        </w:rPr>
        <w:t xml:space="preserve"> likely lead to the continuation or recurrence of injurious dumping</w:t>
      </w:r>
      <w:r w:rsidR="00130854" w:rsidRPr="007959CB">
        <w:rPr>
          <w:color w:val="000000" w:themeColor="text1"/>
          <w:szCs w:val="24"/>
        </w:rPr>
        <w:t>.</w:t>
      </w:r>
      <w:r w:rsidR="006D413A" w:rsidRPr="007959CB">
        <w:rPr>
          <w:color w:val="000000" w:themeColor="text1"/>
          <w:szCs w:val="24"/>
        </w:rPr>
        <w:t xml:space="preserve"> </w:t>
      </w:r>
    </w:p>
    <w:p w14:paraId="5BAB604C" w14:textId="0DD312B6" w:rsidR="00A921E3" w:rsidRPr="007959CB" w:rsidRDefault="0027466D" w:rsidP="0027466D">
      <w:pPr>
        <w:pStyle w:val="RetiefPleadingpara1"/>
        <w:numPr>
          <w:ilvl w:val="0"/>
          <w:numId w:val="0"/>
        </w:numPr>
        <w:tabs>
          <w:tab w:val="left" w:pos="851"/>
        </w:tabs>
        <w:spacing w:before="480" w:after="480"/>
        <w:rPr>
          <w:color w:val="000000" w:themeColor="text1"/>
          <w:szCs w:val="24"/>
        </w:rPr>
      </w:pPr>
      <w:r w:rsidRPr="007959CB">
        <w:rPr>
          <w:szCs w:val="24"/>
        </w:rPr>
        <w:t>[33]</w:t>
      </w:r>
      <w:r w:rsidRPr="007959CB">
        <w:rPr>
          <w:szCs w:val="24"/>
        </w:rPr>
        <w:tab/>
      </w:r>
      <w:r w:rsidR="003448C0" w:rsidRPr="007959CB">
        <w:rPr>
          <w:color w:val="000000" w:themeColor="text1"/>
          <w:szCs w:val="24"/>
        </w:rPr>
        <w:t>On 24 May 2019 ITAC</w:t>
      </w:r>
      <w:r w:rsidR="00A921E3" w:rsidRPr="007959CB">
        <w:rPr>
          <w:color w:val="000000" w:themeColor="text1"/>
          <w:szCs w:val="24"/>
        </w:rPr>
        <w:t>,</w:t>
      </w:r>
      <w:r w:rsidR="00DE3793" w:rsidRPr="007959CB">
        <w:rPr>
          <w:color w:val="000000" w:themeColor="text1"/>
          <w:szCs w:val="24"/>
        </w:rPr>
        <w:t xml:space="preserve"> i</w:t>
      </w:r>
      <w:r w:rsidR="00130854" w:rsidRPr="007959CB">
        <w:rPr>
          <w:color w:val="000000" w:themeColor="text1"/>
          <w:szCs w:val="24"/>
        </w:rPr>
        <w:t>n terms of</w:t>
      </w:r>
      <w:r w:rsidR="00A921E3" w:rsidRPr="007959CB">
        <w:rPr>
          <w:color w:val="000000" w:themeColor="text1"/>
          <w:szCs w:val="24"/>
        </w:rPr>
        <w:t xml:space="preserve"> regulation 54.1</w:t>
      </w:r>
      <w:r w:rsidR="006757D1" w:rsidRPr="007959CB">
        <w:rPr>
          <w:color w:val="000000" w:themeColor="text1"/>
          <w:szCs w:val="24"/>
        </w:rPr>
        <w:t xml:space="preserve"> of the anti-dumping regulations [regulations]</w:t>
      </w:r>
      <w:r w:rsidR="00A921E3" w:rsidRPr="007959CB">
        <w:rPr>
          <w:color w:val="000000" w:themeColor="text1"/>
          <w:szCs w:val="24"/>
        </w:rPr>
        <w:t>,</w:t>
      </w:r>
      <w:r w:rsidR="003448C0" w:rsidRPr="007959CB">
        <w:rPr>
          <w:color w:val="000000" w:themeColor="text1"/>
          <w:szCs w:val="24"/>
        </w:rPr>
        <w:t xml:space="preserve"> published a notice</w:t>
      </w:r>
      <w:r w:rsidR="00A256D9" w:rsidRPr="007959CB">
        <w:rPr>
          <w:rStyle w:val="FootnoteReference"/>
          <w:color w:val="000000" w:themeColor="text1"/>
          <w:szCs w:val="24"/>
        </w:rPr>
        <w:footnoteReference w:id="19"/>
      </w:r>
      <w:r w:rsidR="003448C0" w:rsidRPr="007959CB">
        <w:rPr>
          <w:color w:val="000000" w:themeColor="text1"/>
          <w:szCs w:val="24"/>
        </w:rPr>
        <w:t xml:space="preserve"> advisin</w:t>
      </w:r>
      <w:r w:rsidR="00A256D9" w:rsidRPr="007959CB">
        <w:rPr>
          <w:color w:val="000000" w:themeColor="text1"/>
          <w:szCs w:val="24"/>
        </w:rPr>
        <w:t>g</w:t>
      </w:r>
      <w:r w:rsidR="003448C0" w:rsidRPr="007959CB">
        <w:rPr>
          <w:color w:val="000000" w:themeColor="text1"/>
          <w:szCs w:val="24"/>
        </w:rPr>
        <w:t xml:space="preserve"> interested parties </w:t>
      </w:r>
      <w:r w:rsidR="00A256D9" w:rsidRPr="007959CB">
        <w:rPr>
          <w:color w:val="000000" w:themeColor="text1"/>
          <w:szCs w:val="24"/>
        </w:rPr>
        <w:t>of the lawful expiry date</w:t>
      </w:r>
      <w:r w:rsidR="00A15627" w:rsidRPr="007959CB">
        <w:rPr>
          <w:color w:val="000000" w:themeColor="text1"/>
          <w:szCs w:val="24"/>
        </w:rPr>
        <w:t xml:space="preserve"> </w:t>
      </w:r>
      <w:r w:rsidR="00A256D9" w:rsidRPr="007959CB">
        <w:rPr>
          <w:color w:val="000000" w:themeColor="text1"/>
          <w:szCs w:val="24"/>
        </w:rPr>
        <w:t xml:space="preserve">and calling for </w:t>
      </w:r>
      <w:r w:rsidR="00A15627" w:rsidRPr="007959CB">
        <w:rPr>
          <w:color w:val="000000" w:themeColor="text1"/>
          <w:szCs w:val="24"/>
        </w:rPr>
        <w:t xml:space="preserve">SACU </w:t>
      </w:r>
      <w:r w:rsidR="00C97045">
        <w:rPr>
          <w:color w:val="000000" w:themeColor="text1"/>
          <w:szCs w:val="24"/>
        </w:rPr>
        <w:t>i</w:t>
      </w:r>
      <w:r w:rsidR="00A15627" w:rsidRPr="007959CB">
        <w:rPr>
          <w:color w:val="000000" w:themeColor="text1"/>
          <w:szCs w:val="24"/>
        </w:rPr>
        <w:t xml:space="preserve">ndustry </w:t>
      </w:r>
      <w:r w:rsidR="00A256D9" w:rsidRPr="007959CB">
        <w:rPr>
          <w:color w:val="000000" w:themeColor="text1"/>
          <w:szCs w:val="24"/>
        </w:rPr>
        <w:t xml:space="preserve">applications to initiate a </w:t>
      </w:r>
      <w:r w:rsidR="003448C0" w:rsidRPr="007959CB">
        <w:rPr>
          <w:color w:val="000000" w:themeColor="text1"/>
          <w:szCs w:val="24"/>
        </w:rPr>
        <w:t>sunset review</w:t>
      </w:r>
      <w:r w:rsidR="00A256D9" w:rsidRPr="007959CB">
        <w:rPr>
          <w:color w:val="000000" w:themeColor="text1"/>
          <w:szCs w:val="24"/>
        </w:rPr>
        <w:t xml:space="preserve">. </w:t>
      </w:r>
      <w:r w:rsidR="008C6FB5" w:rsidRPr="007959CB">
        <w:rPr>
          <w:color w:val="000000" w:themeColor="text1"/>
        </w:rPr>
        <w:t xml:space="preserve">Applying the </w:t>
      </w:r>
      <w:r w:rsidR="006D413A" w:rsidRPr="007959CB">
        <w:rPr>
          <w:color w:val="000000" w:themeColor="text1"/>
        </w:rPr>
        <w:t xml:space="preserve">30 </w:t>
      </w:r>
      <w:r w:rsidR="008C6FB5" w:rsidRPr="007959CB">
        <w:rPr>
          <w:color w:val="000000" w:themeColor="text1"/>
        </w:rPr>
        <w:t xml:space="preserve">(thirty) </w:t>
      </w:r>
      <w:r w:rsidR="006D413A" w:rsidRPr="007959CB">
        <w:rPr>
          <w:color w:val="000000" w:themeColor="text1"/>
        </w:rPr>
        <w:t>day period</w:t>
      </w:r>
      <w:r w:rsidR="00DE3793" w:rsidRPr="007959CB">
        <w:rPr>
          <w:color w:val="000000" w:themeColor="text1"/>
        </w:rPr>
        <w:t xml:space="preserve"> in</w:t>
      </w:r>
      <w:r w:rsidR="00A15627" w:rsidRPr="007959CB">
        <w:rPr>
          <w:color w:val="000000" w:themeColor="text1"/>
        </w:rPr>
        <w:t xml:space="preserve"> the regulations, applications were to be submitted to ITAC by </w:t>
      </w:r>
      <w:r w:rsidR="006D413A" w:rsidRPr="007959CB">
        <w:rPr>
          <w:color w:val="000000" w:themeColor="text1"/>
        </w:rPr>
        <w:t>24 June 2019</w:t>
      </w:r>
      <w:r w:rsidR="00C97045">
        <w:rPr>
          <w:color w:val="000000" w:themeColor="text1"/>
        </w:rPr>
        <w:t xml:space="preserve">; </w:t>
      </w:r>
      <w:r w:rsidR="00A15627" w:rsidRPr="007959CB">
        <w:rPr>
          <w:color w:val="000000" w:themeColor="text1"/>
        </w:rPr>
        <w:t xml:space="preserve">ITAC possessing the discretion to grant extensions for </w:t>
      </w:r>
      <w:r w:rsidR="00DE3793" w:rsidRPr="007959CB">
        <w:rPr>
          <w:color w:val="000000" w:themeColor="text1"/>
        </w:rPr>
        <w:t>such</w:t>
      </w:r>
      <w:r w:rsidR="00A15627" w:rsidRPr="007959CB">
        <w:rPr>
          <w:color w:val="000000" w:themeColor="text1"/>
        </w:rPr>
        <w:t xml:space="preserve"> submission of information on good cause</w:t>
      </w:r>
      <w:r w:rsidR="00DE3793" w:rsidRPr="007959CB">
        <w:rPr>
          <w:color w:val="000000" w:themeColor="text1"/>
        </w:rPr>
        <w:t xml:space="preserve"> shown</w:t>
      </w:r>
      <w:r w:rsidR="00C97045">
        <w:rPr>
          <w:color w:val="000000" w:themeColor="text1"/>
        </w:rPr>
        <w:t>.</w:t>
      </w:r>
      <w:r w:rsidR="00A15627" w:rsidRPr="007959CB">
        <w:rPr>
          <w:rStyle w:val="FootnoteReference"/>
          <w:color w:val="000000" w:themeColor="text1"/>
        </w:rPr>
        <w:footnoteReference w:id="20"/>
      </w:r>
    </w:p>
    <w:p w14:paraId="09B8D6FB" w14:textId="0C2F4E14" w:rsidR="00A15627" w:rsidRPr="00A921E3" w:rsidRDefault="0027466D" w:rsidP="0027466D">
      <w:pPr>
        <w:pStyle w:val="RetiefPleadingpara1"/>
        <w:numPr>
          <w:ilvl w:val="0"/>
          <w:numId w:val="0"/>
        </w:numPr>
        <w:tabs>
          <w:tab w:val="left" w:pos="851"/>
        </w:tabs>
        <w:spacing w:before="480" w:after="480"/>
        <w:rPr>
          <w:color w:val="70AD47" w:themeColor="accent6"/>
          <w:szCs w:val="24"/>
        </w:rPr>
      </w:pPr>
      <w:r w:rsidRPr="00A921E3">
        <w:rPr>
          <w:szCs w:val="24"/>
        </w:rPr>
        <w:t>[34]</w:t>
      </w:r>
      <w:r w:rsidRPr="00A921E3">
        <w:rPr>
          <w:szCs w:val="24"/>
        </w:rPr>
        <w:tab/>
      </w:r>
      <w:r w:rsidR="00DE3793">
        <w:t xml:space="preserve">ITAC received </w:t>
      </w:r>
      <w:r w:rsidR="00A921E3">
        <w:t>SAPA</w:t>
      </w:r>
      <w:r w:rsidR="00DE3793">
        <w:t xml:space="preserve">’s application on 3 October 2019. ITAC granted SAPA </w:t>
      </w:r>
      <w:r w:rsidR="006D413A">
        <w:t>a number of</w:t>
      </w:r>
      <w:r w:rsidR="00A921E3">
        <w:t xml:space="preserve"> extensions</w:t>
      </w:r>
      <w:r w:rsidR="00DE3793">
        <w:t xml:space="preserve">. </w:t>
      </w:r>
      <w:r w:rsidR="00DC3597">
        <w:t>AMIE</w:t>
      </w:r>
      <w:r w:rsidR="00DE3793">
        <w:t>’s complaint lies against the jurisdictional requirements of SAPA’s application itself and not the extensions granted by ITAC</w:t>
      </w:r>
      <w:r w:rsidR="000E5FE6">
        <w:t xml:space="preserve"> to submit</w:t>
      </w:r>
      <w:r w:rsidR="00DE3793">
        <w:t>.</w:t>
      </w:r>
      <w:r w:rsidR="008C6FB5">
        <w:t xml:space="preserve"> </w:t>
      </w:r>
      <w:r w:rsidR="00DE3793">
        <w:t xml:space="preserve">AMIE contends that </w:t>
      </w:r>
      <w:r w:rsidR="000E5FE6">
        <w:t xml:space="preserve">on the date of </w:t>
      </w:r>
      <w:r w:rsidR="00DE3793">
        <w:t>SAPA’s submi</w:t>
      </w:r>
      <w:r w:rsidR="000E5FE6">
        <w:t xml:space="preserve">ssion, ITAC was not in receipt of </w:t>
      </w:r>
      <w:r w:rsidR="00C97045">
        <w:t xml:space="preserve">a </w:t>
      </w:r>
      <w:r w:rsidR="00DE3793">
        <w:t>substantiated request</w:t>
      </w:r>
      <w:r w:rsidR="000E5FE6">
        <w:t>. This is premised on</w:t>
      </w:r>
      <w:r w:rsidR="00DE3793">
        <w:t xml:space="preserve"> ITAC</w:t>
      </w:r>
      <w:r w:rsidR="000E5FE6">
        <w:t xml:space="preserve">’s </w:t>
      </w:r>
      <w:r w:rsidR="00DE3793">
        <w:t>conce</w:t>
      </w:r>
      <w:r w:rsidR="000E5FE6">
        <w:t xml:space="preserve">ssion that it </w:t>
      </w:r>
      <w:r w:rsidR="00DE3793">
        <w:lastRenderedPageBreak/>
        <w:t>only receiv</w:t>
      </w:r>
      <w:r w:rsidR="000E5FE6">
        <w:t>ed</w:t>
      </w:r>
      <w:r w:rsidR="00DE3793">
        <w:t xml:space="preserve"> a properly documented application from SAPA on 20 February 2020</w:t>
      </w:r>
      <w:r w:rsidR="00C97045">
        <w:t>,</w:t>
      </w:r>
      <w:r w:rsidR="000E5FE6">
        <w:t xml:space="preserve"> and that such information was only verified by ITAC after the date of expiration (during March 2020)</w:t>
      </w:r>
      <w:r w:rsidR="00C72F5C">
        <w:t>.</w:t>
      </w:r>
      <w:r w:rsidR="00A4190D">
        <w:t xml:space="preserve"> </w:t>
      </w:r>
    </w:p>
    <w:p w14:paraId="5ECA2B28" w14:textId="5EB2CB54" w:rsidR="0056204C" w:rsidRPr="0056204C" w:rsidRDefault="0027466D" w:rsidP="0027466D">
      <w:pPr>
        <w:pStyle w:val="RetiefPleadingpara1"/>
        <w:numPr>
          <w:ilvl w:val="0"/>
          <w:numId w:val="0"/>
        </w:numPr>
        <w:tabs>
          <w:tab w:val="left" w:pos="851"/>
        </w:tabs>
        <w:spacing w:before="480" w:after="480"/>
        <w:rPr>
          <w:color w:val="000000" w:themeColor="text1"/>
          <w:szCs w:val="24"/>
        </w:rPr>
      </w:pPr>
      <w:r w:rsidRPr="0056204C">
        <w:rPr>
          <w:szCs w:val="24"/>
        </w:rPr>
        <w:t>[35]</w:t>
      </w:r>
      <w:r w:rsidRPr="0056204C">
        <w:rPr>
          <w:szCs w:val="24"/>
        </w:rPr>
        <w:tab/>
      </w:r>
      <w:r w:rsidR="000E5FE6">
        <w:rPr>
          <w:color w:val="000000" w:themeColor="text1"/>
          <w:szCs w:val="24"/>
        </w:rPr>
        <w:t xml:space="preserve">ITAC contends that as per the notice, </w:t>
      </w:r>
      <w:r w:rsidR="00A4190D">
        <w:rPr>
          <w:color w:val="000000" w:themeColor="text1"/>
          <w:szCs w:val="24"/>
        </w:rPr>
        <w:t>a part</w:t>
      </w:r>
      <w:r w:rsidR="000978E0">
        <w:rPr>
          <w:color w:val="000000" w:themeColor="text1"/>
          <w:szCs w:val="24"/>
        </w:rPr>
        <w:t>y’s</w:t>
      </w:r>
      <w:r w:rsidR="00A4190D">
        <w:rPr>
          <w:color w:val="000000" w:themeColor="text1"/>
          <w:szCs w:val="24"/>
        </w:rPr>
        <w:t xml:space="preserve"> information may need to be verified and that the determination of such need is at their </w:t>
      </w:r>
      <w:r w:rsidR="000E5FE6">
        <w:rPr>
          <w:color w:val="000000" w:themeColor="text1"/>
          <w:szCs w:val="24"/>
        </w:rPr>
        <w:t>discretion in the pre</w:t>
      </w:r>
      <w:r w:rsidR="000978E0">
        <w:rPr>
          <w:color w:val="000000" w:themeColor="text1"/>
          <w:szCs w:val="24"/>
        </w:rPr>
        <w:t>-</w:t>
      </w:r>
      <w:r w:rsidR="000E5FE6">
        <w:rPr>
          <w:color w:val="000000" w:themeColor="text1"/>
          <w:szCs w:val="24"/>
        </w:rPr>
        <w:t>initiation phase</w:t>
      </w:r>
      <w:r w:rsidR="00A4190D">
        <w:rPr>
          <w:color w:val="000000" w:themeColor="text1"/>
          <w:szCs w:val="24"/>
        </w:rPr>
        <w:t>. Furthermore, that the</w:t>
      </w:r>
      <w:r w:rsidR="000E5FE6">
        <w:rPr>
          <w:color w:val="000000" w:themeColor="text1"/>
          <w:szCs w:val="24"/>
        </w:rPr>
        <w:t xml:space="preserve"> consider</w:t>
      </w:r>
      <w:r w:rsidR="00A4190D">
        <w:rPr>
          <w:color w:val="000000" w:themeColor="text1"/>
          <w:szCs w:val="24"/>
        </w:rPr>
        <w:t xml:space="preserve">ation of </w:t>
      </w:r>
      <w:r w:rsidR="000E5FE6">
        <w:rPr>
          <w:color w:val="000000" w:themeColor="text1"/>
          <w:szCs w:val="24"/>
        </w:rPr>
        <w:t>information</w:t>
      </w:r>
      <w:r w:rsidR="00A4190D">
        <w:rPr>
          <w:color w:val="000000" w:themeColor="text1"/>
          <w:szCs w:val="24"/>
        </w:rPr>
        <w:t xml:space="preserve"> is only</w:t>
      </w:r>
      <w:r w:rsidR="000E5FE6">
        <w:rPr>
          <w:color w:val="000000" w:themeColor="text1"/>
          <w:szCs w:val="24"/>
        </w:rPr>
        <w:t xml:space="preserve"> to determine whether </w:t>
      </w:r>
      <w:r w:rsidR="000E5FE6" w:rsidRPr="00A4190D">
        <w:rPr>
          <w:i/>
          <w:iCs/>
          <w:color w:val="000000" w:themeColor="text1"/>
          <w:szCs w:val="24"/>
        </w:rPr>
        <w:t>prima facie</w:t>
      </w:r>
      <w:r w:rsidR="000E5FE6">
        <w:rPr>
          <w:color w:val="000000" w:themeColor="text1"/>
          <w:szCs w:val="24"/>
        </w:rPr>
        <w:t xml:space="preserve"> evidence exists to justify the initiation of a review.</w:t>
      </w:r>
      <w:r w:rsidR="0056204C">
        <w:rPr>
          <w:rStyle w:val="FootnoteReference"/>
          <w:color w:val="000000" w:themeColor="text1"/>
          <w:szCs w:val="24"/>
        </w:rPr>
        <w:footnoteReference w:id="21"/>
      </w:r>
      <w:r w:rsidR="000978E0">
        <w:rPr>
          <w:color w:val="000000" w:themeColor="text1"/>
          <w:szCs w:val="24"/>
        </w:rPr>
        <w:t xml:space="preserve"> </w:t>
      </w:r>
      <w:r w:rsidR="000C2D67">
        <w:rPr>
          <w:color w:val="000000" w:themeColor="text1"/>
          <w:szCs w:val="24"/>
        </w:rPr>
        <w:t>The determination of what constitutes a proper application lies with ITAC.</w:t>
      </w:r>
      <w:r w:rsidR="000C2D67">
        <w:rPr>
          <w:rStyle w:val="FootnoteReference"/>
          <w:color w:val="000000" w:themeColor="text1"/>
          <w:szCs w:val="24"/>
        </w:rPr>
        <w:footnoteReference w:id="22"/>
      </w:r>
      <w:r w:rsidR="000C2D67">
        <w:rPr>
          <w:color w:val="000000" w:themeColor="text1"/>
          <w:szCs w:val="24"/>
        </w:rPr>
        <w:t xml:space="preserve"> </w:t>
      </w:r>
    </w:p>
    <w:p w14:paraId="4F748C84" w14:textId="0F2D7A20" w:rsidR="00C217FD" w:rsidRPr="000E5FE6" w:rsidRDefault="0027466D" w:rsidP="0027466D">
      <w:pPr>
        <w:pStyle w:val="RetiefPleadingpara1"/>
        <w:numPr>
          <w:ilvl w:val="0"/>
          <w:numId w:val="0"/>
        </w:numPr>
        <w:tabs>
          <w:tab w:val="left" w:pos="851"/>
        </w:tabs>
        <w:spacing w:before="480" w:after="480"/>
        <w:rPr>
          <w:color w:val="000000" w:themeColor="text1"/>
          <w:szCs w:val="24"/>
        </w:rPr>
      </w:pPr>
      <w:r w:rsidRPr="000E5FE6">
        <w:rPr>
          <w:szCs w:val="24"/>
        </w:rPr>
        <w:t>[36]</w:t>
      </w:r>
      <w:r w:rsidRPr="000E5FE6">
        <w:rPr>
          <w:szCs w:val="24"/>
        </w:rPr>
        <w:tab/>
      </w:r>
      <w:r w:rsidR="00A4190D">
        <w:rPr>
          <w:color w:val="000000" w:themeColor="text1"/>
          <w:szCs w:val="24"/>
        </w:rPr>
        <w:t>ITAC, d</w:t>
      </w:r>
      <w:r w:rsidR="000E5FE6">
        <w:rPr>
          <w:color w:val="000000" w:themeColor="text1"/>
          <w:szCs w:val="24"/>
        </w:rPr>
        <w:t xml:space="preserve">uring the period of 3 October 2019 to 20 </w:t>
      </w:r>
      <w:r w:rsidR="00A4190D">
        <w:rPr>
          <w:color w:val="000000" w:themeColor="text1"/>
          <w:szCs w:val="24"/>
        </w:rPr>
        <w:t>Febru</w:t>
      </w:r>
      <w:r w:rsidR="00A4190D">
        <w:t>ary 2020, issued</w:t>
      </w:r>
      <w:r w:rsidR="00C217FD">
        <w:t xml:space="preserve"> six letters </w:t>
      </w:r>
      <w:r w:rsidR="00A4190D">
        <w:t xml:space="preserve">of deficiency </w:t>
      </w:r>
      <w:r w:rsidR="00C217FD">
        <w:t xml:space="preserve">to SAPA. The first letter was </w:t>
      </w:r>
      <w:r w:rsidR="00A921E3">
        <w:t>on 7 November 2019</w:t>
      </w:r>
      <w:r w:rsidR="006D413A">
        <w:t xml:space="preserve">. </w:t>
      </w:r>
      <w:r w:rsidR="00C217FD">
        <w:t>SAPA only responded by updating its information on 4 December 2019</w:t>
      </w:r>
      <w:r w:rsidR="006D413A">
        <w:t xml:space="preserve">. Notwithstanding, </w:t>
      </w:r>
      <w:r w:rsidR="00C217FD">
        <w:t>ITAC continued to engage with SAPA up and until 20 February 2020</w:t>
      </w:r>
      <w:r w:rsidR="008C6FB5">
        <w:t>.</w:t>
      </w:r>
      <w:r w:rsidR="006D413A">
        <w:t xml:space="preserve"> </w:t>
      </w:r>
      <w:r w:rsidR="00DC3597">
        <w:t>AMIE</w:t>
      </w:r>
      <w:r w:rsidR="0056204C">
        <w:t xml:space="preserve"> does raise ITAC’s acceptance of the initial delayed response as a jurisdictional requirement complaint.</w:t>
      </w:r>
    </w:p>
    <w:p w14:paraId="2D39229B" w14:textId="6A1DAAC7" w:rsidR="00684B82" w:rsidRPr="0027466D" w:rsidRDefault="0027466D" w:rsidP="0027466D">
      <w:pPr>
        <w:tabs>
          <w:tab w:val="left" w:pos="851"/>
        </w:tabs>
        <w:spacing w:before="480" w:after="480" w:line="480" w:lineRule="auto"/>
        <w:jc w:val="both"/>
        <w:rPr>
          <w:rFonts w:ascii="Arial" w:hAnsi="Arial" w:cs="Arial"/>
        </w:rPr>
      </w:pPr>
      <w:r w:rsidRPr="00684B82">
        <w:rPr>
          <w:rFonts w:ascii="Arial" w:hAnsi="Arial" w:cs="Arial"/>
        </w:rPr>
        <w:t>[37]</w:t>
      </w:r>
      <w:r w:rsidRPr="00684B82">
        <w:rPr>
          <w:rFonts w:ascii="Arial" w:hAnsi="Arial" w:cs="Arial"/>
        </w:rPr>
        <w:tab/>
      </w:r>
      <w:r w:rsidR="008C6FEA" w:rsidRPr="0027466D">
        <w:rPr>
          <w:rFonts w:ascii="Arial" w:hAnsi="Arial" w:cs="Arial"/>
        </w:rPr>
        <w:t xml:space="preserve">Furthermore, if </w:t>
      </w:r>
      <w:r w:rsidR="00684B82" w:rsidRPr="0027466D">
        <w:rPr>
          <w:rFonts w:ascii="Arial" w:hAnsi="Arial" w:cs="Arial"/>
        </w:rPr>
        <w:t>a party</w:t>
      </w:r>
      <w:r w:rsidR="008C6FEA" w:rsidRPr="0027466D">
        <w:rPr>
          <w:rFonts w:ascii="Arial" w:hAnsi="Arial" w:cs="Arial"/>
        </w:rPr>
        <w:t xml:space="preserve"> felt</w:t>
      </w:r>
      <w:r w:rsidR="00684B82" w:rsidRPr="0027466D">
        <w:rPr>
          <w:rFonts w:ascii="Arial" w:hAnsi="Arial" w:cs="Arial"/>
        </w:rPr>
        <w:t xml:space="preserve"> affected by the acceptance of documents or information </w:t>
      </w:r>
      <w:r w:rsidR="008C6FEA" w:rsidRPr="0027466D">
        <w:rPr>
          <w:rFonts w:ascii="Arial" w:hAnsi="Arial" w:cs="Arial"/>
        </w:rPr>
        <w:t xml:space="preserve">not in accordance with the initial notice, </w:t>
      </w:r>
      <w:r w:rsidR="00684B82" w:rsidRPr="0027466D">
        <w:rPr>
          <w:rFonts w:ascii="Arial" w:hAnsi="Arial" w:cs="Arial"/>
        </w:rPr>
        <w:t xml:space="preserve">it </w:t>
      </w:r>
      <w:r w:rsidR="008C6FEA" w:rsidRPr="0027466D">
        <w:rPr>
          <w:rFonts w:ascii="Arial" w:hAnsi="Arial" w:cs="Arial"/>
        </w:rPr>
        <w:t>was</w:t>
      </w:r>
      <w:r w:rsidR="00684B82" w:rsidRPr="0027466D">
        <w:rPr>
          <w:rFonts w:ascii="Arial" w:hAnsi="Arial" w:cs="Arial"/>
        </w:rPr>
        <w:t xml:space="preserve"> mandatory </w:t>
      </w:r>
      <w:r w:rsidR="008C6FEA" w:rsidRPr="0027466D">
        <w:rPr>
          <w:rFonts w:ascii="Arial" w:hAnsi="Arial" w:cs="Arial"/>
        </w:rPr>
        <w:t xml:space="preserve">for it </w:t>
      </w:r>
      <w:r w:rsidR="00684B82" w:rsidRPr="0027466D">
        <w:rPr>
          <w:rFonts w:ascii="Arial" w:hAnsi="Arial" w:cs="Arial"/>
        </w:rPr>
        <w:t xml:space="preserve">to inform ITAC so as to </w:t>
      </w:r>
      <w:r w:rsidR="008C6FEA" w:rsidRPr="0027466D">
        <w:rPr>
          <w:rFonts w:ascii="Arial" w:hAnsi="Arial" w:cs="Arial"/>
        </w:rPr>
        <w:t xml:space="preserve">assist </w:t>
      </w:r>
      <w:r w:rsidR="00684B82" w:rsidRPr="0027466D">
        <w:rPr>
          <w:rFonts w:ascii="Arial" w:hAnsi="Arial" w:cs="Arial"/>
        </w:rPr>
        <w:t>with the proper administration of the investigation. No record</w:t>
      </w:r>
      <w:r w:rsidR="008C6FEA" w:rsidRPr="0027466D">
        <w:rPr>
          <w:rFonts w:ascii="Arial" w:hAnsi="Arial" w:cs="Arial"/>
        </w:rPr>
        <w:t xml:space="preserve"> of such submissions by any party,</w:t>
      </w:r>
      <w:r w:rsidR="00684B82" w:rsidRPr="0027466D">
        <w:rPr>
          <w:rFonts w:ascii="Arial" w:hAnsi="Arial" w:cs="Arial"/>
        </w:rPr>
        <w:t xml:space="preserve"> at this stage</w:t>
      </w:r>
      <w:r w:rsidR="008C6FEA" w:rsidRPr="0027466D">
        <w:rPr>
          <w:rFonts w:ascii="Arial" w:hAnsi="Arial" w:cs="Arial"/>
        </w:rPr>
        <w:t xml:space="preserve">, </w:t>
      </w:r>
      <w:r w:rsidR="00684B82" w:rsidRPr="0027466D">
        <w:rPr>
          <w:rFonts w:ascii="Arial" w:hAnsi="Arial" w:cs="Arial"/>
        </w:rPr>
        <w:t xml:space="preserve">is </w:t>
      </w:r>
      <w:r w:rsidR="008C6FEA" w:rsidRPr="0027466D">
        <w:rPr>
          <w:rFonts w:ascii="Arial" w:hAnsi="Arial" w:cs="Arial"/>
        </w:rPr>
        <w:t xml:space="preserve">on </w:t>
      </w:r>
      <w:r w:rsidR="00684B82" w:rsidRPr="0027466D">
        <w:rPr>
          <w:rFonts w:ascii="Arial" w:hAnsi="Arial" w:cs="Arial"/>
        </w:rPr>
        <w:t xml:space="preserve">the record. </w:t>
      </w:r>
    </w:p>
    <w:p w14:paraId="5010ACB6" w14:textId="56DCB78E" w:rsidR="00A82A8C" w:rsidRPr="008C6FEA" w:rsidRDefault="0027466D" w:rsidP="0027466D">
      <w:pPr>
        <w:pStyle w:val="RetiefPleadingpara1"/>
        <w:numPr>
          <w:ilvl w:val="0"/>
          <w:numId w:val="0"/>
        </w:numPr>
        <w:tabs>
          <w:tab w:val="left" w:pos="851"/>
        </w:tabs>
        <w:spacing w:before="480" w:after="480"/>
        <w:rPr>
          <w:color w:val="FF0000"/>
          <w:szCs w:val="24"/>
        </w:rPr>
      </w:pPr>
      <w:r w:rsidRPr="008C6FEA">
        <w:rPr>
          <w:szCs w:val="24"/>
        </w:rPr>
        <w:t>[38]</w:t>
      </w:r>
      <w:r w:rsidRPr="008C6FEA">
        <w:rPr>
          <w:szCs w:val="24"/>
        </w:rPr>
        <w:tab/>
      </w:r>
      <w:r w:rsidR="006757D1">
        <w:t xml:space="preserve">On </w:t>
      </w:r>
      <w:r w:rsidR="00A921E3">
        <w:t>21 February 2020, the Commission convened to consider SAPA’s application</w:t>
      </w:r>
      <w:r w:rsidR="006757D1">
        <w:t xml:space="preserve"> to initiate the sunset review</w:t>
      </w:r>
      <w:r w:rsidR="00A921E3">
        <w:t xml:space="preserve">. </w:t>
      </w:r>
      <w:r w:rsidR="00AB3CDF">
        <w:t>The minutes of such meeting w</w:t>
      </w:r>
      <w:r w:rsidR="00684B82">
        <w:t xml:space="preserve">ere </w:t>
      </w:r>
      <w:r w:rsidR="00AB3CDF">
        <w:t xml:space="preserve">not part </w:t>
      </w:r>
      <w:r w:rsidR="00AB3CDF">
        <w:lastRenderedPageBreak/>
        <w:t>of the recor</w:t>
      </w:r>
      <w:r w:rsidR="008C6FEA">
        <w:t xml:space="preserve">d </w:t>
      </w:r>
      <w:r w:rsidR="00684B82">
        <w:t>however</w:t>
      </w:r>
      <w:r w:rsidR="000978E0">
        <w:t>,</w:t>
      </w:r>
      <w:r w:rsidR="00684B82">
        <w:t xml:space="preserve"> </w:t>
      </w:r>
      <w:r w:rsidR="008C6FEA">
        <w:t xml:space="preserve">they </w:t>
      </w:r>
      <w:r w:rsidR="00684B82">
        <w:t xml:space="preserve">were </w:t>
      </w:r>
      <w:r w:rsidR="00AB3CDF">
        <w:t xml:space="preserve">attached to ITAC’s answer. </w:t>
      </w:r>
      <w:r w:rsidR="008C6FB5">
        <w:t>It appears that t</w:t>
      </w:r>
      <w:r w:rsidR="00A921E3">
        <w:t xml:space="preserve">he Commission </w:t>
      </w:r>
      <w:r w:rsidR="00C217FD">
        <w:t>a</w:t>
      </w:r>
      <w:r w:rsidR="008C6FB5">
        <w:t xml:space="preserve">ccepted </w:t>
      </w:r>
      <w:r w:rsidR="00684B82">
        <w:t xml:space="preserve">that </w:t>
      </w:r>
      <w:r w:rsidR="008C6FB5">
        <w:t xml:space="preserve">SAPA’s application </w:t>
      </w:r>
      <w:r w:rsidR="000C2D67">
        <w:t>w</w:t>
      </w:r>
      <w:r w:rsidR="008C6FB5">
        <w:t>as properly documented</w:t>
      </w:r>
      <w:r w:rsidR="00684B82" w:rsidRPr="008C6FEA">
        <w:rPr>
          <w:color w:val="000000" w:themeColor="text1"/>
        </w:rPr>
        <w:t>. I</w:t>
      </w:r>
      <w:r w:rsidR="00AB3CDF" w:rsidRPr="008C6FEA">
        <w:rPr>
          <w:color w:val="000000" w:themeColor="text1"/>
        </w:rPr>
        <w:t>n consequence</w:t>
      </w:r>
      <w:r w:rsidR="00684B82" w:rsidRPr="008C6FEA">
        <w:rPr>
          <w:color w:val="000000" w:themeColor="text1"/>
        </w:rPr>
        <w:t xml:space="preserve"> and </w:t>
      </w:r>
      <w:r w:rsidR="000C2D67" w:rsidRPr="008C6FEA">
        <w:rPr>
          <w:color w:val="000000" w:themeColor="text1"/>
        </w:rPr>
        <w:t xml:space="preserve">on 24 February </w:t>
      </w:r>
      <w:r w:rsidR="000C2D67" w:rsidRPr="008C6FB5">
        <w:t>2020</w:t>
      </w:r>
      <w:r w:rsidR="000978E0">
        <w:t>,</w:t>
      </w:r>
      <w:r w:rsidR="000C2D67">
        <w:t xml:space="preserve"> </w:t>
      </w:r>
      <w:r w:rsidR="00684B82">
        <w:t xml:space="preserve">ITAC </w:t>
      </w:r>
      <w:r w:rsidR="000C2D67">
        <w:t>by notice</w:t>
      </w:r>
      <w:r w:rsidR="00A82A8C">
        <w:t xml:space="preserve"> [the initiation notice]</w:t>
      </w:r>
      <w:r w:rsidR="000978E0">
        <w:t>,</w:t>
      </w:r>
      <w:r w:rsidR="00A82A8C">
        <w:rPr>
          <w:rStyle w:val="FootnoteReference"/>
        </w:rPr>
        <w:footnoteReference w:id="23"/>
      </w:r>
      <w:r w:rsidR="000C2D67">
        <w:t xml:space="preserve"> resolved to initiate the sunset review on the strength of SAPA’s </w:t>
      </w:r>
      <w:r w:rsidR="000978E0">
        <w:t>“</w:t>
      </w:r>
      <w:r w:rsidR="00A82A8C" w:rsidRPr="008C6FEA">
        <w:rPr>
          <w:i/>
          <w:iCs/>
        </w:rPr>
        <w:t>detailed response</w:t>
      </w:r>
      <w:r w:rsidR="000978E0">
        <w:rPr>
          <w:i/>
          <w:iCs/>
        </w:rPr>
        <w:t>”</w:t>
      </w:r>
      <w:r w:rsidR="00A82A8C">
        <w:t xml:space="preserve">. Having regard to the use of the phrase a </w:t>
      </w:r>
      <w:r w:rsidR="000978E0">
        <w:t>“</w:t>
      </w:r>
      <w:r w:rsidR="00A82A8C" w:rsidRPr="008C6FEA">
        <w:rPr>
          <w:i/>
          <w:iCs/>
        </w:rPr>
        <w:t>detailed response</w:t>
      </w:r>
      <w:r w:rsidR="000978E0">
        <w:rPr>
          <w:i/>
          <w:iCs/>
        </w:rPr>
        <w:t>”</w:t>
      </w:r>
      <w:r w:rsidR="00A82A8C">
        <w:t xml:space="preserve"> in the initiation notice,  by </w:t>
      </w:r>
      <w:r w:rsidR="00684B82">
        <w:t>parity of r</w:t>
      </w:r>
      <w:r w:rsidR="00A82A8C">
        <w:t>eason</w:t>
      </w:r>
      <w:r w:rsidR="00684B82">
        <w:t xml:space="preserve"> it must be by </w:t>
      </w:r>
      <w:r w:rsidR="00A82A8C">
        <w:t>reference</w:t>
      </w:r>
      <w:r w:rsidR="00684B82">
        <w:t xml:space="preserve">, the </w:t>
      </w:r>
      <w:r w:rsidR="000978E0">
        <w:t>“</w:t>
      </w:r>
      <w:r w:rsidR="00A82A8C" w:rsidRPr="008C6FEA">
        <w:rPr>
          <w:i/>
          <w:iCs/>
        </w:rPr>
        <w:t>substantial request</w:t>
      </w:r>
      <w:r w:rsidR="000978E0">
        <w:rPr>
          <w:i/>
          <w:iCs/>
        </w:rPr>
        <w:t>”</w:t>
      </w:r>
      <w:r w:rsidR="00A82A8C">
        <w:t xml:space="preserve"> in the initial notice. ITAC being entitled to call for further information after such receipt </w:t>
      </w:r>
      <w:r w:rsidR="00A82A8C" w:rsidRPr="008C6FEA">
        <w:rPr>
          <w:i/>
          <w:iCs/>
        </w:rPr>
        <w:t>via</w:t>
      </w:r>
      <w:r w:rsidR="00A82A8C">
        <w:t xml:space="preserve"> deficiency requests until such time as it, ITAC, decides to accept the application as properly documented</w:t>
      </w:r>
      <w:r w:rsidR="00AB3CDF">
        <w:t xml:space="preserve"> before it. This appears to be the sequence of events.</w:t>
      </w:r>
    </w:p>
    <w:p w14:paraId="11BA8160" w14:textId="1FD559A4" w:rsidR="008C6FB5" w:rsidRPr="0027466D" w:rsidRDefault="0027466D" w:rsidP="0027466D">
      <w:pPr>
        <w:tabs>
          <w:tab w:val="left" w:pos="851"/>
        </w:tabs>
        <w:spacing w:before="480" w:after="480" w:line="480" w:lineRule="auto"/>
        <w:jc w:val="both"/>
        <w:rPr>
          <w:rFonts w:ascii="Arial" w:hAnsi="Arial" w:cs="Arial"/>
        </w:rPr>
      </w:pPr>
      <w:r>
        <w:rPr>
          <w:rFonts w:ascii="Arial" w:hAnsi="Arial" w:cs="Arial"/>
        </w:rPr>
        <w:t>[39]</w:t>
      </w:r>
      <w:r>
        <w:rPr>
          <w:rFonts w:ascii="Arial" w:hAnsi="Arial" w:cs="Arial"/>
        </w:rPr>
        <w:tab/>
      </w:r>
      <w:r w:rsidR="006D413A" w:rsidRPr="0027466D">
        <w:rPr>
          <w:rFonts w:ascii="Arial" w:hAnsi="Arial" w:cs="Arial"/>
          <w:color w:val="000000" w:themeColor="text1"/>
        </w:rPr>
        <w:t>This decision</w:t>
      </w:r>
      <w:r w:rsidR="008C6FB5" w:rsidRPr="0027466D">
        <w:rPr>
          <w:rFonts w:ascii="Arial" w:hAnsi="Arial" w:cs="Arial"/>
          <w:color w:val="000000" w:themeColor="text1"/>
        </w:rPr>
        <w:t xml:space="preserve"> by ITAC to initiate the sunset review</w:t>
      </w:r>
      <w:r w:rsidR="006D413A" w:rsidRPr="0027466D">
        <w:rPr>
          <w:rFonts w:ascii="Arial" w:hAnsi="Arial" w:cs="Arial"/>
          <w:color w:val="000000" w:themeColor="text1"/>
        </w:rPr>
        <w:t xml:space="preserve"> triggered a single investigation phase into the reconsideration of the imposition</w:t>
      </w:r>
      <w:r w:rsidR="008C6FB5" w:rsidRPr="0027466D">
        <w:rPr>
          <w:rFonts w:ascii="Arial" w:hAnsi="Arial" w:cs="Arial"/>
          <w:color w:val="000000" w:themeColor="text1"/>
        </w:rPr>
        <w:t xml:space="preserve">. </w:t>
      </w:r>
      <w:r w:rsidR="00AB3CDF" w:rsidRPr="0027466D">
        <w:rPr>
          <w:rFonts w:ascii="Arial" w:hAnsi="Arial" w:cs="Arial"/>
        </w:rPr>
        <w:t xml:space="preserve">Of significance is the </w:t>
      </w:r>
      <w:r w:rsidR="008C6FB5" w:rsidRPr="0027466D">
        <w:rPr>
          <w:rFonts w:ascii="Arial" w:hAnsi="Arial" w:cs="Arial"/>
        </w:rPr>
        <w:t xml:space="preserve">period of investigation was determined to be </w:t>
      </w:r>
      <w:r w:rsidR="008C6FB5" w:rsidRPr="0027466D">
        <w:rPr>
          <w:rFonts w:ascii="Arial" w:hAnsi="Arial" w:cs="Arial"/>
          <w:color w:val="000000" w:themeColor="text1"/>
        </w:rPr>
        <w:t>1 June 2018</w:t>
      </w:r>
      <w:r w:rsidR="000978E0" w:rsidRPr="0027466D">
        <w:rPr>
          <w:rFonts w:ascii="Arial" w:hAnsi="Arial" w:cs="Arial"/>
          <w:color w:val="000000" w:themeColor="text1"/>
        </w:rPr>
        <w:t xml:space="preserve"> </w:t>
      </w:r>
      <w:r w:rsidR="00A76E4D" w:rsidRPr="0027466D">
        <w:rPr>
          <w:rFonts w:ascii="Arial" w:hAnsi="Arial" w:cs="Arial"/>
          <w:color w:val="000000" w:themeColor="text1"/>
        </w:rPr>
        <w:t>to</w:t>
      </w:r>
      <w:r w:rsidR="000978E0" w:rsidRPr="0027466D">
        <w:rPr>
          <w:rFonts w:ascii="Arial" w:hAnsi="Arial" w:cs="Arial"/>
          <w:color w:val="000000" w:themeColor="text1"/>
        </w:rPr>
        <w:t xml:space="preserve"> </w:t>
      </w:r>
      <w:r w:rsidR="008C6FB5" w:rsidRPr="0027466D">
        <w:rPr>
          <w:rFonts w:ascii="Arial" w:hAnsi="Arial" w:cs="Arial"/>
          <w:color w:val="000000" w:themeColor="text1"/>
        </w:rPr>
        <w:t>31 May 2019 for dumping</w:t>
      </w:r>
      <w:r w:rsidR="00A76E4D" w:rsidRPr="0027466D">
        <w:rPr>
          <w:rFonts w:ascii="Arial" w:hAnsi="Arial" w:cs="Arial"/>
          <w:color w:val="000000" w:themeColor="text1"/>
        </w:rPr>
        <w:t>;</w:t>
      </w:r>
      <w:r w:rsidR="008C6FB5" w:rsidRPr="0027466D">
        <w:rPr>
          <w:rFonts w:ascii="Arial" w:hAnsi="Arial" w:cs="Arial"/>
          <w:color w:val="000000" w:themeColor="text1"/>
        </w:rPr>
        <w:t xml:space="preserve"> and material injury</w:t>
      </w:r>
      <w:r w:rsidR="00A76E4D" w:rsidRPr="0027466D">
        <w:rPr>
          <w:rFonts w:ascii="Arial" w:hAnsi="Arial" w:cs="Arial"/>
          <w:color w:val="000000" w:themeColor="text1"/>
        </w:rPr>
        <w:t>,</w:t>
      </w:r>
      <w:r w:rsidR="008C6FB5" w:rsidRPr="0027466D">
        <w:rPr>
          <w:rFonts w:ascii="Arial" w:hAnsi="Arial" w:cs="Arial"/>
          <w:color w:val="000000" w:themeColor="text1"/>
        </w:rPr>
        <w:t xml:space="preserve"> 1 June 2016 to 31 May 2019, plus estimates of 1 </w:t>
      </w:r>
      <w:r w:rsidR="008C6FB5" w:rsidRPr="0027466D">
        <w:rPr>
          <w:rFonts w:ascii="Arial" w:hAnsi="Arial" w:cs="Arial"/>
        </w:rPr>
        <w:t>June 2019 to 31 May 2020 should the anti-dumping be removed.</w:t>
      </w:r>
    </w:p>
    <w:p w14:paraId="225E3B05" w14:textId="700CBCEA" w:rsidR="00955275" w:rsidRPr="0027466D" w:rsidRDefault="0027466D" w:rsidP="0027466D">
      <w:pPr>
        <w:tabs>
          <w:tab w:val="left" w:pos="851"/>
        </w:tabs>
        <w:spacing w:before="480" w:after="480" w:line="480" w:lineRule="auto"/>
        <w:jc w:val="both"/>
        <w:rPr>
          <w:rFonts w:ascii="Arial" w:hAnsi="Arial" w:cs="Arial"/>
          <w:color w:val="000000" w:themeColor="text1"/>
        </w:rPr>
      </w:pPr>
      <w:r w:rsidRPr="006757D1">
        <w:rPr>
          <w:rFonts w:ascii="Arial" w:hAnsi="Arial" w:cs="Arial"/>
        </w:rPr>
        <w:t>[40]</w:t>
      </w:r>
      <w:r w:rsidRPr="006757D1">
        <w:rPr>
          <w:rFonts w:ascii="Arial" w:hAnsi="Arial" w:cs="Arial"/>
        </w:rPr>
        <w:tab/>
      </w:r>
      <w:r w:rsidR="00AB3CDF" w:rsidRPr="0027466D">
        <w:rPr>
          <w:rFonts w:ascii="Arial" w:hAnsi="Arial" w:cs="Arial"/>
        </w:rPr>
        <w:t>Factually, t</w:t>
      </w:r>
      <w:r w:rsidR="00C217FD" w:rsidRPr="0027466D">
        <w:rPr>
          <w:rFonts w:ascii="Arial" w:hAnsi="Arial" w:cs="Arial"/>
        </w:rPr>
        <w:t>he sunset review was initiated prior to the 5-year deadline</w:t>
      </w:r>
      <w:r w:rsidR="009E5BCC" w:rsidRPr="0027466D">
        <w:rPr>
          <w:rFonts w:ascii="Arial" w:hAnsi="Arial" w:cs="Arial"/>
        </w:rPr>
        <w:t>. T</w:t>
      </w:r>
      <w:r w:rsidR="00C217FD" w:rsidRPr="0027466D">
        <w:rPr>
          <w:rFonts w:ascii="Arial" w:hAnsi="Arial" w:cs="Arial"/>
        </w:rPr>
        <w:t xml:space="preserve">he duties remained intact pending the finalisation of the sunset review as provided for </w:t>
      </w:r>
      <w:r w:rsidR="00400BD8" w:rsidRPr="0027466D">
        <w:rPr>
          <w:rFonts w:ascii="Arial" w:hAnsi="Arial" w:cs="Arial"/>
        </w:rPr>
        <w:t xml:space="preserve">in </w:t>
      </w:r>
      <w:r w:rsidR="00C217FD" w:rsidRPr="0027466D">
        <w:rPr>
          <w:rFonts w:ascii="Arial" w:hAnsi="Arial" w:cs="Arial"/>
        </w:rPr>
        <w:t>regulation 53</w:t>
      </w:r>
      <w:r w:rsidR="00AB3CDF" w:rsidRPr="0027466D">
        <w:rPr>
          <w:rFonts w:ascii="Arial" w:hAnsi="Arial" w:cs="Arial"/>
        </w:rPr>
        <w:t xml:space="preserve"> and</w:t>
      </w:r>
      <w:r w:rsidR="009E5BCC" w:rsidRPr="0027466D">
        <w:rPr>
          <w:rFonts w:ascii="Arial" w:hAnsi="Arial" w:cs="Arial"/>
        </w:rPr>
        <w:t>,</w:t>
      </w:r>
      <w:r w:rsidR="00AB3CDF" w:rsidRPr="0027466D">
        <w:rPr>
          <w:rFonts w:ascii="Arial" w:hAnsi="Arial" w:cs="Arial"/>
        </w:rPr>
        <w:t xml:space="preserve"> i</w:t>
      </w:r>
      <w:r w:rsidR="008C6FB5" w:rsidRPr="0027466D">
        <w:rPr>
          <w:rFonts w:ascii="Arial" w:hAnsi="Arial" w:cs="Arial"/>
        </w:rPr>
        <w:t xml:space="preserve">n terms of regulation 20, </w:t>
      </w:r>
      <w:r w:rsidR="00955275" w:rsidRPr="0027466D">
        <w:rPr>
          <w:rFonts w:ascii="Arial" w:hAnsi="Arial" w:cs="Arial"/>
        </w:rPr>
        <w:t>ITAC had to finalise</w:t>
      </w:r>
      <w:r w:rsidR="008C6FB5" w:rsidRPr="0027466D">
        <w:rPr>
          <w:rFonts w:ascii="Arial" w:hAnsi="Arial" w:cs="Arial"/>
        </w:rPr>
        <w:t xml:space="preserve"> the review</w:t>
      </w:r>
      <w:r w:rsidR="00955275" w:rsidRPr="0027466D">
        <w:rPr>
          <w:rFonts w:ascii="Arial" w:hAnsi="Arial" w:cs="Arial"/>
        </w:rPr>
        <w:t xml:space="preserve"> within 18 (eighteen) months</w:t>
      </w:r>
      <w:r w:rsidR="008C6FB5" w:rsidRPr="0027466D">
        <w:rPr>
          <w:rFonts w:ascii="Arial" w:hAnsi="Arial" w:cs="Arial"/>
        </w:rPr>
        <w:t xml:space="preserve"> after the initiation</w:t>
      </w:r>
      <w:r w:rsidR="00955275" w:rsidRPr="0027466D">
        <w:rPr>
          <w:rFonts w:ascii="Arial" w:hAnsi="Arial" w:cs="Arial"/>
        </w:rPr>
        <w:t xml:space="preserve">. </w:t>
      </w:r>
      <w:r w:rsidR="00955275" w:rsidRPr="0027466D">
        <w:rPr>
          <w:rFonts w:ascii="Arial" w:hAnsi="Arial" w:cs="Arial"/>
          <w:color w:val="000000" w:themeColor="text1"/>
        </w:rPr>
        <w:t xml:space="preserve">The deadline was </w:t>
      </w:r>
      <w:r w:rsidR="008C6FB5" w:rsidRPr="0027466D">
        <w:rPr>
          <w:rFonts w:ascii="Arial" w:hAnsi="Arial" w:cs="Arial"/>
          <w:color w:val="000000" w:themeColor="text1"/>
        </w:rPr>
        <w:t>24 August</w:t>
      </w:r>
      <w:r w:rsidR="00955275" w:rsidRPr="0027466D">
        <w:rPr>
          <w:rFonts w:ascii="Arial" w:hAnsi="Arial" w:cs="Arial"/>
          <w:color w:val="000000" w:themeColor="text1"/>
        </w:rPr>
        <w:t xml:space="preserve"> 2021.</w:t>
      </w:r>
    </w:p>
    <w:p w14:paraId="37670446" w14:textId="633BFF8B" w:rsidR="00C217FD" w:rsidRPr="0027466D" w:rsidRDefault="0027466D" w:rsidP="0027466D">
      <w:pPr>
        <w:tabs>
          <w:tab w:val="left" w:pos="851"/>
        </w:tabs>
        <w:spacing w:before="480" w:after="480" w:line="480" w:lineRule="auto"/>
        <w:jc w:val="both"/>
        <w:rPr>
          <w:rFonts w:ascii="Arial" w:hAnsi="Arial" w:cs="Arial"/>
          <w:color w:val="000000" w:themeColor="text1"/>
        </w:rPr>
      </w:pPr>
      <w:r w:rsidRPr="002D72A1">
        <w:rPr>
          <w:rFonts w:ascii="Arial" w:hAnsi="Arial" w:cs="Arial"/>
        </w:rPr>
        <w:t>[41]</w:t>
      </w:r>
      <w:r w:rsidRPr="002D72A1">
        <w:rPr>
          <w:rFonts w:ascii="Arial" w:hAnsi="Arial" w:cs="Arial"/>
        </w:rPr>
        <w:tab/>
      </w:r>
      <w:r w:rsidR="008C6FEA" w:rsidRPr="0027466D">
        <w:rPr>
          <w:rFonts w:ascii="Arial" w:hAnsi="Arial" w:cs="Arial"/>
          <w:color w:val="000000" w:themeColor="text1"/>
        </w:rPr>
        <w:t xml:space="preserve">During the investigation phase, </w:t>
      </w:r>
      <w:r w:rsidR="008C6FB5" w:rsidRPr="0027466D">
        <w:rPr>
          <w:rFonts w:ascii="Arial" w:hAnsi="Arial" w:cs="Arial"/>
          <w:color w:val="000000" w:themeColor="text1"/>
        </w:rPr>
        <w:t>ITAC invite</w:t>
      </w:r>
      <w:r w:rsidR="008F1A32" w:rsidRPr="0027466D">
        <w:rPr>
          <w:rFonts w:ascii="Arial" w:hAnsi="Arial" w:cs="Arial"/>
          <w:color w:val="000000" w:themeColor="text1"/>
        </w:rPr>
        <w:t xml:space="preserve">d </w:t>
      </w:r>
      <w:r w:rsidR="008C6FB5" w:rsidRPr="0027466D">
        <w:rPr>
          <w:rFonts w:ascii="Arial" w:hAnsi="Arial" w:cs="Arial"/>
          <w:color w:val="000000" w:themeColor="text1"/>
        </w:rPr>
        <w:t>interested parties to respond and comment</w:t>
      </w:r>
      <w:r w:rsidR="008C6FEA" w:rsidRPr="0027466D">
        <w:rPr>
          <w:rFonts w:ascii="Arial" w:hAnsi="Arial" w:cs="Arial"/>
          <w:color w:val="000000" w:themeColor="text1"/>
        </w:rPr>
        <w:t xml:space="preserve"> on SAPA’s application</w:t>
      </w:r>
      <w:r w:rsidR="008F1A32" w:rsidRPr="0027466D">
        <w:rPr>
          <w:rFonts w:ascii="Arial" w:hAnsi="Arial" w:cs="Arial"/>
          <w:color w:val="000000" w:themeColor="text1"/>
        </w:rPr>
        <w:t xml:space="preserve"> and </w:t>
      </w:r>
      <w:r w:rsidR="008C6FEA" w:rsidRPr="0027466D">
        <w:rPr>
          <w:rFonts w:ascii="Arial" w:hAnsi="Arial" w:cs="Arial"/>
          <w:color w:val="000000" w:themeColor="text1"/>
        </w:rPr>
        <w:t xml:space="preserve">to </w:t>
      </w:r>
      <w:r w:rsidR="008C6FB5" w:rsidRPr="0027466D">
        <w:rPr>
          <w:rFonts w:ascii="Arial" w:hAnsi="Arial" w:cs="Arial"/>
          <w:color w:val="000000" w:themeColor="text1"/>
        </w:rPr>
        <w:t>submitted</w:t>
      </w:r>
      <w:r w:rsidR="008C6FEA" w:rsidRPr="0027466D">
        <w:rPr>
          <w:rFonts w:ascii="Arial" w:hAnsi="Arial" w:cs="Arial"/>
          <w:color w:val="000000" w:themeColor="text1"/>
        </w:rPr>
        <w:t xml:space="preserve"> </w:t>
      </w:r>
      <w:r w:rsidR="008F1A32" w:rsidRPr="0027466D">
        <w:rPr>
          <w:rFonts w:ascii="Arial" w:hAnsi="Arial" w:cs="Arial"/>
          <w:color w:val="000000" w:themeColor="text1"/>
        </w:rPr>
        <w:t>further i</w:t>
      </w:r>
      <w:r w:rsidR="008C6FEA" w:rsidRPr="0027466D">
        <w:rPr>
          <w:rFonts w:ascii="Arial" w:hAnsi="Arial" w:cs="Arial"/>
          <w:color w:val="000000" w:themeColor="text1"/>
        </w:rPr>
        <w:t>nformation to assist ITAC</w:t>
      </w:r>
      <w:r w:rsidR="001512EF" w:rsidRPr="0027466D">
        <w:rPr>
          <w:rFonts w:ascii="Arial" w:hAnsi="Arial" w:cs="Arial"/>
          <w:color w:val="000000" w:themeColor="text1"/>
        </w:rPr>
        <w:t>.</w:t>
      </w:r>
      <w:r w:rsidR="00AF1193" w:rsidRPr="0027466D">
        <w:rPr>
          <w:rFonts w:ascii="Arial" w:hAnsi="Arial" w:cs="Arial"/>
          <w:color w:val="000000" w:themeColor="text1"/>
        </w:rPr>
        <w:t xml:space="preserve"> </w:t>
      </w:r>
      <w:r w:rsidR="001512EF" w:rsidRPr="0027466D">
        <w:rPr>
          <w:rFonts w:ascii="Arial" w:hAnsi="Arial" w:cs="Arial"/>
          <w:color w:val="000000" w:themeColor="text1"/>
        </w:rPr>
        <w:t>A</w:t>
      </w:r>
      <w:r w:rsidR="008C6FEA" w:rsidRPr="0027466D">
        <w:rPr>
          <w:rFonts w:ascii="Arial" w:hAnsi="Arial" w:cs="Arial"/>
          <w:color w:val="000000" w:themeColor="text1"/>
        </w:rPr>
        <w:t xml:space="preserve"> public file is </w:t>
      </w:r>
      <w:r w:rsidR="002D72A1" w:rsidRPr="0027466D">
        <w:rPr>
          <w:rFonts w:ascii="Arial" w:hAnsi="Arial" w:cs="Arial"/>
          <w:color w:val="000000" w:themeColor="text1"/>
        </w:rPr>
        <w:t xml:space="preserve">used </w:t>
      </w:r>
      <w:r w:rsidR="008C6FB5" w:rsidRPr="0027466D">
        <w:rPr>
          <w:rFonts w:ascii="Arial" w:hAnsi="Arial" w:cs="Arial"/>
          <w:color w:val="000000" w:themeColor="text1"/>
        </w:rPr>
        <w:t xml:space="preserve">for the consideration of all non-confidential information accessible to all </w:t>
      </w:r>
      <w:r w:rsidR="006757D1" w:rsidRPr="0027466D">
        <w:rPr>
          <w:rFonts w:ascii="Arial" w:hAnsi="Arial" w:cs="Arial"/>
          <w:color w:val="000000" w:themeColor="text1"/>
        </w:rPr>
        <w:t xml:space="preserve">interested </w:t>
      </w:r>
      <w:r w:rsidR="008C6FB5" w:rsidRPr="0027466D">
        <w:rPr>
          <w:rFonts w:ascii="Arial" w:hAnsi="Arial" w:cs="Arial"/>
          <w:color w:val="000000" w:themeColor="text1"/>
        </w:rPr>
        <w:t>parties in the process</w:t>
      </w:r>
      <w:r w:rsidR="00AF1193" w:rsidRPr="0027466D">
        <w:rPr>
          <w:rFonts w:ascii="Arial" w:hAnsi="Arial" w:cs="Arial"/>
          <w:color w:val="000000" w:themeColor="text1"/>
        </w:rPr>
        <w:t xml:space="preserve">. </w:t>
      </w:r>
      <w:r w:rsidR="00DC3597" w:rsidRPr="0027466D">
        <w:rPr>
          <w:rFonts w:ascii="Arial" w:hAnsi="Arial" w:cs="Arial"/>
          <w:color w:val="000000" w:themeColor="text1"/>
        </w:rPr>
        <w:t>AMIE</w:t>
      </w:r>
      <w:r w:rsidR="008F1A32" w:rsidRPr="0027466D">
        <w:rPr>
          <w:rFonts w:ascii="Arial" w:hAnsi="Arial" w:cs="Arial"/>
          <w:color w:val="000000" w:themeColor="text1"/>
        </w:rPr>
        <w:t xml:space="preserve"> contends that ITAC’s failure </w:t>
      </w:r>
      <w:r w:rsidR="008F1A32" w:rsidRPr="0027466D">
        <w:rPr>
          <w:rFonts w:ascii="Arial" w:hAnsi="Arial" w:cs="Arial"/>
          <w:color w:val="000000" w:themeColor="text1"/>
        </w:rPr>
        <w:lastRenderedPageBreak/>
        <w:t xml:space="preserve">to update the public file during </w:t>
      </w:r>
      <w:r w:rsidR="00E602A6" w:rsidRPr="0027466D">
        <w:rPr>
          <w:rFonts w:ascii="Arial" w:hAnsi="Arial" w:cs="Arial"/>
          <w:color w:val="000000" w:themeColor="text1"/>
        </w:rPr>
        <w:t>24 May 2021 to early July 2021 [</w:t>
      </w:r>
      <w:r w:rsidR="008F1A32" w:rsidRPr="0027466D">
        <w:rPr>
          <w:rFonts w:ascii="Arial" w:hAnsi="Arial" w:cs="Arial"/>
          <w:color w:val="000000" w:themeColor="text1"/>
        </w:rPr>
        <w:t>the crucial time</w:t>
      </w:r>
      <w:r w:rsidR="00E602A6" w:rsidRPr="0027466D">
        <w:rPr>
          <w:rFonts w:ascii="Arial" w:hAnsi="Arial" w:cs="Arial"/>
          <w:color w:val="000000" w:themeColor="text1"/>
        </w:rPr>
        <w:t xml:space="preserve">] </w:t>
      </w:r>
      <w:r w:rsidR="008F1A32" w:rsidRPr="0027466D">
        <w:rPr>
          <w:rFonts w:ascii="Arial" w:hAnsi="Arial" w:cs="Arial"/>
          <w:color w:val="000000" w:themeColor="text1"/>
        </w:rPr>
        <w:t>appears to conceal the circumstances surrounding SAPA’s request for an oral hearing on 8 June 2021 when</w:t>
      </w:r>
      <w:r w:rsidR="00AF1193" w:rsidRPr="0027466D">
        <w:rPr>
          <w:rFonts w:ascii="Arial" w:hAnsi="Arial" w:cs="Arial"/>
          <w:color w:val="000000" w:themeColor="text1"/>
        </w:rPr>
        <w:t xml:space="preserve"> </w:t>
      </w:r>
      <w:r w:rsidR="008F1A32" w:rsidRPr="0027466D">
        <w:rPr>
          <w:rFonts w:ascii="Arial" w:hAnsi="Arial" w:cs="Arial"/>
          <w:color w:val="000000" w:themeColor="text1"/>
        </w:rPr>
        <w:t>similar request</w:t>
      </w:r>
      <w:r w:rsidR="00AF1193" w:rsidRPr="0027466D">
        <w:rPr>
          <w:rFonts w:ascii="Arial" w:hAnsi="Arial" w:cs="Arial"/>
          <w:color w:val="000000" w:themeColor="text1"/>
        </w:rPr>
        <w:t>s</w:t>
      </w:r>
      <w:r w:rsidR="008F1A32" w:rsidRPr="0027466D">
        <w:rPr>
          <w:rFonts w:ascii="Arial" w:hAnsi="Arial" w:cs="Arial"/>
          <w:color w:val="000000" w:themeColor="text1"/>
        </w:rPr>
        <w:t xml:space="preserve"> for oral hearing by other parties, including </w:t>
      </w:r>
      <w:r w:rsidR="00DC3597" w:rsidRPr="0027466D">
        <w:rPr>
          <w:rFonts w:ascii="Arial" w:hAnsi="Arial" w:cs="Arial"/>
          <w:color w:val="000000" w:themeColor="text1"/>
        </w:rPr>
        <w:t>AMIE</w:t>
      </w:r>
      <w:r w:rsidR="008F1A32" w:rsidRPr="0027466D">
        <w:rPr>
          <w:rFonts w:ascii="Arial" w:hAnsi="Arial" w:cs="Arial"/>
          <w:color w:val="000000" w:themeColor="text1"/>
        </w:rPr>
        <w:t xml:space="preserve"> and Merlog Foods (Pty) Ltd [Merlog], were denied.</w:t>
      </w:r>
      <w:r w:rsidR="00C217FD" w:rsidRPr="0027466D">
        <w:rPr>
          <w:rFonts w:ascii="Arial" w:hAnsi="Arial" w:cs="Arial"/>
          <w:color w:val="000000" w:themeColor="text1"/>
        </w:rPr>
        <w:t xml:space="preserve"> </w:t>
      </w:r>
    </w:p>
    <w:p w14:paraId="64EE814B" w14:textId="4A8D40EE" w:rsidR="00C217FD" w:rsidRPr="00C217FD" w:rsidRDefault="0027466D" w:rsidP="0027466D">
      <w:pPr>
        <w:pStyle w:val="RetiefPleadingpara1"/>
        <w:numPr>
          <w:ilvl w:val="0"/>
          <w:numId w:val="0"/>
        </w:numPr>
        <w:tabs>
          <w:tab w:val="left" w:pos="851"/>
        </w:tabs>
        <w:spacing w:before="480" w:after="480"/>
        <w:rPr>
          <w:color w:val="FF0000"/>
          <w:szCs w:val="24"/>
        </w:rPr>
      </w:pPr>
      <w:r w:rsidRPr="00C217FD">
        <w:rPr>
          <w:szCs w:val="24"/>
        </w:rPr>
        <w:t>[42]</w:t>
      </w:r>
      <w:r w:rsidRPr="00C217FD">
        <w:rPr>
          <w:szCs w:val="24"/>
        </w:rPr>
        <w:tab/>
      </w:r>
      <w:r w:rsidR="00C217FD">
        <w:t>Merlog</w:t>
      </w:r>
      <w:r w:rsidR="008F1A32">
        <w:t xml:space="preserve">, </w:t>
      </w:r>
      <w:r w:rsidR="00C217FD">
        <w:t xml:space="preserve">a South African importer and member of </w:t>
      </w:r>
      <w:r w:rsidR="003B32CC">
        <w:t>AMIE</w:t>
      </w:r>
      <w:r w:rsidR="00C217FD">
        <w:t xml:space="preserve"> </w:t>
      </w:r>
      <w:r w:rsidR="001512EF">
        <w:t xml:space="preserve">who, on the 21 March 2020 </w:t>
      </w:r>
      <w:r w:rsidR="00C217FD">
        <w:t>submitted an importer questionnaire and responded to ITAC regarding SAPA’s application</w:t>
      </w:r>
      <w:r w:rsidR="001512EF">
        <w:t>. Merlog</w:t>
      </w:r>
      <w:r w:rsidR="00C217FD">
        <w:t xml:space="preserve"> highligh</w:t>
      </w:r>
      <w:r w:rsidR="001512EF">
        <w:t>ted</w:t>
      </w:r>
      <w:r w:rsidR="00C217FD">
        <w:t xml:space="preserve"> certain </w:t>
      </w:r>
      <w:r w:rsidR="008C6FB5">
        <w:t xml:space="preserve">noted </w:t>
      </w:r>
      <w:r w:rsidR="00C217FD">
        <w:t>deficiencies</w:t>
      </w:r>
      <w:r w:rsidR="00AF1193">
        <w:t>, s</w:t>
      </w:r>
      <w:r w:rsidR="00C217FD">
        <w:t xml:space="preserve">uch deficiencies </w:t>
      </w:r>
      <w:r w:rsidR="008C6FB5">
        <w:t>dealing with the information supplied by SAPA. The complaint/comment pertained to</w:t>
      </w:r>
      <w:r w:rsidR="00C217FD">
        <w:t xml:space="preserve"> </w:t>
      </w:r>
      <w:r w:rsidR="008C6FB5">
        <w:t xml:space="preserve">the use of </w:t>
      </w:r>
      <w:r w:rsidR="00955139">
        <w:t>non-current</w:t>
      </w:r>
      <w:r w:rsidR="00C217FD">
        <w:t xml:space="preserve"> </w:t>
      </w:r>
      <w:r w:rsidR="00BB645E">
        <w:t xml:space="preserve">and the supply of </w:t>
      </w:r>
      <w:r w:rsidR="00C217FD">
        <w:t>incomplete non-confidential information</w:t>
      </w:r>
      <w:r w:rsidR="008C6FB5">
        <w:t xml:space="preserve"> by </w:t>
      </w:r>
      <w:r w:rsidR="00BB645E">
        <w:t>SAPA.</w:t>
      </w:r>
      <w:r w:rsidR="00955275">
        <w:t xml:space="preserve"> </w:t>
      </w:r>
    </w:p>
    <w:p w14:paraId="7ADD795E" w14:textId="597DCF79" w:rsidR="00C217FD" w:rsidRPr="0027466D" w:rsidRDefault="0027466D" w:rsidP="0027466D">
      <w:pPr>
        <w:tabs>
          <w:tab w:val="left" w:pos="851"/>
        </w:tabs>
        <w:spacing w:before="480" w:after="480" w:line="480" w:lineRule="auto"/>
        <w:jc w:val="both"/>
        <w:rPr>
          <w:rFonts w:ascii="Arial" w:hAnsi="Arial" w:cs="Arial"/>
        </w:rPr>
      </w:pPr>
      <w:r w:rsidRPr="008C6FB5">
        <w:rPr>
          <w:rFonts w:ascii="Arial" w:hAnsi="Arial" w:cs="Arial"/>
        </w:rPr>
        <w:t>[43]</w:t>
      </w:r>
      <w:r w:rsidRPr="008C6FB5">
        <w:rPr>
          <w:rFonts w:ascii="Arial" w:hAnsi="Arial" w:cs="Arial"/>
        </w:rPr>
        <w:tab/>
      </w:r>
      <w:r w:rsidR="00C217FD" w:rsidRPr="0027466D">
        <w:rPr>
          <w:rFonts w:ascii="Arial" w:hAnsi="Arial" w:cs="Arial"/>
        </w:rPr>
        <w:t xml:space="preserve">On 4 May 2020, AMIE too submitted a detailed response to ITAC on SAPA’s application. </w:t>
      </w:r>
    </w:p>
    <w:p w14:paraId="34A8A6B3" w14:textId="6C5C2561" w:rsidR="00BB645E" w:rsidRPr="0027466D" w:rsidRDefault="0027466D" w:rsidP="0027466D">
      <w:pPr>
        <w:tabs>
          <w:tab w:val="left" w:pos="851"/>
        </w:tabs>
        <w:spacing w:before="480" w:after="480" w:line="480" w:lineRule="auto"/>
        <w:jc w:val="both"/>
        <w:rPr>
          <w:rFonts w:ascii="Arial" w:hAnsi="Arial" w:cs="Arial"/>
        </w:rPr>
      </w:pPr>
      <w:r>
        <w:rPr>
          <w:rFonts w:ascii="Arial" w:hAnsi="Arial" w:cs="Arial"/>
        </w:rPr>
        <w:t>[44]</w:t>
      </w:r>
      <w:r>
        <w:rPr>
          <w:rFonts w:ascii="Arial" w:hAnsi="Arial" w:cs="Arial"/>
        </w:rPr>
        <w:tab/>
      </w:r>
      <w:r w:rsidR="00C217FD" w:rsidRPr="0027466D">
        <w:rPr>
          <w:rFonts w:ascii="Arial" w:hAnsi="Arial" w:cs="Arial"/>
        </w:rPr>
        <w:t xml:space="preserve">On </w:t>
      </w:r>
      <w:r w:rsidR="0036527C" w:rsidRPr="0027466D">
        <w:rPr>
          <w:rFonts w:ascii="Arial" w:hAnsi="Arial" w:cs="Arial"/>
        </w:rPr>
        <w:t>28 April</w:t>
      </w:r>
      <w:r w:rsidR="00C217FD" w:rsidRPr="0027466D">
        <w:rPr>
          <w:rFonts w:ascii="Arial" w:hAnsi="Arial" w:cs="Arial"/>
        </w:rPr>
        <w:t xml:space="preserve"> 2021</w:t>
      </w:r>
      <w:r w:rsidR="00BD0946" w:rsidRPr="0027466D">
        <w:rPr>
          <w:rFonts w:ascii="Arial" w:hAnsi="Arial" w:cs="Arial"/>
        </w:rPr>
        <w:t>,</w:t>
      </w:r>
      <w:r w:rsidR="00C217FD" w:rsidRPr="0027466D">
        <w:rPr>
          <w:rFonts w:ascii="Arial" w:hAnsi="Arial" w:cs="Arial"/>
        </w:rPr>
        <w:t xml:space="preserve"> ITAC issued an essential facts letter </w:t>
      </w:r>
      <w:r w:rsidR="008C6FB5" w:rsidRPr="0027466D">
        <w:rPr>
          <w:rFonts w:ascii="Arial" w:hAnsi="Arial" w:cs="Arial"/>
        </w:rPr>
        <w:t>to all</w:t>
      </w:r>
      <w:r w:rsidR="008C6FB5" w:rsidRPr="0027466D">
        <w:rPr>
          <w:rFonts w:ascii="Arial" w:hAnsi="Arial" w:cs="Arial"/>
          <w:color w:val="70AD47" w:themeColor="accent6"/>
        </w:rPr>
        <w:t xml:space="preserve"> </w:t>
      </w:r>
      <w:r w:rsidR="008C6FB5" w:rsidRPr="0027466D">
        <w:rPr>
          <w:rFonts w:ascii="Arial" w:hAnsi="Arial" w:cs="Arial"/>
        </w:rPr>
        <w:t>i</w:t>
      </w:r>
      <w:r w:rsidR="00C217FD" w:rsidRPr="0027466D">
        <w:rPr>
          <w:rFonts w:ascii="Arial" w:hAnsi="Arial" w:cs="Arial"/>
        </w:rPr>
        <w:t xml:space="preserve">nterested parties </w:t>
      </w:r>
      <w:r w:rsidR="008C6FB5" w:rsidRPr="0027466D">
        <w:rPr>
          <w:rFonts w:ascii="Arial" w:hAnsi="Arial" w:cs="Arial"/>
        </w:rPr>
        <w:t>in terms of regulation 37</w:t>
      </w:r>
      <w:r w:rsidR="00BB645E" w:rsidRPr="0027466D">
        <w:rPr>
          <w:rFonts w:ascii="Arial" w:hAnsi="Arial" w:cs="Arial"/>
        </w:rPr>
        <w:t>. ITAC at this stage, which it in argument</w:t>
      </w:r>
      <w:r w:rsidR="001512EF" w:rsidRPr="0027466D">
        <w:rPr>
          <w:rFonts w:ascii="Arial" w:hAnsi="Arial" w:cs="Arial"/>
        </w:rPr>
        <w:t>,</w:t>
      </w:r>
      <w:r w:rsidR="00BB645E" w:rsidRPr="0027466D">
        <w:rPr>
          <w:rFonts w:ascii="Arial" w:hAnsi="Arial" w:cs="Arial"/>
        </w:rPr>
        <w:t xml:space="preserve"> referred to as the preliminary stage, considered recommending that the 8-digit level tariff be used and not the 7-digit tariff level as per the initial imposition of 2015. </w:t>
      </w:r>
      <w:r w:rsidR="001512EF" w:rsidRPr="0027466D">
        <w:rPr>
          <w:rFonts w:ascii="Arial" w:hAnsi="Arial" w:cs="Arial"/>
        </w:rPr>
        <w:t xml:space="preserve">In the event that ITAC was to recommend </w:t>
      </w:r>
      <w:r w:rsidR="00BB645E" w:rsidRPr="0027466D">
        <w:rPr>
          <w:rFonts w:ascii="Arial" w:hAnsi="Arial" w:cs="Arial"/>
        </w:rPr>
        <w:t xml:space="preserve">maintaining the </w:t>
      </w:r>
      <w:r w:rsidR="00AF1193" w:rsidRPr="0027466D">
        <w:rPr>
          <w:rFonts w:ascii="Arial" w:hAnsi="Arial" w:cs="Arial"/>
        </w:rPr>
        <w:t>imposition,</w:t>
      </w:r>
      <w:r w:rsidR="00BB645E" w:rsidRPr="0027466D">
        <w:rPr>
          <w:rFonts w:ascii="Arial" w:hAnsi="Arial" w:cs="Arial"/>
        </w:rPr>
        <w:t xml:space="preserve"> then </w:t>
      </w:r>
      <w:r w:rsidR="00DC3597" w:rsidRPr="0027466D">
        <w:rPr>
          <w:rFonts w:ascii="Arial" w:hAnsi="Arial" w:cs="Arial"/>
        </w:rPr>
        <w:t>AMIE</w:t>
      </w:r>
      <w:r w:rsidR="00BB645E" w:rsidRPr="0027466D">
        <w:rPr>
          <w:rFonts w:ascii="Arial" w:hAnsi="Arial" w:cs="Arial"/>
        </w:rPr>
        <w:t xml:space="preserve"> was satisfied with the 8-dig</w:t>
      </w:r>
      <w:r w:rsidR="00AF1193" w:rsidRPr="0027466D">
        <w:rPr>
          <w:rFonts w:ascii="Arial" w:hAnsi="Arial" w:cs="Arial"/>
        </w:rPr>
        <w:t>i</w:t>
      </w:r>
      <w:r w:rsidR="00BB645E" w:rsidRPr="0027466D">
        <w:rPr>
          <w:rFonts w:ascii="Arial" w:hAnsi="Arial" w:cs="Arial"/>
        </w:rPr>
        <w:t>t recommendation.</w:t>
      </w:r>
      <w:r w:rsidR="00434F45" w:rsidRPr="0027466D">
        <w:rPr>
          <w:rFonts w:ascii="Arial" w:hAnsi="Arial" w:cs="Arial"/>
        </w:rPr>
        <w:t xml:space="preserve"> SAPA on the other hand maintained that as the product was defined at the 7-digit level and ant</w:t>
      </w:r>
      <w:r w:rsidR="00AF1193" w:rsidRPr="0027466D">
        <w:rPr>
          <w:rFonts w:ascii="Arial" w:hAnsi="Arial" w:cs="Arial"/>
        </w:rPr>
        <w:t>i</w:t>
      </w:r>
      <w:r w:rsidR="00434F45" w:rsidRPr="0027466D">
        <w:rPr>
          <w:rFonts w:ascii="Arial" w:hAnsi="Arial" w:cs="Arial"/>
        </w:rPr>
        <w:t xml:space="preserve">-dumping duties were imposed at that subheading, an 8-digit level should not be entertained. </w:t>
      </w:r>
    </w:p>
    <w:p w14:paraId="4D60914A" w14:textId="3D9B96C1" w:rsidR="008C6FB5" w:rsidRPr="0027466D" w:rsidRDefault="0027466D" w:rsidP="0027466D">
      <w:pPr>
        <w:tabs>
          <w:tab w:val="left" w:pos="851"/>
        </w:tabs>
        <w:spacing w:before="480" w:after="480" w:line="480" w:lineRule="auto"/>
        <w:jc w:val="both"/>
        <w:rPr>
          <w:rFonts w:ascii="Arial" w:hAnsi="Arial" w:cs="Arial"/>
        </w:rPr>
      </w:pPr>
      <w:r w:rsidRPr="001512EF">
        <w:rPr>
          <w:rFonts w:ascii="Arial" w:hAnsi="Arial" w:cs="Arial"/>
        </w:rPr>
        <w:t>[45]</w:t>
      </w:r>
      <w:r w:rsidRPr="001512EF">
        <w:rPr>
          <w:rFonts w:ascii="Arial" w:hAnsi="Arial" w:cs="Arial"/>
        </w:rPr>
        <w:tab/>
      </w:r>
      <w:r w:rsidR="00BB645E" w:rsidRPr="0027466D">
        <w:rPr>
          <w:rFonts w:ascii="Arial" w:hAnsi="Arial" w:cs="Arial"/>
        </w:rPr>
        <w:t xml:space="preserve">ITAC’s essential facts letter </w:t>
      </w:r>
      <w:r w:rsidR="00434F45" w:rsidRPr="0027466D">
        <w:rPr>
          <w:rFonts w:ascii="Arial" w:hAnsi="Arial" w:cs="Arial"/>
        </w:rPr>
        <w:t xml:space="preserve">was clear </w:t>
      </w:r>
      <w:r w:rsidR="001512EF" w:rsidRPr="0027466D">
        <w:rPr>
          <w:rFonts w:ascii="Arial" w:hAnsi="Arial" w:cs="Arial"/>
        </w:rPr>
        <w:t xml:space="preserve">in </w:t>
      </w:r>
      <w:r w:rsidR="00434F45" w:rsidRPr="0027466D">
        <w:rPr>
          <w:rFonts w:ascii="Arial" w:hAnsi="Arial" w:cs="Arial"/>
        </w:rPr>
        <w:t>that</w:t>
      </w:r>
      <w:r w:rsidR="001512EF" w:rsidRPr="0027466D">
        <w:rPr>
          <w:rFonts w:ascii="Arial" w:hAnsi="Arial" w:cs="Arial"/>
        </w:rPr>
        <w:t xml:space="preserve"> </w:t>
      </w:r>
      <w:r w:rsidR="00AF1193" w:rsidRPr="0027466D">
        <w:rPr>
          <w:rFonts w:ascii="Arial" w:hAnsi="Arial" w:cs="Arial"/>
        </w:rPr>
        <w:t>t</w:t>
      </w:r>
      <w:r w:rsidR="008C6FB5" w:rsidRPr="0027466D">
        <w:rPr>
          <w:rFonts w:ascii="Arial" w:hAnsi="Arial" w:cs="Arial"/>
        </w:rPr>
        <w:t>he content did not constitute the final determination</w:t>
      </w:r>
      <w:r w:rsidR="001512EF" w:rsidRPr="0027466D">
        <w:rPr>
          <w:rFonts w:ascii="Arial" w:hAnsi="Arial" w:cs="Arial"/>
        </w:rPr>
        <w:t xml:space="preserve">. Furthermore, ITAC informed interested parties that </w:t>
      </w:r>
      <w:r w:rsidR="00AF1193" w:rsidRPr="0027466D">
        <w:rPr>
          <w:rFonts w:ascii="Arial" w:hAnsi="Arial" w:cs="Arial"/>
        </w:rPr>
        <w:t>i</w:t>
      </w:r>
      <w:r w:rsidR="00434F45" w:rsidRPr="0027466D">
        <w:rPr>
          <w:rFonts w:ascii="Arial" w:hAnsi="Arial" w:cs="Arial"/>
        </w:rPr>
        <w:t>t</w:t>
      </w:r>
      <w:r w:rsidR="006757D1" w:rsidRPr="0027466D">
        <w:rPr>
          <w:rFonts w:ascii="Arial" w:hAnsi="Arial" w:cs="Arial"/>
        </w:rPr>
        <w:t xml:space="preserve"> </w:t>
      </w:r>
      <w:r w:rsidR="008C6FB5" w:rsidRPr="0027466D">
        <w:rPr>
          <w:rFonts w:ascii="Arial" w:hAnsi="Arial" w:cs="Arial"/>
        </w:rPr>
        <w:t xml:space="preserve">was </w:t>
      </w:r>
      <w:r w:rsidR="008C6FB5" w:rsidRPr="0027466D">
        <w:rPr>
          <w:rFonts w:ascii="Arial" w:hAnsi="Arial" w:cs="Arial"/>
        </w:rPr>
        <w:lastRenderedPageBreak/>
        <w:t xml:space="preserve">considering making a final determination to disregard Merlog’s response in the calculation of dumping duties in that it did not import the product </w:t>
      </w:r>
      <w:r w:rsidR="00AF1193" w:rsidRPr="0027466D">
        <w:rPr>
          <w:rFonts w:ascii="Arial" w:hAnsi="Arial" w:cs="Arial"/>
        </w:rPr>
        <w:t xml:space="preserve">from </w:t>
      </w:r>
      <w:r w:rsidR="008C6FB5" w:rsidRPr="0027466D">
        <w:rPr>
          <w:rFonts w:ascii="Arial" w:hAnsi="Arial" w:cs="Arial"/>
        </w:rPr>
        <w:t xml:space="preserve">Germany, the </w:t>
      </w:r>
      <w:r w:rsidR="00AF1193" w:rsidRPr="0027466D">
        <w:rPr>
          <w:rFonts w:ascii="Arial" w:hAnsi="Arial" w:cs="Arial"/>
        </w:rPr>
        <w:t>Netherlands,</w:t>
      </w:r>
      <w:r w:rsidR="008C6FB5" w:rsidRPr="0027466D">
        <w:rPr>
          <w:rFonts w:ascii="Arial" w:hAnsi="Arial" w:cs="Arial"/>
        </w:rPr>
        <w:t xml:space="preserve"> and the UK during the period of investigation</w:t>
      </w:r>
      <w:r w:rsidR="006757D1" w:rsidRPr="0027466D">
        <w:rPr>
          <w:rFonts w:ascii="Arial" w:hAnsi="Arial" w:cs="Arial"/>
        </w:rPr>
        <w:t xml:space="preserve">. </w:t>
      </w:r>
    </w:p>
    <w:p w14:paraId="425E980E" w14:textId="4E68A65B" w:rsidR="00C217FD" w:rsidRPr="0027466D" w:rsidRDefault="0027466D" w:rsidP="0027466D">
      <w:pPr>
        <w:tabs>
          <w:tab w:val="left" w:pos="851"/>
        </w:tabs>
        <w:spacing w:before="480" w:after="480" w:line="480" w:lineRule="auto"/>
        <w:jc w:val="both"/>
        <w:rPr>
          <w:rFonts w:ascii="Arial" w:hAnsi="Arial" w:cs="Arial"/>
        </w:rPr>
      </w:pPr>
      <w:r w:rsidRPr="00434F45">
        <w:rPr>
          <w:rFonts w:ascii="Arial" w:hAnsi="Arial" w:cs="Arial"/>
        </w:rPr>
        <w:t>[46]</w:t>
      </w:r>
      <w:r w:rsidRPr="00434F45">
        <w:rPr>
          <w:rFonts w:ascii="Arial" w:hAnsi="Arial" w:cs="Arial"/>
        </w:rPr>
        <w:tab/>
      </w:r>
      <w:r w:rsidR="00434F45" w:rsidRPr="0027466D">
        <w:rPr>
          <w:rFonts w:ascii="Arial" w:hAnsi="Arial" w:cs="Arial"/>
        </w:rPr>
        <w:t>Parties were invited before 12 May 2020 to comment o</w:t>
      </w:r>
      <w:r w:rsidR="00CF6840" w:rsidRPr="0027466D">
        <w:rPr>
          <w:rFonts w:ascii="Arial" w:hAnsi="Arial" w:cs="Arial"/>
        </w:rPr>
        <w:t>n</w:t>
      </w:r>
      <w:r w:rsidR="00434F45" w:rsidRPr="0027466D">
        <w:rPr>
          <w:rFonts w:ascii="Arial" w:hAnsi="Arial" w:cs="Arial"/>
        </w:rPr>
        <w:t xml:space="preserve"> the essential facts in the letter. </w:t>
      </w:r>
      <w:r w:rsidR="00C217FD" w:rsidRPr="0027466D">
        <w:rPr>
          <w:rFonts w:ascii="Arial" w:hAnsi="Arial" w:cs="Arial"/>
        </w:rPr>
        <w:t>Requests from various interested parties for an extension</w:t>
      </w:r>
      <w:r w:rsidR="008C6FB5" w:rsidRPr="0027466D">
        <w:rPr>
          <w:rFonts w:ascii="Arial" w:hAnsi="Arial" w:cs="Arial"/>
        </w:rPr>
        <w:t xml:space="preserve"> to respond by 12 May 2020 were </w:t>
      </w:r>
      <w:r w:rsidR="00CF6840" w:rsidRPr="0027466D">
        <w:rPr>
          <w:rFonts w:ascii="Arial" w:hAnsi="Arial" w:cs="Arial"/>
        </w:rPr>
        <w:t>received but</w:t>
      </w:r>
      <w:r w:rsidR="008C6FB5" w:rsidRPr="0027466D">
        <w:rPr>
          <w:rFonts w:ascii="Arial" w:hAnsi="Arial" w:cs="Arial"/>
        </w:rPr>
        <w:t xml:space="preserve"> refused.</w:t>
      </w:r>
    </w:p>
    <w:p w14:paraId="0D0181DC" w14:textId="3433E474" w:rsidR="00C217FD" w:rsidRPr="0027466D" w:rsidRDefault="0027466D" w:rsidP="0027466D">
      <w:pPr>
        <w:tabs>
          <w:tab w:val="left" w:pos="851"/>
        </w:tabs>
        <w:spacing w:before="480" w:after="480" w:line="480" w:lineRule="auto"/>
        <w:jc w:val="both"/>
        <w:rPr>
          <w:rFonts w:ascii="Arial" w:hAnsi="Arial" w:cs="Arial"/>
          <w:color w:val="000000" w:themeColor="text1"/>
        </w:rPr>
      </w:pPr>
      <w:r w:rsidRPr="006757D1">
        <w:rPr>
          <w:rFonts w:ascii="Arial" w:hAnsi="Arial" w:cs="Arial"/>
        </w:rPr>
        <w:t>[47]</w:t>
      </w:r>
      <w:r w:rsidRPr="006757D1">
        <w:rPr>
          <w:rFonts w:ascii="Arial" w:hAnsi="Arial" w:cs="Arial"/>
        </w:rPr>
        <w:tab/>
      </w:r>
      <w:r w:rsidR="00C217FD" w:rsidRPr="0027466D">
        <w:rPr>
          <w:rFonts w:ascii="Arial" w:hAnsi="Arial" w:cs="Arial"/>
        </w:rPr>
        <w:t>On 5 May 2021, ITAC received correspondence fr</w:t>
      </w:r>
      <w:r w:rsidR="00BD0946" w:rsidRPr="0027466D">
        <w:rPr>
          <w:rFonts w:ascii="Arial" w:hAnsi="Arial" w:cs="Arial"/>
        </w:rPr>
        <w:t>o</w:t>
      </w:r>
      <w:r w:rsidR="00C217FD" w:rsidRPr="0027466D">
        <w:rPr>
          <w:rFonts w:ascii="Arial" w:hAnsi="Arial" w:cs="Arial"/>
        </w:rPr>
        <w:t>m Merlog who alerted ITAC</w:t>
      </w:r>
      <w:r w:rsidR="008C6FB5" w:rsidRPr="0027466D">
        <w:rPr>
          <w:rFonts w:ascii="Arial" w:hAnsi="Arial" w:cs="Arial"/>
        </w:rPr>
        <w:t xml:space="preserve"> </w:t>
      </w:r>
      <w:r w:rsidR="00C217FD" w:rsidRPr="0027466D">
        <w:rPr>
          <w:rFonts w:ascii="Arial" w:hAnsi="Arial" w:cs="Arial"/>
        </w:rPr>
        <w:t>of</w:t>
      </w:r>
      <w:r w:rsidR="001512EF" w:rsidRPr="0027466D">
        <w:rPr>
          <w:rFonts w:ascii="Arial" w:hAnsi="Arial" w:cs="Arial"/>
        </w:rPr>
        <w:t xml:space="preserve"> possible</w:t>
      </w:r>
      <w:r w:rsidR="00C217FD" w:rsidRPr="0027466D">
        <w:rPr>
          <w:rFonts w:ascii="Arial" w:hAnsi="Arial" w:cs="Arial"/>
        </w:rPr>
        <w:t xml:space="preserve"> material fraud committed by Daybreak </w:t>
      </w:r>
      <w:r w:rsidR="00BD0946" w:rsidRPr="0027466D">
        <w:rPr>
          <w:rFonts w:ascii="Arial" w:hAnsi="Arial" w:cs="Arial"/>
        </w:rPr>
        <w:t>C</w:t>
      </w:r>
      <w:r w:rsidR="00C217FD" w:rsidRPr="0027466D">
        <w:rPr>
          <w:rFonts w:ascii="Arial" w:hAnsi="Arial" w:cs="Arial"/>
        </w:rPr>
        <w:t>hicken</w:t>
      </w:r>
      <w:r w:rsidR="00CF6840" w:rsidRPr="0027466D">
        <w:rPr>
          <w:rFonts w:ascii="Arial" w:hAnsi="Arial" w:cs="Arial"/>
        </w:rPr>
        <w:t xml:space="preserve"> [Daybreak],</w:t>
      </w:r>
      <w:r w:rsidR="00C217FD" w:rsidRPr="0027466D">
        <w:rPr>
          <w:rFonts w:ascii="Arial" w:hAnsi="Arial" w:cs="Arial"/>
        </w:rPr>
        <w:t xml:space="preserve"> (SACU producer and member of SAPA) from September 2019</w:t>
      </w:r>
      <w:r w:rsidR="00CF6840" w:rsidRPr="0027466D">
        <w:rPr>
          <w:rFonts w:ascii="Arial" w:hAnsi="Arial" w:cs="Arial"/>
        </w:rPr>
        <w:t>.</w:t>
      </w:r>
      <w:r w:rsidR="00434F45">
        <w:rPr>
          <w:rStyle w:val="FootnoteReference"/>
          <w:rFonts w:ascii="Arial" w:hAnsi="Arial" w:cs="Arial"/>
        </w:rPr>
        <w:footnoteReference w:id="24"/>
      </w:r>
      <w:r w:rsidR="00C217FD" w:rsidRPr="0027466D">
        <w:rPr>
          <w:rFonts w:ascii="Arial" w:hAnsi="Arial" w:cs="Arial"/>
        </w:rPr>
        <w:t xml:space="preserve"> </w:t>
      </w:r>
      <w:r w:rsidR="008C6FB5" w:rsidRPr="0027466D">
        <w:rPr>
          <w:rFonts w:ascii="Arial" w:hAnsi="Arial" w:cs="Arial"/>
          <w:color w:val="000000" w:themeColor="text1"/>
        </w:rPr>
        <w:t>ITAC alleges that its investigating team investigated the allegation</w:t>
      </w:r>
      <w:r w:rsidR="00BD440B" w:rsidRPr="0027466D">
        <w:rPr>
          <w:rFonts w:ascii="Arial" w:hAnsi="Arial" w:cs="Arial"/>
          <w:color w:val="000000" w:themeColor="text1"/>
        </w:rPr>
        <w:t>. H</w:t>
      </w:r>
      <w:r w:rsidR="008C6FB5" w:rsidRPr="0027466D">
        <w:rPr>
          <w:rFonts w:ascii="Arial" w:hAnsi="Arial" w:cs="Arial"/>
          <w:color w:val="000000" w:themeColor="text1"/>
        </w:rPr>
        <w:t>owever</w:t>
      </w:r>
      <w:r w:rsidR="00CF6840" w:rsidRPr="0027466D">
        <w:rPr>
          <w:rFonts w:ascii="Arial" w:hAnsi="Arial" w:cs="Arial"/>
          <w:color w:val="000000" w:themeColor="text1"/>
        </w:rPr>
        <w:t>,</w:t>
      </w:r>
      <w:r w:rsidR="008C6FB5" w:rsidRPr="0027466D">
        <w:rPr>
          <w:rFonts w:ascii="Arial" w:hAnsi="Arial" w:cs="Arial"/>
          <w:color w:val="000000" w:themeColor="text1"/>
        </w:rPr>
        <w:t xml:space="preserve"> </w:t>
      </w:r>
      <w:r w:rsidR="00434F45" w:rsidRPr="0027466D">
        <w:rPr>
          <w:rFonts w:ascii="Arial" w:hAnsi="Arial" w:cs="Arial"/>
          <w:color w:val="000000" w:themeColor="text1"/>
        </w:rPr>
        <w:t xml:space="preserve">none of </w:t>
      </w:r>
      <w:r w:rsidR="008C6FB5" w:rsidRPr="0027466D">
        <w:rPr>
          <w:rFonts w:ascii="Arial" w:hAnsi="Arial" w:cs="Arial"/>
          <w:color w:val="000000" w:themeColor="text1"/>
        </w:rPr>
        <w:t>th</w:t>
      </w:r>
      <w:r w:rsidR="006757D1" w:rsidRPr="0027466D">
        <w:rPr>
          <w:rFonts w:ascii="Arial" w:hAnsi="Arial" w:cs="Arial"/>
          <w:color w:val="000000" w:themeColor="text1"/>
        </w:rPr>
        <w:t>e supporting affidavits filed by the investigating</w:t>
      </w:r>
      <w:r w:rsidR="008C6FB5" w:rsidRPr="0027466D">
        <w:rPr>
          <w:rFonts w:ascii="Arial" w:hAnsi="Arial" w:cs="Arial"/>
          <w:color w:val="000000" w:themeColor="text1"/>
        </w:rPr>
        <w:t xml:space="preserve"> team </w:t>
      </w:r>
      <w:r w:rsidR="006757D1" w:rsidRPr="0027466D">
        <w:rPr>
          <w:rFonts w:ascii="Arial" w:hAnsi="Arial" w:cs="Arial"/>
          <w:color w:val="000000" w:themeColor="text1"/>
        </w:rPr>
        <w:t>deal with this issue</w:t>
      </w:r>
      <w:r w:rsidR="001512EF" w:rsidRPr="0027466D">
        <w:rPr>
          <w:rFonts w:ascii="Arial" w:hAnsi="Arial" w:cs="Arial"/>
          <w:color w:val="000000" w:themeColor="text1"/>
        </w:rPr>
        <w:t xml:space="preserve">. Furthermore ITAC’s letter of response to the </w:t>
      </w:r>
      <w:r w:rsidR="00B2099C" w:rsidRPr="0027466D">
        <w:rPr>
          <w:rFonts w:ascii="Arial" w:hAnsi="Arial" w:cs="Arial"/>
          <w:color w:val="000000" w:themeColor="text1"/>
        </w:rPr>
        <w:t xml:space="preserve">Trade Minister </w:t>
      </w:r>
      <w:r w:rsidR="001512EF" w:rsidRPr="0027466D">
        <w:rPr>
          <w:rFonts w:ascii="Arial" w:hAnsi="Arial" w:cs="Arial"/>
          <w:color w:val="000000" w:themeColor="text1"/>
        </w:rPr>
        <w:t xml:space="preserve">in which, Daybreak was mentioned, </w:t>
      </w:r>
      <w:r w:rsidR="00DF76C1" w:rsidRPr="0027466D">
        <w:rPr>
          <w:rFonts w:ascii="Arial" w:hAnsi="Arial" w:cs="Arial"/>
          <w:color w:val="000000" w:themeColor="text1"/>
        </w:rPr>
        <w:t>created</w:t>
      </w:r>
      <w:r w:rsidR="001512EF" w:rsidRPr="0027466D">
        <w:rPr>
          <w:rFonts w:ascii="Arial" w:hAnsi="Arial" w:cs="Arial"/>
          <w:color w:val="000000" w:themeColor="text1"/>
        </w:rPr>
        <w:t xml:space="preserve"> </w:t>
      </w:r>
      <w:r w:rsidR="00B2099C" w:rsidRPr="0027466D">
        <w:rPr>
          <w:rFonts w:ascii="Arial" w:hAnsi="Arial" w:cs="Arial"/>
          <w:color w:val="000000" w:themeColor="text1"/>
        </w:rPr>
        <w:t xml:space="preserve">the impression that the investigation of Daybreak was confined to </w:t>
      </w:r>
      <w:r w:rsidR="00DF76C1" w:rsidRPr="0027466D">
        <w:rPr>
          <w:rFonts w:ascii="Arial" w:hAnsi="Arial" w:cs="Arial"/>
          <w:color w:val="000000" w:themeColor="text1"/>
        </w:rPr>
        <w:t xml:space="preserve">unverified </w:t>
      </w:r>
      <w:r w:rsidR="00B2099C" w:rsidRPr="0027466D">
        <w:rPr>
          <w:rFonts w:ascii="Arial" w:hAnsi="Arial" w:cs="Arial"/>
          <w:color w:val="000000" w:themeColor="text1"/>
        </w:rPr>
        <w:t>media releases.</w:t>
      </w:r>
    </w:p>
    <w:p w14:paraId="5224B260" w14:textId="19C4ED18" w:rsidR="00C217FD" w:rsidRPr="0027466D" w:rsidRDefault="0027466D" w:rsidP="0027466D">
      <w:pPr>
        <w:tabs>
          <w:tab w:val="left" w:pos="851"/>
        </w:tabs>
        <w:spacing w:before="480" w:after="480" w:line="480" w:lineRule="auto"/>
        <w:jc w:val="both"/>
        <w:rPr>
          <w:rFonts w:ascii="Arial" w:hAnsi="Arial" w:cs="Arial"/>
        </w:rPr>
      </w:pPr>
      <w:r w:rsidRPr="00434F45">
        <w:rPr>
          <w:rFonts w:ascii="Arial" w:hAnsi="Arial" w:cs="Arial"/>
        </w:rPr>
        <w:t>[48]</w:t>
      </w:r>
      <w:r w:rsidRPr="00434F45">
        <w:rPr>
          <w:rFonts w:ascii="Arial" w:hAnsi="Arial" w:cs="Arial"/>
        </w:rPr>
        <w:tab/>
      </w:r>
      <w:r w:rsidR="00434F45" w:rsidRPr="0027466D">
        <w:rPr>
          <w:rFonts w:ascii="Arial" w:hAnsi="Arial" w:cs="Arial"/>
        </w:rPr>
        <w:t xml:space="preserve">ITAC </w:t>
      </w:r>
      <w:r w:rsidR="00C217FD" w:rsidRPr="0027466D">
        <w:rPr>
          <w:rFonts w:ascii="Arial" w:hAnsi="Arial" w:cs="Arial"/>
        </w:rPr>
        <w:t>received comments from various interested parties including SAPA and several foreign producers.</w:t>
      </w:r>
      <w:r w:rsidR="006C5B41" w:rsidRPr="0027466D">
        <w:rPr>
          <w:rFonts w:ascii="Arial" w:hAnsi="Arial" w:cs="Arial"/>
        </w:rPr>
        <w:t xml:space="preserve"> On 12 May 2021</w:t>
      </w:r>
      <w:r w:rsidR="00CF6840" w:rsidRPr="0027466D">
        <w:rPr>
          <w:rFonts w:ascii="Arial" w:hAnsi="Arial" w:cs="Arial"/>
        </w:rPr>
        <w:t>,</w:t>
      </w:r>
      <w:r w:rsidR="006C5B41" w:rsidRPr="0027466D">
        <w:rPr>
          <w:rFonts w:ascii="Arial" w:hAnsi="Arial" w:cs="Arial"/>
        </w:rPr>
        <w:t xml:space="preserve"> SAPA responded to the essential facts letter which included a detailed response to their objection to the proposed use of the 8-digit tariff structure. </w:t>
      </w:r>
      <w:r w:rsidR="00C217FD" w:rsidRPr="0027466D">
        <w:rPr>
          <w:rFonts w:ascii="Arial" w:hAnsi="Arial" w:cs="Arial"/>
        </w:rPr>
        <w:t>AMIE</w:t>
      </w:r>
      <w:r w:rsidR="006C5B41" w:rsidRPr="0027466D">
        <w:rPr>
          <w:rFonts w:ascii="Arial" w:hAnsi="Arial" w:cs="Arial"/>
        </w:rPr>
        <w:t xml:space="preserve"> did not respond</w:t>
      </w:r>
      <w:r w:rsidR="00DF76C1" w:rsidRPr="0027466D">
        <w:rPr>
          <w:rFonts w:ascii="Arial" w:hAnsi="Arial" w:cs="Arial"/>
        </w:rPr>
        <w:t xml:space="preserve"> to the material facts letter nor to SAPA’s proposed 8-digit tariff structure at this stage.</w:t>
      </w:r>
    </w:p>
    <w:p w14:paraId="529EBD8C" w14:textId="7CBFF2A7" w:rsidR="006C5B41" w:rsidRPr="0027466D" w:rsidRDefault="0027466D" w:rsidP="0027466D">
      <w:pPr>
        <w:tabs>
          <w:tab w:val="left" w:pos="851"/>
        </w:tabs>
        <w:spacing w:before="480" w:after="480" w:line="480" w:lineRule="auto"/>
        <w:jc w:val="both"/>
        <w:rPr>
          <w:rFonts w:ascii="Arial" w:hAnsi="Arial" w:cs="Arial"/>
        </w:rPr>
      </w:pPr>
      <w:r>
        <w:rPr>
          <w:rFonts w:ascii="Arial" w:hAnsi="Arial" w:cs="Arial"/>
        </w:rPr>
        <w:lastRenderedPageBreak/>
        <w:t>[49]</w:t>
      </w:r>
      <w:r>
        <w:rPr>
          <w:rFonts w:ascii="Arial" w:hAnsi="Arial" w:cs="Arial"/>
        </w:rPr>
        <w:tab/>
      </w:r>
      <w:r w:rsidR="00434F45" w:rsidRPr="0027466D">
        <w:rPr>
          <w:rFonts w:ascii="Arial" w:hAnsi="Arial" w:cs="Arial"/>
        </w:rPr>
        <w:t xml:space="preserve">SAPA however twice, and after </w:t>
      </w:r>
      <w:r w:rsidR="00CF6840" w:rsidRPr="0027466D">
        <w:rPr>
          <w:rFonts w:ascii="Arial" w:hAnsi="Arial" w:cs="Arial"/>
        </w:rPr>
        <w:t>t</w:t>
      </w:r>
      <w:r w:rsidR="00434F45" w:rsidRPr="0027466D">
        <w:rPr>
          <w:rFonts w:ascii="Arial" w:hAnsi="Arial" w:cs="Arial"/>
        </w:rPr>
        <w:t>he 12</w:t>
      </w:r>
      <w:r w:rsidR="00783EEF" w:rsidRPr="0027466D">
        <w:rPr>
          <w:rFonts w:ascii="Arial" w:hAnsi="Arial" w:cs="Arial"/>
        </w:rPr>
        <w:t xml:space="preserve"> </w:t>
      </w:r>
      <w:r w:rsidR="00C217FD" w:rsidRPr="0027466D">
        <w:rPr>
          <w:rFonts w:ascii="Arial" w:hAnsi="Arial" w:cs="Arial"/>
        </w:rPr>
        <w:t>May 2021</w:t>
      </w:r>
      <w:r w:rsidR="00434F45" w:rsidRPr="0027466D">
        <w:rPr>
          <w:rFonts w:ascii="Arial" w:hAnsi="Arial" w:cs="Arial"/>
        </w:rPr>
        <w:t xml:space="preserve"> </w:t>
      </w:r>
      <w:r w:rsidR="00C217FD" w:rsidRPr="0027466D">
        <w:rPr>
          <w:rFonts w:ascii="Arial" w:hAnsi="Arial" w:cs="Arial"/>
        </w:rPr>
        <w:t>deadline submitted additional comments on the essential facts</w:t>
      </w:r>
      <w:r w:rsidR="00DF76C1" w:rsidRPr="0027466D">
        <w:rPr>
          <w:rFonts w:ascii="Arial" w:hAnsi="Arial" w:cs="Arial"/>
        </w:rPr>
        <w:t xml:space="preserve"> and requested </w:t>
      </w:r>
      <w:r w:rsidR="00C217FD" w:rsidRPr="0027466D">
        <w:rPr>
          <w:rFonts w:ascii="Arial" w:hAnsi="Arial" w:cs="Arial"/>
        </w:rPr>
        <w:t>an oral hearing.</w:t>
      </w:r>
      <w:r w:rsidR="008C6FB5" w:rsidRPr="0027466D">
        <w:rPr>
          <w:rFonts w:ascii="Arial" w:hAnsi="Arial" w:cs="Arial"/>
        </w:rPr>
        <w:t xml:space="preserve"> </w:t>
      </w:r>
      <w:r w:rsidR="00BD440B" w:rsidRPr="0027466D">
        <w:rPr>
          <w:rFonts w:ascii="Arial" w:hAnsi="Arial" w:cs="Arial"/>
        </w:rPr>
        <w:t xml:space="preserve">Although ITAC determined not </w:t>
      </w:r>
      <w:r w:rsidR="00CF6840" w:rsidRPr="0027466D">
        <w:rPr>
          <w:rFonts w:ascii="Arial" w:hAnsi="Arial" w:cs="Arial"/>
        </w:rPr>
        <w:t xml:space="preserve">to </w:t>
      </w:r>
      <w:r w:rsidR="00BD440B" w:rsidRPr="0027466D">
        <w:rPr>
          <w:rFonts w:ascii="Arial" w:hAnsi="Arial" w:cs="Arial"/>
        </w:rPr>
        <w:t>take these additional comments into account they did allow SAPA an oral hearing on 8 June 2021</w:t>
      </w:r>
      <w:r w:rsidR="006C5B41" w:rsidRPr="0027466D">
        <w:rPr>
          <w:rFonts w:ascii="Arial" w:hAnsi="Arial" w:cs="Arial"/>
        </w:rPr>
        <w:t>.</w:t>
      </w:r>
      <w:r w:rsidR="00B2099C" w:rsidRPr="0027466D">
        <w:rPr>
          <w:rFonts w:ascii="Arial" w:hAnsi="Arial" w:cs="Arial"/>
        </w:rPr>
        <w:t xml:space="preserve"> This was during the crucial period.</w:t>
      </w:r>
    </w:p>
    <w:p w14:paraId="64DBE630" w14:textId="306561F2" w:rsidR="00C217FD" w:rsidRPr="0027466D" w:rsidRDefault="0027466D" w:rsidP="0027466D">
      <w:pPr>
        <w:tabs>
          <w:tab w:val="left" w:pos="851"/>
        </w:tabs>
        <w:spacing w:before="480" w:after="480" w:line="480" w:lineRule="auto"/>
        <w:jc w:val="both"/>
        <w:rPr>
          <w:rFonts w:ascii="Arial" w:hAnsi="Arial" w:cs="Arial"/>
        </w:rPr>
      </w:pPr>
      <w:r w:rsidRPr="00DF76C1">
        <w:rPr>
          <w:rFonts w:ascii="Arial" w:hAnsi="Arial" w:cs="Arial"/>
        </w:rPr>
        <w:t>[50]</w:t>
      </w:r>
      <w:r w:rsidRPr="00DF76C1">
        <w:rPr>
          <w:rFonts w:ascii="Arial" w:hAnsi="Arial" w:cs="Arial"/>
        </w:rPr>
        <w:tab/>
      </w:r>
      <w:r w:rsidR="00DC3597" w:rsidRPr="0027466D">
        <w:rPr>
          <w:rFonts w:ascii="Arial" w:hAnsi="Arial" w:cs="Arial"/>
        </w:rPr>
        <w:t>AMIE</w:t>
      </w:r>
      <w:r w:rsidR="006C5B41" w:rsidRPr="0027466D">
        <w:rPr>
          <w:rFonts w:ascii="Arial" w:hAnsi="Arial" w:cs="Arial"/>
        </w:rPr>
        <w:t xml:space="preserve"> contends that </w:t>
      </w:r>
      <w:r w:rsidR="000D6295" w:rsidRPr="0027466D">
        <w:rPr>
          <w:rFonts w:ascii="Arial" w:hAnsi="Arial" w:cs="Arial"/>
        </w:rPr>
        <w:t xml:space="preserve">ITAC </w:t>
      </w:r>
      <w:r w:rsidR="00B2099C" w:rsidRPr="0027466D">
        <w:rPr>
          <w:rFonts w:ascii="Arial" w:hAnsi="Arial" w:cs="Arial"/>
        </w:rPr>
        <w:t xml:space="preserve">granting SAPA an </w:t>
      </w:r>
      <w:r w:rsidR="006C5B41" w:rsidRPr="0027466D">
        <w:rPr>
          <w:rFonts w:ascii="Arial" w:hAnsi="Arial" w:cs="Arial"/>
        </w:rPr>
        <w:t>oral hearing and</w:t>
      </w:r>
      <w:r w:rsidR="000D6295" w:rsidRPr="0027466D">
        <w:rPr>
          <w:rFonts w:ascii="Arial" w:hAnsi="Arial" w:cs="Arial"/>
        </w:rPr>
        <w:t xml:space="preserve"> its </w:t>
      </w:r>
      <w:r w:rsidR="00AD2A8C" w:rsidRPr="0027466D">
        <w:rPr>
          <w:rFonts w:ascii="Arial" w:hAnsi="Arial" w:cs="Arial"/>
        </w:rPr>
        <w:t xml:space="preserve">failure to update the </w:t>
      </w:r>
      <w:r w:rsidR="006C5B41" w:rsidRPr="0027466D">
        <w:rPr>
          <w:rFonts w:ascii="Arial" w:hAnsi="Arial" w:cs="Arial"/>
        </w:rPr>
        <w:t xml:space="preserve">public file </w:t>
      </w:r>
      <w:r w:rsidR="00BD440B" w:rsidRPr="0027466D">
        <w:rPr>
          <w:rFonts w:ascii="Arial" w:hAnsi="Arial" w:cs="Arial"/>
        </w:rPr>
        <w:t>during the crucial time</w:t>
      </w:r>
      <w:r w:rsidR="006C5B41" w:rsidRPr="0027466D">
        <w:rPr>
          <w:rFonts w:ascii="Arial" w:hAnsi="Arial" w:cs="Arial"/>
        </w:rPr>
        <w:t xml:space="preserve"> </w:t>
      </w:r>
      <w:r w:rsidR="00AD2A8C" w:rsidRPr="0027466D">
        <w:rPr>
          <w:rFonts w:ascii="Arial" w:hAnsi="Arial" w:cs="Arial"/>
        </w:rPr>
        <w:t>constitute</w:t>
      </w:r>
      <w:r w:rsidR="000D6295" w:rsidRPr="0027466D">
        <w:rPr>
          <w:rFonts w:ascii="Arial" w:hAnsi="Arial" w:cs="Arial"/>
        </w:rPr>
        <w:t>d</w:t>
      </w:r>
      <w:r w:rsidR="00AD2A8C" w:rsidRPr="0027466D">
        <w:rPr>
          <w:rFonts w:ascii="Arial" w:hAnsi="Arial" w:cs="Arial"/>
        </w:rPr>
        <w:t xml:space="preserve"> procedural unfairness and bias in the ITAC process</w:t>
      </w:r>
      <w:r w:rsidR="00BD440B" w:rsidRPr="0027466D">
        <w:rPr>
          <w:rFonts w:ascii="Arial" w:hAnsi="Arial" w:cs="Arial"/>
        </w:rPr>
        <w:t>. Th</w:t>
      </w:r>
      <w:r w:rsidR="000D6295" w:rsidRPr="0027466D">
        <w:rPr>
          <w:rFonts w:ascii="Arial" w:hAnsi="Arial" w:cs="Arial"/>
        </w:rPr>
        <w:t xml:space="preserve">e complaint of procedural unfairness and </w:t>
      </w:r>
      <w:r w:rsidR="00A65DEF" w:rsidRPr="0027466D">
        <w:rPr>
          <w:rFonts w:ascii="Arial" w:hAnsi="Arial" w:cs="Arial"/>
        </w:rPr>
        <w:t>bias</w:t>
      </w:r>
      <w:r w:rsidR="000D6295" w:rsidRPr="0027466D">
        <w:rPr>
          <w:rFonts w:ascii="Arial" w:hAnsi="Arial" w:cs="Arial"/>
        </w:rPr>
        <w:t xml:space="preserve"> must be seen in context.</w:t>
      </w:r>
      <w:r w:rsidR="004940D5" w:rsidRPr="0027466D">
        <w:rPr>
          <w:rFonts w:ascii="Arial" w:hAnsi="Arial" w:cs="Arial"/>
        </w:rPr>
        <w:t xml:space="preserve"> </w:t>
      </w:r>
    </w:p>
    <w:p w14:paraId="0E3A23AB" w14:textId="71D3C301" w:rsidR="00A65DEF" w:rsidRPr="0027466D" w:rsidRDefault="0027466D" w:rsidP="0027466D">
      <w:pPr>
        <w:tabs>
          <w:tab w:val="left" w:pos="851"/>
        </w:tabs>
        <w:spacing w:before="480" w:after="480" w:line="480" w:lineRule="auto"/>
        <w:jc w:val="both"/>
        <w:rPr>
          <w:rFonts w:ascii="Arial" w:hAnsi="Arial" w:cs="Arial"/>
          <w:color w:val="000000" w:themeColor="text1"/>
        </w:rPr>
      </w:pPr>
      <w:r w:rsidRPr="00A65DEF">
        <w:rPr>
          <w:rFonts w:ascii="Arial" w:hAnsi="Arial" w:cs="Arial"/>
        </w:rPr>
        <w:t>[51]</w:t>
      </w:r>
      <w:r w:rsidRPr="00A65DEF">
        <w:rPr>
          <w:rFonts w:ascii="Arial" w:hAnsi="Arial" w:cs="Arial"/>
        </w:rPr>
        <w:tab/>
      </w:r>
      <w:r w:rsidR="000D6295" w:rsidRPr="0027466D">
        <w:rPr>
          <w:rFonts w:ascii="Arial" w:hAnsi="Arial" w:cs="Arial"/>
        </w:rPr>
        <w:t xml:space="preserve">In context, </w:t>
      </w:r>
      <w:r w:rsidR="004940D5" w:rsidRPr="0027466D">
        <w:rPr>
          <w:rFonts w:ascii="Arial" w:hAnsi="Arial" w:cs="Arial"/>
        </w:rPr>
        <w:t>r</w:t>
      </w:r>
      <w:r w:rsidR="00BD440B" w:rsidRPr="0027466D">
        <w:rPr>
          <w:rFonts w:ascii="Arial" w:hAnsi="Arial" w:cs="Arial"/>
        </w:rPr>
        <w:t>egulation 5 permits oral hearings both during the preliminary and final phase of an investigation</w:t>
      </w:r>
      <w:r w:rsidR="004940D5" w:rsidRPr="0027466D">
        <w:rPr>
          <w:rFonts w:ascii="Arial" w:hAnsi="Arial" w:cs="Arial"/>
        </w:rPr>
        <w:t>. However</w:t>
      </w:r>
      <w:r w:rsidR="00597734" w:rsidRPr="0027466D">
        <w:rPr>
          <w:rFonts w:ascii="Arial" w:hAnsi="Arial" w:cs="Arial"/>
        </w:rPr>
        <w:t>,</w:t>
      </w:r>
      <w:r w:rsidR="004940D5" w:rsidRPr="0027466D">
        <w:rPr>
          <w:rFonts w:ascii="Arial" w:hAnsi="Arial" w:cs="Arial"/>
        </w:rPr>
        <w:t xml:space="preserve"> both </w:t>
      </w:r>
      <w:r w:rsidR="00DC3597" w:rsidRPr="0027466D">
        <w:rPr>
          <w:rFonts w:ascii="Arial" w:hAnsi="Arial" w:cs="Arial"/>
        </w:rPr>
        <w:t>AMIE</w:t>
      </w:r>
      <w:r w:rsidR="004940D5" w:rsidRPr="0027466D">
        <w:rPr>
          <w:rFonts w:ascii="Arial" w:hAnsi="Arial" w:cs="Arial"/>
        </w:rPr>
        <w:t xml:space="preserve"> and Merlog</w:t>
      </w:r>
      <w:r w:rsidR="00597734" w:rsidRPr="0027466D">
        <w:rPr>
          <w:rFonts w:ascii="Arial" w:hAnsi="Arial" w:cs="Arial"/>
        </w:rPr>
        <w:t>’s</w:t>
      </w:r>
      <w:r w:rsidR="004940D5" w:rsidRPr="0027466D">
        <w:rPr>
          <w:rFonts w:ascii="Arial" w:hAnsi="Arial" w:cs="Arial"/>
        </w:rPr>
        <w:t xml:space="preserve"> request for oral hearings (on 28 June 2021 and 7 July 2021 respectively)</w:t>
      </w:r>
      <w:r w:rsidR="00597734" w:rsidRPr="0027466D">
        <w:rPr>
          <w:rFonts w:ascii="Arial" w:hAnsi="Arial" w:cs="Arial"/>
        </w:rPr>
        <w:t>,</w:t>
      </w:r>
      <w:r w:rsidR="004940D5" w:rsidRPr="0027466D">
        <w:rPr>
          <w:rFonts w:ascii="Arial" w:hAnsi="Arial" w:cs="Arial"/>
        </w:rPr>
        <w:t xml:space="preserve"> were made after the finalisation of the investigation by ITAC and as a consequence ITAC could not lawfully grant them a hearing.</w:t>
      </w:r>
      <w:r w:rsidR="00072393" w:rsidRPr="0027466D">
        <w:rPr>
          <w:rFonts w:ascii="Arial" w:hAnsi="Arial" w:cs="Arial"/>
        </w:rPr>
        <w:t xml:space="preserve"> </w:t>
      </w:r>
    </w:p>
    <w:p w14:paraId="0D914D6E" w14:textId="4725676A" w:rsidR="00C217FD" w:rsidRPr="0027466D" w:rsidRDefault="0027466D" w:rsidP="0027466D">
      <w:pPr>
        <w:tabs>
          <w:tab w:val="left" w:pos="851"/>
        </w:tabs>
        <w:spacing w:before="480" w:after="480" w:line="480" w:lineRule="auto"/>
        <w:jc w:val="both"/>
        <w:rPr>
          <w:rFonts w:ascii="Arial" w:hAnsi="Arial" w:cs="Arial"/>
          <w:color w:val="000000" w:themeColor="text1"/>
        </w:rPr>
      </w:pPr>
      <w:r w:rsidRPr="000E31E4">
        <w:rPr>
          <w:rFonts w:ascii="Arial" w:hAnsi="Arial" w:cs="Arial"/>
        </w:rPr>
        <w:t>[52]</w:t>
      </w:r>
      <w:r w:rsidRPr="000E31E4">
        <w:rPr>
          <w:rFonts w:ascii="Arial" w:hAnsi="Arial" w:cs="Arial"/>
        </w:rPr>
        <w:tab/>
      </w:r>
      <w:r w:rsidR="00072393" w:rsidRPr="0027466D">
        <w:rPr>
          <w:rFonts w:ascii="Arial" w:hAnsi="Arial" w:cs="Arial"/>
        </w:rPr>
        <w:t xml:space="preserve">The late requests </w:t>
      </w:r>
      <w:r w:rsidR="00A65DEF" w:rsidRPr="0027466D">
        <w:rPr>
          <w:rFonts w:ascii="Arial" w:hAnsi="Arial" w:cs="Arial"/>
        </w:rPr>
        <w:t xml:space="preserve">for oral hearings </w:t>
      </w:r>
      <w:r w:rsidR="00072393" w:rsidRPr="0027466D">
        <w:rPr>
          <w:rFonts w:ascii="Arial" w:hAnsi="Arial" w:cs="Arial"/>
        </w:rPr>
        <w:t xml:space="preserve">however appear to be during the crucial time when </w:t>
      </w:r>
      <w:r w:rsidR="00072393" w:rsidRPr="0027466D">
        <w:rPr>
          <w:rFonts w:ascii="Arial" w:hAnsi="Arial" w:cs="Arial"/>
          <w:color w:val="000000" w:themeColor="text1"/>
        </w:rPr>
        <w:t>t</w:t>
      </w:r>
      <w:r w:rsidR="000D6295" w:rsidRPr="0027466D">
        <w:rPr>
          <w:rFonts w:ascii="Arial" w:hAnsi="Arial" w:cs="Arial"/>
          <w:color w:val="000000" w:themeColor="text1"/>
        </w:rPr>
        <w:t xml:space="preserve">he public file </w:t>
      </w:r>
      <w:r w:rsidR="00072393" w:rsidRPr="0027466D">
        <w:rPr>
          <w:rFonts w:ascii="Arial" w:hAnsi="Arial" w:cs="Arial"/>
          <w:color w:val="000000" w:themeColor="text1"/>
        </w:rPr>
        <w:t xml:space="preserve">was </w:t>
      </w:r>
      <w:r w:rsidR="000D6295" w:rsidRPr="0027466D">
        <w:rPr>
          <w:rFonts w:ascii="Arial" w:hAnsi="Arial" w:cs="Arial"/>
          <w:color w:val="000000" w:themeColor="text1"/>
        </w:rPr>
        <w:t>not being updated</w:t>
      </w:r>
      <w:r w:rsidR="00072393" w:rsidRPr="0027466D">
        <w:rPr>
          <w:rFonts w:ascii="Arial" w:hAnsi="Arial" w:cs="Arial"/>
          <w:color w:val="000000" w:themeColor="text1"/>
        </w:rPr>
        <w:t xml:space="preserve">. This </w:t>
      </w:r>
      <w:r w:rsidR="000D6295" w:rsidRPr="0027466D">
        <w:rPr>
          <w:rFonts w:ascii="Arial" w:hAnsi="Arial" w:cs="Arial"/>
          <w:color w:val="000000" w:themeColor="text1"/>
        </w:rPr>
        <w:t>prevent</w:t>
      </w:r>
      <w:r w:rsidR="00072393" w:rsidRPr="0027466D">
        <w:rPr>
          <w:rFonts w:ascii="Arial" w:hAnsi="Arial" w:cs="Arial"/>
          <w:color w:val="000000" w:themeColor="text1"/>
        </w:rPr>
        <w:t>ed</w:t>
      </w:r>
      <w:r w:rsidR="000D6295" w:rsidRPr="0027466D">
        <w:rPr>
          <w:rFonts w:ascii="Arial" w:hAnsi="Arial" w:cs="Arial"/>
          <w:color w:val="000000" w:themeColor="text1"/>
        </w:rPr>
        <w:t xml:space="preserve"> interested parties from gauging ITAC’s process and </w:t>
      </w:r>
      <w:r w:rsidR="00DF76C1" w:rsidRPr="0027466D">
        <w:rPr>
          <w:rFonts w:ascii="Arial" w:hAnsi="Arial" w:cs="Arial"/>
          <w:color w:val="000000" w:themeColor="text1"/>
        </w:rPr>
        <w:t xml:space="preserve">providing a reasonable opportunity to make representations </w:t>
      </w:r>
      <w:r w:rsidR="000D6295" w:rsidRPr="0027466D">
        <w:rPr>
          <w:rFonts w:ascii="Arial" w:hAnsi="Arial" w:cs="Arial"/>
          <w:color w:val="000000" w:themeColor="text1"/>
        </w:rPr>
        <w:t xml:space="preserve">before </w:t>
      </w:r>
      <w:r w:rsidR="00E602A6" w:rsidRPr="0027466D">
        <w:rPr>
          <w:rFonts w:ascii="Arial" w:hAnsi="Arial" w:cs="Arial"/>
          <w:color w:val="000000" w:themeColor="text1"/>
        </w:rPr>
        <w:t>I</w:t>
      </w:r>
      <w:r w:rsidR="008C6FB5" w:rsidRPr="0027466D">
        <w:rPr>
          <w:rFonts w:ascii="Arial" w:hAnsi="Arial" w:cs="Arial"/>
          <w:color w:val="000000" w:themeColor="text1"/>
        </w:rPr>
        <w:t>TAC’</w:t>
      </w:r>
      <w:r w:rsidR="000D6295" w:rsidRPr="0027466D">
        <w:rPr>
          <w:rFonts w:ascii="Arial" w:hAnsi="Arial" w:cs="Arial"/>
          <w:color w:val="000000" w:themeColor="text1"/>
        </w:rPr>
        <w:t>s</w:t>
      </w:r>
      <w:r w:rsidR="008C6FB5" w:rsidRPr="0027466D">
        <w:rPr>
          <w:rFonts w:ascii="Arial" w:hAnsi="Arial" w:cs="Arial"/>
          <w:color w:val="000000" w:themeColor="text1"/>
        </w:rPr>
        <w:t xml:space="preserve"> investigating team presented their submissions to the Commission</w:t>
      </w:r>
      <w:r w:rsidR="000D6295" w:rsidRPr="0027466D">
        <w:rPr>
          <w:rFonts w:ascii="Arial" w:hAnsi="Arial" w:cs="Arial"/>
          <w:color w:val="000000" w:themeColor="text1"/>
        </w:rPr>
        <w:t xml:space="preserve">, which </w:t>
      </w:r>
      <w:r w:rsidR="00072393" w:rsidRPr="0027466D">
        <w:rPr>
          <w:rFonts w:ascii="Arial" w:hAnsi="Arial" w:cs="Arial"/>
          <w:color w:val="000000" w:themeColor="text1"/>
        </w:rPr>
        <w:t>occurred on 8 June 2021, the same day as SAPA’s oral hearing</w:t>
      </w:r>
      <w:r w:rsidR="00DF76C1" w:rsidRPr="0027466D">
        <w:rPr>
          <w:rFonts w:ascii="Arial" w:hAnsi="Arial" w:cs="Arial"/>
          <w:color w:val="000000" w:themeColor="text1"/>
        </w:rPr>
        <w:t xml:space="preserve"> and during the crucial time</w:t>
      </w:r>
      <w:r w:rsidR="00072393" w:rsidRPr="0027466D">
        <w:rPr>
          <w:rFonts w:ascii="Arial" w:hAnsi="Arial" w:cs="Arial"/>
          <w:color w:val="000000" w:themeColor="text1"/>
        </w:rPr>
        <w:t xml:space="preserve">. </w:t>
      </w:r>
    </w:p>
    <w:p w14:paraId="460ACAED" w14:textId="387C8A82" w:rsidR="000E31E4" w:rsidRPr="0027466D" w:rsidRDefault="0027466D" w:rsidP="0027466D">
      <w:pPr>
        <w:tabs>
          <w:tab w:val="left" w:pos="851"/>
        </w:tabs>
        <w:spacing w:before="480" w:after="480" w:line="480" w:lineRule="auto"/>
        <w:jc w:val="both"/>
        <w:rPr>
          <w:rFonts w:ascii="Arial" w:hAnsi="Arial" w:cs="Arial"/>
          <w:color w:val="000000" w:themeColor="text1"/>
        </w:rPr>
      </w:pPr>
      <w:r w:rsidRPr="00DF76C1">
        <w:rPr>
          <w:rFonts w:ascii="Arial" w:hAnsi="Arial" w:cs="Arial"/>
        </w:rPr>
        <w:t>[53]</w:t>
      </w:r>
      <w:r w:rsidRPr="00DF76C1">
        <w:rPr>
          <w:rFonts w:ascii="Arial" w:hAnsi="Arial" w:cs="Arial"/>
        </w:rPr>
        <w:tab/>
      </w:r>
      <w:r w:rsidR="00DC3597" w:rsidRPr="0027466D">
        <w:rPr>
          <w:rFonts w:ascii="Arial" w:hAnsi="Arial" w:cs="Arial"/>
          <w:color w:val="000000" w:themeColor="text1"/>
        </w:rPr>
        <w:t>AMIE</w:t>
      </w:r>
      <w:r w:rsidR="006757D1" w:rsidRPr="0027466D">
        <w:rPr>
          <w:rFonts w:ascii="Arial" w:hAnsi="Arial" w:cs="Arial"/>
          <w:color w:val="000000" w:themeColor="text1"/>
        </w:rPr>
        <w:t xml:space="preserve"> contends that t</w:t>
      </w:r>
      <w:r w:rsidR="008C6FB5" w:rsidRPr="0027466D">
        <w:rPr>
          <w:rFonts w:ascii="Arial" w:hAnsi="Arial" w:cs="Arial"/>
          <w:color w:val="000000" w:themeColor="text1"/>
        </w:rPr>
        <w:t>his was not transparent and not in line with regulation 5.3</w:t>
      </w:r>
      <w:r w:rsidR="005D2015" w:rsidRPr="0027466D">
        <w:rPr>
          <w:rFonts w:ascii="Arial" w:hAnsi="Arial" w:cs="Arial"/>
          <w:color w:val="000000" w:themeColor="text1"/>
        </w:rPr>
        <w:t xml:space="preserve"> - </w:t>
      </w:r>
      <w:r w:rsidR="008C6FB5" w:rsidRPr="0027466D">
        <w:rPr>
          <w:rFonts w:ascii="Arial" w:hAnsi="Arial" w:cs="Arial"/>
          <w:color w:val="000000" w:themeColor="text1"/>
        </w:rPr>
        <w:t xml:space="preserve">particularly having regard to the imminent final deadline for the finalisation of the investigation. </w:t>
      </w:r>
      <w:r w:rsidR="00072393" w:rsidRPr="0027466D">
        <w:rPr>
          <w:rFonts w:ascii="Arial" w:hAnsi="Arial" w:cs="Arial"/>
          <w:color w:val="000000" w:themeColor="text1"/>
        </w:rPr>
        <w:t>Interested parties o</w:t>
      </w:r>
      <w:r w:rsidR="008C6FB5" w:rsidRPr="0027466D">
        <w:rPr>
          <w:rFonts w:ascii="Arial" w:hAnsi="Arial" w:cs="Arial"/>
          <w:color w:val="000000" w:themeColor="text1"/>
        </w:rPr>
        <w:t xml:space="preserve">btaining access or a copy of the material critical </w:t>
      </w:r>
      <w:r w:rsidR="008C6FB5" w:rsidRPr="0027466D">
        <w:rPr>
          <w:rFonts w:ascii="Arial" w:hAnsi="Arial" w:cs="Arial"/>
          <w:color w:val="000000" w:themeColor="text1"/>
        </w:rPr>
        <w:lastRenderedPageBreak/>
        <w:t>facts after the final determination</w:t>
      </w:r>
      <w:r w:rsidR="00072393" w:rsidRPr="0027466D">
        <w:rPr>
          <w:rFonts w:ascii="Arial" w:hAnsi="Arial" w:cs="Arial"/>
          <w:color w:val="000000" w:themeColor="text1"/>
        </w:rPr>
        <w:t xml:space="preserve"> was presented was</w:t>
      </w:r>
      <w:r w:rsidR="008C6FB5" w:rsidRPr="0027466D">
        <w:rPr>
          <w:rFonts w:ascii="Arial" w:hAnsi="Arial" w:cs="Arial"/>
          <w:color w:val="000000" w:themeColor="text1"/>
        </w:rPr>
        <w:t xml:space="preserve"> prejudicial.</w:t>
      </w:r>
      <w:r w:rsidR="00DF76C1" w:rsidRPr="0027466D">
        <w:rPr>
          <w:rFonts w:ascii="Arial" w:hAnsi="Arial" w:cs="Arial"/>
          <w:color w:val="000000" w:themeColor="text1"/>
        </w:rPr>
        <w:t xml:space="preserve"> I agree with this argument.</w:t>
      </w:r>
    </w:p>
    <w:p w14:paraId="06F51C15" w14:textId="323FF360" w:rsidR="00C217FD" w:rsidRPr="0027466D" w:rsidRDefault="0027466D" w:rsidP="0027466D">
      <w:pPr>
        <w:tabs>
          <w:tab w:val="left" w:pos="851"/>
        </w:tabs>
        <w:spacing w:before="480" w:after="480" w:line="480" w:lineRule="auto"/>
        <w:jc w:val="both"/>
        <w:rPr>
          <w:rFonts w:ascii="Arial" w:hAnsi="Arial" w:cs="Arial"/>
        </w:rPr>
      </w:pPr>
      <w:r w:rsidRPr="00783EEF">
        <w:rPr>
          <w:rFonts w:ascii="Arial" w:hAnsi="Arial" w:cs="Arial"/>
        </w:rPr>
        <w:t>[54]</w:t>
      </w:r>
      <w:r w:rsidRPr="00783EEF">
        <w:rPr>
          <w:rFonts w:ascii="Arial" w:hAnsi="Arial" w:cs="Arial"/>
        </w:rPr>
        <w:tab/>
      </w:r>
      <w:r w:rsidR="00C217FD" w:rsidRPr="0027466D">
        <w:rPr>
          <w:rFonts w:ascii="Arial" w:hAnsi="Arial" w:cs="Arial"/>
        </w:rPr>
        <w:t xml:space="preserve">On 8 June 2021, ITAC’s investigating team presented the submissions to the Commission. The Commission deliberated on the matter and referred the submissions back to the investigating team to make certain amendments. </w:t>
      </w:r>
    </w:p>
    <w:p w14:paraId="00F170F4" w14:textId="40AAD9EE" w:rsidR="008C6FB5" w:rsidRPr="0027466D" w:rsidRDefault="0027466D" w:rsidP="0027466D">
      <w:pPr>
        <w:tabs>
          <w:tab w:val="left" w:pos="851"/>
        </w:tabs>
        <w:spacing w:before="480" w:after="480" w:line="480" w:lineRule="auto"/>
        <w:jc w:val="both"/>
        <w:rPr>
          <w:rFonts w:ascii="Arial" w:hAnsi="Arial" w:cs="Arial"/>
        </w:rPr>
      </w:pPr>
      <w:r w:rsidRPr="008C6FB5">
        <w:rPr>
          <w:rFonts w:ascii="Arial" w:hAnsi="Arial" w:cs="Arial"/>
        </w:rPr>
        <w:t>[55]</w:t>
      </w:r>
      <w:r w:rsidRPr="008C6FB5">
        <w:rPr>
          <w:rFonts w:ascii="Arial" w:hAnsi="Arial" w:cs="Arial"/>
        </w:rPr>
        <w:tab/>
      </w:r>
      <w:r w:rsidR="00C217FD" w:rsidRPr="0027466D">
        <w:rPr>
          <w:rFonts w:ascii="Arial" w:hAnsi="Arial" w:cs="Arial"/>
        </w:rPr>
        <w:t>On 10 June 2021, the investigating team presented the amended submissions to the Commission. The Commission concluded that there was a likelihood that injurious dumping may recur and resolved to reimpose the residual anti-dumping duties imposed following the original investigatio</w:t>
      </w:r>
      <w:r w:rsidR="008C6FB5" w:rsidRPr="0027466D">
        <w:rPr>
          <w:rFonts w:ascii="Arial" w:hAnsi="Arial" w:cs="Arial"/>
        </w:rPr>
        <w:t xml:space="preserve">n. </w:t>
      </w:r>
    </w:p>
    <w:p w14:paraId="193ED8F5" w14:textId="5DBA4A5D" w:rsidR="00C217FD" w:rsidRPr="0027466D" w:rsidRDefault="0027466D" w:rsidP="0027466D">
      <w:pPr>
        <w:tabs>
          <w:tab w:val="left" w:pos="851"/>
        </w:tabs>
        <w:spacing w:before="480" w:after="480" w:line="480" w:lineRule="auto"/>
        <w:jc w:val="both"/>
        <w:rPr>
          <w:rFonts w:ascii="Arial" w:hAnsi="Arial" w:cs="Arial"/>
        </w:rPr>
      </w:pPr>
      <w:r w:rsidRPr="008C6FB5">
        <w:rPr>
          <w:rFonts w:ascii="Arial" w:hAnsi="Arial" w:cs="Arial"/>
        </w:rPr>
        <w:t>[56]</w:t>
      </w:r>
      <w:r w:rsidRPr="008C6FB5">
        <w:rPr>
          <w:rFonts w:ascii="Arial" w:hAnsi="Arial" w:cs="Arial"/>
        </w:rPr>
        <w:tab/>
      </w:r>
      <w:r w:rsidR="00C217FD" w:rsidRPr="0027466D">
        <w:rPr>
          <w:rFonts w:ascii="Arial" w:hAnsi="Arial" w:cs="Arial"/>
        </w:rPr>
        <w:t>On 15 June 2021, ITAC submitted the signed submission and report to the</w:t>
      </w:r>
      <w:r w:rsidR="00381158" w:rsidRPr="0027466D">
        <w:rPr>
          <w:rFonts w:ascii="Arial" w:hAnsi="Arial" w:cs="Arial"/>
        </w:rPr>
        <w:t xml:space="preserve"> Trade </w:t>
      </w:r>
      <w:r w:rsidR="00C217FD" w:rsidRPr="0027466D">
        <w:rPr>
          <w:rFonts w:ascii="Arial" w:hAnsi="Arial" w:cs="Arial"/>
        </w:rPr>
        <w:t>Minister.</w:t>
      </w:r>
    </w:p>
    <w:p w14:paraId="3A7A244B" w14:textId="282B0E71" w:rsidR="00C217FD" w:rsidRPr="0027466D" w:rsidRDefault="0027466D" w:rsidP="0027466D">
      <w:pPr>
        <w:tabs>
          <w:tab w:val="left" w:pos="851"/>
        </w:tabs>
        <w:spacing w:before="480" w:after="480" w:line="480" w:lineRule="auto"/>
        <w:jc w:val="both"/>
        <w:rPr>
          <w:rFonts w:ascii="Arial" w:hAnsi="Arial" w:cs="Arial"/>
        </w:rPr>
      </w:pPr>
      <w:r>
        <w:rPr>
          <w:rFonts w:ascii="Arial" w:hAnsi="Arial" w:cs="Arial"/>
        </w:rPr>
        <w:t>[57]</w:t>
      </w:r>
      <w:r>
        <w:rPr>
          <w:rFonts w:ascii="Arial" w:hAnsi="Arial" w:cs="Arial"/>
        </w:rPr>
        <w:tab/>
      </w:r>
      <w:r w:rsidR="00C217FD" w:rsidRPr="0027466D">
        <w:rPr>
          <w:rFonts w:ascii="Arial" w:hAnsi="Arial" w:cs="Arial"/>
        </w:rPr>
        <w:t>On 12 July 2021</w:t>
      </w:r>
      <w:r w:rsidR="009E777A" w:rsidRPr="0027466D">
        <w:rPr>
          <w:rFonts w:ascii="Arial" w:hAnsi="Arial" w:cs="Arial"/>
        </w:rPr>
        <w:t>,</w:t>
      </w:r>
      <w:r w:rsidR="00C217FD" w:rsidRPr="0027466D">
        <w:rPr>
          <w:rFonts w:ascii="Arial" w:hAnsi="Arial" w:cs="Arial"/>
        </w:rPr>
        <w:t xml:space="preserve"> Merlog sent a letter to ITAC, the Trade Minister and the Finance Minister, raising</w:t>
      </w:r>
      <w:r w:rsidR="006757D1" w:rsidRPr="0027466D">
        <w:rPr>
          <w:rFonts w:ascii="Arial" w:hAnsi="Arial" w:cs="Arial"/>
        </w:rPr>
        <w:t xml:space="preserve">, </w:t>
      </w:r>
      <w:r w:rsidR="006757D1" w:rsidRPr="0027466D">
        <w:rPr>
          <w:rFonts w:ascii="Arial" w:hAnsi="Arial" w:cs="Arial"/>
          <w:i/>
          <w:iCs/>
        </w:rPr>
        <w:t>inter alia</w:t>
      </w:r>
      <w:r w:rsidR="006757D1" w:rsidRPr="0027466D">
        <w:rPr>
          <w:rFonts w:ascii="Arial" w:hAnsi="Arial" w:cs="Arial"/>
        </w:rPr>
        <w:t>,</w:t>
      </w:r>
      <w:r w:rsidR="00C217FD" w:rsidRPr="0027466D">
        <w:rPr>
          <w:rFonts w:ascii="Arial" w:hAnsi="Arial" w:cs="Arial"/>
        </w:rPr>
        <w:t xml:space="preserve"> concerns about </w:t>
      </w:r>
      <w:r w:rsidR="00072393" w:rsidRPr="0027466D">
        <w:rPr>
          <w:rFonts w:ascii="Arial" w:hAnsi="Arial" w:cs="Arial"/>
        </w:rPr>
        <w:t>flaws in the</w:t>
      </w:r>
      <w:r w:rsidR="00C217FD" w:rsidRPr="0027466D">
        <w:rPr>
          <w:rFonts w:ascii="Arial" w:hAnsi="Arial" w:cs="Arial"/>
        </w:rPr>
        <w:t xml:space="preserve"> </w:t>
      </w:r>
      <w:r w:rsidR="00844550" w:rsidRPr="0027466D">
        <w:rPr>
          <w:rFonts w:ascii="Arial" w:hAnsi="Arial" w:cs="Arial"/>
        </w:rPr>
        <w:t xml:space="preserve">ITAC process including allegations of fraud. Merlog issued a warning: that if </w:t>
      </w:r>
      <w:r w:rsidR="00C217FD" w:rsidRPr="0027466D">
        <w:rPr>
          <w:rFonts w:ascii="Arial" w:hAnsi="Arial" w:cs="Arial"/>
        </w:rPr>
        <w:t>the matter</w:t>
      </w:r>
      <w:r w:rsidR="00844550" w:rsidRPr="0027466D">
        <w:rPr>
          <w:rFonts w:ascii="Arial" w:hAnsi="Arial" w:cs="Arial"/>
        </w:rPr>
        <w:t xml:space="preserve"> was not </w:t>
      </w:r>
      <w:r w:rsidR="00C217FD" w:rsidRPr="0027466D">
        <w:rPr>
          <w:rFonts w:ascii="Arial" w:hAnsi="Arial" w:cs="Arial"/>
        </w:rPr>
        <w:t xml:space="preserve">referred back to ITAC </w:t>
      </w:r>
      <w:r w:rsidR="00844550" w:rsidRPr="0027466D">
        <w:rPr>
          <w:rFonts w:ascii="Arial" w:hAnsi="Arial" w:cs="Arial"/>
        </w:rPr>
        <w:t>for consideration to enable it to deal with b</w:t>
      </w:r>
      <w:r w:rsidR="00C217FD" w:rsidRPr="0027466D">
        <w:rPr>
          <w:rFonts w:ascii="Arial" w:hAnsi="Arial" w:cs="Arial"/>
        </w:rPr>
        <w:t xml:space="preserve">efore a decision </w:t>
      </w:r>
      <w:r w:rsidR="00844550" w:rsidRPr="0027466D">
        <w:rPr>
          <w:rFonts w:ascii="Arial" w:hAnsi="Arial" w:cs="Arial"/>
        </w:rPr>
        <w:t>was</w:t>
      </w:r>
      <w:r w:rsidR="00C217FD" w:rsidRPr="0027466D">
        <w:rPr>
          <w:rFonts w:ascii="Arial" w:hAnsi="Arial" w:cs="Arial"/>
        </w:rPr>
        <w:t xml:space="preserve"> made</w:t>
      </w:r>
      <w:r w:rsidR="00844550" w:rsidRPr="0027466D">
        <w:rPr>
          <w:rFonts w:ascii="Arial" w:hAnsi="Arial" w:cs="Arial"/>
        </w:rPr>
        <w:t>, the final decision would be taken on review.</w:t>
      </w:r>
    </w:p>
    <w:p w14:paraId="7AA081AE" w14:textId="33C67F8A" w:rsidR="00844550" w:rsidRPr="0027466D" w:rsidRDefault="0027466D" w:rsidP="0027466D">
      <w:pPr>
        <w:tabs>
          <w:tab w:val="left" w:pos="851"/>
        </w:tabs>
        <w:spacing w:before="480" w:after="480" w:line="480" w:lineRule="auto"/>
        <w:jc w:val="both"/>
        <w:rPr>
          <w:rFonts w:ascii="Arial" w:hAnsi="Arial" w:cs="Arial"/>
        </w:rPr>
      </w:pPr>
      <w:r>
        <w:rPr>
          <w:rFonts w:ascii="Arial" w:hAnsi="Arial" w:cs="Arial"/>
        </w:rPr>
        <w:t>[58]</w:t>
      </w:r>
      <w:r>
        <w:rPr>
          <w:rFonts w:ascii="Arial" w:hAnsi="Arial" w:cs="Arial"/>
        </w:rPr>
        <w:tab/>
      </w:r>
      <w:r w:rsidR="00844550" w:rsidRPr="0027466D">
        <w:rPr>
          <w:rFonts w:ascii="Arial" w:hAnsi="Arial" w:cs="Arial"/>
        </w:rPr>
        <w:t>On 12 July 2021</w:t>
      </w:r>
      <w:r w:rsidR="00381158" w:rsidRPr="0027466D">
        <w:rPr>
          <w:rFonts w:ascii="Arial" w:hAnsi="Arial" w:cs="Arial"/>
        </w:rPr>
        <w:t>,</w:t>
      </w:r>
      <w:r w:rsidR="00844550" w:rsidRPr="0027466D">
        <w:rPr>
          <w:rFonts w:ascii="Arial" w:hAnsi="Arial" w:cs="Arial"/>
        </w:rPr>
        <w:t xml:space="preserve"> </w:t>
      </w:r>
      <w:r w:rsidR="003B32CC" w:rsidRPr="0027466D">
        <w:rPr>
          <w:rFonts w:ascii="Arial" w:hAnsi="Arial" w:cs="Arial"/>
        </w:rPr>
        <w:t>AMIE</w:t>
      </w:r>
      <w:r w:rsidR="00C217FD" w:rsidRPr="0027466D">
        <w:rPr>
          <w:rFonts w:ascii="Arial" w:hAnsi="Arial" w:cs="Arial"/>
        </w:rPr>
        <w:t xml:space="preserve"> too addressed </w:t>
      </w:r>
      <w:r w:rsidR="000E31E4" w:rsidRPr="0027466D">
        <w:rPr>
          <w:rFonts w:ascii="Arial" w:hAnsi="Arial" w:cs="Arial"/>
        </w:rPr>
        <w:t xml:space="preserve">a letter </w:t>
      </w:r>
      <w:r w:rsidR="00C217FD" w:rsidRPr="0027466D">
        <w:rPr>
          <w:rFonts w:ascii="Arial" w:hAnsi="Arial" w:cs="Arial"/>
        </w:rPr>
        <w:t xml:space="preserve">to the Trade Minister </w:t>
      </w:r>
      <w:r w:rsidR="008C6FB5" w:rsidRPr="0027466D">
        <w:rPr>
          <w:rFonts w:ascii="Arial" w:hAnsi="Arial" w:cs="Arial"/>
        </w:rPr>
        <w:t xml:space="preserve">requesting his intervention to ensure that a lawful, </w:t>
      </w:r>
      <w:r w:rsidR="00381158" w:rsidRPr="0027466D">
        <w:rPr>
          <w:rFonts w:ascii="Arial" w:hAnsi="Arial" w:cs="Arial"/>
        </w:rPr>
        <w:t>reasonable,</w:t>
      </w:r>
      <w:r w:rsidR="008C6FB5" w:rsidRPr="0027466D">
        <w:rPr>
          <w:rFonts w:ascii="Arial" w:hAnsi="Arial" w:cs="Arial"/>
        </w:rPr>
        <w:t xml:space="preserve"> and procedurally fair decision was taken</w:t>
      </w:r>
      <w:r w:rsidR="00844550" w:rsidRPr="0027466D">
        <w:rPr>
          <w:rFonts w:ascii="Arial" w:hAnsi="Arial" w:cs="Arial"/>
        </w:rPr>
        <w:t xml:space="preserve">. The Trade Minister did intervene </w:t>
      </w:r>
      <w:r w:rsidR="00DF76C1" w:rsidRPr="0027466D">
        <w:rPr>
          <w:rFonts w:ascii="Arial" w:hAnsi="Arial" w:cs="Arial"/>
        </w:rPr>
        <w:t xml:space="preserve">before he made his decision </w:t>
      </w:r>
      <w:r w:rsidR="00844550" w:rsidRPr="0027466D">
        <w:rPr>
          <w:rFonts w:ascii="Arial" w:hAnsi="Arial" w:cs="Arial"/>
        </w:rPr>
        <w:t xml:space="preserve">and </w:t>
      </w:r>
      <w:r w:rsidR="008C6FB5" w:rsidRPr="0027466D">
        <w:rPr>
          <w:rFonts w:ascii="Arial" w:hAnsi="Arial" w:cs="Arial"/>
        </w:rPr>
        <w:t>ITAC responded to the Trade Minister</w:t>
      </w:r>
      <w:r w:rsidR="00844550" w:rsidRPr="0027466D">
        <w:rPr>
          <w:rFonts w:ascii="Arial" w:hAnsi="Arial" w:cs="Arial"/>
        </w:rPr>
        <w:t>’s queries</w:t>
      </w:r>
      <w:r w:rsidR="008C6FB5" w:rsidRPr="0027466D">
        <w:rPr>
          <w:rFonts w:ascii="Arial" w:hAnsi="Arial" w:cs="Arial"/>
        </w:rPr>
        <w:t xml:space="preserve"> on 20 July 2021. </w:t>
      </w:r>
    </w:p>
    <w:p w14:paraId="29C695F7" w14:textId="05B11C41" w:rsidR="008C6FB5" w:rsidRPr="0027466D" w:rsidRDefault="0027466D" w:rsidP="0027466D">
      <w:pPr>
        <w:tabs>
          <w:tab w:val="left" w:pos="851"/>
        </w:tabs>
        <w:spacing w:before="480" w:after="480" w:line="480" w:lineRule="auto"/>
        <w:jc w:val="both"/>
        <w:rPr>
          <w:rFonts w:ascii="Arial" w:hAnsi="Arial" w:cs="Arial"/>
        </w:rPr>
      </w:pPr>
      <w:r>
        <w:rPr>
          <w:rFonts w:ascii="Arial" w:hAnsi="Arial" w:cs="Arial"/>
        </w:rPr>
        <w:lastRenderedPageBreak/>
        <w:t>[59]</w:t>
      </w:r>
      <w:r>
        <w:rPr>
          <w:rFonts w:ascii="Arial" w:hAnsi="Arial" w:cs="Arial"/>
        </w:rPr>
        <w:tab/>
      </w:r>
      <w:r w:rsidR="008C6FB5" w:rsidRPr="0027466D">
        <w:rPr>
          <w:rFonts w:ascii="Arial" w:hAnsi="Arial" w:cs="Arial"/>
        </w:rPr>
        <w:t xml:space="preserve">ITAC in its response </w:t>
      </w:r>
      <w:r w:rsidR="00DF76C1" w:rsidRPr="0027466D">
        <w:rPr>
          <w:rFonts w:ascii="Arial" w:hAnsi="Arial" w:cs="Arial"/>
        </w:rPr>
        <w:t>of the 20 July 2021, t</w:t>
      </w:r>
      <w:r w:rsidR="006757D1" w:rsidRPr="0027466D">
        <w:rPr>
          <w:rFonts w:ascii="Arial" w:hAnsi="Arial" w:cs="Arial"/>
        </w:rPr>
        <w:t xml:space="preserve">o the </w:t>
      </w:r>
      <w:r w:rsidR="007959CB" w:rsidRPr="0027466D">
        <w:rPr>
          <w:rFonts w:ascii="Arial" w:hAnsi="Arial" w:cs="Arial"/>
        </w:rPr>
        <w:t>Tr</w:t>
      </w:r>
      <w:r w:rsidR="006757D1" w:rsidRPr="0027466D">
        <w:rPr>
          <w:rFonts w:ascii="Arial" w:hAnsi="Arial" w:cs="Arial"/>
        </w:rPr>
        <w:t>ade Minister did</w:t>
      </w:r>
      <w:r w:rsidR="008C6FB5" w:rsidRPr="0027466D">
        <w:rPr>
          <w:rFonts w:ascii="Arial" w:hAnsi="Arial" w:cs="Arial"/>
        </w:rPr>
        <w:t xml:space="preserve"> not deny that access to </w:t>
      </w:r>
      <w:r w:rsidR="006757D1" w:rsidRPr="0027466D">
        <w:rPr>
          <w:rFonts w:ascii="Arial" w:hAnsi="Arial" w:cs="Arial"/>
        </w:rPr>
        <w:t xml:space="preserve">the </w:t>
      </w:r>
      <w:r w:rsidR="008C6FB5" w:rsidRPr="0027466D">
        <w:rPr>
          <w:rFonts w:ascii="Arial" w:hAnsi="Arial" w:cs="Arial"/>
        </w:rPr>
        <w:t xml:space="preserve">updated public file occurred and </w:t>
      </w:r>
      <w:r w:rsidR="007959CB" w:rsidRPr="0027466D">
        <w:rPr>
          <w:rFonts w:ascii="Arial" w:hAnsi="Arial" w:cs="Arial"/>
        </w:rPr>
        <w:t xml:space="preserve">that </w:t>
      </w:r>
      <w:r w:rsidR="008C6FB5" w:rsidRPr="0027466D">
        <w:rPr>
          <w:rFonts w:ascii="Arial" w:hAnsi="Arial" w:cs="Arial"/>
        </w:rPr>
        <w:t>other documents w</w:t>
      </w:r>
      <w:r w:rsidR="007959CB" w:rsidRPr="0027466D">
        <w:rPr>
          <w:rFonts w:ascii="Arial" w:hAnsi="Arial" w:cs="Arial"/>
        </w:rPr>
        <w:t>ere</w:t>
      </w:r>
      <w:r w:rsidR="008C6FB5" w:rsidRPr="0027466D">
        <w:rPr>
          <w:rFonts w:ascii="Arial" w:hAnsi="Arial" w:cs="Arial"/>
        </w:rPr>
        <w:t xml:space="preserve"> missing</w:t>
      </w:r>
      <w:r w:rsidR="007959CB" w:rsidRPr="0027466D">
        <w:rPr>
          <w:rFonts w:ascii="Arial" w:hAnsi="Arial" w:cs="Arial"/>
        </w:rPr>
        <w:t xml:space="preserve"> (which documents </w:t>
      </w:r>
      <w:r w:rsidR="000E31E4" w:rsidRPr="0027466D">
        <w:rPr>
          <w:rFonts w:ascii="Arial" w:hAnsi="Arial" w:cs="Arial"/>
        </w:rPr>
        <w:t xml:space="preserve">are </w:t>
      </w:r>
      <w:r w:rsidR="007959CB" w:rsidRPr="0027466D">
        <w:rPr>
          <w:rFonts w:ascii="Arial" w:hAnsi="Arial" w:cs="Arial"/>
        </w:rPr>
        <w:t xml:space="preserve">unclear). </w:t>
      </w:r>
      <w:r w:rsidR="008C6FB5" w:rsidRPr="0027466D">
        <w:rPr>
          <w:rFonts w:ascii="Arial" w:hAnsi="Arial" w:cs="Arial"/>
        </w:rPr>
        <w:t xml:space="preserve">ITAC deflects and simply states: </w:t>
      </w:r>
      <w:r w:rsidR="00DC3597" w:rsidRPr="0027466D">
        <w:rPr>
          <w:rFonts w:ascii="Arial" w:hAnsi="Arial" w:cs="Arial"/>
        </w:rPr>
        <w:t>AMIE</w:t>
      </w:r>
      <w:r w:rsidR="008C6FB5" w:rsidRPr="0027466D">
        <w:rPr>
          <w:rFonts w:ascii="Arial" w:hAnsi="Arial" w:cs="Arial"/>
        </w:rPr>
        <w:t xml:space="preserve"> failed to explain how such absence impaired its ability to defend its </w:t>
      </w:r>
      <w:r w:rsidR="008C6FB5" w:rsidRPr="0027466D">
        <w:rPr>
          <w:rFonts w:ascii="Arial" w:hAnsi="Arial" w:cs="Arial"/>
          <w:u w:val="single"/>
        </w:rPr>
        <w:t>clients during the investigation</w:t>
      </w:r>
      <w:r w:rsidR="008C6FB5" w:rsidRPr="0027466D">
        <w:rPr>
          <w:rFonts w:ascii="Arial" w:hAnsi="Arial" w:cs="Arial"/>
        </w:rPr>
        <w:t xml:space="preserve">. </w:t>
      </w:r>
      <w:r w:rsidR="007959CB" w:rsidRPr="0027466D">
        <w:rPr>
          <w:rFonts w:ascii="Arial" w:hAnsi="Arial" w:cs="Arial"/>
        </w:rPr>
        <w:t>However</w:t>
      </w:r>
      <w:r w:rsidR="00381158" w:rsidRPr="0027466D">
        <w:rPr>
          <w:rFonts w:ascii="Arial" w:hAnsi="Arial" w:cs="Arial"/>
        </w:rPr>
        <w:t>,</w:t>
      </w:r>
      <w:r w:rsidR="007959CB" w:rsidRPr="0027466D">
        <w:rPr>
          <w:rFonts w:ascii="Arial" w:hAnsi="Arial" w:cs="Arial"/>
        </w:rPr>
        <w:t xml:space="preserve"> the complaint is that it could not defend its clients </w:t>
      </w:r>
      <w:r w:rsidR="00DF76C1" w:rsidRPr="0027466D">
        <w:rPr>
          <w:rFonts w:ascii="Arial" w:hAnsi="Arial" w:cs="Arial"/>
        </w:rPr>
        <w:t xml:space="preserve">at the material time </w:t>
      </w:r>
      <w:r w:rsidR="007959CB" w:rsidRPr="0027466D">
        <w:rPr>
          <w:rFonts w:ascii="Arial" w:hAnsi="Arial" w:cs="Arial"/>
        </w:rPr>
        <w:t xml:space="preserve">as the investigation was finalised </w:t>
      </w:r>
      <w:r w:rsidR="00A65DEF" w:rsidRPr="0027466D">
        <w:rPr>
          <w:rFonts w:ascii="Arial" w:hAnsi="Arial" w:cs="Arial"/>
        </w:rPr>
        <w:t xml:space="preserve">after they </w:t>
      </w:r>
      <w:r w:rsidR="007959CB" w:rsidRPr="0027466D">
        <w:rPr>
          <w:rFonts w:ascii="Arial" w:hAnsi="Arial" w:cs="Arial"/>
        </w:rPr>
        <w:t>acquired knowledge.</w:t>
      </w:r>
    </w:p>
    <w:p w14:paraId="78CBE428" w14:textId="25E08F90" w:rsidR="00C217FD" w:rsidRPr="0027466D" w:rsidRDefault="0027466D" w:rsidP="0027466D">
      <w:pPr>
        <w:tabs>
          <w:tab w:val="left" w:pos="851"/>
        </w:tabs>
        <w:spacing w:before="480" w:after="480" w:line="480" w:lineRule="auto"/>
        <w:jc w:val="both"/>
        <w:rPr>
          <w:rFonts w:ascii="Arial" w:hAnsi="Arial" w:cs="Arial"/>
        </w:rPr>
      </w:pPr>
      <w:r w:rsidRPr="000E31E4">
        <w:rPr>
          <w:rFonts w:ascii="Arial" w:hAnsi="Arial" w:cs="Arial"/>
        </w:rPr>
        <w:t>[60]</w:t>
      </w:r>
      <w:r w:rsidRPr="000E31E4">
        <w:rPr>
          <w:rFonts w:ascii="Arial" w:hAnsi="Arial" w:cs="Arial"/>
        </w:rPr>
        <w:tab/>
      </w:r>
      <w:r w:rsidR="000E31E4" w:rsidRPr="0027466D">
        <w:rPr>
          <w:rFonts w:ascii="Arial" w:hAnsi="Arial" w:cs="Arial"/>
        </w:rPr>
        <w:t>O</w:t>
      </w:r>
      <w:r w:rsidR="00C217FD" w:rsidRPr="0027466D">
        <w:rPr>
          <w:rFonts w:ascii="Arial" w:hAnsi="Arial" w:cs="Arial"/>
        </w:rPr>
        <w:t>n</w:t>
      </w:r>
      <w:r w:rsidR="000E31E4" w:rsidRPr="0027466D">
        <w:rPr>
          <w:rFonts w:ascii="Arial" w:hAnsi="Arial" w:cs="Arial"/>
        </w:rPr>
        <w:t xml:space="preserve"> </w:t>
      </w:r>
      <w:r w:rsidR="00C217FD" w:rsidRPr="0027466D">
        <w:rPr>
          <w:rFonts w:ascii="Arial" w:hAnsi="Arial" w:cs="Arial"/>
        </w:rPr>
        <w:t xml:space="preserve">4 August 2021, the Trade </w:t>
      </w:r>
      <w:r w:rsidR="000E31E4" w:rsidRPr="0027466D">
        <w:rPr>
          <w:rFonts w:ascii="Arial" w:hAnsi="Arial" w:cs="Arial"/>
        </w:rPr>
        <w:t xml:space="preserve">Minister </w:t>
      </w:r>
      <w:r w:rsidR="00C217FD" w:rsidRPr="0027466D">
        <w:rPr>
          <w:rFonts w:ascii="Arial" w:hAnsi="Arial" w:cs="Arial"/>
        </w:rPr>
        <w:t xml:space="preserve">approved ITAC’s recommendation and forwarded a letter to the </w:t>
      </w:r>
      <w:r w:rsidR="008C6FB5" w:rsidRPr="0027466D">
        <w:rPr>
          <w:rFonts w:ascii="Arial" w:hAnsi="Arial" w:cs="Arial"/>
        </w:rPr>
        <w:t xml:space="preserve">Deputy </w:t>
      </w:r>
      <w:r w:rsidR="00C217FD" w:rsidRPr="0027466D">
        <w:rPr>
          <w:rFonts w:ascii="Arial" w:hAnsi="Arial" w:cs="Arial"/>
        </w:rPr>
        <w:t>Minister</w:t>
      </w:r>
      <w:r w:rsidR="000E31E4" w:rsidRPr="0027466D">
        <w:rPr>
          <w:rFonts w:ascii="Arial" w:hAnsi="Arial" w:cs="Arial"/>
        </w:rPr>
        <w:t xml:space="preserve"> of Finance [Deputy Minister] r</w:t>
      </w:r>
      <w:r w:rsidR="00C217FD" w:rsidRPr="0027466D">
        <w:rPr>
          <w:rFonts w:ascii="Arial" w:hAnsi="Arial" w:cs="Arial"/>
        </w:rPr>
        <w:t>equesting him to reconfirm the anti-dumping duties in accordance with ITAC’s recommendation.</w:t>
      </w:r>
      <w:r w:rsidR="000E31E4" w:rsidRPr="0027466D">
        <w:rPr>
          <w:rFonts w:ascii="Arial" w:hAnsi="Arial" w:cs="Arial"/>
        </w:rPr>
        <w:t xml:space="preserve"> </w:t>
      </w:r>
      <w:r w:rsidR="00E46907" w:rsidRPr="0027466D">
        <w:rPr>
          <w:rFonts w:ascii="Arial" w:hAnsi="Arial" w:cs="Arial"/>
        </w:rPr>
        <w:t xml:space="preserve">A copy of the final report was attached. No further correspondence between the Trade and Deputy Minister are </w:t>
      </w:r>
      <w:r w:rsidR="00A65DEF" w:rsidRPr="0027466D">
        <w:rPr>
          <w:rFonts w:ascii="Arial" w:hAnsi="Arial" w:cs="Arial"/>
        </w:rPr>
        <w:t>on record.</w:t>
      </w:r>
    </w:p>
    <w:p w14:paraId="57B9217C" w14:textId="42B7BEC8" w:rsidR="00E46907" w:rsidRPr="0027466D" w:rsidRDefault="0027466D" w:rsidP="0027466D">
      <w:pPr>
        <w:tabs>
          <w:tab w:val="left" w:pos="851"/>
        </w:tabs>
        <w:spacing w:before="480" w:after="480" w:line="480" w:lineRule="auto"/>
        <w:jc w:val="both"/>
        <w:rPr>
          <w:rFonts w:ascii="Arial" w:hAnsi="Arial" w:cs="Arial"/>
        </w:rPr>
      </w:pPr>
      <w:r w:rsidRPr="009B2314">
        <w:rPr>
          <w:rFonts w:ascii="Arial" w:hAnsi="Arial" w:cs="Arial"/>
        </w:rPr>
        <w:t>[61]</w:t>
      </w:r>
      <w:r w:rsidRPr="009B2314">
        <w:rPr>
          <w:rFonts w:ascii="Arial" w:hAnsi="Arial" w:cs="Arial"/>
        </w:rPr>
        <w:tab/>
      </w:r>
      <w:r w:rsidR="00C217FD" w:rsidRPr="0027466D">
        <w:rPr>
          <w:rFonts w:ascii="Arial" w:hAnsi="Arial" w:cs="Arial"/>
        </w:rPr>
        <w:t>On 19 August 2021, the Deputy Minister accepted the request from the Trade</w:t>
      </w:r>
      <w:r w:rsidR="00381158" w:rsidRPr="0027466D">
        <w:rPr>
          <w:rFonts w:ascii="Arial" w:hAnsi="Arial" w:cs="Arial"/>
        </w:rPr>
        <w:t xml:space="preserve"> Minister</w:t>
      </w:r>
      <w:r w:rsidR="00C217FD" w:rsidRPr="0027466D">
        <w:rPr>
          <w:rFonts w:ascii="Arial" w:hAnsi="Arial" w:cs="Arial"/>
        </w:rPr>
        <w:t xml:space="preserve">. On 23 August 2021, the residual dumping duties were reconfirmed and published in the Government Gazette. The notice was signed by </w:t>
      </w:r>
      <w:r w:rsidR="00381158" w:rsidRPr="0027466D">
        <w:rPr>
          <w:rFonts w:ascii="Arial" w:hAnsi="Arial" w:cs="Arial"/>
        </w:rPr>
        <w:t xml:space="preserve">the </w:t>
      </w:r>
      <w:r w:rsidR="00C217FD" w:rsidRPr="0027466D">
        <w:rPr>
          <w:rFonts w:ascii="Arial" w:hAnsi="Arial" w:cs="Arial"/>
        </w:rPr>
        <w:t>Deputy Minister</w:t>
      </w:r>
      <w:r w:rsidR="000E31E4" w:rsidRPr="0027466D">
        <w:rPr>
          <w:rFonts w:ascii="Arial" w:hAnsi="Arial" w:cs="Arial"/>
        </w:rPr>
        <w:t>.</w:t>
      </w:r>
      <w:r w:rsidR="009B2314" w:rsidRPr="0027466D">
        <w:rPr>
          <w:rFonts w:ascii="Arial" w:hAnsi="Arial" w:cs="Arial"/>
        </w:rPr>
        <w:t xml:space="preserve"> </w:t>
      </w:r>
      <w:r w:rsidR="00C217FD" w:rsidRPr="0027466D">
        <w:rPr>
          <w:rFonts w:ascii="Arial" w:hAnsi="Arial" w:cs="Arial"/>
        </w:rPr>
        <w:t>On 24 August 2021, ITAC submitted its final determination to various interested parties including AMIE.</w:t>
      </w:r>
    </w:p>
    <w:p w14:paraId="7D30D644" w14:textId="749A9FCC" w:rsidR="000C066D" w:rsidRDefault="00FA36C2" w:rsidP="009472CC">
      <w:pPr>
        <w:pStyle w:val="RetiefPleadingpara1"/>
        <w:numPr>
          <w:ilvl w:val="0"/>
          <w:numId w:val="0"/>
        </w:numPr>
        <w:spacing w:before="480" w:after="480"/>
        <w:rPr>
          <w:b/>
          <w:bCs/>
          <w:szCs w:val="24"/>
          <w:u w:val="single"/>
        </w:rPr>
      </w:pPr>
      <w:r>
        <w:rPr>
          <w:b/>
          <w:bCs/>
          <w:szCs w:val="24"/>
          <w:u w:val="single"/>
        </w:rPr>
        <w:t xml:space="preserve">GROUNDS OF REVIEW </w:t>
      </w:r>
    </w:p>
    <w:p w14:paraId="2046E4F7" w14:textId="007BD6A5" w:rsidR="0073718B" w:rsidRPr="00381158" w:rsidRDefault="00FA36C2" w:rsidP="009472CC">
      <w:pPr>
        <w:pStyle w:val="RetiefPleadingpara1"/>
        <w:numPr>
          <w:ilvl w:val="0"/>
          <w:numId w:val="0"/>
        </w:numPr>
        <w:spacing w:before="480" w:after="480"/>
        <w:rPr>
          <w:i/>
          <w:iCs/>
          <w:szCs w:val="24"/>
        </w:rPr>
      </w:pPr>
      <w:r w:rsidRPr="00CB626B">
        <w:rPr>
          <w:i/>
          <w:iCs/>
          <w:szCs w:val="24"/>
          <w:u w:val="single"/>
        </w:rPr>
        <w:t xml:space="preserve">Was the decision taken </w:t>
      </w:r>
      <w:r w:rsidR="009B2314">
        <w:rPr>
          <w:i/>
          <w:iCs/>
          <w:szCs w:val="24"/>
          <w:u w:val="single"/>
        </w:rPr>
        <w:t>the Deputy Minister,</w:t>
      </w:r>
      <w:r w:rsidRPr="00CB626B">
        <w:rPr>
          <w:i/>
          <w:iCs/>
          <w:szCs w:val="24"/>
          <w:u w:val="single"/>
        </w:rPr>
        <w:t xml:space="preserve"> a functionary who possessed the requisite authority and power</w:t>
      </w:r>
      <w:r w:rsidR="00B43434" w:rsidRPr="00CB626B">
        <w:rPr>
          <w:i/>
          <w:iCs/>
          <w:szCs w:val="24"/>
          <w:u w:val="single"/>
        </w:rPr>
        <w:t xml:space="preserve"> to do so</w:t>
      </w:r>
      <w:r w:rsidRPr="00381158">
        <w:rPr>
          <w:i/>
          <w:iCs/>
          <w:szCs w:val="24"/>
        </w:rPr>
        <w:t>?</w:t>
      </w:r>
    </w:p>
    <w:p w14:paraId="37398842" w14:textId="10A00CD4" w:rsidR="009A3BFF" w:rsidRPr="009A3BFF" w:rsidRDefault="0027466D" w:rsidP="0027466D">
      <w:pPr>
        <w:pStyle w:val="RetiefPleadingpara1"/>
        <w:numPr>
          <w:ilvl w:val="0"/>
          <w:numId w:val="0"/>
        </w:numPr>
        <w:tabs>
          <w:tab w:val="left" w:pos="851"/>
        </w:tabs>
        <w:spacing w:before="480" w:after="480"/>
        <w:rPr>
          <w:color w:val="000000" w:themeColor="text1"/>
          <w:szCs w:val="24"/>
          <w:u w:val="single"/>
        </w:rPr>
      </w:pPr>
      <w:r w:rsidRPr="009A3BFF">
        <w:rPr>
          <w:szCs w:val="24"/>
        </w:rPr>
        <w:t>[62]</w:t>
      </w:r>
      <w:r w:rsidRPr="009A3BFF">
        <w:rPr>
          <w:szCs w:val="24"/>
        </w:rPr>
        <w:tab/>
      </w:r>
      <w:r w:rsidR="00DC3597">
        <w:rPr>
          <w:color w:val="000000" w:themeColor="text1"/>
          <w:szCs w:val="24"/>
        </w:rPr>
        <w:t>AMIE</w:t>
      </w:r>
      <w:r w:rsidR="004177DB" w:rsidRPr="009A3BFF">
        <w:rPr>
          <w:color w:val="000000" w:themeColor="text1"/>
          <w:szCs w:val="24"/>
        </w:rPr>
        <w:t xml:space="preserve"> contends that the </w:t>
      </w:r>
      <w:r w:rsidR="00E46907">
        <w:rPr>
          <w:color w:val="000000" w:themeColor="text1"/>
          <w:szCs w:val="24"/>
        </w:rPr>
        <w:t>Finance Minister’s</w:t>
      </w:r>
      <w:r w:rsidR="004177DB" w:rsidRPr="009A3BFF">
        <w:rPr>
          <w:color w:val="000000" w:themeColor="text1"/>
          <w:szCs w:val="24"/>
        </w:rPr>
        <w:t xml:space="preserve"> decision was not taken by a functionary who possessed the requisite </w:t>
      </w:r>
      <w:r w:rsidR="009A3BFF">
        <w:rPr>
          <w:color w:val="000000" w:themeColor="text1"/>
          <w:szCs w:val="24"/>
        </w:rPr>
        <w:t xml:space="preserve">authority and </w:t>
      </w:r>
      <w:r w:rsidR="004177DB" w:rsidRPr="009A3BFF">
        <w:rPr>
          <w:color w:val="000000" w:themeColor="text1"/>
          <w:szCs w:val="24"/>
        </w:rPr>
        <w:t xml:space="preserve">powers to do so. </w:t>
      </w:r>
      <w:r w:rsidR="00DC3597">
        <w:rPr>
          <w:color w:val="000000" w:themeColor="text1"/>
          <w:szCs w:val="24"/>
        </w:rPr>
        <w:t>AMIE</w:t>
      </w:r>
      <w:r w:rsidR="00533BC5">
        <w:rPr>
          <w:color w:val="000000" w:themeColor="text1"/>
          <w:szCs w:val="24"/>
        </w:rPr>
        <w:t>’s</w:t>
      </w:r>
      <w:r w:rsidR="00257AC8" w:rsidRPr="009A3BFF">
        <w:rPr>
          <w:color w:val="000000" w:themeColor="text1"/>
          <w:szCs w:val="24"/>
        </w:rPr>
        <w:t xml:space="preserve"> </w:t>
      </w:r>
      <w:r w:rsidR="00257AC8" w:rsidRPr="009A3BFF">
        <w:rPr>
          <w:color w:val="000000" w:themeColor="text1"/>
          <w:szCs w:val="24"/>
        </w:rPr>
        <w:lastRenderedPageBreak/>
        <w:t xml:space="preserve">challenge </w:t>
      </w:r>
      <w:r w:rsidR="009A3BFF">
        <w:rPr>
          <w:color w:val="000000" w:themeColor="text1"/>
          <w:szCs w:val="24"/>
        </w:rPr>
        <w:t xml:space="preserve">on authority </w:t>
      </w:r>
      <w:r w:rsidR="004177DB" w:rsidRPr="009A3BFF">
        <w:rPr>
          <w:color w:val="000000" w:themeColor="text1"/>
          <w:szCs w:val="24"/>
        </w:rPr>
        <w:t>is</w:t>
      </w:r>
      <w:r w:rsidR="00257AC8" w:rsidRPr="009A3BFF">
        <w:rPr>
          <w:color w:val="000000" w:themeColor="text1"/>
          <w:szCs w:val="24"/>
        </w:rPr>
        <w:t xml:space="preserve"> premised on </w:t>
      </w:r>
      <w:r w:rsidR="0037434F" w:rsidRPr="009A3BFF">
        <w:rPr>
          <w:color w:val="000000" w:themeColor="text1"/>
          <w:szCs w:val="24"/>
        </w:rPr>
        <w:t>s</w:t>
      </w:r>
      <w:r w:rsidR="00257AC8" w:rsidRPr="009A3BFF">
        <w:rPr>
          <w:color w:val="000000" w:themeColor="text1"/>
          <w:szCs w:val="24"/>
        </w:rPr>
        <w:t>ection 48(1)(b)</w:t>
      </w:r>
      <w:r w:rsidR="00257AC8" w:rsidRPr="009A3BFF">
        <w:rPr>
          <w:rStyle w:val="FootnoteReference"/>
          <w:color w:val="000000" w:themeColor="text1"/>
          <w:szCs w:val="24"/>
        </w:rPr>
        <w:footnoteReference w:id="25"/>
      </w:r>
      <w:r w:rsidR="00257AC8" w:rsidRPr="009A3BFF">
        <w:rPr>
          <w:color w:val="000000" w:themeColor="text1"/>
          <w:szCs w:val="24"/>
        </w:rPr>
        <w:t xml:space="preserve"> and 56 of the Customs Act in that reference to </w:t>
      </w:r>
      <w:r w:rsidR="00533BC5">
        <w:rPr>
          <w:color w:val="000000" w:themeColor="text1"/>
          <w:szCs w:val="24"/>
        </w:rPr>
        <w:t>“</w:t>
      </w:r>
      <w:r w:rsidR="00257AC8" w:rsidRPr="009A3BFF">
        <w:rPr>
          <w:color w:val="000000" w:themeColor="text1"/>
          <w:szCs w:val="24"/>
        </w:rPr>
        <w:t>Minister</w:t>
      </w:r>
      <w:r w:rsidR="00533BC5">
        <w:rPr>
          <w:color w:val="000000" w:themeColor="text1"/>
          <w:szCs w:val="24"/>
        </w:rPr>
        <w:t>”</w:t>
      </w:r>
      <w:r w:rsidR="00257AC8" w:rsidRPr="009A3BFF">
        <w:rPr>
          <w:color w:val="000000" w:themeColor="text1"/>
          <w:szCs w:val="24"/>
        </w:rPr>
        <w:t xml:space="preserve"> can only</w:t>
      </w:r>
      <w:r w:rsidR="007106B8" w:rsidRPr="009A3BFF">
        <w:rPr>
          <w:color w:val="000000" w:themeColor="text1"/>
          <w:szCs w:val="24"/>
        </w:rPr>
        <w:t xml:space="preserve"> be</w:t>
      </w:r>
      <w:r w:rsidR="00257AC8" w:rsidRPr="009A3BFF">
        <w:rPr>
          <w:color w:val="000000" w:themeColor="text1"/>
          <w:szCs w:val="24"/>
        </w:rPr>
        <w:t xml:space="preserve"> </w:t>
      </w:r>
      <w:r w:rsidR="00B64C37" w:rsidRPr="009A3BFF">
        <w:rPr>
          <w:color w:val="000000" w:themeColor="text1"/>
          <w:szCs w:val="24"/>
        </w:rPr>
        <w:t xml:space="preserve">the Finance Minister who is empowered by </w:t>
      </w:r>
      <w:r w:rsidR="00257AC8" w:rsidRPr="009A3BFF">
        <w:rPr>
          <w:color w:val="000000" w:themeColor="text1"/>
          <w:szCs w:val="24"/>
        </w:rPr>
        <w:t>P</w:t>
      </w:r>
      <w:r w:rsidR="00B64C37" w:rsidRPr="009A3BFF">
        <w:rPr>
          <w:color w:val="000000" w:themeColor="text1"/>
          <w:szCs w:val="24"/>
        </w:rPr>
        <w:t xml:space="preserve">arliament to exercise </w:t>
      </w:r>
      <w:r w:rsidR="004177DB" w:rsidRPr="009A3BFF">
        <w:rPr>
          <w:color w:val="000000" w:themeColor="text1"/>
          <w:szCs w:val="24"/>
        </w:rPr>
        <w:t>such</w:t>
      </w:r>
      <w:r w:rsidR="00B64C37" w:rsidRPr="009A3BFF">
        <w:rPr>
          <w:color w:val="000000" w:themeColor="text1"/>
          <w:szCs w:val="24"/>
        </w:rPr>
        <w:t xml:space="preserve"> </w:t>
      </w:r>
      <w:r w:rsidR="00B43434">
        <w:rPr>
          <w:color w:val="000000" w:themeColor="text1"/>
          <w:szCs w:val="24"/>
        </w:rPr>
        <w:t xml:space="preserve">authority and </w:t>
      </w:r>
      <w:r w:rsidR="00B64C37" w:rsidRPr="009A3BFF">
        <w:rPr>
          <w:color w:val="000000" w:themeColor="text1"/>
          <w:szCs w:val="24"/>
        </w:rPr>
        <w:t>powers</w:t>
      </w:r>
      <w:r w:rsidR="00257AC8" w:rsidRPr="009A3BFF">
        <w:rPr>
          <w:color w:val="000000" w:themeColor="text1"/>
          <w:szCs w:val="24"/>
        </w:rPr>
        <w:t>.</w:t>
      </w:r>
      <w:r w:rsidR="00B64C37" w:rsidRPr="009A3BFF">
        <w:rPr>
          <w:color w:val="000000" w:themeColor="text1"/>
          <w:szCs w:val="24"/>
        </w:rPr>
        <w:t xml:space="preserve"> </w:t>
      </w:r>
    </w:p>
    <w:p w14:paraId="24E910DC" w14:textId="577DCFF7" w:rsidR="002B3C9B" w:rsidRPr="009A3BFF" w:rsidRDefault="0027466D" w:rsidP="0027466D">
      <w:pPr>
        <w:pStyle w:val="RetiefPleadingpara1"/>
        <w:numPr>
          <w:ilvl w:val="0"/>
          <w:numId w:val="0"/>
        </w:numPr>
        <w:tabs>
          <w:tab w:val="left" w:pos="851"/>
        </w:tabs>
        <w:spacing w:before="480" w:after="480"/>
        <w:rPr>
          <w:color w:val="000000" w:themeColor="text1"/>
          <w:szCs w:val="24"/>
          <w:u w:val="single"/>
        </w:rPr>
      </w:pPr>
      <w:r w:rsidRPr="009A3BFF">
        <w:rPr>
          <w:szCs w:val="24"/>
        </w:rPr>
        <w:t>[63]</w:t>
      </w:r>
      <w:r w:rsidRPr="009A3BFF">
        <w:rPr>
          <w:szCs w:val="24"/>
        </w:rPr>
        <w:tab/>
      </w:r>
      <w:r w:rsidR="00B43434">
        <w:rPr>
          <w:color w:val="000000" w:themeColor="text1"/>
          <w:szCs w:val="24"/>
        </w:rPr>
        <w:t>This contention was common cause on the papers, a</w:t>
      </w:r>
      <w:r w:rsidR="00E46907">
        <w:rPr>
          <w:color w:val="000000" w:themeColor="text1"/>
          <w:szCs w:val="24"/>
        </w:rPr>
        <w:t xml:space="preserve">s </w:t>
      </w:r>
      <w:r w:rsidR="00B43434">
        <w:rPr>
          <w:color w:val="000000" w:themeColor="text1"/>
          <w:szCs w:val="24"/>
        </w:rPr>
        <w:t xml:space="preserve">too on the facts, that it was the </w:t>
      </w:r>
      <w:r w:rsidR="004177DB" w:rsidRPr="009A3BFF">
        <w:rPr>
          <w:color w:val="000000" w:themeColor="text1"/>
          <w:szCs w:val="24"/>
        </w:rPr>
        <w:t xml:space="preserve">Deputy </w:t>
      </w:r>
      <w:r w:rsidR="007460F5" w:rsidRPr="009A3BFF">
        <w:rPr>
          <w:color w:val="000000" w:themeColor="text1"/>
          <w:szCs w:val="24"/>
        </w:rPr>
        <w:t>Finance</w:t>
      </w:r>
      <w:r w:rsidR="00533BC5">
        <w:rPr>
          <w:color w:val="000000" w:themeColor="text1"/>
          <w:szCs w:val="24"/>
        </w:rPr>
        <w:t xml:space="preserve"> Minister</w:t>
      </w:r>
      <w:r w:rsidR="009A3BFF" w:rsidRPr="00533BC5">
        <w:rPr>
          <w:color w:val="000000" w:themeColor="text1"/>
          <w:szCs w:val="24"/>
        </w:rPr>
        <w:t>,</w:t>
      </w:r>
      <w:r w:rsidR="007460F5" w:rsidRPr="00533BC5">
        <w:rPr>
          <w:color w:val="000000" w:themeColor="text1"/>
          <w:szCs w:val="24"/>
        </w:rPr>
        <w:t xml:space="preserve"> </w:t>
      </w:r>
      <w:r w:rsidR="004177DB" w:rsidRPr="00533BC5">
        <w:rPr>
          <w:color w:val="000000" w:themeColor="text1"/>
          <w:szCs w:val="24"/>
        </w:rPr>
        <w:t>Dr D. Masondo, MP</w:t>
      </w:r>
      <w:r w:rsidR="004177DB" w:rsidRPr="009A3BFF">
        <w:rPr>
          <w:color w:val="000000" w:themeColor="text1"/>
          <w:szCs w:val="24"/>
        </w:rPr>
        <w:t xml:space="preserve">  </w:t>
      </w:r>
      <w:r w:rsidR="00BE40C4">
        <w:rPr>
          <w:color w:val="000000" w:themeColor="text1"/>
          <w:szCs w:val="24"/>
        </w:rPr>
        <w:t xml:space="preserve">[Deputy Minister] </w:t>
      </w:r>
      <w:r w:rsidR="00B43434">
        <w:rPr>
          <w:color w:val="000000" w:themeColor="text1"/>
          <w:szCs w:val="24"/>
        </w:rPr>
        <w:t xml:space="preserve">who </w:t>
      </w:r>
      <w:r w:rsidR="004177DB" w:rsidRPr="009A3BFF">
        <w:rPr>
          <w:color w:val="000000" w:themeColor="text1"/>
          <w:szCs w:val="24"/>
        </w:rPr>
        <w:t>took the</w:t>
      </w:r>
      <w:r w:rsidR="00DF4A62">
        <w:rPr>
          <w:color w:val="000000" w:themeColor="text1"/>
          <w:szCs w:val="24"/>
        </w:rPr>
        <w:t xml:space="preserve"> final</w:t>
      </w:r>
      <w:r w:rsidR="004177DB" w:rsidRPr="009A3BFF">
        <w:rPr>
          <w:color w:val="000000" w:themeColor="text1"/>
          <w:szCs w:val="24"/>
        </w:rPr>
        <w:t xml:space="preserve"> decision.</w:t>
      </w:r>
      <w:r w:rsidR="007460F5" w:rsidRPr="009A3BFF">
        <w:rPr>
          <w:color w:val="000000" w:themeColor="text1"/>
          <w:szCs w:val="24"/>
        </w:rPr>
        <w:t xml:space="preserve"> </w:t>
      </w:r>
    </w:p>
    <w:p w14:paraId="3169E3A2" w14:textId="295FB3B4" w:rsidR="00CF04A9" w:rsidRPr="009A3BFF" w:rsidRDefault="0027466D" w:rsidP="0027466D">
      <w:pPr>
        <w:pStyle w:val="RetiefPleadingpara1"/>
        <w:numPr>
          <w:ilvl w:val="0"/>
          <w:numId w:val="0"/>
        </w:numPr>
        <w:tabs>
          <w:tab w:val="left" w:pos="851"/>
        </w:tabs>
        <w:spacing w:before="480" w:after="480"/>
        <w:rPr>
          <w:color w:val="000000" w:themeColor="text1"/>
          <w:szCs w:val="24"/>
          <w:u w:val="single"/>
        </w:rPr>
      </w:pPr>
      <w:r w:rsidRPr="009A3BFF">
        <w:rPr>
          <w:szCs w:val="24"/>
        </w:rPr>
        <w:t>[64]</w:t>
      </w:r>
      <w:r w:rsidRPr="009A3BFF">
        <w:rPr>
          <w:szCs w:val="24"/>
        </w:rPr>
        <w:tab/>
      </w:r>
      <w:r w:rsidR="00DC3597">
        <w:rPr>
          <w:color w:val="000000" w:themeColor="text1"/>
          <w:szCs w:val="24"/>
        </w:rPr>
        <w:t>AMIE</w:t>
      </w:r>
      <w:r w:rsidR="00BE40C4">
        <w:rPr>
          <w:color w:val="000000" w:themeColor="text1"/>
          <w:szCs w:val="24"/>
        </w:rPr>
        <w:t>’s</w:t>
      </w:r>
      <w:r w:rsidR="004177DB" w:rsidRPr="009A3BFF">
        <w:rPr>
          <w:color w:val="000000" w:themeColor="text1"/>
          <w:szCs w:val="24"/>
        </w:rPr>
        <w:t xml:space="preserve"> challenge </w:t>
      </w:r>
      <w:r w:rsidR="00B43434">
        <w:rPr>
          <w:color w:val="000000" w:themeColor="text1"/>
          <w:szCs w:val="24"/>
        </w:rPr>
        <w:t>was</w:t>
      </w:r>
      <w:r w:rsidR="00257AC8" w:rsidRPr="009A3BFF">
        <w:rPr>
          <w:color w:val="000000" w:themeColor="text1"/>
          <w:szCs w:val="24"/>
        </w:rPr>
        <w:t xml:space="preserve"> advanced in circumstances when both the </w:t>
      </w:r>
      <w:r w:rsidR="00DF4A62">
        <w:rPr>
          <w:color w:val="000000" w:themeColor="text1"/>
          <w:szCs w:val="24"/>
        </w:rPr>
        <w:t xml:space="preserve">Deputy  Minister, the </w:t>
      </w:r>
      <w:r w:rsidR="002B3C9B" w:rsidRPr="009A3BFF">
        <w:rPr>
          <w:color w:val="000000" w:themeColor="text1"/>
          <w:szCs w:val="24"/>
        </w:rPr>
        <w:t xml:space="preserve">Finance Minister </w:t>
      </w:r>
      <w:r w:rsidR="0073718B" w:rsidRPr="009A3BFF">
        <w:rPr>
          <w:color w:val="000000" w:themeColor="text1"/>
          <w:szCs w:val="24"/>
        </w:rPr>
        <w:t xml:space="preserve">and </w:t>
      </w:r>
      <w:r w:rsidR="002B3C9B" w:rsidRPr="009A3BFF">
        <w:rPr>
          <w:color w:val="000000" w:themeColor="text1"/>
          <w:szCs w:val="24"/>
        </w:rPr>
        <w:t xml:space="preserve">SARS </w:t>
      </w:r>
      <w:r w:rsidR="00257AC8" w:rsidRPr="009A3BFF">
        <w:rPr>
          <w:color w:val="000000" w:themeColor="text1"/>
          <w:szCs w:val="24"/>
        </w:rPr>
        <w:t xml:space="preserve">failed to file papers. </w:t>
      </w:r>
      <w:r w:rsidR="00B43434">
        <w:rPr>
          <w:color w:val="000000" w:themeColor="text1"/>
          <w:szCs w:val="24"/>
        </w:rPr>
        <w:t>In consequence</w:t>
      </w:r>
      <w:r w:rsidR="00BE40C4">
        <w:rPr>
          <w:color w:val="000000" w:themeColor="text1"/>
          <w:szCs w:val="24"/>
        </w:rPr>
        <w:t xml:space="preserve">, </w:t>
      </w:r>
      <w:r w:rsidR="00B43434">
        <w:rPr>
          <w:color w:val="000000" w:themeColor="text1"/>
          <w:szCs w:val="24"/>
        </w:rPr>
        <w:t>the</w:t>
      </w:r>
      <w:r w:rsidR="00257AC8" w:rsidRPr="009A3BFF">
        <w:rPr>
          <w:color w:val="000000" w:themeColor="text1"/>
          <w:szCs w:val="24"/>
        </w:rPr>
        <w:t xml:space="preserve"> lack of </w:t>
      </w:r>
      <w:r w:rsidR="004177DB" w:rsidRPr="009A3BFF">
        <w:rPr>
          <w:color w:val="000000" w:themeColor="text1"/>
          <w:szCs w:val="24"/>
        </w:rPr>
        <w:t>evidence</w:t>
      </w:r>
      <w:r w:rsidR="00257AC8" w:rsidRPr="009A3BFF">
        <w:rPr>
          <w:color w:val="000000" w:themeColor="text1"/>
          <w:szCs w:val="24"/>
        </w:rPr>
        <w:t xml:space="preserve"> </w:t>
      </w:r>
      <w:r w:rsidR="00BE40C4">
        <w:rPr>
          <w:color w:val="000000" w:themeColor="text1"/>
          <w:szCs w:val="24"/>
        </w:rPr>
        <w:t xml:space="preserve">on the papers </w:t>
      </w:r>
      <w:r w:rsidR="00B43434">
        <w:rPr>
          <w:color w:val="000000" w:themeColor="text1"/>
          <w:szCs w:val="24"/>
        </w:rPr>
        <w:t xml:space="preserve">relating to the circumstances under which the Deputy Minister took the </w:t>
      </w:r>
      <w:r w:rsidR="00DF4A62">
        <w:rPr>
          <w:color w:val="000000" w:themeColor="text1"/>
          <w:szCs w:val="24"/>
        </w:rPr>
        <w:t xml:space="preserve">final </w:t>
      </w:r>
      <w:r w:rsidR="00B43434">
        <w:rPr>
          <w:color w:val="000000" w:themeColor="text1"/>
          <w:szCs w:val="24"/>
        </w:rPr>
        <w:t xml:space="preserve">decision </w:t>
      </w:r>
      <w:r w:rsidR="00CF04A9" w:rsidRPr="009A3BFF">
        <w:rPr>
          <w:color w:val="000000" w:themeColor="text1"/>
          <w:szCs w:val="24"/>
        </w:rPr>
        <w:t xml:space="preserve">was </w:t>
      </w:r>
      <w:r w:rsidR="00B43434">
        <w:rPr>
          <w:color w:val="000000" w:themeColor="text1"/>
          <w:szCs w:val="24"/>
        </w:rPr>
        <w:t>aggravated</w:t>
      </w:r>
      <w:r w:rsidR="00257AC8" w:rsidRPr="009A3BFF">
        <w:rPr>
          <w:color w:val="000000" w:themeColor="text1"/>
          <w:szCs w:val="24"/>
        </w:rPr>
        <w:t xml:space="preserve"> by </w:t>
      </w:r>
      <w:r w:rsidR="00B43434">
        <w:rPr>
          <w:color w:val="000000" w:themeColor="text1"/>
          <w:szCs w:val="24"/>
        </w:rPr>
        <w:t xml:space="preserve">the </w:t>
      </w:r>
      <w:r w:rsidR="004177DB" w:rsidRPr="009A3BFF">
        <w:rPr>
          <w:color w:val="000000" w:themeColor="text1"/>
          <w:szCs w:val="24"/>
        </w:rPr>
        <w:t xml:space="preserve">lack of documentary evidence in support of the </w:t>
      </w:r>
      <w:r w:rsidR="00B43434">
        <w:rPr>
          <w:color w:val="000000" w:themeColor="text1"/>
          <w:szCs w:val="24"/>
        </w:rPr>
        <w:t xml:space="preserve">Deputy Minister’s </w:t>
      </w:r>
      <w:r w:rsidR="004177DB" w:rsidRPr="009A3BFF">
        <w:rPr>
          <w:color w:val="000000" w:themeColor="text1"/>
          <w:szCs w:val="24"/>
        </w:rPr>
        <w:t>authority</w:t>
      </w:r>
      <w:r w:rsidR="00A65DEF">
        <w:rPr>
          <w:color w:val="000000" w:themeColor="text1"/>
          <w:szCs w:val="24"/>
        </w:rPr>
        <w:t>.</w:t>
      </w:r>
      <w:r w:rsidR="004177DB" w:rsidRPr="009A3BFF">
        <w:rPr>
          <w:color w:val="000000" w:themeColor="text1"/>
          <w:szCs w:val="24"/>
        </w:rPr>
        <w:t xml:space="preserve"> No written delegation in support of the Deputy Minister’s</w:t>
      </w:r>
      <w:r w:rsidR="00257AC8" w:rsidRPr="009A3BFF">
        <w:rPr>
          <w:color w:val="000000" w:themeColor="text1"/>
          <w:szCs w:val="24"/>
        </w:rPr>
        <w:t xml:space="preserve"> authority </w:t>
      </w:r>
      <w:r w:rsidR="004177DB" w:rsidRPr="009A3BFF">
        <w:rPr>
          <w:color w:val="000000" w:themeColor="text1"/>
          <w:szCs w:val="24"/>
        </w:rPr>
        <w:t xml:space="preserve">was filed nor </w:t>
      </w:r>
      <w:r w:rsidR="009A3BFF" w:rsidRPr="009A3BFF">
        <w:rPr>
          <w:color w:val="000000" w:themeColor="text1"/>
          <w:szCs w:val="24"/>
        </w:rPr>
        <w:t xml:space="preserve">did it form </w:t>
      </w:r>
      <w:r w:rsidR="00257AC8" w:rsidRPr="009A3BFF">
        <w:rPr>
          <w:color w:val="000000" w:themeColor="text1"/>
          <w:szCs w:val="24"/>
        </w:rPr>
        <w:t xml:space="preserve">part of </w:t>
      </w:r>
      <w:r w:rsidR="007106B8" w:rsidRPr="00533BC5">
        <w:rPr>
          <w:color w:val="000000" w:themeColor="text1"/>
          <w:szCs w:val="24"/>
        </w:rPr>
        <w:t xml:space="preserve">the </w:t>
      </w:r>
      <w:r w:rsidR="00533BC5">
        <w:rPr>
          <w:color w:val="000000" w:themeColor="text1"/>
          <w:szCs w:val="24"/>
        </w:rPr>
        <w:t>r</w:t>
      </w:r>
      <w:r w:rsidR="00257AC8" w:rsidRPr="00533BC5">
        <w:rPr>
          <w:color w:val="000000" w:themeColor="text1"/>
          <w:szCs w:val="24"/>
        </w:rPr>
        <w:t>ule 53 record</w:t>
      </w:r>
      <w:r w:rsidR="004177DB" w:rsidRPr="00533BC5">
        <w:rPr>
          <w:color w:val="000000" w:themeColor="text1"/>
          <w:szCs w:val="24"/>
        </w:rPr>
        <w:t>.</w:t>
      </w:r>
      <w:r w:rsidR="00257AC8" w:rsidRPr="009A3BFF">
        <w:rPr>
          <w:color w:val="000000" w:themeColor="text1"/>
          <w:szCs w:val="24"/>
        </w:rPr>
        <w:t xml:space="preserve"> </w:t>
      </w:r>
      <w:r w:rsidR="004177DB" w:rsidRPr="009A3BFF">
        <w:rPr>
          <w:color w:val="000000" w:themeColor="text1"/>
          <w:szCs w:val="24"/>
        </w:rPr>
        <w:t xml:space="preserve">This </w:t>
      </w:r>
      <w:r w:rsidR="00BE40C4">
        <w:rPr>
          <w:color w:val="000000" w:themeColor="text1"/>
          <w:szCs w:val="24"/>
        </w:rPr>
        <w:t xml:space="preserve">state of affairs remained unaddressed </w:t>
      </w:r>
      <w:r w:rsidR="00257AC8" w:rsidRPr="009A3BFF">
        <w:rPr>
          <w:color w:val="000000" w:themeColor="text1"/>
          <w:szCs w:val="24"/>
        </w:rPr>
        <w:t xml:space="preserve">notwithstanding numerous requests </w:t>
      </w:r>
      <w:r w:rsidR="004177DB" w:rsidRPr="009A3BFF">
        <w:rPr>
          <w:color w:val="000000" w:themeColor="text1"/>
          <w:szCs w:val="24"/>
        </w:rPr>
        <w:t>made to the office of the Finance Minister</w:t>
      </w:r>
      <w:r w:rsidR="00BE40C4">
        <w:rPr>
          <w:color w:val="000000" w:themeColor="text1"/>
          <w:szCs w:val="24"/>
        </w:rPr>
        <w:t xml:space="preserve"> by the parties to do so</w:t>
      </w:r>
      <w:r w:rsidR="004177DB" w:rsidRPr="009A3BFF">
        <w:rPr>
          <w:color w:val="000000" w:themeColor="text1"/>
          <w:szCs w:val="24"/>
        </w:rPr>
        <w:t>.</w:t>
      </w:r>
      <w:r w:rsidR="00CF04A9" w:rsidRPr="009A3BFF">
        <w:rPr>
          <w:color w:val="000000" w:themeColor="text1"/>
          <w:szCs w:val="24"/>
        </w:rPr>
        <w:t xml:space="preserve"> </w:t>
      </w:r>
      <w:r w:rsidR="003B32CC" w:rsidRPr="009A3BFF">
        <w:rPr>
          <w:color w:val="000000" w:themeColor="text1"/>
          <w:szCs w:val="24"/>
        </w:rPr>
        <w:t>AMIE</w:t>
      </w:r>
      <w:r w:rsidR="00257AC8" w:rsidRPr="009A3BFF">
        <w:rPr>
          <w:color w:val="000000" w:themeColor="text1"/>
          <w:szCs w:val="24"/>
        </w:rPr>
        <w:t xml:space="preserve"> </w:t>
      </w:r>
      <w:r w:rsidR="00BE40C4">
        <w:rPr>
          <w:color w:val="000000" w:themeColor="text1"/>
          <w:szCs w:val="24"/>
        </w:rPr>
        <w:t xml:space="preserve">is </w:t>
      </w:r>
      <w:r w:rsidR="00257AC8" w:rsidRPr="009A3BFF">
        <w:rPr>
          <w:color w:val="000000" w:themeColor="text1"/>
          <w:szCs w:val="24"/>
        </w:rPr>
        <w:t>requesting th</w:t>
      </w:r>
      <w:r w:rsidR="009A3BFF" w:rsidRPr="009A3BFF">
        <w:rPr>
          <w:color w:val="000000" w:themeColor="text1"/>
          <w:szCs w:val="24"/>
        </w:rPr>
        <w:t>is</w:t>
      </w:r>
      <w:r w:rsidR="00257AC8" w:rsidRPr="009A3BFF">
        <w:rPr>
          <w:color w:val="000000" w:themeColor="text1"/>
          <w:szCs w:val="24"/>
        </w:rPr>
        <w:t xml:space="preserve"> Court to make a negative inference from </w:t>
      </w:r>
      <w:r w:rsidR="009A3BFF" w:rsidRPr="009A3BFF">
        <w:rPr>
          <w:color w:val="000000" w:themeColor="text1"/>
          <w:szCs w:val="24"/>
        </w:rPr>
        <w:t xml:space="preserve">the Finance Minister’s </w:t>
      </w:r>
      <w:r w:rsidR="00257AC8" w:rsidRPr="009A3BFF">
        <w:rPr>
          <w:color w:val="000000" w:themeColor="text1"/>
          <w:szCs w:val="24"/>
        </w:rPr>
        <w:t>failure.</w:t>
      </w:r>
    </w:p>
    <w:p w14:paraId="600CA624" w14:textId="0504EF5F" w:rsidR="002B3C9B" w:rsidRPr="009A3BFF" w:rsidRDefault="0027466D" w:rsidP="0027466D">
      <w:pPr>
        <w:pStyle w:val="RetiefPleadingpara1"/>
        <w:numPr>
          <w:ilvl w:val="0"/>
          <w:numId w:val="0"/>
        </w:numPr>
        <w:tabs>
          <w:tab w:val="left" w:pos="851"/>
        </w:tabs>
        <w:spacing w:before="480" w:after="480"/>
        <w:rPr>
          <w:color w:val="000000" w:themeColor="text1"/>
          <w:szCs w:val="24"/>
          <w:u w:val="single"/>
        </w:rPr>
      </w:pPr>
      <w:r w:rsidRPr="009A3BFF">
        <w:rPr>
          <w:szCs w:val="24"/>
        </w:rPr>
        <w:t>[65]</w:t>
      </w:r>
      <w:r w:rsidRPr="009A3BFF">
        <w:rPr>
          <w:szCs w:val="24"/>
        </w:rPr>
        <w:tab/>
      </w:r>
      <w:r w:rsidR="00257AC8" w:rsidRPr="009A3BFF">
        <w:rPr>
          <w:color w:val="000000" w:themeColor="text1"/>
          <w:szCs w:val="24"/>
        </w:rPr>
        <w:t>I</w:t>
      </w:r>
      <w:r w:rsidR="00CF04A9" w:rsidRPr="009A3BFF">
        <w:rPr>
          <w:color w:val="000000" w:themeColor="text1"/>
          <w:szCs w:val="24"/>
        </w:rPr>
        <w:t>n</w:t>
      </w:r>
      <w:r w:rsidR="007106B8" w:rsidRPr="009A3BFF">
        <w:rPr>
          <w:color w:val="000000" w:themeColor="text1"/>
          <w:szCs w:val="24"/>
        </w:rPr>
        <w:t xml:space="preserve"> an </w:t>
      </w:r>
      <w:r w:rsidR="00CF04A9" w:rsidRPr="009A3BFF">
        <w:rPr>
          <w:color w:val="000000" w:themeColor="text1"/>
          <w:szCs w:val="24"/>
        </w:rPr>
        <w:t xml:space="preserve">attempt to overcome such </w:t>
      </w:r>
      <w:r w:rsidR="004177DB" w:rsidRPr="009A3BFF">
        <w:rPr>
          <w:color w:val="000000" w:themeColor="text1"/>
          <w:szCs w:val="24"/>
        </w:rPr>
        <w:t xml:space="preserve">an </w:t>
      </w:r>
      <w:r w:rsidR="002B3BC3" w:rsidRPr="009A3BFF">
        <w:rPr>
          <w:color w:val="000000" w:themeColor="text1"/>
          <w:szCs w:val="24"/>
        </w:rPr>
        <w:t>evidentiary</w:t>
      </w:r>
      <w:r w:rsidR="00257AC8" w:rsidRPr="009A3BFF">
        <w:rPr>
          <w:color w:val="000000" w:themeColor="text1"/>
          <w:szCs w:val="24"/>
        </w:rPr>
        <w:t xml:space="preserve"> </w:t>
      </w:r>
      <w:r w:rsidR="00FC5373" w:rsidRPr="009A3BFF">
        <w:rPr>
          <w:i/>
          <w:iCs/>
          <w:color w:val="000000" w:themeColor="text1"/>
          <w:szCs w:val="24"/>
        </w:rPr>
        <w:t>lacuna</w:t>
      </w:r>
      <w:r w:rsidR="00257AC8" w:rsidRPr="009A3BFF">
        <w:rPr>
          <w:color w:val="000000" w:themeColor="text1"/>
          <w:szCs w:val="24"/>
        </w:rPr>
        <w:t xml:space="preserve">, </w:t>
      </w:r>
      <w:r w:rsidR="00CF04A9" w:rsidRPr="009A3BFF">
        <w:rPr>
          <w:color w:val="000000" w:themeColor="text1"/>
          <w:szCs w:val="24"/>
        </w:rPr>
        <w:t xml:space="preserve">SAPA, at the commencement of the </w:t>
      </w:r>
      <w:r w:rsidR="004177DB" w:rsidRPr="009A3BFF">
        <w:rPr>
          <w:color w:val="000000" w:themeColor="text1"/>
          <w:szCs w:val="24"/>
        </w:rPr>
        <w:t>hearing</w:t>
      </w:r>
      <w:r w:rsidR="00CF04A9" w:rsidRPr="009A3BFF">
        <w:rPr>
          <w:color w:val="000000" w:themeColor="text1"/>
          <w:szCs w:val="24"/>
        </w:rPr>
        <w:t xml:space="preserve"> move</w:t>
      </w:r>
      <w:r w:rsidR="009A3BFF" w:rsidRPr="009A3BFF">
        <w:rPr>
          <w:color w:val="000000" w:themeColor="text1"/>
          <w:szCs w:val="24"/>
        </w:rPr>
        <w:t>d</w:t>
      </w:r>
      <w:r w:rsidR="004177DB" w:rsidRPr="009A3BFF">
        <w:rPr>
          <w:color w:val="000000" w:themeColor="text1"/>
          <w:szCs w:val="24"/>
        </w:rPr>
        <w:t xml:space="preserve"> </w:t>
      </w:r>
      <w:r w:rsidR="009A3BFF" w:rsidRPr="009A3BFF">
        <w:rPr>
          <w:color w:val="000000" w:themeColor="text1"/>
          <w:szCs w:val="24"/>
        </w:rPr>
        <w:t>an</w:t>
      </w:r>
      <w:r w:rsidR="004177DB" w:rsidRPr="009A3BFF">
        <w:rPr>
          <w:color w:val="000000" w:themeColor="text1"/>
          <w:szCs w:val="24"/>
        </w:rPr>
        <w:t xml:space="preserve"> unopposed</w:t>
      </w:r>
      <w:r w:rsidR="00CF04A9" w:rsidRPr="009A3BFF">
        <w:rPr>
          <w:color w:val="000000" w:themeColor="text1"/>
          <w:szCs w:val="24"/>
        </w:rPr>
        <w:t xml:space="preserve"> interlocutory </w:t>
      </w:r>
      <w:r w:rsidR="009A3BFF" w:rsidRPr="009A3BFF">
        <w:rPr>
          <w:color w:val="000000" w:themeColor="text1"/>
          <w:szCs w:val="24"/>
        </w:rPr>
        <w:t>application seeking</w:t>
      </w:r>
      <w:r w:rsidR="00CF04A9" w:rsidRPr="009A3BFF">
        <w:rPr>
          <w:color w:val="000000" w:themeColor="text1"/>
          <w:szCs w:val="24"/>
        </w:rPr>
        <w:t xml:space="preserve"> leave to file a supplementary affidavit to adduce </w:t>
      </w:r>
      <w:r w:rsidR="00257AC8" w:rsidRPr="009A3BFF">
        <w:rPr>
          <w:color w:val="000000" w:themeColor="text1"/>
          <w:szCs w:val="24"/>
        </w:rPr>
        <w:t xml:space="preserve">further </w:t>
      </w:r>
      <w:r w:rsidR="00CF04A9" w:rsidRPr="009A3BFF">
        <w:rPr>
          <w:color w:val="000000" w:themeColor="text1"/>
          <w:szCs w:val="24"/>
        </w:rPr>
        <w:t xml:space="preserve">evidence. </w:t>
      </w:r>
      <w:r w:rsidR="004177DB" w:rsidRPr="009A3BFF">
        <w:rPr>
          <w:color w:val="000000" w:themeColor="text1"/>
          <w:szCs w:val="24"/>
        </w:rPr>
        <w:t>Leave was granted</w:t>
      </w:r>
      <w:r w:rsidR="009A3BFF" w:rsidRPr="009A3BFF">
        <w:rPr>
          <w:color w:val="000000" w:themeColor="text1"/>
          <w:szCs w:val="24"/>
        </w:rPr>
        <w:t>. T</w:t>
      </w:r>
      <w:r w:rsidR="00CF04A9" w:rsidRPr="009A3BFF">
        <w:rPr>
          <w:color w:val="000000" w:themeColor="text1"/>
          <w:szCs w:val="24"/>
        </w:rPr>
        <w:t xml:space="preserve">he </w:t>
      </w:r>
      <w:r w:rsidR="004177DB" w:rsidRPr="009A3BFF">
        <w:rPr>
          <w:color w:val="000000" w:themeColor="text1"/>
          <w:szCs w:val="24"/>
        </w:rPr>
        <w:t xml:space="preserve">supplemented </w:t>
      </w:r>
      <w:r w:rsidR="00554A70" w:rsidRPr="009A3BFF">
        <w:rPr>
          <w:color w:val="000000" w:themeColor="text1"/>
          <w:szCs w:val="24"/>
        </w:rPr>
        <w:t>evidence</w:t>
      </w:r>
      <w:r w:rsidR="004177DB" w:rsidRPr="009A3BFF">
        <w:rPr>
          <w:color w:val="000000" w:themeColor="text1"/>
          <w:szCs w:val="24"/>
        </w:rPr>
        <w:t xml:space="preserve"> included</w:t>
      </w:r>
      <w:r w:rsidR="00CF04A9" w:rsidRPr="009A3BFF">
        <w:rPr>
          <w:color w:val="000000" w:themeColor="text1"/>
          <w:szCs w:val="24"/>
        </w:rPr>
        <w:t xml:space="preserve"> a copy of a memorandum by SARS together </w:t>
      </w:r>
      <w:r w:rsidR="009A3BFF" w:rsidRPr="009A3BFF">
        <w:rPr>
          <w:color w:val="000000" w:themeColor="text1"/>
          <w:szCs w:val="24"/>
        </w:rPr>
        <w:t>with a</w:t>
      </w:r>
      <w:r w:rsidR="00CF04A9" w:rsidRPr="009A3BFF">
        <w:rPr>
          <w:color w:val="000000" w:themeColor="text1"/>
          <w:szCs w:val="24"/>
        </w:rPr>
        <w:t xml:space="preserve"> signed delegation dated 8 May 2018</w:t>
      </w:r>
      <w:r w:rsidR="009A3BFF" w:rsidRPr="009A3BFF">
        <w:rPr>
          <w:color w:val="000000" w:themeColor="text1"/>
          <w:szCs w:val="24"/>
        </w:rPr>
        <w:t xml:space="preserve"> referred to as annexure </w:t>
      </w:r>
      <w:r w:rsidR="009A3BFF" w:rsidRPr="009A3BFF">
        <w:rPr>
          <w:color w:val="000000" w:themeColor="text1"/>
          <w:szCs w:val="24"/>
        </w:rPr>
        <w:lastRenderedPageBreak/>
        <w:t>“A” [2018 delegation]. Annexure “A” was</w:t>
      </w:r>
      <w:r w:rsidR="00CF04A9" w:rsidRPr="009A3BFF">
        <w:rPr>
          <w:color w:val="000000" w:themeColor="text1"/>
          <w:szCs w:val="24"/>
        </w:rPr>
        <w:t xml:space="preserve"> signed by the then Minister of Finance, </w:t>
      </w:r>
      <w:r w:rsidR="006757D1">
        <w:rPr>
          <w:color w:val="000000" w:themeColor="text1"/>
          <w:szCs w:val="24"/>
        </w:rPr>
        <w:t xml:space="preserve">Mr </w:t>
      </w:r>
      <w:r w:rsidR="00CF04A9" w:rsidRPr="009A3BFF">
        <w:rPr>
          <w:color w:val="000000" w:themeColor="text1"/>
          <w:szCs w:val="24"/>
        </w:rPr>
        <w:t>Nhlanhla Nene</w:t>
      </w:r>
      <w:r w:rsidR="006757D1">
        <w:rPr>
          <w:color w:val="000000" w:themeColor="text1"/>
          <w:szCs w:val="24"/>
        </w:rPr>
        <w:t>, MP</w:t>
      </w:r>
      <w:r w:rsidR="009A3BFF" w:rsidRPr="009A3BFF">
        <w:rPr>
          <w:color w:val="000000" w:themeColor="text1"/>
          <w:szCs w:val="24"/>
        </w:rPr>
        <w:t>.</w:t>
      </w:r>
    </w:p>
    <w:p w14:paraId="2EABAF24" w14:textId="3918BC84" w:rsidR="00BE40C4" w:rsidRPr="00BE40C4" w:rsidRDefault="0027466D" w:rsidP="0027466D">
      <w:pPr>
        <w:pStyle w:val="RetiefPleadingpara1"/>
        <w:numPr>
          <w:ilvl w:val="0"/>
          <w:numId w:val="0"/>
        </w:numPr>
        <w:tabs>
          <w:tab w:val="left" w:pos="851"/>
        </w:tabs>
        <w:spacing w:before="480" w:after="480"/>
        <w:rPr>
          <w:color w:val="000000" w:themeColor="text1"/>
          <w:szCs w:val="24"/>
          <w:u w:val="single"/>
        </w:rPr>
      </w:pPr>
      <w:r w:rsidRPr="00BE40C4">
        <w:rPr>
          <w:szCs w:val="24"/>
        </w:rPr>
        <w:t>[66]</w:t>
      </w:r>
      <w:r w:rsidRPr="00BE40C4">
        <w:rPr>
          <w:szCs w:val="24"/>
        </w:rPr>
        <w:tab/>
      </w:r>
      <w:r w:rsidR="00257AC8" w:rsidRPr="009A3BFF">
        <w:rPr>
          <w:color w:val="000000" w:themeColor="text1"/>
          <w:szCs w:val="24"/>
        </w:rPr>
        <w:t>Th</w:t>
      </w:r>
      <w:r w:rsidR="004177DB" w:rsidRPr="009A3BFF">
        <w:rPr>
          <w:color w:val="000000" w:themeColor="text1"/>
          <w:szCs w:val="24"/>
        </w:rPr>
        <w:t>e 2018 delegation</w:t>
      </w:r>
      <w:r w:rsidR="00257AC8" w:rsidRPr="009A3BFF">
        <w:rPr>
          <w:color w:val="000000" w:themeColor="text1"/>
          <w:szCs w:val="24"/>
        </w:rPr>
        <w:t xml:space="preserve"> effectively took the sting out of </w:t>
      </w:r>
      <w:r w:rsidR="003B32CC" w:rsidRPr="009A3BFF">
        <w:rPr>
          <w:color w:val="000000" w:themeColor="text1"/>
          <w:szCs w:val="24"/>
        </w:rPr>
        <w:t>AMIE</w:t>
      </w:r>
      <w:r w:rsidR="00257AC8" w:rsidRPr="009A3BFF">
        <w:rPr>
          <w:color w:val="000000" w:themeColor="text1"/>
          <w:szCs w:val="24"/>
        </w:rPr>
        <w:t xml:space="preserve">’s initial authority challenge on the papers. </w:t>
      </w:r>
      <w:r w:rsidR="004177DB" w:rsidRPr="009A3BFF">
        <w:rPr>
          <w:color w:val="000000" w:themeColor="text1"/>
          <w:szCs w:val="24"/>
        </w:rPr>
        <w:t xml:space="preserve">In consequence, </w:t>
      </w:r>
      <w:r w:rsidR="00257AC8" w:rsidRPr="009A3BFF">
        <w:rPr>
          <w:color w:val="000000" w:themeColor="text1"/>
          <w:szCs w:val="24"/>
        </w:rPr>
        <w:t xml:space="preserve">AMIE </w:t>
      </w:r>
      <w:r w:rsidR="004177DB" w:rsidRPr="009A3BFF">
        <w:rPr>
          <w:color w:val="000000" w:themeColor="text1"/>
          <w:szCs w:val="24"/>
        </w:rPr>
        <w:t>advanc</w:t>
      </w:r>
      <w:r w:rsidR="009A3BFF" w:rsidRPr="009A3BFF">
        <w:rPr>
          <w:color w:val="000000" w:themeColor="text1"/>
          <w:szCs w:val="24"/>
        </w:rPr>
        <w:t>ed</w:t>
      </w:r>
      <w:r w:rsidR="004177DB" w:rsidRPr="009A3BFF">
        <w:rPr>
          <w:color w:val="000000" w:themeColor="text1"/>
          <w:szCs w:val="24"/>
        </w:rPr>
        <w:t xml:space="preserve"> two further challenges </w:t>
      </w:r>
      <w:r w:rsidR="00257AC8" w:rsidRPr="009A3BFF">
        <w:rPr>
          <w:color w:val="000000" w:themeColor="text1"/>
          <w:szCs w:val="24"/>
        </w:rPr>
        <w:t>in argument</w:t>
      </w:r>
      <w:r w:rsidR="00BE40C4">
        <w:rPr>
          <w:color w:val="000000" w:themeColor="text1"/>
          <w:szCs w:val="24"/>
        </w:rPr>
        <w:t xml:space="preserve">. Although SAPA correctly challenged the permissibility of such challenges, </w:t>
      </w:r>
      <w:r w:rsidR="00E46907">
        <w:rPr>
          <w:color w:val="000000" w:themeColor="text1"/>
          <w:szCs w:val="24"/>
        </w:rPr>
        <w:t xml:space="preserve">all </w:t>
      </w:r>
      <w:r w:rsidR="00BE40C4">
        <w:rPr>
          <w:color w:val="000000" w:themeColor="text1"/>
          <w:szCs w:val="24"/>
        </w:rPr>
        <w:t xml:space="preserve">the parties recognised </w:t>
      </w:r>
      <w:r w:rsidR="00E46907">
        <w:rPr>
          <w:color w:val="000000" w:themeColor="text1"/>
          <w:szCs w:val="24"/>
        </w:rPr>
        <w:t xml:space="preserve">that </w:t>
      </w:r>
      <w:r w:rsidR="00BE40C4">
        <w:rPr>
          <w:color w:val="000000" w:themeColor="text1"/>
          <w:szCs w:val="24"/>
        </w:rPr>
        <w:t xml:space="preserve">to deal with this issue was pivotal in that a </w:t>
      </w:r>
      <w:r w:rsidR="00DF4A62">
        <w:rPr>
          <w:color w:val="000000" w:themeColor="text1"/>
          <w:szCs w:val="24"/>
        </w:rPr>
        <w:t>C</w:t>
      </w:r>
      <w:r w:rsidR="00BE40C4">
        <w:rPr>
          <w:color w:val="000000" w:themeColor="text1"/>
          <w:szCs w:val="24"/>
        </w:rPr>
        <w:t xml:space="preserve">ourt </w:t>
      </w:r>
      <w:r w:rsidR="007F661C">
        <w:rPr>
          <w:color w:val="000000" w:themeColor="text1"/>
          <w:szCs w:val="24"/>
        </w:rPr>
        <w:t>is</w:t>
      </w:r>
      <w:r w:rsidR="00BE40C4">
        <w:rPr>
          <w:color w:val="000000" w:themeColor="text1"/>
          <w:szCs w:val="24"/>
        </w:rPr>
        <w:t xml:space="preserve"> enjoined to set aside an administrative action which was performed by a functionary without authority to do so. </w:t>
      </w:r>
    </w:p>
    <w:p w14:paraId="391053F4" w14:textId="3068A1ED" w:rsidR="00257AC8" w:rsidRPr="009A3BFF" w:rsidRDefault="0027466D" w:rsidP="0027466D">
      <w:pPr>
        <w:pStyle w:val="RetiefPleadingpara1"/>
        <w:numPr>
          <w:ilvl w:val="0"/>
          <w:numId w:val="0"/>
        </w:numPr>
        <w:tabs>
          <w:tab w:val="left" w:pos="851"/>
        </w:tabs>
        <w:spacing w:before="480" w:after="480"/>
        <w:rPr>
          <w:color w:val="000000" w:themeColor="text1"/>
          <w:szCs w:val="24"/>
          <w:u w:val="single"/>
        </w:rPr>
      </w:pPr>
      <w:r w:rsidRPr="009A3BFF">
        <w:rPr>
          <w:szCs w:val="24"/>
        </w:rPr>
        <w:t>[67]</w:t>
      </w:r>
      <w:r w:rsidRPr="009A3BFF">
        <w:rPr>
          <w:szCs w:val="24"/>
        </w:rPr>
        <w:tab/>
      </w:r>
      <w:r w:rsidR="00DC3597">
        <w:rPr>
          <w:color w:val="000000" w:themeColor="text1"/>
          <w:szCs w:val="24"/>
        </w:rPr>
        <w:t>AMIE</w:t>
      </w:r>
      <w:r w:rsidR="00BE40C4">
        <w:rPr>
          <w:color w:val="000000" w:themeColor="text1"/>
          <w:szCs w:val="24"/>
        </w:rPr>
        <w:t xml:space="preserve">’s </w:t>
      </w:r>
      <w:r w:rsidR="009A3BFF" w:rsidRPr="009A3BFF">
        <w:rPr>
          <w:color w:val="000000" w:themeColor="text1"/>
          <w:szCs w:val="24"/>
        </w:rPr>
        <w:t>first</w:t>
      </w:r>
      <w:r w:rsidR="00BE40C4">
        <w:rPr>
          <w:color w:val="000000" w:themeColor="text1"/>
          <w:szCs w:val="24"/>
        </w:rPr>
        <w:t xml:space="preserve"> attack</w:t>
      </w:r>
      <w:r w:rsidR="009A3BFF" w:rsidRPr="009A3BFF">
        <w:rPr>
          <w:color w:val="000000" w:themeColor="text1"/>
          <w:szCs w:val="24"/>
        </w:rPr>
        <w:t xml:space="preserve"> </w:t>
      </w:r>
      <w:r w:rsidR="007F661C">
        <w:rPr>
          <w:color w:val="000000" w:themeColor="text1"/>
          <w:szCs w:val="24"/>
        </w:rPr>
        <w:t xml:space="preserve">on authority </w:t>
      </w:r>
      <w:r w:rsidR="00BE40C4">
        <w:rPr>
          <w:color w:val="000000" w:themeColor="text1"/>
          <w:szCs w:val="24"/>
        </w:rPr>
        <w:t>was</w:t>
      </w:r>
      <w:r w:rsidR="009A3BFF">
        <w:rPr>
          <w:color w:val="000000" w:themeColor="text1"/>
          <w:szCs w:val="24"/>
        </w:rPr>
        <w:t xml:space="preserve"> </w:t>
      </w:r>
      <w:r w:rsidR="004177DB" w:rsidRPr="009A3BFF">
        <w:rPr>
          <w:color w:val="000000" w:themeColor="text1"/>
          <w:szCs w:val="24"/>
        </w:rPr>
        <w:t>that the 2018 delegation</w:t>
      </w:r>
      <w:r w:rsidR="00BE40C4">
        <w:rPr>
          <w:color w:val="000000" w:themeColor="text1"/>
          <w:szCs w:val="24"/>
        </w:rPr>
        <w:t xml:space="preserve"> by its wording,</w:t>
      </w:r>
      <w:r w:rsidR="00257AC8" w:rsidRPr="009A3BFF">
        <w:rPr>
          <w:color w:val="000000" w:themeColor="text1"/>
          <w:szCs w:val="24"/>
        </w:rPr>
        <w:t xml:space="preserve"> limited </w:t>
      </w:r>
      <w:r w:rsidR="004177DB" w:rsidRPr="009A3BFF">
        <w:rPr>
          <w:color w:val="000000" w:themeColor="text1"/>
          <w:szCs w:val="24"/>
        </w:rPr>
        <w:t>the Deputy Minister’s duties</w:t>
      </w:r>
      <w:r w:rsidR="00BE40C4">
        <w:rPr>
          <w:color w:val="000000" w:themeColor="text1"/>
          <w:szCs w:val="24"/>
        </w:rPr>
        <w:t xml:space="preserve"> by reference, namely</w:t>
      </w:r>
      <w:r w:rsidR="004177DB" w:rsidRPr="009A3BFF">
        <w:rPr>
          <w:color w:val="000000" w:themeColor="text1"/>
          <w:szCs w:val="24"/>
        </w:rPr>
        <w:t>:</w:t>
      </w:r>
      <w:r w:rsidR="00257AC8" w:rsidRPr="009A3BFF">
        <w:rPr>
          <w:color w:val="000000" w:themeColor="text1"/>
          <w:szCs w:val="24"/>
        </w:rPr>
        <w:t xml:space="preserve"> “</w:t>
      </w:r>
      <w:r w:rsidR="00257AC8" w:rsidRPr="009A3BFF">
        <w:rPr>
          <w:i/>
          <w:iCs/>
          <w:color w:val="000000" w:themeColor="text1"/>
          <w:szCs w:val="24"/>
        </w:rPr>
        <w:t xml:space="preserve">duties referred to in </w:t>
      </w:r>
      <w:r w:rsidR="0037434F" w:rsidRPr="009A3BFF">
        <w:rPr>
          <w:i/>
          <w:iCs/>
          <w:color w:val="000000" w:themeColor="text1"/>
          <w:szCs w:val="24"/>
        </w:rPr>
        <w:t>s</w:t>
      </w:r>
      <w:r w:rsidR="00257AC8" w:rsidRPr="009A3BFF">
        <w:rPr>
          <w:i/>
          <w:iCs/>
          <w:color w:val="000000" w:themeColor="text1"/>
          <w:szCs w:val="24"/>
        </w:rPr>
        <w:t>ection 57</w:t>
      </w:r>
      <w:r w:rsidR="00257AC8" w:rsidRPr="009A3BFF">
        <w:rPr>
          <w:color w:val="000000" w:themeColor="text1"/>
          <w:szCs w:val="24"/>
        </w:rPr>
        <w:t>”</w:t>
      </w:r>
      <w:r w:rsidR="00257AC8" w:rsidRPr="009A3BFF">
        <w:rPr>
          <w:rStyle w:val="FootnoteReference"/>
          <w:color w:val="000000" w:themeColor="text1"/>
          <w:szCs w:val="24"/>
        </w:rPr>
        <w:footnoteReference w:id="26"/>
      </w:r>
      <w:r w:rsidR="00257AC8" w:rsidRPr="009A3BFF">
        <w:rPr>
          <w:color w:val="000000" w:themeColor="text1"/>
          <w:szCs w:val="24"/>
        </w:rPr>
        <w:t xml:space="preserve"> </w:t>
      </w:r>
      <w:r w:rsidR="00BE40C4">
        <w:rPr>
          <w:color w:val="000000" w:themeColor="text1"/>
          <w:szCs w:val="24"/>
        </w:rPr>
        <w:t xml:space="preserve">only </w:t>
      </w:r>
      <w:r w:rsidR="00257AC8" w:rsidRPr="009A3BFF">
        <w:rPr>
          <w:color w:val="000000" w:themeColor="text1"/>
          <w:szCs w:val="24"/>
        </w:rPr>
        <w:t xml:space="preserve">and not </w:t>
      </w:r>
      <w:r w:rsidR="004177DB" w:rsidRPr="009A3BFF">
        <w:rPr>
          <w:color w:val="000000" w:themeColor="text1"/>
          <w:szCs w:val="24"/>
        </w:rPr>
        <w:t xml:space="preserve">duties referred to in </w:t>
      </w:r>
      <w:r w:rsidR="00533BC5">
        <w:rPr>
          <w:color w:val="000000" w:themeColor="text1"/>
          <w:szCs w:val="24"/>
        </w:rPr>
        <w:t xml:space="preserve">section </w:t>
      </w:r>
      <w:r w:rsidR="00257AC8" w:rsidRPr="009A3BFF">
        <w:rPr>
          <w:color w:val="000000" w:themeColor="text1"/>
          <w:szCs w:val="24"/>
        </w:rPr>
        <w:t>56</w:t>
      </w:r>
      <w:r w:rsidR="00533BC5">
        <w:rPr>
          <w:color w:val="000000" w:themeColor="text1"/>
          <w:szCs w:val="24"/>
        </w:rPr>
        <w:t>,</w:t>
      </w:r>
      <w:r w:rsidR="00257AC8" w:rsidRPr="009A3BFF">
        <w:rPr>
          <w:rStyle w:val="FootnoteReference"/>
          <w:color w:val="000000" w:themeColor="text1"/>
          <w:szCs w:val="24"/>
        </w:rPr>
        <w:footnoteReference w:id="27"/>
      </w:r>
      <w:r w:rsidR="00257AC8" w:rsidRPr="009A3BFF">
        <w:rPr>
          <w:color w:val="000000" w:themeColor="text1"/>
          <w:szCs w:val="24"/>
        </w:rPr>
        <w:t xml:space="preserve"> </w:t>
      </w:r>
      <w:r w:rsidR="004177DB" w:rsidRPr="009A3BFF">
        <w:rPr>
          <w:color w:val="000000" w:themeColor="text1"/>
          <w:szCs w:val="24"/>
        </w:rPr>
        <w:t>which</w:t>
      </w:r>
      <w:r w:rsidR="00257AC8" w:rsidRPr="009A3BFF">
        <w:rPr>
          <w:color w:val="000000" w:themeColor="text1"/>
          <w:szCs w:val="24"/>
        </w:rPr>
        <w:t xml:space="preserve"> </w:t>
      </w:r>
      <w:r w:rsidR="009A3BFF" w:rsidRPr="009A3BFF">
        <w:rPr>
          <w:color w:val="000000" w:themeColor="text1"/>
          <w:szCs w:val="24"/>
        </w:rPr>
        <w:t xml:space="preserve">in fact </w:t>
      </w:r>
      <w:r w:rsidR="00BE40C4">
        <w:rPr>
          <w:color w:val="000000" w:themeColor="text1"/>
          <w:szCs w:val="24"/>
        </w:rPr>
        <w:t>were r</w:t>
      </w:r>
      <w:r w:rsidR="009A3BFF" w:rsidRPr="009A3BFF">
        <w:rPr>
          <w:color w:val="000000" w:themeColor="text1"/>
          <w:szCs w:val="24"/>
        </w:rPr>
        <w:t>equired</w:t>
      </w:r>
      <w:r w:rsidR="004177DB" w:rsidRPr="009A3BFF">
        <w:rPr>
          <w:color w:val="000000" w:themeColor="text1"/>
          <w:szCs w:val="24"/>
        </w:rPr>
        <w:t xml:space="preserve"> [limited delegation]</w:t>
      </w:r>
      <w:r w:rsidR="00257AC8" w:rsidRPr="009A3BFF">
        <w:rPr>
          <w:color w:val="000000" w:themeColor="text1"/>
          <w:szCs w:val="24"/>
        </w:rPr>
        <w:t>.</w:t>
      </w:r>
      <w:r w:rsidR="007F661C">
        <w:rPr>
          <w:color w:val="000000" w:themeColor="text1"/>
          <w:szCs w:val="24"/>
        </w:rPr>
        <w:t xml:space="preserve"> </w:t>
      </w:r>
      <w:r w:rsidR="00DC3597">
        <w:rPr>
          <w:color w:val="000000" w:themeColor="text1"/>
          <w:szCs w:val="24"/>
        </w:rPr>
        <w:t>AMIE</w:t>
      </w:r>
      <w:r w:rsidR="007F661C">
        <w:rPr>
          <w:color w:val="000000" w:themeColor="text1"/>
          <w:szCs w:val="24"/>
        </w:rPr>
        <w:t xml:space="preserve">’s second attack was on the </w:t>
      </w:r>
      <w:r w:rsidR="00DF4A62">
        <w:rPr>
          <w:color w:val="000000" w:themeColor="text1"/>
          <w:szCs w:val="24"/>
        </w:rPr>
        <w:t xml:space="preserve">Deputy </w:t>
      </w:r>
      <w:r w:rsidR="007F661C">
        <w:rPr>
          <w:color w:val="000000" w:themeColor="text1"/>
          <w:szCs w:val="24"/>
        </w:rPr>
        <w:t>Minister’s lack of power to make the decision by rely</w:t>
      </w:r>
      <w:r w:rsidR="00533BC5">
        <w:rPr>
          <w:color w:val="000000" w:themeColor="text1"/>
          <w:szCs w:val="24"/>
        </w:rPr>
        <w:t>ing</w:t>
      </w:r>
      <w:r w:rsidR="007F661C">
        <w:rPr>
          <w:color w:val="000000" w:themeColor="text1"/>
          <w:szCs w:val="24"/>
        </w:rPr>
        <w:t xml:space="preserve"> </w:t>
      </w:r>
      <w:r w:rsidR="009A3BFF" w:rsidRPr="009A3BFF">
        <w:rPr>
          <w:color w:val="000000" w:themeColor="text1"/>
          <w:szCs w:val="24"/>
        </w:rPr>
        <w:t>on</w:t>
      </w:r>
      <w:r w:rsidR="004177DB" w:rsidRPr="009A3BFF">
        <w:rPr>
          <w:color w:val="000000" w:themeColor="text1"/>
          <w:szCs w:val="24"/>
        </w:rPr>
        <w:t xml:space="preserve"> </w:t>
      </w:r>
      <w:r w:rsidR="00257AC8" w:rsidRPr="009A3BFF">
        <w:rPr>
          <w:color w:val="000000" w:themeColor="text1"/>
          <w:szCs w:val="24"/>
        </w:rPr>
        <w:t xml:space="preserve">section 55(2) of the repealed </w:t>
      </w:r>
      <w:r w:rsidR="002B3BC3" w:rsidRPr="009A3BFF">
        <w:rPr>
          <w:color w:val="000000" w:themeColor="text1"/>
          <w:szCs w:val="24"/>
        </w:rPr>
        <w:t>Customs</w:t>
      </w:r>
      <w:r w:rsidR="00257AC8" w:rsidRPr="009A3BFF">
        <w:rPr>
          <w:color w:val="000000" w:themeColor="text1"/>
          <w:szCs w:val="24"/>
        </w:rPr>
        <w:t xml:space="preserve"> Ac</w:t>
      </w:r>
      <w:r w:rsidR="002B3BC3" w:rsidRPr="009A3BFF">
        <w:rPr>
          <w:color w:val="000000" w:themeColor="text1"/>
          <w:szCs w:val="24"/>
        </w:rPr>
        <w:t>t</w:t>
      </w:r>
      <w:r w:rsidR="00257AC8" w:rsidRPr="009A3BFF">
        <w:rPr>
          <w:color w:val="000000" w:themeColor="text1"/>
          <w:szCs w:val="24"/>
        </w:rPr>
        <w:t xml:space="preserve"> of 2006</w:t>
      </w:r>
      <w:r w:rsidR="004177DB" w:rsidRPr="009A3BFF">
        <w:rPr>
          <w:color w:val="000000" w:themeColor="text1"/>
          <w:szCs w:val="24"/>
        </w:rPr>
        <w:t xml:space="preserve"> [section 55(2) challenge].</w:t>
      </w:r>
      <w:r w:rsidR="00257AC8" w:rsidRPr="009A3BFF">
        <w:rPr>
          <w:color w:val="000000" w:themeColor="text1"/>
          <w:szCs w:val="24"/>
        </w:rPr>
        <w:t xml:space="preserve"> </w:t>
      </w:r>
    </w:p>
    <w:p w14:paraId="60F39EF7" w14:textId="1B72B495" w:rsidR="004177DB" w:rsidRPr="007F661C" w:rsidRDefault="007F661C" w:rsidP="00730E6D">
      <w:pPr>
        <w:pStyle w:val="RetiefPleadingpara1"/>
        <w:numPr>
          <w:ilvl w:val="0"/>
          <w:numId w:val="0"/>
        </w:numPr>
        <w:spacing w:before="480" w:after="480"/>
        <w:rPr>
          <w:i/>
          <w:iCs/>
          <w:color w:val="000000" w:themeColor="text1"/>
          <w:szCs w:val="24"/>
          <w:u w:val="single"/>
        </w:rPr>
      </w:pPr>
      <w:r w:rsidRPr="007F661C">
        <w:rPr>
          <w:i/>
          <w:iCs/>
          <w:color w:val="000000" w:themeColor="text1"/>
          <w:szCs w:val="24"/>
          <w:u w:val="single"/>
        </w:rPr>
        <w:t xml:space="preserve">Did the Deputy Minister possess </w:t>
      </w:r>
      <w:r w:rsidR="009A3BFF" w:rsidRPr="007F661C">
        <w:rPr>
          <w:i/>
          <w:iCs/>
          <w:color w:val="000000" w:themeColor="text1"/>
          <w:szCs w:val="24"/>
          <w:u w:val="single"/>
        </w:rPr>
        <w:t>authority</w:t>
      </w:r>
      <w:r w:rsidR="00CB626B">
        <w:rPr>
          <w:i/>
          <w:iCs/>
          <w:color w:val="000000" w:themeColor="text1"/>
          <w:szCs w:val="24"/>
          <w:u w:val="single"/>
        </w:rPr>
        <w:t xml:space="preserve"> to perform the function</w:t>
      </w:r>
      <w:r w:rsidRPr="00533BC5">
        <w:rPr>
          <w:i/>
          <w:iCs/>
          <w:color w:val="000000" w:themeColor="text1"/>
          <w:szCs w:val="24"/>
        </w:rPr>
        <w:t>?</w:t>
      </w:r>
    </w:p>
    <w:p w14:paraId="43AFDDDD" w14:textId="5E3EF5CD" w:rsidR="00257AC8" w:rsidRPr="00573878" w:rsidRDefault="0027466D" w:rsidP="0027466D">
      <w:pPr>
        <w:pStyle w:val="RetiefPleadingpara1"/>
        <w:numPr>
          <w:ilvl w:val="0"/>
          <w:numId w:val="0"/>
        </w:numPr>
        <w:tabs>
          <w:tab w:val="left" w:pos="851"/>
        </w:tabs>
        <w:spacing w:before="480" w:after="480"/>
        <w:rPr>
          <w:szCs w:val="24"/>
        </w:rPr>
      </w:pPr>
      <w:r w:rsidRPr="00573878">
        <w:rPr>
          <w:szCs w:val="24"/>
        </w:rPr>
        <w:t>[68]</w:t>
      </w:r>
      <w:r w:rsidRPr="00573878">
        <w:rPr>
          <w:szCs w:val="24"/>
        </w:rPr>
        <w:tab/>
      </w:r>
      <w:r w:rsidR="00C217FD" w:rsidRPr="004177DB">
        <w:rPr>
          <w:szCs w:val="24"/>
        </w:rPr>
        <w:t xml:space="preserve">The thrust of </w:t>
      </w:r>
      <w:r w:rsidR="00A65DEF">
        <w:rPr>
          <w:szCs w:val="24"/>
        </w:rPr>
        <w:t xml:space="preserve">the limited delegation </w:t>
      </w:r>
      <w:r w:rsidR="00257AC8" w:rsidRPr="004177DB">
        <w:rPr>
          <w:szCs w:val="24"/>
        </w:rPr>
        <w:t>challenge</w:t>
      </w:r>
      <w:r w:rsidR="00C217FD" w:rsidRPr="004177DB">
        <w:rPr>
          <w:szCs w:val="24"/>
        </w:rPr>
        <w:t xml:space="preserve"> centred around two</w:t>
      </w:r>
      <w:r w:rsidR="00730E6D">
        <w:rPr>
          <w:szCs w:val="24"/>
        </w:rPr>
        <w:t xml:space="preserve"> </w:t>
      </w:r>
      <w:r w:rsidR="00C217FD" w:rsidRPr="004177DB">
        <w:rPr>
          <w:szCs w:val="24"/>
        </w:rPr>
        <w:t>documents</w:t>
      </w:r>
      <w:r w:rsidR="009A3BFF">
        <w:rPr>
          <w:szCs w:val="24"/>
        </w:rPr>
        <w:t xml:space="preserve"> </w:t>
      </w:r>
      <w:r w:rsidR="007F661C">
        <w:rPr>
          <w:szCs w:val="24"/>
        </w:rPr>
        <w:t xml:space="preserve">which were </w:t>
      </w:r>
      <w:r w:rsidR="009A3BFF">
        <w:rPr>
          <w:szCs w:val="24"/>
        </w:rPr>
        <w:t>directed to the Deputy</w:t>
      </w:r>
      <w:r w:rsidR="007F661C">
        <w:rPr>
          <w:szCs w:val="24"/>
        </w:rPr>
        <w:t xml:space="preserve"> </w:t>
      </w:r>
      <w:r w:rsidR="009A3BFF">
        <w:rPr>
          <w:szCs w:val="24"/>
        </w:rPr>
        <w:t>Minister by reference.</w:t>
      </w:r>
      <w:r w:rsidR="00C217FD" w:rsidRPr="004177DB">
        <w:rPr>
          <w:szCs w:val="24"/>
        </w:rPr>
        <w:t xml:space="preserve"> </w:t>
      </w:r>
      <w:r w:rsidR="00C217FD" w:rsidRPr="00573878">
        <w:rPr>
          <w:szCs w:val="24"/>
        </w:rPr>
        <w:t>The first document was a letter dated 4 August 2021 authored by the Trade Minister</w:t>
      </w:r>
      <w:r w:rsidR="009A3BFF" w:rsidRPr="00573878">
        <w:rPr>
          <w:szCs w:val="24"/>
        </w:rPr>
        <w:t xml:space="preserve"> </w:t>
      </w:r>
      <w:r w:rsidR="00257AC8" w:rsidRPr="00573878">
        <w:rPr>
          <w:szCs w:val="24"/>
        </w:rPr>
        <w:t>[</w:t>
      </w:r>
      <w:r w:rsidR="00C217FD" w:rsidRPr="00573878">
        <w:rPr>
          <w:szCs w:val="24"/>
        </w:rPr>
        <w:t xml:space="preserve">the </w:t>
      </w:r>
      <w:r w:rsidR="00C217FD" w:rsidRPr="00573878">
        <w:rPr>
          <w:szCs w:val="24"/>
        </w:rPr>
        <w:lastRenderedPageBreak/>
        <w:t>Trade Minister</w:t>
      </w:r>
      <w:r w:rsidR="004177DB" w:rsidRPr="00573878">
        <w:rPr>
          <w:szCs w:val="24"/>
        </w:rPr>
        <w:t>’s letter</w:t>
      </w:r>
      <w:r w:rsidR="00257AC8" w:rsidRPr="00573878">
        <w:rPr>
          <w:szCs w:val="24"/>
        </w:rPr>
        <w:t>]</w:t>
      </w:r>
      <w:r w:rsidR="009A3BFF" w:rsidRPr="00573878">
        <w:rPr>
          <w:szCs w:val="24"/>
        </w:rPr>
        <w:t>. The second document was</w:t>
      </w:r>
      <w:r w:rsidR="00257AC8" w:rsidRPr="00573878">
        <w:rPr>
          <w:szCs w:val="24"/>
        </w:rPr>
        <w:t xml:space="preserve"> a </w:t>
      </w:r>
      <w:r w:rsidR="00A65DEF">
        <w:rPr>
          <w:szCs w:val="24"/>
        </w:rPr>
        <w:t xml:space="preserve">SARS </w:t>
      </w:r>
      <w:r w:rsidR="00C217FD" w:rsidRPr="00573878">
        <w:rPr>
          <w:szCs w:val="24"/>
        </w:rPr>
        <w:t xml:space="preserve">memorandum dated 16 August 2021 </w:t>
      </w:r>
      <w:r w:rsidR="00257AC8" w:rsidRPr="00573878">
        <w:rPr>
          <w:szCs w:val="24"/>
        </w:rPr>
        <w:t>[</w:t>
      </w:r>
      <w:r w:rsidR="00C217FD" w:rsidRPr="00573878">
        <w:rPr>
          <w:szCs w:val="24"/>
        </w:rPr>
        <w:t>SARS letter</w:t>
      </w:r>
      <w:r w:rsidR="00257AC8" w:rsidRPr="00573878">
        <w:rPr>
          <w:szCs w:val="24"/>
        </w:rPr>
        <w:t>].</w:t>
      </w:r>
    </w:p>
    <w:p w14:paraId="7427FF39" w14:textId="281C3C38" w:rsidR="00C217FD" w:rsidRPr="007F661C" w:rsidRDefault="0027466D" w:rsidP="0027466D">
      <w:pPr>
        <w:pStyle w:val="RetiefPleadingpara1"/>
        <w:numPr>
          <w:ilvl w:val="0"/>
          <w:numId w:val="0"/>
        </w:numPr>
        <w:tabs>
          <w:tab w:val="left" w:pos="851"/>
        </w:tabs>
        <w:spacing w:before="480" w:after="480"/>
        <w:rPr>
          <w:szCs w:val="24"/>
        </w:rPr>
      </w:pPr>
      <w:r w:rsidRPr="007F661C">
        <w:rPr>
          <w:szCs w:val="24"/>
        </w:rPr>
        <w:t>[69]</w:t>
      </w:r>
      <w:r w:rsidRPr="007F661C">
        <w:rPr>
          <w:szCs w:val="24"/>
        </w:rPr>
        <w:tab/>
      </w:r>
      <w:r w:rsidR="00257AC8" w:rsidRPr="00554A70">
        <w:rPr>
          <w:szCs w:val="24"/>
        </w:rPr>
        <w:t>B</w:t>
      </w:r>
      <w:r w:rsidR="00C217FD" w:rsidRPr="00554A70">
        <w:rPr>
          <w:szCs w:val="24"/>
        </w:rPr>
        <w:t>oth document</w:t>
      </w:r>
      <w:r w:rsidR="004A2DD5" w:rsidRPr="00554A70">
        <w:rPr>
          <w:szCs w:val="24"/>
        </w:rPr>
        <w:t>s</w:t>
      </w:r>
      <w:r w:rsidR="00C217FD" w:rsidRPr="00554A70">
        <w:rPr>
          <w:szCs w:val="24"/>
        </w:rPr>
        <w:t xml:space="preserve"> deal</w:t>
      </w:r>
      <w:r w:rsidR="009A3BFF">
        <w:rPr>
          <w:szCs w:val="24"/>
        </w:rPr>
        <w:t>t</w:t>
      </w:r>
      <w:r w:rsidR="00C217FD" w:rsidRPr="00554A70">
        <w:rPr>
          <w:szCs w:val="24"/>
        </w:rPr>
        <w:t xml:space="preserve"> with the same subject matter, namely</w:t>
      </w:r>
      <w:r w:rsidR="00573878">
        <w:rPr>
          <w:szCs w:val="24"/>
        </w:rPr>
        <w:t xml:space="preserve"> ITAC’s</w:t>
      </w:r>
      <w:r w:rsidR="001070B8">
        <w:rPr>
          <w:szCs w:val="24"/>
        </w:rPr>
        <w:t xml:space="preserve"> </w:t>
      </w:r>
      <w:r w:rsidR="00224313">
        <w:rPr>
          <w:i/>
          <w:iCs/>
          <w:szCs w:val="24"/>
        </w:rPr>
        <w:t>“</w:t>
      </w:r>
      <w:r w:rsidR="00573878">
        <w:rPr>
          <w:i/>
          <w:iCs/>
          <w:szCs w:val="24"/>
        </w:rPr>
        <w:t>report No. 666, the sunset review</w:t>
      </w:r>
      <w:r w:rsidR="00224313">
        <w:rPr>
          <w:i/>
          <w:iCs/>
          <w:szCs w:val="24"/>
        </w:rPr>
        <w:t>”</w:t>
      </w:r>
      <w:r w:rsidR="00573878">
        <w:rPr>
          <w:i/>
          <w:iCs/>
          <w:szCs w:val="24"/>
        </w:rPr>
        <w:t>.</w:t>
      </w:r>
      <w:r w:rsidR="00C217FD" w:rsidRPr="007F661C">
        <w:rPr>
          <w:i/>
          <w:iCs/>
          <w:szCs w:val="24"/>
        </w:rPr>
        <w:t xml:space="preserve"> </w:t>
      </w:r>
    </w:p>
    <w:p w14:paraId="1842C3CB" w14:textId="4E337BAB" w:rsidR="009A3BFF" w:rsidRDefault="0027466D" w:rsidP="0027466D">
      <w:pPr>
        <w:pStyle w:val="RetiefPleadingpara1"/>
        <w:numPr>
          <w:ilvl w:val="0"/>
          <w:numId w:val="0"/>
        </w:numPr>
        <w:tabs>
          <w:tab w:val="left" w:pos="851"/>
        </w:tabs>
        <w:spacing w:before="480" w:after="480"/>
        <w:rPr>
          <w:szCs w:val="24"/>
        </w:rPr>
      </w:pPr>
      <w:r>
        <w:rPr>
          <w:szCs w:val="24"/>
        </w:rPr>
        <w:t>[70]</w:t>
      </w:r>
      <w:r>
        <w:rPr>
          <w:szCs w:val="24"/>
        </w:rPr>
        <w:tab/>
      </w:r>
      <w:r w:rsidR="00C217FD">
        <w:rPr>
          <w:szCs w:val="24"/>
        </w:rPr>
        <w:t xml:space="preserve">The Trade Minister’s letter </w:t>
      </w:r>
      <w:r w:rsidR="00573878">
        <w:rPr>
          <w:szCs w:val="24"/>
        </w:rPr>
        <w:t>requested t</w:t>
      </w:r>
      <w:r w:rsidR="00C217FD">
        <w:rPr>
          <w:szCs w:val="24"/>
        </w:rPr>
        <w:t>he Deputy Minister</w:t>
      </w:r>
      <w:r w:rsidR="00573878">
        <w:rPr>
          <w:szCs w:val="24"/>
        </w:rPr>
        <w:t xml:space="preserve"> to</w:t>
      </w:r>
      <w:r w:rsidR="00C64061">
        <w:rPr>
          <w:szCs w:val="24"/>
        </w:rPr>
        <w:t>,</w:t>
      </w:r>
      <w:r w:rsidR="00573878">
        <w:rPr>
          <w:szCs w:val="24"/>
        </w:rPr>
        <w:t xml:space="preserve"> in </w:t>
      </w:r>
      <w:r w:rsidR="00C217FD">
        <w:rPr>
          <w:szCs w:val="24"/>
        </w:rPr>
        <w:t xml:space="preserve">terms of </w:t>
      </w:r>
      <w:r w:rsidR="0037434F">
        <w:rPr>
          <w:szCs w:val="24"/>
        </w:rPr>
        <w:t>s</w:t>
      </w:r>
      <w:r w:rsidR="00C217FD">
        <w:rPr>
          <w:szCs w:val="24"/>
        </w:rPr>
        <w:t>ection 56 of the Customs Act</w:t>
      </w:r>
      <w:r w:rsidR="00C64061">
        <w:rPr>
          <w:szCs w:val="24"/>
        </w:rPr>
        <w:t>,</w:t>
      </w:r>
      <w:r w:rsidR="00C1056B">
        <w:rPr>
          <w:rStyle w:val="FootnoteReference"/>
          <w:szCs w:val="24"/>
        </w:rPr>
        <w:footnoteReference w:id="28"/>
      </w:r>
      <w:r w:rsidR="00C217FD">
        <w:rPr>
          <w:szCs w:val="24"/>
        </w:rPr>
        <w:t xml:space="preserve"> amend Schedule 2 to the Act in order to give effect to </w:t>
      </w:r>
      <w:r w:rsidR="00C64061">
        <w:rPr>
          <w:szCs w:val="24"/>
        </w:rPr>
        <w:t xml:space="preserve">his approval of the </w:t>
      </w:r>
      <w:r w:rsidR="00C217FD">
        <w:rPr>
          <w:szCs w:val="24"/>
        </w:rPr>
        <w:t xml:space="preserve">recommendation. </w:t>
      </w:r>
    </w:p>
    <w:p w14:paraId="3B187841" w14:textId="0AF7598F" w:rsidR="00C1056B" w:rsidRDefault="0027466D" w:rsidP="0027466D">
      <w:pPr>
        <w:pStyle w:val="RetiefPleadingpara1"/>
        <w:numPr>
          <w:ilvl w:val="0"/>
          <w:numId w:val="0"/>
        </w:numPr>
        <w:tabs>
          <w:tab w:val="left" w:pos="851"/>
        </w:tabs>
        <w:spacing w:before="480" w:after="480"/>
        <w:rPr>
          <w:szCs w:val="24"/>
        </w:rPr>
      </w:pPr>
      <w:r>
        <w:rPr>
          <w:szCs w:val="24"/>
        </w:rPr>
        <w:t>[71]</w:t>
      </w:r>
      <w:r>
        <w:rPr>
          <w:szCs w:val="24"/>
        </w:rPr>
        <w:tab/>
      </w:r>
      <w:r w:rsidR="009A3BFF">
        <w:rPr>
          <w:szCs w:val="24"/>
        </w:rPr>
        <w:t xml:space="preserve">The </w:t>
      </w:r>
      <w:r w:rsidR="00C217FD" w:rsidRPr="00BC6BCD">
        <w:rPr>
          <w:szCs w:val="24"/>
        </w:rPr>
        <w:t xml:space="preserve">SARS </w:t>
      </w:r>
      <w:r w:rsidR="004177DB">
        <w:rPr>
          <w:szCs w:val="24"/>
        </w:rPr>
        <w:t>letter</w:t>
      </w:r>
      <w:r w:rsidR="009A3BFF">
        <w:rPr>
          <w:szCs w:val="24"/>
        </w:rPr>
        <w:t xml:space="preserve"> </w:t>
      </w:r>
      <w:r w:rsidR="00C64061">
        <w:rPr>
          <w:szCs w:val="24"/>
        </w:rPr>
        <w:t>requested the Deputy Minister to approve and give effect to the request by the Trade Minister</w:t>
      </w:r>
      <w:r w:rsidR="00483751">
        <w:rPr>
          <w:szCs w:val="24"/>
        </w:rPr>
        <w:t xml:space="preserve">. It too, dealt with </w:t>
      </w:r>
      <w:r w:rsidR="00C1056B">
        <w:rPr>
          <w:szCs w:val="24"/>
        </w:rPr>
        <w:t>the legislative framework</w:t>
      </w:r>
      <w:r w:rsidR="00483751">
        <w:rPr>
          <w:szCs w:val="24"/>
        </w:rPr>
        <w:t xml:space="preserve">, informing the Deputy Minister that </w:t>
      </w:r>
      <w:r w:rsidR="00C1056B">
        <w:rPr>
          <w:szCs w:val="24"/>
        </w:rPr>
        <w:t xml:space="preserve">the proposed amendment was </w:t>
      </w:r>
      <w:r w:rsidR="00483751">
        <w:rPr>
          <w:szCs w:val="24"/>
        </w:rPr>
        <w:t xml:space="preserve">to be effected in terms of </w:t>
      </w:r>
      <w:r w:rsidR="00C1056B">
        <w:rPr>
          <w:szCs w:val="24"/>
        </w:rPr>
        <w:t>s</w:t>
      </w:r>
      <w:r w:rsidR="00C1056B" w:rsidRPr="00BC6BCD">
        <w:rPr>
          <w:szCs w:val="24"/>
        </w:rPr>
        <w:t xml:space="preserve">ection 57(1) </w:t>
      </w:r>
      <w:r w:rsidR="00C1056B">
        <w:rPr>
          <w:szCs w:val="24"/>
        </w:rPr>
        <w:t>of the Customs Act</w:t>
      </w:r>
      <w:r w:rsidR="00483751">
        <w:rPr>
          <w:szCs w:val="24"/>
        </w:rPr>
        <w:t>.</w:t>
      </w:r>
      <w:r w:rsidR="00C1056B">
        <w:rPr>
          <w:rStyle w:val="FootnoteReference"/>
          <w:szCs w:val="24"/>
        </w:rPr>
        <w:footnoteReference w:id="29"/>
      </w:r>
      <w:r w:rsidR="00483751">
        <w:rPr>
          <w:szCs w:val="24"/>
        </w:rPr>
        <w:t xml:space="preserve"> SARS referred to</w:t>
      </w:r>
      <w:r w:rsidR="00C1056B">
        <w:rPr>
          <w:szCs w:val="24"/>
        </w:rPr>
        <w:t xml:space="preserve"> the 2018 delegation </w:t>
      </w:r>
      <w:r w:rsidR="00483751">
        <w:rPr>
          <w:szCs w:val="24"/>
        </w:rPr>
        <w:t xml:space="preserve">informing the </w:t>
      </w:r>
      <w:r w:rsidR="00C1056B">
        <w:rPr>
          <w:szCs w:val="24"/>
        </w:rPr>
        <w:t>Deputy</w:t>
      </w:r>
      <w:r w:rsidR="00483751">
        <w:rPr>
          <w:szCs w:val="24"/>
        </w:rPr>
        <w:t xml:space="preserve"> </w:t>
      </w:r>
      <w:r w:rsidR="00C1056B">
        <w:rPr>
          <w:szCs w:val="24"/>
        </w:rPr>
        <w:t xml:space="preserve">Minister </w:t>
      </w:r>
      <w:r w:rsidR="00483751">
        <w:rPr>
          <w:szCs w:val="24"/>
        </w:rPr>
        <w:t>that he was duly authorised t</w:t>
      </w:r>
      <w:r w:rsidR="00C1056B">
        <w:rPr>
          <w:szCs w:val="24"/>
        </w:rPr>
        <w:t xml:space="preserve">o effect </w:t>
      </w:r>
      <w:r w:rsidR="00483751">
        <w:rPr>
          <w:szCs w:val="24"/>
        </w:rPr>
        <w:t>the ministerial amendment. The notice was attached to the SARS letter</w:t>
      </w:r>
      <w:r w:rsidR="00483751">
        <w:rPr>
          <w:rStyle w:val="FootnoteReference"/>
          <w:szCs w:val="24"/>
        </w:rPr>
        <w:footnoteReference w:id="30"/>
      </w:r>
      <w:r w:rsidR="00224313">
        <w:rPr>
          <w:szCs w:val="24"/>
        </w:rPr>
        <w:t xml:space="preserve"> </w:t>
      </w:r>
      <w:r w:rsidR="00483751" w:rsidRPr="00C64061">
        <w:rPr>
          <w:szCs w:val="24"/>
        </w:rPr>
        <w:t>[ministerial notice].</w:t>
      </w:r>
    </w:p>
    <w:p w14:paraId="79F0AD92" w14:textId="36D7AC3C" w:rsidR="009A3BFF" w:rsidRPr="009A3BFF" w:rsidRDefault="0027466D" w:rsidP="0027466D">
      <w:pPr>
        <w:pStyle w:val="RetiefPleadingpara1"/>
        <w:numPr>
          <w:ilvl w:val="0"/>
          <w:numId w:val="0"/>
        </w:numPr>
        <w:tabs>
          <w:tab w:val="left" w:pos="851"/>
        </w:tabs>
        <w:spacing w:before="480" w:after="480"/>
        <w:rPr>
          <w:color w:val="000000" w:themeColor="text1"/>
          <w:szCs w:val="24"/>
        </w:rPr>
      </w:pPr>
      <w:r w:rsidRPr="009A3BFF">
        <w:rPr>
          <w:szCs w:val="24"/>
        </w:rPr>
        <w:t>[72]</w:t>
      </w:r>
      <w:r w:rsidRPr="009A3BFF">
        <w:rPr>
          <w:szCs w:val="24"/>
        </w:rPr>
        <w:tab/>
      </w:r>
      <w:r w:rsidR="009A3BFF" w:rsidRPr="009A3BFF">
        <w:rPr>
          <w:color w:val="000000" w:themeColor="text1"/>
          <w:szCs w:val="24"/>
        </w:rPr>
        <w:t xml:space="preserve">The ministerial notice </w:t>
      </w:r>
      <w:r w:rsidR="00CC2ACA">
        <w:rPr>
          <w:color w:val="000000" w:themeColor="text1"/>
          <w:szCs w:val="24"/>
        </w:rPr>
        <w:t xml:space="preserve">published and eventually signed by the Deputy Minister confirms that he was effecting the ministerial amendment in terms </w:t>
      </w:r>
      <w:r w:rsidR="00C217FD" w:rsidRPr="009A3BFF">
        <w:rPr>
          <w:color w:val="000000" w:themeColor="text1"/>
          <w:szCs w:val="24"/>
        </w:rPr>
        <w:t xml:space="preserve">of </w:t>
      </w:r>
      <w:r w:rsidR="0037434F" w:rsidRPr="009A3BFF">
        <w:rPr>
          <w:color w:val="000000" w:themeColor="text1"/>
          <w:szCs w:val="24"/>
        </w:rPr>
        <w:t>s</w:t>
      </w:r>
      <w:r w:rsidR="00C217FD" w:rsidRPr="009A3BFF">
        <w:rPr>
          <w:color w:val="000000" w:themeColor="text1"/>
          <w:szCs w:val="24"/>
        </w:rPr>
        <w:t>ection 56 of the Customs Act</w:t>
      </w:r>
      <w:r w:rsidR="00C1056B">
        <w:rPr>
          <w:color w:val="000000" w:themeColor="text1"/>
          <w:szCs w:val="24"/>
        </w:rPr>
        <w:t xml:space="preserve">. </w:t>
      </w:r>
    </w:p>
    <w:p w14:paraId="157ADABD" w14:textId="2D4E7B29" w:rsidR="009A3BFF" w:rsidRPr="00CC2ACA" w:rsidRDefault="0027466D" w:rsidP="0027466D">
      <w:pPr>
        <w:pStyle w:val="RetiefPleadingpara1"/>
        <w:numPr>
          <w:ilvl w:val="0"/>
          <w:numId w:val="0"/>
        </w:numPr>
        <w:tabs>
          <w:tab w:val="left" w:pos="851"/>
        </w:tabs>
        <w:spacing w:before="480" w:after="480"/>
        <w:rPr>
          <w:szCs w:val="24"/>
        </w:rPr>
      </w:pPr>
      <w:r w:rsidRPr="00CC2ACA">
        <w:rPr>
          <w:szCs w:val="24"/>
        </w:rPr>
        <w:t>[73]</w:t>
      </w:r>
      <w:r w:rsidRPr="00CC2ACA">
        <w:rPr>
          <w:szCs w:val="24"/>
        </w:rPr>
        <w:tab/>
      </w:r>
      <w:r w:rsidR="009A3BFF">
        <w:rPr>
          <w:szCs w:val="24"/>
        </w:rPr>
        <w:t xml:space="preserve">Notwithstanding the content of the ministerial notice, </w:t>
      </w:r>
      <w:r w:rsidR="00C217FD" w:rsidRPr="00BC6BCD">
        <w:rPr>
          <w:szCs w:val="24"/>
        </w:rPr>
        <w:t>AMIE</w:t>
      </w:r>
      <w:r w:rsidR="009A3BFF">
        <w:rPr>
          <w:szCs w:val="24"/>
        </w:rPr>
        <w:t>’</w:t>
      </w:r>
      <w:r w:rsidR="00CC2ACA">
        <w:rPr>
          <w:szCs w:val="24"/>
        </w:rPr>
        <w:t xml:space="preserve">s authority challenge </w:t>
      </w:r>
      <w:r w:rsidR="00B305E2">
        <w:rPr>
          <w:szCs w:val="24"/>
        </w:rPr>
        <w:t>on the limited delegation, i</w:t>
      </w:r>
      <w:r w:rsidR="00CC2ACA">
        <w:rPr>
          <w:szCs w:val="24"/>
        </w:rPr>
        <w:t xml:space="preserve">s centred around the SARS letter. As I </w:t>
      </w:r>
      <w:r w:rsidR="00CC2ACA">
        <w:rPr>
          <w:szCs w:val="24"/>
        </w:rPr>
        <w:lastRenderedPageBreak/>
        <w:t xml:space="preserve">understand the argument, they contend that as a result of the reference to section 57 instead of section 56 in the SARS letter, </w:t>
      </w:r>
      <w:r w:rsidR="009A3BFF" w:rsidRPr="00CC2ACA">
        <w:rPr>
          <w:szCs w:val="24"/>
        </w:rPr>
        <w:t>the Deputy Minister</w:t>
      </w:r>
      <w:r w:rsidR="00BE7323">
        <w:rPr>
          <w:szCs w:val="24"/>
        </w:rPr>
        <w:t xml:space="preserve">, </w:t>
      </w:r>
      <w:r w:rsidR="009A3BFF" w:rsidRPr="00CC2ACA">
        <w:rPr>
          <w:szCs w:val="24"/>
        </w:rPr>
        <w:t>when signing the ministerial notice, did so</w:t>
      </w:r>
      <w:r w:rsidR="00C217FD" w:rsidRPr="00CC2ACA">
        <w:rPr>
          <w:szCs w:val="24"/>
        </w:rPr>
        <w:t xml:space="preserve"> without consciously appreciating </w:t>
      </w:r>
      <w:r w:rsidR="009A3BFF" w:rsidRPr="00CC2ACA">
        <w:rPr>
          <w:szCs w:val="24"/>
        </w:rPr>
        <w:t>that he had</w:t>
      </w:r>
      <w:r w:rsidR="00C217FD" w:rsidRPr="00CC2ACA">
        <w:rPr>
          <w:szCs w:val="24"/>
        </w:rPr>
        <w:t xml:space="preserve"> </w:t>
      </w:r>
      <w:r w:rsidR="00BE7323">
        <w:rPr>
          <w:szCs w:val="24"/>
        </w:rPr>
        <w:t xml:space="preserve">the </w:t>
      </w:r>
      <w:r w:rsidR="00C217FD" w:rsidRPr="00CC2ACA">
        <w:rPr>
          <w:szCs w:val="24"/>
        </w:rPr>
        <w:t>authority to do so</w:t>
      </w:r>
      <w:r w:rsidR="00CC2ACA">
        <w:rPr>
          <w:szCs w:val="24"/>
        </w:rPr>
        <w:t xml:space="preserve"> in terms of section 56</w:t>
      </w:r>
      <w:r w:rsidR="009A3BFF" w:rsidRPr="00CC2ACA">
        <w:rPr>
          <w:szCs w:val="24"/>
        </w:rPr>
        <w:t xml:space="preserve"> (lack of awareness of </w:t>
      </w:r>
      <w:r w:rsidR="006757D1" w:rsidRPr="00CC2ACA">
        <w:rPr>
          <w:szCs w:val="24"/>
        </w:rPr>
        <w:t>authority</w:t>
      </w:r>
      <w:r w:rsidR="009A3BFF" w:rsidRPr="00CC2ACA">
        <w:rPr>
          <w:szCs w:val="24"/>
        </w:rPr>
        <w:t>)</w:t>
      </w:r>
      <w:r w:rsidR="00C217FD" w:rsidRPr="00CC2ACA">
        <w:rPr>
          <w:szCs w:val="24"/>
        </w:rPr>
        <w:t xml:space="preserve">. </w:t>
      </w:r>
      <w:r w:rsidR="00CC2ACA">
        <w:rPr>
          <w:szCs w:val="24"/>
        </w:rPr>
        <w:t xml:space="preserve">This argument is advanced in the absence of papers filed by the </w:t>
      </w:r>
      <w:r w:rsidR="00DF4A62">
        <w:rPr>
          <w:szCs w:val="24"/>
        </w:rPr>
        <w:t xml:space="preserve">Deputy Minister, the </w:t>
      </w:r>
      <w:r w:rsidR="00CC2ACA">
        <w:rPr>
          <w:szCs w:val="24"/>
        </w:rPr>
        <w:t>Finance Minister</w:t>
      </w:r>
      <w:r w:rsidR="00DF4A62">
        <w:rPr>
          <w:szCs w:val="24"/>
        </w:rPr>
        <w:t>,</w:t>
      </w:r>
      <w:r w:rsidR="00CC2ACA">
        <w:rPr>
          <w:szCs w:val="24"/>
        </w:rPr>
        <w:t xml:space="preserve"> </w:t>
      </w:r>
      <w:r w:rsidR="00DF4A62">
        <w:rPr>
          <w:szCs w:val="24"/>
        </w:rPr>
        <w:t>a concession</w:t>
      </w:r>
      <w:r w:rsidR="00CC2ACA">
        <w:rPr>
          <w:szCs w:val="24"/>
        </w:rPr>
        <w:t xml:space="preserve"> that the 2018 delegation includes </w:t>
      </w:r>
      <w:r w:rsidR="00BE7323">
        <w:rPr>
          <w:szCs w:val="24"/>
        </w:rPr>
        <w:t xml:space="preserve">reference to </w:t>
      </w:r>
      <w:r w:rsidR="00CC2ACA">
        <w:rPr>
          <w:szCs w:val="24"/>
        </w:rPr>
        <w:t xml:space="preserve">section 56 </w:t>
      </w:r>
      <w:r w:rsidR="00BE7323">
        <w:rPr>
          <w:szCs w:val="24"/>
        </w:rPr>
        <w:t>and 57</w:t>
      </w:r>
      <w:r w:rsidR="00DF4A62">
        <w:rPr>
          <w:szCs w:val="24"/>
        </w:rPr>
        <w:t xml:space="preserve"> and the Trade Minister’s request </w:t>
      </w:r>
      <w:r w:rsidR="00CC2ACA">
        <w:rPr>
          <w:szCs w:val="24"/>
        </w:rPr>
        <w:t xml:space="preserve">. </w:t>
      </w:r>
      <w:r w:rsidR="009A3BFF" w:rsidRPr="00CC2ACA">
        <w:rPr>
          <w:szCs w:val="24"/>
        </w:rPr>
        <w:t>In support of the lack of</w:t>
      </w:r>
      <w:r w:rsidR="00C217FD" w:rsidRPr="00CC2ACA">
        <w:rPr>
          <w:szCs w:val="24"/>
        </w:rPr>
        <w:t xml:space="preserve"> awareness of </w:t>
      </w:r>
      <w:r w:rsidR="006757D1" w:rsidRPr="00CC2ACA">
        <w:rPr>
          <w:szCs w:val="24"/>
        </w:rPr>
        <w:t xml:space="preserve">authority </w:t>
      </w:r>
      <w:r w:rsidR="009A3BFF" w:rsidRPr="00CC2ACA">
        <w:rPr>
          <w:szCs w:val="24"/>
        </w:rPr>
        <w:t xml:space="preserve">argument, </w:t>
      </w:r>
      <w:r w:rsidR="00C217FD" w:rsidRPr="00CC2ACA">
        <w:rPr>
          <w:szCs w:val="24"/>
        </w:rPr>
        <w:t>AMIE relie</w:t>
      </w:r>
      <w:r w:rsidR="00CC2ACA">
        <w:rPr>
          <w:szCs w:val="24"/>
        </w:rPr>
        <w:t>d</w:t>
      </w:r>
      <w:r w:rsidR="00C217FD" w:rsidRPr="00CC2ACA">
        <w:rPr>
          <w:szCs w:val="24"/>
        </w:rPr>
        <w:t xml:space="preserve"> on the matter</w:t>
      </w:r>
      <w:r w:rsidR="009A3BFF" w:rsidRPr="00CC2ACA">
        <w:rPr>
          <w:szCs w:val="24"/>
        </w:rPr>
        <w:t>s</w:t>
      </w:r>
      <w:r w:rsidR="00C217FD" w:rsidRPr="00CC2ACA">
        <w:rPr>
          <w:szCs w:val="24"/>
        </w:rPr>
        <w:t xml:space="preserve"> of </w:t>
      </w:r>
      <w:r w:rsidR="00C217FD" w:rsidRPr="00CC2ACA">
        <w:rPr>
          <w:b/>
          <w:bCs/>
          <w:szCs w:val="24"/>
        </w:rPr>
        <w:t>Minister of Education v Harris</w:t>
      </w:r>
      <w:r w:rsidR="00C217FD">
        <w:rPr>
          <w:rStyle w:val="FootnoteReference"/>
          <w:szCs w:val="24"/>
        </w:rPr>
        <w:footnoteReference w:id="31"/>
      </w:r>
      <w:r w:rsidR="00C217FD" w:rsidRPr="00CC2ACA">
        <w:rPr>
          <w:b/>
          <w:bCs/>
          <w:szCs w:val="24"/>
        </w:rPr>
        <w:t xml:space="preserve"> </w:t>
      </w:r>
      <w:r w:rsidR="00C217FD" w:rsidRPr="00CC2ACA">
        <w:rPr>
          <w:szCs w:val="24"/>
        </w:rPr>
        <w:t xml:space="preserve">and the matter of </w:t>
      </w:r>
      <w:r w:rsidR="00C217FD" w:rsidRPr="00CC2ACA">
        <w:rPr>
          <w:b/>
          <w:bCs/>
          <w:szCs w:val="24"/>
        </w:rPr>
        <w:t xml:space="preserve">Liebenberg </w:t>
      </w:r>
      <w:r w:rsidR="00C217FD" w:rsidRPr="00CC2ACA">
        <w:rPr>
          <w:b/>
          <w:bCs/>
          <w:i/>
          <w:iCs/>
          <w:szCs w:val="24"/>
        </w:rPr>
        <w:t>N.O</w:t>
      </w:r>
      <w:r w:rsidR="00C217FD" w:rsidRPr="00CC2ACA">
        <w:rPr>
          <w:b/>
          <w:bCs/>
          <w:szCs w:val="24"/>
        </w:rPr>
        <w:t xml:space="preserve"> and Others v Bergriver Municipality</w:t>
      </w:r>
      <w:r w:rsidR="00224313" w:rsidRPr="00224313">
        <w:rPr>
          <w:szCs w:val="24"/>
        </w:rPr>
        <w:t>.</w:t>
      </w:r>
      <w:r w:rsidR="00C217FD">
        <w:rPr>
          <w:rStyle w:val="FootnoteReference"/>
          <w:szCs w:val="24"/>
        </w:rPr>
        <w:footnoteReference w:id="32"/>
      </w:r>
      <w:r w:rsidR="00C217FD" w:rsidRPr="00CC2ACA">
        <w:rPr>
          <w:szCs w:val="24"/>
        </w:rPr>
        <w:t xml:space="preserve"> </w:t>
      </w:r>
    </w:p>
    <w:p w14:paraId="270D7C60" w14:textId="39B9F08F" w:rsidR="005111E4" w:rsidRDefault="0027466D" w:rsidP="0027466D">
      <w:pPr>
        <w:pStyle w:val="RetiefPleadingpara1"/>
        <w:numPr>
          <w:ilvl w:val="0"/>
          <w:numId w:val="0"/>
        </w:numPr>
        <w:tabs>
          <w:tab w:val="left" w:pos="851"/>
        </w:tabs>
        <w:spacing w:before="480" w:after="480"/>
        <w:rPr>
          <w:szCs w:val="24"/>
        </w:rPr>
      </w:pPr>
      <w:r>
        <w:rPr>
          <w:szCs w:val="24"/>
        </w:rPr>
        <w:t>[74]</w:t>
      </w:r>
      <w:r>
        <w:rPr>
          <w:szCs w:val="24"/>
        </w:rPr>
        <w:tab/>
      </w:r>
      <w:r w:rsidR="005E06AC">
        <w:rPr>
          <w:szCs w:val="24"/>
        </w:rPr>
        <w:t>T</w:t>
      </w:r>
      <w:r w:rsidR="00BE7323">
        <w:rPr>
          <w:szCs w:val="24"/>
        </w:rPr>
        <w:t xml:space="preserve">he </w:t>
      </w:r>
      <w:r w:rsidR="00BE7323" w:rsidRPr="005E06AC">
        <w:rPr>
          <w:b/>
          <w:bCs/>
          <w:szCs w:val="24"/>
        </w:rPr>
        <w:t xml:space="preserve">Harris </w:t>
      </w:r>
      <w:r w:rsidR="00BE7323">
        <w:rPr>
          <w:szCs w:val="24"/>
        </w:rPr>
        <w:t>matter dealt with a challenge of the validity of a notice</w:t>
      </w:r>
      <w:r w:rsidR="005111E4">
        <w:rPr>
          <w:szCs w:val="24"/>
        </w:rPr>
        <w:t xml:space="preserve"> </w:t>
      </w:r>
      <w:r w:rsidR="005E06AC">
        <w:rPr>
          <w:szCs w:val="24"/>
        </w:rPr>
        <w:t xml:space="preserve">on a number of grounds, </w:t>
      </w:r>
      <w:r w:rsidR="00BE7323">
        <w:rPr>
          <w:szCs w:val="24"/>
        </w:rPr>
        <w:t>one being that</w:t>
      </w:r>
      <w:r w:rsidR="005E06AC">
        <w:rPr>
          <w:szCs w:val="24"/>
        </w:rPr>
        <w:t xml:space="preserve"> the notice</w:t>
      </w:r>
      <w:r w:rsidR="00BE7323">
        <w:rPr>
          <w:szCs w:val="24"/>
        </w:rPr>
        <w:t xml:space="preserve"> was </w:t>
      </w:r>
      <w:r w:rsidR="00BE7323" w:rsidRPr="00BE7323">
        <w:rPr>
          <w:i/>
          <w:iCs/>
          <w:szCs w:val="24"/>
        </w:rPr>
        <w:t>ultra vires</w:t>
      </w:r>
      <w:r w:rsidR="00BE7323">
        <w:rPr>
          <w:szCs w:val="24"/>
        </w:rPr>
        <w:t xml:space="preserve"> the Minister’s (Minister of </w:t>
      </w:r>
      <w:r w:rsidR="00E46907">
        <w:rPr>
          <w:szCs w:val="24"/>
        </w:rPr>
        <w:t>E</w:t>
      </w:r>
      <w:r w:rsidR="00BE7323">
        <w:rPr>
          <w:szCs w:val="24"/>
        </w:rPr>
        <w:t>ducation) powers in that</w:t>
      </w:r>
      <w:r w:rsidR="005111E4">
        <w:rPr>
          <w:szCs w:val="24"/>
        </w:rPr>
        <w:t xml:space="preserve">, </w:t>
      </w:r>
      <w:r w:rsidR="00BE7323">
        <w:rPr>
          <w:szCs w:val="24"/>
        </w:rPr>
        <w:t xml:space="preserve">the </w:t>
      </w:r>
      <w:r w:rsidR="00DD011F">
        <w:rPr>
          <w:szCs w:val="24"/>
        </w:rPr>
        <w:t xml:space="preserve">empowering provision relied on by the Minister did not provide the Minister with the </w:t>
      </w:r>
      <w:r w:rsidR="005111E4">
        <w:rPr>
          <w:szCs w:val="24"/>
        </w:rPr>
        <w:t xml:space="preserve">requisite </w:t>
      </w:r>
      <w:r w:rsidR="00DD011F">
        <w:rPr>
          <w:szCs w:val="24"/>
        </w:rPr>
        <w:t xml:space="preserve">power to issue the notice for the manifest </w:t>
      </w:r>
      <w:r w:rsidR="005E06AC">
        <w:rPr>
          <w:szCs w:val="24"/>
        </w:rPr>
        <w:t xml:space="preserve">intended </w:t>
      </w:r>
      <w:r w:rsidR="00DD011F">
        <w:rPr>
          <w:szCs w:val="24"/>
        </w:rPr>
        <w:t xml:space="preserve">purpose. The argument advanced for the Minister </w:t>
      </w:r>
      <w:r w:rsidR="005111E4">
        <w:rPr>
          <w:szCs w:val="24"/>
        </w:rPr>
        <w:t xml:space="preserve">was </w:t>
      </w:r>
      <w:r w:rsidR="00DD011F">
        <w:rPr>
          <w:szCs w:val="24"/>
        </w:rPr>
        <w:t>on the basis of a purported mistake</w:t>
      </w:r>
      <w:r w:rsidR="005E06AC">
        <w:rPr>
          <w:szCs w:val="24"/>
        </w:rPr>
        <w:t xml:space="preserve"> (conscious election enquiry)</w:t>
      </w:r>
      <w:r w:rsidR="00DD011F">
        <w:rPr>
          <w:szCs w:val="24"/>
        </w:rPr>
        <w:t>. In other words</w:t>
      </w:r>
      <w:r w:rsidR="00224313">
        <w:rPr>
          <w:szCs w:val="24"/>
        </w:rPr>
        <w:t>,</w:t>
      </w:r>
      <w:r w:rsidR="00DD011F">
        <w:rPr>
          <w:szCs w:val="24"/>
        </w:rPr>
        <w:t xml:space="preserve"> that the notice mistakenly made reference to the incorrect empowering provision. </w:t>
      </w:r>
      <w:r w:rsidR="005E06AC">
        <w:rPr>
          <w:szCs w:val="24"/>
        </w:rPr>
        <w:t xml:space="preserve">This was done in circumstances where the papers made no suggestion that the Minister had made a mistake and where the notice clearly cited the empowering provision. </w:t>
      </w:r>
      <w:r w:rsidR="005111E4">
        <w:rPr>
          <w:szCs w:val="24"/>
        </w:rPr>
        <w:t xml:space="preserve">The Minister’s  </w:t>
      </w:r>
      <w:r w:rsidR="00E02B87">
        <w:rPr>
          <w:szCs w:val="24"/>
        </w:rPr>
        <w:t xml:space="preserve">argument </w:t>
      </w:r>
      <w:r w:rsidR="005111E4">
        <w:rPr>
          <w:szCs w:val="24"/>
        </w:rPr>
        <w:t xml:space="preserve">was rejected. </w:t>
      </w:r>
    </w:p>
    <w:p w14:paraId="09AE6570" w14:textId="0F3685DC" w:rsidR="00EF03CF" w:rsidRPr="00662406" w:rsidRDefault="0027466D" w:rsidP="0027466D">
      <w:pPr>
        <w:pStyle w:val="RetiefPleadingpara1"/>
        <w:numPr>
          <w:ilvl w:val="0"/>
          <w:numId w:val="0"/>
        </w:numPr>
        <w:tabs>
          <w:tab w:val="left" w:pos="851"/>
        </w:tabs>
        <w:spacing w:before="480" w:after="480"/>
        <w:rPr>
          <w:szCs w:val="24"/>
        </w:rPr>
      </w:pPr>
      <w:r w:rsidRPr="00662406">
        <w:rPr>
          <w:szCs w:val="24"/>
        </w:rPr>
        <w:t>[75]</w:t>
      </w:r>
      <w:r w:rsidRPr="00662406">
        <w:rPr>
          <w:szCs w:val="24"/>
        </w:rPr>
        <w:tab/>
      </w:r>
      <w:r w:rsidR="005111E4">
        <w:rPr>
          <w:szCs w:val="24"/>
        </w:rPr>
        <w:t>Applying the CC’s reasoning in this matter</w:t>
      </w:r>
      <w:r w:rsidR="00224313">
        <w:rPr>
          <w:szCs w:val="24"/>
        </w:rPr>
        <w:t>,</w:t>
      </w:r>
      <w:r w:rsidR="005111E4">
        <w:rPr>
          <w:szCs w:val="24"/>
        </w:rPr>
        <w:t xml:space="preserve"> reliance on </w:t>
      </w:r>
      <w:r w:rsidR="00DF4A62" w:rsidRPr="00DF4A62">
        <w:rPr>
          <w:b/>
          <w:bCs/>
          <w:szCs w:val="24"/>
        </w:rPr>
        <w:t>Harris</w:t>
      </w:r>
      <w:r w:rsidR="005111E4">
        <w:rPr>
          <w:szCs w:val="24"/>
        </w:rPr>
        <w:t xml:space="preserve"> matter must fail. I </w:t>
      </w:r>
      <w:r w:rsidR="001F0BDD">
        <w:rPr>
          <w:szCs w:val="24"/>
        </w:rPr>
        <w:t>cannot</w:t>
      </w:r>
      <w:r w:rsidR="005111E4">
        <w:rPr>
          <w:szCs w:val="24"/>
        </w:rPr>
        <w:t xml:space="preserve"> speculate to determine </w:t>
      </w:r>
      <w:r w:rsidR="00EF03CF">
        <w:rPr>
          <w:szCs w:val="24"/>
        </w:rPr>
        <w:t>a conscious election enquiry</w:t>
      </w:r>
      <w:r w:rsidR="00224313">
        <w:rPr>
          <w:szCs w:val="24"/>
        </w:rPr>
        <w:t xml:space="preserve"> </w:t>
      </w:r>
      <w:r w:rsidR="00DF4A62">
        <w:rPr>
          <w:szCs w:val="24"/>
        </w:rPr>
        <w:t xml:space="preserve">or a mistake </w:t>
      </w:r>
      <w:r w:rsidR="00F32B8C">
        <w:rPr>
          <w:szCs w:val="24"/>
        </w:rPr>
        <w:t>but, on the facts,</w:t>
      </w:r>
      <w:r w:rsidR="00B92524">
        <w:rPr>
          <w:szCs w:val="24"/>
        </w:rPr>
        <w:t xml:space="preserve"> I can accept that the Deputy Minister, at the time</w:t>
      </w:r>
      <w:r w:rsidR="00B305E2">
        <w:rPr>
          <w:szCs w:val="24"/>
        </w:rPr>
        <w:t xml:space="preserve">, </w:t>
      </w:r>
      <w:r w:rsidR="00B92524">
        <w:rPr>
          <w:szCs w:val="24"/>
        </w:rPr>
        <w:t xml:space="preserve">possessed both the </w:t>
      </w:r>
      <w:r w:rsidR="00B92524">
        <w:rPr>
          <w:szCs w:val="24"/>
        </w:rPr>
        <w:lastRenderedPageBreak/>
        <w:t xml:space="preserve">Trade Minister’s </w:t>
      </w:r>
      <w:r w:rsidR="00E02B87">
        <w:rPr>
          <w:szCs w:val="24"/>
        </w:rPr>
        <w:t xml:space="preserve">(reference to section 56) </w:t>
      </w:r>
      <w:r w:rsidR="00B92524">
        <w:rPr>
          <w:szCs w:val="24"/>
        </w:rPr>
        <w:t>and the SARS letter</w:t>
      </w:r>
      <w:r w:rsidR="00B305E2">
        <w:rPr>
          <w:szCs w:val="24"/>
        </w:rPr>
        <w:t xml:space="preserve"> </w:t>
      </w:r>
      <w:r w:rsidR="00E02B87">
        <w:rPr>
          <w:szCs w:val="24"/>
        </w:rPr>
        <w:t>(reference to section 57)</w:t>
      </w:r>
      <w:r w:rsidR="00662406">
        <w:rPr>
          <w:szCs w:val="24"/>
        </w:rPr>
        <w:t xml:space="preserve"> </w:t>
      </w:r>
      <w:r w:rsidR="00B305E2" w:rsidRPr="00662406">
        <w:rPr>
          <w:szCs w:val="24"/>
        </w:rPr>
        <w:t>and consider</w:t>
      </w:r>
      <w:r w:rsidR="00F32B8C" w:rsidRPr="00662406">
        <w:rPr>
          <w:szCs w:val="24"/>
        </w:rPr>
        <w:t>ed</w:t>
      </w:r>
      <w:r w:rsidR="00B305E2" w:rsidRPr="00662406">
        <w:rPr>
          <w:szCs w:val="24"/>
        </w:rPr>
        <w:t xml:space="preserve"> </w:t>
      </w:r>
      <w:r w:rsidR="00DF4A62" w:rsidRPr="00662406">
        <w:rPr>
          <w:szCs w:val="24"/>
        </w:rPr>
        <w:t>t</w:t>
      </w:r>
      <w:r w:rsidR="00E02B87" w:rsidRPr="00662406">
        <w:rPr>
          <w:szCs w:val="24"/>
        </w:rPr>
        <w:t>hem</w:t>
      </w:r>
      <w:r w:rsidR="00DF4A62" w:rsidRPr="00662406">
        <w:rPr>
          <w:szCs w:val="24"/>
        </w:rPr>
        <w:t xml:space="preserve"> </w:t>
      </w:r>
      <w:r w:rsidR="00B305E2" w:rsidRPr="00662406">
        <w:rPr>
          <w:szCs w:val="24"/>
        </w:rPr>
        <w:t>both when maki</w:t>
      </w:r>
      <w:r w:rsidR="00DF4A62" w:rsidRPr="00662406">
        <w:rPr>
          <w:szCs w:val="24"/>
        </w:rPr>
        <w:t>ng his final decision</w:t>
      </w:r>
      <w:r w:rsidR="00B92524" w:rsidRPr="00662406">
        <w:rPr>
          <w:szCs w:val="24"/>
        </w:rPr>
        <w:t xml:space="preserve">. </w:t>
      </w:r>
      <w:r w:rsidR="00DF4A62" w:rsidRPr="00662406">
        <w:rPr>
          <w:szCs w:val="24"/>
        </w:rPr>
        <w:t xml:space="preserve">He </w:t>
      </w:r>
      <w:r w:rsidR="00662406">
        <w:rPr>
          <w:szCs w:val="24"/>
        </w:rPr>
        <w:t xml:space="preserve">then </w:t>
      </w:r>
      <w:r w:rsidR="00DF4A62" w:rsidRPr="00662406">
        <w:rPr>
          <w:szCs w:val="24"/>
        </w:rPr>
        <w:t xml:space="preserve">elected. </w:t>
      </w:r>
      <w:r w:rsidR="00B92524" w:rsidRPr="00662406">
        <w:rPr>
          <w:szCs w:val="24"/>
        </w:rPr>
        <w:t>F</w:t>
      </w:r>
      <w:r w:rsidR="00EF03CF" w:rsidRPr="00662406">
        <w:rPr>
          <w:szCs w:val="24"/>
        </w:rPr>
        <w:t>urthermore</w:t>
      </w:r>
      <w:r w:rsidR="00F32B8C" w:rsidRPr="00662406">
        <w:rPr>
          <w:szCs w:val="24"/>
        </w:rPr>
        <w:t>,</w:t>
      </w:r>
      <w:r w:rsidR="00EF03CF" w:rsidRPr="00662406">
        <w:rPr>
          <w:szCs w:val="24"/>
        </w:rPr>
        <w:t xml:space="preserve"> the ministerial notice clearly cites the correct section and Act</w:t>
      </w:r>
      <w:r w:rsidR="00B305E2" w:rsidRPr="00662406">
        <w:rPr>
          <w:szCs w:val="24"/>
        </w:rPr>
        <w:t xml:space="preserve"> as </w:t>
      </w:r>
      <w:r w:rsidR="00EF03CF" w:rsidRPr="00662406">
        <w:rPr>
          <w:szCs w:val="24"/>
        </w:rPr>
        <w:t xml:space="preserve">section 56 of the Customs Act as the source of the Deputy Minister’s authority. </w:t>
      </w:r>
      <w:r w:rsidR="00B92524" w:rsidRPr="00662406">
        <w:rPr>
          <w:szCs w:val="24"/>
        </w:rPr>
        <w:t>T</w:t>
      </w:r>
      <w:r w:rsidR="00EF03CF" w:rsidRPr="00662406">
        <w:rPr>
          <w:szCs w:val="24"/>
        </w:rPr>
        <w:t>he 2018 delegation supports the</w:t>
      </w:r>
      <w:r w:rsidR="00B92524" w:rsidRPr="00662406">
        <w:rPr>
          <w:szCs w:val="24"/>
        </w:rPr>
        <w:t xml:space="preserve"> powers exercised by </w:t>
      </w:r>
      <w:r w:rsidR="00EF03CF" w:rsidRPr="00662406">
        <w:rPr>
          <w:szCs w:val="24"/>
        </w:rPr>
        <w:t>Deputy Minister</w:t>
      </w:r>
      <w:r w:rsidR="00B92524" w:rsidRPr="00662406">
        <w:rPr>
          <w:szCs w:val="24"/>
        </w:rPr>
        <w:t xml:space="preserve">. In consequence, the facts support </w:t>
      </w:r>
      <w:r w:rsidR="00B11D48" w:rsidRPr="00662406">
        <w:rPr>
          <w:szCs w:val="24"/>
        </w:rPr>
        <w:t>that t</w:t>
      </w:r>
      <w:r w:rsidR="00B92524" w:rsidRPr="00662406">
        <w:rPr>
          <w:szCs w:val="24"/>
        </w:rPr>
        <w:t>he Deputy Minister elected and acted in terms of section 56.</w:t>
      </w:r>
    </w:p>
    <w:p w14:paraId="6C8109AA" w14:textId="65DDF616" w:rsidR="00AA6F47" w:rsidRDefault="0027466D" w:rsidP="0027466D">
      <w:pPr>
        <w:pStyle w:val="RetiefPleadingpara1"/>
        <w:numPr>
          <w:ilvl w:val="0"/>
          <w:numId w:val="0"/>
        </w:numPr>
        <w:tabs>
          <w:tab w:val="left" w:pos="851"/>
        </w:tabs>
        <w:spacing w:before="480" w:after="480"/>
        <w:rPr>
          <w:szCs w:val="24"/>
        </w:rPr>
      </w:pPr>
      <w:r>
        <w:rPr>
          <w:szCs w:val="24"/>
        </w:rPr>
        <w:t>[76]</w:t>
      </w:r>
      <w:r>
        <w:rPr>
          <w:szCs w:val="24"/>
        </w:rPr>
        <w:tab/>
      </w:r>
      <w:r w:rsidR="00EF03CF">
        <w:rPr>
          <w:szCs w:val="24"/>
        </w:rPr>
        <w:t>The</w:t>
      </w:r>
      <w:r w:rsidR="009A3BFF">
        <w:rPr>
          <w:szCs w:val="24"/>
        </w:rPr>
        <w:t xml:space="preserve"> </w:t>
      </w:r>
      <w:r w:rsidR="00C217FD" w:rsidRPr="009A3BFF">
        <w:rPr>
          <w:b/>
          <w:bCs/>
          <w:szCs w:val="24"/>
        </w:rPr>
        <w:t>Liebenberg</w:t>
      </w:r>
      <w:r w:rsidR="00C217FD" w:rsidRPr="009A3BFF">
        <w:rPr>
          <w:szCs w:val="24"/>
        </w:rPr>
        <w:t xml:space="preserve"> matter</w:t>
      </w:r>
      <w:r w:rsidR="00EF03CF">
        <w:rPr>
          <w:szCs w:val="24"/>
        </w:rPr>
        <w:t xml:space="preserve"> concerned t</w:t>
      </w:r>
      <w:r w:rsidR="00AA6F47">
        <w:rPr>
          <w:szCs w:val="24"/>
        </w:rPr>
        <w:t xml:space="preserve">he validity </w:t>
      </w:r>
      <w:r w:rsidR="00B906EC">
        <w:rPr>
          <w:szCs w:val="24"/>
        </w:rPr>
        <w:t xml:space="preserve">challenge </w:t>
      </w:r>
      <w:r w:rsidR="00AA6F47">
        <w:rPr>
          <w:szCs w:val="24"/>
        </w:rPr>
        <w:t xml:space="preserve">of an </w:t>
      </w:r>
      <w:r w:rsidR="00B906EC">
        <w:rPr>
          <w:szCs w:val="24"/>
        </w:rPr>
        <w:t xml:space="preserve">administrative action </w:t>
      </w:r>
      <w:r w:rsidR="00AA6F47">
        <w:rPr>
          <w:szCs w:val="24"/>
        </w:rPr>
        <w:t>taken by the Municipality in circumstances when</w:t>
      </w:r>
      <w:r w:rsidR="00B906EC">
        <w:rPr>
          <w:szCs w:val="24"/>
        </w:rPr>
        <w:t xml:space="preserve"> the empowering provision relied </w:t>
      </w:r>
      <w:r w:rsidR="0066303A">
        <w:rPr>
          <w:szCs w:val="24"/>
        </w:rPr>
        <w:t xml:space="preserve">on </w:t>
      </w:r>
      <w:r w:rsidR="00B906EC">
        <w:rPr>
          <w:szCs w:val="24"/>
        </w:rPr>
        <w:t xml:space="preserve">by the </w:t>
      </w:r>
      <w:r w:rsidR="0066303A">
        <w:rPr>
          <w:szCs w:val="24"/>
        </w:rPr>
        <w:t>Municipality</w:t>
      </w:r>
      <w:r w:rsidR="00B906EC">
        <w:rPr>
          <w:szCs w:val="24"/>
        </w:rPr>
        <w:t xml:space="preserve"> was no longer </w:t>
      </w:r>
      <w:r w:rsidR="0066303A">
        <w:rPr>
          <w:szCs w:val="24"/>
        </w:rPr>
        <w:t xml:space="preserve">in force. </w:t>
      </w:r>
      <w:r w:rsidR="00DC3597">
        <w:rPr>
          <w:szCs w:val="24"/>
        </w:rPr>
        <w:t>AMIE</w:t>
      </w:r>
      <w:r w:rsidR="0066303A">
        <w:rPr>
          <w:szCs w:val="24"/>
        </w:rPr>
        <w:t xml:space="preserve"> highlighted</w:t>
      </w:r>
      <w:r w:rsidR="00AA6F47">
        <w:rPr>
          <w:szCs w:val="24"/>
        </w:rPr>
        <w:t xml:space="preserve"> an observation made by the CC being: </w:t>
      </w:r>
      <w:r w:rsidR="0066303A">
        <w:rPr>
          <w:szCs w:val="24"/>
        </w:rPr>
        <w:t>administrative actions performed in terms of an incorrect provision are invalid, even if the functionary is empowered</w:t>
      </w:r>
      <w:r w:rsidR="00AA6F47">
        <w:rPr>
          <w:szCs w:val="24"/>
        </w:rPr>
        <w:t xml:space="preserve"> to perform a function concerned by another provision.</w:t>
      </w:r>
    </w:p>
    <w:p w14:paraId="37A318D9" w14:textId="0E296A41" w:rsidR="00AA6F47" w:rsidRDefault="0027466D" w:rsidP="0027466D">
      <w:pPr>
        <w:pStyle w:val="RetiefPleadingpara1"/>
        <w:numPr>
          <w:ilvl w:val="0"/>
          <w:numId w:val="0"/>
        </w:numPr>
        <w:tabs>
          <w:tab w:val="left" w:pos="851"/>
        </w:tabs>
        <w:spacing w:before="480" w:after="480"/>
        <w:rPr>
          <w:szCs w:val="24"/>
        </w:rPr>
      </w:pPr>
      <w:r>
        <w:rPr>
          <w:szCs w:val="24"/>
        </w:rPr>
        <w:t>[77]</w:t>
      </w:r>
      <w:r>
        <w:rPr>
          <w:szCs w:val="24"/>
        </w:rPr>
        <w:tab/>
      </w:r>
      <w:r w:rsidR="00AA6F47">
        <w:rPr>
          <w:szCs w:val="24"/>
        </w:rPr>
        <w:t xml:space="preserve">It is clear from the ministerial notice that </w:t>
      </w:r>
      <w:r w:rsidR="00F32B8C">
        <w:rPr>
          <w:szCs w:val="24"/>
        </w:rPr>
        <w:t xml:space="preserve">the </w:t>
      </w:r>
      <w:r w:rsidR="00AA6F47">
        <w:rPr>
          <w:szCs w:val="24"/>
        </w:rPr>
        <w:t xml:space="preserve">Deputy Minister performed the function </w:t>
      </w:r>
      <w:r w:rsidR="00B92524">
        <w:rPr>
          <w:szCs w:val="24"/>
        </w:rPr>
        <w:t xml:space="preserve">(ministerial amendment) </w:t>
      </w:r>
      <w:r w:rsidR="00AA6F47">
        <w:rPr>
          <w:szCs w:val="24"/>
        </w:rPr>
        <w:t xml:space="preserve">in terms of the correct </w:t>
      </w:r>
      <w:r w:rsidR="00B305E2">
        <w:rPr>
          <w:szCs w:val="24"/>
        </w:rPr>
        <w:t>provision</w:t>
      </w:r>
      <w:r w:rsidR="00AA6F47">
        <w:rPr>
          <w:szCs w:val="24"/>
        </w:rPr>
        <w:t>. Reliance on this matter too</w:t>
      </w:r>
      <w:r w:rsidR="00662406">
        <w:rPr>
          <w:szCs w:val="24"/>
        </w:rPr>
        <w:t>,</w:t>
      </w:r>
      <w:r w:rsidR="00AA6F47">
        <w:rPr>
          <w:szCs w:val="24"/>
        </w:rPr>
        <w:t xml:space="preserve"> does not advance </w:t>
      </w:r>
      <w:r w:rsidR="00DC3597">
        <w:rPr>
          <w:szCs w:val="24"/>
        </w:rPr>
        <w:t>AMIE</w:t>
      </w:r>
      <w:r w:rsidR="00AA6F47">
        <w:rPr>
          <w:szCs w:val="24"/>
        </w:rPr>
        <w:t xml:space="preserve">’s challenge. </w:t>
      </w:r>
    </w:p>
    <w:p w14:paraId="60CFDA63" w14:textId="7B5F32B6" w:rsidR="00C217FD" w:rsidRDefault="0027466D" w:rsidP="0027466D">
      <w:pPr>
        <w:pStyle w:val="RetiefPleadingpara1"/>
        <w:numPr>
          <w:ilvl w:val="0"/>
          <w:numId w:val="0"/>
        </w:numPr>
        <w:tabs>
          <w:tab w:val="left" w:pos="851"/>
        </w:tabs>
        <w:spacing w:before="480" w:after="480"/>
        <w:rPr>
          <w:szCs w:val="24"/>
        </w:rPr>
      </w:pPr>
      <w:r>
        <w:rPr>
          <w:szCs w:val="24"/>
        </w:rPr>
        <w:t>[78]</w:t>
      </w:r>
      <w:r>
        <w:rPr>
          <w:szCs w:val="24"/>
        </w:rPr>
        <w:tab/>
      </w:r>
      <w:r w:rsidR="00AA6F47">
        <w:rPr>
          <w:szCs w:val="24"/>
        </w:rPr>
        <w:t xml:space="preserve">Considering the challenge </w:t>
      </w:r>
      <w:r w:rsidR="00FF376C">
        <w:rPr>
          <w:szCs w:val="24"/>
        </w:rPr>
        <w:t xml:space="preserve">further, </w:t>
      </w:r>
      <w:r w:rsidR="00AA6F47">
        <w:rPr>
          <w:szCs w:val="24"/>
        </w:rPr>
        <w:t>the following</w:t>
      </w:r>
      <w:r w:rsidR="00FF376C">
        <w:rPr>
          <w:szCs w:val="24"/>
        </w:rPr>
        <w:t xml:space="preserve"> is of relevan</w:t>
      </w:r>
      <w:r w:rsidR="00B92524">
        <w:rPr>
          <w:szCs w:val="24"/>
        </w:rPr>
        <w:t>ce</w:t>
      </w:r>
      <w:r w:rsidR="00C217FD" w:rsidRPr="00BC6BCD">
        <w:rPr>
          <w:szCs w:val="24"/>
        </w:rPr>
        <w:t>:</w:t>
      </w:r>
    </w:p>
    <w:p w14:paraId="008C089B" w14:textId="5AFEC883" w:rsidR="00FF376C" w:rsidRDefault="0027466D" w:rsidP="0027466D">
      <w:pPr>
        <w:pStyle w:val="RetiefPleadingpara1"/>
        <w:numPr>
          <w:ilvl w:val="0"/>
          <w:numId w:val="0"/>
        </w:numPr>
        <w:tabs>
          <w:tab w:val="left" w:pos="1701"/>
        </w:tabs>
        <w:spacing w:before="480" w:after="480"/>
        <w:ind w:left="1701" w:hanging="850"/>
        <w:rPr>
          <w:szCs w:val="24"/>
        </w:rPr>
      </w:pPr>
      <w:r>
        <w:rPr>
          <w:szCs w:val="24"/>
        </w:rPr>
        <w:t>78.1</w:t>
      </w:r>
      <w:r>
        <w:rPr>
          <w:szCs w:val="24"/>
        </w:rPr>
        <w:tab/>
      </w:r>
      <w:r w:rsidR="00C217FD">
        <w:rPr>
          <w:szCs w:val="24"/>
        </w:rPr>
        <w:t xml:space="preserve">It is common cause that the Finance </w:t>
      </w:r>
      <w:r w:rsidR="009A3BFF">
        <w:rPr>
          <w:szCs w:val="24"/>
        </w:rPr>
        <w:t xml:space="preserve">Minister </w:t>
      </w:r>
      <w:r w:rsidR="00C217FD">
        <w:rPr>
          <w:szCs w:val="24"/>
        </w:rPr>
        <w:t xml:space="preserve">may from </w:t>
      </w:r>
      <w:r w:rsidR="0036527C">
        <w:rPr>
          <w:szCs w:val="24"/>
        </w:rPr>
        <w:t>time-to-time</w:t>
      </w:r>
      <w:r w:rsidR="00C217FD">
        <w:rPr>
          <w:szCs w:val="24"/>
        </w:rPr>
        <w:t xml:space="preserve"> delegate powers in terms of </w:t>
      </w:r>
      <w:r w:rsidR="0037434F">
        <w:rPr>
          <w:szCs w:val="24"/>
        </w:rPr>
        <w:t>s</w:t>
      </w:r>
      <w:r w:rsidR="00C217FD">
        <w:rPr>
          <w:szCs w:val="24"/>
        </w:rPr>
        <w:t>ection 118 of the Customs Act. The content of the 2018 delegation is not in dispute and is headed “</w:t>
      </w:r>
      <w:r w:rsidR="00C217FD" w:rsidRPr="00165E4B">
        <w:rPr>
          <w:i/>
          <w:iCs/>
          <w:szCs w:val="24"/>
        </w:rPr>
        <w:t xml:space="preserve">Delegation of Powers and Assignment of Duties to the Deputy </w:t>
      </w:r>
      <w:r w:rsidR="00C217FD" w:rsidRPr="00165E4B">
        <w:rPr>
          <w:i/>
          <w:iCs/>
          <w:szCs w:val="24"/>
        </w:rPr>
        <w:lastRenderedPageBreak/>
        <w:t>Minister of Finance</w:t>
      </w:r>
      <w:r w:rsidR="00C217FD">
        <w:rPr>
          <w:szCs w:val="24"/>
        </w:rPr>
        <w:t xml:space="preserve">” </w:t>
      </w:r>
      <w:r w:rsidR="009A3BFF">
        <w:rPr>
          <w:szCs w:val="24"/>
        </w:rPr>
        <w:t>duly signed by</w:t>
      </w:r>
      <w:r w:rsidR="00C217FD">
        <w:rPr>
          <w:szCs w:val="24"/>
        </w:rPr>
        <w:t xml:space="preserve"> the then erstwhile Minister of Finance, </w:t>
      </w:r>
      <w:r w:rsidR="009A3BFF">
        <w:rPr>
          <w:szCs w:val="24"/>
        </w:rPr>
        <w:t xml:space="preserve">Mr </w:t>
      </w:r>
      <w:r w:rsidR="00C217FD">
        <w:rPr>
          <w:szCs w:val="24"/>
        </w:rPr>
        <w:t>Nhlanhla Nene</w:t>
      </w:r>
      <w:r w:rsidR="009A3BFF">
        <w:rPr>
          <w:szCs w:val="24"/>
        </w:rPr>
        <w:t>, MP</w:t>
      </w:r>
      <w:r w:rsidR="00F32B8C">
        <w:rPr>
          <w:szCs w:val="24"/>
        </w:rPr>
        <w:t>;</w:t>
      </w:r>
      <w:r w:rsidR="00C217FD">
        <w:rPr>
          <w:szCs w:val="24"/>
        </w:rPr>
        <w:t xml:space="preserve"> </w:t>
      </w:r>
    </w:p>
    <w:p w14:paraId="58A1D137" w14:textId="71DD89DD" w:rsidR="009A3BFF" w:rsidRPr="009A3BFF" w:rsidRDefault="0027466D" w:rsidP="0027466D">
      <w:pPr>
        <w:pStyle w:val="RetiefPleadingpara1"/>
        <w:numPr>
          <w:ilvl w:val="0"/>
          <w:numId w:val="0"/>
        </w:numPr>
        <w:tabs>
          <w:tab w:val="left" w:pos="1701"/>
        </w:tabs>
        <w:spacing w:before="480" w:after="480"/>
        <w:ind w:left="1701" w:hanging="850"/>
        <w:rPr>
          <w:szCs w:val="24"/>
        </w:rPr>
      </w:pPr>
      <w:r w:rsidRPr="009A3BFF">
        <w:rPr>
          <w:szCs w:val="24"/>
        </w:rPr>
        <w:t>78.2</w:t>
      </w:r>
      <w:r w:rsidRPr="009A3BFF">
        <w:rPr>
          <w:szCs w:val="24"/>
        </w:rPr>
        <w:tab/>
      </w:r>
      <w:r w:rsidR="00C217FD">
        <w:rPr>
          <w:szCs w:val="24"/>
        </w:rPr>
        <w:t xml:space="preserve">The </w:t>
      </w:r>
      <w:r w:rsidR="00FF376C">
        <w:rPr>
          <w:szCs w:val="24"/>
        </w:rPr>
        <w:t xml:space="preserve">2018 </w:t>
      </w:r>
      <w:r w:rsidR="009A3BFF">
        <w:rPr>
          <w:szCs w:val="24"/>
        </w:rPr>
        <w:t xml:space="preserve">delegation directed </w:t>
      </w:r>
      <w:r w:rsidR="00FF376C">
        <w:rPr>
          <w:szCs w:val="24"/>
        </w:rPr>
        <w:t xml:space="preserve">the </w:t>
      </w:r>
      <w:r w:rsidR="00FF376C" w:rsidRPr="009A3BFF">
        <w:rPr>
          <w:szCs w:val="24"/>
        </w:rPr>
        <w:t xml:space="preserve">current and </w:t>
      </w:r>
      <w:r w:rsidR="00B305E2">
        <w:rPr>
          <w:szCs w:val="24"/>
        </w:rPr>
        <w:t>the f</w:t>
      </w:r>
      <w:r w:rsidR="00FF376C" w:rsidRPr="009A3BFF">
        <w:rPr>
          <w:szCs w:val="24"/>
        </w:rPr>
        <w:t>uture</w:t>
      </w:r>
      <w:r w:rsidR="009A3BFF">
        <w:rPr>
          <w:szCs w:val="24"/>
        </w:rPr>
        <w:t xml:space="preserve"> Deputy Finance Minister</w:t>
      </w:r>
      <w:r w:rsidR="006D62FD">
        <w:rPr>
          <w:szCs w:val="24"/>
        </w:rPr>
        <w:t>s</w:t>
      </w:r>
      <w:r w:rsidR="009A3BFF">
        <w:rPr>
          <w:szCs w:val="24"/>
        </w:rPr>
        <w:t xml:space="preserve"> and </w:t>
      </w:r>
      <w:r w:rsidR="00FF376C">
        <w:rPr>
          <w:szCs w:val="24"/>
        </w:rPr>
        <w:t xml:space="preserve">makes no specific mention to a </w:t>
      </w:r>
      <w:r w:rsidR="009A3BFF">
        <w:rPr>
          <w:szCs w:val="24"/>
        </w:rPr>
        <w:t xml:space="preserve">particular </w:t>
      </w:r>
      <w:r w:rsidR="00FF376C">
        <w:rPr>
          <w:szCs w:val="24"/>
        </w:rPr>
        <w:t xml:space="preserve">Deputy </w:t>
      </w:r>
      <w:r w:rsidR="009A3BFF">
        <w:rPr>
          <w:szCs w:val="24"/>
        </w:rPr>
        <w:t>Minister</w:t>
      </w:r>
      <w:r w:rsidR="00FF376C">
        <w:rPr>
          <w:szCs w:val="24"/>
        </w:rPr>
        <w:t>,</w:t>
      </w:r>
      <w:r w:rsidR="009A3BFF">
        <w:rPr>
          <w:szCs w:val="24"/>
        </w:rPr>
        <w:t xml:space="preserve"> by reference. The </w:t>
      </w:r>
      <w:r w:rsidR="00FF376C">
        <w:rPr>
          <w:szCs w:val="24"/>
        </w:rPr>
        <w:t>c</w:t>
      </w:r>
      <w:r w:rsidR="009A3BFF">
        <w:rPr>
          <w:szCs w:val="24"/>
        </w:rPr>
        <w:t>onferral of such power</w:t>
      </w:r>
      <w:r w:rsidR="00FF376C">
        <w:rPr>
          <w:szCs w:val="24"/>
        </w:rPr>
        <w:t xml:space="preserve"> to a holder of such office, at the time and the interpretation thereof to include s</w:t>
      </w:r>
      <w:r w:rsidR="00B305E2">
        <w:rPr>
          <w:szCs w:val="24"/>
        </w:rPr>
        <w:t xml:space="preserve">ame </w:t>
      </w:r>
      <w:r w:rsidR="00FF376C">
        <w:rPr>
          <w:szCs w:val="24"/>
        </w:rPr>
        <w:t xml:space="preserve">is permissible in terms of the </w:t>
      </w:r>
      <w:r w:rsidR="00FF376C" w:rsidRPr="000C1FC2">
        <w:t>Interpretation Act 33 of 1957</w:t>
      </w:r>
      <w:r w:rsidR="00F32B8C">
        <w:t>;</w:t>
      </w:r>
      <w:r w:rsidR="009A3BFF">
        <w:rPr>
          <w:rStyle w:val="FootnoteReference"/>
          <w:szCs w:val="24"/>
        </w:rPr>
        <w:footnoteReference w:id="33"/>
      </w:r>
    </w:p>
    <w:p w14:paraId="5E986272" w14:textId="586D3D82" w:rsidR="009A3BFF" w:rsidRDefault="0027466D" w:rsidP="0027466D">
      <w:pPr>
        <w:pStyle w:val="RetiefPleadingpara1"/>
        <w:numPr>
          <w:ilvl w:val="0"/>
          <w:numId w:val="0"/>
        </w:numPr>
        <w:tabs>
          <w:tab w:val="left" w:pos="1701"/>
        </w:tabs>
        <w:spacing w:before="480" w:after="480"/>
        <w:ind w:left="1701" w:hanging="850"/>
        <w:rPr>
          <w:szCs w:val="24"/>
        </w:rPr>
      </w:pPr>
      <w:r>
        <w:rPr>
          <w:szCs w:val="24"/>
        </w:rPr>
        <w:t>78.3</w:t>
      </w:r>
      <w:r>
        <w:rPr>
          <w:szCs w:val="24"/>
        </w:rPr>
        <w:tab/>
      </w:r>
      <w:r w:rsidR="009A3BFF">
        <w:rPr>
          <w:szCs w:val="24"/>
        </w:rPr>
        <w:t xml:space="preserve">The </w:t>
      </w:r>
      <w:r w:rsidR="00FF376C">
        <w:rPr>
          <w:szCs w:val="24"/>
        </w:rPr>
        <w:t>2018 delegation includes</w:t>
      </w:r>
      <w:r w:rsidR="009A3BFF">
        <w:rPr>
          <w:szCs w:val="24"/>
        </w:rPr>
        <w:t xml:space="preserve"> </w:t>
      </w:r>
      <w:r w:rsidR="00FF376C">
        <w:rPr>
          <w:szCs w:val="24"/>
        </w:rPr>
        <w:t xml:space="preserve">the </w:t>
      </w:r>
      <w:r w:rsidR="00CB626B">
        <w:rPr>
          <w:szCs w:val="24"/>
        </w:rPr>
        <w:t xml:space="preserve">functions in terms of </w:t>
      </w:r>
      <w:r w:rsidR="0037434F">
        <w:rPr>
          <w:szCs w:val="24"/>
        </w:rPr>
        <w:t>s</w:t>
      </w:r>
      <w:r w:rsidR="00C217FD">
        <w:rPr>
          <w:szCs w:val="24"/>
        </w:rPr>
        <w:t>ection 56</w:t>
      </w:r>
      <w:r w:rsidR="009A3BFF">
        <w:rPr>
          <w:szCs w:val="24"/>
        </w:rPr>
        <w:t xml:space="preserve"> </w:t>
      </w:r>
      <w:r w:rsidR="00C217FD">
        <w:rPr>
          <w:szCs w:val="24"/>
        </w:rPr>
        <w:t xml:space="preserve">and </w:t>
      </w:r>
      <w:r w:rsidR="009E69F7">
        <w:rPr>
          <w:szCs w:val="24"/>
        </w:rPr>
        <w:t>s</w:t>
      </w:r>
      <w:r w:rsidR="00C217FD">
        <w:rPr>
          <w:szCs w:val="24"/>
        </w:rPr>
        <w:t xml:space="preserve">ection 57 </w:t>
      </w:r>
      <w:r w:rsidR="009A3BFF">
        <w:rPr>
          <w:szCs w:val="24"/>
        </w:rPr>
        <w:t>of the Customs Act</w:t>
      </w:r>
      <w:r w:rsidR="00F32B8C">
        <w:rPr>
          <w:szCs w:val="24"/>
        </w:rPr>
        <w:t>;</w:t>
      </w:r>
    </w:p>
    <w:p w14:paraId="48421348" w14:textId="03185B25" w:rsidR="009A3BFF" w:rsidRPr="009A3BFF" w:rsidRDefault="0027466D" w:rsidP="0027466D">
      <w:pPr>
        <w:pStyle w:val="RetiefPleadingpara1"/>
        <w:numPr>
          <w:ilvl w:val="0"/>
          <w:numId w:val="0"/>
        </w:numPr>
        <w:tabs>
          <w:tab w:val="left" w:pos="1701"/>
        </w:tabs>
        <w:spacing w:before="480" w:after="480"/>
        <w:ind w:left="1701" w:hanging="850"/>
        <w:rPr>
          <w:szCs w:val="24"/>
        </w:rPr>
      </w:pPr>
      <w:r w:rsidRPr="009A3BFF">
        <w:rPr>
          <w:szCs w:val="24"/>
        </w:rPr>
        <w:t>78.4</w:t>
      </w:r>
      <w:r w:rsidRPr="009A3BFF">
        <w:rPr>
          <w:szCs w:val="24"/>
        </w:rPr>
        <w:tab/>
      </w:r>
      <w:r w:rsidR="009A3BFF">
        <w:rPr>
          <w:szCs w:val="24"/>
        </w:rPr>
        <w:t>No evidence</w:t>
      </w:r>
      <w:r w:rsidR="00CB626B">
        <w:rPr>
          <w:szCs w:val="24"/>
        </w:rPr>
        <w:t xml:space="preserve"> </w:t>
      </w:r>
      <w:r w:rsidR="009A3BFF">
        <w:rPr>
          <w:szCs w:val="24"/>
        </w:rPr>
        <w:t>was presented that the delegation had been withdrawn. To the contrary</w:t>
      </w:r>
      <w:r w:rsidR="00CB626B">
        <w:rPr>
          <w:szCs w:val="24"/>
        </w:rPr>
        <w:t xml:space="preserve">, </w:t>
      </w:r>
      <w:r w:rsidR="009A3BFF">
        <w:rPr>
          <w:szCs w:val="24"/>
        </w:rPr>
        <w:t>the SARS letter dated in 2021 refers to the 2018 delegation.</w:t>
      </w:r>
    </w:p>
    <w:p w14:paraId="1B3792F0" w14:textId="0149B102" w:rsidR="009A3BFF" w:rsidRDefault="0027466D" w:rsidP="0027466D">
      <w:pPr>
        <w:pStyle w:val="RetiefPleadingpara1"/>
        <w:numPr>
          <w:ilvl w:val="0"/>
          <w:numId w:val="0"/>
        </w:numPr>
        <w:tabs>
          <w:tab w:val="left" w:pos="851"/>
        </w:tabs>
        <w:spacing w:before="480" w:after="480"/>
        <w:rPr>
          <w:szCs w:val="24"/>
        </w:rPr>
      </w:pPr>
      <w:r>
        <w:rPr>
          <w:szCs w:val="24"/>
        </w:rPr>
        <w:t>[79]</w:t>
      </w:r>
      <w:r>
        <w:rPr>
          <w:szCs w:val="24"/>
        </w:rPr>
        <w:tab/>
      </w:r>
      <w:r w:rsidR="009A3BFF">
        <w:rPr>
          <w:szCs w:val="24"/>
        </w:rPr>
        <w:t xml:space="preserve">It flows that </w:t>
      </w:r>
      <w:r w:rsidR="00CB626B">
        <w:rPr>
          <w:szCs w:val="24"/>
        </w:rPr>
        <w:t>the Deputy Minister was empowered to effect the ministerial amendment and that it was performed in terms of section 56 of the Customs Act</w:t>
      </w:r>
      <w:r w:rsidR="006D62FD">
        <w:rPr>
          <w:szCs w:val="24"/>
        </w:rPr>
        <w:t xml:space="preserve"> after </w:t>
      </w:r>
      <w:r w:rsidR="00662406">
        <w:rPr>
          <w:szCs w:val="24"/>
        </w:rPr>
        <w:t>he elected</w:t>
      </w:r>
      <w:r w:rsidR="006D62FD">
        <w:rPr>
          <w:szCs w:val="24"/>
        </w:rPr>
        <w:t xml:space="preserve"> to do so</w:t>
      </w:r>
      <w:r w:rsidR="00CB626B">
        <w:rPr>
          <w:szCs w:val="24"/>
        </w:rPr>
        <w:t xml:space="preserve">. </w:t>
      </w:r>
      <w:r w:rsidR="009A3BFF">
        <w:rPr>
          <w:szCs w:val="24"/>
        </w:rPr>
        <w:t>AMIE’</w:t>
      </w:r>
      <w:r w:rsidR="00CB626B">
        <w:rPr>
          <w:szCs w:val="24"/>
        </w:rPr>
        <w:t>s challenge on this point must fail.</w:t>
      </w:r>
      <w:r w:rsidR="009A3BFF">
        <w:rPr>
          <w:szCs w:val="24"/>
        </w:rPr>
        <w:t xml:space="preserve"> </w:t>
      </w:r>
    </w:p>
    <w:p w14:paraId="0A811828" w14:textId="6FD54091" w:rsidR="009A3BFF" w:rsidRPr="00CB626B" w:rsidRDefault="00CB626B" w:rsidP="009472CC">
      <w:pPr>
        <w:pStyle w:val="RetiefPleadingpara1"/>
        <w:numPr>
          <w:ilvl w:val="0"/>
          <w:numId w:val="0"/>
        </w:numPr>
        <w:spacing w:before="480" w:after="480"/>
        <w:rPr>
          <w:i/>
          <w:iCs/>
          <w:szCs w:val="24"/>
        </w:rPr>
      </w:pPr>
      <w:r w:rsidRPr="00F32B8C">
        <w:rPr>
          <w:i/>
          <w:iCs/>
          <w:szCs w:val="24"/>
          <w:u w:val="single"/>
        </w:rPr>
        <w:t>Did the</w:t>
      </w:r>
      <w:r w:rsidRPr="00CB626B">
        <w:rPr>
          <w:i/>
          <w:iCs/>
          <w:szCs w:val="24"/>
          <w:u w:val="single"/>
        </w:rPr>
        <w:t xml:space="preserve"> Finance Minister or his Deputy possess the power to make</w:t>
      </w:r>
      <w:r w:rsidR="006757D1" w:rsidRPr="00CB626B">
        <w:rPr>
          <w:i/>
          <w:iCs/>
          <w:szCs w:val="24"/>
          <w:u w:val="single"/>
        </w:rPr>
        <w:t xml:space="preserve"> the </w:t>
      </w:r>
      <w:r w:rsidR="00B305E2">
        <w:rPr>
          <w:i/>
          <w:iCs/>
          <w:szCs w:val="24"/>
          <w:u w:val="single"/>
        </w:rPr>
        <w:t xml:space="preserve">final </w:t>
      </w:r>
      <w:r w:rsidR="006757D1" w:rsidRPr="00CB626B">
        <w:rPr>
          <w:i/>
          <w:iCs/>
          <w:szCs w:val="24"/>
          <w:u w:val="single"/>
        </w:rPr>
        <w:t>decision</w:t>
      </w:r>
      <w:r w:rsidRPr="00F32B8C">
        <w:rPr>
          <w:i/>
          <w:iCs/>
          <w:szCs w:val="24"/>
        </w:rPr>
        <w:t>?</w:t>
      </w:r>
    </w:p>
    <w:p w14:paraId="1453D2B0" w14:textId="1D37D095" w:rsidR="009A3BFF" w:rsidRDefault="0027466D" w:rsidP="0027466D">
      <w:pPr>
        <w:pStyle w:val="RetiefPleadingpara1"/>
        <w:numPr>
          <w:ilvl w:val="0"/>
          <w:numId w:val="0"/>
        </w:numPr>
        <w:tabs>
          <w:tab w:val="left" w:pos="851"/>
        </w:tabs>
        <w:spacing w:before="480" w:after="480"/>
        <w:rPr>
          <w:szCs w:val="24"/>
        </w:rPr>
      </w:pPr>
      <w:r>
        <w:rPr>
          <w:szCs w:val="24"/>
        </w:rPr>
        <w:lastRenderedPageBreak/>
        <w:t>[80]</w:t>
      </w:r>
      <w:r>
        <w:rPr>
          <w:szCs w:val="24"/>
        </w:rPr>
        <w:tab/>
      </w:r>
      <w:r w:rsidR="00257AC8">
        <w:rPr>
          <w:szCs w:val="24"/>
        </w:rPr>
        <w:t>AMIE</w:t>
      </w:r>
      <w:r w:rsidR="00CB626B">
        <w:rPr>
          <w:szCs w:val="24"/>
        </w:rPr>
        <w:t xml:space="preserve">’s challenge is that the Finance Minister could not </w:t>
      </w:r>
      <w:r w:rsidR="00257AC8">
        <w:rPr>
          <w:szCs w:val="24"/>
        </w:rPr>
        <w:t>“</w:t>
      </w:r>
      <w:r w:rsidR="00257AC8" w:rsidRPr="009A7D3A">
        <w:rPr>
          <w:i/>
          <w:iCs/>
          <w:szCs w:val="24"/>
        </w:rPr>
        <w:t>satisfy</w:t>
      </w:r>
      <w:r w:rsidR="00257AC8">
        <w:rPr>
          <w:szCs w:val="24"/>
        </w:rPr>
        <w:t>” himself “</w:t>
      </w:r>
      <w:r w:rsidR="00257AC8" w:rsidRPr="00F46FD9">
        <w:rPr>
          <w:i/>
          <w:iCs/>
          <w:szCs w:val="24"/>
        </w:rPr>
        <w:t xml:space="preserve">that circumstances as set forth in subsection (5) </w:t>
      </w:r>
      <w:r w:rsidR="00CB626B">
        <w:rPr>
          <w:i/>
          <w:iCs/>
          <w:szCs w:val="24"/>
        </w:rPr>
        <w:t xml:space="preserve">(with reference to section 55 </w:t>
      </w:r>
      <w:r w:rsidR="00F32B8C">
        <w:rPr>
          <w:i/>
          <w:iCs/>
          <w:szCs w:val="24"/>
        </w:rPr>
        <w:t>(</w:t>
      </w:r>
      <w:r w:rsidR="00CB626B">
        <w:rPr>
          <w:i/>
          <w:iCs/>
          <w:szCs w:val="24"/>
        </w:rPr>
        <w:t>ow</w:t>
      </w:r>
      <w:r w:rsidR="004A69E3">
        <w:rPr>
          <w:i/>
          <w:iCs/>
          <w:szCs w:val="24"/>
        </w:rPr>
        <w:t>n</w:t>
      </w:r>
      <w:r w:rsidR="00CB626B">
        <w:rPr>
          <w:i/>
          <w:iCs/>
          <w:szCs w:val="24"/>
        </w:rPr>
        <w:t xml:space="preserve"> emphasis) </w:t>
      </w:r>
      <w:r w:rsidR="00257AC8" w:rsidRPr="00F46FD9">
        <w:rPr>
          <w:i/>
          <w:iCs/>
          <w:szCs w:val="24"/>
        </w:rPr>
        <w:t>exist</w:t>
      </w:r>
      <w:r w:rsidR="00257AC8">
        <w:rPr>
          <w:szCs w:val="24"/>
        </w:rPr>
        <w:t xml:space="preserve">”. </w:t>
      </w:r>
      <w:r w:rsidR="009A3BFF">
        <w:rPr>
          <w:szCs w:val="24"/>
        </w:rPr>
        <w:t>In doing so, AMIE relies on the statutory framework of section 55(2) of the Customs Act of 2006</w:t>
      </w:r>
      <w:r w:rsidR="004A69E3">
        <w:rPr>
          <w:szCs w:val="24"/>
        </w:rPr>
        <w:t xml:space="preserve"> and not the </w:t>
      </w:r>
      <w:r w:rsidR="00B305E2">
        <w:rPr>
          <w:szCs w:val="24"/>
        </w:rPr>
        <w:t xml:space="preserve">current and </w:t>
      </w:r>
      <w:r w:rsidR="004A69E3">
        <w:rPr>
          <w:szCs w:val="24"/>
        </w:rPr>
        <w:t>applicable Customs Act.</w:t>
      </w:r>
    </w:p>
    <w:p w14:paraId="4D1D8210" w14:textId="56A1EE17" w:rsidR="006D62FD" w:rsidRPr="006D62FD" w:rsidRDefault="0027466D" w:rsidP="0027466D">
      <w:pPr>
        <w:pStyle w:val="RetiefPleadingpara1"/>
        <w:numPr>
          <w:ilvl w:val="0"/>
          <w:numId w:val="0"/>
        </w:numPr>
        <w:tabs>
          <w:tab w:val="left" w:pos="851"/>
        </w:tabs>
        <w:spacing w:before="480" w:after="480"/>
        <w:rPr>
          <w:szCs w:val="24"/>
        </w:rPr>
      </w:pPr>
      <w:r w:rsidRPr="006D62FD">
        <w:rPr>
          <w:szCs w:val="24"/>
        </w:rPr>
        <w:t>[81]</w:t>
      </w:r>
      <w:r w:rsidRPr="006D62FD">
        <w:rPr>
          <w:szCs w:val="24"/>
        </w:rPr>
        <w:tab/>
      </w:r>
      <w:r w:rsidR="009A3BFF">
        <w:rPr>
          <w:szCs w:val="24"/>
        </w:rPr>
        <w:t xml:space="preserve">The statutory framework relied on by </w:t>
      </w:r>
      <w:r w:rsidR="00DC3597">
        <w:rPr>
          <w:szCs w:val="24"/>
        </w:rPr>
        <w:t>AMIE</w:t>
      </w:r>
      <w:r w:rsidR="009A3BFF">
        <w:rPr>
          <w:szCs w:val="24"/>
        </w:rPr>
        <w:t xml:space="preserve"> has been repealed.</w:t>
      </w:r>
      <w:r w:rsidR="00257AC8">
        <w:rPr>
          <w:szCs w:val="24"/>
        </w:rPr>
        <w:t xml:space="preserve"> This mishap was not explained in argument, but it is one which ITAC, the Trade Minister and SAPA identified in their answering papers. AMIE did not formally abandon its reliance on </w:t>
      </w:r>
      <w:r w:rsidR="009E69F7">
        <w:rPr>
          <w:szCs w:val="24"/>
        </w:rPr>
        <w:t>s</w:t>
      </w:r>
      <w:r w:rsidR="00257AC8">
        <w:rPr>
          <w:szCs w:val="24"/>
        </w:rPr>
        <w:t>ection 55(2).</w:t>
      </w:r>
      <w:r w:rsidR="004A69E3">
        <w:rPr>
          <w:szCs w:val="24"/>
        </w:rPr>
        <w:t xml:space="preserve"> Notwithstanding</w:t>
      </w:r>
      <w:r w:rsidR="00E46907">
        <w:rPr>
          <w:szCs w:val="24"/>
        </w:rPr>
        <w:t>,</w:t>
      </w:r>
      <w:r w:rsidR="004A69E3">
        <w:rPr>
          <w:szCs w:val="24"/>
        </w:rPr>
        <w:t xml:space="preserve"> this challenge must fail</w:t>
      </w:r>
      <w:r w:rsidR="00B305E2">
        <w:rPr>
          <w:szCs w:val="24"/>
        </w:rPr>
        <w:t xml:space="preserve"> on </w:t>
      </w:r>
      <w:r w:rsidR="006D62FD">
        <w:rPr>
          <w:szCs w:val="24"/>
        </w:rPr>
        <w:t xml:space="preserve">applicability and </w:t>
      </w:r>
      <w:r w:rsidR="00B305E2">
        <w:rPr>
          <w:szCs w:val="24"/>
        </w:rPr>
        <w:t>relevance.</w:t>
      </w:r>
    </w:p>
    <w:p w14:paraId="53C1ACBE" w14:textId="798DF94D" w:rsidR="008B7636" w:rsidRPr="006757D1" w:rsidRDefault="0027466D" w:rsidP="0027466D">
      <w:pPr>
        <w:pStyle w:val="RetiefPleadingpara1"/>
        <w:numPr>
          <w:ilvl w:val="0"/>
          <w:numId w:val="0"/>
        </w:numPr>
        <w:tabs>
          <w:tab w:val="left" w:pos="851"/>
        </w:tabs>
        <w:spacing w:before="480" w:after="480"/>
        <w:rPr>
          <w:szCs w:val="24"/>
        </w:rPr>
      </w:pPr>
      <w:r w:rsidRPr="006757D1">
        <w:rPr>
          <w:szCs w:val="24"/>
        </w:rPr>
        <w:t>[82]</w:t>
      </w:r>
      <w:r w:rsidRPr="006757D1">
        <w:rPr>
          <w:szCs w:val="24"/>
        </w:rPr>
        <w:tab/>
      </w:r>
      <w:r w:rsidR="006757D1">
        <w:rPr>
          <w:szCs w:val="24"/>
        </w:rPr>
        <w:t>I now turn to rationality.</w:t>
      </w:r>
    </w:p>
    <w:p w14:paraId="2B8D1E34" w14:textId="22D1628D" w:rsidR="00257AC8" w:rsidRDefault="00257AC8" w:rsidP="009472CC">
      <w:pPr>
        <w:pStyle w:val="RetiefPleadingpara1"/>
        <w:numPr>
          <w:ilvl w:val="0"/>
          <w:numId w:val="0"/>
        </w:numPr>
        <w:spacing w:before="480" w:after="480"/>
        <w:rPr>
          <w:b/>
          <w:bCs/>
          <w:szCs w:val="24"/>
          <w:u w:val="single"/>
        </w:rPr>
      </w:pPr>
      <w:r w:rsidRPr="00257AC8">
        <w:rPr>
          <w:b/>
          <w:bCs/>
          <w:szCs w:val="24"/>
          <w:u w:val="single"/>
        </w:rPr>
        <w:t>RATIONALITY</w:t>
      </w:r>
      <w:r w:rsidR="004177DB">
        <w:rPr>
          <w:b/>
          <w:bCs/>
          <w:szCs w:val="24"/>
          <w:u w:val="single"/>
        </w:rPr>
        <w:t xml:space="preserve"> </w:t>
      </w:r>
    </w:p>
    <w:p w14:paraId="6B2A05EC" w14:textId="7639D7E5" w:rsidR="004A69E3" w:rsidRPr="004A69E3" w:rsidRDefault="004A69E3" w:rsidP="009472CC">
      <w:pPr>
        <w:pStyle w:val="RetiefPleadingpara1"/>
        <w:numPr>
          <w:ilvl w:val="0"/>
          <w:numId w:val="0"/>
        </w:numPr>
        <w:spacing w:before="480" w:after="480"/>
        <w:rPr>
          <w:i/>
          <w:iCs/>
          <w:szCs w:val="24"/>
          <w:u w:val="single"/>
        </w:rPr>
      </w:pPr>
      <w:r w:rsidRPr="004A69E3">
        <w:rPr>
          <w:i/>
          <w:iCs/>
          <w:szCs w:val="24"/>
          <w:u w:val="single"/>
        </w:rPr>
        <w:t>Was the</w:t>
      </w:r>
      <w:r w:rsidR="00E46907">
        <w:rPr>
          <w:i/>
          <w:iCs/>
          <w:szCs w:val="24"/>
          <w:u w:val="single"/>
        </w:rPr>
        <w:t xml:space="preserve"> Finance Minister’s </w:t>
      </w:r>
      <w:r w:rsidRPr="004A69E3">
        <w:rPr>
          <w:i/>
          <w:iCs/>
          <w:szCs w:val="24"/>
          <w:u w:val="single"/>
        </w:rPr>
        <w:t>decision rational</w:t>
      </w:r>
      <w:r w:rsidRPr="00F32B8C">
        <w:rPr>
          <w:i/>
          <w:iCs/>
          <w:szCs w:val="24"/>
        </w:rPr>
        <w:t>?</w:t>
      </w:r>
    </w:p>
    <w:p w14:paraId="043D96A1" w14:textId="4DD4D8CC" w:rsidR="00E76EA4" w:rsidRDefault="0027466D" w:rsidP="0027466D">
      <w:pPr>
        <w:pStyle w:val="RetiefPleadingpara1"/>
        <w:numPr>
          <w:ilvl w:val="0"/>
          <w:numId w:val="0"/>
        </w:numPr>
        <w:tabs>
          <w:tab w:val="left" w:pos="851"/>
        </w:tabs>
        <w:spacing w:before="480" w:after="480"/>
        <w:rPr>
          <w:szCs w:val="24"/>
        </w:rPr>
      </w:pPr>
      <w:r>
        <w:rPr>
          <w:szCs w:val="24"/>
        </w:rPr>
        <w:t>[83]</w:t>
      </w:r>
      <w:r>
        <w:rPr>
          <w:szCs w:val="24"/>
        </w:rPr>
        <w:tab/>
      </w:r>
      <w:r w:rsidR="00662406">
        <w:rPr>
          <w:szCs w:val="24"/>
        </w:rPr>
        <w:t xml:space="preserve">The nub of </w:t>
      </w:r>
      <w:r w:rsidR="00DC3597">
        <w:rPr>
          <w:szCs w:val="24"/>
        </w:rPr>
        <w:t>AMIE</w:t>
      </w:r>
      <w:r w:rsidR="00F32B8C">
        <w:rPr>
          <w:szCs w:val="24"/>
        </w:rPr>
        <w:t>’s</w:t>
      </w:r>
      <w:r w:rsidR="00D20FE1">
        <w:rPr>
          <w:szCs w:val="24"/>
        </w:rPr>
        <w:t xml:space="preserve"> challenges</w:t>
      </w:r>
      <w:r w:rsidR="00BA5039">
        <w:rPr>
          <w:szCs w:val="24"/>
        </w:rPr>
        <w:t xml:space="preserve"> </w:t>
      </w:r>
      <w:r w:rsidR="00D20FE1">
        <w:rPr>
          <w:szCs w:val="24"/>
        </w:rPr>
        <w:t>against the Deputy Minister</w:t>
      </w:r>
      <w:r w:rsidR="00BA5039">
        <w:rPr>
          <w:szCs w:val="24"/>
        </w:rPr>
        <w:t xml:space="preserve"> regarding rationality i</w:t>
      </w:r>
      <w:r w:rsidR="00D20FE1">
        <w:rPr>
          <w:szCs w:val="24"/>
        </w:rPr>
        <w:t xml:space="preserve">s </w:t>
      </w:r>
      <w:r w:rsidR="00E76EA4">
        <w:rPr>
          <w:szCs w:val="24"/>
        </w:rPr>
        <w:t xml:space="preserve">the </w:t>
      </w:r>
      <w:r w:rsidR="00BA5039">
        <w:rPr>
          <w:szCs w:val="24"/>
        </w:rPr>
        <w:t xml:space="preserve"> fact </w:t>
      </w:r>
      <w:r w:rsidR="00D20FE1">
        <w:rPr>
          <w:szCs w:val="24"/>
        </w:rPr>
        <w:t xml:space="preserve">he ignored serious allegations </w:t>
      </w:r>
      <w:r w:rsidR="00BA5039">
        <w:rPr>
          <w:szCs w:val="24"/>
        </w:rPr>
        <w:t xml:space="preserve">levied </w:t>
      </w:r>
      <w:r w:rsidR="00D20FE1">
        <w:rPr>
          <w:szCs w:val="24"/>
        </w:rPr>
        <w:t xml:space="preserve">against ITAC </w:t>
      </w:r>
      <w:r w:rsidR="00BA5039">
        <w:rPr>
          <w:szCs w:val="24"/>
        </w:rPr>
        <w:t xml:space="preserve">in respect of the </w:t>
      </w:r>
      <w:r w:rsidR="00E76EA4">
        <w:rPr>
          <w:szCs w:val="24"/>
        </w:rPr>
        <w:t xml:space="preserve">administrative </w:t>
      </w:r>
      <w:r w:rsidR="00BA5039">
        <w:rPr>
          <w:szCs w:val="24"/>
        </w:rPr>
        <w:t>process</w:t>
      </w:r>
      <w:r w:rsidR="00845918">
        <w:rPr>
          <w:szCs w:val="24"/>
        </w:rPr>
        <w:t xml:space="preserve"> - i</w:t>
      </w:r>
      <w:r w:rsidR="00BA5039">
        <w:rPr>
          <w:szCs w:val="24"/>
        </w:rPr>
        <w:t>n particular Merlog’s complaints of 12 July 2021 which appear not to have been considered</w:t>
      </w:r>
      <w:r w:rsidR="00E76EA4">
        <w:rPr>
          <w:szCs w:val="24"/>
        </w:rPr>
        <w:t xml:space="preserve"> at all.</w:t>
      </w:r>
      <w:r w:rsidR="006D62FD">
        <w:rPr>
          <w:szCs w:val="24"/>
        </w:rPr>
        <w:t xml:space="preserve"> In essence</w:t>
      </w:r>
      <w:r w:rsidR="00662406">
        <w:rPr>
          <w:szCs w:val="24"/>
        </w:rPr>
        <w:t xml:space="preserve"> an enquiry into </w:t>
      </w:r>
      <w:r w:rsidR="006D62FD">
        <w:rPr>
          <w:szCs w:val="24"/>
        </w:rPr>
        <w:t xml:space="preserve">procedural fairness </w:t>
      </w:r>
      <w:r w:rsidR="00662406">
        <w:rPr>
          <w:szCs w:val="24"/>
        </w:rPr>
        <w:t xml:space="preserve">at the Finance Minister stage </w:t>
      </w:r>
      <w:r w:rsidR="006D62FD">
        <w:rPr>
          <w:szCs w:val="24"/>
        </w:rPr>
        <w:t>by taking diverse and conflicting considerations into account.</w:t>
      </w:r>
      <w:r w:rsidR="00662406">
        <w:rPr>
          <w:szCs w:val="24"/>
        </w:rPr>
        <w:t xml:space="preserve"> </w:t>
      </w:r>
    </w:p>
    <w:p w14:paraId="518A2951" w14:textId="63625146" w:rsidR="00BA5039" w:rsidRDefault="0027466D" w:rsidP="0027466D">
      <w:pPr>
        <w:pStyle w:val="RetiefPleadingpara1"/>
        <w:numPr>
          <w:ilvl w:val="0"/>
          <w:numId w:val="0"/>
        </w:numPr>
        <w:tabs>
          <w:tab w:val="left" w:pos="851"/>
        </w:tabs>
        <w:spacing w:before="480" w:after="480"/>
        <w:rPr>
          <w:szCs w:val="24"/>
        </w:rPr>
      </w:pPr>
      <w:r>
        <w:rPr>
          <w:szCs w:val="24"/>
        </w:rPr>
        <w:t>[84]</w:t>
      </w:r>
      <w:r>
        <w:rPr>
          <w:szCs w:val="24"/>
        </w:rPr>
        <w:tab/>
      </w:r>
      <w:r w:rsidR="00DC3597">
        <w:rPr>
          <w:szCs w:val="24"/>
        </w:rPr>
        <w:t>AMIE</w:t>
      </w:r>
      <w:r w:rsidR="00BA5039">
        <w:rPr>
          <w:szCs w:val="24"/>
        </w:rPr>
        <w:t xml:space="preserve"> in argument expanded the challenge </w:t>
      </w:r>
      <w:r w:rsidR="00E76EA4">
        <w:rPr>
          <w:szCs w:val="24"/>
        </w:rPr>
        <w:t xml:space="preserve">to include the </w:t>
      </w:r>
      <w:r w:rsidR="00662406">
        <w:rPr>
          <w:szCs w:val="24"/>
        </w:rPr>
        <w:t>‘</w:t>
      </w:r>
      <w:r w:rsidR="00662406" w:rsidRPr="00662406">
        <w:rPr>
          <w:szCs w:val="24"/>
        </w:rPr>
        <w:t>conditions</w:t>
      </w:r>
      <w:r w:rsidR="00662406">
        <w:rPr>
          <w:szCs w:val="24"/>
        </w:rPr>
        <w:t>’</w:t>
      </w:r>
      <w:r w:rsidR="00E76EA4">
        <w:rPr>
          <w:szCs w:val="24"/>
        </w:rPr>
        <w:t xml:space="preserve"> in the SARS letter in which </w:t>
      </w:r>
      <w:r w:rsidR="00662406">
        <w:rPr>
          <w:szCs w:val="24"/>
        </w:rPr>
        <w:t>SARS informed</w:t>
      </w:r>
      <w:r w:rsidR="00E76EA4">
        <w:rPr>
          <w:szCs w:val="24"/>
        </w:rPr>
        <w:t xml:space="preserve"> the Deputy Minister that</w:t>
      </w:r>
      <w:r w:rsidR="00662406">
        <w:rPr>
          <w:szCs w:val="24"/>
        </w:rPr>
        <w:t xml:space="preserve"> they</w:t>
      </w:r>
      <w:r w:rsidR="00BA5039">
        <w:rPr>
          <w:szCs w:val="24"/>
        </w:rPr>
        <w:t xml:space="preserve">, at that time, </w:t>
      </w:r>
      <w:r w:rsidR="00E76EA4">
        <w:rPr>
          <w:szCs w:val="24"/>
        </w:rPr>
        <w:t>were</w:t>
      </w:r>
      <w:r w:rsidR="00BA5039">
        <w:rPr>
          <w:szCs w:val="24"/>
        </w:rPr>
        <w:t xml:space="preserve"> not in a position to confirm that all the factors and potential implications of the </w:t>
      </w:r>
      <w:r w:rsidR="00BA5039">
        <w:rPr>
          <w:szCs w:val="24"/>
        </w:rPr>
        <w:lastRenderedPageBreak/>
        <w:t>request to approve had been identified, considered</w:t>
      </w:r>
      <w:r w:rsidR="00845918">
        <w:rPr>
          <w:szCs w:val="24"/>
        </w:rPr>
        <w:t>,</w:t>
      </w:r>
      <w:r w:rsidR="00BA5039">
        <w:rPr>
          <w:szCs w:val="24"/>
        </w:rPr>
        <w:t xml:space="preserve"> and disclosed</w:t>
      </w:r>
      <w:r w:rsidR="00E76EA4">
        <w:rPr>
          <w:szCs w:val="24"/>
        </w:rPr>
        <w:t xml:space="preserve"> [SARS statement]</w:t>
      </w:r>
      <w:r w:rsidR="00BA5039">
        <w:rPr>
          <w:szCs w:val="24"/>
        </w:rPr>
        <w:t>.</w:t>
      </w:r>
    </w:p>
    <w:p w14:paraId="07D96DFC" w14:textId="133495C5" w:rsidR="006E41AC" w:rsidRDefault="0027466D" w:rsidP="0027466D">
      <w:pPr>
        <w:pStyle w:val="RetiefPleadingpara1"/>
        <w:numPr>
          <w:ilvl w:val="0"/>
          <w:numId w:val="0"/>
        </w:numPr>
        <w:tabs>
          <w:tab w:val="left" w:pos="851"/>
        </w:tabs>
        <w:spacing w:before="480" w:after="480"/>
        <w:rPr>
          <w:szCs w:val="24"/>
        </w:rPr>
      </w:pPr>
      <w:r>
        <w:rPr>
          <w:szCs w:val="24"/>
        </w:rPr>
        <w:t>[85]</w:t>
      </w:r>
      <w:r>
        <w:rPr>
          <w:szCs w:val="24"/>
        </w:rPr>
        <w:tab/>
      </w:r>
      <w:r w:rsidR="00E76EA4">
        <w:rPr>
          <w:szCs w:val="24"/>
        </w:rPr>
        <w:t>To unpack and consider the challenge I need to set a basis upon which a rationality challenge is to be resolved.</w:t>
      </w:r>
    </w:p>
    <w:p w14:paraId="095C65FD" w14:textId="343FEB59" w:rsidR="00DA2BA8" w:rsidRDefault="0027466D" w:rsidP="0027466D">
      <w:pPr>
        <w:pStyle w:val="RetiefPleadingpara1"/>
        <w:numPr>
          <w:ilvl w:val="0"/>
          <w:numId w:val="0"/>
        </w:numPr>
        <w:tabs>
          <w:tab w:val="left" w:pos="851"/>
        </w:tabs>
        <w:spacing w:before="480" w:after="480"/>
        <w:rPr>
          <w:szCs w:val="24"/>
        </w:rPr>
      </w:pPr>
      <w:r>
        <w:rPr>
          <w:szCs w:val="24"/>
        </w:rPr>
        <w:t>[86]</w:t>
      </w:r>
      <w:r>
        <w:rPr>
          <w:szCs w:val="24"/>
        </w:rPr>
        <w:tab/>
      </w:r>
      <w:r w:rsidR="00DA2BA8">
        <w:rPr>
          <w:szCs w:val="24"/>
        </w:rPr>
        <w:t>For the exercise of the public power</w:t>
      </w:r>
      <w:r w:rsidR="009A3BFF">
        <w:rPr>
          <w:szCs w:val="24"/>
        </w:rPr>
        <w:t>,</w:t>
      </w:r>
      <w:r w:rsidR="00DA2BA8">
        <w:rPr>
          <w:szCs w:val="24"/>
        </w:rPr>
        <w:t xml:space="preserve"> in this case, the </w:t>
      </w:r>
      <w:r w:rsidR="00BA5039">
        <w:rPr>
          <w:szCs w:val="24"/>
        </w:rPr>
        <w:t xml:space="preserve">Deputy </w:t>
      </w:r>
      <w:r w:rsidR="00DA2BA8">
        <w:rPr>
          <w:szCs w:val="24"/>
        </w:rPr>
        <w:t>Minister</w:t>
      </w:r>
      <w:r w:rsidR="00845918">
        <w:rPr>
          <w:szCs w:val="24"/>
        </w:rPr>
        <w:t>’</w:t>
      </w:r>
      <w:r w:rsidR="00BA5039">
        <w:rPr>
          <w:szCs w:val="24"/>
        </w:rPr>
        <w:t>s,</w:t>
      </w:r>
      <w:r w:rsidR="00DA2BA8">
        <w:rPr>
          <w:szCs w:val="24"/>
        </w:rPr>
        <w:t xml:space="preserve"> to meet the standard of rationality, it must be rationally related to the purpose for which the power was given</w:t>
      </w:r>
      <w:r w:rsidR="004A69E3">
        <w:rPr>
          <w:szCs w:val="24"/>
        </w:rPr>
        <w:t xml:space="preserve"> and not made arbitrarily</w:t>
      </w:r>
      <w:r w:rsidR="00DA2BA8">
        <w:rPr>
          <w:szCs w:val="24"/>
        </w:rPr>
        <w:t>. This is an objective test and is distinct from reasonableness. For reasonableness, on the other hand</w:t>
      </w:r>
      <w:r w:rsidR="00845918">
        <w:rPr>
          <w:szCs w:val="24"/>
        </w:rPr>
        <w:t>,</w:t>
      </w:r>
      <w:r w:rsidR="00DA2BA8">
        <w:rPr>
          <w:szCs w:val="24"/>
        </w:rPr>
        <w:t xml:space="preserve"> is a test of the decision itself, whereas </w:t>
      </w:r>
      <w:r w:rsidR="004A69E3">
        <w:rPr>
          <w:szCs w:val="24"/>
        </w:rPr>
        <w:t xml:space="preserve">a </w:t>
      </w:r>
      <w:r w:rsidR="00DA2BA8">
        <w:rPr>
          <w:szCs w:val="24"/>
        </w:rPr>
        <w:t xml:space="preserve">review for rationality is testing whether there is sufficient connection between the means chosen and the objective sought to be achieved. </w:t>
      </w:r>
    </w:p>
    <w:p w14:paraId="05EF5D57" w14:textId="4C856351" w:rsidR="006D62FD" w:rsidRDefault="0027466D" w:rsidP="0027466D">
      <w:pPr>
        <w:pStyle w:val="RetiefPleadingpara1"/>
        <w:numPr>
          <w:ilvl w:val="0"/>
          <w:numId w:val="0"/>
        </w:numPr>
        <w:spacing w:before="480" w:after="480"/>
        <w:rPr>
          <w:szCs w:val="24"/>
        </w:rPr>
      </w:pPr>
      <w:r>
        <w:rPr>
          <w:szCs w:val="24"/>
        </w:rPr>
        <w:t>[87]</w:t>
      </w:r>
      <w:r>
        <w:rPr>
          <w:szCs w:val="24"/>
        </w:rPr>
        <w:tab/>
      </w:r>
      <w:r w:rsidR="00DA2BA8">
        <w:rPr>
          <w:szCs w:val="24"/>
        </w:rPr>
        <w:t xml:space="preserve">In </w:t>
      </w:r>
      <w:r w:rsidR="00DA2BA8" w:rsidRPr="003F26EC">
        <w:rPr>
          <w:b/>
          <w:bCs/>
          <w:szCs w:val="24"/>
        </w:rPr>
        <w:t>Albutt</w:t>
      </w:r>
      <w:r w:rsidR="00DA2BA8" w:rsidRPr="00A34FE4">
        <w:rPr>
          <w:szCs w:val="24"/>
        </w:rPr>
        <w:t>:</w:t>
      </w:r>
      <w:r w:rsidR="00DA2BA8">
        <w:rPr>
          <w:rStyle w:val="FootnoteReference"/>
          <w:szCs w:val="24"/>
        </w:rPr>
        <w:footnoteReference w:id="34"/>
      </w:r>
    </w:p>
    <w:p w14:paraId="69B84B58" w14:textId="38E7F78E" w:rsidR="00DA2BA8" w:rsidRPr="006D62FD" w:rsidRDefault="00DA2BA8" w:rsidP="006D62FD">
      <w:pPr>
        <w:pStyle w:val="RetiefPleadingpara1"/>
        <w:numPr>
          <w:ilvl w:val="0"/>
          <w:numId w:val="0"/>
        </w:numPr>
        <w:tabs>
          <w:tab w:val="left" w:pos="851"/>
        </w:tabs>
        <w:spacing w:before="480" w:after="480"/>
        <w:ind w:left="851"/>
        <w:rPr>
          <w:szCs w:val="24"/>
        </w:rPr>
      </w:pPr>
      <w:r w:rsidRPr="006D62FD">
        <w:rPr>
          <w:szCs w:val="24"/>
        </w:rPr>
        <w:t>“</w:t>
      </w:r>
      <w:r w:rsidRPr="006D62FD">
        <w:rPr>
          <w:i/>
          <w:iCs/>
          <w:szCs w:val="24"/>
        </w:rPr>
        <w:t xml:space="preserve">The executive has a wide discretion in selecting the means to achieve its constitutionally permissible objectives. Courts may not interfere with the means selected simply because they do not like them, or because there are some other appropriate means that could have been selected. But, where the decision is challenged on the grounds of rationality, courts are obliged to examine the means selected to determine whether they rationally related to the object sought to be achieved. What must be stressed is that the purpose of the inquiry is to determine not whether there are other means that could have been used, but whether the means selected are rationally </w:t>
      </w:r>
      <w:r w:rsidRPr="006D62FD">
        <w:rPr>
          <w:i/>
          <w:iCs/>
          <w:szCs w:val="24"/>
        </w:rPr>
        <w:lastRenderedPageBreak/>
        <w:t>related to the object sought to be achieved. And if, objectively speaking they are not, they fall short of the standard demanded by the Constitution.</w:t>
      </w:r>
      <w:r w:rsidRPr="006D62FD">
        <w:rPr>
          <w:szCs w:val="24"/>
        </w:rPr>
        <w:t>”</w:t>
      </w:r>
    </w:p>
    <w:p w14:paraId="5E2F5731" w14:textId="69A07A6C" w:rsidR="00DA2BA8" w:rsidRPr="0096183F" w:rsidRDefault="0027466D" w:rsidP="0027466D">
      <w:pPr>
        <w:pStyle w:val="RetiefPleadingpara1"/>
        <w:numPr>
          <w:ilvl w:val="0"/>
          <w:numId w:val="0"/>
        </w:numPr>
        <w:tabs>
          <w:tab w:val="left" w:pos="851"/>
        </w:tabs>
        <w:spacing w:before="480" w:after="480"/>
        <w:rPr>
          <w:szCs w:val="24"/>
        </w:rPr>
      </w:pPr>
      <w:r w:rsidRPr="0096183F">
        <w:rPr>
          <w:szCs w:val="24"/>
        </w:rPr>
        <w:t>[88]</w:t>
      </w:r>
      <w:r w:rsidRPr="0096183F">
        <w:rPr>
          <w:szCs w:val="24"/>
        </w:rPr>
        <w:tab/>
      </w:r>
      <w:r w:rsidR="009A3BFF" w:rsidRPr="00E42DF3">
        <w:rPr>
          <w:color w:val="000000" w:themeColor="text1"/>
          <w:szCs w:val="24"/>
        </w:rPr>
        <w:t xml:space="preserve">The test </w:t>
      </w:r>
      <w:r w:rsidR="0096183F">
        <w:rPr>
          <w:color w:val="000000" w:themeColor="text1"/>
          <w:szCs w:val="24"/>
        </w:rPr>
        <w:t xml:space="preserve">in short therefore </w:t>
      </w:r>
      <w:r w:rsidR="009A3BFF" w:rsidRPr="00E42DF3">
        <w:rPr>
          <w:color w:val="000000" w:themeColor="text1"/>
          <w:szCs w:val="24"/>
        </w:rPr>
        <w:t xml:space="preserve">entails </w:t>
      </w:r>
      <w:r w:rsidR="00662406">
        <w:rPr>
          <w:color w:val="000000" w:themeColor="text1"/>
          <w:szCs w:val="24"/>
        </w:rPr>
        <w:t xml:space="preserve">the </w:t>
      </w:r>
      <w:r w:rsidR="00DA2BA8" w:rsidRPr="00E42DF3">
        <w:rPr>
          <w:color w:val="000000" w:themeColor="text1"/>
          <w:szCs w:val="24"/>
        </w:rPr>
        <w:t xml:space="preserve">consideration </w:t>
      </w:r>
      <w:r w:rsidR="00E42DF3" w:rsidRPr="00E42DF3">
        <w:rPr>
          <w:color w:val="000000" w:themeColor="text1"/>
          <w:szCs w:val="24"/>
        </w:rPr>
        <w:t xml:space="preserve">of relevant </w:t>
      </w:r>
      <w:r w:rsidR="00DA2BA8" w:rsidRPr="00E42DF3">
        <w:rPr>
          <w:color w:val="000000" w:themeColor="text1"/>
          <w:szCs w:val="24"/>
        </w:rPr>
        <w:t>factors</w:t>
      </w:r>
      <w:r w:rsidR="00662406">
        <w:rPr>
          <w:color w:val="000000" w:themeColor="text1"/>
          <w:szCs w:val="24"/>
        </w:rPr>
        <w:t xml:space="preserve"> considered between means and objectives.</w:t>
      </w:r>
    </w:p>
    <w:p w14:paraId="29DA0D53" w14:textId="2BBF6C0A" w:rsidR="0096183F" w:rsidRPr="00837F5E" w:rsidRDefault="0027466D" w:rsidP="0027466D">
      <w:pPr>
        <w:pStyle w:val="RetiefPleadingpara1"/>
        <w:numPr>
          <w:ilvl w:val="0"/>
          <w:numId w:val="0"/>
        </w:numPr>
        <w:tabs>
          <w:tab w:val="left" w:pos="851"/>
        </w:tabs>
        <w:spacing w:before="480" w:after="480"/>
        <w:rPr>
          <w:szCs w:val="24"/>
        </w:rPr>
      </w:pPr>
      <w:r w:rsidRPr="00837F5E">
        <w:rPr>
          <w:szCs w:val="24"/>
        </w:rPr>
        <w:t>[89]</w:t>
      </w:r>
      <w:r w:rsidRPr="00837F5E">
        <w:rPr>
          <w:szCs w:val="24"/>
        </w:rPr>
        <w:tab/>
      </w:r>
      <w:r w:rsidR="0096183F">
        <w:rPr>
          <w:color w:val="000000" w:themeColor="text1"/>
          <w:szCs w:val="24"/>
        </w:rPr>
        <w:t>In</w:t>
      </w:r>
      <w:r w:rsidR="006D62FD">
        <w:rPr>
          <w:color w:val="000000" w:themeColor="text1"/>
          <w:szCs w:val="24"/>
        </w:rPr>
        <w:t xml:space="preserve"> considering factors I do so against the backdrop </w:t>
      </w:r>
      <w:r w:rsidR="000144C4">
        <w:rPr>
          <w:color w:val="000000" w:themeColor="text1"/>
          <w:szCs w:val="24"/>
        </w:rPr>
        <w:t xml:space="preserve">of the following: </w:t>
      </w:r>
      <w:r w:rsidR="0096183F">
        <w:rPr>
          <w:color w:val="000000" w:themeColor="text1"/>
          <w:szCs w:val="24"/>
        </w:rPr>
        <w:t xml:space="preserve">that </w:t>
      </w:r>
      <w:r w:rsidR="0096183F">
        <w:rPr>
          <w:szCs w:val="24"/>
        </w:rPr>
        <w:t>the Finance Minister is not obliged to follow the recommendation of the Trade Minster and</w:t>
      </w:r>
      <w:r w:rsidR="000144C4">
        <w:rPr>
          <w:szCs w:val="24"/>
        </w:rPr>
        <w:t>,</w:t>
      </w:r>
      <w:r w:rsidR="0096183F">
        <w:rPr>
          <w:szCs w:val="24"/>
        </w:rPr>
        <w:t xml:space="preserve"> that the Finance Minister is the only organ of state (other than parliament through national legislation), which can impose, withdraw</w:t>
      </w:r>
      <w:r w:rsidR="00845918">
        <w:rPr>
          <w:szCs w:val="24"/>
        </w:rPr>
        <w:t>,</w:t>
      </w:r>
      <w:r w:rsidR="0096183F">
        <w:rPr>
          <w:szCs w:val="24"/>
        </w:rPr>
        <w:t xml:space="preserve"> or amend any such duty or measure.</w:t>
      </w:r>
    </w:p>
    <w:p w14:paraId="17971BA6" w14:textId="0DA5C691" w:rsidR="0096183F" w:rsidRDefault="0027466D" w:rsidP="0027466D">
      <w:pPr>
        <w:pStyle w:val="RetiefPleadingpara1"/>
        <w:numPr>
          <w:ilvl w:val="0"/>
          <w:numId w:val="0"/>
        </w:numPr>
        <w:tabs>
          <w:tab w:val="left" w:pos="851"/>
        </w:tabs>
        <w:spacing w:before="480" w:after="480"/>
        <w:rPr>
          <w:szCs w:val="24"/>
        </w:rPr>
      </w:pPr>
      <w:r>
        <w:rPr>
          <w:szCs w:val="24"/>
        </w:rPr>
        <w:t>[90]</w:t>
      </w:r>
      <w:r>
        <w:rPr>
          <w:szCs w:val="24"/>
        </w:rPr>
        <w:tab/>
      </w:r>
      <w:r w:rsidR="0096183F" w:rsidRPr="0096183F">
        <w:rPr>
          <w:szCs w:val="24"/>
        </w:rPr>
        <w:t>One of the Deputy Finance</w:t>
      </w:r>
      <w:r w:rsidR="00845918">
        <w:rPr>
          <w:szCs w:val="24"/>
        </w:rPr>
        <w:t xml:space="preserve"> Minister</w:t>
      </w:r>
      <w:r w:rsidR="0096183F" w:rsidRPr="0096183F">
        <w:rPr>
          <w:szCs w:val="24"/>
        </w:rPr>
        <w:t xml:space="preserve">’s </w:t>
      </w:r>
      <w:r w:rsidR="00022511">
        <w:rPr>
          <w:szCs w:val="24"/>
        </w:rPr>
        <w:t xml:space="preserve">permissible </w:t>
      </w:r>
      <w:r w:rsidR="0096183F" w:rsidRPr="0096183F">
        <w:rPr>
          <w:szCs w:val="24"/>
        </w:rPr>
        <w:t>objectives</w:t>
      </w:r>
      <w:r w:rsidR="000144C4">
        <w:rPr>
          <w:i/>
          <w:iCs/>
          <w:szCs w:val="24"/>
        </w:rPr>
        <w:t xml:space="preserve">, </w:t>
      </w:r>
      <w:r w:rsidR="00835F06" w:rsidRPr="00022511">
        <w:rPr>
          <w:szCs w:val="24"/>
        </w:rPr>
        <w:t xml:space="preserve">at the </w:t>
      </w:r>
      <w:r w:rsidR="00022511">
        <w:rPr>
          <w:szCs w:val="24"/>
        </w:rPr>
        <w:t xml:space="preserve">material </w:t>
      </w:r>
      <w:r w:rsidR="00835F06" w:rsidRPr="00022511">
        <w:rPr>
          <w:szCs w:val="24"/>
        </w:rPr>
        <w:t>time</w:t>
      </w:r>
      <w:r w:rsidR="00835F06">
        <w:rPr>
          <w:i/>
          <w:iCs/>
          <w:szCs w:val="24"/>
        </w:rPr>
        <w:t xml:space="preserve">, </w:t>
      </w:r>
      <w:r w:rsidR="000144C4">
        <w:rPr>
          <w:szCs w:val="24"/>
        </w:rPr>
        <w:t xml:space="preserve">was </w:t>
      </w:r>
      <w:r w:rsidR="0096183F" w:rsidRPr="0096183F">
        <w:rPr>
          <w:szCs w:val="24"/>
        </w:rPr>
        <w:t>to</w:t>
      </w:r>
      <w:r w:rsidR="000144C4">
        <w:rPr>
          <w:i/>
          <w:iCs/>
          <w:szCs w:val="24"/>
        </w:rPr>
        <w:t xml:space="preserve"> </w:t>
      </w:r>
      <w:r w:rsidR="0096183F" w:rsidRPr="0096183F">
        <w:rPr>
          <w:szCs w:val="24"/>
        </w:rPr>
        <w:t xml:space="preserve">be </w:t>
      </w:r>
      <w:r w:rsidR="0096183F">
        <w:rPr>
          <w:szCs w:val="24"/>
        </w:rPr>
        <w:t xml:space="preserve">satisfied that the competing </w:t>
      </w:r>
      <w:r w:rsidR="000144C4">
        <w:rPr>
          <w:szCs w:val="24"/>
        </w:rPr>
        <w:t xml:space="preserve">interests of </w:t>
      </w:r>
      <w:r w:rsidR="0096183F">
        <w:rPr>
          <w:szCs w:val="24"/>
        </w:rPr>
        <w:t xml:space="preserve">economic policies, the </w:t>
      </w:r>
      <w:r w:rsidR="0096183F" w:rsidRPr="00073182">
        <w:rPr>
          <w:i/>
          <w:iCs/>
          <w:szCs w:val="24"/>
        </w:rPr>
        <w:t>fiscus</w:t>
      </w:r>
      <w:r w:rsidR="0096183F">
        <w:rPr>
          <w:szCs w:val="24"/>
        </w:rPr>
        <w:t xml:space="preserve"> and the industry participants</w:t>
      </w:r>
      <w:r w:rsidR="000144C4">
        <w:rPr>
          <w:szCs w:val="24"/>
        </w:rPr>
        <w:t>’</w:t>
      </w:r>
      <w:r w:rsidR="0096183F">
        <w:rPr>
          <w:szCs w:val="24"/>
        </w:rPr>
        <w:t xml:space="preserve"> </w:t>
      </w:r>
      <w:r w:rsidR="000144C4">
        <w:rPr>
          <w:szCs w:val="24"/>
        </w:rPr>
        <w:t xml:space="preserve">interests were </w:t>
      </w:r>
      <w:r w:rsidR="0096183F">
        <w:rPr>
          <w:szCs w:val="24"/>
        </w:rPr>
        <w:t>balanced before he ma</w:t>
      </w:r>
      <w:r w:rsidR="00835F06">
        <w:rPr>
          <w:szCs w:val="24"/>
        </w:rPr>
        <w:t>de</w:t>
      </w:r>
      <w:r w:rsidR="0096183F">
        <w:rPr>
          <w:szCs w:val="24"/>
        </w:rPr>
        <w:t xml:space="preserve"> </w:t>
      </w:r>
      <w:r w:rsidR="00835F06">
        <w:rPr>
          <w:szCs w:val="24"/>
        </w:rPr>
        <w:t>the</w:t>
      </w:r>
      <w:r w:rsidR="0096183F">
        <w:rPr>
          <w:szCs w:val="24"/>
        </w:rPr>
        <w:t xml:space="preserve"> decision.</w:t>
      </w:r>
      <w:r w:rsidR="0096183F">
        <w:rPr>
          <w:rStyle w:val="FootnoteReference"/>
          <w:szCs w:val="24"/>
        </w:rPr>
        <w:footnoteReference w:id="35"/>
      </w:r>
    </w:p>
    <w:p w14:paraId="7C8648BC" w14:textId="6EB45E94" w:rsidR="00022511" w:rsidRPr="00022511" w:rsidRDefault="00022511" w:rsidP="009472CC">
      <w:pPr>
        <w:pStyle w:val="RetiefPleadingpara1"/>
        <w:numPr>
          <w:ilvl w:val="0"/>
          <w:numId w:val="0"/>
        </w:numPr>
        <w:spacing w:before="480" w:after="480"/>
        <w:rPr>
          <w:i/>
          <w:iCs/>
          <w:szCs w:val="24"/>
          <w:u w:val="single"/>
        </w:rPr>
      </w:pPr>
      <w:r w:rsidRPr="00022511">
        <w:rPr>
          <w:i/>
          <w:iCs/>
          <w:szCs w:val="24"/>
          <w:u w:val="single"/>
        </w:rPr>
        <w:t>What are the factors</w:t>
      </w:r>
      <w:r w:rsidR="00F77DDE">
        <w:rPr>
          <w:i/>
          <w:iCs/>
          <w:szCs w:val="24"/>
          <w:u w:val="single"/>
        </w:rPr>
        <w:t xml:space="preserve"> raised by </w:t>
      </w:r>
      <w:r w:rsidR="00DC3597">
        <w:rPr>
          <w:i/>
          <w:iCs/>
          <w:szCs w:val="24"/>
          <w:u w:val="single"/>
        </w:rPr>
        <w:t>AMIE</w:t>
      </w:r>
      <w:r w:rsidRPr="00845918">
        <w:rPr>
          <w:i/>
          <w:iCs/>
          <w:szCs w:val="24"/>
        </w:rPr>
        <w:t>?</w:t>
      </w:r>
    </w:p>
    <w:p w14:paraId="78B2297A" w14:textId="51E65DB5" w:rsidR="00022511" w:rsidRPr="00022511" w:rsidRDefault="0027466D" w:rsidP="0027466D">
      <w:pPr>
        <w:pStyle w:val="RetiefPleadingpara1"/>
        <w:numPr>
          <w:ilvl w:val="0"/>
          <w:numId w:val="0"/>
        </w:numPr>
        <w:tabs>
          <w:tab w:val="left" w:pos="851"/>
        </w:tabs>
        <w:spacing w:before="480" w:after="480"/>
        <w:rPr>
          <w:i/>
          <w:iCs/>
          <w:szCs w:val="24"/>
        </w:rPr>
      </w:pPr>
      <w:r w:rsidRPr="00022511">
        <w:rPr>
          <w:szCs w:val="24"/>
        </w:rPr>
        <w:t>[91]</w:t>
      </w:r>
      <w:r w:rsidRPr="00022511">
        <w:rPr>
          <w:szCs w:val="24"/>
        </w:rPr>
        <w:tab/>
      </w:r>
      <w:r w:rsidR="00E76EA4" w:rsidRPr="00837F5E">
        <w:rPr>
          <w:szCs w:val="24"/>
        </w:rPr>
        <w:t xml:space="preserve">I </w:t>
      </w:r>
      <w:r w:rsidR="00F77DDE">
        <w:rPr>
          <w:szCs w:val="24"/>
        </w:rPr>
        <w:t xml:space="preserve">commence by </w:t>
      </w:r>
      <w:r w:rsidR="00837F5E">
        <w:rPr>
          <w:szCs w:val="24"/>
        </w:rPr>
        <w:t>consider</w:t>
      </w:r>
      <w:r w:rsidR="00F77DDE">
        <w:rPr>
          <w:szCs w:val="24"/>
        </w:rPr>
        <w:t>ing</w:t>
      </w:r>
      <w:r w:rsidR="00837F5E">
        <w:rPr>
          <w:szCs w:val="24"/>
        </w:rPr>
        <w:t xml:space="preserve"> the Deputy Minister’s </w:t>
      </w:r>
      <w:r w:rsidR="00F77DDE">
        <w:rPr>
          <w:szCs w:val="24"/>
        </w:rPr>
        <w:t xml:space="preserve">consideration </w:t>
      </w:r>
      <w:r w:rsidR="00837F5E">
        <w:rPr>
          <w:szCs w:val="24"/>
        </w:rPr>
        <w:t>of the  economic and fiscal policies</w:t>
      </w:r>
      <w:r w:rsidR="006D62FD">
        <w:rPr>
          <w:szCs w:val="24"/>
        </w:rPr>
        <w:t>. In doing so,</w:t>
      </w:r>
      <w:r w:rsidR="00F77DDE">
        <w:rPr>
          <w:szCs w:val="24"/>
        </w:rPr>
        <w:t xml:space="preserve"> I consider </w:t>
      </w:r>
      <w:r w:rsidR="00DC3597">
        <w:rPr>
          <w:szCs w:val="24"/>
        </w:rPr>
        <w:t>AMIE</w:t>
      </w:r>
      <w:r w:rsidR="00837F5E">
        <w:rPr>
          <w:szCs w:val="24"/>
        </w:rPr>
        <w:t xml:space="preserve">’s challenge in respect of the </w:t>
      </w:r>
      <w:r w:rsidR="00F77DDE">
        <w:rPr>
          <w:szCs w:val="24"/>
        </w:rPr>
        <w:t xml:space="preserve">condition in the </w:t>
      </w:r>
      <w:r w:rsidR="00022511">
        <w:rPr>
          <w:szCs w:val="24"/>
        </w:rPr>
        <w:t>SARS letter</w:t>
      </w:r>
      <w:r w:rsidR="00F77DDE">
        <w:rPr>
          <w:szCs w:val="24"/>
        </w:rPr>
        <w:t>. SARS</w:t>
      </w:r>
      <w:r w:rsidR="00022511">
        <w:rPr>
          <w:szCs w:val="24"/>
        </w:rPr>
        <w:t xml:space="preserve"> states that it is not in a position to confirm that all the factors and potential implications of the request to approve had been </w:t>
      </w:r>
      <w:r w:rsidR="00022511">
        <w:rPr>
          <w:szCs w:val="24"/>
        </w:rPr>
        <w:lastRenderedPageBreak/>
        <w:t>identified, considered</w:t>
      </w:r>
      <w:r w:rsidR="00845918">
        <w:rPr>
          <w:szCs w:val="24"/>
        </w:rPr>
        <w:t>,</w:t>
      </w:r>
      <w:r w:rsidR="00022511">
        <w:rPr>
          <w:szCs w:val="24"/>
        </w:rPr>
        <w:t xml:space="preserve"> and disclosed. </w:t>
      </w:r>
      <w:r w:rsidR="00DA2BA8" w:rsidRPr="00837F5E">
        <w:rPr>
          <w:szCs w:val="24"/>
        </w:rPr>
        <w:t xml:space="preserve">Although the extract </w:t>
      </w:r>
      <w:r w:rsidR="00E76EA4" w:rsidRPr="00837F5E">
        <w:rPr>
          <w:szCs w:val="24"/>
        </w:rPr>
        <w:t xml:space="preserve">relied </w:t>
      </w:r>
      <w:r w:rsidR="00B11D48">
        <w:rPr>
          <w:szCs w:val="24"/>
        </w:rPr>
        <w:t>up</w:t>
      </w:r>
      <w:r w:rsidR="00E76EA4" w:rsidRPr="00837F5E">
        <w:rPr>
          <w:szCs w:val="24"/>
        </w:rPr>
        <w:t>on accurately</w:t>
      </w:r>
      <w:r w:rsidR="00DA2BA8" w:rsidRPr="00837F5E">
        <w:rPr>
          <w:szCs w:val="24"/>
        </w:rPr>
        <w:t xml:space="preserve"> record</w:t>
      </w:r>
      <w:r w:rsidR="00B11D48">
        <w:rPr>
          <w:szCs w:val="24"/>
        </w:rPr>
        <w:t>s the SARS statement,</w:t>
      </w:r>
      <w:r w:rsidR="00DA2BA8" w:rsidRPr="00837F5E">
        <w:rPr>
          <w:szCs w:val="24"/>
        </w:rPr>
        <w:t xml:space="preserve"> </w:t>
      </w:r>
      <w:r w:rsidR="00E76EA4" w:rsidRPr="00837F5E">
        <w:rPr>
          <w:szCs w:val="24"/>
        </w:rPr>
        <w:t>SARS d</w:t>
      </w:r>
      <w:r w:rsidR="00F77DDE">
        <w:rPr>
          <w:szCs w:val="24"/>
        </w:rPr>
        <w:t>oes qualify it.</w:t>
      </w:r>
      <w:r w:rsidR="00E76EA4" w:rsidRPr="00837F5E">
        <w:rPr>
          <w:szCs w:val="24"/>
        </w:rPr>
        <w:t xml:space="preserve"> </w:t>
      </w:r>
    </w:p>
    <w:p w14:paraId="177DE86A" w14:textId="65AA50B0" w:rsidR="00DA2BA8" w:rsidRPr="00837F5E" w:rsidRDefault="0027466D" w:rsidP="0027466D">
      <w:pPr>
        <w:pStyle w:val="RetiefPleadingpara1"/>
        <w:numPr>
          <w:ilvl w:val="0"/>
          <w:numId w:val="0"/>
        </w:numPr>
        <w:tabs>
          <w:tab w:val="left" w:pos="851"/>
        </w:tabs>
        <w:spacing w:before="480" w:after="480"/>
        <w:rPr>
          <w:i/>
          <w:iCs/>
          <w:szCs w:val="24"/>
        </w:rPr>
      </w:pPr>
      <w:r w:rsidRPr="00837F5E">
        <w:rPr>
          <w:szCs w:val="24"/>
        </w:rPr>
        <w:t>[92]</w:t>
      </w:r>
      <w:r w:rsidRPr="00837F5E">
        <w:rPr>
          <w:szCs w:val="24"/>
        </w:rPr>
        <w:tab/>
      </w:r>
      <w:r w:rsidR="00E76EA4" w:rsidRPr="005A7235">
        <w:rPr>
          <w:color w:val="000000" w:themeColor="text1"/>
          <w:szCs w:val="24"/>
        </w:rPr>
        <w:t>C</w:t>
      </w:r>
      <w:r w:rsidR="009A3BFF" w:rsidRPr="005A7235">
        <w:rPr>
          <w:color w:val="000000" w:themeColor="text1"/>
          <w:szCs w:val="24"/>
        </w:rPr>
        <w:t>ontextualis</w:t>
      </w:r>
      <w:r w:rsidR="005A7235" w:rsidRPr="005A7235">
        <w:rPr>
          <w:color w:val="000000" w:themeColor="text1"/>
          <w:szCs w:val="24"/>
        </w:rPr>
        <w:t>ing</w:t>
      </w:r>
      <w:r w:rsidR="009A3BFF" w:rsidRPr="00837F5E">
        <w:rPr>
          <w:szCs w:val="24"/>
        </w:rPr>
        <w:t xml:space="preserve"> </w:t>
      </w:r>
      <w:r w:rsidR="00E76EA4" w:rsidRPr="00837F5E">
        <w:rPr>
          <w:szCs w:val="24"/>
        </w:rPr>
        <w:t>the SARS statement, SARS</w:t>
      </w:r>
      <w:r w:rsidR="005A7235">
        <w:rPr>
          <w:szCs w:val="24"/>
        </w:rPr>
        <w:t>,</w:t>
      </w:r>
      <w:r w:rsidR="00E76EA4" w:rsidRPr="00837F5E">
        <w:rPr>
          <w:szCs w:val="24"/>
        </w:rPr>
        <w:t xml:space="preserve"> directly after</w:t>
      </w:r>
      <w:r w:rsidR="00B11D48">
        <w:rPr>
          <w:szCs w:val="24"/>
        </w:rPr>
        <w:t xml:space="preserve"> </w:t>
      </w:r>
      <w:r w:rsidR="00F77DDE">
        <w:rPr>
          <w:szCs w:val="24"/>
        </w:rPr>
        <w:t>the condition</w:t>
      </w:r>
      <w:r w:rsidR="00E76EA4" w:rsidRPr="00837F5E">
        <w:rPr>
          <w:szCs w:val="24"/>
        </w:rPr>
        <w:t xml:space="preserve"> goes on to say that</w:t>
      </w:r>
      <w:r w:rsidR="00DA2BA8" w:rsidRPr="00837F5E">
        <w:rPr>
          <w:i/>
          <w:iCs/>
          <w:szCs w:val="24"/>
        </w:rPr>
        <w:t xml:space="preserve">: </w:t>
      </w:r>
      <w:r w:rsidR="0036527C" w:rsidRPr="00837F5E">
        <w:rPr>
          <w:i/>
          <w:iCs/>
          <w:szCs w:val="24"/>
        </w:rPr>
        <w:t>“Trade</w:t>
      </w:r>
      <w:r w:rsidR="00DA2BA8" w:rsidRPr="00837F5E">
        <w:rPr>
          <w:i/>
          <w:iCs/>
          <w:szCs w:val="24"/>
        </w:rPr>
        <w:t xml:space="preserve"> policy factors of </w:t>
      </w:r>
      <w:r w:rsidR="00DA2BA8" w:rsidRPr="00837F5E">
        <w:rPr>
          <w:i/>
          <w:iCs/>
          <w:szCs w:val="24"/>
          <w:u w:val="single"/>
        </w:rPr>
        <w:t>this nature</w:t>
      </w:r>
      <w:r w:rsidR="00DA2BA8" w:rsidRPr="00837F5E">
        <w:rPr>
          <w:i/>
          <w:iCs/>
          <w:szCs w:val="24"/>
        </w:rPr>
        <w:t xml:space="preserve"> (own emphasis, referring to the </w:t>
      </w:r>
      <w:r w:rsidR="00E76EA4" w:rsidRPr="00837F5E">
        <w:rPr>
          <w:i/>
          <w:iCs/>
          <w:szCs w:val="24"/>
        </w:rPr>
        <w:t>SARS statement</w:t>
      </w:r>
      <w:r w:rsidR="00DA2BA8" w:rsidRPr="00837F5E">
        <w:rPr>
          <w:i/>
          <w:iCs/>
          <w:szCs w:val="24"/>
        </w:rPr>
        <w:t xml:space="preserve">) fall within the ambit of the International Trade </w:t>
      </w:r>
      <w:r w:rsidR="002B3BC3" w:rsidRPr="00837F5E">
        <w:rPr>
          <w:i/>
          <w:iCs/>
          <w:szCs w:val="24"/>
        </w:rPr>
        <w:t>Administration</w:t>
      </w:r>
      <w:r w:rsidR="00DA2BA8" w:rsidRPr="00837F5E">
        <w:rPr>
          <w:i/>
          <w:iCs/>
          <w:szCs w:val="24"/>
        </w:rPr>
        <w:t xml:space="preserve"> Act No. 71 of 2002, administered by the Commission.”</w:t>
      </w:r>
    </w:p>
    <w:p w14:paraId="34E0779D" w14:textId="2A7500BE" w:rsidR="00DA2BA8" w:rsidRDefault="0027466D" w:rsidP="0027466D">
      <w:pPr>
        <w:pStyle w:val="RetiefPleadingpara1"/>
        <w:numPr>
          <w:ilvl w:val="0"/>
          <w:numId w:val="0"/>
        </w:numPr>
        <w:tabs>
          <w:tab w:val="left" w:pos="851"/>
        </w:tabs>
        <w:spacing w:before="480" w:after="480"/>
        <w:rPr>
          <w:szCs w:val="24"/>
        </w:rPr>
      </w:pPr>
      <w:r>
        <w:rPr>
          <w:szCs w:val="24"/>
        </w:rPr>
        <w:t>[93]</w:t>
      </w:r>
      <w:r>
        <w:rPr>
          <w:szCs w:val="24"/>
        </w:rPr>
        <w:tab/>
      </w:r>
      <w:r w:rsidR="00DA2BA8">
        <w:rPr>
          <w:szCs w:val="24"/>
        </w:rPr>
        <w:t xml:space="preserve">Common sense dictates that SARS can only confirm factors within its own domain, </w:t>
      </w:r>
      <w:r w:rsidR="009A3BFF">
        <w:rPr>
          <w:szCs w:val="24"/>
        </w:rPr>
        <w:t xml:space="preserve">namely: </w:t>
      </w:r>
      <w:r w:rsidR="00DA2BA8">
        <w:rPr>
          <w:szCs w:val="24"/>
        </w:rPr>
        <w:t xml:space="preserve">determining the effect on the </w:t>
      </w:r>
      <w:r w:rsidR="00DA2BA8" w:rsidRPr="00DA2BA8">
        <w:rPr>
          <w:i/>
          <w:iCs/>
          <w:szCs w:val="24"/>
        </w:rPr>
        <w:t>fiscus</w:t>
      </w:r>
      <w:r w:rsidR="00DA2BA8">
        <w:rPr>
          <w:szCs w:val="24"/>
        </w:rPr>
        <w:t>. This SARS did.</w:t>
      </w:r>
      <w:r w:rsidR="009A3BFF">
        <w:rPr>
          <w:szCs w:val="24"/>
        </w:rPr>
        <w:t xml:space="preserve"> </w:t>
      </w:r>
      <w:r w:rsidR="00F77DDE">
        <w:rPr>
          <w:szCs w:val="24"/>
        </w:rPr>
        <w:t>That which falls in the domain of the Trade Minister he can only do.</w:t>
      </w:r>
      <w:r w:rsidR="005A7235">
        <w:rPr>
          <w:szCs w:val="24"/>
        </w:rPr>
        <w:t xml:space="preserve"> This is the point made.</w:t>
      </w:r>
    </w:p>
    <w:p w14:paraId="778E4D18" w14:textId="3B64F0C1" w:rsidR="00DA2BA8" w:rsidRDefault="0027466D" w:rsidP="0027466D">
      <w:pPr>
        <w:pStyle w:val="RetiefPleadingpara1"/>
        <w:numPr>
          <w:ilvl w:val="0"/>
          <w:numId w:val="0"/>
        </w:numPr>
        <w:tabs>
          <w:tab w:val="left" w:pos="851"/>
        </w:tabs>
        <w:spacing w:before="480" w:after="480"/>
        <w:rPr>
          <w:szCs w:val="24"/>
        </w:rPr>
      </w:pPr>
      <w:r>
        <w:rPr>
          <w:szCs w:val="24"/>
        </w:rPr>
        <w:t>[94]</w:t>
      </w:r>
      <w:r>
        <w:rPr>
          <w:szCs w:val="24"/>
        </w:rPr>
        <w:tab/>
      </w:r>
      <w:r w:rsidR="009A3BFF">
        <w:rPr>
          <w:szCs w:val="24"/>
        </w:rPr>
        <w:t xml:space="preserve">Furthermore, </w:t>
      </w:r>
      <w:r w:rsidR="00F77DDE">
        <w:rPr>
          <w:szCs w:val="24"/>
        </w:rPr>
        <w:t xml:space="preserve">the </w:t>
      </w:r>
      <w:r w:rsidR="00DA2BA8">
        <w:rPr>
          <w:szCs w:val="24"/>
        </w:rPr>
        <w:t>SARS</w:t>
      </w:r>
      <w:r w:rsidR="009A3BFF">
        <w:rPr>
          <w:szCs w:val="24"/>
        </w:rPr>
        <w:t xml:space="preserve"> letter indicates that its own</w:t>
      </w:r>
      <w:r w:rsidR="00DA2BA8">
        <w:rPr>
          <w:szCs w:val="24"/>
        </w:rPr>
        <w:t xml:space="preserve"> </w:t>
      </w:r>
      <w:r w:rsidR="009A3BFF">
        <w:rPr>
          <w:szCs w:val="24"/>
        </w:rPr>
        <w:t xml:space="preserve">motivation to the </w:t>
      </w:r>
      <w:r w:rsidR="00E42DF3">
        <w:rPr>
          <w:szCs w:val="24"/>
        </w:rPr>
        <w:t xml:space="preserve">Deputy </w:t>
      </w:r>
      <w:r w:rsidR="009A3BFF">
        <w:rPr>
          <w:szCs w:val="24"/>
        </w:rPr>
        <w:t xml:space="preserve"> Minister to approve</w:t>
      </w:r>
      <w:r w:rsidR="006D62FD">
        <w:rPr>
          <w:szCs w:val="24"/>
        </w:rPr>
        <w:t xml:space="preserve">, </w:t>
      </w:r>
      <w:r w:rsidR="009A3BFF">
        <w:rPr>
          <w:szCs w:val="24"/>
        </w:rPr>
        <w:t xml:space="preserve">is </w:t>
      </w:r>
      <w:r w:rsidR="00DA2BA8">
        <w:rPr>
          <w:szCs w:val="24"/>
        </w:rPr>
        <w:t>on condition that an economic analys</w:t>
      </w:r>
      <w:r w:rsidR="009A3BFF">
        <w:rPr>
          <w:szCs w:val="24"/>
        </w:rPr>
        <w:t>is is</w:t>
      </w:r>
      <w:r w:rsidR="00DA2BA8">
        <w:rPr>
          <w:szCs w:val="24"/>
        </w:rPr>
        <w:t xml:space="preserve"> conducted by the Economic Policy and Tax and Financial Sector of National Treasury. Both Division heads, at the time, duly signed </w:t>
      </w:r>
      <w:r w:rsidR="00F77DDE">
        <w:rPr>
          <w:szCs w:val="24"/>
        </w:rPr>
        <w:t>indicating that</w:t>
      </w:r>
      <w:r w:rsidR="00DA2BA8">
        <w:rPr>
          <w:szCs w:val="24"/>
        </w:rPr>
        <w:t xml:space="preserve"> they recommended the approval</w:t>
      </w:r>
      <w:r w:rsidR="00F77DDE">
        <w:rPr>
          <w:szCs w:val="24"/>
        </w:rPr>
        <w:t>. Only t</w:t>
      </w:r>
      <w:r w:rsidR="009A3BFF">
        <w:rPr>
          <w:szCs w:val="24"/>
        </w:rPr>
        <w:t>he Deputy Director-General: Economic Policy</w:t>
      </w:r>
      <w:r w:rsidR="00073182">
        <w:rPr>
          <w:szCs w:val="24"/>
        </w:rPr>
        <w:t>’s</w:t>
      </w:r>
      <w:r w:rsidR="009A3BFF">
        <w:rPr>
          <w:szCs w:val="24"/>
        </w:rPr>
        <w:t xml:space="preserve"> analysis dated 15 August 2021 formed part of the </w:t>
      </w:r>
      <w:r w:rsidR="00073182">
        <w:rPr>
          <w:szCs w:val="24"/>
        </w:rPr>
        <w:t>r</w:t>
      </w:r>
      <w:r w:rsidR="009A3BFF">
        <w:rPr>
          <w:szCs w:val="24"/>
        </w:rPr>
        <w:t>ule 53 record.</w:t>
      </w:r>
      <w:r w:rsidR="009A73D9">
        <w:rPr>
          <w:szCs w:val="24"/>
        </w:rPr>
        <w:t xml:space="preserve"> No challenge was brought as against the lack of economic analysis by both divisions of National Treasury.</w:t>
      </w:r>
    </w:p>
    <w:p w14:paraId="3A603D1A" w14:textId="42330C20" w:rsidR="00DA2BA8" w:rsidRDefault="0027466D" w:rsidP="0027466D">
      <w:pPr>
        <w:pStyle w:val="RetiefPleadingpara1"/>
        <w:numPr>
          <w:ilvl w:val="0"/>
          <w:numId w:val="0"/>
        </w:numPr>
        <w:tabs>
          <w:tab w:val="left" w:pos="851"/>
        </w:tabs>
        <w:spacing w:before="480" w:after="480"/>
        <w:rPr>
          <w:szCs w:val="24"/>
        </w:rPr>
      </w:pPr>
      <w:r>
        <w:rPr>
          <w:szCs w:val="24"/>
        </w:rPr>
        <w:t>[95]</w:t>
      </w:r>
      <w:r>
        <w:rPr>
          <w:szCs w:val="24"/>
        </w:rPr>
        <w:tab/>
      </w:r>
      <w:r w:rsidR="00DA2BA8">
        <w:rPr>
          <w:szCs w:val="24"/>
        </w:rPr>
        <w:t>In consequence</w:t>
      </w:r>
      <w:r w:rsidR="00C55D50">
        <w:rPr>
          <w:szCs w:val="24"/>
        </w:rPr>
        <w:t>,</w:t>
      </w:r>
      <w:r w:rsidR="00DA2BA8">
        <w:rPr>
          <w:szCs w:val="24"/>
        </w:rPr>
        <w:t xml:space="preserve"> SARS inability to confirm all the factors</w:t>
      </w:r>
      <w:r w:rsidR="009A73D9">
        <w:rPr>
          <w:szCs w:val="24"/>
        </w:rPr>
        <w:t xml:space="preserve">, </w:t>
      </w:r>
      <w:r w:rsidR="009A3BFF">
        <w:rPr>
          <w:szCs w:val="24"/>
        </w:rPr>
        <w:t>in context,</w:t>
      </w:r>
      <w:r w:rsidR="00DA2BA8">
        <w:rPr>
          <w:szCs w:val="24"/>
        </w:rPr>
        <w:t xml:space="preserve"> </w:t>
      </w:r>
      <w:r w:rsidR="009A73D9">
        <w:rPr>
          <w:szCs w:val="24"/>
        </w:rPr>
        <w:t xml:space="preserve">as complained of </w:t>
      </w:r>
      <w:r w:rsidR="00DA2BA8">
        <w:rPr>
          <w:szCs w:val="24"/>
        </w:rPr>
        <w:t xml:space="preserve">is not a </w:t>
      </w:r>
      <w:r w:rsidR="009A3BFF">
        <w:rPr>
          <w:szCs w:val="24"/>
        </w:rPr>
        <w:t>relevant</w:t>
      </w:r>
      <w:r w:rsidR="00DA2BA8">
        <w:rPr>
          <w:szCs w:val="24"/>
        </w:rPr>
        <w:t xml:space="preserve"> factor </w:t>
      </w:r>
      <w:r w:rsidR="00B11D48">
        <w:rPr>
          <w:szCs w:val="24"/>
        </w:rPr>
        <w:t>to be applied in</w:t>
      </w:r>
      <w:r w:rsidR="00E42DF3">
        <w:rPr>
          <w:szCs w:val="24"/>
        </w:rPr>
        <w:t xml:space="preserve"> the rationality </w:t>
      </w:r>
      <w:r w:rsidR="00B11D48">
        <w:rPr>
          <w:szCs w:val="24"/>
        </w:rPr>
        <w:t>test</w:t>
      </w:r>
      <w:r w:rsidR="00E42DF3">
        <w:rPr>
          <w:szCs w:val="24"/>
        </w:rPr>
        <w:t>.</w:t>
      </w:r>
      <w:r w:rsidR="00DA2BA8">
        <w:rPr>
          <w:szCs w:val="24"/>
        </w:rPr>
        <w:t xml:space="preserve"> </w:t>
      </w:r>
    </w:p>
    <w:p w14:paraId="52D5220B" w14:textId="2572DA72" w:rsidR="00DA2BA8" w:rsidRDefault="0027466D" w:rsidP="0027466D">
      <w:pPr>
        <w:pStyle w:val="RetiefPleadingpara1"/>
        <w:numPr>
          <w:ilvl w:val="0"/>
          <w:numId w:val="0"/>
        </w:numPr>
        <w:tabs>
          <w:tab w:val="left" w:pos="851"/>
        </w:tabs>
        <w:spacing w:before="480" w:after="480"/>
        <w:rPr>
          <w:szCs w:val="24"/>
        </w:rPr>
      </w:pPr>
      <w:r>
        <w:rPr>
          <w:szCs w:val="24"/>
        </w:rPr>
        <w:t>[96]</w:t>
      </w:r>
      <w:r>
        <w:rPr>
          <w:szCs w:val="24"/>
        </w:rPr>
        <w:tab/>
      </w:r>
      <w:r w:rsidR="00B11D48" w:rsidRPr="00837F5E">
        <w:rPr>
          <w:szCs w:val="24"/>
        </w:rPr>
        <w:t xml:space="preserve">I </w:t>
      </w:r>
      <w:r w:rsidR="00B11D48">
        <w:rPr>
          <w:szCs w:val="24"/>
        </w:rPr>
        <w:t xml:space="preserve">now consider the Deputy Minister’s </w:t>
      </w:r>
      <w:r w:rsidR="009A73D9">
        <w:rPr>
          <w:szCs w:val="24"/>
        </w:rPr>
        <w:t>consideration of the i</w:t>
      </w:r>
      <w:r w:rsidR="00B11D48">
        <w:rPr>
          <w:szCs w:val="24"/>
        </w:rPr>
        <w:t xml:space="preserve">ndustry participants </w:t>
      </w:r>
      <w:r w:rsidR="009A73D9">
        <w:rPr>
          <w:szCs w:val="24"/>
        </w:rPr>
        <w:t xml:space="preserve">in considering </w:t>
      </w:r>
      <w:r w:rsidR="00DC3597">
        <w:rPr>
          <w:szCs w:val="24"/>
        </w:rPr>
        <w:t>AMIE</w:t>
      </w:r>
      <w:r w:rsidR="009A73D9">
        <w:rPr>
          <w:szCs w:val="24"/>
        </w:rPr>
        <w:t xml:space="preserve">’s complaint </w:t>
      </w:r>
      <w:r w:rsidR="000144C4">
        <w:rPr>
          <w:szCs w:val="24"/>
        </w:rPr>
        <w:t xml:space="preserve">of fairness in </w:t>
      </w:r>
      <w:r w:rsidR="009A73D9">
        <w:rPr>
          <w:szCs w:val="24"/>
        </w:rPr>
        <w:t>that the Finance Minister failed to have regard to both their and</w:t>
      </w:r>
      <w:r w:rsidR="00511FA5">
        <w:rPr>
          <w:szCs w:val="24"/>
        </w:rPr>
        <w:t xml:space="preserve"> </w:t>
      </w:r>
      <w:r w:rsidR="00B11D48">
        <w:rPr>
          <w:szCs w:val="24"/>
        </w:rPr>
        <w:t>Merlog’s detailed letters of warning and complaint.</w:t>
      </w:r>
      <w:r w:rsidR="000144C4">
        <w:rPr>
          <w:szCs w:val="24"/>
        </w:rPr>
        <w:t xml:space="preserve"> Such expressing diverse and conflicting interests compared to ITAC’s </w:t>
      </w:r>
      <w:r w:rsidR="000144C4">
        <w:rPr>
          <w:szCs w:val="24"/>
        </w:rPr>
        <w:lastRenderedPageBreak/>
        <w:t>final recommendation</w:t>
      </w:r>
      <w:r w:rsidR="00C30F55">
        <w:rPr>
          <w:szCs w:val="24"/>
        </w:rPr>
        <w:t xml:space="preserve">. </w:t>
      </w:r>
      <w:r w:rsidR="000D574A">
        <w:rPr>
          <w:szCs w:val="24"/>
        </w:rPr>
        <w:t xml:space="preserve">The </w:t>
      </w:r>
      <w:r w:rsidR="00C30F55">
        <w:rPr>
          <w:szCs w:val="24"/>
        </w:rPr>
        <w:t xml:space="preserve">exact </w:t>
      </w:r>
      <w:r w:rsidR="000D574A">
        <w:rPr>
          <w:szCs w:val="24"/>
        </w:rPr>
        <w:t xml:space="preserve">content of </w:t>
      </w:r>
      <w:r w:rsidR="00DC3597">
        <w:rPr>
          <w:szCs w:val="24"/>
        </w:rPr>
        <w:t>AMIE</w:t>
      </w:r>
      <w:r w:rsidR="000D574A">
        <w:rPr>
          <w:szCs w:val="24"/>
        </w:rPr>
        <w:t xml:space="preserve">’s letter </w:t>
      </w:r>
      <w:r w:rsidR="00511FA5">
        <w:rPr>
          <w:szCs w:val="24"/>
        </w:rPr>
        <w:t xml:space="preserve">to </w:t>
      </w:r>
      <w:r w:rsidR="009A73D9">
        <w:rPr>
          <w:szCs w:val="24"/>
        </w:rPr>
        <w:t>the Finance Minister</w:t>
      </w:r>
      <w:r w:rsidR="005A7235">
        <w:rPr>
          <w:szCs w:val="24"/>
        </w:rPr>
        <w:t xml:space="preserve"> </w:t>
      </w:r>
      <w:r w:rsidR="000D574A">
        <w:rPr>
          <w:szCs w:val="24"/>
        </w:rPr>
        <w:t>is unclear</w:t>
      </w:r>
      <w:r w:rsidR="00511FA5">
        <w:rPr>
          <w:szCs w:val="24"/>
        </w:rPr>
        <w:t xml:space="preserve"> </w:t>
      </w:r>
      <w:r w:rsidR="000D574A">
        <w:rPr>
          <w:szCs w:val="24"/>
        </w:rPr>
        <w:t xml:space="preserve">from the papers </w:t>
      </w:r>
      <w:r w:rsidR="00511FA5">
        <w:rPr>
          <w:szCs w:val="24"/>
        </w:rPr>
        <w:t xml:space="preserve">however, </w:t>
      </w:r>
      <w:r w:rsidR="00DC3597">
        <w:rPr>
          <w:szCs w:val="24"/>
        </w:rPr>
        <w:t>AMIE</w:t>
      </w:r>
      <w:r w:rsidR="009A73D9">
        <w:rPr>
          <w:szCs w:val="24"/>
        </w:rPr>
        <w:t>’s</w:t>
      </w:r>
      <w:r w:rsidR="00511FA5">
        <w:rPr>
          <w:szCs w:val="24"/>
        </w:rPr>
        <w:t xml:space="preserve"> </w:t>
      </w:r>
      <w:r w:rsidR="000D574A">
        <w:rPr>
          <w:szCs w:val="24"/>
        </w:rPr>
        <w:t>complain</w:t>
      </w:r>
      <w:r w:rsidR="009A73D9">
        <w:rPr>
          <w:szCs w:val="24"/>
        </w:rPr>
        <w:t>t</w:t>
      </w:r>
      <w:r w:rsidR="000D574A">
        <w:rPr>
          <w:szCs w:val="24"/>
        </w:rPr>
        <w:t xml:space="preserve"> to the Trade Minister</w:t>
      </w:r>
      <w:r w:rsidR="00511FA5">
        <w:rPr>
          <w:szCs w:val="24"/>
        </w:rPr>
        <w:t xml:space="preserve"> </w:t>
      </w:r>
      <w:r w:rsidR="009A73D9">
        <w:rPr>
          <w:szCs w:val="24"/>
        </w:rPr>
        <w:t xml:space="preserve">is </w:t>
      </w:r>
      <w:r w:rsidR="00C30F55">
        <w:rPr>
          <w:szCs w:val="24"/>
        </w:rPr>
        <w:t xml:space="preserve">however </w:t>
      </w:r>
      <w:r w:rsidR="009A73D9">
        <w:rPr>
          <w:szCs w:val="24"/>
        </w:rPr>
        <w:t>well documented</w:t>
      </w:r>
      <w:r w:rsidR="00511FA5">
        <w:rPr>
          <w:szCs w:val="24"/>
        </w:rPr>
        <w:t>.</w:t>
      </w:r>
      <w:r w:rsidR="00DC5C2A">
        <w:rPr>
          <w:szCs w:val="24"/>
        </w:rPr>
        <w:t xml:space="preserve"> </w:t>
      </w:r>
    </w:p>
    <w:p w14:paraId="7A3F4A0A" w14:textId="080791D9" w:rsidR="009A3BFF" w:rsidRDefault="0027466D" w:rsidP="0027466D">
      <w:pPr>
        <w:pStyle w:val="RetiefPleadingpara1"/>
        <w:numPr>
          <w:ilvl w:val="0"/>
          <w:numId w:val="0"/>
        </w:numPr>
        <w:tabs>
          <w:tab w:val="left" w:pos="851"/>
        </w:tabs>
        <w:spacing w:before="480" w:after="480"/>
        <w:rPr>
          <w:szCs w:val="24"/>
        </w:rPr>
      </w:pPr>
      <w:r>
        <w:rPr>
          <w:szCs w:val="24"/>
        </w:rPr>
        <w:t>[97]</w:t>
      </w:r>
      <w:r>
        <w:rPr>
          <w:szCs w:val="24"/>
        </w:rPr>
        <w:tab/>
      </w:r>
      <w:r w:rsidR="000D574A">
        <w:rPr>
          <w:szCs w:val="24"/>
        </w:rPr>
        <w:t xml:space="preserve">To </w:t>
      </w:r>
      <w:r w:rsidR="003A4C5F">
        <w:rPr>
          <w:szCs w:val="24"/>
        </w:rPr>
        <w:t xml:space="preserve">unpack this </w:t>
      </w:r>
      <w:r w:rsidR="009A73D9">
        <w:rPr>
          <w:szCs w:val="24"/>
        </w:rPr>
        <w:t>complaint</w:t>
      </w:r>
      <w:r w:rsidR="003A4C5F">
        <w:rPr>
          <w:szCs w:val="24"/>
        </w:rPr>
        <w:t>,</w:t>
      </w:r>
      <w:r w:rsidR="000D574A">
        <w:rPr>
          <w:szCs w:val="24"/>
        </w:rPr>
        <w:t xml:space="preserve"> I first consider the process followed by </w:t>
      </w:r>
      <w:r w:rsidR="009A3BFF">
        <w:rPr>
          <w:szCs w:val="24"/>
        </w:rPr>
        <w:t>the Trade Minister</w:t>
      </w:r>
      <w:r w:rsidR="000D574A">
        <w:rPr>
          <w:szCs w:val="24"/>
        </w:rPr>
        <w:t xml:space="preserve"> before he issued the </w:t>
      </w:r>
      <w:r w:rsidR="00B74428">
        <w:rPr>
          <w:szCs w:val="24"/>
        </w:rPr>
        <w:t>t</w:t>
      </w:r>
      <w:r w:rsidR="000D574A">
        <w:rPr>
          <w:szCs w:val="24"/>
        </w:rPr>
        <w:t xml:space="preserve">rade letter. The Trade Minister in his papers sets out </w:t>
      </w:r>
      <w:r w:rsidR="009A3BFF">
        <w:rPr>
          <w:szCs w:val="24"/>
        </w:rPr>
        <w:t xml:space="preserve">a well-considered process </w:t>
      </w:r>
      <w:r w:rsidR="00C30F55">
        <w:rPr>
          <w:szCs w:val="24"/>
        </w:rPr>
        <w:t>which</w:t>
      </w:r>
      <w:r w:rsidR="000D574A">
        <w:rPr>
          <w:szCs w:val="24"/>
        </w:rPr>
        <w:t xml:space="preserve"> included considering</w:t>
      </w:r>
      <w:r w:rsidR="009A3BFF">
        <w:rPr>
          <w:szCs w:val="24"/>
        </w:rPr>
        <w:t xml:space="preserve"> ITAC’s response to </w:t>
      </w:r>
      <w:r w:rsidR="00DC3597">
        <w:rPr>
          <w:szCs w:val="24"/>
        </w:rPr>
        <w:t>AMIE</w:t>
      </w:r>
      <w:r w:rsidR="009A3BFF">
        <w:rPr>
          <w:szCs w:val="24"/>
        </w:rPr>
        <w:t>’s concerns</w:t>
      </w:r>
      <w:r w:rsidR="000D574A">
        <w:rPr>
          <w:szCs w:val="24"/>
        </w:rPr>
        <w:t xml:space="preserve"> of 12 July 2021</w:t>
      </w:r>
      <w:r w:rsidR="009A3BFF">
        <w:rPr>
          <w:szCs w:val="24"/>
        </w:rPr>
        <w:t>, ITAC’s Report 666, the poultry sector Master Plan and the memorandum from the Agro-Processing unit</w:t>
      </w:r>
      <w:r w:rsidR="00511FA5">
        <w:rPr>
          <w:szCs w:val="24"/>
        </w:rPr>
        <w:t xml:space="preserve"> before accepting ITAC’s recommendation</w:t>
      </w:r>
      <w:r w:rsidR="009A3BFF">
        <w:rPr>
          <w:szCs w:val="24"/>
        </w:rPr>
        <w:t xml:space="preserve">. </w:t>
      </w:r>
      <w:r w:rsidR="00952D93">
        <w:rPr>
          <w:szCs w:val="24"/>
        </w:rPr>
        <w:t xml:space="preserve">The Trade Minister considered </w:t>
      </w:r>
      <w:r w:rsidR="00DC3597">
        <w:rPr>
          <w:szCs w:val="24"/>
        </w:rPr>
        <w:t>AMIE</w:t>
      </w:r>
      <w:r w:rsidR="00952D93">
        <w:rPr>
          <w:szCs w:val="24"/>
        </w:rPr>
        <w:t>’s concerns</w:t>
      </w:r>
      <w:r w:rsidR="00DC5C2A">
        <w:rPr>
          <w:szCs w:val="24"/>
        </w:rPr>
        <w:t xml:space="preserve">, requested ITAC to respond and then </w:t>
      </w:r>
      <w:r w:rsidR="00952D93">
        <w:rPr>
          <w:szCs w:val="24"/>
        </w:rPr>
        <w:t>considered ITAC’s response</w:t>
      </w:r>
      <w:r w:rsidR="00DC5C2A">
        <w:rPr>
          <w:szCs w:val="24"/>
        </w:rPr>
        <w:t xml:space="preserve"> itself. This he did even though he was in possession of ITAC’s final report.</w:t>
      </w:r>
      <w:r w:rsidR="00C30F55">
        <w:rPr>
          <w:szCs w:val="24"/>
        </w:rPr>
        <w:t xml:space="preserve"> He gave ITAC an opportunity to respond.</w:t>
      </w:r>
    </w:p>
    <w:p w14:paraId="2E7F8BEE" w14:textId="56C6145A" w:rsidR="009A3BFF" w:rsidRDefault="0027466D" w:rsidP="0027466D">
      <w:pPr>
        <w:pStyle w:val="RetiefPleadingpara1"/>
        <w:numPr>
          <w:ilvl w:val="0"/>
          <w:numId w:val="0"/>
        </w:numPr>
        <w:tabs>
          <w:tab w:val="left" w:pos="851"/>
        </w:tabs>
        <w:spacing w:before="480" w:after="480"/>
        <w:rPr>
          <w:szCs w:val="24"/>
        </w:rPr>
      </w:pPr>
      <w:r>
        <w:rPr>
          <w:szCs w:val="24"/>
        </w:rPr>
        <w:t>[98]</w:t>
      </w:r>
      <w:r>
        <w:rPr>
          <w:szCs w:val="24"/>
        </w:rPr>
        <w:tab/>
      </w:r>
      <w:r w:rsidR="00952D93">
        <w:rPr>
          <w:szCs w:val="24"/>
        </w:rPr>
        <w:t xml:space="preserve">The Trade Minister however, only </w:t>
      </w:r>
      <w:r w:rsidR="009A3BFF">
        <w:rPr>
          <w:szCs w:val="24"/>
        </w:rPr>
        <w:t xml:space="preserve">provided the </w:t>
      </w:r>
      <w:r w:rsidR="00511FA5">
        <w:rPr>
          <w:szCs w:val="24"/>
        </w:rPr>
        <w:t xml:space="preserve">Deputy </w:t>
      </w:r>
      <w:r w:rsidR="009A3BFF">
        <w:rPr>
          <w:szCs w:val="24"/>
        </w:rPr>
        <w:t>Minister</w:t>
      </w:r>
      <w:r w:rsidR="00B74428">
        <w:rPr>
          <w:szCs w:val="24"/>
        </w:rPr>
        <w:t xml:space="preserve"> with</w:t>
      </w:r>
      <w:r w:rsidR="009A3BFF">
        <w:rPr>
          <w:szCs w:val="24"/>
        </w:rPr>
        <w:t xml:space="preserve"> ITAC’s recommendation. </w:t>
      </w:r>
      <w:r w:rsidR="00DC5C2A">
        <w:rPr>
          <w:szCs w:val="24"/>
        </w:rPr>
        <w:t xml:space="preserve">Whether he was obliged to furnish the Deputy Minister the response received by ITAC is unknown. </w:t>
      </w:r>
      <w:r w:rsidR="003A4C5F">
        <w:rPr>
          <w:szCs w:val="24"/>
        </w:rPr>
        <w:t>T</w:t>
      </w:r>
      <w:r w:rsidR="009A3BFF">
        <w:rPr>
          <w:szCs w:val="24"/>
        </w:rPr>
        <w:t xml:space="preserve">he record </w:t>
      </w:r>
      <w:r w:rsidR="00DC5C2A">
        <w:rPr>
          <w:szCs w:val="24"/>
        </w:rPr>
        <w:t xml:space="preserve">of </w:t>
      </w:r>
      <w:r w:rsidR="009A3BFF">
        <w:rPr>
          <w:szCs w:val="24"/>
        </w:rPr>
        <w:t xml:space="preserve">the Finance Minister </w:t>
      </w:r>
      <w:r w:rsidR="00DC5C2A">
        <w:rPr>
          <w:szCs w:val="24"/>
        </w:rPr>
        <w:t xml:space="preserve">however records </w:t>
      </w:r>
      <w:r w:rsidR="00511FA5">
        <w:rPr>
          <w:szCs w:val="24"/>
        </w:rPr>
        <w:t>recei</w:t>
      </w:r>
      <w:r w:rsidR="00DC5C2A">
        <w:rPr>
          <w:szCs w:val="24"/>
        </w:rPr>
        <w:t>pt of</w:t>
      </w:r>
      <w:r w:rsidR="00511FA5">
        <w:rPr>
          <w:szCs w:val="24"/>
        </w:rPr>
        <w:t xml:space="preserve"> Merlog’s detailed letters of 12 July and 2 August 2021.</w:t>
      </w:r>
    </w:p>
    <w:p w14:paraId="6736AA8B" w14:textId="7FC57FD5" w:rsidR="0019548C" w:rsidRDefault="0027466D" w:rsidP="0027466D">
      <w:pPr>
        <w:pStyle w:val="RetiefPleadingpara1"/>
        <w:numPr>
          <w:ilvl w:val="0"/>
          <w:numId w:val="0"/>
        </w:numPr>
        <w:tabs>
          <w:tab w:val="left" w:pos="851"/>
        </w:tabs>
        <w:spacing w:before="480" w:after="480"/>
        <w:rPr>
          <w:szCs w:val="24"/>
        </w:rPr>
      </w:pPr>
      <w:r>
        <w:rPr>
          <w:szCs w:val="24"/>
        </w:rPr>
        <w:t>[99]</w:t>
      </w:r>
      <w:r>
        <w:rPr>
          <w:szCs w:val="24"/>
        </w:rPr>
        <w:tab/>
      </w:r>
      <w:r w:rsidR="00952D93">
        <w:rPr>
          <w:szCs w:val="24"/>
        </w:rPr>
        <w:t xml:space="preserve">Merlog’s </w:t>
      </w:r>
      <w:r w:rsidR="00511FA5">
        <w:rPr>
          <w:szCs w:val="24"/>
        </w:rPr>
        <w:t>letters contain</w:t>
      </w:r>
      <w:r w:rsidR="00952D93">
        <w:rPr>
          <w:szCs w:val="24"/>
        </w:rPr>
        <w:t>ed</w:t>
      </w:r>
      <w:r w:rsidR="00511FA5">
        <w:rPr>
          <w:szCs w:val="24"/>
        </w:rPr>
        <w:t xml:space="preserve"> serious </w:t>
      </w:r>
      <w:r w:rsidR="009A3BFF">
        <w:rPr>
          <w:szCs w:val="24"/>
        </w:rPr>
        <w:t>allegations</w:t>
      </w:r>
      <w:r w:rsidR="000144C4">
        <w:rPr>
          <w:szCs w:val="24"/>
        </w:rPr>
        <w:t>, conflicting views about why their submissions should be considered</w:t>
      </w:r>
      <w:r w:rsidR="009A3BFF">
        <w:rPr>
          <w:szCs w:val="24"/>
        </w:rPr>
        <w:t xml:space="preserve"> </w:t>
      </w:r>
      <w:r w:rsidR="00952D93">
        <w:rPr>
          <w:szCs w:val="24"/>
        </w:rPr>
        <w:t xml:space="preserve">and complaints including </w:t>
      </w:r>
      <w:r w:rsidR="005A7235">
        <w:rPr>
          <w:szCs w:val="24"/>
        </w:rPr>
        <w:t>f</w:t>
      </w:r>
      <w:r w:rsidR="009A3BFF">
        <w:rPr>
          <w:szCs w:val="24"/>
        </w:rPr>
        <w:t>raud</w:t>
      </w:r>
      <w:r w:rsidR="00511FA5">
        <w:rPr>
          <w:szCs w:val="24"/>
        </w:rPr>
        <w:t xml:space="preserve">, </w:t>
      </w:r>
      <w:r w:rsidR="009A3BFF">
        <w:rPr>
          <w:szCs w:val="24"/>
        </w:rPr>
        <w:t>procedural irregularities</w:t>
      </w:r>
      <w:r w:rsidR="00952D93">
        <w:rPr>
          <w:szCs w:val="24"/>
        </w:rPr>
        <w:t xml:space="preserve"> during the ITAC investigation</w:t>
      </w:r>
      <w:r w:rsidR="005A3719">
        <w:rPr>
          <w:szCs w:val="24"/>
        </w:rPr>
        <w:t xml:space="preserve">, </w:t>
      </w:r>
      <w:r w:rsidR="00952D93">
        <w:rPr>
          <w:szCs w:val="24"/>
        </w:rPr>
        <w:t xml:space="preserve">the </w:t>
      </w:r>
      <w:r w:rsidR="00835F06">
        <w:rPr>
          <w:szCs w:val="24"/>
        </w:rPr>
        <w:t xml:space="preserve">consequences of </w:t>
      </w:r>
      <w:r w:rsidR="005A3719">
        <w:rPr>
          <w:szCs w:val="24"/>
        </w:rPr>
        <w:t xml:space="preserve">avian influenza </w:t>
      </w:r>
      <w:r w:rsidR="00C30F55">
        <w:rPr>
          <w:szCs w:val="24"/>
        </w:rPr>
        <w:t xml:space="preserve">going forward </w:t>
      </w:r>
      <w:r w:rsidR="00511FA5">
        <w:rPr>
          <w:szCs w:val="24"/>
        </w:rPr>
        <w:t xml:space="preserve">and a stern warning of launching </w:t>
      </w:r>
      <w:r w:rsidR="005A3719">
        <w:rPr>
          <w:szCs w:val="24"/>
        </w:rPr>
        <w:t xml:space="preserve">review </w:t>
      </w:r>
      <w:r w:rsidR="00511FA5">
        <w:rPr>
          <w:szCs w:val="24"/>
        </w:rPr>
        <w:t>proceedings</w:t>
      </w:r>
      <w:r w:rsidR="00C30F55">
        <w:rPr>
          <w:szCs w:val="24"/>
        </w:rPr>
        <w:t>.</w:t>
      </w:r>
      <w:r w:rsidR="00511FA5">
        <w:rPr>
          <w:szCs w:val="24"/>
        </w:rPr>
        <w:t xml:space="preserve"> </w:t>
      </w:r>
      <w:r w:rsidR="00952D93">
        <w:rPr>
          <w:szCs w:val="24"/>
        </w:rPr>
        <w:t xml:space="preserve">The </w:t>
      </w:r>
      <w:r w:rsidR="005A3719">
        <w:rPr>
          <w:szCs w:val="24"/>
        </w:rPr>
        <w:t xml:space="preserve"> opening paragraph </w:t>
      </w:r>
      <w:r w:rsidR="00511FA5">
        <w:rPr>
          <w:szCs w:val="24"/>
        </w:rPr>
        <w:t xml:space="preserve">of </w:t>
      </w:r>
      <w:r w:rsidR="00952D93">
        <w:rPr>
          <w:szCs w:val="24"/>
        </w:rPr>
        <w:t xml:space="preserve">Merlog’s letter dated </w:t>
      </w:r>
      <w:r w:rsidR="00511FA5">
        <w:rPr>
          <w:szCs w:val="24"/>
        </w:rPr>
        <w:t xml:space="preserve">2 August 2021 </w:t>
      </w:r>
      <w:r w:rsidR="00952D93">
        <w:rPr>
          <w:szCs w:val="24"/>
        </w:rPr>
        <w:t>indicates that the Finance Minister did not respond to their letter of 12 July 2021. From the record filed both</w:t>
      </w:r>
      <w:r w:rsidR="00511FA5">
        <w:rPr>
          <w:szCs w:val="24"/>
        </w:rPr>
        <w:t xml:space="preserve"> letters</w:t>
      </w:r>
      <w:r w:rsidR="00952D93">
        <w:rPr>
          <w:szCs w:val="24"/>
        </w:rPr>
        <w:t xml:space="preserve"> remain</w:t>
      </w:r>
      <w:r w:rsidR="00511FA5">
        <w:rPr>
          <w:szCs w:val="24"/>
        </w:rPr>
        <w:t xml:space="preserve"> unanswered. In the absence of evidence to the contrary </w:t>
      </w:r>
      <w:r w:rsidR="005A3719">
        <w:rPr>
          <w:szCs w:val="24"/>
        </w:rPr>
        <w:t>the</w:t>
      </w:r>
      <w:r w:rsidR="00952D93">
        <w:rPr>
          <w:szCs w:val="24"/>
        </w:rPr>
        <w:t xml:space="preserve"> content</w:t>
      </w:r>
      <w:r w:rsidR="005A3719">
        <w:rPr>
          <w:szCs w:val="24"/>
        </w:rPr>
        <w:t xml:space="preserve"> </w:t>
      </w:r>
      <w:r w:rsidR="005A7235">
        <w:rPr>
          <w:szCs w:val="24"/>
        </w:rPr>
        <w:t xml:space="preserve">of such </w:t>
      </w:r>
      <w:r w:rsidR="005A7235">
        <w:rPr>
          <w:szCs w:val="24"/>
        </w:rPr>
        <w:lastRenderedPageBreak/>
        <w:t xml:space="preserve">letters </w:t>
      </w:r>
      <w:r w:rsidR="005A3719">
        <w:rPr>
          <w:szCs w:val="24"/>
        </w:rPr>
        <w:t>appear</w:t>
      </w:r>
      <w:r w:rsidR="00952D93">
        <w:rPr>
          <w:szCs w:val="24"/>
        </w:rPr>
        <w:t>s</w:t>
      </w:r>
      <w:r w:rsidR="005A3719">
        <w:rPr>
          <w:szCs w:val="24"/>
        </w:rPr>
        <w:t xml:space="preserve"> unconsidered. </w:t>
      </w:r>
      <w:r w:rsidR="00952D93">
        <w:rPr>
          <w:szCs w:val="24"/>
        </w:rPr>
        <w:t>For that matter</w:t>
      </w:r>
      <w:r w:rsidR="0019548C">
        <w:rPr>
          <w:szCs w:val="24"/>
        </w:rPr>
        <w:t>,</w:t>
      </w:r>
      <w:r w:rsidR="00952D93">
        <w:rPr>
          <w:szCs w:val="24"/>
        </w:rPr>
        <w:t xml:space="preserve"> no consideration is to be found on the record, not even </w:t>
      </w:r>
      <w:r w:rsidR="00DC5C2A">
        <w:rPr>
          <w:szCs w:val="24"/>
        </w:rPr>
        <w:t xml:space="preserve">an attempt to </w:t>
      </w:r>
      <w:r w:rsidR="0019548C">
        <w:rPr>
          <w:szCs w:val="24"/>
        </w:rPr>
        <w:t>contact the office of the Trade Minister</w:t>
      </w:r>
      <w:r w:rsidR="00C30F55">
        <w:rPr>
          <w:szCs w:val="24"/>
        </w:rPr>
        <w:t>.</w:t>
      </w:r>
      <w:r w:rsidR="0019548C">
        <w:rPr>
          <w:szCs w:val="24"/>
        </w:rPr>
        <w:t xml:space="preserve"> </w:t>
      </w:r>
    </w:p>
    <w:p w14:paraId="2F6AC997" w14:textId="59071535" w:rsidR="009A3BFF" w:rsidRDefault="0027466D" w:rsidP="0027466D">
      <w:pPr>
        <w:pStyle w:val="RetiefPleadingpara1"/>
        <w:numPr>
          <w:ilvl w:val="0"/>
          <w:numId w:val="0"/>
        </w:numPr>
        <w:tabs>
          <w:tab w:val="left" w:pos="851"/>
        </w:tabs>
        <w:spacing w:before="480" w:after="480"/>
        <w:rPr>
          <w:szCs w:val="24"/>
        </w:rPr>
      </w:pPr>
      <w:r>
        <w:rPr>
          <w:szCs w:val="24"/>
        </w:rPr>
        <w:t>[100]</w:t>
      </w:r>
      <w:r>
        <w:rPr>
          <w:szCs w:val="24"/>
        </w:rPr>
        <w:tab/>
      </w:r>
      <w:r w:rsidR="005A7235">
        <w:rPr>
          <w:szCs w:val="24"/>
        </w:rPr>
        <w:t>Driving</w:t>
      </w:r>
      <w:r w:rsidR="0019548C">
        <w:rPr>
          <w:szCs w:val="24"/>
        </w:rPr>
        <w:t xml:space="preserve"> the point home, </w:t>
      </w:r>
      <w:r w:rsidR="005A3719">
        <w:rPr>
          <w:szCs w:val="24"/>
        </w:rPr>
        <w:t xml:space="preserve">the Court was invited to consider </w:t>
      </w:r>
      <w:r w:rsidR="005A7235">
        <w:rPr>
          <w:szCs w:val="24"/>
        </w:rPr>
        <w:t xml:space="preserve">the </w:t>
      </w:r>
      <w:r w:rsidR="005A3719" w:rsidRPr="005A3719">
        <w:rPr>
          <w:b/>
          <w:bCs/>
          <w:szCs w:val="24"/>
        </w:rPr>
        <w:t>Pioneer Foods</w:t>
      </w:r>
      <w:r w:rsidR="005A3719">
        <w:rPr>
          <w:szCs w:val="24"/>
        </w:rPr>
        <w:t xml:space="preserve"> matter</w:t>
      </w:r>
      <w:r w:rsidR="00B74428">
        <w:rPr>
          <w:szCs w:val="24"/>
        </w:rPr>
        <w:t>.</w:t>
      </w:r>
      <w:r w:rsidR="005A3719">
        <w:rPr>
          <w:rStyle w:val="FootnoteReference"/>
          <w:szCs w:val="24"/>
        </w:rPr>
        <w:footnoteReference w:id="36"/>
      </w:r>
      <w:r w:rsidR="00DC5C2A">
        <w:rPr>
          <w:szCs w:val="24"/>
        </w:rPr>
        <w:t xml:space="preserve"> </w:t>
      </w:r>
      <w:r w:rsidR="005A7235">
        <w:rPr>
          <w:szCs w:val="24"/>
        </w:rPr>
        <w:t>In this matter, r</w:t>
      </w:r>
      <w:r w:rsidR="00DC5C2A">
        <w:rPr>
          <w:szCs w:val="24"/>
        </w:rPr>
        <w:t xml:space="preserve">eference was made to the following statement by </w:t>
      </w:r>
      <w:r w:rsidR="005A3719">
        <w:rPr>
          <w:szCs w:val="24"/>
        </w:rPr>
        <w:t xml:space="preserve">the Court: </w:t>
      </w:r>
      <w:r w:rsidR="009A3BFF" w:rsidRPr="009A3BFF">
        <w:rPr>
          <w:szCs w:val="24"/>
        </w:rPr>
        <w:t>“</w:t>
      </w:r>
      <w:r w:rsidR="009A3BFF" w:rsidRPr="009A3BFF">
        <w:rPr>
          <w:i/>
          <w:iCs/>
          <w:szCs w:val="24"/>
        </w:rPr>
        <w:t xml:space="preserve">the statutory duty imposed upon [him] before [he] amends the tariffs or performs his statutory duty, he </w:t>
      </w:r>
      <w:r w:rsidR="009A3BFF" w:rsidRPr="0019548C">
        <w:rPr>
          <w:i/>
          <w:iCs/>
          <w:szCs w:val="24"/>
          <w:u w:val="single"/>
        </w:rPr>
        <w:t>must satisfy himself</w:t>
      </w:r>
      <w:r w:rsidR="009A3BFF" w:rsidRPr="009A3BFF">
        <w:rPr>
          <w:i/>
          <w:iCs/>
          <w:szCs w:val="24"/>
        </w:rPr>
        <w:t xml:space="preserve"> </w:t>
      </w:r>
      <w:r w:rsidR="0019548C">
        <w:rPr>
          <w:i/>
          <w:iCs/>
          <w:szCs w:val="24"/>
        </w:rPr>
        <w:t xml:space="preserve">(own emphasis) </w:t>
      </w:r>
      <w:r w:rsidR="009A3BFF" w:rsidRPr="009A3BFF">
        <w:rPr>
          <w:i/>
          <w:iCs/>
          <w:szCs w:val="24"/>
        </w:rPr>
        <w:t>that amending the tariff will not have detrimental consequences for the country</w:t>
      </w:r>
      <w:r w:rsidR="005A3719">
        <w:rPr>
          <w:szCs w:val="24"/>
        </w:rPr>
        <w:t>”.</w:t>
      </w:r>
    </w:p>
    <w:p w14:paraId="24CA070C" w14:textId="27E00AB2" w:rsidR="00A42C9D" w:rsidRPr="00A42C9D" w:rsidRDefault="0027466D" w:rsidP="0027466D">
      <w:pPr>
        <w:pStyle w:val="RetiefPleadingpara1"/>
        <w:numPr>
          <w:ilvl w:val="0"/>
          <w:numId w:val="0"/>
        </w:numPr>
        <w:tabs>
          <w:tab w:val="left" w:pos="851"/>
        </w:tabs>
        <w:spacing w:before="480" w:after="480"/>
        <w:rPr>
          <w:color w:val="FF0000"/>
          <w:szCs w:val="24"/>
        </w:rPr>
      </w:pPr>
      <w:r w:rsidRPr="00A42C9D">
        <w:rPr>
          <w:szCs w:val="24"/>
        </w:rPr>
        <w:t>[101]</w:t>
      </w:r>
      <w:r w:rsidRPr="00A42C9D">
        <w:rPr>
          <w:szCs w:val="24"/>
        </w:rPr>
        <w:tab/>
      </w:r>
      <w:r w:rsidR="00DC3597">
        <w:rPr>
          <w:szCs w:val="24"/>
        </w:rPr>
        <w:t>AMIE</w:t>
      </w:r>
      <w:r w:rsidR="00A42C9D">
        <w:rPr>
          <w:szCs w:val="24"/>
        </w:rPr>
        <w:t xml:space="preserve">’s point is that the Deputy Minister, by not entertaining possible complaints which may </w:t>
      </w:r>
      <w:r w:rsidR="005A7235">
        <w:rPr>
          <w:szCs w:val="24"/>
        </w:rPr>
        <w:t xml:space="preserve">have </w:t>
      </w:r>
      <w:r w:rsidR="00A42C9D">
        <w:rPr>
          <w:szCs w:val="24"/>
        </w:rPr>
        <w:t>disturb</w:t>
      </w:r>
      <w:r w:rsidR="005A7235">
        <w:rPr>
          <w:szCs w:val="24"/>
        </w:rPr>
        <w:t>ed</w:t>
      </w:r>
      <w:r w:rsidR="00A42C9D">
        <w:rPr>
          <w:szCs w:val="24"/>
        </w:rPr>
        <w:t xml:space="preserve"> the balance, he did not perform his statutory duty. </w:t>
      </w:r>
      <w:r w:rsidR="00C30F55">
        <w:rPr>
          <w:szCs w:val="24"/>
        </w:rPr>
        <w:t>The final decision affects industry participants and diverse and conflicting views must be considered</w:t>
      </w:r>
      <w:r w:rsidR="000144C4">
        <w:rPr>
          <w:rStyle w:val="FootnoteReference"/>
          <w:szCs w:val="24"/>
        </w:rPr>
        <w:footnoteReference w:id="37"/>
      </w:r>
      <w:r w:rsidR="00C30F55">
        <w:rPr>
          <w:szCs w:val="24"/>
        </w:rPr>
        <w:t xml:space="preserve">. How to resolve </w:t>
      </w:r>
      <w:r w:rsidR="000D4FEF">
        <w:rPr>
          <w:szCs w:val="24"/>
        </w:rPr>
        <w:t xml:space="preserve">the conflicting and diverse interests </w:t>
      </w:r>
      <w:r w:rsidR="00C30F55">
        <w:rPr>
          <w:szCs w:val="24"/>
        </w:rPr>
        <w:t>is a question of policy. The Finance Minister is silent.</w:t>
      </w:r>
    </w:p>
    <w:p w14:paraId="6E15B24E" w14:textId="00A088CF" w:rsidR="00A42C9D" w:rsidRPr="00A42C9D" w:rsidRDefault="0027466D" w:rsidP="0027466D">
      <w:pPr>
        <w:pStyle w:val="RetiefPleadingpara1"/>
        <w:numPr>
          <w:ilvl w:val="0"/>
          <w:numId w:val="0"/>
        </w:numPr>
        <w:tabs>
          <w:tab w:val="left" w:pos="851"/>
        </w:tabs>
        <w:spacing w:before="480" w:after="480"/>
        <w:rPr>
          <w:color w:val="FF0000"/>
          <w:szCs w:val="24"/>
        </w:rPr>
      </w:pPr>
      <w:r w:rsidRPr="00A42C9D">
        <w:rPr>
          <w:szCs w:val="24"/>
        </w:rPr>
        <w:t>[102]</w:t>
      </w:r>
      <w:r w:rsidRPr="00A42C9D">
        <w:rPr>
          <w:szCs w:val="24"/>
        </w:rPr>
        <w:tab/>
      </w:r>
      <w:r w:rsidR="00A42C9D">
        <w:rPr>
          <w:szCs w:val="24"/>
        </w:rPr>
        <w:t>I agree</w:t>
      </w:r>
      <w:r w:rsidR="000D4FEF">
        <w:rPr>
          <w:szCs w:val="24"/>
        </w:rPr>
        <w:t>,</w:t>
      </w:r>
      <w:r w:rsidR="00A42C9D">
        <w:rPr>
          <w:szCs w:val="24"/>
        </w:rPr>
        <w:t xml:space="preserve"> and without evidence to the </w:t>
      </w:r>
      <w:r w:rsidR="00B74428">
        <w:rPr>
          <w:szCs w:val="24"/>
        </w:rPr>
        <w:t>contrary and</w:t>
      </w:r>
      <w:r w:rsidR="00A42C9D">
        <w:rPr>
          <w:szCs w:val="24"/>
        </w:rPr>
        <w:t xml:space="preserve"> viewing the Court’s obligation </w:t>
      </w:r>
      <w:r w:rsidR="00153834">
        <w:rPr>
          <w:szCs w:val="24"/>
        </w:rPr>
        <w:t>all</w:t>
      </w:r>
      <w:r w:rsidR="0019548C">
        <w:rPr>
          <w:szCs w:val="24"/>
        </w:rPr>
        <w:t>uded to by the CC in the</w:t>
      </w:r>
      <w:r w:rsidR="0019548C" w:rsidRPr="0019548C">
        <w:rPr>
          <w:b/>
          <w:bCs/>
          <w:szCs w:val="24"/>
        </w:rPr>
        <w:t xml:space="preserve"> Albutt</w:t>
      </w:r>
      <w:r w:rsidR="0019548C">
        <w:rPr>
          <w:szCs w:val="24"/>
        </w:rPr>
        <w:t xml:space="preserve"> matter</w:t>
      </w:r>
      <w:r w:rsidR="00153834">
        <w:rPr>
          <w:szCs w:val="24"/>
        </w:rPr>
        <w:t xml:space="preserve"> that </w:t>
      </w:r>
      <w:r w:rsidR="0019548C">
        <w:rPr>
          <w:szCs w:val="24"/>
        </w:rPr>
        <w:t>“-</w:t>
      </w:r>
      <w:r w:rsidR="0019548C" w:rsidRPr="00A34FE4">
        <w:rPr>
          <w:i/>
          <w:iCs/>
          <w:szCs w:val="24"/>
        </w:rPr>
        <w:t>courts are obliged to examine the means selected to determine whether they rationally related to the object sought to be achieved</w:t>
      </w:r>
      <w:r w:rsidR="00A42C9D">
        <w:rPr>
          <w:i/>
          <w:iCs/>
          <w:szCs w:val="24"/>
        </w:rPr>
        <w:t xml:space="preserve">”, </w:t>
      </w:r>
      <w:r w:rsidR="00A42C9D" w:rsidRPr="00A42C9D">
        <w:rPr>
          <w:szCs w:val="24"/>
        </w:rPr>
        <w:t>it flows that the Deputy Minister failed in this regard.</w:t>
      </w:r>
    </w:p>
    <w:p w14:paraId="33B915B6" w14:textId="308F32E7" w:rsidR="00DA2BA8" w:rsidRPr="00A42C9D" w:rsidRDefault="0027466D" w:rsidP="0027466D">
      <w:pPr>
        <w:pStyle w:val="RetiefPleadingpara1"/>
        <w:numPr>
          <w:ilvl w:val="0"/>
          <w:numId w:val="0"/>
        </w:numPr>
        <w:tabs>
          <w:tab w:val="left" w:pos="851"/>
        </w:tabs>
        <w:spacing w:before="480" w:after="480"/>
        <w:rPr>
          <w:szCs w:val="24"/>
        </w:rPr>
      </w:pPr>
      <w:r w:rsidRPr="00A42C9D">
        <w:rPr>
          <w:szCs w:val="24"/>
        </w:rPr>
        <w:lastRenderedPageBreak/>
        <w:t>[103]</w:t>
      </w:r>
      <w:r w:rsidRPr="00A42C9D">
        <w:rPr>
          <w:szCs w:val="24"/>
        </w:rPr>
        <w:tab/>
      </w:r>
      <w:r w:rsidR="00A42C9D">
        <w:rPr>
          <w:szCs w:val="24"/>
        </w:rPr>
        <w:t>The enquiry into whether it would have made a difference if the Deputy Minister had</w:t>
      </w:r>
      <w:r w:rsidR="00AB47D9">
        <w:rPr>
          <w:szCs w:val="24"/>
        </w:rPr>
        <w:t>,</w:t>
      </w:r>
      <w:r w:rsidR="00B74428">
        <w:rPr>
          <w:szCs w:val="24"/>
        </w:rPr>
        <w:t xml:space="preserve"> </w:t>
      </w:r>
      <w:r w:rsidR="00A42C9D">
        <w:rPr>
          <w:szCs w:val="24"/>
        </w:rPr>
        <w:t xml:space="preserve">is of no moment as this Court is not equipped to determine that. </w:t>
      </w:r>
      <w:r w:rsidR="00DC3597">
        <w:rPr>
          <w:szCs w:val="24"/>
        </w:rPr>
        <w:t>AMIE</w:t>
      </w:r>
      <w:r w:rsidR="00A42C9D">
        <w:rPr>
          <w:szCs w:val="24"/>
        </w:rPr>
        <w:t>’s complaint of rationality</w:t>
      </w:r>
      <w:r w:rsidR="000D4FEF">
        <w:rPr>
          <w:szCs w:val="24"/>
        </w:rPr>
        <w:t xml:space="preserve"> </w:t>
      </w:r>
      <w:r w:rsidR="00A42C9D">
        <w:rPr>
          <w:szCs w:val="24"/>
        </w:rPr>
        <w:t>must succeed on this point.</w:t>
      </w:r>
    </w:p>
    <w:p w14:paraId="3F96D45E" w14:textId="4EFF3B35" w:rsidR="00F644A4" w:rsidRPr="00C12D01" w:rsidRDefault="0027466D" w:rsidP="0027466D">
      <w:pPr>
        <w:pStyle w:val="RetiefPleadingpara1"/>
        <w:numPr>
          <w:ilvl w:val="0"/>
          <w:numId w:val="0"/>
        </w:numPr>
        <w:tabs>
          <w:tab w:val="left" w:pos="851"/>
        </w:tabs>
        <w:spacing w:before="480" w:after="480"/>
        <w:rPr>
          <w:szCs w:val="24"/>
        </w:rPr>
      </w:pPr>
      <w:r w:rsidRPr="00C12D01">
        <w:rPr>
          <w:szCs w:val="24"/>
        </w:rPr>
        <w:t>[104]</w:t>
      </w:r>
      <w:r w:rsidRPr="00C12D01">
        <w:rPr>
          <w:szCs w:val="24"/>
        </w:rPr>
        <w:tab/>
      </w:r>
      <w:r w:rsidR="004A6144" w:rsidRPr="00C12D01">
        <w:rPr>
          <w:szCs w:val="24"/>
        </w:rPr>
        <w:t xml:space="preserve">The constitutional breach which has occurred is </w:t>
      </w:r>
      <w:r w:rsidR="00C12D01">
        <w:rPr>
          <w:szCs w:val="24"/>
        </w:rPr>
        <w:t>regrettable but</w:t>
      </w:r>
      <w:r w:rsidR="004A6144" w:rsidRPr="00C12D01">
        <w:rPr>
          <w:szCs w:val="24"/>
        </w:rPr>
        <w:t xml:space="preserve"> </w:t>
      </w:r>
      <w:r w:rsidR="00C12D01">
        <w:rPr>
          <w:szCs w:val="24"/>
        </w:rPr>
        <w:t>t</w:t>
      </w:r>
      <w:r w:rsidR="004A6144" w:rsidRPr="00C12D01">
        <w:rPr>
          <w:szCs w:val="24"/>
        </w:rPr>
        <w:t>he decision</w:t>
      </w:r>
      <w:r w:rsidR="00CC4882">
        <w:rPr>
          <w:szCs w:val="24"/>
        </w:rPr>
        <w:t>-</w:t>
      </w:r>
      <w:r w:rsidR="004A6144" w:rsidRPr="00C12D01">
        <w:rPr>
          <w:szCs w:val="24"/>
        </w:rPr>
        <w:t xml:space="preserve">makers in </w:t>
      </w:r>
      <w:r w:rsidR="00C12D01">
        <w:rPr>
          <w:szCs w:val="24"/>
        </w:rPr>
        <w:t>Tr</w:t>
      </w:r>
      <w:r w:rsidR="004A6144" w:rsidRPr="00C12D01">
        <w:rPr>
          <w:szCs w:val="24"/>
        </w:rPr>
        <w:t xml:space="preserve">easury and the Finance Minister </w:t>
      </w:r>
      <w:r w:rsidR="00C12D01">
        <w:rPr>
          <w:szCs w:val="24"/>
        </w:rPr>
        <w:t xml:space="preserve">or the delegate at the time, must </w:t>
      </w:r>
      <w:r w:rsidR="004A6144" w:rsidRPr="00C12D01">
        <w:rPr>
          <w:szCs w:val="24"/>
        </w:rPr>
        <w:t xml:space="preserve">approach their task as they see fit, as long as the manner in which they do so is rational. </w:t>
      </w:r>
    </w:p>
    <w:p w14:paraId="0E8ACCE1" w14:textId="4BC49119" w:rsidR="00C30F55" w:rsidRPr="00C30F55" w:rsidRDefault="0027466D" w:rsidP="0027466D">
      <w:pPr>
        <w:pStyle w:val="RetiefPleadingpara1"/>
        <w:numPr>
          <w:ilvl w:val="0"/>
          <w:numId w:val="0"/>
        </w:numPr>
        <w:tabs>
          <w:tab w:val="left" w:pos="851"/>
        </w:tabs>
        <w:spacing w:before="480" w:after="480"/>
        <w:rPr>
          <w:szCs w:val="24"/>
        </w:rPr>
      </w:pPr>
      <w:r w:rsidRPr="00C30F55">
        <w:rPr>
          <w:szCs w:val="24"/>
        </w:rPr>
        <w:t>[105]</w:t>
      </w:r>
      <w:r w:rsidRPr="00C30F55">
        <w:rPr>
          <w:szCs w:val="24"/>
        </w:rPr>
        <w:tab/>
      </w:r>
      <w:r w:rsidR="00885A5A" w:rsidRPr="00121FF8">
        <w:rPr>
          <w:szCs w:val="24"/>
        </w:rPr>
        <w:t>I</w:t>
      </w:r>
      <w:r w:rsidR="000A15E3">
        <w:rPr>
          <w:szCs w:val="24"/>
        </w:rPr>
        <w:t xml:space="preserve">n considering </w:t>
      </w:r>
      <w:r w:rsidR="00DC3597">
        <w:rPr>
          <w:szCs w:val="24"/>
        </w:rPr>
        <w:t>AMIE</w:t>
      </w:r>
      <w:r w:rsidR="000A15E3">
        <w:rPr>
          <w:szCs w:val="24"/>
        </w:rPr>
        <w:t xml:space="preserve">’s relief as against the Finance Minister, I </w:t>
      </w:r>
      <w:r w:rsidR="000D7DC6">
        <w:rPr>
          <w:szCs w:val="24"/>
        </w:rPr>
        <w:t xml:space="preserve">too </w:t>
      </w:r>
      <w:r w:rsidR="000A15E3">
        <w:rPr>
          <w:szCs w:val="24"/>
        </w:rPr>
        <w:t xml:space="preserve">am mindful of SAPA’s submissions </w:t>
      </w:r>
      <w:r w:rsidR="000D7DC6">
        <w:rPr>
          <w:szCs w:val="24"/>
        </w:rPr>
        <w:t xml:space="preserve">with regard to an appropriate </w:t>
      </w:r>
      <w:r w:rsidR="000D4FEF">
        <w:rPr>
          <w:szCs w:val="24"/>
        </w:rPr>
        <w:t xml:space="preserve">equity </w:t>
      </w:r>
      <w:r w:rsidR="000D7DC6">
        <w:rPr>
          <w:szCs w:val="24"/>
        </w:rPr>
        <w:t>remedy. I</w:t>
      </w:r>
      <w:r w:rsidR="000A15E3">
        <w:rPr>
          <w:szCs w:val="24"/>
        </w:rPr>
        <w:t xml:space="preserve"> </w:t>
      </w:r>
      <w:r w:rsidR="000D7DC6">
        <w:rPr>
          <w:szCs w:val="24"/>
        </w:rPr>
        <w:t xml:space="preserve">consider the </w:t>
      </w:r>
      <w:r w:rsidR="000A15E3">
        <w:rPr>
          <w:szCs w:val="24"/>
        </w:rPr>
        <w:t xml:space="preserve">balance </w:t>
      </w:r>
      <w:r w:rsidR="000D7DC6">
        <w:rPr>
          <w:szCs w:val="24"/>
        </w:rPr>
        <w:t xml:space="preserve">of </w:t>
      </w:r>
      <w:r w:rsidR="000A15E3">
        <w:rPr>
          <w:szCs w:val="24"/>
        </w:rPr>
        <w:t xml:space="preserve">the interests </w:t>
      </w:r>
      <w:r w:rsidR="000D7DC6">
        <w:rPr>
          <w:szCs w:val="24"/>
        </w:rPr>
        <w:t xml:space="preserve">to be </w:t>
      </w:r>
      <w:r w:rsidR="000A15E3">
        <w:rPr>
          <w:szCs w:val="24"/>
        </w:rPr>
        <w:t>served</w:t>
      </w:r>
      <w:r w:rsidR="000D7DC6">
        <w:rPr>
          <w:szCs w:val="24"/>
        </w:rPr>
        <w:t xml:space="preserve"> between all the parties</w:t>
      </w:r>
      <w:r w:rsidR="00465D9F">
        <w:rPr>
          <w:szCs w:val="24"/>
        </w:rPr>
        <w:t xml:space="preserve"> </w:t>
      </w:r>
      <w:r w:rsidR="000D7DC6">
        <w:rPr>
          <w:szCs w:val="24"/>
        </w:rPr>
        <w:t xml:space="preserve">that </w:t>
      </w:r>
      <w:r w:rsidR="00465D9F">
        <w:rPr>
          <w:szCs w:val="24"/>
        </w:rPr>
        <w:t xml:space="preserve">the result that </w:t>
      </w:r>
      <w:r w:rsidR="000D7DC6">
        <w:rPr>
          <w:szCs w:val="24"/>
        </w:rPr>
        <w:t xml:space="preserve">ITAC’s recommendation </w:t>
      </w:r>
      <w:r w:rsidR="000D4FEF">
        <w:rPr>
          <w:szCs w:val="24"/>
        </w:rPr>
        <w:t xml:space="preserve">still remains a jurisdictional fact </w:t>
      </w:r>
      <w:r w:rsidR="000D7DC6">
        <w:rPr>
          <w:szCs w:val="24"/>
        </w:rPr>
        <w:t>and the</w:t>
      </w:r>
      <w:r w:rsidR="000D4FEF">
        <w:rPr>
          <w:szCs w:val="24"/>
        </w:rPr>
        <w:t xml:space="preserve"> the</w:t>
      </w:r>
      <w:r w:rsidR="000D7DC6">
        <w:rPr>
          <w:szCs w:val="24"/>
        </w:rPr>
        <w:t xml:space="preserve"> Trade Minister’s decision stand</w:t>
      </w:r>
      <w:r w:rsidR="000D4FEF">
        <w:rPr>
          <w:szCs w:val="24"/>
        </w:rPr>
        <w:t>s</w:t>
      </w:r>
      <w:r w:rsidR="000D7DC6">
        <w:rPr>
          <w:szCs w:val="24"/>
        </w:rPr>
        <w:t xml:space="preserve">. It will be for the Finance Minister </w:t>
      </w:r>
      <w:r w:rsidR="00AC443E">
        <w:rPr>
          <w:szCs w:val="24"/>
        </w:rPr>
        <w:t xml:space="preserve">now </w:t>
      </w:r>
      <w:r w:rsidR="000D7DC6">
        <w:rPr>
          <w:szCs w:val="24"/>
        </w:rPr>
        <w:t>to consider the weight of</w:t>
      </w:r>
      <w:r w:rsidR="000D4FEF">
        <w:rPr>
          <w:szCs w:val="24"/>
        </w:rPr>
        <w:t xml:space="preserve"> the complaints and interests</w:t>
      </w:r>
      <w:r w:rsidR="00AC443E">
        <w:rPr>
          <w:szCs w:val="24"/>
        </w:rPr>
        <w:t xml:space="preserve">, if any, </w:t>
      </w:r>
      <w:r w:rsidR="000D7DC6">
        <w:rPr>
          <w:szCs w:val="24"/>
        </w:rPr>
        <w:t xml:space="preserve">and </w:t>
      </w:r>
      <w:r w:rsidR="00C30F55">
        <w:rPr>
          <w:szCs w:val="24"/>
        </w:rPr>
        <w:t xml:space="preserve">to </w:t>
      </w:r>
      <w:r w:rsidR="000D7DC6">
        <w:rPr>
          <w:szCs w:val="24"/>
        </w:rPr>
        <w:t>exercise his powers in terms of the Customs Act</w:t>
      </w:r>
      <w:r w:rsidR="00465D9F">
        <w:rPr>
          <w:szCs w:val="24"/>
        </w:rPr>
        <w:t xml:space="preserve">. </w:t>
      </w:r>
    </w:p>
    <w:p w14:paraId="2A99403A" w14:textId="77777777" w:rsidR="000D7DC6" w:rsidRPr="000D7DC6" w:rsidRDefault="000D7DC6" w:rsidP="009472CC">
      <w:pPr>
        <w:pStyle w:val="RetiefPleadingpara1"/>
        <w:numPr>
          <w:ilvl w:val="0"/>
          <w:numId w:val="0"/>
        </w:numPr>
        <w:spacing w:before="480" w:after="480"/>
        <w:rPr>
          <w:b/>
          <w:bCs/>
          <w:szCs w:val="24"/>
          <w:u w:val="single"/>
        </w:rPr>
      </w:pPr>
      <w:r w:rsidRPr="000D7DC6">
        <w:rPr>
          <w:b/>
          <w:bCs/>
          <w:szCs w:val="24"/>
          <w:u w:val="single"/>
        </w:rPr>
        <w:t>COSTS</w:t>
      </w:r>
    </w:p>
    <w:p w14:paraId="24DA677E" w14:textId="04765C6E" w:rsidR="000D7DC6" w:rsidRPr="000D7DC6" w:rsidRDefault="0027466D" w:rsidP="0027466D">
      <w:pPr>
        <w:pStyle w:val="RetiefPleadingpara1"/>
        <w:numPr>
          <w:ilvl w:val="0"/>
          <w:numId w:val="0"/>
        </w:numPr>
        <w:tabs>
          <w:tab w:val="left" w:pos="851"/>
        </w:tabs>
        <w:spacing w:before="480" w:after="480"/>
        <w:rPr>
          <w:szCs w:val="24"/>
        </w:rPr>
      </w:pPr>
      <w:r w:rsidRPr="000D7DC6">
        <w:rPr>
          <w:szCs w:val="24"/>
        </w:rPr>
        <w:t>[106]</w:t>
      </w:r>
      <w:r w:rsidRPr="000D7DC6">
        <w:rPr>
          <w:szCs w:val="24"/>
        </w:rPr>
        <w:tab/>
      </w:r>
      <w:r w:rsidR="00713C40">
        <w:rPr>
          <w:szCs w:val="24"/>
        </w:rPr>
        <w:t xml:space="preserve">In </w:t>
      </w:r>
      <w:r w:rsidR="000D4FEF">
        <w:rPr>
          <w:szCs w:val="24"/>
        </w:rPr>
        <w:t xml:space="preserve">the </w:t>
      </w:r>
      <w:r w:rsidR="00713C40">
        <w:rPr>
          <w:szCs w:val="24"/>
        </w:rPr>
        <w:t xml:space="preserve">absence </w:t>
      </w:r>
      <w:r w:rsidR="000D4FEF">
        <w:rPr>
          <w:szCs w:val="24"/>
        </w:rPr>
        <w:t xml:space="preserve">of </w:t>
      </w:r>
      <w:r w:rsidR="00713C40">
        <w:rPr>
          <w:szCs w:val="24"/>
        </w:rPr>
        <w:t xml:space="preserve">argument to the contrary, </w:t>
      </w:r>
      <w:r w:rsidR="000D7DC6">
        <w:rPr>
          <w:szCs w:val="24"/>
        </w:rPr>
        <w:t xml:space="preserve">I can find </w:t>
      </w:r>
      <w:r w:rsidR="000D4FEF">
        <w:rPr>
          <w:szCs w:val="24"/>
        </w:rPr>
        <w:t>no</w:t>
      </w:r>
      <w:r w:rsidR="000D7DC6">
        <w:rPr>
          <w:szCs w:val="24"/>
        </w:rPr>
        <w:t xml:space="preserve"> reason why </w:t>
      </w:r>
      <w:r w:rsidR="000D4FEF">
        <w:rPr>
          <w:szCs w:val="24"/>
        </w:rPr>
        <w:t>the c</w:t>
      </w:r>
      <w:r w:rsidR="000D7DC6">
        <w:rPr>
          <w:szCs w:val="24"/>
        </w:rPr>
        <w:t>osts should not follow the result</w:t>
      </w:r>
      <w:r w:rsidR="00713C40">
        <w:rPr>
          <w:szCs w:val="24"/>
        </w:rPr>
        <w:t>.</w:t>
      </w:r>
    </w:p>
    <w:p w14:paraId="6EE90CEE" w14:textId="13BBA03D" w:rsidR="009C3C68" w:rsidRPr="000A15E3" w:rsidRDefault="000D4FEF" w:rsidP="009472CC">
      <w:pPr>
        <w:pStyle w:val="RetiefPleadingpara1"/>
        <w:numPr>
          <w:ilvl w:val="0"/>
          <w:numId w:val="0"/>
        </w:numPr>
        <w:spacing w:before="480" w:after="480"/>
        <w:rPr>
          <w:szCs w:val="24"/>
        </w:rPr>
      </w:pPr>
      <w:r>
        <w:rPr>
          <w:szCs w:val="24"/>
        </w:rPr>
        <w:t xml:space="preserve">In so doing, </w:t>
      </w:r>
      <w:r w:rsidR="000D7DC6">
        <w:rPr>
          <w:szCs w:val="24"/>
        </w:rPr>
        <w:t xml:space="preserve">I </w:t>
      </w:r>
      <w:r w:rsidR="000A15E3">
        <w:rPr>
          <w:szCs w:val="24"/>
        </w:rPr>
        <w:t>make the following order:</w:t>
      </w:r>
    </w:p>
    <w:p w14:paraId="28D5C7FA" w14:textId="63CB2C7B" w:rsidR="00246B44" w:rsidRDefault="0027466D" w:rsidP="0027466D">
      <w:pPr>
        <w:pStyle w:val="RetiefPleadingpara1"/>
        <w:numPr>
          <w:ilvl w:val="0"/>
          <w:numId w:val="0"/>
        </w:numPr>
        <w:spacing w:before="480" w:after="480"/>
        <w:ind w:left="851" w:hanging="851"/>
        <w:rPr>
          <w:szCs w:val="24"/>
        </w:rPr>
      </w:pPr>
      <w:r>
        <w:rPr>
          <w:szCs w:val="24"/>
        </w:rPr>
        <w:t>1.</w:t>
      </w:r>
      <w:r>
        <w:rPr>
          <w:szCs w:val="24"/>
        </w:rPr>
        <w:tab/>
      </w:r>
      <w:r w:rsidR="000A15E3">
        <w:rPr>
          <w:szCs w:val="24"/>
        </w:rPr>
        <w:t xml:space="preserve">The Third </w:t>
      </w:r>
      <w:r w:rsidR="00AC443E">
        <w:rPr>
          <w:szCs w:val="24"/>
        </w:rPr>
        <w:t xml:space="preserve">Respondent’s </w:t>
      </w:r>
      <w:r w:rsidR="000A15E3">
        <w:rPr>
          <w:szCs w:val="24"/>
        </w:rPr>
        <w:t>decision to approve the Second Respondent’s recommendation</w:t>
      </w:r>
      <w:r w:rsidR="004931ED">
        <w:rPr>
          <w:szCs w:val="24"/>
        </w:rPr>
        <w:t>s</w:t>
      </w:r>
      <w:r w:rsidR="000D4FEF">
        <w:rPr>
          <w:szCs w:val="24"/>
        </w:rPr>
        <w:t>,</w:t>
      </w:r>
      <w:r w:rsidR="00AC443E">
        <w:rPr>
          <w:szCs w:val="24"/>
        </w:rPr>
        <w:t xml:space="preserve"> in respect of the </w:t>
      </w:r>
      <w:r w:rsidR="000A15E3">
        <w:rPr>
          <w:szCs w:val="24"/>
        </w:rPr>
        <w:t>First Respondent</w:t>
      </w:r>
      <w:r w:rsidR="00CC4882">
        <w:rPr>
          <w:szCs w:val="24"/>
        </w:rPr>
        <w:t>’</w:t>
      </w:r>
      <w:r w:rsidR="000A15E3">
        <w:rPr>
          <w:szCs w:val="24"/>
        </w:rPr>
        <w:t xml:space="preserve">s final determination </w:t>
      </w:r>
      <w:r w:rsidR="00AC443E">
        <w:rPr>
          <w:szCs w:val="24"/>
        </w:rPr>
        <w:t>i</w:t>
      </w:r>
      <w:r w:rsidR="000A15E3">
        <w:rPr>
          <w:szCs w:val="24"/>
        </w:rPr>
        <w:t>s hereby set-aside</w:t>
      </w:r>
      <w:r w:rsidR="00465D9F">
        <w:rPr>
          <w:szCs w:val="24"/>
        </w:rPr>
        <w:t>.</w:t>
      </w:r>
    </w:p>
    <w:p w14:paraId="48CF198A" w14:textId="03BF7A80" w:rsidR="00B23D23" w:rsidRDefault="0027466D" w:rsidP="0027466D">
      <w:pPr>
        <w:pStyle w:val="RetiefPleadingpara1"/>
        <w:numPr>
          <w:ilvl w:val="0"/>
          <w:numId w:val="0"/>
        </w:numPr>
        <w:spacing w:before="480" w:after="480"/>
        <w:ind w:left="851" w:hanging="851"/>
        <w:rPr>
          <w:szCs w:val="24"/>
        </w:rPr>
      </w:pPr>
      <w:r>
        <w:rPr>
          <w:szCs w:val="24"/>
        </w:rPr>
        <w:lastRenderedPageBreak/>
        <w:t>2.</w:t>
      </w:r>
      <w:r>
        <w:rPr>
          <w:szCs w:val="24"/>
        </w:rPr>
        <w:tab/>
      </w:r>
      <w:r w:rsidR="000A15E3">
        <w:rPr>
          <w:szCs w:val="24"/>
        </w:rPr>
        <w:t xml:space="preserve">The </w:t>
      </w:r>
      <w:r w:rsidR="00AC443E">
        <w:rPr>
          <w:szCs w:val="24"/>
        </w:rPr>
        <w:t>decision to approve the Second Respondent’s recommendation</w:t>
      </w:r>
      <w:r w:rsidR="004931ED">
        <w:rPr>
          <w:szCs w:val="24"/>
        </w:rPr>
        <w:t>s</w:t>
      </w:r>
      <w:r w:rsidR="00AC443E">
        <w:rPr>
          <w:szCs w:val="24"/>
        </w:rPr>
        <w:t>, in respect of the First Respondent’s final determination</w:t>
      </w:r>
      <w:r w:rsidR="000D4FEF">
        <w:rPr>
          <w:szCs w:val="24"/>
        </w:rPr>
        <w:t>, referred to in prayer 1,</w:t>
      </w:r>
      <w:r w:rsidR="000A15E3">
        <w:rPr>
          <w:szCs w:val="24"/>
        </w:rPr>
        <w:t xml:space="preserve"> is </w:t>
      </w:r>
      <w:r w:rsidR="00AC443E">
        <w:rPr>
          <w:szCs w:val="24"/>
        </w:rPr>
        <w:t xml:space="preserve">hereby </w:t>
      </w:r>
      <w:r w:rsidR="000A15E3">
        <w:rPr>
          <w:szCs w:val="24"/>
        </w:rPr>
        <w:t>referred back to the Third Respondent</w:t>
      </w:r>
      <w:r w:rsidR="000D4FEF">
        <w:rPr>
          <w:szCs w:val="24"/>
        </w:rPr>
        <w:t xml:space="preserve">. </w:t>
      </w:r>
    </w:p>
    <w:p w14:paraId="0B0EDAFE" w14:textId="4FC6412F" w:rsidR="000A15E3" w:rsidRDefault="0027466D" w:rsidP="0027466D">
      <w:pPr>
        <w:pStyle w:val="RetiefPleadingpara1"/>
        <w:numPr>
          <w:ilvl w:val="0"/>
          <w:numId w:val="0"/>
        </w:numPr>
        <w:spacing w:before="480" w:after="480"/>
        <w:ind w:left="851" w:hanging="851"/>
        <w:rPr>
          <w:szCs w:val="24"/>
        </w:rPr>
      </w:pPr>
      <w:r>
        <w:rPr>
          <w:szCs w:val="24"/>
        </w:rPr>
        <w:t>3.</w:t>
      </w:r>
      <w:r>
        <w:rPr>
          <w:szCs w:val="24"/>
        </w:rPr>
        <w:tab/>
      </w:r>
      <w:r w:rsidR="00B23D23">
        <w:rPr>
          <w:szCs w:val="24"/>
        </w:rPr>
        <w:t>The</w:t>
      </w:r>
      <w:r w:rsidR="000D4FEF">
        <w:rPr>
          <w:szCs w:val="24"/>
        </w:rPr>
        <w:t xml:space="preserve"> Third Respondent </w:t>
      </w:r>
      <w:r w:rsidR="00B23D23">
        <w:rPr>
          <w:szCs w:val="24"/>
        </w:rPr>
        <w:t>must exercise</w:t>
      </w:r>
      <w:r w:rsidR="000D4FEF">
        <w:rPr>
          <w:szCs w:val="24"/>
        </w:rPr>
        <w:t xml:space="preserve"> his discretion </w:t>
      </w:r>
      <w:r w:rsidR="004931ED">
        <w:rPr>
          <w:szCs w:val="24"/>
        </w:rPr>
        <w:t>and ma</w:t>
      </w:r>
      <w:r w:rsidR="00B23D23">
        <w:rPr>
          <w:szCs w:val="24"/>
        </w:rPr>
        <w:t>ke</w:t>
      </w:r>
      <w:r w:rsidR="004931ED">
        <w:rPr>
          <w:szCs w:val="24"/>
        </w:rPr>
        <w:t xml:space="preserve"> his decision </w:t>
      </w:r>
      <w:r w:rsidR="00B23D23">
        <w:rPr>
          <w:szCs w:val="24"/>
        </w:rPr>
        <w:t xml:space="preserve">in respect of  </w:t>
      </w:r>
      <w:r w:rsidR="004931ED">
        <w:rPr>
          <w:szCs w:val="24"/>
        </w:rPr>
        <w:t>the Second Respondent’s recommendations</w:t>
      </w:r>
      <w:r w:rsidR="00B23D23">
        <w:rPr>
          <w:szCs w:val="24"/>
        </w:rPr>
        <w:t xml:space="preserve"> </w:t>
      </w:r>
      <w:r w:rsidR="004931ED">
        <w:rPr>
          <w:szCs w:val="24"/>
        </w:rPr>
        <w:t xml:space="preserve">of the First Respondent’s final determination </w:t>
      </w:r>
      <w:r w:rsidR="000A15E3">
        <w:rPr>
          <w:szCs w:val="24"/>
        </w:rPr>
        <w:t xml:space="preserve">within </w:t>
      </w:r>
      <w:r w:rsidR="004931ED">
        <w:rPr>
          <w:szCs w:val="24"/>
        </w:rPr>
        <w:t>12</w:t>
      </w:r>
      <w:r w:rsidR="00B23D23">
        <w:rPr>
          <w:szCs w:val="24"/>
        </w:rPr>
        <w:t xml:space="preserve"> </w:t>
      </w:r>
      <w:r w:rsidR="000A15E3">
        <w:rPr>
          <w:szCs w:val="24"/>
        </w:rPr>
        <w:t>(</w:t>
      </w:r>
      <w:r w:rsidR="004931ED">
        <w:rPr>
          <w:szCs w:val="24"/>
        </w:rPr>
        <w:t>twelve)</w:t>
      </w:r>
      <w:r w:rsidR="000A15E3">
        <w:rPr>
          <w:szCs w:val="24"/>
        </w:rPr>
        <w:t xml:space="preserve"> months from date of this order</w:t>
      </w:r>
      <w:r w:rsidR="00465D9F">
        <w:rPr>
          <w:szCs w:val="24"/>
        </w:rPr>
        <w:t>.</w:t>
      </w:r>
    </w:p>
    <w:p w14:paraId="2A90601A" w14:textId="3FA2488E" w:rsidR="00A85002" w:rsidRPr="00465D9F" w:rsidRDefault="0027466D" w:rsidP="0027466D">
      <w:pPr>
        <w:pStyle w:val="RetiefPleadingpara1"/>
        <w:numPr>
          <w:ilvl w:val="0"/>
          <w:numId w:val="0"/>
        </w:numPr>
        <w:spacing w:before="480" w:after="480"/>
        <w:ind w:left="851" w:hanging="851"/>
        <w:rPr>
          <w:color w:val="000000" w:themeColor="text1"/>
          <w:szCs w:val="24"/>
        </w:rPr>
      </w:pPr>
      <w:r w:rsidRPr="00465D9F">
        <w:rPr>
          <w:color w:val="000000" w:themeColor="text1"/>
          <w:szCs w:val="24"/>
        </w:rPr>
        <w:t>4.</w:t>
      </w:r>
      <w:r w:rsidRPr="00465D9F">
        <w:rPr>
          <w:color w:val="000000" w:themeColor="text1"/>
          <w:szCs w:val="24"/>
        </w:rPr>
        <w:tab/>
      </w:r>
      <w:r w:rsidR="00B23D23" w:rsidRPr="00465D9F">
        <w:rPr>
          <w:color w:val="000000" w:themeColor="text1"/>
          <w:szCs w:val="24"/>
        </w:rPr>
        <w:t>Notwithstanding prayer 1 hereof, t</w:t>
      </w:r>
      <w:r w:rsidR="004931ED" w:rsidRPr="00465D9F">
        <w:rPr>
          <w:color w:val="000000" w:themeColor="text1"/>
          <w:szCs w:val="24"/>
        </w:rPr>
        <w:t xml:space="preserve">he ministerial amendment of Schedule 2 of the Customs and Excise Act 91 of 1964 </w:t>
      </w:r>
      <w:r w:rsidR="00AC443E" w:rsidRPr="00465D9F">
        <w:rPr>
          <w:color w:val="000000" w:themeColor="text1"/>
          <w:szCs w:val="24"/>
        </w:rPr>
        <w:t xml:space="preserve">published </w:t>
      </w:r>
      <w:r w:rsidR="004931ED" w:rsidRPr="00465D9F">
        <w:rPr>
          <w:color w:val="000000" w:themeColor="text1"/>
          <w:szCs w:val="24"/>
        </w:rPr>
        <w:t xml:space="preserve">in </w:t>
      </w:r>
      <w:r w:rsidR="00AC443E" w:rsidRPr="00465D9F">
        <w:rPr>
          <w:color w:val="000000" w:themeColor="text1"/>
          <w:szCs w:val="24"/>
        </w:rPr>
        <w:t>Gazette 45032 shall remain of force and effect until such time as the Thir</w:t>
      </w:r>
      <w:r w:rsidR="00A85002" w:rsidRPr="00465D9F">
        <w:rPr>
          <w:color w:val="000000" w:themeColor="text1"/>
          <w:szCs w:val="24"/>
        </w:rPr>
        <w:t xml:space="preserve">d Respondent has made his final decision referred to in prayer 2 </w:t>
      </w:r>
      <w:r w:rsidR="00B23D23" w:rsidRPr="00465D9F">
        <w:rPr>
          <w:color w:val="000000" w:themeColor="text1"/>
          <w:szCs w:val="24"/>
        </w:rPr>
        <w:t xml:space="preserve">and 3 </w:t>
      </w:r>
      <w:r w:rsidR="00A85002" w:rsidRPr="00465D9F">
        <w:rPr>
          <w:color w:val="000000" w:themeColor="text1"/>
          <w:szCs w:val="24"/>
        </w:rPr>
        <w:t>hereof</w:t>
      </w:r>
      <w:r w:rsidR="00465D9F">
        <w:rPr>
          <w:color w:val="000000" w:themeColor="text1"/>
          <w:szCs w:val="24"/>
        </w:rPr>
        <w:t>.</w:t>
      </w:r>
    </w:p>
    <w:p w14:paraId="034F49D0" w14:textId="0443FF35" w:rsidR="000A15E3" w:rsidRDefault="0027466D" w:rsidP="0027466D">
      <w:pPr>
        <w:pStyle w:val="RetiefPleadingpara1"/>
        <w:numPr>
          <w:ilvl w:val="0"/>
          <w:numId w:val="0"/>
        </w:numPr>
        <w:spacing w:before="480" w:after="480"/>
        <w:ind w:left="851" w:hanging="851"/>
        <w:rPr>
          <w:szCs w:val="24"/>
        </w:rPr>
      </w:pPr>
      <w:r>
        <w:rPr>
          <w:szCs w:val="24"/>
        </w:rPr>
        <w:t>5.</w:t>
      </w:r>
      <w:r>
        <w:rPr>
          <w:szCs w:val="24"/>
        </w:rPr>
        <w:tab/>
      </w:r>
      <w:r w:rsidR="00924B50">
        <w:rPr>
          <w:szCs w:val="24"/>
        </w:rPr>
        <w:t>The</w:t>
      </w:r>
      <w:r w:rsidR="00A85002">
        <w:rPr>
          <w:szCs w:val="24"/>
        </w:rPr>
        <w:t xml:space="preserve"> First, </w:t>
      </w:r>
      <w:r w:rsidR="00CD5F7E">
        <w:rPr>
          <w:szCs w:val="24"/>
        </w:rPr>
        <w:t>Second and Fifth Respondents are, jointly and severally</w:t>
      </w:r>
      <w:r w:rsidR="00C30F55">
        <w:rPr>
          <w:szCs w:val="24"/>
        </w:rPr>
        <w:t xml:space="preserve"> liable</w:t>
      </w:r>
      <w:r w:rsidR="00B23D23">
        <w:rPr>
          <w:szCs w:val="24"/>
        </w:rPr>
        <w:t>,</w:t>
      </w:r>
      <w:r w:rsidR="00465D9F">
        <w:rPr>
          <w:szCs w:val="24"/>
        </w:rPr>
        <w:t xml:space="preserve"> for the costs, </w:t>
      </w:r>
      <w:r w:rsidR="00CD5F7E">
        <w:rPr>
          <w:szCs w:val="24"/>
        </w:rPr>
        <w:t>which costs include the employment of two Counsel.</w:t>
      </w:r>
    </w:p>
    <w:p w14:paraId="63DBF2C5" w14:textId="77777777" w:rsidR="001D6242" w:rsidRDefault="001D6242" w:rsidP="00921826">
      <w:pPr>
        <w:tabs>
          <w:tab w:val="left" w:pos="5103"/>
        </w:tabs>
        <w:ind w:right="-125"/>
        <w:jc w:val="both"/>
        <w:rPr>
          <w:rFonts w:ascii="Arial" w:hAnsi="Arial" w:cs="Arial"/>
        </w:rPr>
      </w:pPr>
    </w:p>
    <w:p w14:paraId="0FC677CC" w14:textId="77777777" w:rsidR="00855575" w:rsidRPr="00645E6A" w:rsidRDefault="00855575" w:rsidP="00921826">
      <w:pPr>
        <w:tabs>
          <w:tab w:val="left" w:pos="5103"/>
        </w:tabs>
        <w:ind w:right="-125"/>
        <w:jc w:val="both"/>
        <w:rPr>
          <w:rFonts w:ascii="Arial" w:hAnsi="Arial" w:cs="Arial"/>
        </w:rPr>
      </w:pPr>
    </w:p>
    <w:p w14:paraId="3AC4A1D7" w14:textId="1D97D52C" w:rsidR="007F6901" w:rsidRPr="00645E6A" w:rsidRDefault="0076589A" w:rsidP="00CC4882">
      <w:pPr>
        <w:tabs>
          <w:tab w:val="left" w:pos="5103"/>
        </w:tabs>
        <w:spacing w:line="480" w:lineRule="auto"/>
        <w:ind w:right="-6"/>
        <w:jc w:val="both"/>
        <w:rPr>
          <w:rFonts w:ascii="Arial" w:hAnsi="Arial" w:cs="Arial"/>
        </w:rPr>
      </w:pPr>
      <w:r w:rsidRPr="00645E6A">
        <w:rPr>
          <w:rFonts w:ascii="Arial" w:hAnsi="Arial" w:cs="Arial"/>
        </w:rPr>
        <w:tab/>
      </w:r>
      <w:r w:rsidR="007F6901" w:rsidRPr="00645E6A">
        <w:rPr>
          <w:rFonts w:ascii="Arial" w:hAnsi="Arial" w:cs="Arial"/>
        </w:rPr>
        <w:t>___________________________</w:t>
      </w:r>
    </w:p>
    <w:p w14:paraId="62968693" w14:textId="24817A1E" w:rsidR="0076589A" w:rsidRPr="00645E6A" w:rsidRDefault="007F6901" w:rsidP="00CC4882">
      <w:pPr>
        <w:tabs>
          <w:tab w:val="left" w:pos="5103"/>
        </w:tabs>
        <w:spacing w:line="480" w:lineRule="auto"/>
        <w:ind w:right="-6"/>
        <w:jc w:val="both"/>
        <w:rPr>
          <w:rFonts w:ascii="Arial" w:hAnsi="Arial" w:cs="Arial"/>
          <w:b/>
          <w:bCs/>
        </w:rPr>
      </w:pPr>
      <w:r w:rsidRPr="00645E6A">
        <w:rPr>
          <w:rFonts w:ascii="Arial" w:hAnsi="Arial" w:cs="Arial"/>
        </w:rPr>
        <w:tab/>
      </w:r>
      <w:r w:rsidR="0076589A" w:rsidRPr="00645E6A">
        <w:rPr>
          <w:rFonts w:ascii="Arial" w:hAnsi="Arial" w:cs="Arial"/>
          <w:b/>
          <w:bCs/>
        </w:rPr>
        <w:t>L.A. RETIEF</w:t>
      </w:r>
    </w:p>
    <w:p w14:paraId="476E4809" w14:textId="77777777" w:rsidR="007F6901" w:rsidRPr="00645E6A" w:rsidRDefault="0076589A" w:rsidP="00CC4882">
      <w:pPr>
        <w:tabs>
          <w:tab w:val="left" w:pos="5103"/>
        </w:tabs>
        <w:spacing w:line="480" w:lineRule="auto"/>
        <w:ind w:left="5103" w:right="-6"/>
        <w:jc w:val="both"/>
        <w:rPr>
          <w:rFonts w:ascii="Arial" w:hAnsi="Arial" w:cs="Arial"/>
          <w:b/>
          <w:bCs/>
        </w:rPr>
      </w:pPr>
      <w:r w:rsidRPr="00645E6A">
        <w:rPr>
          <w:rFonts w:ascii="Arial" w:hAnsi="Arial" w:cs="Arial"/>
          <w:b/>
          <w:bCs/>
        </w:rPr>
        <w:t xml:space="preserve">Judge of the High Court </w:t>
      </w:r>
    </w:p>
    <w:p w14:paraId="43B5AA97" w14:textId="23DF4532" w:rsidR="0076589A" w:rsidRPr="002B619C" w:rsidRDefault="00BA280A" w:rsidP="00CC4882">
      <w:pPr>
        <w:tabs>
          <w:tab w:val="left" w:pos="5103"/>
        </w:tabs>
        <w:spacing w:line="480" w:lineRule="auto"/>
        <w:ind w:left="5103" w:right="-6"/>
        <w:jc w:val="both"/>
        <w:rPr>
          <w:rFonts w:ascii="Arial" w:hAnsi="Arial" w:cs="Arial"/>
          <w:b/>
          <w:bCs/>
        </w:rPr>
      </w:pPr>
      <w:r>
        <w:rPr>
          <w:rFonts w:ascii="Arial" w:hAnsi="Arial" w:cs="Arial"/>
          <w:b/>
          <w:bCs/>
        </w:rPr>
        <w:t xml:space="preserve">Gauteng Division </w:t>
      </w:r>
    </w:p>
    <w:p w14:paraId="2B5E3FFE" w14:textId="0058CC47" w:rsidR="0076589A" w:rsidRDefault="0076589A" w:rsidP="00CC4882">
      <w:pPr>
        <w:tabs>
          <w:tab w:val="left" w:pos="5103"/>
        </w:tabs>
        <w:spacing w:line="480" w:lineRule="auto"/>
        <w:ind w:right="-6"/>
        <w:jc w:val="both"/>
        <w:rPr>
          <w:rFonts w:ascii="Arial" w:hAnsi="Arial" w:cs="Arial"/>
        </w:rPr>
      </w:pPr>
    </w:p>
    <w:p w14:paraId="5D877869" w14:textId="77777777" w:rsidR="00C602FF" w:rsidRPr="005A2E58" w:rsidRDefault="00C602FF" w:rsidP="00CC4882">
      <w:pPr>
        <w:tabs>
          <w:tab w:val="left" w:pos="5103"/>
        </w:tabs>
        <w:spacing w:line="480" w:lineRule="auto"/>
        <w:ind w:right="-6"/>
        <w:jc w:val="both"/>
        <w:rPr>
          <w:rFonts w:ascii="Arial" w:hAnsi="Arial" w:cs="Arial"/>
          <w:b/>
          <w:bCs/>
        </w:rPr>
      </w:pPr>
      <w:r w:rsidRPr="005A2E58">
        <w:rPr>
          <w:rFonts w:ascii="Arial" w:hAnsi="Arial" w:cs="Arial"/>
          <w:b/>
          <w:bCs/>
          <w:u w:val="single"/>
        </w:rPr>
        <w:t>Appearances</w:t>
      </w:r>
      <w:r w:rsidRPr="005A2E58">
        <w:rPr>
          <w:rFonts w:ascii="Arial" w:hAnsi="Arial" w:cs="Arial"/>
          <w:b/>
          <w:bCs/>
        </w:rPr>
        <w:t>:</w:t>
      </w:r>
    </w:p>
    <w:p w14:paraId="31233BFF" w14:textId="77777777" w:rsidR="00C602FF" w:rsidRPr="005A2E58" w:rsidRDefault="00C602FF" w:rsidP="00CC4882">
      <w:pPr>
        <w:tabs>
          <w:tab w:val="left" w:pos="2552"/>
        </w:tabs>
        <w:spacing w:line="480" w:lineRule="auto"/>
        <w:ind w:right="-6"/>
        <w:jc w:val="both"/>
        <w:rPr>
          <w:rFonts w:ascii="Arial" w:hAnsi="Arial" w:cs="Arial"/>
        </w:rPr>
      </w:pPr>
    </w:p>
    <w:p w14:paraId="027D54A7"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 xml:space="preserve">For the Applicant: </w:t>
      </w:r>
      <w:r w:rsidRPr="005A2E58">
        <w:rPr>
          <w:rFonts w:ascii="Arial" w:hAnsi="Arial" w:cs="Arial"/>
        </w:rPr>
        <w:tab/>
        <w:t>Adv.  H Epstein SC</w:t>
      </w:r>
    </w:p>
    <w:p w14:paraId="1D25487C"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lastRenderedPageBreak/>
        <w:tab/>
        <w:t>Adv. S Tshikila</w:t>
      </w:r>
    </w:p>
    <w:p w14:paraId="3A5A9145"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 xml:space="preserve">Instructed by: </w:t>
      </w:r>
      <w:r w:rsidRPr="005A2E58">
        <w:rPr>
          <w:rFonts w:ascii="Arial" w:hAnsi="Arial" w:cs="Arial"/>
        </w:rPr>
        <w:tab/>
        <w:t>Malatji &amp; Co Attorneys</w:t>
      </w:r>
    </w:p>
    <w:p w14:paraId="3F83D4D7"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ab/>
        <w:t>c/o Macintosh, Cross &amp; Farquharson</w:t>
      </w:r>
    </w:p>
    <w:p w14:paraId="3F890E9A"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ab/>
      </w:r>
    </w:p>
    <w:p w14:paraId="08020343"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For the First Respondent:</w:t>
      </w:r>
      <w:r w:rsidRPr="005A2E58">
        <w:rPr>
          <w:rFonts w:ascii="Arial" w:hAnsi="Arial" w:cs="Arial"/>
        </w:rPr>
        <w:tab/>
        <w:t>Adv E Muller</w:t>
      </w:r>
    </w:p>
    <w:p w14:paraId="5043E899"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ab/>
        <w:t>Adv JW Kiarie</w:t>
      </w:r>
    </w:p>
    <w:p w14:paraId="583F0574"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 xml:space="preserve">Instructed by: </w:t>
      </w:r>
      <w:r w:rsidRPr="005A2E58">
        <w:rPr>
          <w:rFonts w:ascii="Arial" w:hAnsi="Arial" w:cs="Arial"/>
        </w:rPr>
        <w:tab/>
        <w:t>State Attorney: Pretoria</w:t>
      </w:r>
    </w:p>
    <w:p w14:paraId="04C1251C" w14:textId="77777777" w:rsidR="00713C40" w:rsidRPr="005A2E58" w:rsidRDefault="00713C40" w:rsidP="00713C40">
      <w:pPr>
        <w:tabs>
          <w:tab w:val="left" w:pos="3686"/>
        </w:tabs>
        <w:spacing w:line="480" w:lineRule="auto"/>
        <w:ind w:right="-6"/>
        <w:jc w:val="both"/>
        <w:rPr>
          <w:rFonts w:ascii="Arial" w:hAnsi="Arial" w:cs="Arial"/>
        </w:rPr>
      </w:pPr>
    </w:p>
    <w:p w14:paraId="00B96137"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 xml:space="preserve">For the Second Respondent: </w:t>
      </w:r>
      <w:r w:rsidRPr="005A2E58">
        <w:rPr>
          <w:rFonts w:ascii="Arial" w:hAnsi="Arial" w:cs="Arial"/>
        </w:rPr>
        <w:tab/>
        <w:t>Adv. N H Maenetje SC</w:t>
      </w:r>
    </w:p>
    <w:p w14:paraId="62D33DBD"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ab/>
        <w:t>Adv. M Salukazana</w:t>
      </w:r>
    </w:p>
    <w:p w14:paraId="5CF475CB"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Instructed by:</w:t>
      </w:r>
      <w:r w:rsidRPr="005A2E58">
        <w:rPr>
          <w:rFonts w:ascii="Arial" w:hAnsi="Arial" w:cs="Arial"/>
        </w:rPr>
        <w:tab/>
        <w:t>State Attorney: Pretoria</w:t>
      </w:r>
    </w:p>
    <w:p w14:paraId="2957D4E6" w14:textId="77777777" w:rsidR="00713C40" w:rsidRPr="005A2E58" w:rsidRDefault="00713C40" w:rsidP="00713C40">
      <w:pPr>
        <w:tabs>
          <w:tab w:val="left" w:pos="3686"/>
        </w:tabs>
        <w:spacing w:line="480" w:lineRule="auto"/>
        <w:ind w:right="-6"/>
        <w:jc w:val="both"/>
        <w:rPr>
          <w:rFonts w:ascii="Arial" w:hAnsi="Arial" w:cs="Arial"/>
        </w:rPr>
      </w:pPr>
    </w:p>
    <w:p w14:paraId="298F4177"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For the Fifth Respondent:</w:t>
      </w:r>
      <w:r w:rsidRPr="005A2E58">
        <w:rPr>
          <w:rFonts w:ascii="Arial" w:hAnsi="Arial" w:cs="Arial"/>
        </w:rPr>
        <w:tab/>
        <w:t>Adv. A Cockrell SC</w:t>
      </w:r>
    </w:p>
    <w:p w14:paraId="77CF37C3"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Instructed by:</w:t>
      </w:r>
      <w:r w:rsidRPr="005A2E58">
        <w:rPr>
          <w:rFonts w:ascii="Arial" w:hAnsi="Arial" w:cs="Arial"/>
        </w:rPr>
        <w:tab/>
        <w:t xml:space="preserve">Webber Wentzel </w:t>
      </w:r>
    </w:p>
    <w:p w14:paraId="639B2342" w14:textId="77777777" w:rsidR="00713C40" w:rsidRPr="005A2E58" w:rsidRDefault="00713C40" w:rsidP="00713C40">
      <w:pPr>
        <w:tabs>
          <w:tab w:val="left" w:pos="3686"/>
        </w:tabs>
        <w:spacing w:line="480" w:lineRule="auto"/>
        <w:ind w:right="-6"/>
        <w:jc w:val="both"/>
        <w:rPr>
          <w:rFonts w:ascii="Arial" w:hAnsi="Arial" w:cs="Arial"/>
        </w:rPr>
      </w:pPr>
      <w:r w:rsidRPr="005A2E58">
        <w:rPr>
          <w:rFonts w:ascii="Arial" w:hAnsi="Arial" w:cs="Arial"/>
        </w:rPr>
        <w:tab/>
        <w:t>c/o Hills Incorporated</w:t>
      </w:r>
    </w:p>
    <w:p w14:paraId="17298FA2" w14:textId="77777777" w:rsidR="00465D9F" w:rsidRPr="005A2E58" w:rsidRDefault="00465D9F" w:rsidP="00713C40">
      <w:pPr>
        <w:tabs>
          <w:tab w:val="left" w:pos="3686"/>
        </w:tabs>
        <w:spacing w:line="480" w:lineRule="auto"/>
        <w:ind w:right="-6"/>
        <w:jc w:val="both"/>
        <w:rPr>
          <w:rFonts w:ascii="Arial" w:hAnsi="Arial" w:cs="Arial"/>
        </w:rPr>
      </w:pPr>
    </w:p>
    <w:p w14:paraId="042EBD50" w14:textId="09BF97D0" w:rsidR="00465D9F" w:rsidRPr="005A2E58" w:rsidRDefault="00465D9F" w:rsidP="00713C40">
      <w:pPr>
        <w:tabs>
          <w:tab w:val="left" w:pos="3686"/>
        </w:tabs>
        <w:spacing w:line="480" w:lineRule="auto"/>
        <w:ind w:right="-6"/>
        <w:jc w:val="both"/>
        <w:rPr>
          <w:rFonts w:ascii="Arial" w:hAnsi="Arial" w:cs="Arial"/>
        </w:rPr>
      </w:pPr>
      <w:r w:rsidRPr="005A2E58">
        <w:rPr>
          <w:rFonts w:ascii="Arial" w:hAnsi="Arial" w:cs="Arial"/>
        </w:rPr>
        <w:t xml:space="preserve">Heard on: </w:t>
      </w:r>
      <w:r w:rsidRPr="005A2E58">
        <w:rPr>
          <w:rFonts w:ascii="Arial" w:hAnsi="Arial" w:cs="Arial"/>
        </w:rPr>
        <w:tab/>
        <w:t>17 and 18 July 2023</w:t>
      </w:r>
    </w:p>
    <w:p w14:paraId="25709CDB" w14:textId="5BED9501" w:rsidR="00465D9F" w:rsidRPr="005A2E58" w:rsidRDefault="00465D9F" w:rsidP="00713C40">
      <w:pPr>
        <w:tabs>
          <w:tab w:val="left" w:pos="3686"/>
        </w:tabs>
        <w:spacing w:line="480" w:lineRule="auto"/>
        <w:ind w:right="-6"/>
        <w:jc w:val="both"/>
        <w:rPr>
          <w:rFonts w:ascii="Arial" w:hAnsi="Arial" w:cs="Arial"/>
        </w:rPr>
      </w:pPr>
      <w:r w:rsidRPr="005A2E58">
        <w:rPr>
          <w:rFonts w:ascii="Arial" w:hAnsi="Arial" w:cs="Arial"/>
        </w:rPr>
        <w:t>Judgment granted:</w:t>
      </w:r>
      <w:r w:rsidRPr="005A2E58">
        <w:rPr>
          <w:rFonts w:ascii="Arial" w:hAnsi="Arial" w:cs="Arial"/>
        </w:rPr>
        <w:tab/>
        <w:t>12 October 2023</w:t>
      </w:r>
    </w:p>
    <w:p w14:paraId="16B074C5" w14:textId="47C2EA4B" w:rsidR="00C602FF" w:rsidRDefault="00C602FF" w:rsidP="00CC4882">
      <w:pPr>
        <w:tabs>
          <w:tab w:val="left" w:pos="5670"/>
        </w:tabs>
        <w:spacing w:line="480" w:lineRule="auto"/>
        <w:ind w:right="-6"/>
        <w:jc w:val="both"/>
        <w:rPr>
          <w:rFonts w:ascii="Arial" w:hAnsi="Arial" w:cs="Arial"/>
        </w:rPr>
      </w:pPr>
    </w:p>
    <w:sectPr w:rsidR="00C602FF" w:rsidSect="009472CC">
      <w:headerReference w:type="even" r:id="rId9"/>
      <w:headerReference w:type="default" r:id="rId10"/>
      <w:pgSz w:w="11900" w:h="16840" w:code="9"/>
      <w:pgMar w:top="1701" w:right="1418"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EEEB2" w14:textId="77777777" w:rsidR="0070603A" w:rsidRDefault="0070603A" w:rsidP="005D5D46">
      <w:r>
        <w:separator/>
      </w:r>
    </w:p>
  </w:endnote>
  <w:endnote w:type="continuationSeparator" w:id="0">
    <w:p w14:paraId="66EA0241" w14:textId="77777777" w:rsidR="0070603A" w:rsidRDefault="0070603A"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81DA1" w14:textId="77777777" w:rsidR="0070603A" w:rsidRDefault="0070603A" w:rsidP="005D5D46">
      <w:r>
        <w:separator/>
      </w:r>
    </w:p>
  </w:footnote>
  <w:footnote w:type="continuationSeparator" w:id="0">
    <w:p w14:paraId="7F21936A" w14:textId="77777777" w:rsidR="0070603A" w:rsidRDefault="0070603A" w:rsidP="005D5D46">
      <w:r>
        <w:continuationSeparator/>
      </w:r>
    </w:p>
  </w:footnote>
  <w:footnote w:id="1">
    <w:p w14:paraId="1C1C6F9C" w14:textId="2EDEA4AB" w:rsidR="00FF021A" w:rsidRPr="009472CC" w:rsidRDefault="00FF021A"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Article VI par</w:t>
      </w:r>
      <w:r w:rsidR="001A7E85" w:rsidRPr="009472CC">
        <w:rPr>
          <w:rFonts w:ascii="Arial" w:hAnsi="Arial" w:cs="Arial"/>
          <w:lang w:val="en-US"/>
        </w:rPr>
        <w:t xml:space="preserve"> </w:t>
      </w:r>
      <w:r w:rsidRPr="009472CC">
        <w:rPr>
          <w:rFonts w:ascii="Arial" w:hAnsi="Arial" w:cs="Arial"/>
          <w:lang w:val="en-US"/>
        </w:rPr>
        <w:t>1.</w:t>
      </w:r>
    </w:p>
  </w:footnote>
  <w:footnote w:id="2">
    <w:p w14:paraId="654351BC" w14:textId="0D70EAAB" w:rsidR="00FF021A" w:rsidRPr="009472CC" w:rsidRDefault="00FF021A"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Section 26(1)(c) of ITA Act.</w:t>
      </w:r>
    </w:p>
  </w:footnote>
  <w:footnote w:id="3">
    <w:p w14:paraId="2CE9A7EF" w14:textId="66995730" w:rsidR="00362AFC" w:rsidRPr="009472CC" w:rsidRDefault="00362AFC"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D80CAE" w:rsidRPr="009472CC">
        <w:rPr>
          <w:rFonts w:ascii="Arial" w:hAnsi="Arial" w:cs="Arial"/>
          <w:lang w:val="en-US"/>
        </w:rPr>
        <w:tab/>
      </w:r>
      <w:r w:rsidRPr="009472CC">
        <w:rPr>
          <w:rFonts w:ascii="Arial" w:hAnsi="Arial" w:cs="Arial"/>
          <w:lang w:val="en-US"/>
        </w:rPr>
        <w:t>See explanation by RC Williams in LAWSA V</w:t>
      </w:r>
      <w:r w:rsidR="00D80CAE" w:rsidRPr="009472CC">
        <w:rPr>
          <w:rFonts w:ascii="Arial" w:hAnsi="Arial" w:cs="Arial"/>
          <w:lang w:val="en-US"/>
        </w:rPr>
        <w:t>olume</w:t>
      </w:r>
      <w:r w:rsidRPr="009472CC">
        <w:rPr>
          <w:rFonts w:ascii="Arial" w:hAnsi="Arial" w:cs="Arial"/>
          <w:lang w:val="en-US"/>
        </w:rPr>
        <w:t xml:space="preserve"> 22(2) par 566.</w:t>
      </w:r>
    </w:p>
  </w:footnote>
  <w:footnote w:id="4">
    <w:p w14:paraId="09C5E77D" w14:textId="01A4FDBE" w:rsidR="002F7333" w:rsidRPr="009472CC" w:rsidRDefault="002F7333"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t>2012 (4) SA 618 (CC).</w:t>
      </w:r>
    </w:p>
  </w:footnote>
  <w:footnote w:id="5">
    <w:p w14:paraId="4990AF85" w14:textId="4BF6CAB9" w:rsidR="007E348B" w:rsidRPr="009472CC" w:rsidRDefault="007E348B" w:rsidP="009472CC">
      <w:pPr>
        <w:pStyle w:val="FootnoteText"/>
        <w:tabs>
          <w:tab w:val="left" w:pos="567"/>
        </w:tabs>
        <w:spacing w:after="120"/>
        <w:ind w:left="567" w:hanging="567"/>
        <w:jc w:val="both"/>
        <w:rPr>
          <w:rStyle w:val="FootnoteReference"/>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783EEF" w:rsidRPr="009472CC">
        <w:rPr>
          <w:rFonts w:ascii="Arial" w:hAnsi="Arial" w:cs="Arial"/>
          <w:lang w:val="en-US"/>
        </w:rPr>
        <w:tab/>
      </w:r>
      <w:r w:rsidRPr="009472CC">
        <w:rPr>
          <w:rFonts w:ascii="Arial" w:hAnsi="Arial" w:cs="Arial"/>
          <w:lang w:val="en-US"/>
        </w:rPr>
        <w:t>2008 (6) SA (SCA)</w:t>
      </w:r>
      <w:r w:rsidR="00783EEF" w:rsidRPr="009472CC">
        <w:rPr>
          <w:rFonts w:ascii="Arial" w:hAnsi="Arial" w:cs="Arial"/>
          <w:lang w:val="en-US"/>
        </w:rPr>
        <w:t>.</w:t>
      </w:r>
    </w:p>
  </w:footnote>
  <w:footnote w:id="6">
    <w:p w14:paraId="56E3D41F" w14:textId="759BB215" w:rsidR="00832139" w:rsidRPr="009472CC" w:rsidRDefault="00832139"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See para [18] hereof.</w:t>
      </w:r>
    </w:p>
  </w:footnote>
  <w:footnote w:id="7">
    <w:p w14:paraId="0658519B" w14:textId="77777777" w:rsidR="00CB2E2F" w:rsidRPr="009472CC" w:rsidRDefault="00CB2E2F"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r>
      <w:r w:rsidRPr="009472CC">
        <w:rPr>
          <w:rFonts w:ascii="Arial" w:hAnsi="Arial" w:cs="Arial"/>
          <w:lang w:val="en-US"/>
        </w:rPr>
        <w:t>2018 (5) SA 150 (SCA) at par [30].</w:t>
      </w:r>
    </w:p>
  </w:footnote>
  <w:footnote w:id="8">
    <w:p w14:paraId="053F6906" w14:textId="77777777" w:rsidR="00CB2E2F" w:rsidRPr="009472CC" w:rsidRDefault="00CB2E2F"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Pr="009472CC">
        <w:rPr>
          <w:rFonts w:ascii="Arial" w:hAnsi="Arial" w:cs="Arial"/>
          <w:lang w:val="en-US"/>
        </w:rPr>
        <w:tab/>
      </w:r>
      <w:r w:rsidRPr="009472CC">
        <w:rPr>
          <w:rFonts w:ascii="Arial" w:hAnsi="Arial" w:cs="Arial"/>
          <w:i/>
          <w:iCs/>
          <w:lang w:val="en-US"/>
        </w:rPr>
        <w:t>supra</w:t>
      </w:r>
      <w:r w:rsidRPr="009472CC">
        <w:rPr>
          <w:rFonts w:ascii="Arial" w:hAnsi="Arial" w:cs="Arial"/>
          <w:lang w:val="en-US"/>
        </w:rPr>
        <w:t xml:space="preserve"> at par [35].</w:t>
      </w:r>
    </w:p>
  </w:footnote>
  <w:footnote w:id="9">
    <w:p w14:paraId="283745C0" w14:textId="154AD98A" w:rsidR="005B6B2B" w:rsidRPr="009472CC" w:rsidRDefault="005B6B2B"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Notably having regard to the definition of an administrative action as defined in section 1 of PAJA.</w:t>
      </w:r>
    </w:p>
  </w:footnote>
  <w:footnote w:id="10">
    <w:p w14:paraId="6CACCA1E" w14:textId="3B8803A0" w:rsidR="00CB2E2F" w:rsidRPr="009472CC" w:rsidRDefault="00CB2E2F"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001A7E85" w:rsidRPr="009472CC">
        <w:rPr>
          <w:rFonts w:ascii="Arial" w:hAnsi="Arial" w:cs="Arial"/>
        </w:rPr>
        <w:tab/>
        <w:t>2</w:t>
      </w:r>
      <w:r w:rsidRPr="009472CC">
        <w:rPr>
          <w:rFonts w:ascii="Arial" w:hAnsi="Arial" w:cs="Arial"/>
          <w:lang w:val="en-US"/>
        </w:rPr>
        <w:t>006 (2) SA 311 (CC) (2006 (1) BCLR 1; [2005] ZACC 14.</w:t>
      </w:r>
    </w:p>
  </w:footnote>
  <w:footnote w:id="11">
    <w:p w14:paraId="3BD2D0EB" w14:textId="52916609" w:rsidR="00CB2E2F" w:rsidRPr="009472CC" w:rsidRDefault="00CB2E2F"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i/>
          <w:iCs/>
          <w:lang w:val="en-US"/>
        </w:rPr>
        <w:t>supra</w:t>
      </w:r>
      <w:r w:rsidRPr="009472CC">
        <w:rPr>
          <w:rFonts w:ascii="Arial" w:hAnsi="Arial" w:cs="Arial"/>
          <w:lang w:val="en-US"/>
        </w:rPr>
        <w:t xml:space="preserve"> at par 136-139.</w:t>
      </w:r>
    </w:p>
  </w:footnote>
  <w:footnote w:id="12">
    <w:p w14:paraId="21A59021" w14:textId="77777777" w:rsidR="00CB2E2F" w:rsidRPr="009472CC" w:rsidRDefault="00CB2E2F"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Pr="009472CC">
        <w:rPr>
          <w:rFonts w:ascii="Arial" w:hAnsi="Arial" w:cs="Arial"/>
          <w:lang w:val="en-US"/>
        </w:rPr>
        <w:tab/>
      </w:r>
      <w:r w:rsidRPr="009472CC">
        <w:rPr>
          <w:rFonts w:ascii="Arial" w:hAnsi="Arial" w:cs="Arial"/>
          <w:color w:val="000000" w:themeColor="text1"/>
          <w:lang w:val="en-US"/>
        </w:rPr>
        <w:t>2004 (6) SA 222 (SCA).</w:t>
      </w:r>
    </w:p>
  </w:footnote>
  <w:footnote w:id="13">
    <w:p w14:paraId="0465F7D7" w14:textId="31E2C2EC" w:rsidR="005F132D" w:rsidRPr="005F132D" w:rsidRDefault="005F132D">
      <w:pPr>
        <w:pStyle w:val="FootnoteText"/>
        <w:rPr>
          <w:lang w:val="en-US"/>
        </w:rPr>
      </w:pPr>
      <w:r>
        <w:rPr>
          <w:rStyle w:val="FootnoteReference"/>
        </w:rPr>
        <w:footnoteRef/>
      </w:r>
      <w:r>
        <w:t xml:space="preserve"> </w:t>
      </w:r>
      <w:r>
        <w:rPr>
          <w:lang w:val="en-US"/>
        </w:rPr>
        <w:t xml:space="preserve">        AIMIE does not rely on any authority for this proposition.</w:t>
      </w:r>
    </w:p>
  </w:footnote>
  <w:footnote w:id="14">
    <w:p w14:paraId="679703C6" w14:textId="51AFDBEE" w:rsidR="00CB2E2F" w:rsidRPr="009472CC" w:rsidRDefault="00CB2E2F"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[2014] ZACC 18; 2014 (8) BCLR 930 (CC); 2014 (5) SA 69 (CC).</w:t>
      </w:r>
    </w:p>
  </w:footnote>
  <w:footnote w:id="15">
    <w:p w14:paraId="2778AF34" w14:textId="77777777" w:rsidR="00CB2E2F" w:rsidRPr="009472CC" w:rsidRDefault="00CB2E2F"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Pr="009472CC">
        <w:rPr>
          <w:rFonts w:ascii="Arial" w:hAnsi="Arial" w:cs="Arial"/>
          <w:lang w:val="en-US"/>
        </w:rPr>
        <w:tab/>
        <w:t>See Professor Hoexter’s discussion of the meaning of ‘direct, external legal effect,’ in her seminal work Administrative Law in South Africa (2 ed) at 227-8.</w:t>
      </w:r>
    </w:p>
  </w:footnote>
  <w:footnote w:id="16">
    <w:p w14:paraId="5BE6236C" w14:textId="77777777" w:rsidR="00CB2E2F" w:rsidRPr="009472CC" w:rsidRDefault="00CB2E2F"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Pr="009472CC">
        <w:rPr>
          <w:rFonts w:ascii="Arial" w:hAnsi="Arial" w:cs="Arial"/>
          <w:lang w:val="en-US"/>
        </w:rPr>
        <w:tab/>
        <w:t>Hoexter &amp; Penfold, Administrative Law in South Africa 3</w:t>
      </w:r>
      <w:r w:rsidRPr="009472CC">
        <w:rPr>
          <w:rFonts w:ascii="Arial" w:hAnsi="Arial" w:cs="Arial"/>
          <w:vertAlign w:val="superscript"/>
          <w:lang w:val="en-US"/>
        </w:rPr>
        <w:t>rd</w:t>
      </w:r>
      <w:r w:rsidRPr="009472CC">
        <w:rPr>
          <w:rFonts w:ascii="Arial" w:hAnsi="Arial" w:cs="Arial"/>
          <w:lang w:val="en-US"/>
        </w:rPr>
        <w:t xml:space="preserve"> ed at 357.</w:t>
      </w:r>
    </w:p>
  </w:footnote>
  <w:footnote w:id="17">
    <w:p w14:paraId="7A06712F" w14:textId="2ECA7AB4" w:rsidR="00130854" w:rsidRPr="009472CC" w:rsidRDefault="00130854"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Anti-dumping duties set at the same level for al bone-in chicken cuts (i.e all cuts viewed similarly).</w:t>
      </w:r>
    </w:p>
  </w:footnote>
  <w:footnote w:id="18">
    <w:p w14:paraId="41429C6C" w14:textId="143DC5FE" w:rsidR="00130854" w:rsidRPr="009472CC" w:rsidRDefault="00130854"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 xml:space="preserve">See ITA Act </w:t>
      </w:r>
      <w:r w:rsidR="00A256D9" w:rsidRPr="009472CC">
        <w:rPr>
          <w:rFonts w:ascii="Arial" w:hAnsi="Arial" w:cs="Arial"/>
          <w:lang w:val="en-US"/>
        </w:rPr>
        <w:t xml:space="preserve">anti-dumping </w:t>
      </w:r>
      <w:r w:rsidRPr="009472CC">
        <w:rPr>
          <w:rFonts w:ascii="Arial" w:hAnsi="Arial" w:cs="Arial"/>
          <w:lang w:val="en-US"/>
        </w:rPr>
        <w:t>regulations 53-59.</w:t>
      </w:r>
    </w:p>
  </w:footnote>
  <w:footnote w:id="19">
    <w:p w14:paraId="64959F9C" w14:textId="32711993" w:rsidR="00A256D9" w:rsidRPr="009472CC" w:rsidRDefault="00A256D9"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00A15627" w:rsidRPr="009472CC">
        <w:rPr>
          <w:rFonts w:ascii="Arial" w:hAnsi="Arial" w:cs="Arial"/>
          <w:lang w:val="en-US"/>
        </w:rPr>
        <w:t xml:space="preserve">Government Gazette No. 42474, </w:t>
      </w:r>
      <w:r w:rsidRPr="009472CC">
        <w:rPr>
          <w:rFonts w:ascii="Arial" w:hAnsi="Arial" w:cs="Arial"/>
          <w:lang w:val="en-US"/>
        </w:rPr>
        <w:t>Notice 284 of 2019.</w:t>
      </w:r>
    </w:p>
  </w:footnote>
  <w:footnote w:id="20">
    <w:p w14:paraId="7F38CE46" w14:textId="03BAEF95" w:rsidR="00A15627" w:rsidRPr="009472CC" w:rsidRDefault="00A15627"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Regulation 1 “good cause” in terms of regulation 42.4 and 43.3 dealing with reviews in general, does not include insufficient time as a reason.</w:t>
      </w:r>
    </w:p>
  </w:footnote>
  <w:footnote w:id="21">
    <w:p w14:paraId="25117241" w14:textId="0A995752" w:rsidR="0056204C" w:rsidRPr="009472CC" w:rsidRDefault="0056204C"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Regulation 54.4.</w:t>
      </w:r>
    </w:p>
  </w:footnote>
  <w:footnote w:id="22">
    <w:p w14:paraId="59CEF66A" w14:textId="3218060F" w:rsidR="000C2D67" w:rsidRPr="009472CC" w:rsidRDefault="000C2D67"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Regulation 54.5.</w:t>
      </w:r>
    </w:p>
  </w:footnote>
  <w:footnote w:id="23">
    <w:p w14:paraId="1E9B017F" w14:textId="3FC8ED38" w:rsidR="00A82A8C" w:rsidRPr="009472CC" w:rsidRDefault="00A82A8C"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001A7E85" w:rsidRPr="009472CC">
        <w:rPr>
          <w:rFonts w:ascii="Arial" w:hAnsi="Arial" w:cs="Arial"/>
        </w:rPr>
        <w:tab/>
      </w:r>
      <w:r w:rsidRPr="009472CC">
        <w:rPr>
          <w:rFonts w:ascii="Arial" w:hAnsi="Arial" w:cs="Arial"/>
          <w:lang w:val="en-US"/>
        </w:rPr>
        <w:t>Government Gazette No. 43044.</w:t>
      </w:r>
    </w:p>
  </w:footnote>
  <w:footnote w:id="24">
    <w:p w14:paraId="74561E30" w14:textId="4EE939D2" w:rsidR="00434F45" w:rsidRPr="009472CC" w:rsidRDefault="00434F45"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A date after the investigation period into material in</w:t>
      </w:r>
      <w:r w:rsidR="00BD440B" w:rsidRPr="009472CC">
        <w:rPr>
          <w:rFonts w:ascii="Arial" w:hAnsi="Arial" w:cs="Arial"/>
          <w:lang w:val="en-US"/>
        </w:rPr>
        <w:t>ju</w:t>
      </w:r>
      <w:r w:rsidRPr="009472CC">
        <w:rPr>
          <w:rFonts w:ascii="Arial" w:hAnsi="Arial" w:cs="Arial"/>
          <w:lang w:val="en-US"/>
        </w:rPr>
        <w:t>ry</w:t>
      </w:r>
      <w:r w:rsidR="00B2099C" w:rsidRPr="009472CC">
        <w:rPr>
          <w:rFonts w:ascii="Arial" w:hAnsi="Arial" w:cs="Arial"/>
          <w:lang w:val="en-US"/>
        </w:rPr>
        <w:t xml:space="preserve"> but in the </w:t>
      </w:r>
      <w:r w:rsidR="00A65DEF" w:rsidRPr="009472CC">
        <w:rPr>
          <w:rFonts w:ascii="Arial" w:hAnsi="Arial" w:cs="Arial"/>
          <w:lang w:val="en-US"/>
        </w:rPr>
        <w:t>estimate,</w:t>
      </w:r>
      <w:r w:rsidR="00B2099C" w:rsidRPr="009472CC">
        <w:rPr>
          <w:rFonts w:ascii="Arial" w:hAnsi="Arial" w:cs="Arial"/>
          <w:lang w:val="en-US"/>
        </w:rPr>
        <w:t xml:space="preserve"> period should dumping be removed.</w:t>
      </w:r>
    </w:p>
  </w:footnote>
  <w:footnote w:id="25">
    <w:p w14:paraId="7DF854D8" w14:textId="687DCEB1" w:rsidR="00257AC8" w:rsidRPr="009472CC" w:rsidRDefault="00257AC8"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t>Section 1 of the Customs Act defines the “</w:t>
      </w:r>
      <w:r w:rsidRPr="009472CC">
        <w:rPr>
          <w:rFonts w:ascii="Arial" w:hAnsi="Arial" w:cs="Arial"/>
          <w:i/>
          <w:iCs/>
        </w:rPr>
        <w:t>Minister</w:t>
      </w:r>
      <w:r w:rsidRPr="009472CC">
        <w:rPr>
          <w:rFonts w:ascii="Arial" w:hAnsi="Arial" w:cs="Arial"/>
        </w:rPr>
        <w:t>”</w:t>
      </w:r>
      <w:r w:rsidR="0073718B" w:rsidRPr="009472CC">
        <w:rPr>
          <w:rFonts w:ascii="Arial" w:hAnsi="Arial" w:cs="Arial"/>
        </w:rPr>
        <w:t xml:space="preserve">, </w:t>
      </w:r>
      <w:r w:rsidRPr="009472CC">
        <w:rPr>
          <w:rFonts w:ascii="Arial" w:hAnsi="Arial" w:cs="Arial"/>
        </w:rPr>
        <w:t>mean</w:t>
      </w:r>
      <w:r w:rsidR="0073718B" w:rsidRPr="009472CC">
        <w:rPr>
          <w:rFonts w:ascii="Arial" w:hAnsi="Arial" w:cs="Arial"/>
        </w:rPr>
        <w:t>ing</w:t>
      </w:r>
      <w:r w:rsidRPr="009472CC">
        <w:rPr>
          <w:rFonts w:ascii="Arial" w:hAnsi="Arial" w:cs="Arial"/>
        </w:rPr>
        <w:t xml:space="preserve"> the Minister of Finance.</w:t>
      </w:r>
    </w:p>
  </w:footnote>
  <w:footnote w:id="26">
    <w:p w14:paraId="5B9CE18E" w14:textId="77777777" w:rsidR="00257AC8" w:rsidRPr="009472CC" w:rsidRDefault="00257AC8"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t>Section 57 of the Customs and Excise Act does not regulate import duties. It regulates the imposition of safeguard measures.</w:t>
      </w:r>
    </w:p>
  </w:footnote>
  <w:footnote w:id="27">
    <w:p w14:paraId="2C85EE76" w14:textId="77777777" w:rsidR="00257AC8" w:rsidRPr="009472CC" w:rsidRDefault="00257AC8"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t>Section 56 of the Customs and Excise Act regulates the imposition of safeguard measures and the imposition of anti-dumping duties.</w:t>
      </w:r>
    </w:p>
  </w:footnote>
  <w:footnote w:id="28">
    <w:p w14:paraId="4F02C23C" w14:textId="284ECE75" w:rsidR="00C1056B" w:rsidRPr="009472CC" w:rsidRDefault="00C1056B"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Section 56 of the Customs Act deals specifically with anti-dumping duties.</w:t>
      </w:r>
    </w:p>
  </w:footnote>
  <w:footnote w:id="29">
    <w:p w14:paraId="3ED19D26" w14:textId="407C9419" w:rsidR="00C1056B" w:rsidRPr="009472CC" w:rsidRDefault="00C1056B"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 xml:space="preserve">Section 57(1) of the Customs Act deals specifically with </w:t>
      </w:r>
      <w:r w:rsidR="00483751" w:rsidRPr="009472CC">
        <w:rPr>
          <w:rFonts w:ascii="Arial" w:hAnsi="Arial" w:cs="Arial"/>
          <w:lang w:val="en-US"/>
        </w:rPr>
        <w:t>safeguard duties.</w:t>
      </w:r>
    </w:p>
  </w:footnote>
  <w:footnote w:id="30">
    <w:p w14:paraId="57B65136" w14:textId="4FF26E14" w:rsidR="00483751" w:rsidRPr="009472CC" w:rsidRDefault="00483751" w:rsidP="009472CC">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1A7E85" w:rsidRPr="009472CC">
        <w:rPr>
          <w:rFonts w:ascii="Arial" w:hAnsi="Arial" w:cs="Arial"/>
          <w:lang w:val="en-US"/>
        </w:rPr>
        <w:tab/>
      </w:r>
      <w:r w:rsidRPr="009472CC">
        <w:rPr>
          <w:rFonts w:ascii="Arial" w:hAnsi="Arial" w:cs="Arial"/>
          <w:lang w:val="en-US"/>
        </w:rPr>
        <w:t xml:space="preserve">The notice duly signed by the </w:t>
      </w:r>
      <w:r w:rsidR="00BE7323" w:rsidRPr="009472CC">
        <w:rPr>
          <w:rFonts w:ascii="Arial" w:hAnsi="Arial" w:cs="Arial"/>
          <w:lang w:val="en-US"/>
        </w:rPr>
        <w:t>Finance Minister</w:t>
      </w:r>
      <w:r w:rsidRPr="009472CC">
        <w:rPr>
          <w:rFonts w:ascii="Arial" w:hAnsi="Arial" w:cs="Arial"/>
          <w:lang w:val="en-US"/>
        </w:rPr>
        <w:t xml:space="preserve"> on the 23 August 2021, published in the Government Gazette No</w:t>
      </w:r>
      <w:r w:rsidR="009472CC">
        <w:rPr>
          <w:rFonts w:ascii="Arial" w:hAnsi="Arial" w:cs="Arial"/>
          <w:lang w:val="en-US"/>
        </w:rPr>
        <w:t>.</w:t>
      </w:r>
      <w:r w:rsidRPr="009472CC">
        <w:rPr>
          <w:rFonts w:ascii="Arial" w:hAnsi="Arial" w:cs="Arial"/>
          <w:lang w:val="en-US"/>
        </w:rPr>
        <w:t>45032.</w:t>
      </w:r>
    </w:p>
  </w:footnote>
  <w:footnote w:id="31">
    <w:p w14:paraId="667A706F" w14:textId="77777777" w:rsidR="00C217FD" w:rsidRPr="009472CC" w:rsidRDefault="00C217FD"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t>2013 (5) SA 246 (CC) at par [93].</w:t>
      </w:r>
    </w:p>
  </w:footnote>
  <w:footnote w:id="32">
    <w:p w14:paraId="02384D10" w14:textId="77777777" w:rsidR="00C217FD" w:rsidRPr="009472CC" w:rsidRDefault="00C217FD"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t>2001 (4) SA 1297 (CC) at par [18].</w:t>
      </w:r>
    </w:p>
  </w:footnote>
  <w:footnote w:id="33">
    <w:p w14:paraId="259E8E36" w14:textId="77777777" w:rsidR="009A3BFF" w:rsidRPr="009472CC" w:rsidRDefault="009A3BFF"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t>See section 6 of the Interpretation Act 33 of 1957.</w:t>
      </w:r>
    </w:p>
  </w:footnote>
  <w:footnote w:id="34">
    <w:p w14:paraId="5930E60A" w14:textId="77777777" w:rsidR="00DA2BA8" w:rsidRPr="009472CC" w:rsidRDefault="00DA2BA8"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rPr>
        <w:tab/>
      </w:r>
      <w:r w:rsidRPr="009472CC">
        <w:rPr>
          <w:rFonts w:ascii="Arial" w:hAnsi="Arial" w:cs="Arial"/>
          <w:b/>
          <w:bCs/>
        </w:rPr>
        <w:t>Albutt v Centre for Study of Violence and Reconciliation</w:t>
      </w:r>
      <w:r w:rsidRPr="009472CC">
        <w:rPr>
          <w:rFonts w:ascii="Arial" w:hAnsi="Arial" w:cs="Arial"/>
        </w:rPr>
        <w:t xml:space="preserve"> 2010 (3) SA 293 (CC) at par 51.</w:t>
      </w:r>
    </w:p>
  </w:footnote>
  <w:footnote w:id="35">
    <w:p w14:paraId="63E2E98E" w14:textId="5874CC87" w:rsidR="0096183F" w:rsidRPr="009472CC" w:rsidRDefault="0096183F" w:rsidP="00F637A6">
      <w:pPr>
        <w:pStyle w:val="FootnoteText"/>
        <w:tabs>
          <w:tab w:val="left" w:pos="567"/>
        </w:tabs>
        <w:spacing w:after="120"/>
        <w:ind w:left="567" w:hanging="567"/>
        <w:jc w:val="both"/>
        <w:rPr>
          <w:rFonts w:ascii="Arial" w:hAnsi="Arial" w:cs="Arial"/>
          <w:lang w:val="en-US"/>
        </w:rPr>
      </w:pPr>
      <w:r w:rsidRPr="009472CC">
        <w:rPr>
          <w:rStyle w:val="FootnoteReference"/>
          <w:rFonts w:ascii="Arial" w:hAnsi="Arial" w:cs="Arial"/>
        </w:rPr>
        <w:footnoteRef/>
      </w:r>
      <w:r w:rsidRPr="009472CC">
        <w:rPr>
          <w:rFonts w:ascii="Arial" w:hAnsi="Arial" w:cs="Arial"/>
        </w:rPr>
        <w:t xml:space="preserve"> </w:t>
      </w:r>
      <w:r w:rsidR="00F637A6">
        <w:rPr>
          <w:rFonts w:ascii="Arial" w:hAnsi="Arial" w:cs="Arial"/>
        </w:rPr>
        <w:tab/>
      </w:r>
      <w:r w:rsidRPr="009472CC">
        <w:rPr>
          <w:rFonts w:ascii="Arial" w:hAnsi="Arial" w:cs="Arial"/>
          <w:b/>
          <w:bCs/>
        </w:rPr>
        <w:t>South Africa Sugar Association v Minister of Trade and Industry and Others</w:t>
      </w:r>
      <w:r w:rsidRPr="009472CC">
        <w:rPr>
          <w:rFonts w:ascii="Arial" w:hAnsi="Arial" w:cs="Arial"/>
        </w:rPr>
        <w:t xml:space="preserve"> [2017] 4 All SA 555 (GP).</w:t>
      </w:r>
    </w:p>
  </w:footnote>
  <w:footnote w:id="36">
    <w:p w14:paraId="09FA1656" w14:textId="4701DA13" w:rsidR="005A3719" w:rsidRPr="009472CC" w:rsidRDefault="005A3719" w:rsidP="009472CC">
      <w:pPr>
        <w:pStyle w:val="FootnoteText"/>
        <w:tabs>
          <w:tab w:val="left" w:pos="567"/>
        </w:tabs>
        <w:spacing w:after="120"/>
        <w:ind w:left="567" w:hanging="567"/>
        <w:jc w:val="both"/>
        <w:rPr>
          <w:rFonts w:ascii="Arial" w:hAnsi="Arial" w:cs="Arial"/>
        </w:rPr>
      </w:pPr>
      <w:r w:rsidRPr="009472CC">
        <w:rPr>
          <w:rStyle w:val="FootnoteReference"/>
          <w:rFonts w:ascii="Arial" w:hAnsi="Arial" w:cs="Arial"/>
        </w:rPr>
        <w:footnoteRef/>
      </w:r>
      <w:r w:rsidRPr="009472CC">
        <w:rPr>
          <w:rFonts w:ascii="Arial" w:hAnsi="Arial" w:cs="Arial"/>
        </w:rPr>
        <w:t xml:space="preserve"> </w:t>
      </w:r>
      <w:r w:rsidRPr="009472CC">
        <w:rPr>
          <w:rFonts w:ascii="Arial" w:hAnsi="Arial" w:cs="Arial"/>
          <w:lang w:val="en-US"/>
        </w:rPr>
        <w:t xml:space="preserve">  </w:t>
      </w:r>
      <w:r w:rsidR="0021237C" w:rsidRPr="009472CC">
        <w:rPr>
          <w:rFonts w:ascii="Arial" w:hAnsi="Arial" w:cs="Arial"/>
          <w:lang w:val="en-US"/>
        </w:rPr>
        <w:tab/>
      </w:r>
      <w:r w:rsidRPr="009472CC">
        <w:rPr>
          <w:rFonts w:ascii="Arial" w:hAnsi="Arial" w:cs="Arial"/>
          <w:b/>
          <w:bCs/>
        </w:rPr>
        <w:t>Pioneer Foods (Pty) Ltd v Minister of Finance and Others</w:t>
      </w:r>
      <w:r w:rsidRPr="009472CC">
        <w:rPr>
          <w:rFonts w:ascii="Arial" w:hAnsi="Arial" w:cs="Arial"/>
        </w:rPr>
        <w:t xml:space="preserve"> (15797/2017) [2018] ZAWCHC 110; [2018] 4 All SA 428 (WCC) (5 September 2018) at par 30 to 37.</w:t>
      </w:r>
    </w:p>
    <w:p w14:paraId="5A37886E" w14:textId="77777777" w:rsidR="005A3719" w:rsidRPr="009472CC" w:rsidRDefault="005A3719" w:rsidP="009472CC">
      <w:pPr>
        <w:pStyle w:val="FootnoteText"/>
        <w:spacing w:after="120"/>
        <w:jc w:val="both"/>
        <w:rPr>
          <w:rFonts w:ascii="Arial" w:hAnsi="Arial" w:cs="Arial"/>
          <w:lang w:val="en-US"/>
        </w:rPr>
      </w:pPr>
    </w:p>
  </w:footnote>
  <w:footnote w:id="37">
    <w:p w14:paraId="1A02FEA8" w14:textId="3771FD80" w:rsidR="000144C4" w:rsidRPr="000144C4" w:rsidRDefault="000144C4">
      <w:pPr>
        <w:pStyle w:val="FootnoteText"/>
        <w:rPr>
          <w:lang w:val="en-US"/>
        </w:rPr>
      </w:pPr>
      <w:r>
        <w:rPr>
          <w:rStyle w:val="FootnoteReference"/>
        </w:rPr>
        <w:footnoteRef/>
      </w:r>
      <w:r>
        <w:t xml:space="preserve"> </w:t>
      </w:r>
      <w:r>
        <w:rPr>
          <w:lang w:val="en-US"/>
        </w:rPr>
        <w:tab/>
        <w:t>Footnote 10 para [153-154].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5802240"/>
      <w:docPartObj>
        <w:docPartGallery w:val="Page Numbers (Top of Page)"/>
        <w:docPartUnique/>
      </w:docPartObj>
    </w:sdtPr>
    <w:sdtEndPr>
      <w:rPr>
        <w:rStyle w:val="PageNumber"/>
      </w:rPr>
    </w:sdtEndPr>
    <w:sdtContent>
      <w:p w14:paraId="44E2A2A2"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5F273" w14:textId="77777777" w:rsidR="008723D8" w:rsidRDefault="008723D8" w:rsidP="005D5D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66602095"/>
      <w:docPartObj>
        <w:docPartGallery w:val="Page Numbers (Top of Page)"/>
        <w:docPartUnique/>
      </w:docPartObj>
    </w:sdtPr>
    <w:sdtEndPr>
      <w:rPr>
        <w:rStyle w:val="PageNumber"/>
        <w:rFonts w:ascii="Arial" w:hAnsi="Arial" w:cs="Arial"/>
      </w:rPr>
    </w:sdtEndPr>
    <w:sdtContent>
      <w:p w14:paraId="72E88EDF" w14:textId="77777777" w:rsidR="008723D8" w:rsidRPr="007915EE" w:rsidRDefault="008723D8" w:rsidP="005D5D46">
        <w:pPr>
          <w:pStyle w:val="Header"/>
          <w:framePr w:wrap="none" w:vAnchor="text" w:hAnchor="margin" w:xAlign="right" w:y="1"/>
          <w:rPr>
            <w:rStyle w:val="PageNumber"/>
            <w:rFonts w:ascii="Arial" w:hAnsi="Arial" w:cs="Arial"/>
          </w:rPr>
        </w:pPr>
        <w:r w:rsidRPr="007915EE">
          <w:rPr>
            <w:rStyle w:val="PageNumber"/>
            <w:rFonts w:ascii="Arial" w:hAnsi="Arial" w:cs="Arial"/>
          </w:rPr>
          <w:fldChar w:fldCharType="begin"/>
        </w:r>
        <w:r w:rsidRPr="007915EE">
          <w:rPr>
            <w:rStyle w:val="PageNumber"/>
            <w:rFonts w:ascii="Arial" w:hAnsi="Arial" w:cs="Arial"/>
          </w:rPr>
          <w:instrText xml:space="preserve"> PAGE </w:instrText>
        </w:r>
        <w:r w:rsidRPr="007915EE">
          <w:rPr>
            <w:rStyle w:val="PageNumber"/>
            <w:rFonts w:ascii="Arial" w:hAnsi="Arial" w:cs="Arial"/>
          </w:rPr>
          <w:fldChar w:fldCharType="separate"/>
        </w:r>
        <w:r w:rsidR="0027466D">
          <w:rPr>
            <w:rStyle w:val="PageNumber"/>
            <w:rFonts w:ascii="Arial" w:hAnsi="Arial" w:cs="Arial"/>
            <w:noProof/>
          </w:rPr>
          <w:t>3</w:t>
        </w:r>
        <w:r w:rsidRPr="007915EE">
          <w:rPr>
            <w:rStyle w:val="PageNumber"/>
            <w:rFonts w:ascii="Arial" w:hAnsi="Arial" w:cs="Arial"/>
          </w:rPr>
          <w:fldChar w:fldCharType="end"/>
        </w:r>
      </w:p>
    </w:sdtContent>
  </w:sdt>
  <w:p w14:paraId="5EBDF2C0" w14:textId="77777777" w:rsidR="008723D8" w:rsidRPr="007915EE" w:rsidRDefault="008723D8" w:rsidP="001F02A6">
    <w:pPr>
      <w:pStyle w:val="Header"/>
      <w:tabs>
        <w:tab w:val="clear" w:pos="4680"/>
        <w:tab w:val="clear" w:pos="9360"/>
        <w:tab w:val="left" w:pos="7576"/>
      </w:tabs>
      <w:ind w:right="360"/>
    </w:pPr>
    <w:r w:rsidRPr="007915E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A59"/>
    <w:multiLevelType w:val="hybridMultilevel"/>
    <w:tmpl w:val="CA8259BC"/>
    <w:lvl w:ilvl="0" w:tplc="CA968E76">
      <w:start w:val="1"/>
      <w:numFmt w:val="lowerLetter"/>
      <w:lvlText w:val="(%1)"/>
      <w:lvlJc w:val="left"/>
      <w:pPr>
        <w:ind w:left="1211" w:hanging="360"/>
      </w:pPr>
      <w:rPr>
        <w:rFonts w:hint="default"/>
        <w: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D023A15"/>
    <w:multiLevelType w:val="hybridMultilevel"/>
    <w:tmpl w:val="367EE3C8"/>
    <w:lvl w:ilvl="0" w:tplc="5B9A867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E08052B"/>
    <w:multiLevelType w:val="multilevel"/>
    <w:tmpl w:val="D5884DC6"/>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100305BB"/>
    <w:multiLevelType w:val="multilevel"/>
    <w:tmpl w:val="FE2A532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65450"/>
    <w:multiLevelType w:val="multilevel"/>
    <w:tmpl w:val="1BA03448"/>
    <w:lvl w:ilvl="0">
      <w:start w:val="1"/>
      <w:numFmt w:val="decimal"/>
      <w:lvlText w:val="[%1]"/>
      <w:lvlJc w:val="left"/>
      <w:pPr>
        <w:ind w:left="720" w:hanging="363"/>
      </w:pPr>
      <w:rPr>
        <w:rFonts w:hint="default"/>
        <w:b w:val="0"/>
        <w:bCs w:val="0"/>
        <w:color w:val="auto"/>
      </w:rPr>
    </w:lvl>
    <w:lvl w:ilvl="1">
      <w:start w:val="1"/>
      <w:numFmt w:val="none"/>
      <w:lvlText w:val="1.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6">
    <w:nsid w:val="14077DEC"/>
    <w:multiLevelType w:val="hybridMultilevel"/>
    <w:tmpl w:val="F4A4EAC0"/>
    <w:lvl w:ilvl="0" w:tplc="00D08D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21364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6209F1"/>
    <w:multiLevelType w:val="hybridMultilevel"/>
    <w:tmpl w:val="283A9DD6"/>
    <w:lvl w:ilvl="0" w:tplc="39024D9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284401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6342137"/>
    <w:multiLevelType w:val="multilevel"/>
    <w:tmpl w:val="0130D4F4"/>
    <w:lvl w:ilvl="0">
      <w:start w:val="3"/>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377F53FA"/>
    <w:multiLevelType w:val="multilevel"/>
    <w:tmpl w:val="76867A96"/>
    <w:lvl w:ilvl="0">
      <w:start w:val="4"/>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380F6523"/>
    <w:multiLevelType w:val="multilevel"/>
    <w:tmpl w:val="285CBE9A"/>
    <w:lvl w:ilvl="0">
      <w:start w:val="1"/>
      <w:numFmt w:val="decimal"/>
      <w:lvlText w:val="%1."/>
      <w:lvlJc w:val="left"/>
      <w:pPr>
        <w:ind w:left="360" w:hanging="360"/>
      </w:pPr>
      <w:rPr>
        <w:rFonts w:hint="default"/>
        <w:b w:val="0"/>
        <w:bCs w:val="0"/>
      </w:rPr>
    </w:lvl>
    <w:lvl w:ilvl="1">
      <w:start w:val="1"/>
      <w:numFmt w:val="lowerLetter"/>
      <w:lvlText w:val="(%2)"/>
      <w:lvlJc w:val="left"/>
      <w:pPr>
        <w:ind w:left="792" w:hanging="432"/>
      </w:pPr>
      <w:rPr>
        <w:rFonts w:ascii="Arial" w:eastAsiaTheme="minorHAnsi" w:hAnsi="Arial" w:cs="Arial"/>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C6476C"/>
    <w:multiLevelType w:val="hybridMultilevel"/>
    <w:tmpl w:val="4A02AD12"/>
    <w:lvl w:ilvl="0" w:tplc="AD7035FA">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6">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907C1C"/>
    <w:multiLevelType w:val="multilevel"/>
    <w:tmpl w:val="38CAF40E"/>
    <w:lvl w:ilvl="0">
      <w:start w:val="24"/>
      <w:numFmt w:val="decimal"/>
      <w:lvlText w:val="%1"/>
      <w:lvlJc w:val="left"/>
      <w:pPr>
        <w:ind w:left="660" w:hanging="660"/>
      </w:pPr>
      <w:rPr>
        <w:rFonts w:hint="default"/>
        <w:u w:val="single"/>
      </w:rPr>
    </w:lvl>
    <w:lvl w:ilvl="1">
      <w:start w:val="8"/>
      <w:numFmt w:val="decimal"/>
      <w:lvlText w:val="%1.%2"/>
      <w:lvlJc w:val="left"/>
      <w:pPr>
        <w:ind w:left="1439" w:hanging="660"/>
      </w:pPr>
      <w:rPr>
        <w:rFonts w:hint="default"/>
        <w:u w:val="single"/>
      </w:rPr>
    </w:lvl>
    <w:lvl w:ilvl="2">
      <w:start w:val="1"/>
      <w:numFmt w:val="decimal"/>
      <w:lvlText w:val="%1.%2.%3"/>
      <w:lvlJc w:val="left"/>
      <w:pPr>
        <w:ind w:left="2278" w:hanging="720"/>
      </w:pPr>
      <w:rPr>
        <w:rFonts w:hint="default"/>
        <w:u w:val="none"/>
      </w:rPr>
    </w:lvl>
    <w:lvl w:ilvl="3">
      <w:start w:val="1"/>
      <w:numFmt w:val="decimal"/>
      <w:lvlText w:val="%1.%2.%3.%4"/>
      <w:lvlJc w:val="left"/>
      <w:pPr>
        <w:ind w:left="3417" w:hanging="1080"/>
      </w:pPr>
      <w:rPr>
        <w:rFonts w:hint="default"/>
        <w:u w:val="single"/>
      </w:rPr>
    </w:lvl>
    <w:lvl w:ilvl="4">
      <w:start w:val="1"/>
      <w:numFmt w:val="decimal"/>
      <w:lvlText w:val="%1.%2.%3.%4.%5"/>
      <w:lvlJc w:val="left"/>
      <w:pPr>
        <w:ind w:left="4196" w:hanging="1080"/>
      </w:pPr>
      <w:rPr>
        <w:rFonts w:hint="default"/>
        <w:u w:val="single"/>
      </w:rPr>
    </w:lvl>
    <w:lvl w:ilvl="5">
      <w:start w:val="1"/>
      <w:numFmt w:val="decimal"/>
      <w:lvlText w:val="%1.%2.%3.%4.%5.%6"/>
      <w:lvlJc w:val="left"/>
      <w:pPr>
        <w:ind w:left="5335" w:hanging="1440"/>
      </w:pPr>
      <w:rPr>
        <w:rFonts w:hint="default"/>
        <w:u w:val="single"/>
      </w:rPr>
    </w:lvl>
    <w:lvl w:ilvl="6">
      <w:start w:val="1"/>
      <w:numFmt w:val="decimal"/>
      <w:lvlText w:val="%1.%2.%3.%4.%5.%6.%7"/>
      <w:lvlJc w:val="left"/>
      <w:pPr>
        <w:ind w:left="6114" w:hanging="1440"/>
      </w:pPr>
      <w:rPr>
        <w:rFonts w:hint="default"/>
        <w:u w:val="single"/>
      </w:rPr>
    </w:lvl>
    <w:lvl w:ilvl="7">
      <w:start w:val="1"/>
      <w:numFmt w:val="decimal"/>
      <w:lvlText w:val="%1.%2.%3.%4.%5.%6.%7.%8"/>
      <w:lvlJc w:val="left"/>
      <w:pPr>
        <w:ind w:left="7253" w:hanging="1800"/>
      </w:pPr>
      <w:rPr>
        <w:rFonts w:hint="default"/>
        <w:u w:val="single"/>
      </w:rPr>
    </w:lvl>
    <w:lvl w:ilvl="8">
      <w:start w:val="1"/>
      <w:numFmt w:val="decimal"/>
      <w:lvlText w:val="%1.%2.%3.%4.%5.%6.%7.%8.%9"/>
      <w:lvlJc w:val="left"/>
      <w:pPr>
        <w:ind w:left="8032" w:hanging="1800"/>
      </w:pPr>
      <w:rPr>
        <w:rFonts w:hint="default"/>
        <w:u w:val="single"/>
      </w:rPr>
    </w:lvl>
  </w:abstractNum>
  <w:abstractNum w:abstractNumId="18">
    <w:nsid w:val="473E6B0B"/>
    <w:multiLevelType w:val="hybridMultilevel"/>
    <w:tmpl w:val="6AC0AACE"/>
    <w:lvl w:ilvl="0" w:tplc="4F480BC2">
      <w:start w:val="1"/>
      <w:numFmt w:val="lowerRoman"/>
      <w:lvlText w:val="(%1)"/>
      <w:lvlJc w:val="left"/>
      <w:pPr>
        <w:ind w:left="2138" w:hanging="72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9">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4F1B71B0"/>
    <w:multiLevelType w:val="multilevel"/>
    <w:tmpl w:val="7FB83B8C"/>
    <w:numStyleLink w:val="Style1"/>
  </w:abstractNum>
  <w:abstractNum w:abstractNumId="21">
    <w:nsid w:val="51961D40"/>
    <w:multiLevelType w:val="hybridMultilevel"/>
    <w:tmpl w:val="ACC238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583E1DD9"/>
    <w:multiLevelType w:val="multilevel"/>
    <w:tmpl w:val="5CDE49E8"/>
    <w:lvl w:ilvl="0">
      <w:start w:val="1"/>
      <w:numFmt w:val="decimal"/>
      <w:lvlText w:val="[%1]"/>
      <w:lvlJc w:val="left"/>
      <w:pPr>
        <w:ind w:left="851" w:hanging="851"/>
      </w:pPr>
      <w:rPr>
        <w:rFonts w:hint="default"/>
        <w:b w:val="0"/>
        <w:bCs w:val="0"/>
        <w:color w:val="auto"/>
      </w:rPr>
    </w:lvl>
    <w:lvl w:ilvl="1">
      <w:start w:val="1"/>
      <w:numFmt w:val="none"/>
      <w:lvlText w:val="1.1"/>
      <w:lvlJc w:val="left"/>
      <w:pPr>
        <w:ind w:left="1701" w:hanging="850"/>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3">
    <w:nsid w:val="5B907293"/>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24">
    <w:nsid w:val="5CD51FCD"/>
    <w:multiLevelType w:val="hybridMultilevel"/>
    <w:tmpl w:val="19D45ED4"/>
    <w:lvl w:ilvl="0" w:tplc="D13A19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6">
    <w:nsid w:val="5CE87E9F"/>
    <w:multiLevelType w:val="multilevel"/>
    <w:tmpl w:val="CD6A0BEA"/>
    <w:lvl w:ilvl="0">
      <w:start w:val="14"/>
      <w:numFmt w:val="decimal"/>
      <w:lvlText w:val="%1"/>
      <w:lvlJc w:val="left"/>
      <w:pPr>
        <w:ind w:left="795" w:hanging="795"/>
      </w:pPr>
      <w:rPr>
        <w:rFonts w:hint="default"/>
      </w:rPr>
    </w:lvl>
    <w:lvl w:ilvl="1">
      <w:start w:val="13"/>
      <w:numFmt w:val="decimal"/>
      <w:lvlText w:val="%1.%2"/>
      <w:lvlJc w:val="left"/>
      <w:pPr>
        <w:ind w:left="1645" w:hanging="795"/>
      </w:pPr>
      <w:rPr>
        <w:rFonts w:hint="default"/>
      </w:rPr>
    </w:lvl>
    <w:lvl w:ilvl="2">
      <w:start w:val="1"/>
      <w:numFmt w:val="decimal"/>
      <w:lvlText w:val="%1.%2.%3"/>
      <w:lvlJc w:val="left"/>
      <w:pPr>
        <w:ind w:left="2495" w:hanging="79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7">
    <w:nsid w:val="5DA83A0F"/>
    <w:multiLevelType w:val="multilevel"/>
    <w:tmpl w:val="358247CE"/>
    <w:lvl w:ilvl="0">
      <w:start w:val="1"/>
      <w:numFmt w:val="decimal"/>
      <w:lvlText w:val="[%1]"/>
      <w:lvlJc w:val="left"/>
      <w:pPr>
        <w:ind w:left="720" w:hanging="363"/>
      </w:pPr>
      <w:rPr>
        <w:rFonts w:hint="default"/>
        <w:b w:val="0"/>
        <w:bCs w:val="0"/>
        <w:color w:val="auto"/>
      </w:rPr>
    </w:lvl>
    <w:lvl w:ilvl="1">
      <w:start w:val="1"/>
      <w:numFmt w:val="none"/>
      <w:lvlText w:val="12.1"/>
      <w:lvlJc w:val="left"/>
      <w:pPr>
        <w:ind w:left="1440" w:hanging="363"/>
      </w:pPr>
      <w:rPr>
        <w:rFonts w:hint="default"/>
      </w:rPr>
    </w:lvl>
    <w:lvl w:ilvl="2">
      <w:start w:val="1"/>
      <w:numFmt w:val="none"/>
      <w:lvlText w:val=""/>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8">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F12EFA"/>
    <w:multiLevelType w:val="multilevel"/>
    <w:tmpl w:val="CAA234C8"/>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22B68C7"/>
    <w:multiLevelType w:val="multilevel"/>
    <w:tmpl w:val="7E806D5A"/>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63063260"/>
    <w:multiLevelType w:val="multilevel"/>
    <w:tmpl w:val="82B85B6A"/>
    <w:lvl w:ilvl="0">
      <w:start w:val="39"/>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64347280"/>
    <w:multiLevelType w:val="multilevel"/>
    <w:tmpl w:val="BF54A7D2"/>
    <w:lvl w:ilvl="0">
      <w:start w:val="22"/>
      <w:numFmt w:val="decimal"/>
      <w:lvlText w:val="%1"/>
      <w:lvlJc w:val="left"/>
      <w:pPr>
        <w:ind w:left="660" w:hanging="660"/>
      </w:pPr>
      <w:rPr>
        <w:rFonts w:hint="default"/>
      </w:rPr>
    </w:lvl>
    <w:lvl w:ilvl="1">
      <w:start w:val="7"/>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3">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4">
    <w:nsid w:val="65832D47"/>
    <w:multiLevelType w:val="hybridMultilevel"/>
    <w:tmpl w:val="D952B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0A10B2"/>
    <w:multiLevelType w:val="hybridMultilevel"/>
    <w:tmpl w:val="76D41154"/>
    <w:lvl w:ilvl="0" w:tplc="5EB478B6">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36">
    <w:nsid w:val="68960E9D"/>
    <w:multiLevelType w:val="multilevel"/>
    <w:tmpl w:val="B4081A58"/>
    <w:lvl w:ilvl="0">
      <w:start w:val="42"/>
      <w:numFmt w:val="decimal"/>
      <w:lvlText w:val="%1"/>
      <w:lvlJc w:val="left"/>
      <w:pPr>
        <w:ind w:left="660" w:hanging="660"/>
      </w:pPr>
      <w:rPr>
        <w:rFonts w:hint="default"/>
      </w:rPr>
    </w:lvl>
    <w:lvl w:ilvl="1">
      <w:start w:val="1"/>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7">
    <w:nsid w:val="690C3A72"/>
    <w:multiLevelType w:val="multilevel"/>
    <w:tmpl w:val="B22A6DC0"/>
    <w:lvl w:ilvl="0">
      <w:start w:val="14"/>
      <w:numFmt w:val="decimal"/>
      <w:lvlText w:val="%1"/>
      <w:lvlJc w:val="left"/>
      <w:pPr>
        <w:ind w:left="795" w:hanging="795"/>
      </w:pPr>
      <w:rPr>
        <w:rFonts w:hint="default"/>
      </w:rPr>
    </w:lvl>
    <w:lvl w:ilvl="1">
      <w:start w:val="14"/>
      <w:numFmt w:val="decimal"/>
      <w:lvlText w:val="%1.%2"/>
      <w:lvlJc w:val="left"/>
      <w:pPr>
        <w:ind w:left="1645" w:hanging="795"/>
      </w:pPr>
      <w:rPr>
        <w:rFonts w:hint="default"/>
      </w:rPr>
    </w:lvl>
    <w:lvl w:ilvl="2">
      <w:start w:val="1"/>
      <w:numFmt w:val="decimal"/>
      <w:lvlText w:val="%1.%2.%3"/>
      <w:lvlJc w:val="left"/>
      <w:pPr>
        <w:ind w:left="2495" w:hanging="79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8">
    <w:nsid w:val="6E202017"/>
    <w:multiLevelType w:val="hybridMultilevel"/>
    <w:tmpl w:val="39FABEB4"/>
    <w:lvl w:ilvl="0" w:tplc="B9D0EA1E">
      <w:start w:val="17"/>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nsid w:val="705B25C0"/>
    <w:multiLevelType w:val="hybridMultilevel"/>
    <w:tmpl w:val="BAA619E0"/>
    <w:lvl w:ilvl="0" w:tplc="09DE0A2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0">
    <w:nsid w:val="71E642B4"/>
    <w:multiLevelType w:val="multilevel"/>
    <w:tmpl w:val="474468D0"/>
    <w:lvl w:ilvl="0">
      <w:start w:val="3"/>
      <w:numFmt w:val="decimal"/>
      <w:lvlText w:val="%1"/>
      <w:lvlJc w:val="left"/>
      <w:pPr>
        <w:ind w:left="860" w:hanging="860"/>
      </w:pPr>
      <w:rPr>
        <w:rFonts w:hint="default"/>
        <w:color w:val="0070C0"/>
      </w:rPr>
    </w:lvl>
    <w:lvl w:ilvl="1">
      <w:start w:val="1"/>
      <w:numFmt w:val="decimal"/>
      <w:lvlText w:val="%1.%2"/>
      <w:lvlJc w:val="left"/>
      <w:pPr>
        <w:ind w:left="1220" w:hanging="860"/>
      </w:pPr>
      <w:rPr>
        <w:rFonts w:hint="default"/>
        <w:color w:val="0070C0"/>
      </w:rPr>
    </w:lvl>
    <w:lvl w:ilvl="2">
      <w:start w:val="18"/>
      <w:numFmt w:val="decimal"/>
      <w:lvlText w:val="%1.%2.%3"/>
      <w:lvlJc w:val="left"/>
      <w:pPr>
        <w:ind w:left="1580" w:hanging="860"/>
      </w:pPr>
      <w:rPr>
        <w:rFonts w:hint="default"/>
        <w:color w:val="0070C0"/>
      </w:rPr>
    </w:lvl>
    <w:lvl w:ilvl="3">
      <w:start w:val="5"/>
      <w:numFmt w:val="decimal"/>
      <w:lvlText w:val="%1.%2.%3.%4"/>
      <w:lvlJc w:val="left"/>
      <w:pPr>
        <w:ind w:left="2160" w:hanging="1080"/>
      </w:pPr>
      <w:rPr>
        <w:rFonts w:hint="default"/>
        <w:color w:val="0070C0"/>
      </w:rPr>
    </w:lvl>
    <w:lvl w:ilvl="4">
      <w:start w:val="1"/>
      <w:numFmt w:val="decimal"/>
      <w:lvlText w:val="%1.%2.%3.%4.%5"/>
      <w:lvlJc w:val="left"/>
      <w:pPr>
        <w:ind w:left="2520" w:hanging="1080"/>
      </w:pPr>
      <w:rPr>
        <w:rFonts w:hint="default"/>
        <w:color w:val="0070C0"/>
      </w:rPr>
    </w:lvl>
    <w:lvl w:ilvl="5">
      <w:start w:val="1"/>
      <w:numFmt w:val="decimal"/>
      <w:lvlText w:val="%1.%2.%3.%4.%5.%6"/>
      <w:lvlJc w:val="left"/>
      <w:pPr>
        <w:ind w:left="3240" w:hanging="1440"/>
      </w:pPr>
      <w:rPr>
        <w:rFonts w:hint="default"/>
        <w:color w:val="0070C0"/>
      </w:rPr>
    </w:lvl>
    <w:lvl w:ilvl="6">
      <w:start w:val="1"/>
      <w:numFmt w:val="decimal"/>
      <w:lvlText w:val="%1.%2.%3.%4.%5.%6.%7"/>
      <w:lvlJc w:val="left"/>
      <w:pPr>
        <w:ind w:left="3600" w:hanging="1440"/>
      </w:pPr>
      <w:rPr>
        <w:rFonts w:hint="default"/>
        <w:color w:val="0070C0"/>
      </w:rPr>
    </w:lvl>
    <w:lvl w:ilvl="7">
      <w:start w:val="1"/>
      <w:numFmt w:val="decimal"/>
      <w:lvlText w:val="%1.%2.%3.%4.%5.%6.%7.%8"/>
      <w:lvlJc w:val="left"/>
      <w:pPr>
        <w:ind w:left="4320" w:hanging="1800"/>
      </w:pPr>
      <w:rPr>
        <w:rFonts w:hint="default"/>
        <w:color w:val="0070C0"/>
      </w:rPr>
    </w:lvl>
    <w:lvl w:ilvl="8">
      <w:start w:val="1"/>
      <w:numFmt w:val="decimal"/>
      <w:lvlText w:val="%1.%2.%3.%4.%5.%6.%7.%8.%9"/>
      <w:lvlJc w:val="left"/>
      <w:pPr>
        <w:ind w:left="4680" w:hanging="1800"/>
      </w:pPr>
      <w:rPr>
        <w:rFonts w:hint="default"/>
        <w:color w:val="0070C0"/>
      </w:rPr>
    </w:lvl>
  </w:abstractNum>
  <w:abstractNum w:abstractNumId="41">
    <w:nsid w:val="75D114F1"/>
    <w:multiLevelType w:val="multilevel"/>
    <w:tmpl w:val="C1B49BD2"/>
    <w:lvl w:ilvl="0">
      <w:start w:val="1"/>
      <w:numFmt w:val="decimal"/>
      <w:lvlText w:val="[%1]"/>
      <w:lvlJc w:val="left"/>
      <w:pPr>
        <w:tabs>
          <w:tab w:val="num" w:pos="851"/>
        </w:tabs>
        <w:ind w:left="0" w:firstLine="0"/>
      </w:pPr>
      <w:rPr>
        <w:rFonts w:hint="default"/>
        <w:b w:val="0"/>
        <w:bCs w:val="0"/>
        <w:i w:val="0"/>
        <w:iCs w:val="0"/>
        <w:color w:val="auto"/>
      </w:rPr>
    </w:lvl>
    <w:lvl w:ilvl="1">
      <w:start w:val="1"/>
      <w:numFmt w:val="decimal"/>
      <w:lvlText w:val="%1.%2"/>
      <w:lvlJc w:val="left"/>
      <w:pPr>
        <w:tabs>
          <w:tab w:val="num" w:pos="1701"/>
        </w:tabs>
        <w:ind w:left="1701" w:hanging="850"/>
      </w:pPr>
      <w:rPr>
        <w:rFonts w:hint="default"/>
        <w:b w:val="0"/>
        <w:bCs w:val="0"/>
        <w:color w:val="auto"/>
      </w:rPr>
    </w:lvl>
    <w:lvl w:ilvl="2">
      <w:start w:val="1"/>
      <w:numFmt w:val="none"/>
      <w:lvlText w:val="42.2.1"/>
      <w:lvlJc w:val="left"/>
      <w:pPr>
        <w:tabs>
          <w:tab w:val="num" w:pos="2835"/>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2">
    <w:nsid w:val="76A203A9"/>
    <w:multiLevelType w:val="multilevel"/>
    <w:tmpl w:val="7FB83B8C"/>
    <w:numStyleLink w:val="Style1"/>
  </w:abstractNum>
  <w:abstractNum w:abstractNumId="43">
    <w:nsid w:val="7770428B"/>
    <w:multiLevelType w:val="hybridMultilevel"/>
    <w:tmpl w:val="1A6E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603B3A"/>
    <w:multiLevelType w:val="multilevel"/>
    <w:tmpl w:val="C7244D6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C2C0256"/>
    <w:multiLevelType w:val="hybridMultilevel"/>
    <w:tmpl w:val="E13EAD90"/>
    <w:lvl w:ilvl="0" w:tplc="8AE869E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28"/>
  </w:num>
  <w:num w:numId="2">
    <w:abstractNumId w:val="25"/>
  </w:num>
  <w:num w:numId="3">
    <w:abstractNumId w:val="42"/>
    <w:lvlOverride w:ilvl="0">
      <w:lvl w:ilvl="0">
        <w:start w:val="1"/>
        <w:numFmt w:val="decimal"/>
        <w:isLgl/>
        <w:lvlText w:val="%1."/>
        <w:lvlJc w:val="left"/>
        <w:pPr>
          <w:ind w:left="360" w:hanging="360"/>
        </w:pPr>
        <w:rPr>
          <w:rFonts w:ascii="Arial" w:hAnsi="Arial" w:cs="Arial" w:hint="default"/>
          <w:b w:val="0"/>
          <w:bCs w:val="0"/>
          <w:i w:val="0"/>
          <w:iCs w:val="0"/>
          <w:color w:val="000000" w:themeColor="text1"/>
          <w:sz w:val="24"/>
        </w:rPr>
      </w:lvl>
    </w:lvlOverride>
  </w:num>
  <w:num w:numId="4">
    <w:abstractNumId w:val="1"/>
  </w:num>
  <w:num w:numId="5">
    <w:abstractNumId w:val="33"/>
  </w:num>
  <w:num w:numId="6">
    <w:abstractNumId w:val="19"/>
  </w:num>
  <w:num w:numId="7">
    <w:abstractNumId w:val="1"/>
  </w:num>
  <w:num w:numId="8">
    <w:abstractNumId w:val="11"/>
  </w:num>
  <w:num w:numId="9">
    <w:abstractNumId w:val="33"/>
  </w:num>
  <w:num w:numId="10">
    <w:abstractNumId w:val="33"/>
  </w:num>
  <w:num w:numId="11">
    <w:abstractNumId w:val="44"/>
  </w:num>
  <w:num w:numId="12">
    <w:abstractNumId w:val="12"/>
  </w:num>
  <w:num w:numId="13">
    <w:abstractNumId w:val="40"/>
  </w:num>
  <w:num w:numId="14">
    <w:abstractNumId w:val="23"/>
  </w:num>
  <w:num w:numId="15">
    <w:abstractNumId w:val="30"/>
  </w:num>
  <w:num w:numId="16">
    <w:abstractNumId w:val="13"/>
  </w:num>
  <w:num w:numId="17">
    <w:abstractNumId w:val="0"/>
  </w:num>
  <w:num w:numId="18">
    <w:abstractNumId w:val="2"/>
  </w:num>
  <w:num w:numId="19">
    <w:abstractNumId w:val="15"/>
  </w:num>
  <w:num w:numId="20">
    <w:abstractNumId w:val="39"/>
  </w:num>
  <w:num w:numId="21">
    <w:abstractNumId w:val="24"/>
  </w:num>
  <w:num w:numId="22">
    <w:abstractNumId w:val="35"/>
  </w:num>
  <w:num w:numId="23">
    <w:abstractNumId w:val="1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5"/>
  </w:num>
  <w:num w:numId="28">
    <w:abstractNumId w:val="22"/>
  </w:num>
  <w:num w:numId="29">
    <w:abstractNumId w:val="41"/>
  </w:num>
  <w:num w:numId="30">
    <w:abstractNumId w:val="8"/>
  </w:num>
  <w:num w:numId="31">
    <w:abstractNumId w:val="4"/>
  </w:num>
  <w:num w:numId="32">
    <w:abstractNumId w:val="3"/>
  </w:num>
  <w:num w:numId="33">
    <w:abstractNumId w:val="31"/>
  </w:num>
  <w:num w:numId="34">
    <w:abstractNumId w:val="29"/>
  </w:num>
  <w:num w:numId="35">
    <w:abstractNumId w:val="7"/>
  </w:num>
  <w:num w:numId="36">
    <w:abstractNumId w:val="45"/>
  </w:num>
  <w:num w:numId="37">
    <w:abstractNumId w:val="38"/>
  </w:num>
  <w:num w:numId="38">
    <w:abstractNumId w:val="32"/>
  </w:num>
  <w:num w:numId="39">
    <w:abstractNumId w:val="17"/>
  </w:num>
  <w:num w:numId="40">
    <w:abstractNumId w:val="16"/>
  </w:num>
  <w:num w:numId="41">
    <w:abstractNumId w:val="9"/>
  </w:num>
  <w:num w:numId="42">
    <w:abstractNumId w:val="20"/>
  </w:num>
  <w:num w:numId="43">
    <w:abstractNumId w:val="26"/>
  </w:num>
  <w:num w:numId="44">
    <w:abstractNumId w:val="37"/>
  </w:num>
  <w:num w:numId="45">
    <w:abstractNumId w:val="34"/>
  </w:num>
  <w:num w:numId="46">
    <w:abstractNumId w:val="43"/>
  </w:num>
  <w:num w:numId="47">
    <w:abstractNumId w:val="6"/>
  </w:num>
  <w:num w:numId="48">
    <w:abstractNumId w:val="21"/>
  </w:num>
  <w:num w:numId="49">
    <w:abstractNumId w:val="36"/>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ZA" w:vendorID="64" w:dllVersion="131078" w:nlCheck="1" w:checkStyle="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1993"/>
    <w:rsid w:val="00002249"/>
    <w:rsid w:val="00002931"/>
    <w:rsid w:val="00002989"/>
    <w:rsid w:val="00002AB8"/>
    <w:rsid w:val="00002E2A"/>
    <w:rsid w:val="00004C06"/>
    <w:rsid w:val="000050EC"/>
    <w:rsid w:val="000057CE"/>
    <w:rsid w:val="0000650B"/>
    <w:rsid w:val="00006E25"/>
    <w:rsid w:val="0000740F"/>
    <w:rsid w:val="0000743F"/>
    <w:rsid w:val="00007549"/>
    <w:rsid w:val="00007E85"/>
    <w:rsid w:val="000107B3"/>
    <w:rsid w:val="000107C4"/>
    <w:rsid w:val="00011281"/>
    <w:rsid w:val="00011DD7"/>
    <w:rsid w:val="0001273D"/>
    <w:rsid w:val="00012B1F"/>
    <w:rsid w:val="00012EEA"/>
    <w:rsid w:val="00013157"/>
    <w:rsid w:val="000133EA"/>
    <w:rsid w:val="00013D6B"/>
    <w:rsid w:val="000144C4"/>
    <w:rsid w:val="000147C8"/>
    <w:rsid w:val="000147F9"/>
    <w:rsid w:val="00014FE9"/>
    <w:rsid w:val="00015206"/>
    <w:rsid w:val="00015443"/>
    <w:rsid w:val="0001564D"/>
    <w:rsid w:val="00017257"/>
    <w:rsid w:val="0001764C"/>
    <w:rsid w:val="00017F12"/>
    <w:rsid w:val="00017F4F"/>
    <w:rsid w:val="00020A9F"/>
    <w:rsid w:val="00020B6A"/>
    <w:rsid w:val="00020CCF"/>
    <w:rsid w:val="00021ECF"/>
    <w:rsid w:val="00022103"/>
    <w:rsid w:val="00022511"/>
    <w:rsid w:val="00022A59"/>
    <w:rsid w:val="000231A2"/>
    <w:rsid w:val="0002321E"/>
    <w:rsid w:val="00023FD2"/>
    <w:rsid w:val="00024725"/>
    <w:rsid w:val="0002484C"/>
    <w:rsid w:val="00024875"/>
    <w:rsid w:val="0002628A"/>
    <w:rsid w:val="00026453"/>
    <w:rsid w:val="00026ABA"/>
    <w:rsid w:val="00027054"/>
    <w:rsid w:val="0003078C"/>
    <w:rsid w:val="00031A2C"/>
    <w:rsid w:val="00032410"/>
    <w:rsid w:val="00032D75"/>
    <w:rsid w:val="00033758"/>
    <w:rsid w:val="0003406E"/>
    <w:rsid w:val="000341CC"/>
    <w:rsid w:val="000349D1"/>
    <w:rsid w:val="00034EA5"/>
    <w:rsid w:val="0003731A"/>
    <w:rsid w:val="00037399"/>
    <w:rsid w:val="000376E8"/>
    <w:rsid w:val="00037FE3"/>
    <w:rsid w:val="0004053A"/>
    <w:rsid w:val="00040BFA"/>
    <w:rsid w:val="00041143"/>
    <w:rsid w:val="0004128E"/>
    <w:rsid w:val="00042F5A"/>
    <w:rsid w:val="000436A8"/>
    <w:rsid w:val="000438B0"/>
    <w:rsid w:val="0004664D"/>
    <w:rsid w:val="0004765E"/>
    <w:rsid w:val="00047C3E"/>
    <w:rsid w:val="00047E7F"/>
    <w:rsid w:val="00050073"/>
    <w:rsid w:val="00050178"/>
    <w:rsid w:val="00050467"/>
    <w:rsid w:val="00050D22"/>
    <w:rsid w:val="00051061"/>
    <w:rsid w:val="0005123E"/>
    <w:rsid w:val="00051362"/>
    <w:rsid w:val="00051860"/>
    <w:rsid w:val="000524F8"/>
    <w:rsid w:val="000525E2"/>
    <w:rsid w:val="00052A9E"/>
    <w:rsid w:val="00053417"/>
    <w:rsid w:val="00053687"/>
    <w:rsid w:val="00053688"/>
    <w:rsid w:val="000539B3"/>
    <w:rsid w:val="000541E2"/>
    <w:rsid w:val="00054266"/>
    <w:rsid w:val="00054F92"/>
    <w:rsid w:val="00055391"/>
    <w:rsid w:val="000553E6"/>
    <w:rsid w:val="000559EA"/>
    <w:rsid w:val="00055ACA"/>
    <w:rsid w:val="00057319"/>
    <w:rsid w:val="00057760"/>
    <w:rsid w:val="000602FC"/>
    <w:rsid w:val="0006080A"/>
    <w:rsid w:val="00060DBE"/>
    <w:rsid w:val="0006229B"/>
    <w:rsid w:val="00062323"/>
    <w:rsid w:val="00063E6E"/>
    <w:rsid w:val="000641C5"/>
    <w:rsid w:val="000641FF"/>
    <w:rsid w:val="000647D5"/>
    <w:rsid w:val="00065D69"/>
    <w:rsid w:val="00066277"/>
    <w:rsid w:val="000678EF"/>
    <w:rsid w:val="000700D9"/>
    <w:rsid w:val="00070B1F"/>
    <w:rsid w:val="000710A5"/>
    <w:rsid w:val="0007126F"/>
    <w:rsid w:val="00071848"/>
    <w:rsid w:val="00072393"/>
    <w:rsid w:val="0007283A"/>
    <w:rsid w:val="00072CA7"/>
    <w:rsid w:val="00072D52"/>
    <w:rsid w:val="00073182"/>
    <w:rsid w:val="000751AD"/>
    <w:rsid w:val="000763DF"/>
    <w:rsid w:val="000771E1"/>
    <w:rsid w:val="00077752"/>
    <w:rsid w:val="000777A2"/>
    <w:rsid w:val="000779CC"/>
    <w:rsid w:val="00077C3F"/>
    <w:rsid w:val="00081AB8"/>
    <w:rsid w:val="00082BE4"/>
    <w:rsid w:val="000849B9"/>
    <w:rsid w:val="00086415"/>
    <w:rsid w:val="000865E1"/>
    <w:rsid w:val="00086B30"/>
    <w:rsid w:val="00086CCE"/>
    <w:rsid w:val="00086E39"/>
    <w:rsid w:val="00086EDE"/>
    <w:rsid w:val="0008733F"/>
    <w:rsid w:val="00087FBF"/>
    <w:rsid w:val="00090558"/>
    <w:rsid w:val="00090C61"/>
    <w:rsid w:val="000911EE"/>
    <w:rsid w:val="000918A8"/>
    <w:rsid w:val="00091C7E"/>
    <w:rsid w:val="00091CCD"/>
    <w:rsid w:val="000925D0"/>
    <w:rsid w:val="00092B1E"/>
    <w:rsid w:val="00093008"/>
    <w:rsid w:val="00093B6B"/>
    <w:rsid w:val="000940AD"/>
    <w:rsid w:val="000940D0"/>
    <w:rsid w:val="0009413B"/>
    <w:rsid w:val="00094483"/>
    <w:rsid w:val="000949A5"/>
    <w:rsid w:val="000949EE"/>
    <w:rsid w:val="00095340"/>
    <w:rsid w:val="0009578A"/>
    <w:rsid w:val="00095E34"/>
    <w:rsid w:val="00095F88"/>
    <w:rsid w:val="0009680C"/>
    <w:rsid w:val="000968A2"/>
    <w:rsid w:val="000968A6"/>
    <w:rsid w:val="00096CB9"/>
    <w:rsid w:val="000974C0"/>
    <w:rsid w:val="00097562"/>
    <w:rsid w:val="0009757B"/>
    <w:rsid w:val="000976A3"/>
    <w:rsid w:val="000978E0"/>
    <w:rsid w:val="00097AB1"/>
    <w:rsid w:val="00097C96"/>
    <w:rsid w:val="00097CAC"/>
    <w:rsid w:val="000A07FE"/>
    <w:rsid w:val="000A116D"/>
    <w:rsid w:val="000A11C3"/>
    <w:rsid w:val="000A15E3"/>
    <w:rsid w:val="000A2B90"/>
    <w:rsid w:val="000A2E18"/>
    <w:rsid w:val="000A3C97"/>
    <w:rsid w:val="000A4420"/>
    <w:rsid w:val="000A57A9"/>
    <w:rsid w:val="000A5971"/>
    <w:rsid w:val="000A5BBA"/>
    <w:rsid w:val="000A68A3"/>
    <w:rsid w:val="000A76E3"/>
    <w:rsid w:val="000A79A8"/>
    <w:rsid w:val="000A7F72"/>
    <w:rsid w:val="000B0AD1"/>
    <w:rsid w:val="000B1007"/>
    <w:rsid w:val="000B13C0"/>
    <w:rsid w:val="000B2313"/>
    <w:rsid w:val="000B2F38"/>
    <w:rsid w:val="000B37B4"/>
    <w:rsid w:val="000B3A6F"/>
    <w:rsid w:val="000B3D3E"/>
    <w:rsid w:val="000B40AF"/>
    <w:rsid w:val="000B44D3"/>
    <w:rsid w:val="000B4886"/>
    <w:rsid w:val="000B665F"/>
    <w:rsid w:val="000B68C9"/>
    <w:rsid w:val="000B739A"/>
    <w:rsid w:val="000B7B1F"/>
    <w:rsid w:val="000C0376"/>
    <w:rsid w:val="000C066D"/>
    <w:rsid w:val="000C0839"/>
    <w:rsid w:val="000C0BBA"/>
    <w:rsid w:val="000C13AE"/>
    <w:rsid w:val="000C1879"/>
    <w:rsid w:val="000C1FC2"/>
    <w:rsid w:val="000C2D67"/>
    <w:rsid w:val="000C3049"/>
    <w:rsid w:val="000C3483"/>
    <w:rsid w:val="000C35CF"/>
    <w:rsid w:val="000C3732"/>
    <w:rsid w:val="000C3EAB"/>
    <w:rsid w:val="000C45D8"/>
    <w:rsid w:val="000C4A2B"/>
    <w:rsid w:val="000C50C3"/>
    <w:rsid w:val="000C555F"/>
    <w:rsid w:val="000C580C"/>
    <w:rsid w:val="000C66A5"/>
    <w:rsid w:val="000C6747"/>
    <w:rsid w:val="000C75C0"/>
    <w:rsid w:val="000C76BB"/>
    <w:rsid w:val="000C78F1"/>
    <w:rsid w:val="000D0787"/>
    <w:rsid w:val="000D08EB"/>
    <w:rsid w:val="000D0A87"/>
    <w:rsid w:val="000D16AF"/>
    <w:rsid w:val="000D1812"/>
    <w:rsid w:val="000D3591"/>
    <w:rsid w:val="000D3BB6"/>
    <w:rsid w:val="000D438C"/>
    <w:rsid w:val="000D4FEF"/>
    <w:rsid w:val="000D4FFA"/>
    <w:rsid w:val="000D574A"/>
    <w:rsid w:val="000D5B7C"/>
    <w:rsid w:val="000D6295"/>
    <w:rsid w:val="000D77E8"/>
    <w:rsid w:val="000D7DC6"/>
    <w:rsid w:val="000E0607"/>
    <w:rsid w:val="000E0A0A"/>
    <w:rsid w:val="000E0AFA"/>
    <w:rsid w:val="000E0ED0"/>
    <w:rsid w:val="000E1DC2"/>
    <w:rsid w:val="000E31E4"/>
    <w:rsid w:val="000E3D74"/>
    <w:rsid w:val="000E4512"/>
    <w:rsid w:val="000E53D3"/>
    <w:rsid w:val="000E5FE6"/>
    <w:rsid w:val="000E608C"/>
    <w:rsid w:val="000E64FB"/>
    <w:rsid w:val="000E7086"/>
    <w:rsid w:val="000E7409"/>
    <w:rsid w:val="000E788E"/>
    <w:rsid w:val="000E78FB"/>
    <w:rsid w:val="000F05D8"/>
    <w:rsid w:val="000F069B"/>
    <w:rsid w:val="000F0F1B"/>
    <w:rsid w:val="000F11EB"/>
    <w:rsid w:val="000F1801"/>
    <w:rsid w:val="000F1B73"/>
    <w:rsid w:val="000F3950"/>
    <w:rsid w:val="000F46EB"/>
    <w:rsid w:val="000F4CCD"/>
    <w:rsid w:val="000F53BB"/>
    <w:rsid w:val="000F56EF"/>
    <w:rsid w:val="000F5EFA"/>
    <w:rsid w:val="000F72C4"/>
    <w:rsid w:val="000F7740"/>
    <w:rsid w:val="000F77FE"/>
    <w:rsid w:val="000F7BF3"/>
    <w:rsid w:val="00100F39"/>
    <w:rsid w:val="0010106E"/>
    <w:rsid w:val="0010114E"/>
    <w:rsid w:val="0010150F"/>
    <w:rsid w:val="001019E8"/>
    <w:rsid w:val="00101A8B"/>
    <w:rsid w:val="00101DF7"/>
    <w:rsid w:val="00102251"/>
    <w:rsid w:val="0010284E"/>
    <w:rsid w:val="00102FB7"/>
    <w:rsid w:val="00104399"/>
    <w:rsid w:val="00104C1A"/>
    <w:rsid w:val="0010664B"/>
    <w:rsid w:val="001070B8"/>
    <w:rsid w:val="00107B37"/>
    <w:rsid w:val="00107F34"/>
    <w:rsid w:val="00110ED6"/>
    <w:rsid w:val="00111020"/>
    <w:rsid w:val="001122B1"/>
    <w:rsid w:val="00112DCC"/>
    <w:rsid w:val="001138A0"/>
    <w:rsid w:val="001138B7"/>
    <w:rsid w:val="00113A26"/>
    <w:rsid w:val="00113E08"/>
    <w:rsid w:val="0011450C"/>
    <w:rsid w:val="001145F5"/>
    <w:rsid w:val="00114A56"/>
    <w:rsid w:val="001151C7"/>
    <w:rsid w:val="0011548B"/>
    <w:rsid w:val="0011701E"/>
    <w:rsid w:val="001173F7"/>
    <w:rsid w:val="00117628"/>
    <w:rsid w:val="0012065C"/>
    <w:rsid w:val="001216E9"/>
    <w:rsid w:val="00121B59"/>
    <w:rsid w:val="00121FF8"/>
    <w:rsid w:val="00122228"/>
    <w:rsid w:val="001223B6"/>
    <w:rsid w:val="0012243D"/>
    <w:rsid w:val="00122539"/>
    <w:rsid w:val="00122934"/>
    <w:rsid w:val="00122FEE"/>
    <w:rsid w:val="001242A3"/>
    <w:rsid w:val="0012473E"/>
    <w:rsid w:val="00126BE7"/>
    <w:rsid w:val="00126C52"/>
    <w:rsid w:val="00127778"/>
    <w:rsid w:val="00127796"/>
    <w:rsid w:val="00127825"/>
    <w:rsid w:val="00127826"/>
    <w:rsid w:val="00127BC0"/>
    <w:rsid w:val="001303EF"/>
    <w:rsid w:val="00130854"/>
    <w:rsid w:val="00131705"/>
    <w:rsid w:val="001325A4"/>
    <w:rsid w:val="00133326"/>
    <w:rsid w:val="00134FD3"/>
    <w:rsid w:val="00135040"/>
    <w:rsid w:val="001354B8"/>
    <w:rsid w:val="00136AB9"/>
    <w:rsid w:val="00136CFB"/>
    <w:rsid w:val="00137365"/>
    <w:rsid w:val="00137A38"/>
    <w:rsid w:val="00140DCB"/>
    <w:rsid w:val="00140DDF"/>
    <w:rsid w:val="00140E63"/>
    <w:rsid w:val="00141418"/>
    <w:rsid w:val="00141B31"/>
    <w:rsid w:val="00141E1A"/>
    <w:rsid w:val="0014223D"/>
    <w:rsid w:val="001423DE"/>
    <w:rsid w:val="00142AE5"/>
    <w:rsid w:val="00142C62"/>
    <w:rsid w:val="00143005"/>
    <w:rsid w:val="0014395E"/>
    <w:rsid w:val="00144EAC"/>
    <w:rsid w:val="0014595A"/>
    <w:rsid w:val="001467F8"/>
    <w:rsid w:val="001512EF"/>
    <w:rsid w:val="00151D1C"/>
    <w:rsid w:val="00151F86"/>
    <w:rsid w:val="00151FD7"/>
    <w:rsid w:val="00152769"/>
    <w:rsid w:val="00152B1C"/>
    <w:rsid w:val="001530DF"/>
    <w:rsid w:val="001536BB"/>
    <w:rsid w:val="00153834"/>
    <w:rsid w:val="0015441F"/>
    <w:rsid w:val="00154444"/>
    <w:rsid w:val="00154750"/>
    <w:rsid w:val="00154DF5"/>
    <w:rsid w:val="00154E0C"/>
    <w:rsid w:val="001552E6"/>
    <w:rsid w:val="00155F1E"/>
    <w:rsid w:val="0015674D"/>
    <w:rsid w:val="0015699A"/>
    <w:rsid w:val="00156B19"/>
    <w:rsid w:val="00156F7B"/>
    <w:rsid w:val="00156F95"/>
    <w:rsid w:val="001575BE"/>
    <w:rsid w:val="00157B49"/>
    <w:rsid w:val="00157B82"/>
    <w:rsid w:val="0016007F"/>
    <w:rsid w:val="00160325"/>
    <w:rsid w:val="0016084B"/>
    <w:rsid w:val="00160E10"/>
    <w:rsid w:val="00161809"/>
    <w:rsid w:val="00161B13"/>
    <w:rsid w:val="001622CA"/>
    <w:rsid w:val="001629D8"/>
    <w:rsid w:val="0016370A"/>
    <w:rsid w:val="00163E3D"/>
    <w:rsid w:val="00164214"/>
    <w:rsid w:val="001644C5"/>
    <w:rsid w:val="00165378"/>
    <w:rsid w:val="001653C6"/>
    <w:rsid w:val="00165700"/>
    <w:rsid w:val="0016586B"/>
    <w:rsid w:val="00165E42"/>
    <w:rsid w:val="00165E4B"/>
    <w:rsid w:val="001660D4"/>
    <w:rsid w:val="0016661F"/>
    <w:rsid w:val="001669E2"/>
    <w:rsid w:val="00167710"/>
    <w:rsid w:val="0017057E"/>
    <w:rsid w:val="001729EE"/>
    <w:rsid w:val="00172F44"/>
    <w:rsid w:val="001731C3"/>
    <w:rsid w:val="00176374"/>
    <w:rsid w:val="00176713"/>
    <w:rsid w:val="001770E5"/>
    <w:rsid w:val="001809B2"/>
    <w:rsid w:val="00181C29"/>
    <w:rsid w:val="00181D77"/>
    <w:rsid w:val="00182273"/>
    <w:rsid w:val="00183B49"/>
    <w:rsid w:val="00183DC4"/>
    <w:rsid w:val="00184F8A"/>
    <w:rsid w:val="00185465"/>
    <w:rsid w:val="001856FB"/>
    <w:rsid w:val="001866F3"/>
    <w:rsid w:val="00186C09"/>
    <w:rsid w:val="0018717C"/>
    <w:rsid w:val="00187237"/>
    <w:rsid w:val="00187890"/>
    <w:rsid w:val="0018790C"/>
    <w:rsid w:val="0019065F"/>
    <w:rsid w:val="001906D7"/>
    <w:rsid w:val="0019076F"/>
    <w:rsid w:val="001918A1"/>
    <w:rsid w:val="00192A4D"/>
    <w:rsid w:val="00192AD6"/>
    <w:rsid w:val="00192DA1"/>
    <w:rsid w:val="001942A9"/>
    <w:rsid w:val="001943B5"/>
    <w:rsid w:val="00194E04"/>
    <w:rsid w:val="0019548C"/>
    <w:rsid w:val="00195ABB"/>
    <w:rsid w:val="00196525"/>
    <w:rsid w:val="001A0363"/>
    <w:rsid w:val="001A04BC"/>
    <w:rsid w:val="001A1A86"/>
    <w:rsid w:val="001A2A63"/>
    <w:rsid w:val="001A2C92"/>
    <w:rsid w:val="001A3F2F"/>
    <w:rsid w:val="001A6837"/>
    <w:rsid w:val="001A6C8E"/>
    <w:rsid w:val="001A7564"/>
    <w:rsid w:val="001A79B5"/>
    <w:rsid w:val="001A79CD"/>
    <w:rsid w:val="001A7C23"/>
    <w:rsid w:val="001A7E85"/>
    <w:rsid w:val="001B0CDF"/>
    <w:rsid w:val="001B0E9C"/>
    <w:rsid w:val="001B1468"/>
    <w:rsid w:val="001B1706"/>
    <w:rsid w:val="001B240F"/>
    <w:rsid w:val="001B3085"/>
    <w:rsid w:val="001B4183"/>
    <w:rsid w:val="001B4916"/>
    <w:rsid w:val="001B4B34"/>
    <w:rsid w:val="001B5327"/>
    <w:rsid w:val="001B68EA"/>
    <w:rsid w:val="001B6FFB"/>
    <w:rsid w:val="001B7029"/>
    <w:rsid w:val="001B7C10"/>
    <w:rsid w:val="001C025B"/>
    <w:rsid w:val="001C2130"/>
    <w:rsid w:val="001C23CB"/>
    <w:rsid w:val="001C5BC7"/>
    <w:rsid w:val="001C5DCD"/>
    <w:rsid w:val="001C5E81"/>
    <w:rsid w:val="001C6184"/>
    <w:rsid w:val="001D1A89"/>
    <w:rsid w:val="001D26E4"/>
    <w:rsid w:val="001D2AB3"/>
    <w:rsid w:val="001D2E4B"/>
    <w:rsid w:val="001D39F5"/>
    <w:rsid w:val="001D3A4A"/>
    <w:rsid w:val="001D3A87"/>
    <w:rsid w:val="001D497B"/>
    <w:rsid w:val="001D505D"/>
    <w:rsid w:val="001D579E"/>
    <w:rsid w:val="001D5948"/>
    <w:rsid w:val="001D5A11"/>
    <w:rsid w:val="001D6242"/>
    <w:rsid w:val="001D6623"/>
    <w:rsid w:val="001D7165"/>
    <w:rsid w:val="001D716A"/>
    <w:rsid w:val="001D7E64"/>
    <w:rsid w:val="001E0F74"/>
    <w:rsid w:val="001E12E0"/>
    <w:rsid w:val="001E1306"/>
    <w:rsid w:val="001E17F0"/>
    <w:rsid w:val="001E1B79"/>
    <w:rsid w:val="001E2853"/>
    <w:rsid w:val="001E2D8B"/>
    <w:rsid w:val="001E3E06"/>
    <w:rsid w:val="001E411A"/>
    <w:rsid w:val="001E4DA4"/>
    <w:rsid w:val="001E4FB4"/>
    <w:rsid w:val="001E751A"/>
    <w:rsid w:val="001E7AC8"/>
    <w:rsid w:val="001E7FCA"/>
    <w:rsid w:val="001F02A6"/>
    <w:rsid w:val="001F083A"/>
    <w:rsid w:val="001F094E"/>
    <w:rsid w:val="001F0BDD"/>
    <w:rsid w:val="001F0FD7"/>
    <w:rsid w:val="001F2B56"/>
    <w:rsid w:val="001F3B8D"/>
    <w:rsid w:val="001F3BF0"/>
    <w:rsid w:val="001F3DC6"/>
    <w:rsid w:val="001F6545"/>
    <w:rsid w:val="001F6D91"/>
    <w:rsid w:val="001F6F81"/>
    <w:rsid w:val="001F7A24"/>
    <w:rsid w:val="001F7E04"/>
    <w:rsid w:val="00200F16"/>
    <w:rsid w:val="00201042"/>
    <w:rsid w:val="00201279"/>
    <w:rsid w:val="002016D8"/>
    <w:rsid w:val="002025A0"/>
    <w:rsid w:val="00202AF7"/>
    <w:rsid w:val="00204728"/>
    <w:rsid w:val="00204735"/>
    <w:rsid w:val="00204DE0"/>
    <w:rsid w:val="0020501D"/>
    <w:rsid w:val="00205079"/>
    <w:rsid w:val="002050CE"/>
    <w:rsid w:val="00205A9D"/>
    <w:rsid w:val="00205C58"/>
    <w:rsid w:val="00206DC6"/>
    <w:rsid w:val="0020773A"/>
    <w:rsid w:val="00207C9A"/>
    <w:rsid w:val="00207F5D"/>
    <w:rsid w:val="002100C0"/>
    <w:rsid w:val="0021035B"/>
    <w:rsid w:val="002105CE"/>
    <w:rsid w:val="00210BF6"/>
    <w:rsid w:val="00210F2C"/>
    <w:rsid w:val="002111E8"/>
    <w:rsid w:val="00211657"/>
    <w:rsid w:val="0021237C"/>
    <w:rsid w:val="0021241D"/>
    <w:rsid w:val="0021264E"/>
    <w:rsid w:val="00212C28"/>
    <w:rsid w:val="00212F61"/>
    <w:rsid w:val="002131DE"/>
    <w:rsid w:val="00213A0C"/>
    <w:rsid w:val="00214135"/>
    <w:rsid w:val="002145B9"/>
    <w:rsid w:val="002148CC"/>
    <w:rsid w:val="002153E3"/>
    <w:rsid w:val="00215410"/>
    <w:rsid w:val="0021594E"/>
    <w:rsid w:val="00215AA8"/>
    <w:rsid w:val="00215B29"/>
    <w:rsid w:val="00216109"/>
    <w:rsid w:val="002161BC"/>
    <w:rsid w:val="002165A1"/>
    <w:rsid w:val="002168E9"/>
    <w:rsid w:val="00216C4F"/>
    <w:rsid w:val="0021725B"/>
    <w:rsid w:val="00217393"/>
    <w:rsid w:val="002177EA"/>
    <w:rsid w:val="002200BF"/>
    <w:rsid w:val="00224006"/>
    <w:rsid w:val="00224313"/>
    <w:rsid w:val="0022449D"/>
    <w:rsid w:val="0022503E"/>
    <w:rsid w:val="00225194"/>
    <w:rsid w:val="0022560C"/>
    <w:rsid w:val="00225A38"/>
    <w:rsid w:val="00225C7B"/>
    <w:rsid w:val="002263D8"/>
    <w:rsid w:val="002264BE"/>
    <w:rsid w:val="00227243"/>
    <w:rsid w:val="00227C66"/>
    <w:rsid w:val="00230D0F"/>
    <w:rsid w:val="0023131E"/>
    <w:rsid w:val="00232372"/>
    <w:rsid w:val="00232456"/>
    <w:rsid w:val="002339D2"/>
    <w:rsid w:val="00233BDD"/>
    <w:rsid w:val="00234943"/>
    <w:rsid w:val="00234EF9"/>
    <w:rsid w:val="00234F31"/>
    <w:rsid w:val="00234F9F"/>
    <w:rsid w:val="00235242"/>
    <w:rsid w:val="00235C5F"/>
    <w:rsid w:val="00235F77"/>
    <w:rsid w:val="0023644D"/>
    <w:rsid w:val="00236FC5"/>
    <w:rsid w:val="0023733E"/>
    <w:rsid w:val="0023784F"/>
    <w:rsid w:val="00240E69"/>
    <w:rsid w:val="002411F8"/>
    <w:rsid w:val="00241FEE"/>
    <w:rsid w:val="00242329"/>
    <w:rsid w:val="0024272C"/>
    <w:rsid w:val="00242958"/>
    <w:rsid w:val="00242D2D"/>
    <w:rsid w:val="00243786"/>
    <w:rsid w:val="00244AC7"/>
    <w:rsid w:val="00245926"/>
    <w:rsid w:val="00245BA7"/>
    <w:rsid w:val="00246B44"/>
    <w:rsid w:val="00247FEF"/>
    <w:rsid w:val="00250323"/>
    <w:rsid w:val="00250327"/>
    <w:rsid w:val="00251425"/>
    <w:rsid w:val="00251A93"/>
    <w:rsid w:val="00251C91"/>
    <w:rsid w:val="0025293F"/>
    <w:rsid w:val="0025342E"/>
    <w:rsid w:val="002534A8"/>
    <w:rsid w:val="002539E9"/>
    <w:rsid w:val="00253B7B"/>
    <w:rsid w:val="00253C09"/>
    <w:rsid w:val="0025492F"/>
    <w:rsid w:val="00254C28"/>
    <w:rsid w:val="002553EF"/>
    <w:rsid w:val="00255533"/>
    <w:rsid w:val="002562A0"/>
    <w:rsid w:val="00256481"/>
    <w:rsid w:val="002569A8"/>
    <w:rsid w:val="002579A6"/>
    <w:rsid w:val="00257AC8"/>
    <w:rsid w:val="002604D2"/>
    <w:rsid w:val="00260FE5"/>
    <w:rsid w:val="00262A04"/>
    <w:rsid w:val="0026429E"/>
    <w:rsid w:val="0026444F"/>
    <w:rsid w:val="00264885"/>
    <w:rsid w:val="0026515C"/>
    <w:rsid w:val="00265193"/>
    <w:rsid w:val="002655BA"/>
    <w:rsid w:val="00265873"/>
    <w:rsid w:val="00265B7B"/>
    <w:rsid w:val="00265EEB"/>
    <w:rsid w:val="0026635C"/>
    <w:rsid w:val="002664D3"/>
    <w:rsid w:val="002670D2"/>
    <w:rsid w:val="00267188"/>
    <w:rsid w:val="002672BC"/>
    <w:rsid w:val="00270DCC"/>
    <w:rsid w:val="00271F62"/>
    <w:rsid w:val="00271F8E"/>
    <w:rsid w:val="00272852"/>
    <w:rsid w:val="002731B3"/>
    <w:rsid w:val="0027354E"/>
    <w:rsid w:val="00273867"/>
    <w:rsid w:val="002740F3"/>
    <w:rsid w:val="0027466D"/>
    <w:rsid w:val="00274E3A"/>
    <w:rsid w:val="00275A66"/>
    <w:rsid w:val="00276B7E"/>
    <w:rsid w:val="002777A5"/>
    <w:rsid w:val="00277E44"/>
    <w:rsid w:val="002801B8"/>
    <w:rsid w:val="00280608"/>
    <w:rsid w:val="00280A4F"/>
    <w:rsid w:val="00281025"/>
    <w:rsid w:val="00281976"/>
    <w:rsid w:val="002819AC"/>
    <w:rsid w:val="00282974"/>
    <w:rsid w:val="00282E95"/>
    <w:rsid w:val="00282F79"/>
    <w:rsid w:val="00283386"/>
    <w:rsid w:val="00283733"/>
    <w:rsid w:val="002838BE"/>
    <w:rsid w:val="0028394E"/>
    <w:rsid w:val="00284B88"/>
    <w:rsid w:val="0028542D"/>
    <w:rsid w:val="00285898"/>
    <w:rsid w:val="0028596A"/>
    <w:rsid w:val="00285978"/>
    <w:rsid w:val="00285D5D"/>
    <w:rsid w:val="0028608A"/>
    <w:rsid w:val="00286581"/>
    <w:rsid w:val="00287811"/>
    <w:rsid w:val="00287896"/>
    <w:rsid w:val="00287D05"/>
    <w:rsid w:val="0029024F"/>
    <w:rsid w:val="0029047A"/>
    <w:rsid w:val="002907CA"/>
    <w:rsid w:val="00290A9A"/>
    <w:rsid w:val="00290E50"/>
    <w:rsid w:val="0029199B"/>
    <w:rsid w:val="00291C25"/>
    <w:rsid w:val="002928D2"/>
    <w:rsid w:val="002928F3"/>
    <w:rsid w:val="002933F8"/>
    <w:rsid w:val="00293F6D"/>
    <w:rsid w:val="00294EA5"/>
    <w:rsid w:val="00296BF2"/>
    <w:rsid w:val="0029759A"/>
    <w:rsid w:val="00297B4E"/>
    <w:rsid w:val="00297C8B"/>
    <w:rsid w:val="00297CC6"/>
    <w:rsid w:val="002A0018"/>
    <w:rsid w:val="002A05F1"/>
    <w:rsid w:val="002A0A91"/>
    <w:rsid w:val="002A0AED"/>
    <w:rsid w:val="002A3303"/>
    <w:rsid w:val="002A39B9"/>
    <w:rsid w:val="002A3D1B"/>
    <w:rsid w:val="002A428A"/>
    <w:rsid w:val="002A4CF4"/>
    <w:rsid w:val="002A5349"/>
    <w:rsid w:val="002A5E51"/>
    <w:rsid w:val="002A6C60"/>
    <w:rsid w:val="002A6D42"/>
    <w:rsid w:val="002A7672"/>
    <w:rsid w:val="002A7850"/>
    <w:rsid w:val="002B0194"/>
    <w:rsid w:val="002B08B9"/>
    <w:rsid w:val="002B112A"/>
    <w:rsid w:val="002B1394"/>
    <w:rsid w:val="002B2AC9"/>
    <w:rsid w:val="002B2C9B"/>
    <w:rsid w:val="002B2D35"/>
    <w:rsid w:val="002B3BC3"/>
    <w:rsid w:val="002B3C9B"/>
    <w:rsid w:val="002B4F90"/>
    <w:rsid w:val="002B5801"/>
    <w:rsid w:val="002B619C"/>
    <w:rsid w:val="002B65AE"/>
    <w:rsid w:val="002B66FA"/>
    <w:rsid w:val="002B6DD1"/>
    <w:rsid w:val="002C02DC"/>
    <w:rsid w:val="002C0A61"/>
    <w:rsid w:val="002C0D15"/>
    <w:rsid w:val="002C3640"/>
    <w:rsid w:val="002C3800"/>
    <w:rsid w:val="002C3B8A"/>
    <w:rsid w:val="002C47D7"/>
    <w:rsid w:val="002C4838"/>
    <w:rsid w:val="002C49C2"/>
    <w:rsid w:val="002C4A67"/>
    <w:rsid w:val="002C5B3C"/>
    <w:rsid w:val="002C5C7A"/>
    <w:rsid w:val="002C6471"/>
    <w:rsid w:val="002C6583"/>
    <w:rsid w:val="002C76B4"/>
    <w:rsid w:val="002D0160"/>
    <w:rsid w:val="002D116D"/>
    <w:rsid w:val="002D15B2"/>
    <w:rsid w:val="002D2316"/>
    <w:rsid w:val="002D334E"/>
    <w:rsid w:val="002D373D"/>
    <w:rsid w:val="002D3D67"/>
    <w:rsid w:val="002D46E7"/>
    <w:rsid w:val="002D4792"/>
    <w:rsid w:val="002D494A"/>
    <w:rsid w:val="002D4A70"/>
    <w:rsid w:val="002D5891"/>
    <w:rsid w:val="002D72A1"/>
    <w:rsid w:val="002D7D86"/>
    <w:rsid w:val="002E08A6"/>
    <w:rsid w:val="002E10C9"/>
    <w:rsid w:val="002E1B2D"/>
    <w:rsid w:val="002E239B"/>
    <w:rsid w:val="002E28FC"/>
    <w:rsid w:val="002E304A"/>
    <w:rsid w:val="002E3593"/>
    <w:rsid w:val="002E3FC5"/>
    <w:rsid w:val="002E4186"/>
    <w:rsid w:val="002E631F"/>
    <w:rsid w:val="002E6434"/>
    <w:rsid w:val="002E65FA"/>
    <w:rsid w:val="002E6BC0"/>
    <w:rsid w:val="002E6F0D"/>
    <w:rsid w:val="002E70C5"/>
    <w:rsid w:val="002E7CA6"/>
    <w:rsid w:val="002E7E97"/>
    <w:rsid w:val="002F0A46"/>
    <w:rsid w:val="002F1673"/>
    <w:rsid w:val="002F1BA9"/>
    <w:rsid w:val="002F2927"/>
    <w:rsid w:val="002F32D9"/>
    <w:rsid w:val="002F3663"/>
    <w:rsid w:val="002F6391"/>
    <w:rsid w:val="002F687F"/>
    <w:rsid w:val="002F6BA8"/>
    <w:rsid w:val="002F72D9"/>
    <w:rsid w:val="002F7333"/>
    <w:rsid w:val="002F7482"/>
    <w:rsid w:val="002F789F"/>
    <w:rsid w:val="002F7F6C"/>
    <w:rsid w:val="0030098C"/>
    <w:rsid w:val="00300A88"/>
    <w:rsid w:val="00301C9B"/>
    <w:rsid w:val="00302D7C"/>
    <w:rsid w:val="00302DDC"/>
    <w:rsid w:val="00302E76"/>
    <w:rsid w:val="00302EC3"/>
    <w:rsid w:val="0030377B"/>
    <w:rsid w:val="00304ABB"/>
    <w:rsid w:val="00304DF9"/>
    <w:rsid w:val="003050B1"/>
    <w:rsid w:val="00310EC9"/>
    <w:rsid w:val="003110F4"/>
    <w:rsid w:val="003114DA"/>
    <w:rsid w:val="0031314B"/>
    <w:rsid w:val="003132F5"/>
    <w:rsid w:val="0031387B"/>
    <w:rsid w:val="0031389D"/>
    <w:rsid w:val="00313F33"/>
    <w:rsid w:val="00315088"/>
    <w:rsid w:val="00315172"/>
    <w:rsid w:val="00315F24"/>
    <w:rsid w:val="003160FC"/>
    <w:rsid w:val="00317BE4"/>
    <w:rsid w:val="00320181"/>
    <w:rsid w:val="003201B2"/>
    <w:rsid w:val="0032030B"/>
    <w:rsid w:val="0032137C"/>
    <w:rsid w:val="00321C73"/>
    <w:rsid w:val="00323264"/>
    <w:rsid w:val="0032382C"/>
    <w:rsid w:val="00323F41"/>
    <w:rsid w:val="003257F4"/>
    <w:rsid w:val="00325DC9"/>
    <w:rsid w:val="00326099"/>
    <w:rsid w:val="00330119"/>
    <w:rsid w:val="00330EC4"/>
    <w:rsid w:val="003317B1"/>
    <w:rsid w:val="00331B10"/>
    <w:rsid w:val="00331B1F"/>
    <w:rsid w:val="00332FFD"/>
    <w:rsid w:val="0033356C"/>
    <w:rsid w:val="00333B33"/>
    <w:rsid w:val="00333D20"/>
    <w:rsid w:val="003343A2"/>
    <w:rsid w:val="00334599"/>
    <w:rsid w:val="003346D7"/>
    <w:rsid w:val="00334FE7"/>
    <w:rsid w:val="003365CD"/>
    <w:rsid w:val="00340186"/>
    <w:rsid w:val="00340EAD"/>
    <w:rsid w:val="00340FBB"/>
    <w:rsid w:val="00341247"/>
    <w:rsid w:val="003413D7"/>
    <w:rsid w:val="003419D7"/>
    <w:rsid w:val="00342A95"/>
    <w:rsid w:val="003439C3"/>
    <w:rsid w:val="00343CC1"/>
    <w:rsid w:val="003448C0"/>
    <w:rsid w:val="00344DF5"/>
    <w:rsid w:val="0034595E"/>
    <w:rsid w:val="00345ADF"/>
    <w:rsid w:val="00345D85"/>
    <w:rsid w:val="00346FAC"/>
    <w:rsid w:val="003504D3"/>
    <w:rsid w:val="0035055E"/>
    <w:rsid w:val="003505F7"/>
    <w:rsid w:val="00351076"/>
    <w:rsid w:val="00351183"/>
    <w:rsid w:val="00351244"/>
    <w:rsid w:val="00352AD9"/>
    <w:rsid w:val="0035311C"/>
    <w:rsid w:val="00353C2E"/>
    <w:rsid w:val="00353F67"/>
    <w:rsid w:val="003544F0"/>
    <w:rsid w:val="003547F2"/>
    <w:rsid w:val="00356422"/>
    <w:rsid w:val="00356D18"/>
    <w:rsid w:val="003608EB"/>
    <w:rsid w:val="00361196"/>
    <w:rsid w:val="003613A8"/>
    <w:rsid w:val="003626AE"/>
    <w:rsid w:val="00362826"/>
    <w:rsid w:val="00362AFC"/>
    <w:rsid w:val="00362B07"/>
    <w:rsid w:val="003638E3"/>
    <w:rsid w:val="00364579"/>
    <w:rsid w:val="00364A8F"/>
    <w:rsid w:val="00364E75"/>
    <w:rsid w:val="00364FFB"/>
    <w:rsid w:val="0036527C"/>
    <w:rsid w:val="00365BED"/>
    <w:rsid w:val="00366704"/>
    <w:rsid w:val="00366958"/>
    <w:rsid w:val="00370707"/>
    <w:rsid w:val="003707BE"/>
    <w:rsid w:val="003715CD"/>
    <w:rsid w:val="00371920"/>
    <w:rsid w:val="00371E04"/>
    <w:rsid w:val="0037265B"/>
    <w:rsid w:val="00372665"/>
    <w:rsid w:val="003726E3"/>
    <w:rsid w:val="003733E2"/>
    <w:rsid w:val="0037434F"/>
    <w:rsid w:val="0037494C"/>
    <w:rsid w:val="0037514F"/>
    <w:rsid w:val="00376096"/>
    <w:rsid w:val="003767D6"/>
    <w:rsid w:val="00376968"/>
    <w:rsid w:val="00376C69"/>
    <w:rsid w:val="00377B2B"/>
    <w:rsid w:val="00380626"/>
    <w:rsid w:val="003806B9"/>
    <w:rsid w:val="00380901"/>
    <w:rsid w:val="00381158"/>
    <w:rsid w:val="003827B6"/>
    <w:rsid w:val="00382898"/>
    <w:rsid w:val="003833E5"/>
    <w:rsid w:val="00383DD9"/>
    <w:rsid w:val="003867F1"/>
    <w:rsid w:val="0038740C"/>
    <w:rsid w:val="003877D1"/>
    <w:rsid w:val="00387F3A"/>
    <w:rsid w:val="0039014E"/>
    <w:rsid w:val="00390985"/>
    <w:rsid w:val="00391159"/>
    <w:rsid w:val="003911E9"/>
    <w:rsid w:val="00391AA7"/>
    <w:rsid w:val="00393CAC"/>
    <w:rsid w:val="00393DBF"/>
    <w:rsid w:val="00394198"/>
    <w:rsid w:val="003947A7"/>
    <w:rsid w:val="003947C5"/>
    <w:rsid w:val="00394AF6"/>
    <w:rsid w:val="00395125"/>
    <w:rsid w:val="003957A5"/>
    <w:rsid w:val="00395A9B"/>
    <w:rsid w:val="00395AB0"/>
    <w:rsid w:val="00396CF3"/>
    <w:rsid w:val="00397861"/>
    <w:rsid w:val="0039796A"/>
    <w:rsid w:val="00397B17"/>
    <w:rsid w:val="00397B93"/>
    <w:rsid w:val="003A022A"/>
    <w:rsid w:val="003A185D"/>
    <w:rsid w:val="003A31F8"/>
    <w:rsid w:val="003A33D1"/>
    <w:rsid w:val="003A3B7D"/>
    <w:rsid w:val="003A4C5F"/>
    <w:rsid w:val="003A4DD9"/>
    <w:rsid w:val="003A5271"/>
    <w:rsid w:val="003A5F8A"/>
    <w:rsid w:val="003A66E5"/>
    <w:rsid w:val="003A6CC5"/>
    <w:rsid w:val="003A6D83"/>
    <w:rsid w:val="003A6DC8"/>
    <w:rsid w:val="003B2987"/>
    <w:rsid w:val="003B32CC"/>
    <w:rsid w:val="003B3321"/>
    <w:rsid w:val="003B3EF4"/>
    <w:rsid w:val="003B4C83"/>
    <w:rsid w:val="003B568C"/>
    <w:rsid w:val="003B5F9A"/>
    <w:rsid w:val="003B6798"/>
    <w:rsid w:val="003B6DD1"/>
    <w:rsid w:val="003B7375"/>
    <w:rsid w:val="003B7B6E"/>
    <w:rsid w:val="003C01B0"/>
    <w:rsid w:val="003C01CA"/>
    <w:rsid w:val="003C0A5D"/>
    <w:rsid w:val="003C0F4C"/>
    <w:rsid w:val="003C1072"/>
    <w:rsid w:val="003C114D"/>
    <w:rsid w:val="003C2E3D"/>
    <w:rsid w:val="003C3052"/>
    <w:rsid w:val="003C32F3"/>
    <w:rsid w:val="003C332B"/>
    <w:rsid w:val="003C37AD"/>
    <w:rsid w:val="003C39AD"/>
    <w:rsid w:val="003C3AF5"/>
    <w:rsid w:val="003C3E77"/>
    <w:rsid w:val="003C4B37"/>
    <w:rsid w:val="003C4C4D"/>
    <w:rsid w:val="003C558F"/>
    <w:rsid w:val="003C597B"/>
    <w:rsid w:val="003C5C75"/>
    <w:rsid w:val="003C5D8C"/>
    <w:rsid w:val="003C5E36"/>
    <w:rsid w:val="003C6FC4"/>
    <w:rsid w:val="003C725C"/>
    <w:rsid w:val="003C77EA"/>
    <w:rsid w:val="003C796C"/>
    <w:rsid w:val="003C7DD2"/>
    <w:rsid w:val="003C7EC9"/>
    <w:rsid w:val="003D063D"/>
    <w:rsid w:val="003D0D7B"/>
    <w:rsid w:val="003D1D04"/>
    <w:rsid w:val="003D1DFE"/>
    <w:rsid w:val="003D249C"/>
    <w:rsid w:val="003D2DAF"/>
    <w:rsid w:val="003D40C5"/>
    <w:rsid w:val="003D4698"/>
    <w:rsid w:val="003D4C7A"/>
    <w:rsid w:val="003D4DC4"/>
    <w:rsid w:val="003D5912"/>
    <w:rsid w:val="003D5AEB"/>
    <w:rsid w:val="003D5E74"/>
    <w:rsid w:val="003D6445"/>
    <w:rsid w:val="003D6A93"/>
    <w:rsid w:val="003D71A2"/>
    <w:rsid w:val="003D7AAE"/>
    <w:rsid w:val="003E00CE"/>
    <w:rsid w:val="003E056E"/>
    <w:rsid w:val="003E0C76"/>
    <w:rsid w:val="003E0CBC"/>
    <w:rsid w:val="003E1D63"/>
    <w:rsid w:val="003E2CE4"/>
    <w:rsid w:val="003E36FB"/>
    <w:rsid w:val="003E3AC6"/>
    <w:rsid w:val="003E3B2B"/>
    <w:rsid w:val="003E4288"/>
    <w:rsid w:val="003E582F"/>
    <w:rsid w:val="003E5B8C"/>
    <w:rsid w:val="003E5C7B"/>
    <w:rsid w:val="003E649F"/>
    <w:rsid w:val="003E68D0"/>
    <w:rsid w:val="003E7268"/>
    <w:rsid w:val="003E79F4"/>
    <w:rsid w:val="003E7FD5"/>
    <w:rsid w:val="003F00E3"/>
    <w:rsid w:val="003F0342"/>
    <w:rsid w:val="003F0386"/>
    <w:rsid w:val="003F16A7"/>
    <w:rsid w:val="003F18D8"/>
    <w:rsid w:val="003F1BD7"/>
    <w:rsid w:val="003F1BDA"/>
    <w:rsid w:val="003F1C61"/>
    <w:rsid w:val="003F1CD4"/>
    <w:rsid w:val="003F2296"/>
    <w:rsid w:val="003F24DF"/>
    <w:rsid w:val="003F269E"/>
    <w:rsid w:val="003F26EC"/>
    <w:rsid w:val="003F28F0"/>
    <w:rsid w:val="003F31B7"/>
    <w:rsid w:val="003F32D8"/>
    <w:rsid w:val="003F33CB"/>
    <w:rsid w:val="003F5126"/>
    <w:rsid w:val="003F64F2"/>
    <w:rsid w:val="003F68DD"/>
    <w:rsid w:val="003F7851"/>
    <w:rsid w:val="003F7D09"/>
    <w:rsid w:val="00400BD8"/>
    <w:rsid w:val="00400F1F"/>
    <w:rsid w:val="004015BC"/>
    <w:rsid w:val="004016CC"/>
    <w:rsid w:val="0040228B"/>
    <w:rsid w:val="0040265F"/>
    <w:rsid w:val="00402C78"/>
    <w:rsid w:val="0040354C"/>
    <w:rsid w:val="00403C1C"/>
    <w:rsid w:val="004040BA"/>
    <w:rsid w:val="0040630D"/>
    <w:rsid w:val="00406D07"/>
    <w:rsid w:val="00407890"/>
    <w:rsid w:val="00411172"/>
    <w:rsid w:val="00412577"/>
    <w:rsid w:val="00413103"/>
    <w:rsid w:val="00413C02"/>
    <w:rsid w:val="0041538F"/>
    <w:rsid w:val="00415D04"/>
    <w:rsid w:val="0041612F"/>
    <w:rsid w:val="004166DA"/>
    <w:rsid w:val="00416E2C"/>
    <w:rsid w:val="004177DB"/>
    <w:rsid w:val="00417A9C"/>
    <w:rsid w:val="00417D38"/>
    <w:rsid w:val="004200EF"/>
    <w:rsid w:val="00420399"/>
    <w:rsid w:val="004226FD"/>
    <w:rsid w:val="00422BA6"/>
    <w:rsid w:val="00423F81"/>
    <w:rsid w:val="00424564"/>
    <w:rsid w:val="004247BB"/>
    <w:rsid w:val="00427103"/>
    <w:rsid w:val="00430C3F"/>
    <w:rsid w:val="00430F36"/>
    <w:rsid w:val="00431426"/>
    <w:rsid w:val="00431F19"/>
    <w:rsid w:val="00432D33"/>
    <w:rsid w:val="0043313E"/>
    <w:rsid w:val="004344F1"/>
    <w:rsid w:val="00434F45"/>
    <w:rsid w:val="004352F9"/>
    <w:rsid w:val="004358A9"/>
    <w:rsid w:val="004369B8"/>
    <w:rsid w:val="00436F41"/>
    <w:rsid w:val="004370A0"/>
    <w:rsid w:val="0043714D"/>
    <w:rsid w:val="0043786E"/>
    <w:rsid w:val="00437AA3"/>
    <w:rsid w:val="00437CED"/>
    <w:rsid w:val="00440753"/>
    <w:rsid w:val="004407E2"/>
    <w:rsid w:val="004427DB"/>
    <w:rsid w:val="00443960"/>
    <w:rsid w:val="00443B3C"/>
    <w:rsid w:val="00443BAB"/>
    <w:rsid w:val="004444DD"/>
    <w:rsid w:val="00444E9A"/>
    <w:rsid w:val="00445251"/>
    <w:rsid w:val="004455F8"/>
    <w:rsid w:val="00446517"/>
    <w:rsid w:val="004466E4"/>
    <w:rsid w:val="004501F2"/>
    <w:rsid w:val="0045146F"/>
    <w:rsid w:val="004516E6"/>
    <w:rsid w:val="0045187C"/>
    <w:rsid w:val="00452471"/>
    <w:rsid w:val="004525B9"/>
    <w:rsid w:val="004533FC"/>
    <w:rsid w:val="00453B92"/>
    <w:rsid w:val="00454462"/>
    <w:rsid w:val="0045583C"/>
    <w:rsid w:val="00455E39"/>
    <w:rsid w:val="004578CD"/>
    <w:rsid w:val="00457A5F"/>
    <w:rsid w:val="00457BB7"/>
    <w:rsid w:val="00457F61"/>
    <w:rsid w:val="00460EB6"/>
    <w:rsid w:val="004613CE"/>
    <w:rsid w:val="0046241B"/>
    <w:rsid w:val="00462BCF"/>
    <w:rsid w:val="00462C56"/>
    <w:rsid w:val="00462F88"/>
    <w:rsid w:val="00463647"/>
    <w:rsid w:val="00464711"/>
    <w:rsid w:val="00464963"/>
    <w:rsid w:val="00464BB2"/>
    <w:rsid w:val="00465D9F"/>
    <w:rsid w:val="00465F19"/>
    <w:rsid w:val="004668BE"/>
    <w:rsid w:val="00466C37"/>
    <w:rsid w:val="00467C54"/>
    <w:rsid w:val="00467D98"/>
    <w:rsid w:val="00467E6A"/>
    <w:rsid w:val="00470581"/>
    <w:rsid w:val="004708CB"/>
    <w:rsid w:val="0047177F"/>
    <w:rsid w:val="0047232B"/>
    <w:rsid w:val="00472E02"/>
    <w:rsid w:val="00474174"/>
    <w:rsid w:val="00474927"/>
    <w:rsid w:val="00475763"/>
    <w:rsid w:val="004757F1"/>
    <w:rsid w:val="00475BE2"/>
    <w:rsid w:val="0047628B"/>
    <w:rsid w:val="0047629E"/>
    <w:rsid w:val="00477DBA"/>
    <w:rsid w:val="004816FD"/>
    <w:rsid w:val="00481F26"/>
    <w:rsid w:val="00482166"/>
    <w:rsid w:val="004828E4"/>
    <w:rsid w:val="00482A41"/>
    <w:rsid w:val="004831C0"/>
    <w:rsid w:val="0048368A"/>
    <w:rsid w:val="00483751"/>
    <w:rsid w:val="00483C29"/>
    <w:rsid w:val="004845FF"/>
    <w:rsid w:val="00484761"/>
    <w:rsid w:val="00484FC7"/>
    <w:rsid w:val="004856F0"/>
    <w:rsid w:val="00486015"/>
    <w:rsid w:val="00486339"/>
    <w:rsid w:val="004874AB"/>
    <w:rsid w:val="00490261"/>
    <w:rsid w:val="00490636"/>
    <w:rsid w:val="0049098D"/>
    <w:rsid w:val="00490E2A"/>
    <w:rsid w:val="004912F9"/>
    <w:rsid w:val="00492563"/>
    <w:rsid w:val="00492733"/>
    <w:rsid w:val="004931ED"/>
    <w:rsid w:val="00493457"/>
    <w:rsid w:val="00493AC1"/>
    <w:rsid w:val="004940D5"/>
    <w:rsid w:val="004944F2"/>
    <w:rsid w:val="00494A54"/>
    <w:rsid w:val="00494C0F"/>
    <w:rsid w:val="00495105"/>
    <w:rsid w:val="00496328"/>
    <w:rsid w:val="0049652E"/>
    <w:rsid w:val="00496B44"/>
    <w:rsid w:val="004A0BF2"/>
    <w:rsid w:val="004A0E9D"/>
    <w:rsid w:val="004A125C"/>
    <w:rsid w:val="004A174E"/>
    <w:rsid w:val="004A1B58"/>
    <w:rsid w:val="004A2472"/>
    <w:rsid w:val="004A24B9"/>
    <w:rsid w:val="004A2DD5"/>
    <w:rsid w:val="004A33C0"/>
    <w:rsid w:val="004A3B37"/>
    <w:rsid w:val="004A41C6"/>
    <w:rsid w:val="004A4441"/>
    <w:rsid w:val="004A60A3"/>
    <w:rsid w:val="004A6144"/>
    <w:rsid w:val="004A6911"/>
    <w:rsid w:val="004A69E3"/>
    <w:rsid w:val="004A74F6"/>
    <w:rsid w:val="004A7940"/>
    <w:rsid w:val="004A7E96"/>
    <w:rsid w:val="004B046D"/>
    <w:rsid w:val="004B0986"/>
    <w:rsid w:val="004B0B26"/>
    <w:rsid w:val="004B0B9A"/>
    <w:rsid w:val="004B34D7"/>
    <w:rsid w:val="004B3C4C"/>
    <w:rsid w:val="004B3F12"/>
    <w:rsid w:val="004B4444"/>
    <w:rsid w:val="004B4E81"/>
    <w:rsid w:val="004B5D1D"/>
    <w:rsid w:val="004B624A"/>
    <w:rsid w:val="004B6344"/>
    <w:rsid w:val="004B6782"/>
    <w:rsid w:val="004B6872"/>
    <w:rsid w:val="004B7587"/>
    <w:rsid w:val="004B75CA"/>
    <w:rsid w:val="004C0C9C"/>
    <w:rsid w:val="004C124E"/>
    <w:rsid w:val="004C1562"/>
    <w:rsid w:val="004C1E14"/>
    <w:rsid w:val="004C26A6"/>
    <w:rsid w:val="004C358A"/>
    <w:rsid w:val="004C457D"/>
    <w:rsid w:val="004C58A1"/>
    <w:rsid w:val="004C58A4"/>
    <w:rsid w:val="004C646B"/>
    <w:rsid w:val="004C6A23"/>
    <w:rsid w:val="004D04B5"/>
    <w:rsid w:val="004D04F6"/>
    <w:rsid w:val="004D094E"/>
    <w:rsid w:val="004D2327"/>
    <w:rsid w:val="004D2563"/>
    <w:rsid w:val="004D2A1B"/>
    <w:rsid w:val="004D42E2"/>
    <w:rsid w:val="004D464B"/>
    <w:rsid w:val="004D4BB7"/>
    <w:rsid w:val="004D4E90"/>
    <w:rsid w:val="004D523D"/>
    <w:rsid w:val="004D526B"/>
    <w:rsid w:val="004D52B7"/>
    <w:rsid w:val="004D59E4"/>
    <w:rsid w:val="004D628F"/>
    <w:rsid w:val="004D64D7"/>
    <w:rsid w:val="004D663B"/>
    <w:rsid w:val="004D721C"/>
    <w:rsid w:val="004D72FD"/>
    <w:rsid w:val="004D7D38"/>
    <w:rsid w:val="004E0590"/>
    <w:rsid w:val="004E1AE1"/>
    <w:rsid w:val="004E23A5"/>
    <w:rsid w:val="004E2E99"/>
    <w:rsid w:val="004E4229"/>
    <w:rsid w:val="004E43A2"/>
    <w:rsid w:val="004E445E"/>
    <w:rsid w:val="004E55ED"/>
    <w:rsid w:val="004E5C46"/>
    <w:rsid w:val="004E6823"/>
    <w:rsid w:val="004E6973"/>
    <w:rsid w:val="004E6DEE"/>
    <w:rsid w:val="004E6FC7"/>
    <w:rsid w:val="004E7A21"/>
    <w:rsid w:val="004F021D"/>
    <w:rsid w:val="004F0A65"/>
    <w:rsid w:val="004F1E14"/>
    <w:rsid w:val="004F21EB"/>
    <w:rsid w:val="004F2E5E"/>
    <w:rsid w:val="004F2E8A"/>
    <w:rsid w:val="004F4180"/>
    <w:rsid w:val="004F4564"/>
    <w:rsid w:val="004F5B75"/>
    <w:rsid w:val="004F6945"/>
    <w:rsid w:val="004F6A05"/>
    <w:rsid w:val="004F6B93"/>
    <w:rsid w:val="004F6FCD"/>
    <w:rsid w:val="00500484"/>
    <w:rsid w:val="005014D4"/>
    <w:rsid w:val="00501D39"/>
    <w:rsid w:val="0050221B"/>
    <w:rsid w:val="00502295"/>
    <w:rsid w:val="00502877"/>
    <w:rsid w:val="00502ACA"/>
    <w:rsid w:val="00503F9E"/>
    <w:rsid w:val="00505F0F"/>
    <w:rsid w:val="005068E7"/>
    <w:rsid w:val="00506C0B"/>
    <w:rsid w:val="005072D5"/>
    <w:rsid w:val="00507F71"/>
    <w:rsid w:val="005100A8"/>
    <w:rsid w:val="00510215"/>
    <w:rsid w:val="00510A55"/>
    <w:rsid w:val="00510F03"/>
    <w:rsid w:val="005111E4"/>
    <w:rsid w:val="005111F9"/>
    <w:rsid w:val="00511360"/>
    <w:rsid w:val="00511FA5"/>
    <w:rsid w:val="005122D2"/>
    <w:rsid w:val="00512385"/>
    <w:rsid w:val="005126E9"/>
    <w:rsid w:val="005130E0"/>
    <w:rsid w:val="005132AA"/>
    <w:rsid w:val="0051380E"/>
    <w:rsid w:val="00514C60"/>
    <w:rsid w:val="005163E4"/>
    <w:rsid w:val="0051687E"/>
    <w:rsid w:val="005177EB"/>
    <w:rsid w:val="0052164D"/>
    <w:rsid w:val="00521A15"/>
    <w:rsid w:val="00521E62"/>
    <w:rsid w:val="00522095"/>
    <w:rsid w:val="0052234D"/>
    <w:rsid w:val="00522668"/>
    <w:rsid w:val="00522DE8"/>
    <w:rsid w:val="0052368D"/>
    <w:rsid w:val="00523BC3"/>
    <w:rsid w:val="0052407B"/>
    <w:rsid w:val="005249BD"/>
    <w:rsid w:val="00525203"/>
    <w:rsid w:val="005254FA"/>
    <w:rsid w:val="005268F5"/>
    <w:rsid w:val="00526DC8"/>
    <w:rsid w:val="005276CE"/>
    <w:rsid w:val="00527C20"/>
    <w:rsid w:val="00531861"/>
    <w:rsid w:val="00531920"/>
    <w:rsid w:val="005320F4"/>
    <w:rsid w:val="00532A82"/>
    <w:rsid w:val="00533339"/>
    <w:rsid w:val="00533628"/>
    <w:rsid w:val="00533BC5"/>
    <w:rsid w:val="00533CC5"/>
    <w:rsid w:val="00534F2C"/>
    <w:rsid w:val="00535563"/>
    <w:rsid w:val="00537463"/>
    <w:rsid w:val="0053768C"/>
    <w:rsid w:val="00542FC4"/>
    <w:rsid w:val="005436B6"/>
    <w:rsid w:val="00543822"/>
    <w:rsid w:val="00543FDD"/>
    <w:rsid w:val="00544247"/>
    <w:rsid w:val="00544904"/>
    <w:rsid w:val="00544B65"/>
    <w:rsid w:val="005458A0"/>
    <w:rsid w:val="00546BED"/>
    <w:rsid w:val="00546DE1"/>
    <w:rsid w:val="0054715C"/>
    <w:rsid w:val="0055041A"/>
    <w:rsid w:val="00551564"/>
    <w:rsid w:val="00551F1B"/>
    <w:rsid w:val="0055377B"/>
    <w:rsid w:val="00553984"/>
    <w:rsid w:val="005539A8"/>
    <w:rsid w:val="00554270"/>
    <w:rsid w:val="0055451B"/>
    <w:rsid w:val="00554A70"/>
    <w:rsid w:val="00555769"/>
    <w:rsid w:val="00556DB2"/>
    <w:rsid w:val="00557342"/>
    <w:rsid w:val="00557D1E"/>
    <w:rsid w:val="00557FF5"/>
    <w:rsid w:val="0056035C"/>
    <w:rsid w:val="0056038A"/>
    <w:rsid w:val="00560426"/>
    <w:rsid w:val="00561077"/>
    <w:rsid w:val="00561B0D"/>
    <w:rsid w:val="0056204C"/>
    <w:rsid w:val="005620E7"/>
    <w:rsid w:val="00563AE7"/>
    <w:rsid w:val="00563B57"/>
    <w:rsid w:val="00563CCF"/>
    <w:rsid w:val="00563E4C"/>
    <w:rsid w:val="00564148"/>
    <w:rsid w:val="0056421F"/>
    <w:rsid w:val="0056466E"/>
    <w:rsid w:val="00564767"/>
    <w:rsid w:val="005648F1"/>
    <w:rsid w:val="00564A9C"/>
    <w:rsid w:val="00564F65"/>
    <w:rsid w:val="0056526F"/>
    <w:rsid w:val="00565B8C"/>
    <w:rsid w:val="0056662E"/>
    <w:rsid w:val="0056785E"/>
    <w:rsid w:val="0057001F"/>
    <w:rsid w:val="00570BB2"/>
    <w:rsid w:val="00570DFD"/>
    <w:rsid w:val="00570E43"/>
    <w:rsid w:val="005715AA"/>
    <w:rsid w:val="00571902"/>
    <w:rsid w:val="0057264B"/>
    <w:rsid w:val="005727BE"/>
    <w:rsid w:val="00572AFD"/>
    <w:rsid w:val="0057317E"/>
    <w:rsid w:val="005732F2"/>
    <w:rsid w:val="005735F3"/>
    <w:rsid w:val="00573878"/>
    <w:rsid w:val="00573E47"/>
    <w:rsid w:val="00574069"/>
    <w:rsid w:val="0057431B"/>
    <w:rsid w:val="005745B1"/>
    <w:rsid w:val="00574AA5"/>
    <w:rsid w:val="005770B6"/>
    <w:rsid w:val="00577F14"/>
    <w:rsid w:val="005802DE"/>
    <w:rsid w:val="00581476"/>
    <w:rsid w:val="00581530"/>
    <w:rsid w:val="00581833"/>
    <w:rsid w:val="00581A97"/>
    <w:rsid w:val="00581FC7"/>
    <w:rsid w:val="005822F2"/>
    <w:rsid w:val="00582571"/>
    <w:rsid w:val="00582E0B"/>
    <w:rsid w:val="0058310C"/>
    <w:rsid w:val="00583A0C"/>
    <w:rsid w:val="00583E59"/>
    <w:rsid w:val="00584715"/>
    <w:rsid w:val="00584D4D"/>
    <w:rsid w:val="00584F9E"/>
    <w:rsid w:val="0058610B"/>
    <w:rsid w:val="005869AC"/>
    <w:rsid w:val="005874A6"/>
    <w:rsid w:val="005900EF"/>
    <w:rsid w:val="005908ED"/>
    <w:rsid w:val="0059150C"/>
    <w:rsid w:val="00592986"/>
    <w:rsid w:val="00593046"/>
    <w:rsid w:val="00593345"/>
    <w:rsid w:val="005936C9"/>
    <w:rsid w:val="00593BE8"/>
    <w:rsid w:val="00595B0E"/>
    <w:rsid w:val="00595D30"/>
    <w:rsid w:val="00596725"/>
    <w:rsid w:val="00596746"/>
    <w:rsid w:val="00597217"/>
    <w:rsid w:val="00597734"/>
    <w:rsid w:val="005A009B"/>
    <w:rsid w:val="005A0428"/>
    <w:rsid w:val="005A058B"/>
    <w:rsid w:val="005A0C86"/>
    <w:rsid w:val="005A1747"/>
    <w:rsid w:val="005A24FD"/>
    <w:rsid w:val="005A2B21"/>
    <w:rsid w:val="005A2BDC"/>
    <w:rsid w:val="005A2E58"/>
    <w:rsid w:val="005A3719"/>
    <w:rsid w:val="005A4772"/>
    <w:rsid w:val="005A538D"/>
    <w:rsid w:val="005A59F2"/>
    <w:rsid w:val="005A5A73"/>
    <w:rsid w:val="005A6547"/>
    <w:rsid w:val="005A7235"/>
    <w:rsid w:val="005B0069"/>
    <w:rsid w:val="005B0EC4"/>
    <w:rsid w:val="005B11E2"/>
    <w:rsid w:val="005B282F"/>
    <w:rsid w:val="005B2C0C"/>
    <w:rsid w:val="005B41AB"/>
    <w:rsid w:val="005B549C"/>
    <w:rsid w:val="005B553D"/>
    <w:rsid w:val="005B6B2B"/>
    <w:rsid w:val="005B6B50"/>
    <w:rsid w:val="005C0509"/>
    <w:rsid w:val="005C0DDF"/>
    <w:rsid w:val="005C2932"/>
    <w:rsid w:val="005C326A"/>
    <w:rsid w:val="005C3852"/>
    <w:rsid w:val="005C393E"/>
    <w:rsid w:val="005C3D87"/>
    <w:rsid w:val="005C4DD5"/>
    <w:rsid w:val="005C58BA"/>
    <w:rsid w:val="005C5DDC"/>
    <w:rsid w:val="005C627D"/>
    <w:rsid w:val="005C6B5A"/>
    <w:rsid w:val="005C7259"/>
    <w:rsid w:val="005C7FEB"/>
    <w:rsid w:val="005D014B"/>
    <w:rsid w:val="005D06D0"/>
    <w:rsid w:val="005D10A5"/>
    <w:rsid w:val="005D158F"/>
    <w:rsid w:val="005D183A"/>
    <w:rsid w:val="005D1A77"/>
    <w:rsid w:val="005D1EE3"/>
    <w:rsid w:val="005D2015"/>
    <w:rsid w:val="005D3317"/>
    <w:rsid w:val="005D34AC"/>
    <w:rsid w:val="005D37DA"/>
    <w:rsid w:val="005D47E2"/>
    <w:rsid w:val="005D50CB"/>
    <w:rsid w:val="005D5745"/>
    <w:rsid w:val="005D580D"/>
    <w:rsid w:val="005D5A55"/>
    <w:rsid w:val="005D5D46"/>
    <w:rsid w:val="005D6BED"/>
    <w:rsid w:val="005D7D81"/>
    <w:rsid w:val="005E0679"/>
    <w:rsid w:val="005E06AC"/>
    <w:rsid w:val="005E14C9"/>
    <w:rsid w:val="005E1929"/>
    <w:rsid w:val="005E2244"/>
    <w:rsid w:val="005E2C65"/>
    <w:rsid w:val="005E2E09"/>
    <w:rsid w:val="005E31FD"/>
    <w:rsid w:val="005E48B7"/>
    <w:rsid w:val="005E4F58"/>
    <w:rsid w:val="005E4FA8"/>
    <w:rsid w:val="005E68CE"/>
    <w:rsid w:val="005E75B2"/>
    <w:rsid w:val="005F01A5"/>
    <w:rsid w:val="005F0B1C"/>
    <w:rsid w:val="005F0FFC"/>
    <w:rsid w:val="005F130B"/>
    <w:rsid w:val="005F132D"/>
    <w:rsid w:val="005F1F67"/>
    <w:rsid w:val="005F25BE"/>
    <w:rsid w:val="005F28BE"/>
    <w:rsid w:val="005F3072"/>
    <w:rsid w:val="005F47A5"/>
    <w:rsid w:val="005F589C"/>
    <w:rsid w:val="005F5D7D"/>
    <w:rsid w:val="005F5FE0"/>
    <w:rsid w:val="005F646B"/>
    <w:rsid w:val="005F6947"/>
    <w:rsid w:val="005F6986"/>
    <w:rsid w:val="005F7335"/>
    <w:rsid w:val="005F7491"/>
    <w:rsid w:val="005F7EC8"/>
    <w:rsid w:val="006002A2"/>
    <w:rsid w:val="00601257"/>
    <w:rsid w:val="00601700"/>
    <w:rsid w:val="00601D0A"/>
    <w:rsid w:val="00602FD9"/>
    <w:rsid w:val="0060370C"/>
    <w:rsid w:val="006038C5"/>
    <w:rsid w:val="00604BA0"/>
    <w:rsid w:val="00604EC8"/>
    <w:rsid w:val="00604FD2"/>
    <w:rsid w:val="00605BB1"/>
    <w:rsid w:val="006061AE"/>
    <w:rsid w:val="006063B3"/>
    <w:rsid w:val="006069BD"/>
    <w:rsid w:val="006102A7"/>
    <w:rsid w:val="00610D3F"/>
    <w:rsid w:val="006110E5"/>
    <w:rsid w:val="006114F3"/>
    <w:rsid w:val="006116C4"/>
    <w:rsid w:val="006122A1"/>
    <w:rsid w:val="00612349"/>
    <w:rsid w:val="0061273E"/>
    <w:rsid w:val="006128BE"/>
    <w:rsid w:val="006128F6"/>
    <w:rsid w:val="00612D83"/>
    <w:rsid w:val="0061300E"/>
    <w:rsid w:val="006131AA"/>
    <w:rsid w:val="0061380B"/>
    <w:rsid w:val="00613839"/>
    <w:rsid w:val="00613A04"/>
    <w:rsid w:val="0061483C"/>
    <w:rsid w:val="00614938"/>
    <w:rsid w:val="00615053"/>
    <w:rsid w:val="00615C5F"/>
    <w:rsid w:val="006164D6"/>
    <w:rsid w:val="00620C98"/>
    <w:rsid w:val="006227AF"/>
    <w:rsid w:val="006234DD"/>
    <w:rsid w:val="00624471"/>
    <w:rsid w:val="00624EB9"/>
    <w:rsid w:val="0062547A"/>
    <w:rsid w:val="0062762C"/>
    <w:rsid w:val="006277A8"/>
    <w:rsid w:val="00630252"/>
    <w:rsid w:val="00631BA0"/>
    <w:rsid w:val="00631C16"/>
    <w:rsid w:val="00633B95"/>
    <w:rsid w:val="00633DC4"/>
    <w:rsid w:val="0063444F"/>
    <w:rsid w:val="006349A3"/>
    <w:rsid w:val="00635263"/>
    <w:rsid w:val="0063528E"/>
    <w:rsid w:val="006361BB"/>
    <w:rsid w:val="00636976"/>
    <w:rsid w:val="006376E6"/>
    <w:rsid w:val="00637D20"/>
    <w:rsid w:val="00637D7B"/>
    <w:rsid w:val="00637DA5"/>
    <w:rsid w:val="00637ED3"/>
    <w:rsid w:val="00640063"/>
    <w:rsid w:val="0064059E"/>
    <w:rsid w:val="006405C6"/>
    <w:rsid w:val="00640C22"/>
    <w:rsid w:val="00642DA8"/>
    <w:rsid w:val="00643C48"/>
    <w:rsid w:val="00643CB7"/>
    <w:rsid w:val="00643CF5"/>
    <w:rsid w:val="00644577"/>
    <w:rsid w:val="006445CC"/>
    <w:rsid w:val="006445E5"/>
    <w:rsid w:val="006459B0"/>
    <w:rsid w:val="00645E6A"/>
    <w:rsid w:val="006462C9"/>
    <w:rsid w:val="00646719"/>
    <w:rsid w:val="00646FC8"/>
    <w:rsid w:val="00647198"/>
    <w:rsid w:val="00647264"/>
    <w:rsid w:val="00647514"/>
    <w:rsid w:val="00650DE6"/>
    <w:rsid w:val="00650E4C"/>
    <w:rsid w:val="006512E0"/>
    <w:rsid w:val="0065188D"/>
    <w:rsid w:val="0065214D"/>
    <w:rsid w:val="00652A8F"/>
    <w:rsid w:val="00652D7A"/>
    <w:rsid w:val="00652D90"/>
    <w:rsid w:val="00652DA8"/>
    <w:rsid w:val="006533C1"/>
    <w:rsid w:val="00654E61"/>
    <w:rsid w:val="00655604"/>
    <w:rsid w:val="006571CF"/>
    <w:rsid w:val="0065742D"/>
    <w:rsid w:val="00657790"/>
    <w:rsid w:val="006613DA"/>
    <w:rsid w:val="00661429"/>
    <w:rsid w:val="00662014"/>
    <w:rsid w:val="00662406"/>
    <w:rsid w:val="00662697"/>
    <w:rsid w:val="006629A8"/>
    <w:rsid w:val="0066303A"/>
    <w:rsid w:val="00663DCC"/>
    <w:rsid w:val="0066443A"/>
    <w:rsid w:val="0066501E"/>
    <w:rsid w:val="00665ACE"/>
    <w:rsid w:val="00666036"/>
    <w:rsid w:val="00666EDB"/>
    <w:rsid w:val="00667B05"/>
    <w:rsid w:val="006701DD"/>
    <w:rsid w:val="0067039C"/>
    <w:rsid w:val="00671D3D"/>
    <w:rsid w:val="00671DB2"/>
    <w:rsid w:val="00672917"/>
    <w:rsid w:val="00672CF3"/>
    <w:rsid w:val="00673244"/>
    <w:rsid w:val="00673CAB"/>
    <w:rsid w:val="00674591"/>
    <w:rsid w:val="00674E80"/>
    <w:rsid w:val="006757D1"/>
    <w:rsid w:val="00675E84"/>
    <w:rsid w:val="00675F24"/>
    <w:rsid w:val="0067645C"/>
    <w:rsid w:val="006767C6"/>
    <w:rsid w:val="00676A07"/>
    <w:rsid w:val="00676BD4"/>
    <w:rsid w:val="00676FC0"/>
    <w:rsid w:val="006772FC"/>
    <w:rsid w:val="00680CD0"/>
    <w:rsid w:val="00680D1B"/>
    <w:rsid w:val="00681D1B"/>
    <w:rsid w:val="00682161"/>
    <w:rsid w:val="006823F6"/>
    <w:rsid w:val="00682560"/>
    <w:rsid w:val="00682930"/>
    <w:rsid w:val="006829C5"/>
    <w:rsid w:val="00684AB9"/>
    <w:rsid w:val="00684B82"/>
    <w:rsid w:val="006854F0"/>
    <w:rsid w:val="00686AB5"/>
    <w:rsid w:val="00687268"/>
    <w:rsid w:val="00687338"/>
    <w:rsid w:val="00687382"/>
    <w:rsid w:val="00687700"/>
    <w:rsid w:val="0069132A"/>
    <w:rsid w:val="006913F1"/>
    <w:rsid w:val="00691A8E"/>
    <w:rsid w:val="0069240F"/>
    <w:rsid w:val="00692A94"/>
    <w:rsid w:val="00692CDE"/>
    <w:rsid w:val="0069431C"/>
    <w:rsid w:val="00694351"/>
    <w:rsid w:val="006943FC"/>
    <w:rsid w:val="00694F78"/>
    <w:rsid w:val="00695C49"/>
    <w:rsid w:val="00695D7E"/>
    <w:rsid w:val="0069665F"/>
    <w:rsid w:val="006977F5"/>
    <w:rsid w:val="00697963"/>
    <w:rsid w:val="00697C7E"/>
    <w:rsid w:val="00697EF5"/>
    <w:rsid w:val="006A086B"/>
    <w:rsid w:val="006A0F09"/>
    <w:rsid w:val="006A173B"/>
    <w:rsid w:val="006A4B1D"/>
    <w:rsid w:val="006A4D39"/>
    <w:rsid w:val="006A4E97"/>
    <w:rsid w:val="006A60F3"/>
    <w:rsid w:val="006A69AF"/>
    <w:rsid w:val="006A79AA"/>
    <w:rsid w:val="006A7E80"/>
    <w:rsid w:val="006B0DB4"/>
    <w:rsid w:val="006B30E2"/>
    <w:rsid w:val="006B336B"/>
    <w:rsid w:val="006B377F"/>
    <w:rsid w:val="006B3A4B"/>
    <w:rsid w:val="006B4B47"/>
    <w:rsid w:val="006B4B5E"/>
    <w:rsid w:val="006B52C3"/>
    <w:rsid w:val="006B6317"/>
    <w:rsid w:val="006B7E79"/>
    <w:rsid w:val="006B7FCD"/>
    <w:rsid w:val="006C00FB"/>
    <w:rsid w:val="006C04D5"/>
    <w:rsid w:val="006C0BBA"/>
    <w:rsid w:val="006C12AF"/>
    <w:rsid w:val="006C1592"/>
    <w:rsid w:val="006C22A7"/>
    <w:rsid w:val="006C37C4"/>
    <w:rsid w:val="006C59BF"/>
    <w:rsid w:val="006C5B41"/>
    <w:rsid w:val="006C62F5"/>
    <w:rsid w:val="006C673C"/>
    <w:rsid w:val="006C6C80"/>
    <w:rsid w:val="006C71AF"/>
    <w:rsid w:val="006C7AAB"/>
    <w:rsid w:val="006D0627"/>
    <w:rsid w:val="006D0B77"/>
    <w:rsid w:val="006D2913"/>
    <w:rsid w:val="006D33CD"/>
    <w:rsid w:val="006D413A"/>
    <w:rsid w:val="006D4A3A"/>
    <w:rsid w:val="006D4BED"/>
    <w:rsid w:val="006D4DF1"/>
    <w:rsid w:val="006D4EF4"/>
    <w:rsid w:val="006D5028"/>
    <w:rsid w:val="006D557A"/>
    <w:rsid w:val="006D5CCF"/>
    <w:rsid w:val="006D62FD"/>
    <w:rsid w:val="006D6969"/>
    <w:rsid w:val="006D6D01"/>
    <w:rsid w:val="006D737E"/>
    <w:rsid w:val="006D7E08"/>
    <w:rsid w:val="006D7E1D"/>
    <w:rsid w:val="006D7FE4"/>
    <w:rsid w:val="006E0A7A"/>
    <w:rsid w:val="006E1226"/>
    <w:rsid w:val="006E2367"/>
    <w:rsid w:val="006E24AD"/>
    <w:rsid w:val="006E288B"/>
    <w:rsid w:val="006E2B5D"/>
    <w:rsid w:val="006E2F78"/>
    <w:rsid w:val="006E3131"/>
    <w:rsid w:val="006E35C4"/>
    <w:rsid w:val="006E41AC"/>
    <w:rsid w:val="006E4427"/>
    <w:rsid w:val="006E4695"/>
    <w:rsid w:val="006E4A3F"/>
    <w:rsid w:val="006E5038"/>
    <w:rsid w:val="006E5C43"/>
    <w:rsid w:val="006E74A7"/>
    <w:rsid w:val="006E767B"/>
    <w:rsid w:val="006F2BDE"/>
    <w:rsid w:val="006F305D"/>
    <w:rsid w:val="006F3644"/>
    <w:rsid w:val="006F37B4"/>
    <w:rsid w:val="006F3D73"/>
    <w:rsid w:val="006F3F19"/>
    <w:rsid w:val="006F41A8"/>
    <w:rsid w:val="006F4498"/>
    <w:rsid w:val="006F6093"/>
    <w:rsid w:val="006F6E21"/>
    <w:rsid w:val="006F6E93"/>
    <w:rsid w:val="006F7E0C"/>
    <w:rsid w:val="00700C84"/>
    <w:rsid w:val="00700CBB"/>
    <w:rsid w:val="00700CC8"/>
    <w:rsid w:val="00701ECA"/>
    <w:rsid w:val="007029F0"/>
    <w:rsid w:val="00703BF2"/>
    <w:rsid w:val="00704265"/>
    <w:rsid w:val="0070487D"/>
    <w:rsid w:val="00705246"/>
    <w:rsid w:val="00705651"/>
    <w:rsid w:val="00705A6E"/>
    <w:rsid w:val="0070603A"/>
    <w:rsid w:val="00706785"/>
    <w:rsid w:val="007076D5"/>
    <w:rsid w:val="00710210"/>
    <w:rsid w:val="007106B8"/>
    <w:rsid w:val="007108EC"/>
    <w:rsid w:val="00710FE7"/>
    <w:rsid w:val="00711104"/>
    <w:rsid w:val="007114D6"/>
    <w:rsid w:val="00711C53"/>
    <w:rsid w:val="00711E11"/>
    <w:rsid w:val="00712734"/>
    <w:rsid w:val="00713C40"/>
    <w:rsid w:val="00713EAE"/>
    <w:rsid w:val="007145AA"/>
    <w:rsid w:val="007150CB"/>
    <w:rsid w:val="00715B20"/>
    <w:rsid w:val="00716B31"/>
    <w:rsid w:val="00717383"/>
    <w:rsid w:val="00717A4C"/>
    <w:rsid w:val="0072042A"/>
    <w:rsid w:val="007209AF"/>
    <w:rsid w:val="007219DE"/>
    <w:rsid w:val="00721ABF"/>
    <w:rsid w:val="00721DDD"/>
    <w:rsid w:val="00722238"/>
    <w:rsid w:val="00722DB3"/>
    <w:rsid w:val="00723463"/>
    <w:rsid w:val="007234C5"/>
    <w:rsid w:val="00723CD9"/>
    <w:rsid w:val="007241C2"/>
    <w:rsid w:val="00724C86"/>
    <w:rsid w:val="007259A2"/>
    <w:rsid w:val="00725BCD"/>
    <w:rsid w:val="00725E7D"/>
    <w:rsid w:val="007261AD"/>
    <w:rsid w:val="007262F8"/>
    <w:rsid w:val="00726A72"/>
    <w:rsid w:val="00726B54"/>
    <w:rsid w:val="00726DB9"/>
    <w:rsid w:val="007300DB"/>
    <w:rsid w:val="00730960"/>
    <w:rsid w:val="00730AED"/>
    <w:rsid w:val="00730E6D"/>
    <w:rsid w:val="00731BCF"/>
    <w:rsid w:val="0073276E"/>
    <w:rsid w:val="00732CC1"/>
    <w:rsid w:val="00733976"/>
    <w:rsid w:val="00733BE6"/>
    <w:rsid w:val="00733F09"/>
    <w:rsid w:val="00734DFE"/>
    <w:rsid w:val="00734FC9"/>
    <w:rsid w:val="00735462"/>
    <w:rsid w:val="007363DF"/>
    <w:rsid w:val="00736DE0"/>
    <w:rsid w:val="0073718B"/>
    <w:rsid w:val="007404D6"/>
    <w:rsid w:val="00741D59"/>
    <w:rsid w:val="007422B4"/>
    <w:rsid w:val="00742FBE"/>
    <w:rsid w:val="00743814"/>
    <w:rsid w:val="00744690"/>
    <w:rsid w:val="00745F44"/>
    <w:rsid w:val="007460F5"/>
    <w:rsid w:val="00747215"/>
    <w:rsid w:val="0075014B"/>
    <w:rsid w:val="00751430"/>
    <w:rsid w:val="00751A92"/>
    <w:rsid w:val="00751B04"/>
    <w:rsid w:val="00751FB3"/>
    <w:rsid w:val="00752170"/>
    <w:rsid w:val="00752E68"/>
    <w:rsid w:val="0075489B"/>
    <w:rsid w:val="0075542B"/>
    <w:rsid w:val="00755BB2"/>
    <w:rsid w:val="00755D62"/>
    <w:rsid w:val="0075615F"/>
    <w:rsid w:val="00756577"/>
    <w:rsid w:val="0075659A"/>
    <w:rsid w:val="007574B5"/>
    <w:rsid w:val="007577CE"/>
    <w:rsid w:val="00757FDC"/>
    <w:rsid w:val="00760776"/>
    <w:rsid w:val="0076138A"/>
    <w:rsid w:val="00761425"/>
    <w:rsid w:val="0076157B"/>
    <w:rsid w:val="00762140"/>
    <w:rsid w:val="00762203"/>
    <w:rsid w:val="0076265B"/>
    <w:rsid w:val="00763C29"/>
    <w:rsid w:val="00763DF7"/>
    <w:rsid w:val="00763F9C"/>
    <w:rsid w:val="0076589A"/>
    <w:rsid w:val="00765E81"/>
    <w:rsid w:val="00767DC2"/>
    <w:rsid w:val="00770331"/>
    <w:rsid w:val="00770A56"/>
    <w:rsid w:val="00771009"/>
    <w:rsid w:val="00771771"/>
    <w:rsid w:val="00771787"/>
    <w:rsid w:val="007720AD"/>
    <w:rsid w:val="00773C59"/>
    <w:rsid w:val="007753CF"/>
    <w:rsid w:val="0077544E"/>
    <w:rsid w:val="0077674B"/>
    <w:rsid w:val="00776889"/>
    <w:rsid w:val="007771FD"/>
    <w:rsid w:val="00777AE1"/>
    <w:rsid w:val="007805F2"/>
    <w:rsid w:val="00780629"/>
    <w:rsid w:val="00780D0A"/>
    <w:rsid w:val="00781737"/>
    <w:rsid w:val="00781A3C"/>
    <w:rsid w:val="00781B16"/>
    <w:rsid w:val="00781D55"/>
    <w:rsid w:val="00781F49"/>
    <w:rsid w:val="007829D2"/>
    <w:rsid w:val="00782A98"/>
    <w:rsid w:val="00783EEF"/>
    <w:rsid w:val="00784CF9"/>
    <w:rsid w:val="007852B7"/>
    <w:rsid w:val="00785B5F"/>
    <w:rsid w:val="007865B2"/>
    <w:rsid w:val="00786A9E"/>
    <w:rsid w:val="00786D6F"/>
    <w:rsid w:val="00787FAA"/>
    <w:rsid w:val="007901F7"/>
    <w:rsid w:val="00790648"/>
    <w:rsid w:val="00790FFF"/>
    <w:rsid w:val="007910B6"/>
    <w:rsid w:val="0079126A"/>
    <w:rsid w:val="007915A2"/>
    <w:rsid w:val="007915EE"/>
    <w:rsid w:val="00791704"/>
    <w:rsid w:val="00791878"/>
    <w:rsid w:val="007923BC"/>
    <w:rsid w:val="00793230"/>
    <w:rsid w:val="00793671"/>
    <w:rsid w:val="007938D1"/>
    <w:rsid w:val="00793965"/>
    <w:rsid w:val="00793B77"/>
    <w:rsid w:val="0079526E"/>
    <w:rsid w:val="007959CB"/>
    <w:rsid w:val="00795C99"/>
    <w:rsid w:val="00796919"/>
    <w:rsid w:val="00796EE9"/>
    <w:rsid w:val="00797391"/>
    <w:rsid w:val="007975F0"/>
    <w:rsid w:val="00797D47"/>
    <w:rsid w:val="00797EEB"/>
    <w:rsid w:val="007A099A"/>
    <w:rsid w:val="007A0ACE"/>
    <w:rsid w:val="007A205E"/>
    <w:rsid w:val="007A3D76"/>
    <w:rsid w:val="007A4432"/>
    <w:rsid w:val="007A4A89"/>
    <w:rsid w:val="007A4D40"/>
    <w:rsid w:val="007A5582"/>
    <w:rsid w:val="007A61A6"/>
    <w:rsid w:val="007A689E"/>
    <w:rsid w:val="007A68F1"/>
    <w:rsid w:val="007A71E6"/>
    <w:rsid w:val="007A779F"/>
    <w:rsid w:val="007A786D"/>
    <w:rsid w:val="007B00B9"/>
    <w:rsid w:val="007B0153"/>
    <w:rsid w:val="007B1A59"/>
    <w:rsid w:val="007B1F47"/>
    <w:rsid w:val="007B25C7"/>
    <w:rsid w:val="007B368D"/>
    <w:rsid w:val="007B4AC0"/>
    <w:rsid w:val="007B4B33"/>
    <w:rsid w:val="007B4DDB"/>
    <w:rsid w:val="007B5264"/>
    <w:rsid w:val="007B551A"/>
    <w:rsid w:val="007B607D"/>
    <w:rsid w:val="007B69EA"/>
    <w:rsid w:val="007B703C"/>
    <w:rsid w:val="007B71DC"/>
    <w:rsid w:val="007B7A24"/>
    <w:rsid w:val="007C16DF"/>
    <w:rsid w:val="007C176D"/>
    <w:rsid w:val="007C20B5"/>
    <w:rsid w:val="007C229A"/>
    <w:rsid w:val="007C34D5"/>
    <w:rsid w:val="007C3517"/>
    <w:rsid w:val="007C36E7"/>
    <w:rsid w:val="007C4182"/>
    <w:rsid w:val="007C45F9"/>
    <w:rsid w:val="007C53B3"/>
    <w:rsid w:val="007C66DE"/>
    <w:rsid w:val="007C7527"/>
    <w:rsid w:val="007C7B7D"/>
    <w:rsid w:val="007D0E2B"/>
    <w:rsid w:val="007D1027"/>
    <w:rsid w:val="007D1B5B"/>
    <w:rsid w:val="007D1C54"/>
    <w:rsid w:val="007D20FB"/>
    <w:rsid w:val="007D32E6"/>
    <w:rsid w:val="007D383E"/>
    <w:rsid w:val="007D393D"/>
    <w:rsid w:val="007D4300"/>
    <w:rsid w:val="007D4DD4"/>
    <w:rsid w:val="007D4F94"/>
    <w:rsid w:val="007D61B1"/>
    <w:rsid w:val="007D660F"/>
    <w:rsid w:val="007D67E3"/>
    <w:rsid w:val="007D6F85"/>
    <w:rsid w:val="007D7A96"/>
    <w:rsid w:val="007E05A4"/>
    <w:rsid w:val="007E074B"/>
    <w:rsid w:val="007E1918"/>
    <w:rsid w:val="007E1952"/>
    <w:rsid w:val="007E2BF5"/>
    <w:rsid w:val="007E348B"/>
    <w:rsid w:val="007E3A3B"/>
    <w:rsid w:val="007E3E32"/>
    <w:rsid w:val="007E40AB"/>
    <w:rsid w:val="007E44EE"/>
    <w:rsid w:val="007E5044"/>
    <w:rsid w:val="007E555E"/>
    <w:rsid w:val="007E562A"/>
    <w:rsid w:val="007E6938"/>
    <w:rsid w:val="007E6970"/>
    <w:rsid w:val="007E6E65"/>
    <w:rsid w:val="007E74E3"/>
    <w:rsid w:val="007E7C1F"/>
    <w:rsid w:val="007E7DA2"/>
    <w:rsid w:val="007E7E34"/>
    <w:rsid w:val="007F0E86"/>
    <w:rsid w:val="007F0FBA"/>
    <w:rsid w:val="007F2AA9"/>
    <w:rsid w:val="007F336D"/>
    <w:rsid w:val="007F33DA"/>
    <w:rsid w:val="007F36B9"/>
    <w:rsid w:val="007F3A61"/>
    <w:rsid w:val="007F48AF"/>
    <w:rsid w:val="007F4D27"/>
    <w:rsid w:val="007F5986"/>
    <w:rsid w:val="007F5C77"/>
    <w:rsid w:val="007F5C87"/>
    <w:rsid w:val="007F5F9D"/>
    <w:rsid w:val="007F609F"/>
    <w:rsid w:val="007F661C"/>
    <w:rsid w:val="007F6883"/>
    <w:rsid w:val="007F6901"/>
    <w:rsid w:val="008008BE"/>
    <w:rsid w:val="00800E68"/>
    <w:rsid w:val="00801D65"/>
    <w:rsid w:val="00802607"/>
    <w:rsid w:val="00802639"/>
    <w:rsid w:val="00803A94"/>
    <w:rsid w:val="00803C3A"/>
    <w:rsid w:val="00803CE6"/>
    <w:rsid w:val="00804097"/>
    <w:rsid w:val="008048C8"/>
    <w:rsid w:val="00805FC2"/>
    <w:rsid w:val="00806985"/>
    <w:rsid w:val="0080752D"/>
    <w:rsid w:val="00807AE2"/>
    <w:rsid w:val="00807B6E"/>
    <w:rsid w:val="00810264"/>
    <w:rsid w:val="008108CA"/>
    <w:rsid w:val="00810D8A"/>
    <w:rsid w:val="008116BC"/>
    <w:rsid w:val="00811871"/>
    <w:rsid w:val="00812864"/>
    <w:rsid w:val="00812B0A"/>
    <w:rsid w:val="00812D00"/>
    <w:rsid w:val="0081483E"/>
    <w:rsid w:val="008150B1"/>
    <w:rsid w:val="008166C8"/>
    <w:rsid w:val="00816E2E"/>
    <w:rsid w:val="00816F26"/>
    <w:rsid w:val="00816FF6"/>
    <w:rsid w:val="00817EF5"/>
    <w:rsid w:val="008203E0"/>
    <w:rsid w:val="0082090B"/>
    <w:rsid w:val="00821ACB"/>
    <w:rsid w:val="008227F2"/>
    <w:rsid w:val="00822987"/>
    <w:rsid w:val="0082362A"/>
    <w:rsid w:val="00823726"/>
    <w:rsid w:val="008244AE"/>
    <w:rsid w:val="008252E9"/>
    <w:rsid w:val="0082537A"/>
    <w:rsid w:val="0082549C"/>
    <w:rsid w:val="0082587C"/>
    <w:rsid w:val="008259C7"/>
    <w:rsid w:val="00825A5B"/>
    <w:rsid w:val="0082639B"/>
    <w:rsid w:val="00826A6F"/>
    <w:rsid w:val="00830452"/>
    <w:rsid w:val="008309AD"/>
    <w:rsid w:val="00830C5B"/>
    <w:rsid w:val="00831FAB"/>
    <w:rsid w:val="00832139"/>
    <w:rsid w:val="008321EE"/>
    <w:rsid w:val="00832A93"/>
    <w:rsid w:val="00832E7E"/>
    <w:rsid w:val="00832F42"/>
    <w:rsid w:val="00833366"/>
    <w:rsid w:val="0083491E"/>
    <w:rsid w:val="0083546C"/>
    <w:rsid w:val="0083563D"/>
    <w:rsid w:val="008357F6"/>
    <w:rsid w:val="00835F06"/>
    <w:rsid w:val="00836EBD"/>
    <w:rsid w:val="00837050"/>
    <w:rsid w:val="00837A50"/>
    <w:rsid w:val="00837F5E"/>
    <w:rsid w:val="008404D6"/>
    <w:rsid w:val="00840580"/>
    <w:rsid w:val="0084120B"/>
    <w:rsid w:val="008419D5"/>
    <w:rsid w:val="00842F88"/>
    <w:rsid w:val="00843580"/>
    <w:rsid w:val="008439C8"/>
    <w:rsid w:val="00843B34"/>
    <w:rsid w:val="00844550"/>
    <w:rsid w:val="00844DBE"/>
    <w:rsid w:val="00845918"/>
    <w:rsid w:val="00846971"/>
    <w:rsid w:val="00847558"/>
    <w:rsid w:val="008478C0"/>
    <w:rsid w:val="00847BAC"/>
    <w:rsid w:val="00847F80"/>
    <w:rsid w:val="0085034E"/>
    <w:rsid w:val="00850393"/>
    <w:rsid w:val="0085152E"/>
    <w:rsid w:val="00852A66"/>
    <w:rsid w:val="00853438"/>
    <w:rsid w:val="00853938"/>
    <w:rsid w:val="00853F26"/>
    <w:rsid w:val="008546E0"/>
    <w:rsid w:val="00854BF6"/>
    <w:rsid w:val="00854CF9"/>
    <w:rsid w:val="00855182"/>
    <w:rsid w:val="00855575"/>
    <w:rsid w:val="008555B4"/>
    <w:rsid w:val="00855BDA"/>
    <w:rsid w:val="008563EB"/>
    <w:rsid w:val="00856771"/>
    <w:rsid w:val="008572B2"/>
    <w:rsid w:val="00857B2B"/>
    <w:rsid w:val="0086035E"/>
    <w:rsid w:val="008606C7"/>
    <w:rsid w:val="00860794"/>
    <w:rsid w:val="00860ACA"/>
    <w:rsid w:val="008610C6"/>
    <w:rsid w:val="0086158B"/>
    <w:rsid w:val="0086196C"/>
    <w:rsid w:val="00862D66"/>
    <w:rsid w:val="00862ED1"/>
    <w:rsid w:val="008630E3"/>
    <w:rsid w:val="008630E5"/>
    <w:rsid w:val="008640D2"/>
    <w:rsid w:val="00864404"/>
    <w:rsid w:val="00864684"/>
    <w:rsid w:val="0086666B"/>
    <w:rsid w:val="00866B6B"/>
    <w:rsid w:val="00866CDD"/>
    <w:rsid w:val="008704A4"/>
    <w:rsid w:val="00871151"/>
    <w:rsid w:val="008712BB"/>
    <w:rsid w:val="008718E4"/>
    <w:rsid w:val="008721BF"/>
    <w:rsid w:val="008723D8"/>
    <w:rsid w:val="00872A6C"/>
    <w:rsid w:val="00873FCE"/>
    <w:rsid w:val="008760CB"/>
    <w:rsid w:val="00876913"/>
    <w:rsid w:val="00876A62"/>
    <w:rsid w:val="00876C96"/>
    <w:rsid w:val="008807D5"/>
    <w:rsid w:val="00880EE2"/>
    <w:rsid w:val="008813F0"/>
    <w:rsid w:val="00881799"/>
    <w:rsid w:val="00881E4B"/>
    <w:rsid w:val="008820A9"/>
    <w:rsid w:val="00882233"/>
    <w:rsid w:val="00883018"/>
    <w:rsid w:val="0088309F"/>
    <w:rsid w:val="008837DC"/>
    <w:rsid w:val="00883A50"/>
    <w:rsid w:val="0088464E"/>
    <w:rsid w:val="00884A59"/>
    <w:rsid w:val="00885A5A"/>
    <w:rsid w:val="00885EC9"/>
    <w:rsid w:val="00885F8A"/>
    <w:rsid w:val="0088604F"/>
    <w:rsid w:val="008861AD"/>
    <w:rsid w:val="00886344"/>
    <w:rsid w:val="00887D02"/>
    <w:rsid w:val="008902A4"/>
    <w:rsid w:val="00890404"/>
    <w:rsid w:val="00891149"/>
    <w:rsid w:val="008911B2"/>
    <w:rsid w:val="00891391"/>
    <w:rsid w:val="0089291F"/>
    <w:rsid w:val="00893207"/>
    <w:rsid w:val="00894C05"/>
    <w:rsid w:val="00894C50"/>
    <w:rsid w:val="00896495"/>
    <w:rsid w:val="008966F0"/>
    <w:rsid w:val="00896C16"/>
    <w:rsid w:val="008974E7"/>
    <w:rsid w:val="00897630"/>
    <w:rsid w:val="00897B7E"/>
    <w:rsid w:val="00897B9F"/>
    <w:rsid w:val="008A0B24"/>
    <w:rsid w:val="008A1483"/>
    <w:rsid w:val="008A15D6"/>
    <w:rsid w:val="008A287F"/>
    <w:rsid w:val="008A2BE9"/>
    <w:rsid w:val="008A2D5D"/>
    <w:rsid w:val="008A388E"/>
    <w:rsid w:val="008A4801"/>
    <w:rsid w:val="008A514D"/>
    <w:rsid w:val="008A5CD1"/>
    <w:rsid w:val="008A7368"/>
    <w:rsid w:val="008B0437"/>
    <w:rsid w:val="008B05C4"/>
    <w:rsid w:val="008B07E8"/>
    <w:rsid w:val="008B09BC"/>
    <w:rsid w:val="008B0E44"/>
    <w:rsid w:val="008B14B9"/>
    <w:rsid w:val="008B1905"/>
    <w:rsid w:val="008B1A55"/>
    <w:rsid w:val="008B28C8"/>
    <w:rsid w:val="008B2C65"/>
    <w:rsid w:val="008B3465"/>
    <w:rsid w:val="008B3DEF"/>
    <w:rsid w:val="008B3E15"/>
    <w:rsid w:val="008B4CC8"/>
    <w:rsid w:val="008B4D1F"/>
    <w:rsid w:val="008B4E6D"/>
    <w:rsid w:val="008B4FD4"/>
    <w:rsid w:val="008B5530"/>
    <w:rsid w:val="008B7636"/>
    <w:rsid w:val="008B7887"/>
    <w:rsid w:val="008C125E"/>
    <w:rsid w:val="008C1EF4"/>
    <w:rsid w:val="008C30BE"/>
    <w:rsid w:val="008C3356"/>
    <w:rsid w:val="008C410F"/>
    <w:rsid w:val="008C4CAB"/>
    <w:rsid w:val="008C534A"/>
    <w:rsid w:val="008C5C1C"/>
    <w:rsid w:val="008C5F1B"/>
    <w:rsid w:val="008C6FB5"/>
    <w:rsid w:val="008C6FEA"/>
    <w:rsid w:val="008D021A"/>
    <w:rsid w:val="008D075C"/>
    <w:rsid w:val="008D157C"/>
    <w:rsid w:val="008D37F2"/>
    <w:rsid w:val="008D3A28"/>
    <w:rsid w:val="008D542F"/>
    <w:rsid w:val="008D5817"/>
    <w:rsid w:val="008D5EF8"/>
    <w:rsid w:val="008D6452"/>
    <w:rsid w:val="008D6AC4"/>
    <w:rsid w:val="008D6E84"/>
    <w:rsid w:val="008D7247"/>
    <w:rsid w:val="008D7C77"/>
    <w:rsid w:val="008E13D7"/>
    <w:rsid w:val="008E2720"/>
    <w:rsid w:val="008E2F69"/>
    <w:rsid w:val="008E313C"/>
    <w:rsid w:val="008E4495"/>
    <w:rsid w:val="008E4B68"/>
    <w:rsid w:val="008E4BF2"/>
    <w:rsid w:val="008E5D6D"/>
    <w:rsid w:val="008E5EFC"/>
    <w:rsid w:val="008E6073"/>
    <w:rsid w:val="008E7019"/>
    <w:rsid w:val="008E77E3"/>
    <w:rsid w:val="008F0481"/>
    <w:rsid w:val="008F0909"/>
    <w:rsid w:val="008F13C1"/>
    <w:rsid w:val="008F18C4"/>
    <w:rsid w:val="008F1A32"/>
    <w:rsid w:val="008F1F58"/>
    <w:rsid w:val="008F2825"/>
    <w:rsid w:val="008F38AC"/>
    <w:rsid w:val="008F3C8B"/>
    <w:rsid w:val="008F4289"/>
    <w:rsid w:val="008F45C9"/>
    <w:rsid w:val="008F4E2D"/>
    <w:rsid w:val="008F5907"/>
    <w:rsid w:val="008F683E"/>
    <w:rsid w:val="008F6B33"/>
    <w:rsid w:val="009006D2"/>
    <w:rsid w:val="009007F1"/>
    <w:rsid w:val="00900BA4"/>
    <w:rsid w:val="0090161F"/>
    <w:rsid w:val="0090209B"/>
    <w:rsid w:val="00903BD9"/>
    <w:rsid w:val="0090408C"/>
    <w:rsid w:val="00904451"/>
    <w:rsid w:val="00904B46"/>
    <w:rsid w:val="009062CC"/>
    <w:rsid w:val="00907630"/>
    <w:rsid w:val="00907C0A"/>
    <w:rsid w:val="00910F63"/>
    <w:rsid w:val="0091116D"/>
    <w:rsid w:val="00912580"/>
    <w:rsid w:val="00912E1A"/>
    <w:rsid w:val="00912F65"/>
    <w:rsid w:val="0091300D"/>
    <w:rsid w:val="00913150"/>
    <w:rsid w:val="00913539"/>
    <w:rsid w:val="00913A54"/>
    <w:rsid w:val="009140EF"/>
    <w:rsid w:val="00914157"/>
    <w:rsid w:val="0091536B"/>
    <w:rsid w:val="00920D75"/>
    <w:rsid w:val="009214F3"/>
    <w:rsid w:val="00921826"/>
    <w:rsid w:val="0092274B"/>
    <w:rsid w:val="00922A6E"/>
    <w:rsid w:val="00922C8F"/>
    <w:rsid w:val="009232E8"/>
    <w:rsid w:val="009244DD"/>
    <w:rsid w:val="0092489D"/>
    <w:rsid w:val="00924B50"/>
    <w:rsid w:val="00924BD5"/>
    <w:rsid w:val="00924CB5"/>
    <w:rsid w:val="00925932"/>
    <w:rsid w:val="00925A6F"/>
    <w:rsid w:val="00925E0B"/>
    <w:rsid w:val="009261B1"/>
    <w:rsid w:val="00926284"/>
    <w:rsid w:val="0092668F"/>
    <w:rsid w:val="009279AE"/>
    <w:rsid w:val="0093017B"/>
    <w:rsid w:val="00931DED"/>
    <w:rsid w:val="00932851"/>
    <w:rsid w:val="009330CA"/>
    <w:rsid w:val="009341B0"/>
    <w:rsid w:val="00935354"/>
    <w:rsid w:val="0093612D"/>
    <w:rsid w:val="0093656E"/>
    <w:rsid w:val="009373B8"/>
    <w:rsid w:val="00937B2E"/>
    <w:rsid w:val="00937F96"/>
    <w:rsid w:val="0094044E"/>
    <w:rsid w:val="0094288E"/>
    <w:rsid w:val="009428D8"/>
    <w:rsid w:val="009435F8"/>
    <w:rsid w:val="00943EE6"/>
    <w:rsid w:val="00943FF4"/>
    <w:rsid w:val="00945697"/>
    <w:rsid w:val="00945F5D"/>
    <w:rsid w:val="0094632D"/>
    <w:rsid w:val="009463BC"/>
    <w:rsid w:val="009472CC"/>
    <w:rsid w:val="00947BB0"/>
    <w:rsid w:val="00947F72"/>
    <w:rsid w:val="009509B5"/>
    <w:rsid w:val="00950ACE"/>
    <w:rsid w:val="00950D71"/>
    <w:rsid w:val="00951265"/>
    <w:rsid w:val="009516AC"/>
    <w:rsid w:val="00952339"/>
    <w:rsid w:val="00952D3C"/>
    <w:rsid w:val="00952D93"/>
    <w:rsid w:val="00953362"/>
    <w:rsid w:val="00953BD1"/>
    <w:rsid w:val="00954AE3"/>
    <w:rsid w:val="00955139"/>
    <w:rsid w:val="00955275"/>
    <w:rsid w:val="00955984"/>
    <w:rsid w:val="00956099"/>
    <w:rsid w:val="009561AE"/>
    <w:rsid w:val="00956B97"/>
    <w:rsid w:val="00956C0D"/>
    <w:rsid w:val="00957373"/>
    <w:rsid w:val="00957AEA"/>
    <w:rsid w:val="00960975"/>
    <w:rsid w:val="009611AA"/>
    <w:rsid w:val="0096183F"/>
    <w:rsid w:val="00961F0B"/>
    <w:rsid w:val="00963E04"/>
    <w:rsid w:val="009642A2"/>
    <w:rsid w:val="00964558"/>
    <w:rsid w:val="0096504B"/>
    <w:rsid w:val="00965144"/>
    <w:rsid w:val="009660D6"/>
    <w:rsid w:val="00967C16"/>
    <w:rsid w:val="0097020D"/>
    <w:rsid w:val="00971035"/>
    <w:rsid w:val="009724DA"/>
    <w:rsid w:val="0097277B"/>
    <w:rsid w:val="009732EC"/>
    <w:rsid w:val="00973FB0"/>
    <w:rsid w:val="00974C29"/>
    <w:rsid w:val="00974F10"/>
    <w:rsid w:val="00975C3E"/>
    <w:rsid w:val="0097792C"/>
    <w:rsid w:val="00977F31"/>
    <w:rsid w:val="00980512"/>
    <w:rsid w:val="00980AA6"/>
    <w:rsid w:val="009810D4"/>
    <w:rsid w:val="00981259"/>
    <w:rsid w:val="009816CA"/>
    <w:rsid w:val="00981ADA"/>
    <w:rsid w:val="00981BE9"/>
    <w:rsid w:val="0098325D"/>
    <w:rsid w:val="00983D55"/>
    <w:rsid w:val="00984777"/>
    <w:rsid w:val="00984926"/>
    <w:rsid w:val="009850C3"/>
    <w:rsid w:val="00985E93"/>
    <w:rsid w:val="0098608E"/>
    <w:rsid w:val="009866F2"/>
    <w:rsid w:val="0098687C"/>
    <w:rsid w:val="009876D3"/>
    <w:rsid w:val="0098774C"/>
    <w:rsid w:val="0099094D"/>
    <w:rsid w:val="00991CFC"/>
    <w:rsid w:val="009927B9"/>
    <w:rsid w:val="00994C33"/>
    <w:rsid w:val="00995EE7"/>
    <w:rsid w:val="00996EB0"/>
    <w:rsid w:val="00997812"/>
    <w:rsid w:val="009A0EF3"/>
    <w:rsid w:val="009A1328"/>
    <w:rsid w:val="009A1915"/>
    <w:rsid w:val="009A1BAE"/>
    <w:rsid w:val="009A2FF5"/>
    <w:rsid w:val="009A33BC"/>
    <w:rsid w:val="009A3456"/>
    <w:rsid w:val="009A3892"/>
    <w:rsid w:val="009A391B"/>
    <w:rsid w:val="009A3BFF"/>
    <w:rsid w:val="009A4096"/>
    <w:rsid w:val="009A43A8"/>
    <w:rsid w:val="009A5615"/>
    <w:rsid w:val="009A5848"/>
    <w:rsid w:val="009A5AED"/>
    <w:rsid w:val="009A6128"/>
    <w:rsid w:val="009A618B"/>
    <w:rsid w:val="009A73D9"/>
    <w:rsid w:val="009A74C8"/>
    <w:rsid w:val="009A7AD2"/>
    <w:rsid w:val="009A7CB7"/>
    <w:rsid w:val="009A7D3A"/>
    <w:rsid w:val="009B0982"/>
    <w:rsid w:val="009B09C7"/>
    <w:rsid w:val="009B0BB1"/>
    <w:rsid w:val="009B0DA7"/>
    <w:rsid w:val="009B111C"/>
    <w:rsid w:val="009B2078"/>
    <w:rsid w:val="009B2314"/>
    <w:rsid w:val="009B28A2"/>
    <w:rsid w:val="009B350F"/>
    <w:rsid w:val="009B3700"/>
    <w:rsid w:val="009B3BBC"/>
    <w:rsid w:val="009B3D35"/>
    <w:rsid w:val="009B4FB4"/>
    <w:rsid w:val="009B503D"/>
    <w:rsid w:val="009B52CA"/>
    <w:rsid w:val="009B5885"/>
    <w:rsid w:val="009B5A10"/>
    <w:rsid w:val="009B78B6"/>
    <w:rsid w:val="009B7F64"/>
    <w:rsid w:val="009C017E"/>
    <w:rsid w:val="009C0639"/>
    <w:rsid w:val="009C137A"/>
    <w:rsid w:val="009C2229"/>
    <w:rsid w:val="009C2B6C"/>
    <w:rsid w:val="009C3C68"/>
    <w:rsid w:val="009C41B5"/>
    <w:rsid w:val="009C442E"/>
    <w:rsid w:val="009C561E"/>
    <w:rsid w:val="009C6062"/>
    <w:rsid w:val="009C7705"/>
    <w:rsid w:val="009C7CE9"/>
    <w:rsid w:val="009D07F8"/>
    <w:rsid w:val="009D0B58"/>
    <w:rsid w:val="009D0D37"/>
    <w:rsid w:val="009D2048"/>
    <w:rsid w:val="009D283F"/>
    <w:rsid w:val="009D2D7A"/>
    <w:rsid w:val="009D2E76"/>
    <w:rsid w:val="009D3613"/>
    <w:rsid w:val="009D3AE7"/>
    <w:rsid w:val="009D43F7"/>
    <w:rsid w:val="009D48DE"/>
    <w:rsid w:val="009D4DD3"/>
    <w:rsid w:val="009E12E8"/>
    <w:rsid w:val="009E2D40"/>
    <w:rsid w:val="009E3275"/>
    <w:rsid w:val="009E36D6"/>
    <w:rsid w:val="009E3E53"/>
    <w:rsid w:val="009E3EE3"/>
    <w:rsid w:val="009E4A48"/>
    <w:rsid w:val="009E5063"/>
    <w:rsid w:val="009E54FB"/>
    <w:rsid w:val="009E5BCC"/>
    <w:rsid w:val="009E5FC9"/>
    <w:rsid w:val="009E614A"/>
    <w:rsid w:val="009E69F7"/>
    <w:rsid w:val="009E7170"/>
    <w:rsid w:val="009E75C5"/>
    <w:rsid w:val="009E777A"/>
    <w:rsid w:val="009E7BF1"/>
    <w:rsid w:val="009F0869"/>
    <w:rsid w:val="009F1BEC"/>
    <w:rsid w:val="009F1D22"/>
    <w:rsid w:val="009F25BE"/>
    <w:rsid w:val="009F25C7"/>
    <w:rsid w:val="009F2C1B"/>
    <w:rsid w:val="009F4F49"/>
    <w:rsid w:val="009F52A1"/>
    <w:rsid w:val="009F54A0"/>
    <w:rsid w:val="009F5E63"/>
    <w:rsid w:val="009F7358"/>
    <w:rsid w:val="009F7CF8"/>
    <w:rsid w:val="00A005BF"/>
    <w:rsid w:val="00A00E1E"/>
    <w:rsid w:val="00A01031"/>
    <w:rsid w:val="00A01B08"/>
    <w:rsid w:val="00A0227D"/>
    <w:rsid w:val="00A02640"/>
    <w:rsid w:val="00A02CF0"/>
    <w:rsid w:val="00A03CD4"/>
    <w:rsid w:val="00A04030"/>
    <w:rsid w:val="00A04809"/>
    <w:rsid w:val="00A04CE5"/>
    <w:rsid w:val="00A05695"/>
    <w:rsid w:val="00A059CC"/>
    <w:rsid w:val="00A05D33"/>
    <w:rsid w:val="00A061C5"/>
    <w:rsid w:val="00A063CD"/>
    <w:rsid w:val="00A110CF"/>
    <w:rsid w:val="00A1181D"/>
    <w:rsid w:val="00A1226D"/>
    <w:rsid w:val="00A1300D"/>
    <w:rsid w:val="00A133EF"/>
    <w:rsid w:val="00A1359E"/>
    <w:rsid w:val="00A14A70"/>
    <w:rsid w:val="00A15627"/>
    <w:rsid w:val="00A15D3C"/>
    <w:rsid w:val="00A16675"/>
    <w:rsid w:val="00A16BFE"/>
    <w:rsid w:val="00A16DDE"/>
    <w:rsid w:val="00A1781E"/>
    <w:rsid w:val="00A203E6"/>
    <w:rsid w:val="00A20BBA"/>
    <w:rsid w:val="00A21C04"/>
    <w:rsid w:val="00A22239"/>
    <w:rsid w:val="00A224E8"/>
    <w:rsid w:val="00A22E72"/>
    <w:rsid w:val="00A234B9"/>
    <w:rsid w:val="00A234FD"/>
    <w:rsid w:val="00A23FDD"/>
    <w:rsid w:val="00A23FEF"/>
    <w:rsid w:val="00A2427A"/>
    <w:rsid w:val="00A24389"/>
    <w:rsid w:val="00A256D9"/>
    <w:rsid w:val="00A257E7"/>
    <w:rsid w:val="00A26BBC"/>
    <w:rsid w:val="00A27025"/>
    <w:rsid w:val="00A27496"/>
    <w:rsid w:val="00A275F4"/>
    <w:rsid w:val="00A30229"/>
    <w:rsid w:val="00A304BD"/>
    <w:rsid w:val="00A3099B"/>
    <w:rsid w:val="00A3102C"/>
    <w:rsid w:val="00A311AE"/>
    <w:rsid w:val="00A31391"/>
    <w:rsid w:val="00A3164B"/>
    <w:rsid w:val="00A31769"/>
    <w:rsid w:val="00A3269E"/>
    <w:rsid w:val="00A32EAF"/>
    <w:rsid w:val="00A3358B"/>
    <w:rsid w:val="00A339D1"/>
    <w:rsid w:val="00A342FB"/>
    <w:rsid w:val="00A34FE4"/>
    <w:rsid w:val="00A35CEE"/>
    <w:rsid w:val="00A364B9"/>
    <w:rsid w:val="00A36AD5"/>
    <w:rsid w:val="00A3740E"/>
    <w:rsid w:val="00A37444"/>
    <w:rsid w:val="00A3793D"/>
    <w:rsid w:val="00A403A6"/>
    <w:rsid w:val="00A40749"/>
    <w:rsid w:val="00A410E4"/>
    <w:rsid w:val="00A4190D"/>
    <w:rsid w:val="00A41E39"/>
    <w:rsid w:val="00A41F49"/>
    <w:rsid w:val="00A424ED"/>
    <w:rsid w:val="00A42C9D"/>
    <w:rsid w:val="00A438D1"/>
    <w:rsid w:val="00A43C31"/>
    <w:rsid w:val="00A441AF"/>
    <w:rsid w:val="00A44890"/>
    <w:rsid w:val="00A44FF7"/>
    <w:rsid w:val="00A455E3"/>
    <w:rsid w:val="00A45A3A"/>
    <w:rsid w:val="00A45BC8"/>
    <w:rsid w:val="00A45C66"/>
    <w:rsid w:val="00A460F6"/>
    <w:rsid w:val="00A46210"/>
    <w:rsid w:val="00A46881"/>
    <w:rsid w:val="00A477BB"/>
    <w:rsid w:val="00A47FE7"/>
    <w:rsid w:val="00A5063C"/>
    <w:rsid w:val="00A5089C"/>
    <w:rsid w:val="00A50DAD"/>
    <w:rsid w:val="00A519A3"/>
    <w:rsid w:val="00A52330"/>
    <w:rsid w:val="00A52814"/>
    <w:rsid w:val="00A5285E"/>
    <w:rsid w:val="00A52AE3"/>
    <w:rsid w:val="00A52DF5"/>
    <w:rsid w:val="00A54070"/>
    <w:rsid w:val="00A54178"/>
    <w:rsid w:val="00A542D3"/>
    <w:rsid w:val="00A545E8"/>
    <w:rsid w:val="00A54F35"/>
    <w:rsid w:val="00A55570"/>
    <w:rsid w:val="00A558D1"/>
    <w:rsid w:val="00A564F6"/>
    <w:rsid w:val="00A56709"/>
    <w:rsid w:val="00A575CC"/>
    <w:rsid w:val="00A577AA"/>
    <w:rsid w:val="00A57801"/>
    <w:rsid w:val="00A60A87"/>
    <w:rsid w:val="00A61053"/>
    <w:rsid w:val="00A6141A"/>
    <w:rsid w:val="00A61DE8"/>
    <w:rsid w:val="00A628C9"/>
    <w:rsid w:val="00A63713"/>
    <w:rsid w:val="00A63ABE"/>
    <w:rsid w:val="00A64CFF"/>
    <w:rsid w:val="00A64E5A"/>
    <w:rsid w:val="00A64FF4"/>
    <w:rsid w:val="00A652D5"/>
    <w:rsid w:val="00A65DEF"/>
    <w:rsid w:val="00A668E7"/>
    <w:rsid w:val="00A67442"/>
    <w:rsid w:val="00A708C7"/>
    <w:rsid w:val="00A7169F"/>
    <w:rsid w:val="00A7196C"/>
    <w:rsid w:val="00A737EC"/>
    <w:rsid w:val="00A74179"/>
    <w:rsid w:val="00A74789"/>
    <w:rsid w:val="00A749DA"/>
    <w:rsid w:val="00A74B4D"/>
    <w:rsid w:val="00A74BA9"/>
    <w:rsid w:val="00A750D6"/>
    <w:rsid w:val="00A7539E"/>
    <w:rsid w:val="00A759A0"/>
    <w:rsid w:val="00A75CD8"/>
    <w:rsid w:val="00A75E8A"/>
    <w:rsid w:val="00A76642"/>
    <w:rsid w:val="00A76BE6"/>
    <w:rsid w:val="00A76CED"/>
    <w:rsid w:val="00A76E4D"/>
    <w:rsid w:val="00A80688"/>
    <w:rsid w:val="00A809A4"/>
    <w:rsid w:val="00A80A62"/>
    <w:rsid w:val="00A81927"/>
    <w:rsid w:val="00A81E86"/>
    <w:rsid w:val="00A81E97"/>
    <w:rsid w:val="00A82180"/>
    <w:rsid w:val="00A82A8C"/>
    <w:rsid w:val="00A82BC3"/>
    <w:rsid w:val="00A8378F"/>
    <w:rsid w:val="00A83BBE"/>
    <w:rsid w:val="00A84B06"/>
    <w:rsid w:val="00A84C64"/>
    <w:rsid w:val="00A85002"/>
    <w:rsid w:val="00A8511E"/>
    <w:rsid w:val="00A85762"/>
    <w:rsid w:val="00A857A3"/>
    <w:rsid w:val="00A85BEE"/>
    <w:rsid w:val="00A86276"/>
    <w:rsid w:val="00A87AB9"/>
    <w:rsid w:val="00A909AC"/>
    <w:rsid w:val="00A90C50"/>
    <w:rsid w:val="00A921C0"/>
    <w:rsid w:val="00A921E3"/>
    <w:rsid w:val="00A9253A"/>
    <w:rsid w:val="00A93406"/>
    <w:rsid w:val="00A93577"/>
    <w:rsid w:val="00A9434F"/>
    <w:rsid w:val="00A94708"/>
    <w:rsid w:val="00A94782"/>
    <w:rsid w:val="00A94C66"/>
    <w:rsid w:val="00A95021"/>
    <w:rsid w:val="00A951A4"/>
    <w:rsid w:val="00A97CE7"/>
    <w:rsid w:val="00AA023C"/>
    <w:rsid w:val="00AA02A3"/>
    <w:rsid w:val="00AA2B04"/>
    <w:rsid w:val="00AA3422"/>
    <w:rsid w:val="00AA4070"/>
    <w:rsid w:val="00AA4A1D"/>
    <w:rsid w:val="00AA4C93"/>
    <w:rsid w:val="00AA4E4C"/>
    <w:rsid w:val="00AA5156"/>
    <w:rsid w:val="00AA5FA7"/>
    <w:rsid w:val="00AA694C"/>
    <w:rsid w:val="00AA6AD7"/>
    <w:rsid w:val="00AA6F47"/>
    <w:rsid w:val="00AA71A8"/>
    <w:rsid w:val="00AA7560"/>
    <w:rsid w:val="00AB0F90"/>
    <w:rsid w:val="00AB1A0A"/>
    <w:rsid w:val="00AB1B7D"/>
    <w:rsid w:val="00AB1D97"/>
    <w:rsid w:val="00AB225C"/>
    <w:rsid w:val="00AB27E8"/>
    <w:rsid w:val="00AB3053"/>
    <w:rsid w:val="00AB31BC"/>
    <w:rsid w:val="00AB3CDF"/>
    <w:rsid w:val="00AB47D9"/>
    <w:rsid w:val="00AB4C12"/>
    <w:rsid w:val="00AB4E08"/>
    <w:rsid w:val="00AB50A1"/>
    <w:rsid w:val="00AB574F"/>
    <w:rsid w:val="00AB5C4B"/>
    <w:rsid w:val="00AB65B8"/>
    <w:rsid w:val="00AB70EA"/>
    <w:rsid w:val="00AB7B60"/>
    <w:rsid w:val="00AC0AE7"/>
    <w:rsid w:val="00AC0DAD"/>
    <w:rsid w:val="00AC181A"/>
    <w:rsid w:val="00AC1A62"/>
    <w:rsid w:val="00AC1B77"/>
    <w:rsid w:val="00AC1E5C"/>
    <w:rsid w:val="00AC3A58"/>
    <w:rsid w:val="00AC3AF2"/>
    <w:rsid w:val="00AC443E"/>
    <w:rsid w:val="00AC4A60"/>
    <w:rsid w:val="00AC5299"/>
    <w:rsid w:val="00AC62E4"/>
    <w:rsid w:val="00AC655F"/>
    <w:rsid w:val="00AC7192"/>
    <w:rsid w:val="00AC7336"/>
    <w:rsid w:val="00AC7A93"/>
    <w:rsid w:val="00AC7CAF"/>
    <w:rsid w:val="00AD01DC"/>
    <w:rsid w:val="00AD0C91"/>
    <w:rsid w:val="00AD24B3"/>
    <w:rsid w:val="00AD2A8C"/>
    <w:rsid w:val="00AD3936"/>
    <w:rsid w:val="00AD3FB9"/>
    <w:rsid w:val="00AD49C8"/>
    <w:rsid w:val="00AD4AC2"/>
    <w:rsid w:val="00AD5552"/>
    <w:rsid w:val="00AD62BE"/>
    <w:rsid w:val="00AD67DB"/>
    <w:rsid w:val="00AD682D"/>
    <w:rsid w:val="00AD6953"/>
    <w:rsid w:val="00AD714C"/>
    <w:rsid w:val="00AD7716"/>
    <w:rsid w:val="00AE0004"/>
    <w:rsid w:val="00AE0AA9"/>
    <w:rsid w:val="00AE0B86"/>
    <w:rsid w:val="00AE1644"/>
    <w:rsid w:val="00AE1DCB"/>
    <w:rsid w:val="00AE200B"/>
    <w:rsid w:val="00AE2ACB"/>
    <w:rsid w:val="00AE354E"/>
    <w:rsid w:val="00AE43B4"/>
    <w:rsid w:val="00AE4F5E"/>
    <w:rsid w:val="00AE53A2"/>
    <w:rsid w:val="00AE5D51"/>
    <w:rsid w:val="00AE6086"/>
    <w:rsid w:val="00AE6141"/>
    <w:rsid w:val="00AE7478"/>
    <w:rsid w:val="00AF00D3"/>
    <w:rsid w:val="00AF01FC"/>
    <w:rsid w:val="00AF05C0"/>
    <w:rsid w:val="00AF05F6"/>
    <w:rsid w:val="00AF1193"/>
    <w:rsid w:val="00AF2126"/>
    <w:rsid w:val="00AF244F"/>
    <w:rsid w:val="00AF256A"/>
    <w:rsid w:val="00AF4E57"/>
    <w:rsid w:val="00AF6975"/>
    <w:rsid w:val="00AF69E7"/>
    <w:rsid w:val="00AF7007"/>
    <w:rsid w:val="00B014F4"/>
    <w:rsid w:val="00B015D4"/>
    <w:rsid w:val="00B02002"/>
    <w:rsid w:val="00B02153"/>
    <w:rsid w:val="00B03140"/>
    <w:rsid w:val="00B033F2"/>
    <w:rsid w:val="00B0355F"/>
    <w:rsid w:val="00B039BF"/>
    <w:rsid w:val="00B04380"/>
    <w:rsid w:val="00B048E9"/>
    <w:rsid w:val="00B04C89"/>
    <w:rsid w:val="00B05253"/>
    <w:rsid w:val="00B0542B"/>
    <w:rsid w:val="00B05FD4"/>
    <w:rsid w:val="00B0766D"/>
    <w:rsid w:val="00B11D48"/>
    <w:rsid w:val="00B120B6"/>
    <w:rsid w:val="00B12C5F"/>
    <w:rsid w:val="00B1311D"/>
    <w:rsid w:val="00B13767"/>
    <w:rsid w:val="00B1415D"/>
    <w:rsid w:val="00B143DD"/>
    <w:rsid w:val="00B14578"/>
    <w:rsid w:val="00B14D0D"/>
    <w:rsid w:val="00B14F9A"/>
    <w:rsid w:val="00B1519B"/>
    <w:rsid w:val="00B158CD"/>
    <w:rsid w:val="00B15D31"/>
    <w:rsid w:val="00B15EDE"/>
    <w:rsid w:val="00B16877"/>
    <w:rsid w:val="00B16E50"/>
    <w:rsid w:val="00B2099C"/>
    <w:rsid w:val="00B20F66"/>
    <w:rsid w:val="00B2168D"/>
    <w:rsid w:val="00B21C83"/>
    <w:rsid w:val="00B21F24"/>
    <w:rsid w:val="00B22196"/>
    <w:rsid w:val="00B2245C"/>
    <w:rsid w:val="00B22CB0"/>
    <w:rsid w:val="00B23038"/>
    <w:rsid w:val="00B23C7C"/>
    <w:rsid w:val="00B23D23"/>
    <w:rsid w:val="00B24852"/>
    <w:rsid w:val="00B2514C"/>
    <w:rsid w:val="00B25D60"/>
    <w:rsid w:val="00B26D9B"/>
    <w:rsid w:val="00B2709B"/>
    <w:rsid w:val="00B273E8"/>
    <w:rsid w:val="00B305E2"/>
    <w:rsid w:val="00B31750"/>
    <w:rsid w:val="00B3181C"/>
    <w:rsid w:val="00B31887"/>
    <w:rsid w:val="00B32720"/>
    <w:rsid w:val="00B33039"/>
    <w:rsid w:val="00B33080"/>
    <w:rsid w:val="00B33702"/>
    <w:rsid w:val="00B33AA6"/>
    <w:rsid w:val="00B3506B"/>
    <w:rsid w:val="00B35490"/>
    <w:rsid w:val="00B35F91"/>
    <w:rsid w:val="00B36C18"/>
    <w:rsid w:val="00B37277"/>
    <w:rsid w:val="00B37D8F"/>
    <w:rsid w:val="00B402B3"/>
    <w:rsid w:val="00B4124B"/>
    <w:rsid w:val="00B41680"/>
    <w:rsid w:val="00B417AA"/>
    <w:rsid w:val="00B41815"/>
    <w:rsid w:val="00B4199D"/>
    <w:rsid w:val="00B41C21"/>
    <w:rsid w:val="00B41CD8"/>
    <w:rsid w:val="00B4311F"/>
    <w:rsid w:val="00B43434"/>
    <w:rsid w:val="00B43482"/>
    <w:rsid w:val="00B436E8"/>
    <w:rsid w:val="00B44876"/>
    <w:rsid w:val="00B44F38"/>
    <w:rsid w:val="00B471C5"/>
    <w:rsid w:val="00B5051B"/>
    <w:rsid w:val="00B50861"/>
    <w:rsid w:val="00B51674"/>
    <w:rsid w:val="00B51C1F"/>
    <w:rsid w:val="00B51C9B"/>
    <w:rsid w:val="00B52398"/>
    <w:rsid w:val="00B5343A"/>
    <w:rsid w:val="00B5372A"/>
    <w:rsid w:val="00B53BC5"/>
    <w:rsid w:val="00B53F5D"/>
    <w:rsid w:val="00B542AC"/>
    <w:rsid w:val="00B5451A"/>
    <w:rsid w:val="00B54AC9"/>
    <w:rsid w:val="00B54B8E"/>
    <w:rsid w:val="00B55570"/>
    <w:rsid w:val="00B55EB9"/>
    <w:rsid w:val="00B55FD3"/>
    <w:rsid w:val="00B6016A"/>
    <w:rsid w:val="00B60D84"/>
    <w:rsid w:val="00B60E24"/>
    <w:rsid w:val="00B612B5"/>
    <w:rsid w:val="00B62E95"/>
    <w:rsid w:val="00B63544"/>
    <w:rsid w:val="00B644CE"/>
    <w:rsid w:val="00B64C37"/>
    <w:rsid w:val="00B652E7"/>
    <w:rsid w:val="00B653EE"/>
    <w:rsid w:val="00B655DB"/>
    <w:rsid w:val="00B657FB"/>
    <w:rsid w:val="00B66DCB"/>
    <w:rsid w:val="00B67682"/>
    <w:rsid w:val="00B7003A"/>
    <w:rsid w:val="00B70345"/>
    <w:rsid w:val="00B711B9"/>
    <w:rsid w:val="00B71367"/>
    <w:rsid w:val="00B715F8"/>
    <w:rsid w:val="00B73C7C"/>
    <w:rsid w:val="00B74428"/>
    <w:rsid w:val="00B745DB"/>
    <w:rsid w:val="00B75138"/>
    <w:rsid w:val="00B758A3"/>
    <w:rsid w:val="00B75D3A"/>
    <w:rsid w:val="00B7669A"/>
    <w:rsid w:val="00B768BA"/>
    <w:rsid w:val="00B76C69"/>
    <w:rsid w:val="00B8092B"/>
    <w:rsid w:val="00B82802"/>
    <w:rsid w:val="00B82A16"/>
    <w:rsid w:val="00B83768"/>
    <w:rsid w:val="00B8384C"/>
    <w:rsid w:val="00B83964"/>
    <w:rsid w:val="00B84125"/>
    <w:rsid w:val="00B85B3A"/>
    <w:rsid w:val="00B87324"/>
    <w:rsid w:val="00B90605"/>
    <w:rsid w:val="00B906EC"/>
    <w:rsid w:val="00B91248"/>
    <w:rsid w:val="00B916C1"/>
    <w:rsid w:val="00B91E16"/>
    <w:rsid w:val="00B92524"/>
    <w:rsid w:val="00B93EE9"/>
    <w:rsid w:val="00B943A8"/>
    <w:rsid w:val="00B95696"/>
    <w:rsid w:val="00B95833"/>
    <w:rsid w:val="00B9660A"/>
    <w:rsid w:val="00B966E6"/>
    <w:rsid w:val="00B96A04"/>
    <w:rsid w:val="00B96DE8"/>
    <w:rsid w:val="00B9799F"/>
    <w:rsid w:val="00BA26B7"/>
    <w:rsid w:val="00BA280A"/>
    <w:rsid w:val="00BA2BE6"/>
    <w:rsid w:val="00BA333C"/>
    <w:rsid w:val="00BA3640"/>
    <w:rsid w:val="00BA36BB"/>
    <w:rsid w:val="00BA400F"/>
    <w:rsid w:val="00BA466A"/>
    <w:rsid w:val="00BA5039"/>
    <w:rsid w:val="00BA5788"/>
    <w:rsid w:val="00BA5D1C"/>
    <w:rsid w:val="00BA5DBE"/>
    <w:rsid w:val="00BA5E3A"/>
    <w:rsid w:val="00BA6199"/>
    <w:rsid w:val="00BA7106"/>
    <w:rsid w:val="00BA7787"/>
    <w:rsid w:val="00BA7FD3"/>
    <w:rsid w:val="00BB0A3C"/>
    <w:rsid w:val="00BB0F84"/>
    <w:rsid w:val="00BB1BED"/>
    <w:rsid w:val="00BB1C23"/>
    <w:rsid w:val="00BB2DFE"/>
    <w:rsid w:val="00BB37D6"/>
    <w:rsid w:val="00BB3B5B"/>
    <w:rsid w:val="00BB3C5D"/>
    <w:rsid w:val="00BB4512"/>
    <w:rsid w:val="00BB4BE2"/>
    <w:rsid w:val="00BB554E"/>
    <w:rsid w:val="00BB56E7"/>
    <w:rsid w:val="00BB645E"/>
    <w:rsid w:val="00BB717F"/>
    <w:rsid w:val="00BC04EA"/>
    <w:rsid w:val="00BC07C5"/>
    <w:rsid w:val="00BC0D9E"/>
    <w:rsid w:val="00BC1139"/>
    <w:rsid w:val="00BC1197"/>
    <w:rsid w:val="00BC12AC"/>
    <w:rsid w:val="00BC2529"/>
    <w:rsid w:val="00BC270F"/>
    <w:rsid w:val="00BC3AB2"/>
    <w:rsid w:val="00BC5B53"/>
    <w:rsid w:val="00BC6494"/>
    <w:rsid w:val="00BC6BCD"/>
    <w:rsid w:val="00BD0946"/>
    <w:rsid w:val="00BD20B9"/>
    <w:rsid w:val="00BD2D3F"/>
    <w:rsid w:val="00BD2DFE"/>
    <w:rsid w:val="00BD4144"/>
    <w:rsid w:val="00BD42F7"/>
    <w:rsid w:val="00BD440B"/>
    <w:rsid w:val="00BD4431"/>
    <w:rsid w:val="00BD4E4C"/>
    <w:rsid w:val="00BD5E9A"/>
    <w:rsid w:val="00BD6326"/>
    <w:rsid w:val="00BD6B69"/>
    <w:rsid w:val="00BD6F3C"/>
    <w:rsid w:val="00BE03FC"/>
    <w:rsid w:val="00BE140B"/>
    <w:rsid w:val="00BE1503"/>
    <w:rsid w:val="00BE1805"/>
    <w:rsid w:val="00BE2538"/>
    <w:rsid w:val="00BE37F7"/>
    <w:rsid w:val="00BE3D28"/>
    <w:rsid w:val="00BE40C4"/>
    <w:rsid w:val="00BE420C"/>
    <w:rsid w:val="00BE4FBD"/>
    <w:rsid w:val="00BE51F1"/>
    <w:rsid w:val="00BE6B9B"/>
    <w:rsid w:val="00BE6D94"/>
    <w:rsid w:val="00BE7323"/>
    <w:rsid w:val="00BF08A5"/>
    <w:rsid w:val="00BF1595"/>
    <w:rsid w:val="00BF1F84"/>
    <w:rsid w:val="00BF2342"/>
    <w:rsid w:val="00BF2A7C"/>
    <w:rsid w:val="00BF33C1"/>
    <w:rsid w:val="00BF37FC"/>
    <w:rsid w:val="00BF3A5A"/>
    <w:rsid w:val="00BF56B9"/>
    <w:rsid w:val="00BF67CB"/>
    <w:rsid w:val="00BF6D5B"/>
    <w:rsid w:val="00BF7840"/>
    <w:rsid w:val="00C0052E"/>
    <w:rsid w:val="00C00563"/>
    <w:rsid w:val="00C008BD"/>
    <w:rsid w:val="00C00E71"/>
    <w:rsid w:val="00C01748"/>
    <w:rsid w:val="00C01C7F"/>
    <w:rsid w:val="00C01D1C"/>
    <w:rsid w:val="00C01DA9"/>
    <w:rsid w:val="00C03E59"/>
    <w:rsid w:val="00C04B53"/>
    <w:rsid w:val="00C04B92"/>
    <w:rsid w:val="00C05881"/>
    <w:rsid w:val="00C058A5"/>
    <w:rsid w:val="00C101B5"/>
    <w:rsid w:val="00C1056B"/>
    <w:rsid w:val="00C106AE"/>
    <w:rsid w:val="00C10DF8"/>
    <w:rsid w:val="00C117DF"/>
    <w:rsid w:val="00C12B0F"/>
    <w:rsid w:val="00C12D01"/>
    <w:rsid w:val="00C12F88"/>
    <w:rsid w:val="00C13F7D"/>
    <w:rsid w:val="00C15484"/>
    <w:rsid w:val="00C16299"/>
    <w:rsid w:val="00C16556"/>
    <w:rsid w:val="00C16EDB"/>
    <w:rsid w:val="00C178CF"/>
    <w:rsid w:val="00C20049"/>
    <w:rsid w:val="00C217FD"/>
    <w:rsid w:val="00C21899"/>
    <w:rsid w:val="00C238E2"/>
    <w:rsid w:val="00C2409D"/>
    <w:rsid w:val="00C24A8A"/>
    <w:rsid w:val="00C24B8B"/>
    <w:rsid w:val="00C2520C"/>
    <w:rsid w:val="00C263E4"/>
    <w:rsid w:val="00C2658F"/>
    <w:rsid w:val="00C266E1"/>
    <w:rsid w:val="00C27FF9"/>
    <w:rsid w:val="00C302E1"/>
    <w:rsid w:val="00C30954"/>
    <w:rsid w:val="00C30BB2"/>
    <w:rsid w:val="00C30DD4"/>
    <w:rsid w:val="00C30F55"/>
    <w:rsid w:val="00C3179A"/>
    <w:rsid w:val="00C31B20"/>
    <w:rsid w:val="00C31CB3"/>
    <w:rsid w:val="00C32E97"/>
    <w:rsid w:val="00C3329D"/>
    <w:rsid w:val="00C3377C"/>
    <w:rsid w:val="00C34402"/>
    <w:rsid w:val="00C3441D"/>
    <w:rsid w:val="00C348EA"/>
    <w:rsid w:val="00C3527E"/>
    <w:rsid w:val="00C36A77"/>
    <w:rsid w:val="00C36CA1"/>
    <w:rsid w:val="00C375B7"/>
    <w:rsid w:val="00C3772E"/>
    <w:rsid w:val="00C37825"/>
    <w:rsid w:val="00C37AAA"/>
    <w:rsid w:val="00C40035"/>
    <w:rsid w:val="00C403C3"/>
    <w:rsid w:val="00C40F41"/>
    <w:rsid w:val="00C40F4B"/>
    <w:rsid w:val="00C413BB"/>
    <w:rsid w:val="00C41DA4"/>
    <w:rsid w:val="00C41E74"/>
    <w:rsid w:val="00C4258A"/>
    <w:rsid w:val="00C42D46"/>
    <w:rsid w:val="00C433AE"/>
    <w:rsid w:val="00C44290"/>
    <w:rsid w:val="00C4602D"/>
    <w:rsid w:val="00C4725C"/>
    <w:rsid w:val="00C51555"/>
    <w:rsid w:val="00C51EC4"/>
    <w:rsid w:val="00C524B1"/>
    <w:rsid w:val="00C528EA"/>
    <w:rsid w:val="00C52C12"/>
    <w:rsid w:val="00C52DE5"/>
    <w:rsid w:val="00C52EA2"/>
    <w:rsid w:val="00C536C1"/>
    <w:rsid w:val="00C53A96"/>
    <w:rsid w:val="00C53B24"/>
    <w:rsid w:val="00C55D50"/>
    <w:rsid w:val="00C560D2"/>
    <w:rsid w:val="00C5636A"/>
    <w:rsid w:val="00C56919"/>
    <w:rsid w:val="00C572B1"/>
    <w:rsid w:val="00C5772B"/>
    <w:rsid w:val="00C57929"/>
    <w:rsid w:val="00C57AC8"/>
    <w:rsid w:val="00C602FF"/>
    <w:rsid w:val="00C60FDC"/>
    <w:rsid w:val="00C61337"/>
    <w:rsid w:val="00C618B3"/>
    <w:rsid w:val="00C628C2"/>
    <w:rsid w:val="00C62BBA"/>
    <w:rsid w:val="00C636BC"/>
    <w:rsid w:val="00C63B8F"/>
    <w:rsid w:val="00C64061"/>
    <w:rsid w:val="00C647EE"/>
    <w:rsid w:val="00C64A68"/>
    <w:rsid w:val="00C64B17"/>
    <w:rsid w:val="00C64F40"/>
    <w:rsid w:val="00C660EF"/>
    <w:rsid w:val="00C664DD"/>
    <w:rsid w:val="00C66D9E"/>
    <w:rsid w:val="00C672C3"/>
    <w:rsid w:val="00C67407"/>
    <w:rsid w:val="00C67FED"/>
    <w:rsid w:val="00C701B8"/>
    <w:rsid w:val="00C70F39"/>
    <w:rsid w:val="00C71214"/>
    <w:rsid w:val="00C7139E"/>
    <w:rsid w:val="00C724C6"/>
    <w:rsid w:val="00C72BB8"/>
    <w:rsid w:val="00C72EF7"/>
    <w:rsid w:val="00C72F5C"/>
    <w:rsid w:val="00C7359D"/>
    <w:rsid w:val="00C73A85"/>
    <w:rsid w:val="00C75A1D"/>
    <w:rsid w:val="00C76236"/>
    <w:rsid w:val="00C7640F"/>
    <w:rsid w:val="00C81A67"/>
    <w:rsid w:val="00C81C24"/>
    <w:rsid w:val="00C823A3"/>
    <w:rsid w:val="00C823F8"/>
    <w:rsid w:val="00C84776"/>
    <w:rsid w:val="00C84B27"/>
    <w:rsid w:val="00C85358"/>
    <w:rsid w:val="00C854C6"/>
    <w:rsid w:val="00C85796"/>
    <w:rsid w:val="00C857E1"/>
    <w:rsid w:val="00C858AD"/>
    <w:rsid w:val="00C85C0A"/>
    <w:rsid w:val="00C901A7"/>
    <w:rsid w:val="00C923BB"/>
    <w:rsid w:val="00C92A3F"/>
    <w:rsid w:val="00C935E2"/>
    <w:rsid w:val="00C93806"/>
    <w:rsid w:val="00C9382E"/>
    <w:rsid w:val="00C93AC5"/>
    <w:rsid w:val="00C947A8"/>
    <w:rsid w:val="00C953DE"/>
    <w:rsid w:val="00C955B3"/>
    <w:rsid w:val="00C95ABB"/>
    <w:rsid w:val="00C95B37"/>
    <w:rsid w:val="00C95EBC"/>
    <w:rsid w:val="00C96CA8"/>
    <w:rsid w:val="00C96DA7"/>
    <w:rsid w:val="00C97045"/>
    <w:rsid w:val="00C9766F"/>
    <w:rsid w:val="00C97E5D"/>
    <w:rsid w:val="00CA257B"/>
    <w:rsid w:val="00CA3650"/>
    <w:rsid w:val="00CA3665"/>
    <w:rsid w:val="00CA4715"/>
    <w:rsid w:val="00CA4DCD"/>
    <w:rsid w:val="00CA571F"/>
    <w:rsid w:val="00CA7B5E"/>
    <w:rsid w:val="00CB065D"/>
    <w:rsid w:val="00CB0B6A"/>
    <w:rsid w:val="00CB0EA3"/>
    <w:rsid w:val="00CB154C"/>
    <w:rsid w:val="00CB15D5"/>
    <w:rsid w:val="00CB16AE"/>
    <w:rsid w:val="00CB1759"/>
    <w:rsid w:val="00CB17C9"/>
    <w:rsid w:val="00CB1B54"/>
    <w:rsid w:val="00CB21A6"/>
    <w:rsid w:val="00CB2AFC"/>
    <w:rsid w:val="00CB2E2F"/>
    <w:rsid w:val="00CB2E8E"/>
    <w:rsid w:val="00CB3AB0"/>
    <w:rsid w:val="00CB3BB4"/>
    <w:rsid w:val="00CB49D8"/>
    <w:rsid w:val="00CB4A8F"/>
    <w:rsid w:val="00CB4BB1"/>
    <w:rsid w:val="00CB5350"/>
    <w:rsid w:val="00CB595A"/>
    <w:rsid w:val="00CB5D48"/>
    <w:rsid w:val="00CB626B"/>
    <w:rsid w:val="00CB63C9"/>
    <w:rsid w:val="00CB7AC0"/>
    <w:rsid w:val="00CB7E67"/>
    <w:rsid w:val="00CB7F59"/>
    <w:rsid w:val="00CC0BD4"/>
    <w:rsid w:val="00CC0EF4"/>
    <w:rsid w:val="00CC118E"/>
    <w:rsid w:val="00CC12B1"/>
    <w:rsid w:val="00CC1EE6"/>
    <w:rsid w:val="00CC2368"/>
    <w:rsid w:val="00CC2ACA"/>
    <w:rsid w:val="00CC4521"/>
    <w:rsid w:val="00CC4882"/>
    <w:rsid w:val="00CC4908"/>
    <w:rsid w:val="00CC629B"/>
    <w:rsid w:val="00CC6869"/>
    <w:rsid w:val="00CC6E7F"/>
    <w:rsid w:val="00CC7C6D"/>
    <w:rsid w:val="00CD0A39"/>
    <w:rsid w:val="00CD1AD8"/>
    <w:rsid w:val="00CD2BB6"/>
    <w:rsid w:val="00CD2E4C"/>
    <w:rsid w:val="00CD4EA9"/>
    <w:rsid w:val="00CD52F2"/>
    <w:rsid w:val="00CD5F7E"/>
    <w:rsid w:val="00CD6AF2"/>
    <w:rsid w:val="00CE0371"/>
    <w:rsid w:val="00CE0465"/>
    <w:rsid w:val="00CE195E"/>
    <w:rsid w:val="00CE494E"/>
    <w:rsid w:val="00CE4987"/>
    <w:rsid w:val="00CE67C7"/>
    <w:rsid w:val="00CE7C82"/>
    <w:rsid w:val="00CF0426"/>
    <w:rsid w:val="00CF04A9"/>
    <w:rsid w:val="00CF086B"/>
    <w:rsid w:val="00CF0D42"/>
    <w:rsid w:val="00CF1B43"/>
    <w:rsid w:val="00CF2930"/>
    <w:rsid w:val="00CF3D14"/>
    <w:rsid w:val="00CF4679"/>
    <w:rsid w:val="00CF4B62"/>
    <w:rsid w:val="00CF5951"/>
    <w:rsid w:val="00CF5B42"/>
    <w:rsid w:val="00CF60A9"/>
    <w:rsid w:val="00CF66BD"/>
    <w:rsid w:val="00CF6840"/>
    <w:rsid w:val="00CF68AE"/>
    <w:rsid w:val="00CF6ABF"/>
    <w:rsid w:val="00CF6AEF"/>
    <w:rsid w:val="00CF791D"/>
    <w:rsid w:val="00D001BF"/>
    <w:rsid w:val="00D0189C"/>
    <w:rsid w:val="00D02BC0"/>
    <w:rsid w:val="00D034D6"/>
    <w:rsid w:val="00D03851"/>
    <w:rsid w:val="00D03F2B"/>
    <w:rsid w:val="00D042C0"/>
    <w:rsid w:val="00D04EBC"/>
    <w:rsid w:val="00D05166"/>
    <w:rsid w:val="00D05379"/>
    <w:rsid w:val="00D06B62"/>
    <w:rsid w:val="00D0783B"/>
    <w:rsid w:val="00D078D5"/>
    <w:rsid w:val="00D10310"/>
    <w:rsid w:val="00D1108D"/>
    <w:rsid w:val="00D11B3B"/>
    <w:rsid w:val="00D11DB7"/>
    <w:rsid w:val="00D11DC6"/>
    <w:rsid w:val="00D11F08"/>
    <w:rsid w:val="00D12D39"/>
    <w:rsid w:val="00D13535"/>
    <w:rsid w:val="00D144D0"/>
    <w:rsid w:val="00D15C9A"/>
    <w:rsid w:val="00D15D54"/>
    <w:rsid w:val="00D16AC1"/>
    <w:rsid w:val="00D16B5C"/>
    <w:rsid w:val="00D16F39"/>
    <w:rsid w:val="00D173B3"/>
    <w:rsid w:val="00D1758E"/>
    <w:rsid w:val="00D17628"/>
    <w:rsid w:val="00D20BCF"/>
    <w:rsid w:val="00D20FE1"/>
    <w:rsid w:val="00D211B1"/>
    <w:rsid w:val="00D22364"/>
    <w:rsid w:val="00D2275A"/>
    <w:rsid w:val="00D23C38"/>
    <w:rsid w:val="00D24319"/>
    <w:rsid w:val="00D2458F"/>
    <w:rsid w:val="00D253D2"/>
    <w:rsid w:val="00D25C7C"/>
    <w:rsid w:val="00D26052"/>
    <w:rsid w:val="00D265F9"/>
    <w:rsid w:val="00D26A9D"/>
    <w:rsid w:val="00D26BE0"/>
    <w:rsid w:val="00D26FE0"/>
    <w:rsid w:val="00D272CC"/>
    <w:rsid w:val="00D2786A"/>
    <w:rsid w:val="00D27AED"/>
    <w:rsid w:val="00D30280"/>
    <w:rsid w:val="00D308C6"/>
    <w:rsid w:val="00D32202"/>
    <w:rsid w:val="00D3257E"/>
    <w:rsid w:val="00D32823"/>
    <w:rsid w:val="00D3459F"/>
    <w:rsid w:val="00D349CF"/>
    <w:rsid w:val="00D356CB"/>
    <w:rsid w:val="00D35CE4"/>
    <w:rsid w:val="00D366B4"/>
    <w:rsid w:val="00D37734"/>
    <w:rsid w:val="00D37CB7"/>
    <w:rsid w:val="00D40647"/>
    <w:rsid w:val="00D4119A"/>
    <w:rsid w:val="00D412F5"/>
    <w:rsid w:val="00D4174C"/>
    <w:rsid w:val="00D43892"/>
    <w:rsid w:val="00D4396F"/>
    <w:rsid w:val="00D44B9F"/>
    <w:rsid w:val="00D4514A"/>
    <w:rsid w:val="00D455AD"/>
    <w:rsid w:val="00D45721"/>
    <w:rsid w:val="00D459A8"/>
    <w:rsid w:val="00D45A63"/>
    <w:rsid w:val="00D463A6"/>
    <w:rsid w:val="00D46BA5"/>
    <w:rsid w:val="00D47C0E"/>
    <w:rsid w:val="00D512A9"/>
    <w:rsid w:val="00D5151C"/>
    <w:rsid w:val="00D51631"/>
    <w:rsid w:val="00D51D1B"/>
    <w:rsid w:val="00D52938"/>
    <w:rsid w:val="00D52D05"/>
    <w:rsid w:val="00D5348A"/>
    <w:rsid w:val="00D54478"/>
    <w:rsid w:val="00D56081"/>
    <w:rsid w:val="00D56320"/>
    <w:rsid w:val="00D56973"/>
    <w:rsid w:val="00D56D0E"/>
    <w:rsid w:val="00D5712B"/>
    <w:rsid w:val="00D576E5"/>
    <w:rsid w:val="00D57842"/>
    <w:rsid w:val="00D606EC"/>
    <w:rsid w:val="00D62774"/>
    <w:rsid w:val="00D62DA1"/>
    <w:rsid w:val="00D62E9C"/>
    <w:rsid w:val="00D62EC4"/>
    <w:rsid w:val="00D63EC1"/>
    <w:rsid w:val="00D6440A"/>
    <w:rsid w:val="00D64E65"/>
    <w:rsid w:val="00D64F16"/>
    <w:rsid w:val="00D65CE6"/>
    <w:rsid w:val="00D66FA1"/>
    <w:rsid w:val="00D67555"/>
    <w:rsid w:val="00D7029D"/>
    <w:rsid w:val="00D70C4C"/>
    <w:rsid w:val="00D70EE4"/>
    <w:rsid w:val="00D70F67"/>
    <w:rsid w:val="00D71CD7"/>
    <w:rsid w:val="00D71E67"/>
    <w:rsid w:val="00D72087"/>
    <w:rsid w:val="00D72BFA"/>
    <w:rsid w:val="00D72ECE"/>
    <w:rsid w:val="00D7400E"/>
    <w:rsid w:val="00D7402D"/>
    <w:rsid w:val="00D746DA"/>
    <w:rsid w:val="00D74DB0"/>
    <w:rsid w:val="00D7532B"/>
    <w:rsid w:val="00D75725"/>
    <w:rsid w:val="00D75B6D"/>
    <w:rsid w:val="00D76953"/>
    <w:rsid w:val="00D76A01"/>
    <w:rsid w:val="00D76B2F"/>
    <w:rsid w:val="00D775F7"/>
    <w:rsid w:val="00D807A4"/>
    <w:rsid w:val="00D80CAE"/>
    <w:rsid w:val="00D81203"/>
    <w:rsid w:val="00D8154B"/>
    <w:rsid w:val="00D816CB"/>
    <w:rsid w:val="00D82CE7"/>
    <w:rsid w:val="00D83092"/>
    <w:rsid w:val="00D83624"/>
    <w:rsid w:val="00D84487"/>
    <w:rsid w:val="00D846FB"/>
    <w:rsid w:val="00D84B80"/>
    <w:rsid w:val="00D85491"/>
    <w:rsid w:val="00D85807"/>
    <w:rsid w:val="00D85CC1"/>
    <w:rsid w:val="00D86E5A"/>
    <w:rsid w:val="00D906B0"/>
    <w:rsid w:val="00D90D2C"/>
    <w:rsid w:val="00D924C7"/>
    <w:rsid w:val="00D925C7"/>
    <w:rsid w:val="00D927E6"/>
    <w:rsid w:val="00D9285C"/>
    <w:rsid w:val="00D93FCA"/>
    <w:rsid w:val="00D94466"/>
    <w:rsid w:val="00D94652"/>
    <w:rsid w:val="00D947C9"/>
    <w:rsid w:val="00D94856"/>
    <w:rsid w:val="00D9516D"/>
    <w:rsid w:val="00D9616F"/>
    <w:rsid w:val="00D97350"/>
    <w:rsid w:val="00D973ED"/>
    <w:rsid w:val="00D9757C"/>
    <w:rsid w:val="00D97B0B"/>
    <w:rsid w:val="00D97EB0"/>
    <w:rsid w:val="00D97F31"/>
    <w:rsid w:val="00DA0CD8"/>
    <w:rsid w:val="00DA1338"/>
    <w:rsid w:val="00DA18C6"/>
    <w:rsid w:val="00DA2617"/>
    <w:rsid w:val="00DA2BA8"/>
    <w:rsid w:val="00DA3062"/>
    <w:rsid w:val="00DA34D8"/>
    <w:rsid w:val="00DA4CBD"/>
    <w:rsid w:val="00DA5057"/>
    <w:rsid w:val="00DA596F"/>
    <w:rsid w:val="00DA62EB"/>
    <w:rsid w:val="00DA6BE3"/>
    <w:rsid w:val="00DA7F24"/>
    <w:rsid w:val="00DB0328"/>
    <w:rsid w:val="00DB0ADA"/>
    <w:rsid w:val="00DB1221"/>
    <w:rsid w:val="00DB1631"/>
    <w:rsid w:val="00DB247F"/>
    <w:rsid w:val="00DB3011"/>
    <w:rsid w:val="00DB31FA"/>
    <w:rsid w:val="00DB44F3"/>
    <w:rsid w:val="00DB5374"/>
    <w:rsid w:val="00DB5519"/>
    <w:rsid w:val="00DB605B"/>
    <w:rsid w:val="00DB6133"/>
    <w:rsid w:val="00DB709A"/>
    <w:rsid w:val="00DB7DD3"/>
    <w:rsid w:val="00DC0370"/>
    <w:rsid w:val="00DC08E1"/>
    <w:rsid w:val="00DC0FA6"/>
    <w:rsid w:val="00DC2C74"/>
    <w:rsid w:val="00DC323F"/>
    <w:rsid w:val="00DC3597"/>
    <w:rsid w:val="00DC3D89"/>
    <w:rsid w:val="00DC3F09"/>
    <w:rsid w:val="00DC480C"/>
    <w:rsid w:val="00DC4E3F"/>
    <w:rsid w:val="00DC4FB5"/>
    <w:rsid w:val="00DC5112"/>
    <w:rsid w:val="00DC5226"/>
    <w:rsid w:val="00DC55F9"/>
    <w:rsid w:val="00DC56EE"/>
    <w:rsid w:val="00DC5C2A"/>
    <w:rsid w:val="00DC6475"/>
    <w:rsid w:val="00DC683A"/>
    <w:rsid w:val="00DC6F94"/>
    <w:rsid w:val="00DC76A3"/>
    <w:rsid w:val="00DC7809"/>
    <w:rsid w:val="00DD011F"/>
    <w:rsid w:val="00DD0F74"/>
    <w:rsid w:val="00DD11D3"/>
    <w:rsid w:val="00DD1B90"/>
    <w:rsid w:val="00DD2490"/>
    <w:rsid w:val="00DD28C3"/>
    <w:rsid w:val="00DD3197"/>
    <w:rsid w:val="00DD3444"/>
    <w:rsid w:val="00DD43C9"/>
    <w:rsid w:val="00DD46EA"/>
    <w:rsid w:val="00DD4C5C"/>
    <w:rsid w:val="00DD4F15"/>
    <w:rsid w:val="00DD524C"/>
    <w:rsid w:val="00DD52A5"/>
    <w:rsid w:val="00DD5DDD"/>
    <w:rsid w:val="00DD669E"/>
    <w:rsid w:val="00DD6BF0"/>
    <w:rsid w:val="00DD76A3"/>
    <w:rsid w:val="00DD775A"/>
    <w:rsid w:val="00DD7B3C"/>
    <w:rsid w:val="00DE07CD"/>
    <w:rsid w:val="00DE0BA1"/>
    <w:rsid w:val="00DE23F9"/>
    <w:rsid w:val="00DE368E"/>
    <w:rsid w:val="00DE3793"/>
    <w:rsid w:val="00DE39CE"/>
    <w:rsid w:val="00DE42D0"/>
    <w:rsid w:val="00DE45BB"/>
    <w:rsid w:val="00DE4E98"/>
    <w:rsid w:val="00DE7A1C"/>
    <w:rsid w:val="00DE7A73"/>
    <w:rsid w:val="00DF0A19"/>
    <w:rsid w:val="00DF0A30"/>
    <w:rsid w:val="00DF0AD9"/>
    <w:rsid w:val="00DF287D"/>
    <w:rsid w:val="00DF357B"/>
    <w:rsid w:val="00DF377A"/>
    <w:rsid w:val="00DF3A14"/>
    <w:rsid w:val="00DF4377"/>
    <w:rsid w:val="00DF446D"/>
    <w:rsid w:val="00DF4532"/>
    <w:rsid w:val="00DF4A62"/>
    <w:rsid w:val="00DF6115"/>
    <w:rsid w:val="00DF6BE1"/>
    <w:rsid w:val="00DF6CAB"/>
    <w:rsid w:val="00DF70BD"/>
    <w:rsid w:val="00DF70C3"/>
    <w:rsid w:val="00DF747A"/>
    <w:rsid w:val="00DF76C1"/>
    <w:rsid w:val="00E00B7E"/>
    <w:rsid w:val="00E00BC3"/>
    <w:rsid w:val="00E0198A"/>
    <w:rsid w:val="00E029AE"/>
    <w:rsid w:val="00E02B87"/>
    <w:rsid w:val="00E02C18"/>
    <w:rsid w:val="00E02F3D"/>
    <w:rsid w:val="00E031DF"/>
    <w:rsid w:val="00E034CD"/>
    <w:rsid w:val="00E03EC7"/>
    <w:rsid w:val="00E043F3"/>
    <w:rsid w:val="00E066C5"/>
    <w:rsid w:val="00E06EC4"/>
    <w:rsid w:val="00E07706"/>
    <w:rsid w:val="00E108F9"/>
    <w:rsid w:val="00E11133"/>
    <w:rsid w:val="00E11152"/>
    <w:rsid w:val="00E11792"/>
    <w:rsid w:val="00E12074"/>
    <w:rsid w:val="00E123D9"/>
    <w:rsid w:val="00E12AE5"/>
    <w:rsid w:val="00E12C18"/>
    <w:rsid w:val="00E12E67"/>
    <w:rsid w:val="00E1300C"/>
    <w:rsid w:val="00E1367C"/>
    <w:rsid w:val="00E13AC8"/>
    <w:rsid w:val="00E14078"/>
    <w:rsid w:val="00E141C8"/>
    <w:rsid w:val="00E14F59"/>
    <w:rsid w:val="00E15250"/>
    <w:rsid w:val="00E15453"/>
    <w:rsid w:val="00E15B50"/>
    <w:rsid w:val="00E16381"/>
    <w:rsid w:val="00E168F6"/>
    <w:rsid w:val="00E16D08"/>
    <w:rsid w:val="00E201F5"/>
    <w:rsid w:val="00E21209"/>
    <w:rsid w:val="00E214EB"/>
    <w:rsid w:val="00E21BA6"/>
    <w:rsid w:val="00E23508"/>
    <w:rsid w:val="00E24F45"/>
    <w:rsid w:val="00E25060"/>
    <w:rsid w:val="00E25843"/>
    <w:rsid w:val="00E26C72"/>
    <w:rsid w:val="00E26CEC"/>
    <w:rsid w:val="00E26E15"/>
    <w:rsid w:val="00E27038"/>
    <w:rsid w:val="00E27D56"/>
    <w:rsid w:val="00E3156E"/>
    <w:rsid w:val="00E323B3"/>
    <w:rsid w:val="00E32B37"/>
    <w:rsid w:val="00E346E8"/>
    <w:rsid w:val="00E35E51"/>
    <w:rsid w:val="00E4072F"/>
    <w:rsid w:val="00E40C43"/>
    <w:rsid w:val="00E41931"/>
    <w:rsid w:val="00E4239D"/>
    <w:rsid w:val="00E429CB"/>
    <w:rsid w:val="00E42B2E"/>
    <w:rsid w:val="00E42DD7"/>
    <w:rsid w:val="00E42DF3"/>
    <w:rsid w:val="00E430AA"/>
    <w:rsid w:val="00E43177"/>
    <w:rsid w:val="00E43969"/>
    <w:rsid w:val="00E43A0A"/>
    <w:rsid w:val="00E44B36"/>
    <w:rsid w:val="00E45366"/>
    <w:rsid w:val="00E4563D"/>
    <w:rsid w:val="00E45D7D"/>
    <w:rsid w:val="00E45F2A"/>
    <w:rsid w:val="00E46907"/>
    <w:rsid w:val="00E4773A"/>
    <w:rsid w:val="00E47EFF"/>
    <w:rsid w:val="00E52128"/>
    <w:rsid w:val="00E52995"/>
    <w:rsid w:val="00E5329A"/>
    <w:rsid w:val="00E544C3"/>
    <w:rsid w:val="00E54677"/>
    <w:rsid w:val="00E548D0"/>
    <w:rsid w:val="00E54CEC"/>
    <w:rsid w:val="00E54E51"/>
    <w:rsid w:val="00E557F5"/>
    <w:rsid w:val="00E563F3"/>
    <w:rsid w:val="00E5653C"/>
    <w:rsid w:val="00E573F0"/>
    <w:rsid w:val="00E577BA"/>
    <w:rsid w:val="00E600B5"/>
    <w:rsid w:val="00E602A6"/>
    <w:rsid w:val="00E60721"/>
    <w:rsid w:val="00E61429"/>
    <w:rsid w:val="00E618C7"/>
    <w:rsid w:val="00E6251E"/>
    <w:rsid w:val="00E633B4"/>
    <w:rsid w:val="00E6630B"/>
    <w:rsid w:val="00E666E3"/>
    <w:rsid w:val="00E70310"/>
    <w:rsid w:val="00E72123"/>
    <w:rsid w:val="00E723A6"/>
    <w:rsid w:val="00E72C99"/>
    <w:rsid w:val="00E731A0"/>
    <w:rsid w:val="00E73C9C"/>
    <w:rsid w:val="00E74758"/>
    <w:rsid w:val="00E759A0"/>
    <w:rsid w:val="00E75C15"/>
    <w:rsid w:val="00E76A4E"/>
    <w:rsid w:val="00E76D7B"/>
    <w:rsid w:val="00E76EA4"/>
    <w:rsid w:val="00E81576"/>
    <w:rsid w:val="00E81B03"/>
    <w:rsid w:val="00E8239D"/>
    <w:rsid w:val="00E82B78"/>
    <w:rsid w:val="00E82D51"/>
    <w:rsid w:val="00E8365B"/>
    <w:rsid w:val="00E84063"/>
    <w:rsid w:val="00E8568A"/>
    <w:rsid w:val="00E85902"/>
    <w:rsid w:val="00E85D63"/>
    <w:rsid w:val="00E870B8"/>
    <w:rsid w:val="00E87629"/>
    <w:rsid w:val="00E90EB6"/>
    <w:rsid w:val="00E91048"/>
    <w:rsid w:val="00E9132D"/>
    <w:rsid w:val="00E9168D"/>
    <w:rsid w:val="00E9170F"/>
    <w:rsid w:val="00E92038"/>
    <w:rsid w:val="00E921E6"/>
    <w:rsid w:val="00E92451"/>
    <w:rsid w:val="00E94183"/>
    <w:rsid w:val="00E942E2"/>
    <w:rsid w:val="00E94EE9"/>
    <w:rsid w:val="00E94F3D"/>
    <w:rsid w:val="00E94F58"/>
    <w:rsid w:val="00E954C8"/>
    <w:rsid w:val="00E95D42"/>
    <w:rsid w:val="00E965CF"/>
    <w:rsid w:val="00E96A4E"/>
    <w:rsid w:val="00E96F67"/>
    <w:rsid w:val="00E972BD"/>
    <w:rsid w:val="00EA07FA"/>
    <w:rsid w:val="00EA1393"/>
    <w:rsid w:val="00EA219F"/>
    <w:rsid w:val="00EA2639"/>
    <w:rsid w:val="00EA310E"/>
    <w:rsid w:val="00EA372B"/>
    <w:rsid w:val="00EA3E27"/>
    <w:rsid w:val="00EA488A"/>
    <w:rsid w:val="00EA48C0"/>
    <w:rsid w:val="00EA5E95"/>
    <w:rsid w:val="00EA6431"/>
    <w:rsid w:val="00EA6C16"/>
    <w:rsid w:val="00EB06D8"/>
    <w:rsid w:val="00EB089C"/>
    <w:rsid w:val="00EB0C91"/>
    <w:rsid w:val="00EB0EBA"/>
    <w:rsid w:val="00EB14E6"/>
    <w:rsid w:val="00EB2161"/>
    <w:rsid w:val="00EB26B0"/>
    <w:rsid w:val="00EB2A65"/>
    <w:rsid w:val="00EB2EE4"/>
    <w:rsid w:val="00EB3A1F"/>
    <w:rsid w:val="00EB49C4"/>
    <w:rsid w:val="00EB4FC1"/>
    <w:rsid w:val="00EB5478"/>
    <w:rsid w:val="00EB602E"/>
    <w:rsid w:val="00EB6D01"/>
    <w:rsid w:val="00EB7189"/>
    <w:rsid w:val="00EB744F"/>
    <w:rsid w:val="00EC003B"/>
    <w:rsid w:val="00EC094C"/>
    <w:rsid w:val="00EC0E1E"/>
    <w:rsid w:val="00EC17BE"/>
    <w:rsid w:val="00EC2FB1"/>
    <w:rsid w:val="00EC422A"/>
    <w:rsid w:val="00EC4822"/>
    <w:rsid w:val="00EC4909"/>
    <w:rsid w:val="00EC4FF0"/>
    <w:rsid w:val="00EC53FD"/>
    <w:rsid w:val="00EC5840"/>
    <w:rsid w:val="00EC5AEF"/>
    <w:rsid w:val="00EC5E7A"/>
    <w:rsid w:val="00EC60D6"/>
    <w:rsid w:val="00EC61D9"/>
    <w:rsid w:val="00EC680B"/>
    <w:rsid w:val="00EC689B"/>
    <w:rsid w:val="00EC6A9F"/>
    <w:rsid w:val="00EC6B52"/>
    <w:rsid w:val="00EC7197"/>
    <w:rsid w:val="00EC7A2F"/>
    <w:rsid w:val="00ED0C2C"/>
    <w:rsid w:val="00ED0EA2"/>
    <w:rsid w:val="00ED1211"/>
    <w:rsid w:val="00ED1773"/>
    <w:rsid w:val="00ED32FC"/>
    <w:rsid w:val="00ED3C19"/>
    <w:rsid w:val="00ED418D"/>
    <w:rsid w:val="00ED4524"/>
    <w:rsid w:val="00ED7FBB"/>
    <w:rsid w:val="00EE00EA"/>
    <w:rsid w:val="00EE08C0"/>
    <w:rsid w:val="00EE186F"/>
    <w:rsid w:val="00EE1AA1"/>
    <w:rsid w:val="00EE2587"/>
    <w:rsid w:val="00EE379E"/>
    <w:rsid w:val="00EE3BA5"/>
    <w:rsid w:val="00EE3FAA"/>
    <w:rsid w:val="00EE4771"/>
    <w:rsid w:val="00EE5457"/>
    <w:rsid w:val="00EE69EE"/>
    <w:rsid w:val="00EE7077"/>
    <w:rsid w:val="00EF03CF"/>
    <w:rsid w:val="00EF03EE"/>
    <w:rsid w:val="00EF090F"/>
    <w:rsid w:val="00EF0B46"/>
    <w:rsid w:val="00EF0CB2"/>
    <w:rsid w:val="00EF129E"/>
    <w:rsid w:val="00EF36D3"/>
    <w:rsid w:val="00EF3AFA"/>
    <w:rsid w:val="00EF3C60"/>
    <w:rsid w:val="00EF3CF2"/>
    <w:rsid w:val="00EF4280"/>
    <w:rsid w:val="00EF43C3"/>
    <w:rsid w:val="00EF5C99"/>
    <w:rsid w:val="00EF5EDC"/>
    <w:rsid w:val="00EF6C53"/>
    <w:rsid w:val="00EF6FE0"/>
    <w:rsid w:val="00EF7BAF"/>
    <w:rsid w:val="00F007E4"/>
    <w:rsid w:val="00F01229"/>
    <w:rsid w:val="00F0123A"/>
    <w:rsid w:val="00F01A9E"/>
    <w:rsid w:val="00F026BC"/>
    <w:rsid w:val="00F03488"/>
    <w:rsid w:val="00F03C47"/>
    <w:rsid w:val="00F06560"/>
    <w:rsid w:val="00F07D1C"/>
    <w:rsid w:val="00F102DD"/>
    <w:rsid w:val="00F125DF"/>
    <w:rsid w:val="00F130BD"/>
    <w:rsid w:val="00F138E5"/>
    <w:rsid w:val="00F13DD2"/>
    <w:rsid w:val="00F146FB"/>
    <w:rsid w:val="00F15B74"/>
    <w:rsid w:val="00F1601C"/>
    <w:rsid w:val="00F162D4"/>
    <w:rsid w:val="00F1636E"/>
    <w:rsid w:val="00F21343"/>
    <w:rsid w:val="00F21F6B"/>
    <w:rsid w:val="00F222BA"/>
    <w:rsid w:val="00F22639"/>
    <w:rsid w:val="00F22673"/>
    <w:rsid w:val="00F22734"/>
    <w:rsid w:val="00F228A9"/>
    <w:rsid w:val="00F229C8"/>
    <w:rsid w:val="00F22D31"/>
    <w:rsid w:val="00F236AC"/>
    <w:rsid w:val="00F23844"/>
    <w:rsid w:val="00F24077"/>
    <w:rsid w:val="00F24166"/>
    <w:rsid w:val="00F24C16"/>
    <w:rsid w:val="00F24C48"/>
    <w:rsid w:val="00F25F2C"/>
    <w:rsid w:val="00F261C5"/>
    <w:rsid w:val="00F26E3A"/>
    <w:rsid w:val="00F2747A"/>
    <w:rsid w:val="00F27714"/>
    <w:rsid w:val="00F2795F"/>
    <w:rsid w:val="00F301DF"/>
    <w:rsid w:val="00F3047B"/>
    <w:rsid w:val="00F31F6E"/>
    <w:rsid w:val="00F324D5"/>
    <w:rsid w:val="00F327DD"/>
    <w:rsid w:val="00F329B4"/>
    <w:rsid w:val="00F32B8C"/>
    <w:rsid w:val="00F32CDC"/>
    <w:rsid w:val="00F32F29"/>
    <w:rsid w:val="00F33155"/>
    <w:rsid w:val="00F333A3"/>
    <w:rsid w:val="00F347B1"/>
    <w:rsid w:val="00F35B2B"/>
    <w:rsid w:val="00F36101"/>
    <w:rsid w:val="00F3656A"/>
    <w:rsid w:val="00F36C40"/>
    <w:rsid w:val="00F3740D"/>
    <w:rsid w:val="00F37B1E"/>
    <w:rsid w:val="00F406C0"/>
    <w:rsid w:val="00F4086D"/>
    <w:rsid w:val="00F40E9B"/>
    <w:rsid w:val="00F411AE"/>
    <w:rsid w:val="00F41555"/>
    <w:rsid w:val="00F4176B"/>
    <w:rsid w:val="00F42949"/>
    <w:rsid w:val="00F4320D"/>
    <w:rsid w:val="00F43AC4"/>
    <w:rsid w:val="00F4472F"/>
    <w:rsid w:val="00F45A48"/>
    <w:rsid w:val="00F46007"/>
    <w:rsid w:val="00F46FD9"/>
    <w:rsid w:val="00F47B8C"/>
    <w:rsid w:val="00F501B6"/>
    <w:rsid w:val="00F50278"/>
    <w:rsid w:val="00F502C2"/>
    <w:rsid w:val="00F50A05"/>
    <w:rsid w:val="00F52AFD"/>
    <w:rsid w:val="00F53416"/>
    <w:rsid w:val="00F53750"/>
    <w:rsid w:val="00F53B6E"/>
    <w:rsid w:val="00F53D4E"/>
    <w:rsid w:val="00F53FC6"/>
    <w:rsid w:val="00F549F3"/>
    <w:rsid w:val="00F55E63"/>
    <w:rsid w:val="00F5624A"/>
    <w:rsid w:val="00F564DA"/>
    <w:rsid w:val="00F5653A"/>
    <w:rsid w:val="00F56C91"/>
    <w:rsid w:val="00F57513"/>
    <w:rsid w:val="00F578A5"/>
    <w:rsid w:val="00F609BA"/>
    <w:rsid w:val="00F6149F"/>
    <w:rsid w:val="00F615E1"/>
    <w:rsid w:val="00F628EC"/>
    <w:rsid w:val="00F636ED"/>
    <w:rsid w:val="00F637A6"/>
    <w:rsid w:val="00F639B9"/>
    <w:rsid w:val="00F63A81"/>
    <w:rsid w:val="00F63BA1"/>
    <w:rsid w:val="00F644A4"/>
    <w:rsid w:val="00F64C1A"/>
    <w:rsid w:val="00F65029"/>
    <w:rsid w:val="00F65098"/>
    <w:rsid w:val="00F66CD6"/>
    <w:rsid w:val="00F704E0"/>
    <w:rsid w:val="00F70A26"/>
    <w:rsid w:val="00F70B06"/>
    <w:rsid w:val="00F70D56"/>
    <w:rsid w:val="00F7102E"/>
    <w:rsid w:val="00F71143"/>
    <w:rsid w:val="00F71206"/>
    <w:rsid w:val="00F71381"/>
    <w:rsid w:val="00F736B5"/>
    <w:rsid w:val="00F7524C"/>
    <w:rsid w:val="00F756DC"/>
    <w:rsid w:val="00F7640C"/>
    <w:rsid w:val="00F76AA7"/>
    <w:rsid w:val="00F77435"/>
    <w:rsid w:val="00F77DDE"/>
    <w:rsid w:val="00F803F9"/>
    <w:rsid w:val="00F80A12"/>
    <w:rsid w:val="00F80AB7"/>
    <w:rsid w:val="00F80E93"/>
    <w:rsid w:val="00F813C8"/>
    <w:rsid w:val="00F81C19"/>
    <w:rsid w:val="00F834DD"/>
    <w:rsid w:val="00F83AB3"/>
    <w:rsid w:val="00F84388"/>
    <w:rsid w:val="00F847F0"/>
    <w:rsid w:val="00F85602"/>
    <w:rsid w:val="00F85DF6"/>
    <w:rsid w:val="00F86530"/>
    <w:rsid w:val="00F869B0"/>
    <w:rsid w:val="00F86AF4"/>
    <w:rsid w:val="00F903BB"/>
    <w:rsid w:val="00F91EC2"/>
    <w:rsid w:val="00F92427"/>
    <w:rsid w:val="00F933C7"/>
    <w:rsid w:val="00F9390D"/>
    <w:rsid w:val="00F946F8"/>
    <w:rsid w:val="00F94D97"/>
    <w:rsid w:val="00F961B1"/>
    <w:rsid w:val="00F96720"/>
    <w:rsid w:val="00F968E3"/>
    <w:rsid w:val="00F96912"/>
    <w:rsid w:val="00F96B2A"/>
    <w:rsid w:val="00F972BA"/>
    <w:rsid w:val="00F977AF"/>
    <w:rsid w:val="00F9790D"/>
    <w:rsid w:val="00F97C04"/>
    <w:rsid w:val="00F97EC0"/>
    <w:rsid w:val="00F97F39"/>
    <w:rsid w:val="00FA0583"/>
    <w:rsid w:val="00FA0A0F"/>
    <w:rsid w:val="00FA0FFA"/>
    <w:rsid w:val="00FA1129"/>
    <w:rsid w:val="00FA2BD3"/>
    <w:rsid w:val="00FA32D5"/>
    <w:rsid w:val="00FA36C2"/>
    <w:rsid w:val="00FA554C"/>
    <w:rsid w:val="00FA631E"/>
    <w:rsid w:val="00FB01C5"/>
    <w:rsid w:val="00FB1FD0"/>
    <w:rsid w:val="00FB2946"/>
    <w:rsid w:val="00FB297C"/>
    <w:rsid w:val="00FB37D2"/>
    <w:rsid w:val="00FB4093"/>
    <w:rsid w:val="00FB4124"/>
    <w:rsid w:val="00FB4939"/>
    <w:rsid w:val="00FB4E5D"/>
    <w:rsid w:val="00FB5066"/>
    <w:rsid w:val="00FB56B6"/>
    <w:rsid w:val="00FB64B6"/>
    <w:rsid w:val="00FB65DC"/>
    <w:rsid w:val="00FB6FB9"/>
    <w:rsid w:val="00FB72BF"/>
    <w:rsid w:val="00FC0445"/>
    <w:rsid w:val="00FC0461"/>
    <w:rsid w:val="00FC0904"/>
    <w:rsid w:val="00FC1C84"/>
    <w:rsid w:val="00FC1CCF"/>
    <w:rsid w:val="00FC245F"/>
    <w:rsid w:val="00FC330D"/>
    <w:rsid w:val="00FC3513"/>
    <w:rsid w:val="00FC384A"/>
    <w:rsid w:val="00FC42FE"/>
    <w:rsid w:val="00FC5373"/>
    <w:rsid w:val="00FC67BB"/>
    <w:rsid w:val="00FC7362"/>
    <w:rsid w:val="00FC7812"/>
    <w:rsid w:val="00FC7AA2"/>
    <w:rsid w:val="00FD1597"/>
    <w:rsid w:val="00FD1E6D"/>
    <w:rsid w:val="00FD2035"/>
    <w:rsid w:val="00FD2FA8"/>
    <w:rsid w:val="00FD32E0"/>
    <w:rsid w:val="00FD4163"/>
    <w:rsid w:val="00FD4231"/>
    <w:rsid w:val="00FD42F2"/>
    <w:rsid w:val="00FD4310"/>
    <w:rsid w:val="00FD44BF"/>
    <w:rsid w:val="00FD505F"/>
    <w:rsid w:val="00FD539B"/>
    <w:rsid w:val="00FD5A64"/>
    <w:rsid w:val="00FD5BC3"/>
    <w:rsid w:val="00FD6894"/>
    <w:rsid w:val="00FD774F"/>
    <w:rsid w:val="00FD79DD"/>
    <w:rsid w:val="00FD7F48"/>
    <w:rsid w:val="00FE0063"/>
    <w:rsid w:val="00FE177A"/>
    <w:rsid w:val="00FE1854"/>
    <w:rsid w:val="00FE1A11"/>
    <w:rsid w:val="00FE3044"/>
    <w:rsid w:val="00FE470A"/>
    <w:rsid w:val="00FE4938"/>
    <w:rsid w:val="00FE56E1"/>
    <w:rsid w:val="00FE5DA7"/>
    <w:rsid w:val="00FE6064"/>
    <w:rsid w:val="00FE6363"/>
    <w:rsid w:val="00FE6955"/>
    <w:rsid w:val="00FE7AC0"/>
    <w:rsid w:val="00FE7C5A"/>
    <w:rsid w:val="00FF021A"/>
    <w:rsid w:val="00FF022B"/>
    <w:rsid w:val="00FF07B9"/>
    <w:rsid w:val="00FF190F"/>
    <w:rsid w:val="00FF2424"/>
    <w:rsid w:val="00FF2E7F"/>
    <w:rsid w:val="00FF376C"/>
    <w:rsid w:val="00FF3E10"/>
    <w:rsid w:val="00FF4164"/>
    <w:rsid w:val="00FF4A53"/>
    <w:rsid w:val="00FF4AB3"/>
    <w:rsid w:val="00FF4C5A"/>
    <w:rsid w:val="00FF510F"/>
    <w:rsid w:val="00FF5CC6"/>
    <w:rsid w:val="00FF6760"/>
    <w:rsid w:val="00FF688F"/>
    <w:rsid w:val="00FF702C"/>
    <w:rsid w:val="00FF7186"/>
    <w:rsid w:val="00FF7A93"/>
    <w:rsid w:val="00FF7B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6AFCA"/>
  <w15:docId w15:val="{DE1F1BBF-74DB-994B-B94A-0D80BE0C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5"/>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5"/>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5"/>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eastAsia="Times New Roman"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eastAsia="Times New Roman"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4"/>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4"/>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4"/>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4"/>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4"/>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6"/>
      </w:numPr>
      <w:spacing w:after="0" w:line="360" w:lineRule="auto"/>
    </w:pPr>
    <w:rPr>
      <w:rFonts w:ascii="Tahoma" w:hAnsi="Tahoma"/>
      <w:b w:val="0"/>
      <w:bCs w:val="0"/>
      <w:caps/>
      <w:kern w:val="32"/>
    </w:rPr>
  </w:style>
  <w:style w:type="paragraph" w:customStyle="1" w:styleId="1">
    <w:name w:val="1"/>
    <w:basedOn w:val="Normal"/>
    <w:qFormat/>
    <w:rsid w:val="00AA2B04"/>
    <w:pPr>
      <w:numPr>
        <w:numId w:val="8"/>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5"/>
      </w:numPr>
      <w:tabs>
        <w:tab w:val="left" w:pos="1418"/>
      </w:tabs>
      <w:spacing w:line="240" w:lineRule="auto"/>
      <w:ind w:left="1418" w:hanging="1418"/>
    </w:pPr>
    <w:rPr>
      <w:caps w:val="0"/>
      <w:sz w:val="24"/>
    </w:rPr>
  </w:style>
  <w:style w:type="paragraph" w:customStyle="1" w:styleId="Pleadingpara5">
    <w:name w:val="Pleading para 5"/>
    <w:basedOn w:val="BGHeading1AltQ"/>
    <w:qFormat/>
    <w:rsid w:val="0097277B"/>
    <w:pPr>
      <w:numPr>
        <w:ilvl w:val="4"/>
        <w:numId w:val="5"/>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
    <w:name w:val="Unresolved Mention"/>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4384">
      <w:bodyDiv w:val="1"/>
      <w:marLeft w:val="0"/>
      <w:marRight w:val="0"/>
      <w:marTop w:val="0"/>
      <w:marBottom w:val="0"/>
      <w:divBdr>
        <w:top w:val="none" w:sz="0" w:space="0" w:color="auto"/>
        <w:left w:val="none" w:sz="0" w:space="0" w:color="auto"/>
        <w:bottom w:val="none" w:sz="0" w:space="0" w:color="auto"/>
        <w:right w:val="none" w:sz="0" w:space="0" w:color="auto"/>
      </w:divBdr>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571356974">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638531110">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2739-E309-44D2-B742-2939BAAE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7443</Words>
  <Characters>42427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Mokone</cp:lastModifiedBy>
  <cp:revision>3</cp:revision>
  <cp:lastPrinted>2023-10-12T11:23:00Z</cp:lastPrinted>
  <dcterms:created xsi:type="dcterms:W3CDTF">2023-10-13T08:11:00Z</dcterms:created>
  <dcterms:modified xsi:type="dcterms:W3CDTF">2023-10-13T08:11:00Z</dcterms:modified>
</cp:coreProperties>
</file>