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9B0C1" w14:textId="77777777" w:rsidR="00ED2FC5" w:rsidRPr="00B93312" w:rsidRDefault="006D7F37" w:rsidP="006008AE">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REPUBLIC OF SOUTH AFRICA</w:t>
      </w:r>
    </w:p>
    <w:p w14:paraId="042EAA91" w14:textId="77777777" w:rsidR="00ED2FC5" w:rsidRPr="00B93312" w:rsidRDefault="006D7F37" w:rsidP="00C160A1">
      <w:pPr>
        <w:spacing w:before="120" w:after="120" w:line="360" w:lineRule="auto"/>
        <w:ind w:left="663" w:hangingChars="236" w:hanging="663"/>
        <w:jc w:val="center"/>
        <w:rPr>
          <w:rFonts w:ascii="Arial" w:eastAsia="Times New Roman" w:hAnsi="Arial" w:cs="Arial"/>
          <w:sz w:val="28"/>
          <w:szCs w:val="28"/>
          <w:lang w:eastAsia="en-GB"/>
        </w:rPr>
      </w:pPr>
      <w:r w:rsidRPr="00B93312">
        <w:rPr>
          <w:rFonts w:ascii="Arial" w:hAnsi="Arial" w:cs="Arial"/>
          <w:b/>
          <w:noProof/>
          <w:sz w:val="28"/>
          <w:szCs w:val="28"/>
          <w:lang w:val="en-US"/>
        </w:rPr>
        <w:drawing>
          <wp:inline distT="0" distB="0" distL="0" distR="0" wp14:anchorId="5B191972" wp14:editId="6CF20EF7">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1">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0D5236F9" w14:textId="77777777" w:rsidR="00ED2FC5" w:rsidRPr="00B93312" w:rsidRDefault="006D7F37"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IN THE HIGH COURT OF SOUTH AFRICA</w:t>
      </w:r>
    </w:p>
    <w:p w14:paraId="2613AE13" w14:textId="01E8333A" w:rsidR="00ED2FC5" w:rsidRPr="00B93312" w:rsidRDefault="006D7F37"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GAUTENG</w:t>
      </w:r>
      <w:r w:rsidR="00B67F05">
        <w:rPr>
          <w:rFonts w:ascii="Arial" w:eastAsia="Times New Roman" w:hAnsi="Arial" w:cs="Arial"/>
          <w:sz w:val="28"/>
          <w:szCs w:val="28"/>
          <w:lang w:eastAsia="en-GB"/>
        </w:rPr>
        <w:t xml:space="preserve"> </w:t>
      </w:r>
      <w:r w:rsidRPr="00B93312">
        <w:rPr>
          <w:rFonts w:ascii="Arial" w:eastAsia="Times New Roman" w:hAnsi="Arial" w:cs="Arial"/>
          <w:sz w:val="28"/>
          <w:szCs w:val="28"/>
          <w:lang w:eastAsia="en-GB"/>
        </w:rPr>
        <w:t xml:space="preserve">DIVISION, </w:t>
      </w:r>
      <w:r w:rsidR="002663AF">
        <w:rPr>
          <w:rFonts w:ascii="Arial" w:eastAsia="Times New Roman" w:hAnsi="Arial" w:cs="Arial"/>
          <w:sz w:val="28"/>
          <w:szCs w:val="28"/>
          <w:lang w:eastAsia="en-GB"/>
        </w:rPr>
        <w:t>PRETORIA</w:t>
      </w:r>
    </w:p>
    <w:p w14:paraId="5C09CA8B" w14:textId="77777777" w:rsidR="006704E0" w:rsidRPr="006704E0" w:rsidRDefault="006D7F37" w:rsidP="006704E0">
      <w:pPr>
        <w:pStyle w:val="NormalWeb"/>
        <w:jc w:val="right"/>
        <w:rPr>
          <w:lang w:eastAsia="en-GB"/>
        </w:rPr>
      </w:pPr>
      <w:r w:rsidRPr="00B93312">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1D3510CB" wp14:editId="17D2075A">
                <wp:simplePos x="0" y="0"/>
                <wp:positionH relativeFrom="margin">
                  <wp:posOffset>0</wp:posOffset>
                </wp:positionH>
                <wp:positionV relativeFrom="paragraph">
                  <wp:posOffset>381913</wp:posOffset>
                </wp:positionV>
                <wp:extent cx="3232785" cy="1781876"/>
                <wp:effectExtent l="0" t="0" r="1841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781876"/>
                        </a:xfrm>
                        <a:prstGeom prst="rect">
                          <a:avLst/>
                        </a:prstGeom>
                        <a:solidFill>
                          <a:srgbClr val="FFFFFF"/>
                        </a:solidFill>
                        <a:ln w="9525">
                          <a:solidFill>
                            <a:srgbClr val="000000"/>
                          </a:solidFill>
                          <a:miter lim="800000"/>
                          <a:headEnd/>
                          <a:tailEnd/>
                        </a:ln>
                      </wps:spPr>
                      <wps:txbx>
                        <w:txbxContent>
                          <w:p w14:paraId="57C4E22C" w14:textId="77777777" w:rsidR="000E009C" w:rsidRDefault="000E009C" w:rsidP="00ED2FC5">
                            <w:pPr>
                              <w:jc w:val="center"/>
                              <w:rPr>
                                <w:rFonts w:ascii="Century Gothic" w:hAnsi="Century Gothic"/>
                                <w:b/>
                                <w:sz w:val="20"/>
                                <w:szCs w:val="20"/>
                              </w:rPr>
                            </w:pPr>
                          </w:p>
                          <w:p w14:paraId="37259916" w14:textId="7577E73A" w:rsidR="000E009C" w:rsidRDefault="007557BD" w:rsidP="007557B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6D7F37">
                              <w:rPr>
                                <w:rFonts w:ascii="Century Gothic" w:hAnsi="Century Gothic"/>
                                <w:sz w:val="20"/>
                                <w:szCs w:val="20"/>
                              </w:rPr>
                              <w:t xml:space="preserve">REPORTABLE: </w:t>
                            </w:r>
                            <w:r w:rsidR="00037E6B">
                              <w:rPr>
                                <w:rFonts w:ascii="Century Gothic" w:hAnsi="Century Gothic"/>
                                <w:sz w:val="20"/>
                                <w:szCs w:val="20"/>
                              </w:rPr>
                              <w:t>NO</w:t>
                            </w:r>
                          </w:p>
                          <w:p w14:paraId="386EB86F" w14:textId="132E6225" w:rsidR="000E009C" w:rsidRDefault="007557BD" w:rsidP="007557B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6D7F37">
                              <w:rPr>
                                <w:rFonts w:ascii="Century Gothic" w:hAnsi="Century Gothic"/>
                                <w:sz w:val="20"/>
                                <w:szCs w:val="20"/>
                              </w:rPr>
                              <w:t xml:space="preserve">OF INTEREST TO OTHER JUDGES: </w:t>
                            </w:r>
                            <w:r w:rsidR="004259A6">
                              <w:rPr>
                                <w:rFonts w:ascii="Century Gothic" w:hAnsi="Century Gothic"/>
                                <w:sz w:val="20"/>
                                <w:szCs w:val="20"/>
                              </w:rPr>
                              <w:t>NO</w:t>
                            </w:r>
                          </w:p>
                          <w:p w14:paraId="0AA65331" w14:textId="629542BE" w:rsidR="000E009C" w:rsidRDefault="007557BD" w:rsidP="007557B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6D7F37">
                              <w:rPr>
                                <w:rFonts w:ascii="Century Gothic" w:hAnsi="Century Gothic"/>
                                <w:sz w:val="20"/>
                                <w:szCs w:val="20"/>
                              </w:rPr>
                              <w:t xml:space="preserve">REVISED: </w:t>
                            </w:r>
                            <w:r w:rsidR="005A1E3B">
                              <w:rPr>
                                <w:rFonts w:ascii="Century Gothic" w:hAnsi="Century Gothic"/>
                                <w:sz w:val="20"/>
                                <w:szCs w:val="20"/>
                              </w:rPr>
                              <w:t>YES</w:t>
                            </w:r>
                          </w:p>
                          <w:p w14:paraId="29D2429D" w14:textId="5EFFFCAF" w:rsidR="00133181" w:rsidRDefault="00133181" w:rsidP="00133181">
                            <w:pPr>
                              <w:spacing w:after="0" w:line="240" w:lineRule="auto"/>
                              <w:ind w:left="180"/>
                              <w:jc w:val="right"/>
                              <w:rPr>
                                <w:rFonts w:ascii="Century Gothic" w:hAnsi="Century Gothic"/>
                                <w:sz w:val="20"/>
                                <w:szCs w:val="20"/>
                              </w:rPr>
                            </w:pPr>
                          </w:p>
                          <w:p w14:paraId="02524347" w14:textId="77777777" w:rsidR="000E009C" w:rsidRDefault="006D7F37"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8EB9DC9" w14:textId="77777777" w:rsidR="000E009C" w:rsidRDefault="006D7F37"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133181">
                              <w:rPr>
                                <w:rFonts w:ascii="Arial" w:eastAsia="Times New Roman" w:hAnsi="Arial" w:cs="Arial"/>
                                <w:sz w:val="24"/>
                                <w:szCs w:val="24"/>
                                <w:lang w:eastAsia="en-GB"/>
                              </w:rPr>
                              <w:t>23 September</w:t>
                            </w:r>
                            <w:r w:rsidR="006F20C3">
                              <w:rPr>
                                <w:rFonts w:ascii="Arial" w:eastAsia="Times New Roman" w:hAnsi="Arial" w:cs="Arial"/>
                                <w:sz w:val="24"/>
                                <w:szCs w:val="24"/>
                                <w:lang w:eastAsia="en-GB"/>
                              </w:rPr>
                              <w:t xml:space="preserve"> 2023</w:t>
                            </w:r>
                          </w:p>
                          <w:p w14:paraId="7210FB31" w14:textId="77777777" w:rsidR="000E009C" w:rsidRDefault="006D7F37"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D3510CB" id="_x0000_t202" coordsize="21600,21600" o:spt="202" path="m,l,21600r21600,l21600,xe">
                <v:stroke joinstyle="miter"/>
                <v:path gradientshapeok="t" o:connecttype="rect"/>
              </v:shapetype>
              <v:shape id="Text Box 2" o:spid="_x0000_s1026" type="#_x0000_t202" style="position:absolute;left:0;text-align:left;margin-left:0;margin-top:30.05pt;width:254.55pt;height:140.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">
                <v:textbox>
                  <w:txbxContent>
                    <w:p w14:paraId="57C4E22C" w14:textId="77777777" w:rsidR="000E009C" w:rsidRDefault="000E009C" w:rsidP="00ED2FC5">
                      <w:pPr>
                        <w:jc w:val="center"/>
                        <w:rPr>
                          <w:rFonts w:ascii="Century Gothic" w:hAnsi="Century Gothic"/>
                          <w:b/>
                          <w:sz w:val="20"/>
                          <w:szCs w:val="20"/>
                        </w:rPr>
                      </w:pPr>
                    </w:p>
                    <w:p w14:paraId="37259916" w14:textId="7577E73A" w:rsidR="000E009C" w:rsidRDefault="007557BD" w:rsidP="007557B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6D7F37">
                        <w:rPr>
                          <w:rFonts w:ascii="Century Gothic" w:hAnsi="Century Gothic"/>
                          <w:sz w:val="20"/>
                          <w:szCs w:val="20"/>
                        </w:rPr>
                        <w:t xml:space="preserve">REPORTABLE: </w:t>
                      </w:r>
                      <w:r w:rsidR="00037E6B">
                        <w:rPr>
                          <w:rFonts w:ascii="Century Gothic" w:hAnsi="Century Gothic"/>
                          <w:sz w:val="20"/>
                          <w:szCs w:val="20"/>
                        </w:rPr>
                        <w:t>NO</w:t>
                      </w:r>
                    </w:p>
                    <w:p w14:paraId="386EB86F" w14:textId="132E6225" w:rsidR="000E009C" w:rsidRDefault="007557BD" w:rsidP="007557B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6D7F37">
                        <w:rPr>
                          <w:rFonts w:ascii="Century Gothic" w:hAnsi="Century Gothic"/>
                          <w:sz w:val="20"/>
                          <w:szCs w:val="20"/>
                        </w:rPr>
                        <w:t xml:space="preserve">OF INTEREST TO OTHER JUDGES: </w:t>
                      </w:r>
                      <w:r w:rsidR="004259A6">
                        <w:rPr>
                          <w:rFonts w:ascii="Century Gothic" w:hAnsi="Century Gothic"/>
                          <w:sz w:val="20"/>
                          <w:szCs w:val="20"/>
                        </w:rPr>
                        <w:t>NO</w:t>
                      </w:r>
                    </w:p>
                    <w:p w14:paraId="0AA65331" w14:textId="629542BE" w:rsidR="000E009C" w:rsidRDefault="007557BD" w:rsidP="007557B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6D7F37">
                        <w:rPr>
                          <w:rFonts w:ascii="Century Gothic" w:hAnsi="Century Gothic"/>
                          <w:sz w:val="20"/>
                          <w:szCs w:val="20"/>
                        </w:rPr>
                        <w:t xml:space="preserve">REVISED: </w:t>
                      </w:r>
                      <w:r w:rsidR="005A1E3B">
                        <w:rPr>
                          <w:rFonts w:ascii="Century Gothic" w:hAnsi="Century Gothic"/>
                          <w:sz w:val="20"/>
                          <w:szCs w:val="20"/>
                        </w:rPr>
                        <w:t>YES</w:t>
                      </w:r>
                    </w:p>
                    <w:p w14:paraId="29D2429D" w14:textId="5EFFFCAF" w:rsidR="00133181" w:rsidRDefault="00133181" w:rsidP="00133181">
                      <w:pPr>
                        <w:spacing w:after="0" w:line="240" w:lineRule="auto"/>
                        <w:ind w:left="180"/>
                        <w:jc w:val="right"/>
                        <w:rPr>
                          <w:rFonts w:ascii="Century Gothic" w:hAnsi="Century Gothic"/>
                          <w:sz w:val="20"/>
                          <w:szCs w:val="20"/>
                        </w:rPr>
                      </w:pPr>
                    </w:p>
                    <w:p w14:paraId="02524347" w14:textId="77777777" w:rsidR="000E009C" w:rsidRDefault="006D7F37"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8EB9DC9" w14:textId="77777777" w:rsidR="000E009C" w:rsidRDefault="006D7F37"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133181">
                        <w:rPr>
                          <w:rFonts w:ascii="Arial" w:eastAsia="Times New Roman" w:hAnsi="Arial" w:cs="Arial"/>
                          <w:sz w:val="24"/>
                          <w:szCs w:val="24"/>
                          <w:lang w:eastAsia="en-GB"/>
                        </w:rPr>
                        <w:t>23 September</w:t>
                      </w:r>
                      <w:r w:rsidR="006F20C3">
                        <w:rPr>
                          <w:rFonts w:ascii="Arial" w:eastAsia="Times New Roman" w:hAnsi="Arial" w:cs="Arial"/>
                          <w:sz w:val="24"/>
                          <w:szCs w:val="24"/>
                          <w:lang w:eastAsia="en-GB"/>
                        </w:rPr>
                        <w:t xml:space="preserve"> 2023</w:t>
                      </w:r>
                    </w:p>
                    <w:p w14:paraId="7210FB31" w14:textId="77777777" w:rsidR="000E009C" w:rsidRDefault="006D7F37"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51111F" w:rsidRPr="006704E0">
        <w:rPr>
          <w:rFonts w:ascii="Arial" w:hAnsi="Arial" w:cs="Arial"/>
          <w:lang w:eastAsia="en-GB"/>
        </w:rPr>
        <w:t>CASE NO:</w:t>
      </w:r>
      <w:r w:rsidR="00377FDC" w:rsidRPr="006704E0">
        <w:rPr>
          <w:rFonts w:ascii="Arial" w:hAnsi="Arial" w:cs="Arial"/>
          <w:lang w:eastAsia="en-GB"/>
        </w:rPr>
        <w:t xml:space="preserve"> </w:t>
      </w:r>
      <w:r w:rsidR="00037E6B">
        <w:rPr>
          <w:rFonts w:ascii="Arial" w:hAnsi="Arial" w:cs="Arial"/>
          <w:b/>
          <w:bCs/>
          <w:lang w:eastAsia="en-GB"/>
        </w:rPr>
        <w:t>33023/2017</w:t>
      </w:r>
    </w:p>
    <w:p w14:paraId="7EAC26CF" w14:textId="77777777" w:rsidR="00665539" w:rsidRPr="00B93312" w:rsidRDefault="00665539" w:rsidP="00FC3DC3">
      <w:pPr>
        <w:spacing w:after="0" w:line="240" w:lineRule="auto"/>
        <w:ind w:left="661" w:hangingChars="236" w:hanging="661"/>
        <w:jc w:val="right"/>
        <w:rPr>
          <w:rFonts w:ascii="Arial" w:eastAsia="Times New Roman" w:hAnsi="Arial" w:cs="Arial"/>
          <w:sz w:val="28"/>
          <w:szCs w:val="28"/>
          <w:lang w:eastAsia="en-GB"/>
        </w:rPr>
      </w:pPr>
    </w:p>
    <w:p w14:paraId="2D59DE1E" w14:textId="77777777" w:rsidR="002033C4" w:rsidRPr="00B93312"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6BAAF5BE" w14:textId="77777777" w:rsidR="00C160A1" w:rsidRPr="00B93312" w:rsidRDefault="00C160A1" w:rsidP="00C160A1">
      <w:pPr>
        <w:spacing w:before="120" w:after="120" w:line="360" w:lineRule="auto"/>
        <w:jc w:val="center"/>
        <w:rPr>
          <w:rFonts w:ascii="Arial" w:hAnsi="Arial" w:cs="Arial"/>
          <w:sz w:val="24"/>
          <w:szCs w:val="24"/>
        </w:rPr>
      </w:pPr>
    </w:p>
    <w:p w14:paraId="18A279DB" w14:textId="77777777" w:rsidR="00ED2FC5" w:rsidRPr="00B93312" w:rsidRDefault="00ED2FC5" w:rsidP="00C160A1">
      <w:pPr>
        <w:tabs>
          <w:tab w:val="left" w:pos="4917"/>
        </w:tabs>
        <w:spacing w:before="120" w:after="120" w:line="360" w:lineRule="auto"/>
        <w:jc w:val="center"/>
        <w:rPr>
          <w:rFonts w:ascii="Arial" w:hAnsi="Arial" w:cs="Arial"/>
          <w:sz w:val="24"/>
          <w:szCs w:val="24"/>
        </w:rPr>
      </w:pPr>
    </w:p>
    <w:p w14:paraId="2C29758A" w14:textId="77777777" w:rsidR="00ED2FC5" w:rsidRPr="00B93312" w:rsidRDefault="00ED2FC5" w:rsidP="00C160A1">
      <w:pPr>
        <w:tabs>
          <w:tab w:val="left" w:pos="4917"/>
        </w:tabs>
        <w:spacing w:before="120" w:after="120" w:line="360" w:lineRule="auto"/>
        <w:jc w:val="center"/>
        <w:rPr>
          <w:rFonts w:ascii="Arial" w:hAnsi="Arial" w:cs="Arial"/>
          <w:sz w:val="24"/>
          <w:szCs w:val="24"/>
        </w:rPr>
      </w:pPr>
    </w:p>
    <w:p w14:paraId="4D8F04B3" w14:textId="77777777" w:rsidR="00C17911" w:rsidRPr="00B93312" w:rsidRDefault="00C17911" w:rsidP="00C85D57">
      <w:pPr>
        <w:tabs>
          <w:tab w:val="left" w:pos="4917"/>
        </w:tabs>
        <w:spacing w:before="120" w:after="120" w:line="360" w:lineRule="auto"/>
        <w:rPr>
          <w:rFonts w:ascii="Arial" w:hAnsi="Arial" w:cs="Arial"/>
          <w:sz w:val="24"/>
          <w:szCs w:val="24"/>
        </w:rPr>
      </w:pPr>
    </w:p>
    <w:p w14:paraId="02B43181" w14:textId="77777777" w:rsidR="00133181" w:rsidRDefault="00133181" w:rsidP="009C6780">
      <w:pPr>
        <w:tabs>
          <w:tab w:val="left" w:pos="4917"/>
        </w:tabs>
        <w:spacing w:before="120" w:after="120" w:line="360" w:lineRule="auto"/>
        <w:rPr>
          <w:rFonts w:ascii="Arial" w:hAnsi="Arial" w:cs="Arial"/>
          <w:sz w:val="24"/>
          <w:szCs w:val="24"/>
        </w:rPr>
      </w:pPr>
    </w:p>
    <w:p w14:paraId="55DBD99C" w14:textId="77777777" w:rsidR="009C6780" w:rsidRPr="00B93312" w:rsidRDefault="006D7F37" w:rsidP="009C6780">
      <w:pPr>
        <w:tabs>
          <w:tab w:val="left" w:pos="4917"/>
        </w:tabs>
        <w:spacing w:before="120" w:after="120" w:line="360" w:lineRule="auto"/>
        <w:rPr>
          <w:rFonts w:ascii="Arial" w:hAnsi="Arial" w:cs="Arial"/>
          <w:sz w:val="24"/>
          <w:szCs w:val="24"/>
        </w:rPr>
      </w:pPr>
      <w:r w:rsidRPr="00B93312">
        <w:rPr>
          <w:rFonts w:ascii="Arial" w:hAnsi="Arial" w:cs="Arial"/>
          <w:sz w:val="24"/>
          <w:szCs w:val="24"/>
        </w:rPr>
        <w:t>In the matter between:</w:t>
      </w:r>
    </w:p>
    <w:p w14:paraId="6E3814E8" w14:textId="77777777" w:rsidR="00BB506C" w:rsidRPr="001E75E8" w:rsidRDefault="006D7F37" w:rsidP="009C6780">
      <w:pPr>
        <w:tabs>
          <w:tab w:val="left" w:pos="4917"/>
        </w:tabs>
        <w:spacing w:before="120" w:after="120" w:line="360" w:lineRule="auto"/>
        <w:rPr>
          <w:rFonts w:ascii="Arial" w:hAnsi="Arial" w:cs="Arial"/>
          <w:sz w:val="24"/>
          <w:szCs w:val="24"/>
        </w:rPr>
      </w:pPr>
      <w:r>
        <w:rPr>
          <w:rFonts w:ascii="Arial" w:hAnsi="Arial" w:cs="Arial"/>
          <w:b/>
          <w:sz w:val="24"/>
          <w:szCs w:val="24"/>
        </w:rPr>
        <w:t>SAWADOGO GENERAL TRADING C.C.</w:t>
      </w:r>
      <w:r w:rsidR="0051111F" w:rsidRPr="001E75E8">
        <w:rPr>
          <w:rFonts w:ascii="Arial" w:hAnsi="Arial" w:cs="Arial"/>
          <w:sz w:val="24"/>
          <w:szCs w:val="24"/>
        </w:rPr>
        <w:tab/>
      </w:r>
      <w:r w:rsidR="0051111F" w:rsidRPr="001E75E8">
        <w:rPr>
          <w:rFonts w:ascii="Arial" w:hAnsi="Arial" w:cs="Arial"/>
          <w:sz w:val="24"/>
          <w:szCs w:val="24"/>
        </w:rPr>
        <w:tab/>
      </w:r>
      <w:r w:rsidR="0051111F" w:rsidRPr="001E75E8">
        <w:rPr>
          <w:rFonts w:ascii="Arial" w:hAnsi="Arial" w:cs="Arial"/>
          <w:sz w:val="24"/>
          <w:szCs w:val="24"/>
        </w:rPr>
        <w:tab/>
      </w:r>
      <w:r w:rsidR="001E75E8" w:rsidRPr="001E75E8">
        <w:rPr>
          <w:rFonts w:ascii="Arial" w:hAnsi="Arial" w:cs="Arial"/>
          <w:sz w:val="24"/>
          <w:szCs w:val="24"/>
        </w:rPr>
        <w:t xml:space="preserve">       </w:t>
      </w:r>
      <w:r w:rsidR="005A1D49">
        <w:rPr>
          <w:rFonts w:ascii="Arial" w:hAnsi="Arial" w:cs="Arial"/>
          <w:sz w:val="24"/>
          <w:szCs w:val="24"/>
        </w:rPr>
        <w:t xml:space="preserve"> </w:t>
      </w:r>
      <w:r w:rsidR="005A1D49">
        <w:rPr>
          <w:rFonts w:ascii="Arial" w:hAnsi="Arial" w:cs="Arial"/>
          <w:sz w:val="24"/>
          <w:szCs w:val="24"/>
        </w:rPr>
        <w:tab/>
      </w:r>
      <w:r w:rsidR="005A1D49">
        <w:rPr>
          <w:rFonts w:ascii="Arial" w:hAnsi="Arial" w:cs="Arial"/>
          <w:sz w:val="24"/>
          <w:szCs w:val="24"/>
        </w:rPr>
        <w:tab/>
      </w:r>
      <w:r w:rsidR="005A1D49">
        <w:rPr>
          <w:rFonts w:ascii="Arial" w:hAnsi="Arial" w:cs="Arial"/>
          <w:sz w:val="24"/>
          <w:szCs w:val="24"/>
        </w:rPr>
        <w:tab/>
        <w:t xml:space="preserve">         </w:t>
      </w:r>
      <w:r w:rsidR="00EF0CDB">
        <w:rPr>
          <w:rFonts w:ascii="Arial" w:hAnsi="Arial" w:cs="Arial"/>
          <w:sz w:val="24"/>
          <w:szCs w:val="24"/>
        </w:rPr>
        <w:t>App</w:t>
      </w:r>
      <w:r w:rsidR="0051111F">
        <w:rPr>
          <w:rFonts w:ascii="Arial" w:hAnsi="Arial" w:cs="Arial"/>
          <w:sz w:val="24"/>
          <w:szCs w:val="24"/>
        </w:rPr>
        <w:t>licant</w:t>
      </w:r>
    </w:p>
    <w:p w14:paraId="7886F3F3" w14:textId="77777777" w:rsidR="00BB506C" w:rsidRPr="001E75E8" w:rsidRDefault="006D7F37" w:rsidP="009C6780">
      <w:pPr>
        <w:tabs>
          <w:tab w:val="left" w:pos="4917"/>
        </w:tabs>
        <w:spacing w:before="120" w:after="120" w:line="360" w:lineRule="auto"/>
        <w:rPr>
          <w:rFonts w:ascii="Arial" w:hAnsi="Arial" w:cs="Arial"/>
          <w:sz w:val="24"/>
          <w:szCs w:val="24"/>
        </w:rPr>
      </w:pPr>
      <w:r w:rsidRPr="001E75E8">
        <w:rPr>
          <w:rFonts w:ascii="Arial" w:hAnsi="Arial" w:cs="Arial"/>
          <w:sz w:val="24"/>
          <w:szCs w:val="24"/>
        </w:rPr>
        <w:t>and</w:t>
      </w:r>
    </w:p>
    <w:p w14:paraId="6C49B23A" w14:textId="77777777" w:rsidR="00037E6B" w:rsidRDefault="006D7F37" w:rsidP="00F93331">
      <w:pPr>
        <w:spacing w:before="100" w:beforeAutospacing="1" w:after="100" w:afterAutospacing="1" w:line="240" w:lineRule="auto"/>
        <w:rPr>
          <w:rFonts w:ascii="Arial" w:hAnsi="Arial" w:cs="Arial"/>
          <w:b/>
          <w:sz w:val="24"/>
          <w:szCs w:val="24"/>
        </w:rPr>
      </w:pPr>
      <w:r>
        <w:rPr>
          <w:rFonts w:ascii="Arial" w:hAnsi="Arial" w:cs="Arial"/>
          <w:b/>
          <w:sz w:val="24"/>
          <w:szCs w:val="24"/>
        </w:rPr>
        <w:t xml:space="preserve">THE COMMISSIONER FOR THE SOUTH </w:t>
      </w:r>
    </w:p>
    <w:p w14:paraId="62474C23" w14:textId="77777777" w:rsidR="00EF0CDB" w:rsidRDefault="006D7F37" w:rsidP="00F93331">
      <w:pPr>
        <w:spacing w:before="100" w:beforeAutospacing="1" w:after="100" w:afterAutospacing="1" w:line="240" w:lineRule="auto"/>
        <w:rPr>
          <w:rFonts w:ascii="Arial" w:hAnsi="Arial" w:cs="Arial"/>
          <w:sz w:val="24"/>
          <w:szCs w:val="24"/>
        </w:rPr>
      </w:pPr>
      <w:r>
        <w:rPr>
          <w:rFonts w:ascii="Arial" w:hAnsi="Arial" w:cs="Arial"/>
          <w:b/>
          <w:sz w:val="24"/>
          <w:szCs w:val="24"/>
        </w:rPr>
        <w:t>AFRICAN REVENUE SERVICE</w:t>
      </w:r>
      <w:r w:rsidR="0051111F">
        <w:rPr>
          <w:rFonts w:ascii="Arial" w:hAnsi="Arial" w:cs="Arial"/>
          <w:b/>
          <w:sz w:val="24"/>
          <w:szCs w:val="24"/>
        </w:rPr>
        <w:tab/>
      </w:r>
      <w:r w:rsidR="000823F2">
        <w:tab/>
      </w:r>
      <w:r w:rsidR="0051111F">
        <w:t xml:space="preserve">         </w:t>
      </w:r>
      <w:r w:rsidR="000823F2">
        <w:t xml:space="preserve"> </w:t>
      </w:r>
      <w:r w:rsidR="00471F3D">
        <w:rPr>
          <w:rFonts w:ascii="Arial" w:hAnsi="Arial" w:cs="Arial"/>
          <w:sz w:val="24"/>
          <w:szCs w:val="24"/>
        </w:rPr>
        <w:tab/>
      </w:r>
      <w:r w:rsidR="00471F3D">
        <w:rPr>
          <w:rFonts w:ascii="Arial" w:hAnsi="Arial" w:cs="Arial"/>
          <w:sz w:val="24"/>
          <w:szCs w:val="24"/>
        </w:rPr>
        <w:tab/>
      </w:r>
      <w:r w:rsidR="00471F3D">
        <w:rPr>
          <w:rFonts w:ascii="Arial" w:hAnsi="Arial" w:cs="Arial"/>
          <w:sz w:val="24"/>
          <w:szCs w:val="24"/>
        </w:rPr>
        <w:tab/>
      </w:r>
      <w:r w:rsidR="006335B5">
        <w:rPr>
          <w:rFonts w:ascii="Arial" w:hAnsi="Arial" w:cs="Arial"/>
          <w:sz w:val="24"/>
          <w:szCs w:val="24"/>
        </w:rPr>
        <w:t xml:space="preserve">       </w:t>
      </w:r>
      <w:r w:rsidR="00F52C2C">
        <w:rPr>
          <w:rFonts w:ascii="Arial" w:hAnsi="Arial" w:cs="Arial"/>
          <w:sz w:val="24"/>
          <w:szCs w:val="24"/>
        </w:rPr>
        <w:tab/>
      </w:r>
      <w:r>
        <w:rPr>
          <w:rFonts w:ascii="Arial" w:hAnsi="Arial" w:cs="Arial"/>
          <w:sz w:val="24"/>
          <w:szCs w:val="24"/>
        </w:rPr>
        <w:tab/>
        <w:t xml:space="preserve">    </w:t>
      </w:r>
      <w:r w:rsidR="0051111F" w:rsidRPr="00EF0CDB">
        <w:rPr>
          <w:rFonts w:ascii="Arial" w:hAnsi="Arial" w:cs="Arial"/>
          <w:sz w:val="24"/>
          <w:szCs w:val="24"/>
        </w:rPr>
        <w:t>Respondent</w:t>
      </w:r>
    </w:p>
    <w:p w14:paraId="6440B84C" w14:textId="77777777" w:rsidR="00651BDA" w:rsidRDefault="006D7F37" w:rsidP="00607592">
      <w:pPr>
        <w:spacing w:before="100" w:beforeAutospacing="1" w:after="100" w:afterAutospacing="1" w:line="240" w:lineRule="auto"/>
        <w:jc w:val="both"/>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1EB36CB" w14:textId="77777777" w:rsidR="00194A07" w:rsidRDefault="00194A07" w:rsidP="00D9032E">
      <w:pPr>
        <w:pBdr>
          <w:top w:val="single" w:sz="12" w:space="1" w:color="auto"/>
          <w:bottom w:val="single" w:sz="12" w:space="1" w:color="auto"/>
        </w:pBdr>
        <w:tabs>
          <w:tab w:val="left" w:pos="4917"/>
        </w:tabs>
        <w:spacing w:before="120" w:after="120" w:line="240" w:lineRule="auto"/>
        <w:contextualSpacing/>
        <w:jc w:val="center"/>
        <w:rPr>
          <w:rFonts w:ascii="Arial" w:hAnsi="Arial" w:cs="Arial"/>
          <w:b/>
          <w:bCs/>
          <w:sz w:val="24"/>
          <w:szCs w:val="24"/>
        </w:rPr>
      </w:pPr>
    </w:p>
    <w:p w14:paraId="57A1D4E6" w14:textId="77777777" w:rsidR="00194A07" w:rsidRPr="00B93312" w:rsidRDefault="006D7F37" w:rsidP="00D9032E">
      <w:pPr>
        <w:pBdr>
          <w:top w:val="single" w:sz="12" w:space="1" w:color="auto"/>
          <w:bottom w:val="single" w:sz="12" w:space="1" w:color="auto"/>
        </w:pBdr>
        <w:tabs>
          <w:tab w:val="left" w:pos="4917"/>
        </w:tabs>
        <w:spacing w:before="120" w:after="120" w:line="360" w:lineRule="auto"/>
        <w:jc w:val="center"/>
        <w:rPr>
          <w:rFonts w:ascii="Arial" w:hAnsi="Arial" w:cs="Arial"/>
          <w:b/>
          <w:bCs/>
          <w:sz w:val="24"/>
          <w:szCs w:val="24"/>
        </w:rPr>
      </w:pPr>
      <w:r w:rsidRPr="00B93312">
        <w:rPr>
          <w:rFonts w:ascii="Arial" w:hAnsi="Arial" w:cs="Arial"/>
          <w:b/>
          <w:bCs/>
          <w:sz w:val="24"/>
          <w:szCs w:val="24"/>
        </w:rPr>
        <w:t>JUDGMENT</w:t>
      </w:r>
    </w:p>
    <w:p w14:paraId="76715C82" w14:textId="77777777" w:rsidR="00194A07" w:rsidRDefault="006D7F37" w:rsidP="00D9032E">
      <w:pPr>
        <w:pStyle w:val="Heading1"/>
      </w:pPr>
      <w:r>
        <w:lastRenderedPageBreak/>
        <w:t>DE VOS AJ</w:t>
      </w:r>
    </w:p>
    <w:p w14:paraId="75F6E913" w14:textId="4B85AEF1" w:rsidR="00133181" w:rsidRDefault="007557BD" w:rsidP="007557BD">
      <w:pPr>
        <w:pStyle w:val="Judgmentparagraph"/>
        <w:numPr>
          <w:ilvl w:val="0"/>
          <w:numId w:val="0"/>
        </w:numPr>
        <w:ind w:left="567" w:hanging="567"/>
      </w:pPr>
      <w:r>
        <w:t>[1]</w:t>
      </w:r>
      <w:r>
        <w:tab/>
      </w:r>
      <w:r w:rsidR="006D7F37">
        <w:t xml:space="preserve">The applicant seeks an order compelling the respondent to comply with an order granted by this Court on 19 January 2021. The order upheld the applicant’s appeal </w:t>
      </w:r>
      <w:r w:rsidR="002E716B">
        <w:t xml:space="preserve">concerning SARS' determination of a tariff rebate </w:t>
      </w:r>
      <w:r w:rsidR="006D7F37">
        <w:t xml:space="preserve">in terms of section 44(9)(e) of the Customs and Excise Act, 91 of 1975. </w:t>
      </w:r>
    </w:p>
    <w:p w14:paraId="1C5875DD" w14:textId="0C0233B0" w:rsidR="00E56A3A" w:rsidRDefault="007557BD" w:rsidP="007557BD">
      <w:pPr>
        <w:pStyle w:val="Judgmentparagraph"/>
        <w:numPr>
          <w:ilvl w:val="0"/>
          <w:numId w:val="0"/>
        </w:numPr>
        <w:ind w:left="567" w:hanging="567"/>
      </w:pPr>
      <w:r>
        <w:t>[</w:t>
      </w:r>
      <w:bookmarkStart w:id="0" w:name="_GoBack"/>
      <w:bookmarkEnd w:id="0"/>
      <w:r>
        <w:t>2]</w:t>
      </w:r>
      <w:r>
        <w:tab/>
      </w:r>
      <w:r w:rsidR="006D7F37">
        <w:t xml:space="preserve">The order provided that </w:t>
      </w:r>
      <w:r w:rsidR="00382CCF">
        <w:t>-</w:t>
      </w:r>
    </w:p>
    <w:p w14:paraId="08AE71C9" w14:textId="77777777" w:rsidR="00E56A3A" w:rsidRDefault="006D7F37" w:rsidP="003A3B1D">
      <w:pPr>
        <w:pStyle w:val="Judgmentparagraph"/>
        <w:numPr>
          <w:ilvl w:val="0"/>
          <w:numId w:val="0"/>
        </w:numPr>
        <w:spacing w:line="240" w:lineRule="auto"/>
        <w:ind w:left="720"/>
      </w:pPr>
      <w:r>
        <w:t>“</w:t>
      </w:r>
      <w:r w:rsidR="002E716B">
        <w:t xml:space="preserve">1. </w:t>
      </w:r>
      <w:r>
        <w:t>The appeal is upheld</w:t>
      </w:r>
    </w:p>
    <w:p w14:paraId="274FDEF9" w14:textId="77777777" w:rsidR="00E56A3A" w:rsidRDefault="006D7F37" w:rsidP="003A3B1D">
      <w:pPr>
        <w:pStyle w:val="Judgmentparagraph"/>
        <w:numPr>
          <w:ilvl w:val="0"/>
          <w:numId w:val="0"/>
        </w:numPr>
        <w:spacing w:line="240" w:lineRule="auto"/>
        <w:ind w:left="720"/>
      </w:pPr>
      <w:r>
        <w:t xml:space="preserve">2. The matter is referred back to the Customs National Appeal Committee for rectification of the material </w:t>
      </w:r>
      <w:r w:rsidR="00B245F7">
        <w:t>errors</w:t>
      </w:r>
      <w:r>
        <w:t xml:space="preserve"> and re-consideration of the matter</w:t>
      </w:r>
    </w:p>
    <w:p w14:paraId="3E29BDB7" w14:textId="77777777" w:rsidR="00E56A3A" w:rsidRDefault="006D7F37" w:rsidP="003A3B1D">
      <w:pPr>
        <w:pStyle w:val="Judgmentparagraph"/>
        <w:numPr>
          <w:ilvl w:val="0"/>
          <w:numId w:val="0"/>
        </w:numPr>
        <w:spacing w:line="240" w:lineRule="auto"/>
        <w:ind w:left="720"/>
      </w:pPr>
      <w:r>
        <w:t>3. The Customs National Appeals Committee must substantiate their finding with comprehensive reasons, and if a determination is made, the basis on which the determination is calculated and</w:t>
      </w:r>
      <w:r w:rsidR="00382CCF">
        <w:t xml:space="preserve"> </w:t>
      </w:r>
      <w:r>
        <w:t>the calculation must be set</w:t>
      </w:r>
      <w:r w:rsidR="00382CCF">
        <w:t xml:space="preserve"> </w:t>
      </w:r>
      <w:r>
        <w:t>out</w:t>
      </w:r>
      <w:r w:rsidR="00382CCF">
        <w:t xml:space="preserve"> </w:t>
      </w:r>
      <w:r>
        <w:t>clearly.</w:t>
      </w:r>
    </w:p>
    <w:p w14:paraId="625FE55A" w14:textId="77777777" w:rsidR="00E56A3A" w:rsidRDefault="006D7F37" w:rsidP="003A3B1D">
      <w:pPr>
        <w:pStyle w:val="Judgmentparagraph"/>
        <w:numPr>
          <w:ilvl w:val="0"/>
          <w:numId w:val="0"/>
        </w:numPr>
        <w:spacing w:line="240" w:lineRule="auto"/>
        <w:ind w:left="720"/>
      </w:pPr>
      <w:r>
        <w:t xml:space="preserve">4. The issue of costs is reserved pending the finalisation of the appeal before </w:t>
      </w:r>
      <w:r w:rsidR="009B2C03">
        <w:t>the Customs National Appeals Committee.”</w:t>
      </w:r>
    </w:p>
    <w:p w14:paraId="13EE9FAA" w14:textId="03F5E942" w:rsidR="009B2C03" w:rsidRDefault="007557BD" w:rsidP="007557BD">
      <w:pPr>
        <w:pStyle w:val="Judgmentparagraph"/>
        <w:numPr>
          <w:ilvl w:val="0"/>
          <w:numId w:val="0"/>
        </w:numPr>
        <w:ind w:left="567" w:hanging="567"/>
      </w:pPr>
      <w:r>
        <w:t>[3]</w:t>
      </w:r>
      <w:r>
        <w:tab/>
      </w:r>
      <w:r w:rsidR="006D7F37">
        <w:t xml:space="preserve">Effectively, the judgment identifies five errors which SARS had made and mandated SARS to correct and, once corrected, reconsider the amounts due by the applicant. </w:t>
      </w:r>
      <w:r w:rsidR="00133181">
        <w:t xml:space="preserve">The Court referred the matter back to the Custom and Excise National Appeal Committee (“Appeals Committee”) to correct certain errors and reconsider SARS’ determination.   </w:t>
      </w:r>
    </w:p>
    <w:p w14:paraId="446FFACC" w14:textId="6A34BAFA" w:rsidR="00133181" w:rsidRDefault="007557BD" w:rsidP="007557BD">
      <w:pPr>
        <w:pStyle w:val="Judgmentparagraph"/>
        <w:numPr>
          <w:ilvl w:val="0"/>
          <w:numId w:val="0"/>
        </w:numPr>
        <w:ind w:left="567" w:hanging="567"/>
      </w:pPr>
      <w:r>
        <w:t>[4]</w:t>
      </w:r>
      <w:r>
        <w:tab/>
      </w:r>
      <w:r w:rsidR="006D7F37">
        <w:t>The judgment resolved a rebate tariff dispute between the parties. The context within which the dispute arose is the applicant’s impo</w:t>
      </w:r>
      <w:r w:rsidR="002E716B">
        <w:t>r</w:t>
      </w:r>
      <w:r w:rsidR="006D7F37">
        <w:t>t of worn clothing for the manufacture of wiping rags and cleaning cloths. The applicant holds an import permit and a rebate permit</w:t>
      </w:r>
      <w:r w:rsidR="002E716B">
        <w:t>. The rebate grants a</w:t>
      </w:r>
      <w:r w:rsidR="006D7F37">
        <w:t xml:space="preserve"> full rebate of customs duty</w:t>
      </w:r>
      <w:r w:rsidR="002E716B">
        <w:t xml:space="preserve"> for a specific volume of worn clothing</w:t>
      </w:r>
      <w:r w:rsidR="006D7F37">
        <w:t xml:space="preserve">. The volume of worn clothing that the applicant was permitted to import in a year was set out in the rebate permit. The applicant claimed a full rebate for </w:t>
      </w:r>
      <w:r w:rsidR="002E716B">
        <w:t>its</w:t>
      </w:r>
      <w:r w:rsidR="006D7F37">
        <w:t xml:space="preserve"> imports</w:t>
      </w:r>
      <w:r w:rsidR="002E716B">
        <w:t>.</w:t>
      </w:r>
      <w:r w:rsidR="006D7F37">
        <w:t xml:space="preserve"> </w:t>
      </w:r>
    </w:p>
    <w:p w14:paraId="16F54D3D" w14:textId="768F1565" w:rsidR="00B245F7" w:rsidRDefault="007557BD" w:rsidP="007557BD">
      <w:pPr>
        <w:pStyle w:val="Judgmentparagraph"/>
        <w:numPr>
          <w:ilvl w:val="0"/>
          <w:numId w:val="0"/>
        </w:numPr>
        <w:ind w:left="567" w:hanging="567"/>
      </w:pPr>
      <w:r>
        <w:t>[5]</w:t>
      </w:r>
      <w:r>
        <w:tab/>
      </w:r>
      <w:r w:rsidR="006D7F37">
        <w:t xml:space="preserve">However, </w:t>
      </w:r>
      <w:r w:rsidR="00133181">
        <w:t xml:space="preserve">in 2014, </w:t>
      </w:r>
      <w:r w:rsidR="006D7F37">
        <w:t xml:space="preserve">SARS conducted an audit. The outcome of the audit was that the volume imported was more than what the rebate covered. In other words, there </w:t>
      </w:r>
      <w:r w:rsidR="00133181">
        <w:t xml:space="preserve">were </w:t>
      </w:r>
      <w:r w:rsidR="006D7F37">
        <w:t xml:space="preserve">imports which were not covered by the rebate. SARS picked up other discrepancies relating to missing invoices and the difference between the bill of entries and the bond registers.  </w:t>
      </w:r>
    </w:p>
    <w:p w14:paraId="5BA0CA91" w14:textId="57190985" w:rsidR="00382CCF" w:rsidRDefault="007557BD" w:rsidP="007557BD">
      <w:pPr>
        <w:pStyle w:val="Judgmentparagraph"/>
        <w:numPr>
          <w:ilvl w:val="0"/>
          <w:numId w:val="0"/>
        </w:numPr>
        <w:ind w:left="567" w:hanging="567"/>
      </w:pPr>
      <w:r>
        <w:t>[6]</w:t>
      </w:r>
      <w:r>
        <w:tab/>
      </w:r>
      <w:r w:rsidR="006D7F37">
        <w:t xml:space="preserve">As a result of these discrepancies, SARS issued a letter of demand claiming R 33 201 952.24. The applicant appealed against this demand. The appeal resulted in a </w:t>
      </w:r>
      <w:r w:rsidR="006D7F37">
        <w:lastRenderedPageBreak/>
        <w:t xml:space="preserve">reduced letter of demand from SARS. The reduced amount was R 21 1331 473.76. </w:t>
      </w:r>
      <w:r w:rsidR="00F02ACE">
        <w:t xml:space="preserve">  The amount was again reduced, and SARS ultimately claimed an amount of </w:t>
      </w:r>
      <w:r w:rsidR="00F02ACE" w:rsidRPr="00F02ACE">
        <w:t>R 15 881 549.51</w:t>
      </w:r>
      <w:r w:rsidR="00D711EB">
        <w:t xml:space="preserve">.  </w:t>
      </w:r>
    </w:p>
    <w:p w14:paraId="4287F95D" w14:textId="63A1F3F6" w:rsidR="00133181" w:rsidRDefault="007557BD" w:rsidP="007557BD">
      <w:pPr>
        <w:pStyle w:val="Judgmentparagraph"/>
        <w:numPr>
          <w:ilvl w:val="0"/>
          <w:numId w:val="0"/>
        </w:numPr>
        <w:ind w:left="567" w:hanging="567"/>
      </w:pPr>
      <w:r>
        <w:t>[7]</w:t>
      </w:r>
      <w:r>
        <w:tab/>
      </w:r>
      <w:r w:rsidR="006D7F37">
        <w:t xml:space="preserve">Shortly after the judgment was handed down, the applicant wrote to SARS asking for the implementation of </w:t>
      </w:r>
      <w:r w:rsidR="00B245F7">
        <w:t>t</w:t>
      </w:r>
      <w:r w:rsidR="006D7F37">
        <w:t>he order. SARS respondent that its original determination had no</w:t>
      </w:r>
      <w:r w:rsidR="00B245F7">
        <w:t>t</w:t>
      </w:r>
      <w:r w:rsidR="006D7F37">
        <w:t xml:space="preserve"> been set aside by the Court, the Appeals Committee lacked jurisdiction </w:t>
      </w:r>
      <w:r w:rsidR="00B245F7">
        <w:t>t</w:t>
      </w:r>
      <w:r w:rsidR="006D7F37">
        <w:t xml:space="preserve">o entertain the matter, and the Court order was </w:t>
      </w:r>
      <w:r w:rsidR="00B245F7">
        <w:t>erroneously</w:t>
      </w:r>
      <w:r w:rsidR="006D7F37">
        <w:t xml:space="preserve"> granted, or it contained a </w:t>
      </w:r>
      <w:r w:rsidR="00B245F7">
        <w:t>patent error</w:t>
      </w:r>
      <w:r w:rsidR="006D7F37">
        <w:t xml:space="preserve">. SARS' position was that it would not comply with the order but that it would apply for an order in terms of rule 42 of the </w:t>
      </w:r>
      <w:r w:rsidR="002E716B">
        <w:t>U</w:t>
      </w:r>
      <w:r w:rsidR="006D7F37">
        <w:t xml:space="preserve">niform </w:t>
      </w:r>
      <w:r w:rsidR="002E716B">
        <w:t>R</w:t>
      </w:r>
      <w:r w:rsidR="006D7F37">
        <w:t xml:space="preserve">ules of Court.  </w:t>
      </w:r>
    </w:p>
    <w:p w14:paraId="757632B5" w14:textId="67167561" w:rsidR="00133181" w:rsidRDefault="007557BD" w:rsidP="007557BD">
      <w:pPr>
        <w:pStyle w:val="Judgmentparagraph"/>
        <w:numPr>
          <w:ilvl w:val="0"/>
          <w:numId w:val="0"/>
        </w:numPr>
        <w:ind w:left="567" w:hanging="567"/>
      </w:pPr>
      <w:r>
        <w:t>[8]</w:t>
      </w:r>
      <w:r>
        <w:tab/>
      </w:r>
      <w:r w:rsidR="006D7F37">
        <w:t>The applicant again wrote, asking for compliance with the court order. It appears that SARS then had an about-turn as it wrote to the applicant, indicating</w:t>
      </w:r>
      <w:r w:rsidR="002E716B">
        <w:t xml:space="preserve"> that</w:t>
      </w:r>
      <w:r w:rsidR="006D7F37">
        <w:t xml:space="preserve"> the matter is receiving attention. </w:t>
      </w:r>
      <w:r w:rsidR="002E716B">
        <w:t xml:space="preserve">The applicant heard nothing more and lodged a contempt application. After the applicant's contempt application was launched, SARS issued </w:t>
      </w:r>
      <w:r w:rsidR="006D7F37">
        <w:t xml:space="preserve">its alleged </w:t>
      </w:r>
      <w:r w:rsidR="002E716B">
        <w:t>re</w:t>
      </w:r>
      <w:r w:rsidR="006D7F37">
        <w:t xml:space="preserve">determination outcome </w:t>
      </w:r>
      <w:r w:rsidR="00B245F7">
        <w:t>of</w:t>
      </w:r>
      <w:r w:rsidR="006D7F37">
        <w:t xml:space="preserve"> the </w:t>
      </w:r>
      <w:r w:rsidR="00B245F7">
        <w:t>proceedings</w:t>
      </w:r>
      <w:r w:rsidR="006D7F37">
        <w:t xml:space="preserve"> before its Appeals Committee</w:t>
      </w:r>
      <w:r w:rsidR="00D87E89">
        <w:t xml:space="preserve">.  </w:t>
      </w:r>
    </w:p>
    <w:p w14:paraId="5284465C" w14:textId="1A5918BB" w:rsidR="00D87E89" w:rsidRDefault="007557BD" w:rsidP="007557BD">
      <w:pPr>
        <w:pStyle w:val="Judgmentparagraph"/>
        <w:numPr>
          <w:ilvl w:val="0"/>
          <w:numId w:val="0"/>
        </w:numPr>
        <w:ind w:left="567" w:hanging="567"/>
      </w:pPr>
      <w:r>
        <w:t>[9]</w:t>
      </w:r>
      <w:r>
        <w:tab/>
      </w:r>
      <w:r w:rsidR="006D7F37">
        <w:t xml:space="preserve">The redetermination is dated 21 August 2021. The redetermination required the applicant to pay </w:t>
      </w:r>
      <w:r w:rsidR="006D7F37" w:rsidRPr="00F02ACE">
        <w:t>R 15 881 549.51</w:t>
      </w:r>
      <w:r w:rsidR="006D7F37">
        <w:t>, which was the amount SARS had determined was due and payable prior to the rede</w:t>
      </w:r>
      <w:r w:rsidR="00B245F7">
        <w:t>ter</w:t>
      </w:r>
      <w:r w:rsidR="006D7F37">
        <w:t>mination. In short, the rede</w:t>
      </w:r>
      <w:r w:rsidR="00B245F7">
        <w:t>ter</w:t>
      </w:r>
      <w:r w:rsidR="006D7F37">
        <w:t xml:space="preserve">mination yielded the same amount – </w:t>
      </w:r>
      <w:r w:rsidR="00B245F7">
        <w:t xml:space="preserve">to </w:t>
      </w:r>
      <w:r w:rsidR="006D7F37">
        <w:t xml:space="preserve">the cent – to be payable by the applicant. Despite SARS having to make five changes – the outcome remained </w:t>
      </w:r>
      <w:r w:rsidR="00DE4AF8">
        <w:t>unaltered</w:t>
      </w:r>
      <w:r w:rsidR="006D7F37">
        <w:t xml:space="preserve">. </w:t>
      </w:r>
    </w:p>
    <w:p w14:paraId="378C13F6" w14:textId="454F9D7A" w:rsidR="00133181" w:rsidRDefault="007557BD" w:rsidP="007557BD">
      <w:pPr>
        <w:pStyle w:val="Judgmentparagraph"/>
        <w:numPr>
          <w:ilvl w:val="0"/>
          <w:numId w:val="0"/>
        </w:numPr>
        <w:ind w:left="567" w:hanging="567"/>
      </w:pPr>
      <w:r>
        <w:t>[10]</w:t>
      </w:r>
      <w:r>
        <w:tab/>
      </w:r>
      <w:r w:rsidR="006D7F37">
        <w:t>The applicant contends that this was no redetermination by SARS but rather that SARS conducted an impermissible internal review of the order of this Court. SARS contends that its redetermination is proof of its implementation of the order of this Court. The dispute between the parties requires a consideration of the redetermination.</w:t>
      </w:r>
    </w:p>
    <w:p w14:paraId="4A79A6F9" w14:textId="6B70112B" w:rsidR="00D711EB" w:rsidRDefault="007557BD" w:rsidP="007557BD">
      <w:pPr>
        <w:pStyle w:val="Judgmentparagraph"/>
        <w:numPr>
          <w:ilvl w:val="0"/>
          <w:numId w:val="0"/>
        </w:numPr>
        <w:ind w:left="567" w:hanging="567"/>
      </w:pPr>
      <w:r>
        <w:t>[11]</w:t>
      </w:r>
      <w:r>
        <w:tab/>
      </w:r>
      <w:r w:rsidR="006D7F37">
        <w:t xml:space="preserve">SARS’ </w:t>
      </w:r>
      <w:r w:rsidR="00B245F7">
        <w:t>redeterm</w:t>
      </w:r>
      <w:r w:rsidR="006D7F37">
        <w:t xml:space="preserve">ination </w:t>
      </w:r>
      <w:r w:rsidR="00133181">
        <w:t xml:space="preserve">is presented in the format of a report from its Appeal Committee. The redetermination report </w:t>
      </w:r>
      <w:r w:rsidR="006D7F37">
        <w:t xml:space="preserve">states that pursuant to the order of 21 January 2021, SARS had to attend to the rectification of material errors and reconsider the matter, substantiate the findings with substantive reasons, and in the event a determination is calculated that the calculation be set out clearly. The report then has the telling heading: "Our response – alleged errors". Under this heading, SARS then </w:t>
      </w:r>
      <w:r w:rsidR="006D7F37">
        <w:lastRenderedPageBreak/>
        <w:t xml:space="preserve">considers the substance of the errors as identified in the replying affidavit and “considers” these objections. </w:t>
      </w:r>
    </w:p>
    <w:p w14:paraId="13E6845C" w14:textId="4655FA4C" w:rsidR="00D87E89" w:rsidRDefault="007557BD" w:rsidP="007557BD">
      <w:pPr>
        <w:pStyle w:val="Judgmentparagraph"/>
        <w:numPr>
          <w:ilvl w:val="0"/>
          <w:numId w:val="0"/>
        </w:numPr>
        <w:ind w:left="567" w:hanging="567"/>
      </w:pPr>
      <w:r>
        <w:t>[12]</w:t>
      </w:r>
      <w:r>
        <w:tab/>
      </w:r>
      <w:r w:rsidR="006D7F37">
        <w:t>SARS rejects the errors one by one.</w:t>
      </w:r>
    </w:p>
    <w:p w14:paraId="0D70758C" w14:textId="25764C33" w:rsidR="00D87E89" w:rsidRDefault="007557BD" w:rsidP="007557BD">
      <w:pPr>
        <w:pStyle w:val="Judgmentparagraph"/>
        <w:numPr>
          <w:ilvl w:val="0"/>
          <w:numId w:val="0"/>
        </w:numPr>
        <w:ind w:left="567" w:hanging="567"/>
      </w:pPr>
      <w:r>
        <w:t>[13]</w:t>
      </w:r>
      <w:r>
        <w:tab/>
      </w:r>
      <w:r w:rsidR="006D7F37">
        <w:t xml:space="preserve">To highlight the way in which SARS dealt with the errors, I highlight </w:t>
      </w:r>
      <w:r w:rsidR="00382CCF">
        <w:t>paragraph 24:</w:t>
      </w:r>
      <w:r w:rsidR="006D7F37">
        <w:t xml:space="preserve"> </w:t>
      </w:r>
    </w:p>
    <w:p w14:paraId="2E5A3136" w14:textId="77777777" w:rsidR="00D87E89" w:rsidRDefault="006D7F37" w:rsidP="00382CCF">
      <w:pPr>
        <w:pStyle w:val="Judgmentparagraph"/>
        <w:numPr>
          <w:ilvl w:val="0"/>
          <w:numId w:val="0"/>
        </w:numPr>
        <w:spacing w:line="240" w:lineRule="auto"/>
        <w:ind w:left="720"/>
      </w:pPr>
      <w:r>
        <w:t>“The ‘alleged’ error with regard to Bill of Entry 00233 (2011) equally falls away and therefore is moot.</w:t>
      </w:r>
      <w:r w:rsidR="00382CCF">
        <w:t>”</w:t>
      </w:r>
    </w:p>
    <w:p w14:paraId="551EA4AE" w14:textId="043CA443" w:rsidR="00382CCF" w:rsidRDefault="007557BD" w:rsidP="007557BD">
      <w:pPr>
        <w:pStyle w:val="Judgmentparagraph"/>
        <w:numPr>
          <w:ilvl w:val="0"/>
          <w:numId w:val="0"/>
        </w:numPr>
        <w:ind w:left="567" w:hanging="567"/>
      </w:pPr>
      <w:r>
        <w:t>[14]</w:t>
      </w:r>
      <w:r>
        <w:tab/>
      </w:r>
      <w:r w:rsidR="006D7F37">
        <w:t>It is on the face of the report clear that SARS did not correct the errors as directed by this Court but rather reconsider</w:t>
      </w:r>
      <w:r w:rsidR="00DE4AF8">
        <w:t>ed</w:t>
      </w:r>
      <w:r w:rsidR="006D7F37">
        <w:t xml:space="preserve"> them</w:t>
      </w:r>
      <w:r w:rsidR="00133181">
        <w:t xml:space="preserve"> as they were “alleged errors”</w:t>
      </w:r>
      <w:r w:rsidR="006D7F37">
        <w:t xml:space="preserve">. </w:t>
      </w:r>
      <w:r w:rsidR="00DE4AF8">
        <w:t xml:space="preserve">It was not for SARS to respond to alleged errors. It was not open to SARS to “consider” the alleged errors. SARS was to implement the court order.  </w:t>
      </w:r>
    </w:p>
    <w:p w14:paraId="13A08CAB" w14:textId="31181725" w:rsidR="00382CCF" w:rsidRDefault="007557BD" w:rsidP="007557BD">
      <w:pPr>
        <w:pStyle w:val="Judgmentparagraph"/>
        <w:numPr>
          <w:ilvl w:val="0"/>
          <w:numId w:val="0"/>
        </w:numPr>
        <w:ind w:left="567" w:hanging="567"/>
      </w:pPr>
      <w:r>
        <w:t>[15]</w:t>
      </w:r>
      <w:r>
        <w:tab/>
      </w:r>
      <w:r w:rsidR="006D7F37">
        <w:t xml:space="preserve">The concluding paragraph in the report reads as follows – </w:t>
      </w:r>
    </w:p>
    <w:p w14:paraId="11412D5A" w14:textId="77777777" w:rsidR="00D87E89" w:rsidRDefault="006D7F37" w:rsidP="00382CCF">
      <w:pPr>
        <w:pStyle w:val="Judgmentparagraph"/>
        <w:numPr>
          <w:ilvl w:val="0"/>
          <w:numId w:val="0"/>
        </w:numPr>
        <w:spacing w:line="240" w:lineRule="auto"/>
        <w:ind w:left="720"/>
      </w:pPr>
      <w:r>
        <w:t>“We submit therefore that appellant’s appeal in as far as the issues of ‘5 errors’ is concerned is without basis, and does not find support in any of the documentation relating to the matter.”</w:t>
      </w:r>
    </w:p>
    <w:p w14:paraId="160D7849" w14:textId="11D19A46" w:rsidR="00D87E89" w:rsidRDefault="007557BD" w:rsidP="007557BD">
      <w:pPr>
        <w:pStyle w:val="Judgmentparagraph"/>
        <w:numPr>
          <w:ilvl w:val="0"/>
          <w:numId w:val="0"/>
        </w:numPr>
        <w:ind w:left="567" w:hanging="567"/>
      </w:pPr>
      <w:r>
        <w:t>[16]</w:t>
      </w:r>
      <w:r>
        <w:tab/>
      </w:r>
      <w:r w:rsidR="006D7F37">
        <w:t xml:space="preserve">SARS, in its own redetermination, does not correct the errors but rather finds the errors to be "without basis". </w:t>
      </w:r>
      <w:r w:rsidR="006D7F37" w:rsidRPr="00370C55">
        <w:t>The errors were raised</w:t>
      </w:r>
      <w:r w:rsidR="006D7F37">
        <w:t xml:space="preserve"> in pleadings</w:t>
      </w:r>
      <w:r w:rsidR="006D7F37" w:rsidRPr="00370C55">
        <w:t xml:space="preserve">, debated and adjudicated by this Court. </w:t>
      </w:r>
      <w:r w:rsidR="006D7F37">
        <w:t xml:space="preserve">It was no longer open to SARS to disagree as to the existence of the errors. If it sought to do so, it ought </w:t>
      </w:r>
      <w:r w:rsidR="00382CCF">
        <w:t>to</w:t>
      </w:r>
      <w:r w:rsidR="006D7F37">
        <w:t xml:space="preserve"> have launched a Rule 42</w:t>
      </w:r>
      <w:r w:rsidR="00133181">
        <w:t xml:space="preserve"> rectification, a</w:t>
      </w:r>
      <w:r w:rsidR="006D7F37">
        <w:t xml:space="preserve"> rescission or appealed the judgment. </w:t>
      </w:r>
      <w:r w:rsidR="00DE4AF8">
        <w:t xml:space="preserve">SARS did not do so and was therefore bound by the order of this Court. </w:t>
      </w:r>
    </w:p>
    <w:p w14:paraId="1DCC4B82" w14:textId="373BF277" w:rsidR="00DE4AF8" w:rsidRDefault="007557BD" w:rsidP="007557BD">
      <w:pPr>
        <w:pStyle w:val="Judgmentparagraph"/>
        <w:numPr>
          <w:ilvl w:val="0"/>
          <w:numId w:val="0"/>
        </w:numPr>
        <w:ind w:left="567" w:hanging="567"/>
      </w:pPr>
      <w:r>
        <w:t>[17]</w:t>
      </w:r>
      <w:r>
        <w:tab/>
      </w:r>
      <w:r w:rsidR="006D7F37">
        <w:t xml:space="preserve">In addition to the clear wording of SARS' redetermination, the applicant points to SARS' redetermination yielding the same amount as its original determination: </w:t>
      </w:r>
      <w:r w:rsidR="006D7F37" w:rsidRPr="00DE4AF8">
        <w:t>R 15 881 549.51</w:t>
      </w:r>
      <w:r w:rsidR="006D7F37">
        <w:t>. Common sense dictates that if five errors are to be corrected, the determination will alter consequently. The fact that the amount has not altered</w:t>
      </w:r>
      <w:r w:rsidR="00D711EB">
        <w:t>, in fact has remained identical - to the</w:t>
      </w:r>
      <w:r w:rsidR="006D7F37">
        <w:t xml:space="preserve"> cent – indicates that SARS did not conduct a recalculation. </w:t>
      </w:r>
    </w:p>
    <w:p w14:paraId="41797C8A" w14:textId="516F55D0" w:rsidR="00370C55" w:rsidRDefault="007557BD" w:rsidP="007557BD">
      <w:pPr>
        <w:pStyle w:val="Judgmentparagraph"/>
        <w:numPr>
          <w:ilvl w:val="0"/>
          <w:numId w:val="0"/>
        </w:numPr>
        <w:ind w:left="567" w:hanging="567"/>
      </w:pPr>
      <w:r>
        <w:t>[18]</w:t>
      </w:r>
      <w:r>
        <w:tab/>
      </w:r>
      <w:r w:rsidR="006D7F37">
        <w:t xml:space="preserve">The Court considers SARS' position. </w:t>
      </w:r>
      <w:r w:rsidR="00B72594">
        <w:t xml:space="preserve">SARS </w:t>
      </w:r>
      <w:r w:rsidR="00DE4AF8">
        <w:t>pleaded</w:t>
      </w:r>
      <w:r w:rsidR="00B72594">
        <w:t xml:space="preserve"> two </w:t>
      </w:r>
      <w:r w:rsidR="00C35466">
        <w:t>positions</w:t>
      </w:r>
      <w:r w:rsidR="00B72594">
        <w:t xml:space="preserve">: </w:t>
      </w:r>
      <w:r w:rsidR="00C35466">
        <w:t>first, it</w:t>
      </w:r>
      <w:r w:rsidR="00B72594">
        <w:t xml:space="preserve"> contend</w:t>
      </w:r>
      <w:r w:rsidR="006D7F37">
        <w:t>ed</w:t>
      </w:r>
      <w:r w:rsidR="00B72594">
        <w:t xml:space="preserve"> that the judgment is vague </w:t>
      </w:r>
      <w:r w:rsidR="00C35466">
        <w:t>and cannot be implemented and</w:t>
      </w:r>
      <w:r w:rsidR="00DE4AF8">
        <w:t>, secondly,</w:t>
      </w:r>
      <w:r w:rsidR="00C35466">
        <w:t xml:space="preserve"> that “SARS has fully complied with the court order of 19 January 2021”. </w:t>
      </w:r>
    </w:p>
    <w:p w14:paraId="6CAB8A74" w14:textId="585BB659" w:rsidR="00646DC7" w:rsidRDefault="007557BD" w:rsidP="007557BD">
      <w:pPr>
        <w:pStyle w:val="Judgmentparagraph"/>
        <w:numPr>
          <w:ilvl w:val="0"/>
          <w:numId w:val="0"/>
        </w:numPr>
        <w:ind w:left="567" w:hanging="567"/>
      </w:pPr>
      <w:r>
        <w:t>[19]</w:t>
      </w:r>
      <w:r>
        <w:tab/>
      </w:r>
      <w:r w:rsidR="006D7F37">
        <w:t xml:space="preserve">The allegation that the order is vague and cannot be implemented runs into peremption. The respondent, if it believed the order to be vague, ought to have availed itself of the remedies available to challenge the vagueness. In fact, the respondent </w:t>
      </w:r>
      <w:r w:rsidR="006D7F37">
        <w:lastRenderedPageBreak/>
        <w:t xml:space="preserve">identified these remedies and indicated its intention to exercise these remedies in correspondence with the applicant. The respondent specifically indicated its intention to rely on Rule 42 to rectify the order. However, having threatened to invoke the remedies, the respondent acted to the contrary and </w:t>
      </w:r>
      <w:r w:rsidR="00D711EB">
        <w:t>decided to</w:t>
      </w:r>
      <w:r w:rsidR="006D7F37">
        <w:t xml:space="preserve"> implement the order. In so doing, it is not available for the respondent to argue the same point in this forum. It has accepted the order and sought to implement the order. It is barred from arguing the order cannot be implemented by peremption.</w:t>
      </w:r>
      <w:r w:rsidR="006D7F37">
        <w:rPr>
          <w:rStyle w:val="FootnoteReference"/>
        </w:rPr>
        <w:footnoteReference w:id="2"/>
      </w:r>
      <w:r w:rsidR="006D7F37">
        <w:t xml:space="preserve"> </w:t>
      </w:r>
    </w:p>
    <w:p w14:paraId="0BEB798F" w14:textId="172A3760" w:rsidR="00646DC7" w:rsidRDefault="007557BD" w:rsidP="007557BD">
      <w:pPr>
        <w:pStyle w:val="Judgmentparagraph"/>
        <w:numPr>
          <w:ilvl w:val="0"/>
          <w:numId w:val="0"/>
        </w:numPr>
        <w:ind w:left="567" w:hanging="567"/>
      </w:pPr>
      <w:r>
        <w:t>[20]</w:t>
      </w:r>
      <w:r>
        <w:tab/>
      </w:r>
      <w:r w:rsidR="006D7F37">
        <w:t>In addition to the issue of peremption, t</w:t>
      </w:r>
      <w:r w:rsidR="00370C55">
        <w:t xml:space="preserve">he applicant highlighted that </w:t>
      </w:r>
      <w:r w:rsidR="006D7F37">
        <w:t>SARS’ two</w:t>
      </w:r>
      <w:r w:rsidR="00370C55">
        <w:t xml:space="preserve"> position</w:t>
      </w:r>
      <w:r w:rsidR="006D7F37">
        <w:t>s</w:t>
      </w:r>
      <w:r w:rsidR="00370C55">
        <w:t xml:space="preserve"> were mutually destructive</w:t>
      </w:r>
      <w:r w:rsidR="006D7F37">
        <w:t xml:space="preserve">. SARS cannot contend simultaneously that the order is unimplementable due to vagueness and that it has implemented the order. </w:t>
      </w:r>
      <w:r w:rsidR="00133181">
        <w:t>SARS’ defences, as pleaded, present two contradictory factual positions and are mutually destructive.</w:t>
      </w:r>
    </w:p>
    <w:p w14:paraId="63A30856" w14:textId="4967335C" w:rsidR="00DE4AF8" w:rsidRDefault="007557BD" w:rsidP="007557BD">
      <w:pPr>
        <w:pStyle w:val="Judgmentparagraph"/>
        <w:numPr>
          <w:ilvl w:val="0"/>
          <w:numId w:val="0"/>
        </w:numPr>
        <w:ind w:left="567" w:hanging="567"/>
      </w:pPr>
      <w:r>
        <w:t>[21]</w:t>
      </w:r>
      <w:r>
        <w:tab/>
      </w:r>
      <w:r w:rsidR="006D7F37">
        <w:t xml:space="preserve"> </w:t>
      </w:r>
      <w:r w:rsidR="00646DC7">
        <w:t>In</w:t>
      </w:r>
      <w:r w:rsidR="006D7F37">
        <w:t xml:space="preserve"> its oral submissions, SARS pressed the second point </w:t>
      </w:r>
      <w:r w:rsidR="00133181">
        <w:t>(</w:t>
      </w:r>
      <w:r w:rsidR="006D7F37">
        <w:t>that it had complied with the order</w:t>
      </w:r>
      <w:r w:rsidR="00133181">
        <w:t>)</w:t>
      </w:r>
      <w:r w:rsidR="006D7F37">
        <w:t xml:space="preserve">. The Court considers that the amount remained constant and that SARS' own documents expressly reject the basis of the errors. These indicate that SARS did not conduct a redetermination but rather rejected the errors and presented the same amount to the applicant.  </w:t>
      </w:r>
    </w:p>
    <w:p w14:paraId="0083BD96" w14:textId="2B2BC667" w:rsidR="002E30FC" w:rsidRDefault="007557BD" w:rsidP="007557BD">
      <w:pPr>
        <w:pStyle w:val="Judgmentparagraph"/>
        <w:numPr>
          <w:ilvl w:val="0"/>
          <w:numId w:val="0"/>
        </w:numPr>
        <w:ind w:left="567" w:hanging="567"/>
      </w:pPr>
      <w:r>
        <w:t>[22]</w:t>
      </w:r>
      <w:r>
        <w:tab/>
      </w:r>
      <w:r w:rsidR="006D7F37">
        <w:t>The applicant's notice of motion requests an order seeking compliance with the order as well as a finding of contempt. At the hearing, however, the applicant persisted only with the compliance relief. The Court, therefore, only considers the compliance relief and does not express itself regarding the issue of contempt.</w:t>
      </w:r>
      <w:r w:rsidR="00935711">
        <w:t xml:space="preserve">  </w:t>
      </w:r>
    </w:p>
    <w:p w14:paraId="590CDE03" w14:textId="6B8D6A16" w:rsidR="00935711" w:rsidRDefault="007557BD" w:rsidP="007557BD">
      <w:pPr>
        <w:pStyle w:val="Judgmentparagraph"/>
        <w:numPr>
          <w:ilvl w:val="0"/>
          <w:numId w:val="0"/>
        </w:numPr>
        <w:ind w:left="567" w:hanging="567"/>
      </w:pPr>
      <w:r>
        <w:t>[23]</w:t>
      </w:r>
      <w:r>
        <w:tab/>
      </w:r>
      <w:r w:rsidR="006D7F37">
        <w:t>The applicant requested this Court to grant an order permitting it to "set the matter down upon notice as a matter of urgency for contempt" proceedings in the event that the respondent does not comply with this court order. The Court declines to grant this relief as it would fetter the discretion of any Court having to consider the urgency of such contempt proceedings in the event they become necessary.</w:t>
      </w:r>
    </w:p>
    <w:p w14:paraId="5DADED9C" w14:textId="794F200C" w:rsidR="00935711" w:rsidRDefault="007557BD" w:rsidP="007557BD">
      <w:pPr>
        <w:pStyle w:val="Judgmentparagraph"/>
        <w:numPr>
          <w:ilvl w:val="0"/>
          <w:numId w:val="0"/>
        </w:numPr>
        <w:ind w:left="567" w:hanging="567"/>
      </w:pPr>
      <w:r>
        <w:t>[24]</w:t>
      </w:r>
      <w:r>
        <w:tab/>
      </w:r>
      <w:r w:rsidR="006D7F37">
        <w:t xml:space="preserve">The applicant has requested costs on a punitive scale. It points to the fact that it had to launch contempt proceedings to ensure compliance with a court order. The Court weighs the seriousness of SARS' non-compliance with a court order and its attempt to defend its non-compliance. Whilst the Court concludes the applicant is entitled to </w:t>
      </w:r>
      <w:r w:rsidR="006D7F37">
        <w:lastRenderedPageBreak/>
        <w:t xml:space="preserve">its costs, it finds no basis for a punitive cost order. The applicant is, however, entitled to the costs of two counsel, as the matter is weighty and the principles at play are vital to the enforceability of the rights in the Constitution. </w:t>
      </w:r>
    </w:p>
    <w:p w14:paraId="74815AC7" w14:textId="77777777" w:rsidR="00C900A7" w:rsidRPr="00180053" w:rsidRDefault="006D7F37" w:rsidP="00180053">
      <w:pPr>
        <w:pStyle w:val="Judgmentparagraph"/>
        <w:numPr>
          <w:ilvl w:val="0"/>
          <w:numId w:val="0"/>
        </w:numPr>
        <w:rPr>
          <w:u w:val="single"/>
        </w:rPr>
      </w:pPr>
      <w:r w:rsidRPr="0021121F">
        <w:rPr>
          <w:u w:val="single"/>
        </w:rPr>
        <w:t>Order</w:t>
      </w:r>
      <w:r w:rsidR="00E41171" w:rsidRPr="0021121F">
        <w:rPr>
          <w:u w:val="single"/>
        </w:rPr>
        <w:t xml:space="preserve"> </w:t>
      </w:r>
    </w:p>
    <w:p w14:paraId="21846DB8" w14:textId="13F356A1" w:rsidR="00C900A7" w:rsidRDefault="007557BD" w:rsidP="007557BD">
      <w:pPr>
        <w:pStyle w:val="Judgmentparagraph"/>
        <w:numPr>
          <w:ilvl w:val="0"/>
          <w:numId w:val="0"/>
        </w:numPr>
        <w:ind w:left="567" w:hanging="567"/>
      </w:pPr>
      <w:r>
        <w:t>[25]</w:t>
      </w:r>
      <w:r>
        <w:tab/>
      </w:r>
      <w:r w:rsidR="006D7F37" w:rsidRPr="00B93312">
        <w:t>As a result, the following order is granted:</w:t>
      </w:r>
    </w:p>
    <w:p w14:paraId="7071F532" w14:textId="51A0769D" w:rsidR="001827E9" w:rsidRDefault="007557BD" w:rsidP="007557BD">
      <w:pPr>
        <w:pStyle w:val="Judgmentparagraph"/>
        <w:numPr>
          <w:ilvl w:val="0"/>
          <w:numId w:val="0"/>
        </w:numPr>
        <w:ind w:left="720" w:hanging="360"/>
      </w:pPr>
      <w:r>
        <w:t>a)</w:t>
      </w:r>
      <w:r>
        <w:tab/>
      </w:r>
      <w:r w:rsidR="006D7F37" w:rsidRPr="00791D33">
        <w:t xml:space="preserve">The </w:t>
      </w:r>
      <w:r w:rsidR="00646DC7">
        <w:t>respondent is directed and compelled to forthwith implement or comply with paragraphs 2 and 3 of the order of this Court dated 19 January 2021.</w:t>
      </w:r>
    </w:p>
    <w:p w14:paraId="5ED878B2" w14:textId="296CE52B" w:rsidR="00382F84" w:rsidRDefault="007557BD" w:rsidP="007557BD">
      <w:pPr>
        <w:pStyle w:val="Judgmentparagraph"/>
        <w:numPr>
          <w:ilvl w:val="0"/>
          <w:numId w:val="0"/>
        </w:numPr>
        <w:ind w:left="720" w:hanging="360"/>
      </w:pPr>
      <w:r>
        <w:t>b)</w:t>
      </w:r>
      <w:r>
        <w:tab/>
      </w:r>
      <w:r w:rsidR="006D7F37">
        <w:t>The</w:t>
      </w:r>
      <w:r w:rsidR="00646DC7">
        <w:t xml:space="preserve"> respondent is granted ten days from the date of this order to implement or comply with the court order of 19 </w:t>
      </w:r>
      <w:r w:rsidR="00935711">
        <w:t>January</w:t>
      </w:r>
      <w:r w:rsidR="00646DC7">
        <w:t xml:space="preserve"> 2021 referred to in paragraph (a), failing which the applicant may set the matter down upon notice for contempt of Court or other relief, with or without the amplification of the papers.</w:t>
      </w:r>
    </w:p>
    <w:p w14:paraId="7654DA20" w14:textId="1E9A8855" w:rsidR="00263080" w:rsidRPr="00382F84" w:rsidRDefault="007557BD" w:rsidP="007557BD">
      <w:pPr>
        <w:pStyle w:val="Judgmentparagraph"/>
        <w:numPr>
          <w:ilvl w:val="0"/>
          <w:numId w:val="0"/>
        </w:numPr>
        <w:ind w:left="720" w:hanging="360"/>
      </w:pPr>
      <w:r w:rsidRPr="00382F84">
        <w:t>c)</w:t>
      </w:r>
      <w:r w:rsidRPr="00382F84">
        <w:tab/>
      </w:r>
      <w:r w:rsidR="006D7F37">
        <w:t xml:space="preserve">The respondent is to pay the applicant’s costs on </w:t>
      </w:r>
      <w:r w:rsidR="00935711">
        <w:t>an attorney and client scale, which scale shall include the costs occasioned by the employment of two counsel.</w:t>
      </w:r>
    </w:p>
    <w:p w14:paraId="02758B91" w14:textId="77777777" w:rsidR="00B126CB" w:rsidRDefault="006D7F37" w:rsidP="00E80311">
      <w:pPr>
        <w:tabs>
          <w:tab w:val="left" w:pos="4917"/>
        </w:tabs>
        <w:spacing w:before="120" w:after="120" w:line="240" w:lineRule="auto"/>
        <w:ind w:left="397" w:hanging="397"/>
        <w:jc w:val="right"/>
        <w:rPr>
          <w:rFonts w:ascii="Arial" w:hAnsi="Arial" w:cs="Arial"/>
          <w:noProof/>
          <w:sz w:val="24"/>
          <w:szCs w:val="24"/>
        </w:rPr>
      </w:pPr>
      <w:r w:rsidRPr="00B93312">
        <w:rPr>
          <w:rFonts w:ascii="Arial" w:hAnsi="Arial" w:cs="Arial"/>
          <w:sz w:val="24"/>
          <w:szCs w:val="24"/>
        </w:rPr>
        <w:tab/>
      </w:r>
      <w:r w:rsidRPr="00B93312">
        <w:rPr>
          <w:rFonts w:ascii="Arial" w:hAnsi="Arial" w:cs="Arial"/>
          <w:sz w:val="24"/>
          <w:szCs w:val="24"/>
        </w:rPr>
        <w:tab/>
      </w:r>
    </w:p>
    <w:p w14:paraId="2A85E327" w14:textId="126D3421" w:rsidR="004F3075" w:rsidRPr="00B93312" w:rsidRDefault="006D7F37" w:rsidP="00E80311">
      <w:pPr>
        <w:tabs>
          <w:tab w:val="left" w:pos="4917"/>
        </w:tabs>
        <w:spacing w:before="120" w:after="120" w:line="240" w:lineRule="auto"/>
        <w:ind w:left="397" w:hanging="397"/>
        <w:jc w:val="right"/>
        <w:rPr>
          <w:rFonts w:ascii="Arial" w:hAnsi="Arial" w:cs="Arial"/>
          <w:sz w:val="24"/>
          <w:szCs w:val="24"/>
        </w:rPr>
      </w:pPr>
      <w:r w:rsidRPr="00B93312">
        <w:rPr>
          <w:rFonts w:ascii="Arial" w:hAnsi="Arial" w:cs="Arial"/>
          <w:sz w:val="24"/>
          <w:szCs w:val="24"/>
        </w:rPr>
        <w:t>____________________________</w:t>
      </w:r>
    </w:p>
    <w:p w14:paraId="6D681A2B" w14:textId="77777777" w:rsidR="009C6441" w:rsidRPr="00B93312" w:rsidRDefault="006D7F37" w:rsidP="00940E1B">
      <w:pPr>
        <w:tabs>
          <w:tab w:val="left" w:pos="4917"/>
        </w:tabs>
        <w:spacing w:before="120" w:after="120" w:line="240" w:lineRule="auto"/>
        <w:ind w:left="397" w:hanging="39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00622DB5">
        <w:rPr>
          <w:rFonts w:ascii="Arial" w:hAnsi="Arial" w:cs="Arial"/>
          <w:sz w:val="24"/>
          <w:szCs w:val="24"/>
        </w:rPr>
        <w:t>I d</w:t>
      </w:r>
      <w:r w:rsidR="00714F85">
        <w:rPr>
          <w:rFonts w:ascii="Arial" w:hAnsi="Arial" w:cs="Arial"/>
          <w:sz w:val="24"/>
          <w:szCs w:val="24"/>
        </w:rPr>
        <w:t>e</w:t>
      </w:r>
      <w:r w:rsidR="00622DB5">
        <w:rPr>
          <w:rFonts w:ascii="Arial" w:hAnsi="Arial" w:cs="Arial"/>
          <w:sz w:val="24"/>
          <w:szCs w:val="24"/>
        </w:rPr>
        <w:t xml:space="preserve"> Vos</w:t>
      </w:r>
    </w:p>
    <w:p w14:paraId="4DC0DD01" w14:textId="15BC8B09" w:rsidR="009C6441" w:rsidRDefault="00E06494" w:rsidP="00A43E21">
      <w:pPr>
        <w:tabs>
          <w:tab w:val="left" w:pos="4917"/>
        </w:tabs>
        <w:spacing w:before="120" w:after="120" w:line="240" w:lineRule="auto"/>
        <w:ind w:left="5760"/>
        <w:rPr>
          <w:rFonts w:ascii="Arial" w:hAnsi="Arial" w:cs="Arial"/>
          <w:sz w:val="24"/>
          <w:szCs w:val="24"/>
        </w:rPr>
      </w:pPr>
      <w:r w:rsidRPr="00B93312">
        <w:rPr>
          <w:rFonts w:ascii="Arial" w:hAnsi="Arial" w:cs="Arial"/>
          <w:sz w:val="24"/>
          <w:szCs w:val="24"/>
        </w:rPr>
        <w:t xml:space="preserve">Acting </w:t>
      </w:r>
      <w:r w:rsidR="006D7F37" w:rsidRPr="00B93312">
        <w:rPr>
          <w:rFonts w:ascii="Arial" w:hAnsi="Arial" w:cs="Arial"/>
          <w:sz w:val="24"/>
          <w:szCs w:val="24"/>
        </w:rPr>
        <w:t>Judge of t</w:t>
      </w:r>
      <w:r w:rsidR="00B7783F" w:rsidRPr="00B93312">
        <w:rPr>
          <w:rFonts w:ascii="Arial" w:hAnsi="Arial" w:cs="Arial"/>
          <w:sz w:val="24"/>
          <w:szCs w:val="24"/>
        </w:rPr>
        <w:t>he High Court</w:t>
      </w:r>
      <w:r w:rsidR="00A43E21">
        <w:rPr>
          <w:rFonts w:ascii="Arial" w:hAnsi="Arial" w:cs="Arial"/>
          <w:sz w:val="24"/>
          <w:szCs w:val="24"/>
        </w:rPr>
        <w:t xml:space="preserve"> Gauteng Division, Pretoria</w:t>
      </w:r>
    </w:p>
    <w:p w14:paraId="7AEB5317" w14:textId="77777777" w:rsidR="00E80311" w:rsidRDefault="00E80311" w:rsidP="00E80311">
      <w:pPr>
        <w:tabs>
          <w:tab w:val="left" w:pos="4917"/>
        </w:tabs>
        <w:spacing w:before="120" w:after="120" w:line="240" w:lineRule="auto"/>
        <w:ind w:left="397" w:hanging="397"/>
        <w:jc w:val="right"/>
        <w:rPr>
          <w:rFonts w:ascii="Arial" w:hAnsi="Arial" w:cs="Arial"/>
          <w:sz w:val="24"/>
          <w:szCs w:val="24"/>
        </w:rPr>
      </w:pPr>
    </w:p>
    <w:p w14:paraId="30DF907E" w14:textId="77777777" w:rsidR="00A42BDA" w:rsidRPr="00B93312" w:rsidRDefault="00A42BDA" w:rsidP="003649CD">
      <w:pPr>
        <w:tabs>
          <w:tab w:val="left" w:pos="4917"/>
        </w:tabs>
        <w:spacing w:after="0" w:line="360" w:lineRule="auto"/>
        <w:ind w:left="357"/>
        <w:rPr>
          <w:rFonts w:ascii="Arial" w:hAnsi="Arial" w:cs="Arial"/>
          <w:sz w:val="24"/>
          <w:szCs w:val="24"/>
        </w:rPr>
      </w:pPr>
    </w:p>
    <w:p w14:paraId="0BB7046C" w14:textId="77777777" w:rsidR="002B0D1E" w:rsidRPr="00B93312" w:rsidRDefault="006D7F37" w:rsidP="002B0D1E">
      <w:pPr>
        <w:tabs>
          <w:tab w:val="left" w:pos="4917"/>
        </w:tabs>
        <w:spacing w:after="0"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07316420" w14:textId="77777777" w:rsidR="00A42BDA" w:rsidRPr="00B93312" w:rsidRDefault="00A42BDA" w:rsidP="003649CD">
      <w:pPr>
        <w:tabs>
          <w:tab w:val="left" w:pos="4917"/>
        </w:tabs>
        <w:spacing w:after="0" w:line="360" w:lineRule="auto"/>
        <w:ind w:left="357"/>
        <w:rPr>
          <w:rFonts w:ascii="Arial" w:hAnsi="Arial" w:cs="Arial"/>
          <w:sz w:val="24"/>
          <w:szCs w:val="24"/>
        </w:rPr>
      </w:pPr>
    </w:p>
    <w:p w14:paraId="0CDADEA5" w14:textId="06B52556" w:rsidR="009B2C03" w:rsidRPr="00F02ACE" w:rsidRDefault="006D7F37" w:rsidP="00D324F0">
      <w:pPr>
        <w:tabs>
          <w:tab w:val="left" w:pos="4917"/>
        </w:tabs>
        <w:spacing w:after="0" w:line="360" w:lineRule="auto"/>
        <w:ind w:left="357"/>
        <w:rPr>
          <w:rFonts w:ascii="Arial" w:hAnsi="Arial" w:cs="Arial"/>
          <w:b/>
          <w:bCs/>
          <w:sz w:val="24"/>
          <w:szCs w:val="24"/>
        </w:rPr>
      </w:pPr>
      <w:r w:rsidRPr="00F02ACE">
        <w:rPr>
          <w:rFonts w:ascii="Arial" w:hAnsi="Arial" w:cs="Arial"/>
          <w:sz w:val="24"/>
          <w:szCs w:val="24"/>
        </w:rPr>
        <w:t>C</w:t>
      </w:r>
      <w:r w:rsidR="00E66A18" w:rsidRPr="00F02ACE">
        <w:rPr>
          <w:rFonts w:ascii="Arial" w:hAnsi="Arial" w:cs="Arial"/>
          <w:sz w:val="24"/>
          <w:szCs w:val="24"/>
        </w:rPr>
        <w:t>ounsel fo</w:t>
      </w:r>
      <w:r w:rsidR="00377FDC" w:rsidRPr="00F02ACE">
        <w:rPr>
          <w:rFonts w:ascii="Arial" w:hAnsi="Arial" w:cs="Arial"/>
          <w:sz w:val="24"/>
          <w:szCs w:val="24"/>
        </w:rPr>
        <w:t xml:space="preserve">r the </w:t>
      </w:r>
      <w:r w:rsidR="00791D33" w:rsidRPr="00F02ACE">
        <w:rPr>
          <w:rFonts w:ascii="Arial" w:hAnsi="Arial" w:cs="Arial"/>
          <w:sz w:val="24"/>
          <w:szCs w:val="24"/>
        </w:rPr>
        <w:t>app</w:t>
      </w:r>
      <w:r w:rsidR="00A32C88" w:rsidRPr="00F02ACE">
        <w:rPr>
          <w:rFonts w:ascii="Arial" w:hAnsi="Arial" w:cs="Arial"/>
          <w:sz w:val="24"/>
          <w:szCs w:val="24"/>
        </w:rPr>
        <w:t>licant</w:t>
      </w:r>
      <w:r w:rsidR="004716A2" w:rsidRPr="00F02ACE">
        <w:rPr>
          <w:rFonts w:ascii="Arial" w:hAnsi="Arial" w:cs="Arial"/>
          <w:sz w:val="24"/>
          <w:szCs w:val="24"/>
        </w:rPr>
        <w:t>:</w:t>
      </w:r>
      <w:r w:rsidR="00A32C88" w:rsidRPr="00F02ACE">
        <w:rPr>
          <w:rFonts w:ascii="Arial" w:hAnsi="Arial" w:cs="Arial"/>
          <w:sz w:val="24"/>
          <w:szCs w:val="24"/>
        </w:rPr>
        <w:tab/>
      </w:r>
      <w:r w:rsidR="00A43E21" w:rsidRPr="00A43E21">
        <w:rPr>
          <w:rFonts w:ascii="Arial" w:hAnsi="Arial" w:cs="Arial"/>
          <w:b/>
          <w:bCs/>
          <w:sz w:val="24"/>
          <w:szCs w:val="24"/>
        </w:rPr>
        <w:t>V</w:t>
      </w:r>
      <w:r w:rsidR="00935711" w:rsidRPr="00F02ACE">
        <w:rPr>
          <w:rFonts w:ascii="Arial" w:hAnsi="Arial" w:cs="Arial"/>
          <w:b/>
          <w:bCs/>
          <w:sz w:val="24"/>
          <w:szCs w:val="24"/>
        </w:rPr>
        <w:t xml:space="preserve">P </w:t>
      </w:r>
      <w:r w:rsidRPr="00F02ACE">
        <w:rPr>
          <w:rFonts w:ascii="Arial" w:hAnsi="Arial" w:cs="Arial"/>
          <w:b/>
          <w:bCs/>
          <w:sz w:val="24"/>
          <w:szCs w:val="24"/>
        </w:rPr>
        <w:t xml:space="preserve">Ngutshana </w:t>
      </w:r>
    </w:p>
    <w:p w14:paraId="439C0A33" w14:textId="77777777" w:rsidR="00E80311" w:rsidRPr="00F02ACE" w:rsidRDefault="006D7F37" w:rsidP="00D324F0">
      <w:pPr>
        <w:tabs>
          <w:tab w:val="left" w:pos="4917"/>
        </w:tabs>
        <w:spacing w:after="0" w:line="360" w:lineRule="auto"/>
        <w:ind w:left="357"/>
        <w:rPr>
          <w:rFonts w:ascii="Arial" w:hAnsi="Arial" w:cs="Arial"/>
          <w:b/>
          <w:bCs/>
          <w:lang w:eastAsia="en-GB"/>
        </w:rPr>
      </w:pPr>
      <w:r w:rsidRPr="00F02ACE">
        <w:rPr>
          <w:rFonts w:ascii="Arial" w:hAnsi="Arial" w:cs="Arial"/>
          <w:b/>
          <w:bCs/>
          <w:sz w:val="24"/>
          <w:szCs w:val="24"/>
        </w:rPr>
        <w:tab/>
      </w:r>
      <w:r w:rsidR="00935711" w:rsidRPr="00F02ACE">
        <w:rPr>
          <w:rFonts w:ascii="Arial" w:hAnsi="Arial" w:cs="Arial"/>
          <w:b/>
          <w:bCs/>
          <w:sz w:val="24"/>
          <w:szCs w:val="24"/>
        </w:rPr>
        <w:t xml:space="preserve">M </w:t>
      </w:r>
      <w:r w:rsidRPr="00F02ACE">
        <w:rPr>
          <w:rFonts w:ascii="Arial" w:hAnsi="Arial" w:cs="Arial"/>
          <w:b/>
          <w:bCs/>
          <w:sz w:val="24"/>
          <w:szCs w:val="24"/>
        </w:rPr>
        <w:t>Molea</w:t>
      </w:r>
      <w:r w:rsidR="00BB506C" w:rsidRPr="00F02ACE">
        <w:rPr>
          <w:rFonts w:ascii="Arial" w:hAnsi="Arial" w:cs="Arial"/>
          <w:b/>
          <w:bCs/>
          <w:sz w:val="24"/>
          <w:szCs w:val="24"/>
        </w:rPr>
        <w:t xml:space="preserve"> </w:t>
      </w:r>
      <w:r w:rsidR="00F67537" w:rsidRPr="00F02ACE">
        <w:rPr>
          <w:rFonts w:ascii="Arial" w:hAnsi="Arial" w:cs="Arial"/>
          <w:b/>
          <w:bCs/>
          <w:sz w:val="24"/>
          <w:szCs w:val="24"/>
        </w:rPr>
        <w:tab/>
      </w:r>
    </w:p>
    <w:p w14:paraId="54403173" w14:textId="77777777" w:rsidR="006704E0" w:rsidRPr="00F02ACE" w:rsidRDefault="006D7F37" w:rsidP="00BE500B">
      <w:pPr>
        <w:tabs>
          <w:tab w:val="left" w:pos="4917"/>
        </w:tabs>
        <w:spacing w:after="0" w:line="360" w:lineRule="auto"/>
        <w:ind w:left="4917" w:hanging="4557"/>
        <w:rPr>
          <w:rFonts w:ascii="Arial" w:eastAsia="Times New Roman" w:hAnsi="Arial" w:cs="Arial"/>
          <w:sz w:val="24"/>
          <w:szCs w:val="24"/>
          <w:lang w:eastAsia="en-GB"/>
        </w:rPr>
      </w:pPr>
      <w:r w:rsidRPr="00F02ACE">
        <w:rPr>
          <w:rFonts w:ascii="Arial" w:hAnsi="Arial" w:cs="Arial"/>
          <w:sz w:val="24"/>
          <w:szCs w:val="24"/>
        </w:rPr>
        <w:t>I</w:t>
      </w:r>
      <w:r w:rsidR="003649CD" w:rsidRPr="00F02ACE">
        <w:rPr>
          <w:rFonts w:ascii="Arial" w:hAnsi="Arial" w:cs="Arial"/>
          <w:sz w:val="24"/>
          <w:szCs w:val="24"/>
        </w:rPr>
        <w:t xml:space="preserve">nstructed by: </w:t>
      </w:r>
      <w:r w:rsidR="00BB506C" w:rsidRPr="00F02ACE">
        <w:rPr>
          <w:rFonts w:ascii="Arial" w:hAnsi="Arial" w:cs="Arial"/>
          <w:sz w:val="24"/>
          <w:szCs w:val="24"/>
        </w:rPr>
        <w:t xml:space="preserve"> </w:t>
      </w:r>
      <w:r w:rsidR="00F67537" w:rsidRPr="00F02ACE">
        <w:rPr>
          <w:rFonts w:ascii="Arial" w:hAnsi="Arial" w:cs="Arial"/>
          <w:sz w:val="24"/>
          <w:szCs w:val="24"/>
        </w:rPr>
        <w:tab/>
      </w:r>
      <w:r w:rsidR="009B2C03" w:rsidRPr="00F02ACE">
        <w:rPr>
          <w:rFonts w:ascii="Arial" w:eastAsia="Times New Roman" w:hAnsi="Arial" w:cs="Arial"/>
          <w:sz w:val="24"/>
          <w:szCs w:val="24"/>
          <w:lang w:eastAsia="en-GB"/>
        </w:rPr>
        <w:t>Omphile Kedijang Attorneys</w:t>
      </w:r>
    </w:p>
    <w:p w14:paraId="3DB5EA56" w14:textId="2E349F85" w:rsidR="009B2C03" w:rsidRPr="00F02ACE" w:rsidRDefault="006D7F37" w:rsidP="006704E0">
      <w:pPr>
        <w:tabs>
          <w:tab w:val="left" w:pos="4917"/>
        </w:tabs>
        <w:spacing w:after="0" w:line="360" w:lineRule="auto"/>
        <w:ind w:left="4917" w:hanging="4557"/>
        <w:rPr>
          <w:rFonts w:ascii="Arial" w:hAnsi="Arial" w:cs="Arial"/>
          <w:b/>
          <w:bCs/>
          <w:lang w:eastAsia="en-GB"/>
        </w:rPr>
      </w:pPr>
      <w:r w:rsidRPr="00F02ACE">
        <w:rPr>
          <w:rFonts w:ascii="Arial" w:eastAsia="Times New Roman" w:hAnsi="Arial" w:cs="Arial"/>
          <w:sz w:val="24"/>
          <w:szCs w:val="24"/>
          <w:lang w:eastAsia="en-GB"/>
        </w:rPr>
        <w:t>Counsel for the Respondent:</w:t>
      </w:r>
      <w:r w:rsidRPr="00F02ACE">
        <w:rPr>
          <w:rFonts w:ascii="Arial" w:eastAsia="Times New Roman" w:hAnsi="Arial" w:cs="Arial"/>
          <w:sz w:val="24"/>
          <w:szCs w:val="24"/>
          <w:lang w:eastAsia="en-GB"/>
        </w:rPr>
        <w:tab/>
      </w:r>
      <w:r w:rsidR="005A1E3B">
        <w:rPr>
          <w:rFonts w:ascii="Arial" w:eastAsia="Times New Roman" w:hAnsi="Arial" w:cs="Arial"/>
          <w:b/>
          <w:bCs/>
          <w:sz w:val="24"/>
          <w:szCs w:val="24"/>
          <w:lang w:eastAsia="en-GB"/>
        </w:rPr>
        <w:t>SK</w:t>
      </w:r>
      <w:r w:rsidR="00935711" w:rsidRPr="00F02ACE">
        <w:rPr>
          <w:rFonts w:ascii="Arial" w:eastAsia="Times New Roman" w:hAnsi="Arial" w:cs="Arial"/>
          <w:sz w:val="24"/>
          <w:szCs w:val="24"/>
          <w:lang w:eastAsia="en-GB"/>
        </w:rPr>
        <w:t xml:space="preserve"> </w:t>
      </w:r>
      <w:r w:rsidRPr="005A1E3B">
        <w:rPr>
          <w:rFonts w:ascii="Arial" w:hAnsi="Arial" w:cs="Arial"/>
          <w:b/>
          <w:bCs/>
          <w:sz w:val="24"/>
          <w:szCs w:val="24"/>
          <w:lang w:eastAsia="en-GB"/>
        </w:rPr>
        <w:t>Hassim SC</w:t>
      </w:r>
    </w:p>
    <w:p w14:paraId="06EBABC1" w14:textId="77777777" w:rsidR="006704E0" w:rsidRPr="005A1E3B" w:rsidRDefault="006D7F37" w:rsidP="006704E0">
      <w:pPr>
        <w:tabs>
          <w:tab w:val="left" w:pos="4917"/>
        </w:tabs>
        <w:spacing w:after="0" w:line="360" w:lineRule="auto"/>
        <w:ind w:left="4917" w:hanging="4557"/>
        <w:rPr>
          <w:rFonts w:ascii="Arial" w:hAnsi="Arial" w:cs="Arial"/>
          <w:b/>
          <w:bCs/>
          <w:sz w:val="24"/>
          <w:szCs w:val="24"/>
          <w:lang w:eastAsia="en-GB"/>
        </w:rPr>
      </w:pPr>
      <w:r w:rsidRPr="00F02ACE">
        <w:rPr>
          <w:rFonts w:ascii="Arial" w:hAnsi="Arial" w:cs="Arial"/>
          <w:b/>
          <w:bCs/>
          <w:lang w:eastAsia="en-GB"/>
        </w:rPr>
        <w:tab/>
      </w:r>
      <w:r w:rsidR="00935711" w:rsidRPr="005A1E3B">
        <w:rPr>
          <w:rFonts w:ascii="Arial" w:hAnsi="Arial" w:cs="Arial"/>
          <w:b/>
          <w:bCs/>
          <w:sz w:val="24"/>
          <w:szCs w:val="24"/>
          <w:lang w:eastAsia="en-GB"/>
        </w:rPr>
        <w:t xml:space="preserve">KD </w:t>
      </w:r>
      <w:r w:rsidRPr="005A1E3B">
        <w:rPr>
          <w:rFonts w:ascii="Arial" w:hAnsi="Arial" w:cs="Arial"/>
          <w:b/>
          <w:bCs/>
          <w:sz w:val="24"/>
          <w:szCs w:val="24"/>
          <w:lang w:eastAsia="en-GB"/>
        </w:rPr>
        <w:t>Magano</w:t>
      </w:r>
      <w:r w:rsidR="0051111F" w:rsidRPr="005A1E3B">
        <w:rPr>
          <w:rFonts w:ascii="Arial" w:hAnsi="Arial" w:cs="Arial"/>
          <w:b/>
          <w:bCs/>
          <w:sz w:val="24"/>
          <w:szCs w:val="24"/>
          <w:lang w:eastAsia="en-GB"/>
        </w:rPr>
        <w:t xml:space="preserve"> </w:t>
      </w:r>
    </w:p>
    <w:p w14:paraId="1A28BBAB" w14:textId="77777777" w:rsidR="00E20004" w:rsidRPr="00F02ACE" w:rsidRDefault="006D7F37" w:rsidP="00BE500B">
      <w:pPr>
        <w:tabs>
          <w:tab w:val="left" w:pos="4917"/>
        </w:tabs>
        <w:spacing w:after="0" w:line="360" w:lineRule="auto"/>
        <w:ind w:left="4917" w:hanging="4557"/>
        <w:rPr>
          <w:rFonts w:ascii="Arial" w:hAnsi="Arial" w:cs="Arial"/>
          <w:sz w:val="24"/>
          <w:szCs w:val="24"/>
        </w:rPr>
      </w:pPr>
      <w:r w:rsidRPr="00F02ACE">
        <w:rPr>
          <w:rFonts w:ascii="Arial" w:hAnsi="Arial" w:cs="Arial"/>
          <w:sz w:val="24"/>
          <w:szCs w:val="24"/>
        </w:rPr>
        <w:t xml:space="preserve">Instructed by: </w:t>
      </w:r>
      <w:r w:rsidR="00377FDC" w:rsidRPr="00F02ACE">
        <w:rPr>
          <w:rFonts w:ascii="Arial" w:hAnsi="Arial" w:cs="Arial"/>
          <w:sz w:val="24"/>
          <w:szCs w:val="24"/>
        </w:rPr>
        <w:tab/>
      </w:r>
      <w:r w:rsidR="00E56A3A" w:rsidRPr="00F02ACE">
        <w:rPr>
          <w:rFonts w:ascii="Arial" w:hAnsi="Arial" w:cs="Arial"/>
          <w:sz w:val="24"/>
          <w:szCs w:val="24"/>
        </w:rPr>
        <w:t>Maponya Incorporated</w:t>
      </w:r>
      <w:r w:rsidR="00E80311" w:rsidRPr="00F02ACE">
        <w:rPr>
          <w:rFonts w:ascii="Arial" w:hAnsi="Arial" w:cs="Arial"/>
          <w:sz w:val="24"/>
          <w:szCs w:val="24"/>
        </w:rPr>
        <w:t xml:space="preserve"> </w:t>
      </w:r>
    </w:p>
    <w:p w14:paraId="27B45D93" w14:textId="77777777" w:rsidR="004F3075" w:rsidRDefault="006D7F37" w:rsidP="008302A3">
      <w:pPr>
        <w:tabs>
          <w:tab w:val="left" w:pos="4917"/>
        </w:tabs>
        <w:spacing w:after="0" w:line="360" w:lineRule="auto"/>
        <w:ind w:left="360"/>
        <w:rPr>
          <w:rFonts w:ascii="Arial" w:eastAsia="Times New Roman" w:hAnsi="Arial" w:cs="Arial"/>
          <w:sz w:val="24"/>
          <w:szCs w:val="24"/>
          <w:lang w:eastAsia="en-GB"/>
        </w:rPr>
      </w:pPr>
      <w:r w:rsidRPr="00F02ACE">
        <w:rPr>
          <w:rFonts w:ascii="Arial" w:hAnsi="Arial" w:cs="Arial"/>
          <w:sz w:val="24"/>
          <w:szCs w:val="24"/>
        </w:rPr>
        <w:t>D</w:t>
      </w:r>
      <w:r w:rsidR="002F1742" w:rsidRPr="00F02ACE">
        <w:rPr>
          <w:rFonts w:ascii="Arial" w:hAnsi="Arial" w:cs="Arial"/>
          <w:sz w:val="24"/>
          <w:szCs w:val="24"/>
        </w:rPr>
        <w:t>ate of the hearing:</w:t>
      </w:r>
      <w:r w:rsidR="00F03EE2" w:rsidRPr="00F02ACE">
        <w:rPr>
          <w:rFonts w:ascii="Arial" w:hAnsi="Arial" w:cs="Arial"/>
          <w:sz w:val="24"/>
          <w:szCs w:val="24"/>
        </w:rPr>
        <w:tab/>
      </w:r>
      <w:r w:rsidR="009B2C03" w:rsidRPr="00F02ACE">
        <w:rPr>
          <w:rFonts w:ascii="Arial" w:eastAsia="Times New Roman" w:hAnsi="Arial" w:cs="Arial"/>
          <w:sz w:val="24"/>
          <w:szCs w:val="24"/>
          <w:lang w:eastAsia="en-GB"/>
        </w:rPr>
        <w:t>7 August</w:t>
      </w:r>
      <w:r w:rsidR="008302A3">
        <w:rPr>
          <w:rFonts w:ascii="Arial" w:eastAsia="Times New Roman" w:hAnsi="Arial" w:cs="Arial"/>
          <w:sz w:val="24"/>
          <w:szCs w:val="24"/>
          <w:lang w:eastAsia="en-GB"/>
        </w:rPr>
        <w:t xml:space="preserve"> 2023</w:t>
      </w:r>
      <w:r>
        <w:rPr>
          <w:rFonts w:ascii="Arial" w:eastAsia="Times New Roman" w:hAnsi="Arial" w:cs="Arial"/>
          <w:sz w:val="24"/>
          <w:szCs w:val="24"/>
          <w:lang w:eastAsia="en-GB"/>
        </w:rPr>
        <w:t xml:space="preserve"> </w:t>
      </w:r>
    </w:p>
    <w:p w14:paraId="2425D996" w14:textId="7BA4C4F9" w:rsidR="002E716B" w:rsidRPr="001510B0" w:rsidRDefault="006D7F37" w:rsidP="00263080">
      <w:pPr>
        <w:tabs>
          <w:tab w:val="left" w:pos="4917"/>
        </w:tabs>
        <w:spacing w:after="0" w:line="360" w:lineRule="auto"/>
        <w:ind w:left="360"/>
        <w:rPr>
          <w:rFonts w:ascii="Arial" w:eastAsia="Times New Roman" w:hAnsi="Arial" w:cs="Arial"/>
          <w:sz w:val="24"/>
          <w:szCs w:val="24"/>
          <w:lang w:eastAsia="en-GB"/>
        </w:rPr>
      </w:pPr>
      <w:r w:rsidRPr="008554B6">
        <w:rPr>
          <w:rFonts w:ascii="Arial" w:hAnsi="Arial" w:cs="Arial"/>
          <w:sz w:val="24"/>
          <w:szCs w:val="24"/>
        </w:rPr>
        <w:t>Date of judgment:</w:t>
      </w:r>
      <w:r w:rsidRPr="008554B6">
        <w:rPr>
          <w:rFonts w:ascii="Arial" w:hAnsi="Arial" w:cs="Arial"/>
          <w:sz w:val="24"/>
          <w:szCs w:val="24"/>
        </w:rPr>
        <w:tab/>
      </w:r>
      <w:r w:rsidR="00935711">
        <w:rPr>
          <w:rFonts w:ascii="Arial" w:eastAsia="Times New Roman" w:hAnsi="Arial" w:cs="Arial"/>
          <w:sz w:val="24"/>
          <w:szCs w:val="24"/>
          <w:lang w:eastAsia="en-GB"/>
        </w:rPr>
        <w:t>23</w:t>
      </w:r>
      <w:r w:rsidR="008302A3">
        <w:rPr>
          <w:rFonts w:ascii="Arial" w:eastAsia="Times New Roman" w:hAnsi="Arial" w:cs="Arial"/>
          <w:sz w:val="24"/>
          <w:szCs w:val="24"/>
          <w:lang w:eastAsia="en-GB"/>
        </w:rPr>
        <w:t xml:space="preserve"> September</w:t>
      </w:r>
      <w:r w:rsidR="009E2D4C">
        <w:rPr>
          <w:rFonts w:ascii="Arial" w:eastAsia="Times New Roman" w:hAnsi="Arial" w:cs="Arial"/>
          <w:sz w:val="24"/>
          <w:szCs w:val="24"/>
          <w:lang w:eastAsia="en-GB"/>
        </w:rPr>
        <w:t xml:space="preserve"> 2023</w:t>
      </w:r>
    </w:p>
    <w:sectPr w:rsidR="002E716B" w:rsidRPr="001510B0" w:rsidSect="00065E8F">
      <w:headerReference w:type="default" r:id="rId12"/>
      <w:footerReference w:type="default" r:id="rId13"/>
      <w:footerReference w:type="first" r:id="rId14"/>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2CFC0" w14:textId="77777777" w:rsidR="00EE55F8" w:rsidRDefault="00EE55F8">
      <w:pPr>
        <w:spacing w:after="0" w:line="240" w:lineRule="auto"/>
      </w:pPr>
      <w:r>
        <w:separator/>
      </w:r>
    </w:p>
  </w:endnote>
  <w:endnote w:type="continuationSeparator" w:id="0">
    <w:p w14:paraId="5177488A" w14:textId="77777777" w:rsidR="00EE55F8" w:rsidRDefault="00EE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4C9438B7" w14:textId="77777777" w:rsidR="000E009C" w:rsidRDefault="006D7F37">
        <w:pPr>
          <w:pStyle w:val="Footer"/>
          <w:jc w:val="center"/>
        </w:pPr>
        <w:r w:rsidRPr="00CD0D31">
          <w:rPr>
            <w:rFonts w:ascii="Arial" w:hAnsi="Arial" w:cs="Arial"/>
            <w:sz w:val="24"/>
            <w:szCs w:val="24"/>
          </w:rPr>
          <w:fldChar w:fldCharType="begin"/>
        </w:r>
        <w:r w:rsidRPr="00CD0D31">
          <w:rPr>
            <w:rFonts w:ascii="Arial" w:hAnsi="Arial" w:cs="Arial"/>
            <w:sz w:val="24"/>
            <w:szCs w:val="24"/>
          </w:rPr>
          <w:instrText xml:space="preserve"> PAGE   \* MERGEFORMAT </w:instrText>
        </w:r>
        <w:r w:rsidRPr="00CD0D31">
          <w:rPr>
            <w:rFonts w:ascii="Arial" w:hAnsi="Arial" w:cs="Arial"/>
            <w:sz w:val="24"/>
            <w:szCs w:val="24"/>
          </w:rPr>
          <w:fldChar w:fldCharType="separate"/>
        </w:r>
        <w:r w:rsidR="007557BD">
          <w:rPr>
            <w:rFonts w:ascii="Arial" w:hAnsi="Arial" w:cs="Arial"/>
            <w:noProof/>
            <w:sz w:val="24"/>
            <w:szCs w:val="24"/>
          </w:rPr>
          <w:t>2</w:t>
        </w:r>
        <w:r w:rsidRPr="00CD0D31">
          <w:rPr>
            <w:rFonts w:ascii="Arial" w:hAnsi="Arial" w:cs="Arial"/>
            <w:noProof/>
            <w:sz w:val="24"/>
            <w:szCs w:val="24"/>
          </w:rPr>
          <w:fldChar w:fldCharType="end"/>
        </w:r>
      </w:p>
    </w:sdtContent>
  </w:sdt>
  <w:p w14:paraId="6D50A2D0" w14:textId="77777777" w:rsidR="000E009C" w:rsidRDefault="000E0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097486259"/>
      <w:docPartObj>
        <w:docPartGallery w:val="Page Numbers (Bottom of Page)"/>
        <w:docPartUnique/>
      </w:docPartObj>
    </w:sdtPr>
    <w:sdtEndPr/>
    <w:sdtContent>
      <w:p w14:paraId="40B236D9" w14:textId="77777777" w:rsidR="005F074E" w:rsidRPr="005F074E" w:rsidRDefault="006D7F37">
        <w:pPr>
          <w:pStyle w:val="Footer"/>
          <w:jc w:val="center"/>
          <w:rPr>
            <w:rFonts w:ascii="Arial" w:hAnsi="Arial" w:cs="Arial"/>
            <w:sz w:val="24"/>
            <w:szCs w:val="24"/>
          </w:rPr>
        </w:pPr>
        <w:r w:rsidRPr="005F074E">
          <w:rPr>
            <w:rFonts w:ascii="Arial" w:hAnsi="Arial" w:cs="Arial"/>
            <w:sz w:val="24"/>
            <w:szCs w:val="24"/>
          </w:rPr>
          <w:fldChar w:fldCharType="begin"/>
        </w:r>
        <w:r w:rsidRPr="005F074E">
          <w:rPr>
            <w:rFonts w:ascii="Arial" w:hAnsi="Arial" w:cs="Arial"/>
            <w:sz w:val="24"/>
            <w:szCs w:val="24"/>
          </w:rPr>
          <w:instrText>PAGE   \* MERGEFORMAT</w:instrText>
        </w:r>
        <w:r w:rsidRPr="005F074E">
          <w:rPr>
            <w:rFonts w:ascii="Arial" w:hAnsi="Arial" w:cs="Arial"/>
            <w:sz w:val="24"/>
            <w:szCs w:val="24"/>
          </w:rPr>
          <w:fldChar w:fldCharType="separate"/>
        </w:r>
        <w:r w:rsidR="007557BD" w:rsidRPr="007557BD">
          <w:rPr>
            <w:rFonts w:ascii="Arial" w:hAnsi="Arial" w:cs="Arial"/>
            <w:noProof/>
            <w:sz w:val="24"/>
            <w:szCs w:val="24"/>
            <w:lang w:val="af-ZA"/>
          </w:rPr>
          <w:t>1</w:t>
        </w:r>
        <w:r w:rsidRPr="005F074E">
          <w:rPr>
            <w:rFonts w:ascii="Arial" w:hAnsi="Arial" w:cs="Arial"/>
            <w:sz w:val="24"/>
            <w:szCs w:val="24"/>
          </w:rPr>
          <w:fldChar w:fldCharType="end"/>
        </w:r>
      </w:p>
    </w:sdtContent>
  </w:sdt>
  <w:p w14:paraId="0FEEEF1D" w14:textId="77777777" w:rsidR="005F074E" w:rsidRPr="005F074E" w:rsidRDefault="005F074E">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DC4E7" w14:textId="77777777" w:rsidR="00EE55F8" w:rsidRDefault="00EE55F8">
      <w:pPr>
        <w:spacing w:after="0" w:line="240" w:lineRule="auto"/>
      </w:pPr>
      <w:r>
        <w:separator/>
      </w:r>
    </w:p>
  </w:footnote>
  <w:footnote w:type="continuationSeparator" w:id="0">
    <w:p w14:paraId="13D50327" w14:textId="77777777" w:rsidR="00EE55F8" w:rsidRDefault="00EE55F8">
      <w:pPr>
        <w:spacing w:after="0" w:line="240" w:lineRule="auto"/>
      </w:pPr>
      <w:r>
        <w:continuationSeparator/>
      </w:r>
    </w:p>
  </w:footnote>
  <w:footnote w:type="continuationNotice" w:id="1">
    <w:p w14:paraId="43EEE621" w14:textId="77777777" w:rsidR="00EE55F8" w:rsidRDefault="00EE55F8">
      <w:pPr>
        <w:spacing w:after="0" w:line="240" w:lineRule="auto"/>
      </w:pPr>
    </w:p>
  </w:footnote>
  <w:footnote w:id="2">
    <w:p w14:paraId="580DD642" w14:textId="77777777" w:rsidR="00370C55" w:rsidRPr="00370C55" w:rsidRDefault="006D7F37">
      <w:pPr>
        <w:pStyle w:val="FootnoteText"/>
        <w:rPr>
          <w:lang w:val="en-US"/>
        </w:rPr>
      </w:pPr>
      <w:r>
        <w:rPr>
          <w:rStyle w:val="FootnoteReference"/>
        </w:rPr>
        <w:footnoteRef/>
      </w:r>
      <w:r>
        <w:t xml:space="preserve"> </w:t>
      </w:r>
      <w:r>
        <w:rPr>
          <w:lang w:val="en-US"/>
        </w:rPr>
        <w:t>Venmop 275 (Pty ) Ltd v Cleveland Projects (Pty) Ltd 2016 (1) SA 78 (GJ)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FBF8C" w14:textId="77777777" w:rsidR="000E009C" w:rsidRDefault="000E009C">
    <w:pPr>
      <w:pStyle w:val="Header"/>
      <w:jc w:val="center"/>
    </w:pPr>
  </w:p>
  <w:p w14:paraId="63743AEB" w14:textId="77777777" w:rsidR="000E009C" w:rsidRDefault="000E0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882767"/>
    <w:multiLevelType w:val="hybridMultilevel"/>
    <w:tmpl w:val="ED92AC92"/>
    <w:lvl w:ilvl="0" w:tplc="8F3EB85E">
      <w:start w:val="1"/>
      <w:numFmt w:val="lowerRoman"/>
      <w:pStyle w:val="Heading2"/>
      <w:lvlText w:val="(%1)"/>
      <w:lvlJc w:val="left"/>
      <w:pPr>
        <w:ind w:left="1080" w:hanging="720"/>
      </w:pPr>
      <w:rPr>
        <w:rFonts w:hint="default"/>
      </w:rPr>
    </w:lvl>
    <w:lvl w:ilvl="1" w:tplc="6B9EFA14" w:tentative="1">
      <w:start w:val="1"/>
      <w:numFmt w:val="lowerLetter"/>
      <w:lvlText w:val="%2."/>
      <w:lvlJc w:val="left"/>
      <w:pPr>
        <w:ind w:left="1440" w:hanging="360"/>
      </w:pPr>
    </w:lvl>
    <w:lvl w:ilvl="2" w:tplc="8F2C26E6" w:tentative="1">
      <w:start w:val="1"/>
      <w:numFmt w:val="lowerRoman"/>
      <w:lvlText w:val="%3."/>
      <w:lvlJc w:val="right"/>
      <w:pPr>
        <w:ind w:left="2160" w:hanging="180"/>
      </w:pPr>
    </w:lvl>
    <w:lvl w:ilvl="3" w:tplc="9FD4EE4C" w:tentative="1">
      <w:start w:val="1"/>
      <w:numFmt w:val="decimal"/>
      <w:lvlText w:val="%4."/>
      <w:lvlJc w:val="left"/>
      <w:pPr>
        <w:ind w:left="2880" w:hanging="360"/>
      </w:pPr>
    </w:lvl>
    <w:lvl w:ilvl="4" w:tplc="9976CA96" w:tentative="1">
      <w:start w:val="1"/>
      <w:numFmt w:val="lowerLetter"/>
      <w:lvlText w:val="%5."/>
      <w:lvlJc w:val="left"/>
      <w:pPr>
        <w:ind w:left="3600" w:hanging="360"/>
      </w:pPr>
    </w:lvl>
    <w:lvl w:ilvl="5" w:tplc="7FE625AE" w:tentative="1">
      <w:start w:val="1"/>
      <w:numFmt w:val="lowerRoman"/>
      <w:lvlText w:val="%6."/>
      <w:lvlJc w:val="right"/>
      <w:pPr>
        <w:ind w:left="4320" w:hanging="180"/>
      </w:pPr>
    </w:lvl>
    <w:lvl w:ilvl="6" w:tplc="DAE4E912" w:tentative="1">
      <w:start w:val="1"/>
      <w:numFmt w:val="decimal"/>
      <w:lvlText w:val="%7."/>
      <w:lvlJc w:val="left"/>
      <w:pPr>
        <w:ind w:left="5040" w:hanging="360"/>
      </w:pPr>
    </w:lvl>
    <w:lvl w:ilvl="7" w:tplc="E5D269DE" w:tentative="1">
      <w:start w:val="1"/>
      <w:numFmt w:val="lowerLetter"/>
      <w:lvlText w:val="%8."/>
      <w:lvlJc w:val="left"/>
      <w:pPr>
        <w:ind w:left="5760" w:hanging="360"/>
      </w:pPr>
    </w:lvl>
    <w:lvl w:ilvl="8" w:tplc="D4985A1C" w:tentative="1">
      <w:start w:val="1"/>
      <w:numFmt w:val="lowerRoman"/>
      <w:lvlText w:val="%9."/>
      <w:lvlJc w:val="right"/>
      <w:pPr>
        <w:ind w:left="6480" w:hanging="180"/>
      </w:pPr>
    </w:lvl>
  </w:abstractNum>
  <w:abstractNum w:abstractNumId="6">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41B2B6E"/>
    <w:multiLevelType w:val="hybridMultilevel"/>
    <w:tmpl w:val="98384100"/>
    <w:lvl w:ilvl="0" w:tplc="039A7A42">
      <w:start w:val="1"/>
      <w:numFmt w:val="bullet"/>
      <w:pStyle w:val="Heading4"/>
      <w:lvlText w:val=""/>
      <w:lvlJc w:val="left"/>
      <w:pPr>
        <w:ind w:left="360" w:hanging="360"/>
      </w:pPr>
      <w:rPr>
        <w:rFonts w:ascii="Symbol" w:hAnsi="Symbol" w:hint="default"/>
      </w:rPr>
    </w:lvl>
    <w:lvl w:ilvl="1" w:tplc="CF72F888" w:tentative="1">
      <w:start w:val="1"/>
      <w:numFmt w:val="bullet"/>
      <w:lvlText w:val="o"/>
      <w:lvlJc w:val="left"/>
      <w:pPr>
        <w:ind w:left="1080" w:hanging="360"/>
      </w:pPr>
      <w:rPr>
        <w:rFonts w:ascii="Courier New" w:hAnsi="Courier New" w:cs="Courier New" w:hint="default"/>
      </w:rPr>
    </w:lvl>
    <w:lvl w:ilvl="2" w:tplc="2DF8E33E" w:tentative="1">
      <w:start w:val="1"/>
      <w:numFmt w:val="bullet"/>
      <w:lvlText w:val=""/>
      <w:lvlJc w:val="left"/>
      <w:pPr>
        <w:ind w:left="1800" w:hanging="360"/>
      </w:pPr>
      <w:rPr>
        <w:rFonts w:ascii="Wingdings" w:hAnsi="Wingdings" w:hint="default"/>
      </w:rPr>
    </w:lvl>
    <w:lvl w:ilvl="3" w:tplc="693EDF2A" w:tentative="1">
      <w:start w:val="1"/>
      <w:numFmt w:val="bullet"/>
      <w:lvlText w:val=""/>
      <w:lvlJc w:val="left"/>
      <w:pPr>
        <w:ind w:left="2520" w:hanging="360"/>
      </w:pPr>
      <w:rPr>
        <w:rFonts w:ascii="Symbol" w:hAnsi="Symbol" w:hint="default"/>
      </w:rPr>
    </w:lvl>
    <w:lvl w:ilvl="4" w:tplc="0E0050C8" w:tentative="1">
      <w:start w:val="1"/>
      <w:numFmt w:val="bullet"/>
      <w:lvlText w:val="o"/>
      <w:lvlJc w:val="left"/>
      <w:pPr>
        <w:ind w:left="3240" w:hanging="360"/>
      </w:pPr>
      <w:rPr>
        <w:rFonts w:ascii="Courier New" w:hAnsi="Courier New" w:cs="Courier New" w:hint="default"/>
      </w:rPr>
    </w:lvl>
    <w:lvl w:ilvl="5" w:tplc="8F203C5C" w:tentative="1">
      <w:start w:val="1"/>
      <w:numFmt w:val="bullet"/>
      <w:lvlText w:val=""/>
      <w:lvlJc w:val="left"/>
      <w:pPr>
        <w:ind w:left="3960" w:hanging="360"/>
      </w:pPr>
      <w:rPr>
        <w:rFonts w:ascii="Wingdings" w:hAnsi="Wingdings" w:hint="default"/>
      </w:rPr>
    </w:lvl>
    <w:lvl w:ilvl="6" w:tplc="E380358A" w:tentative="1">
      <w:start w:val="1"/>
      <w:numFmt w:val="bullet"/>
      <w:lvlText w:val=""/>
      <w:lvlJc w:val="left"/>
      <w:pPr>
        <w:ind w:left="4680" w:hanging="360"/>
      </w:pPr>
      <w:rPr>
        <w:rFonts w:ascii="Symbol" w:hAnsi="Symbol" w:hint="default"/>
      </w:rPr>
    </w:lvl>
    <w:lvl w:ilvl="7" w:tplc="69206DE6" w:tentative="1">
      <w:start w:val="1"/>
      <w:numFmt w:val="bullet"/>
      <w:lvlText w:val="o"/>
      <w:lvlJc w:val="left"/>
      <w:pPr>
        <w:ind w:left="5400" w:hanging="360"/>
      </w:pPr>
      <w:rPr>
        <w:rFonts w:ascii="Courier New" w:hAnsi="Courier New" w:cs="Courier New" w:hint="default"/>
      </w:rPr>
    </w:lvl>
    <w:lvl w:ilvl="8" w:tplc="9BFE0882" w:tentative="1">
      <w:start w:val="1"/>
      <w:numFmt w:val="bullet"/>
      <w:lvlText w:val=""/>
      <w:lvlJc w:val="left"/>
      <w:pPr>
        <w:ind w:left="6120" w:hanging="360"/>
      </w:pPr>
      <w:rPr>
        <w:rFonts w:ascii="Wingdings" w:hAnsi="Wingdings" w:hint="default"/>
      </w:rPr>
    </w:lvl>
  </w:abstractNum>
  <w:abstractNum w:abstractNumId="11">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8B21DB0"/>
    <w:multiLevelType w:val="hybridMultilevel"/>
    <w:tmpl w:val="CDBC2CB4"/>
    <w:lvl w:ilvl="0" w:tplc="74486E42">
      <w:start w:val="1"/>
      <w:numFmt w:val="decimal"/>
      <w:pStyle w:val="ListParagraph"/>
      <w:lvlText w:val="[%1]"/>
      <w:lvlJc w:val="left"/>
      <w:pPr>
        <w:ind w:left="785" w:hanging="360"/>
      </w:pPr>
      <w:rPr>
        <w:rFonts w:hint="default"/>
      </w:rPr>
    </w:lvl>
    <w:lvl w:ilvl="1" w:tplc="554A6204">
      <w:start w:val="1"/>
      <w:numFmt w:val="lowerRoman"/>
      <w:lvlText w:val="%2."/>
      <w:lvlJc w:val="right"/>
      <w:pPr>
        <w:ind w:left="1440" w:hanging="360"/>
      </w:pPr>
    </w:lvl>
    <w:lvl w:ilvl="2" w:tplc="A128103E">
      <w:start w:val="1"/>
      <w:numFmt w:val="lowerLetter"/>
      <w:lvlText w:val="%3."/>
      <w:lvlJc w:val="left"/>
      <w:pPr>
        <w:ind w:left="2160" w:hanging="180"/>
      </w:pPr>
    </w:lvl>
    <w:lvl w:ilvl="3" w:tplc="6008A60E" w:tentative="1">
      <w:start w:val="1"/>
      <w:numFmt w:val="decimal"/>
      <w:lvlText w:val="%4."/>
      <w:lvlJc w:val="left"/>
      <w:pPr>
        <w:ind w:left="2880" w:hanging="360"/>
      </w:pPr>
    </w:lvl>
    <w:lvl w:ilvl="4" w:tplc="FBB02F1E" w:tentative="1">
      <w:start w:val="1"/>
      <w:numFmt w:val="lowerLetter"/>
      <w:lvlText w:val="%5."/>
      <w:lvlJc w:val="left"/>
      <w:pPr>
        <w:ind w:left="3600" w:hanging="360"/>
      </w:pPr>
    </w:lvl>
    <w:lvl w:ilvl="5" w:tplc="FEA21504" w:tentative="1">
      <w:start w:val="1"/>
      <w:numFmt w:val="lowerRoman"/>
      <w:lvlText w:val="%6."/>
      <w:lvlJc w:val="right"/>
      <w:pPr>
        <w:ind w:left="4320" w:hanging="180"/>
      </w:pPr>
    </w:lvl>
    <w:lvl w:ilvl="6" w:tplc="A1000322" w:tentative="1">
      <w:start w:val="1"/>
      <w:numFmt w:val="decimal"/>
      <w:lvlText w:val="%7."/>
      <w:lvlJc w:val="left"/>
      <w:pPr>
        <w:ind w:left="5040" w:hanging="360"/>
      </w:pPr>
    </w:lvl>
    <w:lvl w:ilvl="7" w:tplc="8554648E" w:tentative="1">
      <w:start w:val="1"/>
      <w:numFmt w:val="lowerLetter"/>
      <w:lvlText w:val="%8."/>
      <w:lvlJc w:val="left"/>
      <w:pPr>
        <w:ind w:left="5760" w:hanging="360"/>
      </w:pPr>
    </w:lvl>
    <w:lvl w:ilvl="8" w:tplc="2E38702C" w:tentative="1">
      <w:start w:val="1"/>
      <w:numFmt w:val="lowerRoman"/>
      <w:lvlText w:val="%9."/>
      <w:lvlJc w:val="right"/>
      <w:pPr>
        <w:ind w:left="6480" w:hanging="180"/>
      </w:pPr>
    </w:lvl>
  </w:abstractNum>
  <w:abstractNum w:abstractNumId="27">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9"/>
  </w:num>
  <w:num w:numId="3">
    <w:abstractNumId w:val="12"/>
  </w:num>
  <w:num w:numId="4">
    <w:abstractNumId w:val="7"/>
  </w:num>
  <w:num w:numId="5">
    <w:abstractNumId w:val="9"/>
  </w:num>
  <w:num w:numId="6">
    <w:abstractNumId w:val="6"/>
  </w:num>
  <w:num w:numId="7">
    <w:abstractNumId w:val="17"/>
  </w:num>
  <w:num w:numId="8">
    <w:abstractNumId w:val="4"/>
  </w:num>
  <w:num w:numId="9">
    <w:abstractNumId w:val="8"/>
  </w:num>
  <w:num w:numId="10">
    <w:abstractNumId w:val="18"/>
  </w:num>
  <w:num w:numId="11">
    <w:abstractNumId w:val="14"/>
  </w:num>
  <w:num w:numId="12">
    <w:abstractNumId w:val="25"/>
  </w:num>
  <w:num w:numId="13">
    <w:abstractNumId w:val="11"/>
  </w:num>
  <w:num w:numId="14">
    <w:abstractNumId w:val="1"/>
  </w:num>
  <w:num w:numId="15">
    <w:abstractNumId w:val="10"/>
  </w:num>
  <w:num w:numId="16">
    <w:abstractNumId w:val="13"/>
  </w:num>
  <w:num w:numId="17">
    <w:abstractNumId w:val="24"/>
  </w:num>
  <w:num w:numId="18">
    <w:abstractNumId w:val="21"/>
  </w:num>
  <w:num w:numId="19">
    <w:abstractNumId w:val="23"/>
  </w:num>
  <w:num w:numId="20">
    <w:abstractNumId w:val="0"/>
  </w:num>
  <w:num w:numId="21">
    <w:abstractNumId w:val="16"/>
  </w:num>
  <w:num w:numId="22">
    <w:abstractNumId w:val="19"/>
  </w:num>
  <w:num w:numId="23">
    <w:abstractNumId w:val="20"/>
  </w:num>
  <w:num w:numId="24">
    <w:abstractNumId w:val="15"/>
  </w:num>
  <w:num w:numId="25">
    <w:abstractNumId w:val="2"/>
  </w:num>
  <w:num w:numId="26">
    <w:abstractNumId w:val="28"/>
  </w:num>
  <w:num w:numId="27">
    <w:abstractNumId w:val="5"/>
  </w:num>
  <w:num w:numId="28">
    <w:abstractNumId w:val="27"/>
  </w:num>
  <w:num w:numId="29">
    <w:abstractNumId w:val="3"/>
  </w:num>
  <w:num w:numId="30">
    <w:abstractNumId w:val="30"/>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1816"/>
    <w:rsid w:val="00012309"/>
    <w:rsid w:val="00014FB0"/>
    <w:rsid w:val="000150D3"/>
    <w:rsid w:val="000156C4"/>
    <w:rsid w:val="00015828"/>
    <w:rsid w:val="00015FFE"/>
    <w:rsid w:val="00016E18"/>
    <w:rsid w:val="000171DB"/>
    <w:rsid w:val="000176C9"/>
    <w:rsid w:val="000179BF"/>
    <w:rsid w:val="000203E2"/>
    <w:rsid w:val="00020B23"/>
    <w:rsid w:val="00021D10"/>
    <w:rsid w:val="00021ECC"/>
    <w:rsid w:val="000220F6"/>
    <w:rsid w:val="00022C86"/>
    <w:rsid w:val="000230BD"/>
    <w:rsid w:val="00023275"/>
    <w:rsid w:val="000235AF"/>
    <w:rsid w:val="00023CAC"/>
    <w:rsid w:val="0002404E"/>
    <w:rsid w:val="00024E0F"/>
    <w:rsid w:val="00025126"/>
    <w:rsid w:val="000254D3"/>
    <w:rsid w:val="000257A9"/>
    <w:rsid w:val="00026778"/>
    <w:rsid w:val="00027329"/>
    <w:rsid w:val="000273E4"/>
    <w:rsid w:val="000274E7"/>
    <w:rsid w:val="000279ED"/>
    <w:rsid w:val="00027B80"/>
    <w:rsid w:val="00027DC7"/>
    <w:rsid w:val="00030187"/>
    <w:rsid w:val="0003083D"/>
    <w:rsid w:val="00031143"/>
    <w:rsid w:val="000317A3"/>
    <w:rsid w:val="00032013"/>
    <w:rsid w:val="0003256C"/>
    <w:rsid w:val="00032C78"/>
    <w:rsid w:val="00032FC2"/>
    <w:rsid w:val="00033501"/>
    <w:rsid w:val="00034E27"/>
    <w:rsid w:val="00035538"/>
    <w:rsid w:val="00035BF5"/>
    <w:rsid w:val="00035F94"/>
    <w:rsid w:val="000367C1"/>
    <w:rsid w:val="00036BF1"/>
    <w:rsid w:val="00036C11"/>
    <w:rsid w:val="00036DF7"/>
    <w:rsid w:val="00037CA8"/>
    <w:rsid w:val="00037E6B"/>
    <w:rsid w:val="000406C2"/>
    <w:rsid w:val="00041D2B"/>
    <w:rsid w:val="000422BC"/>
    <w:rsid w:val="00045138"/>
    <w:rsid w:val="00045700"/>
    <w:rsid w:val="00046AC5"/>
    <w:rsid w:val="00050ADF"/>
    <w:rsid w:val="00050B5A"/>
    <w:rsid w:val="00051C95"/>
    <w:rsid w:val="00055BFD"/>
    <w:rsid w:val="00060196"/>
    <w:rsid w:val="00060836"/>
    <w:rsid w:val="00060B7B"/>
    <w:rsid w:val="00061538"/>
    <w:rsid w:val="0006181E"/>
    <w:rsid w:val="00062130"/>
    <w:rsid w:val="00062922"/>
    <w:rsid w:val="0006377B"/>
    <w:rsid w:val="00063C69"/>
    <w:rsid w:val="00064222"/>
    <w:rsid w:val="00064763"/>
    <w:rsid w:val="000649D6"/>
    <w:rsid w:val="00064E5B"/>
    <w:rsid w:val="00065E8F"/>
    <w:rsid w:val="000664E5"/>
    <w:rsid w:val="000676A8"/>
    <w:rsid w:val="00070056"/>
    <w:rsid w:val="0007035B"/>
    <w:rsid w:val="0007071D"/>
    <w:rsid w:val="00070B59"/>
    <w:rsid w:val="00070EB1"/>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0D"/>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52D8"/>
    <w:rsid w:val="0008530C"/>
    <w:rsid w:val="00085554"/>
    <w:rsid w:val="00085CA1"/>
    <w:rsid w:val="0008603D"/>
    <w:rsid w:val="000874CE"/>
    <w:rsid w:val="00087A9C"/>
    <w:rsid w:val="00090049"/>
    <w:rsid w:val="00090328"/>
    <w:rsid w:val="0009046E"/>
    <w:rsid w:val="00091185"/>
    <w:rsid w:val="00091A89"/>
    <w:rsid w:val="00092153"/>
    <w:rsid w:val="0009232A"/>
    <w:rsid w:val="0009290D"/>
    <w:rsid w:val="00094B43"/>
    <w:rsid w:val="000956BC"/>
    <w:rsid w:val="000958FE"/>
    <w:rsid w:val="000961DB"/>
    <w:rsid w:val="00096DAE"/>
    <w:rsid w:val="00096FFF"/>
    <w:rsid w:val="0009779B"/>
    <w:rsid w:val="00097F30"/>
    <w:rsid w:val="000A03DD"/>
    <w:rsid w:val="000A0887"/>
    <w:rsid w:val="000A0E23"/>
    <w:rsid w:val="000A0FE8"/>
    <w:rsid w:val="000A1207"/>
    <w:rsid w:val="000A290C"/>
    <w:rsid w:val="000A370C"/>
    <w:rsid w:val="000A3C9A"/>
    <w:rsid w:val="000A3E11"/>
    <w:rsid w:val="000A4062"/>
    <w:rsid w:val="000A4A70"/>
    <w:rsid w:val="000A518B"/>
    <w:rsid w:val="000A5A2F"/>
    <w:rsid w:val="000A6421"/>
    <w:rsid w:val="000A6F91"/>
    <w:rsid w:val="000A762C"/>
    <w:rsid w:val="000A7776"/>
    <w:rsid w:val="000A7D3D"/>
    <w:rsid w:val="000A7F32"/>
    <w:rsid w:val="000B0D59"/>
    <w:rsid w:val="000B1AFB"/>
    <w:rsid w:val="000B1DAC"/>
    <w:rsid w:val="000B2058"/>
    <w:rsid w:val="000B2E75"/>
    <w:rsid w:val="000B36CC"/>
    <w:rsid w:val="000B3C6D"/>
    <w:rsid w:val="000B3F5A"/>
    <w:rsid w:val="000B4025"/>
    <w:rsid w:val="000B5A68"/>
    <w:rsid w:val="000B5BEE"/>
    <w:rsid w:val="000B6169"/>
    <w:rsid w:val="000B6D81"/>
    <w:rsid w:val="000B6F80"/>
    <w:rsid w:val="000C02F7"/>
    <w:rsid w:val="000C0753"/>
    <w:rsid w:val="000C0904"/>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0E5"/>
    <w:rsid w:val="000C6853"/>
    <w:rsid w:val="000C69AB"/>
    <w:rsid w:val="000C6A50"/>
    <w:rsid w:val="000C6AC9"/>
    <w:rsid w:val="000C7964"/>
    <w:rsid w:val="000C7ED3"/>
    <w:rsid w:val="000D085B"/>
    <w:rsid w:val="000D1433"/>
    <w:rsid w:val="000D205D"/>
    <w:rsid w:val="000D397F"/>
    <w:rsid w:val="000D5CB8"/>
    <w:rsid w:val="000D692F"/>
    <w:rsid w:val="000D6CA0"/>
    <w:rsid w:val="000D7582"/>
    <w:rsid w:val="000D7FA9"/>
    <w:rsid w:val="000E009C"/>
    <w:rsid w:val="000E13AC"/>
    <w:rsid w:val="000E15F4"/>
    <w:rsid w:val="000E165F"/>
    <w:rsid w:val="000E17F6"/>
    <w:rsid w:val="000E2182"/>
    <w:rsid w:val="000E2944"/>
    <w:rsid w:val="000E2A13"/>
    <w:rsid w:val="000E2A34"/>
    <w:rsid w:val="000E39C4"/>
    <w:rsid w:val="000E49A8"/>
    <w:rsid w:val="000E4A8C"/>
    <w:rsid w:val="000E4D1A"/>
    <w:rsid w:val="000E4DD3"/>
    <w:rsid w:val="000E4E88"/>
    <w:rsid w:val="000E5467"/>
    <w:rsid w:val="000E599D"/>
    <w:rsid w:val="000E5E05"/>
    <w:rsid w:val="000E62AF"/>
    <w:rsid w:val="000E7367"/>
    <w:rsid w:val="000E7A00"/>
    <w:rsid w:val="000E7EF8"/>
    <w:rsid w:val="000F020C"/>
    <w:rsid w:val="000F209F"/>
    <w:rsid w:val="000F2B61"/>
    <w:rsid w:val="000F382D"/>
    <w:rsid w:val="000F40EC"/>
    <w:rsid w:val="000F4953"/>
    <w:rsid w:val="000F5A1C"/>
    <w:rsid w:val="000F66DD"/>
    <w:rsid w:val="000F680D"/>
    <w:rsid w:val="000F6F37"/>
    <w:rsid w:val="000F7E3B"/>
    <w:rsid w:val="000F7E48"/>
    <w:rsid w:val="00100C1F"/>
    <w:rsid w:val="00100F2D"/>
    <w:rsid w:val="00101200"/>
    <w:rsid w:val="0010234A"/>
    <w:rsid w:val="00102BAC"/>
    <w:rsid w:val="00103781"/>
    <w:rsid w:val="00103F99"/>
    <w:rsid w:val="00105106"/>
    <w:rsid w:val="0010514A"/>
    <w:rsid w:val="001051BF"/>
    <w:rsid w:val="0010564D"/>
    <w:rsid w:val="00105A4B"/>
    <w:rsid w:val="00105D6A"/>
    <w:rsid w:val="00105D99"/>
    <w:rsid w:val="001062B3"/>
    <w:rsid w:val="00106334"/>
    <w:rsid w:val="001069B2"/>
    <w:rsid w:val="00107F9B"/>
    <w:rsid w:val="00111644"/>
    <w:rsid w:val="00111B49"/>
    <w:rsid w:val="00112471"/>
    <w:rsid w:val="00113617"/>
    <w:rsid w:val="00113635"/>
    <w:rsid w:val="00113E28"/>
    <w:rsid w:val="00113E97"/>
    <w:rsid w:val="001152C2"/>
    <w:rsid w:val="0011543E"/>
    <w:rsid w:val="00115E3E"/>
    <w:rsid w:val="00116537"/>
    <w:rsid w:val="001167B4"/>
    <w:rsid w:val="001168EC"/>
    <w:rsid w:val="001176BA"/>
    <w:rsid w:val="0012079B"/>
    <w:rsid w:val="00121004"/>
    <w:rsid w:val="00121294"/>
    <w:rsid w:val="0012171D"/>
    <w:rsid w:val="00122A01"/>
    <w:rsid w:val="00122A26"/>
    <w:rsid w:val="00122B9F"/>
    <w:rsid w:val="00122D3B"/>
    <w:rsid w:val="00122EE8"/>
    <w:rsid w:val="00123AF6"/>
    <w:rsid w:val="00124C87"/>
    <w:rsid w:val="0012537E"/>
    <w:rsid w:val="0012580E"/>
    <w:rsid w:val="00125917"/>
    <w:rsid w:val="00125A23"/>
    <w:rsid w:val="00125E7E"/>
    <w:rsid w:val="00126105"/>
    <w:rsid w:val="00126196"/>
    <w:rsid w:val="0012642B"/>
    <w:rsid w:val="00126AFE"/>
    <w:rsid w:val="00127017"/>
    <w:rsid w:val="001277ED"/>
    <w:rsid w:val="00127C4F"/>
    <w:rsid w:val="00127F08"/>
    <w:rsid w:val="00127F3D"/>
    <w:rsid w:val="001307CB"/>
    <w:rsid w:val="001312EC"/>
    <w:rsid w:val="00131A4C"/>
    <w:rsid w:val="00132002"/>
    <w:rsid w:val="001326BF"/>
    <w:rsid w:val="00133181"/>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D7B"/>
    <w:rsid w:val="001441F1"/>
    <w:rsid w:val="00146286"/>
    <w:rsid w:val="00146797"/>
    <w:rsid w:val="001470B9"/>
    <w:rsid w:val="0014739E"/>
    <w:rsid w:val="00150405"/>
    <w:rsid w:val="00150974"/>
    <w:rsid w:val="00150BC3"/>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B19"/>
    <w:rsid w:val="00164F9F"/>
    <w:rsid w:val="00166262"/>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E94"/>
    <w:rsid w:val="00177303"/>
    <w:rsid w:val="00177800"/>
    <w:rsid w:val="00180053"/>
    <w:rsid w:val="001806BD"/>
    <w:rsid w:val="00180745"/>
    <w:rsid w:val="00180852"/>
    <w:rsid w:val="00180B91"/>
    <w:rsid w:val="00181603"/>
    <w:rsid w:val="0018165F"/>
    <w:rsid w:val="0018232A"/>
    <w:rsid w:val="0018273B"/>
    <w:rsid w:val="001827E9"/>
    <w:rsid w:val="00182894"/>
    <w:rsid w:val="00182A8B"/>
    <w:rsid w:val="00182AE0"/>
    <w:rsid w:val="00182C88"/>
    <w:rsid w:val="00183417"/>
    <w:rsid w:val="0018381F"/>
    <w:rsid w:val="00183C7D"/>
    <w:rsid w:val="00183E07"/>
    <w:rsid w:val="0018490C"/>
    <w:rsid w:val="00185BF9"/>
    <w:rsid w:val="0018606E"/>
    <w:rsid w:val="0018677F"/>
    <w:rsid w:val="00186C60"/>
    <w:rsid w:val="00186DD7"/>
    <w:rsid w:val="00187295"/>
    <w:rsid w:val="0018763D"/>
    <w:rsid w:val="00187D7E"/>
    <w:rsid w:val="0019113E"/>
    <w:rsid w:val="00191A65"/>
    <w:rsid w:val="00191FEC"/>
    <w:rsid w:val="001933F8"/>
    <w:rsid w:val="00193443"/>
    <w:rsid w:val="00194A07"/>
    <w:rsid w:val="00194CC3"/>
    <w:rsid w:val="001964FD"/>
    <w:rsid w:val="00196F99"/>
    <w:rsid w:val="00197841"/>
    <w:rsid w:val="001A090F"/>
    <w:rsid w:val="001A164D"/>
    <w:rsid w:val="001A1AF2"/>
    <w:rsid w:val="001A256F"/>
    <w:rsid w:val="001A2AA5"/>
    <w:rsid w:val="001A2B12"/>
    <w:rsid w:val="001A31CC"/>
    <w:rsid w:val="001A32B7"/>
    <w:rsid w:val="001A378D"/>
    <w:rsid w:val="001A3B2C"/>
    <w:rsid w:val="001A417D"/>
    <w:rsid w:val="001A4334"/>
    <w:rsid w:val="001A4336"/>
    <w:rsid w:val="001A49A8"/>
    <w:rsid w:val="001A4BCE"/>
    <w:rsid w:val="001A7400"/>
    <w:rsid w:val="001B0BDA"/>
    <w:rsid w:val="001B0C8D"/>
    <w:rsid w:val="001B0D6D"/>
    <w:rsid w:val="001B1693"/>
    <w:rsid w:val="001B2183"/>
    <w:rsid w:val="001B257D"/>
    <w:rsid w:val="001B27DE"/>
    <w:rsid w:val="001B2CA0"/>
    <w:rsid w:val="001B3180"/>
    <w:rsid w:val="001B31E0"/>
    <w:rsid w:val="001B3250"/>
    <w:rsid w:val="001B3BF7"/>
    <w:rsid w:val="001B4274"/>
    <w:rsid w:val="001B43C5"/>
    <w:rsid w:val="001B4476"/>
    <w:rsid w:val="001B4C7F"/>
    <w:rsid w:val="001B5869"/>
    <w:rsid w:val="001B5973"/>
    <w:rsid w:val="001B5C62"/>
    <w:rsid w:val="001B7656"/>
    <w:rsid w:val="001B7AEF"/>
    <w:rsid w:val="001B7B01"/>
    <w:rsid w:val="001B7DDE"/>
    <w:rsid w:val="001C0676"/>
    <w:rsid w:val="001C0F73"/>
    <w:rsid w:val="001C15CC"/>
    <w:rsid w:val="001C196C"/>
    <w:rsid w:val="001C1E44"/>
    <w:rsid w:val="001C1F00"/>
    <w:rsid w:val="001C1F91"/>
    <w:rsid w:val="001C2169"/>
    <w:rsid w:val="001C38EE"/>
    <w:rsid w:val="001C46D3"/>
    <w:rsid w:val="001C487B"/>
    <w:rsid w:val="001C5909"/>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564D"/>
    <w:rsid w:val="001D6772"/>
    <w:rsid w:val="001D67F1"/>
    <w:rsid w:val="001D7577"/>
    <w:rsid w:val="001D779C"/>
    <w:rsid w:val="001D7828"/>
    <w:rsid w:val="001D7FDC"/>
    <w:rsid w:val="001E1A37"/>
    <w:rsid w:val="001E1B80"/>
    <w:rsid w:val="001E1F9C"/>
    <w:rsid w:val="001E2B6C"/>
    <w:rsid w:val="001E2BFA"/>
    <w:rsid w:val="001E2FEF"/>
    <w:rsid w:val="001E39CE"/>
    <w:rsid w:val="001E4659"/>
    <w:rsid w:val="001E4737"/>
    <w:rsid w:val="001E4C5C"/>
    <w:rsid w:val="001E571B"/>
    <w:rsid w:val="001E59B4"/>
    <w:rsid w:val="001E61C5"/>
    <w:rsid w:val="001E6423"/>
    <w:rsid w:val="001E696E"/>
    <w:rsid w:val="001E7386"/>
    <w:rsid w:val="001E746D"/>
    <w:rsid w:val="001E75E8"/>
    <w:rsid w:val="001E7A69"/>
    <w:rsid w:val="001F0E03"/>
    <w:rsid w:val="001F1093"/>
    <w:rsid w:val="001F1652"/>
    <w:rsid w:val="001F169D"/>
    <w:rsid w:val="001F1C20"/>
    <w:rsid w:val="001F1C4D"/>
    <w:rsid w:val="001F2AA1"/>
    <w:rsid w:val="001F2E33"/>
    <w:rsid w:val="001F317C"/>
    <w:rsid w:val="001F31B4"/>
    <w:rsid w:val="001F429F"/>
    <w:rsid w:val="001F42F4"/>
    <w:rsid w:val="001F53B4"/>
    <w:rsid w:val="001F5EAD"/>
    <w:rsid w:val="001F6A6D"/>
    <w:rsid w:val="001F6CC4"/>
    <w:rsid w:val="001F7084"/>
    <w:rsid w:val="001F7AF6"/>
    <w:rsid w:val="00200B9D"/>
    <w:rsid w:val="002010BD"/>
    <w:rsid w:val="002018BC"/>
    <w:rsid w:val="00201ABE"/>
    <w:rsid w:val="002026A5"/>
    <w:rsid w:val="00202998"/>
    <w:rsid w:val="002033C4"/>
    <w:rsid w:val="00203BD1"/>
    <w:rsid w:val="00203E30"/>
    <w:rsid w:val="00204176"/>
    <w:rsid w:val="0020431B"/>
    <w:rsid w:val="002054CD"/>
    <w:rsid w:val="00205606"/>
    <w:rsid w:val="0020564B"/>
    <w:rsid w:val="0020576B"/>
    <w:rsid w:val="00205BAF"/>
    <w:rsid w:val="00205F8E"/>
    <w:rsid w:val="00206991"/>
    <w:rsid w:val="00206C97"/>
    <w:rsid w:val="00206DB5"/>
    <w:rsid w:val="00207ACE"/>
    <w:rsid w:val="00207C68"/>
    <w:rsid w:val="00207C77"/>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93E"/>
    <w:rsid w:val="00213C6C"/>
    <w:rsid w:val="00213E73"/>
    <w:rsid w:val="00214023"/>
    <w:rsid w:val="00214306"/>
    <w:rsid w:val="002143D4"/>
    <w:rsid w:val="00214812"/>
    <w:rsid w:val="00214A26"/>
    <w:rsid w:val="00214B01"/>
    <w:rsid w:val="00214F12"/>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03F"/>
    <w:rsid w:val="0022346A"/>
    <w:rsid w:val="00223864"/>
    <w:rsid w:val="00223B09"/>
    <w:rsid w:val="00223DCA"/>
    <w:rsid w:val="002246FB"/>
    <w:rsid w:val="00224E92"/>
    <w:rsid w:val="0022761F"/>
    <w:rsid w:val="0022794A"/>
    <w:rsid w:val="00227A67"/>
    <w:rsid w:val="00227A76"/>
    <w:rsid w:val="00230074"/>
    <w:rsid w:val="002309DD"/>
    <w:rsid w:val="00231029"/>
    <w:rsid w:val="00231210"/>
    <w:rsid w:val="00231BCF"/>
    <w:rsid w:val="0023204A"/>
    <w:rsid w:val="002329D3"/>
    <w:rsid w:val="00232B01"/>
    <w:rsid w:val="00232C3E"/>
    <w:rsid w:val="00232C6A"/>
    <w:rsid w:val="00232E26"/>
    <w:rsid w:val="002330E1"/>
    <w:rsid w:val="0023401D"/>
    <w:rsid w:val="002341F3"/>
    <w:rsid w:val="00234C05"/>
    <w:rsid w:val="00234D25"/>
    <w:rsid w:val="002368A1"/>
    <w:rsid w:val="00236A17"/>
    <w:rsid w:val="00236C04"/>
    <w:rsid w:val="002376AA"/>
    <w:rsid w:val="00237E63"/>
    <w:rsid w:val="002411D1"/>
    <w:rsid w:val="00241A96"/>
    <w:rsid w:val="00241E6E"/>
    <w:rsid w:val="00242F07"/>
    <w:rsid w:val="00243553"/>
    <w:rsid w:val="00243BCF"/>
    <w:rsid w:val="00243C9C"/>
    <w:rsid w:val="00244146"/>
    <w:rsid w:val="0024525F"/>
    <w:rsid w:val="0024604F"/>
    <w:rsid w:val="002464C8"/>
    <w:rsid w:val="0024660E"/>
    <w:rsid w:val="00246AFF"/>
    <w:rsid w:val="0024763E"/>
    <w:rsid w:val="00247716"/>
    <w:rsid w:val="00247761"/>
    <w:rsid w:val="002478CE"/>
    <w:rsid w:val="002503AB"/>
    <w:rsid w:val="00251021"/>
    <w:rsid w:val="0025195C"/>
    <w:rsid w:val="00251E93"/>
    <w:rsid w:val="00252206"/>
    <w:rsid w:val="00252E1D"/>
    <w:rsid w:val="002533FE"/>
    <w:rsid w:val="00253492"/>
    <w:rsid w:val="00253FB7"/>
    <w:rsid w:val="00254721"/>
    <w:rsid w:val="00254819"/>
    <w:rsid w:val="00254995"/>
    <w:rsid w:val="0025519C"/>
    <w:rsid w:val="002555D2"/>
    <w:rsid w:val="00255B62"/>
    <w:rsid w:val="00256340"/>
    <w:rsid w:val="00256C8F"/>
    <w:rsid w:val="0025719A"/>
    <w:rsid w:val="002573B3"/>
    <w:rsid w:val="00257BCD"/>
    <w:rsid w:val="00257BE5"/>
    <w:rsid w:val="00260A42"/>
    <w:rsid w:val="00260C42"/>
    <w:rsid w:val="00260E95"/>
    <w:rsid w:val="002610C4"/>
    <w:rsid w:val="0026249D"/>
    <w:rsid w:val="002626AB"/>
    <w:rsid w:val="00262781"/>
    <w:rsid w:val="00263080"/>
    <w:rsid w:val="0026393E"/>
    <w:rsid w:val="00264144"/>
    <w:rsid w:val="002642DB"/>
    <w:rsid w:val="002658B7"/>
    <w:rsid w:val="0026622E"/>
    <w:rsid w:val="0026627B"/>
    <w:rsid w:val="002663AF"/>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51E"/>
    <w:rsid w:val="00274B01"/>
    <w:rsid w:val="00274D77"/>
    <w:rsid w:val="00275127"/>
    <w:rsid w:val="002751D7"/>
    <w:rsid w:val="0027529F"/>
    <w:rsid w:val="002759C1"/>
    <w:rsid w:val="00276EF5"/>
    <w:rsid w:val="002775BA"/>
    <w:rsid w:val="00280483"/>
    <w:rsid w:val="0028061C"/>
    <w:rsid w:val="002806B4"/>
    <w:rsid w:val="00280AF4"/>
    <w:rsid w:val="00280CBB"/>
    <w:rsid w:val="002818B8"/>
    <w:rsid w:val="00281CC6"/>
    <w:rsid w:val="00281F02"/>
    <w:rsid w:val="00282392"/>
    <w:rsid w:val="00282904"/>
    <w:rsid w:val="00282A32"/>
    <w:rsid w:val="00282CF1"/>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B5"/>
    <w:rsid w:val="002933E0"/>
    <w:rsid w:val="002943FA"/>
    <w:rsid w:val="0029537B"/>
    <w:rsid w:val="0029565D"/>
    <w:rsid w:val="002957C9"/>
    <w:rsid w:val="002966CE"/>
    <w:rsid w:val="00297A1B"/>
    <w:rsid w:val="00297A86"/>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974"/>
    <w:rsid w:val="002A699E"/>
    <w:rsid w:val="002A6C59"/>
    <w:rsid w:val="002A6D64"/>
    <w:rsid w:val="002A77E8"/>
    <w:rsid w:val="002B095A"/>
    <w:rsid w:val="002B0AC4"/>
    <w:rsid w:val="002B0D1E"/>
    <w:rsid w:val="002B1498"/>
    <w:rsid w:val="002B1900"/>
    <w:rsid w:val="002B3141"/>
    <w:rsid w:val="002B324A"/>
    <w:rsid w:val="002B35C1"/>
    <w:rsid w:val="002B3E53"/>
    <w:rsid w:val="002B422F"/>
    <w:rsid w:val="002B467F"/>
    <w:rsid w:val="002B4D9F"/>
    <w:rsid w:val="002B5D63"/>
    <w:rsid w:val="002B5ED0"/>
    <w:rsid w:val="002B5F54"/>
    <w:rsid w:val="002B635C"/>
    <w:rsid w:val="002B6D70"/>
    <w:rsid w:val="002B7099"/>
    <w:rsid w:val="002B70E4"/>
    <w:rsid w:val="002B7175"/>
    <w:rsid w:val="002B7199"/>
    <w:rsid w:val="002B72E6"/>
    <w:rsid w:val="002B73D5"/>
    <w:rsid w:val="002B7CC9"/>
    <w:rsid w:val="002C015A"/>
    <w:rsid w:val="002C0193"/>
    <w:rsid w:val="002C09A7"/>
    <w:rsid w:val="002C0BEA"/>
    <w:rsid w:val="002C0FDF"/>
    <w:rsid w:val="002C117A"/>
    <w:rsid w:val="002C1939"/>
    <w:rsid w:val="002C1C08"/>
    <w:rsid w:val="002C1C62"/>
    <w:rsid w:val="002C1ECC"/>
    <w:rsid w:val="002C2149"/>
    <w:rsid w:val="002C288A"/>
    <w:rsid w:val="002C28C6"/>
    <w:rsid w:val="002C2B9A"/>
    <w:rsid w:val="002C37E3"/>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1306"/>
    <w:rsid w:val="002D1539"/>
    <w:rsid w:val="002D1BCA"/>
    <w:rsid w:val="002D33EE"/>
    <w:rsid w:val="002D3E36"/>
    <w:rsid w:val="002D4FC2"/>
    <w:rsid w:val="002D50D6"/>
    <w:rsid w:val="002D5B73"/>
    <w:rsid w:val="002D6F91"/>
    <w:rsid w:val="002D7FE5"/>
    <w:rsid w:val="002E040F"/>
    <w:rsid w:val="002E080F"/>
    <w:rsid w:val="002E2E1B"/>
    <w:rsid w:val="002E30FC"/>
    <w:rsid w:val="002E360F"/>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16B"/>
    <w:rsid w:val="002E75F0"/>
    <w:rsid w:val="002F06CA"/>
    <w:rsid w:val="002F07DE"/>
    <w:rsid w:val="002F0BE1"/>
    <w:rsid w:val="002F10B5"/>
    <w:rsid w:val="002F119E"/>
    <w:rsid w:val="002F16AC"/>
    <w:rsid w:val="002F1742"/>
    <w:rsid w:val="002F1D23"/>
    <w:rsid w:val="002F216F"/>
    <w:rsid w:val="002F3636"/>
    <w:rsid w:val="002F4264"/>
    <w:rsid w:val="002F5F1D"/>
    <w:rsid w:val="002F65EC"/>
    <w:rsid w:val="002F6A79"/>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909"/>
    <w:rsid w:val="0030390F"/>
    <w:rsid w:val="0030422C"/>
    <w:rsid w:val="003047B7"/>
    <w:rsid w:val="00304B84"/>
    <w:rsid w:val="003051BE"/>
    <w:rsid w:val="00305472"/>
    <w:rsid w:val="00305BA3"/>
    <w:rsid w:val="00305D47"/>
    <w:rsid w:val="0030602B"/>
    <w:rsid w:val="00306AFF"/>
    <w:rsid w:val="00306C8D"/>
    <w:rsid w:val="00306E49"/>
    <w:rsid w:val="00307199"/>
    <w:rsid w:val="003071FC"/>
    <w:rsid w:val="00307221"/>
    <w:rsid w:val="0030771A"/>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460"/>
    <w:rsid w:val="0032526F"/>
    <w:rsid w:val="00325448"/>
    <w:rsid w:val="0032653D"/>
    <w:rsid w:val="00326E18"/>
    <w:rsid w:val="00326F07"/>
    <w:rsid w:val="003275AC"/>
    <w:rsid w:val="0032784F"/>
    <w:rsid w:val="00327B5E"/>
    <w:rsid w:val="00330CC7"/>
    <w:rsid w:val="003313BA"/>
    <w:rsid w:val="00332266"/>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60F9"/>
    <w:rsid w:val="00347214"/>
    <w:rsid w:val="003473FB"/>
    <w:rsid w:val="0034741B"/>
    <w:rsid w:val="003478A2"/>
    <w:rsid w:val="00347E19"/>
    <w:rsid w:val="00347E91"/>
    <w:rsid w:val="00350127"/>
    <w:rsid w:val="00350751"/>
    <w:rsid w:val="003513A2"/>
    <w:rsid w:val="003515C7"/>
    <w:rsid w:val="003517C7"/>
    <w:rsid w:val="00351E4B"/>
    <w:rsid w:val="0035237C"/>
    <w:rsid w:val="0035256C"/>
    <w:rsid w:val="0035318B"/>
    <w:rsid w:val="003531AA"/>
    <w:rsid w:val="00353451"/>
    <w:rsid w:val="00353B52"/>
    <w:rsid w:val="00353C5E"/>
    <w:rsid w:val="00354B9C"/>
    <w:rsid w:val="003552CD"/>
    <w:rsid w:val="00356012"/>
    <w:rsid w:val="00356319"/>
    <w:rsid w:val="00356F80"/>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2FD"/>
    <w:rsid w:val="003636D0"/>
    <w:rsid w:val="00363AE6"/>
    <w:rsid w:val="00364536"/>
    <w:rsid w:val="003645E0"/>
    <w:rsid w:val="00364864"/>
    <w:rsid w:val="003649CD"/>
    <w:rsid w:val="00364D15"/>
    <w:rsid w:val="00365156"/>
    <w:rsid w:val="003651D6"/>
    <w:rsid w:val="00365CCC"/>
    <w:rsid w:val="003663B7"/>
    <w:rsid w:val="00366500"/>
    <w:rsid w:val="00367CC9"/>
    <w:rsid w:val="00370039"/>
    <w:rsid w:val="00370824"/>
    <w:rsid w:val="0037097C"/>
    <w:rsid w:val="00370B16"/>
    <w:rsid w:val="00370C55"/>
    <w:rsid w:val="003710C3"/>
    <w:rsid w:val="00371B13"/>
    <w:rsid w:val="00371DFF"/>
    <w:rsid w:val="0037270F"/>
    <w:rsid w:val="00372DBB"/>
    <w:rsid w:val="0037375E"/>
    <w:rsid w:val="00373BD3"/>
    <w:rsid w:val="003758C1"/>
    <w:rsid w:val="00375FBD"/>
    <w:rsid w:val="003767B3"/>
    <w:rsid w:val="00376CF4"/>
    <w:rsid w:val="00377B8D"/>
    <w:rsid w:val="00377FDC"/>
    <w:rsid w:val="00381D07"/>
    <w:rsid w:val="00382CCF"/>
    <w:rsid w:val="00382E58"/>
    <w:rsid w:val="00382F84"/>
    <w:rsid w:val="0038317E"/>
    <w:rsid w:val="003832A4"/>
    <w:rsid w:val="003835CF"/>
    <w:rsid w:val="003846D0"/>
    <w:rsid w:val="00384E67"/>
    <w:rsid w:val="00385087"/>
    <w:rsid w:val="0038522C"/>
    <w:rsid w:val="003858FF"/>
    <w:rsid w:val="00386296"/>
    <w:rsid w:val="00387956"/>
    <w:rsid w:val="003879E3"/>
    <w:rsid w:val="00390A38"/>
    <w:rsid w:val="00390AA1"/>
    <w:rsid w:val="0039103E"/>
    <w:rsid w:val="003911D9"/>
    <w:rsid w:val="00391500"/>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3B1D"/>
    <w:rsid w:val="003A4796"/>
    <w:rsid w:val="003A4CAF"/>
    <w:rsid w:val="003A4E74"/>
    <w:rsid w:val="003A531A"/>
    <w:rsid w:val="003A6E81"/>
    <w:rsid w:val="003A7A57"/>
    <w:rsid w:val="003B0BB2"/>
    <w:rsid w:val="003B0C3A"/>
    <w:rsid w:val="003B12FE"/>
    <w:rsid w:val="003B1590"/>
    <w:rsid w:val="003B1E8D"/>
    <w:rsid w:val="003B2313"/>
    <w:rsid w:val="003B240B"/>
    <w:rsid w:val="003B2646"/>
    <w:rsid w:val="003B27FF"/>
    <w:rsid w:val="003B2E9C"/>
    <w:rsid w:val="003B32AD"/>
    <w:rsid w:val="003B354E"/>
    <w:rsid w:val="003B40B5"/>
    <w:rsid w:val="003B47E0"/>
    <w:rsid w:val="003B5083"/>
    <w:rsid w:val="003B61A1"/>
    <w:rsid w:val="003B6352"/>
    <w:rsid w:val="003B746B"/>
    <w:rsid w:val="003B7498"/>
    <w:rsid w:val="003C09DA"/>
    <w:rsid w:val="003C0A87"/>
    <w:rsid w:val="003C0DB3"/>
    <w:rsid w:val="003C102C"/>
    <w:rsid w:val="003C2304"/>
    <w:rsid w:val="003C2567"/>
    <w:rsid w:val="003C2698"/>
    <w:rsid w:val="003C3FEF"/>
    <w:rsid w:val="003C429F"/>
    <w:rsid w:val="003C4A48"/>
    <w:rsid w:val="003C502E"/>
    <w:rsid w:val="003C50E7"/>
    <w:rsid w:val="003C59B2"/>
    <w:rsid w:val="003C60E4"/>
    <w:rsid w:val="003C6B4D"/>
    <w:rsid w:val="003C735C"/>
    <w:rsid w:val="003C754B"/>
    <w:rsid w:val="003D0578"/>
    <w:rsid w:val="003D07B5"/>
    <w:rsid w:val="003D1021"/>
    <w:rsid w:val="003D1355"/>
    <w:rsid w:val="003D1C22"/>
    <w:rsid w:val="003D1EA9"/>
    <w:rsid w:val="003D1EB3"/>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10B6"/>
    <w:rsid w:val="003E1472"/>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884"/>
    <w:rsid w:val="003E79B1"/>
    <w:rsid w:val="003E7CE0"/>
    <w:rsid w:val="003F0A9C"/>
    <w:rsid w:val="003F0D9F"/>
    <w:rsid w:val="003F1064"/>
    <w:rsid w:val="003F131C"/>
    <w:rsid w:val="003F1FB4"/>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78D"/>
    <w:rsid w:val="00405DA6"/>
    <w:rsid w:val="00406B16"/>
    <w:rsid w:val="004078B5"/>
    <w:rsid w:val="0041001D"/>
    <w:rsid w:val="0041042A"/>
    <w:rsid w:val="0041090D"/>
    <w:rsid w:val="00411631"/>
    <w:rsid w:val="00411BC6"/>
    <w:rsid w:val="00411CAF"/>
    <w:rsid w:val="004123A8"/>
    <w:rsid w:val="00413375"/>
    <w:rsid w:val="00413570"/>
    <w:rsid w:val="004145DD"/>
    <w:rsid w:val="00416D00"/>
    <w:rsid w:val="004172D8"/>
    <w:rsid w:val="00417559"/>
    <w:rsid w:val="00417E1A"/>
    <w:rsid w:val="00420AD9"/>
    <w:rsid w:val="00420DF9"/>
    <w:rsid w:val="00420ED5"/>
    <w:rsid w:val="004215F5"/>
    <w:rsid w:val="00421A54"/>
    <w:rsid w:val="0042492A"/>
    <w:rsid w:val="004249CB"/>
    <w:rsid w:val="00424C15"/>
    <w:rsid w:val="004251F6"/>
    <w:rsid w:val="0042535C"/>
    <w:rsid w:val="0042572D"/>
    <w:rsid w:val="004258BA"/>
    <w:rsid w:val="004259A6"/>
    <w:rsid w:val="004263F6"/>
    <w:rsid w:val="00426C08"/>
    <w:rsid w:val="004279BA"/>
    <w:rsid w:val="00430E9A"/>
    <w:rsid w:val="00430F1C"/>
    <w:rsid w:val="00431036"/>
    <w:rsid w:val="0043115F"/>
    <w:rsid w:val="004312A0"/>
    <w:rsid w:val="004313C4"/>
    <w:rsid w:val="004318BB"/>
    <w:rsid w:val="00431F9F"/>
    <w:rsid w:val="004327BE"/>
    <w:rsid w:val="00433EAE"/>
    <w:rsid w:val="00434199"/>
    <w:rsid w:val="004343D2"/>
    <w:rsid w:val="004346AA"/>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029"/>
    <w:rsid w:val="00445420"/>
    <w:rsid w:val="00445763"/>
    <w:rsid w:val="00445EEB"/>
    <w:rsid w:val="0044629B"/>
    <w:rsid w:val="00446933"/>
    <w:rsid w:val="00447061"/>
    <w:rsid w:val="00447A70"/>
    <w:rsid w:val="00447D02"/>
    <w:rsid w:val="00447DCA"/>
    <w:rsid w:val="004503B9"/>
    <w:rsid w:val="00451616"/>
    <w:rsid w:val="0045181C"/>
    <w:rsid w:val="00452878"/>
    <w:rsid w:val="004529FD"/>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1F3D"/>
    <w:rsid w:val="00472391"/>
    <w:rsid w:val="0047254F"/>
    <w:rsid w:val="00472A9D"/>
    <w:rsid w:val="00472D1F"/>
    <w:rsid w:val="00472DD4"/>
    <w:rsid w:val="0047368E"/>
    <w:rsid w:val="00474244"/>
    <w:rsid w:val="004747D2"/>
    <w:rsid w:val="00474816"/>
    <w:rsid w:val="00474CD8"/>
    <w:rsid w:val="00474E07"/>
    <w:rsid w:val="00474F65"/>
    <w:rsid w:val="00475256"/>
    <w:rsid w:val="00476116"/>
    <w:rsid w:val="0047638F"/>
    <w:rsid w:val="00476B20"/>
    <w:rsid w:val="00476DD8"/>
    <w:rsid w:val="004770C1"/>
    <w:rsid w:val="0047714B"/>
    <w:rsid w:val="00477535"/>
    <w:rsid w:val="00477DEC"/>
    <w:rsid w:val="004804CB"/>
    <w:rsid w:val="00480D08"/>
    <w:rsid w:val="00480D5D"/>
    <w:rsid w:val="00481BD4"/>
    <w:rsid w:val="00481DD3"/>
    <w:rsid w:val="00482380"/>
    <w:rsid w:val="0048293C"/>
    <w:rsid w:val="00483B29"/>
    <w:rsid w:val="00483CCB"/>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BD"/>
    <w:rsid w:val="00490EC0"/>
    <w:rsid w:val="004913CF"/>
    <w:rsid w:val="0049255B"/>
    <w:rsid w:val="00492898"/>
    <w:rsid w:val="00492C00"/>
    <w:rsid w:val="004952B8"/>
    <w:rsid w:val="0049637A"/>
    <w:rsid w:val="00496658"/>
    <w:rsid w:val="00497045"/>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F43"/>
    <w:rsid w:val="004B054A"/>
    <w:rsid w:val="004B0D22"/>
    <w:rsid w:val="004B0F3C"/>
    <w:rsid w:val="004B12BC"/>
    <w:rsid w:val="004B13C7"/>
    <w:rsid w:val="004B2180"/>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D1A"/>
    <w:rsid w:val="004B6FB0"/>
    <w:rsid w:val="004B7A32"/>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7568"/>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163"/>
    <w:rsid w:val="005059F1"/>
    <w:rsid w:val="00505D5C"/>
    <w:rsid w:val="0050621F"/>
    <w:rsid w:val="00506625"/>
    <w:rsid w:val="00506B32"/>
    <w:rsid w:val="00506D1D"/>
    <w:rsid w:val="00507138"/>
    <w:rsid w:val="00507617"/>
    <w:rsid w:val="00510153"/>
    <w:rsid w:val="0051104C"/>
    <w:rsid w:val="0051111F"/>
    <w:rsid w:val="005116DB"/>
    <w:rsid w:val="00511F5F"/>
    <w:rsid w:val="00512196"/>
    <w:rsid w:val="0051264E"/>
    <w:rsid w:val="00512839"/>
    <w:rsid w:val="005130A7"/>
    <w:rsid w:val="00513342"/>
    <w:rsid w:val="00514362"/>
    <w:rsid w:val="00514EC9"/>
    <w:rsid w:val="00515777"/>
    <w:rsid w:val="00515918"/>
    <w:rsid w:val="00515A23"/>
    <w:rsid w:val="00515CC4"/>
    <w:rsid w:val="00515F91"/>
    <w:rsid w:val="00516250"/>
    <w:rsid w:val="0052064F"/>
    <w:rsid w:val="0052191A"/>
    <w:rsid w:val="0052382C"/>
    <w:rsid w:val="00523EEC"/>
    <w:rsid w:val="00524718"/>
    <w:rsid w:val="00524746"/>
    <w:rsid w:val="00524CC4"/>
    <w:rsid w:val="00525DD1"/>
    <w:rsid w:val="00526511"/>
    <w:rsid w:val="00527084"/>
    <w:rsid w:val="005277B4"/>
    <w:rsid w:val="00527927"/>
    <w:rsid w:val="0053017F"/>
    <w:rsid w:val="00530FD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844"/>
    <w:rsid w:val="00540F89"/>
    <w:rsid w:val="005424B3"/>
    <w:rsid w:val="005427AF"/>
    <w:rsid w:val="00542ECB"/>
    <w:rsid w:val="005432BA"/>
    <w:rsid w:val="00543384"/>
    <w:rsid w:val="005434A9"/>
    <w:rsid w:val="005443A5"/>
    <w:rsid w:val="005447EF"/>
    <w:rsid w:val="00545312"/>
    <w:rsid w:val="00545AED"/>
    <w:rsid w:val="00545B79"/>
    <w:rsid w:val="00545F8B"/>
    <w:rsid w:val="00546715"/>
    <w:rsid w:val="00546830"/>
    <w:rsid w:val="005472B3"/>
    <w:rsid w:val="00550C11"/>
    <w:rsid w:val="00550DE7"/>
    <w:rsid w:val="005514BB"/>
    <w:rsid w:val="00551854"/>
    <w:rsid w:val="00551F73"/>
    <w:rsid w:val="00552301"/>
    <w:rsid w:val="0055269F"/>
    <w:rsid w:val="00553046"/>
    <w:rsid w:val="00553E62"/>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80F"/>
    <w:rsid w:val="00560EDE"/>
    <w:rsid w:val="00561042"/>
    <w:rsid w:val="005610C7"/>
    <w:rsid w:val="005613DA"/>
    <w:rsid w:val="0056176F"/>
    <w:rsid w:val="00561C91"/>
    <w:rsid w:val="0056222E"/>
    <w:rsid w:val="00562528"/>
    <w:rsid w:val="005647D1"/>
    <w:rsid w:val="00565011"/>
    <w:rsid w:val="0056506E"/>
    <w:rsid w:val="00565EBC"/>
    <w:rsid w:val="0056662F"/>
    <w:rsid w:val="00566D53"/>
    <w:rsid w:val="0056708A"/>
    <w:rsid w:val="00567242"/>
    <w:rsid w:val="00567755"/>
    <w:rsid w:val="005704E4"/>
    <w:rsid w:val="00570AB7"/>
    <w:rsid w:val="00570C55"/>
    <w:rsid w:val="00570E2C"/>
    <w:rsid w:val="00571964"/>
    <w:rsid w:val="00571BB7"/>
    <w:rsid w:val="00571E22"/>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9A7"/>
    <w:rsid w:val="00581B35"/>
    <w:rsid w:val="005823F5"/>
    <w:rsid w:val="005827C6"/>
    <w:rsid w:val="00583542"/>
    <w:rsid w:val="00583B31"/>
    <w:rsid w:val="00583FEE"/>
    <w:rsid w:val="00584380"/>
    <w:rsid w:val="00584A01"/>
    <w:rsid w:val="00584A5C"/>
    <w:rsid w:val="00584DCA"/>
    <w:rsid w:val="00586108"/>
    <w:rsid w:val="00586BF6"/>
    <w:rsid w:val="00590860"/>
    <w:rsid w:val="00592FE7"/>
    <w:rsid w:val="00593058"/>
    <w:rsid w:val="00593173"/>
    <w:rsid w:val="005939D5"/>
    <w:rsid w:val="00593E99"/>
    <w:rsid w:val="005941EF"/>
    <w:rsid w:val="00594F48"/>
    <w:rsid w:val="00595A3C"/>
    <w:rsid w:val="005962B0"/>
    <w:rsid w:val="00596491"/>
    <w:rsid w:val="005977F1"/>
    <w:rsid w:val="005A0446"/>
    <w:rsid w:val="005A0590"/>
    <w:rsid w:val="005A09D8"/>
    <w:rsid w:val="005A0C57"/>
    <w:rsid w:val="005A0C98"/>
    <w:rsid w:val="005A1D49"/>
    <w:rsid w:val="005A1E3B"/>
    <w:rsid w:val="005A2FF5"/>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A04"/>
    <w:rsid w:val="005A7C9B"/>
    <w:rsid w:val="005B0B37"/>
    <w:rsid w:val="005B0E94"/>
    <w:rsid w:val="005B18A8"/>
    <w:rsid w:val="005B1A7C"/>
    <w:rsid w:val="005B23C6"/>
    <w:rsid w:val="005B271F"/>
    <w:rsid w:val="005B2964"/>
    <w:rsid w:val="005B2C4B"/>
    <w:rsid w:val="005B3221"/>
    <w:rsid w:val="005B39CB"/>
    <w:rsid w:val="005B442D"/>
    <w:rsid w:val="005B4660"/>
    <w:rsid w:val="005B485D"/>
    <w:rsid w:val="005B569E"/>
    <w:rsid w:val="005B5859"/>
    <w:rsid w:val="005B5D13"/>
    <w:rsid w:val="005B7466"/>
    <w:rsid w:val="005B7F13"/>
    <w:rsid w:val="005C0472"/>
    <w:rsid w:val="005C05AE"/>
    <w:rsid w:val="005C113B"/>
    <w:rsid w:val="005C1523"/>
    <w:rsid w:val="005C1882"/>
    <w:rsid w:val="005C1E39"/>
    <w:rsid w:val="005C21A6"/>
    <w:rsid w:val="005C22CF"/>
    <w:rsid w:val="005C2AC9"/>
    <w:rsid w:val="005C3156"/>
    <w:rsid w:val="005C3922"/>
    <w:rsid w:val="005C3A0F"/>
    <w:rsid w:val="005C52A2"/>
    <w:rsid w:val="005C58A6"/>
    <w:rsid w:val="005C598D"/>
    <w:rsid w:val="005C5C02"/>
    <w:rsid w:val="005C6D14"/>
    <w:rsid w:val="005C7540"/>
    <w:rsid w:val="005D128F"/>
    <w:rsid w:val="005D15B1"/>
    <w:rsid w:val="005D16CB"/>
    <w:rsid w:val="005D1AB5"/>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2E9A"/>
    <w:rsid w:val="005E30E2"/>
    <w:rsid w:val="005E37E1"/>
    <w:rsid w:val="005E3E00"/>
    <w:rsid w:val="005E483E"/>
    <w:rsid w:val="005E4AAB"/>
    <w:rsid w:val="005E4DDB"/>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08F"/>
    <w:rsid w:val="005F23B3"/>
    <w:rsid w:val="005F2527"/>
    <w:rsid w:val="005F2E8E"/>
    <w:rsid w:val="005F2F2D"/>
    <w:rsid w:val="005F5795"/>
    <w:rsid w:val="005F58D3"/>
    <w:rsid w:val="005F6328"/>
    <w:rsid w:val="005F6347"/>
    <w:rsid w:val="005F72AB"/>
    <w:rsid w:val="005F76B9"/>
    <w:rsid w:val="005F770C"/>
    <w:rsid w:val="006008AE"/>
    <w:rsid w:val="006010A9"/>
    <w:rsid w:val="00602044"/>
    <w:rsid w:val="00602F96"/>
    <w:rsid w:val="0060366A"/>
    <w:rsid w:val="006038D0"/>
    <w:rsid w:val="006043B4"/>
    <w:rsid w:val="006044F8"/>
    <w:rsid w:val="00605B49"/>
    <w:rsid w:val="0060633E"/>
    <w:rsid w:val="0060662C"/>
    <w:rsid w:val="006066C1"/>
    <w:rsid w:val="00606F4C"/>
    <w:rsid w:val="00607592"/>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16CCC"/>
    <w:rsid w:val="006217FA"/>
    <w:rsid w:val="006225F0"/>
    <w:rsid w:val="00622DB5"/>
    <w:rsid w:val="00623AD0"/>
    <w:rsid w:val="0062486B"/>
    <w:rsid w:val="00624CE5"/>
    <w:rsid w:val="00624DB9"/>
    <w:rsid w:val="00625C02"/>
    <w:rsid w:val="00626415"/>
    <w:rsid w:val="00626ED8"/>
    <w:rsid w:val="00627BC8"/>
    <w:rsid w:val="00627F68"/>
    <w:rsid w:val="006305A5"/>
    <w:rsid w:val="0063078D"/>
    <w:rsid w:val="00630D5D"/>
    <w:rsid w:val="0063100D"/>
    <w:rsid w:val="006311CF"/>
    <w:rsid w:val="00632234"/>
    <w:rsid w:val="00632E12"/>
    <w:rsid w:val="006335B5"/>
    <w:rsid w:val="006342B7"/>
    <w:rsid w:val="006344D6"/>
    <w:rsid w:val="0063472B"/>
    <w:rsid w:val="00634888"/>
    <w:rsid w:val="00634D83"/>
    <w:rsid w:val="00635860"/>
    <w:rsid w:val="00635A1D"/>
    <w:rsid w:val="006363FA"/>
    <w:rsid w:val="0063674E"/>
    <w:rsid w:val="00636868"/>
    <w:rsid w:val="0063705A"/>
    <w:rsid w:val="0063726F"/>
    <w:rsid w:val="00637716"/>
    <w:rsid w:val="00637B67"/>
    <w:rsid w:val="00637C36"/>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061"/>
    <w:rsid w:val="00646451"/>
    <w:rsid w:val="00646D05"/>
    <w:rsid w:val="00646DC7"/>
    <w:rsid w:val="0065021B"/>
    <w:rsid w:val="006508B5"/>
    <w:rsid w:val="00650A33"/>
    <w:rsid w:val="00651A12"/>
    <w:rsid w:val="00651BDA"/>
    <w:rsid w:val="00651E9D"/>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60DFA"/>
    <w:rsid w:val="00660F44"/>
    <w:rsid w:val="006612CB"/>
    <w:rsid w:val="00661E06"/>
    <w:rsid w:val="0066277D"/>
    <w:rsid w:val="0066289A"/>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2B68"/>
    <w:rsid w:val="00673291"/>
    <w:rsid w:val="00673E6B"/>
    <w:rsid w:val="00674431"/>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263F"/>
    <w:rsid w:val="00682747"/>
    <w:rsid w:val="00683456"/>
    <w:rsid w:val="00683E07"/>
    <w:rsid w:val="00683E4A"/>
    <w:rsid w:val="00683F33"/>
    <w:rsid w:val="00684296"/>
    <w:rsid w:val="0068459E"/>
    <w:rsid w:val="00684C70"/>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638E"/>
    <w:rsid w:val="006969DC"/>
    <w:rsid w:val="00696A55"/>
    <w:rsid w:val="00696B90"/>
    <w:rsid w:val="00696BBC"/>
    <w:rsid w:val="00696E41"/>
    <w:rsid w:val="006970F7"/>
    <w:rsid w:val="0069735A"/>
    <w:rsid w:val="00697E5C"/>
    <w:rsid w:val="006A18D4"/>
    <w:rsid w:val="006A190A"/>
    <w:rsid w:val="006A1D1A"/>
    <w:rsid w:val="006A2C53"/>
    <w:rsid w:val="006A3036"/>
    <w:rsid w:val="006A3698"/>
    <w:rsid w:val="006A37CF"/>
    <w:rsid w:val="006A3A8B"/>
    <w:rsid w:val="006A474C"/>
    <w:rsid w:val="006A51AF"/>
    <w:rsid w:val="006A5689"/>
    <w:rsid w:val="006A625F"/>
    <w:rsid w:val="006A65A6"/>
    <w:rsid w:val="006A69E1"/>
    <w:rsid w:val="006A70BE"/>
    <w:rsid w:val="006B0DC9"/>
    <w:rsid w:val="006B0FBA"/>
    <w:rsid w:val="006B134F"/>
    <w:rsid w:val="006B14EF"/>
    <w:rsid w:val="006B2657"/>
    <w:rsid w:val="006B2BE2"/>
    <w:rsid w:val="006B2FF8"/>
    <w:rsid w:val="006B3049"/>
    <w:rsid w:val="006B31E4"/>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08BF"/>
    <w:rsid w:val="006C14D2"/>
    <w:rsid w:val="006C1A94"/>
    <w:rsid w:val="006C1FCA"/>
    <w:rsid w:val="006C2359"/>
    <w:rsid w:val="006C24DD"/>
    <w:rsid w:val="006C2C99"/>
    <w:rsid w:val="006C375E"/>
    <w:rsid w:val="006C3A88"/>
    <w:rsid w:val="006C4242"/>
    <w:rsid w:val="006C66BF"/>
    <w:rsid w:val="006C6DAF"/>
    <w:rsid w:val="006C7366"/>
    <w:rsid w:val="006C7FA2"/>
    <w:rsid w:val="006D01D1"/>
    <w:rsid w:val="006D0DE3"/>
    <w:rsid w:val="006D122F"/>
    <w:rsid w:val="006D12E7"/>
    <w:rsid w:val="006D1CA6"/>
    <w:rsid w:val="006D1D47"/>
    <w:rsid w:val="006D23E1"/>
    <w:rsid w:val="006D30E8"/>
    <w:rsid w:val="006D3366"/>
    <w:rsid w:val="006D3D42"/>
    <w:rsid w:val="006D4A8E"/>
    <w:rsid w:val="006D5113"/>
    <w:rsid w:val="006D57A6"/>
    <w:rsid w:val="006D5A87"/>
    <w:rsid w:val="006D62CE"/>
    <w:rsid w:val="006D62DB"/>
    <w:rsid w:val="006D70A4"/>
    <w:rsid w:val="006D73B9"/>
    <w:rsid w:val="006D762C"/>
    <w:rsid w:val="006D7E5D"/>
    <w:rsid w:val="006D7F37"/>
    <w:rsid w:val="006E0190"/>
    <w:rsid w:val="006E0193"/>
    <w:rsid w:val="006E03FB"/>
    <w:rsid w:val="006E0909"/>
    <w:rsid w:val="006E096C"/>
    <w:rsid w:val="006E0CB7"/>
    <w:rsid w:val="006E11BD"/>
    <w:rsid w:val="006E17F1"/>
    <w:rsid w:val="006E350D"/>
    <w:rsid w:val="006E45E2"/>
    <w:rsid w:val="006E527B"/>
    <w:rsid w:val="006E5309"/>
    <w:rsid w:val="006E6BFD"/>
    <w:rsid w:val="006E7754"/>
    <w:rsid w:val="006E7CFC"/>
    <w:rsid w:val="006E7ECB"/>
    <w:rsid w:val="006F00F9"/>
    <w:rsid w:val="006F0CEB"/>
    <w:rsid w:val="006F1589"/>
    <w:rsid w:val="006F20C3"/>
    <w:rsid w:val="006F2B58"/>
    <w:rsid w:val="006F2C01"/>
    <w:rsid w:val="006F2E9B"/>
    <w:rsid w:val="006F30C4"/>
    <w:rsid w:val="006F33DF"/>
    <w:rsid w:val="006F387A"/>
    <w:rsid w:val="006F4F5E"/>
    <w:rsid w:val="006F5447"/>
    <w:rsid w:val="006F6072"/>
    <w:rsid w:val="006F64B3"/>
    <w:rsid w:val="006F7D2C"/>
    <w:rsid w:val="00700324"/>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98"/>
    <w:rsid w:val="00713E3C"/>
    <w:rsid w:val="00714F85"/>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0C9"/>
    <w:rsid w:val="00726938"/>
    <w:rsid w:val="007269A3"/>
    <w:rsid w:val="00726A51"/>
    <w:rsid w:val="007272F6"/>
    <w:rsid w:val="0072790B"/>
    <w:rsid w:val="00727B73"/>
    <w:rsid w:val="007300DF"/>
    <w:rsid w:val="00730291"/>
    <w:rsid w:val="0073053E"/>
    <w:rsid w:val="00730775"/>
    <w:rsid w:val="00731549"/>
    <w:rsid w:val="007319F7"/>
    <w:rsid w:val="00731CB5"/>
    <w:rsid w:val="00731D5F"/>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A8"/>
    <w:rsid w:val="00744E00"/>
    <w:rsid w:val="00744FF0"/>
    <w:rsid w:val="0074571B"/>
    <w:rsid w:val="00745A49"/>
    <w:rsid w:val="00745ADF"/>
    <w:rsid w:val="00745E67"/>
    <w:rsid w:val="00745F17"/>
    <w:rsid w:val="0075002F"/>
    <w:rsid w:val="007503C7"/>
    <w:rsid w:val="0075069A"/>
    <w:rsid w:val="007513FE"/>
    <w:rsid w:val="00752378"/>
    <w:rsid w:val="00752B38"/>
    <w:rsid w:val="00752E4B"/>
    <w:rsid w:val="0075346A"/>
    <w:rsid w:val="00753D7E"/>
    <w:rsid w:val="00753FA6"/>
    <w:rsid w:val="007557BD"/>
    <w:rsid w:val="00756057"/>
    <w:rsid w:val="00756202"/>
    <w:rsid w:val="00756225"/>
    <w:rsid w:val="0075638F"/>
    <w:rsid w:val="0076001D"/>
    <w:rsid w:val="00760C1D"/>
    <w:rsid w:val="00761426"/>
    <w:rsid w:val="00761770"/>
    <w:rsid w:val="00761B70"/>
    <w:rsid w:val="00761F23"/>
    <w:rsid w:val="007622A4"/>
    <w:rsid w:val="007625C7"/>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5E4"/>
    <w:rsid w:val="007819DA"/>
    <w:rsid w:val="00781A12"/>
    <w:rsid w:val="00781A85"/>
    <w:rsid w:val="00782929"/>
    <w:rsid w:val="0078464E"/>
    <w:rsid w:val="00784EF5"/>
    <w:rsid w:val="0078541C"/>
    <w:rsid w:val="0078562E"/>
    <w:rsid w:val="007862EE"/>
    <w:rsid w:val="0078690F"/>
    <w:rsid w:val="0078718D"/>
    <w:rsid w:val="007873F8"/>
    <w:rsid w:val="00790F7C"/>
    <w:rsid w:val="00791D33"/>
    <w:rsid w:val="0079294C"/>
    <w:rsid w:val="007929D1"/>
    <w:rsid w:val="00792B3D"/>
    <w:rsid w:val="0079344C"/>
    <w:rsid w:val="00793E8B"/>
    <w:rsid w:val="0079425A"/>
    <w:rsid w:val="00794CDB"/>
    <w:rsid w:val="007953AD"/>
    <w:rsid w:val="0079634D"/>
    <w:rsid w:val="007969C0"/>
    <w:rsid w:val="00796C5A"/>
    <w:rsid w:val="007970E6"/>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88"/>
    <w:rsid w:val="007B43EC"/>
    <w:rsid w:val="007B4A71"/>
    <w:rsid w:val="007B5785"/>
    <w:rsid w:val="007B59D4"/>
    <w:rsid w:val="007B5A1C"/>
    <w:rsid w:val="007B5A90"/>
    <w:rsid w:val="007B5BB2"/>
    <w:rsid w:val="007B68DE"/>
    <w:rsid w:val="007B705F"/>
    <w:rsid w:val="007B7149"/>
    <w:rsid w:val="007B75DA"/>
    <w:rsid w:val="007B7733"/>
    <w:rsid w:val="007B7E77"/>
    <w:rsid w:val="007C0658"/>
    <w:rsid w:val="007C0734"/>
    <w:rsid w:val="007C2260"/>
    <w:rsid w:val="007C25F3"/>
    <w:rsid w:val="007C26FB"/>
    <w:rsid w:val="007C3410"/>
    <w:rsid w:val="007C356E"/>
    <w:rsid w:val="007C45BD"/>
    <w:rsid w:val="007C461E"/>
    <w:rsid w:val="007C4664"/>
    <w:rsid w:val="007C4794"/>
    <w:rsid w:val="007C4C2B"/>
    <w:rsid w:val="007C4ECF"/>
    <w:rsid w:val="007C513B"/>
    <w:rsid w:val="007C5F71"/>
    <w:rsid w:val="007C68B7"/>
    <w:rsid w:val="007C71AF"/>
    <w:rsid w:val="007C7275"/>
    <w:rsid w:val="007C73FE"/>
    <w:rsid w:val="007C7B25"/>
    <w:rsid w:val="007C7C25"/>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295A"/>
    <w:rsid w:val="007E2E11"/>
    <w:rsid w:val="007E359C"/>
    <w:rsid w:val="007E4E2F"/>
    <w:rsid w:val="007E559F"/>
    <w:rsid w:val="007E6830"/>
    <w:rsid w:val="007E715A"/>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5515"/>
    <w:rsid w:val="007F5AEE"/>
    <w:rsid w:val="007F64F9"/>
    <w:rsid w:val="007F6748"/>
    <w:rsid w:val="007F69D8"/>
    <w:rsid w:val="007F69E1"/>
    <w:rsid w:val="007F763B"/>
    <w:rsid w:val="007F7952"/>
    <w:rsid w:val="007F79BE"/>
    <w:rsid w:val="007F7C7B"/>
    <w:rsid w:val="00800372"/>
    <w:rsid w:val="008003C6"/>
    <w:rsid w:val="00800AE0"/>
    <w:rsid w:val="00800FF6"/>
    <w:rsid w:val="008016C4"/>
    <w:rsid w:val="00801772"/>
    <w:rsid w:val="00801D97"/>
    <w:rsid w:val="00801DD8"/>
    <w:rsid w:val="00802AA0"/>
    <w:rsid w:val="00803057"/>
    <w:rsid w:val="00804514"/>
    <w:rsid w:val="00804E7C"/>
    <w:rsid w:val="00805614"/>
    <w:rsid w:val="008059B6"/>
    <w:rsid w:val="00805E9A"/>
    <w:rsid w:val="0080601D"/>
    <w:rsid w:val="0080622C"/>
    <w:rsid w:val="00806231"/>
    <w:rsid w:val="00806798"/>
    <w:rsid w:val="0080760D"/>
    <w:rsid w:val="008100D5"/>
    <w:rsid w:val="00810D76"/>
    <w:rsid w:val="00811809"/>
    <w:rsid w:val="00811A3B"/>
    <w:rsid w:val="00811BCB"/>
    <w:rsid w:val="00811EFF"/>
    <w:rsid w:val="00813019"/>
    <w:rsid w:val="00813027"/>
    <w:rsid w:val="008135BC"/>
    <w:rsid w:val="00813636"/>
    <w:rsid w:val="0081399D"/>
    <w:rsid w:val="008148CE"/>
    <w:rsid w:val="00814E3D"/>
    <w:rsid w:val="00814FF0"/>
    <w:rsid w:val="00815291"/>
    <w:rsid w:val="0081567D"/>
    <w:rsid w:val="00815F71"/>
    <w:rsid w:val="00816704"/>
    <w:rsid w:val="00816EDC"/>
    <w:rsid w:val="0082076A"/>
    <w:rsid w:val="00820AC0"/>
    <w:rsid w:val="008211CC"/>
    <w:rsid w:val="0082165E"/>
    <w:rsid w:val="00821CD6"/>
    <w:rsid w:val="00821F20"/>
    <w:rsid w:val="008222B9"/>
    <w:rsid w:val="00822573"/>
    <w:rsid w:val="00822D1E"/>
    <w:rsid w:val="00823857"/>
    <w:rsid w:val="00823AD7"/>
    <w:rsid w:val="00823DBE"/>
    <w:rsid w:val="00824678"/>
    <w:rsid w:val="0082495C"/>
    <w:rsid w:val="008253AA"/>
    <w:rsid w:val="008258D7"/>
    <w:rsid w:val="008259EA"/>
    <w:rsid w:val="00825CED"/>
    <w:rsid w:val="00826E02"/>
    <w:rsid w:val="00827747"/>
    <w:rsid w:val="008302A3"/>
    <w:rsid w:val="0083074F"/>
    <w:rsid w:val="008307C6"/>
    <w:rsid w:val="00831A23"/>
    <w:rsid w:val="00831FE2"/>
    <w:rsid w:val="008321D6"/>
    <w:rsid w:val="0083231E"/>
    <w:rsid w:val="0083264A"/>
    <w:rsid w:val="00832821"/>
    <w:rsid w:val="0083383D"/>
    <w:rsid w:val="008338BD"/>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EEB"/>
    <w:rsid w:val="00843137"/>
    <w:rsid w:val="008436AC"/>
    <w:rsid w:val="00843971"/>
    <w:rsid w:val="0084408A"/>
    <w:rsid w:val="0084437E"/>
    <w:rsid w:val="0084441B"/>
    <w:rsid w:val="008449D9"/>
    <w:rsid w:val="008451AD"/>
    <w:rsid w:val="00845430"/>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4E1C"/>
    <w:rsid w:val="008554B6"/>
    <w:rsid w:val="00855557"/>
    <w:rsid w:val="00855F2F"/>
    <w:rsid w:val="008562F3"/>
    <w:rsid w:val="0085654E"/>
    <w:rsid w:val="00857940"/>
    <w:rsid w:val="008608C8"/>
    <w:rsid w:val="00860963"/>
    <w:rsid w:val="00861FB8"/>
    <w:rsid w:val="00862166"/>
    <w:rsid w:val="00862ECD"/>
    <w:rsid w:val="00862F23"/>
    <w:rsid w:val="00863747"/>
    <w:rsid w:val="00863CD7"/>
    <w:rsid w:val="008644CC"/>
    <w:rsid w:val="008647F2"/>
    <w:rsid w:val="008648B0"/>
    <w:rsid w:val="00864B02"/>
    <w:rsid w:val="00864FC3"/>
    <w:rsid w:val="0086566D"/>
    <w:rsid w:val="0086599F"/>
    <w:rsid w:val="00866087"/>
    <w:rsid w:val="00870295"/>
    <w:rsid w:val="00870431"/>
    <w:rsid w:val="0087094A"/>
    <w:rsid w:val="00870C89"/>
    <w:rsid w:val="008724F5"/>
    <w:rsid w:val="008728BD"/>
    <w:rsid w:val="00873177"/>
    <w:rsid w:val="0087342E"/>
    <w:rsid w:val="0087350A"/>
    <w:rsid w:val="0087369B"/>
    <w:rsid w:val="00873B73"/>
    <w:rsid w:val="0087419D"/>
    <w:rsid w:val="0087452D"/>
    <w:rsid w:val="0087513A"/>
    <w:rsid w:val="008751FA"/>
    <w:rsid w:val="00875554"/>
    <w:rsid w:val="00875DEC"/>
    <w:rsid w:val="00876C80"/>
    <w:rsid w:val="00876F80"/>
    <w:rsid w:val="0087790B"/>
    <w:rsid w:val="00877B3B"/>
    <w:rsid w:val="008800DF"/>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7C94"/>
    <w:rsid w:val="00887F9D"/>
    <w:rsid w:val="00890C2F"/>
    <w:rsid w:val="0089127A"/>
    <w:rsid w:val="00891679"/>
    <w:rsid w:val="00892214"/>
    <w:rsid w:val="00892426"/>
    <w:rsid w:val="00893C7D"/>
    <w:rsid w:val="00893CD6"/>
    <w:rsid w:val="00893E0F"/>
    <w:rsid w:val="00894A2A"/>
    <w:rsid w:val="00895DDD"/>
    <w:rsid w:val="008963EC"/>
    <w:rsid w:val="008964A5"/>
    <w:rsid w:val="00896A99"/>
    <w:rsid w:val="00897DA5"/>
    <w:rsid w:val="008A0079"/>
    <w:rsid w:val="008A01B6"/>
    <w:rsid w:val="008A0293"/>
    <w:rsid w:val="008A0432"/>
    <w:rsid w:val="008A080B"/>
    <w:rsid w:val="008A0D8A"/>
    <w:rsid w:val="008A0EDC"/>
    <w:rsid w:val="008A1743"/>
    <w:rsid w:val="008A199C"/>
    <w:rsid w:val="008A233C"/>
    <w:rsid w:val="008A2545"/>
    <w:rsid w:val="008A2F79"/>
    <w:rsid w:val="008A3964"/>
    <w:rsid w:val="008A3B5D"/>
    <w:rsid w:val="008A3B9A"/>
    <w:rsid w:val="008A42E9"/>
    <w:rsid w:val="008A4AE5"/>
    <w:rsid w:val="008A5D64"/>
    <w:rsid w:val="008A5F61"/>
    <w:rsid w:val="008A6435"/>
    <w:rsid w:val="008A6A31"/>
    <w:rsid w:val="008A6BFC"/>
    <w:rsid w:val="008A6D2F"/>
    <w:rsid w:val="008A6D3B"/>
    <w:rsid w:val="008A6FE2"/>
    <w:rsid w:val="008B09B3"/>
    <w:rsid w:val="008B11A2"/>
    <w:rsid w:val="008B142A"/>
    <w:rsid w:val="008B14AB"/>
    <w:rsid w:val="008B1759"/>
    <w:rsid w:val="008B2444"/>
    <w:rsid w:val="008B29CD"/>
    <w:rsid w:val="008B30DB"/>
    <w:rsid w:val="008B3504"/>
    <w:rsid w:val="008B38B2"/>
    <w:rsid w:val="008B39C0"/>
    <w:rsid w:val="008B3AC9"/>
    <w:rsid w:val="008B4184"/>
    <w:rsid w:val="008B4425"/>
    <w:rsid w:val="008B44E3"/>
    <w:rsid w:val="008B47C1"/>
    <w:rsid w:val="008B4928"/>
    <w:rsid w:val="008B4EFE"/>
    <w:rsid w:val="008B5A90"/>
    <w:rsid w:val="008B6D02"/>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889"/>
    <w:rsid w:val="008C4B00"/>
    <w:rsid w:val="008C5738"/>
    <w:rsid w:val="008C66C0"/>
    <w:rsid w:val="008C66D4"/>
    <w:rsid w:val="008C6E8E"/>
    <w:rsid w:val="008C70EF"/>
    <w:rsid w:val="008C72E1"/>
    <w:rsid w:val="008C7ADC"/>
    <w:rsid w:val="008C7C48"/>
    <w:rsid w:val="008C7C74"/>
    <w:rsid w:val="008C7E3C"/>
    <w:rsid w:val="008D106D"/>
    <w:rsid w:val="008D13C4"/>
    <w:rsid w:val="008D13E5"/>
    <w:rsid w:val="008D1CD9"/>
    <w:rsid w:val="008D2234"/>
    <w:rsid w:val="008D22FB"/>
    <w:rsid w:val="008D2C8C"/>
    <w:rsid w:val="008D3019"/>
    <w:rsid w:val="008D32BD"/>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5E9"/>
    <w:rsid w:val="008F7A9B"/>
    <w:rsid w:val="00900240"/>
    <w:rsid w:val="00900559"/>
    <w:rsid w:val="00900E44"/>
    <w:rsid w:val="009012D4"/>
    <w:rsid w:val="009023CF"/>
    <w:rsid w:val="009025F4"/>
    <w:rsid w:val="009026E0"/>
    <w:rsid w:val="00902771"/>
    <w:rsid w:val="00902D15"/>
    <w:rsid w:val="00903188"/>
    <w:rsid w:val="0090375F"/>
    <w:rsid w:val="00903AA2"/>
    <w:rsid w:val="00903B0C"/>
    <w:rsid w:val="00904257"/>
    <w:rsid w:val="00904277"/>
    <w:rsid w:val="009046B3"/>
    <w:rsid w:val="00905530"/>
    <w:rsid w:val="009058B9"/>
    <w:rsid w:val="009062EA"/>
    <w:rsid w:val="00906BC0"/>
    <w:rsid w:val="00906F03"/>
    <w:rsid w:val="00907004"/>
    <w:rsid w:val="00907526"/>
    <w:rsid w:val="0091053B"/>
    <w:rsid w:val="0091054D"/>
    <w:rsid w:val="009111C9"/>
    <w:rsid w:val="00911306"/>
    <w:rsid w:val="00911B6F"/>
    <w:rsid w:val="00912E6A"/>
    <w:rsid w:val="009131DD"/>
    <w:rsid w:val="00914204"/>
    <w:rsid w:val="00914645"/>
    <w:rsid w:val="009146AA"/>
    <w:rsid w:val="009147AD"/>
    <w:rsid w:val="009149B9"/>
    <w:rsid w:val="00915462"/>
    <w:rsid w:val="009156E2"/>
    <w:rsid w:val="009157DB"/>
    <w:rsid w:val="0091668C"/>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6BBB"/>
    <w:rsid w:val="0092743E"/>
    <w:rsid w:val="009274E7"/>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5711"/>
    <w:rsid w:val="0093608D"/>
    <w:rsid w:val="00936593"/>
    <w:rsid w:val="009368A2"/>
    <w:rsid w:val="00936CC0"/>
    <w:rsid w:val="00937534"/>
    <w:rsid w:val="00937714"/>
    <w:rsid w:val="00937C98"/>
    <w:rsid w:val="009400F8"/>
    <w:rsid w:val="00940806"/>
    <w:rsid w:val="00940E1B"/>
    <w:rsid w:val="009412D8"/>
    <w:rsid w:val="009418FA"/>
    <w:rsid w:val="00941AC0"/>
    <w:rsid w:val="00941F49"/>
    <w:rsid w:val="0094228C"/>
    <w:rsid w:val="009429F2"/>
    <w:rsid w:val="0094319C"/>
    <w:rsid w:val="00943F2A"/>
    <w:rsid w:val="00943F63"/>
    <w:rsid w:val="00944862"/>
    <w:rsid w:val="00945DC3"/>
    <w:rsid w:val="0094626B"/>
    <w:rsid w:val="009468F8"/>
    <w:rsid w:val="00946A7B"/>
    <w:rsid w:val="00950554"/>
    <w:rsid w:val="009509B0"/>
    <w:rsid w:val="00951056"/>
    <w:rsid w:val="009515A7"/>
    <w:rsid w:val="009515DF"/>
    <w:rsid w:val="00951885"/>
    <w:rsid w:val="009519B1"/>
    <w:rsid w:val="00951B23"/>
    <w:rsid w:val="00951B82"/>
    <w:rsid w:val="00951F54"/>
    <w:rsid w:val="00952C09"/>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577F7"/>
    <w:rsid w:val="0096012C"/>
    <w:rsid w:val="00960F48"/>
    <w:rsid w:val="00961B6F"/>
    <w:rsid w:val="00961F5A"/>
    <w:rsid w:val="00962B73"/>
    <w:rsid w:val="00962C70"/>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5495"/>
    <w:rsid w:val="009757AB"/>
    <w:rsid w:val="00975858"/>
    <w:rsid w:val="009762DF"/>
    <w:rsid w:val="00976402"/>
    <w:rsid w:val="00976701"/>
    <w:rsid w:val="00977831"/>
    <w:rsid w:val="00977B43"/>
    <w:rsid w:val="00977B6F"/>
    <w:rsid w:val="00980162"/>
    <w:rsid w:val="0098016A"/>
    <w:rsid w:val="009801C4"/>
    <w:rsid w:val="0098046E"/>
    <w:rsid w:val="0098069C"/>
    <w:rsid w:val="00981401"/>
    <w:rsid w:val="00981A8C"/>
    <w:rsid w:val="00981BD6"/>
    <w:rsid w:val="00981D34"/>
    <w:rsid w:val="009820C8"/>
    <w:rsid w:val="00982232"/>
    <w:rsid w:val="00982426"/>
    <w:rsid w:val="00982479"/>
    <w:rsid w:val="00982AA1"/>
    <w:rsid w:val="0098341B"/>
    <w:rsid w:val="0098527A"/>
    <w:rsid w:val="009852C5"/>
    <w:rsid w:val="009867C2"/>
    <w:rsid w:val="0098795A"/>
    <w:rsid w:val="00990185"/>
    <w:rsid w:val="00990398"/>
    <w:rsid w:val="009910E1"/>
    <w:rsid w:val="00991788"/>
    <w:rsid w:val="009935BC"/>
    <w:rsid w:val="009942C8"/>
    <w:rsid w:val="00994782"/>
    <w:rsid w:val="00994F86"/>
    <w:rsid w:val="00996241"/>
    <w:rsid w:val="009A0084"/>
    <w:rsid w:val="009A0714"/>
    <w:rsid w:val="009A1B74"/>
    <w:rsid w:val="009A31B5"/>
    <w:rsid w:val="009A3590"/>
    <w:rsid w:val="009A3C0C"/>
    <w:rsid w:val="009A42B1"/>
    <w:rsid w:val="009A49FE"/>
    <w:rsid w:val="009A4FEC"/>
    <w:rsid w:val="009A5174"/>
    <w:rsid w:val="009A6348"/>
    <w:rsid w:val="009A6556"/>
    <w:rsid w:val="009A6A5C"/>
    <w:rsid w:val="009A6B59"/>
    <w:rsid w:val="009A6F02"/>
    <w:rsid w:val="009A75A3"/>
    <w:rsid w:val="009B11E7"/>
    <w:rsid w:val="009B179F"/>
    <w:rsid w:val="009B195B"/>
    <w:rsid w:val="009B1E54"/>
    <w:rsid w:val="009B1EA1"/>
    <w:rsid w:val="009B2AAE"/>
    <w:rsid w:val="009B2C03"/>
    <w:rsid w:val="009B3067"/>
    <w:rsid w:val="009B3399"/>
    <w:rsid w:val="009B3690"/>
    <w:rsid w:val="009B5AB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412"/>
    <w:rsid w:val="009C4894"/>
    <w:rsid w:val="009C4F0E"/>
    <w:rsid w:val="009C56C8"/>
    <w:rsid w:val="009C5F5F"/>
    <w:rsid w:val="009C6441"/>
    <w:rsid w:val="009C652F"/>
    <w:rsid w:val="009C6780"/>
    <w:rsid w:val="009C68AA"/>
    <w:rsid w:val="009C71F8"/>
    <w:rsid w:val="009C72C9"/>
    <w:rsid w:val="009C7A32"/>
    <w:rsid w:val="009C7A96"/>
    <w:rsid w:val="009C7BED"/>
    <w:rsid w:val="009D1707"/>
    <w:rsid w:val="009D1E34"/>
    <w:rsid w:val="009D1E79"/>
    <w:rsid w:val="009D2B29"/>
    <w:rsid w:val="009D2ED8"/>
    <w:rsid w:val="009D3185"/>
    <w:rsid w:val="009D358B"/>
    <w:rsid w:val="009D3742"/>
    <w:rsid w:val="009D38C4"/>
    <w:rsid w:val="009D38C5"/>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22D1"/>
    <w:rsid w:val="009E2D4C"/>
    <w:rsid w:val="009E365D"/>
    <w:rsid w:val="009E3881"/>
    <w:rsid w:val="009E3ED2"/>
    <w:rsid w:val="009E410E"/>
    <w:rsid w:val="009E433D"/>
    <w:rsid w:val="009E454F"/>
    <w:rsid w:val="009E4BB1"/>
    <w:rsid w:val="009E51C3"/>
    <w:rsid w:val="009E55B8"/>
    <w:rsid w:val="009E5EEB"/>
    <w:rsid w:val="009E5FCC"/>
    <w:rsid w:val="009E6D0F"/>
    <w:rsid w:val="009E7C18"/>
    <w:rsid w:val="009F01E5"/>
    <w:rsid w:val="009F0221"/>
    <w:rsid w:val="009F12A8"/>
    <w:rsid w:val="009F14EF"/>
    <w:rsid w:val="009F3121"/>
    <w:rsid w:val="009F397E"/>
    <w:rsid w:val="009F39A1"/>
    <w:rsid w:val="009F3A0B"/>
    <w:rsid w:val="009F3C64"/>
    <w:rsid w:val="009F4536"/>
    <w:rsid w:val="009F5B19"/>
    <w:rsid w:val="009F71D8"/>
    <w:rsid w:val="00A0035C"/>
    <w:rsid w:val="00A00860"/>
    <w:rsid w:val="00A0089B"/>
    <w:rsid w:val="00A00BC6"/>
    <w:rsid w:val="00A01150"/>
    <w:rsid w:val="00A01A42"/>
    <w:rsid w:val="00A01A50"/>
    <w:rsid w:val="00A02448"/>
    <w:rsid w:val="00A026EA"/>
    <w:rsid w:val="00A032B3"/>
    <w:rsid w:val="00A037C9"/>
    <w:rsid w:val="00A03A2C"/>
    <w:rsid w:val="00A04A14"/>
    <w:rsid w:val="00A04F38"/>
    <w:rsid w:val="00A0535B"/>
    <w:rsid w:val="00A05838"/>
    <w:rsid w:val="00A103C9"/>
    <w:rsid w:val="00A118EE"/>
    <w:rsid w:val="00A12C61"/>
    <w:rsid w:val="00A14016"/>
    <w:rsid w:val="00A15373"/>
    <w:rsid w:val="00A156D4"/>
    <w:rsid w:val="00A16AC7"/>
    <w:rsid w:val="00A16AFB"/>
    <w:rsid w:val="00A17BE4"/>
    <w:rsid w:val="00A2083F"/>
    <w:rsid w:val="00A2172C"/>
    <w:rsid w:val="00A2199D"/>
    <w:rsid w:val="00A21AD0"/>
    <w:rsid w:val="00A21D10"/>
    <w:rsid w:val="00A21F97"/>
    <w:rsid w:val="00A21FF0"/>
    <w:rsid w:val="00A231B4"/>
    <w:rsid w:val="00A231B8"/>
    <w:rsid w:val="00A234DC"/>
    <w:rsid w:val="00A23A67"/>
    <w:rsid w:val="00A23C60"/>
    <w:rsid w:val="00A23D06"/>
    <w:rsid w:val="00A23F16"/>
    <w:rsid w:val="00A23F84"/>
    <w:rsid w:val="00A24788"/>
    <w:rsid w:val="00A258C9"/>
    <w:rsid w:val="00A259E2"/>
    <w:rsid w:val="00A25D5B"/>
    <w:rsid w:val="00A262CA"/>
    <w:rsid w:val="00A26ADF"/>
    <w:rsid w:val="00A26DE0"/>
    <w:rsid w:val="00A27206"/>
    <w:rsid w:val="00A300E3"/>
    <w:rsid w:val="00A30E01"/>
    <w:rsid w:val="00A315F2"/>
    <w:rsid w:val="00A31D30"/>
    <w:rsid w:val="00A32432"/>
    <w:rsid w:val="00A32466"/>
    <w:rsid w:val="00A32731"/>
    <w:rsid w:val="00A3289F"/>
    <w:rsid w:val="00A32C0A"/>
    <w:rsid w:val="00A32C88"/>
    <w:rsid w:val="00A32CD7"/>
    <w:rsid w:val="00A3352A"/>
    <w:rsid w:val="00A33AB0"/>
    <w:rsid w:val="00A3441D"/>
    <w:rsid w:val="00A34A5F"/>
    <w:rsid w:val="00A3542D"/>
    <w:rsid w:val="00A35ADC"/>
    <w:rsid w:val="00A35D9C"/>
    <w:rsid w:val="00A36ACB"/>
    <w:rsid w:val="00A36ADE"/>
    <w:rsid w:val="00A36CA2"/>
    <w:rsid w:val="00A37B40"/>
    <w:rsid w:val="00A404E0"/>
    <w:rsid w:val="00A40EF6"/>
    <w:rsid w:val="00A41735"/>
    <w:rsid w:val="00A41F5A"/>
    <w:rsid w:val="00A420C1"/>
    <w:rsid w:val="00A42BDA"/>
    <w:rsid w:val="00A43E21"/>
    <w:rsid w:val="00A443A4"/>
    <w:rsid w:val="00A4466D"/>
    <w:rsid w:val="00A4588D"/>
    <w:rsid w:val="00A4604E"/>
    <w:rsid w:val="00A511A3"/>
    <w:rsid w:val="00A52163"/>
    <w:rsid w:val="00A524CA"/>
    <w:rsid w:val="00A526E7"/>
    <w:rsid w:val="00A53641"/>
    <w:rsid w:val="00A54815"/>
    <w:rsid w:val="00A54BDB"/>
    <w:rsid w:val="00A55B31"/>
    <w:rsid w:val="00A55F42"/>
    <w:rsid w:val="00A5693C"/>
    <w:rsid w:val="00A57377"/>
    <w:rsid w:val="00A606DC"/>
    <w:rsid w:val="00A60C2B"/>
    <w:rsid w:val="00A617C5"/>
    <w:rsid w:val="00A63B5D"/>
    <w:rsid w:val="00A63B87"/>
    <w:rsid w:val="00A65B37"/>
    <w:rsid w:val="00A65F4B"/>
    <w:rsid w:val="00A66064"/>
    <w:rsid w:val="00A66AA6"/>
    <w:rsid w:val="00A67AB7"/>
    <w:rsid w:val="00A67D95"/>
    <w:rsid w:val="00A70939"/>
    <w:rsid w:val="00A71042"/>
    <w:rsid w:val="00A71594"/>
    <w:rsid w:val="00A7213A"/>
    <w:rsid w:val="00A722EE"/>
    <w:rsid w:val="00A72827"/>
    <w:rsid w:val="00A72F62"/>
    <w:rsid w:val="00A731DD"/>
    <w:rsid w:val="00A73869"/>
    <w:rsid w:val="00A74D18"/>
    <w:rsid w:val="00A74FBC"/>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2853"/>
    <w:rsid w:val="00A92AAC"/>
    <w:rsid w:val="00A92C6A"/>
    <w:rsid w:val="00A93759"/>
    <w:rsid w:val="00A93B03"/>
    <w:rsid w:val="00A93E09"/>
    <w:rsid w:val="00A93F66"/>
    <w:rsid w:val="00A9421C"/>
    <w:rsid w:val="00A948F8"/>
    <w:rsid w:val="00A94CBE"/>
    <w:rsid w:val="00A9619A"/>
    <w:rsid w:val="00A96C68"/>
    <w:rsid w:val="00A96E8D"/>
    <w:rsid w:val="00A97627"/>
    <w:rsid w:val="00A97913"/>
    <w:rsid w:val="00AA115F"/>
    <w:rsid w:val="00AA158F"/>
    <w:rsid w:val="00AA167B"/>
    <w:rsid w:val="00AA1EC5"/>
    <w:rsid w:val="00AA1F42"/>
    <w:rsid w:val="00AA223A"/>
    <w:rsid w:val="00AA3157"/>
    <w:rsid w:val="00AA36A0"/>
    <w:rsid w:val="00AA4B0D"/>
    <w:rsid w:val="00AA4E57"/>
    <w:rsid w:val="00AA5CB7"/>
    <w:rsid w:val="00AA60B9"/>
    <w:rsid w:val="00AA6194"/>
    <w:rsid w:val="00AA683D"/>
    <w:rsid w:val="00AA70DC"/>
    <w:rsid w:val="00AA7189"/>
    <w:rsid w:val="00AA74B4"/>
    <w:rsid w:val="00AA7589"/>
    <w:rsid w:val="00AA7F60"/>
    <w:rsid w:val="00AB0BB8"/>
    <w:rsid w:val="00AB1DC7"/>
    <w:rsid w:val="00AB2A99"/>
    <w:rsid w:val="00AB2AA2"/>
    <w:rsid w:val="00AB30C9"/>
    <w:rsid w:val="00AB39F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31A"/>
    <w:rsid w:val="00AC4573"/>
    <w:rsid w:val="00AC468D"/>
    <w:rsid w:val="00AC5083"/>
    <w:rsid w:val="00AC510F"/>
    <w:rsid w:val="00AC52E7"/>
    <w:rsid w:val="00AC598A"/>
    <w:rsid w:val="00AC5D15"/>
    <w:rsid w:val="00AC5F52"/>
    <w:rsid w:val="00AD11B2"/>
    <w:rsid w:val="00AD128F"/>
    <w:rsid w:val="00AD13DF"/>
    <w:rsid w:val="00AD1E15"/>
    <w:rsid w:val="00AD204C"/>
    <w:rsid w:val="00AD23B7"/>
    <w:rsid w:val="00AD3025"/>
    <w:rsid w:val="00AD3783"/>
    <w:rsid w:val="00AD40AA"/>
    <w:rsid w:val="00AD429E"/>
    <w:rsid w:val="00AD57FC"/>
    <w:rsid w:val="00AD646A"/>
    <w:rsid w:val="00AD6AE2"/>
    <w:rsid w:val="00AD6B5E"/>
    <w:rsid w:val="00AD6C7F"/>
    <w:rsid w:val="00AD71C5"/>
    <w:rsid w:val="00AD77AA"/>
    <w:rsid w:val="00AD77BF"/>
    <w:rsid w:val="00AD78C1"/>
    <w:rsid w:val="00AD7ABC"/>
    <w:rsid w:val="00AE0190"/>
    <w:rsid w:val="00AE256A"/>
    <w:rsid w:val="00AE29F5"/>
    <w:rsid w:val="00AE33DF"/>
    <w:rsid w:val="00AE38B9"/>
    <w:rsid w:val="00AE4941"/>
    <w:rsid w:val="00AE53F4"/>
    <w:rsid w:val="00AE5C7A"/>
    <w:rsid w:val="00AE6CE0"/>
    <w:rsid w:val="00AE7276"/>
    <w:rsid w:val="00AE72E5"/>
    <w:rsid w:val="00AE749E"/>
    <w:rsid w:val="00AE756E"/>
    <w:rsid w:val="00AF0909"/>
    <w:rsid w:val="00AF0910"/>
    <w:rsid w:val="00AF0F0D"/>
    <w:rsid w:val="00AF108C"/>
    <w:rsid w:val="00AF1132"/>
    <w:rsid w:val="00AF1F58"/>
    <w:rsid w:val="00AF22B8"/>
    <w:rsid w:val="00AF2539"/>
    <w:rsid w:val="00AF2ED4"/>
    <w:rsid w:val="00AF2F82"/>
    <w:rsid w:val="00AF30CE"/>
    <w:rsid w:val="00AF32B8"/>
    <w:rsid w:val="00AF38A2"/>
    <w:rsid w:val="00AF3C01"/>
    <w:rsid w:val="00AF4493"/>
    <w:rsid w:val="00AF47BF"/>
    <w:rsid w:val="00AF5BC0"/>
    <w:rsid w:val="00AF5CD3"/>
    <w:rsid w:val="00AF5DC3"/>
    <w:rsid w:val="00AF609D"/>
    <w:rsid w:val="00AF610B"/>
    <w:rsid w:val="00AF7688"/>
    <w:rsid w:val="00AF7B82"/>
    <w:rsid w:val="00B0025E"/>
    <w:rsid w:val="00B004CF"/>
    <w:rsid w:val="00B01458"/>
    <w:rsid w:val="00B01887"/>
    <w:rsid w:val="00B019C7"/>
    <w:rsid w:val="00B02205"/>
    <w:rsid w:val="00B02683"/>
    <w:rsid w:val="00B02807"/>
    <w:rsid w:val="00B0288D"/>
    <w:rsid w:val="00B033C9"/>
    <w:rsid w:val="00B0392C"/>
    <w:rsid w:val="00B058F7"/>
    <w:rsid w:val="00B06160"/>
    <w:rsid w:val="00B065AF"/>
    <w:rsid w:val="00B06E92"/>
    <w:rsid w:val="00B07001"/>
    <w:rsid w:val="00B0728E"/>
    <w:rsid w:val="00B07AD5"/>
    <w:rsid w:val="00B10206"/>
    <w:rsid w:val="00B107A6"/>
    <w:rsid w:val="00B10E5F"/>
    <w:rsid w:val="00B11338"/>
    <w:rsid w:val="00B12050"/>
    <w:rsid w:val="00B1242A"/>
    <w:rsid w:val="00B1259A"/>
    <w:rsid w:val="00B125F6"/>
    <w:rsid w:val="00B126CB"/>
    <w:rsid w:val="00B13147"/>
    <w:rsid w:val="00B13295"/>
    <w:rsid w:val="00B132F9"/>
    <w:rsid w:val="00B13350"/>
    <w:rsid w:val="00B13372"/>
    <w:rsid w:val="00B135BA"/>
    <w:rsid w:val="00B141D9"/>
    <w:rsid w:val="00B15238"/>
    <w:rsid w:val="00B1535F"/>
    <w:rsid w:val="00B153EA"/>
    <w:rsid w:val="00B154B4"/>
    <w:rsid w:val="00B156EB"/>
    <w:rsid w:val="00B16070"/>
    <w:rsid w:val="00B161A4"/>
    <w:rsid w:val="00B171DC"/>
    <w:rsid w:val="00B17625"/>
    <w:rsid w:val="00B17BC2"/>
    <w:rsid w:val="00B2159F"/>
    <w:rsid w:val="00B22812"/>
    <w:rsid w:val="00B22A5D"/>
    <w:rsid w:val="00B235C8"/>
    <w:rsid w:val="00B23EEE"/>
    <w:rsid w:val="00B24099"/>
    <w:rsid w:val="00B245F7"/>
    <w:rsid w:val="00B25456"/>
    <w:rsid w:val="00B2547F"/>
    <w:rsid w:val="00B25D54"/>
    <w:rsid w:val="00B279BE"/>
    <w:rsid w:val="00B27BC1"/>
    <w:rsid w:val="00B27C6F"/>
    <w:rsid w:val="00B30021"/>
    <w:rsid w:val="00B31348"/>
    <w:rsid w:val="00B3155A"/>
    <w:rsid w:val="00B33C5F"/>
    <w:rsid w:val="00B34B68"/>
    <w:rsid w:val="00B3529A"/>
    <w:rsid w:val="00B3588B"/>
    <w:rsid w:val="00B358D0"/>
    <w:rsid w:val="00B35C36"/>
    <w:rsid w:val="00B362DD"/>
    <w:rsid w:val="00B36472"/>
    <w:rsid w:val="00B366A9"/>
    <w:rsid w:val="00B36C5E"/>
    <w:rsid w:val="00B36F7F"/>
    <w:rsid w:val="00B40239"/>
    <w:rsid w:val="00B40BAB"/>
    <w:rsid w:val="00B41AC8"/>
    <w:rsid w:val="00B41C30"/>
    <w:rsid w:val="00B41C84"/>
    <w:rsid w:val="00B4208D"/>
    <w:rsid w:val="00B42176"/>
    <w:rsid w:val="00B42F8B"/>
    <w:rsid w:val="00B43EDB"/>
    <w:rsid w:val="00B44107"/>
    <w:rsid w:val="00B44A91"/>
    <w:rsid w:val="00B44BFE"/>
    <w:rsid w:val="00B44D6C"/>
    <w:rsid w:val="00B451C1"/>
    <w:rsid w:val="00B45715"/>
    <w:rsid w:val="00B465C8"/>
    <w:rsid w:val="00B46A88"/>
    <w:rsid w:val="00B4792A"/>
    <w:rsid w:val="00B503DB"/>
    <w:rsid w:val="00B505F7"/>
    <w:rsid w:val="00B51560"/>
    <w:rsid w:val="00B51E24"/>
    <w:rsid w:val="00B521D9"/>
    <w:rsid w:val="00B52392"/>
    <w:rsid w:val="00B52655"/>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21"/>
    <w:rsid w:val="00B6443C"/>
    <w:rsid w:val="00B64A18"/>
    <w:rsid w:val="00B64F79"/>
    <w:rsid w:val="00B65FEC"/>
    <w:rsid w:val="00B67086"/>
    <w:rsid w:val="00B67191"/>
    <w:rsid w:val="00B67332"/>
    <w:rsid w:val="00B67737"/>
    <w:rsid w:val="00B67A42"/>
    <w:rsid w:val="00B67F05"/>
    <w:rsid w:val="00B70AE6"/>
    <w:rsid w:val="00B70DFD"/>
    <w:rsid w:val="00B712FA"/>
    <w:rsid w:val="00B7186B"/>
    <w:rsid w:val="00B72046"/>
    <w:rsid w:val="00B720B9"/>
    <w:rsid w:val="00B72594"/>
    <w:rsid w:val="00B7337A"/>
    <w:rsid w:val="00B7378E"/>
    <w:rsid w:val="00B73C7F"/>
    <w:rsid w:val="00B745FE"/>
    <w:rsid w:val="00B74829"/>
    <w:rsid w:val="00B769F6"/>
    <w:rsid w:val="00B76D20"/>
    <w:rsid w:val="00B76E1F"/>
    <w:rsid w:val="00B7783F"/>
    <w:rsid w:val="00B778A3"/>
    <w:rsid w:val="00B8002C"/>
    <w:rsid w:val="00B808B8"/>
    <w:rsid w:val="00B808C3"/>
    <w:rsid w:val="00B81235"/>
    <w:rsid w:val="00B814C7"/>
    <w:rsid w:val="00B8188E"/>
    <w:rsid w:val="00B8225E"/>
    <w:rsid w:val="00B82E10"/>
    <w:rsid w:val="00B82EB1"/>
    <w:rsid w:val="00B833FD"/>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5DB2"/>
    <w:rsid w:val="00BA6CBA"/>
    <w:rsid w:val="00BA71ED"/>
    <w:rsid w:val="00BA73A2"/>
    <w:rsid w:val="00BA760F"/>
    <w:rsid w:val="00BA7D4A"/>
    <w:rsid w:val="00BB0001"/>
    <w:rsid w:val="00BB0165"/>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41E5"/>
    <w:rsid w:val="00BC4616"/>
    <w:rsid w:val="00BC4728"/>
    <w:rsid w:val="00BC4AB9"/>
    <w:rsid w:val="00BC5D10"/>
    <w:rsid w:val="00BC6BF9"/>
    <w:rsid w:val="00BC6EAD"/>
    <w:rsid w:val="00BC6F37"/>
    <w:rsid w:val="00BC75BA"/>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03A7"/>
    <w:rsid w:val="00BF1B63"/>
    <w:rsid w:val="00BF1CAB"/>
    <w:rsid w:val="00BF207B"/>
    <w:rsid w:val="00BF257C"/>
    <w:rsid w:val="00BF2A8A"/>
    <w:rsid w:val="00BF2BBE"/>
    <w:rsid w:val="00BF311B"/>
    <w:rsid w:val="00BF3409"/>
    <w:rsid w:val="00BF39D1"/>
    <w:rsid w:val="00BF42AF"/>
    <w:rsid w:val="00BF4E93"/>
    <w:rsid w:val="00BF6024"/>
    <w:rsid w:val="00BF6718"/>
    <w:rsid w:val="00BF6A7A"/>
    <w:rsid w:val="00BF734D"/>
    <w:rsid w:val="00BF759A"/>
    <w:rsid w:val="00BF78C8"/>
    <w:rsid w:val="00C00FCE"/>
    <w:rsid w:val="00C01A49"/>
    <w:rsid w:val="00C01A82"/>
    <w:rsid w:val="00C01B7F"/>
    <w:rsid w:val="00C01EEA"/>
    <w:rsid w:val="00C03A93"/>
    <w:rsid w:val="00C03B97"/>
    <w:rsid w:val="00C040AA"/>
    <w:rsid w:val="00C04C1E"/>
    <w:rsid w:val="00C05559"/>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911"/>
    <w:rsid w:val="00C179E4"/>
    <w:rsid w:val="00C209E6"/>
    <w:rsid w:val="00C21880"/>
    <w:rsid w:val="00C2202C"/>
    <w:rsid w:val="00C220CB"/>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B65"/>
    <w:rsid w:val="00C27BE6"/>
    <w:rsid w:val="00C300E2"/>
    <w:rsid w:val="00C306E0"/>
    <w:rsid w:val="00C31471"/>
    <w:rsid w:val="00C32590"/>
    <w:rsid w:val="00C32F9C"/>
    <w:rsid w:val="00C338B8"/>
    <w:rsid w:val="00C33C9C"/>
    <w:rsid w:val="00C33EFD"/>
    <w:rsid w:val="00C3402D"/>
    <w:rsid w:val="00C3443A"/>
    <w:rsid w:val="00C344EF"/>
    <w:rsid w:val="00C3487B"/>
    <w:rsid w:val="00C34BF0"/>
    <w:rsid w:val="00C353B0"/>
    <w:rsid w:val="00C35405"/>
    <w:rsid w:val="00C35466"/>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5688"/>
    <w:rsid w:val="00C46144"/>
    <w:rsid w:val="00C464AE"/>
    <w:rsid w:val="00C46707"/>
    <w:rsid w:val="00C46D9C"/>
    <w:rsid w:val="00C47971"/>
    <w:rsid w:val="00C50791"/>
    <w:rsid w:val="00C512B8"/>
    <w:rsid w:val="00C513DC"/>
    <w:rsid w:val="00C5149B"/>
    <w:rsid w:val="00C51CAF"/>
    <w:rsid w:val="00C51E28"/>
    <w:rsid w:val="00C5273A"/>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1043"/>
    <w:rsid w:val="00C623B2"/>
    <w:rsid w:val="00C623FA"/>
    <w:rsid w:val="00C62472"/>
    <w:rsid w:val="00C62CE8"/>
    <w:rsid w:val="00C643E5"/>
    <w:rsid w:val="00C6479D"/>
    <w:rsid w:val="00C648B0"/>
    <w:rsid w:val="00C64DA1"/>
    <w:rsid w:val="00C6621D"/>
    <w:rsid w:val="00C664F2"/>
    <w:rsid w:val="00C66532"/>
    <w:rsid w:val="00C66544"/>
    <w:rsid w:val="00C667D9"/>
    <w:rsid w:val="00C67511"/>
    <w:rsid w:val="00C70730"/>
    <w:rsid w:val="00C70CEB"/>
    <w:rsid w:val="00C71AA2"/>
    <w:rsid w:val="00C720FA"/>
    <w:rsid w:val="00C72204"/>
    <w:rsid w:val="00C7272A"/>
    <w:rsid w:val="00C7277D"/>
    <w:rsid w:val="00C72B2C"/>
    <w:rsid w:val="00C72CA6"/>
    <w:rsid w:val="00C73006"/>
    <w:rsid w:val="00C740D1"/>
    <w:rsid w:val="00C741B9"/>
    <w:rsid w:val="00C74670"/>
    <w:rsid w:val="00C74805"/>
    <w:rsid w:val="00C7485D"/>
    <w:rsid w:val="00C74C16"/>
    <w:rsid w:val="00C7501C"/>
    <w:rsid w:val="00C7661B"/>
    <w:rsid w:val="00C77100"/>
    <w:rsid w:val="00C77117"/>
    <w:rsid w:val="00C77C6A"/>
    <w:rsid w:val="00C8048B"/>
    <w:rsid w:val="00C821B3"/>
    <w:rsid w:val="00C8287D"/>
    <w:rsid w:val="00C8388E"/>
    <w:rsid w:val="00C8420A"/>
    <w:rsid w:val="00C8447C"/>
    <w:rsid w:val="00C85236"/>
    <w:rsid w:val="00C854B1"/>
    <w:rsid w:val="00C85D57"/>
    <w:rsid w:val="00C86226"/>
    <w:rsid w:val="00C86FBF"/>
    <w:rsid w:val="00C875D1"/>
    <w:rsid w:val="00C87FF6"/>
    <w:rsid w:val="00C900A7"/>
    <w:rsid w:val="00C90A63"/>
    <w:rsid w:val="00C912AC"/>
    <w:rsid w:val="00C92732"/>
    <w:rsid w:val="00C9368F"/>
    <w:rsid w:val="00C937C7"/>
    <w:rsid w:val="00C93EC5"/>
    <w:rsid w:val="00C95080"/>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505B"/>
    <w:rsid w:val="00CA51C2"/>
    <w:rsid w:val="00CA56FF"/>
    <w:rsid w:val="00CA6F65"/>
    <w:rsid w:val="00CA7B55"/>
    <w:rsid w:val="00CB036F"/>
    <w:rsid w:val="00CB192F"/>
    <w:rsid w:val="00CB26E0"/>
    <w:rsid w:val="00CB2AF8"/>
    <w:rsid w:val="00CB2B1A"/>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2F6"/>
    <w:rsid w:val="00CC469C"/>
    <w:rsid w:val="00CC4A02"/>
    <w:rsid w:val="00CC4DC0"/>
    <w:rsid w:val="00CC4FE4"/>
    <w:rsid w:val="00CC558E"/>
    <w:rsid w:val="00CC5CC6"/>
    <w:rsid w:val="00CC5D2C"/>
    <w:rsid w:val="00CC5E3D"/>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824"/>
    <w:rsid w:val="00CD4949"/>
    <w:rsid w:val="00CD4DAE"/>
    <w:rsid w:val="00CD5056"/>
    <w:rsid w:val="00CD60D5"/>
    <w:rsid w:val="00CD6213"/>
    <w:rsid w:val="00CD6926"/>
    <w:rsid w:val="00CD7186"/>
    <w:rsid w:val="00CE2887"/>
    <w:rsid w:val="00CE3745"/>
    <w:rsid w:val="00CE3E81"/>
    <w:rsid w:val="00CE437F"/>
    <w:rsid w:val="00CE4B0A"/>
    <w:rsid w:val="00CE4D8F"/>
    <w:rsid w:val="00CE5D0C"/>
    <w:rsid w:val="00CE7762"/>
    <w:rsid w:val="00CE7D3E"/>
    <w:rsid w:val="00CF055D"/>
    <w:rsid w:val="00CF2231"/>
    <w:rsid w:val="00CF27CE"/>
    <w:rsid w:val="00CF2A71"/>
    <w:rsid w:val="00CF2FBF"/>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C44"/>
    <w:rsid w:val="00D02478"/>
    <w:rsid w:val="00D025DF"/>
    <w:rsid w:val="00D0289E"/>
    <w:rsid w:val="00D03F51"/>
    <w:rsid w:val="00D04499"/>
    <w:rsid w:val="00D04C0D"/>
    <w:rsid w:val="00D04E69"/>
    <w:rsid w:val="00D04FBC"/>
    <w:rsid w:val="00D05C51"/>
    <w:rsid w:val="00D05C6A"/>
    <w:rsid w:val="00D060BB"/>
    <w:rsid w:val="00D062BB"/>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923"/>
    <w:rsid w:val="00D26DE1"/>
    <w:rsid w:val="00D27177"/>
    <w:rsid w:val="00D272AA"/>
    <w:rsid w:val="00D274D6"/>
    <w:rsid w:val="00D278A1"/>
    <w:rsid w:val="00D30239"/>
    <w:rsid w:val="00D3045E"/>
    <w:rsid w:val="00D30682"/>
    <w:rsid w:val="00D3082D"/>
    <w:rsid w:val="00D30A48"/>
    <w:rsid w:val="00D3121E"/>
    <w:rsid w:val="00D31923"/>
    <w:rsid w:val="00D324F0"/>
    <w:rsid w:val="00D32F28"/>
    <w:rsid w:val="00D332E1"/>
    <w:rsid w:val="00D3341E"/>
    <w:rsid w:val="00D3366D"/>
    <w:rsid w:val="00D336FD"/>
    <w:rsid w:val="00D3404E"/>
    <w:rsid w:val="00D342DB"/>
    <w:rsid w:val="00D34900"/>
    <w:rsid w:val="00D34928"/>
    <w:rsid w:val="00D35C97"/>
    <w:rsid w:val="00D362BD"/>
    <w:rsid w:val="00D36835"/>
    <w:rsid w:val="00D40789"/>
    <w:rsid w:val="00D40C63"/>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6E5F"/>
    <w:rsid w:val="00D471BD"/>
    <w:rsid w:val="00D474E8"/>
    <w:rsid w:val="00D47532"/>
    <w:rsid w:val="00D4757F"/>
    <w:rsid w:val="00D47A2D"/>
    <w:rsid w:val="00D47F69"/>
    <w:rsid w:val="00D504FE"/>
    <w:rsid w:val="00D508DC"/>
    <w:rsid w:val="00D50937"/>
    <w:rsid w:val="00D50F2C"/>
    <w:rsid w:val="00D51051"/>
    <w:rsid w:val="00D51140"/>
    <w:rsid w:val="00D51693"/>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451"/>
    <w:rsid w:val="00D66913"/>
    <w:rsid w:val="00D66E9E"/>
    <w:rsid w:val="00D6757A"/>
    <w:rsid w:val="00D70821"/>
    <w:rsid w:val="00D70922"/>
    <w:rsid w:val="00D70F2A"/>
    <w:rsid w:val="00D711EB"/>
    <w:rsid w:val="00D713BE"/>
    <w:rsid w:val="00D71FAA"/>
    <w:rsid w:val="00D7220E"/>
    <w:rsid w:val="00D724E1"/>
    <w:rsid w:val="00D72B25"/>
    <w:rsid w:val="00D72C0C"/>
    <w:rsid w:val="00D72C27"/>
    <w:rsid w:val="00D732E4"/>
    <w:rsid w:val="00D744D2"/>
    <w:rsid w:val="00D74640"/>
    <w:rsid w:val="00D74649"/>
    <w:rsid w:val="00D74BD5"/>
    <w:rsid w:val="00D7518C"/>
    <w:rsid w:val="00D75831"/>
    <w:rsid w:val="00D75A13"/>
    <w:rsid w:val="00D75E9C"/>
    <w:rsid w:val="00D7612B"/>
    <w:rsid w:val="00D77A43"/>
    <w:rsid w:val="00D77D08"/>
    <w:rsid w:val="00D80193"/>
    <w:rsid w:val="00D805F8"/>
    <w:rsid w:val="00D8072C"/>
    <w:rsid w:val="00D808D8"/>
    <w:rsid w:val="00D81668"/>
    <w:rsid w:val="00D831A4"/>
    <w:rsid w:val="00D83460"/>
    <w:rsid w:val="00D836D9"/>
    <w:rsid w:val="00D83AD5"/>
    <w:rsid w:val="00D852E9"/>
    <w:rsid w:val="00D85BA4"/>
    <w:rsid w:val="00D85DC2"/>
    <w:rsid w:val="00D8689E"/>
    <w:rsid w:val="00D872E6"/>
    <w:rsid w:val="00D87561"/>
    <w:rsid w:val="00D87E89"/>
    <w:rsid w:val="00D9032E"/>
    <w:rsid w:val="00D90F8C"/>
    <w:rsid w:val="00D91ED0"/>
    <w:rsid w:val="00D922CA"/>
    <w:rsid w:val="00D923F8"/>
    <w:rsid w:val="00D926B6"/>
    <w:rsid w:val="00D92EF7"/>
    <w:rsid w:val="00D93473"/>
    <w:rsid w:val="00D93AE7"/>
    <w:rsid w:val="00D943BA"/>
    <w:rsid w:val="00D94A64"/>
    <w:rsid w:val="00D957A8"/>
    <w:rsid w:val="00D957E7"/>
    <w:rsid w:val="00D9588B"/>
    <w:rsid w:val="00D95951"/>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50CA"/>
    <w:rsid w:val="00DA71B1"/>
    <w:rsid w:val="00DA7B43"/>
    <w:rsid w:val="00DA7B65"/>
    <w:rsid w:val="00DB0310"/>
    <w:rsid w:val="00DB0522"/>
    <w:rsid w:val="00DB0E5A"/>
    <w:rsid w:val="00DB10B5"/>
    <w:rsid w:val="00DB1673"/>
    <w:rsid w:val="00DB1790"/>
    <w:rsid w:val="00DB24FE"/>
    <w:rsid w:val="00DB26E2"/>
    <w:rsid w:val="00DB27EA"/>
    <w:rsid w:val="00DB395E"/>
    <w:rsid w:val="00DB3C96"/>
    <w:rsid w:val="00DB4195"/>
    <w:rsid w:val="00DB4248"/>
    <w:rsid w:val="00DB4D0C"/>
    <w:rsid w:val="00DB5220"/>
    <w:rsid w:val="00DB55F1"/>
    <w:rsid w:val="00DB5A97"/>
    <w:rsid w:val="00DB6B59"/>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4D7E"/>
    <w:rsid w:val="00DC5C68"/>
    <w:rsid w:val="00DC7126"/>
    <w:rsid w:val="00DC71DF"/>
    <w:rsid w:val="00DC7645"/>
    <w:rsid w:val="00DC7A82"/>
    <w:rsid w:val="00DD05AB"/>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B38"/>
    <w:rsid w:val="00DE2C54"/>
    <w:rsid w:val="00DE3397"/>
    <w:rsid w:val="00DE3716"/>
    <w:rsid w:val="00DE42E3"/>
    <w:rsid w:val="00DE47E5"/>
    <w:rsid w:val="00DE489C"/>
    <w:rsid w:val="00DE4AF8"/>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AD9"/>
    <w:rsid w:val="00E14292"/>
    <w:rsid w:val="00E14FE4"/>
    <w:rsid w:val="00E15E9F"/>
    <w:rsid w:val="00E1629A"/>
    <w:rsid w:val="00E16EAB"/>
    <w:rsid w:val="00E17312"/>
    <w:rsid w:val="00E175D2"/>
    <w:rsid w:val="00E1782D"/>
    <w:rsid w:val="00E17862"/>
    <w:rsid w:val="00E17A0A"/>
    <w:rsid w:val="00E17F2E"/>
    <w:rsid w:val="00E17F93"/>
    <w:rsid w:val="00E20004"/>
    <w:rsid w:val="00E2064D"/>
    <w:rsid w:val="00E20F89"/>
    <w:rsid w:val="00E21091"/>
    <w:rsid w:val="00E2136C"/>
    <w:rsid w:val="00E23E70"/>
    <w:rsid w:val="00E23FAB"/>
    <w:rsid w:val="00E24379"/>
    <w:rsid w:val="00E25373"/>
    <w:rsid w:val="00E25A59"/>
    <w:rsid w:val="00E25C85"/>
    <w:rsid w:val="00E26B68"/>
    <w:rsid w:val="00E26EC0"/>
    <w:rsid w:val="00E26EDF"/>
    <w:rsid w:val="00E2701C"/>
    <w:rsid w:val="00E27E12"/>
    <w:rsid w:val="00E3005E"/>
    <w:rsid w:val="00E30C12"/>
    <w:rsid w:val="00E3129C"/>
    <w:rsid w:val="00E313F6"/>
    <w:rsid w:val="00E31889"/>
    <w:rsid w:val="00E31B56"/>
    <w:rsid w:val="00E32E7C"/>
    <w:rsid w:val="00E33CEE"/>
    <w:rsid w:val="00E36042"/>
    <w:rsid w:val="00E360B3"/>
    <w:rsid w:val="00E369AA"/>
    <w:rsid w:val="00E373A7"/>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DC7"/>
    <w:rsid w:val="00E44FCB"/>
    <w:rsid w:val="00E45953"/>
    <w:rsid w:val="00E45C52"/>
    <w:rsid w:val="00E46769"/>
    <w:rsid w:val="00E46AA5"/>
    <w:rsid w:val="00E46DAE"/>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7AD"/>
    <w:rsid w:val="00E56A3A"/>
    <w:rsid w:val="00E56A66"/>
    <w:rsid w:val="00E57DF4"/>
    <w:rsid w:val="00E600FC"/>
    <w:rsid w:val="00E607C9"/>
    <w:rsid w:val="00E60DA5"/>
    <w:rsid w:val="00E61879"/>
    <w:rsid w:val="00E619F6"/>
    <w:rsid w:val="00E61D89"/>
    <w:rsid w:val="00E61DAF"/>
    <w:rsid w:val="00E61E3E"/>
    <w:rsid w:val="00E62981"/>
    <w:rsid w:val="00E62F55"/>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20A1"/>
    <w:rsid w:val="00E72559"/>
    <w:rsid w:val="00E72C8B"/>
    <w:rsid w:val="00E73FC2"/>
    <w:rsid w:val="00E74093"/>
    <w:rsid w:val="00E747BD"/>
    <w:rsid w:val="00E74A4D"/>
    <w:rsid w:val="00E74A63"/>
    <w:rsid w:val="00E7589B"/>
    <w:rsid w:val="00E7597B"/>
    <w:rsid w:val="00E75D31"/>
    <w:rsid w:val="00E771AA"/>
    <w:rsid w:val="00E80311"/>
    <w:rsid w:val="00E80469"/>
    <w:rsid w:val="00E81F96"/>
    <w:rsid w:val="00E82B00"/>
    <w:rsid w:val="00E82B3E"/>
    <w:rsid w:val="00E82FCC"/>
    <w:rsid w:val="00E846EA"/>
    <w:rsid w:val="00E8471C"/>
    <w:rsid w:val="00E84799"/>
    <w:rsid w:val="00E84B05"/>
    <w:rsid w:val="00E84DEE"/>
    <w:rsid w:val="00E85962"/>
    <w:rsid w:val="00E86644"/>
    <w:rsid w:val="00E86668"/>
    <w:rsid w:val="00E87183"/>
    <w:rsid w:val="00E8732E"/>
    <w:rsid w:val="00E87F8A"/>
    <w:rsid w:val="00E901BB"/>
    <w:rsid w:val="00E909DF"/>
    <w:rsid w:val="00E912BA"/>
    <w:rsid w:val="00E91715"/>
    <w:rsid w:val="00E91DED"/>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349"/>
    <w:rsid w:val="00EB6722"/>
    <w:rsid w:val="00EC04AC"/>
    <w:rsid w:val="00EC0B99"/>
    <w:rsid w:val="00EC0FC6"/>
    <w:rsid w:val="00EC19E2"/>
    <w:rsid w:val="00EC277D"/>
    <w:rsid w:val="00EC2B15"/>
    <w:rsid w:val="00EC3A42"/>
    <w:rsid w:val="00EC4333"/>
    <w:rsid w:val="00EC4716"/>
    <w:rsid w:val="00EC63F4"/>
    <w:rsid w:val="00EC649D"/>
    <w:rsid w:val="00EC6596"/>
    <w:rsid w:val="00EC677C"/>
    <w:rsid w:val="00EC6966"/>
    <w:rsid w:val="00EC6ACF"/>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E005C"/>
    <w:rsid w:val="00EE0155"/>
    <w:rsid w:val="00EE0395"/>
    <w:rsid w:val="00EE050C"/>
    <w:rsid w:val="00EE1A2A"/>
    <w:rsid w:val="00EE1B88"/>
    <w:rsid w:val="00EE1CA4"/>
    <w:rsid w:val="00EE27E9"/>
    <w:rsid w:val="00EE34B3"/>
    <w:rsid w:val="00EE35CB"/>
    <w:rsid w:val="00EE39EF"/>
    <w:rsid w:val="00EE3DDE"/>
    <w:rsid w:val="00EE4016"/>
    <w:rsid w:val="00EE478F"/>
    <w:rsid w:val="00EE4AD2"/>
    <w:rsid w:val="00EE55F8"/>
    <w:rsid w:val="00EE5650"/>
    <w:rsid w:val="00EE5916"/>
    <w:rsid w:val="00EE5938"/>
    <w:rsid w:val="00EE6198"/>
    <w:rsid w:val="00EE67CD"/>
    <w:rsid w:val="00EE67D4"/>
    <w:rsid w:val="00EE6920"/>
    <w:rsid w:val="00EE70B1"/>
    <w:rsid w:val="00EF04ED"/>
    <w:rsid w:val="00EF0B99"/>
    <w:rsid w:val="00EF0CDB"/>
    <w:rsid w:val="00EF0ED8"/>
    <w:rsid w:val="00EF28BB"/>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2ACE"/>
    <w:rsid w:val="00F0376A"/>
    <w:rsid w:val="00F03C7D"/>
    <w:rsid w:val="00F03EE2"/>
    <w:rsid w:val="00F03FDC"/>
    <w:rsid w:val="00F03FE1"/>
    <w:rsid w:val="00F0416B"/>
    <w:rsid w:val="00F0446B"/>
    <w:rsid w:val="00F04785"/>
    <w:rsid w:val="00F06F2F"/>
    <w:rsid w:val="00F0790A"/>
    <w:rsid w:val="00F07D4D"/>
    <w:rsid w:val="00F1000F"/>
    <w:rsid w:val="00F10095"/>
    <w:rsid w:val="00F1066E"/>
    <w:rsid w:val="00F10CBE"/>
    <w:rsid w:val="00F10EF3"/>
    <w:rsid w:val="00F12B2D"/>
    <w:rsid w:val="00F12D9A"/>
    <w:rsid w:val="00F12E85"/>
    <w:rsid w:val="00F12F10"/>
    <w:rsid w:val="00F13318"/>
    <w:rsid w:val="00F13F90"/>
    <w:rsid w:val="00F14223"/>
    <w:rsid w:val="00F142B1"/>
    <w:rsid w:val="00F1479C"/>
    <w:rsid w:val="00F1490E"/>
    <w:rsid w:val="00F15658"/>
    <w:rsid w:val="00F2022E"/>
    <w:rsid w:val="00F2035F"/>
    <w:rsid w:val="00F203DA"/>
    <w:rsid w:val="00F203DC"/>
    <w:rsid w:val="00F20549"/>
    <w:rsid w:val="00F209E2"/>
    <w:rsid w:val="00F21414"/>
    <w:rsid w:val="00F21727"/>
    <w:rsid w:val="00F218ED"/>
    <w:rsid w:val="00F218F8"/>
    <w:rsid w:val="00F225A0"/>
    <w:rsid w:val="00F231EF"/>
    <w:rsid w:val="00F2325C"/>
    <w:rsid w:val="00F23316"/>
    <w:rsid w:val="00F23730"/>
    <w:rsid w:val="00F23BCA"/>
    <w:rsid w:val="00F24752"/>
    <w:rsid w:val="00F24A6F"/>
    <w:rsid w:val="00F24C2A"/>
    <w:rsid w:val="00F25AB1"/>
    <w:rsid w:val="00F26673"/>
    <w:rsid w:val="00F309AF"/>
    <w:rsid w:val="00F30F61"/>
    <w:rsid w:val="00F30F82"/>
    <w:rsid w:val="00F311A7"/>
    <w:rsid w:val="00F3148C"/>
    <w:rsid w:val="00F31E74"/>
    <w:rsid w:val="00F32515"/>
    <w:rsid w:val="00F32548"/>
    <w:rsid w:val="00F32DA0"/>
    <w:rsid w:val="00F330D3"/>
    <w:rsid w:val="00F339E1"/>
    <w:rsid w:val="00F33C82"/>
    <w:rsid w:val="00F34380"/>
    <w:rsid w:val="00F3452B"/>
    <w:rsid w:val="00F348E1"/>
    <w:rsid w:val="00F349BE"/>
    <w:rsid w:val="00F35B55"/>
    <w:rsid w:val="00F35B99"/>
    <w:rsid w:val="00F36850"/>
    <w:rsid w:val="00F36E23"/>
    <w:rsid w:val="00F3790D"/>
    <w:rsid w:val="00F408A1"/>
    <w:rsid w:val="00F40F5C"/>
    <w:rsid w:val="00F41447"/>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0B29"/>
    <w:rsid w:val="00F510BC"/>
    <w:rsid w:val="00F520F5"/>
    <w:rsid w:val="00F5255C"/>
    <w:rsid w:val="00F52C2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FC9"/>
    <w:rsid w:val="00F664FB"/>
    <w:rsid w:val="00F665AF"/>
    <w:rsid w:val="00F67051"/>
    <w:rsid w:val="00F67249"/>
    <w:rsid w:val="00F674DC"/>
    <w:rsid w:val="00F67537"/>
    <w:rsid w:val="00F70645"/>
    <w:rsid w:val="00F7150A"/>
    <w:rsid w:val="00F720EA"/>
    <w:rsid w:val="00F72A15"/>
    <w:rsid w:val="00F730AB"/>
    <w:rsid w:val="00F73335"/>
    <w:rsid w:val="00F736D6"/>
    <w:rsid w:val="00F73DCE"/>
    <w:rsid w:val="00F74774"/>
    <w:rsid w:val="00F74972"/>
    <w:rsid w:val="00F7559D"/>
    <w:rsid w:val="00F760B7"/>
    <w:rsid w:val="00F766EC"/>
    <w:rsid w:val="00F778D4"/>
    <w:rsid w:val="00F77EBB"/>
    <w:rsid w:val="00F77FF5"/>
    <w:rsid w:val="00F80D80"/>
    <w:rsid w:val="00F811DA"/>
    <w:rsid w:val="00F81AE7"/>
    <w:rsid w:val="00F81B4B"/>
    <w:rsid w:val="00F81E90"/>
    <w:rsid w:val="00F82BE9"/>
    <w:rsid w:val="00F82E4D"/>
    <w:rsid w:val="00F83239"/>
    <w:rsid w:val="00F832F2"/>
    <w:rsid w:val="00F83A3B"/>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4D49"/>
    <w:rsid w:val="00F95738"/>
    <w:rsid w:val="00F95C0B"/>
    <w:rsid w:val="00F96C08"/>
    <w:rsid w:val="00F973EF"/>
    <w:rsid w:val="00F97AB2"/>
    <w:rsid w:val="00F97EF0"/>
    <w:rsid w:val="00FA00F3"/>
    <w:rsid w:val="00FA0C78"/>
    <w:rsid w:val="00FA120D"/>
    <w:rsid w:val="00FA1222"/>
    <w:rsid w:val="00FA1428"/>
    <w:rsid w:val="00FA1689"/>
    <w:rsid w:val="00FA1C20"/>
    <w:rsid w:val="00FA2D50"/>
    <w:rsid w:val="00FA2F2C"/>
    <w:rsid w:val="00FA323C"/>
    <w:rsid w:val="00FA354E"/>
    <w:rsid w:val="00FA38CD"/>
    <w:rsid w:val="00FA3BB6"/>
    <w:rsid w:val="00FA410A"/>
    <w:rsid w:val="00FA41E9"/>
    <w:rsid w:val="00FA43FE"/>
    <w:rsid w:val="00FA58C7"/>
    <w:rsid w:val="00FA59A5"/>
    <w:rsid w:val="00FA5B45"/>
    <w:rsid w:val="00FA6D38"/>
    <w:rsid w:val="00FA6FF8"/>
    <w:rsid w:val="00FA78DA"/>
    <w:rsid w:val="00FA7BEB"/>
    <w:rsid w:val="00FB001A"/>
    <w:rsid w:val="00FB0322"/>
    <w:rsid w:val="00FB0BC1"/>
    <w:rsid w:val="00FB0F4E"/>
    <w:rsid w:val="00FB136C"/>
    <w:rsid w:val="00FB1562"/>
    <w:rsid w:val="00FB1575"/>
    <w:rsid w:val="00FB16E4"/>
    <w:rsid w:val="00FB178E"/>
    <w:rsid w:val="00FB245A"/>
    <w:rsid w:val="00FB2985"/>
    <w:rsid w:val="00FB2EA7"/>
    <w:rsid w:val="00FB2F98"/>
    <w:rsid w:val="00FB3285"/>
    <w:rsid w:val="00FB378C"/>
    <w:rsid w:val="00FB3EE7"/>
    <w:rsid w:val="00FB3FC7"/>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D0364"/>
    <w:rsid w:val="00FD068B"/>
    <w:rsid w:val="00FD0886"/>
    <w:rsid w:val="00FD0E3E"/>
    <w:rsid w:val="00FD124F"/>
    <w:rsid w:val="00FD16F7"/>
    <w:rsid w:val="00FD178E"/>
    <w:rsid w:val="00FD1E4B"/>
    <w:rsid w:val="00FD2185"/>
    <w:rsid w:val="00FD288A"/>
    <w:rsid w:val="00FD2EDC"/>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D26"/>
    <w:rsid w:val="00FE7FC3"/>
    <w:rsid w:val="00FF034F"/>
    <w:rsid w:val="00FF1146"/>
    <w:rsid w:val="00FF19C7"/>
    <w:rsid w:val="00FF2879"/>
    <w:rsid w:val="00FF2934"/>
    <w:rsid w:val="00FF29D9"/>
    <w:rsid w:val="00FF2B0C"/>
    <w:rsid w:val="00FF3150"/>
    <w:rsid w:val="00FF3649"/>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6542"/>
  <w15:docId w15:val="{276838F4-E6B7-6741-BEF7-D8928A75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91A"/>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7"/>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5"/>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1"/>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1"/>
      </w:numPr>
    </w:pPr>
  </w:style>
  <w:style w:type="numbering" w:customStyle="1" w:styleId="CurrentList2">
    <w:name w:val="Current List2"/>
    <w:uiPriority w:val="99"/>
    <w:rsid w:val="00E17862"/>
    <w:pPr>
      <w:numPr>
        <w:numId w:val="2"/>
      </w:numPr>
    </w:pPr>
  </w:style>
  <w:style w:type="numbering" w:customStyle="1" w:styleId="CurrentList3">
    <w:name w:val="Current List3"/>
    <w:uiPriority w:val="99"/>
    <w:rsid w:val="00E17862"/>
    <w:pPr>
      <w:numPr>
        <w:numId w:val="3"/>
      </w:numPr>
    </w:pPr>
  </w:style>
  <w:style w:type="numbering" w:customStyle="1" w:styleId="CurrentList4">
    <w:name w:val="Current List4"/>
    <w:uiPriority w:val="99"/>
    <w:rsid w:val="00E17862"/>
    <w:pPr>
      <w:numPr>
        <w:numId w:val="4"/>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2"/>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5"/>
      </w:numPr>
    </w:pPr>
  </w:style>
  <w:style w:type="numbering" w:customStyle="1" w:styleId="CurrentList6">
    <w:name w:val="Current List6"/>
    <w:uiPriority w:val="99"/>
    <w:rsid w:val="00E17862"/>
    <w:pPr>
      <w:numPr>
        <w:numId w:val="6"/>
      </w:numPr>
    </w:pPr>
  </w:style>
  <w:style w:type="numbering" w:customStyle="1" w:styleId="CurrentList7">
    <w:name w:val="Current List7"/>
    <w:uiPriority w:val="99"/>
    <w:rsid w:val="00E17862"/>
    <w:pPr>
      <w:numPr>
        <w:numId w:val="7"/>
      </w:numPr>
    </w:pPr>
  </w:style>
  <w:style w:type="numbering" w:customStyle="1" w:styleId="CurrentList8">
    <w:name w:val="Current List8"/>
    <w:uiPriority w:val="99"/>
    <w:rsid w:val="00E17862"/>
    <w:pPr>
      <w:numPr>
        <w:numId w:val="8"/>
      </w:numPr>
    </w:pPr>
  </w:style>
  <w:style w:type="numbering" w:customStyle="1" w:styleId="CurrentList9">
    <w:name w:val="Current List9"/>
    <w:uiPriority w:val="99"/>
    <w:rsid w:val="00E17862"/>
    <w:pPr>
      <w:numPr>
        <w:numId w:val="9"/>
      </w:numPr>
    </w:pPr>
  </w:style>
  <w:style w:type="numbering" w:customStyle="1" w:styleId="CurrentList10">
    <w:name w:val="Current List10"/>
    <w:uiPriority w:val="99"/>
    <w:rsid w:val="00E17862"/>
    <w:pPr>
      <w:numPr>
        <w:numId w:val="10"/>
      </w:numPr>
    </w:pPr>
  </w:style>
  <w:style w:type="numbering" w:customStyle="1" w:styleId="CurrentList11">
    <w:name w:val="Current List11"/>
    <w:uiPriority w:val="99"/>
    <w:rsid w:val="0007071D"/>
    <w:pPr>
      <w:numPr>
        <w:numId w:val="11"/>
      </w:numPr>
    </w:pPr>
  </w:style>
  <w:style w:type="numbering" w:customStyle="1" w:styleId="CurrentList12">
    <w:name w:val="Current List12"/>
    <w:uiPriority w:val="99"/>
    <w:rsid w:val="0007071D"/>
    <w:pPr>
      <w:numPr>
        <w:numId w:val="12"/>
      </w:numPr>
    </w:pPr>
  </w:style>
  <w:style w:type="numbering" w:customStyle="1" w:styleId="CurrentList13">
    <w:name w:val="Current List13"/>
    <w:uiPriority w:val="99"/>
    <w:rsid w:val="0007071D"/>
    <w:pPr>
      <w:numPr>
        <w:numId w:val="13"/>
      </w:numPr>
    </w:pPr>
  </w:style>
  <w:style w:type="numbering" w:customStyle="1" w:styleId="CurrentList14">
    <w:name w:val="Current List14"/>
    <w:uiPriority w:val="99"/>
    <w:rsid w:val="0007071D"/>
    <w:pPr>
      <w:numPr>
        <w:numId w:val="14"/>
      </w:numPr>
    </w:pPr>
  </w:style>
  <w:style w:type="character" w:customStyle="1"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6"/>
      </w:numPr>
    </w:pPr>
  </w:style>
  <w:style w:type="numbering" w:customStyle="1" w:styleId="CurrentList16">
    <w:name w:val="Current List16"/>
    <w:uiPriority w:val="99"/>
    <w:rsid w:val="000A370C"/>
    <w:pPr>
      <w:numPr>
        <w:numId w:val="17"/>
      </w:numPr>
    </w:pPr>
  </w:style>
  <w:style w:type="numbering" w:customStyle="1" w:styleId="CurrentList17">
    <w:name w:val="Current List17"/>
    <w:uiPriority w:val="99"/>
    <w:rsid w:val="000A370C"/>
    <w:pPr>
      <w:numPr>
        <w:numId w:val="18"/>
      </w:numPr>
    </w:pPr>
  </w:style>
  <w:style w:type="numbering" w:customStyle="1" w:styleId="CurrentList18">
    <w:name w:val="Current List18"/>
    <w:uiPriority w:val="99"/>
    <w:rsid w:val="000A370C"/>
    <w:pPr>
      <w:numPr>
        <w:numId w:val="19"/>
      </w:numPr>
    </w:pPr>
  </w:style>
  <w:style w:type="table" w:styleId="TableGrid">
    <w:name w:val="Table Grid"/>
    <w:basedOn w:val="TableNormal"/>
    <w:uiPriority w:val="39"/>
    <w:rsid w:val="00413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0"/>
      </w:numPr>
    </w:pPr>
  </w:style>
  <w:style w:type="numbering" w:customStyle="1" w:styleId="CurrentList20">
    <w:name w:val="Current List20"/>
    <w:uiPriority w:val="99"/>
    <w:rsid w:val="00E17862"/>
    <w:pPr>
      <w:numPr>
        <w:numId w:val="21"/>
      </w:numPr>
    </w:pPr>
  </w:style>
  <w:style w:type="numbering" w:customStyle="1" w:styleId="CurrentList21">
    <w:name w:val="Current List21"/>
    <w:uiPriority w:val="99"/>
    <w:rsid w:val="00E17862"/>
    <w:pPr>
      <w:numPr>
        <w:numId w:val="23"/>
      </w:numPr>
    </w:pPr>
  </w:style>
  <w:style w:type="numbering" w:customStyle="1" w:styleId="CurrentList22">
    <w:name w:val="Current List22"/>
    <w:uiPriority w:val="99"/>
    <w:rsid w:val="00E17862"/>
    <w:pPr>
      <w:numPr>
        <w:numId w:val="24"/>
      </w:numPr>
    </w:pPr>
  </w:style>
  <w:style w:type="numbering" w:customStyle="1" w:styleId="CurrentList23">
    <w:name w:val="Current List23"/>
    <w:uiPriority w:val="99"/>
    <w:rsid w:val="00E17862"/>
    <w:pPr>
      <w:numPr>
        <w:numId w:val="25"/>
      </w:numPr>
    </w:pPr>
  </w:style>
  <w:style w:type="numbering" w:customStyle="1" w:styleId="CurrentList24">
    <w:name w:val="Current List24"/>
    <w:uiPriority w:val="99"/>
    <w:rsid w:val="00E17862"/>
    <w:pPr>
      <w:numPr>
        <w:numId w:val="26"/>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8"/>
      </w:numPr>
    </w:pPr>
  </w:style>
  <w:style w:type="numbering" w:customStyle="1" w:styleId="CurrentList26">
    <w:name w:val="Current List26"/>
    <w:uiPriority w:val="99"/>
    <w:rsid w:val="002018BC"/>
    <w:pPr>
      <w:numPr>
        <w:numId w:val="29"/>
      </w:numPr>
    </w:pPr>
  </w:style>
  <w:style w:type="numbering" w:customStyle="1" w:styleId="CurrentList27">
    <w:name w:val="Current List27"/>
    <w:uiPriority w:val="99"/>
    <w:rsid w:val="002018BC"/>
    <w:pPr>
      <w:numPr>
        <w:numId w:val="30"/>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3.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51D6D-373A-43DB-9015-B1CF624C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0</TotalTime>
  <Pages>6</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 DU PLESSIS</dc:creator>
  <cp:lastModifiedBy>Mokone</cp:lastModifiedBy>
  <cp:revision>2</cp:revision>
  <cp:lastPrinted>2023-10-03T11:09:00Z</cp:lastPrinted>
  <dcterms:created xsi:type="dcterms:W3CDTF">2023-10-13T09:31:00Z</dcterms:created>
  <dcterms:modified xsi:type="dcterms:W3CDTF">2023-10-13T09:31:00Z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