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A" w:rsidRPr="003C28F1" w:rsidRDefault="00274EDA" w:rsidP="00274EDA">
      <w:pPr>
        <w:pStyle w:val="LegalNormal"/>
        <w:spacing w:after="0" w:line="360" w:lineRule="auto"/>
        <w:jc w:val="center"/>
        <w:rPr>
          <w:rFonts w:ascii="Bookman Old Style" w:hAnsi="Bookman Old Style"/>
        </w:rPr>
      </w:pPr>
      <w:bookmarkStart w:id="0" w:name="_GoBack"/>
      <w:bookmarkEnd w:id="0"/>
      <w:r w:rsidRPr="003C28F1">
        <w:rPr>
          <w:rFonts w:ascii="Bookman Old Style" w:hAnsi="Bookman Old Style"/>
          <w:noProof/>
          <w:color w:val="1F497D"/>
          <w:lang w:val="en-US" w:eastAsia="en-US"/>
        </w:rPr>
        <w:drawing>
          <wp:inline distT="0" distB="0" distL="0" distR="0" wp14:anchorId="26A79B55" wp14:editId="06FEC34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74EDA" w:rsidRPr="003C684F" w:rsidRDefault="00274EDA" w:rsidP="00274EDA">
      <w:pPr>
        <w:pStyle w:val="LegalTitle"/>
        <w:spacing w:after="0" w:line="360" w:lineRule="auto"/>
        <w:rPr>
          <w:rFonts w:cs="Arial"/>
          <w:u w:val="single"/>
        </w:rPr>
      </w:pPr>
      <w:r w:rsidRPr="003C684F">
        <w:rPr>
          <w:rFonts w:cs="Arial"/>
          <w:u w:val="single"/>
        </w:rPr>
        <w:t>IN THE HIGH COURT of south africa</w:t>
      </w:r>
    </w:p>
    <w:p w:rsidR="00274EDA" w:rsidRPr="003C684F" w:rsidRDefault="00274EDA" w:rsidP="00274EDA">
      <w:pPr>
        <w:pStyle w:val="LegalTitle"/>
        <w:spacing w:after="0" w:line="360" w:lineRule="auto"/>
        <w:rPr>
          <w:rFonts w:cs="Arial"/>
          <w:u w:val="single"/>
        </w:rPr>
      </w:pPr>
      <w:r w:rsidRPr="003C684F">
        <w:rPr>
          <w:rFonts w:cs="Arial"/>
          <w:u w:val="single"/>
        </w:rPr>
        <w:t>GAUTENG DIVISION, PRETORIA</w:t>
      </w:r>
    </w:p>
    <w:p w:rsidR="003C684F" w:rsidRPr="003C684F" w:rsidRDefault="003C684F" w:rsidP="003C684F">
      <w:pPr>
        <w:pStyle w:val="LegalNormal"/>
        <w:rPr>
          <w:rFonts w:cs="Arial"/>
          <w:b/>
        </w:rPr>
      </w:pPr>
    </w:p>
    <w:p w:rsidR="00274EDA" w:rsidRPr="003C684F" w:rsidRDefault="00274EDA" w:rsidP="00274EDA">
      <w:pPr>
        <w:pStyle w:val="LegalAnnexure"/>
        <w:spacing w:after="960" w:line="360" w:lineRule="auto"/>
        <w:jc w:val="center"/>
        <w:rPr>
          <w:rFonts w:cs="Arial"/>
          <w:u w:val="single"/>
        </w:rPr>
      </w:pPr>
      <w:r w:rsidRPr="003C684F">
        <w:rPr>
          <w:rFonts w:cs="Arial"/>
          <w:noProof/>
          <w:lang w:val="en-US" w:eastAsia="en-US"/>
        </w:rPr>
        <mc:AlternateContent>
          <mc:Choice Requires="wps">
            <w:drawing>
              <wp:anchor distT="0" distB="0" distL="114300" distR="114300" simplePos="0" relativeHeight="251659264" behindDoc="0" locked="0" layoutInCell="1" allowOverlap="1" wp14:anchorId="76955101" wp14:editId="59517CA3">
                <wp:simplePos x="0" y="0"/>
                <wp:positionH relativeFrom="column">
                  <wp:posOffset>-45720</wp:posOffset>
                </wp:positionH>
                <wp:positionV relativeFrom="paragraph">
                  <wp:posOffset>36830</wp:posOffset>
                </wp:positionV>
                <wp:extent cx="3368040" cy="13258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25880"/>
                        </a:xfrm>
                        <a:prstGeom prst="rect">
                          <a:avLst/>
                        </a:prstGeom>
                        <a:solidFill>
                          <a:srgbClr val="FFFFFF"/>
                        </a:solidFill>
                        <a:ln w="9525">
                          <a:solidFill>
                            <a:srgbClr val="000000"/>
                          </a:solidFill>
                          <a:miter lim="800000"/>
                          <a:headEnd/>
                          <a:tailEnd/>
                        </a:ln>
                      </wps:spPr>
                      <wps:txbx>
                        <w:txbxContent>
                          <w:p w:rsidR="00274EDA" w:rsidRPr="009F50D6" w:rsidRDefault="00274EDA" w:rsidP="00274EDA">
                            <w:pPr>
                              <w:numPr>
                                <w:ilvl w:val="0"/>
                                <w:numId w:val="1"/>
                              </w:numPr>
                              <w:spacing w:after="0" w:line="240" w:lineRule="auto"/>
                              <w:rPr>
                                <w:rFonts w:ascii="Century Gothic" w:hAnsi="Century Gothic"/>
                                <w:sz w:val="18"/>
                                <w:szCs w:val="18"/>
                              </w:rPr>
                            </w:pPr>
                            <w:r w:rsidRPr="009F50D6">
                              <w:rPr>
                                <w:rFonts w:ascii="Century Gothic" w:hAnsi="Century Gothic"/>
                                <w:caps/>
                                <w:sz w:val="18"/>
                                <w:szCs w:val="18"/>
                              </w:rPr>
                              <w:t xml:space="preserve">REPORTABLE: </w:t>
                            </w:r>
                            <w:r w:rsidRPr="009F50D6">
                              <w:rPr>
                                <w:rFonts w:ascii="Century Gothic" w:hAnsi="Century Gothic"/>
                                <w:b/>
                                <w:caps/>
                                <w:sz w:val="18"/>
                                <w:szCs w:val="18"/>
                              </w:rPr>
                              <w:t>NO</w:t>
                            </w:r>
                          </w:p>
                          <w:p w:rsidR="00274EDA" w:rsidRPr="009F50D6" w:rsidRDefault="00274EDA" w:rsidP="00274EDA">
                            <w:pPr>
                              <w:numPr>
                                <w:ilvl w:val="0"/>
                                <w:numId w:val="1"/>
                              </w:numPr>
                              <w:spacing w:after="0" w:line="240" w:lineRule="auto"/>
                              <w:rPr>
                                <w:rFonts w:ascii="Century Gothic" w:hAnsi="Century Gothic"/>
                                <w:sz w:val="18"/>
                                <w:szCs w:val="18"/>
                              </w:rPr>
                            </w:pPr>
                            <w:r w:rsidRPr="009F50D6">
                              <w:rPr>
                                <w:rFonts w:ascii="Century Gothic" w:hAnsi="Century Gothic"/>
                                <w:sz w:val="18"/>
                                <w:szCs w:val="18"/>
                              </w:rPr>
                              <w:t xml:space="preserve">OF INTEREST TO OTHER JUDGES: </w:t>
                            </w:r>
                            <w:r w:rsidRPr="009F50D6">
                              <w:rPr>
                                <w:rFonts w:ascii="Century Gothic" w:hAnsi="Century Gothic"/>
                                <w:b/>
                                <w:sz w:val="18"/>
                                <w:szCs w:val="18"/>
                              </w:rPr>
                              <w:t>NO</w:t>
                            </w:r>
                          </w:p>
                          <w:p w:rsidR="00274EDA" w:rsidRPr="009F50D6" w:rsidRDefault="00274EDA" w:rsidP="00274EDA">
                            <w:pPr>
                              <w:numPr>
                                <w:ilvl w:val="0"/>
                                <w:numId w:val="1"/>
                              </w:numPr>
                              <w:spacing w:after="120" w:line="240" w:lineRule="auto"/>
                              <w:ind w:left="901"/>
                              <w:rPr>
                                <w:rFonts w:ascii="Century Gothic" w:hAnsi="Century Gothic"/>
                                <w:sz w:val="18"/>
                                <w:szCs w:val="18"/>
                              </w:rPr>
                            </w:pPr>
                            <w:r w:rsidRPr="009F50D6">
                              <w:rPr>
                                <w:rFonts w:ascii="Century Gothic" w:hAnsi="Century Gothic"/>
                                <w:sz w:val="18"/>
                                <w:szCs w:val="18"/>
                              </w:rPr>
                              <w:t xml:space="preserve">REVISED: </w:t>
                            </w:r>
                          </w:p>
                          <w:p w:rsidR="00274EDA" w:rsidRPr="00380512" w:rsidRDefault="00274EDA" w:rsidP="00274EDA">
                            <w:pPr>
                              <w:spacing w:after="120"/>
                              <w:rPr>
                                <w:rFonts w:ascii="Century Gothic" w:hAnsi="Century Gothic"/>
                                <w:sz w:val="18"/>
                                <w:szCs w:val="18"/>
                              </w:rPr>
                            </w:pPr>
                          </w:p>
                          <w:p w:rsidR="00274EDA" w:rsidRPr="00274EDA" w:rsidRDefault="00274EDA" w:rsidP="00274EDA">
                            <w:pPr>
                              <w:rPr>
                                <w:rFonts w:ascii="Century Gothic" w:hAnsi="Century Gothic"/>
                                <w:sz w:val="18"/>
                                <w:szCs w:val="18"/>
                                <w:u w:val="single"/>
                              </w:rPr>
                            </w:pPr>
                            <w:r>
                              <w:rPr>
                                <w:rFonts w:ascii="Century Gothic" w:hAnsi="Century Gothic"/>
                                <w:sz w:val="18"/>
                                <w:szCs w:val="18"/>
                              </w:rPr>
                              <w:t>Date</w:t>
                            </w:r>
                            <w:r w:rsidRPr="00A53FFA">
                              <w:rPr>
                                <w:rFonts w:ascii="Century Gothic" w:hAnsi="Century Gothic"/>
                                <w:sz w:val="18"/>
                                <w:szCs w:val="18"/>
                              </w:rPr>
                              <w:t>:</w:t>
                            </w:r>
                            <w:r w:rsidRPr="00A53FFA">
                              <w:rPr>
                                <w:rFonts w:ascii="Century Gothic" w:hAnsi="Century Gothic"/>
                                <w:b/>
                                <w:i/>
                                <w:sz w:val="18"/>
                                <w:szCs w:val="18"/>
                              </w:rPr>
                              <w:t xml:space="preserve"> </w:t>
                            </w:r>
                            <w:r w:rsidRPr="00A53FFA">
                              <w:rPr>
                                <w:rFonts w:ascii="Century Gothic" w:hAnsi="Century Gothic"/>
                                <w:b/>
                                <w:sz w:val="18"/>
                                <w:szCs w:val="18"/>
                              </w:rPr>
                              <w:t>_______________</w:t>
                            </w:r>
                            <w:r w:rsidRPr="00A53FFA">
                              <w:rPr>
                                <w:rFonts w:ascii="Century Gothic" w:hAnsi="Century Gothic"/>
                                <w:sz w:val="18"/>
                                <w:szCs w:val="18"/>
                              </w:rPr>
                              <w:t xml:space="preserve">   Signature: </w:t>
                            </w:r>
                            <w:r w:rsidRPr="00A53FFA">
                              <w:rPr>
                                <w:rFonts w:ascii="Century Gothic" w:hAnsi="Century Gothic"/>
                                <w:noProof/>
                                <w:sz w:val="20"/>
                                <w:szCs w:val="20"/>
                                <w:lang w:eastAsia="en-ZA"/>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76955101" id="_x0000_t202" coordsize="21600,21600" o:spt="202" path="m,l,21600r21600,l21600,xe">
                <v:stroke joinstyle="miter"/>
                <v:path gradientshapeok="t" o:connecttype="rect"/>
              </v:shapetype>
              <v:shape id="Text Box 2" o:spid="_x0000_s1026" type="#_x0000_t202" style="position:absolute;left:0;text-align:left;margin-left:-3.6pt;margin-top:2.9pt;width:265.2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DKw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">
                <v:textbox>
                  <w:txbxContent>
                    <w:p w:rsidR="00274EDA" w:rsidRPr="009F50D6" w:rsidRDefault="00274EDA" w:rsidP="00274EDA">
                      <w:pPr>
                        <w:numPr>
                          <w:ilvl w:val="0"/>
                          <w:numId w:val="1"/>
                        </w:numPr>
                        <w:spacing w:after="0" w:line="240" w:lineRule="auto"/>
                        <w:rPr>
                          <w:rFonts w:ascii="Century Gothic" w:hAnsi="Century Gothic"/>
                          <w:sz w:val="18"/>
                          <w:szCs w:val="18"/>
                        </w:rPr>
                      </w:pPr>
                      <w:r w:rsidRPr="009F50D6">
                        <w:rPr>
                          <w:rFonts w:ascii="Century Gothic" w:hAnsi="Century Gothic"/>
                          <w:caps/>
                          <w:sz w:val="18"/>
                          <w:szCs w:val="18"/>
                        </w:rPr>
                        <w:t xml:space="preserve">REPORTABLE: </w:t>
                      </w:r>
                      <w:r w:rsidRPr="009F50D6">
                        <w:rPr>
                          <w:rFonts w:ascii="Century Gothic" w:hAnsi="Century Gothic"/>
                          <w:b/>
                          <w:caps/>
                          <w:sz w:val="18"/>
                          <w:szCs w:val="18"/>
                        </w:rPr>
                        <w:t>NO</w:t>
                      </w:r>
                    </w:p>
                    <w:p w:rsidR="00274EDA" w:rsidRPr="009F50D6" w:rsidRDefault="00274EDA" w:rsidP="00274EDA">
                      <w:pPr>
                        <w:numPr>
                          <w:ilvl w:val="0"/>
                          <w:numId w:val="1"/>
                        </w:numPr>
                        <w:spacing w:after="0" w:line="240" w:lineRule="auto"/>
                        <w:rPr>
                          <w:rFonts w:ascii="Century Gothic" w:hAnsi="Century Gothic"/>
                          <w:sz w:val="18"/>
                          <w:szCs w:val="18"/>
                        </w:rPr>
                      </w:pPr>
                      <w:r w:rsidRPr="009F50D6">
                        <w:rPr>
                          <w:rFonts w:ascii="Century Gothic" w:hAnsi="Century Gothic"/>
                          <w:sz w:val="18"/>
                          <w:szCs w:val="18"/>
                        </w:rPr>
                        <w:t xml:space="preserve">OF INTEREST TO OTHER JUDGES: </w:t>
                      </w:r>
                      <w:r w:rsidRPr="009F50D6">
                        <w:rPr>
                          <w:rFonts w:ascii="Century Gothic" w:hAnsi="Century Gothic"/>
                          <w:b/>
                          <w:sz w:val="18"/>
                          <w:szCs w:val="18"/>
                        </w:rPr>
                        <w:t>NO</w:t>
                      </w:r>
                    </w:p>
                    <w:p w:rsidR="00274EDA" w:rsidRPr="009F50D6" w:rsidRDefault="00274EDA" w:rsidP="00274EDA">
                      <w:pPr>
                        <w:numPr>
                          <w:ilvl w:val="0"/>
                          <w:numId w:val="1"/>
                        </w:numPr>
                        <w:spacing w:after="120" w:line="240" w:lineRule="auto"/>
                        <w:ind w:left="901"/>
                        <w:rPr>
                          <w:rFonts w:ascii="Century Gothic" w:hAnsi="Century Gothic"/>
                          <w:sz w:val="18"/>
                          <w:szCs w:val="18"/>
                        </w:rPr>
                      </w:pPr>
                      <w:r w:rsidRPr="009F50D6">
                        <w:rPr>
                          <w:rFonts w:ascii="Century Gothic" w:hAnsi="Century Gothic"/>
                          <w:sz w:val="18"/>
                          <w:szCs w:val="18"/>
                        </w:rPr>
                        <w:t xml:space="preserve">REVISED: </w:t>
                      </w:r>
                    </w:p>
                    <w:p w:rsidR="00274EDA" w:rsidRPr="00380512" w:rsidRDefault="00274EDA" w:rsidP="00274EDA">
                      <w:pPr>
                        <w:spacing w:after="120"/>
                        <w:rPr>
                          <w:rFonts w:ascii="Century Gothic" w:hAnsi="Century Gothic"/>
                          <w:sz w:val="18"/>
                          <w:szCs w:val="18"/>
                        </w:rPr>
                      </w:pPr>
                    </w:p>
                    <w:p w:rsidR="00274EDA" w:rsidRPr="00274EDA" w:rsidRDefault="00274EDA" w:rsidP="00274EDA">
                      <w:pPr>
                        <w:rPr>
                          <w:rFonts w:ascii="Century Gothic" w:hAnsi="Century Gothic"/>
                          <w:sz w:val="18"/>
                          <w:szCs w:val="18"/>
                          <w:u w:val="single"/>
                        </w:rPr>
                      </w:pPr>
                      <w:r>
                        <w:rPr>
                          <w:rFonts w:ascii="Century Gothic" w:hAnsi="Century Gothic"/>
                          <w:sz w:val="18"/>
                          <w:szCs w:val="18"/>
                        </w:rPr>
                        <w:t>Date</w:t>
                      </w:r>
                      <w:r w:rsidRPr="00A53FFA">
                        <w:rPr>
                          <w:rFonts w:ascii="Century Gothic" w:hAnsi="Century Gothic"/>
                          <w:sz w:val="18"/>
                          <w:szCs w:val="18"/>
                        </w:rPr>
                        <w:t>:</w:t>
                      </w:r>
                      <w:r w:rsidRPr="00A53FFA">
                        <w:rPr>
                          <w:rFonts w:ascii="Century Gothic" w:hAnsi="Century Gothic"/>
                          <w:b/>
                          <w:i/>
                          <w:sz w:val="18"/>
                          <w:szCs w:val="18"/>
                        </w:rPr>
                        <w:t xml:space="preserve"> </w:t>
                      </w:r>
                      <w:r w:rsidRPr="00A53FFA">
                        <w:rPr>
                          <w:rFonts w:ascii="Century Gothic" w:hAnsi="Century Gothic"/>
                          <w:b/>
                          <w:sz w:val="18"/>
                          <w:szCs w:val="18"/>
                        </w:rPr>
                        <w:t>_______________</w:t>
                      </w:r>
                      <w:r w:rsidRPr="00A53FFA">
                        <w:rPr>
                          <w:rFonts w:ascii="Century Gothic" w:hAnsi="Century Gothic"/>
                          <w:sz w:val="18"/>
                          <w:szCs w:val="18"/>
                        </w:rPr>
                        <w:t xml:space="preserve">   Signature: </w:t>
                      </w:r>
                      <w:r w:rsidRPr="00A53FFA">
                        <w:rPr>
                          <w:rFonts w:ascii="Century Gothic" w:hAnsi="Century Gothic"/>
                          <w:noProof/>
                          <w:sz w:val="20"/>
                          <w:szCs w:val="20"/>
                          <w:lang w:eastAsia="en-ZA"/>
                        </w:rPr>
                        <w:t>____________________</w:t>
                      </w:r>
                    </w:p>
                  </w:txbxContent>
                </v:textbox>
              </v:shape>
            </w:pict>
          </mc:Fallback>
        </mc:AlternateContent>
      </w:r>
    </w:p>
    <w:p w:rsidR="00274EDA" w:rsidRPr="003C684F" w:rsidRDefault="00274EDA" w:rsidP="00274EDA">
      <w:pPr>
        <w:pStyle w:val="LegalAnnexure"/>
        <w:spacing w:after="0" w:line="360" w:lineRule="auto"/>
        <w:rPr>
          <w:rFonts w:cs="Arial"/>
        </w:rPr>
      </w:pPr>
      <w:r w:rsidRPr="003C684F">
        <w:rPr>
          <w:rFonts w:cs="Arial"/>
          <w:u w:val="single"/>
        </w:rPr>
        <w:t xml:space="preserve"> </w:t>
      </w:r>
    </w:p>
    <w:p w:rsidR="00274EDA" w:rsidRPr="003C684F" w:rsidRDefault="00274EDA" w:rsidP="00274EDA">
      <w:pPr>
        <w:pStyle w:val="LegalAnnexure"/>
        <w:spacing w:after="0" w:line="360" w:lineRule="auto"/>
        <w:rPr>
          <w:rFonts w:cs="Arial"/>
          <w:u w:val="single"/>
        </w:rPr>
      </w:pPr>
    </w:p>
    <w:p w:rsidR="00274EDA" w:rsidRPr="003C684F" w:rsidRDefault="00274EDA" w:rsidP="00274EDA">
      <w:pPr>
        <w:pStyle w:val="LegalAnnexure"/>
        <w:spacing w:after="0" w:line="360" w:lineRule="auto"/>
        <w:rPr>
          <w:rFonts w:cs="Arial"/>
          <w:u w:val="single"/>
        </w:rPr>
      </w:pPr>
      <w:r w:rsidRPr="003C684F">
        <w:rPr>
          <w:rFonts w:cs="Arial"/>
          <w:u w:val="single"/>
        </w:rPr>
        <w:t>CASE NO: A96/2022</w:t>
      </w:r>
    </w:p>
    <w:p w:rsidR="00274EDA" w:rsidRPr="003C684F" w:rsidRDefault="00274EDA" w:rsidP="00274EDA">
      <w:pPr>
        <w:pStyle w:val="LegalNormal"/>
        <w:spacing w:after="0" w:line="360" w:lineRule="auto"/>
        <w:jc w:val="right"/>
        <w:rPr>
          <w:rFonts w:cs="Arial"/>
          <w:b/>
        </w:rPr>
      </w:pPr>
    </w:p>
    <w:p w:rsidR="00274EDA" w:rsidRPr="003C684F" w:rsidRDefault="00274EDA" w:rsidP="00274EDA">
      <w:pPr>
        <w:pStyle w:val="LegalNormal"/>
        <w:spacing w:after="240" w:line="360" w:lineRule="auto"/>
        <w:rPr>
          <w:rFonts w:cs="Arial"/>
        </w:rPr>
      </w:pPr>
      <w:r w:rsidRPr="003C684F">
        <w:rPr>
          <w:rFonts w:cs="Arial"/>
        </w:rPr>
        <w:t>In the matter between:</w:t>
      </w:r>
    </w:p>
    <w:p w:rsidR="00274EDA" w:rsidRPr="005C16C4" w:rsidRDefault="00274EDA" w:rsidP="00274EDA">
      <w:pPr>
        <w:pStyle w:val="LegalNormal"/>
        <w:spacing w:after="240" w:line="360" w:lineRule="auto"/>
        <w:rPr>
          <w:rFonts w:cs="Arial"/>
        </w:rPr>
      </w:pPr>
      <w:r w:rsidRPr="003C684F">
        <w:rPr>
          <w:rFonts w:cs="Arial"/>
          <w:b/>
        </w:rPr>
        <w:t>RICHARD NDOU</w:t>
      </w:r>
      <w:r w:rsidRPr="003C684F">
        <w:rPr>
          <w:rFonts w:cs="Arial"/>
          <w:b/>
        </w:rPr>
        <w:tab/>
      </w:r>
      <w:r w:rsidRPr="003C684F">
        <w:rPr>
          <w:rFonts w:cs="Arial"/>
          <w:b/>
        </w:rPr>
        <w:tab/>
      </w:r>
      <w:r w:rsidRPr="003C684F">
        <w:rPr>
          <w:rFonts w:cs="Arial"/>
          <w:b/>
        </w:rPr>
        <w:tab/>
      </w:r>
      <w:r w:rsidRPr="003C684F">
        <w:rPr>
          <w:rFonts w:cs="Arial"/>
          <w:b/>
        </w:rPr>
        <w:tab/>
      </w:r>
      <w:r w:rsidRPr="003C684F">
        <w:rPr>
          <w:rFonts w:cs="Arial"/>
          <w:b/>
        </w:rPr>
        <w:tab/>
      </w:r>
      <w:r w:rsidRPr="003C684F">
        <w:rPr>
          <w:rFonts w:cs="Arial"/>
          <w:b/>
        </w:rPr>
        <w:tab/>
      </w:r>
      <w:r w:rsidRPr="003C684F">
        <w:rPr>
          <w:rFonts w:cs="Arial"/>
          <w:b/>
        </w:rPr>
        <w:tab/>
      </w:r>
      <w:r w:rsidRPr="003C684F">
        <w:rPr>
          <w:rFonts w:cs="Arial"/>
          <w:b/>
        </w:rPr>
        <w:tab/>
      </w:r>
      <w:r w:rsidRPr="005C16C4">
        <w:rPr>
          <w:rFonts w:cs="Arial"/>
        </w:rPr>
        <w:t xml:space="preserve">        Appellant</w:t>
      </w:r>
    </w:p>
    <w:p w:rsidR="00274EDA" w:rsidRPr="003C684F" w:rsidRDefault="00274EDA" w:rsidP="00274EDA">
      <w:pPr>
        <w:pStyle w:val="LegalNormal"/>
        <w:spacing w:after="240" w:line="360" w:lineRule="auto"/>
        <w:rPr>
          <w:rFonts w:cs="Arial"/>
          <w:b/>
        </w:rPr>
      </w:pPr>
      <w:r w:rsidRPr="003C684F">
        <w:rPr>
          <w:rFonts w:cs="Arial"/>
          <w:b/>
        </w:rPr>
        <w:t>and</w:t>
      </w:r>
    </w:p>
    <w:p w:rsidR="00274EDA" w:rsidRPr="003C684F" w:rsidRDefault="00274EDA" w:rsidP="00274EDA">
      <w:pPr>
        <w:pStyle w:val="LegalNormal"/>
        <w:spacing w:after="240" w:line="360" w:lineRule="auto"/>
        <w:rPr>
          <w:rFonts w:cs="Arial"/>
          <w:b/>
        </w:rPr>
      </w:pPr>
      <w:r w:rsidRPr="003C684F">
        <w:rPr>
          <w:rFonts w:cs="Arial"/>
          <w:b/>
        </w:rPr>
        <w:t>BEAGLE WATCH ARMED RESPONSE (RF) (PTY) LTD</w:t>
      </w:r>
      <w:r w:rsidRPr="003C684F">
        <w:rPr>
          <w:rFonts w:cs="Arial"/>
          <w:b/>
        </w:rPr>
        <w:tab/>
        <w:t xml:space="preserve">              </w:t>
      </w:r>
      <w:r w:rsidRPr="005C16C4">
        <w:rPr>
          <w:rFonts w:cs="Arial"/>
        </w:rPr>
        <w:t>Respondent</w:t>
      </w:r>
    </w:p>
    <w:p w:rsidR="00274EDA" w:rsidRPr="003C684F" w:rsidRDefault="00274EDA" w:rsidP="00274EDA">
      <w:pPr>
        <w:pStyle w:val="LegalNormal"/>
        <w:spacing w:after="240" w:line="360" w:lineRule="auto"/>
        <w:rPr>
          <w:rFonts w:cs="Arial"/>
        </w:rPr>
      </w:pPr>
      <w:r w:rsidRPr="003C684F">
        <w:rPr>
          <w:rFonts w:cs="Arial"/>
        </w:rPr>
        <w:t>___________________________________________</w:t>
      </w:r>
      <w:r w:rsidR="003C684F">
        <w:rPr>
          <w:rFonts w:cs="Arial"/>
        </w:rPr>
        <w:t>________________________</w:t>
      </w:r>
    </w:p>
    <w:p w:rsidR="00274EDA" w:rsidRPr="003C684F" w:rsidRDefault="00274EDA" w:rsidP="00274EDA">
      <w:pPr>
        <w:spacing w:after="0" w:line="480" w:lineRule="auto"/>
        <w:jc w:val="both"/>
        <w:rPr>
          <w:rFonts w:ascii="Arial" w:hAnsi="Arial" w:cs="Arial"/>
          <w:b/>
          <w:sz w:val="24"/>
          <w:szCs w:val="24"/>
        </w:rPr>
      </w:pPr>
      <w:r w:rsidRPr="003C684F">
        <w:rPr>
          <w:rFonts w:ascii="Arial" w:hAnsi="Arial" w:cs="Arial"/>
          <w:b/>
          <w:sz w:val="24"/>
          <w:szCs w:val="24"/>
          <w:u w:val="single"/>
        </w:rPr>
        <w:t>NEUKIRCHER J</w:t>
      </w:r>
      <w:r w:rsidRPr="003C684F">
        <w:rPr>
          <w:rFonts w:ascii="Arial" w:hAnsi="Arial" w:cs="Arial"/>
          <w:b/>
          <w:sz w:val="24"/>
          <w:szCs w:val="24"/>
        </w:rPr>
        <w:t>:</w:t>
      </w:r>
    </w:p>
    <w:p w:rsidR="00CC5B8F" w:rsidRPr="006B1759" w:rsidRDefault="00CC5B8F" w:rsidP="008A43D8">
      <w:pPr>
        <w:spacing w:after="0" w:line="360" w:lineRule="auto"/>
        <w:jc w:val="both"/>
        <w:rPr>
          <w:rFonts w:ascii="Arial" w:hAnsi="Arial" w:cs="Arial"/>
          <w:b/>
          <w:sz w:val="24"/>
          <w:szCs w:val="24"/>
        </w:rPr>
      </w:pPr>
    </w:p>
    <w:p w:rsidR="00274EDA" w:rsidRDefault="006B1759" w:rsidP="008A43D8">
      <w:pPr>
        <w:spacing w:after="0" w:line="360" w:lineRule="auto"/>
        <w:jc w:val="both"/>
        <w:rPr>
          <w:rFonts w:ascii="Arial" w:hAnsi="Arial" w:cs="Arial"/>
          <w:sz w:val="24"/>
          <w:szCs w:val="24"/>
        </w:rPr>
      </w:pPr>
      <w:r w:rsidRPr="006B1759">
        <w:rPr>
          <w:rFonts w:ascii="Arial" w:hAnsi="Arial" w:cs="Arial"/>
          <w:sz w:val="24"/>
          <w:szCs w:val="24"/>
        </w:rPr>
        <w:t>1]</w:t>
      </w:r>
      <w:r w:rsidRPr="006B1759">
        <w:rPr>
          <w:rFonts w:ascii="Arial" w:hAnsi="Arial" w:cs="Arial"/>
          <w:sz w:val="24"/>
          <w:szCs w:val="24"/>
        </w:rPr>
        <w:tab/>
      </w:r>
      <w:r w:rsidR="008A43D8">
        <w:rPr>
          <w:rFonts w:ascii="Arial" w:hAnsi="Arial" w:cs="Arial"/>
          <w:sz w:val="24"/>
          <w:szCs w:val="24"/>
        </w:rPr>
        <w:t>This appeal comes before us with leave of the court a quo and is directed against the judgment and order, specifically paragraphs 2, 3, 4 and 5 of the order, granted on 10 February 2022.</w:t>
      </w:r>
    </w:p>
    <w:p w:rsidR="008A43D8" w:rsidRDefault="008A43D8" w:rsidP="008A43D8">
      <w:pPr>
        <w:spacing w:after="0" w:line="360" w:lineRule="auto"/>
        <w:jc w:val="both"/>
        <w:rPr>
          <w:rFonts w:ascii="Arial" w:hAnsi="Arial" w:cs="Arial"/>
          <w:sz w:val="24"/>
          <w:szCs w:val="24"/>
        </w:rPr>
      </w:pPr>
    </w:p>
    <w:p w:rsidR="008A43D8" w:rsidRDefault="008A43D8" w:rsidP="008A43D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crux of the issue in this appeal is whether the court a quo could (or should) have granted any order on the merits of the application at all as, according to the </w:t>
      </w:r>
      <w:r>
        <w:rPr>
          <w:rFonts w:ascii="Arial" w:hAnsi="Arial" w:cs="Arial"/>
          <w:sz w:val="24"/>
          <w:szCs w:val="24"/>
        </w:rPr>
        <w:lastRenderedPageBreak/>
        <w:t>appellant (Ndou)</w:t>
      </w:r>
      <w:r>
        <w:rPr>
          <w:rStyle w:val="FootnoteReference"/>
          <w:rFonts w:ascii="Arial" w:hAnsi="Arial" w:cs="Arial"/>
          <w:sz w:val="24"/>
          <w:szCs w:val="24"/>
        </w:rPr>
        <w:footnoteReference w:id="1"/>
      </w:r>
      <w:r w:rsidR="00341A40">
        <w:rPr>
          <w:rFonts w:ascii="Arial" w:hAnsi="Arial" w:cs="Arial"/>
          <w:sz w:val="24"/>
          <w:szCs w:val="24"/>
        </w:rPr>
        <w:t xml:space="preserve"> the sole focus of the argument present had been directed at the issue of urgency – this at the behest of the court.</w:t>
      </w:r>
    </w:p>
    <w:p w:rsidR="00341A40" w:rsidRDefault="00341A40" w:rsidP="008A43D8">
      <w:pPr>
        <w:spacing w:after="0" w:line="360" w:lineRule="auto"/>
        <w:jc w:val="both"/>
        <w:rPr>
          <w:rFonts w:ascii="Arial" w:hAnsi="Arial" w:cs="Arial"/>
          <w:sz w:val="24"/>
          <w:szCs w:val="24"/>
        </w:rPr>
      </w:pPr>
    </w:p>
    <w:p w:rsidR="00341A40" w:rsidRDefault="00341A40" w:rsidP="008A43D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472CE">
        <w:rPr>
          <w:rFonts w:ascii="Arial" w:hAnsi="Arial" w:cs="Arial"/>
          <w:sz w:val="24"/>
          <w:szCs w:val="24"/>
        </w:rPr>
        <w:t>If indeed this argument is correct, there is no issue taken with the fact that the appeal should succeed and the matter remitted to the High Court for hearing on the merits on the opposed motion roll.</w:t>
      </w:r>
      <w:r w:rsidR="00CA691E">
        <w:rPr>
          <w:rFonts w:ascii="Arial" w:hAnsi="Arial" w:cs="Arial"/>
          <w:sz w:val="24"/>
          <w:szCs w:val="24"/>
        </w:rPr>
        <w:t xml:space="preserve"> Accordingly, no argument was presented to us on the merits.</w:t>
      </w:r>
      <w:r w:rsidR="006B3281">
        <w:rPr>
          <w:rFonts w:ascii="Arial" w:hAnsi="Arial" w:cs="Arial"/>
          <w:sz w:val="24"/>
          <w:szCs w:val="24"/>
        </w:rPr>
        <w:t xml:space="preserve"> It is also not in dispute that during argument a quo, prayer 2 of the Notice of Motion was abandoned.</w:t>
      </w:r>
    </w:p>
    <w:p w:rsidR="000472CE" w:rsidRDefault="000472CE" w:rsidP="008A43D8">
      <w:pPr>
        <w:spacing w:after="0" w:line="360" w:lineRule="auto"/>
        <w:jc w:val="both"/>
        <w:rPr>
          <w:rFonts w:ascii="Arial" w:hAnsi="Arial" w:cs="Arial"/>
          <w:sz w:val="24"/>
          <w:szCs w:val="24"/>
        </w:rPr>
      </w:pPr>
    </w:p>
    <w:p w:rsidR="000472CE" w:rsidRDefault="000472CE" w:rsidP="008A43D8">
      <w:pPr>
        <w:spacing w:after="0" w:line="360" w:lineRule="auto"/>
        <w:jc w:val="both"/>
        <w:rPr>
          <w:rFonts w:ascii="Arial" w:hAnsi="Arial" w:cs="Arial"/>
          <w:sz w:val="24"/>
          <w:szCs w:val="24"/>
        </w:rPr>
      </w:pPr>
      <w:r>
        <w:rPr>
          <w:rFonts w:ascii="Arial" w:hAnsi="Arial" w:cs="Arial"/>
          <w:b/>
          <w:sz w:val="24"/>
          <w:szCs w:val="24"/>
          <w:u w:val="single"/>
        </w:rPr>
        <w:t>THE ORDER GRANTED</w:t>
      </w:r>
    </w:p>
    <w:p w:rsidR="000472CE" w:rsidRDefault="000472CE" w:rsidP="008A43D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order to give context to the facts of this appeal, it is apposite to set out </w:t>
      </w:r>
      <w:r w:rsidR="00A83D3D">
        <w:rPr>
          <w:rFonts w:ascii="Arial" w:hAnsi="Arial" w:cs="Arial"/>
          <w:sz w:val="24"/>
          <w:szCs w:val="24"/>
        </w:rPr>
        <w:t xml:space="preserve">paragraphs 2 to 5 of </w:t>
      </w:r>
      <w:r>
        <w:rPr>
          <w:rFonts w:ascii="Arial" w:hAnsi="Arial" w:cs="Arial"/>
          <w:sz w:val="24"/>
          <w:szCs w:val="24"/>
        </w:rPr>
        <w:t>the order that was granted on 10 February 2022</w:t>
      </w:r>
      <w:r w:rsidR="00BB147E">
        <w:rPr>
          <w:rFonts w:ascii="Arial" w:hAnsi="Arial" w:cs="Arial"/>
          <w:sz w:val="24"/>
          <w:szCs w:val="24"/>
        </w:rPr>
        <w:t>.</w:t>
      </w:r>
      <w:r w:rsidR="00A83D3D">
        <w:rPr>
          <w:rStyle w:val="FootnoteReference"/>
          <w:rFonts w:ascii="Arial" w:hAnsi="Arial" w:cs="Arial"/>
          <w:sz w:val="24"/>
          <w:szCs w:val="24"/>
        </w:rPr>
        <w:footnoteReference w:id="2"/>
      </w:r>
      <w:r>
        <w:rPr>
          <w:rFonts w:ascii="Arial" w:hAnsi="Arial" w:cs="Arial"/>
          <w:sz w:val="24"/>
          <w:szCs w:val="24"/>
        </w:rPr>
        <w:t xml:space="preserve"> It reads as follows:</w:t>
      </w:r>
    </w:p>
    <w:p w:rsidR="000472CE" w:rsidRPr="00A83D3D" w:rsidRDefault="00A83D3D" w:rsidP="00A83D3D">
      <w:pPr>
        <w:spacing w:after="0" w:line="360" w:lineRule="auto"/>
        <w:ind w:left="1440" w:hanging="720"/>
        <w:jc w:val="both"/>
        <w:rPr>
          <w:rFonts w:ascii="Arial" w:hAnsi="Arial" w:cs="Arial"/>
          <w:i/>
        </w:rPr>
      </w:pPr>
      <w:r w:rsidRPr="00A83D3D">
        <w:rPr>
          <w:rFonts w:ascii="Arial" w:hAnsi="Arial" w:cs="Arial"/>
          <w:i/>
        </w:rPr>
        <w:t>“2.</w:t>
      </w:r>
      <w:r w:rsidRPr="00A83D3D">
        <w:rPr>
          <w:rFonts w:ascii="Arial" w:hAnsi="Arial" w:cs="Arial"/>
          <w:i/>
        </w:rPr>
        <w:tab/>
        <w:t>Interdicting and restraining the first respondent from utilising and/or divulging or otherwise sharing an</w:t>
      </w:r>
      <w:r w:rsidR="007021C1">
        <w:rPr>
          <w:rFonts w:ascii="Arial" w:hAnsi="Arial" w:cs="Arial"/>
          <w:i/>
        </w:rPr>
        <w:t>y</w:t>
      </w:r>
      <w:r w:rsidRPr="00A83D3D">
        <w:rPr>
          <w:rFonts w:ascii="Arial" w:hAnsi="Arial" w:cs="Arial"/>
          <w:i/>
        </w:rPr>
        <w:t xml:space="preserve"> confidential information relating to the applicant to any third party including the second respondent.</w:t>
      </w:r>
    </w:p>
    <w:p w:rsidR="00A83D3D" w:rsidRPr="00A83D3D" w:rsidRDefault="00A83D3D" w:rsidP="00A83D3D">
      <w:pPr>
        <w:spacing w:after="0" w:line="360" w:lineRule="auto"/>
        <w:ind w:left="1440" w:hanging="720"/>
        <w:jc w:val="both"/>
        <w:rPr>
          <w:rFonts w:ascii="Arial" w:hAnsi="Arial" w:cs="Arial"/>
          <w:i/>
        </w:rPr>
      </w:pPr>
      <w:r w:rsidRPr="00A83D3D">
        <w:rPr>
          <w:rFonts w:ascii="Arial" w:hAnsi="Arial" w:cs="Arial"/>
          <w:i/>
        </w:rPr>
        <w:t>3.</w:t>
      </w:r>
      <w:r w:rsidRPr="00A83D3D">
        <w:rPr>
          <w:rFonts w:ascii="Arial" w:hAnsi="Arial" w:cs="Arial"/>
          <w:i/>
        </w:rPr>
        <w:tab/>
        <w:t>Interdicting and restraining the first respondent from soliciting business from the customers on the applicant’s customer list/s and/or from otherwise interfering with the existing contractual relationships between the applicant and the aforesaid customers on the applicant’s customer list/s.</w:t>
      </w:r>
    </w:p>
    <w:p w:rsidR="00A83D3D" w:rsidRPr="00A83D3D" w:rsidRDefault="00A83D3D" w:rsidP="00A83D3D">
      <w:pPr>
        <w:spacing w:after="0" w:line="360" w:lineRule="auto"/>
        <w:ind w:left="1440" w:hanging="720"/>
        <w:jc w:val="both"/>
        <w:rPr>
          <w:rFonts w:ascii="Arial" w:hAnsi="Arial" w:cs="Arial"/>
          <w:i/>
        </w:rPr>
      </w:pPr>
      <w:r w:rsidRPr="00A83D3D">
        <w:rPr>
          <w:rFonts w:ascii="Arial" w:hAnsi="Arial" w:cs="Arial"/>
          <w:i/>
        </w:rPr>
        <w:t>4.</w:t>
      </w:r>
      <w:r w:rsidRPr="00A83D3D">
        <w:rPr>
          <w:rFonts w:ascii="Arial" w:hAnsi="Arial" w:cs="Arial"/>
          <w:i/>
        </w:rPr>
        <w:tab/>
        <w:t>Interdicting and restraining the first respondent from soliciting the applicant’s employees to work for any third party resulting in a breach of the first respondent’s contractual duties to the applicant, and/or otherwise interfering with the existing contractual relationships between the applicant and its employees.</w:t>
      </w:r>
    </w:p>
    <w:p w:rsidR="00A83D3D" w:rsidRPr="00A83D3D" w:rsidRDefault="00A83D3D" w:rsidP="00A83D3D">
      <w:pPr>
        <w:spacing w:after="0" w:line="360" w:lineRule="auto"/>
        <w:ind w:left="1440" w:hanging="720"/>
        <w:jc w:val="both"/>
        <w:rPr>
          <w:rFonts w:ascii="Arial" w:hAnsi="Arial" w:cs="Arial"/>
          <w:i/>
        </w:rPr>
      </w:pPr>
      <w:r w:rsidRPr="00A83D3D">
        <w:rPr>
          <w:rFonts w:ascii="Arial" w:hAnsi="Arial" w:cs="Arial"/>
          <w:i/>
        </w:rPr>
        <w:t>5.</w:t>
      </w:r>
      <w:r w:rsidRPr="00A83D3D">
        <w:rPr>
          <w:rFonts w:ascii="Arial" w:hAnsi="Arial" w:cs="Arial"/>
          <w:i/>
        </w:rPr>
        <w:tab/>
        <w:t>The first respondent to pay the costs of this application including the costs of two counsel.”</w:t>
      </w:r>
    </w:p>
    <w:p w:rsidR="00274EDA" w:rsidRPr="0051520E" w:rsidRDefault="00274EDA" w:rsidP="008A43D8">
      <w:pPr>
        <w:spacing w:after="0" w:line="360" w:lineRule="auto"/>
        <w:jc w:val="both"/>
        <w:rPr>
          <w:rFonts w:ascii="Arial" w:hAnsi="Arial" w:cs="Arial"/>
          <w:sz w:val="24"/>
          <w:szCs w:val="24"/>
        </w:rPr>
      </w:pPr>
    </w:p>
    <w:p w:rsidR="0051520E" w:rsidRPr="0051520E" w:rsidRDefault="0051520E" w:rsidP="008A43D8">
      <w:pPr>
        <w:spacing w:after="0" w:line="360" w:lineRule="auto"/>
        <w:jc w:val="both"/>
        <w:rPr>
          <w:rFonts w:ascii="Arial" w:hAnsi="Arial" w:cs="Arial"/>
          <w:sz w:val="24"/>
          <w:szCs w:val="24"/>
        </w:rPr>
      </w:pPr>
      <w:r>
        <w:rPr>
          <w:rFonts w:ascii="Arial" w:hAnsi="Arial" w:cs="Arial"/>
          <w:b/>
          <w:sz w:val="24"/>
          <w:szCs w:val="24"/>
          <w:u w:val="single"/>
        </w:rPr>
        <w:t>THE FACTS</w:t>
      </w:r>
      <w:r w:rsidRPr="0051520E">
        <w:rPr>
          <w:rFonts w:ascii="Arial" w:hAnsi="Arial" w:cs="Arial"/>
          <w:sz w:val="24"/>
          <w:szCs w:val="24"/>
        </w:rPr>
        <w:tab/>
      </w:r>
    </w:p>
    <w:p w:rsidR="00023BC4" w:rsidRDefault="0051520E" w:rsidP="008A43D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14 January 2022 the respondent (Beagle Watch) launched an urgent application against Mr Ndou and one other</w:t>
      </w:r>
      <w:r>
        <w:rPr>
          <w:rStyle w:val="FootnoteReference"/>
          <w:rFonts w:ascii="Arial" w:hAnsi="Arial" w:cs="Arial"/>
          <w:sz w:val="24"/>
          <w:szCs w:val="24"/>
        </w:rPr>
        <w:footnoteReference w:id="3"/>
      </w:r>
      <w:r w:rsidR="00F52DAF">
        <w:rPr>
          <w:rFonts w:ascii="Arial" w:hAnsi="Arial" w:cs="Arial"/>
          <w:sz w:val="24"/>
          <w:szCs w:val="24"/>
        </w:rPr>
        <w:t xml:space="preserve"> for interdictory relief to prevent them from inter alia disclosing confidential information, soliciting its clients and employees and </w:t>
      </w:r>
      <w:r w:rsidR="00F52DAF">
        <w:rPr>
          <w:rFonts w:ascii="Arial" w:hAnsi="Arial" w:cs="Arial"/>
          <w:sz w:val="24"/>
          <w:szCs w:val="24"/>
        </w:rPr>
        <w:lastRenderedPageBreak/>
        <w:t xml:space="preserve">generally interfering with its contractual relationships with its clients and employees. </w:t>
      </w:r>
      <w:r w:rsidR="00023BC4">
        <w:rPr>
          <w:rFonts w:ascii="Arial" w:hAnsi="Arial" w:cs="Arial"/>
          <w:sz w:val="24"/>
          <w:szCs w:val="24"/>
        </w:rPr>
        <w:t>The relief sought was based on</w:t>
      </w:r>
      <w:r w:rsidR="005341C8">
        <w:rPr>
          <w:rFonts w:ascii="Arial" w:hAnsi="Arial" w:cs="Arial"/>
          <w:sz w:val="24"/>
          <w:szCs w:val="24"/>
        </w:rPr>
        <w:t xml:space="preserve"> the terms of</w:t>
      </w:r>
      <w:r w:rsidR="00023BC4">
        <w:rPr>
          <w:rFonts w:ascii="Arial" w:hAnsi="Arial" w:cs="Arial"/>
          <w:sz w:val="24"/>
          <w:szCs w:val="24"/>
        </w:rPr>
        <w:t xml:space="preserve"> a written employment contract concluded between Ndou and Beagle Watch during November 2009 pursuant to Ndou’s employment commencing with Beagle Watch. According to Beagle Watch, when Ndou resigned, he took up employment with SCP and thereafter breached the confidentiality, restraints and patents provisions of his employment contract.</w:t>
      </w:r>
    </w:p>
    <w:p w:rsidR="00023BC4" w:rsidRDefault="00023BC4" w:rsidP="008A43D8">
      <w:pPr>
        <w:spacing w:after="0" w:line="360" w:lineRule="auto"/>
        <w:jc w:val="both"/>
        <w:rPr>
          <w:rFonts w:ascii="Arial" w:hAnsi="Arial" w:cs="Arial"/>
          <w:sz w:val="24"/>
          <w:szCs w:val="24"/>
        </w:rPr>
      </w:pPr>
    </w:p>
    <w:p w:rsidR="005341C8" w:rsidRDefault="005341C8" w:rsidP="008A43D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52DAF">
        <w:rPr>
          <w:rFonts w:ascii="Arial" w:hAnsi="Arial" w:cs="Arial"/>
          <w:sz w:val="24"/>
          <w:szCs w:val="24"/>
        </w:rPr>
        <w:t>The application was enrolled for hearing in the urgent court for 8 February 2022, and by that time it had become opposed with a full set of papers before court at the time it was heard, as well as heads of argument.</w:t>
      </w:r>
      <w:r>
        <w:rPr>
          <w:rFonts w:ascii="Arial" w:hAnsi="Arial" w:cs="Arial"/>
          <w:sz w:val="24"/>
          <w:szCs w:val="24"/>
        </w:rPr>
        <w:t xml:space="preserve"> Importantly, Ndou’s view was that the application was not urgent and that it ought to be struck from the roll with costs and if found to be urgent, it should be dismissed with costs based on his defences to the application.</w:t>
      </w:r>
    </w:p>
    <w:p w:rsidR="005341C8" w:rsidRDefault="005341C8" w:rsidP="008A43D8">
      <w:pPr>
        <w:spacing w:after="0" w:line="360" w:lineRule="auto"/>
        <w:jc w:val="both"/>
        <w:rPr>
          <w:rFonts w:ascii="Arial" w:hAnsi="Arial" w:cs="Arial"/>
          <w:sz w:val="24"/>
          <w:szCs w:val="24"/>
        </w:rPr>
      </w:pPr>
    </w:p>
    <w:p w:rsidR="00F52DAF" w:rsidRDefault="005341C8" w:rsidP="008A43D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52DAF">
        <w:rPr>
          <w:rFonts w:ascii="Arial" w:hAnsi="Arial" w:cs="Arial"/>
          <w:sz w:val="24"/>
          <w:szCs w:val="24"/>
        </w:rPr>
        <w:t xml:space="preserve">When the matter was called, the court informed Beagle Watch’s counsel (Mr Swanepoel) that he </w:t>
      </w:r>
      <w:r w:rsidR="00F52DAF">
        <w:rPr>
          <w:rFonts w:ascii="Arial" w:hAnsi="Arial" w:cs="Arial"/>
          <w:i/>
          <w:sz w:val="24"/>
          <w:szCs w:val="24"/>
        </w:rPr>
        <w:t>“can concentrate on urgency”</w:t>
      </w:r>
      <w:r w:rsidR="00F52DAF">
        <w:rPr>
          <w:rFonts w:ascii="Arial" w:hAnsi="Arial" w:cs="Arial"/>
          <w:sz w:val="24"/>
          <w:szCs w:val="24"/>
        </w:rPr>
        <w:t xml:space="preserve">, which is exactly what he </w:t>
      </w:r>
      <w:r>
        <w:rPr>
          <w:rFonts w:ascii="Arial" w:hAnsi="Arial" w:cs="Arial"/>
          <w:sz w:val="24"/>
          <w:szCs w:val="24"/>
        </w:rPr>
        <w:t>d</w:t>
      </w:r>
      <w:r w:rsidR="00F52DAF">
        <w:rPr>
          <w:rFonts w:ascii="Arial" w:hAnsi="Arial" w:cs="Arial"/>
          <w:sz w:val="24"/>
          <w:szCs w:val="24"/>
        </w:rPr>
        <w:t xml:space="preserve">id. Of course, given the subject matter of the dispute where it is alleged that it is the conduct of Mr Nou and SCP that gave rise to the urgency of the matter, it was not possible to ignore the merits completely in order to explain why the matter was so urgent that a hearing in due course would not suffice. </w:t>
      </w:r>
    </w:p>
    <w:p w:rsidR="003753D4" w:rsidRDefault="003753D4" w:rsidP="008A43D8">
      <w:pPr>
        <w:spacing w:after="0" w:line="360" w:lineRule="auto"/>
        <w:jc w:val="both"/>
        <w:rPr>
          <w:rFonts w:ascii="Arial" w:hAnsi="Arial" w:cs="Arial"/>
          <w:sz w:val="24"/>
          <w:szCs w:val="24"/>
        </w:rPr>
      </w:pPr>
    </w:p>
    <w:p w:rsidR="00F52DAF" w:rsidRDefault="00186F20" w:rsidP="008A43D8">
      <w:pPr>
        <w:spacing w:after="0" w:line="360" w:lineRule="auto"/>
        <w:jc w:val="both"/>
        <w:rPr>
          <w:rFonts w:ascii="Arial" w:hAnsi="Arial" w:cs="Arial"/>
          <w:sz w:val="24"/>
          <w:szCs w:val="24"/>
        </w:rPr>
      </w:pPr>
      <w:r>
        <w:rPr>
          <w:rFonts w:ascii="Arial" w:hAnsi="Arial" w:cs="Arial"/>
          <w:sz w:val="24"/>
          <w:szCs w:val="24"/>
        </w:rPr>
        <w:t>8</w:t>
      </w:r>
      <w:r w:rsidR="00F52DAF">
        <w:rPr>
          <w:rFonts w:ascii="Arial" w:hAnsi="Arial" w:cs="Arial"/>
          <w:sz w:val="24"/>
          <w:szCs w:val="24"/>
        </w:rPr>
        <w:t>]</w:t>
      </w:r>
      <w:r w:rsidR="00F52DAF">
        <w:rPr>
          <w:rFonts w:ascii="Arial" w:hAnsi="Arial" w:cs="Arial"/>
          <w:sz w:val="24"/>
          <w:szCs w:val="24"/>
        </w:rPr>
        <w:tab/>
        <w:t>Be that as it may, Mr Swanepoel addressed the court in respect of urgency</w:t>
      </w:r>
      <w:r w:rsidR="003012DC">
        <w:rPr>
          <w:rFonts w:ascii="Arial" w:hAnsi="Arial" w:cs="Arial"/>
          <w:sz w:val="24"/>
          <w:szCs w:val="24"/>
        </w:rPr>
        <w:t xml:space="preserve"> and there are several references to this found throughout his address which makes it very clear that the focus of his argument was the issue of urgency – for example:</w:t>
      </w:r>
    </w:p>
    <w:p w:rsidR="003012DC" w:rsidRDefault="00CD7323" w:rsidP="00CD7323">
      <w:pPr>
        <w:spacing w:after="0" w:line="360" w:lineRule="auto"/>
        <w:ind w:left="720"/>
        <w:jc w:val="both"/>
        <w:rPr>
          <w:rFonts w:ascii="Arial" w:hAnsi="Arial" w:cs="Arial"/>
          <w:i/>
        </w:rPr>
      </w:pPr>
      <w:r>
        <w:rPr>
          <w:rFonts w:ascii="Arial" w:hAnsi="Arial" w:cs="Arial"/>
          <w:i/>
        </w:rPr>
        <w:t>(a)</w:t>
      </w:r>
      <w:r>
        <w:rPr>
          <w:rFonts w:ascii="Arial" w:hAnsi="Arial" w:cs="Arial"/>
          <w:i/>
        </w:rPr>
        <w:tab/>
      </w:r>
      <w:r w:rsidR="003012DC" w:rsidRPr="00CD7323">
        <w:rPr>
          <w:rFonts w:ascii="Arial" w:hAnsi="Arial" w:cs="Arial"/>
          <w:i/>
        </w:rPr>
        <w:t>”M’Lord</w:t>
      </w:r>
      <w:r w:rsidRPr="00CD7323">
        <w:rPr>
          <w:rFonts w:ascii="Arial" w:hAnsi="Arial" w:cs="Arial"/>
          <w:i/>
        </w:rPr>
        <w:t>, and then the urgency M’Lord we will deal with afterwards, whether Your Lordship – I would M’Lord respectfully submit that prior to Your Lordship dealing with the actual merits of the application which will take some time M’Lord. Finally, if Your Lordship will deal – obviously M’Lord will deal with it as you want to with the question of urgency and whether the matter should be enrolled or not.”</w:t>
      </w:r>
      <w:r>
        <w:rPr>
          <w:rFonts w:ascii="Arial" w:hAnsi="Arial" w:cs="Arial"/>
          <w:i/>
        </w:rPr>
        <w:t>;</w:t>
      </w:r>
      <w:r>
        <w:rPr>
          <w:rStyle w:val="FootnoteReference"/>
          <w:rFonts w:ascii="Arial" w:hAnsi="Arial" w:cs="Arial"/>
          <w:i/>
        </w:rPr>
        <w:footnoteReference w:id="4"/>
      </w:r>
    </w:p>
    <w:p w:rsidR="00CD7323" w:rsidRPr="00CD7323" w:rsidRDefault="00CD7323" w:rsidP="00CD7323">
      <w:pPr>
        <w:spacing w:after="0" w:line="360" w:lineRule="auto"/>
        <w:ind w:left="720"/>
        <w:jc w:val="both"/>
        <w:rPr>
          <w:rFonts w:ascii="Arial" w:hAnsi="Arial" w:cs="Arial"/>
          <w:i/>
        </w:rPr>
      </w:pPr>
      <w:r>
        <w:rPr>
          <w:rFonts w:ascii="Arial" w:hAnsi="Arial" w:cs="Arial"/>
          <w:i/>
          <w:sz w:val="24"/>
          <w:szCs w:val="24"/>
        </w:rPr>
        <w:t>(b)</w:t>
      </w:r>
      <w:r>
        <w:rPr>
          <w:rFonts w:ascii="Arial" w:hAnsi="Arial" w:cs="Arial"/>
          <w:i/>
          <w:sz w:val="24"/>
          <w:szCs w:val="24"/>
        </w:rPr>
        <w:tab/>
      </w:r>
      <w:r w:rsidRPr="00CD7323">
        <w:rPr>
          <w:rFonts w:ascii="Arial" w:hAnsi="Arial" w:cs="Arial"/>
          <w:i/>
        </w:rPr>
        <w:t>”MR SWANEPOEL:</w:t>
      </w:r>
      <w:r w:rsidRPr="00CD7323">
        <w:rPr>
          <w:rFonts w:ascii="Arial" w:hAnsi="Arial" w:cs="Arial"/>
          <w:i/>
        </w:rPr>
        <w:tab/>
        <w:t>2-26 M’Lord. Founding affidavit paragraph 42 under the heading ‘Urgency’.”</w:t>
      </w:r>
      <w:r>
        <w:rPr>
          <w:rFonts w:ascii="Arial" w:hAnsi="Arial" w:cs="Arial"/>
          <w:i/>
        </w:rPr>
        <w:t>;</w:t>
      </w:r>
      <w:r>
        <w:rPr>
          <w:rStyle w:val="FootnoteReference"/>
          <w:rFonts w:ascii="Arial" w:hAnsi="Arial" w:cs="Arial"/>
          <w:i/>
        </w:rPr>
        <w:footnoteReference w:id="5"/>
      </w:r>
    </w:p>
    <w:p w:rsidR="00CD7323" w:rsidRDefault="00CD7323" w:rsidP="00CD7323">
      <w:pPr>
        <w:spacing w:after="0" w:line="360" w:lineRule="auto"/>
        <w:ind w:left="720"/>
        <w:jc w:val="both"/>
        <w:rPr>
          <w:rFonts w:ascii="Arial" w:hAnsi="Arial" w:cs="Arial"/>
          <w:i/>
        </w:rPr>
      </w:pPr>
      <w:r>
        <w:rPr>
          <w:rFonts w:ascii="Arial" w:hAnsi="Arial" w:cs="Arial"/>
          <w:sz w:val="24"/>
          <w:szCs w:val="24"/>
        </w:rPr>
        <w:lastRenderedPageBreak/>
        <w:t>(c)</w:t>
      </w:r>
      <w:r>
        <w:rPr>
          <w:rFonts w:ascii="Arial" w:hAnsi="Arial" w:cs="Arial"/>
          <w:sz w:val="24"/>
          <w:szCs w:val="24"/>
        </w:rPr>
        <w:tab/>
      </w:r>
      <w:r w:rsidRPr="00CD7323">
        <w:rPr>
          <w:rFonts w:ascii="Arial" w:hAnsi="Arial" w:cs="Arial"/>
          <w:i/>
        </w:rPr>
        <w:t>“MR SWANEPOEL: Thank you M’Lord. M’Lord so still on the question of urgency, M’Lord. The question is just, what does the first respondent say about this contractual clause I have just read…”</w:t>
      </w:r>
      <w:r>
        <w:rPr>
          <w:rFonts w:ascii="Arial" w:hAnsi="Arial" w:cs="Arial"/>
          <w:i/>
        </w:rPr>
        <w:t>;</w:t>
      </w:r>
      <w:r>
        <w:rPr>
          <w:rStyle w:val="FootnoteReference"/>
          <w:rFonts w:ascii="Arial" w:hAnsi="Arial" w:cs="Arial"/>
          <w:i/>
        </w:rPr>
        <w:footnoteReference w:id="6"/>
      </w:r>
    </w:p>
    <w:p w:rsidR="00CD7323" w:rsidRPr="000619FE" w:rsidRDefault="00CD7323" w:rsidP="00CD7323">
      <w:pPr>
        <w:spacing w:after="0" w:line="360" w:lineRule="auto"/>
        <w:ind w:left="720"/>
        <w:jc w:val="both"/>
        <w:rPr>
          <w:rFonts w:ascii="Arial" w:hAnsi="Arial" w:cs="Arial"/>
          <w:i/>
        </w:rPr>
      </w:pPr>
      <w:r>
        <w:rPr>
          <w:rFonts w:ascii="Arial" w:hAnsi="Arial" w:cs="Arial"/>
          <w:sz w:val="24"/>
          <w:szCs w:val="24"/>
        </w:rPr>
        <w:t>(d)</w:t>
      </w:r>
      <w:r>
        <w:rPr>
          <w:rFonts w:ascii="Arial" w:hAnsi="Arial" w:cs="Arial"/>
          <w:sz w:val="24"/>
          <w:szCs w:val="24"/>
        </w:rPr>
        <w:tab/>
      </w:r>
      <w:r w:rsidRPr="000619FE">
        <w:rPr>
          <w:rFonts w:ascii="Arial" w:hAnsi="Arial" w:cs="Arial"/>
          <w:i/>
        </w:rPr>
        <w:t xml:space="preserve">“Therefore M’Lord, the applicant says to Your Lordship, if we are not heard on an urgent basis it would be </w:t>
      </w:r>
      <w:r w:rsidRPr="000619FE">
        <w:rPr>
          <w:rFonts w:ascii="Arial" w:hAnsi="Arial" w:cs="Arial"/>
        </w:rPr>
        <w:t xml:space="preserve">cadit quaestio, </w:t>
      </w:r>
      <w:r w:rsidRPr="000619FE">
        <w:rPr>
          <w:rFonts w:ascii="Arial" w:hAnsi="Arial" w:cs="Arial"/>
          <w:i/>
        </w:rPr>
        <w:t>there will not be a relied for us in future, w</w:t>
      </w:r>
      <w:r w:rsidR="00186F20">
        <w:rPr>
          <w:rFonts w:ascii="Arial" w:hAnsi="Arial" w:cs="Arial"/>
          <w:i/>
        </w:rPr>
        <w:t xml:space="preserve">e need to protect our interest. </w:t>
      </w:r>
      <w:r w:rsidRPr="000619FE">
        <w:rPr>
          <w:rFonts w:ascii="Arial" w:hAnsi="Arial" w:cs="Arial"/>
          <w:i/>
        </w:rPr>
        <w:t>That is the urgency of this case, M’Lord. It does not go much beyond that, M’Lord.</w:t>
      </w:r>
    </w:p>
    <w:p w:rsidR="00CD7323" w:rsidRPr="000619FE" w:rsidRDefault="00CD7323" w:rsidP="00CD7323">
      <w:pPr>
        <w:spacing w:after="0" w:line="360" w:lineRule="auto"/>
        <w:ind w:left="720"/>
        <w:jc w:val="both"/>
        <w:rPr>
          <w:rFonts w:ascii="Arial" w:hAnsi="Arial" w:cs="Arial"/>
          <w:i/>
        </w:rPr>
      </w:pPr>
      <w:r w:rsidRPr="000619FE">
        <w:rPr>
          <w:rFonts w:ascii="Arial" w:hAnsi="Arial" w:cs="Arial"/>
        </w:rPr>
        <w:tab/>
      </w:r>
      <w:r w:rsidRPr="000619FE">
        <w:rPr>
          <w:rFonts w:ascii="Arial" w:hAnsi="Arial" w:cs="Arial"/>
          <w:i/>
        </w:rPr>
        <w:t>There are of course various allegation in the answering affidavit and I can direct Your Lordship’s attention to two of them quickly as follows, which has a bearing on the issue of urgency M’Lord and it is always nice if one M’Lord, can argue urgency from a reading of the respondent’s own answering affidavit in a case, M’Lord…”</w:t>
      </w:r>
    </w:p>
    <w:p w:rsidR="006A653D" w:rsidRPr="0051520E" w:rsidRDefault="006A653D" w:rsidP="008A43D8">
      <w:pPr>
        <w:spacing w:after="0" w:line="360" w:lineRule="auto"/>
        <w:jc w:val="both"/>
        <w:rPr>
          <w:rFonts w:ascii="Arial" w:hAnsi="Arial" w:cs="Arial"/>
          <w:sz w:val="24"/>
          <w:szCs w:val="24"/>
        </w:rPr>
      </w:pPr>
    </w:p>
    <w:p w:rsidR="00274EDA" w:rsidRPr="000619FE" w:rsidRDefault="00186F20" w:rsidP="008A43D8">
      <w:pPr>
        <w:spacing w:after="0" w:line="360" w:lineRule="auto"/>
        <w:jc w:val="both"/>
        <w:rPr>
          <w:rFonts w:ascii="Arial" w:hAnsi="Arial" w:cs="Arial"/>
          <w:sz w:val="24"/>
          <w:szCs w:val="24"/>
        </w:rPr>
      </w:pPr>
      <w:r>
        <w:rPr>
          <w:rFonts w:ascii="Arial" w:hAnsi="Arial" w:cs="Arial"/>
          <w:sz w:val="24"/>
          <w:szCs w:val="24"/>
        </w:rPr>
        <w:t>9</w:t>
      </w:r>
      <w:r w:rsidR="000619FE" w:rsidRPr="000619FE">
        <w:rPr>
          <w:rFonts w:ascii="Arial" w:hAnsi="Arial" w:cs="Arial"/>
          <w:sz w:val="24"/>
          <w:szCs w:val="24"/>
        </w:rPr>
        <w:t>]</w:t>
      </w:r>
      <w:r w:rsidR="000619FE" w:rsidRPr="000619FE">
        <w:rPr>
          <w:rFonts w:ascii="Arial" w:hAnsi="Arial" w:cs="Arial"/>
          <w:sz w:val="24"/>
          <w:szCs w:val="24"/>
        </w:rPr>
        <w:tab/>
        <w:t>Suddenly, at the end of his argument in chief, Mr Swanepoel states the following:</w:t>
      </w:r>
    </w:p>
    <w:p w:rsidR="000619FE" w:rsidRDefault="000619FE" w:rsidP="008A43D8">
      <w:pPr>
        <w:spacing w:after="0" w:line="360" w:lineRule="auto"/>
        <w:jc w:val="both"/>
        <w:rPr>
          <w:rFonts w:ascii="Arial" w:hAnsi="Arial" w:cs="Arial"/>
          <w:i/>
        </w:rPr>
      </w:pPr>
      <w:r>
        <w:rPr>
          <w:rFonts w:ascii="Arial" w:hAnsi="Arial" w:cs="Arial"/>
          <w:sz w:val="24"/>
          <w:szCs w:val="24"/>
        </w:rPr>
        <w:tab/>
      </w:r>
      <w:r w:rsidRPr="000619FE">
        <w:rPr>
          <w:rFonts w:ascii="Arial" w:hAnsi="Arial" w:cs="Arial"/>
          <w:i/>
        </w:rPr>
        <w:t>“</w:t>
      </w:r>
      <w:r>
        <w:rPr>
          <w:rFonts w:ascii="Arial" w:hAnsi="Arial" w:cs="Arial"/>
          <w:i/>
        </w:rPr>
        <w:t>I know this M’Lord that the issue of urgency in this case is intertwined and interlinked with the issue of the merits of the case. You cannot just divorce the two and speak only about urgency,</w:t>
      </w:r>
    </w:p>
    <w:p w:rsidR="000619FE" w:rsidRDefault="000619FE" w:rsidP="008A43D8">
      <w:pPr>
        <w:spacing w:after="0" w:line="360" w:lineRule="auto"/>
        <w:jc w:val="both"/>
        <w:rPr>
          <w:rFonts w:ascii="Arial" w:hAnsi="Arial" w:cs="Arial"/>
        </w:rPr>
      </w:pPr>
      <w:r>
        <w:rPr>
          <w:rFonts w:ascii="Arial" w:hAnsi="Arial" w:cs="Arial"/>
          <w:i/>
        </w:rPr>
        <w:tab/>
        <w:t>I know that ‘Lord, because in this particular case M’Lord, you cannot just close your eyes to the merits. I have already addressed Your Lordship fully on the issue of ur</w:t>
      </w:r>
      <w:r w:rsidR="000A3B26">
        <w:rPr>
          <w:rFonts w:ascii="Arial" w:hAnsi="Arial" w:cs="Arial"/>
          <w:i/>
        </w:rPr>
        <w:t>gency and the merits…”</w:t>
      </w:r>
      <w:r w:rsidR="000A3B26">
        <w:rPr>
          <w:rStyle w:val="FootnoteReference"/>
          <w:rFonts w:ascii="Arial" w:hAnsi="Arial" w:cs="Arial"/>
          <w:i/>
        </w:rPr>
        <w:footnoteReference w:id="7"/>
      </w:r>
    </w:p>
    <w:p w:rsidR="000A3B26" w:rsidRDefault="000A3B26" w:rsidP="008A43D8">
      <w:pPr>
        <w:spacing w:after="0" w:line="360" w:lineRule="auto"/>
        <w:jc w:val="both"/>
        <w:rPr>
          <w:rFonts w:ascii="Arial" w:hAnsi="Arial" w:cs="Arial"/>
        </w:rPr>
      </w:pPr>
    </w:p>
    <w:p w:rsidR="000A3B26" w:rsidRDefault="00186F20" w:rsidP="008A43D8">
      <w:pPr>
        <w:spacing w:after="0" w:line="360" w:lineRule="auto"/>
        <w:jc w:val="both"/>
        <w:rPr>
          <w:rFonts w:ascii="Arial" w:hAnsi="Arial" w:cs="Arial"/>
          <w:sz w:val="24"/>
          <w:szCs w:val="24"/>
        </w:rPr>
      </w:pPr>
      <w:r>
        <w:rPr>
          <w:rFonts w:ascii="Arial" w:hAnsi="Arial" w:cs="Arial"/>
          <w:sz w:val="24"/>
          <w:szCs w:val="24"/>
        </w:rPr>
        <w:t>10</w:t>
      </w:r>
      <w:r w:rsidR="000A3B26">
        <w:rPr>
          <w:rFonts w:ascii="Arial" w:hAnsi="Arial" w:cs="Arial"/>
          <w:sz w:val="24"/>
          <w:szCs w:val="24"/>
        </w:rPr>
        <w:t>]</w:t>
      </w:r>
      <w:r w:rsidR="000A3B26">
        <w:rPr>
          <w:rFonts w:ascii="Arial" w:hAnsi="Arial" w:cs="Arial"/>
          <w:sz w:val="24"/>
          <w:szCs w:val="24"/>
        </w:rPr>
        <w:tab/>
        <w:t>Unsurprisingly, this created confusion for Mr Pincus who then pertinently asked the following question:</w:t>
      </w:r>
    </w:p>
    <w:p w:rsidR="000A3B26" w:rsidRPr="005C0409" w:rsidRDefault="000A3B26" w:rsidP="000A3B26">
      <w:pPr>
        <w:spacing w:after="0" w:line="360" w:lineRule="auto"/>
        <w:ind w:left="720"/>
        <w:jc w:val="both"/>
        <w:rPr>
          <w:rFonts w:ascii="Arial" w:hAnsi="Arial" w:cs="Arial"/>
          <w:i/>
        </w:rPr>
      </w:pPr>
      <w:r w:rsidRPr="005C0409">
        <w:rPr>
          <w:rFonts w:ascii="Arial" w:hAnsi="Arial" w:cs="Arial"/>
          <w:i/>
        </w:rPr>
        <w:t>“M’Lord, I am just a bit confused now. Are we arguing the point of urgency only or the merits as well? Sorry M’Lord, I thought we were only arguing the point of urgency.”</w:t>
      </w:r>
      <w:r w:rsidRPr="005C0409">
        <w:rPr>
          <w:rStyle w:val="FootnoteReference"/>
          <w:rFonts w:ascii="Arial" w:hAnsi="Arial" w:cs="Arial"/>
          <w:i/>
        </w:rPr>
        <w:footnoteReference w:id="8"/>
      </w:r>
    </w:p>
    <w:p w:rsidR="00FF6C61" w:rsidRDefault="00FF6C61" w:rsidP="00FF6C61">
      <w:pPr>
        <w:spacing w:after="0" w:line="360" w:lineRule="auto"/>
        <w:jc w:val="both"/>
        <w:rPr>
          <w:rFonts w:ascii="Arial" w:hAnsi="Arial" w:cs="Arial"/>
          <w:i/>
          <w:sz w:val="24"/>
          <w:szCs w:val="24"/>
        </w:rPr>
      </w:pPr>
    </w:p>
    <w:p w:rsidR="00FF6C61" w:rsidRDefault="00FF6C61" w:rsidP="00FF6C61">
      <w:pPr>
        <w:spacing w:after="0" w:line="360" w:lineRule="auto"/>
        <w:jc w:val="both"/>
        <w:rPr>
          <w:rFonts w:ascii="Arial" w:hAnsi="Arial" w:cs="Arial"/>
          <w:sz w:val="24"/>
          <w:szCs w:val="24"/>
        </w:rPr>
      </w:pPr>
      <w:r>
        <w:rPr>
          <w:rFonts w:ascii="Arial" w:hAnsi="Arial" w:cs="Arial"/>
          <w:sz w:val="24"/>
          <w:szCs w:val="24"/>
        </w:rPr>
        <w:t>The response to this from the court was</w:t>
      </w:r>
    </w:p>
    <w:p w:rsidR="00FF6C61" w:rsidRPr="005C0409" w:rsidRDefault="00FF6C61" w:rsidP="00FF6C61">
      <w:pPr>
        <w:spacing w:after="0" w:line="360" w:lineRule="auto"/>
        <w:jc w:val="both"/>
        <w:rPr>
          <w:rFonts w:ascii="Arial" w:hAnsi="Arial" w:cs="Arial"/>
        </w:rPr>
      </w:pPr>
      <w:r>
        <w:rPr>
          <w:rFonts w:ascii="Arial" w:hAnsi="Arial" w:cs="Arial"/>
          <w:sz w:val="24"/>
          <w:szCs w:val="24"/>
        </w:rPr>
        <w:tab/>
      </w:r>
      <w:r w:rsidRPr="005C0409">
        <w:rPr>
          <w:rFonts w:ascii="Arial" w:hAnsi="Arial" w:cs="Arial"/>
          <w:i/>
        </w:rPr>
        <w:t>“We are arguing urgency.”</w:t>
      </w:r>
    </w:p>
    <w:p w:rsidR="00FF6C61" w:rsidRDefault="00FF6C61" w:rsidP="00FF6C61">
      <w:pPr>
        <w:spacing w:after="0" w:line="360" w:lineRule="auto"/>
        <w:jc w:val="both"/>
        <w:rPr>
          <w:rFonts w:ascii="Arial" w:hAnsi="Arial" w:cs="Arial"/>
          <w:sz w:val="24"/>
          <w:szCs w:val="24"/>
        </w:rPr>
      </w:pPr>
    </w:p>
    <w:p w:rsidR="00FF6C61" w:rsidRDefault="00D2708A" w:rsidP="00FF6C61">
      <w:pPr>
        <w:spacing w:after="0" w:line="360" w:lineRule="auto"/>
        <w:jc w:val="both"/>
        <w:rPr>
          <w:rFonts w:ascii="Arial" w:hAnsi="Arial" w:cs="Arial"/>
          <w:sz w:val="24"/>
          <w:szCs w:val="24"/>
        </w:rPr>
      </w:pPr>
      <w:r>
        <w:rPr>
          <w:rFonts w:ascii="Arial" w:hAnsi="Arial" w:cs="Arial"/>
          <w:sz w:val="24"/>
          <w:szCs w:val="24"/>
        </w:rPr>
        <w:t>11</w:t>
      </w:r>
      <w:r w:rsidR="00FF6C61">
        <w:rPr>
          <w:rFonts w:ascii="Arial" w:hAnsi="Arial" w:cs="Arial"/>
          <w:sz w:val="24"/>
          <w:szCs w:val="24"/>
        </w:rPr>
        <w:t>]</w:t>
      </w:r>
      <w:r w:rsidR="00FF6C61">
        <w:rPr>
          <w:rFonts w:ascii="Arial" w:hAnsi="Arial" w:cs="Arial"/>
          <w:sz w:val="24"/>
          <w:szCs w:val="24"/>
        </w:rPr>
        <w:tab/>
        <w:t xml:space="preserve">At no stage during his entire argument was Mr Pincus informed that the court’s focus had shifted from the issue of urgency to the issue of the merits. </w:t>
      </w:r>
      <w:r w:rsidR="009A0366">
        <w:rPr>
          <w:rFonts w:ascii="Arial" w:hAnsi="Arial" w:cs="Arial"/>
          <w:sz w:val="24"/>
          <w:szCs w:val="24"/>
        </w:rPr>
        <w:t>I</w:t>
      </w:r>
      <w:r w:rsidR="00FF6C61">
        <w:rPr>
          <w:rFonts w:ascii="Arial" w:hAnsi="Arial" w:cs="Arial"/>
          <w:sz w:val="24"/>
          <w:szCs w:val="24"/>
        </w:rPr>
        <w:t xml:space="preserve">n fact, the court’s express indication was to the contrary as is clear from the above exchange. Thus, </w:t>
      </w:r>
      <w:r w:rsidR="00FF6C61">
        <w:rPr>
          <w:rFonts w:ascii="Arial" w:hAnsi="Arial" w:cs="Arial"/>
          <w:sz w:val="24"/>
          <w:szCs w:val="24"/>
        </w:rPr>
        <w:lastRenderedPageBreak/>
        <w:t>even when Mr Swanepoel once again in reply stated that he had addressed both the urgency and the merits, the latter was not a relevant consideration outside of whether or not the application was urgent.</w:t>
      </w:r>
      <w:r w:rsidR="009A0366">
        <w:rPr>
          <w:rFonts w:ascii="Arial" w:hAnsi="Arial" w:cs="Arial"/>
          <w:sz w:val="24"/>
          <w:szCs w:val="24"/>
        </w:rPr>
        <w:t xml:space="preserve"> And in response to this, Mr Pincus states the following:</w:t>
      </w:r>
    </w:p>
    <w:p w:rsidR="009A0366" w:rsidRPr="00B04076" w:rsidRDefault="009A0366" w:rsidP="009A0366">
      <w:pPr>
        <w:spacing w:after="0" w:line="360" w:lineRule="auto"/>
        <w:ind w:left="720"/>
        <w:jc w:val="both"/>
        <w:rPr>
          <w:rFonts w:ascii="Arial" w:hAnsi="Arial" w:cs="Arial"/>
          <w:i/>
        </w:rPr>
      </w:pPr>
      <w:r w:rsidRPr="00B04076">
        <w:rPr>
          <w:rFonts w:ascii="Arial" w:hAnsi="Arial" w:cs="Arial"/>
          <w:i/>
        </w:rPr>
        <w:t>“M’Lord, can I just say, I am arguing urgency only. I am not arguing the merits. I just want to put this to you in reply because we were dealing with urgency I thought M’Lord would respect that…”</w:t>
      </w:r>
      <w:r w:rsidRPr="00B04076">
        <w:rPr>
          <w:rStyle w:val="FootnoteReference"/>
          <w:rFonts w:ascii="Arial" w:hAnsi="Arial" w:cs="Arial"/>
          <w:i/>
        </w:rPr>
        <w:footnoteReference w:id="9"/>
      </w:r>
    </w:p>
    <w:p w:rsidR="009A0366" w:rsidRPr="009A0366" w:rsidRDefault="009A0366" w:rsidP="00FF6C61">
      <w:pPr>
        <w:spacing w:after="0" w:line="360" w:lineRule="auto"/>
        <w:jc w:val="both"/>
        <w:rPr>
          <w:rFonts w:ascii="Arial" w:hAnsi="Arial" w:cs="Arial"/>
          <w:sz w:val="24"/>
          <w:szCs w:val="24"/>
        </w:rPr>
      </w:pPr>
      <w:r>
        <w:rPr>
          <w:rFonts w:ascii="Arial" w:hAnsi="Arial" w:cs="Arial"/>
          <w:sz w:val="24"/>
          <w:szCs w:val="24"/>
        </w:rPr>
        <w:t>Even then, the court did not point out that he should address the merits of the matter. Instead, the court adjourned and when it resumed, judgment was given on both urgency and merits.</w:t>
      </w:r>
    </w:p>
    <w:p w:rsidR="009A0366" w:rsidRDefault="009A0366" w:rsidP="00FF6C61">
      <w:pPr>
        <w:spacing w:after="0" w:line="360" w:lineRule="auto"/>
        <w:jc w:val="both"/>
        <w:rPr>
          <w:rFonts w:ascii="Arial" w:hAnsi="Arial" w:cs="Arial"/>
          <w:sz w:val="24"/>
          <w:szCs w:val="24"/>
        </w:rPr>
      </w:pPr>
    </w:p>
    <w:p w:rsidR="009A0366" w:rsidRDefault="00D2708A" w:rsidP="00FF6C61">
      <w:pPr>
        <w:spacing w:after="0" w:line="360" w:lineRule="auto"/>
        <w:jc w:val="both"/>
        <w:rPr>
          <w:rFonts w:ascii="Arial" w:hAnsi="Arial" w:cs="Arial"/>
          <w:sz w:val="24"/>
          <w:szCs w:val="24"/>
        </w:rPr>
      </w:pPr>
      <w:r>
        <w:rPr>
          <w:rFonts w:ascii="Arial" w:hAnsi="Arial" w:cs="Arial"/>
          <w:sz w:val="24"/>
          <w:szCs w:val="24"/>
        </w:rPr>
        <w:t>12</w:t>
      </w:r>
      <w:r w:rsidR="009A0366">
        <w:rPr>
          <w:rFonts w:ascii="Arial" w:hAnsi="Arial" w:cs="Arial"/>
          <w:sz w:val="24"/>
          <w:szCs w:val="24"/>
        </w:rPr>
        <w:t>]</w:t>
      </w:r>
      <w:r w:rsidR="009A0366">
        <w:rPr>
          <w:rFonts w:ascii="Arial" w:hAnsi="Arial" w:cs="Arial"/>
          <w:sz w:val="24"/>
          <w:szCs w:val="24"/>
        </w:rPr>
        <w:tab/>
        <w:t xml:space="preserve">In the application for leave to appeal, the court expressed the view that as the urgency was intertwined with the merits, it disposed of the matter on that basis but that leave to appeal was granted in the interests of Mr Ndou </w:t>
      </w:r>
      <w:r w:rsidR="009A0366">
        <w:rPr>
          <w:rFonts w:ascii="Arial" w:hAnsi="Arial" w:cs="Arial"/>
          <w:i/>
          <w:sz w:val="24"/>
          <w:szCs w:val="24"/>
        </w:rPr>
        <w:t>“as well as the matter be put to rest in a proper way”.</w:t>
      </w:r>
      <w:r w:rsidR="009A0366">
        <w:rPr>
          <w:rFonts w:ascii="Arial" w:hAnsi="Arial" w:cs="Arial"/>
          <w:sz w:val="24"/>
          <w:szCs w:val="24"/>
        </w:rPr>
        <w:t xml:space="preserve"> But I must respectfully disagree with the court a quo: the fact is that during his argument a quo Mr Pincus argued that were the matter to be found urgent, he would make submission</w:t>
      </w:r>
      <w:r w:rsidR="009A070E">
        <w:rPr>
          <w:rFonts w:ascii="Arial" w:hAnsi="Arial" w:cs="Arial"/>
          <w:sz w:val="24"/>
          <w:szCs w:val="24"/>
        </w:rPr>
        <w:t>s</w:t>
      </w:r>
      <w:r w:rsidR="009A0366">
        <w:rPr>
          <w:rFonts w:ascii="Arial" w:hAnsi="Arial" w:cs="Arial"/>
          <w:sz w:val="24"/>
          <w:szCs w:val="24"/>
        </w:rPr>
        <w:t xml:space="preserve"> why the orders sought by Beagle Watch should not be granted – he was never given an opportunity to do so, nor was he ever instructed by the court to make submissions on the merits.</w:t>
      </w:r>
    </w:p>
    <w:p w:rsidR="009A0366" w:rsidRDefault="009A0366" w:rsidP="00FF6C61">
      <w:pPr>
        <w:spacing w:after="0" w:line="360" w:lineRule="auto"/>
        <w:jc w:val="both"/>
        <w:rPr>
          <w:rFonts w:ascii="Arial" w:hAnsi="Arial" w:cs="Arial"/>
          <w:sz w:val="24"/>
          <w:szCs w:val="24"/>
        </w:rPr>
      </w:pPr>
    </w:p>
    <w:p w:rsidR="009A0366" w:rsidRPr="006F058F" w:rsidRDefault="009A0366" w:rsidP="00FF6C61">
      <w:pPr>
        <w:spacing w:after="0" w:line="360" w:lineRule="auto"/>
        <w:jc w:val="both"/>
        <w:rPr>
          <w:rFonts w:ascii="Arial" w:hAnsi="Arial" w:cs="Arial"/>
          <w:sz w:val="24"/>
          <w:szCs w:val="24"/>
        </w:rPr>
      </w:pPr>
      <w:r>
        <w:rPr>
          <w:rFonts w:ascii="Arial" w:hAnsi="Arial" w:cs="Arial"/>
          <w:sz w:val="24"/>
          <w:szCs w:val="24"/>
        </w:rPr>
        <w:t>1</w:t>
      </w:r>
      <w:r w:rsidR="00D2708A">
        <w:rPr>
          <w:rFonts w:ascii="Arial" w:hAnsi="Arial" w:cs="Arial"/>
          <w:sz w:val="24"/>
          <w:szCs w:val="24"/>
        </w:rPr>
        <w:t>3</w:t>
      </w:r>
      <w:r>
        <w:rPr>
          <w:rFonts w:ascii="Arial" w:hAnsi="Arial" w:cs="Arial"/>
          <w:sz w:val="24"/>
          <w:szCs w:val="24"/>
        </w:rPr>
        <w:t>]</w:t>
      </w:r>
      <w:r>
        <w:rPr>
          <w:rFonts w:ascii="Arial" w:hAnsi="Arial" w:cs="Arial"/>
          <w:sz w:val="24"/>
          <w:szCs w:val="24"/>
        </w:rPr>
        <w:tab/>
        <w:t xml:space="preserve">Mr Pincus argues that he had touched on the merits only in order to found his argument that the application was </w:t>
      </w:r>
      <w:r w:rsidR="004C7A05">
        <w:rPr>
          <w:rFonts w:ascii="Arial" w:hAnsi="Arial" w:cs="Arial"/>
          <w:sz w:val="24"/>
          <w:szCs w:val="24"/>
        </w:rPr>
        <w:t>not urgent and should therefore not be enrolled or be struck off the roll – the record (through the various exchanges with the court and both counsel) clearly show this to be so. He has also argued today that had he been given a proper opportunity to argue the merits, he would have handed up, and referred extensively, to a bundle of authorities in order to demonstrate that the relief sought was not competent – but he was deprived of this opportunity. This too is clear from the record.</w:t>
      </w:r>
      <w:r w:rsidR="006F058F">
        <w:rPr>
          <w:rFonts w:ascii="Arial" w:hAnsi="Arial" w:cs="Arial"/>
          <w:sz w:val="24"/>
          <w:szCs w:val="24"/>
        </w:rPr>
        <w:t xml:space="preserve"> Thus, Mr Pincus was not provided with any opportunity to debate the issues with the court. Mr Swanepoel attempted to argue that Mr Pincus had an obligation not to remain supine when he realised that the merits of the matter were being canvassed and especially when the court was giving judgment – but the record clearly reflects Mr Pincus’ efforts to emphasize that only the issue of urgency was being canvassed, and </w:t>
      </w:r>
      <w:r w:rsidR="006F058F">
        <w:rPr>
          <w:rFonts w:ascii="Arial" w:hAnsi="Arial" w:cs="Arial"/>
          <w:sz w:val="24"/>
          <w:szCs w:val="24"/>
        </w:rPr>
        <w:lastRenderedPageBreak/>
        <w:t xml:space="preserve">this at the specific behest and direction of the court itself. </w:t>
      </w:r>
      <w:r w:rsidR="005C3FA1">
        <w:rPr>
          <w:rFonts w:ascii="Arial" w:hAnsi="Arial" w:cs="Arial"/>
          <w:sz w:val="24"/>
          <w:szCs w:val="24"/>
        </w:rPr>
        <w:t xml:space="preserve">Most importantly, the court on several occasions confirmed that only urgency need be addressed. </w:t>
      </w:r>
      <w:r w:rsidR="006F058F">
        <w:rPr>
          <w:rFonts w:ascii="Arial" w:hAnsi="Arial" w:cs="Arial"/>
          <w:sz w:val="24"/>
          <w:szCs w:val="24"/>
        </w:rPr>
        <w:t xml:space="preserve">Thus any attempt to lay blame for the </w:t>
      </w:r>
      <w:r w:rsidR="006F058F">
        <w:rPr>
          <w:rFonts w:ascii="Arial" w:hAnsi="Arial" w:cs="Arial"/>
          <w:i/>
          <w:sz w:val="24"/>
          <w:szCs w:val="24"/>
        </w:rPr>
        <w:t>volte face</w:t>
      </w:r>
      <w:r w:rsidR="006F058F">
        <w:rPr>
          <w:rFonts w:ascii="Arial" w:hAnsi="Arial" w:cs="Arial"/>
          <w:sz w:val="24"/>
          <w:szCs w:val="24"/>
        </w:rPr>
        <w:t xml:space="preserve"> of the court cannot be laid at the respondents’ door.</w:t>
      </w:r>
    </w:p>
    <w:p w:rsidR="004C7A05" w:rsidRDefault="004C7A05" w:rsidP="00FF6C61">
      <w:pPr>
        <w:spacing w:after="0" w:line="360" w:lineRule="auto"/>
        <w:jc w:val="both"/>
        <w:rPr>
          <w:rFonts w:ascii="Arial" w:hAnsi="Arial" w:cs="Arial"/>
          <w:sz w:val="24"/>
          <w:szCs w:val="24"/>
        </w:rPr>
      </w:pPr>
    </w:p>
    <w:p w:rsidR="004C7A05" w:rsidRDefault="00D2708A" w:rsidP="00FF6C61">
      <w:pPr>
        <w:spacing w:after="0" w:line="360" w:lineRule="auto"/>
        <w:jc w:val="both"/>
        <w:rPr>
          <w:rFonts w:ascii="Arial" w:hAnsi="Arial" w:cs="Arial"/>
          <w:sz w:val="24"/>
          <w:szCs w:val="24"/>
        </w:rPr>
      </w:pPr>
      <w:r>
        <w:rPr>
          <w:rFonts w:ascii="Arial" w:hAnsi="Arial" w:cs="Arial"/>
          <w:sz w:val="24"/>
          <w:szCs w:val="24"/>
        </w:rPr>
        <w:t>14</w:t>
      </w:r>
      <w:r w:rsidR="004C7A05">
        <w:rPr>
          <w:rFonts w:ascii="Arial" w:hAnsi="Arial" w:cs="Arial"/>
          <w:sz w:val="24"/>
          <w:szCs w:val="24"/>
        </w:rPr>
        <w:t>]</w:t>
      </w:r>
      <w:r w:rsidR="004C7A05">
        <w:rPr>
          <w:rFonts w:ascii="Arial" w:hAnsi="Arial" w:cs="Arial"/>
          <w:sz w:val="24"/>
          <w:szCs w:val="24"/>
        </w:rPr>
        <w:tab/>
        <w:t>Section 34 of the Constitution states:</w:t>
      </w:r>
    </w:p>
    <w:p w:rsidR="004C7A05" w:rsidRPr="007F3E98" w:rsidRDefault="004C7A05" w:rsidP="004C7A05">
      <w:pPr>
        <w:spacing w:after="0" w:line="360" w:lineRule="auto"/>
        <w:ind w:left="720"/>
        <w:jc w:val="both"/>
        <w:rPr>
          <w:rFonts w:ascii="Arial" w:hAnsi="Arial" w:cs="Arial"/>
          <w:i/>
        </w:rPr>
      </w:pPr>
      <w:r w:rsidRPr="007F3E98">
        <w:rPr>
          <w:rFonts w:ascii="Arial" w:hAnsi="Arial" w:cs="Arial"/>
          <w:i/>
        </w:rPr>
        <w:t>“Everyone has the right to have any dispute that can be resolved by the application of law decided in a fair public hearing before a court or, where appropriate, another independent and impartial tribunal or forum.”</w:t>
      </w:r>
    </w:p>
    <w:p w:rsidR="004C7A05" w:rsidRDefault="004C7A05" w:rsidP="00FF6C61">
      <w:pPr>
        <w:spacing w:after="0" w:line="360" w:lineRule="auto"/>
        <w:jc w:val="both"/>
        <w:rPr>
          <w:rFonts w:ascii="Arial" w:hAnsi="Arial" w:cs="Arial"/>
          <w:sz w:val="24"/>
          <w:szCs w:val="24"/>
        </w:rPr>
      </w:pPr>
    </w:p>
    <w:p w:rsidR="003753D4" w:rsidRDefault="004C7A05" w:rsidP="003753D4">
      <w:pPr>
        <w:spacing w:after="0" w:line="360" w:lineRule="auto"/>
        <w:jc w:val="both"/>
        <w:rPr>
          <w:rFonts w:ascii="Arial" w:hAnsi="Arial" w:cs="Arial"/>
          <w:sz w:val="24"/>
          <w:szCs w:val="24"/>
        </w:rPr>
      </w:pPr>
      <w:r>
        <w:rPr>
          <w:rFonts w:ascii="Arial" w:hAnsi="Arial" w:cs="Arial"/>
          <w:sz w:val="24"/>
          <w:szCs w:val="24"/>
        </w:rPr>
        <w:t>1</w:t>
      </w:r>
      <w:r w:rsidR="00D2708A">
        <w:rPr>
          <w:rFonts w:ascii="Arial" w:hAnsi="Arial" w:cs="Arial"/>
          <w:sz w:val="24"/>
          <w:szCs w:val="24"/>
        </w:rPr>
        <w:t>5</w:t>
      </w:r>
      <w:r>
        <w:rPr>
          <w:rFonts w:ascii="Arial" w:hAnsi="Arial" w:cs="Arial"/>
          <w:sz w:val="24"/>
          <w:szCs w:val="24"/>
        </w:rPr>
        <w:t>]</w:t>
      </w:r>
      <w:r>
        <w:rPr>
          <w:rFonts w:ascii="Arial" w:hAnsi="Arial" w:cs="Arial"/>
          <w:sz w:val="24"/>
          <w:szCs w:val="24"/>
        </w:rPr>
        <w:tab/>
        <w:t xml:space="preserve">Inherent in the entire process that is the cornerstone of a </w:t>
      </w:r>
      <w:r>
        <w:rPr>
          <w:rFonts w:ascii="Arial" w:hAnsi="Arial" w:cs="Arial"/>
          <w:i/>
          <w:sz w:val="24"/>
          <w:szCs w:val="24"/>
        </w:rPr>
        <w:t>“fair public hearing”</w:t>
      </w:r>
      <w:r>
        <w:rPr>
          <w:rFonts w:ascii="Arial" w:hAnsi="Arial" w:cs="Arial"/>
          <w:sz w:val="24"/>
          <w:szCs w:val="24"/>
        </w:rPr>
        <w:t xml:space="preserve"> is the </w:t>
      </w:r>
      <w:r>
        <w:rPr>
          <w:rFonts w:ascii="Arial" w:hAnsi="Arial" w:cs="Arial"/>
          <w:i/>
          <w:sz w:val="24"/>
          <w:szCs w:val="24"/>
        </w:rPr>
        <w:t>audi alteram partem</w:t>
      </w:r>
      <w:r>
        <w:rPr>
          <w:rFonts w:ascii="Arial" w:hAnsi="Arial" w:cs="Arial"/>
          <w:sz w:val="24"/>
          <w:szCs w:val="24"/>
        </w:rPr>
        <w:t xml:space="preserve"> principle which is a foundation of the rule of natural justice. The argument is that </w:t>
      </w:r>
      <w:r w:rsidR="007F3E98">
        <w:rPr>
          <w:rFonts w:ascii="Arial" w:hAnsi="Arial" w:cs="Arial"/>
          <w:sz w:val="24"/>
          <w:szCs w:val="24"/>
        </w:rPr>
        <w:t>the failure of the court a quo to give the respondents an opportunity to address it on the merits</w:t>
      </w:r>
      <w:r>
        <w:rPr>
          <w:rFonts w:ascii="Arial" w:hAnsi="Arial" w:cs="Arial"/>
          <w:sz w:val="24"/>
          <w:szCs w:val="24"/>
        </w:rPr>
        <w:t xml:space="preserve"> violated the principle that every litigant should be given a fair opportunity to address the court and therefore constituted a gross irregularity in the proceedings which is fatal to it. I agree.</w:t>
      </w:r>
      <w:r w:rsidR="003753D4" w:rsidRPr="003753D4">
        <w:rPr>
          <w:rFonts w:ascii="Arial" w:hAnsi="Arial" w:cs="Arial"/>
          <w:sz w:val="24"/>
          <w:szCs w:val="24"/>
        </w:rPr>
        <w:t xml:space="preserve"> </w:t>
      </w:r>
      <w:r w:rsidR="003753D4">
        <w:rPr>
          <w:rFonts w:ascii="Arial" w:hAnsi="Arial" w:cs="Arial"/>
          <w:sz w:val="24"/>
          <w:szCs w:val="24"/>
        </w:rPr>
        <w:t>In my view, it also cannot be ignored that an argument in respect of urgency and one in respect of merits have completely different focuses.</w:t>
      </w:r>
    </w:p>
    <w:p w:rsidR="004C7A05" w:rsidRDefault="004C7A05" w:rsidP="00FF6C61">
      <w:pPr>
        <w:spacing w:after="0" w:line="360" w:lineRule="auto"/>
        <w:jc w:val="both"/>
        <w:rPr>
          <w:rFonts w:ascii="Arial" w:hAnsi="Arial" w:cs="Arial"/>
          <w:sz w:val="24"/>
          <w:szCs w:val="24"/>
        </w:rPr>
      </w:pPr>
    </w:p>
    <w:p w:rsidR="004C7A05" w:rsidRDefault="004C7A05" w:rsidP="00FF6C61">
      <w:pPr>
        <w:spacing w:after="0" w:line="360" w:lineRule="auto"/>
        <w:jc w:val="both"/>
        <w:rPr>
          <w:rFonts w:ascii="Arial" w:hAnsi="Arial" w:cs="Arial"/>
          <w:sz w:val="24"/>
          <w:szCs w:val="24"/>
        </w:rPr>
      </w:pPr>
      <w:r>
        <w:rPr>
          <w:rFonts w:ascii="Arial" w:hAnsi="Arial" w:cs="Arial"/>
          <w:sz w:val="24"/>
          <w:szCs w:val="24"/>
        </w:rPr>
        <w:t>1</w:t>
      </w:r>
      <w:r w:rsidR="00D2708A">
        <w:rPr>
          <w:rFonts w:ascii="Arial" w:hAnsi="Arial" w:cs="Arial"/>
          <w:sz w:val="24"/>
          <w:szCs w:val="24"/>
        </w:rPr>
        <w:t>6</w:t>
      </w:r>
      <w:r>
        <w:rPr>
          <w:rFonts w:ascii="Arial" w:hAnsi="Arial" w:cs="Arial"/>
          <w:sz w:val="24"/>
          <w:szCs w:val="24"/>
        </w:rPr>
        <w:t>]</w:t>
      </w:r>
      <w:r>
        <w:rPr>
          <w:rFonts w:ascii="Arial" w:hAnsi="Arial" w:cs="Arial"/>
          <w:sz w:val="24"/>
          <w:szCs w:val="24"/>
        </w:rPr>
        <w:tab/>
        <w:t xml:space="preserve">In </w:t>
      </w:r>
      <w:r>
        <w:rPr>
          <w:rFonts w:ascii="Arial" w:hAnsi="Arial" w:cs="Arial"/>
          <w:b/>
          <w:sz w:val="24"/>
          <w:szCs w:val="24"/>
        </w:rPr>
        <w:t>Brian Khan Inc v Samsudin</w:t>
      </w:r>
      <w:r w:rsidRPr="00B62E8F">
        <w:rPr>
          <w:rStyle w:val="FootnoteReference"/>
          <w:rFonts w:ascii="Arial" w:hAnsi="Arial" w:cs="Arial"/>
          <w:sz w:val="24"/>
          <w:szCs w:val="24"/>
        </w:rPr>
        <w:footnoteReference w:id="10"/>
      </w:r>
      <w:r w:rsidR="00B62E8F">
        <w:rPr>
          <w:rFonts w:ascii="Arial" w:hAnsi="Arial" w:cs="Arial"/>
          <w:b/>
          <w:sz w:val="24"/>
          <w:szCs w:val="24"/>
        </w:rPr>
        <w:t xml:space="preserve"> </w:t>
      </w:r>
      <w:r w:rsidR="00B62E8F">
        <w:rPr>
          <w:rFonts w:ascii="Arial" w:hAnsi="Arial" w:cs="Arial"/>
          <w:sz w:val="24"/>
          <w:szCs w:val="24"/>
        </w:rPr>
        <w:t>the court stated:</w:t>
      </w:r>
    </w:p>
    <w:p w:rsidR="00B62E8F" w:rsidRDefault="00B62E8F" w:rsidP="00B62E8F">
      <w:pPr>
        <w:spacing w:after="0" w:line="360" w:lineRule="auto"/>
        <w:ind w:left="720"/>
        <w:jc w:val="both"/>
        <w:rPr>
          <w:rFonts w:ascii="Arial" w:hAnsi="Arial" w:cs="Arial"/>
          <w:color w:val="242121"/>
          <w:shd w:val="clear" w:color="auto" w:fill="FFFFFF"/>
          <w:lang w:val="en-GB"/>
        </w:rPr>
      </w:pPr>
      <w:r w:rsidRPr="00B62E8F">
        <w:rPr>
          <w:rFonts w:ascii="Arial" w:hAnsi="Arial" w:cs="Arial"/>
          <w:sz w:val="24"/>
          <w:szCs w:val="24"/>
        </w:rPr>
        <w:t>“</w:t>
      </w:r>
      <w:r w:rsidRPr="00B62E8F">
        <w:rPr>
          <w:rFonts w:ascii="Arial" w:hAnsi="Arial" w:cs="Arial"/>
          <w:bCs/>
          <w:i/>
          <w:iCs/>
          <w:color w:val="242121"/>
          <w:shd w:val="clear" w:color="auto" w:fill="FFFFFF"/>
          <w:lang w:val="en-GB"/>
        </w:rPr>
        <w:t>In my view the approach suggested by Mr Kaplan was not one upon which the court a quo should have acted at all.  And whilst there may be some doubt as to whether full argument was allowed on the separation of the point in limine, there is no doubt that no argument was heard on the substance thereof. When granting leave to appeal, the court a quo accepted that counsel for the appellant did not present argument in respect of the point in limine.</w:t>
      </w:r>
      <w:r w:rsidRPr="00B62E8F">
        <w:rPr>
          <w:rFonts w:ascii="Arial" w:hAnsi="Arial" w:cs="Arial"/>
          <w:color w:val="242121"/>
          <w:shd w:val="clear" w:color="auto" w:fill="FFFFFF"/>
        </w:rPr>
        <w:t> </w:t>
      </w:r>
      <w:r w:rsidRPr="00B62E8F">
        <w:rPr>
          <w:rFonts w:ascii="Arial" w:hAnsi="Arial" w:cs="Arial"/>
          <w:bCs/>
          <w:i/>
          <w:iCs/>
          <w:color w:val="242121"/>
          <w:shd w:val="clear" w:color="auto" w:fill="FFFFFF"/>
          <w:lang w:val="en-GB"/>
        </w:rPr>
        <w:t xml:space="preserve">I am convinced that the omission by the court a quo to have afforded counsel for the appellant the opportunity to address the court, happened per incuriam and not by design.  </w:t>
      </w:r>
      <w:r w:rsidRPr="00A9590C">
        <w:rPr>
          <w:rFonts w:ascii="Arial" w:hAnsi="Arial" w:cs="Arial"/>
          <w:bCs/>
          <w:i/>
          <w:iCs/>
          <w:color w:val="242121"/>
          <w:u w:val="single"/>
          <w:shd w:val="clear" w:color="auto" w:fill="FFFFFF"/>
          <w:lang w:val="en-GB"/>
        </w:rPr>
        <w:t>Nevertheless, the omission deprived the court of the benefit of oral argument </w:t>
      </w:r>
      <w:r w:rsidR="00A675F4" w:rsidRPr="00A9590C">
        <w:rPr>
          <w:rFonts w:ascii="Arial" w:hAnsi="Arial" w:cs="Arial"/>
          <w:color w:val="242121"/>
          <w:u w:val="single"/>
          <w:shd w:val="clear" w:color="auto" w:fill="FFFFFF"/>
        </w:rPr>
        <w:t>‘</w:t>
      </w:r>
      <w:r w:rsidRPr="00A9590C">
        <w:rPr>
          <w:rFonts w:ascii="Arial" w:hAnsi="Arial" w:cs="Arial"/>
          <w:i/>
          <w:iCs/>
          <w:color w:val="242121"/>
          <w:u w:val="single"/>
          <w:shd w:val="clear" w:color="auto" w:fill="FFFFFF"/>
          <w:lang w:val="en-GB"/>
        </w:rPr>
        <w:t>in which counsel can fully indulge their forensic ability and persuasive skill in the interest of justice and their clients</w:t>
      </w:r>
      <w:r w:rsidR="00A675F4" w:rsidRPr="00A9590C">
        <w:rPr>
          <w:rFonts w:ascii="Arial" w:hAnsi="Arial" w:cs="Arial"/>
          <w:i/>
          <w:iCs/>
          <w:color w:val="242121"/>
          <w:u w:val="single"/>
          <w:shd w:val="clear" w:color="auto" w:fill="FFFFFF"/>
          <w:lang w:val="en-GB"/>
        </w:rPr>
        <w:t>’</w:t>
      </w:r>
      <w:r w:rsidRPr="00B62E8F">
        <w:rPr>
          <w:rFonts w:ascii="Arial" w:hAnsi="Arial" w:cs="Arial"/>
          <w:color w:val="242121"/>
          <w:shd w:val="clear" w:color="auto" w:fill="FFFFFF"/>
          <w:lang w:val="en-GB"/>
        </w:rPr>
        <w:t>.”</w:t>
      </w:r>
      <w:r w:rsidR="00A675F4">
        <w:rPr>
          <w:rStyle w:val="FootnoteReference"/>
          <w:rFonts w:ascii="Arial" w:hAnsi="Arial" w:cs="Arial"/>
          <w:color w:val="242121"/>
          <w:shd w:val="clear" w:color="auto" w:fill="FFFFFF"/>
          <w:lang w:val="en-GB"/>
        </w:rPr>
        <w:footnoteReference w:id="11"/>
      </w:r>
      <w:r w:rsidR="00A9590C">
        <w:rPr>
          <w:rFonts w:ascii="Arial" w:hAnsi="Arial" w:cs="Arial"/>
          <w:color w:val="242121"/>
          <w:shd w:val="clear" w:color="auto" w:fill="FFFFFF"/>
          <w:lang w:val="en-GB"/>
        </w:rPr>
        <w:t xml:space="preserve"> (my emphasis)</w:t>
      </w:r>
    </w:p>
    <w:p w:rsidR="00B5763F" w:rsidRPr="00B5763F" w:rsidRDefault="00B5763F" w:rsidP="00B5763F">
      <w:pPr>
        <w:spacing w:after="0" w:line="360" w:lineRule="auto"/>
        <w:jc w:val="both"/>
        <w:rPr>
          <w:rFonts w:ascii="Arial" w:hAnsi="Arial" w:cs="Arial"/>
          <w:color w:val="242121"/>
          <w:sz w:val="24"/>
          <w:szCs w:val="24"/>
          <w:shd w:val="clear" w:color="auto" w:fill="FFFFFF"/>
          <w:lang w:val="en-GB"/>
        </w:rPr>
      </w:pPr>
    </w:p>
    <w:p w:rsidR="00B5763F" w:rsidRDefault="00D2708A" w:rsidP="00B5763F">
      <w:pPr>
        <w:spacing w:after="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lastRenderedPageBreak/>
        <w:t>17</w:t>
      </w:r>
      <w:r w:rsidR="00B5763F" w:rsidRPr="00B5763F">
        <w:rPr>
          <w:rFonts w:ascii="Arial" w:hAnsi="Arial" w:cs="Arial"/>
          <w:color w:val="242121"/>
          <w:sz w:val="24"/>
          <w:szCs w:val="24"/>
          <w:shd w:val="clear" w:color="auto" w:fill="FFFFFF"/>
          <w:lang w:val="en-GB"/>
        </w:rPr>
        <w:t>]</w:t>
      </w:r>
      <w:r w:rsidR="00B5763F" w:rsidRPr="00B5763F">
        <w:rPr>
          <w:rFonts w:ascii="Arial" w:hAnsi="Arial" w:cs="Arial"/>
          <w:color w:val="242121"/>
          <w:sz w:val="24"/>
          <w:szCs w:val="24"/>
          <w:shd w:val="clear" w:color="auto" w:fill="FFFFFF"/>
          <w:lang w:val="en-GB"/>
        </w:rPr>
        <w:tab/>
      </w:r>
      <w:r w:rsidR="00242139">
        <w:rPr>
          <w:rFonts w:ascii="Arial" w:hAnsi="Arial" w:cs="Arial"/>
          <w:color w:val="242121"/>
          <w:sz w:val="24"/>
          <w:szCs w:val="24"/>
          <w:shd w:val="clear" w:color="auto" w:fill="FFFFFF"/>
          <w:lang w:val="en-GB"/>
        </w:rPr>
        <w:t xml:space="preserve">In my view, </w:t>
      </w:r>
      <w:r w:rsidR="00AD1F03">
        <w:rPr>
          <w:rFonts w:ascii="Arial" w:hAnsi="Arial" w:cs="Arial"/>
          <w:color w:val="242121"/>
          <w:sz w:val="24"/>
          <w:szCs w:val="24"/>
          <w:shd w:val="clear" w:color="auto" w:fill="FFFFFF"/>
          <w:lang w:val="en-GB"/>
        </w:rPr>
        <w:t>the failure to hear argument on the merits cons</w:t>
      </w:r>
      <w:r w:rsidR="006950D9">
        <w:rPr>
          <w:rFonts w:ascii="Arial" w:hAnsi="Arial" w:cs="Arial"/>
          <w:color w:val="242121"/>
          <w:sz w:val="24"/>
          <w:szCs w:val="24"/>
          <w:shd w:val="clear" w:color="auto" w:fill="FFFFFF"/>
          <w:lang w:val="en-GB"/>
        </w:rPr>
        <w:t>t</w:t>
      </w:r>
      <w:r w:rsidR="00AD1F03">
        <w:rPr>
          <w:rFonts w:ascii="Arial" w:hAnsi="Arial" w:cs="Arial"/>
          <w:color w:val="242121"/>
          <w:sz w:val="24"/>
          <w:szCs w:val="24"/>
          <w:shd w:val="clear" w:color="auto" w:fill="FFFFFF"/>
          <w:lang w:val="en-GB"/>
        </w:rPr>
        <w:t>itutes a fatal irregularity and misdirection</w:t>
      </w:r>
      <w:r w:rsidR="00242139">
        <w:rPr>
          <w:rFonts w:ascii="Arial" w:hAnsi="Arial" w:cs="Arial"/>
          <w:color w:val="242121"/>
          <w:sz w:val="24"/>
          <w:szCs w:val="24"/>
          <w:shd w:val="clear" w:color="auto" w:fill="FFFFFF"/>
          <w:lang w:val="en-GB"/>
        </w:rPr>
        <w:t xml:space="preserve"> in the conduct of </w:t>
      </w:r>
      <w:r w:rsidR="00AD1F03">
        <w:rPr>
          <w:rFonts w:ascii="Arial" w:hAnsi="Arial" w:cs="Arial"/>
          <w:color w:val="242121"/>
          <w:sz w:val="24"/>
          <w:szCs w:val="24"/>
          <w:shd w:val="clear" w:color="auto" w:fill="FFFFFF"/>
          <w:lang w:val="en-GB"/>
        </w:rPr>
        <w:t xml:space="preserve">the proceedings, </w:t>
      </w:r>
      <w:r w:rsidR="00242139">
        <w:rPr>
          <w:rFonts w:ascii="Arial" w:hAnsi="Arial" w:cs="Arial"/>
          <w:color w:val="242121"/>
          <w:sz w:val="24"/>
          <w:szCs w:val="24"/>
          <w:shd w:val="clear" w:color="auto" w:fill="FFFFFF"/>
          <w:lang w:val="en-GB"/>
        </w:rPr>
        <w:t>and on this basis alone the appeal must succeed.</w:t>
      </w:r>
    </w:p>
    <w:p w:rsidR="00242139" w:rsidRDefault="00242139" w:rsidP="00B5763F">
      <w:pPr>
        <w:spacing w:after="0" w:line="360" w:lineRule="auto"/>
        <w:jc w:val="both"/>
        <w:rPr>
          <w:rFonts w:ascii="Arial" w:hAnsi="Arial" w:cs="Arial"/>
          <w:color w:val="242121"/>
          <w:sz w:val="24"/>
          <w:szCs w:val="24"/>
          <w:shd w:val="clear" w:color="auto" w:fill="FFFFFF"/>
          <w:lang w:val="en-GB"/>
        </w:rPr>
      </w:pPr>
    </w:p>
    <w:p w:rsidR="00242139" w:rsidRDefault="008D2AC9" w:rsidP="00B5763F">
      <w:pPr>
        <w:spacing w:after="0" w:line="360" w:lineRule="auto"/>
        <w:jc w:val="both"/>
        <w:rPr>
          <w:rFonts w:ascii="Arial" w:hAnsi="Arial" w:cs="Arial"/>
          <w:sz w:val="24"/>
          <w:szCs w:val="24"/>
        </w:rPr>
      </w:pPr>
      <w:r>
        <w:rPr>
          <w:rFonts w:ascii="Arial" w:hAnsi="Arial" w:cs="Arial"/>
          <w:b/>
          <w:sz w:val="24"/>
          <w:szCs w:val="24"/>
          <w:u w:val="single"/>
        </w:rPr>
        <w:t>COSTS</w:t>
      </w:r>
    </w:p>
    <w:p w:rsidR="008D2AC9" w:rsidRDefault="008D2AC9" w:rsidP="00B5763F">
      <w:pPr>
        <w:spacing w:after="0" w:line="360" w:lineRule="auto"/>
        <w:jc w:val="both"/>
        <w:rPr>
          <w:rFonts w:ascii="Arial" w:hAnsi="Arial" w:cs="Arial"/>
          <w:sz w:val="24"/>
          <w:szCs w:val="24"/>
        </w:rPr>
      </w:pPr>
      <w:r>
        <w:rPr>
          <w:rFonts w:ascii="Arial" w:hAnsi="Arial" w:cs="Arial"/>
          <w:sz w:val="24"/>
          <w:szCs w:val="24"/>
        </w:rPr>
        <w:t>1</w:t>
      </w:r>
      <w:r w:rsidR="00D2708A">
        <w:rPr>
          <w:rFonts w:ascii="Arial" w:hAnsi="Arial" w:cs="Arial"/>
          <w:sz w:val="24"/>
          <w:szCs w:val="24"/>
        </w:rPr>
        <w:t>8</w:t>
      </w:r>
      <w:r>
        <w:rPr>
          <w:rFonts w:ascii="Arial" w:hAnsi="Arial" w:cs="Arial"/>
          <w:sz w:val="24"/>
          <w:szCs w:val="24"/>
        </w:rPr>
        <w:t>]</w:t>
      </w:r>
      <w:r>
        <w:rPr>
          <w:rFonts w:ascii="Arial" w:hAnsi="Arial" w:cs="Arial"/>
          <w:sz w:val="24"/>
          <w:szCs w:val="24"/>
        </w:rPr>
        <w:tab/>
        <w:t>As to costs: it was argued that Beagle Watch was not the cause of the irregularity that occurred, but a reading of the record shows that, whilst it was not the sole cause, the submission that both urgency and merits had been canvassed, had a hand in the outcome. Furthermore, both the application for leave to appeal and this appeal itself were vigorously opposed by it. Had Beagle Watch simply abided by the decision of this court, perhaps one could argue that each party should pay their own costs – but in this case there is no argument to be made on that score. Thus there is no reason to depart from the usual rule that costs should follow the result.</w:t>
      </w:r>
    </w:p>
    <w:p w:rsidR="001834D1" w:rsidRDefault="001834D1" w:rsidP="00B5763F">
      <w:pPr>
        <w:spacing w:after="0" w:line="360" w:lineRule="auto"/>
        <w:jc w:val="both"/>
        <w:rPr>
          <w:rFonts w:ascii="Arial" w:hAnsi="Arial" w:cs="Arial"/>
          <w:sz w:val="24"/>
          <w:szCs w:val="24"/>
        </w:rPr>
      </w:pPr>
    </w:p>
    <w:p w:rsidR="001834D1" w:rsidRDefault="001834D1" w:rsidP="00B5763F">
      <w:pPr>
        <w:spacing w:after="0" w:line="360" w:lineRule="auto"/>
        <w:jc w:val="both"/>
        <w:rPr>
          <w:rFonts w:ascii="Arial" w:hAnsi="Arial" w:cs="Arial"/>
          <w:sz w:val="24"/>
          <w:szCs w:val="24"/>
        </w:rPr>
      </w:pPr>
      <w:r>
        <w:rPr>
          <w:rFonts w:ascii="Arial" w:hAnsi="Arial" w:cs="Arial"/>
          <w:b/>
          <w:sz w:val="24"/>
          <w:szCs w:val="24"/>
          <w:u w:val="single"/>
        </w:rPr>
        <w:t>THE ORDER</w:t>
      </w:r>
    </w:p>
    <w:p w:rsidR="001834D1" w:rsidRDefault="00D2708A" w:rsidP="00B5763F">
      <w:pPr>
        <w:spacing w:after="0" w:line="360" w:lineRule="auto"/>
        <w:jc w:val="both"/>
        <w:rPr>
          <w:rFonts w:ascii="Arial" w:hAnsi="Arial" w:cs="Arial"/>
          <w:sz w:val="24"/>
          <w:szCs w:val="24"/>
        </w:rPr>
      </w:pPr>
      <w:r>
        <w:rPr>
          <w:rFonts w:ascii="Arial" w:hAnsi="Arial" w:cs="Arial"/>
          <w:sz w:val="24"/>
          <w:szCs w:val="24"/>
        </w:rPr>
        <w:t>19</w:t>
      </w:r>
      <w:r w:rsidR="001834D1">
        <w:rPr>
          <w:rFonts w:ascii="Arial" w:hAnsi="Arial" w:cs="Arial"/>
          <w:sz w:val="24"/>
          <w:szCs w:val="24"/>
        </w:rPr>
        <w:t>]</w:t>
      </w:r>
      <w:r w:rsidR="001834D1">
        <w:rPr>
          <w:rFonts w:ascii="Arial" w:hAnsi="Arial" w:cs="Arial"/>
          <w:sz w:val="24"/>
          <w:szCs w:val="24"/>
        </w:rPr>
        <w:tab/>
        <w:t>The order that is made is the following:</w:t>
      </w:r>
    </w:p>
    <w:p w:rsidR="001834D1" w:rsidRDefault="001834D1" w:rsidP="00B5763F">
      <w:pPr>
        <w:spacing w:after="0" w:line="360" w:lineRule="auto"/>
        <w:jc w:val="both"/>
        <w:rPr>
          <w:rFonts w:ascii="Arial" w:hAnsi="Arial" w:cs="Arial"/>
          <w:sz w:val="24"/>
          <w:szCs w:val="24"/>
        </w:rPr>
      </w:pPr>
    </w:p>
    <w:p w:rsidR="001834D1" w:rsidRDefault="001834D1" w:rsidP="001834D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appeal is upheld with costs.</w:t>
      </w:r>
    </w:p>
    <w:p w:rsidR="001834D1" w:rsidRDefault="001834D1" w:rsidP="001834D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Paragraphs 2, 3, 4 and 5 of the order dated 10 February 2022 are set aside in their entirety.</w:t>
      </w:r>
    </w:p>
    <w:p w:rsidR="000A3B26" w:rsidRPr="001834D1" w:rsidRDefault="001834D1" w:rsidP="001F7D28">
      <w:pPr>
        <w:pStyle w:val="ListParagraph"/>
        <w:numPr>
          <w:ilvl w:val="0"/>
          <w:numId w:val="2"/>
        </w:numPr>
        <w:spacing w:after="0" w:line="360" w:lineRule="auto"/>
        <w:jc w:val="both"/>
        <w:rPr>
          <w:rFonts w:ascii="Arial" w:hAnsi="Arial" w:cs="Arial"/>
          <w:i/>
          <w:sz w:val="24"/>
          <w:szCs w:val="24"/>
        </w:rPr>
      </w:pPr>
      <w:r w:rsidRPr="001834D1">
        <w:rPr>
          <w:rFonts w:ascii="Arial" w:hAnsi="Arial" w:cs="Arial"/>
          <w:sz w:val="24"/>
          <w:szCs w:val="24"/>
        </w:rPr>
        <w:t xml:space="preserve">The application is remitted back to the </w:t>
      </w:r>
      <w:r w:rsidR="00DC71B1">
        <w:rPr>
          <w:rFonts w:ascii="Arial" w:hAnsi="Arial" w:cs="Arial"/>
          <w:sz w:val="24"/>
          <w:szCs w:val="24"/>
        </w:rPr>
        <w:t xml:space="preserve">Gauteng </w:t>
      </w:r>
      <w:r w:rsidRPr="001834D1">
        <w:rPr>
          <w:rFonts w:ascii="Arial" w:hAnsi="Arial" w:cs="Arial"/>
          <w:sz w:val="24"/>
          <w:szCs w:val="24"/>
        </w:rPr>
        <w:t>High Court, Pretoria for a hearing on the opposed motion roll.</w:t>
      </w:r>
    </w:p>
    <w:p w:rsidR="000619FE" w:rsidRDefault="000A3B26" w:rsidP="00274ED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noProof/>
          <w:lang w:eastAsia="en-ZA"/>
        </w:rPr>
      </w:pPr>
      <w:r>
        <w:rPr>
          <w:rFonts w:ascii="Calibri" w:hAnsi="Calibri" w:cs="Calibri"/>
          <w:noProof/>
          <w:lang w:eastAsia="en-ZA"/>
        </w:rPr>
        <w:t>.</w:t>
      </w:r>
    </w:p>
    <w:p w:rsidR="000619FE" w:rsidRDefault="000619FE" w:rsidP="00274ED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noProof/>
          <w:lang w:eastAsia="en-ZA"/>
        </w:rPr>
      </w:pPr>
    </w:p>
    <w:p w:rsidR="00274EDA" w:rsidRPr="00815BE4" w:rsidRDefault="0074597B" w:rsidP="00274ED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rFonts w:ascii="Calibri" w:hAnsi="Calibri" w:cs="Calibri"/>
          <w:lang w:val="en-GB"/>
        </w:rPr>
      </w:pPr>
      <w:r>
        <w:rPr>
          <w:rFonts w:ascii="Calibri" w:hAnsi="Calibri" w:cs="Calibri"/>
          <w:noProof/>
          <w:lang w:eastAsia="en-ZA"/>
        </w:rPr>
        <w:t>___________________________</w:t>
      </w:r>
    </w:p>
    <w:p w:rsidR="00274EDA" w:rsidRDefault="00274EDA"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 xml:space="preserve"> NEUKIRCHER J</w:t>
      </w:r>
    </w:p>
    <w:p w:rsidR="00B97D8B" w:rsidRPr="00992F34" w:rsidRDefault="00B97D8B" w:rsidP="00B97D8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JUDGE OF THE HIGH COURT</w:t>
      </w:r>
    </w:p>
    <w:p w:rsidR="00B97D8B" w:rsidRDefault="00B97D8B" w:rsidP="00B97D8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GAUTENG DIVISION, PRETORIA</w:t>
      </w:r>
    </w:p>
    <w:p w:rsidR="00B97D8B" w:rsidRPr="00992F34" w:rsidRDefault="00B97D8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187067" w:rsidRDefault="00187067"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74597B" w:rsidRP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r w:rsidRPr="0074597B">
        <w:rPr>
          <w:rFonts w:ascii="Arial" w:hAnsi="Arial" w:cs="Arial"/>
          <w:sz w:val="24"/>
          <w:szCs w:val="24"/>
          <w:lang w:val="en-GB"/>
        </w:rPr>
        <w:lastRenderedPageBreak/>
        <w:t>I agree</w:t>
      </w:r>
    </w:p>
    <w:p w:rsidR="00274EDA" w:rsidRDefault="00274EDA"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r w:rsidRPr="0074597B">
        <w:rPr>
          <w:rFonts w:ascii="Arial" w:hAnsi="Arial" w:cs="Arial"/>
          <w:sz w:val="24"/>
          <w:szCs w:val="24"/>
          <w:lang w:val="en-GB"/>
        </w:rPr>
        <w:t>______________________</w:t>
      </w: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Pr>
          <w:rFonts w:ascii="Arial" w:hAnsi="Arial" w:cs="Arial"/>
          <w:b/>
          <w:sz w:val="24"/>
          <w:szCs w:val="24"/>
          <w:lang w:val="en-GB"/>
        </w:rPr>
        <w:t>HOLLAND-MüTER J</w:t>
      </w:r>
    </w:p>
    <w:p w:rsidR="0074597B" w:rsidRPr="00992F34" w:rsidRDefault="0074597B" w:rsidP="0074597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JUDGE OF THE HIGH COURT</w:t>
      </w:r>
    </w:p>
    <w:p w:rsidR="0074597B" w:rsidRDefault="0074597B" w:rsidP="0074597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GAUTENG DIVISION, PRETORIA</w:t>
      </w: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p>
    <w:p w:rsidR="001834D1" w:rsidRDefault="001834D1"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r>
        <w:rPr>
          <w:rFonts w:ascii="Arial" w:hAnsi="Arial" w:cs="Arial"/>
          <w:sz w:val="24"/>
          <w:szCs w:val="24"/>
          <w:lang w:val="en-GB"/>
        </w:rPr>
        <w:t>I agree</w:t>
      </w: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lang w:val="en-GB"/>
        </w:rPr>
      </w:pP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Pr>
          <w:rFonts w:ascii="Arial" w:hAnsi="Arial" w:cs="Arial"/>
          <w:sz w:val="24"/>
          <w:szCs w:val="24"/>
          <w:lang w:val="en-GB"/>
        </w:rPr>
        <w:t>______________________</w:t>
      </w:r>
    </w:p>
    <w:p w:rsid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Pr>
          <w:rFonts w:ascii="Arial" w:hAnsi="Arial" w:cs="Arial"/>
          <w:b/>
          <w:sz w:val="24"/>
          <w:szCs w:val="24"/>
          <w:lang w:val="en-GB"/>
        </w:rPr>
        <w:t>MOOKI AJ</w:t>
      </w:r>
    </w:p>
    <w:p w:rsidR="0074597B" w:rsidRPr="00992F34" w:rsidRDefault="0074597B" w:rsidP="0074597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Pr>
          <w:rFonts w:ascii="Arial" w:hAnsi="Arial" w:cs="Arial"/>
          <w:b/>
          <w:sz w:val="24"/>
          <w:szCs w:val="24"/>
          <w:lang w:val="en-GB"/>
        </w:rPr>
        <w:t xml:space="preserve">ACTING </w:t>
      </w:r>
      <w:r w:rsidRPr="00992F34">
        <w:rPr>
          <w:rFonts w:ascii="Arial" w:hAnsi="Arial" w:cs="Arial"/>
          <w:b/>
          <w:sz w:val="24"/>
          <w:szCs w:val="24"/>
          <w:lang w:val="en-GB"/>
        </w:rPr>
        <w:t>JUDGE OF THE HIGH COURT</w:t>
      </w:r>
    </w:p>
    <w:p w:rsidR="0074597B" w:rsidRDefault="0074597B" w:rsidP="0074597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992F34">
        <w:rPr>
          <w:rFonts w:ascii="Arial" w:hAnsi="Arial" w:cs="Arial"/>
          <w:b/>
          <w:sz w:val="24"/>
          <w:szCs w:val="24"/>
          <w:lang w:val="en-GB"/>
        </w:rPr>
        <w:t>GAUTENG DIVISION, PRETORIA</w:t>
      </w:r>
    </w:p>
    <w:p w:rsidR="0074597B" w:rsidRPr="0074597B" w:rsidRDefault="0074597B"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274EDA" w:rsidRPr="00BC4A37" w:rsidRDefault="00274EDA" w:rsidP="00274ED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lang w:val="en-GB"/>
        </w:rPr>
      </w:pPr>
      <w:r w:rsidRPr="00BC4A37">
        <w:rPr>
          <w:rFonts w:ascii="Arial" w:hAnsi="Arial" w:cs="Arial"/>
          <w:lang w:val="en-GB"/>
        </w:rPr>
        <w:t>Delivered:  This judgment was prepared and authored by the Judge</w:t>
      </w:r>
      <w:r w:rsidR="004F41AD">
        <w:rPr>
          <w:rFonts w:ascii="Arial" w:hAnsi="Arial" w:cs="Arial"/>
          <w:lang w:val="en-GB"/>
        </w:rPr>
        <w:t>s</w:t>
      </w:r>
      <w:r w:rsidRPr="00BC4A37">
        <w:rPr>
          <w:rFonts w:ascii="Arial" w:hAnsi="Arial" w:cs="Arial"/>
          <w:lang w:val="en-GB"/>
        </w:rPr>
        <w:t xml:space="preserve"> whose name</w:t>
      </w:r>
      <w:r w:rsidR="004F41AD">
        <w:rPr>
          <w:rFonts w:ascii="Arial" w:hAnsi="Arial" w:cs="Arial"/>
          <w:lang w:val="en-GB"/>
        </w:rPr>
        <w:t>s</w:t>
      </w:r>
      <w:r w:rsidRPr="00BC4A37">
        <w:rPr>
          <w:rFonts w:ascii="Arial" w:hAnsi="Arial" w:cs="Arial"/>
          <w:lang w:val="en-GB"/>
        </w:rPr>
        <w:t xml:space="preserve"> </w:t>
      </w:r>
      <w:r w:rsidR="004F41AD">
        <w:rPr>
          <w:rFonts w:ascii="Arial" w:hAnsi="Arial" w:cs="Arial"/>
          <w:lang w:val="en-GB"/>
        </w:rPr>
        <w:t>are</w:t>
      </w:r>
      <w:r w:rsidRPr="00BC4A37">
        <w:rPr>
          <w:rFonts w:ascii="Arial" w:hAnsi="Arial" w:cs="Arial"/>
          <w:lang w:val="en-GB"/>
        </w:rPr>
        <w:t xml:space="preserve"> reflected and is handed down electronically by circulation to the parties/their legal representatives by email and by uploading it to the electronic file of this matter on CaseLines.  The date for hand-down is deemed to be </w:t>
      </w:r>
      <w:r w:rsidR="004F41AD" w:rsidRPr="00C07CDD">
        <w:rPr>
          <w:rFonts w:ascii="Arial" w:hAnsi="Arial" w:cs="Arial"/>
          <w:lang w:val="en-GB"/>
        </w:rPr>
        <w:t>______________</w:t>
      </w:r>
    </w:p>
    <w:p w:rsidR="00274EDA" w:rsidRDefault="00274EDA" w:rsidP="00274EDA">
      <w:pPr>
        <w:widowControl w:val="0"/>
        <w:autoSpaceDE w:val="0"/>
        <w:autoSpaceDN w:val="0"/>
        <w:adjustRightInd w:val="0"/>
        <w:spacing w:after="0" w:line="360" w:lineRule="auto"/>
        <w:jc w:val="both"/>
        <w:rPr>
          <w:rFonts w:ascii="Arial" w:hAnsi="Arial" w:cs="Arial"/>
          <w:sz w:val="24"/>
          <w:szCs w:val="24"/>
        </w:rPr>
      </w:pPr>
    </w:p>
    <w:p w:rsidR="00274EDA" w:rsidRPr="006A164E" w:rsidRDefault="00274EDA" w:rsidP="008A43D8">
      <w:pPr>
        <w:widowControl w:val="0"/>
        <w:autoSpaceDE w:val="0"/>
        <w:autoSpaceDN w:val="0"/>
        <w:adjustRightInd w:val="0"/>
        <w:spacing w:after="0" w:line="360" w:lineRule="auto"/>
        <w:ind w:left="3600" w:hanging="3600"/>
        <w:jc w:val="both"/>
        <w:rPr>
          <w:rFonts w:ascii="Arial" w:hAnsi="Arial" w:cs="Arial"/>
          <w:sz w:val="20"/>
          <w:szCs w:val="20"/>
        </w:rPr>
      </w:pPr>
      <w:r w:rsidRPr="006A164E">
        <w:rPr>
          <w:rFonts w:ascii="Arial" w:hAnsi="Arial" w:cs="Arial"/>
          <w:sz w:val="20"/>
          <w:szCs w:val="20"/>
        </w:rPr>
        <w:t xml:space="preserve">For the </w:t>
      </w:r>
      <w:r w:rsidR="008A43D8">
        <w:rPr>
          <w:rFonts w:ascii="Arial" w:hAnsi="Arial" w:cs="Arial"/>
          <w:sz w:val="20"/>
          <w:szCs w:val="20"/>
        </w:rPr>
        <w:t>appellant</w:t>
      </w:r>
      <w:r w:rsidRPr="006A164E">
        <w:rPr>
          <w:rFonts w:ascii="Arial" w:hAnsi="Arial" w:cs="Arial"/>
          <w:sz w:val="20"/>
          <w:szCs w:val="20"/>
        </w:rPr>
        <w:tab/>
        <w:t xml:space="preserve">: </w:t>
      </w:r>
      <w:r w:rsidRPr="006A164E">
        <w:rPr>
          <w:rFonts w:ascii="Arial" w:hAnsi="Arial" w:cs="Arial"/>
          <w:sz w:val="20"/>
          <w:szCs w:val="20"/>
        </w:rPr>
        <w:tab/>
      </w:r>
      <w:r w:rsidR="008A43D8">
        <w:rPr>
          <w:rFonts w:ascii="Arial" w:hAnsi="Arial" w:cs="Arial"/>
          <w:sz w:val="20"/>
          <w:szCs w:val="20"/>
        </w:rPr>
        <w:t>Adv Pincus SC</w:t>
      </w:r>
    </w:p>
    <w:p w:rsidR="00274EDA" w:rsidRPr="006A164E" w:rsidRDefault="00274EDA" w:rsidP="00274EDA">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008A43D8">
        <w:rPr>
          <w:rFonts w:ascii="Arial" w:hAnsi="Arial" w:cs="Arial"/>
          <w:sz w:val="20"/>
          <w:szCs w:val="20"/>
        </w:rPr>
        <w:t>:</w:t>
      </w:r>
      <w:r w:rsidR="008A43D8">
        <w:rPr>
          <w:rFonts w:ascii="Arial" w:hAnsi="Arial" w:cs="Arial"/>
          <w:sz w:val="20"/>
          <w:szCs w:val="20"/>
        </w:rPr>
        <w:tab/>
        <w:t>Mouyis Cohen Inc</w:t>
      </w:r>
    </w:p>
    <w:p w:rsidR="00274EDA" w:rsidRPr="006A164E" w:rsidRDefault="00274EDA" w:rsidP="00274EDA">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For the respondent</w:t>
      </w:r>
      <w:r w:rsidRPr="006A164E">
        <w:rPr>
          <w:rFonts w:ascii="Arial" w:hAnsi="Arial" w:cs="Arial"/>
          <w:sz w:val="20"/>
          <w:szCs w:val="20"/>
        </w:rPr>
        <w:tab/>
      </w:r>
      <w:r w:rsidRPr="006A164E">
        <w:rPr>
          <w:rFonts w:ascii="Arial" w:hAnsi="Arial" w:cs="Arial"/>
          <w:sz w:val="20"/>
          <w:szCs w:val="20"/>
        </w:rPr>
        <w:tab/>
      </w:r>
      <w:r>
        <w:rPr>
          <w:rFonts w:ascii="Arial" w:hAnsi="Arial" w:cs="Arial"/>
          <w:sz w:val="20"/>
          <w:szCs w:val="20"/>
        </w:rPr>
        <w:tab/>
      </w:r>
      <w:r w:rsidRPr="006A164E">
        <w:rPr>
          <w:rFonts w:ascii="Arial" w:hAnsi="Arial" w:cs="Arial"/>
          <w:sz w:val="20"/>
          <w:szCs w:val="20"/>
        </w:rPr>
        <w:t>:</w:t>
      </w:r>
      <w:r w:rsidRPr="006A164E">
        <w:rPr>
          <w:rFonts w:ascii="Arial" w:hAnsi="Arial" w:cs="Arial"/>
          <w:sz w:val="20"/>
          <w:szCs w:val="20"/>
        </w:rPr>
        <w:tab/>
      </w:r>
      <w:r w:rsidR="008A43D8">
        <w:rPr>
          <w:rFonts w:ascii="Arial" w:hAnsi="Arial" w:cs="Arial"/>
          <w:sz w:val="20"/>
          <w:szCs w:val="20"/>
        </w:rPr>
        <w:t>Adv Swanepoel SC</w:t>
      </w:r>
    </w:p>
    <w:p w:rsidR="00274EDA" w:rsidRPr="006A164E" w:rsidRDefault="00274EDA" w:rsidP="00274EDA">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 xml:space="preserve">: </w:t>
      </w:r>
      <w:r w:rsidRPr="006A164E">
        <w:rPr>
          <w:rFonts w:ascii="Arial" w:hAnsi="Arial" w:cs="Arial"/>
          <w:sz w:val="20"/>
          <w:szCs w:val="20"/>
        </w:rPr>
        <w:tab/>
      </w:r>
      <w:r w:rsidR="008A43D8">
        <w:rPr>
          <w:rFonts w:ascii="Arial" w:hAnsi="Arial" w:cs="Arial"/>
          <w:sz w:val="20"/>
          <w:szCs w:val="20"/>
        </w:rPr>
        <w:t>Douglas McCusker Attorneys</w:t>
      </w:r>
    </w:p>
    <w:p w:rsidR="00274EDA" w:rsidRPr="006A164E" w:rsidRDefault="00274EDA" w:rsidP="00274EDA">
      <w:pPr>
        <w:widowControl w:val="0"/>
        <w:autoSpaceDE w:val="0"/>
        <w:autoSpaceDN w:val="0"/>
        <w:adjustRightInd w:val="0"/>
        <w:spacing w:after="0" w:line="360" w:lineRule="auto"/>
        <w:jc w:val="both"/>
        <w:rPr>
          <w:rFonts w:ascii="Arial" w:hAnsi="Arial" w:cs="Arial"/>
          <w:sz w:val="20"/>
          <w:szCs w:val="20"/>
        </w:rPr>
      </w:pPr>
    </w:p>
    <w:p w:rsidR="00274EDA" w:rsidRDefault="00274EDA" w:rsidP="00274EDA">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 xml:space="preserve">Matter heard on      </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 xml:space="preserve">: </w:t>
      </w:r>
      <w:r w:rsidRPr="006A164E">
        <w:rPr>
          <w:rFonts w:ascii="Arial" w:hAnsi="Arial" w:cs="Arial"/>
          <w:sz w:val="20"/>
          <w:szCs w:val="20"/>
        </w:rPr>
        <w:tab/>
      </w:r>
      <w:r w:rsidR="008A43D8">
        <w:rPr>
          <w:rFonts w:ascii="Arial" w:hAnsi="Arial" w:cs="Arial"/>
          <w:sz w:val="20"/>
          <w:szCs w:val="20"/>
        </w:rPr>
        <w:t>30 August 2023</w:t>
      </w:r>
    </w:p>
    <w:p w:rsidR="001834D1" w:rsidRPr="006A164E" w:rsidRDefault="001834D1" w:rsidP="00274ED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Judgment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C07CDD">
        <w:rPr>
          <w:rFonts w:ascii="Arial" w:hAnsi="Arial" w:cs="Arial"/>
          <w:sz w:val="20"/>
          <w:szCs w:val="20"/>
        </w:rPr>
        <w:t>________________</w:t>
      </w:r>
    </w:p>
    <w:p w:rsidR="00274EDA" w:rsidRDefault="00274EDA"/>
    <w:sectPr w:rsidR="00274E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A5" w:rsidRDefault="00CD23A5" w:rsidP="008A43D8">
      <w:pPr>
        <w:spacing w:after="0" w:line="240" w:lineRule="auto"/>
      </w:pPr>
      <w:r>
        <w:separator/>
      </w:r>
    </w:p>
  </w:endnote>
  <w:endnote w:type="continuationSeparator" w:id="0">
    <w:p w:rsidR="00CD23A5" w:rsidRDefault="00CD23A5" w:rsidP="008A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A5" w:rsidRDefault="00CD23A5" w:rsidP="008A43D8">
      <w:pPr>
        <w:spacing w:after="0" w:line="240" w:lineRule="auto"/>
      </w:pPr>
      <w:r>
        <w:separator/>
      </w:r>
    </w:p>
  </w:footnote>
  <w:footnote w:type="continuationSeparator" w:id="0">
    <w:p w:rsidR="00CD23A5" w:rsidRDefault="00CD23A5" w:rsidP="008A43D8">
      <w:pPr>
        <w:spacing w:after="0" w:line="240" w:lineRule="auto"/>
      </w:pPr>
      <w:r>
        <w:continuationSeparator/>
      </w:r>
    </w:p>
  </w:footnote>
  <w:footnote w:id="1">
    <w:p w:rsidR="008A43D8" w:rsidRPr="008A43D8" w:rsidRDefault="008A43D8">
      <w:pPr>
        <w:pStyle w:val="FootnoteText"/>
        <w:rPr>
          <w:lang w:val="en-GB"/>
        </w:rPr>
      </w:pPr>
      <w:r>
        <w:rPr>
          <w:rStyle w:val="FootnoteReference"/>
        </w:rPr>
        <w:footnoteRef/>
      </w:r>
      <w:r>
        <w:t xml:space="preserve"> </w:t>
      </w:r>
      <w:r>
        <w:rPr>
          <w:lang w:val="en-GB"/>
        </w:rPr>
        <w:tab/>
        <w:t>The respondent a quo</w:t>
      </w:r>
    </w:p>
  </w:footnote>
  <w:footnote w:id="2">
    <w:p w:rsidR="00A83D3D" w:rsidRPr="00A83D3D" w:rsidRDefault="00A83D3D">
      <w:pPr>
        <w:pStyle w:val="FootnoteText"/>
        <w:rPr>
          <w:lang w:val="en-GB"/>
        </w:rPr>
      </w:pPr>
      <w:r>
        <w:rPr>
          <w:rStyle w:val="FootnoteReference"/>
        </w:rPr>
        <w:footnoteRef/>
      </w:r>
      <w:r>
        <w:t xml:space="preserve"> </w:t>
      </w:r>
      <w:r>
        <w:rPr>
          <w:lang w:val="en-GB"/>
        </w:rPr>
        <w:tab/>
        <w:t>Paragraph 1 is the finding of urgency which is not in issue in this appeal</w:t>
      </w:r>
    </w:p>
  </w:footnote>
  <w:footnote w:id="3">
    <w:p w:rsidR="0051520E" w:rsidRPr="0051520E" w:rsidRDefault="0051520E">
      <w:pPr>
        <w:pStyle w:val="FootnoteText"/>
        <w:rPr>
          <w:lang w:val="en-GB"/>
        </w:rPr>
      </w:pPr>
      <w:r>
        <w:rPr>
          <w:rStyle w:val="FootnoteReference"/>
        </w:rPr>
        <w:footnoteRef/>
      </w:r>
      <w:r>
        <w:t xml:space="preserve"> </w:t>
      </w:r>
      <w:r>
        <w:rPr>
          <w:lang w:val="en-GB"/>
        </w:rPr>
        <w:tab/>
        <w:t>A company known as Suburban Control Centre (Pty) Ltd t/a SCP Security (SCP)</w:t>
      </w:r>
    </w:p>
  </w:footnote>
  <w:footnote w:id="4">
    <w:p w:rsidR="00CD7323" w:rsidRPr="00CD7323" w:rsidRDefault="00CD7323">
      <w:pPr>
        <w:pStyle w:val="FootnoteText"/>
        <w:rPr>
          <w:lang w:val="en-GB"/>
        </w:rPr>
      </w:pPr>
      <w:r>
        <w:rPr>
          <w:rStyle w:val="FootnoteReference"/>
        </w:rPr>
        <w:footnoteRef/>
      </w:r>
      <w:r>
        <w:t xml:space="preserve"> </w:t>
      </w:r>
      <w:r>
        <w:rPr>
          <w:lang w:val="en-GB"/>
        </w:rPr>
        <w:tab/>
        <w:t>CL 27-222</w:t>
      </w:r>
    </w:p>
  </w:footnote>
  <w:footnote w:id="5">
    <w:p w:rsidR="00CD7323" w:rsidRPr="00CD7323" w:rsidRDefault="00CD7323">
      <w:pPr>
        <w:pStyle w:val="FootnoteText"/>
        <w:rPr>
          <w:lang w:val="en-GB"/>
        </w:rPr>
      </w:pPr>
      <w:r>
        <w:rPr>
          <w:rStyle w:val="FootnoteReference"/>
        </w:rPr>
        <w:footnoteRef/>
      </w:r>
      <w:r>
        <w:t xml:space="preserve"> </w:t>
      </w:r>
      <w:r>
        <w:rPr>
          <w:lang w:val="en-GB"/>
        </w:rPr>
        <w:tab/>
        <w:t>CL27-226</w:t>
      </w:r>
    </w:p>
  </w:footnote>
  <w:footnote w:id="6">
    <w:p w:rsidR="00CD7323" w:rsidRPr="00CD7323" w:rsidRDefault="00CD7323">
      <w:pPr>
        <w:pStyle w:val="FootnoteText"/>
        <w:rPr>
          <w:lang w:val="en-GB"/>
        </w:rPr>
      </w:pPr>
      <w:r>
        <w:rPr>
          <w:rStyle w:val="FootnoteReference"/>
        </w:rPr>
        <w:footnoteRef/>
      </w:r>
      <w:r>
        <w:t xml:space="preserve"> </w:t>
      </w:r>
      <w:r>
        <w:rPr>
          <w:lang w:val="en-GB"/>
        </w:rPr>
        <w:tab/>
        <w:t>CL22-236</w:t>
      </w:r>
    </w:p>
  </w:footnote>
  <w:footnote w:id="7">
    <w:p w:rsidR="000A3B26" w:rsidRPr="000A3B26" w:rsidRDefault="000A3B26">
      <w:pPr>
        <w:pStyle w:val="FootnoteText"/>
        <w:rPr>
          <w:lang w:val="en-GB"/>
        </w:rPr>
      </w:pPr>
      <w:r>
        <w:rPr>
          <w:rStyle w:val="FootnoteReference"/>
        </w:rPr>
        <w:footnoteRef/>
      </w:r>
      <w:r>
        <w:t xml:space="preserve"> </w:t>
      </w:r>
      <w:r>
        <w:rPr>
          <w:lang w:val="en-GB"/>
        </w:rPr>
        <w:tab/>
        <w:t>CL27-244</w:t>
      </w:r>
    </w:p>
  </w:footnote>
  <w:footnote w:id="8">
    <w:p w:rsidR="000A3B26" w:rsidRPr="000A3B26" w:rsidRDefault="000A3B26">
      <w:pPr>
        <w:pStyle w:val="FootnoteText"/>
        <w:rPr>
          <w:lang w:val="en-GB"/>
        </w:rPr>
      </w:pPr>
      <w:r>
        <w:rPr>
          <w:rStyle w:val="FootnoteReference"/>
        </w:rPr>
        <w:footnoteRef/>
      </w:r>
      <w:r>
        <w:t xml:space="preserve"> </w:t>
      </w:r>
      <w:r>
        <w:rPr>
          <w:lang w:val="en-GB"/>
        </w:rPr>
        <w:tab/>
        <w:t>CL27-244</w:t>
      </w:r>
    </w:p>
  </w:footnote>
  <w:footnote w:id="9">
    <w:p w:rsidR="009A0366" w:rsidRPr="009A0366" w:rsidRDefault="009A0366">
      <w:pPr>
        <w:pStyle w:val="FootnoteText"/>
        <w:rPr>
          <w:lang w:val="en-GB"/>
        </w:rPr>
      </w:pPr>
      <w:r>
        <w:rPr>
          <w:rStyle w:val="FootnoteReference"/>
        </w:rPr>
        <w:footnoteRef/>
      </w:r>
      <w:r>
        <w:t xml:space="preserve"> </w:t>
      </w:r>
      <w:r>
        <w:rPr>
          <w:lang w:val="en-GB"/>
        </w:rPr>
        <w:tab/>
        <w:t>CL27-274</w:t>
      </w:r>
    </w:p>
  </w:footnote>
  <w:footnote w:id="10">
    <w:p w:rsidR="004C7A05" w:rsidRPr="004C7A05" w:rsidRDefault="004C7A05">
      <w:pPr>
        <w:pStyle w:val="FootnoteText"/>
        <w:rPr>
          <w:lang w:val="en-GB"/>
        </w:rPr>
      </w:pPr>
      <w:r>
        <w:rPr>
          <w:rStyle w:val="FootnoteReference"/>
        </w:rPr>
        <w:footnoteRef/>
      </w:r>
      <w:r>
        <w:t xml:space="preserve"> </w:t>
      </w:r>
      <w:r>
        <w:rPr>
          <w:lang w:val="en-GB"/>
        </w:rPr>
        <w:tab/>
        <w:t>2012 (3) SA 310 (GSJ) at para [4] – [5]</w:t>
      </w:r>
    </w:p>
  </w:footnote>
  <w:footnote w:id="11">
    <w:p w:rsidR="00A675F4" w:rsidRPr="00A675F4" w:rsidRDefault="00A675F4">
      <w:pPr>
        <w:pStyle w:val="FootnoteText"/>
        <w:rPr>
          <w:lang w:val="en-GB"/>
        </w:rPr>
      </w:pPr>
      <w:r>
        <w:rPr>
          <w:rStyle w:val="FootnoteReference"/>
        </w:rPr>
        <w:footnoteRef/>
      </w:r>
      <w:r>
        <w:t xml:space="preserve"> </w:t>
      </w:r>
      <w:r>
        <w:rPr>
          <w:lang w:val="en-GB"/>
        </w:rPr>
        <w:tab/>
      </w:r>
      <w:r w:rsidRPr="00A675F4">
        <w:rPr>
          <w:lang w:val="en-GB"/>
        </w:rPr>
        <w:t xml:space="preserve">With reference to </w:t>
      </w:r>
      <w:r w:rsidRPr="00A675F4">
        <w:rPr>
          <w:rFonts w:ascii="Arial" w:hAnsi="Arial" w:cs="Arial"/>
          <w:color w:val="242121"/>
          <w:shd w:val="clear" w:color="auto" w:fill="FFFFFF"/>
          <w:lang w:val="en-GB"/>
        </w:rPr>
        <w:t>Transvaal Industrial Foods Ltd v BMM Process (Pty) Ltd </w:t>
      </w:r>
      <w:hyperlink r:id="rId1" w:tooltip="View LawCiteRecord" w:history="1">
        <w:r w:rsidRPr="00A675F4">
          <w:rPr>
            <w:rStyle w:val="Hyperlink"/>
            <w:rFonts w:ascii="Arial" w:hAnsi="Arial" w:cs="Arial"/>
            <w:bCs/>
            <w:color w:val="0B4B0B"/>
            <w:u w:val="none"/>
            <w:shd w:val="clear" w:color="auto" w:fill="FFFFFF"/>
            <w:lang w:val="en-GB"/>
          </w:rPr>
          <w:t>1973 (1) SA 627</w:t>
        </w:r>
      </w:hyperlink>
      <w:r w:rsidRPr="00A675F4">
        <w:rPr>
          <w:rFonts w:ascii="Arial" w:hAnsi="Arial" w:cs="Arial"/>
          <w:color w:val="242121"/>
          <w:shd w:val="clear" w:color="auto" w:fill="FFFFFF"/>
          <w:lang w:val="en-GB"/>
        </w:rPr>
        <w:t> (AD) 628G.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03"/>
      <w:docPartObj>
        <w:docPartGallery w:val="Page Numbers (Top of Page)"/>
        <w:docPartUnique/>
      </w:docPartObj>
    </w:sdtPr>
    <w:sdtEndPr>
      <w:rPr>
        <w:noProof/>
      </w:rPr>
    </w:sdtEndPr>
    <w:sdtContent>
      <w:p w:rsidR="00532094" w:rsidRDefault="00532094">
        <w:pPr>
          <w:pStyle w:val="Header"/>
          <w:jc w:val="right"/>
        </w:pPr>
        <w:r>
          <w:fldChar w:fldCharType="begin"/>
        </w:r>
        <w:r>
          <w:instrText xml:space="preserve"> PAGE   \* MERGEFORMAT </w:instrText>
        </w:r>
        <w:r>
          <w:fldChar w:fldCharType="separate"/>
        </w:r>
        <w:r w:rsidR="0035526C">
          <w:rPr>
            <w:noProof/>
          </w:rPr>
          <w:t>2</w:t>
        </w:r>
        <w:r>
          <w:rPr>
            <w:noProof/>
          </w:rPr>
          <w:fldChar w:fldCharType="end"/>
        </w:r>
      </w:p>
    </w:sdtContent>
  </w:sdt>
  <w:p w:rsidR="00532094" w:rsidRDefault="00532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4FCB5F6A"/>
    <w:multiLevelType w:val="hybridMultilevel"/>
    <w:tmpl w:val="48E4B63E"/>
    <w:lvl w:ilvl="0" w:tplc="4CE41B6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A"/>
    <w:rsid w:val="00023BC4"/>
    <w:rsid w:val="000415D9"/>
    <w:rsid w:val="000472CE"/>
    <w:rsid w:val="000619FE"/>
    <w:rsid w:val="000A3B26"/>
    <w:rsid w:val="00106DF1"/>
    <w:rsid w:val="001834D1"/>
    <w:rsid w:val="00186F20"/>
    <w:rsid w:val="00187067"/>
    <w:rsid w:val="001B7372"/>
    <w:rsid w:val="001F4AA8"/>
    <w:rsid w:val="00242139"/>
    <w:rsid w:val="00274EDA"/>
    <w:rsid w:val="003012DC"/>
    <w:rsid w:val="00302ACD"/>
    <w:rsid w:val="00341A40"/>
    <w:rsid w:val="0035526C"/>
    <w:rsid w:val="003753D4"/>
    <w:rsid w:val="003C684F"/>
    <w:rsid w:val="004C7A05"/>
    <w:rsid w:val="004F41AD"/>
    <w:rsid w:val="0051520E"/>
    <w:rsid w:val="00532094"/>
    <w:rsid w:val="005341C8"/>
    <w:rsid w:val="005C0409"/>
    <w:rsid w:val="005C16C4"/>
    <w:rsid w:val="005C3FA1"/>
    <w:rsid w:val="005F2A54"/>
    <w:rsid w:val="006950D9"/>
    <w:rsid w:val="006A653D"/>
    <w:rsid w:val="006B1759"/>
    <w:rsid w:val="006B3281"/>
    <w:rsid w:val="006F058F"/>
    <w:rsid w:val="007021C1"/>
    <w:rsid w:val="0074597B"/>
    <w:rsid w:val="007F3E98"/>
    <w:rsid w:val="008A43D8"/>
    <w:rsid w:val="008D2AC9"/>
    <w:rsid w:val="009A0366"/>
    <w:rsid w:val="009A070E"/>
    <w:rsid w:val="009B171F"/>
    <w:rsid w:val="00A21081"/>
    <w:rsid w:val="00A53FFA"/>
    <w:rsid w:val="00A675F4"/>
    <w:rsid w:val="00A83D3D"/>
    <w:rsid w:val="00A9590C"/>
    <w:rsid w:val="00AD1F03"/>
    <w:rsid w:val="00B04076"/>
    <w:rsid w:val="00B5763F"/>
    <w:rsid w:val="00B62E8F"/>
    <w:rsid w:val="00B97D8B"/>
    <w:rsid w:val="00BB147E"/>
    <w:rsid w:val="00C07CDD"/>
    <w:rsid w:val="00C37CB4"/>
    <w:rsid w:val="00C73894"/>
    <w:rsid w:val="00CA691E"/>
    <w:rsid w:val="00CC5B8F"/>
    <w:rsid w:val="00CD23A5"/>
    <w:rsid w:val="00CD7323"/>
    <w:rsid w:val="00D2708A"/>
    <w:rsid w:val="00DC71B1"/>
    <w:rsid w:val="00E20C38"/>
    <w:rsid w:val="00F506F7"/>
    <w:rsid w:val="00F52DAF"/>
    <w:rsid w:val="00F56957"/>
    <w:rsid w:val="00FF6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AD725-CF4E-4126-BF8D-5A204649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ormal">
    <w:name w:val="Legal_Normal"/>
    <w:basedOn w:val="Normal"/>
    <w:rsid w:val="00274EDA"/>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Title">
    <w:name w:val="Legal_Title"/>
    <w:basedOn w:val="LegalNormal"/>
    <w:next w:val="LegalNormal"/>
    <w:semiHidden/>
    <w:rsid w:val="00274EDA"/>
    <w:pPr>
      <w:keepNext/>
      <w:jc w:val="center"/>
    </w:pPr>
    <w:rPr>
      <w:b/>
      <w:caps/>
    </w:rPr>
  </w:style>
  <w:style w:type="paragraph" w:customStyle="1" w:styleId="LegalAnnexure">
    <w:name w:val="Legal_Annexure"/>
    <w:basedOn w:val="LegalNormal"/>
    <w:next w:val="LegalNormal"/>
    <w:semiHidden/>
    <w:rsid w:val="00274EDA"/>
    <w:pPr>
      <w:keepNext/>
      <w:jc w:val="right"/>
    </w:pPr>
    <w:rPr>
      <w:b/>
      <w:caps/>
    </w:rPr>
  </w:style>
  <w:style w:type="paragraph" w:styleId="FootnoteText">
    <w:name w:val="footnote text"/>
    <w:basedOn w:val="Normal"/>
    <w:link w:val="FootnoteTextChar"/>
    <w:uiPriority w:val="99"/>
    <w:semiHidden/>
    <w:unhideWhenUsed/>
    <w:rsid w:val="008A4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3D8"/>
    <w:rPr>
      <w:sz w:val="20"/>
      <w:szCs w:val="20"/>
    </w:rPr>
  </w:style>
  <w:style w:type="character" w:styleId="FootnoteReference">
    <w:name w:val="footnote reference"/>
    <w:basedOn w:val="DefaultParagraphFont"/>
    <w:uiPriority w:val="99"/>
    <w:semiHidden/>
    <w:unhideWhenUsed/>
    <w:rsid w:val="008A43D8"/>
    <w:rPr>
      <w:vertAlign w:val="superscript"/>
    </w:rPr>
  </w:style>
  <w:style w:type="character" w:styleId="Hyperlink">
    <w:name w:val="Hyperlink"/>
    <w:basedOn w:val="DefaultParagraphFont"/>
    <w:uiPriority w:val="99"/>
    <w:semiHidden/>
    <w:unhideWhenUsed/>
    <w:rsid w:val="00B62E8F"/>
    <w:rPr>
      <w:color w:val="0000FF"/>
      <w:u w:val="single"/>
    </w:rPr>
  </w:style>
  <w:style w:type="paragraph" w:styleId="BalloonText">
    <w:name w:val="Balloon Text"/>
    <w:basedOn w:val="Normal"/>
    <w:link w:val="BalloonTextChar"/>
    <w:uiPriority w:val="99"/>
    <w:semiHidden/>
    <w:unhideWhenUsed/>
    <w:rsid w:val="008D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9"/>
    <w:rPr>
      <w:rFonts w:ascii="Segoe UI" w:hAnsi="Segoe UI" w:cs="Segoe UI"/>
      <w:sz w:val="18"/>
      <w:szCs w:val="18"/>
    </w:rPr>
  </w:style>
  <w:style w:type="paragraph" w:styleId="ListParagraph">
    <w:name w:val="List Paragraph"/>
    <w:basedOn w:val="Normal"/>
    <w:uiPriority w:val="34"/>
    <w:qFormat/>
    <w:rsid w:val="001834D1"/>
    <w:pPr>
      <w:ind w:left="720"/>
      <w:contextualSpacing/>
    </w:pPr>
  </w:style>
  <w:style w:type="paragraph" w:styleId="Header">
    <w:name w:val="header"/>
    <w:basedOn w:val="Normal"/>
    <w:link w:val="HeaderChar"/>
    <w:uiPriority w:val="99"/>
    <w:unhideWhenUsed/>
    <w:rsid w:val="0053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94"/>
  </w:style>
  <w:style w:type="paragraph" w:styleId="Footer">
    <w:name w:val="footer"/>
    <w:basedOn w:val="Normal"/>
    <w:link w:val="FooterChar"/>
    <w:uiPriority w:val="99"/>
    <w:unhideWhenUsed/>
    <w:rsid w:val="0053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73%20%281%29%20SA%2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182D-DE12-4B07-BFFE-B519E28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2023-10-03T10:33:00Z</cp:lastPrinted>
  <dcterms:created xsi:type="dcterms:W3CDTF">2023-10-13T10:43:00Z</dcterms:created>
  <dcterms:modified xsi:type="dcterms:W3CDTF">2023-10-13T10:43:00Z</dcterms:modified>
</cp:coreProperties>
</file>