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882E" w14:textId="77777777" w:rsidR="00FA4B48" w:rsidRPr="00DB2A06" w:rsidRDefault="00FA4B48" w:rsidP="00FA4B4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B975D34" w14:textId="77777777" w:rsidR="00FA4B48" w:rsidRDefault="00FA4B48" w:rsidP="004E5073">
      <w:pPr>
        <w:spacing w:line="360" w:lineRule="auto"/>
        <w:jc w:val="center"/>
        <w:rPr>
          <w:rFonts w:ascii="Raavi" w:eastAsia="Calibri" w:hAnsi="Raavi" w:cs="Raavi"/>
          <w:b/>
          <w:sz w:val="28"/>
          <w:szCs w:val="28"/>
          <w:u w:val="single"/>
        </w:rPr>
      </w:pPr>
    </w:p>
    <w:p w14:paraId="22E1B7FB" w14:textId="77777777" w:rsidR="004E5073" w:rsidRDefault="004E5073" w:rsidP="004E5073">
      <w:pPr>
        <w:spacing w:line="360" w:lineRule="auto"/>
        <w:jc w:val="center"/>
        <w:rPr>
          <w:rFonts w:ascii="Raavi" w:eastAsia="Calibri" w:hAnsi="Raavi" w:cs="Raavi"/>
          <w:b/>
          <w:sz w:val="28"/>
          <w:szCs w:val="28"/>
          <w:u w:val="single"/>
        </w:rPr>
      </w:pPr>
      <w:r>
        <w:rPr>
          <w:noProof/>
          <w:lang w:val="en-US"/>
        </w:rPr>
        <w:drawing>
          <wp:inline distT="0" distB="0" distL="0" distR="0" wp14:anchorId="1A2DF3AB" wp14:editId="6FE9A48F">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2B369E54" w14:textId="77777777" w:rsidR="00FA4B48" w:rsidRDefault="00FA4B48" w:rsidP="004E5073">
      <w:pPr>
        <w:spacing w:line="360" w:lineRule="auto"/>
        <w:jc w:val="center"/>
        <w:rPr>
          <w:rFonts w:ascii="Arial" w:eastAsia="Calibri" w:hAnsi="Arial" w:cs="Arial"/>
          <w:b/>
          <w:sz w:val="28"/>
          <w:szCs w:val="28"/>
          <w:u w:val="single"/>
        </w:rPr>
      </w:pPr>
    </w:p>
    <w:p w14:paraId="6964D049" w14:textId="77777777" w:rsidR="00FA4B48" w:rsidRDefault="00FA4B48" w:rsidP="004E5073">
      <w:pPr>
        <w:spacing w:line="360" w:lineRule="auto"/>
        <w:jc w:val="center"/>
        <w:rPr>
          <w:rFonts w:ascii="Arial" w:eastAsia="Calibri" w:hAnsi="Arial" w:cs="Arial"/>
          <w:b/>
          <w:sz w:val="28"/>
          <w:szCs w:val="28"/>
          <w:u w:val="single"/>
        </w:rPr>
      </w:pPr>
    </w:p>
    <w:p w14:paraId="485BDED7" w14:textId="77777777" w:rsidR="004E5073" w:rsidRPr="00D14312" w:rsidRDefault="004E5073" w:rsidP="004E5073">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14:paraId="0780C2F6" w14:textId="77777777" w:rsidR="004E5073" w:rsidRPr="00D14312" w:rsidRDefault="004E5073" w:rsidP="004E5073">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E5073" w:rsidRPr="00D14312" w14:paraId="05434B98" w14:textId="77777777" w:rsidTr="00516640">
        <w:tc>
          <w:tcPr>
            <w:tcW w:w="4428" w:type="dxa"/>
          </w:tcPr>
          <w:p w14:paraId="71C41D93" w14:textId="77777777" w:rsidR="004E5073" w:rsidRPr="00D14312" w:rsidRDefault="004E5073" w:rsidP="00516640">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14:paraId="0BAF71D0" w14:textId="37A877FB" w:rsidR="004E5073" w:rsidRPr="00D14312" w:rsidRDefault="004E5073" w:rsidP="00516640">
            <w:pPr>
              <w:spacing w:line="240" w:lineRule="auto"/>
              <w:rPr>
                <w:rFonts w:ascii="Arial" w:eastAsia="Calibri" w:hAnsi="Arial" w:cs="Arial"/>
                <w:b/>
                <w:sz w:val="18"/>
                <w:szCs w:val="18"/>
              </w:rPr>
            </w:pPr>
            <w:r>
              <w:rPr>
                <w:rFonts w:ascii="Arial" w:eastAsia="Calibri" w:hAnsi="Arial" w:cs="Arial"/>
                <w:b/>
                <w:sz w:val="18"/>
                <w:szCs w:val="18"/>
              </w:rPr>
              <w:t xml:space="preserve">(1) REPORTABLE:  </w:t>
            </w:r>
            <w:r w:rsidRPr="00D14312">
              <w:rPr>
                <w:rFonts w:ascii="Arial" w:eastAsia="Calibri" w:hAnsi="Arial" w:cs="Arial"/>
                <w:b/>
                <w:sz w:val="18"/>
                <w:szCs w:val="18"/>
              </w:rPr>
              <w:t>NO.</w:t>
            </w:r>
          </w:p>
          <w:p w14:paraId="64ADF122" w14:textId="0D5E334A" w:rsidR="004E5073" w:rsidRPr="00D14312" w:rsidRDefault="004E5073" w:rsidP="00516640">
            <w:pPr>
              <w:spacing w:line="240" w:lineRule="auto"/>
              <w:rPr>
                <w:rFonts w:ascii="Arial" w:eastAsia="Calibri" w:hAnsi="Arial" w:cs="Arial"/>
                <w:b/>
                <w:sz w:val="18"/>
                <w:szCs w:val="18"/>
              </w:rPr>
            </w:pPr>
            <w:r w:rsidRPr="00D14312">
              <w:rPr>
                <w:rFonts w:ascii="Arial" w:eastAsia="Calibri" w:hAnsi="Arial" w:cs="Arial"/>
                <w:b/>
                <w:sz w:val="18"/>
                <w:szCs w:val="18"/>
              </w:rPr>
              <w:t>(2) OF I</w:t>
            </w:r>
            <w:r>
              <w:rPr>
                <w:rFonts w:ascii="Arial" w:eastAsia="Calibri" w:hAnsi="Arial" w:cs="Arial"/>
                <w:b/>
                <w:sz w:val="18"/>
                <w:szCs w:val="18"/>
              </w:rPr>
              <w:t xml:space="preserve">NTEREST TO OTHER JUDGES: </w:t>
            </w:r>
            <w:r w:rsidRPr="00D14312">
              <w:rPr>
                <w:rFonts w:ascii="Arial" w:eastAsia="Calibri" w:hAnsi="Arial" w:cs="Arial"/>
                <w:b/>
                <w:sz w:val="18"/>
                <w:szCs w:val="18"/>
              </w:rPr>
              <w:t>NO.</w:t>
            </w:r>
          </w:p>
          <w:p w14:paraId="00088484" w14:textId="77777777" w:rsidR="004E5073" w:rsidRPr="00D14312" w:rsidRDefault="004E5073" w:rsidP="00516640">
            <w:pPr>
              <w:spacing w:line="240" w:lineRule="auto"/>
              <w:rPr>
                <w:rFonts w:ascii="Arial" w:eastAsia="Calibri" w:hAnsi="Arial" w:cs="Arial"/>
                <w:b/>
                <w:sz w:val="18"/>
                <w:szCs w:val="18"/>
              </w:rPr>
            </w:pPr>
            <w:r w:rsidRPr="00D14312">
              <w:rPr>
                <w:rFonts w:ascii="Arial" w:eastAsia="Calibri" w:hAnsi="Arial" w:cs="Arial"/>
                <w:b/>
                <w:sz w:val="18"/>
                <w:szCs w:val="18"/>
              </w:rPr>
              <w:t>(3) REVISED.</w:t>
            </w:r>
          </w:p>
          <w:p w14:paraId="61D0634A" w14:textId="1C9EED91" w:rsidR="004E5073" w:rsidRPr="00D14312" w:rsidRDefault="00CF2E42" w:rsidP="00516640">
            <w:pPr>
              <w:spacing w:line="240" w:lineRule="auto"/>
              <w:rPr>
                <w:rFonts w:ascii="Arial" w:eastAsia="Calibri" w:hAnsi="Arial" w:cs="Arial"/>
                <w:b/>
                <w:sz w:val="18"/>
                <w:szCs w:val="18"/>
              </w:rPr>
            </w:pPr>
            <w:r>
              <w:rPr>
                <w:rFonts w:ascii="Arial" w:eastAsia="Calibri" w:hAnsi="Arial" w:cs="Arial"/>
                <w:b/>
                <w:sz w:val="18"/>
                <w:szCs w:val="18"/>
              </w:rPr>
              <w:t>2023-10-05</w:t>
            </w:r>
          </w:p>
          <w:p w14:paraId="127DF597" w14:textId="77777777" w:rsidR="004E5073" w:rsidRPr="00D14312" w:rsidRDefault="004E5073" w:rsidP="00516640">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14:paraId="01B7C05E" w14:textId="77777777" w:rsidR="004E5073" w:rsidRPr="00722437" w:rsidRDefault="004E5073" w:rsidP="004E5073">
      <w:pPr>
        <w:spacing w:line="360" w:lineRule="auto"/>
        <w:jc w:val="right"/>
        <w:rPr>
          <w:rFonts w:ascii="Arial" w:eastAsia="Calibri" w:hAnsi="Arial" w:cs="Arial"/>
          <w:sz w:val="28"/>
          <w:szCs w:val="28"/>
        </w:rPr>
      </w:pPr>
      <w:r>
        <w:rPr>
          <w:rFonts w:ascii="Arial" w:eastAsia="Calibri" w:hAnsi="Arial" w:cs="Arial"/>
          <w:sz w:val="28"/>
          <w:szCs w:val="28"/>
        </w:rPr>
        <w:t>Case Number:  A314/2021</w:t>
      </w:r>
    </w:p>
    <w:p w14:paraId="015B87D4" w14:textId="77777777" w:rsidR="004E5073" w:rsidRPr="00722437" w:rsidRDefault="004E5073" w:rsidP="004E5073">
      <w:pPr>
        <w:spacing w:line="360" w:lineRule="auto"/>
        <w:jc w:val="both"/>
        <w:rPr>
          <w:rFonts w:ascii="Arial" w:eastAsia="Calibri" w:hAnsi="Arial" w:cs="Arial"/>
          <w:sz w:val="28"/>
          <w:szCs w:val="28"/>
        </w:rPr>
      </w:pPr>
      <w:r w:rsidRPr="00722437">
        <w:rPr>
          <w:rFonts w:ascii="Arial" w:eastAsia="Calibri" w:hAnsi="Arial" w:cs="Arial"/>
          <w:sz w:val="28"/>
          <w:szCs w:val="28"/>
        </w:rPr>
        <w:t>In the matter between:</w:t>
      </w:r>
    </w:p>
    <w:p w14:paraId="2F7693E8" w14:textId="77777777" w:rsidR="004E5073" w:rsidRPr="00722437" w:rsidRDefault="004E5073" w:rsidP="004E5073">
      <w:pPr>
        <w:spacing w:line="360" w:lineRule="auto"/>
        <w:jc w:val="both"/>
        <w:rPr>
          <w:rFonts w:ascii="Arial" w:eastAsia="Calibri" w:hAnsi="Arial" w:cs="Arial"/>
          <w:sz w:val="28"/>
          <w:szCs w:val="28"/>
        </w:rPr>
      </w:pPr>
    </w:p>
    <w:p w14:paraId="7314E51E" w14:textId="77777777" w:rsidR="004E5073" w:rsidRDefault="004E5073" w:rsidP="004E5073">
      <w:pPr>
        <w:spacing w:line="360" w:lineRule="auto"/>
        <w:jc w:val="both"/>
        <w:rPr>
          <w:rFonts w:ascii="Arial" w:eastAsia="Calibri" w:hAnsi="Arial" w:cs="Arial"/>
          <w:sz w:val="28"/>
          <w:szCs w:val="28"/>
        </w:rPr>
      </w:pPr>
      <w:r>
        <w:rPr>
          <w:rFonts w:ascii="Arial" w:eastAsia="Calibri" w:hAnsi="Arial" w:cs="Arial"/>
          <w:b/>
          <w:sz w:val="28"/>
          <w:szCs w:val="28"/>
        </w:rPr>
        <w:t xml:space="preserve">CLASSIC CROWN PROPERTIES 55 CC                             </w:t>
      </w:r>
      <w:r>
        <w:rPr>
          <w:rFonts w:ascii="Arial" w:eastAsia="Calibri" w:hAnsi="Arial" w:cs="Arial"/>
          <w:sz w:val="28"/>
          <w:szCs w:val="28"/>
        </w:rPr>
        <w:t>First Appellant</w:t>
      </w:r>
    </w:p>
    <w:p w14:paraId="03A6A5A7" w14:textId="77777777" w:rsidR="004E5073" w:rsidRDefault="004E5073" w:rsidP="004E5073">
      <w:pPr>
        <w:spacing w:line="360" w:lineRule="auto"/>
        <w:jc w:val="both"/>
        <w:rPr>
          <w:rFonts w:ascii="Arial" w:eastAsia="Calibri" w:hAnsi="Arial" w:cs="Arial"/>
          <w:sz w:val="28"/>
          <w:szCs w:val="28"/>
        </w:rPr>
      </w:pPr>
      <w:r>
        <w:rPr>
          <w:rFonts w:ascii="Arial" w:eastAsia="Calibri" w:hAnsi="Arial" w:cs="Arial"/>
          <w:sz w:val="28"/>
          <w:szCs w:val="28"/>
        </w:rPr>
        <w:t>(Registration Number:  2022/030894/23)</w:t>
      </w:r>
    </w:p>
    <w:p w14:paraId="2B2DA932" w14:textId="77777777" w:rsidR="004E5073" w:rsidRDefault="004E5073" w:rsidP="004E5073">
      <w:pPr>
        <w:spacing w:line="360" w:lineRule="auto"/>
        <w:jc w:val="both"/>
        <w:rPr>
          <w:rFonts w:ascii="Arial" w:eastAsia="Calibri" w:hAnsi="Arial" w:cs="Arial"/>
          <w:sz w:val="28"/>
          <w:szCs w:val="28"/>
        </w:rPr>
      </w:pPr>
      <w:r>
        <w:rPr>
          <w:rFonts w:ascii="Arial" w:eastAsia="Calibri" w:hAnsi="Arial" w:cs="Arial"/>
          <w:b/>
          <w:sz w:val="28"/>
          <w:szCs w:val="28"/>
        </w:rPr>
        <w:t>CALVIN NYIKO MAPHOPHE</w:t>
      </w:r>
      <w:r>
        <w:rPr>
          <w:rFonts w:ascii="Arial" w:eastAsia="Calibri" w:hAnsi="Arial" w:cs="Arial"/>
          <w:b/>
          <w:sz w:val="28"/>
          <w:szCs w:val="28"/>
        </w:rPr>
        <w:tab/>
        <w:t xml:space="preserve">                                </w:t>
      </w:r>
      <w:r>
        <w:rPr>
          <w:rFonts w:ascii="Arial" w:eastAsia="Calibri" w:hAnsi="Arial" w:cs="Arial"/>
          <w:sz w:val="28"/>
          <w:szCs w:val="28"/>
        </w:rPr>
        <w:t>Second Appellant</w:t>
      </w:r>
    </w:p>
    <w:p w14:paraId="11C0BF7B" w14:textId="25044897" w:rsidR="004E5073" w:rsidRDefault="004E5073" w:rsidP="004E5073">
      <w:pPr>
        <w:spacing w:line="360" w:lineRule="auto"/>
        <w:jc w:val="both"/>
        <w:rPr>
          <w:rFonts w:ascii="Arial" w:eastAsia="Calibri" w:hAnsi="Arial" w:cs="Arial"/>
          <w:sz w:val="28"/>
          <w:szCs w:val="28"/>
        </w:rPr>
      </w:pPr>
      <w:r>
        <w:rPr>
          <w:rFonts w:ascii="Arial" w:eastAsia="Calibri" w:hAnsi="Arial" w:cs="Arial"/>
          <w:sz w:val="28"/>
          <w:szCs w:val="28"/>
        </w:rPr>
        <w:t>(I</w:t>
      </w:r>
      <w:r w:rsidR="00771A85">
        <w:rPr>
          <w:rFonts w:ascii="Arial" w:eastAsia="Calibri" w:hAnsi="Arial" w:cs="Arial"/>
          <w:sz w:val="28"/>
          <w:szCs w:val="28"/>
        </w:rPr>
        <w:t>dentity number:  […]</w:t>
      </w:r>
      <w:r>
        <w:rPr>
          <w:rFonts w:ascii="Arial" w:eastAsia="Calibri" w:hAnsi="Arial" w:cs="Arial"/>
          <w:sz w:val="28"/>
          <w:szCs w:val="28"/>
        </w:rPr>
        <w:t>)</w:t>
      </w:r>
    </w:p>
    <w:p w14:paraId="2A7E7CC5" w14:textId="77777777" w:rsidR="004E5073" w:rsidRDefault="004E5073" w:rsidP="004E5073">
      <w:pPr>
        <w:spacing w:line="360" w:lineRule="auto"/>
        <w:jc w:val="both"/>
        <w:rPr>
          <w:rFonts w:ascii="Arial" w:eastAsia="Calibri" w:hAnsi="Arial" w:cs="Arial"/>
          <w:sz w:val="28"/>
          <w:szCs w:val="28"/>
        </w:rPr>
      </w:pPr>
      <w:r>
        <w:rPr>
          <w:rFonts w:ascii="Arial" w:eastAsia="Calibri" w:hAnsi="Arial" w:cs="Arial"/>
          <w:b/>
          <w:sz w:val="28"/>
          <w:szCs w:val="28"/>
        </w:rPr>
        <w:t xml:space="preserve">THANDIWE LYDIA MAPHOPHE                                        </w:t>
      </w:r>
      <w:r>
        <w:rPr>
          <w:rFonts w:ascii="Arial" w:eastAsia="Calibri" w:hAnsi="Arial" w:cs="Arial"/>
          <w:sz w:val="28"/>
          <w:szCs w:val="28"/>
        </w:rPr>
        <w:t>Third Appellant</w:t>
      </w:r>
    </w:p>
    <w:p w14:paraId="5185560D" w14:textId="23152FF6" w:rsidR="004E5073" w:rsidRPr="00F44B2B" w:rsidRDefault="004E5073" w:rsidP="004E5073">
      <w:pPr>
        <w:spacing w:line="360" w:lineRule="auto"/>
        <w:jc w:val="both"/>
        <w:rPr>
          <w:rFonts w:ascii="Arial" w:eastAsia="Calibri" w:hAnsi="Arial" w:cs="Arial"/>
          <w:b/>
          <w:sz w:val="28"/>
          <w:szCs w:val="28"/>
        </w:rPr>
      </w:pPr>
      <w:r>
        <w:rPr>
          <w:rFonts w:ascii="Arial" w:eastAsia="Calibri" w:hAnsi="Arial" w:cs="Arial"/>
          <w:sz w:val="28"/>
          <w:szCs w:val="28"/>
        </w:rPr>
        <w:lastRenderedPageBreak/>
        <w:t>(I</w:t>
      </w:r>
      <w:r w:rsidR="00771A85">
        <w:rPr>
          <w:rFonts w:ascii="Arial" w:eastAsia="Calibri" w:hAnsi="Arial" w:cs="Arial"/>
          <w:sz w:val="28"/>
          <w:szCs w:val="28"/>
        </w:rPr>
        <w:t>dentity number:  […]</w:t>
      </w:r>
      <w:bookmarkStart w:id="0" w:name="_GoBack"/>
      <w:bookmarkEnd w:id="0"/>
      <w:r>
        <w:rPr>
          <w:rFonts w:ascii="Arial" w:eastAsia="Calibri" w:hAnsi="Arial" w:cs="Arial"/>
          <w:sz w:val="28"/>
          <w:szCs w:val="28"/>
        </w:rPr>
        <w:t>)</w:t>
      </w:r>
      <w:r>
        <w:rPr>
          <w:rFonts w:ascii="Arial" w:eastAsia="Calibri" w:hAnsi="Arial" w:cs="Arial"/>
          <w:b/>
          <w:sz w:val="28"/>
          <w:szCs w:val="28"/>
        </w:rPr>
        <w:t xml:space="preserve">                                      </w:t>
      </w:r>
    </w:p>
    <w:p w14:paraId="03430B51" w14:textId="77777777" w:rsidR="004E5073" w:rsidRDefault="004E5073" w:rsidP="004E5073">
      <w:pPr>
        <w:spacing w:line="360" w:lineRule="auto"/>
        <w:jc w:val="both"/>
        <w:rPr>
          <w:rFonts w:ascii="Arial" w:eastAsia="Calibri" w:hAnsi="Arial" w:cs="Arial"/>
          <w:sz w:val="28"/>
          <w:szCs w:val="28"/>
        </w:rPr>
      </w:pPr>
      <w:r>
        <w:rPr>
          <w:rFonts w:ascii="Arial" w:eastAsia="Calibri" w:hAnsi="Arial" w:cs="Arial"/>
          <w:sz w:val="28"/>
          <w:szCs w:val="28"/>
        </w:rPr>
        <w:t>a</w:t>
      </w:r>
      <w:r w:rsidRPr="00722437">
        <w:rPr>
          <w:rFonts w:ascii="Arial" w:eastAsia="Calibri" w:hAnsi="Arial" w:cs="Arial"/>
          <w:sz w:val="28"/>
          <w:szCs w:val="28"/>
        </w:rPr>
        <w:t>nd</w:t>
      </w:r>
    </w:p>
    <w:p w14:paraId="3E15C6B1" w14:textId="77777777" w:rsidR="004E5073" w:rsidRDefault="004E5073" w:rsidP="004E5073">
      <w:pPr>
        <w:spacing w:line="360" w:lineRule="auto"/>
        <w:jc w:val="both"/>
        <w:rPr>
          <w:rFonts w:ascii="Arial" w:eastAsia="Calibri" w:hAnsi="Arial" w:cs="Arial"/>
          <w:sz w:val="28"/>
          <w:szCs w:val="28"/>
        </w:rPr>
      </w:pPr>
      <w:r>
        <w:rPr>
          <w:rFonts w:ascii="Arial" w:eastAsia="Calibri" w:hAnsi="Arial" w:cs="Arial"/>
          <w:b/>
          <w:sz w:val="28"/>
          <w:szCs w:val="28"/>
        </w:rPr>
        <w:t xml:space="preserve">THE STANDARD BANK OF SOUTH AFRICA LIMITED        </w:t>
      </w:r>
      <w:r>
        <w:rPr>
          <w:rFonts w:ascii="Arial" w:eastAsia="Calibri" w:hAnsi="Arial" w:cs="Arial"/>
          <w:sz w:val="28"/>
          <w:szCs w:val="28"/>
        </w:rPr>
        <w:t>Respondent</w:t>
      </w:r>
    </w:p>
    <w:p w14:paraId="64744AD8" w14:textId="11A2DA56" w:rsidR="004E5073" w:rsidRPr="00722437" w:rsidRDefault="004E5073" w:rsidP="004E5073">
      <w:pPr>
        <w:spacing w:line="240" w:lineRule="auto"/>
        <w:jc w:val="both"/>
        <w:rPr>
          <w:rFonts w:ascii="Arial" w:hAnsi="Arial" w:cs="Arial"/>
          <w:b/>
          <w:sz w:val="28"/>
          <w:szCs w:val="28"/>
        </w:rPr>
      </w:pPr>
      <w:r>
        <w:rPr>
          <w:rFonts w:ascii="Arial" w:hAnsi="Arial" w:cs="Arial"/>
          <w:i/>
          <w:sz w:val="24"/>
          <w:szCs w:val="24"/>
        </w:rPr>
        <w:t>This judgment was prepared and authored by the Judge whose name is reflected and is handed down electronically by circulation to the Parties/their legal representatives by email and by uploading it to the electronic file of this matter on CaseLines.  The date for</w:t>
      </w:r>
      <w:r w:rsidR="00CF2E42">
        <w:rPr>
          <w:rFonts w:ascii="Arial" w:hAnsi="Arial" w:cs="Arial"/>
          <w:i/>
          <w:sz w:val="24"/>
          <w:szCs w:val="24"/>
        </w:rPr>
        <w:t xml:space="preserve"> handing down is deemed to be 5 October</w:t>
      </w:r>
      <w:r>
        <w:rPr>
          <w:rFonts w:ascii="Arial" w:hAnsi="Arial" w:cs="Arial"/>
          <w:i/>
          <w:sz w:val="24"/>
          <w:szCs w:val="24"/>
        </w:rPr>
        <w:t xml:space="preserve"> 2023.</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Pr="00722437">
        <w:rPr>
          <w:rFonts w:ascii="Arial" w:hAnsi="Arial" w:cs="Arial"/>
          <w:b/>
          <w:sz w:val="28"/>
          <w:szCs w:val="28"/>
        </w:rPr>
        <w:tab/>
      </w:r>
      <w:r w:rsidRPr="00722437">
        <w:rPr>
          <w:rFonts w:ascii="Arial" w:hAnsi="Arial" w:cs="Arial"/>
          <w:b/>
          <w:sz w:val="28"/>
          <w:szCs w:val="28"/>
        </w:rPr>
        <w:tab/>
      </w:r>
    </w:p>
    <w:p w14:paraId="5C682971" w14:textId="77777777" w:rsidR="004E5073" w:rsidRPr="00722437" w:rsidRDefault="004E5073" w:rsidP="004E5073">
      <w:pPr>
        <w:pBdr>
          <w:top w:val="single" w:sz="12" w:space="1" w:color="auto"/>
          <w:bottom w:val="single" w:sz="12" w:space="1" w:color="auto"/>
        </w:pBdr>
        <w:spacing w:line="240" w:lineRule="auto"/>
        <w:jc w:val="center"/>
        <w:rPr>
          <w:rFonts w:ascii="Arial" w:hAnsi="Arial" w:cs="Arial"/>
          <w:b/>
          <w:sz w:val="28"/>
          <w:szCs w:val="28"/>
        </w:rPr>
      </w:pPr>
    </w:p>
    <w:p w14:paraId="230AC040" w14:textId="77777777" w:rsidR="004E5073" w:rsidRPr="00722437" w:rsidRDefault="004E5073" w:rsidP="004E5073">
      <w:pPr>
        <w:pBdr>
          <w:top w:val="single" w:sz="12" w:space="1" w:color="auto"/>
          <w:bottom w:val="single" w:sz="12" w:space="1" w:color="auto"/>
        </w:pBdr>
        <w:spacing w:line="240" w:lineRule="auto"/>
        <w:jc w:val="center"/>
        <w:rPr>
          <w:rFonts w:ascii="Arial" w:hAnsi="Arial" w:cs="Arial"/>
          <w:b/>
          <w:sz w:val="28"/>
          <w:szCs w:val="28"/>
        </w:rPr>
      </w:pPr>
      <w:r w:rsidRPr="00722437">
        <w:rPr>
          <w:rFonts w:ascii="Arial" w:hAnsi="Arial" w:cs="Arial"/>
          <w:b/>
          <w:sz w:val="28"/>
          <w:szCs w:val="28"/>
        </w:rPr>
        <w:t>JUDGMENT</w:t>
      </w:r>
    </w:p>
    <w:p w14:paraId="6E7E15D0" w14:textId="77777777" w:rsidR="004E5073" w:rsidRPr="00722437" w:rsidRDefault="004E5073" w:rsidP="004E5073">
      <w:pPr>
        <w:pBdr>
          <w:top w:val="single" w:sz="12" w:space="1" w:color="auto"/>
          <w:bottom w:val="single" w:sz="12" w:space="1" w:color="auto"/>
        </w:pBdr>
        <w:spacing w:line="240" w:lineRule="auto"/>
        <w:jc w:val="center"/>
        <w:rPr>
          <w:rFonts w:ascii="Arial" w:hAnsi="Arial" w:cs="Arial"/>
          <w:b/>
          <w:sz w:val="28"/>
          <w:szCs w:val="28"/>
        </w:rPr>
      </w:pPr>
    </w:p>
    <w:p w14:paraId="7617C019" w14:textId="77777777" w:rsidR="004E5073" w:rsidRPr="00722437" w:rsidRDefault="004E5073" w:rsidP="004E5073">
      <w:pPr>
        <w:spacing w:line="360" w:lineRule="auto"/>
        <w:jc w:val="both"/>
        <w:rPr>
          <w:rFonts w:ascii="Arial" w:hAnsi="Arial" w:cs="Arial"/>
          <w:b/>
          <w:sz w:val="28"/>
          <w:szCs w:val="28"/>
        </w:rPr>
      </w:pPr>
    </w:p>
    <w:p w14:paraId="083182E2" w14:textId="77777777" w:rsidR="004E5073" w:rsidRDefault="004E5073" w:rsidP="004E5073">
      <w:pPr>
        <w:spacing w:line="360" w:lineRule="auto"/>
        <w:rPr>
          <w:rFonts w:ascii="Arial" w:hAnsi="Arial" w:cs="Arial"/>
          <w:b/>
          <w:sz w:val="28"/>
          <w:szCs w:val="28"/>
        </w:rPr>
      </w:pPr>
      <w:r w:rsidRPr="00722437">
        <w:rPr>
          <w:rFonts w:ascii="Arial" w:hAnsi="Arial" w:cs="Arial"/>
          <w:b/>
          <w:sz w:val="28"/>
          <w:szCs w:val="28"/>
        </w:rPr>
        <w:t>POTTERILL J</w:t>
      </w:r>
    </w:p>
    <w:p w14:paraId="6E76DF0E" w14:textId="77777777" w:rsidR="004E5073" w:rsidRPr="004E5073" w:rsidRDefault="004E5073" w:rsidP="004E5073">
      <w:pPr>
        <w:spacing w:after="160" w:line="360" w:lineRule="auto"/>
        <w:jc w:val="both"/>
        <w:rPr>
          <w:rFonts w:ascii="Arial" w:eastAsiaTheme="minorHAnsi" w:hAnsi="Arial" w:cs="Arial"/>
          <w:i/>
          <w:sz w:val="24"/>
          <w:szCs w:val="24"/>
        </w:rPr>
      </w:pPr>
      <w:r w:rsidRPr="004E5073">
        <w:rPr>
          <w:rFonts w:ascii="Arial" w:eastAsiaTheme="minorHAnsi" w:hAnsi="Arial" w:cs="Arial"/>
          <w:i/>
          <w:sz w:val="24"/>
          <w:szCs w:val="24"/>
        </w:rPr>
        <w:t>Introduction</w:t>
      </w:r>
    </w:p>
    <w:p w14:paraId="61581CD0" w14:textId="77777777" w:rsidR="004E5073" w:rsidRPr="004E5073" w:rsidRDefault="004E5073" w:rsidP="004E5073">
      <w:pPr>
        <w:spacing w:after="160" w:line="360" w:lineRule="auto"/>
        <w:jc w:val="both"/>
        <w:rPr>
          <w:rFonts w:ascii="Arial" w:eastAsiaTheme="minorHAnsi" w:hAnsi="Arial" w:cs="Arial"/>
          <w:sz w:val="24"/>
          <w:szCs w:val="24"/>
        </w:rPr>
      </w:pPr>
      <w:r w:rsidRPr="004E5073">
        <w:rPr>
          <w:rFonts w:ascii="Arial" w:eastAsiaTheme="minorHAnsi" w:hAnsi="Arial" w:cs="Arial"/>
          <w:sz w:val="24"/>
          <w:szCs w:val="24"/>
        </w:rPr>
        <w:t>[1]</w:t>
      </w:r>
      <w:r w:rsidRPr="004E5073">
        <w:rPr>
          <w:rFonts w:ascii="Arial" w:eastAsiaTheme="minorHAnsi" w:hAnsi="Arial" w:cs="Arial"/>
          <w:sz w:val="24"/>
          <w:szCs w:val="24"/>
        </w:rPr>
        <w:tab/>
        <w:t>The appellant, Classic Crown Properties 55 CC [Classic Crown] concluded three loan agreements with the respondent, The Standard Bank of South Africa Limited [Standard Bank]. Three mortgage bonds were registered over the immovable property registered in the name of Classic Crown as security for these loans. The second appellant, Calvin Nyiko Maphophe [Mr Maphophe] and the third appellant, Thandiwe Lydia Maphophe [Ms Maphophe] signed two suretyships confirming and reconfirming that they are bound as sureties and co-principal debtors towards Standard Bank for all three loans.</w:t>
      </w:r>
    </w:p>
    <w:p w14:paraId="0C5633CD" w14:textId="77777777" w:rsidR="004E5073" w:rsidRPr="004E5073" w:rsidRDefault="004E5073" w:rsidP="004E5073">
      <w:pPr>
        <w:spacing w:after="160" w:line="360" w:lineRule="auto"/>
        <w:jc w:val="both"/>
        <w:rPr>
          <w:rFonts w:ascii="Arial" w:eastAsiaTheme="minorHAnsi" w:hAnsi="Arial" w:cs="Arial"/>
          <w:sz w:val="24"/>
          <w:szCs w:val="24"/>
        </w:rPr>
      </w:pPr>
    </w:p>
    <w:p w14:paraId="620E09F3" w14:textId="32B378C4" w:rsidR="004E5073" w:rsidRDefault="004E5073" w:rsidP="004E5073">
      <w:pPr>
        <w:spacing w:after="160" w:line="360" w:lineRule="auto"/>
        <w:jc w:val="both"/>
        <w:rPr>
          <w:rFonts w:ascii="Arial" w:eastAsiaTheme="minorHAnsi" w:hAnsi="Arial" w:cs="Arial"/>
          <w:sz w:val="24"/>
          <w:szCs w:val="24"/>
        </w:rPr>
      </w:pPr>
      <w:r w:rsidRPr="004E5073">
        <w:rPr>
          <w:rFonts w:ascii="Arial" w:eastAsiaTheme="minorHAnsi" w:hAnsi="Arial" w:cs="Arial"/>
          <w:sz w:val="24"/>
          <w:szCs w:val="24"/>
        </w:rPr>
        <w:t>[2]</w:t>
      </w:r>
      <w:r w:rsidRPr="004E5073">
        <w:rPr>
          <w:rFonts w:ascii="Arial" w:eastAsiaTheme="minorHAnsi" w:hAnsi="Arial" w:cs="Arial"/>
          <w:sz w:val="24"/>
          <w:szCs w:val="24"/>
        </w:rPr>
        <w:tab/>
        <w:t>Classic Crown defaulted on the payments and Standard Bank by means of application sought enforcement of the debt and execution against the property. As o</w:t>
      </w:r>
      <w:r w:rsidR="003E5270">
        <w:rPr>
          <w:rFonts w:ascii="Arial" w:eastAsiaTheme="minorHAnsi" w:hAnsi="Arial" w:cs="Arial"/>
          <w:sz w:val="24"/>
          <w:szCs w:val="24"/>
        </w:rPr>
        <w:t>f</w:t>
      </w:r>
      <w:r w:rsidRPr="004E5073">
        <w:rPr>
          <w:rFonts w:ascii="Arial" w:eastAsiaTheme="minorHAnsi" w:hAnsi="Arial" w:cs="Arial"/>
          <w:sz w:val="24"/>
          <w:szCs w:val="24"/>
        </w:rPr>
        <w:t xml:space="preserve"> 5 May 2017 the arrear instalments amounted to R115 978.89 with the last instalment received on 18 August 2014.</w:t>
      </w:r>
    </w:p>
    <w:p w14:paraId="4FA09E3F" w14:textId="77777777" w:rsidR="00E9082E" w:rsidRPr="004E5073" w:rsidRDefault="00E9082E" w:rsidP="004E5073">
      <w:pPr>
        <w:spacing w:after="160" w:line="360" w:lineRule="auto"/>
        <w:jc w:val="both"/>
        <w:rPr>
          <w:rFonts w:ascii="Arial" w:eastAsiaTheme="minorHAnsi" w:hAnsi="Arial" w:cs="Arial"/>
          <w:sz w:val="24"/>
          <w:szCs w:val="24"/>
        </w:rPr>
      </w:pPr>
    </w:p>
    <w:p w14:paraId="5FE3B119" w14:textId="77777777" w:rsidR="004E5073" w:rsidRPr="004E5073" w:rsidRDefault="004E5073" w:rsidP="004E5073">
      <w:pPr>
        <w:spacing w:after="160" w:line="360" w:lineRule="auto"/>
        <w:jc w:val="both"/>
        <w:rPr>
          <w:rFonts w:ascii="Arial" w:eastAsiaTheme="minorHAnsi" w:hAnsi="Arial" w:cs="Arial"/>
          <w:sz w:val="24"/>
          <w:szCs w:val="24"/>
        </w:rPr>
      </w:pPr>
      <w:r w:rsidRPr="004E5073">
        <w:rPr>
          <w:rFonts w:ascii="Arial" w:eastAsiaTheme="minorHAnsi" w:hAnsi="Arial" w:cs="Arial"/>
          <w:sz w:val="24"/>
          <w:szCs w:val="24"/>
        </w:rPr>
        <w:lastRenderedPageBreak/>
        <w:t>[3]</w:t>
      </w:r>
      <w:r w:rsidRPr="004E5073">
        <w:rPr>
          <w:rFonts w:ascii="Arial" w:eastAsiaTheme="minorHAnsi" w:hAnsi="Arial" w:cs="Arial"/>
          <w:sz w:val="24"/>
          <w:szCs w:val="24"/>
        </w:rPr>
        <w:tab/>
        <w:t>The application was enrolled on the unopposed roll but Standard Bank received a notice to oppose and the matter had to be removed from the unopposed roll. The matter was again enrolled on the unopposed roll because no answering affidavit was filed, but the day before the hearing Classic Crown filed an opposing affidavit again resulting in a postponement of the matter.</w:t>
      </w:r>
    </w:p>
    <w:p w14:paraId="3D0E0099" w14:textId="77777777" w:rsidR="004E5073" w:rsidRPr="004E5073" w:rsidRDefault="004E5073" w:rsidP="004E5073">
      <w:pPr>
        <w:spacing w:after="160" w:line="360" w:lineRule="auto"/>
        <w:jc w:val="both"/>
        <w:rPr>
          <w:rFonts w:ascii="Arial" w:eastAsiaTheme="minorHAnsi" w:hAnsi="Arial" w:cs="Arial"/>
          <w:sz w:val="24"/>
          <w:szCs w:val="24"/>
        </w:rPr>
      </w:pPr>
    </w:p>
    <w:p w14:paraId="5D39B25D" w14:textId="5076B781" w:rsidR="004E5073" w:rsidRPr="004E5073" w:rsidRDefault="004E5073" w:rsidP="004E5073">
      <w:pPr>
        <w:spacing w:after="160" w:line="360" w:lineRule="auto"/>
        <w:jc w:val="both"/>
        <w:rPr>
          <w:rFonts w:ascii="Arial" w:eastAsiaTheme="minorHAnsi" w:hAnsi="Arial" w:cs="Arial"/>
          <w:sz w:val="24"/>
          <w:szCs w:val="24"/>
        </w:rPr>
      </w:pPr>
      <w:r w:rsidRPr="004E5073">
        <w:rPr>
          <w:rFonts w:ascii="Arial" w:eastAsiaTheme="minorHAnsi" w:hAnsi="Arial" w:cs="Arial"/>
          <w:sz w:val="24"/>
          <w:szCs w:val="24"/>
        </w:rPr>
        <w:t>[4]</w:t>
      </w:r>
      <w:r w:rsidRPr="004E5073">
        <w:rPr>
          <w:rFonts w:ascii="Arial" w:eastAsiaTheme="minorHAnsi" w:hAnsi="Arial" w:cs="Arial"/>
          <w:sz w:val="24"/>
          <w:szCs w:val="24"/>
        </w:rPr>
        <w:tab/>
        <w:t>The matter was heard by Acting Judge Gwala on 20 November 2018.  Classic Crown did not deny its indebtedness but raise</w:t>
      </w:r>
      <w:r w:rsidR="003E5270">
        <w:rPr>
          <w:rFonts w:ascii="Arial" w:eastAsiaTheme="minorHAnsi" w:hAnsi="Arial" w:cs="Arial"/>
          <w:sz w:val="24"/>
          <w:szCs w:val="24"/>
        </w:rPr>
        <w:t>d</w:t>
      </w:r>
      <w:r w:rsidRPr="004E5073">
        <w:rPr>
          <w:rFonts w:ascii="Arial" w:eastAsiaTheme="minorHAnsi" w:hAnsi="Arial" w:cs="Arial"/>
          <w:sz w:val="24"/>
          <w:szCs w:val="24"/>
        </w:rPr>
        <w:t xml:space="preserve"> four points </w:t>
      </w:r>
      <w:r w:rsidRPr="004E5073">
        <w:rPr>
          <w:rFonts w:ascii="Arial" w:eastAsiaTheme="minorHAnsi" w:hAnsi="Arial" w:cs="Arial"/>
          <w:i/>
          <w:sz w:val="24"/>
          <w:szCs w:val="24"/>
        </w:rPr>
        <w:t>in limine</w:t>
      </w:r>
      <w:r w:rsidRPr="004E5073">
        <w:rPr>
          <w:rFonts w:ascii="Arial" w:eastAsiaTheme="minorHAnsi" w:hAnsi="Arial" w:cs="Arial"/>
          <w:sz w:val="24"/>
          <w:szCs w:val="24"/>
        </w:rPr>
        <w:t xml:space="preserve">. The Court rejected the points </w:t>
      </w:r>
      <w:r w:rsidRPr="004E5073">
        <w:rPr>
          <w:rFonts w:ascii="Arial" w:eastAsiaTheme="minorHAnsi" w:hAnsi="Arial" w:cs="Arial"/>
          <w:i/>
          <w:sz w:val="24"/>
          <w:szCs w:val="24"/>
        </w:rPr>
        <w:t xml:space="preserve">in limine </w:t>
      </w:r>
      <w:r w:rsidRPr="004E5073">
        <w:rPr>
          <w:rFonts w:ascii="Arial" w:eastAsiaTheme="minorHAnsi" w:hAnsi="Arial" w:cs="Arial"/>
          <w:sz w:val="24"/>
          <w:szCs w:val="24"/>
        </w:rPr>
        <w:t>and granted judgment agains</w:t>
      </w:r>
      <w:r w:rsidR="001C4DB6">
        <w:rPr>
          <w:rFonts w:ascii="Arial" w:eastAsiaTheme="minorHAnsi" w:hAnsi="Arial" w:cs="Arial"/>
          <w:sz w:val="24"/>
          <w:szCs w:val="24"/>
        </w:rPr>
        <w:t>t Classic Crown and Mr and Mrs Maphophe</w:t>
      </w:r>
      <w:r w:rsidRPr="004E5073">
        <w:rPr>
          <w:rFonts w:ascii="Arial" w:eastAsiaTheme="minorHAnsi" w:hAnsi="Arial" w:cs="Arial"/>
          <w:sz w:val="24"/>
          <w:szCs w:val="24"/>
        </w:rPr>
        <w:t xml:space="preserve"> on 20 November 2019. As for the executable the Court found as follows:</w:t>
      </w:r>
    </w:p>
    <w:p w14:paraId="097C9040" w14:textId="77777777" w:rsidR="004E5073" w:rsidRPr="004E5073" w:rsidRDefault="004E5073" w:rsidP="004E5073">
      <w:pPr>
        <w:widowControl w:val="0"/>
        <w:spacing w:after="480" w:line="360" w:lineRule="auto"/>
        <w:ind w:left="1440"/>
        <w:jc w:val="both"/>
        <w:rPr>
          <w:rFonts w:ascii="Arial" w:eastAsia="Verdana" w:hAnsi="Arial" w:cs="Arial"/>
          <w:i/>
          <w:sz w:val="24"/>
          <w:szCs w:val="24"/>
        </w:rPr>
      </w:pPr>
      <w:r w:rsidRPr="004E5073">
        <w:rPr>
          <w:rFonts w:ascii="Arial" w:eastAsia="Verdana" w:hAnsi="Arial" w:cs="Arial"/>
          <w:i/>
          <w:iCs/>
          <w:sz w:val="24"/>
          <w:szCs w:val="24"/>
        </w:rPr>
        <w:t>“The fact that the first respondent has not made any attempt to make payments towards the monthly instalments for over a period of four years is worrying. The respondents seem to deny that the first respondent has not made payments over that period. They did not assist, however, by providing any kind of proof that payments have been made in the meantime. I have no way of assessing whether they will be able to satisfy the judgment order once granted in any way other than declaring the property specially executable. They have not provided any information to demonstrate that the order declaring the property specially executable is not justified. The debt has been outstanding for far too long. "</w:t>
      </w:r>
    </w:p>
    <w:p w14:paraId="0AB6A166" w14:textId="77777777" w:rsidR="004E5073" w:rsidRPr="004E5073" w:rsidRDefault="004E5073" w:rsidP="004E5073">
      <w:pPr>
        <w:spacing w:after="160" w:line="360" w:lineRule="auto"/>
        <w:jc w:val="both"/>
        <w:rPr>
          <w:rFonts w:ascii="Arial" w:eastAsiaTheme="minorHAnsi" w:hAnsi="Arial" w:cs="Arial"/>
          <w:sz w:val="24"/>
          <w:szCs w:val="24"/>
        </w:rPr>
      </w:pPr>
    </w:p>
    <w:p w14:paraId="1B5A77BC" w14:textId="77777777" w:rsidR="004E5073" w:rsidRPr="004E5073" w:rsidRDefault="004E5073" w:rsidP="004E5073">
      <w:pPr>
        <w:spacing w:after="160" w:line="360" w:lineRule="auto"/>
        <w:jc w:val="both"/>
        <w:rPr>
          <w:rFonts w:ascii="Arial" w:eastAsiaTheme="minorHAnsi" w:hAnsi="Arial" w:cs="Arial"/>
          <w:sz w:val="24"/>
          <w:szCs w:val="24"/>
        </w:rPr>
      </w:pPr>
      <w:r w:rsidRPr="004E5073">
        <w:rPr>
          <w:rFonts w:ascii="Arial" w:eastAsiaTheme="minorHAnsi" w:hAnsi="Arial" w:cs="Arial"/>
          <w:sz w:val="24"/>
          <w:szCs w:val="24"/>
        </w:rPr>
        <w:t>[5]</w:t>
      </w:r>
      <w:r w:rsidRPr="004E5073">
        <w:rPr>
          <w:rFonts w:ascii="Arial" w:eastAsiaTheme="minorHAnsi" w:hAnsi="Arial" w:cs="Arial"/>
          <w:sz w:val="24"/>
          <w:szCs w:val="24"/>
        </w:rPr>
        <w:tab/>
        <w:t xml:space="preserve">An application for leave to appeal was filed by Crown Classic. The application for leave to appeal was heard on 29 January 2020. There was no appearance for Crown Classic and the matter proceeded in their absence. The Court </w:t>
      </w:r>
      <w:r w:rsidRPr="004E5073">
        <w:rPr>
          <w:rFonts w:ascii="Arial" w:eastAsiaTheme="minorHAnsi" w:hAnsi="Arial" w:cs="Arial"/>
          <w:i/>
          <w:sz w:val="24"/>
          <w:szCs w:val="24"/>
        </w:rPr>
        <w:t>mero motu</w:t>
      </w:r>
      <w:r w:rsidRPr="004E5073">
        <w:rPr>
          <w:rFonts w:ascii="Arial" w:eastAsiaTheme="minorHAnsi" w:hAnsi="Arial" w:cs="Arial"/>
          <w:sz w:val="24"/>
          <w:szCs w:val="24"/>
        </w:rPr>
        <w:t xml:space="preserve"> raised the issue of whether it should not have set a reserve price for the sale in execution and granted leave to appeal to the Full Court. Although it is clear from the record that the intention was to only grant leave on whether a reserve price should have been set, Gwala AJ did not specifically limit the grounds of </w:t>
      </w:r>
      <w:r w:rsidR="001C4DB6">
        <w:rPr>
          <w:rFonts w:ascii="Arial" w:eastAsiaTheme="minorHAnsi" w:hAnsi="Arial" w:cs="Arial"/>
          <w:sz w:val="24"/>
          <w:szCs w:val="24"/>
        </w:rPr>
        <w:t>appeal. It is apposite to enlighte</w:t>
      </w:r>
      <w:r w:rsidRPr="004E5073">
        <w:rPr>
          <w:rFonts w:ascii="Arial" w:eastAsiaTheme="minorHAnsi" w:hAnsi="Arial" w:cs="Arial"/>
          <w:sz w:val="24"/>
          <w:szCs w:val="24"/>
        </w:rPr>
        <w:t>n that Standard Bank had enrolled the appeal and Crown Classic had not filed heads of argument for this appeal but, pursuant</w:t>
      </w:r>
      <w:r w:rsidR="001C4DB6">
        <w:rPr>
          <w:rFonts w:ascii="Arial" w:eastAsiaTheme="minorHAnsi" w:hAnsi="Arial" w:cs="Arial"/>
          <w:sz w:val="24"/>
          <w:szCs w:val="24"/>
        </w:rPr>
        <w:t xml:space="preserve"> to enquiry by this Court, </w:t>
      </w:r>
      <w:r w:rsidRPr="004E5073">
        <w:rPr>
          <w:rFonts w:ascii="Arial" w:eastAsiaTheme="minorHAnsi" w:hAnsi="Arial" w:cs="Arial"/>
          <w:sz w:val="24"/>
          <w:szCs w:val="24"/>
        </w:rPr>
        <w:t>filed their heads of argument late.</w:t>
      </w:r>
    </w:p>
    <w:p w14:paraId="78B02B2E" w14:textId="77777777" w:rsidR="004E5073" w:rsidRPr="004E5073" w:rsidRDefault="004E5073" w:rsidP="004E5073">
      <w:pPr>
        <w:spacing w:after="160" w:line="360" w:lineRule="auto"/>
        <w:jc w:val="both"/>
        <w:rPr>
          <w:rFonts w:ascii="Arial" w:eastAsiaTheme="minorHAnsi" w:hAnsi="Arial" w:cs="Arial"/>
          <w:sz w:val="24"/>
          <w:szCs w:val="24"/>
        </w:rPr>
      </w:pPr>
    </w:p>
    <w:p w14:paraId="19757348" w14:textId="77777777" w:rsidR="004E5073" w:rsidRPr="004E5073" w:rsidRDefault="004E5073" w:rsidP="004E5073">
      <w:pPr>
        <w:spacing w:after="160" w:line="360" w:lineRule="auto"/>
        <w:jc w:val="both"/>
        <w:rPr>
          <w:rFonts w:ascii="Arial" w:eastAsiaTheme="minorHAnsi" w:hAnsi="Arial" w:cs="Arial"/>
          <w:i/>
          <w:sz w:val="24"/>
          <w:szCs w:val="24"/>
        </w:rPr>
      </w:pPr>
      <w:r w:rsidRPr="004E5073">
        <w:rPr>
          <w:rFonts w:ascii="Arial" w:eastAsiaTheme="minorHAnsi" w:hAnsi="Arial" w:cs="Arial"/>
          <w:i/>
          <w:sz w:val="24"/>
          <w:szCs w:val="24"/>
        </w:rPr>
        <w:t>The issues</w:t>
      </w:r>
    </w:p>
    <w:p w14:paraId="49D45677" w14:textId="77777777" w:rsidR="004E5073" w:rsidRPr="004E5073" w:rsidRDefault="004E5073" w:rsidP="004E5073">
      <w:pPr>
        <w:spacing w:after="160" w:line="360" w:lineRule="auto"/>
        <w:jc w:val="both"/>
        <w:rPr>
          <w:rFonts w:ascii="Arial" w:eastAsiaTheme="minorHAnsi" w:hAnsi="Arial" w:cs="Arial"/>
          <w:sz w:val="24"/>
          <w:szCs w:val="24"/>
        </w:rPr>
      </w:pPr>
      <w:r w:rsidRPr="004E5073">
        <w:rPr>
          <w:rFonts w:ascii="Arial" w:eastAsiaTheme="minorHAnsi" w:hAnsi="Arial" w:cs="Arial"/>
          <w:sz w:val="24"/>
          <w:szCs w:val="24"/>
        </w:rPr>
        <w:t>[6]</w:t>
      </w:r>
      <w:r w:rsidRPr="004E5073">
        <w:rPr>
          <w:rFonts w:ascii="Arial" w:eastAsiaTheme="minorHAnsi" w:hAnsi="Arial" w:cs="Arial"/>
          <w:sz w:val="24"/>
          <w:szCs w:val="24"/>
        </w:rPr>
        <w:tab/>
        <w:t>There are only two issues to decide in this matter; can this new ground of appeal be raised before the court of appeal? Can this Court entertain argument on the reserve price notwithstanding that Rule 46A(9) was not extant when the application was issued, but before judgment was granted?</w:t>
      </w:r>
    </w:p>
    <w:p w14:paraId="7205EDBE" w14:textId="77777777" w:rsidR="004E5073" w:rsidRPr="004E5073" w:rsidRDefault="004E5073" w:rsidP="004E5073">
      <w:pPr>
        <w:spacing w:after="160" w:line="360" w:lineRule="auto"/>
        <w:jc w:val="both"/>
        <w:rPr>
          <w:rFonts w:ascii="Arial" w:eastAsiaTheme="minorHAnsi" w:hAnsi="Arial" w:cs="Arial"/>
          <w:sz w:val="24"/>
          <w:szCs w:val="24"/>
        </w:rPr>
      </w:pPr>
    </w:p>
    <w:p w14:paraId="687E7C0B" w14:textId="77777777" w:rsidR="004E5073" w:rsidRPr="004E5073" w:rsidRDefault="004E5073" w:rsidP="004E5073">
      <w:pPr>
        <w:spacing w:after="160" w:line="360" w:lineRule="auto"/>
        <w:jc w:val="both"/>
        <w:rPr>
          <w:rFonts w:ascii="Arial" w:eastAsiaTheme="minorHAnsi" w:hAnsi="Arial" w:cs="Arial"/>
          <w:sz w:val="24"/>
          <w:szCs w:val="24"/>
        </w:rPr>
      </w:pPr>
      <w:r w:rsidRPr="004E5073">
        <w:rPr>
          <w:rFonts w:ascii="Arial" w:eastAsiaTheme="minorHAnsi" w:hAnsi="Arial" w:cs="Arial"/>
          <w:sz w:val="24"/>
          <w:szCs w:val="24"/>
        </w:rPr>
        <w:t>[7]</w:t>
      </w:r>
      <w:r w:rsidRPr="004E5073">
        <w:rPr>
          <w:rFonts w:ascii="Arial" w:eastAsiaTheme="minorHAnsi" w:hAnsi="Arial" w:cs="Arial"/>
          <w:sz w:val="24"/>
          <w:szCs w:val="24"/>
        </w:rPr>
        <w:tab/>
        <w:t>Rule 46A(9) reads as follows:</w:t>
      </w:r>
    </w:p>
    <w:p w14:paraId="5769B319" w14:textId="77777777" w:rsidR="004E5073" w:rsidRPr="004E5073" w:rsidRDefault="004E5073" w:rsidP="004E5073">
      <w:pPr>
        <w:spacing w:after="160" w:line="360" w:lineRule="auto"/>
        <w:ind w:left="2158" w:hanging="740"/>
        <w:jc w:val="both"/>
        <w:rPr>
          <w:rFonts w:ascii="Arial" w:eastAsiaTheme="minorHAnsi" w:hAnsi="Arial" w:cs="Arial"/>
          <w:i/>
          <w:sz w:val="24"/>
          <w:szCs w:val="24"/>
        </w:rPr>
      </w:pPr>
      <w:r w:rsidRPr="004E5073">
        <w:rPr>
          <w:rFonts w:ascii="Arial" w:eastAsiaTheme="minorHAnsi" w:hAnsi="Arial" w:cs="Arial"/>
          <w:i/>
          <w:sz w:val="24"/>
          <w:szCs w:val="24"/>
        </w:rPr>
        <w:t>“(9)(a)</w:t>
      </w:r>
      <w:r w:rsidRPr="004E5073">
        <w:rPr>
          <w:rFonts w:ascii="Arial" w:eastAsiaTheme="minorHAnsi" w:hAnsi="Arial" w:cs="Arial"/>
          <w:i/>
          <w:sz w:val="24"/>
          <w:szCs w:val="24"/>
        </w:rPr>
        <w:tab/>
        <w:t xml:space="preserve">In an application under this rule, or upon submissions </w:t>
      </w:r>
      <w:r w:rsidRPr="004E5073">
        <w:rPr>
          <w:rFonts w:ascii="Arial" w:eastAsiaTheme="minorHAnsi" w:hAnsi="Arial" w:cs="Arial"/>
          <w:i/>
          <w:sz w:val="24"/>
          <w:szCs w:val="24"/>
        </w:rPr>
        <w:tab/>
        <w:t>made by a respondent, the court must consider whether a reserve price is to be set.</w:t>
      </w:r>
    </w:p>
    <w:p w14:paraId="0D089EA7" w14:textId="77777777" w:rsidR="004E5073" w:rsidRPr="004E5073" w:rsidRDefault="004E5073" w:rsidP="004E5073">
      <w:pPr>
        <w:spacing w:after="160" w:line="360" w:lineRule="auto"/>
        <w:ind w:left="2158" w:hanging="388"/>
        <w:jc w:val="both"/>
        <w:rPr>
          <w:rFonts w:ascii="Arial" w:eastAsiaTheme="minorHAnsi" w:hAnsi="Arial" w:cs="Arial"/>
          <w:i/>
          <w:sz w:val="24"/>
          <w:szCs w:val="24"/>
        </w:rPr>
      </w:pPr>
      <w:r w:rsidRPr="004E5073">
        <w:rPr>
          <w:rFonts w:ascii="Arial" w:eastAsiaTheme="minorHAnsi" w:hAnsi="Arial" w:cs="Arial"/>
          <w:i/>
          <w:sz w:val="24"/>
          <w:szCs w:val="24"/>
        </w:rPr>
        <w:t>(b)</w:t>
      </w:r>
      <w:r w:rsidRPr="004E5073">
        <w:rPr>
          <w:rFonts w:ascii="Arial" w:eastAsiaTheme="minorHAnsi" w:hAnsi="Arial" w:cs="Arial"/>
          <w:i/>
          <w:sz w:val="24"/>
          <w:szCs w:val="24"/>
        </w:rPr>
        <w:tab/>
        <w:t>In deciding whether to set a reserve price and the amount at which the reserve is to be set, the court should take into account –</w:t>
      </w:r>
    </w:p>
    <w:p w14:paraId="1EBB149B" w14:textId="77777777" w:rsidR="004E5073" w:rsidRPr="004E5073" w:rsidRDefault="004E5073" w:rsidP="004E5073">
      <w:pPr>
        <w:spacing w:after="160" w:line="360" w:lineRule="auto"/>
        <w:jc w:val="both"/>
        <w:rPr>
          <w:rFonts w:ascii="Arial" w:eastAsiaTheme="minorHAnsi" w:hAnsi="Arial" w:cs="Arial"/>
          <w:i/>
          <w:sz w:val="24"/>
          <w:szCs w:val="24"/>
        </w:rPr>
      </w:pPr>
      <w:r w:rsidRPr="004E5073">
        <w:rPr>
          <w:rFonts w:ascii="Arial" w:eastAsiaTheme="minorHAnsi" w:hAnsi="Arial" w:cs="Arial"/>
          <w:i/>
          <w:sz w:val="24"/>
          <w:szCs w:val="24"/>
        </w:rPr>
        <w:tab/>
      </w:r>
      <w:r w:rsidRPr="004E5073">
        <w:rPr>
          <w:rFonts w:ascii="Arial" w:eastAsiaTheme="minorHAnsi" w:hAnsi="Arial" w:cs="Arial"/>
          <w:i/>
          <w:sz w:val="24"/>
          <w:szCs w:val="24"/>
        </w:rPr>
        <w:tab/>
      </w:r>
      <w:r w:rsidRPr="004E5073">
        <w:rPr>
          <w:rFonts w:ascii="Arial" w:eastAsiaTheme="minorHAnsi" w:hAnsi="Arial" w:cs="Arial"/>
          <w:i/>
          <w:sz w:val="24"/>
          <w:szCs w:val="24"/>
        </w:rPr>
        <w:tab/>
        <w:t>(i)</w:t>
      </w:r>
      <w:r w:rsidRPr="004E5073">
        <w:rPr>
          <w:rFonts w:ascii="Arial" w:eastAsiaTheme="minorHAnsi" w:hAnsi="Arial" w:cs="Arial"/>
          <w:i/>
          <w:sz w:val="24"/>
          <w:szCs w:val="24"/>
        </w:rPr>
        <w:tab/>
        <w:t>the market value of the immovable property;</w:t>
      </w:r>
    </w:p>
    <w:p w14:paraId="0A125108" w14:textId="77777777" w:rsidR="004E5073" w:rsidRPr="004E5073" w:rsidRDefault="004E5073" w:rsidP="004E5073">
      <w:pPr>
        <w:spacing w:after="160" w:line="360" w:lineRule="auto"/>
        <w:jc w:val="both"/>
        <w:rPr>
          <w:rFonts w:ascii="Arial" w:eastAsiaTheme="minorHAnsi" w:hAnsi="Arial" w:cs="Arial"/>
          <w:i/>
          <w:sz w:val="24"/>
          <w:szCs w:val="24"/>
        </w:rPr>
      </w:pPr>
      <w:r w:rsidRPr="004E5073">
        <w:rPr>
          <w:rFonts w:ascii="Arial" w:eastAsiaTheme="minorHAnsi" w:hAnsi="Arial" w:cs="Arial"/>
          <w:i/>
          <w:sz w:val="24"/>
          <w:szCs w:val="24"/>
        </w:rPr>
        <w:tab/>
      </w:r>
      <w:r w:rsidRPr="004E5073">
        <w:rPr>
          <w:rFonts w:ascii="Arial" w:eastAsiaTheme="minorHAnsi" w:hAnsi="Arial" w:cs="Arial"/>
          <w:i/>
          <w:sz w:val="24"/>
          <w:szCs w:val="24"/>
        </w:rPr>
        <w:tab/>
      </w:r>
      <w:r w:rsidRPr="004E5073">
        <w:rPr>
          <w:rFonts w:ascii="Arial" w:eastAsiaTheme="minorHAnsi" w:hAnsi="Arial" w:cs="Arial"/>
          <w:i/>
          <w:sz w:val="24"/>
          <w:szCs w:val="24"/>
        </w:rPr>
        <w:tab/>
        <w:t>(ii)</w:t>
      </w:r>
      <w:r w:rsidRPr="004E5073">
        <w:rPr>
          <w:rFonts w:ascii="Arial" w:eastAsiaTheme="minorHAnsi" w:hAnsi="Arial" w:cs="Arial"/>
          <w:i/>
          <w:sz w:val="24"/>
          <w:szCs w:val="24"/>
        </w:rPr>
        <w:tab/>
        <w:t>the amounts owing as rate or levies;</w:t>
      </w:r>
    </w:p>
    <w:p w14:paraId="7BBB67C2"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t>(iii)</w:t>
      </w:r>
      <w:r w:rsidRPr="004E5073">
        <w:rPr>
          <w:rFonts w:ascii="Arial" w:eastAsiaTheme="minorHAnsi" w:hAnsi="Arial" w:cs="Arial"/>
          <w:i/>
          <w:sz w:val="24"/>
          <w:szCs w:val="24"/>
        </w:rPr>
        <w:tab/>
        <w:t>the amounts owing on registered mortgage bonds;</w:t>
      </w:r>
    </w:p>
    <w:p w14:paraId="5F888518"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t>(iv)</w:t>
      </w:r>
      <w:r w:rsidRPr="004E5073">
        <w:rPr>
          <w:rFonts w:ascii="Arial" w:eastAsiaTheme="minorHAnsi" w:hAnsi="Arial" w:cs="Arial"/>
          <w:i/>
          <w:sz w:val="24"/>
          <w:szCs w:val="24"/>
        </w:rPr>
        <w:tab/>
        <w:t>any equity which may be realised between the reserve price and the market value of the property;</w:t>
      </w:r>
    </w:p>
    <w:p w14:paraId="1366E13B"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t>(v)</w:t>
      </w:r>
      <w:r w:rsidRPr="004E5073">
        <w:rPr>
          <w:rFonts w:ascii="Arial" w:eastAsiaTheme="minorHAnsi" w:hAnsi="Arial" w:cs="Arial"/>
          <w:i/>
          <w:sz w:val="24"/>
          <w:szCs w:val="24"/>
        </w:rPr>
        <w:tab/>
        <w:t>reduction of the judgment debtor’s indebtedness on the judgment debt and as contemplated in subrule (5)(a) to (e), whether or not equity may be found in the immovable property, as referred to in subparagraph (iv);</w:t>
      </w:r>
    </w:p>
    <w:p w14:paraId="6CDB6368"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t xml:space="preserve">(vi) </w:t>
      </w:r>
      <w:r w:rsidRPr="004E5073">
        <w:rPr>
          <w:rFonts w:ascii="Arial" w:eastAsiaTheme="minorHAnsi" w:hAnsi="Arial" w:cs="Arial"/>
          <w:i/>
          <w:sz w:val="24"/>
          <w:szCs w:val="24"/>
        </w:rPr>
        <w:tab/>
        <w:t>whether the immovable property is occupied, the persons occupying the property and the circumstances of such occupation;</w:t>
      </w:r>
    </w:p>
    <w:p w14:paraId="378177DB"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t>(vii)</w:t>
      </w:r>
      <w:r w:rsidRPr="004E5073">
        <w:rPr>
          <w:rFonts w:ascii="Arial" w:eastAsiaTheme="minorHAnsi" w:hAnsi="Arial" w:cs="Arial"/>
          <w:i/>
          <w:sz w:val="24"/>
          <w:szCs w:val="24"/>
        </w:rPr>
        <w:tab/>
        <w:t>the likelihood of the reserve price not being realised and the likelihood of the immovable property not being sold;</w:t>
      </w:r>
    </w:p>
    <w:p w14:paraId="7CDFD5C3"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lastRenderedPageBreak/>
        <w:t>(viii)</w:t>
      </w:r>
      <w:r w:rsidRPr="004E5073">
        <w:rPr>
          <w:rFonts w:ascii="Arial" w:eastAsiaTheme="minorHAnsi" w:hAnsi="Arial" w:cs="Arial"/>
          <w:i/>
          <w:sz w:val="24"/>
          <w:szCs w:val="24"/>
        </w:rPr>
        <w:tab/>
        <w:t>any prejudice which any party may suffer if the reserve price is not achieved;  and</w:t>
      </w:r>
    </w:p>
    <w:p w14:paraId="32188570"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t>(ix)</w:t>
      </w:r>
      <w:r w:rsidRPr="004E5073">
        <w:rPr>
          <w:rFonts w:ascii="Arial" w:eastAsiaTheme="minorHAnsi" w:hAnsi="Arial" w:cs="Arial"/>
          <w:i/>
          <w:sz w:val="24"/>
          <w:szCs w:val="24"/>
        </w:rPr>
        <w:tab/>
        <w:t>any other factor which in the opinion of the court is necessary for the protection of the interests of the execution creditor and the judgment debtor.</w:t>
      </w:r>
    </w:p>
    <w:p w14:paraId="71C3ED3B" w14:textId="77777777" w:rsidR="004E5073" w:rsidRPr="004E5073" w:rsidRDefault="004E5073" w:rsidP="004E5073">
      <w:pPr>
        <w:spacing w:after="160" w:line="360" w:lineRule="auto"/>
        <w:ind w:left="2160" w:hanging="720"/>
        <w:jc w:val="both"/>
        <w:rPr>
          <w:rFonts w:ascii="Arial" w:eastAsiaTheme="minorHAnsi" w:hAnsi="Arial" w:cs="Arial"/>
          <w:i/>
          <w:sz w:val="24"/>
          <w:szCs w:val="24"/>
        </w:rPr>
      </w:pPr>
      <w:r w:rsidRPr="004E5073">
        <w:rPr>
          <w:rFonts w:ascii="Arial" w:eastAsiaTheme="minorHAnsi" w:hAnsi="Arial" w:cs="Arial"/>
          <w:i/>
          <w:sz w:val="24"/>
          <w:szCs w:val="24"/>
        </w:rPr>
        <w:t>(c)</w:t>
      </w:r>
      <w:r w:rsidRPr="004E5073">
        <w:rPr>
          <w:rFonts w:ascii="Arial" w:eastAsiaTheme="minorHAnsi" w:hAnsi="Arial" w:cs="Arial"/>
          <w:i/>
          <w:sz w:val="24"/>
          <w:szCs w:val="24"/>
        </w:rPr>
        <w:tab/>
        <w:t>If the reserve price is not achieved at a sale in execution, the court must, on a reconsideration of the factors in paragraph (b) and its powers under this rule, order how execution is to proceed.</w:t>
      </w:r>
    </w:p>
    <w:p w14:paraId="0470DE95" w14:textId="77777777" w:rsidR="004E5073" w:rsidRPr="004E5073" w:rsidRDefault="004E5073" w:rsidP="004E5073">
      <w:pPr>
        <w:spacing w:after="160" w:line="360" w:lineRule="auto"/>
        <w:ind w:left="2160" w:hanging="720"/>
        <w:jc w:val="both"/>
        <w:rPr>
          <w:rFonts w:ascii="Arial" w:eastAsiaTheme="minorHAnsi" w:hAnsi="Arial" w:cs="Arial"/>
          <w:i/>
          <w:sz w:val="24"/>
          <w:szCs w:val="24"/>
        </w:rPr>
      </w:pPr>
      <w:r w:rsidRPr="004E5073">
        <w:rPr>
          <w:rFonts w:ascii="Arial" w:eastAsiaTheme="minorHAnsi" w:hAnsi="Arial" w:cs="Arial"/>
          <w:i/>
          <w:sz w:val="24"/>
          <w:szCs w:val="24"/>
        </w:rPr>
        <w:t>(d)</w:t>
      </w:r>
      <w:r w:rsidRPr="004E5073">
        <w:rPr>
          <w:rFonts w:ascii="Arial" w:eastAsiaTheme="minorHAnsi" w:hAnsi="Arial" w:cs="Arial"/>
          <w:i/>
          <w:sz w:val="24"/>
          <w:szCs w:val="24"/>
        </w:rPr>
        <w:tab/>
        <w:t>Where the reserve price is not achieved at a sale in execution, the sheriff must submit a report to the court, within 5 days of the date of the auction, which report shall contain –</w:t>
      </w:r>
    </w:p>
    <w:p w14:paraId="7917AE33"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t>(i)</w:t>
      </w:r>
      <w:r w:rsidRPr="004E5073">
        <w:rPr>
          <w:rFonts w:ascii="Arial" w:eastAsiaTheme="minorHAnsi" w:hAnsi="Arial" w:cs="Arial"/>
          <w:i/>
          <w:sz w:val="24"/>
          <w:szCs w:val="24"/>
        </w:rPr>
        <w:tab/>
        <w:t>the date, time and place at which the auction sale was conducted;</w:t>
      </w:r>
    </w:p>
    <w:p w14:paraId="1C82E3F3"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t>(ii)</w:t>
      </w:r>
      <w:r w:rsidRPr="004E5073">
        <w:rPr>
          <w:rFonts w:ascii="Arial" w:eastAsiaTheme="minorHAnsi" w:hAnsi="Arial" w:cs="Arial"/>
          <w:i/>
          <w:sz w:val="24"/>
          <w:szCs w:val="24"/>
        </w:rPr>
        <w:tab/>
        <w:t>the names, identity numbers and contact details of the persons who participated in the auction;</w:t>
      </w:r>
    </w:p>
    <w:p w14:paraId="646F99D9" w14:textId="77777777" w:rsidR="004E5073" w:rsidRPr="004E5073" w:rsidRDefault="004E5073" w:rsidP="004E5073">
      <w:pPr>
        <w:spacing w:after="160" w:line="360" w:lineRule="auto"/>
        <w:jc w:val="both"/>
        <w:rPr>
          <w:rFonts w:ascii="Arial" w:eastAsiaTheme="minorHAnsi" w:hAnsi="Arial" w:cs="Arial"/>
          <w:i/>
          <w:sz w:val="24"/>
          <w:szCs w:val="24"/>
        </w:rPr>
      </w:pPr>
      <w:r w:rsidRPr="004E5073">
        <w:rPr>
          <w:rFonts w:ascii="Arial" w:eastAsiaTheme="minorHAnsi" w:hAnsi="Arial" w:cs="Arial"/>
          <w:i/>
          <w:sz w:val="24"/>
          <w:szCs w:val="24"/>
        </w:rPr>
        <w:tab/>
      </w:r>
      <w:r w:rsidRPr="004E5073">
        <w:rPr>
          <w:rFonts w:ascii="Arial" w:eastAsiaTheme="minorHAnsi" w:hAnsi="Arial" w:cs="Arial"/>
          <w:i/>
          <w:sz w:val="24"/>
          <w:szCs w:val="24"/>
        </w:rPr>
        <w:tab/>
      </w:r>
      <w:r w:rsidRPr="004E5073">
        <w:rPr>
          <w:rFonts w:ascii="Arial" w:eastAsiaTheme="minorHAnsi" w:hAnsi="Arial" w:cs="Arial"/>
          <w:i/>
          <w:sz w:val="24"/>
          <w:szCs w:val="24"/>
        </w:rPr>
        <w:tab/>
        <w:t>(iii)</w:t>
      </w:r>
      <w:r w:rsidRPr="004E5073">
        <w:rPr>
          <w:rFonts w:ascii="Arial" w:eastAsiaTheme="minorHAnsi" w:hAnsi="Arial" w:cs="Arial"/>
          <w:i/>
          <w:sz w:val="24"/>
          <w:szCs w:val="24"/>
        </w:rPr>
        <w:tab/>
        <w:t>the highest bid or offer made;  and</w:t>
      </w:r>
    </w:p>
    <w:p w14:paraId="286DF8FE" w14:textId="77777777" w:rsidR="004E5073" w:rsidRPr="004E5073" w:rsidRDefault="004E5073" w:rsidP="004E5073">
      <w:pPr>
        <w:spacing w:after="160" w:line="360" w:lineRule="auto"/>
        <w:ind w:left="2880" w:hanging="720"/>
        <w:jc w:val="both"/>
        <w:rPr>
          <w:rFonts w:ascii="Arial" w:eastAsiaTheme="minorHAnsi" w:hAnsi="Arial" w:cs="Arial"/>
          <w:i/>
          <w:sz w:val="24"/>
          <w:szCs w:val="24"/>
        </w:rPr>
      </w:pPr>
      <w:r w:rsidRPr="004E5073">
        <w:rPr>
          <w:rFonts w:ascii="Arial" w:eastAsiaTheme="minorHAnsi" w:hAnsi="Arial" w:cs="Arial"/>
          <w:i/>
          <w:sz w:val="24"/>
          <w:szCs w:val="24"/>
        </w:rPr>
        <w:t>(iv)</w:t>
      </w:r>
      <w:r w:rsidRPr="004E5073">
        <w:rPr>
          <w:rFonts w:ascii="Arial" w:eastAsiaTheme="minorHAnsi" w:hAnsi="Arial" w:cs="Arial"/>
          <w:i/>
          <w:sz w:val="24"/>
          <w:szCs w:val="24"/>
        </w:rPr>
        <w:tab/>
        <w:t>Any (sic) other relevant factor which may assist the court in performing its function in paragraph (c).</w:t>
      </w:r>
    </w:p>
    <w:p w14:paraId="1DF5F5FA" w14:textId="77777777" w:rsidR="004E5073" w:rsidRPr="004E5073" w:rsidRDefault="004E5073" w:rsidP="004E5073">
      <w:pPr>
        <w:spacing w:after="160" w:line="360" w:lineRule="auto"/>
        <w:ind w:left="2160" w:hanging="720"/>
        <w:jc w:val="both"/>
        <w:rPr>
          <w:rFonts w:ascii="Arial" w:eastAsiaTheme="minorHAnsi" w:hAnsi="Arial" w:cs="Arial"/>
          <w:i/>
          <w:sz w:val="24"/>
          <w:szCs w:val="24"/>
        </w:rPr>
      </w:pPr>
      <w:r w:rsidRPr="004E5073">
        <w:rPr>
          <w:rFonts w:ascii="Arial" w:eastAsiaTheme="minorHAnsi" w:hAnsi="Arial" w:cs="Arial"/>
          <w:i/>
          <w:sz w:val="24"/>
          <w:szCs w:val="24"/>
        </w:rPr>
        <w:t>(e)</w:t>
      </w:r>
      <w:r w:rsidRPr="004E5073">
        <w:rPr>
          <w:rFonts w:ascii="Arial" w:eastAsiaTheme="minorHAnsi" w:hAnsi="Arial" w:cs="Arial"/>
          <w:i/>
          <w:sz w:val="24"/>
          <w:szCs w:val="24"/>
        </w:rPr>
        <w:tab/>
        <w:t>The court may, after considering the factors in paragraph (d) and any other relevant factor, order that the property be sold to the person who made the highest offer or bid.”</w:t>
      </w:r>
    </w:p>
    <w:p w14:paraId="7FEA3927" w14:textId="77777777" w:rsidR="004E5073" w:rsidRPr="004E5073" w:rsidRDefault="004E5073" w:rsidP="004E5073">
      <w:pPr>
        <w:spacing w:after="160" w:line="360" w:lineRule="auto"/>
        <w:jc w:val="both"/>
        <w:rPr>
          <w:rFonts w:ascii="Arial" w:eastAsiaTheme="minorHAnsi" w:hAnsi="Arial" w:cs="Arial"/>
          <w:i/>
          <w:sz w:val="24"/>
          <w:szCs w:val="24"/>
        </w:rPr>
      </w:pPr>
    </w:p>
    <w:p w14:paraId="579F9C5B" w14:textId="77777777" w:rsidR="004E5073" w:rsidRPr="004E5073" w:rsidRDefault="004E5073" w:rsidP="004E5073">
      <w:pPr>
        <w:spacing w:after="0" w:line="240" w:lineRule="auto"/>
        <w:ind w:firstLine="567"/>
        <w:rPr>
          <w:rFonts w:ascii="Arial" w:eastAsiaTheme="minorHAnsi" w:hAnsi="Arial" w:cs="Arial"/>
          <w:sz w:val="24"/>
          <w:szCs w:val="24"/>
        </w:rPr>
      </w:pPr>
      <w:bookmarkStart w:id="1" w:name="0-0-0-59065"/>
      <w:bookmarkStart w:id="2" w:name="0-0-0-59067"/>
      <w:bookmarkStart w:id="3" w:name="0-0-0-59077"/>
      <w:bookmarkEnd w:id="1"/>
      <w:bookmarkEnd w:id="2"/>
      <w:bookmarkEnd w:id="3"/>
      <w:r w:rsidRPr="004E5073">
        <w:rPr>
          <w:rFonts w:ascii="Verdana" w:eastAsia="Times New Roman" w:hAnsi="Verdana" w:cs="Times New Roman"/>
          <w:i/>
          <w:iCs/>
          <w:color w:val="000000"/>
          <w:sz w:val="16"/>
          <w:szCs w:val="16"/>
          <w:lang w:eastAsia="en-ZA"/>
        </w:rPr>
        <w:t xml:space="preserve"> </w:t>
      </w:r>
    </w:p>
    <w:p w14:paraId="213E2D65" w14:textId="77777777" w:rsidR="004E5073" w:rsidRPr="004E5073" w:rsidRDefault="004E5073" w:rsidP="004E5073">
      <w:pPr>
        <w:spacing w:after="160" w:line="360" w:lineRule="auto"/>
        <w:jc w:val="both"/>
        <w:rPr>
          <w:rFonts w:ascii="Arial" w:eastAsiaTheme="minorHAnsi" w:hAnsi="Arial" w:cs="Arial"/>
          <w:sz w:val="24"/>
          <w:szCs w:val="24"/>
        </w:rPr>
      </w:pPr>
      <w:r w:rsidRPr="004E5073">
        <w:rPr>
          <w:rFonts w:ascii="Arial" w:eastAsiaTheme="minorHAnsi" w:hAnsi="Arial" w:cs="Arial"/>
          <w:sz w:val="24"/>
          <w:szCs w:val="24"/>
        </w:rPr>
        <w:t>[8]</w:t>
      </w:r>
      <w:r w:rsidRPr="004E5073">
        <w:rPr>
          <w:rFonts w:ascii="Arial" w:eastAsiaTheme="minorHAnsi" w:hAnsi="Arial" w:cs="Arial"/>
          <w:sz w:val="24"/>
          <w:szCs w:val="24"/>
        </w:rPr>
        <w:tab/>
        <w:t>On behalf of Crown Classic it abandoned the other grounds of appeal and persisted on appeal only with whether the Court should have considered setting a reserve price. It was conceded on behalf of Mr and Ms Maphophe that whether a reserve price was to be set, is not a defence to their liability in terms of the suretyships and the appeal on behalf of Mr and Ms Maphophe thus has to fail.</w:t>
      </w:r>
    </w:p>
    <w:p w14:paraId="69604977" w14:textId="77777777" w:rsidR="004E5073" w:rsidRDefault="004E5073" w:rsidP="004E5073">
      <w:pPr>
        <w:spacing w:after="160" w:line="360" w:lineRule="auto"/>
        <w:jc w:val="both"/>
        <w:rPr>
          <w:rFonts w:ascii="Arial" w:eastAsiaTheme="minorHAnsi" w:hAnsi="Arial" w:cs="Arial"/>
          <w:sz w:val="24"/>
          <w:szCs w:val="24"/>
        </w:rPr>
      </w:pPr>
    </w:p>
    <w:p w14:paraId="2DEF48E7" w14:textId="77777777" w:rsidR="001C4DB6" w:rsidRPr="001C4DB6" w:rsidRDefault="001C4DB6" w:rsidP="004E5073">
      <w:pPr>
        <w:spacing w:after="160" w:line="360" w:lineRule="auto"/>
        <w:jc w:val="both"/>
        <w:rPr>
          <w:rFonts w:ascii="Arial" w:eastAsiaTheme="minorHAnsi" w:hAnsi="Arial" w:cs="Arial"/>
          <w:i/>
          <w:sz w:val="24"/>
          <w:szCs w:val="24"/>
        </w:rPr>
      </w:pPr>
      <w:r>
        <w:rPr>
          <w:rFonts w:ascii="Arial" w:eastAsiaTheme="minorHAnsi" w:hAnsi="Arial" w:cs="Arial"/>
          <w:i/>
          <w:sz w:val="24"/>
          <w:szCs w:val="24"/>
        </w:rPr>
        <w:lastRenderedPageBreak/>
        <w:t>Submissions on behalf of Crown Classic</w:t>
      </w:r>
    </w:p>
    <w:p w14:paraId="4FCC8442" w14:textId="77777777" w:rsidR="004E5073" w:rsidRPr="004E5073" w:rsidRDefault="004E5073" w:rsidP="001C4DB6">
      <w:pPr>
        <w:spacing w:after="160" w:line="360" w:lineRule="auto"/>
        <w:ind w:firstLine="720"/>
        <w:jc w:val="both"/>
        <w:rPr>
          <w:rFonts w:ascii="Arial" w:eastAsiaTheme="minorHAnsi" w:hAnsi="Arial" w:cs="Arial"/>
          <w:i/>
          <w:sz w:val="24"/>
          <w:szCs w:val="24"/>
        </w:rPr>
      </w:pPr>
      <w:r w:rsidRPr="004E5073">
        <w:rPr>
          <w:rFonts w:ascii="Arial" w:eastAsiaTheme="minorHAnsi" w:hAnsi="Arial" w:cs="Arial"/>
          <w:i/>
          <w:sz w:val="24"/>
          <w:szCs w:val="24"/>
        </w:rPr>
        <w:t>Can this Court decide this new ground of appeal?</w:t>
      </w:r>
    </w:p>
    <w:p w14:paraId="73FAB69C" w14:textId="77777777" w:rsidR="004E5073" w:rsidRDefault="004E5073" w:rsidP="004E507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It was argued that this new ground of appeal could be raised because this question of whether a reserve price should be set was</w:t>
      </w:r>
      <w:r w:rsidR="00E17438">
        <w:rPr>
          <w:rFonts w:ascii="Arial" w:hAnsi="Arial" w:cs="Arial"/>
          <w:sz w:val="24"/>
          <w:szCs w:val="24"/>
        </w:rPr>
        <w:t xml:space="preserve"> procedural in nature and thus</w:t>
      </w:r>
      <w:r>
        <w:rPr>
          <w:rFonts w:ascii="Arial" w:hAnsi="Arial" w:cs="Arial"/>
          <w:sz w:val="24"/>
          <w:szCs w:val="24"/>
        </w:rPr>
        <w:t xml:space="preserve"> a new point of law that could be argued.</w:t>
      </w:r>
      <w:r>
        <w:rPr>
          <w:rStyle w:val="FootnoteReference"/>
          <w:rFonts w:ascii="Arial" w:hAnsi="Arial" w:cs="Arial"/>
          <w:sz w:val="24"/>
          <w:szCs w:val="24"/>
        </w:rPr>
        <w:footnoteReference w:id="1"/>
      </w:r>
      <w:r w:rsidR="001C2493">
        <w:rPr>
          <w:rFonts w:ascii="Arial" w:hAnsi="Arial" w:cs="Arial"/>
          <w:sz w:val="24"/>
          <w:szCs w:val="24"/>
        </w:rPr>
        <w:t xml:space="preserve">  It was conceded that this point was not engaged in the evidence in the affidavits and thus the record, but there was no unfairness to Standard Bank to argue the point.</w:t>
      </w:r>
      <w:r w:rsidR="001C2493">
        <w:rPr>
          <w:rStyle w:val="FootnoteReference"/>
          <w:rFonts w:ascii="Arial" w:hAnsi="Arial" w:cs="Arial"/>
          <w:sz w:val="24"/>
          <w:szCs w:val="24"/>
        </w:rPr>
        <w:footnoteReference w:id="2"/>
      </w:r>
      <w:r w:rsidR="001C2493">
        <w:rPr>
          <w:rFonts w:ascii="Arial" w:hAnsi="Arial" w:cs="Arial"/>
          <w:sz w:val="24"/>
          <w:szCs w:val="24"/>
        </w:rPr>
        <w:t xml:space="preserve">  This was so because the matter could be referred back to the High Court where Standard Bank could address this issue.</w:t>
      </w:r>
    </w:p>
    <w:p w14:paraId="743C6851" w14:textId="77777777" w:rsidR="001C2493" w:rsidRDefault="001C2493" w:rsidP="004E5073">
      <w:pPr>
        <w:spacing w:line="360" w:lineRule="auto"/>
        <w:jc w:val="both"/>
        <w:rPr>
          <w:rFonts w:ascii="Arial" w:hAnsi="Arial" w:cs="Arial"/>
          <w:sz w:val="24"/>
          <w:szCs w:val="24"/>
        </w:rPr>
      </w:pPr>
    </w:p>
    <w:p w14:paraId="4C7AF020" w14:textId="77777777" w:rsidR="001C2493" w:rsidRDefault="001C2493" w:rsidP="004E5073">
      <w:pPr>
        <w:spacing w:line="360" w:lineRule="auto"/>
        <w:jc w:val="both"/>
        <w:rPr>
          <w:rFonts w:ascii="Arial" w:hAnsi="Arial" w:cs="Arial"/>
          <w:i/>
          <w:sz w:val="24"/>
          <w:szCs w:val="24"/>
        </w:rPr>
      </w:pPr>
      <w:r>
        <w:rPr>
          <w:rFonts w:ascii="Arial" w:hAnsi="Arial" w:cs="Arial"/>
          <w:i/>
          <w:sz w:val="24"/>
          <w:szCs w:val="24"/>
        </w:rPr>
        <w:t xml:space="preserve">Does the insertion of Rule 46A have retrospective operation? </w:t>
      </w:r>
    </w:p>
    <w:p w14:paraId="235AC97A" w14:textId="77777777" w:rsidR="0017402A" w:rsidRPr="0017402A" w:rsidRDefault="001C2493" w:rsidP="0017402A">
      <w:pPr>
        <w:spacing w:line="360" w:lineRule="auto"/>
        <w:jc w:val="both"/>
        <w:rPr>
          <w:rFonts w:ascii="Arial" w:hAnsi="Arial" w:cs="Arial"/>
          <w:sz w:val="24"/>
          <w:szCs w:val="24"/>
        </w:rPr>
      </w:pPr>
      <w:r w:rsidRPr="0017402A">
        <w:rPr>
          <w:rFonts w:ascii="Arial" w:hAnsi="Arial" w:cs="Arial"/>
          <w:sz w:val="24"/>
          <w:szCs w:val="24"/>
        </w:rPr>
        <w:t>[10]</w:t>
      </w:r>
      <w:r w:rsidRPr="0017402A">
        <w:rPr>
          <w:rFonts w:ascii="Arial" w:hAnsi="Arial" w:cs="Arial"/>
          <w:sz w:val="24"/>
          <w:szCs w:val="24"/>
        </w:rPr>
        <w:tab/>
      </w:r>
      <w:r w:rsidR="0017402A" w:rsidRPr="0017402A">
        <w:rPr>
          <w:rFonts w:ascii="Arial" w:eastAsiaTheme="minorHAnsi" w:hAnsi="Arial" w:cs="Arial"/>
          <w:sz w:val="24"/>
          <w:szCs w:val="24"/>
        </w:rPr>
        <w:t xml:space="preserve">It is common cause that this application was issued and served before Rule 46A was inserted and the application also preceded the Full Court judgment of </w:t>
      </w:r>
      <w:r w:rsidR="00904FA1">
        <w:rPr>
          <w:rFonts w:ascii="Arial" w:eastAsiaTheme="minorHAnsi" w:hAnsi="Arial" w:cs="Arial"/>
          <w:i/>
          <w:sz w:val="24"/>
          <w:szCs w:val="24"/>
        </w:rPr>
        <w:t>Absa Bank</w:t>
      </w:r>
      <w:r w:rsidR="00FF790B">
        <w:rPr>
          <w:rFonts w:ascii="Arial" w:eastAsiaTheme="minorHAnsi" w:hAnsi="Arial" w:cs="Arial"/>
          <w:i/>
          <w:sz w:val="24"/>
          <w:szCs w:val="24"/>
        </w:rPr>
        <w:t xml:space="preserve"> Ltd</w:t>
      </w:r>
      <w:r w:rsidR="00904FA1">
        <w:rPr>
          <w:rFonts w:ascii="Arial" w:eastAsiaTheme="minorHAnsi" w:hAnsi="Arial" w:cs="Arial"/>
          <w:i/>
          <w:sz w:val="24"/>
          <w:szCs w:val="24"/>
        </w:rPr>
        <w:t xml:space="preserve"> v </w:t>
      </w:r>
      <w:r w:rsidR="0017402A" w:rsidRPr="0017402A">
        <w:rPr>
          <w:rFonts w:ascii="Arial" w:eastAsiaTheme="minorHAnsi" w:hAnsi="Arial" w:cs="Arial"/>
          <w:i/>
          <w:sz w:val="24"/>
          <w:szCs w:val="24"/>
        </w:rPr>
        <w:t>Mokebe</w:t>
      </w:r>
      <w:r w:rsidR="0017402A" w:rsidRPr="0017402A">
        <w:rPr>
          <w:rFonts w:ascii="Arial" w:eastAsiaTheme="minorHAnsi" w:hAnsi="Arial" w:cs="Arial"/>
          <w:sz w:val="24"/>
          <w:szCs w:val="24"/>
        </w:rPr>
        <w:t xml:space="preserve"> </w:t>
      </w:r>
      <w:r w:rsidR="00904FA1">
        <w:rPr>
          <w:rFonts w:ascii="Arial" w:eastAsiaTheme="minorHAnsi" w:hAnsi="Arial" w:cs="Arial"/>
          <w:i/>
          <w:sz w:val="24"/>
          <w:szCs w:val="24"/>
        </w:rPr>
        <w:t xml:space="preserve">and Related Cases </w:t>
      </w:r>
      <w:r w:rsidR="00904FA1">
        <w:rPr>
          <w:rFonts w:ascii="Arial" w:eastAsiaTheme="minorHAnsi" w:hAnsi="Arial" w:cs="Arial"/>
          <w:sz w:val="24"/>
          <w:szCs w:val="24"/>
        </w:rPr>
        <w:t xml:space="preserve">2018 (6) SA 492 (GJ) </w:t>
      </w:r>
      <w:r w:rsidR="0017402A" w:rsidRPr="0017402A">
        <w:rPr>
          <w:rFonts w:ascii="Arial" w:eastAsiaTheme="minorHAnsi" w:hAnsi="Arial" w:cs="Arial"/>
          <w:sz w:val="24"/>
          <w:szCs w:val="24"/>
        </w:rPr>
        <w:t>where the following was found in par [</w:t>
      </w:r>
      <w:r w:rsidR="006268F8">
        <w:rPr>
          <w:rFonts w:ascii="Arial" w:eastAsiaTheme="minorHAnsi" w:hAnsi="Arial" w:cs="Arial"/>
          <w:sz w:val="24"/>
          <w:szCs w:val="24"/>
        </w:rPr>
        <w:t>6</w:t>
      </w:r>
      <w:r w:rsidR="0017402A" w:rsidRPr="0017402A">
        <w:rPr>
          <w:rFonts w:ascii="Arial" w:eastAsiaTheme="minorHAnsi" w:hAnsi="Arial" w:cs="Arial"/>
          <w:sz w:val="24"/>
          <w:szCs w:val="24"/>
        </w:rPr>
        <w:t>6]:</w:t>
      </w:r>
    </w:p>
    <w:p w14:paraId="6CF01C98" w14:textId="77777777" w:rsidR="0017402A" w:rsidRPr="00A8614B" w:rsidRDefault="0017402A" w:rsidP="0017402A">
      <w:pPr>
        <w:spacing w:after="160" w:line="360" w:lineRule="auto"/>
        <w:ind w:left="1440"/>
        <w:jc w:val="both"/>
        <w:rPr>
          <w:rFonts w:ascii="Arial" w:eastAsiaTheme="minorHAnsi" w:hAnsi="Arial" w:cs="Arial"/>
          <w:i/>
          <w:sz w:val="24"/>
          <w:szCs w:val="24"/>
        </w:rPr>
      </w:pPr>
      <w:r w:rsidRPr="00A8614B">
        <w:rPr>
          <w:rFonts w:ascii="Arial" w:eastAsiaTheme="minorHAnsi" w:hAnsi="Arial" w:cs="Arial"/>
          <w:i/>
          <w:sz w:val="24"/>
          <w:szCs w:val="24"/>
        </w:rPr>
        <w:t>“</w:t>
      </w:r>
      <w:r w:rsidR="006268F8" w:rsidRPr="00A8614B">
        <w:rPr>
          <w:rFonts w:ascii="Arial" w:eastAsiaTheme="minorHAnsi" w:hAnsi="Arial" w:cs="Arial"/>
          <w:i/>
          <w:sz w:val="24"/>
          <w:szCs w:val="24"/>
        </w:rPr>
        <w:t xml:space="preserve">… </w:t>
      </w:r>
      <w:r w:rsidRPr="00A8614B">
        <w:rPr>
          <w:rFonts w:ascii="Arial" w:eastAsiaTheme="minorHAnsi" w:hAnsi="Arial" w:cs="Arial"/>
          <w:i/>
          <w:sz w:val="24"/>
          <w:szCs w:val="24"/>
        </w:rPr>
        <w:t>In order to comply with the constitutional requirement of just and equitability, it would be an exception rather than a rule when a reser</w:t>
      </w:r>
      <w:r w:rsidR="006268F8" w:rsidRPr="00A8614B">
        <w:rPr>
          <w:rFonts w:ascii="Arial" w:eastAsiaTheme="minorHAnsi" w:hAnsi="Arial" w:cs="Arial"/>
          <w:i/>
          <w:sz w:val="24"/>
          <w:szCs w:val="24"/>
        </w:rPr>
        <w:t>ve price is not set by a court …</w:t>
      </w:r>
    </w:p>
    <w:p w14:paraId="5285D3CD" w14:textId="77777777" w:rsidR="0017402A" w:rsidRPr="00A8614B" w:rsidRDefault="006268F8" w:rsidP="006268F8">
      <w:pPr>
        <w:spacing w:after="160" w:line="360" w:lineRule="auto"/>
        <w:ind w:left="2160"/>
        <w:jc w:val="both"/>
        <w:rPr>
          <w:rFonts w:ascii="Arial" w:eastAsiaTheme="minorHAnsi" w:hAnsi="Arial" w:cs="Arial"/>
          <w:i/>
          <w:sz w:val="24"/>
          <w:szCs w:val="24"/>
        </w:rPr>
      </w:pPr>
      <w:r w:rsidRPr="00A8614B">
        <w:rPr>
          <w:rFonts w:ascii="Arial" w:eastAsiaTheme="minorHAnsi" w:hAnsi="Arial" w:cs="Arial"/>
          <w:i/>
          <w:sz w:val="24"/>
          <w:szCs w:val="24"/>
        </w:rPr>
        <w:t>‘</w:t>
      </w:r>
      <w:r w:rsidR="0017402A" w:rsidRPr="00A8614B">
        <w:rPr>
          <w:rFonts w:ascii="Arial" w:eastAsiaTheme="minorHAnsi" w:hAnsi="Arial" w:cs="Arial"/>
          <w:i/>
          <w:sz w:val="24"/>
          <w:szCs w:val="24"/>
        </w:rPr>
        <w:t>Save in exceptional circumstances a re</w:t>
      </w:r>
      <w:r w:rsidRPr="00A8614B">
        <w:rPr>
          <w:rFonts w:ascii="Arial" w:eastAsiaTheme="minorHAnsi" w:hAnsi="Arial" w:cs="Arial"/>
          <w:i/>
          <w:sz w:val="24"/>
          <w:szCs w:val="24"/>
        </w:rPr>
        <w:t>s</w:t>
      </w:r>
      <w:r w:rsidR="0017402A" w:rsidRPr="00A8614B">
        <w:rPr>
          <w:rFonts w:ascii="Arial" w:eastAsiaTheme="minorHAnsi" w:hAnsi="Arial" w:cs="Arial"/>
          <w:i/>
          <w:sz w:val="24"/>
          <w:szCs w:val="24"/>
        </w:rPr>
        <w:t xml:space="preserve">erve price </w:t>
      </w:r>
      <w:r w:rsidRPr="00A8614B">
        <w:rPr>
          <w:rFonts w:ascii="Arial" w:eastAsiaTheme="minorHAnsi" w:hAnsi="Arial" w:cs="Arial"/>
          <w:i/>
          <w:sz w:val="24"/>
          <w:szCs w:val="24"/>
        </w:rPr>
        <w:t xml:space="preserve">should </w:t>
      </w:r>
      <w:r w:rsidR="0017402A" w:rsidRPr="00A8614B">
        <w:rPr>
          <w:rFonts w:ascii="Arial" w:eastAsiaTheme="minorHAnsi" w:hAnsi="Arial" w:cs="Arial"/>
          <w:i/>
          <w:sz w:val="24"/>
          <w:szCs w:val="24"/>
        </w:rPr>
        <w:t>be set by a court, in all matters where execution is granted against immovable property which is the primary residence of a debtor, where the facts disclosed justify such an order.</w:t>
      </w:r>
      <w:r w:rsidRPr="00A8614B">
        <w:rPr>
          <w:rFonts w:ascii="Arial" w:eastAsiaTheme="minorHAnsi" w:hAnsi="Arial" w:cs="Arial"/>
          <w:i/>
          <w:sz w:val="24"/>
          <w:szCs w:val="24"/>
        </w:rPr>
        <w:t>’</w:t>
      </w:r>
      <w:r w:rsidR="0017402A" w:rsidRPr="00A8614B">
        <w:rPr>
          <w:rFonts w:ascii="Arial" w:eastAsiaTheme="minorHAnsi" w:hAnsi="Arial" w:cs="Arial"/>
          <w:i/>
          <w:sz w:val="24"/>
          <w:szCs w:val="24"/>
        </w:rPr>
        <w:t>”</w:t>
      </w:r>
    </w:p>
    <w:p w14:paraId="731B3E8E" w14:textId="77777777" w:rsidR="00E9082E" w:rsidRPr="0017402A" w:rsidRDefault="00E9082E" w:rsidP="006268F8">
      <w:pPr>
        <w:spacing w:after="160" w:line="360" w:lineRule="auto"/>
        <w:ind w:left="2160"/>
        <w:jc w:val="both"/>
        <w:rPr>
          <w:rFonts w:ascii="Arial" w:eastAsiaTheme="minorHAnsi" w:hAnsi="Arial" w:cs="Arial"/>
          <w:sz w:val="24"/>
          <w:szCs w:val="24"/>
        </w:rPr>
      </w:pPr>
    </w:p>
    <w:p w14:paraId="773BBAAE" w14:textId="77777777" w:rsidR="0017402A" w:rsidRPr="0017402A" w:rsidRDefault="006268F8" w:rsidP="00683D08">
      <w:pPr>
        <w:spacing w:after="160" w:line="360" w:lineRule="auto"/>
        <w:ind w:left="720" w:hanging="720"/>
        <w:jc w:val="both"/>
        <w:rPr>
          <w:rFonts w:ascii="Arial" w:eastAsiaTheme="minorHAnsi" w:hAnsi="Arial" w:cs="Arial"/>
          <w:sz w:val="24"/>
          <w:szCs w:val="24"/>
        </w:rPr>
      </w:pPr>
      <w:r>
        <w:rPr>
          <w:rFonts w:ascii="Arial" w:eastAsiaTheme="minorHAnsi" w:hAnsi="Arial" w:cs="Arial"/>
          <w:sz w:val="24"/>
          <w:szCs w:val="24"/>
        </w:rPr>
        <w:t>[11</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 xml:space="preserve">For this </w:t>
      </w:r>
      <w:r w:rsidR="0017402A" w:rsidRPr="0017402A">
        <w:rPr>
          <w:rFonts w:ascii="Arial" w:eastAsiaTheme="minorHAnsi" w:hAnsi="Arial" w:cs="Arial"/>
          <w:i/>
          <w:sz w:val="24"/>
          <w:szCs w:val="24"/>
        </w:rPr>
        <w:t>ratio</w:t>
      </w:r>
      <w:r w:rsidR="0017402A" w:rsidRPr="0017402A">
        <w:rPr>
          <w:rFonts w:ascii="Arial" w:eastAsiaTheme="minorHAnsi" w:hAnsi="Arial" w:cs="Arial"/>
          <w:sz w:val="24"/>
          <w:szCs w:val="24"/>
        </w:rPr>
        <w:t xml:space="preserve"> to apply to the matter at hand reliance was placed on </w:t>
      </w:r>
      <w:r w:rsidR="00683D08" w:rsidRPr="00C538E1">
        <w:rPr>
          <w:rFonts w:ascii="Arial" w:eastAsiaTheme="minorHAnsi" w:hAnsi="Arial" w:cs="Arial"/>
          <w:i/>
          <w:iCs/>
          <w:sz w:val="24"/>
          <w:szCs w:val="24"/>
        </w:rPr>
        <w:t xml:space="preserve">Raumix Aggregates (Pty) Ltd </w:t>
      </w:r>
      <w:r w:rsidR="0017402A" w:rsidRPr="00C538E1">
        <w:rPr>
          <w:rFonts w:ascii="Arial" w:eastAsiaTheme="minorHAnsi" w:hAnsi="Arial" w:cs="Arial"/>
          <w:i/>
          <w:iCs/>
          <w:sz w:val="24"/>
          <w:szCs w:val="24"/>
        </w:rPr>
        <w:t xml:space="preserve">v Richter Sand </w:t>
      </w:r>
      <w:r w:rsidR="00683D08" w:rsidRPr="00C538E1">
        <w:rPr>
          <w:rFonts w:ascii="Arial" w:eastAsiaTheme="minorHAnsi" w:hAnsi="Arial" w:cs="Arial"/>
          <w:i/>
          <w:iCs/>
          <w:sz w:val="24"/>
          <w:szCs w:val="24"/>
        </w:rPr>
        <w:t>CC and Another, and Similar Matters</w:t>
      </w:r>
      <w:r w:rsidR="0017402A" w:rsidRPr="00C538E1">
        <w:rPr>
          <w:rFonts w:ascii="Arial" w:eastAsiaTheme="minorHAnsi" w:hAnsi="Arial" w:cs="Arial"/>
          <w:i/>
          <w:iCs/>
          <w:sz w:val="24"/>
          <w:szCs w:val="24"/>
        </w:rPr>
        <w:t xml:space="preserve"> </w:t>
      </w:r>
      <w:r w:rsidR="0017402A" w:rsidRPr="0017402A">
        <w:rPr>
          <w:rFonts w:ascii="Arial" w:eastAsiaTheme="minorHAnsi" w:hAnsi="Arial" w:cs="Arial"/>
          <w:sz w:val="24"/>
          <w:szCs w:val="24"/>
        </w:rPr>
        <w:t>2020</w:t>
      </w:r>
      <w:r>
        <w:rPr>
          <w:rFonts w:ascii="Arial" w:eastAsiaTheme="minorHAnsi" w:hAnsi="Arial" w:cs="Arial"/>
          <w:sz w:val="24"/>
          <w:szCs w:val="24"/>
        </w:rPr>
        <w:t xml:space="preserve"> </w:t>
      </w:r>
      <w:r w:rsidR="00683D08">
        <w:rPr>
          <w:rFonts w:ascii="Arial" w:eastAsiaTheme="minorHAnsi" w:hAnsi="Arial" w:cs="Arial"/>
          <w:sz w:val="24"/>
          <w:szCs w:val="24"/>
        </w:rPr>
        <w:lastRenderedPageBreak/>
        <w:t xml:space="preserve">(1) SA 623 (GJ) </w:t>
      </w:r>
      <w:r w:rsidR="0017402A" w:rsidRPr="0017402A">
        <w:rPr>
          <w:rFonts w:ascii="Arial" w:eastAsiaTheme="minorHAnsi" w:hAnsi="Arial" w:cs="Arial"/>
          <w:sz w:val="24"/>
          <w:szCs w:val="24"/>
        </w:rPr>
        <w:t>where the general rule about retrospectivity was captured as follows:</w:t>
      </w:r>
    </w:p>
    <w:p w14:paraId="49759108" w14:textId="77777777" w:rsidR="0017402A" w:rsidRPr="0017402A" w:rsidRDefault="00683D08" w:rsidP="00683D08">
      <w:pPr>
        <w:spacing w:after="160" w:line="360" w:lineRule="auto"/>
        <w:ind w:left="1440"/>
        <w:jc w:val="both"/>
        <w:rPr>
          <w:rFonts w:ascii="Arial" w:eastAsiaTheme="minorHAnsi" w:hAnsi="Arial" w:cs="Arial"/>
          <w:i/>
          <w:sz w:val="24"/>
          <w:szCs w:val="24"/>
        </w:rPr>
      </w:pPr>
      <w:r w:rsidRPr="00683D08">
        <w:rPr>
          <w:rFonts w:ascii="Arial" w:eastAsiaTheme="minorHAnsi" w:hAnsi="Arial" w:cs="Arial"/>
          <w:i/>
          <w:sz w:val="24"/>
          <w:szCs w:val="24"/>
        </w:rPr>
        <w:t xml:space="preserve">“…’a statute is </w:t>
      </w:r>
      <w:r w:rsidR="0017402A" w:rsidRPr="0017402A">
        <w:rPr>
          <w:rFonts w:ascii="Arial" w:eastAsiaTheme="minorHAnsi" w:hAnsi="Arial" w:cs="Arial"/>
          <w:i/>
          <w:sz w:val="24"/>
          <w:szCs w:val="24"/>
        </w:rPr>
        <w:t xml:space="preserve">as far as possible </w:t>
      </w:r>
      <w:r w:rsidRPr="00683D08">
        <w:rPr>
          <w:rFonts w:ascii="Arial" w:eastAsiaTheme="minorHAnsi" w:hAnsi="Arial" w:cs="Arial"/>
          <w:i/>
          <w:sz w:val="24"/>
          <w:szCs w:val="24"/>
        </w:rPr>
        <w:t xml:space="preserve">to </w:t>
      </w:r>
      <w:r w:rsidR="0017402A" w:rsidRPr="0017402A">
        <w:rPr>
          <w:rFonts w:ascii="Arial" w:eastAsiaTheme="minorHAnsi" w:hAnsi="Arial" w:cs="Arial"/>
          <w:i/>
          <w:sz w:val="24"/>
          <w:szCs w:val="24"/>
        </w:rPr>
        <w:t>be construed as operating only on facts which came into existence after its passing.</w:t>
      </w:r>
      <w:r w:rsidRPr="00683D08">
        <w:rPr>
          <w:rFonts w:ascii="Arial" w:eastAsiaTheme="minorHAnsi" w:hAnsi="Arial" w:cs="Arial"/>
          <w:i/>
          <w:sz w:val="24"/>
          <w:szCs w:val="24"/>
        </w:rPr>
        <w:t>’</w:t>
      </w:r>
      <w:r w:rsidR="0017402A" w:rsidRPr="0017402A">
        <w:rPr>
          <w:rFonts w:ascii="Arial" w:eastAsiaTheme="minorHAnsi" w:hAnsi="Arial" w:cs="Arial"/>
          <w:i/>
          <w:sz w:val="24"/>
          <w:szCs w:val="24"/>
        </w:rPr>
        <w:t>”</w:t>
      </w:r>
    </w:p>
    <w:p w14:paraId="3E49C86F" w14:textId="77777777" w:rsidR="0017402A" w:rsidRPr="0017402A" w:rsidRDefault="0017402A" w:rsidP="0017402A">
      <w:pPr>
        <w:spacing w:after="160" w:line="360" w:lineRule="auto"/>
        <w:jc w:val="both"/>
        <w:rPr>
          <w:rFonts w:ascii="Arial" w:eastAsiaTheme="minorHAnsi" w:hAnsi="Arial" w:cs="Arial"/>
          <w:sz w:val="24"/>
          <w:szCs w:val="24"/>
        </w:rPr>
      </w:pPr>
      <w:r w:rsidRPr="0017402A">
        <w:rPr>
          <w:rFonts w:ascii="Arial" w:eastAsiaTheme="minorHAnsi" w:hAnsi="Arial" w:cs="Arial"/>
          <w:sz w:val="24"/>
          <w:szCs w:val="24"/>
        </w:rPr>
        <w:t>But then proceeded to find:</w:t>
      </w:r>
    </w:p>
    <w:p w14:paraId="2F9B0CB6" w14:textId="77777777" w:rsidR="0017402A" w:rsidRPr="0017402A" w:rsidRDefault="0017402A" w:rsidP="00683D08">
      <w:pPr>
        <w:spacing w:after="160" w:line="360" w:lineRule="auto"/>
        <w:ind w:left="1440"/>
        <w:jc w:val="both"/>
        <w:rPr>
          <w:rFonts w:ascii="Arial" w:eastAsiaTheme="minorHAnsi" w:hAnsi="Arial" w:cs="Arial"/>
          <w:i/>
          <w:sz w:val="24"/>
          <w:szCs w:val="24"/>
        </w:rPr>
      </w:pPr>
      <w:r w:rsidRPr="0017402A">
        <w:rPr>
          <w:rFonts w:ascii="Arial" w:eastAsiaTheme="minorHAnsi" w:hAnsi="Arial" w:cs="Arial"/>
          <w:i/>
          <w:sz w:val="24"/>
          <w:szCs w:val="24"/>
        </w:rPr>
        <w:t>“Despite this general rule, it has been held that a distinction must be drawn between those amendments that are merely procedural in nature and those that affect substantive rights. New procedural legislation designed to govern only the manner in which rights are asserted or enforced does not affect the substance of those rights. Such legislation is presumed to apply immediately to both pending and future case</w:t>
      </w:r>
      <w:r w:rsidR="00683D08" w:rsidRPr="00683D08">
        <w:rPr>
          <w:rFonts w:ascii="Arial" w:eastAsiaTheme="minorHAnsi" w:hAnsi="Arial" w:cs="Arial"/>
          <w:i/>
          <w:sz w:val="24"/>
          <w:szCs w:val="24"/>
        </w:rPr>
        <w:t>s</w:t>
      </w:r>
      <w:r w:rsidRPr="0017402A">
        <w:rPr>
          <w:rFonts w:ascii="Arial" w:eastAsiaTheme="minorHAnsi" w:hAnsi="Arial" w:cs="Arial"/>
          <w:i/>
          <w:sz w:val="24"/>
          <w:szCs w:val="24"/>
        </w:rPr>
        <w:t>. Howe</w:t>
      </w:r>
      <w:r w:rsidR="00683D08" w:rsidRPr="00683D08">
        <w:rPr>
          <w:rFonts w:ascii="Arial" w:eastAsiaTheme="minorHAnsi" w:hAnsi="Arial" w:cs="Arial"/>
          <w:i/>
          <w:sz w:val="24"/>
          <w:szCs w:val="24"/>
        </w:rPr>
        <w:t xml:space="preserve">ver, </w:t>
      </w:r>
      <w:r w:rsidRPr="0017402A">
        <w:rPr>
          <w:rFonts w:ascii="Arial" w:eastAsiaTheme="minorHAnsi" w:hAnsi="Arial" w:cs="Arial"/>
          <w:i/>
          <w:sz w:val="24"/>
          <w:szCs w:val="24"/>
        </w:rPr>
        <w:t>this rule is not always easy to apply in practice. Procedural provisions may, in their application, affect substantive rights. If they do, they are not purely procedural and do not apply immediately.”</w:t>
      </w:r>
    </w:p>
    <w:p w14:paraId="6A437968" w14:textId="77777777" w:rsidR="0017402A" w:rsidRPr="0017402A" w:rsidRDefault="0017402A" w:rsidP="0017402A">
      <w:pPr>
        <w:spacing w:after="160" w:line="360" w:lineRule="auto"/>
        <w:jc w:val="both"/>
        <w:rPr>
          <w:rFonts w:ascii="Arial" w:eastAsiaTheme="minorHAnsi" w:hAnsi="Arial" w:cs="Arial"/>
          <w:sz w:val="24"/>
          <w:szCs w:val="24"/>
        </w:rPr>
      </w:pPr>
    </w:p>
    <w:p w14:paraId="39957C13" w14:textId="3319B039" w:rsidR="0017402A" w:rsidRPr="0017402A" w:rsidRDefault="00E9082E" w:rsidP="0017402A">
      <w:pPr>
        <w:spacing w:after="160" w:line="360" w:lineRule="auto"/>
        <w:jc w:val="both"/>
        <w:rPr>
          <w:rFonts w:ascii="Arial" w:eastAsiaTheme="minorHAnsi" w:hAnsi="Arial" w:cs="Arial"/>
          <w:sz w:val="24"/>
          <w:szCs w:val="24"/>
        </w:rPr>
      </w:pPr>
      <w:r>
        <w:rPr>
          <w:rFonts w:ascii="Arial" w:eastAsiaTheme="minorHAnsi" w:hAnsi="Arial" w:cs="Arial"/>
          <w:sz w:val="24"/>
          <w:szCs w:val="24"/>
        </w:rPr>
        <w:t>[12</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 xml:space="preserve">The argument went that the substantive rights and obligations of Standard Bank remained unimpaired and therefore the new procedure could be applied. Standard Bank could still execute, it just had to follow </w:t>
      </w:r>
      <w:r w:rsidR="001C4DB6">
        <w:rPr>
          <w:rFonts w:ascii="Arial" w:eastAsiaTheme="minorHAnsi" w:hAnsi="Arial" w:cs="Arial"/>
          <w:sz w:val="24"/>
          <w:szCs w:val="24"/>
        </w:rPr>
        <w:t xml:space="preserve">the </w:t>
      </w:r>
      <w:r w:rsidR="0017402A" w:rsidRPr="0017402A">
        <w:rPr>
          <w:rFonts w:ascii="Arial" w:eastAsiaTheme="minorHAnsi" w:hAnsi="Arial" w:cs="Arial"/>
          <w:sz w:val="24"/>
          <w:szCs w:val="24"/>
        </w:rPr>
        <w:t>rule 46A procedure.</w:t>
      </w:r>
    </w:p>
    <w:p w14:paraId="36C5B0F5" w14:textId="77777777" w:rsidR="00683D08" w:rsidRDefault="00683D08" w:rsidP="0017402A">
      <w:pPr>
        <w:spacing w:after="160" w:line="360" w:lineRule="auto"/>
        <w:jc w:val="both"/>
        <w:rPr>
          <w:rFonts w:ascii="Arial" w:eastAsiaTheme="minorHAnsi" w:hAnsi="Arial" w:cs="Arial"/>
          <w:sz w:val="24"/>
          <w:szCs w:val="24"/>
        </w:rPr>
      </w:pPr>
    </w:p>
    <w:p w14:paraId="5922687D" w14:textId="77777777" w:rsidR="0017402A" w:rsidRPr="0017402A" w:rsidRDefault="0017402A" w:rsidP="0017402A">
      <w:pPr>
        <w:spacing w:after="160" w:line="360" w:lineRule="auto"/>
        <w:jc w:val="both"/>
        <w:rPr>
          <w:rFonts w:ascii="Arial" w:eastAsiaTheme="minorHAnsi" w:hAnsi="Arial" w:cs="Arial"/>
          <w:i/>
          <w:sz w:val="24"/>
          <w:szCs w:val="24"/>
        </w:rPr>
      </w:pPr>
      <w:r w:rsidRPr="0017402A">
        <w:rPr>
          <w:rFonts w:ascii="Arial" w:eastAsiaTheme="minorHAnsi" w:hAnsi="Arial" w:cs="Arial"/>
          <w:i/>
          <w:sz w:val="24"/>
          <w:szCs w:val="24"/>
        </w:rPr>
        <w:t>Submissions on behalf of Standard Bank</w:t>
      </w:r>
    </w:p>
    <w:p w14:paraId="180F7A2D" w14:textId="77777777" w:rsidR="0017402A" w:rsidRPr="0017402A" w:rsidRDefault="0017402A" w:rsidP="00683D08">
      <w:pPr>
        <w:spacing w:after="160" w:line="360" w:lineRule="auto"/>
        <w:ind w:firstLine="720"/>
        <w:jc w:val="both"/>
        <w:rPr>
          <w:rFonts w:ascii="Arial" w:eastAsiaTheme="minorHAnsi" w:hAnsi="Arial" w:cs="Arial"/>
          <w:i/>
          <w:sz w:val="24"/>
          <w:szCs w:val="24"/>
        </w:rPr>
      </w:pPr>
      <w:r w:rsidRPr="0017402A">
        <w:rPr>
          <w:rFonts w:ascii="Arial" w:eastAsiaTheme="minorHAnsi" w:hAnsi="Arial" w:cs="Arial"/>
          <w:i/>
          <w:sz w:val="24"/>
          <w:szCs w:val="24"/>
        </w:rPr>
        <w:t>Can this new ground of appeal be entertained?</w:t>
      </w:r>
    </w:p>
    <w:p w14:paraId="24CEC001" w14:textId="77777777" w:rsidR="0017402A" w:rsidRPr="0017402A" w:rsidRDefault="00E9082E" w:rsidP="0017402A">
      <w:pPr>
        <w:spacing w:after="160" w:line="360" w:lineRule="auto"/>
        <w:jc w:val="both"/>
        <w:rPr>
          <w:rFonts w:ascii="Arial" w:eastAsiaTheme="minorHAnsi" w:hAnsi="Arial" w:cs="Arial"/>
          <w:sz w:val="24"/>
          <w:szCs w:val="24"/>
        </w:rPr>
      </w:pPr>
      <w:r>
        <w:rPr>
          <w:rFonts w:ascii="Arial" w:eastAsiaTheme="minorHAnsi" w:hAnsi="Arial" w:cs="Arial"/>
          <w:sz w:val="24"/>
          <w:szCs w:val="24"/>
        </w:rPr>
        <w:t>[13</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 xml:space="preserve"> The stance was that Standard Bank needed to finalise this matter due to the extreme time period that this debt has been outstanding. It was submitted that, in fact, the appeal had lapsed due to Crown Classic not prosecuting it, but Standard Bank is not raising it so as to obtain legal certainty and finality.</w:t>
      </w:r>
    </w:p>
    <w:p w14:paraId="2AA8ADEC" w14:textId="77777777" w:rsidR="0017402A" w:rsidRPr="0017402A" w:rsidRDefault="0017402A" w:rsidP="0017402A">
      <w:pPr>
        <w:spacing w:after="160" w:line="360" w:lineRule="auto"/>
        <w:jc w:val="both"/>
        <w:rPr>
          <w:rFonts w:ascii="Arial" w:eastAsiaTheme="minorHAnsi" w:hAnsi="Arial" w:cs="Arial"/>
          <w:sz w:val="24"/>
          <w:szCs w:val="24"/>
        </w:rPr>
      </w:pPr>
    </w:p>
    <w:p w14:paraId="2424FC1F" w14:textId="77777777" w:rsidR="0017402A" w:rsidRPr="0017402A" w:rsidRDefault="00683D08" w:rsidP="0017402A">
      <w:pPr>
        <w:spacing w:after="160" w:line="360" w:lineRule="auto"/>
        <w:jc w:val="both"/>
        <w:rPr>
          <w:rFonts w:ascii="Arial" w:eastAsiaTheme="minorHAnsi" w:hAnsi="Arial" w:cs="Arial"/>
          <w:i/>
          <w:sz w:val="24"/>
          <w:szCs w:val="24"/>
        </w:rPr>
      </w:pPr>
      <w:r>
        <w:rPr>
          <w:rFonts w:ascii="Arial" w:eastAsiaTheme="minorHAnsi" w:hAnsi="Arial" w:cs="Arial"/>
          <w:i/>
          <w:sz w:val="24"/>
          <w:szCs w:val="24"/>
        </w:rPr>
        <w:t>Does R</w:t>
      </w:r>
      <w:r w:rsidR="0017402A" w:rsidRPr="0017402A">
        <w:rPr>
          <w:rFonts w:ascii="Arial" w:eastAsiaTheme="minorHAnsi" w:hAnsi="Arial" w:cs="Arial"/>
          <w:i/>
          <w:sz w:val="24"/>
          <w:szCs w:val="24"/>
        </w:rPr>
        <w:t>ule 46A operate retrospectively?</w:t>
      </w:r>
    </w:p>
    <w:p w14:paraId="39E8EC61" w14:textId="77777777" w:rsidR="0017402A" w:rsidRPr="0017402A" w:rsidRDefault="00E9082E" w:rsidP="0017402A">
      <w:pPr>
        <w:spacing w:after="160" w:line="360" w:lineRule="auto"/>
        <w:jc w:val="both"/>
        <w:rPr>
          <w:rFonts w:ascii="Arial" w:eastAsiaTheme="minorHAnsi" w:hAnsi="Arial" w:cs="Arial"/>
          <w:sz w:val="24"/>
          <w:szCs w:val="24"/>
        </w:rPr>
      </w:pPr>
      <w:r>
        <w:rPr>
          <w:rFonts w:ascii="Arial" w:eastAsiaTheme="minorHAnsi" w:hAnsi="Arial" w:cs="Arial"/>
          <w:sz w:val="24"/>
          <w:szCs w:val="24"/>
        </w:rPr>
        <w:lastRenderedPageBreak/>
        <w:t>[14</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 xml:space="preserve">It was submitted it does not apply retrospectively and relied on </w:t>
      </w:r>
      <w:r w:rsidR="008304AD">
        <w:rPr>
          <w:rFonts w:ascii="Arial" w:eastAsiaTheme="minorHAnsi" w:hAnsi="Arial" w:cs="Arial"/>
          <w:sz w:val="24"/>
          <w:szCs w:val="24"/>
        </w:rPr>
        <w:t xml:space="preserve">the matter of </w:t>
      </w:r>
      <w:r w:rsidR="008304AD">
        <w:rPr>
          <w:rFonts w:ascii="Arial" w:eastAsiaTheme="minorHAnsi" w:hAnsi="Arial" w:cs="Arial"/>
          <w:i/>
          <w:sz w:val="24"/>
          <w:szCs w:val="24"/>
        </w:rPr>
        <w:t xml:space="preserve">Williams and Another v Standard Bank of South Africa Ltd and Another </w:t>
      </w:r>
      <w:r w:rsidR="008304AD">
        <w:rPr>
          <w:rFonts w:ascii="Arial" w:eastAsiaTheme="minorHAnsi" w:hAnsi="Arial" w:cs="Arial"/>
          <w:sz w:val="24"/>
          <w:szCs w:val="24"/>
        </w:rPr>
        <w:t xml:space="preserve">[2019] ZAGPPHC 364 (3 May 2019) </w:t>
      </w:r>
      <w:r w:rsidR="0017402A" w:rsidRPr="0017402A">
        <w:rPr>
          <w:rFonts w:ascii="Arial" w:eastAsiaTheme="minorHAnsi" w:hAnsi="Arial" w:cs="Arial"/>
          <w:sz w:val="24"/>
          <w:szCs w:val="24"/>
        </w:rPr>
        <w:t>where the following was found:</w:t>
      </w:r>
    </w:p>
    <w:p w14:paraId="37C12B24" w14:textId="77777777" w:rsidR="0017402A" w:rsidRPr="0017402A" w:rsidRDefault="0017402A" w:rsidP="00607B31">
      <w:pPr>
        <w:widowControl w:val="0"/>
        <w:spacing w:after="520" w:line="360" w:lineRule="auto"/>
        <w:ind w:left="1440"/>
        <w:jc w:val="both"/>
        <w:rPr>
          <w:rFonts w:ascii="Arial" w:eastAsia="Verdana" w:hAnsi="Arial" w:cs="Arial"/>
          <w:i/>
          <w:sz w:val="24"/>
          <w:szCs w:val="24"/>
        </w:rPr>
      </w:pPr>
      <w:r w:rsidRPr="0017402A">
        <w:rPr>
          <w:rFonts w:ascii="Arial" w:eastAsia="Verdana" w:hAnsi="Arial" w:cs="Arial"/>
          <w:bCs/>
          <w:i/>
          <w:iCs/>
          <w:sz w:val="24"/>
          <w:szCs w:val="24"/>
        </w:rPr>
        <w:t>“</w:t>
      </w:r>
      <w:r w:rsidR="008304AD" w:rsidRPr="008304AD">
        <w:rPr>
          <w:rFonts w:ascii="Arial" w:eastAsia="Verdana" w:hAnsi="Arial" w:cs="Arial"/>
          <w:bCs/>
          <w:i/>
          <w:iCs/>
          <w:sz w:val="24"/>
          <w:szCs w:val="24"/>
        </w:rPr>
        <w:t xml:space="preserve">… </w:t>
      </w:r>
      <w:r w:rsidRPr="0017402A">
        <w:rPr>
          <w:rFonts w:ascii="Arial" w:eastAsia="Verdana" w:hAnsi="Arial" w:cs="Arial"/>
          <w:bCs/>
          <w:i/>
          <w:iCs/>
          <w:sz w:val="24"/>
          <w:szCs w:val="24"/>
        </w:rPr>
        <w:t xml:space="preserve">applied retroactively to the bank's case it would have the effect of impairing the bank's untrammelled right to sell in execution by imposing new duties and burdens on the bank. It would also have the effect of undoing all the procedural steps already taken by the bank in regard to an execution process initiated under the old rule. The injustice and impracticality of applying Rule 46A to such a case is obvious. </w:t>
      </w:r>
      <w:r w:rsidRPr="0017402A">
        <w:rPr>
          <w:rFonts w:ascii="Arial" w:eastAsia="Verdana" w:hAnsi="Arial" w:cs="Arial"/>
          <w:i/>
          <w:iCs/>
          <w:sz w:val="24"/>
          <w:szCs w:val="24"/>
        </w:rPr>
        <w:t xml:space="preserve">Given that there is no indication that the provision was intended to apply to pending execution proceedings. I consider that the presumption against retrospectivity and interference with existing rights have not been rebutted.” </w:t>
      </w:r>
    </w:p>
    <w:p w14:paraId="08A0DF1F" w14:textId="77777777" w:rsidR="00E952D2" w:rsidRDefault="00E9082E" w:rsidP="00E952D2">
      <w:pPr>
        <w:widowControl w:val="0"/>
        <w:tabs>
          <w:tab w:val="left" w:pos="709"/>
          <w:tab w:val="left" w:pos="1152"/>
        </w:tabs>
        <w:spacing w:after="0" w:line="360" w:lineRule="auto"/>
        <w:jc w:val="both"/>
        <w:rPr>
          <w:rFonts w:ascii="Arial" w:eastAsia="Verdana" w:hAnsi="Arial" w:cs="Arial"/>
          <w:i/>
          <w:sz w:val="24"/>
          <w:szCs w:val="24"/>
        </w:rPr>
      </w:pPr>
      <w:r>
        <w:rPr>
          <w:rFonts w:ascii="Arial" w:eastAsia="Verdana" w:hAnsi="Arial" w:cs="Arial"/>
          <w:sz w:val="24"/>
          <w:szCs w:val="24"/>
        </w:rPr>
        <w:t>[15</w:t>
      </w:r>
      <w:r w:rsidR="0017402A" w:rsidRPr="0017402A">
        <w:rPr>
          <w:rFonts w:ascii="Arial" w:eastAsia="Verdana" w:hAnsi="Arial" w:cs="Arial"/>
          <w:sz w:val="24"/>
          <w:szCs w:val="24"/>
        </w:rPr>
        <w:t>]</w:t>
      </w:r>
      <w:r w:rsidR="008304AD">
        <w:rPr>
          <w:rFonts w:ascii="Arial" w:eastAsia="Verdana" w:hAnsi="Arial" w:cs="Arial"/>
          <w:sz w:val="24"/>
          <w:szCs w:val="24"/>
        </w:rPr>
        <w:tab/>
      </w:r>
      <w:r w:rsidR="0017402A" w:rsidRPr="0017402A">
        <w:rPr>
          <w:rFonts w:ascii="Arial" w:eastAsia="Verdana" w:hAnsi="Arial" w:cs="Arial"/>
          <w:sz w:val="24"/>
          <w:szCs w:val="24"/>
        </w:rPr>
        <w:t>On behalf of Standard Bank this Court’s attention was drawn to the fact that Crown Classic, despite an invitation to do so in the summons, did not set out a single fact as to why a reserve price should be set. This is contrary to the requirements set out by the Supreme Court of Appeal in the matter of</w:t>
      </w:r>
      <w:r w:rsidR="0017402A" w:rsidRPr="0017402A">
        <w:rPr>
          <w:rFonts w:ascii="Arial" w:eastAsia="Verdana" w:hAnsi="Arial" w:cs="Arial"/>
          <w:bCs/>
          <w:i/>
          <w:iCs/>
          <w:sz w:val="24"/>
          <w:szCs w:val="24"/>
        </w:rPr>
        <w:t xml:space="preserve"> NPGS Protection and Security Services CC and</w:t>
      </w:r>
      <w:r w:rsidR="00E952D2">
        <w:rPr>
          <w:rFonts w:ascii="Arial" w:eastAsia="Verdana" w:hAnsi="Arial" w:cs="Arial"/>
          <w:bCs/>
          <w:i/>
          <w:iCs/>
          <w:sz w:val="24"/>
          <w:szCs w:val="24"/>
        </w:rPr>
        <w:t xml:space="preserve"> Another</w:t>
      </w:r>
      <w:r w:rsidR="0017402A" w:rsidRPr="0017402A">
        <w:rPr>
          <w:rFonts w:ascii="Arial" w:eastAsia="Verdana" w:hAnsi="Arial" w:cs="Arial"/>
          <w:bCs/>
          <w:i/>
          <w:iCs/>
          <w:sz w:val="24"/>
          <w:szCs w:val="24"/>
        </w:rPr>
        <w:t xml:space="preserve"> </w:t>
      </w:r>
      <w:r w:rsidR="00E952D2">
        <w:rPr>
          <w:rFonts w:ascii="Arial" w:eastAsia="Verdana" w:hAnsi="Arial" w:cs="Arial"/>
          <w:bCs/>
          <w:i/>
          <w:iCs/>
          <w:sz w:val="24"/>
          <w:szCs w:val="24"/>
        </w:rPr>
        <w:t xml:space="preserve">v </w:t>
      </w:r>
      <w:r w:rsidR="0017402A" w:rsidRPr="0017402A">
        <w:rPr>
          <w:rFonts w:ascii="Arial" w:eastAsia="Verdana" w:hAnsi="Arial" w:cs="Arial"/>
          <w:bCs/>
          <w:i/>
          <w:iCs/>
          <w:sz w:val="24"/>
          <w:szCs w:val="24"/>
        </w:rPr>
        <w:t>FirstRand Bank</w:t>
      </w:r>
      <w:r w:rsidR="00E952D2">
        <w:rPr>
          <w:rFonts w:ascii="Arial" w:eastAsia="Verdana" w:hAnsi="Arial" w:cs="Arial"/>
          <w:bCs/>
          <w:i/>
          <w:sz w:val="24"/>
          <w:szCs w:val="24"/>
        </w:rPr>
        <w:t xml:space="preserve"> Ltd </w:t>
      </w:r>
      <w:r w:rsidR="00E952D2">
        <w:rPr>
          <w:rFonts w:ascii="Arial" w:eastAsia="Verdana" w:hAnsi="Arial" w:cs="Arial"/>
          <w:bCs/>
          <w:sz w:val="24"/>
          <w:szCs w:val="24"/>
        </w:rPr>
        <w:t xml:space="preserve">(314/2018) [2019] ZASCA 2019 (6 June 2019);  2020 (1) SA 494 (SCA): </w:t>
      </w:r>
    </w:p>
    <w:p w14:paraId="1E9C4FFA" w14:textId="77777777" w:rsidR="0017402A" w:rsidRDefault="0017402A" w:rsidP="00E952D2">
      <w:pPr>
        <w:widowControl w:val="0"/>
        <w:tabs>
          <w:tab w:val="left" w:pos="709"/>
          <w:tab w:val="left" w:pos="1152"/>
        </w:tabs>
        <w:spacing w:after="0" w:line="360" w:lineRule="auto"/>
        <w:ind w:left="1152"/>
        <w:jc w:val="both"/>
        <w:rPr>
          <w:rFonts w:ascii="Arial" w:eastAsia="Verdana" w:hAnsi="Arial" w:cs="Arial"/>
          <w:bCs/>
          <w:i/>
          <w:iCs/>
          <w:sz w:val="24"/>
          <w:szCs w:val="24"/>
        </w:rPr>
      </w:pPr>
      <w:r w:rsidRPr="0017402A">
        <w:rPr>
          <w:rFonts w:ascii="Arial" w:eastAsia="Verdana" w:hAnsi="Arial" w:cs="Arial"/>
          <w:i/>
          <w:iCs/>
          <w:sz w:val="24"/>
          <w:szCs w:val="24"/>
        </w:rPr>
        <w:t>“On the facts of this</w:t>
      </w:r>
      <w:r w:rsidR="00E952D2" w:rsidRPr="00E952D2">
        <w:rPr>
          <w:rFonts w:ascii="Arial" w:eastAsia="Verdana" w:hAnsi="Arial" w:cs="Arial"/>
          <w:i/>
          <w:sz w:val="24"/>
          <w:szCs w:val="24"/>
        </w:rPr>
        <w:t xml:space="preserve"> case, </w:t>
      </w:r>
      <w:r w:rsidRPr="0017402A">
        <w:rPr>
          <w:rFonts w:ascii="Arial" w:eastAsia="Verdana" w:hAnsi="Arial" w:cs="Arial"/>
          <w:i/>
          <w:iCs/>
          <w:sz w:val="24"/>
          <w:szCs w:val="24"/>
        </w:rPr>
        <w:t xml:space="preserve">the complete failure by the second appellant to avail himself of rights which were expressly drawn to his attention in the summons issued by the respondent dictates to the contrary. It bears repeating that there was a specific prayer in the summons requesting an order of execution. </w:t>
      </w:r>
      <w:r w:rsidRPr="0017402A">
        <w:rPr>
          <w:rFonts w:ascii="Arial" w:eastAsia="Verdana" w:hAnsi="Arial" w:cs="Arial"/>
          <w:bCs/>
          <w:i/>
          <w:iCs/>
          <w:sz w:val="24"/>
          <w:szCs w:val="24"/>
        </w:rPr>
        <w:t>In imposing an obligation upon a court in this case when one vague and unspecified mention of a personal residence w</w:t>
      </w:r>
      <w:r w:rsidR="00E952D2" w:rsidRPr="00E952D2">
        <w:rPr>
          <w:rFonts w:ascii="Arial" w:eastAsia="Verdana" w:hAnsi="Arial" w:cs="Arial"/>
          <w:bCs/>
          <w:i/>
          <w:iCs/>
          <w:sz w:val="24"/>
          <w:szCs w:val="24"/>
        </w:rPr>
        <w:t>ithout more suffices as a defenc</w:t>
      </w:r>
      <w:r w:rsidRPr="0017402A">
        <w:rPr>
          <w:rFonts w:ascii="Arial" w:eastAsia="Verdana" w:hAnsi="Arial" w:cs="Arial"/>
          <w:bCs/>
          <w:i/>
          <w:iCs/>
          <w:sz w:val="24"/>
          <w:szCs w:val="24"/>
        </w:rPr>
        <w:t>e or even a justification for remitting a case back to the court a quo, would in my view, cause significant uncertainty, and arguably serious damage to the efficient provision of credit in the economy</w:t>
      </w:r>
      <w:r w:rsidR="00E952D2" w:rsidRPr="00E952D2">
        <w:rPr>
          <w:rFonts w:ascii="Arial" w:eastAsia="Verdana" w:hAnsi="Arial" w:cs="Arial"/>
          <w:bCs/>
          <w:i/>
          <w:iCs/>
          <w:sz w:val="24"/>
          <w:szCs w:val="24"/>
        </w:rPr>
        <w:t>.</w:t>
      </w:r>
      <w:r w:rsidRPr="0017402A">
        <w:rPr>
          <w:rFonts w:ascii="Arial" w:eastAsia="Verdana" w:hAnsi="Arial" w:cs="Arial"/>
          <w:bCs/>
          <w:i/>
          <w:iCs/>
          <w:sz w:val="24"/>
          <w:szCs w:val="24"/>
        </w:rPr>
        <w:t>”</w:t>
      </w:r>
    </w:p>
    <w:p w14:paraId="6DB4E7A2" w14:textId="77777777" w:rsidR="00E952D2" w:rsidRPr="0017402A" w:rsidRDefault="00E952D2" w:rsidP="00E952D2">
      <w:pPr>
        <w:widowControl w:val="0"/>
        <w:tabs>
          <w:tab w:val="left" w:pos="709"/>
          <w:tab w:val="left" w:pos="1152"/>
        </w:tabs>
        <w:spacing w:after="0" w:line="360" w:lineRule="auto"/>
        <w:ind w:left="1152"/>
        <w:jc w:val="both"/>
        <w:rPr>
          <w:rFonts w:ascii="Arial" w:eastAsia="Verdana" w:hAnsi="Arial" w:cs="Arial"/>
          <w:i/>
          <w:sz w:val="24"/>
          <w:szCs w:val="24"/>
        </w:rPr>
      </w:pPr>
    </w:p>
    <w:p w14:paraId="50272C6F" w14:textId="799F682A" w:rsidR="0017402A" w:rsidRPr="0017402A" w:rsidRDefault="00A8614B" w:rsidP="00A8614B">
      <w:pPr>
        <w:widowControl w:val="0"/>
        <w:tabs>
          <w:tab w:val="left" w:pos="0"/>
        </w:tabs>
        <w:spacing w:after="540" w:line="360" w:lineRule="auto"/>
        <w:ind w:hanging="709"/>
        <w:jc w:val="both"/>
        <w:rPr>
          <w:rFonts w:ascii="Arial" w:eastAsia="Verdana" w:hAnsi="Arial" w:cs="Arial"/>
          <w:sz w:val="24"/>
          <w:szCs w:val="24"/>
        </w:rPr>
      </w:pPr>
      <w:r>
        <w:rPr>
          <w:rFonts w:ascii="Arial" w:eastAsia="Verdana" w:hAnsi="Arial" w:cs="Arial"/>
          <w:bCs/>
          <w:iCs/>
          <w:sz w:val="24"/>
          <w:szCs w:val="24"/>
        </w:rPr>
        <w:tab/>
      </w:r>
      <w:r w:rsidR="00E9082E">
        <w:rPr>
          <w:rFonts w:ascii="Arial" w:eastAsia="Verdana" w:hAnsi="Arial" w:cs="Arial"/>
          <w:bCs/>
          <w:iCs/>
          <w:sz w:val="24"/>
          <w:szCs w:val="24"/>
        </w:rPr>
        <w:t>[16</w:t>
      </w:r>
      <w:r w:rsidR="00E952D2">
        <w:rPr>
          <w:rFonts w:ascii="Arial" w:eastAsia="Verdana" w:hAnsi="Arial" w:cs="Arial"/>
          <w:bCs/>
          <w:iCs/>
          <w:sz w:val="24"/>
          <w:szCs w:val="24"/>
        </w:rPr>
        <w:t>]</w:t>
      </w:r>
      <w:r w:rsidR="00E952D2">
        <w:rPr>
          <w:rFonts w:ascii="Arial" w:eastAsia="Verdana" w:hAnsi="Arial" w:cs="Arial"/>
          <w:bCs/>
          <w:iCs/>
          <w:sz w:val="24"/>
          <w:szCs w:val="24"/>
        </w:rPr>
        <w:tab/>
      </w:r>
      <w:r w:rsidR="0017402A" w:rsidRPr="0017402A">
        <w:rPr>
          <w:rFonts w:ascii="Arial" w:eastAsia="Verdana" w:hAnsi="Arial" w:cs="Arial"/>
          <w:bCs/>
          <w:iCs/>
          <w:sz w:val="24"/>
          <w:szCs w:val="24"/>
        </w:rPr>
        <w:t xml:space="preserve">The submission was further that there is no indication in the rule </w:t>
      </w:r>
      <w:r w:rsidR="001C4DB6">
        <w:rPr>
          <w:rFonts w:ascii="Arial" w:eastAsia="Verdana" w:hAnsi="Arial" w:cs="Arial"/>
          <w:bCs/>
          <w:iCs/>
          <w:sz w:val="24"/>
          <w:szCs w:val="24"/>
        </w:rPr>
        <w:t xml:space="preserve">itself </w:t>
      </w:r>
      <w:r>
        <w:rPr>
          <w:rFonts w:ascii="Arial" w:eastAsia="Verdana" w:hAnsi="Arial" w:cs="Arial"/>
          <w:bCs/>
          <w:iCs/>
          <w:sz w:val="24"/>
          <w:szCs w:val="24"/>
        </w:rPr>
        <w:t xml:space="preserve">that it had </w:t>
      </w:r>
      <w:r w:rsidR="0017402A" w:rsidRPr="0017402A">
        <w:rPr>
          <w:rFonts w:ascii="Arial" w:eastAsia="Verdana" w:hAnsi="Arial" w:cs="Arial"/>
          <w:bCs/>
          <w:iCs/>
          <w:sz w:val="24"/>
          <w:szCs w:val="24"/>
        </w:rPr>
        <w:t>to have retrospective application.</w:t>
      </w:r>
    </w:p>
    <w:p w14:paraId="09E07E76" w14:textId="77777777" w:rsidR="0017402A" w:rsidRPr="0017402A" w:rsidRDefault="00E9082E" w:rsidP="00E952D2">
      <w:pPr>
        <w:widowControl w:val="0"/>
        <w:tabs>
          <w:tab w:val="left" w:pos="709"/>
          <w:tab w:val="left" w:pos="2138"/>
        </w:tabs>
        <w:spacing w:after="540" w:line="360" w:lineRule="auto"/>
        <w:jc w:val="both"/>
        <w:rPr>
          <w:rFonts w:ascii="Arial" w:eastAsia="Verdana" w:hAnsi="Arial" w:cs="Arial"/>
          <w:sz w:val="24"/>
          <w:szCs w:val="24"/>
        </w:rPr>
      </w:pPr>
      <w:r>
        <w:rPr>
          <w:rFonts w:ascii="Arial" w:eastAsia="Verdana" w:hAnsi="Arial" w:cs="Arial"/>
          <w:sz w:val="24"/>
          <w:szCs w:val="24"/>
        </w:rPr>
        <w:lastRenderedPageBreak/>
        <w:t>[17</w:t>
      </w:r>
      <w:r w:rsidR="00E952D2">
        <w:rPr>
          <w:rFonts w:ascii="Arial" w:eastAsia="Verdana" w:hAnsi="Arial" w:cs="Arial"/>
          <w:sz w:val="24"/>
          <w:szCs w:val="24"/>
        </w:rPr>
        <w:t>]</w:t>
      </w:r>
      <w:r w:rsidR="00E952D2">
        <w:rPr>
          <w:rFonts w:ascii="Arial" w:eastAsia="Verdana" w:hAnsi="Arial" w:cs="Arial"/>
          <w:sz w:val="24"/>
          <w:szCs w:val="24"/>
        </w:rPr>
        <w:tab/>
      </w:r>
      <w:r w:rsidR="0017402A" w:rsidRPr="0017402A">
        <w:rPr>
          <w:rFonts w:ascii="Arial" w:eastAsia="Verdana" w:hAnsi="Arial" w:cs="Arial"/>
          <w:sz w:val="24"/>
          <w:szCs w:val="24"/>
        </w:rPr>
        <w:t xml:space="preserve">It was further argued that remitting this matter back to the High Court to consider a reserve price setting would be futile. This debt has not been paid since 2017 and now, five years later, the property will have no equity to satisfy this debt, with or without, a reserve price. Crown Classic had not set out any reasons why a reserve price must be set. </w:t>
      </w:r>
    </w:p>
    <w:p w14:paraId="04602A12" w14:textId="77777777" w:rsidR="0017402A" w:rsidRPr="0017402A" w:rsidRDefault="0017402A" w:rsidP="0017402A">
      <w:pPr>
        <w:tabs>
          <w:tab w:val="left" w:pos="5947"/>
        </w:tabs>
        <w:spacing w:after="160" w:line="360" w:lineRule="auto"/>
        <w:jc w:val="both"/>
        <w:rPr>
          <w:rFonts w:ascii="Arial" w:eastAsiaTheme="minorHAnsi" w:hAnsi="Arial" w:cs="Arial"/>
          <w:i/>
          <w:sz w:val="24"/>
          <w:szCs w:val="24"/>
        </w:rPr>
      </w:pPr>
      <w:r w:rsidRPr="0017402A">
        <w:rPr>
          <w:rFonts w:ascii="Arial" w:eastAsiaTheme="minorHAnsi" w:hAnsi="Arial" w:cs="Arial"/>
          <w:i/>
          <w:sz w:val="24"/>
          <w:szCs w:val="24"/>
        </w:rPr>
        <w:t>Reasons for decision</w:t>
      </w:r>
      <w:r w:rsidRPr="0017402A">
        <w:rPr>
          <w:rFonts w:ascii="Arial" w:eastAsiaTheme="minorHAnsi" w:hAnsi="Arial" w:cs="Arial"/>
          <w:i/>
          <w:sz w:val="24"/>
          <w:szCs w:val="24"/>
        </w:rPr>
        <w:tab/>
      </w:r>
    </w:p>
    <w:p w14:paraId="783AA6AA" w14:textId="77777777" w:rsidR="0017402A" w:rsidRPr="0017402A" w:rsidRDefault="0017402A" w:rsidP="00E952D2">
      <w:pPr>
        <w:spacing w:after="160" w:line="360" w:lineRule="auto"/>
        <w:ind w:firstLine="720"/>
        <w:jc w:val="both"/>
        <w:rPr>
          <w:rFonts w:ascii="Arial" w:eastAsiaTheme="minorHAnsi" w:hAnsi="Arial" w:cs="Arial"/>
          <w:i/>
          <w:sz w:val="24"/>
          <w:szCs w:val="24"/>
        </w:rPr>
      </w:pPr>
      <w:r w:rsidRPr="0017402A">
        <w:rPr>
          <w:rFonts w:ascii="Arial" w:eastAsiaTheme="minorHAnsi" w:hAnsi="Arial" w:cs="Arial"/>
          <w:i/>
          <w:sz w:val="24"/>
          <w:szCs w:val="24"/>
        </w:rPr>
        <w:t>Must this Court determine this new ground of appeal?</w:t>
      </w:r>
    </w:p>
    <w:p w14:paraId="7D18B573" w14:textId="77777777" w:rsidR="0017402A" w:rsidRPr="0017402A" w:rsidRDefault="00E9082E" w:rsidP="0017402A">
      <w:pPr>
        <w:spacing w:after="160" w:line="360" w:lineRule="auto"/>
        <w:jc w:val="both"/>
        <w:rPr>
          <w:rFonts w:ascii="Arial" w:eastAsiaTheme="minorHAnsi" w:hAnsi="Arial" w:cs="Arial"/>
          <w:sz w:val="24"/>
          <w:szCs w:val="24"/>
        </w:rPr>
      </w:pPr>
      <w:r>
        <w:rPr>
          <w:rFonts w:ascii="Arial" w:eastAsiaTheme="minorHAnsi" w:hAnsi="Arial" w:cs="Arial"/>
          <w:sz w:val="24"/>
          <w:szCs w:val="24"/>
        </w:rPr>
        <w:t>[18</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This ground of appeal was referred to the Full Court by the High Court and I think on that basis alone the matter must be heard. I do not propose that leave granted by a High Court will always entitle a litigant to argue the new ground of appeal whereon leave was granted, but in this matter, due to the delay and dilatory conduct of Crown Classic justice will be served to obtain certainty on the issue raised. It is in the interests of justice that this matter be finalised.</w:t>
      </w:r>
    </w:p>
    <w:p w14:paraId="37F5F9FC" w14:textId="77777777" w:rsidR="0017402A" w:rsidRPr="0017402A" w:rsidRDefault="0017402A" w:rsidP="0017402A">
      <w:pPr>
        <w:spacing w:after="160" w:line="360" w:lineRule="auto"/>
        <w:jc w:val="both"/>
        <w:rPr>
          <w:rFonts w:ascii="Arial" w:eastAsiaTheme="minorHAnsi" w:hAnsi="Arial" w:cs="Arial"/>
          <w:sz w:val="24"/>
          <w:szCs w:val="24"/>
        </w:rPr>
      </w:pPr>
    </w:p>
    <w:p w14:paraId="7284001A" w14:textId="77777777" w:rsidR="0017402A" w:rsidRPr="0017402A" w:rsidRDefault="00E9082E" w:rsidP="0017402A">
      <w:pPr>
        <w:spacing w:after="160" w:line="360" w:lineRule="auto"/>
        <w:jc w:val="both"/>
        <w:rPr>
          <w:rFonts w:ascii="Arial" w:eastAsiaTheme="minorHAnsi" w:hAnsi="Arial" w:cs="Arial"/>
          <w:sz w:val="24"/>
          <w:szCs w:val="24"/>
        </w:rPr>
      </w:pPr>
      <w:r>
        <w:rPr>
          <w:rFonts w:ascii="Arial" w:eastAsiaTheme="minorHAnsi" w:hAnsi="Arial" w:cs="Arial"/>
          <w:sz w:val="24"/>
          <w:szCs w:val="24"/>
        </w:rPr>
        <w:t>[19</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 xml:space="preserve"> I am aware that it is debatable whether the issue of setting a reserve price by the Court is indee</w:t>
      </w:r>
      <w:r w:rsidR="001C4DB6">
        <w:rPr>
          <w:rFonts w:ascii="Arial" w:eastAsiaTheme="minorHAnsi" w:hAnsi="Arial" w:cs="Arial"/>
          <w:sz w:val="24"/>
          <w:szCs w:val="24"/>
        </w:rPr>
        <w:t xml:space="preserve">d only procedural and may clothe this Court with jurisdiction to </w:t>
      </w:r>
      <w:r w:rsidR="0017402A" w:rsidRPr="0017402A">
        <w:rPr>
          <w:rFonts w:ascii="Arial" w:eastAsiaTheme="minorHAnsi" w:hAnsi="Arial" w:cs="Arial"/>
          <w:sz w:val="24"/>
          <w:szCs w:val="24"/>
        </w:rPr>
        <w:t xml:space="preserve">entertain the new ground of appeal. Also, the reserve price issue was not addressed in the papers or the judgment of the court below perhaps rendering the new ground of appeal not to be entertained. But, in view of my finding above and Standard Bank’s stance that the matter can be argued, I do not find it necessary to determine those issues. </w:t>
      </w:r>
    </w:p>
    <w:p w14:paraId="4D04D131" w14:textId="77777777" w:rsidR="00E952D2" w:rsidRDefault="00E952D2" w:rsidP="0017402A">
      <w:pPr>
        <w:spacing w:after="160" w:line="360" w:lineRule="auto"/>
        <w:jc w:val="both"/>
        <w:rPr>
          <w:rFonts w:ascii="Arial" w:eastAsiaTheme="minorHAnsi" w:hAnsi="Arial" w:cs="Arial"/>
          <w:sz w:val="24"/>
          <w:szCs w:val="24"/>
        </w:rPr>
      </w:pPr>
    </w:p>
    <w:p w14:paraId="4CDA266F" w14:textId="77777777" w:rsidR="0017402A" w:rsidRPr="0017402A" w:rsidRDefault="00E952D2" w:rsidP="0017402A">
      <w:pPr>
        <w:spacing w:after="160" w:line="360" w:lineRule="auto"/>
        <w:jc w:val="both"/>
        <w:rPr>
          <w:rFonts w:ascii="Arial" w:eastAsiaTheme="minorHAnsi" w:hAnsi="Arial" w:cs="Arial"/>
          <w:i/>
          <w:sz w:val="24"/>
          <w:szCs w:val="24"/>
        </w:rPr>
      </w:pPr>
      <w:r>
        <w:rPr>
          <w:rFonts w:ascii="Arial" w:eastAsiaTheme="minorHAnsi" w:hAnsi="Arial" w:cs="Arial"/>
          <w:i/>
          <w:sz w:val="24"/>
          <w:szCs w:val="24"/>
        </w:rPr>
        <w:t>Is R</w:t>
      </w:r>
      <w:r w:rsidR="0017402A" w:rsidRPr="0017402A">
        <w:rPr>
          <w:rFonts w:ascii="Arial" w:eastAsiaTheme="minorHAnsi" w:hAnsi="Arial" w:cs="Arial"/>
          <w:i/>
          <w:sz w:val="24"/>
          <w:szCs w:val="24"/>
        </w:rPr>
        <w:t>ule 46A to be applied retrospectively?</w:t>
      </w:r>
    </w:p>
    <w:p w14:paraId="68013DCC" w14:textId="2510584E" w:rsidR="0017402A" w:rsidRPr="0017402A" w:rsidRDefault="00E9082E" w:rsidP="0017402A">
      <w:pPr>
        <w:spacing w:after="160" w:line="360" w:lineRule="auto"/>
        <w:jc w:val="both"/>
        <w:rPr>
          <w:rFonts w:ascii="Arial" w:eastAsiaTheme="minorHAnsi" w:hAnsi="Arial" w:cs="Arial"/>
          <w:sz w:val="24"/>
          <w:szCs w:val="24"/>
        </w:rPr>
      </w:pPr>
      <w:r>
        <w:rPr>
          <w:rFonts w:ascii="Arial" w:eastAsiaTheme="minorHAnsi" w:hAnsi="Arial" w:cs="Arial"/>
          <w:sz w:val="24"/>
          <w:szCs w:val="24"/>
        </w:rPr>
        <w:t>[20</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 xml:space="preserve">The common law presumption against retrospectivity has found application under our </w:t>
      </w:r>
      <w:r w:rsidR="00B3451C">
        <w:rPr>
          <w:rFonts w:ascii="Arial" w:eastAsiaTheme="minorHAnsi" w:hAnsi="Arial" w:cs="Arial"/>
          <w:sz w:val="24"/>
          <w:szCs w:val="24"/>
        </w:rPr>
        <w:t>c</w:t>
      </w:r>
      <w:r w:rsidR="0017402A" w:rsidRPr="0017402A">
        <w:rPr>
          <w:rFonts w:ascii="Arial" w:eastAsiaTheme="minorHAnsi" w:hAnsi="Arial" w:cs="Arial"/>
          <w:sz w:val="24"/>
          <w:szCs w:val="24"/>
        </w:rPr>
        <w:t>onstitutional dispensation. This rule has evolved into a vital and important mechanism by which a court can protect fundamental rights from being interfered with by the legislature. There is however a rider to this presumption; where it is clear from the unambiguous language of the statute that the legislature intended to interfere with the fundamental rights the presumption against retrospectivity cannot be invoked.</w:t>
      </w:r>
    </w:p>
    <w:p w14:paraId="12ACB446" w14:textId="77777777" w:rsidR="0017402A" w:rsidRPr="0017402A" w:rsidRDefault="0017402A" w:rsidP="0017402A">
      <w:pPr>
        <w:spacing w:after="160" w:line="360" w:lineRule="auto"/>
        <w:jc w:val="both"/>
        <w:rPr>
          <w:rFonts w:ascii="Arial" w:eastAsiaTheme="minorHAnsi" w:hAnsi="Arial" w:cs="Arial"/>
          <w:sz w:val="24"/>
          <w:szCs w:val="24"/>
        </w:rPr>
      </w:pPr>
    </w:p>
    <w:p w14:paraId="068C89E5" w14:textId="77777777" w:rsidR="0017402A" w:rsidRDefault="00E9082E" w:rsidP="0017402A">
      <w:pPr>
        <w:tabs>
          <w:tab w:val="left" w:pos="720"/>
          <w:tab w:val="left" w:pos="2543"/>
        </w:tabs>
        <w:spacing w:after="160" w:line="360" w:lineRule="auto"/>
        <w:jc w:val="both"/>
        <w:rPr>
          <w:rFonts w:ascii="Arial" w:eastAsiaTheme="minorHAnsi" w:hAnsi="Arial" w:cs="Arial"/>
          <w:i/>
          <w:sz w:val="24"/>
          <w:szCs w:val="24"/>
        </w:rPr>
      </w:pPr>
      <w:r>
        <w:rPr>
          <w:rFonts w:ascii="Arial" w:eastAsiaTheme="minorHAnsi" w:hAnsi="Arial" w:cs="Arial"/>
          <w:sz w:val="24"/>
          <w:szCs w:val="24"/>
        </w:rPr>
        <w:t>[21</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r>
      <w:r w:rsidR="00011D4A">
        <w:rPr>
          <w:rFonts w:ascii="Arial" w:eastAsiaTheme="minorHAnsi" w:hAnsi="Arial" w:cs="Arial"/>
          <w:sz w:val="24"/>
          <w:szCs w:val="24"/>
        </w:rPr>
        <w:t xml:space="preserve">This relationship was </w:t>
      </w:r>
      <w:r w:rsidR="0017402A" w:rsidRPr="0017402A">
        <w:rPr>
          <w:rFonts w:ascii="Arial" w:eastAsiaTheme="minorHAnsi" w:hAnsi="Arial" w:cs="Arial"/>
          <w:sz w:val="24"/>
          <w:szCs w:val="24"/>
        </w:rPr>
        <w:t xml:space="preserve">set out by the Constitutional Court in </w:t>
      </w:r>
      <w:r w:rsidR="0017402A" w:rsidRPr="0017402A">
        <w:rPr>
          <w:rFonts w:ascii="Arial" w:eastAsiaTheme="minorHAnsi" w:hAnsi="Arial" w:cs="Arial"/>
          <w:i/>
          <w:sz w:val="24"/>
          <w:szCs w:val="24"/>
        </w:rPr>
        <w:t>Du Toit v Minister of Safety and Security</w:t>
      </w:r>
      <w:r w:rsidR="00DF3220">
        <w:rPr>
          <w:rFonts w:ascii="Arial" w:eastAsiaTheme="minorHAnsi" w:hAnsi="Arial" w:cs="Arial"/>
          <w:sz w:val="24"/>
          <w:szCs w:val="24"/>
        </w:rPr>
        <w:t xml:space="preserve"> </w:t>
      </w:r>
      <w:r w:rsidR="0017402A" w:rsidRPr="0017402A">
        <w:rPr>
          <w:rFonts w:ascii="Arial" w:eastAsiaTheme="minorHAnsi" w:hAnsi="Arial" w:cs="Arial"/>
          <w:sz w:val="24"/>
          <w:szCs w:val="24"/>
        </w:rPr>
        <w:t>2</w:t>
      </w:r>
      <w:r w:rsidR="00011D4A">
        <w:rPr>
          <w:rFonts w:ascii="Arial" w:eastAsiaTheme="minorHAnsi" w:hAnsi="Arial" w:cs="Arial"/>
          <w:sz w:val="24"/>
          <w:szCs w:val="24"/>
        </w:rPr>
        <w:t>010 (1) SACR 1 (CC)</w:t>
      </w:r>
      <w:r w:rsidR="00011D4A">
        <w:rPr>
          <w:rStyle w:val="FootnoteReference"/>
          <w:rFonts w:ascii="Arial" w:eastAsiaTheme="minorHAnsi" w:hAnsi="Arial" w:cs="Arial"/>
          <w:sz w:val="24"/>
          <w:szCs w:val="24"/>
        </w:rPr>
        <w:footnoteReference w:id="3"/>
      </w:r>
      <w:r w:rsidR="00DF3220">
        <w:rPr>
          <w:rFonts w:ascii="Arial" w:eastAsiaTheme="minorHAnsi" w:hAnsi="Arial" w:cs="Arial"/>
          <w:sz w:val="24"/>
          <w:szCs w:val="24"/>
        </w:rPr>
        <w:t xml:space="preserve"> </w:t>
      </w:r>
      <w:r w:rsidR="0017402A" w:rsidRPr="0017402A">
        <w:rPr>
          <w:rFonts w:ascii="Arial" w:eastAsiaTheme="minorHAnsi" w:hAnsi="Arial" w:cs="Arial"/>
          <w:sz w:val="24"/>
          <w:szCs w:val="24"/>
        </w:rPr>
        <w:t xml:space="preserve">as follows: </w:t>
      </w:r>
      <w:r w:rsidR="0017402A" w:rsidRPr="0017402A">
        <w:rPr>
          <w:rFonts w:ascii="Arial" w:eastAsiaTheme="minorHAnsi" w:hAnsi="Arial" w:cs="Arial"/>
          <w:i/>
          <w:sz w:val="24"/>
          <w:szCs w:val="24"/>
        </w:rPr>
        <w:t>“The principle against interference with vested rights is a component of the presumption against retrospectivity. No statute is to be construed as having retrospective operation, which would have the effect of altering rights acquired and transactions completed under existing laws, unless the legislature clearly intended the statute to have that effect”.</w:t>
      </w:r>
    </w:p>
    <w:p w14:paraId="5892CCF6" w14:textId="77777777" w:rsidR="00996C3B" w:rsidRDefault="00996C3B" w:rsidP="0017402A">
      <w:pPr>
        <w:tabs>
          <w:tab w:val="left" w:pos="720"/>
          <w:tab w:val="left" w:pos="2543"/>
        </w:tabs>
        <w:spacing w:after="160" w:line="360" w:lineRule="auto"/>
        <w:jc w:val="both"/>
        <w:rPr>
          <w:rFonts w:ascii="Arial" w:eastAsiaTheme="minorHAnsi" w:hAnsi="Arial" w:cs="Arial"/>
          <w:i/>
          <w:sz w:val="24"/>
          <w:szCs w:val="24"/>
        </w:rPr>
      </w:pPr>
    </w:p>
    <w:p w14:paraId="12CDF11B" w14:textId="77777777" w:rsidR="00996C3B" w:rsidRDefault="00E9082E" w:rsidP="0017402A">
      <w:pPr>
        <w:tabs>
          <w:tab w:val="left" w:pos="720"/>
          <w:tab w:val="left" w:pos="2543"/>
        </w:tabs>
        <w:spacing w:after="160" w:line="360" w:lineRule="auto"/>
        <w:jc w:val="both"/>
        <w:rPr>
          <w:rFonts w:ascii="Arial" w:eastAsiaTheme="minorHAnsi" w:hAnsi="Arial" w:cs="Arial"/>
          <w:sz w:val="24"/>
          <w:szCs w:val="24"/>
        </w:rPr>
      </w:pPr>
      <w:r>
        <w:rPr>
          <w:rFonts w:ascii="Arial" w:eastAsiaTheme="minorHAnsi" w:hAnsi="Arial" w:cs="Arial"/>
          <w:sz w:val="24"/>
          <w:szCs w:val="24"/>
        </w:rPr>
        <w:t>[22</w:t>
      </w:r>
      <w:r w:rsidR="00996C3B">
        <w:rPr>
          <w:rFonts w:ascii="Arial" w:eastAsiaTheme="minorHAnsi" w:hAnsi="Arial" w:cs="Arial"/>
          <w:sz w:val="24"/>
          <w:szCs w:val="24"/>
        </w:rPr>
        <w:t>]</w:t>
      </w:r>
      <w:r w:rsidR="00996C3B">
        <w:rPr>
          <w:rFonts w:ascii="Arial" w:eastAsiaTheme="minorHAnsi" w:hAnsi="Arial" w:cs="Arial"/>
          <w:sz w:val="24"/>
          <w:szCs w:val="24"/>
        </w:rPr>
        <w:tab/>
        <w:t xml:space="preserve">In </w:t>
      </w:r>
      <w:r w:rsidR="00996C3B">
        <w:rPr>
          <w:rFonts w:ascii="Arial" w:eastAsiaTheme="minorHAnsi" w:hAnsi="Arial" w:cs="Arial"/>
          <w:i/>
          <w:sz w:val="24"/>
          <w:szCs w:val="24"/>
        </w:rPr>
        <w:t xml:space="preserve">S v Acting Regional Magistrate, Boksburg </w:t>
      </w:r>
      <w:r w:rsidR="00996C3B">
        <w:rPr>
          <w:rFonts w:ascii="Arial" w:eastAsiaTheme="minorHAnsi" w:hAnsi="Arial" w:cs="Arial"/>
          <w:sz w:val="24"/>
          <w:szCs w:val="24"/>
        </w:rPr>
        <w:t>2011 (2) SACR 274 (CC) at par [16] the following was held:</w:t>
      </w:r>
    </w:p>
    <w:p w14:paraId="01A75654" w14:textId="77777777" w:rsidR="00996C3B" w:rsidRPr="0017402A" w:rsidRDefault="00996C3B" w:rsidP="00996C3B">
      <w:pPr>
        <w:tabs>
          <w:tab w:val="left" w:pos="720"/>
          <w:tab w:val="left" w:pos="1418"/>
        </w:tabs>
        <w:spacing w:after="160" w:line="360" w:lineRule="auto"/>
        <w:ind w:left="1418"/>
        <w:jc w:val="both"/>
        <w:rPr>
          <w:rFonts w:ascii="Arial" w:eastAsiaTheme="minorHAnsi" w:hAnsi="Arial" w:cs="Arial"/>
          <w:sz w:val="24"/>
          <w:szCs w:val="24"/>
        </w:rPr>
      </w:pPr>
      <w:r w:rsidRPr="00996C3B">
        <w:rPr>
          <w:rFonts w:ascii="Arial" w:eastAsiaTheme="minorHAnsi" w:hAnsi="Arial" w:cs="Arial"/>
          <w:sz w:val="24"/>
          <w:szCs w:val="24"/>
        </w:rPr>
        <w:tab/>
        <w:t>“However, in our common law there is a presumption against retrospectivity.  It is presumed that a statute does not operate retrospectively, unless a contrary intention is indicated, either expressly or by clear implication.  This presumption is consistent with the fair-trial provisions of the Constitution, and was approved by this court in Veldman.”</w:t>
      </w:r>
    </w:p>
    <w:p w14:paraId="0BA78CDD" w14:textId="77777777" w:rsidR="0017402A" w:rsidRPr="0017402A" w:rsidRDefault="0017402A" w:rsidP="0017402A">
      <w:pPr>
        <w:tabs>
          <w:tab w:val="left" w:pos="720"/>
          <w:tab w:val="left" w:pos="2543"/>
        </w:tabs>
        <w:spacing w:after="160" w:line="360" w:lineRule="auto"/>
        <w:jc w:val="both"/>
        <w:rPr>
          <w:rFonts w:ascii="Arial" w:eastAsiaTheme="minorHAnsi" w:hAnsi="Arial" w:cs="Arial"/>
          <w:i/>
          <w:sz w:val="24"/>
          <w:szCs w:val="24"/>
        </w:rPr>
      </w:pPr>
    </w:p>
    <w:p w14:paraId="35D3C48B" w14:textId="77777777" w:rsidR="00DF3220" w:rsidRDefault="00E9082E" w:rsidP="0017402A">
      <w:pPr>
        <w:tabs>
          <w:tab w:val="left" w:pos="720"/>
          <w:tab w:val="left" w:pos="2543"/>
        </w:tabs>
        <w:spacing w:after="160" w:line="360" w:lineRule="auto"/>
        <w:jc w:val="both"/>
        <w:rPr>
          <w:rFonts w:ascii="Arial" w:eastAsiaTheme="minorHAnsi" w:hAnsi="Arial" w:cs="Arial"/>
          <w:sz w:val="24"/>
          <w:szCs w:val="24"/>
        </w:rPr>
      </w:pPr>
      <w:r>
        <w:rPr>
          <w:rFonts w:ascii="Arial" w:eastAsiaTheme="minorHAnsi" w:hAnsi="Arial" w:cs="Arial"/>
          <w:sz w:val="24"/>
          <w:szCs w:val="24"/>
        </w:rPr>
        <w:t>[23</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 xml:space="preserve">In </w:t>
      </w:r>
      <w:r w:rsidR="0017402A" w:rsidRPr="0017402A">
        <w:rPr>
          <w:rFonts w:ascii="Arial" w:eastAsiaTheme="minorHAnsi" w:hAnsi="Arial" w:cs="Arial"/>
          <w:i/>
          <w:sz w:val="24"/>
          <w:szCs w:val="24"/>
        </w:rPr>
        <w:t xml:space="preserve">Veldman v Director of Public Prosecutions, Witwatersrand Local Division </w:t>
      </w:r>
      <w:r w:rsidR="00DF3220">
        <w:rPr>
          <w:rFonts w:ascii="Arial" w:eastAsiaTheme="minorHAnsi" w:hAnsi="Arial" w:cs="Arial"/>
          <w:sz w:val="24"/>
          <w:szCs w:val="24"/>
        </w:rPr>
        <w:t>(CCT19/05) [2005] ZACC 22</w:t>
      </w:r>
      <w:r w:rsidR="0017402A" w:rsidRPr="0017402A">
        <w:rPr>
          <w:rFonts w:ascii="Arial" w:eastAsiaTheme="minorHAnsi" w:hAnsi="Arial" w:cs="Arial"/>
          <w:sz w:val="24"/>
          <w:szCs w:val="24"/>
        </w:rPr>
        <w:t xml:space="preserve"> </w:t>
      </w:r>
      <w:r w:rsidR="00DF3220">
        <w:rPr>
          <w:rFonts w:ascii="Arial" w:eastAsiaTheme="minorHAnsi" w:hAnsi="Arial" w:cs="Arial"/>
          <w:sz w:val="24"/>
          <w:szCs w:val="24"/>
        </w:rPr>
        <w:t>(5 December 2005);  2007 (3) SA 210 (CC)</w:t>
      </w:r>
      <w:r w:rsidR="0017402A" w:rsidRPr="0017402A">
        <w:rPr>
          <w:rFonts w:ascii="Arial" w:eastAsiaTheme="minorHAnsi" w:hAnsi="Arial" w:cs="Arial"/>
          <w:sz w:val="24"/>
          <w:szCs w:val="24"/>
        </w:rPr>
        <w:t xml:space="preserve"> the</w:t>
      </w:r>
      <w:r w:rsidR="00DF3220">
        <w:rPr>
          <w:rFonts w:ascii="Arial" w:eastAsiaTheme="minorHAnsi" w:hAnsi="Arial" w:cs="Arial"/>
          <w:sz w:val="24"/>
          <w:szCs w:val="24"/>
        </w:rPr>
        <w:t xml:space="preserve"> court held that:  </w:t>
      </w:r>
    </w:p>
    <w:p w14:paraId="1827C7B3" w14:textId="77777777" w:rsidR="00DF3220" w:rsidRDefault="0017402A" w:rsidP="00DF3220">
      <w:pPr>
        <w:tabs>
          <w:tab w:val="left" w:pos="720"/>
          <w:tab w:val="left" w:pos="1418"/>
          <w:tab w:val="left" w:pos="1985"/>
        </w:tabs>
        <w:spacing w:after="160" w:line="360" w:lineRule="auto"/>
        <w:ind w:left="1418"/>
        <w:jc w:val="both"/>
        <w:rPr>
          <w:rFonts w:ascii="Arial" w:eastAsiaTheme="minorHAnsi" w:hAnsi="Arial" w:cs="Arial"/>
          <w:i/>
          <w:sz w:val="24"/>
          <w:szCs w:val="24"/>
        </w:rPr>
      </w:pPr>
      <w:r w:rsidRPr="0017402A">
        <w:rPr>
          <w:rFonts w:ascii="Arial" w:eastAsiaTheme="minorHAnsi" w:hAnsi="Arial" w:cs="Arial"/>
          <w:i/>
          <w:sz w:val="24"/>
          <w:szCs w:val="24"/>
        </w:rPr>
        <w:t xml:space="preserve">“Generally, legislation is not to be interpreted to extinguish existing rights and obligations. This is so unless the statute provides otherwise or its language clearly shows such a meaning. That legislation will affect only future matters and not take away existing rights is basic to notions of fairness and justice which are integral to the rule of law, a foundational principle of our Constitution. Also central to the rule of law is the principle of legality which requires that law must be certain, clear and stable. </w:t>
      </w:r>
      <w:r w:rsidRPr="0017402A">
        <w:rPr>
          <w:rFonts w:ascii="Arial" w:eastAsiaTheme="minorHAnsi" w:hAnsi="Arial" w:cs="Arial"/>
          <w:i/>
          <w:sz w:val="24"/>
          <w:szCs w:val="24"/>
        </w:rPr>
        <w:lastRenderedPageBreak/>
        <w:t>Legislative enactments are intended to give fair warning of their effect and permit individuals to rely on their meaning until explicitly changed</w:t>
      </w:r>
      <w:r w:rsidR="00DF3220" w:rsidRPr="00DF3220">
        <w:rPr>
          <w:rFonts w:ascii="Arial" w:eastAsiaTheme="minorHAnsi" w:hAnsi="Arial" w:cs="Arial"/>
          <w:i/>
          <w:sz w:val="24"/>
          <w:szCs w:val="24"/>
        </w:rPr>
        <w:t>.</w:t>
      </w:r>
      <w:r w:rsidR="00DF3220">
        <w:rPr>
          <w:rFonts w:ascii="Arial" w:eastAsiaTheme="minorHAnsi" w:hAnsi="Arial" w:cs="Arial"/>
          <w:i/>
          <w:sz w:val="24"/>
          <w:szCs w:val="24"/>
        </w:rPr>
        <w:t>”</w:t>
      </w:r>
      <w:r w:rsidR="00DF3220">
        <w:rPr>
          <w:rStyle w:val="FootnoteReference"/>
          <w:rFonts w:ascii="Arial" w:eastAsiaTheme="minorHAnsi" w:hAnsi="Arial" w:cs="Arial"/>
          <w:i/>
          <w:sz w:val="24"/>
          <w:szCs w:val="24"/>
        </w:rPr>
        <w:footnoteReference w:id="4"/>
      </w:r>
    </w:p>
    <w:p w14:paraId="4924ECDA" w14:textId="77777777" w:rsidR="0017402A" w:rsidRPr="0017402A" w:rsidRDefault="0017402A" w:rsidP="00DF3220">
      <w:pPr>
        <w:tabs>
          <w:tab w:val="left" w:pos="720"/>
          <w:tab w:val="left" w:pos="1418"/>
          <w:tab w:val="left" w:pos="1985"/>
        </w:tabs>
        <w:spacing w:after="160" w:line="360" w:lineRule="auto"/>
        <w:ind w:left="1418"/>
        <w:jc w:val="both"/>
        <w:rPr>
          <w:rFonts w:ascii="Arial" w:eastAsiaTheme="minorHAnsi" w:hAnsi="Arial" w:cs="Arial"/>
          <w:sz w:val="24"/>
          <w:szCs w:val="24"/>
        </w:rPr>
      </w:pPr>
      <w:r w:rsidRPr="0017402A">
        <w:rPr>
          <w:rFonts w:ascii="Arial" w:eastAsiaTheme="minorHAnsi" w:hAnsi="Arial" w:cs="Arial"/>
          <w:sz w:val="24"/>
          <w:szCs w:val="24"/>
        </w:rPr>
        <w:t xml:space="preserve"> </w:t>
      </w:r>
    </w:p>
    <w:p w14:paraId="289F4455" w14:textId="77777777" w:rsidR="0017402A" w:rsidRPr="0017402A" w:rsidRDefault="00E9082E" w:rsidP="00DF3220">
      <w:pPr>
        <w:tabs>
          <w:tab w:val="left" w:pos="720"/>
          <w:tab w:val="left" w:pos="2543"/>
        </w:tabs>
        <w:spacing w:after="160" w:line="360" w:lineRule="auto"/>
        <w:jc w:val="both"/>
        <w:rPr>
          <w:rFonts w:ascii="Arial" w:eastAsiaTheme="minorHAnsi" w:hAnsi="Arial" w:cs="Arial"/>
          <w:sz w:val="24"/>
          <w:szCs w:val="24"/>
        </w:rPr>
      </w:pPr>
      <w:r>
        <w:rPr>
          <w:rFonts w:ascii="Arial" w:eastAsiaTheme="minorHAnsi" w:hAnsi="Arial" w:cs="Arial"/>
          <w:sz w:val="24"/>
          <w:szCs w:val="24"/>
        </w:rPr>
        <w:t>[24</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 xml:space="preserve">There is no indication, expressly or otherwise that the rule was intended to be applied retrospectively. I agree with the finding in </w:t>
      </w:r>
      <w:r w:rsidR="0017402A" w:rsidRPr="0017402A">
        <w:rPr>
          <w:rFonts w:ascii="Arial" w:eastAsia="Verdana" w:hAnsi="Arial" w:cs="Arial"/>
          <w:i/>
          <w:iCs/>
          <w:sz w:val="24"/>
          <w:szCs w:val="24"/>
        </w:rPr>
        <w:t>Williams v Standard Bank of South Africa Limited</w:t>
      </w:r>
      <w:r w:rsidR="00035413">
        <w:rPr>
          <w:rFonts w:ascii="Arial" w:eastAsia="Verdana" w:hAnsi="Arial" w:cs="Arial"/>
          <w:i/>
          <w:iCs/>
          <w:sz w:val="24"/>
          <w:szCs w:val="24"/>
          <w:vertAlign w:val="superscript"/>
        </w:rPr>
        <w:t xml:space="preserve"> </w:t>
      </w:r>
      <w:r w:rsidR="00035413">
        <w:rPr>
          <w:rFonts w:ascii="Arial" w:eastAsia="Verdana" w:hAnsi="Arial" w:cs="Arial"/>
          <w:sz w:val="24"/>
          <w:szCs w:val="24"/>
        </w:rPr>
        <w:t>where</w:t>
      </w:r>
      <w:r w:rsidR="0017402A" w:rsidRPr="0017402A">
        <w:rPr>
          <w:rFonts w:ascii="Arial" w:eastAsia="Verdana" w:hAnsi="Arial" w:cs="Arial"/>
          <w:sz w:val="24"/>
          <w:szCs w:val="24"/>
        </w:rPr>
        <w:t xml:space="preserve"> the court held that:-</w:t>
      </w:r>
    </w:p>
    <w:p w14:paraId="010D4241" w14:textId="77777777" w:rsidR="0017402A" w:rsidRPr="0017402A" w:rsidRDefault="0017402A" w:rsidP="00996C3B">
      <w:pPr>
        <w:widowControl w:val="0"/>
        <w:spacing w:after="540" w:line="360" w:lineRule="auto"/>
        <w:ind w:left="1418"/>
        <w:jc w:val="both"/>
        <w:rPr>
          <w:rFonts w:ascii="Arial" w:eastAsia="Verdana" w:hAnsi="Arial" w:cs="Arial"/>
          <w:i/>
          <w:sz w:val="24"/>
          <w:szCs w:val="24"/>
        </w:rPr>
      </w:pPr>
      <w:r w:rsidRPr="0017402A">
        <w:rPr>
          <w:rFonts w:ascii="Arial" w:eastAsia="Verdana" w:hAnsi="Arial" w:cs="Arial"/>
          <w:i/>
          <w:iCs/>
          <w:sz w:val="24"/>
          <w:szCs w:val="24"/>
        </w:rPr>
        <w:t>''The answers to the questions posed above indicate that Rule 46A does not apply to execution proceedings which are pending in terms of prior execution orders at the time when Rule 46A came into effect.</w:t>
      </w:r>
    </w:p>
    <w:p w14:paraId="74B37520" w14:textId="77777777" w:rsidR="00527EFF" w:rsidRPr="004E03FB" w:rsidRDefault="0017402A" w:rsidP="00527EFF">
      <w:pPr>
        <w:widowControl w:val="0"/>
        <w:spacing w:after="0" w:line="360" w:lineRule="auto"/>
        <w:ind w:left="1418" w:firstLine="20"/>
        <w:jc w:val="both"/>
        <w:rPr>
          <w:rFonts w:ascii="Arial" w:eastAsia="Verdana" w:hAnsi="Arial" w:cs="Arial"/>
          <w:i/>
          <w:iCs/>
          <w:sz w:val="24"/>
          <w:szCs w:val="24"/>
        </w:rPr>
      </w:pPr>
      <w:r w:rsidRPr="0017402A">
        <w:rPr>
          <w:rFonts w:ascii="Arial" w:eastAsia="Verdana" w:hAnsi="Arial" w:cs="Arial"/>
          <w:i/>
          <w:iCs/>
          <w:sz w:val="24"/>
          <w:szCs w:val="24"/>
        </w:rPr>
        <w:t xml:space="preserve">Moreover, there is no indication whatsoever in the notice that Rule 46A is intended to have retroactive </w:t>
      </w:r>
      <w:r w:rsidR="00527EFF" w:rsidRPr="004E03FB">
        <w:rPr>
          <w:rFonts w:ascii="Arial" w:eastAsia="Verdana" w:hAnsi="Arial" w:cs="Arial"/>
          <w:i/>
          <w:iCs/>
          <w:sz w:val="24"/>
          <w:szCs w:val="24"/>
        </w:rPr>
        <w:t>effect. One can assume the Rule</w:t>
      </w:r>
      <w:r w:rsidRPr="0017402A">
        <w:rPr>
          <w:rFonts w:ascii="Arial" w:eastAsia="Verdana" w:hAnsi="Arial" w:cs="Arial"/>
          <w:i/>
          <w:iCs/>
          <w:sz w:val="24"/>
          <w:szCs w:val="24"/>
        </w:rPr>
        <w:t xml:space="preserve"> Board for Courts of Law is familiar with the presumptions against interference with existing rights and the rule that old procedural rules continue to apply in respect of matters which are the subject of pending legal proceedings. Had it been intended that Rule 46A would apply</w:t>
      </w:r>
      <w:r w:rsidR="00527EFF" w:rsidRPr="004E03FB">
        <w:rPr>
          <w:rFonts w:ascii="Arial" w:eastAsia="Verdana" w:hAnsi="Arial" w:cs="Arial"/>
          <w:i/>
          <w:iCs/>
          <w:sz w:val="24"/>
          <w:szCs w:val="24"/>
        </w:rPr>
        <w:t xml:space="preserve"> retroactively to pending cases, </w:t>
      </w:r>
      <w:r w:rsidRPr="0017402A">
        <w:rPr>
          <w:rFonts w:ascii="Arial" w:eastAsia="Verdana" w:hAnsi="Arial" w:cs="Arial"/>
          <w:i/>
          <w:iCs/>
          <w:sz w:val="24"/>
          <w:szCs w:val="24"/>
        </w:rPr>
        <w:t>this would have been clearly stated in the notice.</w:t>
      </w:r>
    </w:p>
    <w:p w14:paraId="23A151B3" w14:textId="77777777" w:rsidR="00527EFF" w:rsidRPr="004E03FB" w:rsidRDefault="00527EFF" w:rsidP="00527EFF">
      <w:pPr>
        <w:widowControl w:val="0"/>
        <w:spacing w:after="0" w:line="360" w:lineRule="auto"/>
        <w:ind w:left="1418" w:firstLine="20"/>
        <w:jc w:val="both"/>
        <w:rPr>
          <w:rFonts w:ascii="Arial" w:eastAsia="Verdana" w:hAnsi="Arial" w:cs="Arial"/>
          <w:i/>
          <w:iCs/>
          <w:sz w:val="24"/>
          <w:szCs w:val="24"/>
        </w:rPr>
      </w:pPr>
    </w:p>
    <w:p w14:paraId="7EC815D1" w14:textId="77777777" w:rsidR="00527EFF" w:rsidRPr="004E03FB" w:rsidRDefault="00527EFF" w:rsidP="00527EFF">
      <w:pPr>
        <w:widowControl w:val="0"/>
        <w:spacing w:after="0" w:line="360" w:lineRule="auto"/>
        <w:ind w:left="1418"/>
        <w:jc w:val="both"/>
        <w:rPr>
          <w:rFonts w:ascii="Arial" w:eastAsia="Verdana" w:hAnsi="Arial" w:cs="Arial"/>
          <w:i/>
          <w:sz w:val="24"/>
          <w:szCs w:val="24"/>
        </w:rPr>
      </w:pPr>
      <w:r w:rsidRPr="004E03FB">
        <w:rPr>
          <w:rFonts w:ascii="Arial" w:eastAsia="Verdana" w:hAnsi="Arial" w:cs="Arial"/>
          <w:i/>
          <w:iCs/>
          <w:sz w:val="24"/>
          <w:szCs w:val="24"/>
        </w:rPr>
        <w:t>To sum up:  I consider that Rule 46A is not purely procedural in nature and that, if applied retroactively to the bank’s case, it would have the effect of impairing the bank’s untrammelled right to sell in execution by imposing new duties and burdens on the bank.  It would also have the effect of undoing all the procedural steps already taken by the bank in regard to an execution process initiated under the old rule.  The injustice and impracticality of applying Rule 46A to such a case is obvious.  Given that there is no indication that the provision was intended to apply to pending execution proceedings, I consider that the presumptions against retrospectivity and interference with existing rights have not been rebutted.”</w:t>
      </w:r>
      <w:r w:rsidR="00232009">
        <w:rPr>
          <w:rStyle w:val="FootnoteReference"/>
          <w:rFonts w:ascii="Arial" w:eastAsia="Verdana" w:hAnsi="Arial" w:cs="Arial"/>
          <w:i/>
          <w:iCs/>
          <w:sz w:val="24"/>
          <w:szCs w:val="24"/>
        </w:rPr>
        <w:footnoteReference w:id="5"/>
      </w:r>
    </w:p>
    <w:p w14:paraId="5CF9F24D" w14:textId="77777777" w:rsidR="00527EFF" w:rsidRDefault="00527EFF" w:rsidP="00527EFF">
      <w:pPr>
        <w:widowControl w:val="0"/>
        <w:spacing w:after="0" w:line="360" w:lineRule="auto"/>
        <w:ind w:left="1418" w:firstLine="20"/>
        <w:jc w:val="both"/>
        <w:rPr>
          <w:rFonts w:ascii="Arial" w:eastAsia="Verdana" w:hAnsi="Arial" w:cs="Arial"/>
          <w:sz w:val="24"/>
          <w:szCs w:val="24"/>
        </w:rPr>
      </w:pPr>
    </w:p>
    <w:p w14:paraId="7BD16C14" w14:textId="58DC3691" w:rsidR="0017402A" w:rsidRPr="0017402A" w:rsidRDefault="0017402A" w:rsidP="004E03FB">
      <w:pPr>
        <w:widowControl w:val="0"/>
        <w:spacing w:after="520" w:line="360" w:lineRule="auto"/>
        <w:jc w:val="both"/>
        <w:rPr>
          <w:rFonts w:ascii="Arial" w:eastAsia="Verdana" w:hAnsi="Arial" w:cs="Arial"/>
          <w:sz w:val="24"/>
          <w:szCs w:val="24"/>
        </w:rPr>
      </w:pPr>
      <w:r w:rsidRPr="0017402A">
        <w:rPr>
          <w:rFonts w:ascii="Arial" w:eastAsia="Verdana" w:hAnsi="Arial" w:cs="Arial"/>
          <w:iCs/>
          <w:sz w:val="24"/>
          <w:szCs w:val="24"/>
        </w:rPr>
        <w:t>I am satisfied that the rule is not to be applied retro</w:t>
      </w:r>
      <w:r w:rsidR="00C538E1">
        <w:rPr>
          <w:rFonts w:ascii="Arial" w:eastAsia="Verdana" w:hAnsi="Arial" w:cs="Arial"/>
          <w:iCs/>
          <w:sz w:val="24"/>
          <w:szCs w:val="24"/>
        </w:rPr>
        <w:t>spectively.</w:t>
      </w:r>
    </w:p>
    <w:p w14:paraId="2C2C41FD" w14:textId="77777777" w:rsidR="0017402A" w:rsidRPr="0017402A" w:rsidRDefault="00E9082E" w:rsidP="0017402A">
      <w:pPr>
        <w:tabs>
          <w:tab w:val="left" w:pos="720"/>
          <w:tab w:val="left" w:pos="2543"/>
        </w:tabs>
        <w:spacing w:after="160" w:line="360" w:lineRule="auto"/>
        <w:jc w:val="both"/>
        <w:rPr>
          <w:rFonts w:ascii="Arial" w:eastAsiaTheme="minorHAnsi" w:hAnsi="Arial" w:cs="Arial"/>
          <w:sz w:val="24"/>
          <w:szCs w:val="24"/>
        </w:rPr>
      </w:pPr>
      <w:r>
        <w:rPr>
          <w:rFonts w:ascii="Arial" w:eastAsiaTheme="minorHAnsi" w:hAnsi="Arial" w:cs="Arial"/>
          <w:sz w:val="24"/>
          <w:szCs w:val="24"/>
        </w:rPr>
        <w:t>[25</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It was not submitted that the rule was to be applied retroactive; operating as of a time prior to its enactment. As this was not argued I need not address retroactive application of the rule, suffice to say that the rule does not express a date prior to its enactme</w:t>
      </w:r>
      <w:r w:rsidR="004E03FB">
        <w:rPr>
          <w:rFonts w:ascii="Arial" w:eastAsiaTheme="minorHAnsi" w:hAnsi="Arial" w:cs="Arial"/>
          <w:sz w:val="24"/>
          <w:szCs w:val="24"/>
        </w:rPr>
        <w:t>nt from which it should operate</w:t>
      </w:r>
      <w:r w:rsidR="0017402A" w:rsidRPr="0017402A">
        <w:rPr>
          <w:rFonts w:ascii="Arial" w:eastAsiaTheme="minorHAnsi" w:hAnsi="Arial" w:cs="Arial"/>
          <w:sz w:val="24"/>
          <w:szCs w:val="24"/>
        </w:rPr>
        <w:t>, nor is there any other reason as to why the rule should have retroactive application.</w:t>
      </w:r>
    </w:p>
    <w:p w14:paraId="38EC512A" w14:textId="77777777" w:rsidR="004E03FB" w:rsidRDefault="004E03FB" w:rsidP="0017402A">
      <w:pPr>
        <w:tabs>
          <w:tab w:val="left" w:pos="720"/>
          <w:tab w:val="left" w:pos="2543"/>
        </w:tabs>
        <w:spacing w:after="160" w:line="360" w:lineRule="auto"/>
        <w:jc w:val="both"/>
        <w:rPr>
          <w:rFonts w:ascii="Arial" w:eastAsiaTheme="minorHAnsi" w:hAnsi="Arial" w:cs="Arial"/>
          <w:sz w:val="24"/>
          <w:szCs w:val="24"/>
        </w:rPr>
      </w:pPr>
    </w:p>
    <w:p w14:paraId="5CF29252" w14:textId="77777777" w:rsidR="0017402A" w:rsidRPr="0017402A" w:rsidRDefault="0017402A" w:rsidP="0017402A">
      <w:pPr>
        <w:tabs>
          <w:tab w:val="left" w:pos="720"/>
          <w:tab w:val="left" w:pos="2543"/>
        </w:tabs>
        <w:spacing w:after="160" w:line="360" w:lineRule="auto"/>
        <w:jc w:val="both"/>
        <w:rPr>
          <w:rFonts w:ascii="Arial" w:eastAsiaTheme="minorHAnsi" w:hAnsi="Arial" w:cs="Arial"/>
          <w:i/>
          <w:sz w:val="24"/>
          <w:szCs w:val="24"/>
        </w:rPr>
      </w:pPr>
      <w:r w:rsidRPr="0017402A">
        <w:rPr>
          <w:rFonts w:ascii="Arial" w:eastAsiaTheme="minorHAnsi" w:hAnsi="Arial" w:cs="Arial"/>
          <w:i/>
          <w:sz w:val="24"/>
          <w:szCs w:val="24"/>
        </w:rPr>
        <w:t>Costs</w:t>
      </w:r>
    </w:p>
    <w:p w14:paraId="60E43A5D" w14:textId="77777777" w:rsidR="0017402A" w:rsidRPr="0017402A" w:rsidRDefault="00E9082E" w:rsidP="0017402A">
      <w:pPr>
        <w:tabs>
          <w:tab w:val="left" w:pos="720"/>
          <w:tab w:val="left" w:pos="2543"/>
        </w:tabs>
        <w:spacing w:after="160" w:line="360" w:lineRule="auto"/>
        <w:jc w:val="both"/>
        <w:rPr>
          <w:rFonts w:ascii="Arial" w:eastAsiaTheme="minorHAnsi" w:hAnsi="Arial" w:cs="Arial"/>
          <w:sz w:val="24"/>
          <w:szCs w:val="24"/>
        </w:rPr>
      </w:pPr>
      <w:r>
        <w:rPr>
          <w:rFonts w:ascii="Arial" w:eastAsiaTheme="minorHAnsi" w:hAnsi="Arial" w:cs="Arial"/>
          <w:sz w:val="24"/>
          <w:szCs w:val="24"/>
        </w:rPr>
        <w:t>[26</w:t>
      </w:r>
      <w:r w:rsidR="0017402A" w:rsidRPr="0017402A">
        <w:rPr>
          <w:rFonts w:ascii="Arial" w:eastAsiaTheme="minorHAnsi" w:hAnsi="Arial" w:cs="Arial"/>
          <w:sz w:val="24"/>
          <w:szCs w:val="24"/>
        </w:rPr>
        <w:t>]</w:t>
      </w:r>
      <w:r w:rsidR="0017402A" w:rsidRPr="0017402A">
        <w:rPr>
          <w:rFonts w:ascii="Arial" w:eastAsiaTheme="minorHAnsi" w:hAnsi="Arial" w:cs="Arial"/>
          <w:sz w:val="24"/>
          <w:szCs w:val="24"/>
        </w:rPr>
        <w:tab/>
        <w:t>I can see no reason why the normal rule, that costs follow the successful litigant should not be applied in this matter. As the loan agreements provide for attorney and client costs the costs will be awarded on such scale.</w:t>
      </w:r>
    </w:p>
    <w:p w14:paraId="2E9FF52D" w14:textId="77777777" w:rsidR="0017402A" w:rsidRPr="0017402A" w:rsidRDefault="0017402A" w:rsidP="0017402A">
      <w:pPr>
        <w:tabs>
          <w:tab w:val="left" w:pos="720"/>
          <w:tab w:val="left" w:pos="2543"/>
        </w:tabs>
        <w:spacing w:after="160" w:line="360" w:lineRule="auto"/>
        <w:jc w:val="both"/>
        <w:rPr>
          <w:rFonts w:ascii="Arial" w:eastAsiaTheme="minorHAnsi" w:hAnsi="Arial" w:cs="Arial"/>
          <w:sz w:val="24"/>
          <w:szCs w:val="24"/>
        </w:rPr>
      </w:pPr>
    </w:p>
    <w:p w14:paraId="498D8EB2" w14:textId="77777777" w:rsidR="0017402A" w:rsidRPr="0017402A" w:rsidRDefault="0017402A" w:rsidP="0017402A">
      <w:pPr>
        <w:tabs>
          <w:tab w:val="left" w:pos="720"/>
          <w:tab w:val="left" w:pos="2543"/>
        </w:tabs>
        <w:spacing w:after="160" w:line="360" w:lineRule="auto"/>
        <w:jc w:val="both"/>
        <w:rPr>
          <w:rFonts w:ascii="Arial" w:eastAsiaTheme="minorHAnsi" w:hAnsi="Arial" w:cs="Arial"/>
          <w:sz w:val="24"/>
          <w:szCs w:val="24"/>
        </w:rPr>
      </w:pPr>
      <w:r w:rsidRPr="0017402A">
        <w:rPr>
          <w:rFonts w:ascii="Arial" w:eastAsiaTheme="minorHAnsi" w:hAnsi="Arial" w:cs="Arial"/>
          <w:sz w:val="24"/>
          <w:szCs w:val="24"/>
        </w:rPr>
        <w:t>I propose the following order:</w:t>
      </w:r>
    </w:p>
    <w:p w14:paraId="56A82A37" w14:textId="77777777" w:rsidR="004E03FB" w:rsidRDefault="004E03FB" w:rsidP="0017402A">
      <w:pPr>
        <w:tabs>
          <w:tab w:val="left" w:pos="720"/>
          <w:tab w:val="left" w:pos="2543"/>
        </w:tabs>
        <w:spacing w:after="160" w:line="360" w:lineRule="auto"/>
        <w:jc w:val="both"/>
        <w:rPr>
          <w:rFonts w:ascii="Arial" w:eastAsiaTheme="minorHAnsi" w:hAnsi="Arial" w:cs="Arial"/>
          <w:sz w:val="24"/>
          <w:szCs w:val="24"/>
        </w:rPr>
      </w:pPr>
    </w:p>
    <w:p w14:paraId="0C685ADF" w14:textId="77777777" w:rsidR="0017402A" w:rsidRPr="0017402A" w:rsidRDefault="0017402A" w:rsidP="0017402A">
      <w:pPr>
        <w:tabs>
          <w:tab w:val="left" w:pos="720"/>
          <w:tab w:val="left" w:pos="2543"/>
        </w:tabs>
        <w:spacing w:after="160" w:line="360" w:lineRule="auto"/>
        <w:jc w:val="both"/>
        <w:rPr>
          <w:rFonts w:ascii="Arial" w:eastAsiaTheme="minorHAnsi" w:hAnsi="Arial" w:cs="Arial"/>
          <w:sz w:val="24"/>
          <w:szCs w:val="24"/>
        </w:rPr>
      </w:pPr>
      <w:r w:rsidRPr="0017402A">
        <w:rPr>
          <w:rFonts w:ascii="Arial" w:eastAsiaTheme="minorHAnsi" w:hAnsi="Arial" w:cs="Arial"/>
          <w:sz w:val="24"/>
          <w:szCs w:val="24"/>
        </w:rPr>
        <w:t>The appeal is dismissed with costs to be paid on an attorney client scale.</w:t>
      </w:r>
    </w:p>
    <w:p w14:paraId="1A72DD27" w14:textId="77777777" w:rsidR="004E5073" w:rsidRPr="0017402A" w:rsidRDefault="004E5073" w:rsidP="0017402A">
      <w:pPr>
        <w:spacing w:line="360" w:lineRule="auto"/>
        <w:jc w:val="both"/>
        <w:rPr>
          <w:rFonts w:ascii="Arial" w:hAnsi="Arial" w:cs="Arial"/>
          <w:b/>
          <w:sz w:val="24"/>
          <w:szCs w:val="24"/>
        </w:rPr>
      </w:pPr>
    </w:p>
    <w:p w14:paraId="439AE73A" w14:textId="344991E7" w:rsidR="004E5073" w:rsidRPr="007E5C02" w:rsidRDefault="004E5073" w:rsidP="005A75FF">
      <w:pPr>
        <w:spacing w:line="360" w:lineRule="auto"/>
        <w:jc w:val="right"/>
        <w:rPr>
          <w:rFonts w:ascii="Arial" w:eastAsiaTheme="minorHAnsi" w:hAnsi="Arial" w:cs="Arial"/>
          <w:b/>
          <w:sz w:val="24"/>
          <w:szCs w:val="24"/>
        </w:rPr>
      </w:pPr>
    </w:p>
    <w:p w14:paraId="28A56F8B" w14:textId="77777777" w:rsidR="004E5073" w:rsidRPr="007E5C02" w:rsidRDefault="004E5073" w:rsidP="004E5073">
      <w:pPr>
        <w:spacing w:line="360" w:lineRule="auto"/>
        <w:jc w:val="right"/>
        <w:rPr>
          <w:rFonts w:ascii="Arial" w:eastAsia="Calibri" w:hAnsi="Arial" w:cs="Arial"/>
          <w:sz w:val="24"/>
          <w:szCs w:val="24"/>
        </w:rPr>
      </w:pPr>
      <w:r w:rsidRPr="007E5C02">
        <w:rPr>
          <w:rFonts w:ascii="Arial" w:eastAsia="Calibri" w:hAnsi="Arial" w:cs="Arial"/>
          <w:b/>
          <w:sz w:val="24"/>
          <w:szCs w:val="24"/>
        </w:rPr>
        <w:t>__________________</w:t>
      </w:r>
    </w:p>
    <w:p w14:paraId="6DB4E84E" w14:textId="77777777" w:rsidR="004E5073" w:rsidRPr="007E5C02" w:rsidRDefault="004E5073" w:rsidP="004E5073">
      <w:pPr>
        <w:spacing w:line="360" w:lineRule="auto"/>
        <w:jc w:val="right"/>
        <w:rPr>
          <w:rFonts w:ascii="Arial" w:eastAsia="Calibri" w:hAnsi="Arial" w:cs="Arial"/>
          <w:b/>
          <w:sz w:val="24"/>
          <w:szCs w:val="24"/>
        </w:rPr>
      </w:pPr>
      <w:r w:rsidRPr="007E5C02">
        <w:rPr>
          <w:rFonts w:ascii="Arial" w:eastAsia="Calibri" w:hAnsi="Arial" w:cs="Arial"/>
          <w:b/>
          <w:sz w:val="24"/>
          <w:szCs w:val="24"/>
        </w:rPr>
        <w:t>S. POTTERILL</w:t>
      </w:r>
    </w:p>
    <w:p w14:paraId="5040FD1C" w14:textId="77777777" w:rsidR="004E5073" w:rsidRDefault="004E5073" w:rsidP="004E5073">
      <w:pPr>
        <w:spacing w:line="360" w:lineRule="auto"/>
        <w:jc w:val="right"/>
        <w:rPr>
          <w:rFonts w:ascii="Arial" w:eastAsia="Calibri" w:hAnsi="Arial" w:cs="Arial"/>
          <w:b/>
          <w:sz w:val="24"/>
          <w:szCs w:val="24"/>
        </w:rPr>
      </w:pPr>
      <w:r w:rsidRPr="007E5C02">
        <w:rPr>
          <w:rFonts w:ascii="Arial" w:eastAsia="Calibri" w:hAnsi="Arial" w:cs="Arial"/>
          <w:b/>
          <w:sz w:val="24"/>
          <w:szCs w:val="24"/>
        </w:rPr>
        <w:t>JUDGE OF THE HIGH COURT</w:t>
      </w:r>
    </w:p>
    <w:p w14:paraId="683AEFEA" w14:textId="77777777" w:rsidR="004E03FB" w:rsidRDefault="004E03FB" w:rsidP="004E03FB">
      <w:pPr>
        <w:spacing w:line="360" w:lineRule="auto"/>
        <w:jc w:val="both"/>
        <w:rPr>
          <w:rFonts w:ascii="Arial" w:eastAsia="Calibri" w:hAnsi="Arial" w:cs="Arial"/>
          <w:sz w:val="24"/>
          <w:szCs w:val="24"/>
        </w:rPr>
      </w:pPr>
      <w:r>
        <w:rPr>
          <w:rFonts w:ascii="Arial" w:eastAsia="Calibri" w:hAnsi="Arial" w:cs="Arial"/>
          <w:sz w:val="24"/>
          <w:szCs w:val="24"/>
        </w:rPr>
        <w:t>I agree</w:t>
      </w:r>
    </w:p>
    <w:p w14:paraId="3812CE8F" w14:textId="77777777" w:rsidR="004E03FB" w:rsidRPr="007E5C02" w:rsidRDefault="004E03FB" w:rsidP="004E03FB">
      <w:pPr>
        <w:spacing w:line="360" w:lineRule="auto"/>
        <w:jc w:val="right"/>
        <w:rPr>
          <w:rFonts w:ascii="Arial" w:eastAsia="Calibri" w:hAnsi="Arial" w:cs="Arial"/>
          <w:sz w:val="24"/>
          <w:szCs w:val="24"/>
        </w:rPr>
      </w:pPr>
      <w:r w:rsidRPr="007E5C02">
        <w:rPr>
          <w:rFonts w:ascii="Arial" w:eastAsia="Calibri" w:hAnsi="Arial" w:cs="Arial"/>
          <w:b/>
          <w:sz w:val="24"/>
          <w:szCs w:val="24"/>
        </w:rPr>
        <w:t>__________________</w:t>
      </w:r>
    </w:p>
    <w:p w14:paraId="448B02AA" w14:textId="77777777" w:rsidR="004E03FB" w:rsidRPr="007E5C02" w:rsidRDefault="008A135C" w:rsidP="004E03FB">
      <w:pPr>
        <w:spacing w:line="360" w:lineRule="auto"/>
        <w:jc w:val="right"/>
        <w:rPr>
          <w:rFonts w:ascii="Arial" w:eastAsia="Calibri" w:hAnsi="Arial" w:cs="Arial"/>
          <w:b/>
          <w:sz w:val="24"/>
          <w:szCs w:val="24"/>
        </w:rPr>
      </w:pPr>
      <w:r>
        <w:rPr>
          <w:rFonts w:ascii="Arial" w:eastAsia="Calibri" w:hAnsi="Arial" w:cs="Arial"/>
          <w:b/>
          <w:sz w:val="24"/>
          <w:szCs w:val="24"/>
        </w:rPr>
        <w:t xml:space="preserve">L.A. </w:t>
      </w:r>
      <w:r w:rsidR="004E03FB">
        <w:rPr>
          <w:rFonts w:ascii="Arial" w:eastAsia="Calibri" w:hAnsi="Arial" w:cs="Arial"/>
          <w:b/>
          <w:sz w:val="24"/>
          <w:szCs w:val="24"/>
        </w:rPr>
        <w:t>RETIEF</w:t>
      </w:r>
    </w:p>
    <w:p w14:paraId="23F20EDF" w14:textId="77777777" w:rsidR="004E03FB" w:rsidRDefault="004E03FB" w:rsidP="004E03FB">
      <w:pPr>
        <w:spacing w:line="360" w:lineRule="auto"/>
        <w:jc w:val="right"/>
        <w:rPr>
          <w:rFonts w:ascii="Arial" w:eastAsia="Calibri" w:hAnsi="Arial" w:cs="Arial"/>
          <w:b/>
          <w:sz w:val="24"/>
          <w:szCs w:val="24"/>
        </w:rPr>
      </w:pPr>
      <w:r w:rsidRPr="007E5C02">
        <w:rPr>
          <w:rFonts w:ascii="Arial" w:eastAsia="Calibri" w:hAnsi="Arial" w:cs="Arial"/>
          <w:b/>
          <w:sz w:val="24"/>
          <w:szCs w:val="24"/>
        </w:rPr>
        <w:t>JUDGE OF THE HIGH COURT</w:t>
      </w:r>
    </w:p>
    <w:p w14:paraId="1831560F" w14:textId="77777777" w:rsidR="004E03FB" w:rsidRDefault="004E03FB" w:rsidP="004E03FB">
      <w:pPr>
        <w:spacing w:line="360" w:lineRule="auto"/>
        <w:jc w:val="both"/>
        <w:rPr>
          <w:rFonts w:ascii="Arial" w:eastAsia="Calibri" w:hAnsi="Arial" w:cs="Arial"/>
          <w:sz w:val="24"/>
          <w:szCs w:val="24"/>
        </w:rPr>
      </w:pPr>
      <w:r>
        <w:rPr>
          <w:rFonts w:ascii="Arial" w:eastAsia="Calibri" w:hAnsi="Arial" w:cs="Arial"/>
          <w:sz w:val="24"/>
          <w:szCs w:val="24"/>
        </w:rPr>
        <w:lastRenderedPageBreak/>
        <w:t>I agree</w:t>
      </w:r>
    </w:p>
    <w:p w14:paraId="37BF3725" w14:textId="77777777" w:rsidR="004E03FB" w:rsidRPr="007E5C02" w:rsidRDefault="004E03FB" w:rsidP="004E03FB">
      <w:pPr>
        <w:spacing w:line="360" w:lineRule="auto"/>
        <w:jc w:val="right"/>
        <w:rPr>
          <w:rFonts w:ascii="Arial" w:eastAsia="Calibri" w:hAnsi="Arial" w:cs="Arial"/>
          <w:sz w:val="24"/>
          <w:szCs w:val="24"/>
        </w:rPr>
      </w:pPr>
      <w:r w:rsidRPr="007E5C02">
        <w:rPr>
          <w:rFonts w:ascii="Arial" w:eastAsia="Calibri" w:hAnsi="Arial" w:cs="Arial"/>
          <w:b/>
          <w:sz w:val="24"/>
          <w:szCs w:val="24"/>
        </w:rPr>
        <w:t>__________________</w:t>
      </w:r>
    </w:p>
    <w:p w14:paraId="3DB35B09" w14:textId="77777777" w:rsidR="004E03FB" w:rsidRPr="007E5C02" w:rsidRDefault="008A135C" w:rsidP="004E03FB">
      <w:pPr>
        <w:spacing w:line="360" w:lineRule="auto"/>
        <w:jc w:val="right"/>
        <w:rPr>
          <w:rFonts w:ascii="Arial" w:eastAsia="Calibri" w:hAnsi="Arial" w:cs="Arial"/>
          <w:b/>
          <w:sz w:val="24"/>
          <w:szCs w:val="24"/>
        </w:rPr>
      </w:pPr>
      <w:r>
        <w:rPr>
          <w:rFonts w:ascii="Arial" w:eastAsia="Calibri" w:hAnsi="Arial" w:cs="Arial"/>
          <w:b/>
          <w:sz w:val="24"/>
          <w:szCs w:val="24"/>
        </w:rPr>
        <w:t xml:space="preserve">M.R. </w:t>
      </w:r>
      <w:r w:rsidR="004E03FB">
        <w:rPr>
          <w:rFonts w:ascii="Arial" w:eastAsia="Calibri" w:hAnsi="Arial" w:cs="Arial"/>
          <w:b/>
          <w:sz w:val="24"/>
          <w:szCs w:val="24"/>
        </w:rPr>
        <w:t xml:space="preserve">PHOOKO </w:t>
      </w:r>
    </w:p>
    <w:p w14:paraId="24B844E2" w14:textId="77777777" w:rsidR="004E03FB" w:rsidRDefault="004E03FB" w:rsidP="00795B56">
      <w:pPr>
        <w:spacing w:line="360" w:lineRule="auto"/>
        <w:jc w:val="right"/>
        <w:rPr>
          <w:rFonts w:ascii="Arial" w:eastAsia="Calibri" w:hAnsi="Arial" w:cs="Arial"/>
          <w:sz w:val="24"/>
          <w:szCs w:val="24"/>
        </w:rPr>
      </w:pPr>
      <w:r>
        <w:rPr>
          <w:rFonts w:ascii="Arial" w:eastAsia="Calibri" w:hAnsi="Arial" w:cs="Arial"/>
          <w:b/>
          <w:sz w:val="24"/>
          <w:szCs w:val="24"/>
        </w:rPr>
        <w:t xml:space="preserve">ACTING </w:t>
      </w:r>
      <w:r w:rsidRPr="007E5C02">
        <w:rPr>
          <w:rFonts w:ascii="Arial" w:eastAsia="Calibri" w:hAnsi="Arial" w:cs="Arial"/>
          <w:b/>
          <w:sz w:val="24"/>
          <w:szCs w:val="24"/>
        </w:rPr>
        <w:t>JUDGE OF THE HIGH COURT</w:t>
      </w:r>
    </w:p>
    <w:p w14:paraId="4C37590F" w14:textId="77777777" w:rsidR="004E03FB" w:rsidRPr="004E03FB" w:rsidRDefault="004E03FB" w:rsidP="004E03FB">
      <w:pPr>
        <w:spacing w:line="360" w:lineRule="auto"/>
        <w:jc w:val="both"/>
        <w:rPr>
          <w:rFonts w:ascii="Arial" w:eastAsia="Calibri" w:hAnsi="Arial" w:cs="Arial"/>
          <w:sz w:val="24"/>
          <w:szCs w:val="24"/>
        </w:rPr>
      </w:pPr>
    </w:p>
    <w:p w14:paraId="02606ED1" w14:textId="77777777" w:rsidR="004E5073" w:rsidRPr="007E5C02" w:rsidRDefault="004E5073" w:rsidP="004E5073">
      <w:pPr>
        <w:spacing w:after="160" w:line="360" w:lineRule="auto"/>
        <w:jc w:val="both"/>
        <w:rPr>
          <w:rFonts w:ascii="Arial" w:eastAsia="Calibri" w:hAnsi="Arial" w:cs="Arial"/>
          <w:b/>
          <w:sz w:val="24"/>
          <w:szCs w:val="24"/>
        </w:rPr>
      </w:pPr>
      <w:r w:rsidRPr="007E5C02">
        <w:rPr>
          <w:rFonts w:ascii="Arial" w:eastAsia="Calibri" w:hAnsi="Arial" w:cs="Arial"/>
          <w:b/>
          <w:sz w:val="24"/>
          <w:szCs w:val="24"/>
        </w:rPr>
        <w:br w:type="page"/>
      </w:r>
    </w:p>
    <w:p w14:paraId="4887FDA6" w14:textId="77777777" w:rsidR="004E5073" w:rsidRPr="007E5C02" w:rsidRDefault="004E5073" w:rsidP="004E5073">
      <w:pPr>
        <w:spacing w:after="160" w:line="360" w:lineRule="auto"/>
        <w:jc w:val="both"/>
        <w:rPr>
          <w:rFonts w:ascii="Arial" w:eastAsia="Calibri" w:hAnsi="Arial" w:cs="Arial"/>
          <w:sz w:val="24"/>
          <w:szCs w:val="24"/>
        </w:rPr>
      </w:pPr>
      <w:r>
        <w:rPr>
          <w:rFonts w:ascii="Arial" w:eastAsia="Calibri" w:hAnsi="Arial" w:cs="Arial"/>
          <w:sz w:val="24"/>
          <w:szCs w:val="24"/>
        </w:rPr>
        <w:lastRenderedPageBreak/>
        <w:t>CASE NO:</w:t>
      </w:r>
      <w:r w:rsidR="00795B56">
        <w:rPr>
          <w:rFonts w:ascii="Arial" w:eastAsia="Calibri" w:hAnsi="Arial" w:cs="Arial"/>
          <w:sz w:val="24"/>
          <w:szCs w:val="24"/>
        </w:rPr>
        <w:t xml:space="preserve">  A314/2021</w:t>
      </w:r>
    </w:p>
    <w:p w14:paraId="241AAC37" w14:textId="77777777" w:rsidR="004E5073" w:rsidRPr="007E5C02" w:rsidRDefault="004E5073" w:rsidP="004E5073">
      <w:pPr>
        <w:spacing w:line="360" w:lineRule="auto"/>
        <w:jc w:val="both"/>
        <w:rPr>
          <w:rFonts w:ascii="Arial" w:eastAsia="Calibri" w:hAnsi="Arial" w:cs="Arial"/>
          <w:sz w:val="24"/>
          <w:szCs w:val="24"/>
        </w:rPr>
      </w:pPr>
    </w:p>
    <w:p w14:paraId="2E4D7B78" w14:textId="77777777" w:rsidR="004E5073" w:rsidRPr="007E5C02" w:rsidRDefault="004E5073" w:rsidP="004E5073">
      <w:pPr>
        <w:spacing w:line="360" w:lineRule="auto"/>
        <w:jc w:val="both"/>
        <w:rPr>
          <w:rFonts w:ascii="Arial" w:eastAsia="Calibri" w:hAnsi="Arial" w:cs="Arial"/>
          <w:sz w:val="24"/>
          <w:szCs w:val="24"/>
        </w:rPr>
      </w:pPr>
      <w:r>
        <w:rPr>
          <w:rFonts w:ascii="Arial" w:eastAsia="Calibri" w:hAnsi="Arial" w:cs="Arial"/>
          <w:sz w:val="24"/>
          <w:szCs w:val="24"/>
        </w:rPr>
        <w:t xml:space="preserve">HEARD ON:    </w:t>
      </w:r>
      <w:r w:rsidR="00962943">
        <w:rPr>
          <w:rFonts w:ascii="Arial" w:eastAsia="Calibri" w:hAnsi="Arial" w:cs="Arial"/>
          <w:sz w:val="24"/>
          <w:szCs w:val="24"/>
        </w:rPr>
        <w:t>2 August 2023</w:t>
      </w:r>
    </w:p>
    <w:p w14:paraId="6D867AFD" w14:textId="77777777" w:rsidR="004E5073" w:rsidRPr="007E5C02" w:rsidRDefault="004E5073" w:rsidP="004E5073">
      <w:pPr>
        <w:spacing w:line="360" w:lineRule="auto"/>
        <w:jc w:val="both"/>
        <w:rPr>
          <w:rFonts w:ascii="Arial" w:eastAsia="Calibri" w:hAnsi="Arial" w:cs="Arial"/>
          <w:sz w:val="24"/>
          <w:szCs w:val="24"/>
        </w:rPr>
      </w:pPr>
    </w:p>
    <w:p w14:paraId="5B29384A" w14:textId="77777777" w:rsidR="004E5073" w:rsidRDefault="004E5073" w:rsidP="004E5073">
      <w:pPr>
        <w:spacing w:line="360" w:lineRule="auto"/>
        <w:jc w:val="both"/>
        <w:rPr>
          <w:rFonts w:ascii="Arial" w:eastAsia="Calibri" w:hAnsi="Arial" w:cs="Arial"/>
          <w:sz w:val="24"/>
          <w:szCs w:val="24"/>
        </w:rPr>
      </w:pPr>
      <w:r>
        <w:rPr>
          <w:rFonts w:ascii="Arial" w:eastAsia="Calibri" w:hAnsi="Arial" w:cs="Arial"/>
          <w:sz w:val="24"/>
          <w:szCs w:val="24"/>
        </w:rPr>
        <w:t>FOR THE APPELL</w:t>
      </w:r>
      <w:r w:rsidRPr="007E5C02">
        <w:rPr>
          <w:rFonts w:ascii="Arial" w:eastAsia="Calibri" w:hAnsi="Arial" w:cs="Arial"/>
          <w:sz w:val="24"/>
          <w:szCs w:val="24"/>
        </w:rPr>
        <w:t>ANT</w:t>
      </w:r>
      <w:r>
        <w:rPr>
          <w:rFonts w:ascii="Arial" w:eastAsia="Calibri" w:hAnsi="Arial" w:cs="Arial"/>
          <w:sz w:val="24"/>
          <w:szCs w:val="24"/>
        </w:rPr>
        <w:t>S</w:t>
      </w:r>
      <w:r w:rsidRPr="007E5C02">
        <w:rPr>
          <w:rFonts w:ascii="Arial" w:eastAsia="Calibri" w:hAnsi="Arial" w:cs="Arial"/>
          <w:sz w:val="24"/>
          <w:szCs w:val="24"/>
        </w:rPr>
        <w:t xml:space="preserve">:  </w:t>
      </w:r>
      <w:r w:rsidR="00962943">
        <w:rPr>
          <w:rFonts w:ascii="Arial" w:eastAsia="Calibri" w:hAnsi="Arial" w:cs="Arial"/>
          <w:sz w:val="24"/>
          <w:szCs w:val="24"/>
        </w:rPr>
        <w:t>ADV. S.S. COHEN</w:t>
      </w:r>
    </w:p>
    <w:p w14:paraId="57615CCD" w14:textId="77777777" w:rsidR="00962943" w:rsidRPr="007E5C02" w:rsidRDefault="00962943" w:rsidP="004E5073">
      <w:pPr>
        <w:spacing w:line="360" w:lineRule="auto"/>
        <w:jc w:val="both"/>
        <w:rPr>
          <w:rFonts w:ascii="Arial" w:eastAsia="Calibri" w:hAnsi="Arial" w:cs="Arial"/>
          <w:sz w:val="24"/>
          <w:szCs w:val="24"/>
        </w:rPr>
      </w:pPr>
      <w:r>
        <w:rPr>
          <w:rFonts w:ascii="Arial" w:eastAsia="Calibri" w:hAnsi="Arial" w:cs="Arial"/>
          <w:sz w:val="24"/>
          <w:szCs w:val="24"/>
        </w:rPr>
        <w:t xml:space="preserve">                                           ADV. S. MSIMANGA</w:t>
      </w:r>
    </w:p>
    <w:p w14:paraId="4D321038" w14:textId="77777777" w:rsidR="004E5073" w:rsidRPr="007E5C02" w:rsidRDefault="004E5073" w:rsidP="004E5073">
      <w:pPr>
        <w:spacing w:line="360" w:lineRule="auto"/>
        <w:jc w:val="both"/>
        <w:rPr>
          <w:rFonts w:ascii="Arial" w:eastAsia="Calibri" w:hAnsi="Arial" w:cs="Arial"/>
          <w:sz w:val="24"/>
          <w:szCs w:val="24"/>
        </w:rPr>
      </w:pPr>
    </w:p>
    <w:p w14:paraId="14A515D4" w14:textId="77777777" w:rsidR="004E5073" w:rsidRPr="007E5C02" w:rsidRDefault="004E5073" w:rsidP="004E5073">
      <w:pPr>
        <w:spacing w:line="360" w:lineRule="auto"/>
        <w:jc w:val="both"/>
        <w:rPr>
          <w:rFonts w:ascii="Arial" w:eastAsia="Calibri" w:hAnsi="Arial" w:cs="Arial"/>
          <w:sz w:val="24"/>
          <w:szCs w:val="24"/>
        </w:rPr>
      </w:pPr>
      <w:r w:rsidRPr="007E5C02">
        <w:rPr>
          <w:rFonts w:ascii="Arial" w:eastAsia="Calibri" w:hAnsi="Arial" w:cs="Arial"/>
          <w:sz w:val="24"/>
          <w:szCs w:val="24"/>
        </w:rPr>
        <w:t>INSTRUCTED BY:</w:t>
      </w:r>
      <w:r w:rsidR="003C198D">
        <w:rPr>
          <w:rFonts w:ascii="Arial" w:eastAsia="Calibri" w:hAnsi="Arial" w:cs="Arial"/>
          <w:sz w:val="24"/>
          <w:szCs w:val="24"/>
        </w:rPr>
        <w:t xml:space="preserve">  Larry Marks Attorneys</w:t>
      </w:r>
    </w:p>
    <w:p w14:paraId="1C43258F" w14:textId="77777777" w:rsidR="004E5073" w:rsidRPr="007E5C02" w:rsidRDefault="004E5073" w:rsidP="004E5073">
      <w:pPr>
        <w:spacing w:line="360" w:lineRule="auto"/>
        <w:jc w:val="both"/>
        <w:rPr>
          <w:rFonts w:ascii="Arial" w:eastAsia="Calibri" w:hAnsi="Arial" w:cs="Arial"/>
          <w:sz w:val="24"/>
          <w:szCs w:val="24"/>
        </w:rPr>
      </w:pPr>
    </w:p>
    <w:p w14:paraId="5704939F" w14:textId="77777777" w:rsidR="004E5073" w:rsidRPr="007E5C02" w:rsidRDefault="004E5073" w:rsidP="004E5073">
      <w:pPr>
        <w:spacing w:line="360" w:lineRule="auto"/>
        <w:jc w:val="both"/>
        <w:rPr>
          <w:rFonts w:ascii="Arial" w:eastAsia="Calibri" w:hAnsi="Arial" w:cs="Arial"/>
          <w:sz w:val="24"/>
          <w:szCs w:val="24"/>
        </w:rPr>
      </w:pPr>
      <w:r>
        <w:rPr>
          <w:rFonts w:ascii="Arial" w:eastAsia="Calibri" w:hAnsi="Arial" w:cs="Arial"/>
          <w:sz w:val="24"/>
          <w:szCs w:val="24"/>
        </w:rPr>
        <w:t xml:space="preserve">FOR THE </w:t>
      </w:r>
      <w:r w:rsidR="00962943">
        <w:rPr>
          <w:rFonts w:ascii="Arial" w:eastAsia="Calibri" w:hAnsi="Arial" w:cs="Arial"/>
          <w:sz w:val="24"/>
          <w:szCs w:val="24"/>
        </w:rPr>
        <w:t>RESPONDENT</w:t>
      </w:r>
      <w:r w:rsidRPr="007E5C02">
        <w:rPr>
          <w:rFonts w:ascii="Arial" w:eastAsia="Calibri" w:hAnsi="Arial" w:cs="Arial"/>
          <w:sz w:val="24"/>
          <w:szCs w:val="24"/>
        </w:rPr>
        <w:t>:</w:t>
      </w:r>
      <w:r w:rsidR="00962943">
        <w:rPr>
          <w:rFonts w:ascii="Arial" w:eastAsia="Calibri" w:hAnsi="Arial" w:cs="Arial"/>
          <w:sz w:val="24"/>
          <w:szCs w:val="24"/>
        </w:rPr>
        <w:t xml:space="preserve">  ADV. L.A. PRETORIUS</w:t>
      </w:r>
    </w:p>
    <w:p w14:paraId="65A02F33" w14:textId="77777777" w:rsidR="004E5073" w:rsidRPr="007E5C02" w:rsidRDefault="004E5073" w:rsidP="004E5073">
      <w:pPr>
        <w:spacing w:line="360" w:lineRule="auto"/>
        <w:jc w:val="both"/>
        <w:rPr>
          <w:rFonts w:ascii="Arial" w:eastAsia="Calibri" w:hAnsi="Arial" w:cs="Arial"/>
          <w:sz w:val="24"/>
          <w:szCs w:val="24"/>
        </w:rPr>
      </w:pPr>
    </w:p>
    <w:p w14:paraId="4D3F9BB5" w14:textId="77777777" w:rsidR="004E5073" w:rsidRPr="007E5C02" w:rsidRDefault="004E5073" w:rsidP="004E5073">
      <w:pPr>
        <w:spacing w:line="360" w:lineRule="auto"/>
        <w:jc w:val="both"/>
        <w:rPr>
          <w:rFonts w:ascii="Arial" w:eastAsia="Calibri" w:hAnsi="Arial" w:cs="Arial"/>
          <w:sz w:val="24"/>
          <w:szCs w:val="24"/>
        </w:rPr>
      </w:pPr>
      <w:r w:rsidRPr="007E5C02">
        <w:rPr>
          <w:rFonts w:ascii="Arial" w:eastAsia="Calibri" w:hAnsi="Arial" w:cs="Arial"/>
          <w:sz w:val="24"/>
          <w:szCs w:val="24"/>
        </w:rPr>
        <w:t>INSTRUCTED BY:</w:t>
      </w:r>
      <w:r w:rsidR="003C198D">
        <w:rPr>
          <w:rFonts w:ascii="Arial" w:eastAsia="Calibri" w:hAnsi="Arial" w:cs="Arial"/>
          <w:sz w:val="24"/>
          <w:szCs w:val="24"/>
        </w:rPr>
        <w:t xml:space="preserve">  Findlay &amp; Niemeyer Inc.</w:t>
      </w:r>
    </w:p>
    <w:p w14:paraId="1C4542FA" w14:textId="77777777" w:rsidR="004E5073" w:rsidRPr="007E5C02" w:rsidRDefault="004E5073" w:rsidP="004E5073">
      <w:pPr>
        <w:spacing w:line="360" w:lineRule="auto"/>
        <w:jc w:val="both"/>
        <w:rPr>
          <w:rFonts w:ascii="Arial" w:eastAsia="Calibri" w:hAnsi="Arial" w:cs="Arial"/>
          <w:sz w:val="24"/>
          <w:szCs w:val="24"/>
        </w:rPr>
      </w:pPr>
    </w:p>
    <w:p w14:paraId="28272A98" w14:textId="5263F6DE" w:rsidR="004E5073" w:rsidRPr="007E5C02" w:rsidRDefault="004E5073" w:rsidP="004E5073">
      <w:pPr>
        <w:spacing w:line="360" w:lineRule="auto"/>
        <w:jc w:val="both"/>
        <w:rPr>
          <w:rFonts w:ascii="Arial" w:eastAsia="Calibri" w:hAnsi="Arial" w:cs="Arial"/>
          <w:sz w:val="24"/>
          <w:szCs w:val="24"/>
        </w:rPr>
      </w:pPr>
      <w:r w:rsidRPr="007E5C02">
        <w:rPr>
          <w:rFonts w:ascii="Arial" w:eastAsia="Calibri" w:hAnsi="Arial" w:cs="Arial"/>
          <w:sz w:val="24"/>
          <w:szCs w:val="24"/>
        </w:rPr>
        <w:t xml:space="preserve">DATE OF JUDGMENT:   </w:t>
      </w:r>
      <w:r w:rsidR="00CF2E42">
        <w:rPr>
          <w:rFonts w:ascii="Arial" w:eastAsia="Calibri" w:hAnsi="Arial" w:cs="Arial"/>
          <w:sz w:val="24"/>
          <w:szCs w:val="24"/>
        </w:rPr>
        <w:t>5</w:t>
      </w:r>
      <w:r w:rsidR="005A75FF">
        <w:rPr>
          <w:rFonts w:ascii="Arial" w:eastAsia="Calibri" w:hAnsi="Arial" w:cs="Arial"/>
          <w:sz w:val="24"/>
          <w:szCs w:val="24"/>
        </w:rPr>
        <w:t xml:space="preserve"> October 2023</w:t>
      </w:r>
    </w:p>
    <w:p w14:paraId="0199BE6C" w14:textId="77777777" w:rsidR="004E5073" w:rsidRPr="007E5C02" w:rsidRDefault="004E5073" w:rsidP="004E5073">
      <w:pPr>
        <w:spacing w:line="360" w:lineRule="auto"/>
        <w:jc w:val="both"/>
        <w:rPr>
          <w:rFonts w:ascii="Arial" w:hAnsi="Arial" w:cs="Arial"/>
          <w:sz w:val="24"/>
          <w:szCs w:val="24"/>
        </w:rPr>
      </w:pPr>
    </w:p>
    <w:p w14:paraId="022AE75E" w14:textId="77777777" w:rsidR="004E5073" w:rsidRPr="003101C1" w:rsidRDefault="004E5073" w:rsidP="004E5073">
      <w:pPr>
        <w:spacing w:line="240" w:lineRule="auto"/>
        <w:jc w:val="right"/>
        <w:rPr>
          <w:rFonts w:ascii="Arial" w:eastAsia="Calibri" w:hAnsi="Arial" w:cs="Arial"/>
          <w:b/>
          <w:sz w:val="24"/>
          <w:szCs w:val="24"/>
        </w:rPr>
      </w:pPr>
    </w:p>
    <w:p w14:paraId="42FAA21E" w14:textId="77777777" w:rsidR="004E5073" w:rsidRPr="003101C1" w:rsidRDefault="004E5073" w:rsidP="004E5073">
      <w:pPr>
        <w:spacing w:line="240" w:lineRule="auto"/>
        <w:rPr>
          <w:rFonts w:ascii="Arial" w:eastAsia="Calibri" w:hAnsi="Arial" w:cs="Arial"/>
          <w:sz w:val="24"/>
          <w:szCs w:val="24"/>
        </w:rPr>
      </w:pPr>
    </w:p>
    <w:p w14:paraId="242A3B3E" w14:textId="77777777" w:rsidR="004E5073" w:rsidRPr="003101C1" w:rsidRDefault="004E5073" w:rsidP="004E5073">
      <w:pPr>
        <w:rPr>
          <w:rFonts w:ascii="Arial" w:hAnsi="Arial" w:cs="Arial"/>
          <w:b/>
          <w:sz w:val="24"/>
          <w:szCs w:val="24"/>
        </w:rPr>
      </w:pPr>
    </w:p>
    <w:p w14:paraId="032F78B1" w14:textId="77777777" w:rsidR="004E5073" w:rsidRDefault="004E5073" w:rsidP="004E5073"/>
    <w:p w14:paraId="4F35D67F" w14:textId="77777777" w:rsidR="004E5073" w:rsidRDefault="004E5073" w:rsidP="004E5073"/>
    <w:p w14:paraId="5F72A8D1" w14:textId="77777777" w:rsidR="004E5073" w:rsidRDefault="004E5073" w:rsidP="004E5073"/>
    <w:p w14:paraId="4CC3533C" w14:textId="77777777" w:rsidR="004E5073" w:rsidRDefault="004E5073" w:rsidP="004E5073"/>
    <w:p w14:paraId="7C5D018E" w14:textId="77777777" w:rsidR="004E5073" w:rsidRDefault="004E5073" w:rsidP="004E5073"/>
    <w:p w14:paraId="17119FD9" w14:textId="77777777" w:rsidR="00193EC6" w:rsidRDefault="00193EC6"/>
    <w:sectPr w:rsidR="00193EC6">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5F0F7E" w16cex:dateUtc="2023-10-04T10:15:00Z"/>
  <w16cex:commentExtensible w16cex:durableId="4DC66084" w16cex:dateUtc="2023-10-04T10:26:00Z"/>
  <w16cex:commentExtensible w16cex:durableId="15548406" w16cex:dateUtc="2023-10-04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5B53C" w16cid:durableId="505F0F7E"/>
  <w16cid:commentId w16cid:paraId="4564889A" w16cid:durableId="4DC66084"/>
  <w16cid:commentId w16cid:paraId="2401F8B2" w16cid:durableId="15548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3453" w14:textId="77777777" w:rsidR="00AB0021" w:rsidRDefault="00AB0021" w:rsidP="004E5073">
      <w:pPr>
        <w:spacing w:after="0" w:line="240" w:lineRule="auto"/>
      </w:pPr>
      <w:r>
        <w:separator/>
      </w:r>
    </w:p>
  </w:endnote>
  <w:endnote w:type="continuationSeparator" w:id="0">
    <w:p w14:paraId="180DB219" w14:textId="77777777" w:rsidR="00AB0021" w:rsidRDefault="00AB0021" w:rsidP="004E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36254" w14:textId="77777777" w:rsidR="00AB0021" w:rsidRDefault="00AB0021" w:rsidP="004E5073">
      <w:pPr>
        <w:spacing w:after="0" w:line="240" w:lineRule="auto"/>
      </w:pPr>
      <w:r>
        <w:separator/>
      </w:r>
    </w:p>
  </w:footnote>
  <w:footnote w:type="continuationSeparator" w:id="0">
    <w:p w14:paraId="7389F555" w14:textId="77777777" w:rsidR="00AB0021" w:rsidRDefault="00AB0021" w:rsidP="004E5073">
      <w:pPr>
        <w:spacing w:after="0" w:line="240" w:lineRule="auto"/>
      </w:pPr>
      <w:r>
        <w:continuationSeparator/>
      </w:r>
    </w:p>
  </w:footnote>
  <w:footnote w:id="1">
    <w:p w14:paraId="11CE6282" w14:textId="77777777" w:rsidR="004E5073" w:rsidRPr="00B73C3A" w:rsidRDefault="004E5073" w:rsidP="00B73C3A">
      <w:pPr>
        <w:pStyle w:val="FootnoteText"/>
        <w:rPr>
          <w:lang w:val="en-GB"/>
        </w:rPr>
      </w:pPr>
      <w:r>
        <w:rPr>
          <w:rStyle w:val="FootnoteReference"/>
        </w:rPr>
        <w:footnoteRef/>
      </w:r>
      <w:r>
        <w:t xml:space="preserve"> </w:t>
      </w:r>
      <w:r>
        <w:rPr>
          <w:i/>
          <w:lang w:val="en-GB"/>
        </w:rPr>
        <w:t xml:space="preserve">JMN </w:t>
      </w:r>
      <w:r w:rsidR="00B73C3A">
        <w:rPr>
          <w:i/>
          <w:lang w:val="en-GB"/>
        </w:rPr>
        <w:t xml:space="preserve">v The Commissioner for the South African Revenue Service </w:t>
      </w:r>
      <w:r w:rsidR="00B73C3A">
        <w:rPr>
          <w:lang w:val="en-GB"/>
        </w:rPr>
        <w:t>(A3096/2019; 14001) [2021] ZAGPJHC 167 (30 April 2021).</w:t>
      </w:r>
    </w:p>
  </w:footnote>
  <w:footnote w:id="2">
    <w:p w14:paraId="35A5CF39" w14:textId="77777777" w:rsidR="001C2493" w:rsidRPr="001C2493" w:rsidRDefault="001C2493" w:rsidP="001C2493">
      <w:pPr>
        <w:pStyle w:val="FootnoteText"/>
        <w:jc w:val="both"/>
        <w:rPr>
          <w:lang w:val="en-GB"/>
        </w:rPr>
      </w:pPr>
      <w:r>
        <w:rPr>
          <w:rStyle w:val="FootnoteReference"/>
        </w:rPr>
        <w:footnoteRef/>
      </w:r>
      <w:r>
        <w:t xml:space="preserve"> </w:t>
      </w:r>
      <w:r>
        <w:rPr>
          <w:i/>
          <w:lang w:val="en-GB"/>
        </w:rPr>
        <w:t xml:space="preserve">Quartermark Investments (Pty) Ltd v Mkhwanazi &amp; another </w:t>
      </w:r>
      <w:r>
        <w:rPr>
          <w:lang w:val="en-GB"/>
        </w:rPr>
        <w:t>(768/2012) [2013] ZASCA 150 (1 November 2013);  2014 (3) SA 96 (SCA).</w:t>
      </w:r>
    </w:p>
  </w:footnote>
  <w:footnote w:id="3">
    <w:p w14:paraId="350B87D0" w14:textId="77777777" w:rsidR="00011D4A" w:rsidRPr="00011D4A" w:rsidRDefault="00011D4A">
      <w:pPr>
        <w:pStyle w:val="FootnoteText"/>
        <w:rPr>
          <w:lang w:val="en-GB"/>
        </w:rPr>
      </w:pPr>
      <w:r>
        <w:rPr>
          <w:rStyle w:val="FootnoteReference"/>
        </w:rPr>
        <w:footnoteRef/>
      </w:r>
      <w:r>
        <w:t xml:space="preserve"> </w:t>
      </w:r>
      <w:r>
        <w:rPr>
          <w:lang w:val="en-GB"/>
        </w:rPr>
        <w:t>Footnote 23.</w:t>
      </w:r>
    </w:p>
  </w:footnote>
  <w:footnote w:id="4">
    <w:p w14:paraId="166602B1" w14:textId="77777777" w:rsidR="00DF3220" w:rsidRPr="00DF3220" w:rsidRDefault="00DF3220">
      <w:pPr>
        <w:pStyle w:val="FootnoteText"/>
        <w:rPr>
          <w:lang w:val="en-GB"/>
        </w:rPr>
      </w:pPr>
      <w:r>
        <w:rPr>
          <w:rStyle w:val="FootnoteReference"/>
        </w:rPr>
        <w:footnoteRef/>
      </w:r>
      <w:r>
        <w:t xml:space="preserve"> </w:t>
      </w:r>
      <w:r>
        <w:rPr>
          <w:lang w:val="en-GB"/>
        </w:rPr>
        <w:t>Paragraph [26]</w:t>
      </w:r>
    </w:p>
  </w:footnote>
  <w:footnote w:id="5">
    <w:p w14:paraId="628208C1" w14:textId="77777777" w:rsidR="00232009" w:rsidRPr="00232009" w:rsidRDefault="00232009">
      <w:pPr>
        <w:pStyle w:val="FootnoteText"/>
        <w:rPr>
          <w:lang w:val="en-GB"/>
        </w:rPr>
      </w:pPr>
      <w:r>
        <w:rPr>
          <w:rStyle w:val="FootnoteReference"/>
        </w:rPr>
        <w:footnoteRef/>
      </w:r>
      <w:r>
        <w:t xml:space="preserve"> </w:t>
      </w:r>
      <w:r>
        <w:rPr>
          <w:lang w:val="en-GB"/>
        </w:rPr>
        <w:t>Paragraphs 35-37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14:paraId="2A95BB90" w14:textId="18D1F4D1" w:rsidR="00193EC6" w:rsidRDefault="00FA5967">
        <w:pPr>
          <w:pStyle w:val="Header"/>
          <w:jc w:val="center"/>
        </w:pPr>
        <w:r>
          <w:fldChar w:fldCharType="begin"/>
        </w:r>
        <w:r>
          <w:instrText xml:space="preserve"> PAGE   \* MERGEFORMAT </w:instrText>
        </w:r>
        <w:r>
          <w:fldChar w:fldCharType="separate"/>
        </w:r>
        <w:r w:rsidR="00771A85">
          <w:rPr>
            <w:noProof/>
          </w:rPr>
          <w:t>2</w:t>
        </w:r>
        <w:r>
          <w:rPr>
            <w:noProof/>
          </w:rPr>
          <w:fldChar w:fldCharType="end"/>
        </w:r>
      </w:p>
    </w:sdtContent>
  </w:sdt>
  <w:p w14:paraId="4D49562F" w14:textId="77777777" w:rsidR="00193EC6" w:rsidRDefault="00193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4F4"/>
    <w:multiLevelType w:val="multilevel"/>
    <w:tmpl w:val="2CB6B1E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3"/>
    <w:rsid w:val="00011D4A"/>
    <w:rsid w:val="00035413"/>
    <w:rsid w:val="0006543B"/>
    <w:rsid w:val="000A2517"/>
    <w:rsid w:val="00167014"/>
    <w:rsid w:val="0017402A"/>
    <w:rsid w:val="00193EC6"/>
    <w:rsid w:val="001C2493"/>
    <w:rsid w:val="001C4DB6"/>
    <w:rsid w:val="00232009"/>
    <w:rsid w:val="0024371B"/>
    <w:rsid w:val="00384154"/>
    <w:rsid w:val="003C198D"/>
    <w:rsid w:val="003E5270"/>
    <w:rsid w:val="003F4804"/>
    <w:rsid w:val="0049267C"/>
    <w:rsid w:val="004B2D8C"/>
    <w:rsid w:val="004E03FB"/>
    <w:rsid w:val="004E5073"/>
    <w:rsid w:val="00527EFF"/>
    <w:rsid w:val="00542ABD"/>
    <w:rsid w:val="005A75FF"/>
    <w:rsid w:val="00607B31"/>
    <w:rsid w:val="006268F8"/>
    <w:rsid w:val="00683D08"/>
    <w:rsid w:val="00771A85"/>
    <w:rsid w:val="00795B56"/>
    <w:rsid w:val="008304AD"/>
    <w:rsid w:val="008A135C"/>
    <w:rsid w:val="00904FA1"/>
    <w:rsid w:val="00962943"/>
    <w:rsid w:val="00975DB5"/>
    <w:rsid w:val="00996C3B"/>
    <w:rsid w:val="009C2798"/>
    <w:rsid w:val="009D037C"/>
    <w:rsid w:val="00A730F0"/>
    <w:rsid w:val="00A8614B"/>
    <w:rsid w:val="00AB0021"/>
    <w:rsid w:val="00B3451C"/>
    <w:rsid w:val="00B40B58"/>
    <w:rsid w:val="00B73C3A"/>
    <w:rsid w:val="00BC5628"/>
    <w:rsid w:val="00C538E1"/>
    <w:rsid w:val="00CF2E42"/>
    <w:rsid w:val="00D27E3A"/>
    <w:rsid w:val="00DF3220"/>
    <w:rsid w:val="00E17438"/>
    <w:rsid w:val="00E4090A"/>
    <w:rsid w:val="00E735EC"/>
    <w:rsid w:val="00E9082E"/>
    <w:rsid w:val="00E952D2"/>
    <w:rsid w:val="00F6641C"/>
    <w:rsid w:val="00FA4B48"/>
    <w:rsid w:val="00FA5967"/>
    <w:rsid w:val="00FF79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72F43"/>
  <w15:chartTrackingRefBased/>
  <w15:docId w15:val="{252207C9-6D78-485B-B294-FB3CCF02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73"/>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073"/>
    <w:rPr>
      <w:rFonts w:eastAsia="SimSun"/>
    </w:rPr>
  </w:style>
  <w:style w:type="character" w:customStyle="1" w:styleId="a">
    <w:name w:val="正文文本_"/>
    <w:basedOn w:val="DefaultParagraphFont"/>
    <w:link w:val="a0"/>
    <w:rsid w:val="004E5073"/>
    <w:rPr>
      <w:rFonts w:ascii="Arial" w:eastAsia="Arial" w:hAnsi="Arial" w:cs="Arial"/>
      <w:shd w:val="clear" w:color="auto" w:fill="FFFFFF"/>
    </w:rPr>
  </w:style>
  <w:style w:type="paragraph" w:customStyle="1" w:styleId="a0">
    <w:name w:val="正文文本"/>
    <w:basedOn w:val="Normal"/>
    <w:link w:val="a"/>
    <w:rsid w:val="004E5073"/>
    <w:pPr>
      <w:widowControl w:val="0"/>
      <w:shd w:val="clear" w:color="auto" w:fill="FFFFFF"/>
      <w:spacing w:after="540" w:line="480" w:lineRule="auto"/>
    </w:pPr>
    <w:rPr>
      <w:rFonts w:ascii="Arial" w:eastAsia="Arial" w:hAnsi="Arial" w:cs="Arial"/>
    </w:rPr>
  </w:style>
  <w:style w:type="character" w:customStyle="1" w:styleId="2">
    <w:name w:val="正文文本 (2)_"/>
    <w:basedOn w:val="DefaultParagraphFont"/>
    <w:link w:val="20"/>
    <w:rsid w:val="004E5073"/>
    <w:rPr>
      <w:rFonts w:ascii="Arial" w:eastAsia="Arial" w:hAnsi="Arial" w:cs="Arial"/>
      <w:sz w:val="13"/>
      <w:szCs w:val="13"/>
      <w:shd w:val="clear" w:color="auto" w:fill="FFFFFF"/>
      <w:lang w:val="zh-CN" w:eastAsia="zh-CN" w:bidi="zh-CN"/>
    </w:rPr>
  </w:style>
  <w:style w:type="paragraph" w:customStyle="1" w:styleId="20">
    <w:name w:val="正文文本 (2)"/>
    <w:basedOn w:val="Normal"/>
    <w:link w:val="2"/>
    <w:rsid w:val="004E5073"/>
    <w:pPr>
      <w:widowControl w:val="0"/>
      <w:shd w:val="clear" w:color="auto" w:fill="FFFFFF"/>
      <w:spacing w:after="0" w:line="240" w:lineRule="auto"/>
    </w:pPr>
    <w:rPr>
      <w:rFonts w:ascii="Arial" w:eastAsia="Arial" w:hAnsi="Arial" w:cs="Arial"/>
      <w:sz w:val="13"/>
      <w:szCs w:val="13"/>
      <w:lang w:val="zh-CN" w:eastAsia="zh-CN" w:bidi="zh-CN"/>
    </w:rPr>
  </w:style>
  <w:style w:type="paragraph" w:styleId="FootnoteText">
    <w:name w:val="footnote text"/>
    <w:basedOn w:val="Normal"/>
    <w:link w:val="FootnoteTextChar"/>
    <w:uiPriority w:val="99"/>
    <w:semiHidden/>
    <w:unhideWhenUsed/>
    <w:rsid w:val="004E50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073"/>
    <w:rPr>
      <w:rFonts w:eastAsia="SimSun"/>
      <w:sz w:val="20"/>
      <w:szCs w:val="20"/>
    </w:rPr>
  </w:style>
  <w:style w:type="character" w:styleId="FootnoteReference">
    <w:name w:val="footnote reference"/>
    <w:basedOn w:val="DefaultParagraphFont"/>
    <w:uiPriority w:val="99"/>
    <w:semiHidden/>
    <w:unhideWhenUsed/>
    <w:rsid w:val="004E5073"/>
    <w:rPr>
      <w:vertAlign w:val="superscript"/>
    </w:rPr>
  </w:style>
  <w:style w:type="paragraph" w:styleId="ListParagraph">
    <w:name w:val="List Paragraph"/>
    <w:basedOn w:val="Normal"/>
    <w:uiPriority w:val="34"/>
    <w:qFormat/>
    <w:rsid w:val="004E5073"/>
    <w:pPr>
      <w:ind w:left="720"/>
      <w:contextualSpacing/>
    </w:pPr>
  </w:style>
  <w:style w:type="character" w:customStyle="1" w:styleId="21">
    <w:name w:val="页眉或页脚 (2)_"/>
    <w:basedOn w:val="DefaultParagraphFont"/>
    <w:link w:val="22"/>
    <w:rsid w:val="0017402A"/>
    <w:rPr>
      <w:rFonts w:ascii="Times New Roman" w:eastAsia="Times New Roman" w:hAnsi="Times New Roman" w:cs="Times New Roman"/>
      <w:sz w:val="20"/>
      <w:szCs w:val="20"/>
      <w:shd w:val="clear" w:color="auto" w:fill="FFFFFF"/>
    </w:rPr>
  </w:style>
  <w:style w:type="paragraph" w:customStyle="1" w:styleId="22">
    <w:name w:val="页眉或页脚 (2)"/>
    <w:basedOn w:val="Normal"/>
    <w:link w:val="21"/>
    <w:rsid w:val="0017402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1">
    <w:name w:val="脚注_"/>
    <w:basedOn w:val="DefaultParagraphFont"/>
    <w:link w:val="a2"/>
    <w:rsid w:val="0017402A"/>
    <w:rPr>
      <w:rFonts w:ascii="Verdana" w:eastAsia="Verdana" w:hAnsi="Verdana" w:cs="Verdana"/>
      <w:sz w:val="18"/>
      <w:szCs w:val="18"/>
      <w:shd w:val="clear" w:color="auto" w:fill="FFFFFF"/>
    </w:rPr>
  </w:style>
  <w:style w:type="paragraph" w:customStyle="1" w:styleId="a2">
    <w:name w:val="脚注"/>
    <w:basedOn w:val="Normal"/>
    <w:link w:val="a1"/>
    <w:rsid w:val="0017402A"/>
    <w:pPr>
      <w:widowControl w:val="0"/>
      <w:shd w:val="clear" w:color="auto" w:fill="FFFFFF"/>
      <w:spacing w:after="0" w:line="240" w:lineRule="auto"/>
    </w:pPr>
    <w:rPr>
      <w:rFonts w:ascii="Verdana" w:eastAsia="Verdana" w:hAnsi="Verdana" w:cs="Verdana"/>
      <w:sz w:val="18"/>
      <w:szCs w:val="18"/>
    </w:rPr>
  </w:style>
  <w:style w:type="character" w:customStyle="1" w:styleId="4">
    <w:name w:val="正文文本 (4)_"/>
    <w:basedOn w:val="DefaultParagraphFont"/>
    <w:link w:val="40"/>
    <w:rsid w:val="0017402A"/>
    <w:rPr>
      <w:rFonts w:ascii="Verdana" w:eastAsia="Verdana" w:hAnsi="Verdana" w:cs="Verdana"/>
      <w:sz w:val="18"/>
      <w:szCs w:val="18"/>
      <w:shd w:val="clear" w:color="auto" w:fill="FFFFFF"/>
    </w:rPr>
  </w:style>
  <w:style w:type="paragraph" w:customStyle="1" w:styleId="40">
    <w:name w:val="正文文本 (4)"/>
    <w:basedOn w:val="Normal"/>
    <w:link w:val="4"/>
    <w:rsid w:val="0017402A"/>
    <w:pPr>
      <w:widowControl w:val="0"/>
      <w:shd w:val="clear" w:color="auto" w:fill="FFFFFF"/>
      <w:spacing w:after="0" w:line="240" w:lineRule="auto"/>
    </w:pPr>
    <w:rPr>
      <w:rFonts w:ascii="Verdana" w:eastAsia="Verdana" w:hAnsi="Verdana" w:cs="Verdana"/>
      <w:sz w:val="18"/>
      <w:szCs w:val="18"/>
    </w:rPr>
  </w:style>
  <w:style w:type="paragraph" w:styleId="BalloonText">
    <w:name w:val="Balloon Text"/>
    <w:basedOn w:val="Normal"/>
    <w:link w:val="BalloonTextChar"/>
    <w:uiPriority w:val="99"/>
    <w:semiHidden/>
    <w:unhideWhenUsed/>
    <w:rsid w:val="00962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43"/>
    <w:rPr>
      <w:rFonts w:ascii="Segoe UI" w:eastAsia="SimSun" w:hAnsi="Segoe UI" w:cs="Segoe UI"/>
      <w:sz w:val="18"/>
      <w:szCs w:val="18"/>
    </w:rPr>
  </w:style>
  <w:style w:type="paragraph" w:styleId="Revision">
    <w:name w:val="Revision"/>
    <w:hidden/>
    <w:uiPriority w:val="99"/>
    <w:semiHidden/>
    <w:rsid w:val="003E5270"/>
    <w:pPr>
      <w:spacing w:after="0" w:line="240" w:lineRule="auto"/>
    </w:pPr>
    <w:rPr>
      <w:rFonts w:eastAsia="SimSun"/>
    </w:rPr>
  </w:style>
  <w:style w:type="character" w:styleId="CommentReference">
    <w:name w:val="annotation reference"/>
    <w:basedOn w:val="DefaultParagraphFont"/>
    <w:uiPriority w:val="99"/>
    <w:semiHidden/>
    <w:unhideWhenUsed/>
    <w:rsid w:val="003E5270"/>
    <w:rPr>
      <w:sz w:val="16"/>
      <w:szCs w:val="16"/>
    </w:rPr>
  </w:style>
  <w:style w:type="paragraph" w:styleId="CommentText">
    <w:name w:val="annotation text"/>
    <w:basedOn w:val="Normal"/>
    <w:link w:val="CommentTextChar"/>
    <w:uiPriority w:val="99"/>
    <w:unhideWhenUsed/>
    <w:rsid w:val="003E5270"/>
    <w:pPr>
      <w:spacing w:line="240" w:lineRule="auto"/>
    </w:pPr>
    <w:rPr>
      <w:sz w:val="20"/>
      <w:szCs w:val="20"/>
    </w:rPr>
  </w:style>
  <w:style w:type="character" w:customStyle="1" w:styleId="CommentTextChar">
    <w:name w:val="Comment Text Char"/>
    <w:basedOn w:val="DefaultParagraphFont"/>
    <w:link w:val="CommentText"/>
    <w:uiPriority w:val="99"/>
    <w:rsid w:val="003E5270"/>
    <w:rPr>
      <w:rFonts w:eastAsia="SimSun"/>
      <w:sz w:val="20"/>
      <w:szCs w:val="20"/>
    </w:rPr>
  </w:style>
  <w:style w:type="paragraph" w:styleId="CommentSubject">
    <w:name w:val="annotation subject"/>
    <w:basedOn w:val="CommentText"/>
    <w:next w:val="CommentText"/>
    <w:link w:val="CommentSubjectChar"/>
    <w:uiPriority w:val="99"/>
    <w:semiHidden/>
    <w:unhideWhenUsed/>
    <w:rsid w:val="003E5270"/>
    <w:rPr>
      <w:b/>
      <w:bCs/>
    </w:rPr>
  </w:style>
  <w:style w:type="character" w:customStyle="1" w:styleId="CommentSubjectChar">
    <w:name w:val="Comment Subject Char"/>
    <w:basedOn w:val="CommentTextChar"/>
    <w:link w:val="CommentSubject"/>
    <w:uiPriority w:val="99"/>
    <w:semiHidden/>
    <w:rsid w:val="003E5270"/>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EE1D9-970F-4477-95E0-ABD48E9B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3</cp:revision>
  <cp:lastPrinted>2023-10-04T11:16:00Z</cp:lastPrinted>
  <dcterms:created xsi:type="dcterms:W3CDTF">2023-10-13T11:35:00Z</dcterms:created>
  <dcterms:modified xsi:type="dcterms:W3CDTF">2023-10-13T11:35:00Z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7676b76feb300c8ef3f599a1cdafd45cbd961785fc77ee3c9c57379c6563d1f5</vt:lpwstr>
  </property>
</Properties>
</file>