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4AE79" w14:textId="77777777" w:rsidR="009604F3" w:rsidRPr="009F7FBA" w:rsidRDefault="009604F3" w:rsidP="009604F3">
      <w:pPr>
        <w:tabs>
          <w:tab w:val="left" w:pos="2342"/>
          <w:tab w:val="center" w:pos="4513"/>
        </w:tabs>
        <w:spacing w:after="0" w:line="240" w:lineRule="auto"/>
        <w:ind w:left="0"/>
        <w:jc w:val="center"/>
        <w:outlineLvl w:val="0"/>
        <w:rPr>
          <w:rFonts w:eastAsia="Times New Roman" w:cs="Arial"/>
          <w:szCs w:val="24"/>
          <w:lang w:val="en-ZA"/>
        </w:rPr>
      </w:pPr>
      <w:bookmarkStart w:id="0" w:name="_Hlk148943325"/>
      <w:bookmarkStart w:id="1" w:name="_GoBack"/>
      <w:bookmarkEnd w:id="1"/>
      <w:r w:rsidRPr="009F7FBA">
        <w:rPr>
          <w:rFonts w:eastAsia="Times New Roman" w:cs="Arial"/>
          <w:noProof/>
          <w:szCs w:val="24"/>
          <w:lang w:val="en-ZA" w:eastAsia="en-ZA"/>
        </w:rPr>
        <w:drawing>
          <wp:inline distT="0" distB="0" distL="0" distR="0" wp14:anchorId="6C843B10" wp14:editId="27DAB459">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BC645CD" w14:textId="77777777" w:rsidR="009604F3" w:rsidRPr="009F7FBA" w:rsidRDefault="009604F3" w:rsidP="002007BE">
      <w:pPr>
        <w:spacing w:line="240" w:lineRule="auto"/>
        <w:ind w:left="0"/>
        <w:jc w:val="center"/>
        <w:outlineLvl w:val="0"/>
        <w:rPr>
          <w:rFonts w:eastAsia="Times New Roman" w:cs="Arial"/>
          <w:b/>
          <w:szCs w:val="24"/>
          <w:lang w:val="en-ZA"/>
        </w:rPr>
      </w:pPr>
    </w:p>
    <w:p w14:paraId="3070AE67" w14:textId="540E81B8" w:rsidR="009604F3" w:rsidRPr="002007BE" w:rsidRDefault="009604F3" w:rsidP="009604F3">
      <w:pPr>
        <w:spacing w:after="0" w:line="240" w:lineRule="auto"/>
        <w:ind w:left="0"/>
        <w:jc w:val="center"/>
        <w:outlineLvl w:val="0"/>
        <w:rPr>
          <w:rFonts w:eastAsia="Times New Roman" w:cs="Arial"/>
          <w:b/>
          <w:szCs w:val="24"/>
          <w:lang w:val="en-ZA"/>
        </w:rPr>
      </w:pPr>
      <w:r w:rsidRPr="002007BE">
        <w:rPr>
          <w:rFonts w:eastAsia="Times New Roman" w:cs="Arial"/>
          <w:b/>
          <w:szCs w:val="24"/>
          <w:lang w:val="en-ZA"/>
        </w:rPr>
        <w:t>IN THE HIGH COURT OF SOUTH AFRICA</w:t>
      </w:r>
    </w:p>
    <w:p w14:paraId="6DDF72AB" w14:textId="77777777" w:rsidR="009604F3" w:rsidRPr="002007BE" w:rsidRDefault="009604F3" w:rsidP="009604F3">
      <w:pPr>
        <w:spacing w:after="0" w:line="240" w:lineRule="auto"/>
        <w:ind w:left="0"/>
        <w:jc w:val="center"/>
        <w:outlineLvl w:val="0"/>
        <w:rPr>
          <w:rFonts w:eastAsia="Times New Roman" w:cs="Arial"/>
          <w:b/>
          <w:szCs w:val="24"/>
          <w:lang w:val="en-ZA"/>
        </w:rPr>
      </w:pPr>
      <w:r w:rsidRPr="002007BE">
        <w:rPr>
          <w:rFonts w:eastAsia="Times New Roman" w:cs="Arial"/>
          <w:b/>
          <w:szCs w:val="24"/>
          <w:lang w:val="en-ZA"/>
        </w:rPr>
        <w:t>GAUTENG DIVISION, PRETORIA</w:t>
      </w:r>
    </w:p>
    <w:p w14:paraId="303EEE60" w14:textId="77777777" w:rsidR="009604F3" w:rsidRPr="002007BE" w:rsidRDefault="009604F3" w:rsidP="009604F3">
      <w:pPr>
        <w:spacing w:after="0" w:line="240" w:lineRule="auto"/>
        <w:ind w:left="0"/>
        <w:rPr>
          <w:rFonts w:eastAsia="Times New Roman" w:cs="Arial"/>
          <w:szCs w:val="24"/>
          <w:lang w:val="en-ZA"/>
        </w:rPr>
      </w:pPr>
    </w:p>
    <w:p w14:paraId="794BB436" w14:textId="77777777" w:rsidR="009604F3" w:rsidRPr="00A51340" w:rsidRDefault="009604F3" w:rsidP="009604F3">
      <w:pPr>
        <w:spacing w:after="0" w:line="240" w:lineRule="auto"/>
        <w:ind w:left="0"/>
        <w:rPr>
          <w:rFonts w:eastAsia="Times New Roman" w:cs="Arial"/>
          <w:szCs w:val="24"/>
          <w:lang w:val="en-ZA"/>
        </w:rPr>
      </w:pPr>
    </w:p>
    <w:p w14:paraId="684D6590" w14:textId="77777777" w:rsidR="009604F3" w:rsidRPr="002007BE" w:rsidRDefault="009604F3" w:rsidP="00095C72">
      <w:pPr>
        <w:tabs>
          <w:tab w:val="right" w:pos="9029"/>
        </w:tabs>
        <w:spacing w:line="240" w:lineRule="auto"/>
        <w:ind w:left="0"/>
        <w:rPr>
          <w:rFonts w:eastAsia="Times New Roman" w:cs="Arial"/>
          <w:bCs/>
          <w:szCs w:val="24"/>
          <w:lang w:val="en-ZA"/>
        </w:rPr>
      </w:pPr>
      <w:r w:rsidRPr="002007BE">
        <w:rPr>
          <w:rFonts w:eastAsia="Times New Roman" w:cs="Arial"/>
          <w:szCs w:val="24"/>
          <w:lang w:val="en-ZA"/>
        </w:rPr>
        <w:tab/>
      </w:r>
      <w:r w:rsidRPr="002007BE">
        <w:rPr>
          <w:rFonts w:eastAsia="Times New Roman" w:cs="Arial"/>
          <w:bCs/>
          <w:szCs w:val="24"/>
          <w:lang w:val="en-ZA"/>
        </w:rPr>
        <w:t>Case Number: 21196/2022</w:t>
      </w:r>
    </w:p>
    <w:bookmarkEnd w:id="0"/>
    <w:p w14:paraId="7C3E3F84" w14:textId="4BBF450C" w:rsidR="009604F3" w:rsidRPr="002007BE" w:rsidRDefault="00BC0D2F" w:rsidP="009604F3">
      <w:pPr>
        <w:tabs>
          <w:tab w:val="right" w:pos="9029"/>
        </w:tabs>
        <w:spacing w:after="0" w:line="240" w:lineRule="auto"/>
        <w:ind w:left="0"/>
        <w:rPr>
          <w:rFonts w:eastAsia="Times New Roman" w:cs="Arial"/>
          <w:szCs w:val="24"/>
          <w:lang w:val="en-ZA"/>
        </w:rPr>
      </w:pPr>
      <w:r w:rsidRPr="002007BE">
        <w:rPr>
          <w:noProof/>
          <w:szCs w:val="24"/>
          <w:lang w:val="en-ZA" w:eastAsia="en-ZA"/>
        </w:rPr>
        <mc:AlternateContent>
          <mc:Choice Requires="wps">
            <w:drawing>
              <wp:anchor distT="0" distB="0" distL="114300" distR="114300" simplePos="0" relativeHeight="251658240" behindDoc="0" locked="0" layoutInCell="1" allowOverlap="1" wp14:anchorId="672DFD47" wp14:editId="4233793F">
                <wp:simplePos x="0" y="0"/>
                <wp:positionH relativeFrom="margin">
                  <wp:posOffset>0</wp:posOffset>
                </wp:positionH>
                <wp:positionV relativeFrom="paragraph">
                  <wp:posOffset>22225</wp:posOffset>
                </wp:positionV>
                <wp:extent cx="3430905" cy="1054100"/>
                <wp:effectExtent l="0" t="0" r="0" b="0"/>
                <wp:wrapNone/>
                <wp:docPr id="1337204312" name="Text Box 1337204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054100"/>
                        </a:xfrm>
                        <a:prstGeom prst="rect">
                          <a:avLst/>
                        </a:prstGeom>
                        <a:solidFill>
                          <a:srgbClr val="FFFFFF"/>
                        </a:solidFill>
                        <a:ln w="9525">
                          <a:solidFill>
                            <a:srgbClr val="000000"/>
                          </a:solidFill>
                          <a:miter lim="800000"/>
                          <a:headEnd/>
                          <a:tailEnd/>
                        </a:ln>
                      </wps:spPr>
                      <wps:txbx>
                        <w:txbxContent>
                          <w:p w14:paraId="1370D908" w14:textId="754C4121" w:rsidR="001346A2" w:rsidRPr="009404DC" w:rsidRDefault="0048361F" w:rsidP="0048361F">
                            <w:pPr>
                              <w:tabs>
                                <w:tab w:val="left" w:pos="900"/>
                              </w:tabs>
                              <w:spacing w:after="0" w:line="240" w:lineRule="auto"/>
                              <w:ind w:left="900" w:hanging="720"/>
                              <w:jc w:val="left"/>
                              <w:rPr>
                                <w:rFonts w:cs="Arial"/>
                                <w:sz w:val="20"/>
                              </w:rPr>
                            </w:pPr>
                            <w:r w:rsidRPr="009404DC">
                              <w:rPr>
                                <w:rFonts w:cs="Arial"/>
                                <w:sz w:val="20"/>
                              </w:rPr>
                              <w:t>(1)</w:t>
                            </w:r>
                            <w:r w:rsidRPr="009404DC">
                              <w:rPr>
                                <w:rFonts w:cs="Arial"/>
                                <w:sz w:val="20"/>
                              </w:rPr>
                              <w:tab/>
                            </w:r>
                            <w:r w:rsidR="001346A2" w:rsidRPr="009404DC">
                              <w:rPr>
                                <w:rFonts w:cs="Arial"/>
                                <w:sz w:val="20"/>
                              </w:rPr>
                              <w:t>REPORTABLE:</w:t>
                            </w:r>
                            <w:r w:rsidR="001346A2">
                              <w:rPr>
                                <w:rFonts w:cs="Arial"/>
                                <w:sz w:val="20"/>
                              </w:rPr>
                              <w:t xml:space="preserve"> </w:t>
                            </w:r>
                            <w:r w:rsidR="001346A2" w:rsidRPr="00291206">
                              <w:rPr>
                                <w:rFonts w:cs="Arial"/>
                                <w:sz w:val="20"/>
                              </w:rPr>
                              <w:t xml:space="preserve">YES </w:t>
                            </w:r>
                          </w:p>
                          <w:p w14:paraId="6B42B72F" w14:textId="50E17B83" w:rsidR="001346A2" w:rsidRPr="009404DC" w:rsidRDefault="0048361F" w:rsidP="0048361F">
                            <w:pPr>
                              <w:tabs>
                                <w:tab w:val="left" w:pos="900"/>
                              </w:tabs>
                              <w:spacing w:after="0" w:line="240" w:lineRule="auto"/>
                              <w:ind w:left="900" w:hanging="720"/>
                              <w:jc w:val="left"/>
                              <w:rPr>
                                <w:rFonts w:cs="Arial"/>
                                <w:sz w:val="20"/>
                              </w:rPr>
                            </w:pPr>
                            <w:r w:rsidRPr="009404DC">
                              <w:rPr>
                                <w:rFonts w:cs="Arial"/>
                                <w:sz w:val="20"/>
                              </w:rPr>
                              <w:t>(2)</w:t>
                            </w:r>
                            <w:r w:rsidRPr="009404DC">
                              <w:rPr>
                                <w:rFonts w:cs="Arial"/>
                                <w:sz w:val="20"/>
                              </w:rPr>
                              <w:tab/>
                            </w:r>
                            <w:r w:rsidR="001346A2" w:rsidRPr="009404DC">
                              <w:rPr>
                                <w:rFonts w:cs="Arial"/>
                                <w:sz w:val="20"/>
                              </w:rPr>
                              <w:t>OF</w:t>
                            </w:r>
                            <w:r w:rsidR="001346A2">
                              <w:rPr>
                                <w:rFonts w:cs="Arial"/>
                                <w:sz w:val="20"/>
                              </w:rPr>
                              <w:t xml:space="preserve"> </w:t>
                            </w:r>
                            <w:r w:rsidR="001346A2" w:rsidRPr="009404DC">
                              <w:rPr>
                                <w:rFonts w:cs="Arial"/>
                                <w:sz w:val="20"/>
                              </w:rPr>
                              <w:t>INTEREST</w:t>
                            </w:r>
                            <w:r w:rsidR="001346A2">
                              <w:rPr>
                                <w:rFonts w:cs="Arial"/>
                                <w:sz w:val="20"/>
                              </w:rPr>
                              <w:t xml:space="preserve"> </w:t>
                            </w:r>
                            <w:r w:rsidR="001346A2" w:rsidRPr="009404DC">
                              <w:rPr>
                                <w:rFonts w:cs="Arial"/>
                                <w:sz w:val="20"/>
                              </w:rPr>
                              <w:t>TO</w:t>
                            </w:r>
                            <w:r w:rsidR="001346A2">
                              <w:rPr>
                                <w:rFonts w:cs="Arial"/>
                                <w:sz w:val="20"/>
                              </w:rPr>
                              <w:t xml:space="preserve"> </w:t>
                            </w:r>
                            <w:r w:rsidR="001346A2" w:rsidRPr="009404DC">
                              <w:rPr>
                                <w:rFonts w:cs="Arial"/>
                                <w:sz w:val="20"/>
                              </w:rPr>
                              <w:t>OTHER</w:t>
                            </w:r>
                            <w:r w:rsidR="001346A2">
                              <w:rPr>
                                <w:rFonts w:cs="Arial"/>
                                <w:sz w:val="20"/>
                              </w:rPr>
                              <w:t xml:space="preserve"> </w:t>
                            </w:r>
                            <w:r w:rsidR="001346A2" w:rsidRPr="009404DC">
                              <w:rPr>
                                <w:rFonts w:cs="Arial"/>
                                <w:sz w:val="20"/>
                              </w:rPr>
                              <w:t>JUDGES:</w:t>
                            </w:r>
                            <w:r w:rsidR="001346A2">
                              <w:rPr>
                                <w:rFonts w:cs="Arial"/>
                                <w:sz w:val="20"/>
                              </w:rPr>
                              <w:t xml:space="preserve"> </w:t>
                            </w:r>
                            <w:r w:rsidR="001346A2" w:rsidRPr="00291206">
                              <w:rPr>
                                <w:rFonts w:cs="Arial"/>
                                <w:sz w:val="20"/>
                              </w:rPr>
                              <w:t>YES</w:t>
                            </w:r>
                          </w:p>
                          <w:p w14:paraId="797A7783" w14:textId="07BBF638" w:rsidR="001346A2" w:rsidRPr="009404DC" w:rsidRDefault="0048361F" w:rsidP="0048361F">
                            <w:pPr>
                              <w:tabs>
                                <w:tab w:val="left" w:pos="900"/>
                              </w:tabs>
                              <w:spacing w:after="0" w:line="240" w:lineRule="auto"/>
                              <w:ind w:left="900" w:hanging="720"/>
                              <w:jc w:val="left"/>
                              <w:rPr>
                                <w:rFonts w:cs="Arial"/>
                                <w:sz w:val="20"/>
                              </w:rPr>
                            </w:pPr>
                            <w:r w:rsidRPr="009404DC">
                              <w:rPr>
                                <w:rFonts w:cs="Arial"/>
                                <w:sz w:val="20"/>
                              </w:rPr>
                              <w:t>(3)</w:t>
                            </w:r>
                            <w:r w:rsidRPr="009404DC">
                              <w:rPr>
                                <w:rFonts w:cs="Arial"/>
                                <w:sz w:val="20"/>
                              </w:rPr>
                              <w:tab/>
                            </w:r>
                            <w:r w:rsidR="001346A2" w:rsidRPr="009404DC">
                              <w:rPr>
                                <w:rFonts w:cs="Arial"/>
                                <w:sz w:val="20"/>
                              </w:rPr>
                              <w:t>REVISED:</w:t>
                            </w:r>
                            <w:r w:rsidR="001346A2">
                              <w:rPr>
                                <w:rFonts w:cs="Arial"/>
                                <w:sz w:val="20"/>
                              </w:rPr>
                              <w:t xml:space="preserve"> </w:t>
                            </w:r>
                            <w:r w:rsidR="001346A2" w:rsidRPr="0059736F">
                              <w:rPr>
                                <w:rFonts w:cs="Arial"/>
                                <w:sz w:val="20"/>
                              </w:rPr>
                              <w:t>NO</w:t>
                            </w:r>
                          </w:p>
                          <w:p w14:paraId="6A47DD17" w14:textId="77777777" w:rsidR="001346A2" w:rsidRPr="009404DC" w:rsidRDefault="001346A2" w:rsidP="009604F3">
                            <w:pPr>
                              <w:spacing w:before="240" w:after="0"/>
                              <w:rPr>
                                <w:rFonts w:cs="Arial"/>
                                <w:b/>
                                <w:sz w:val="20"/>
                              </w:rPr>
                            </w:pPr>
                            <w:r w:rsidRPr="009404DC">
                              <w:rPr>
                                <w:rFonts w:cs="Arial"/>
                                <w:b/>
                                <w:sz w:val="20"/>
                              </w:rPr>
                              <w:t>______________</w:t>
                            </w:r>
                            <w:r w:rsidRPr="009404DC">
                              <w:rPr>
                                <w:rFonts w:cs="Arial"/>
                                <w:b/>
                                <w:sz w:val="20"/>
                              </w:rPr>
                              <w:tab/>
                            </w:r>
                            <w:r>
                              <w:rPr>
                                <w:rFonts w:cs="Arial"/>
                                <w:b/>
                                <w:sz w:val="20"/>
                              </w:rPr>
                              <w:t xml:space="preserve"> </w:t>
                            </w:r>
                            <w:r w:rsidRPr="009404DC">
                              <w:rPr>
                                <w:rFonts w:cs="Arial"/>
                                <w:b/>
                                <w:sz w:val="20"/>
                              </w:rPr>
                              <w:t>_________________________</w:t>
                            </w:r>
                          </w:p>
                          <w:p w14:paraId="61F9A8F9" w14:textId="77777777" w:rsidR="001346A2" w:rsidRPr="009404DC" w:rsidRDefault="001346A2" w:rsidP="009604F3">
                            <w:pPr>
                              <w:rPr>
                                <w:rFonts w:cs="Arial"/>
                                <w:sz w:val="20"/>
                              </w:rPr>
                            </w:pPr>
                            <w:r w:rsidRPr="009404DC">
                              <w:rPr>
                                <w:rFonts w:cs="Arial"/>
                                <w:sz w:val="20"/>
                              </w:rPr>
                              <w:t>DATE</w:t>
                            </w:r>
                            <w:r w:rsidRPr="009404DC">
                              <w:rPr>
                                <w:rFonts w:cs="Arial"/>
                                <w:sz w:val="20"/>
                              </w:rPr>
                              <w:tab/>
                            </w:r>
                            <w:r w:rsidRPr="009404DC">
                              <w:rPr>
                                <w:rFonts w:cs="Arial"/>
                                <w:sz w:val="20"/>
                              </w:rPr>
                              <w:tab/>
                            </w:r>
                            <w:r>
                              <w:rPr>
                                <w:rFonts w:cs="Arial"/>
                                <w:sz w:val="20"/>
                              </w:rPr>
                              <w:t xml:space="preserve"> </w:t>
                            </w:r>
                            <w:r w:rsidRPr="009404DC">
                              <w:rPr>
                                <w:rFonts w:cs="Arial"/>
                                <w:sz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DFD47" id="_x0000_t202" coordsize="21600,21600" o:spt="202" path="m,l,21600r21600,l21600,xe">
                <v:stroke joinstyle="miter"/>
                <v:path gradientshapeok="t" o:connecttype="rect"/>
              </v:shapetype>
              <v:shape id="Text Box 1337204312" o:spid="_x0000_s1026" type="#_x0000_t202" style="position:absolute;left:0;text-align:left;margin-left:0;margin-top:1.75pt;width:270.15pt;height:8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">
                <v:textbox>
                  <w:txbxContent>
                    <w:p w14:paraId="1370D908" w14:textId="754C4121" w:rsidR="001346A2" w:rsidRPr="009404DC" w:rsidRDefault="0048361F" w:rsidP="0048361F">
                      <w:pPr>
                        <w:tabs>
                          <w:tab w:val="left" w:pos="900"/>
                        </w:tabs>
                        <w:spacing w:after="0" w:line="240" w:lineRule="auto"/>
                        <w:ind w:left="900" w:hanging="720"/>
                        <w:jc w:val="left"/>
                        <w:rPr>
                          <w:rFonts w:cs="Arial"/>
                          <w:sz w:val="20"/>
                        </w:rPr>
                      </w:pPr>
                      <w:r w:rsidRPr="009404DC">
                        <w:rPr>
                          <w:rFonts w:cs="Arial"/>
                          <w:sz w:val="20"/>
                        </w:rPr>
                        <w:t>(1)</w:t>
                      </w:r>
                      <w:r w:rsidRPr="009404DC">
                        <w:rPr>
                          <w:rFonts w:cs="Arial"/>
                          <w:sz w:val="20"/>
                        </w:rPr>
                        <w:tab/>
                      </w:r>
                      <w:r w:rsidR="001346A2" w:rsidRPr="009404DC">
                        <w:rPr>
                          <w:rFonts w:cs="Arial"/>
                          <w:sz w:val="20"/>
                        </w:rPr>
                        <w:t>REPORTABLE:</w:t>
                      </w:r>
                      <w:r w:rsidR="001346A2">
                        <w:rPr>
                          <w:rFonts w:cs="Arial"/>
                          <w:sz w:val="20"/>
                        </w:rPr>
                        <w:t xml:space="preserve"> </w:t>
                      </w:r>
                      <w:r w:rsidR="001346A2" w:rsidRPr="00291206">
                        <w:rPr>
                          <w:rFonts w:cs="Arial"/>
                          <w:sz w:val="20"/>
                        </w:rPr>
                        <w:t xml:space="preserve">YES </w:t>
                      </w:r>
                    </w:p>
                    <w:p w14:paraId="6B42B72F" w14:textId="50E17B83" w:rsidR="001346A2" w:rsidRPr="009404DC" w:rsidRDefault="0048361F" w:rsidP="0048361F">
                      <w:pPr>
                        <w:tabs>
                          <w:tab w:val="left" w:pos="900"/>
                        </w:tabs>
                        <w:spacing w:after="0" w:line="240" w:lineRule="auto"/>
                        <w:ind w:left="900" w:hanging="720"/>
                        <w:jc w:val="left"/>
                        <w:rPr>
                          <w:rFonts w:cs="Arial"/>
                          <w:sz w:val="20"/>
                        </w:rPr>
                      </w:pPr>
                      <w:r w:rsidRPr="009404DC">
                        <w:rPr>
                          <w:rFonts w:cs="Arial"/>
                          <w:sz w:val="20"/>
                        </w:rPr>
                        <w:t>(2)</w:t>
                      </w:r>
                      <w:r w:rsidRPr="009404DC">
                        <w:rPr>
                          <w:rFonts w:cs="Arial"/>
                          <w:sz w:val="20"/>
                        </w:rPr>
                        <w:tab/>
                      </w:r>
                      <w:r w:rsidR="001346A2" w:rsidRPr="009404DC">
                        <w:rPr>
                          <w:rFonts w:cs="Arial"/>
                          <w:sz w:val="20"/>
                        </w:rPr>
                        <w:t>OF</w:t>
                      </w:r>
                      <w:r w:rsidR="001346A2">
                        <w:rPr>
                          <w:rFonts w:cs="Arial"/>
                          <w:sz w:val="20"/>
                        </w:rPr>
                        <w:t xml:space="preserve"> </w:t>
                      </w:r>
                      <w:r w:rsidR="001346A2" w:rsidRPr="009404DC">
                        <w:rPr>
                          <w:rFonts w:cs="Arial"/>
                          <w:sz w:val="20"/>
                        </w:rPr>
                        <w:t>INTEREST</w:t>
                      </w:r>
                      <w:r w:rsidR="001346A2">
                        <w:rPr>
                          <w:rFonts w:cs="Arial"/>
                          <w:sz w:val="20"/>
                        </w:rPr>
                        <w:t xml:space="preserve"> </w:t>
                      </w:r>
                      <w:r w:rsidR="001346A2" w:rsidRPr="009404DC">
                        <w:rPr>
                          <w:rFonts w:cs="Arial"/>
                          <w:sz w:val="20"/>
                        </w:rPr>
                        <w:t>TO</w:t>
                      </w:r>
                      <w:r w:rsidR="001346A2">
                        <w:rPr>
                          <w:rFonts w:cs="Arial"/>
                          <w:sz w:val="20"/>
                        </w:rPr>
                        <w:t xml:space="preserve"> </w:t>
                      </w:r>
                      <w:r w:rsidR="001346A2" w:rsidRPr="009404DC">
                        <w:rPr>
                          <w:rFonts w:cs="Arial"/>
                          <w:sz w:val="20"/>
                        </w:rPr>
                        <w:t>OTHER</w:t>
                      </w:r>
                      <w:r w:rsidR="001346A2">
                        <w:rPr>
                          <w:rFonts w:cs="Arial"/>
                          <w:sz w:val="20"/>
                        </w:rPr>
                        <w:t xml:space="preserve"> </w:t>
                      </w:r>
                      <w:r w:rsidR="001346A2" w:rsidRPr="009404DC">
                        <w:rPr>
                          <w:rFonts w:cs="Arial"/>
                          <w:sz w:val="20"/>
                        </w:rPr>
                        <w:t>JUDGES:</w:t>
                      </w:r>
                      <w:r w:rsidR="001346A2">
                        <w:rPr>
                          <w:rFonts w:cs="Arial"/>
                          <w:sz w:val="20"/>
                        </w:rPr>
                        <w:t xml:space="preserve"> </w:t>
                      </w:r>
                      <w:r w:rsidR="001346A2" w:rsidRPr="00291206">
                        <w:rPr>
                          <w:rFonts w:cs="Arial"/>
                          <w:sz w:val="20"/>
                        </w:rPr>
                        <w:t>YES</w:t>
                      </w:r>
                    </w:p>
                    <w:p w14:paraId="797A7783" w14:textId="07BBF638" w:rsidR="001346A2" w:rsidRPr="009404DC" w:rsidRDefault="0048361F" w:rsidP="0048361F">
                      <w:pPr>
                        <w:tabs>
                          <w:tab w:val="left" w:pos="900"/>
                        </w:tabs>
                        <w:spacing w:after="0" w:line="240" w:lineRule="auto"/>
                        <w:ind w:left="900" w:hanging="720"/>
                        <w:jc w:val="left"/>
                        <w:rPr>
                          <w:rFonts w:cs="Arial"/>
                          <w:sz w:val="20"/>
                        </w:rPr>
                      </w:pPr>
                      <w:r w:rsidRPr="009404DC">
                        <w:rPr>
                          <w:rFonts w:cs="Arial"/>
                          <w:sz w:val="20"/>
                        </w:rPr>
                        <w:t>(3)</w:t>
                      </w:r>
                      <w:r w:rsidRPr="009404DC">
                        <w:rPr>
                          <w:rFonts w:cs="Arial"/>
                          <w:sz w:val="20"/>
                        </w:rPr>
                        <w:tab/>
                      </w:r>
                      <w:r w:rsidR="001346A2" w:rsidRPr="009404DC">
                        <w:rPr>
                          <w:rFonts w:cs="Arial"/>
                          <w:sz w:val="20"/>
                        </w:rPr>
                        <w:t>REVISED:</w:t>
                      </w:r>
                      <w:r w:rsidR="001346A2">
                        <w:rPr>
                          <w:rFonts w:cs="Arial"/>
                          <w:sz w:val="20"/>
                        </w:rPr>
                        <w:t xml:space="preserve"> </w:t>
                      </w:r>
                      <w:r w:rsidR="001346A2" w:rsidRPr="0059736F">
                        <w:rPr>
                          <w:rFonts w:cs="Arial"/>
                          <w:sz w:val="20"/>
                        </w:rPr>
                        <w:t>NO</w:t>
                      </w:r>
                    </w:p>
                    <w:p w14:paraId="6A47DD17" w14:textId="77777777" w:rsidR="001346A2" w:rsidRPr="009404DC" w:rsidRDefault="001346A2" w:rsidP="009604F3">
                      <w:pPr>
                        <w:spacing w:before="240" w:after="0"/>
                        <w:rPr>
                          <w:rFonts w:cs="Arial"/>
                          <w:b/>
                          <w:sz w:val="20"/>
                        </w:rPr>
                      </w:pPr>
                      <w:r w:rsidRPr="009404DC">
                        <w:rPr>
                          <w:rFonts w:cs="Arial"/>
                          <w:b/>
                          <w:sz w:val="20"/>
                        </w:rPr>
                        <w:t>______________</w:t>
                      </w:r>
                      <w:r w:rsidRPr="009404DC">
                        <w:rPr>
                          <w:rFonts w:cs="Arial"/>
                          <w:b/>
                          <w:sz w:val="20"/>
                        </w:rPr>
                        <w:tab/>
                      </w:r>
                      <w:r>
                        <w:rPr>
                          <w:rFonts w:cs="Arial"/>
                          <w:b/>
                          <w:sz w:val="20"/>
                        </w:rPr>
                        <w:t xml:space="preserve"> </w:t>
                      </w:r>
                      <w:r w:rsidRPr="009404DC">
                        <w:rPr>
                          <w:rFonts w:cs="Arial"/>
                          <w:b/>
                          <w:sz w:val="20"/>
                        </w:rPr>
                        <w:t>_________________________</w:t>
                      </w:r>
                    </w:p>
                    <w:p w14:paraId="61F9A8F9" w14:textId="77777777" w:rsidR="001346A2" w:rsidRPr="009404DC" w:rsidRDefault="001346A2" w:rsidP="009604F3">
                      <w:pPr>
                        <w:rPr>
                          <w:rFonts w:cs="Arial"/>
                          <w:sz w:val="20"/>
                        </w:rPr>
                      </w:pPr>
                      <w:r w:rsidRPr="009404DC">
                        <w:rPr>
                          <w:rFonts w:cs="Arial"/>
                          <w:sz w:val="20"/>
                        </w:rPr>
                        <w:t>DATE</w:t>
                      </w:r>
                      <w:r w:rsidRPr="009404DC">
                        <w:rPr>
                          <w:rFonts w:cs="Arial"/>
                          <w:sz w:val="20"/>
                        </w:rPr>
                        <w:tab/>
                      </w:r>
                      <w:r w:rsidRPr="009404DC">
                        <w:rPr>
                          <w:rFonts w:cs="Arial"/>
                          <w:sz w:val="20"/>
                        </w:rPr>
                        <w:tab/>
                      </w:r>
                      <w:r>
                        <w:rPr>
                          <w:rFonts w:cs="Arial"/>
                          <w:sz w:val="20"/>
                        </w:rPr>
                        <w:t xml:space="preserve"> </w:t>
                      </w:r>
                      <w:r w:rsidRPr="009404DC">
                        <w:rPr>
                          <w:rFonts w:cs="Arial"/>
                          <w:sz w:val="20"/>
                        </w:rPr>
                        <w:t>SIGNATURE</w:t>
                      </w:r>
                    </w:p>
                  </w:txbxContent>
                </v:textbox>
                <w10:wrap anchorx="margin"/>
              </v:shape>
            </w:pict>
          </mc:Fallback>
        </mc:AlternateContent>
      </w:r>
    </w:p>
    <w:p w14:paraId="7B17B4F8" w14:textId="77777777" w:rsidR="009604F3" w:rsidRPr="002007BE" w:rsidRDefault="009604F3" w:rsidP="009604F3">
      <w:pPr>
        <w:tabs>
          <w:tab w:val="left" w:pos="8998"/>
        </w:tabs>
        <w:spacing w:after="0" w:line="240" w:lineRule="auto"/>
        <w:ind w:left="0"/>
        <w:rPr>
          <w:rFonts w:eastAsia="Times New Roman" w:cs="Arial"/>
          <w:szCs w:val="24"/>
          <w:lang w:val="en-ZA"/>
        </w:rPr>
      </w:pPr>
    </w:p>
    <w:p w14:paraId="57867E69" w14:textId="77777777" w:rsidR="009604F3" w:rsidRPr="002007BE" w:rsidRDefault="009604F3" w:rsidP="009604F3">
      <w:pPr>
        <w:tabs>
          <w:tab w:val="left" w:pos="8998"/>
        </w:tabs>
        <w:spacing w:after="0" w:line="240" w:lineRule="auto"/>
        <w:ind w:left="0"/>
        <w:rPr>
          <w:rFonts w:eastAsia="Times New Roman" w:cs="Arial"/>
          <w:szCs w:val="24"/>
          <w:lang w:val="en-ZA"/>
        </w:rPr>
      </w:pPr>
    </w:p>
    <w:p w14:paraId="5DAC66C6" w14:textId="77777777" w:rsidR="009604F3" w:rsidRPr="002007BE" w:rsidRDefault="009604F3" w:rsidP="009604F3">
      <w:pPr>
        <w:tabs>
          <w:tab w:val="left" w:pos="8998"/>
        </w:tabs>
        <w:spacing w:after="0" w:line="240" w:lineRule="auto"/>
        <w:ind w:left="0"/>
        <w:rPr>
          <w:rFonts w:eastAsia="Times New Roman" w:cs="Arial"/>
          <w:szCs w:val="24"/>
          <w:lang w:val="en-ZA"/>
        </w:rPr>
      </w:pPr>
      <w:r w:rsidRPr="002007BE">
        <w:rPr>
          <w:rFonts w:eastAsia="Times New Roman" w:cs="Arial"/>
          <w:szCs w:val="24"/>
          <w:lang w:val="en-ZA"/>
        </w:rPr>
        <w:t>In the matter between:</w:t>
      </w:r>
    </w:p>
    <w:p w14:paraId="39EF9199" w14:textId="77777777" w:rsidR="009604F3" w:rsidRPr="002007BE" w:rsidRDefault="009604F3" w:rsidP="009604F3">
      <w:pPr>
        <w:tabs>
          <w:tab w:val="right" w:pos="9029"/>
        </w:tabs>
        <w:spacing w:after="0" w:line="240" w:lineRule="auto"/>
        <w:ind w:left="0"/>
        <w:rPr>
          <w:rFonts w:eastAsia="Times New Roman" w:cs="Arial"/>
          <w:szCs w:val="24"/>
          <w:lang w:val="en-ZA"/>
        </w:rPr>
      </w:pPr>
    </w:p>
    <w:p w14:paraId="36B161FD" w14:textId="77777777" w:rsidR="009604F3" w:rsidRPr="002007BE" w:rsidRDefault="009604F3" w:rsidP="009604F3">
      <w:pPr>
        <w:tabs>
          <w:tab w:val="right" w:pos="9029"/>
        </w:tabs>
        <w:spacing w:after="0" w:line="240" w:lineRule="auto"/>
        <w:ind w:left="0"/>
        <w:rPr>
          <w:rFonts w:eastAsia="Times New Roman" w:cs="Arial"/>
          <w:szCs w:val="24"/>
          <w:lang w:val="en-ZA"/>
        </w:rPr>
      </w:pPr>
    </w:p>
    <w:p w14:paraId="4E0904B8" w14:textId="77777777" w:rsidR="009604F3" w:rsidRPr="002007BE" w:rsidRDefault="009604F3" w:rsidP="009604F3">
      <w:pPr>
        <w:tabs>
          <w:tab w:val="right" w:pos="9029"/>
        </w:tabs>
        <w:spacing w:after="0" w:line="240" w:lineRule="auto"/>
        <w:ind w:left="0"/>
        <w:contextualSpacing/>
        <w:rPr>
          <w:rFonts w:eastAsia="Times New Roman" w:cs="Arial"/>
          <w:b/>
          <w:szCs w:val="24"/>
          <w:lang w:val="en-ZA"/>
        </w:rPr>
      </w:pPr>
    </w:p>
    <w:p w14:paraId="4B06F091" w14:textId="77777777" w:rsidR="009604F3" w:rsidRPr="002007BE" w:rsidRDefault="009604F3" w:rsidP="009604F3">
      <w:pPr>
        <w:tabs>
          <w:tab w:val="right" w:pos="9029"/>
        </w:tabs>
        <w:spacing w:after="0" w:line="240" w:lineRule="auto"/>
        <w:ind w:left="0"/>
        <w:contextualSpacing/>
        <w:rPr>
          <w:rFonts w:eastAsia="Times New Roman" w:cs="Arial"/>
          <w:b/>
          <w:szCs w:val="24"/>
          <w:lang w:val="en-ZA"/>
        </w:rPr>
      </w:pPr>
    </w:p>
    <w:p w14:paraId="6447CFD4" w14:textId="77777777" w:rsidR="009604F3" w:rsidRPr="002007BE" w:rsidRDefault="009604F3" w:rsidP="009604F3">
      <w:pPr>
        <w:tabs>
          <w:tab w:val="right" w:pos="9029"/>
        </w:tabs>
        <w:spacing w:after="0" w:line="240" w:lineRule="auto"/>
        <w:ind w:left="0"/>
        <w:contextualSpacing/>
        <w:rPr>
          <w:szCs w:val="24"/>
          <w:lang w:val="en-ZA"/>
          <w14:ligatures w14:val="none"/>
        </w:rPr>
      </w:pPr>
      <w:r w:rsidRPr="002007BE">
        <w:rPr>
          <w:szCs w:val="24"/>
          <w:lang w:val="en-ZA"/>
        </w:rPr>
        <w:t>In the matter between:</w:t>
      </w:r>
    </w:p>
    <w:p w14:paraId="31FCDA19" w14:textId="77777777" w:rsidR="009604F3" w:rsidRPr="002007BE" w:rsidRDefault="009604F3" w:rsidP="009604F3">
      <w:pPr>
        <w:tabs>
          <w:tab w:val="right" w:pos="9029"/>
        </w:tabs>
        <w:spacing w:after="0" w:line="240" w:lineRule="auto"/>
        <w:ind w:left="0"/>
        <w:contextualSpacing/>
        <w:rPr>
          <w:b/>
          <w:szCs w:val="24"/>
          <w:lang w:val="en-ZA"/>
        </w:rPr>
      </w:pPr>
    </w:p>
    <w:p w14:paraId="4C47C201" w14:textId="0995A06A" w:rsidR="009604F3" w:rsidRPr="002007BE" w:rsidRDefault="009604F3" w:rsidP="009604F3">
      <w:pPr>
        <w:tabs>
          <w:tab w:val="right" w:pos="9029"/>
        </w:tabs>
        <w:spacing w:after="0" w:line="240" w:lineRule="auto"/>
        <w:ind w:left="0"/>
        <w:contextualSpacing/>
        <w:rPr>
          <w:szCs w:val="24"/>
          <w:lang w:val="en-ZA"/>
        </w:rPr>
      </w:pPr>
      <w:r w:rsidRPr="002007BE">
        <w:rPr>
          <w:rFonts w:cs="Arial"/>
          <w:b/>
          <w:bCs/>
          <w:color w:val="202020"/>
          <w:szCs w:val="24"/>
          <w:lang w:val="en-ZA"/>
        </w:rPr>
        <w:t>AFRIFORUM NPC</w:t>
      </w:r>
      <w:r w:rsidRPr="002007BE">
        <w:rPr>
          <w:rFonts w:eastAsia="Times New Roman" w:cs="Arial"/>
          <w:b/>
          <w:szCs w:val="24"/>
          <w:lang w:val="en-ZA"/>
        </w:rPr>
        <w:tab/>
      </w:r>
      <w:r w:rsidRPr="002007BE">
        <w:rPr>
          <w:szCs w:val="24"/>
          <w:lang w:val="en-ZA"/>
        </w:rPr>
        <w:t>Applicant</w:t>
      </w:r>
    </w:p>
    <w:p w14:paraId="77EA80CB" w14:textId="6B22BFE4" w:rsidR="009604F3" w:rsidRPr="002007BE" w:rsidRDefault="009604F3" w:rsidP="009604F3">
      <w:pPr>
        <w:tabs>
          <w:tab w:val="right" w:pos="9029"/>
        </w:tabs>
        <w:spacing w:after="0" w:line="240" w:lineRule="auto"/>
        <w:ind w:left="0"/>
        <w:contextualSpacing/>
        <w:rPr>
          <w:szCs w:val="24"/>
          <w:lang w:val="en-ZA"/>
        </w:rPr>
      </w:pPr>
    </w:p>
    <w:p w14:paraId="7A5BE32E" w14:textId="77777777" w:rsidR="009604F3" w:rsidRPr="002007BE" w:rsidRDefault="009604F3" w:rsidP="009604F3">
      <w:pPr>
        <w:tabs>
          <w:tab w:val="right" w:pos="9029"/>
        </w:tabs>
        <w:spacing w:after="0" w:line="240" w:lineRule="auto"/>
        <w:ind w:left="0"/>
        <w:contextualSpacing/>
        <w:rPr>
          <w:szCs w:val="24"/>
          <w:lang w:val="en-ZA"/>
          <w14:ligatures w14:val="none"/>
        </w:rPr>
      </w:pPr>
      <w:r w:rsidRPr="002007BE">
        <w:rPr>
          <w:szCs w:val="24"/>
          <w:lang w:val="en-ZA"/>
        </w:rPr>
        <w:t>and</w:t>
      </w:r>
    </w:p>
    <w:p w14:paraId="32274A3B" w14:textId="77777777" w:rsidR="009604F3" w:rsidRPr="002007BE" w:rsidRDefault="009604F3" w:rsidP="009604F3">
      <w:pPr>
        <w:tabs>
          <w:tab w:val="right" w:pos="9029"/>
        </w:tabs>
        <w:spacing w:after="0" w:line="240" w:lineRule="auto"/>
        <w:ind w:left="0"/>
        <w:contextualSpacing/>
        <w:rPr>
          <w:szCs w:val="24"/>
          <w:lang w:val="en-ZA"/>
        </w:rPr>
      </w:pPr>
    </w:p>
    <w:p w14:paraId="41C97B7C" w14:textId="77777777" w:rsidR="002007BE" w:rsidRDefault="009604F3" w:rsidP="009604F3">
      <w:pPr>
        <w:tabs>
          <w:tab w:val="right" w:pos="9029"/>
        </w:tabs>
        <w:spacing w:after="0" w:line="240" w:lineRule="auto"/>
        <w:ind w:left="0"/>
        <w:contextualSpacing/>
        <w:rPr>
          <w:rFonts w:cs="Arial"/>
          <w:b/>
          <w:bCs/>
          <w:color w:val="202020"/>
          <w:szCs w:val="24"/>
          <w:lang w:val="en-ZA"/>
        </w:rPr>
      </w:pPr>
      <w:r w:rsidRPr="002007BE">
        <w:rPr>
          <w:rFonts w:cs="Arial"/>
          <w:b/>
          <w:bCs/>
          <w:color w:val="202020"/>
          <w:szCs w:val="24"/>
          <w:lang w:val="en-ZA"/>
        </w:rPr>
        <w:t xml:space="preserve">MINISTER OF INTERNATIONAL RELATIONS AND </w:t>
      </w:r>
    </w:p>
    <w:p w14:paraId="28579047" w14:textId="2F288D82" w:rsidR="009604F3" w:rsidRPr="002007BE" w:rsidRDefault="009604F3" w:rsidP="009604F3">
      <w:pPr>
        <w:tabs>
          <w:tab w:val="right" w:pos="9029"/>
        </w:tabs>
        <w:spacing w:after="0" w:line="240" w:lineRule="auto"/>
        <w:ind w:left="0"/>
        <w:contextualSpacing/>
        <w:rPr>
          <w:szCs w:val="24"/>
          <w:lang w:val="en-ZA"/>
        </w:rPr>
      </w:pPr>
      <w:r w:rsidRPr="002007BE">
        <w:rPr>
          <w:rFonts w:cs="Arial"/>
          <w:b/>
          <w:bCs/>
          <w:color w:val="202020"/>
          <w:szCs w:val="24"/>
          <w:lang w:val="en-ZA"/>
        </w:rPr>
        <w:t>CO-OPERATION</w:t>
      </w:r>
      <w:r w:rsidRPr="002007BE">
        <w:rPr>
          <w:b/>
          <w:szCs w:val="24"/>
          <w:lang w:val="en-ZA"/>
        </w:rPr>
        <w:tab/>
      </w:r>
      <w:r w:rsidRPr="002007BE">
        <w:rPr>
          <w:szCs w:val="24"/>
          <w:lang w:val="en-ZA"/>
        </w:rPr>
        <w:t>First Respondent</w:t>
      </w:r>
    </w:p>
    <w:p w14:paraId="4246BB46" w14:textId="77777777" w:rsidR="009604F3" w:rsidRPr="002007BE" w:rsidRDefault="009604F3" w:rsidP="009604F3">
      <w:pPr>
        <w:tabs>
          <w:tab w:val="right" w:pos="9029"/>
        </w:tabs>
        <w:spacing w:after="0" w:line="240" w:lineRule="auto"/>
        <w:ind w:left="0"/>
        <w:contextualSpacing/>
        <w:rPr>
          <w:szCs w:val="24"/>
          <w:lang w:val="en-ZA"/>
        </w:rPr>
      </w:pPr>
    </w:p>
    <w:p w14:paraId="413ACAB4" w14:textId="77777777" w:rsidR="00C77B69" w:rsidRDefault="009604F3" w:rsidP="009604F3">
      <w:pPr>
        <w:tabs>
          <w:tab w:val="right" w:pos="9029"/>
        </w:tabs>
        <w:spacing w:after="0" w:line="240" w:lineRule="auto"/>
        <w:ind w:left="0"/>
        <w:contextualSpacing/>
        <w:rPr>
          <w:rFonts w:cs="Arial"/>
          <w:b/>
          <w:bCs/>
          <w:color w:val="202020"/>
          <w:szCs w:val="24"/>
          <w:lang w:val="en-ZA"/>
        </w:rPr>
      </w:pPr>
      <w:r w:rsidRPr="002007BE">
        <w:rPr>
          <w:rFonts w:cs="Arial"/>
          <w:b/>
          <w:bCs/>
          <w:color w:val="202020"/>
          <w:szCs w:val="24"/>
          <w:lang w:val="en-ZA"/>
        </w:rPr>
        <w:t xml:space="preserve">DEPUTY MINISTER OF INTERNATIONAL RELATIONS </w:t>
      </w:r>
    </w:p>
    <w:p w14:paraId="31B743DC" w14:textId="057040DD" w:rsidR="009604F3" w:rsidRPr="00C77B69" w:rsidRDefault="009604F3" w:rsidP="009604F3">
      <w:pPr>
        <w:tabs>
          <w:tab w:val="right" w:pos="9029"/>
        </w:tabs>
        <w:spacing w:after="0" w:line="240" w:lineRule="auto"/>
        <w:ind w:left="0"/>
        <w:contextualSpacing/>
        <w:rPr>
          <w:rFonts w:cs="Arial"/>
          <w:b/>
          <w:bCs/>
          <w:color w:val="202020"/>
          <w:szCs w:val="24"/>
          <w:lang w:val="en-ZA"/>
        </w:rPr>
      </w:pPr>
      <w:r w:rsidRPr="002007BE">
        <w:rPr>
          <w:rFonts w:cs="Arial"/>
          <w:b/>
          <w:bCs/>
          <w:color w:val="202020"/>
          <w:szCs w:val="24"/>
          <w:lang w:val="en-ZA"/>
        </w:rPr>
        <w:t>AND CO-OPERATION</w:t>
      </w:r>
      <w:r w:rsidRPr="002007BE">
        <w:rPr>
          <w:szCs w:val="24"/>
          <w:lang w:val="en-ZA"/>
        </w:rPr>
        <w:tab/>
        <w:t>Second Respondent</w:t>
      </w:r>
    </w:p>
    <w:p w14:paraId="5EB30E16"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p>
    <w:p w14:paraId="1630408E" w14:textId="4AA443EE" w:rsidR="009604F3" w:rsidRPr="002007BE" w:rsidRDefault="009604F3" w:rsidP="009604F3">
      <w:pPr>
        <w:tabs>
          <w:tab w:val="right" w:pos="9029"/>
        </w:tabs>
        <w:spacing w:after="0" w:line="240" w:lineRule="auto"/>
        <w:ind w:left="0"/>
        <w:contextualSpacing/>
        <w:rPr>
          <w:rFonts w:cs="Arial"/>
          <w:b/>
          <w:bCs/>
          <w:color w:val="202020"/>
          <w:szCs w:val="24"/>
          <w:lang w:val="en-ZA"/>
        </w:rPr>
      </w:pPr>
      <w:r w:rsidRPr="002007BE">
        <w:rPr>
          <w:rFonts w:cs="Arial"/>
          <w:b/>
          <w:bCs/>
          <w:color w:val="202020"/>
          <w:szCs w:val="24"/>
          <w:lang w:val="en-ZA"/>
        </w:rPr>
        <w:t>DIRECTOR-GENERAL</w:t>
      </w:r>
      <w:r w:rsidR="00C77B69">
        <w:rPr>
          <w:rFonts w:cs="Arial"/>
          <w:b/>
          <w:bCs/>
          <w:color w:val="202020"/>
          <w:szCs w:val="24"/>
          <w:lang w:val="en-ZA"/>
        </w:rPr>
        <w:t xml:space="preserve">, </w:t>
      </w:r>
      <w:r w:rsidRPr="002007BE">
        <w:rPr>
          <w:rFonts w:cs="Arial"/>
          <w:b/>
          <w:bCs/>
          <w:color w:val="202020"/>
          <w:szCs w:val="24"/>
          <w:lang w:val="en-ZA"/>
        </w:rPr>
        <w:t>DEPARTMENT OF</w:t>
      </w:r>
    </w:p>
    <w:p w14:paraId="542943E7" w14:textId="77777777" w:rsidR="009604F3" w:rsidRPr="002007BE" w:rsidRDefault="009604F3" w:rsidP="009604F3">
      <w:pPr>
        <w:tabs>
          <w:tab w:val="right" w:pos="9029"/>
        </w:tabs>
        <w:spacing w:after="0" w:line="240" w:lineRule="auto"/>
        <w:ind w:left="0"/>
        <w:contextualSpacing/>
        <w:rPr>
          <w:rFonts w:cs="Arial"/>
          <w:b/>
          <w:bCs/>
          <w:color w:val="202020"/>
          <w:szCs w:val="24"/>
          <w:lang w:val="en-ZA"/>
        </w:rPr>
      </w:pPr>
      <w:r w:rsidRPr="002007BE">
        <w:rPr>
          <w:rFonts w:cs="Arial"/>
          <w:b/>
          <w:bCs/>
          <w:color w:val="202020"/>
          <w:szCs w:val="24"/>
          <w:lang w:val="en-ZA"/>
        </w:rPr>
        <w:t>INTERNATIONAL RELATIONS AND CO-OPERATION</w:t>
      </w:r>
      <w:r w:rsidRPr="002007BE">
        <w:rPr>
          <w:rFonts w:cs="Arial"/>
          <w:b/>
          <w:szCs w:val="24"/>
          <w:lang w:val="en-ZA"/>
        </w:rPr>
        <w:tab/>
      </w:r>
      <w:r w:rsidRPr="002007BE">
        <w:rPr>
          <w:rFonts w:eastAsia="Times New Roman" w:cs="Arial"/>
          <w:szCs w:val="24"/>
          <w:lang w:val="en-ZA"/>
        </w:rPr>
        <w:t>Third Respondent</w:t>
      </w:r>
    </w:p>
    <w:p w14:paraId="4E1ED739"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p>
    <w:p w14:paraId="10338B8A" w14:textId="77777777" w:rsidR="009604F3" w:rsidRPr="002007BE" w:rsidRDefault="009604F3" w:rsidP="009604F3">
      <w:pPr>
        <w:tabs>
          <w:tab w:val="right" w:pos="9029"/>
        </w:tabs>
        <w:spacing w:after="0" w:line="240" w:lineRule="auto"/>
        <w:ind w:left="0"/>
        <w:contextualSpacing/>
        <w:rPr>
          <w:rFonts w:cs="Arial"/>
          <w:b/>
          <w:bCs/>
          <w:color w:val="202020"/>
          <w:szCs w:val="24"/>
          <w:lang w:val="en-ZA"/>
        </w:rPr>
      </w:pPr>
      <w:bookmarkStart w:id="2" w:name="_Hlk148945506"/>
      <w:r w:rsidRPr="002007BE">
        <w:rPr>
          <w:rFonts w:cs="Arial"/>
          <w:b/>
          <w:bCs/>
          <w:color w:val="202020"/>
          <w:szCs w:val="24"/>
          <w:lang w:val="en-ZA"/>
        </w:rPr>
        <w:t>AFRICAN RENAISSANCE AND INTERNATIONAL</w:t>
      </w:r>
    </w:p>
    <w:p w14:paraId="247CDAD7"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r w:rsidRPr="002007BE">
        <w:rPr>
          <w:rFonts w:cs="Arial"/>
          <w:b/>
          <w:bCs/>
          <w:color w:val="202020"/>
          <w:szCs w:val="24"/>
          <w:lang w:val="en-ZA"/>
        </w:rPr>
        <w:t xml:space="preserve">CO-OPERATION </w:t>
      </w:r>
      <w:bookmarkEnd w:id="2"/>
      <w:r w:rsidRPr="002007BE">
        <w:rPr>
          <w:rFonts w:cs="Arial"/>
          <w:b/>
          <w:bCs/>
          <w:color w:val="202020"/>
          <w:szCs w:val="24"/>
          <w:lang w:val="en-ZA"/>
        </w:rPr>
        <w:t>FUND</w:t>
      </w:r>
      <w:r w:rsidRPr="002007BE">
        <w:rPr>
          <w:rFonts w:eastAsia="Times New Roman" w:cs="Arial"/>
          <w:szCs w:val="24"/>
          <w:lang w:val="en-ZA"/>
        </w:rPr>
        <w:tab/>
        <w:t>Fourth Respondent</w:t>
      </w:r>
    </w:p>
    <w:p w14:paraId="64E43C4D"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p>
    <w:p w14:paraId="22EA39C7" w14:textId="47664635" w:rsidR="009604F3" w:rsidRPr="002007BE" w:rsidRDefault="009604F3" w:rsidP="009604F3">
      <w:pPr>
        <w:tabs>
          <w:tab w:val="right" w:pos="9029"/>
        </w:tabs>
        <w:spacing w:after="0" w:line="240" w:lineRule="auto"/>
        <w:ind w:left="0"/>
        <w:contextualSpacing/>
        <w:rPr>
          <w:rFonts w:cs="Arial"/>
          <w:b/>
          <w:bCs/>
          <w:color w:val="202020"/>
          <w:szCs w:val="24"/>
          <w:lang w:val="en-ZA"/>
        </w:rPr>
      </w:pPr>
      <w:r w:rsidRPr="002007BE">
        <w:rPr>
          <w:rFonts w:cs="Arial"/>
          <w:b/>
          <w:bCs/>
          <w:color w:val="202020"/>
          <w:szCs w:val="24"/>
          <w:lang w:val="en-ZA"/>
        </w:rPr>
        <w:t>ADVISORY COMMITTEE</w:t>
      </w:r>
      <w:r w:rsidR="00C77B69">
        <w:rPr>
          <w:rFonts w:cs="Arial"/>
          <w:b/>
          <w:bCs/>
          <w:color w:val="202020"/>
          <w:szCs w:val="24"/>
          <w:lang w:val="en-ZA"/>
        </w:rPr>
        <w:t xml:space="preserve">, </w:t>
      </w:r>
      <w:r w:rsidRPr="002007BE">
        <w:rPr>
          <w:rFonts w:cs="Arial"/>
          <w:b/>
          <w:bCs/>
          <w:color w:val="202020"/>
          <w:szCs w:val="24"/>
          <w:lang w:val="en-ZA"/>
        </w:rPr>
        <w:t xml:space="preserve">AFRICAN RENAISSANCE </w:t>
      </w:r>
    </w:p>
    <w:p w14:paraId="0EB75F0A" w14:textId="77777777" w:rsidR="009604F3" w:rsidRPr="002007BE" w:rsidRDefault="009604F3" w:rsidP="009604F3">
      <w:pPr>
        <w:tabs>
          <w:tab w:val="right" w:pos="9029"/>
        </w:tabs>
        <w:spacing w:after="0" w:line="240" w:lineRule="auto"/>
        <w:ind w:left="0"/>
        <w:contextualSpacing/>
        <w:rPr>
          <w:rFonts w:cs="Arial"/>
          <w:b/>
          <w:bCs/>
          <w:color w:val="202020"/>
          <w:szCs w:val="24"/>
          <w:lang w:val="en-ZA"/>
        </w:rPr>
      </w:pPr>
      <w:r w:rsidRPr="002007BE">
        <w:rPr>
          <w:rFonts w:cs="Arial"/>
          <w:b/>
          <w:bCs/>
          <w:color w:val="202020"/>
          <w:szCs w:val="24"/>
          <w:lang w:val="en-ZA"/>
        </w:rPr>
        <w:t>AND INTERNATIONAL CO-OPERATION FUND</w:t>
      </w:r>
      <w:r w:rsidRPr="002007BE">
        <w:rPr>
          <w:rFonts w:cs="Arial"/>
          <w:b/>
          <w:szCs w:val="24"/>
          <w:lang w:val="en-ZA"/>
        </w:rPr>
        <w:tab/>
      </w:r>
      <w:r w:rsidRPr="002007BE">
        <w:rPr>
          <w:rFonts w:eastAsia="Times New Roman" w:cs="Arial"/>
          <w:szCs w:val="24"/>
          <w:lang w:val="en-ZA"/>
        </w:rPr>
        <w:t>Fifth Respondent</w:t>
      </w:r>
    </w:p>
    <w:p w14:paraId="2BC5AAA5"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p>
    <w:p w14:paraId="593055A1"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r w:rsidRPr="002007BE">
        <w:rPr>
          <w:rFonts w:cs="Arial"/>
          <w:b/>
          <w:bCs/>
          <w:color w:val="202020"/>
          <w:szCs w:val="24"/>
          <w:lang w:val="en-ZA"/>
        </w:rPr>
        <w:t>MINISTER OF FINANCE</w:t>
      </w:r>
      <w:r w:rsidRPr="002007BE">
        <w:rPr>
          <w:rFonts w:eastAsia="Times New Roman" w:cs="Arial"/>
          <w:szCs w:val="24"/>
          <w:lang w:val="en-ZA"/>
        </w:rPr>
        <w:tab/>
        <w:t>Sixth Respondent</w:t>
      </w:r>
    </w:p>
    <w:p w14:paraId="2E51EB97"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p>
    <w:p w14:paraId="17C7BB20" w14:textId="700D7009" w:rsidR="009604F3" w:rsidRPr="002007BE" w:rsidRDefault="009604F3" w:rsidP="009604F3">
      <w:pPr>
        <w:tabs>
          <w:tab w:val="right" w:pos="9029"/>
        </w:tabs>
        <w:spacing w:after="0" w:line="240" w:lineRule="auto"/>
        <w:ind w:left="0"/>
        <w:contextualSpacing/>
        <w:rPr>
          <w:rFonts w:cs="Arial"/>
          <w:b/>
          <w:bCs/>
          <w:color w:val="202020"/>
          <w:szCs w:val="24"/>
          <w:lang w:val="en-ZA"/>
        </w:rPr>
      </w:pPr>
      <w:r w:rsidRPr="002007BE">
        <w:rPr>
          <w:rFonts w:cs="Arial"/>
          <w:b/>
          <w:bCs/>
          <w:color w:val="202020"/>
          <w:szCs w:val="24"/>
          <w:lang w:val="en-ZA"/>
        </w:rPr>
        <w:t>DIRECTOR-GENERAL</w:t>
      </w:r>
      <w:r w:rsidR="00C77B69">
        <w:rPr>
          <w:rFonts w:cs="Arial"/>
          <w:b/>
          <w:bCs/>
          <w:color w:val="202020"/>
          <w:szCs w:val="24"/>
          <w:lang w:val="en-ZA"/>
        </w:rPr>
        <w:t xml:space="preserve">, </w:t>
      </w:r>
      <w:r w:rsidRPr="002007BE">
        <w:rPr>
          <w:rFonts w:cs="Arial"/>
          <w:b/>
          <w:bCs/>
          <w:color w:val="202020"/>
          <w:szCs w:val="24"/>
          <w:lang w:val="en-ZA"/>
        </w:rPr>
        <w:t>DEPARTMENT OF FINANCE</w:t>
      </w:r>
      <w:r w:rsidRPr="002007BE">
        <w:rPr>
          <w:rFonts w:cs="Arial"/>
          <w:b/>
          <w:szCs w:val="24"/>
          <w:lang w:val="en-ZA"/>
        </w:rPr>
        <w:tab/>
      </w:r>
      <w:r w:rsidRPr="002007BE">
        <w:rPr>
          <w:rFonts w:eastAsia="Times New Roman" w:cs="Arial"/>
          <w:szCs w:val="24"/>
          <w:lang w:val="en-ZA"/>
        </w:rPr>
        <w:t>Seventh Respondent</w:t>
      </w:r>
    </w:p>
    <w:p w14:paraId="64628819"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p>
    <w:p w14:paraId="1B55DC3B" w14:textId="77777777" w:rsidR="00A51340" w:rsidRDefault="009604F3" w:rsidP="009604F3">
      <w:pPr>
        <w:tabs>
          <w:tab w:val="right" w:pos="9029"/>
        </w:tabs>
        <w:spacing w:after="0" w:line="240" w:lineRule="auto"/>
        <w:ind w:left="0"/>
        <w:contextualSpacing/>
        <w:rPr>
          <w:rFonts w:cs="Arial"/>
          <w:b/>
          <w:bCs/>
          <w:color w:val="202020"/>
          <w:szCs w:val="24"/>
          <w:lang w:val="en-ZA"/>
        </w:rPr>
      </w:pPr>
      <w:r w:rsidRPr="002007BE">
        <w:rPr>
          <w:rFonts w:cs="Arial"/>
          <w:b/>
          <w:bCs/>
          <w:color w:val="202020"/>
          <w:szCs w:val="24"/>
          <w:lang w:val="en-ZA"/>
        </w:rPr>
        <w:t>DEPUTY DIRECTOR-GENERAL</w:t>
      </w:r>
      <w:r w:rsidR="00C77B69">
        <w:rPr>
          <w:rFonts w:cs="Arial"/>
          <w:b/>
          <w:bCs/>
          <w:color w:val="202020"/>
          <w:szCs w:val="24"/>
          <w:lang w:val="en-ZA"/>
        </w:rPr>
        <w:t xml:space="preserve">, </w:t>
      </w:r>
      <w:r w:rsidRPr="002007BE">
        <w:rPr>
          <w:rFonts w:cs="Arial"/>
          <w:b/>
          <w:bCs/>
          <w:color w:val="202020"/>
          <w:szCs w:val="24"/>
          <w:lang w:val="en-ZA"/>
        </w:rPr>
        <w:t xml:space="preserve">DEPARTMENT OF </w:t>
      </w:r>
    </w:p>
    <w:p w14:paraId="733DB958" w14:textId="3A243D71" w:rsidR="009604F3" w:rsidRPr="00A51340" w:rsidRDefault="009604F3" w:rsidP="009604F3">
      <w:pPr>
        <w:tabs>
          <w:tab w:val="right" w:pos="9029"/>
        </w:tabs>
        <w:spacing w:after="0" w:line="240" w:lineRule="auto"/>
        <w:ind w:left="0"/>
        <w:contextualSpacing/>
        <w:rPr>
          <w:rFonts w:cs="Arial"/>
          <w:b/>
          <w:bCs/>
          <w:color w:val="202020"/>
          <w:szCs w:val="24"/>
          <w:lang w:val="en-ZA"/>
        </w:rPr>
      </w:pPr>
      <w:r w:rsidRPr="002007BE">
        <w:rPr>
          <w:rFonts w:cs="Arial"/>
          <w:b/>
          <w:bCs/>
          <w:color w:val="202020"/>
          <w:szCs w:val="24"/>
          <w:lang w:val="en-ZA"/>
        </w:rPr>
        <w:t>FINANCE</w:t>
      </w:r>
      <w:r w:rsidRPr="002007BE">
        <w:rPr>
          <w:rFonts w:eastAsia="Times New Roman" w:cs="Arial"/>
          <w:szCs w:val="24"/>
          <w:lang w:val="en-ZA"/>
        </w:rPr>
        <w:tab/>
        <w:t>Eight Respondent</w:t>
      </w:r>
    </w:p>
    <w:p w14:paraId="21FC6878" w14:textId="77777777" w:rsidR="009604F3" w:rsidRPr="002007BE" w:rsidRDefault="009604F3" w:rsidP="009604F3">
      <w:pPr>
        <w:tabs>
          <w:tab w:val="right" w:pos="9029"/>
        </w:tabs>
        <w:spacing w:after="0" w:line="240" w:lineRule="auto"/>
        <w:ind w:left="0"/>
        <w:contextualSpacing/>
        <w:rPr>
          <w:rFonts w:cs="Arial"/>
          <w:b/>
          <w:szCs w:val="24"/>
          <w:lang w:val="en-ZA"/>
        </w:rPr>
      </w:pPr>
    </w:p>
    <w:p w14:paraId="6B40950A"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r w:rsidRPr="002007BE">
        <w:rPr>
          <w:rFonts w:cs="Arial"/>
          <w:b/>
          <w:bCs/>
          <w:color w:val="202020"/>
          <w:szCs w:val="24"/>
          <w:lang w:val="en-ZA"/>
        </w:rPr>
        <w:t>NATIONAL TREASURY</w:t>
      </w:r>
      <w:r w:rsidRPr="002007BE">
        <w:rPr>
          <w:rFonts w:eastAsia="Times New Roman" w:cs="Arial"/>
          <w:szCs w:val="24"/>
          <w:lang w:val="en-ZA"/>
        </w:rPr>
        <w:tab/>
        <w:t>Ninth Respondent</w:t>
      </w:r>
    </w:p>
    <w:p w14:paraId="27A28B7B"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p>
    <w:p w14:paraId="21CDC86D"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r w:rsidRPr="002007BE">
        <w:rPr>
          <w:rFonts w:cs="Arial"/>
          <w:b/>
          <w:bCs/>
          <w:color w:val="202020"/>
          <w:szCs w:val="24"/>
          <w:lang w:val="en-ZA"/>
        </w:rPr>
        <w:t>PARLIAMENT OF THE REPUBLIC OF SOUTH AFRICA</w:t>
      </w:r>
      <w:r w:rsidRPr="002007BE">
        <w:rPr>
          <w:rFonts w:eastAsia="Times New Roman" w:cs="Arial"/>
          <w:szCs w:val="24"/>
          <w:lang w:val="en-ZA"/>
        </w:rPr>
        <w:tab/>
        <w:t>Tenth Respondent</w:t>
      </w:r>
    </w:p>
    <w:p w14:paraId="6E8EAFCC" w14:textId="77777777" w:rsidR="009604F3" w:rsidRPr="002007BE" w:rsidRDefault="009604F3" w:rsidP="009604F3">
      <w:pPr>
        <w:tabs>
          <w:tab w:val="right" w:pos="9029"/>
        </w:tabs>
        <w:spacing w:after="0" w:line="240" w:lineRule="auto"/>
        <w:ind w:left="0"/>
        <w:contextualSpacing/>
        <w:rPr>
          <w:rFonts w:eastAsia="Times New Roman" w:cs="Arial"/>
          <w:szCs w:val="24"/>
          <w:lang w:val="en-ZA"/>
        </w:rPr>
      </w:pPr>
    </w:p>
    <w:p w14:paraId="72FB19C5" w14:textId="12E6D3A1" w:rsidR="009604F3" w:rsidRDefault="009604F3" w:rsidP="005807C3">
      <w:pPr>
        <w:tabs>
          <w:tab w:val="right" w:pos="9029"/>
        </w:tabs>
        <w:spacing w:after="360" w:line="240" w:lineRule="auto"/>
        <w:ind w:left="0"/>
        <w:contextualSpacing/>
        <w:rPr>
          <w:rFonts w:eastAsia="Times New Roman" w:cs="Arial"/>
          <w:sz w:val="21"/>
          <w:szCs w:val="21"/>
          <w:lang w:val="en-ZA"/>
        </w:rPr>
      </w:pPr>
      <w:r w:rsidRPr="002007BE">
        <w:rPr>
          <w:rFonts w:cs="Arial"/>
          <w:b/>
          <w:bCs/>
          <w:color w:val="202020"/>
          <w:szCs w:val="24"/>
          <w:lang w:val="en-ZA"/>
        </w:rPr>
        <w:t>PRESIDENT OF THE REPUBLIC OF SOUTH AFRICA</w:t>
      </w:r>
      <w:r w:rsidRPr="002007BE">
        <w:rPr>
          <w:rFonts w:eastAsia="Times New Roman" w:cs="Arial"/>
          <w:szCs w:val="24"/>
          <w:lang w:val="en-ZA"/>
        </w:rPr>
        <w:tab/>
        <w:t>Eleventh Respondent</w:t>
      </w:r>
    </w:p>
    <w:p w14:paraId="1ABA7027" w14:textId="5F6CD9AE" w:rsidR="00AD4269" w:rsidRPr="00844DA6" w:rsidRDefault="00AD4269" w:rsidP="00AD4269">
      <w:pPr>
        <w:pStyle w:val="JudgmentNumbered"/>
        <w:numPr>
          <w:ilvl w:val="0"/>
          <w:numId w:val="0"/>
        </w:numPr>
        <w:spacing w:before="240"/>
        <w:rPr>
          <w:lang w:val="en-ZA"/>
        </w:rPr>
      </w:pPr>
      <w:bookmarkStart w:id="3" w:name="_Hlk148943266"/>
      <w:r w:rsidRPr="008828A7">
        <w:rPr>
          <w:b/>
          <w:bCs/>
          <w:i/>
          <w:iCs/>
          <w:lang w:val="en-ZA"/>
        </w:rPr>
        <w:t>Summary:</w:t>
      </w:r>
      <w:r w:rsidR="00DD6924">
        <w:rPr>
          <w:b/>
          <w:bCs/>
          <w:i/>
          <w:iCs/>
          <w:lang w:val="en-ZA"/>
        </w:rPr>
        <w:t xml:space="preserve"> </w:t>
      </w:r>
      <w:r w:rsidR="00DD6924" w:rsidRPr="00844DA6">
        <w:rPr>
          <w:lang w:val="en-ZA"/>
        </w:rPr>
        <w:t xml:space="preserve">Judicial review – </w:t>
      </w:r>
      <w:r w:rsidR="00050499" w:rsidRPr="00844DA6">
        <w:rPr>
          <w:lang w:val="en-ZA"/>
        </w:rPr>
        <w:t>A</w:t>
      </w:r>
      <w:r w:rsidR="00601A52" w:rsidRPr="00844DA6">
        <w:rPr>
          <w:lang w:val="en-ZA"/>
        </w:rPr>
        <w:t xml:space="preserve">dministrative action – </w:t>
      </w:r>
      <w:r w:rsidR="00BE1302" w:rsidRPr="00844DA6">
        <w:rPr>
          <w:lang w:val="en-ZA"/>
        </w:rPr>
        <w:t>Promotion of Administrative Justice Act 3 of 2000</w:t>
      </w:r>
      <w:r w:rsidR="00DD6924" w:rsidRPr="00844DA6">
        <w:rPr>
          <w:lang w:val="en-ZA"/>
        </w:rPr>
        <w:t xml:space="preserve"> – </w:t>
      </w:r>
      <w:r w:rsidR="00050499" w:rsidRPr="00844DA6">
        <w:rPr>
          <w:lang w:val="en-ZA"/>
        </w:rPr>
        <w:t>T</w:t>
      </w:r>
      <w:r w:rsidR="00BE1302" w:rsidRPr="00844DA6">
        <w:rPr>
          <w:lang w:val="en-ZA"/>
        </w:rPr>
        <w:t xml:space="preserve">est – </w:t>
      </w:r>
      <w:r w:rsidR="00050499" w:rsidRPr="00844DA6">
        <w:rPr>
          <w:lang w:val="en-ZA"/>
        </w:rPr>
        <w:t>E</w:t>
      </w:r>
      <w:r w:rsidR="00BE1302" w:rsidRPr="00844DA6">
        <w:rPr>
          <w:lang w:val="en-ZA"/>
        </w:rPr>
        <w:t xml:space="preserve">xecutive conduct – </w:t>
      </w:r>
      <w:r w:rsidR="00050499" w:rsidRPr="00844DA6">
        <w:rPr>
          <w:lang w:val="en-ZA"/>
        </w:rPr>
        <w:t>P</w:t>
      </w:r>
      <w:r w:rsidR="00BE1302" w:rsidRPr="00844DA6">
        <w:rPr>
          <w:lang w:val="en-ZA"/>
        </w:rPr>
        <w:t xml:space="preserve">rinciple of legality </w:t>
      </w:r>
      <w:r w:rsidR="000F1C75" w:rsidRPr="00844DA6">
        <w:rPr>
          <w:lang w:val="en-ZA"/>
        </w:rPr>
        <w:t>–</w:t>
      </w:r>
      <w:r w:rsidR="00BE1302" w:rsidRPr="00844DA6">
        <w:rPr>
          <w:lang w:val="en-ZA"/>
        </w:rPr>
        <w:t xml:space="preserve"> </w:t>
      </w:r>
      <w:r w:rsidR="00050499" w:rsidRPr="00844DA6">
        <w:rPr>
          <w:lang w:val="en-ZA"/>
        </w:rPr>
        <w:t>M</w:t>
      </w:r>
      <w:r w:rsidR="000F1C75" w:rsidRPr="00844DA6">
        <w:rPr>
          <w:lang w:val="en-ZA"/>
        </w:rPr>
        <w:t xml:space="preserve">andatory prescripts not followed – </w:t>
      </w:r>
      <w:r w:rsidR="00050499" w:rsidRPr="00844DA6">
        <w:rPr>
          <w:lang w:val="en-ZA"/>
        </w:rPr>
        <w:t>D</w:t>
      </w:r>
      <w:r w:rsidR="000F1C75" w:rsidRPr="00844DA6">
        <w:rPr>
          <w:lang w:val="en-ZA"/>
        </w:rPr>
        <w:t>ecision reviewed and set aside</w:t>
      </w:r>
    </w:p>
    <w:p w14:paraId="3D3E2035" w14:textId="57001002" w:rsidR="008155FE" w:rsidRPr="00844DA6" w:rsidRDefault="008155FE" w:rsidP="00AD4269">
      <w:pPr>
        <w:pStyle w:val="JudgmentNumbered"/>
        <w:numPr>
          <w:ilvl w:val="0"/>
          <w:numId w:val="0"/>
        </w:numPr>
        <w:spacing w:before="240"/>
        <w:rPr>
          <w:lang w:val="en-ZA"/>
        </w:rPr>
      </w:pPr>
      <w:r w:rsidRPr="00844DA6">
        <w:rPr>
          <w:lang w:val="en-ZA"/>
        </w:rPr>
        <w:t>Afriforum sought to have</w:t>
      </w:r>
      <w:r w:rsidR="004F76BF">
        <w:rPr>
          <w:lang w:val="en-ZA"/>
        </w:rPr>
        <w:t xml:space="preserve"> National Treasury’s</w:t>
      </w:r>
      <w:r w:rsidRPr="00844DA6">
        <w:rPr>
          <w:lang w:val="en-ZA"/>
        </w:rPr>
        <w:t xml:space="preserve"> decision </w:t>
      </w:r>
      <w:r w:rsidR="00F87C02">
        <w:rPr>
          <w:lang w:val="en-ZA"/>
        </w:rPr>
        <w:t xml:space="preserve">to approve a surplus retention request </w:t>
      </w:r>
      <w:r w:rsidR="004F76BF">
        <w:rPr>
          <w:lang w:val="en-ZA"/>
        </w:rPr>
        <w:t xml:space="preserve">reviewed and set aside.  It also sought to review and set aside </w:t>
      </w:r>
      <w:r w:rsidR="00F87C02">
        <w:rPr>
          <w:lang w:val="en-ZA"/>
        </w:rPr>
        <w:t xml:space="preserve">a decision </w:t>
      </w:r>
      <w:r w:rsidRPr="00844DA6">
        <w:rPr>
          <w:lang w:val="en-ZA"/>
        </w:rPr>
        <w:t xml:space="preserve">made </w:t>
      </w:r>
      <w:r w:rsidR="00F87C02">
        <w:rPr>
          <w:lang w:val="en-ZA"/>
        </w:rPr>
        <w:t xml:space="preserve">on the recommendation of the African Renaissance Fund </w:t>
      </w:r>
      <w:r w:rsidR="004F76BF">
        <w:rPr>
          <w:lang w:val="en-ZA"/>
        </w:rPr>
        <w:t xml:space="preserve">supported by the Ministers of DIRCO and Finance, </w:t>
      </w:r>
      <w:r w:rsidRPr="00844DA6">
        <w:rPr>
          <w:lang w:val="en-ZA"/>
        </w:rPr>
        <w:t>to donate R50 million to Cuba</w:t>
      </w:r>
      <w:r w:rsidR="004F76BF">
        <w:rPr>
          <w:lang w:val="en-ZA"/>
        </w:rPr>
        <w:t>.</w:t>
      </w:r>
      <w:r w:rsidRPr="00844DA6">
        <w:rPr>
          <w:lang w:val="en-ZA"/>
        </w:rPr>
        <w:t xml:space="preserve">  The court first had to consider if the decision</w:t>
      </w:r>
      <w:r w:rsidR="002B3173" w:rsidRPr="00844DA6">
        <w:rPr>
          <w:lang w:val="en-ZA"/>
        </w:rPr>
        <w:t>s</w:t>
      </w:r>
      <w:r w:rsidRPr="00844DA6">
        <w:rPr>
          <w:lang w:val="en-ZA"/>
        </w:rPr>
        <w:t xml:space="preserve"> w</w:t>
      </w:r>
      <w:r w:rsidR="002B3173" w:rsidRPr="00844DA6">
        <w:rPr>
          <w:lang w:val="en-ZA"/>
        </w:rPr>
        <w:t>ere</w:t>
      </w:r>
      <w:r w:rsidRPr="00844DA6">
        <w:rPr>
          <w:lang w:val="en-ZA"/>
        </w:rPr>
        <w:t xml:space="preserve"> administrative </w:t>
      </w:r>
      <w:r w:rsidR="005807C3">
        <w:rPr>
          <w:lang w:val="en-ZA"/>
        </w:rPr>
        <w:t>action</w:t>
      </w:r>
      <w:r w:rsidR="00F87C02">
        <w:rPr>
          <w:lang w:val="en-ZA"/>
        </w:rPr>
        <w:t xml:space="preserve"> and</w:t>
      </w:r>
      <w:r w:rsidR="002B3173" w:rsidRPr="00844DA6">
        <w:rPr>
          <w:lang w:val="en-ZA"/>
        </w:rPr>
        <w:t xml:space="preserve"> it found that </w:t>
      </w:r>
      <w:r w:rsidR="005807C3">
        <w:rPr>
          <w:lang w:val="en-ZA"/>
        </w:rPr>
        <w:t>they were</w:t>
      </w:r>
      <w:r w:rsidR="002B3173" w:rsidRPr="00844DA6">
        <w:rPr>
          <w:lang w:val="en-ZA"/>
        </w:rPr>
        <w:t xml:space="preserve"> not. </w:t>
      </w:r>
      <w:r w:rsidR="00F87C02">
        <w:rPr>
          <w:lang w:val="en-ZA"/>
        </w:rPr>
        <w:t xml:space="preserve">The court </w:t>
      </w:r>
      <w:r w:rsidR="00C80A30" w:rsidRPr="00844DA6">
        <w:rPr>
          <w:lang w:val="en-ZA"/>
        </w:rPr>
        <w:t>held that</w:t>
      </w:r>
      <w:r w:rsidR="00F87C02">
        <w:rPr>
          <w:lang w:val="en-ZA"/>
        </w:rPr>
        <w:t xml:space="preserve"> the decision to approve the surplus retention request was lawful.  The donation decision was</w:t>
      </w:r>
      <w:r w:rsidR="004F76BF">
        <w:rPr>
          <w:lang w:val="en-ZA"/>
        </w:rPr>
        <w:t>, however,</w:t>
      </w:r>
      <w:r w:rsidR="00F87C02">
        <w:rPr>
          <w:lang w:val="en-ZA"/>
        </w:rPr>
        <w:t xml:space="preserve"> held to be unlawful because </w:t>
      </w:r>
      <w:r w:rsidR="00C80A30" w:rsidRPr="00844DA6">
        <w:rPr>
          <w:lang w:val="en-ZA"/>
        </w:rPr>
        <w:t xml:space="preserve"> the ARF Advisory Committee</w:t>
      </w:r>
      <w:r w:rsidR="004F76BF">
        <w:rPr>
          <w:lang w:val="en-ZA"/>
        </w:rPr>
        <w:t>,</w:t>
      </w:r>
      <w:r w:rsidR="00F87C02">
        <w:rPr>
          <w:lang w:val="en-ZA"/>
        </w:rPr>
        <w:t xml:space="preserve"> which made the recommendation to donate,</w:t>
      </w:r>
      <w:r w:rsidR="00C80A30" w:rsidRPr="00844DA6">
        <w:rPr>
          <w:lang w:val="en-ZA"/>
        </w:rPr>
        <w:t xml:space="preserve"> was not quorate</w:t>
      </w:r>
      <w:r w:rsidR="00F87C02">
        <w:rPr>
          <w:lang w:val="en-ZA"/>
        </w:rPr>
        <w:t>.</w:t>
      </w:r>
    </w:p>
    <w:p w14:paraId="30B8C2A9" w14:textId="77777777" w:rsidR="009714BA" w:rsidRPr="009F7FBA" w:rsidRDefault="009714BA" w:rsidP="009714BA">
      <w:pPr>
        <w:pBdr>
          <w:bottom w:val="single" w:sz="12" w:space="1" w:color="auto"/>
        </w:pBdr>
        <w:spacing w:after="0" w:line="240" w:lineRule="auto"/>
        <w:ind w:left="0"/>
        <w:jc w:val="left"/>
        <w:rPr>
          <w:rFonts w:cs="Arial"/>
          <w:b/>
          <w:szCs w:val="24"/>
          <w:lang w:val="en-ZA"/>
        </w:rPr>
      </w:pPr>
    </w:p>
    <w:p w14:paraId="3B109840" w14:textId="77777777" w:rsidR="009714BA" w:rsidRPr="00A41E69" w:rsidRDefault="009714BA" w:rsidP="009714BA">
      <w:pPr>
        <w:spacing w:after="0" w:line="240" w:lineRule="auto"/>
        <w:ind w:left="1440" w:hanging="1440"/>
        <w:jc w:val="left"/>
        <w:rPr>
          <w:b/>
          <w:lang w:val="en-ZA"/>
        </w:rPr>
      </w:pPr>
    </w:p>
    <w:p w14:paraId="5C2C7607" w14:textId="2299E3EF" w:rsidR="009714BA" w:rsidRPr="009714BA" w:rsidRDefault="009714BA" w:rsidP="009714BA">
      <w:pPr>
        <w:pBdr>
          <w:bottom w:val="single" w:sz="12" w:space="1" w:color="auto"/>
        </w:pBdr>
        <w:spacing w:line="480" w:lineRule="auto"/>
        <w:ind w:left="0"/>
        <w:jc w:val="center"/>
        <w:rPr>
          <w:rFonts w:cs="Arial"/>
          <w:b/>
          <w:szCs w:val="24"/>
          <w:lang w:val="en-ZA"/>
        </w:rPr>
      </w:pPr>
      <w:r>
        <w:rPr>
          <w:rFonts w:cs="Arial"/>
          <w:b/>
          <w:szCs w:val="24"/>
          <w:lang w:val="en-ZA"/>
        </w:rPr>
        <w:t>ORDER</w:t>
      </w:r>
    </w:p>
    <w:p w14:paraId="261893BA" w14:textId="77777777" w:rsidR="009604F3" w:rsidRPr="00687856" w:rsidRDefault="009604F3" w:rsidP="009604F3">
      <w:pPr>
        <w:tabs>
          <w:tab w:val="right" w:pos="9029"/>
        </w:tabs>
        <w:spacing w:after="0" w:line="240" w:lineRule="auto"/>
        <w:ind w:left="0"/>
        <w:contextualSpacing/>
        <w:rPr>
          <w:sz w:val="36"/>
          <w:szCs w:val="40"/>
          <w:lang w:val="en-ZA"/>
        </w:rPr>
      </w:pPr>
    </w:p>
    <w:bookmarkEnd w:id="3"/>
    <w:p w14:paraId="67BB1252" w14:textId="7D7835FC" w:rsidR="009714BA" w:rsidRPr="00A41E69" w:rsidRDefault="0048361F" w:rsidP="0048361F">
      <w:pPr>
        <w:pStyle w:val="JudgmentNumbered"/>
        <w:numPr>
          <w:ilvl w:val="0"/>
          <w:numId w:val="0"/>
        </w:numPr>
        <w:ind w:left="1134" w:right="685" w:hanging="567"/>
        <w:rPr>
          <w:lang w:val="en-ZA"/>
        </w:rPr>
      </w:pPr>
      <w:r w:rsidRPr="00A41E69">
        <w:rPr>
          <w:lang w:val="en-ZA"/>
        </w:rPr>
        <w:t>1.</w:t>
      </w:r>
      <w:r w:rsidRPr="00A41E69">
        <w:rPr>
          <w:lang w:val="en-ZA"/>
        </w:rPr>
        <w:tab/>
      </w:r>
      <w:r w:rsidR="009714BA" w:rsidRPr="00A41E69">
        <w:rPr>
          <w:lang w:val="en-ZA"/>
        </w:rPr>
        <w:t xml:space="preserve">the decision of the </w:t>
      </w:r>
      <w:r w:rsidR="009714BA">
        <w:rPr>
          <w:lang w:val="en-ZA"/>
        </w:rPr>
        <w:t>F</w:t>
      </w:r>
      <w:r w:rsidR="009714BA" w:rsidRPr="009404DC">
        <w:rPr>
          <w:lang w:val="en-ZA"/>
        </w:rPr>
        <w:t>irst</w:t>
      </w:r>
      <w:r w:rsidR="00982B01">
        <w:rPr>
          <w:lang w:val="en-ZA"/>
        </w:rPr>
        <w:t>, Third, Fourth</w:t>
      </w:r>
      <w:r w:rsidR="00013451">
        <w:rPr>
          <w:lang w:val="en-ZA"/>
        </w:rPr>
        <w:t xml:space="preserve"> and</w:t>
      </w:r>
      <w:r w:rsidR="009714BA" w:rsidRPr="00A41E69">
        <w:rPr>
          <w:lang w:val="en-ZA"/>
        </w:rPr>
        <w:t xml:space="preserve"> </w:t>
      </w:r>
      <w:r w:rsidR="009714BA">
        <w:rPr>
          <w:lang w:val="en-ZA"/>
        </w:rPr>
        <w:t>S</w:t>
      </w:r>
      <w:r w:rsidR="009714BA" w:rsidRPr="009404DC">
        <w:rPr>
          <w:lang w:val="en-ZA"/>
        </w:rPr>
        <w:t>ixth</w:t>
      </w:r>
      <w:r w:rsidR="009714BA">
        <w:rPr>
          <w:lang w:val="en-ZA"/>
        </w:rPr>
        <w:t xml:space="preserve"> R</w:t>
      </w:r>
      <w:r w:rsidR="009714BA" w:rsidRPr="009404DC">
        <w:rPr>
          <w:lang w:val="en-ZA"/>
        </w:rPr>
        <w:t>espondents</w:t>
      </w:r>
      <w:r w:rsidR="009714BA" w:rsidRPr="00A41E69">
        <w:rPr>
          <w:lang w:val="en-ZA"/>
        </w:rPr>
        <w:t xml:space="preserve"> to donate R50 million to the Republic of Cuba is reviewed and set aside.</w:t>
      </w:r>
    </w:p>
    <w:p w14:paraId="43D97A75" w14:textId="01C4FF06" w:rsidR="00F35582" w:rsidRPr="00F35582" w:rsidRDefault="0048361F" w:rsidP="0048361F">
      <w:pPr>
        <w:pStyle w:val="JudgmentNumbered"/>
        <w:numPr>
          <w:ilvl w:val="0"/>
          <w:numId w:val="0"/>
        </w:numPr>
        <w:ind w:left="1134" w:right="685" w:hanging="567"/>
        <w:rPr>
          <w:lang w:val="en-ZA"/>
        </w:rPr>
      </w:pPr>
      <w:r w:rsidRPr="00F35582">
        <w:rPr>
          <w:lang w:val="en-ZA"/>
        </w:rPr>
        <w:t>2.</w:t>
      </w:r>
      <w:r w:rsidRPr="00F35582">
        <w:rPr>
          <w:lang w:val="en-ZA"/>
        </w:rPr>
        <w:tab/>
      </w:r>
      <w:r w:rsidR="009714BA">
        <w:rPr>
          <w:lang w:val="en-ZA"/>
        </w:rPr>
        <w:t>t</w:t>
      </w:r>
      <w:r w:rsidR="009714BA" w:rsidRPr="009404DC">
        <w:rPr>
          <w:lang w:val="en-ZA"/>
        </w:rPr>
        <w:t>he</w:t>
      </w:r>
      <w:r w:rsidR="009714BA">
        <w:rPr>
          <w:lang w:val="en-ZA"/>
        </w:rPr>
        <w:t xml:space="preserve"> F</w:t>
      </w:r>
      <w:r w:rsidR="009714BA" w:rsidRPr="009404DC">
        <w:rPr>
          <w:lang w:val="en-ZA"/>
        </w:rPr>
        <w:t>irst</w:t>
      </w:r>
      <w:r w:rsidR="00082091">
        <w:rPr>
          <w:lang w:val="en-ZA"/>
        </w:rPr>
        <w:t>,</w:t>
      </w:r>
      <w:r w:rsidR="009714BA">
        <w:rPr>
          <w:lang w:val="en-ZA"/>
        </w:rPr>
        <w:t xml:space="preserve"> Third</w:t>
      </w:r>
      <w:r w:rsidR="00082091">
        <w:rPr>
          <w:lang w:val="en-ZA"/>
        </w:rPr>
        <w:t>, Fourth</w:t>
      </w:r>
      <w:r w:rsidR="00186A74">
        <w:rPr>
          <w:lang w:val="en-ZA"/>
        </w:rPr>
        <w:t xml:space="preserve"> and </w:t>
      </w:r>
      <w:r w:rsidR="009714BA">
        <w:rPr>
          <w:lang w:val="en-ZA"/>
        </w:rPr>
        <w:t>S</w:t>
      </w:r>
      <w:r w:rsidR="009714BA" w:rsidRPr="009404DC">
        <w:rPr>
          <w:lang w:val="en-ZA"/>
        </w:rPr>
        <w:t>ixth</w:t>
      </w:r>
      <w:r w:rsidR="009714BA">
        <w:rPr>
          <w:lang w:val="en-ZA"/>
        </w:rPr>
        <w:t xml:space="preserve"> R</w:t>
      </w:r>
      <w:r w:rsidR="009714BA" w:rsidRPr="009404DC">
        <w:rPr>
          <w:lang w:val="en-ZA"/>
        </w:rPr>
        <w:t>espondents</w:t>
      </w:r>
      <w:r w:rsidR="009714BA" w:rsidRPr="00A41E69">
        <w:rPr>
          <w:lang w:val="en-ZA"/>
        </w:rPr>
        <w:t xml:space="preserve"> are ordered to pay </w:t>
      </w:r>
      <w:r w:rsidR="00F87C02">
        <w:rPr>
          <w:lang w:val="en-ZA"/>
        </w:rPr>
        <w:t xml:space="preserve">fifty percent (50%) of </w:t>
      </w:r>
      <w:r w:rsidR="009714BA" w:rsidRPr="00A41E69">
        <w:rPr>
          <w:lang w:val="en-ZA"/>
        </w:rPr>
        <w:t xml:space="preserve">the </w:t>
      </w:r>
      <w:r w:rsidR="009714BA">
        <w:rPr>
          <w:lang w:val="en-ZA"/>
        </w:rPr>
        <w:t>A</w:t>
      </w:r>
      <w:r w:rsidR="009714BA" w:rsidRPr="009404DC">
        <w:rPr>
          <w:lang w:val="en-ZA"/>
        </w:rPr>
        <w:t>pplicant</w:t>
      </w:r>
      <w:r w:rsidR="003B6DBB">
        <w:rPr>
          <w:lang w:val="en-ZA"/>
        </w:rPr>
        <w:t>’</w:t>
      </w:r>
      <w:r w:rsidR="009714BA" w:rsidRPr="009404DC">
        <w:rPr>
          <w:lang w:val="en-ZA"/>
        </w:rPr>
        <w:t>s</w:t>
      </w:r>
      <w:r w:rsidR="009714BA" w:rsidRPr="00A41E69">
        <w:rPr>
          <w:lang w:val="en-ZA"/>
        </w:rPr>
        <w:t xml:space="preserve"> costs.</w:t>
      </w:r>
    </w:p>
    <w:p w14:paraId="17E81579" w14:textId="77777777" w:rsidR="009604F3" w:rsidRPr="009F7FBA" w:rsidRDefault="009604F3" w:rsidP="009604F3">
      <w:pPr>
        <w:pBdr>
          <w:bottom w:val="single" w:sz="12" w:space="1" w:color="auto"/>
        </w:pBdr>
        <w:spacing w:after="0" w:line="240" w:lineRule="auto"/>
        <w:ind w:left="0"/>
        <w:jc w:val="left"/>
        <w:rPr>
          <w:rFonts w:cs="Arial"/>
          <w:b/>
          <w:szCs w:val="24"/>
          <w:lang w:val="en-ZA"/>
        </w:rPr>
      </w:pPr>
    </w:p>
    <w:p w14:paraId="3D8C80B3" w14:textId="77777777" w:rsidR="009604F3" w:rsidRPr="00A41E69" w:rsidRDefault="009604F3" w:rsidP="009604F3">
      <w:pPr>
        <w:spacing w:after="0" w:line="240" w:lineRule="auto"/>
        <w:ind w:left="1440" w:hanging="1440"/>
        <w:jc w:val="left"/>
        <w:rPr>
          <w:b/>
          <w:lang w:val="en-ZA"/>
        </w:rPr>
      </w:pPr>
    </w:p>
    <w:p w14:paraId="52322047" w14:textId="77777777" w:rsidR="009604F3" w:rsidRPr="009F7FBA" w:rsidRDefault="009604F3" w:rsidP="009604F3">
      <w:pPr>
        <w:pBdr>
          <w:bottom w:val="single" w:sz="12" w:space="1" w:color="auto"/>
        </w:pBdr>
        <w:spacing w:line="480" w:lineRule="auto"/>
        <w:ind w:left="0"/>
        <w:jc w:val="center"/>
        <w:rPr>
          <w:rFonts w:cs="Arial"/>
          <w:b/>
          <w:szCs w:val="24"/>
          <w:lang w:val="en-ZA"/>
        </w:rPr>
      </w:pPr>
      <w:r w:rsidRPr="009F7FBA">
        <w:rPr>
          <w:rFonts w:cs="Arial"/>
          <w:b/>
          <w:szCs w:val="24"/>
          <w:lang w:val="en-ZA"/>
        </w:rPr>
        <w:t>JUDGMENT</w:t>
      </w:r>
    </w:p>
    <w:p w14:paraId="680D280B" w14:textId="25E80629" w:rsidR="009604F3" w:rsidRPr="00A41E69" w:rsidRDefault="009604F3" w:rsidP="008127FF">
      <w:pPr>
        <w:spacing w:after="0"/>
        <w:ind w:left="0"/>
        <w:jc w:val="left"/>
        <w:rPr>
          <w:lang w:val="en-ZA"/>
          <w14:ligatures w14:val="none"/>
        </w:rPr>
      </w:pPr>
      <w:r w:rsidRPr="00844DA6">
        <w:rPr>
          <w:lang w:val="en-ZA"/>
        </w:rPr>
        <w:t>MLAMBO</w:t>
      </w:r>
      <w:r w:rsidR="00844DA6" w:rsidRPr="00844DA6">
        <w:rPr>
          <w:lang w:val="en-ZA"/>
        </w:rPr>
        <w:t xml:space="preserve">, </w:t>
      </w:r>
      <w:r w:rsidRPr="00844DA6">
        <w:rPr>
          <w:lang w:val="en-ZA"/>
        </w:rPr>
        <w:t>JP</w:t>
      </w:r>
      <w:r w:rsidR="00163690">
        <w:rPr>
          <w:lang w:val="en-ZA"/>
        </w:rPr>
        <w:t xml:space="preserve"> </w:t>
      </w:r>
      <w:r w:rsidR="00F53C52">
        <w:rPr>
          <w:lang w:val="en-ZA"/>
        </w:rPr>
        <w:t>(Dlamini J and Cowen J concurring)</w:t>
      </w:r>
    </w:p>
    <w:p w14:paraId="5BC62F8C" w14:textId="77777777" w:rsidR="009604F3" w:rsidRPr="00A41E69" w:rsidRDefault="009604F3" w:rsidP="008127FF">
      <w:pPr>
        <w:spacing w:after="0"/>
        <w:ind w:left="0"/>
        <w:jc w:val="left"/>
        <w:rPr>
          <w:lang w:val="en-ZA"/>
        </w:rPr>
      </w:pPr>
    </w:p>
    <w:p w14:paraId="5D1AE9DF" w14:textId="77777777" w:rsidR="009604F3" w:rsidRPr="00A41E69" w:rsidRDefault="009604F3" w:rsidP="009604F3">
      <w:pPr>
        <w:pStyle w:val="JudgmentHeading"/>
        <w:rPr>
          <w:lang w:val="en-ZA"/>
        </w:rPr>
      </w:pPr>
      <w:r w:rsidRPr="00A41E69">
        <w:rPr>
          <w:lang w:val="en-ZA"/>
        </w:rPr>
        <w:t>Introduction</w:t>
      </w:r>
    </w:p>
    <w:p w14:paraId="6C8AEBF2" w14:textId="6585C32F" w:rsidR="009604F3" w:rsidRPr="00A41E69" w:rsidRDefault="0048361F" w:rsidP="0048361F">
      <w:pPr>
        <w:pStyle w:val="JudgmentNumbered"/>
        <w:numPr>
          <w:ilvl w:val="0"/>
          <w:numId w:val="0"/>
        </w:numPr>
        <w:ind w:left="567" w:hanging="567"/>
        <w:rPr>
          <w:lang w:val="en-ZA"/>
        </w:rPr>
      </w:pPr>
      <w:bookmarkStart w:id="4" w:name="_Hlk148945214"/>
      <w:r w:rsidRPr="00A41E69">
        <w:rPr>
          <w:lang w:val="en-ZA"/>
        </w:rPr>
        <w:lastRenderedPageBreak/>
        <w:t>[1]</w:t>
      </w:r>
      <w:r w:rsidRPr="00A41E69">
        <w:rPr>
          <w:lang w:val="en-ZA"/>
        </w:rPr>
        <w:tab/>
      </w:r>
      <w:r w:rsidR="009604F3" w:rsidRPr="00A41E69">
        <w:rPr>
          <w:lang w:val="en-ZA"/>
        </w:rPr>
        <w:t xml:space="preserve">On 2 February 2022 South Africa woke to the news that the South African Government had, through the Department of International Relations and Cooperation (DIRCO), taken a decision to donate R50 </w:t>
      </w:r>
      <w:r w:rsidR="009604F3" w:rsidRPr="009404DC">
        <w:rPr>
          <w:lang w:val="en-ZA"/>
        </w:rPr>
        <w:t>million</w:t>
      </w:r>
      <w:r w:rsidR="009604F3" w:rsidRPr="00A41E69">
        <w:rPr>
          <w:lang w:val="en-ZA"/>
        </w:rPr>
        <w:t xml:space="preserve"> to the Republic of Cuba</w:t>
      </w:r>
      <w:r w:rsidR="009604F3">
        <w:rPr>
          <w:lang w:val="en-ZA"/>
        </w:rPr>
        <w:t xml:space="preserve"> </w:t>
      </w:r>
      <w:r w:rsidR="009604F3" w:rsidRPr="009404DC">
        <w:rPr>
          <w:lang w:val="en-ZA"/>
        </w:rPr>
        <w:t>(Cuba).</w:t>
      </w:r>
      <w:r w:rsidR="009604F3" w:rsidRPr="00A41E69">
        <w:rPr>
          <w:lang w:val="en-ZA"/>
        </w:rPr>
        <w:t xml:space="preserve"> This was announced by the Deputy Minister of DIRCO, whilst addressing a parliamentary oversight committee. Following on this announcement, the Applicant (</w:t>
      </w:r>
      <w:r w:rsidR="009604F3">
        <w:rPr>
          <w:lang w:val="en-ZA"/>
        </w:rPr>
        <w:t>AfriForum</w:t>
      </w:r>
      <w:r w:rsidR="009604F3" w:rsidRPr="00A41E69">
        <w:rPr>
          <w:lang w:val="en-ZA"/>
        </w:rPr>
        <w:t>) dispatched a letter, through its lawyers</w:t>
      </w:r>
      <w:r w:rsidR="00171F3F">
        <w:rPr>
          <w:lang w:val="en-ZA"/>
        </w:rPr>
        <w:t>,</w:t>
      </w:r>
      <w:r w:rsidR="009604F3" w:rsidRPr="00A41E69">
        <w:rPr>
          <w:lang w:val="en-ZA"/>
        </w:rPr>
        <w:t xml:space="preserve"> to the Minister of DIRCO, requesting clarification about the source of the R50 million donation to Cuba. </w:t>
      </w:r>
      <w:r w:rsidR="009604F3">
        <w:rPr>
          <w:lang w:val="en-ZA"/>
        </w:rPr>
        <w:t>AfriForum</w:t>
      </w:r>
      <w:r w:rsidR="009604F3" w:rsidRPr="00A41E69">
        <w:rPr>
          <w:lang w:val="en-ZA"/>
        </w:rPr>
        <w:t xml:space="preserve"> further asked, </w:t>
      </w:r>
      <w:r w:rsidR="009604F3" w:rsidRPr="00FD0A6B">
        <w:rPr>
          <w:i/>
          <w:lang w:val="en-ZA"/>
        </w:rPr>
        <w:t>inter alia</w:t>
      </w:r>
      <w:r w:rsidR="009604F3" w:rsidRPr="00A41E69">
        <w:rPr>
          <w:lang w:val="en-ZA"/>
        </w:rPr>
        <w:t xml:space="preserve">, when the decision to make the donation was made, whether </w:t>
      </w:r>
      <w:r w:rsidR="009604F3" w:rsidRPr="009404DC">
        <w:rPr>
          <w:lang w:val="en-ZA"/>
        </w:rPr>
        <w:t>it</w:t>
      </w:r>
      <w:r w:rsidR="009604F3" w:rsidRPr="00A41E69">
        <w:rPr>
          <w:lang w:val="en-ZA"/>
        </w:rPr>
        <w:t xml:space="preserve"> was being made in accordance with any bilateral agreement between the two governments and how the decision to make the donation was justified by DIRCO given the “dire socio-economic situation” that South Africa faced. </w:t>
      </w:r>
      <w:r w:rsidR="009604F3">
        <w:rPr>
          <w:lang w:val="en-ZA"/>
        </w:rPr>
        <w:t>AfriForum</w:t>
      </w:r>
      <w:r w:rsidR="009604F3" w:rsidRPr="00A41E69">
        <w:rPr>
          <w:lang w:val="en-ZA"/>
        </w:rPr>
        <w:t xml:space="preserve"> also sought an undertaking that the donation would not be made until the questions raised had been addressed sufficiently. </w:t>
      </w:r>
    </w:p>
    <w:bookmarkEnd w:id="4"/>
    <w:p w14:paraId="288A9E3F" w14:textId="36DA0886" w:rsidR="009604F3" w:rsidRPr="00A41E69" w:rsidRDefault="0048361F" w:rsidP="0048361F">
      <w:pPr>
        <w:pStyle w:val="JudgmentNumbered"/>
        <w:numPr>
          <w:ilvl w:val="0"/>
          <w:numId w:val="0"/>
        </w:numPr>
        <w:ind w:left="567" w:hanging="567"/>
        <w:rPr>
          <w:lang w:val="en-ZA"/>
        </w:rPr>
      </w:pPr>
      <w:r w:rsidRPr="00A41E69">
        <w:rPr>
          <w:lang w:val="en-ZA"/>
        </w:rPr>
        <w:t>[2]</w:t>
      </w:r>
      <w:r w:rsidRPr="00A41E69">
        <w:rPr>
          <w:lang w:val="en-ZA"/>
        </w:rPr>
        <w:tab/>
      </w:r>
      <w:r w:rsidR="009604F3" w:rsidRPr="00A41E69">
        <w:rPr>
          <w:lang w:val="en-ZA"/>
        </w:rPr>
        <w:t>DIRCO responded through the Acting Director</w:t>
      </w:r>
      <w:r w:rsidR="000C01E2">
        <w:rPr>
          <w:lang w:val="en-ZA"/>
        </w:rPr>
        <w:t>-</w:t>
      </w:r>
      <w:r w:rsidR="009604F3" w:rsidRPr="00A41E69">
        <w:rPr>
          <w:lang w:val="en-ZA"/>
        </w:rPr>
        <w:t xml:space="preserve">General, per letter dated 25 February 2022 stating, </w:t>
      </w:r>
      <w:r w:rsidR="009604F3" w:rsidRPr="00FD0A6B">
        <w:rPr>
          <w:i/>
          <w:lang w:val="en-ZA"/>
        </w:rPr>
        <w:t>inter alia</w:t>
      </w:r>
      <w:r w:rsidR="009604F3" w:rsidRPr="00A41E69">
        <w:rPr>
          <w:lang w:val="en-ZA"/>
        </w:rPr>
        <w:t xml:space="preserve">, that the allocation of R50 million would not be made in terms of any agreement but as a response to a request from the </w:t>
      </w:r>
      <w:r w:rsidR="009604F3" w:rsidRPr="009404DC">
        <w:rPr>
          <w:lang w:val="en-ZA"/>
        </w:rPr>
        <w:t>Cuba</w:t>
      </w:r>
      <w:r w:rsidR="009604F3">
        <w:rPr>
          <w:lang w:val="en-ZA"/>
        </w:rPr>
        <w:t>n Government</w:t>
      </w:r>
      <w:r w:rsidR="009604F3" w:rsidRPr="00A41E69">
        <w:rPr>
          <w:lang w:val="en-ZA"/>
        </w:rPr>
        <w:t xml:space="preserve"> and that this would be done in line with section 4(e) of the African Renaissance and International Cooperation Fund Act</w:t>
      </w:r>
      <w:r w:rsidR="009604F3" w:rsidRPr="009404DC">
        <w:rPr>
          <w:lang w:val="en-ZA"/>
        </w:rPr>
        <w:t>,</w:t>
      </w:r>
      <w:r w:rsidR="009604F3" w:rsidRPr="00A41E69">
        <w:rPr>
          <w:rStyle w:val="FootnoteReference"/>
          <w:lang w:val="en-ZA"/>
        </w:rPr>
        <w:footnoteReference w:id="2"/>
      </w:r>
      <w:r w:rsidR="009604F3" w:rsidRPr="00A41E69">
        <w:rPr>
          <w:lang w:val="en-ZA"/>
        </w:rPr>
        <w:t xml:space="preserve"> which </w:t>
      </w:r>
      <w:r w:rsidR="009604F3" w:rsidRPr="009404DC">
        <w:rPr>
          <w:lang w:val="en-ZA"/>
        </w:rPr>
        <w:t>authorised</w:t>
      </w:r>
      <w:r w:rsidR="009604F3" w:rsidRPr="00A41E69">
        <w:rPr>
          <w:lang w:val="en-ZA"/>
        </w:rPr>
        <w:t xml:space="preserve"> the African Renaissance and In</w:t>
      </w:r>
      <w:r w:rsidR="009604F3" w:rsidRPr="00ED7522">
        <w:rPr>
          <w:lang w:val="en-ZA"/>
        </w:rPr>
        <w:t>ternational</w:t>
      </w:r>
      <w:r w:rsidR="009604F3" w:rsidRPr="002B42C6">
        <w:rPr>
          <w:lang w:val="en-ZA"/>
        </w:rPr>
        <w:t xml:space="preserve"> Co-operat</w:t>
      </w:r>
      <w:r w:rsidR="009604F3" w:rsidRPr="00A41E69">
        <w:rPr>
          <w:lang w:val="en-ZA"/>
        </w:rPr>
        <w:t xml:space="preserve">ion Fund (African Renaissance Fund) to </w:t>
      </w:r>
      <w:r w:rsidR="009604F3" w:rsidRPr="009404DC">
        <w:rPr>
          <w:lang w:val="en-ZA"/>
        </w:rPr>
        <w:t>utilise</w:t>
      </w:r>
      <w:r w:rsidR="009604F3" w:rsidRPr="00A41E69">
        <w:rPr>
          <w:lang w:val="en-ZA"/>
        </w:rPr>
        <w:t xml:space="preserve"> funds to enhance humanitarian assistance.</w:t>
      </w:r>
    </w:p>
    <w:p w14:paraId="68E5B020" w14:textId="0A108564" w:rsidR="009604F3" w:rsidRPr="00A41E69" w:rsidRDefault="0048361F" w:rsidP="0048361F">
      <w:pPr>
        <w:pStyle w:val="JudgmentNumbered"/>
        <w:numPr>
          <w:ilvl w:val="0"/>
          <w:numId w:val="0"/>
        </w:numPr>
        <w:ind w:left="567" w:hanging="567"/>
        <w:rPr>
          <w:lang w:val="en-ZA"/>
        </w:rPr>
      </w:pPr>
      <w:r w:rsidRPr="00A41E69">
        <w:rPr>
          <w:lang w:val="en-ZA"/>
        </w:rPr>
        <w:t>[3]</w:t>
      </w:r>
      <w:r w:rsidRPr="00A41E69">
        <w:rPr>
          <w:lang w:val="en-ZA"/>
        </w:rPr>
        <w:tab/>
      </w:r>
      <w:r w:rsidR="009604F3" w:rsidRPr="00A41E69">
        <w:rPr>
          <w:lang w:val="en-ZA"/>
        </w:rPr>
        <w:t xml:space="preserve">This response did not appease </w:t>
      </w:r>
      <w:r w:rsidR="009604F3" w:rsidRPr="00FD0A6B">
        <w:rPr>
          <w:lang w:val="en-ZA"/>
        </w:rPr>
        <w:t>AfriForum who,</w:t>
      </w:r>
      <w:r w:rsidR="009604F3" w:rsidRPr="00A41E69">
        <w:rPr>
          <w:lang w:val="en-ZA"/>
        </w:rPr>
        <w:t xml:space="preserve"> on 1 March </w:t>
      </w:r>
      <w:r w:rsidR="009604F3" w:rsidRPr="009404DC">
        <w:rPr>
          <w:lang w:val="en-ZA"/>
        </w:rPr>
        <w:t>2022,</w:t>
      </w:r>
      <w:r w:rsidR="009604F3">
        <w:rPr>
          <w:lang w:val="en-ZA"/>
        </w:rPr>
        <w:t xml:space="preserve"> </w:t>
      </w:r>
      <w:r w:rsidR="009604F3" w:rsidRPr="009404DC">
        <w:rPr>
          <w:lang w:val="en-ZA"/>
        </w:rPr>
        <w:t>and</w:t>
      </w:r>
      <w:r w:rsidR="009604F3" w:rsidRPr="00A41E69">
        <w:rPr>
          <w:lang w:val="en-ZA"/>
        </w:rPr>
        <w:t xml:space="preserve"> on the basis that no undertaking was made not to go ahead with the Cuban donation, launched an urgent application in this Court</w:t>
      </w:r>
      <w:r w:rsidR="009604F3" w:rsidRPr="009404DC">
        <w:rPr>
          <w:lang w:val="en-ZA"/>
        </w:rPr>
        <w:t>.</w:t>
      </w:r>
      <w:r w:rsidR="009604F3">
        <w:rPr>
          <w:lang w:val="en-ZA"/>
        </w:rPr>
        <w:t xml:space="preserve"> </w:t>
      </w:r>
      <w:r w:rsidR="00DB13C9">
        <w:rPr>
          <w:lang w:val="en-ZA"/>
        </w:rPr>
        <w:t>It</w:t>
      </w:r>
      <w:r w:rsidR="009604F3">
        <w:rPr>
          <w:lang w:val="en-ZA"/>
        </w:rPr>
        <w:t xml:space="preserve"> </w:t>
      </w:r>
      <w:r w:rsidR="009604F3" w:rsidRPr="009404DC">
        <w:rPr>
          <w:lang w:val="en-ZA"/>
        </w:rPr>
        <w:t>sought</w:t>
      </w:r>
      <w:r w:rsidR="009604F3" w:rsidRPr="00A41E69">
        <w:rPr>
          <w:lang w:val="en-ZA"/>
        </w:rPr>
        <w:t xml:space="preserve"> an order that, pending this application, the </w:t>
      </w:r>
      <w:r w:rsidR="009604F3">
        <w:rPr>
          <w:lang w:val="en-ZA"/>
        </w:rPr>
        <w:t>Respondent</w:t>
      </w:r>
      <w:r w:rsidR="009604F3" w:rsidRPr="009404DC">
        <w:rPr>
          <w:lang w:val="en-ZA"/>
        </w:rPr>
        <w:t>s</w:t>
      </w:r>
      <w:r w:rsidR="009604F3" w:rsidRPr="00A41E69">
        <w:rPr>
          <w:lang w:val="en-ZA"/>
        </w:rPr>
        <w:t xml:space="preserve"> be interdicted from paying over the R50 </w:t>
      </w:r>
      <w:r w:rsidR="00171F3F">
        <w:rPr>
          <w:lang w:val="en-ZA"/>
        </w:rPr>
        <w:t>m</w:t>
      </w:r>
      <w:r w:rsidR="009604F3" w:rsidRPr="00A41E69">
        <w:rPr>
          <w:lang w:val="en-ZA"/>
        </w:rPr>
        <w:t>illion or any part thereof to Cuba. The</w:t>
      </w:r>
      <w:r w:rsidR="00163690">
        <w:rPr>
          <w:lang w:val="en-ZA"/>
        </w:rPr>
        <w:t xml:space="preserve"> interim</w:t>
      </w:r>
      <w:r w:rsidR="009604F3" w:rsidRPr="00A41E69">
        <w:rPr>
          <w:lang w:val="en-ZA"/>
        </w:rPr>
        <w:t xml:space="preserve"> interdict was granted on 22 March 2022</w:t>
      </w:r>
      <w:r w:rsidR="00F2557B">
        <w:rPr>
          <w:rStyle w:val="FootnoteReference"/>
          <w:lang w:val="en-ZA"/>
        </w:rPr>
        <w:footnoteReference w:id="3"/>
      </w:r>
      <w:r w:rsidR="009604F3" w:rsidRPr="00A41E69">
        <w:rPr>
          <w:lang w:val="en-ZA"/>
        </w:rPr>
        <w:t xml:space="preserve"> and the </w:t>
      </w:r>
      <w:r w:rsidR="009604F3">
        <w:rPr>
          <w:lang w:val="en-ZA"/>
        </w:rPr>
        <w:t>Respondent</w:t>
      </w:r>
      <w:r w:rsidR="009604F3" w:rsidRPr="009404DC">
        <w:rPr>
          <w:lang w:val="en-ZA"/>
        </w:rPr>
        <w:t>s</w:t>
      </w:r>
      <w:r w:rsidR="009604F3" w:rsidRPr="00A41E69">
        <w:rPr>
          <w:lang w:val="en-ZA"/>
        </w:rPr>
        <w:t xml:space="preserve"> unsuccessfully applied for leave to appeal that order. They were further unsuccessful in an </w:t>
      </w:r>
      <w:r w:rsidR="009604F3" w:rsidRPr="009404DC">
        <w:rPr>
          <w:lang w:val="en-ZA"/>
        </w:rPr>
        <w:t>application</w:t>
      </w:r>
      <w:r w:rsidR="009604F3">
        <w:rPr>
          <w:lang w:val="en-ZA"/>
        </w:rPr>
        <w:t xml:space="preserve"> </w:t>
      </w:r>
      <w:r w:rsidR="009604F3" w:rsidRPr="00A41E69">
        <w:rPr>
          <w:lang w:val="en-ZA"/>
        </w:rPr>
        <w:t>for direct access to the Constitutional Court. They then redirected their efforts and petitioned the Supreme Court of Appeal for leave</w:t>
      </w:r>
      <w:r w:rsidR="009604F3">
        <w:rPr>
          <w:lang w:val="en-ZA"/>
        </w:rPr>
        <w:t xml:space="preserve"> </w:t>
      </w:r>
      <w:r w:rsidR="009604F3" w:rsidRPr="009404DC">
        <w:rPr>
          <w:lang w:val="en-ZA"/>
        </w:rPr>
        <w:t>to</w:t>
      </w:r>
      <w:r w:rsidR="009604F3">
        <w:rPr>
          <w:lang w:val="en-ZA"/>
        </w:rPr>
        <w:t xml:space="preserve"> </w:t>
      </w:r>
      <w:r w:rsidR="009604F3" w:rsidRPr="009404DC">
        <w:rPr>
          <w:lang w:val="en-ZA"/>
        </w:rPr>
        <w:t>appeal.</w:t>
      </w:r>
      <w:r w:rsidR="009604F3">
        <w:rPr>
          <w:lang w:val="en-ZA"/>
        </w:rPr>
        <w:t xml:space="preserve"> </w:t>
      </w:r>
      <w:r w:rsidR="000353FA">
        <w:rPr>
          <w:lang w:val="en-ZA"/>
        </w:rPr>
        <w:t xml:space="preserve">That petition was also unsuccessful. </w:t>
      </w:r>
    </w:p>
    <w:p w14:paraId="4EA2A247" w14:textId="77777777" w:rsidR="009604F3" w:rsidRPr="00A41E69" w:rsidRDefault="009604F3">
      <w:pPr>
        <w:pStyle w:val="JudgmentNumbered"/>
        <w:numPr>
          <w:ilvl w:val="0"/>
          <w:numId w:val="0"/>
        </w:numPr>
        <w:rPr>
          <w:i/>
          <w:lang w:val="en-ZA"/>
        </w:rPr>
      </w:pPr>
      <w:r w:rsidRPr="00A41E69">
        <w:rPr>
          <w:i/>
          <w:lang w:val="en-ZA"/>
        </w:rPr>
        <w:lastRenderedPageBreak/>
        <w:t>This Application</w:t>
      </w:r>
    </w:p>
    <w:p w14:paraId="503851C9" w14:textId="32628EE4" w:rsidR="009604F3" w:rsidRPr="00A41E69" w:rsidRDefault="0048361F" w:rsidP="0048361F">
      <w:pPr>
        <w:pStyle w:val="JudgmentNumbered"/>
        <w:numPr>
          <w:ilvl w:val="0"/>
          <w:numId w:val="0"/>
        </w:numPr>
        <w:ind w:left="567" w:hanging="567"/>
        <w:rPr>
          <w:lang w:val="en-ZA"/>
        </w:rPr>
      </w:pPr>
      <w:r w:rsidRPr="00A41E69">
        <w:rPr>
          <w:lang w:val="en-ZA"/>
        </w:rPr>
        <w:t>[4]</w:t>
      </w:r>
      <w:r w:rsidRPr="00A41E69">
        <w:rPr>
          <w:lang w:val="en-ZA"/>
        </w:rPr>
        <w:tab/>
      </w:r>
      <w:r w:rsidR="009604F3" w:rsidRPr="00A41E69">
        <w:rPr>
          <w:lang w:val="en-ZA"/>
        </w:rPr>
        <w:t xml:space="preserve">This is the application foreshadowed in </w:t>
      </w:r>
      <w:r w:rsidR="009604F3">
        <w:rPr>
          <w:lang w:val="en-ZA"/>
        </w:rPr>
        <w:t>AfriForum</w:t>
      </w:r>
      <w:r w:rsidR="009604F3" w:rsidRPr="009404DC">
        <w:rPr>
          <w:lang w:val="en-ZA"/>
        </w:rPr>
        <w:t>’s</w:t>
      </w:r>
      <w:r w:rsidR="009604F3" w:rsidRPr="00A41E69">
        <w:rPr>
          <w:lang w:val="en-ZA"/>
        </w:rPr>
        <w:t xml:space="preserve"> successful interdict </w:t>
      </w:r>
      <w:r w:rsidR="009604F3" w:rsidRPr="00FD0A6B">
        <w:rPr>
          <w:lang w:val="en-ZA"/>
        </w:rPr>
        <w:t>application. It seeks</w:t>
      </w:r>
      <w:r w:rsidR="009604F3" w:rsidRPr="00A41E69">
        <w:rPr>
          <w:lang w:val="en-ZA"/>
        </w:rPr>
        <w:t xml:space="preserve"> to review and set aside the </w:t>
      </w:r>
      <w:r w:rsidR="0023339A">
        <w:rPr>
          <w:lang w:val="en-ZA"/>
        </w:rPr>
        <w:t>Eighth Respondent</w:t>
      </w:r>
      <w:r w:rsidR="001117A1">
        <w:rPr>
          <w:lang w:val="en-ZA"/>
        </w:rPr>
        <w:t>’s decision</w:t>
      </w:r>
      <w:r w:rsidR="00191DF3">
        <w:rPr>
          <w:lang w:val="en-ZA"/>
        </w:rPr>
        <w:t xml:space="preserve">, taken on behalf of the Seventh Respondent, to approve the </w:t>
      </w:r>
      <w:r w:rsidR="009604F3" w:rsidRPr="00A41E69">
        <w:rPr>
          <w:lang w:val="en-ZA"/>
        </w:rPr>
        <w:t xml:space="preserve">Fourth </w:t>
      </w:r>
      <w:r w:rsidR="009604F3">
        <w:rPr>
          <w:lang w:val="en-ZA"/>
        </w:rPr>
        <w:t>Respondent</w:t>
      </w:r>
      <w:r w:rsidR="009604F3" w:rsidRPr="009404DC">
        <w:rPr>
          <w:lang w:val="en-ZA"/>
        </w:rPr>
        <w:t>’s</w:t>
      </w:r>
      <w:r w:rsidR="009604F3" w:rsidRPr="00A41E69">
        <w:rPr>
          <w:lang w:val="en-ZA"/>
        </w:rPr>
        <w:t xml:space="preserve"> request to retain an accumulated </w:t>
      </w:r>
      <w:r w:rsidR="00FC4FD8">
        <w:rPr>
          <w:lang w:val="en-ZA"/>
        </w:rPr>
        <w:t xml:space="preserve">cash </w:t>
      </w:r>
      <w:r w:rsidR="009604F3" w:rsidRPr="00A41E69">
        <w:rPr>
          <w:lang w:val="en-ZA"/>
        </w:rPr>
        <w:t>surplus</w:t>
      </w:r>
      <w:r w:rsidR="00FC4FD8">
        <w:rPr>
          <w:lang w:val="en-ZA"/>
        </w:rPr>
        <w:t>,</w:t>
      </w:r>
      <w:r w:rsidR="009604F3" w:rsidRPr="00A41E69">
        <w:rPr>
          <w:lang w:val="en-ZA"/>
        </w:rPr>
        <w:t xml:space="preserve"> in its allocated budget for the 2021/2022 financial year</w:t>
      </w:r>
      <w:r w:rsidR="00F64952">
        <w:rPr>
          <w:lang w:val="en-ZA"/>
        </w:rPr>
        <w:t xml:space="preserve">, </w:t>
      </w:r>
      <w:r w:rsidR="00A57228">
        <w:rPr>
          <w:lang w:val="en-ZA"/>
        </w:rPr>
        <w:t>i.e.</w:t>
      </w:r>
      <w:r w:rsidR="00F64952">
        <w:rPr>
          <w:lang w:val="en-ZA"/>
        </w:rPr>
        <w:t xml:space="preserve"> as at 31 March </w:t>
      </w:r>
      <w:r w:rsidR="002A0C42">
        <w:rPr>
          <w:lang w:val="en-ZA"/>
        </w:rPr>
        <w:t>2022</w:t>
      </w:r>
      <w:r w:rsidR="002F4251">
        <w:rPr>
          <w:lang w:val="en-ZA"/>
        </w:rPr>
        <w:t>.</w:t>
      </w:r>
      <w:r w:rsidR="009604F3" w:rsidRPr="00A41E69">
        <w:rPr>
          <w:lang w:val="en-ZA"/>
        </w:rPr>
        <w:t xml:space="preserve"> Also sought to be reviewed and set aside is the decision of the First and/or the Second to the Sixth Respondents to donate the amount of </w:t>
      </w:r>
      <w:r w:rsidR="009604F3" w:rsidRPr="009404DC">
        <w:rPr>
          <w:lang w:val="en-ZA"/>
        </w:rPr>
        <w:t>R50</w:t>
      </w:r>
      <w:r w:rsidR="009604F3" w:rsidRPr="00A41E69">
        <w:rPr>
          <w:lang w:val="en-ZA"/>
        </w:rPr>
        <w:t xml:space="preserve"> million to the Republic of Cuba and/or subsequent supply chain processes related thereto. </w:t>
      </w:r>
      <w:r w:rsidR="009604F3">
        <w:rPr>
          <w:lang w:val="en-ZA"/>
        </w:rPr>
        <w:t>AfriForum</w:t>
      </w:r>
      <w:r w:rsidR="009604F3" w:rsidRPr="00A41E69">
        <w:rPr>
          <w:lang w:val="en-ZA"/>
        </w:rPr>
        <w:t xml:space="preserve"> further seeks certain declaratory relief as well as an order for costs against any </w:t>
      </w:r>
      <w:r w:rsidR="00561BE5">
        <w:rPr>
          <w:lang w:val="en-ZA"/>
        </w:rPr>
        <w:t>Re</w:t>
      </w:r>
      <w:r w:rsidR="00561BE5" w:rsidRPr="00A41E69">
        <w:rPr>
          <w:lang w:val="en-ZA"/>
        </w:rPr>
        <w:t xml:space="preserve">spondent </w:t>
      </w:r>
      <w:r w:rsidR="009604F3" w:rsidRPr="00A41E69">
        <w:rPr>
          <w:lang w:val="en-ZA"/>
        </w:rPr>
        <w:t>opposing this application.</w:t>
      </w:r>
    </w:p>
    <w:p w14:paraId="1BA67D9D" w14:textId="7D6F821B" w:rsidR="009604F3" w:rsidRPr="00A41E69" w:rsidRDefault="009604F3" w:rsidP="009604F3">
      <w:pPr>
        <w:pStyle w:val="JudgmentHeading"/>
        <w:rPr>
          <w:i w:val="0"/>
          <w:lang w:val="en-ZA"/>
        </w:rPr>
      </w:pPr>
      <w:r w:rsidRPr="00A41E69">
        <w:rPr>
          <w:lang w:val="en-ZA"/>
        </w:rPr>
        <w:t>The Parties</w:t>
      </w:r>
    </w:p>
    <w:p w14:paraId="5D2DB199" w14:textId="7CE9DA24" w:rsidR="009604F3" w:rsidRPr="00A41E69" w:rsidRDefault="0048361F" w:rsidP="0048361F">
      <w:pPr>
        <w:pStyle w:val="JudgmentNumbered"/>
        <w:numPr>
          <w:ilvl w:val="0"/>
          <w:numId w:val="0"/>
        </w:numPr>
        <w:ind w:left="567" w:hanging="567"/>
        <w:rPr>
          <w:lang w:val="en-ZA"/>
        </w:rPr>
      </w:pPr>
      <w:r w:rsidRPr="00A41E69">
        <w:rPr>
          <w:lang w:val="en-ZA"/>
        </w:rPr>
        <w:t>[5]</w:t>
      </w:r>
      <w:r w:rsidRPr="00A41E69">
        <w:rPr>
          <w:lang w:val="en-ZA"/>
        </w:rPr>
        <w:tab/>
      </w:r>
      <w:r w:rsidR="009604F3">
        <w:rPr>
          <w:lang w:val="en-ZA"/>
        </w:rPr>
        <w:t>AfriForum</w:t>
      </w:r>
      <w:r w:rsidR="009604F3" w:rsidRPr="00A41E69">
        <w:rPr>
          <w:lang w:val="en-ZA"/>
        </w:rPr>
        <w:t xml:space="preserve"> is the Applicant, a non-profit company duly incorporated in the Republic of South Africa</w:t>
      </w:r>
      <w:r w:rsidR="009604F3" w:rsidRPr="00FD0A6B">
        <w:rPr>
          <w:lang w:val="en-ZA"/>
        </w:rPr>
        <w:t>. It</w:t>
      </w:r>
      <w:r w:rsidR="009604F3" w:rsidRPr="00A41E69">
        <w:rPr>
          <w:lang w:val="en-ZA"/>
        </w:rPr>
        <w:t xml:space="preserve"> styles itself as actively involved in the promotion of the rule of law and constitutional rights.</w:t>
      </w:r>
    </w:p>
    <w:p w14:paraId="3D0311F3" w14:textId="16D4CDDA" w:rsidR="009604F3" w:rsidRPr="00A41E69" w:rsidRDefault="0048361F" w:rsidP="0048361F">
      <w:pPr>
        <w:pStyle w:val="JudgmentNumbered"/>
        <w:numPr>
          <w:ilvl w:val="0"/>
          <w:numId w:val="0"/>
        </w:numPr>
        <w:ind w:left="567" w:hanging="567"/>
        <w:rPr>
          <w:lang w:val="en-ZA"/>
        </w:rPr>
      </w:pPr>
      <w:r w:rsidRPr="00A41E69">
        <w:rPr>
          <w:lang w:val="en-ZA"/>
        </w:rPr>
        <w:t>[6]</w:t>
      </w:r>
      <w:r w:rsidRPr="00A41E69">
        <w:rPr>
          <w:lang w:val="en-ZA"/>
        </w:rPr>
        <w:tab/>
      </w:r>
      <w:r w:rsidR="009604F3" w:rsidRPr="00A41E69">
        <w:rPr>
          <w:lang w:val="en-ZA"/>
        </w:rPr>
        <w:t xml:space="preserve">The First and Second Respondents are the Minister and Deputy Minister of International Relations and Co-operation. They are the cabinet member and deputy, responsible for </w:t>
      </w:r>
      <w:r w:rsidR="000C01E2">
        <w:rPr>
          <w:lang w:val="en-ZA"/>
        </w:rPr>
        <w:t>DIRCO.</w:t>
      </w:r>
      <w:r w:rsidR="009604F3" w:rsidRPr="00A41E69">
        <w:rPr>
          <w:lang w:val="en-ZA"/>
        </w:rPr>
        <w:t xml:space="preserve"> The Minister and Deputy Minster referred to in this matter are Ms Naledi Pandor and Mr Alvin Botes. The Third Respondent is the Director-General of DIRCO. </w:t>
      </w:r>
    </w:p>
    <w:p w14:paraId="39D4692D" w14:textId="3107E479" w:rsidR="009604F3" w:rsidRPr="00A41E69" w:rsidRDefault="0048361F" w:rsidP="0048361F">
      <w:pPr>
        <w:pStyle w:val="JudgmentNumbered"/>
        <w:numPr>
          <w:ilvl w:val="0"/>
          <w:numId w:val="0"/>
        </w:numPr>
        <w:ind w:left="567" w:hanging="567"/>
        <w:rPr>
          <w:lang w:val="en-ZA"/>
        </w:rPr>
      </w:pPr>
      <w:r w:rsidRPr="00A41E69">
        <w:rPr>
          <w:lang w:val="en-ZA"/>
        </w:rPr>
        <w:t>[7]</w:t>
      </w:r>
      <w:r w:rsidRPr="00A41E69">
        <w:rPr>
          <w:lang w:val="en-ZA"/>
        </w:rPr>
        <w:tab/>
      </w:r>
      <w:r w:rsidR="009604F3" w:rsidRPr="00A41E69">
        <w:rPr>
          <w:lang w:val="en-ZA"/>
        </w:rPr>
        <w:t>The Fourth Respondent is the African Renaissance Fund. It is a schedule 3A public entity in terms of the Public Finance Management Act</w:t>
      </w:r>
      <w:r w:rsidR="009604F3" w:rsidRPr="009404DC">
        <w:rPr>
          <w:lang w:val="en-ZA"/>
        </w:rPr>
        <w:t>.</w:t>
      </w:r>
      <w:r w:rsidR="009604F3" w:rsidRPr="00A41E69">
        <w:rPr>
          <w:rStyle w:val="FootnoteReference"/>
          <w:lang w:val="en-ZA"/>
        </w:rPr>
        <w:footnoteReference w:id="4"/>
      </w:r>
      <w:r w:rsidR="009604F3" w:rsidRPr="00A41E69">
        <w:rPr>
          <w:lang w:val="en-ZA"/>
        </w:rPr>
        <w:t xml:space="preserve"> It was established in terms of </w:t>
      </w:r>
      <w:r w:rsidR="009604F3" w:rsidRPr="009404DC">
        <w:rPr>
          <w:lang w:val="en-ZA"/>
        </w:rPr>
        <w:t>section</w:t>
      </w:r>
      <w:r w:rsidR="009604F3" w:rsidRPr="00A41E69">
        <w:rPr>
          <w:lang w:val="en-ZA"/>
        </w:rPr>
        <w:t xml:space="preserve"> 2 of the </w:t>
      </w:r>
      <w:r w:rsidR="00170CE7">
        <w:rPr>
          <w:lang w:val="en-ZA"/>
        </w:rPr>
        <w:t>Act</w:t>
      </w:r>
      <w:r w:rsidR="009604F3" w:rsidRPr="00A41E69">
        <w:rPr>
          <w:lang w:val="en-ZA"/>
        </w:rPr>
        <w:t xml:space="preserve"> and is located within DIRCO. In terms of section 2, the African Renaissance Fund consists, inter alia, of “money appropriated by Parliament for the Fund</w:t>
      </w:r>
      <w:r w:rsidR="009604F3" w:rsidRPr="009404DC">
        <w:rPr>
          <w:lang w:val="en-ZA"/>
        </w:rPr>
        <w:t>”.</w:t>
      </w:r>
      <w:r w:rsidR="009604F3" w:rsidRPr="00A41E69">
        <w:rPr>
          <w:rStyle w:val="FootnoteReference"/>
          <w:lang w:val="en-ZA"/>
        </w:rPr>
        <w:footnoteReference w:id="5"/>
      </w:r>
      <w:r w:rsidR="009604F3" w:rsidRPr="00A41E69">
        <w:rPr>
          <w:lang w:val="en-ZA"/>
        </w:rPr>
        <w:t xml:space="preserve"> Its objects are found in Section 4 and are</w:t>
      </w:r>
      <w:r w:rsidR="009604F3">
        <w:rPr>
          <w:lang w:val="en-ZA"/>
        </w:rPr>
        <w:t>:</w:t>
      </w:r>
    </w:p>
    <w:p w14:paraId="24D3AB48" w14:textId="77777777" w:rsidR="009604F3" w:rsidRPr="00A41E69" w:rsidRDefault="009604F3" w:rsidP="00DA7CA1">
      <w:pPr>
        <w:pStyle w:val="JudgmentNumbered"/>
        <w:numPr>
          <w:ilvl w:val="0"/>
          <w:numId w:val="0"/>
        </w:numPr>
        <w:spacing w:after="0" w:line="240" w:lineRule="auto"/>
        <w:ind w:left="1134" w:right="522"/>
        <w:rPr>
          <w:sz w:val="22"/>
          <w:lang w:val="en-ZA"/>
        </w:rPr>
      </w:pPr>
      <w:r w:rsidRPr="00A41E69">
        <w:rPr>
          <w:sz w:val="22"/>
          <w:lang w:val="en-ZA"/>
        </w:rPr>
        <w:t xml:space="preserve">“4. The money in the Fund must be utilise to enhance – </w:t>
      </w:r>
    </w:p>
    <w:p w14:paraId="675EAB04" w14:textId="77777777" w:rsidR="009604F3" w:rsidRPr="00A41E69" w:rsidRDefault="009604F3" w:rsidP="000465E2">
      <w:pPr>
        <w:pStyle w:val="JudgmentNumbered"/>
        <w:numPr>
          <w:ilvl w:val="0"/>
          <w:numId w:val="0"/>
        </w:numPr>
        <w:spacing w:after="0" w:line="240" w:lineRule="auto"/>
        <w:ind w:left="1560" w:right="522" w:hanging="404"/>
        <w:rPr>
          <w:sz w:val="22"/>
          <w:lang w:val="en-ZA"/>
        </w:rPr>
      </w:pPr>
      <w:r w:rsidRPr="00A41E69">
        <w:rPr>
          <w:sz w:val="22"/>
          <w:lang w:val="en-ZA"/>
        </w:rPr>
        <w:t xml:space="preserve">(a) </w:t>
      </w:r>
      <w:r w:rsidRPr="009404DC">
        <w:rPr>
          <w:sz w:val="22"/>
          <w:szCs w:val="20"/>
          <w:lang w:val="en-ZA"/>
        </w:rPr>
        <w:tab/>
      </w:r>
      <w:r w:rsidRPr="00A41E69">
        <w:rPr>
          <w:sz w:val="22"/>
          <w:lang w:val="en-ZA"/>
        </w:rPr>
        <w:t xml:space="preserve">co-operation between the Republic and other countries, in particular African countries. </w:t>
      </w:r>
    </w:p>
    <w:p w14:paraId="35D3ABB2" w14:textId="77777777" w:rsidR="009604F3" w:rsidRPr="00A41E69" w:rsidRDefault="009604F3" w:rsidP="000465E2">
      <w:pPr>
        <w:pStyle w:val="JudgmentNumbered"/>
        <w:numPr>
          <w:ilvl w:val="0"/>
          <w:numId w:val="0"/>
        </w:numPr>
        <w:spacing w:after="0" w:line="240" w:lineRule="auto"/>
        <w:ind w:left="1560" w:right="522" w:hanging="404"/>
        <w:rPr>
          <w:sz w:val="22"/>
          <w:lang w:val="en-ZA"/>
        </w:rPr>
      </w:pPr>
      <w:r w:rsidRPr="00A41E69">
        <w:rPr>
          <w:sz w:val="22"/>
          <w:lang w:val="en-ZA"/>
        </w:rPr>
        <w:t xml:space="preserve">(b) </w:t>
      </w:r>
      <w:r w:rsidRPr="009404DC">
        <w:rPr>
          <w:sz w:val="22"/>
          <w:szCs w:val="20"/>
          <w:lang w:val="en-ZA"/>
        </w:rPr>
        <w:tab/>
      </w:r>
      <w:r w:rsidRPr="00A41E69">
        <w:rPr>
          <w:sz w:val="22"/>
          <w:lang w:val="en-ZA"/>
        </w:rPr>
        <w:t>the promotion of democracy and good governance.</w:t>
      </w:r>
    </w:p>
    <w:p w14:paraId="146E8D14" w14:textId="77777777" w:rsidR="009604F3" w:rsidRPr="00A41E69" w:rsidRDefault="009604F3" w:rsidP="000465E2">
      <w:pPr>
        <w:pStyle w:val="JudgmentNumbered"/>
        <w:numPr>
          <w:ilvl w:val="0"/>
          <w:numId w:val="0"/>
        </w:numPr>
        <w:spacing w:after="0" w:line="240" w:lineRule="auto"/>
        <w:ind w:left="1560" w:right="522" w:hanging="404"/>
        <w:rPr>
          <w:sz w:val="22"/>
          <w:lang w:val="en-ZA"/>
        </w:rPr>
      </w:pPr>
      <w:r w:rsidRPr="00A41E69">
        <w:rPr>
          <w:sz w:val="22"/>
          <w:lang w:val="en-ZA"/>
        </w:rPr>
        <w:t xml:space="preserve">(c) </w:t>
      </w:r>
      <w:r w:rsidRPr="009404DC">
        <w:rPr>
          <w:sz w:val="22"/>
          <w:szCs w:val="20"/>
          <w:lang w:val="en-ZA"/>
        </w:rPr>
        <w:tab/>
      </w:r>
      <w:r w:rsidRPr="00A41E69">
        <w:rPr>
          <w:sz w:val="22"/>
          <w:lang w:val="en-ZA"/>
        </w:rPr>
        <w:t>the prevention of conflict.</w:t>
      </w:r>
    </w:p>
    <w:p w14:paraId="702701B1" w14:textId="77777777" w:rsidR="009604F3" w:rsidRPr="00A41E69" w:rsidRDefault="009604F3" w:rsidP="000465E2">
      <w:pPr>
        <w:pStyle w:val="JudgmentNumbered"/>
        <w:numPr>
          <w:ilvl w:val="0"/>
          <w:numId w:val="0"/>
        </w:numPr>
        <w:spacing w:after="0" w:line="240" w:lineRule="auto"/>
        <w:ind w:left="1560" w:right="522" w:hanging="404"/>
        <w:rPr>
          <w:sz w:val="22"/>
          <w:lang w:val="en-ZA"/>
        </w:rPr>
      </w:pPr>
      <w:r w:rsidRPr="00A41E69">
        <w:rPr>
          <w:sz w:val="22"/>
          <w:lang w:val="en-ZA"/>
        </w:rPr>
        <w:lastRenderedPageBreak/>
        <w:t xml:space="preserve">(d) </w:t>
      </w:r>
      <w:r w:rsidRPr="009404DC">
        <w:rPr>
          <w:sz w:val="22"/>
          <w:szCs w:val="20"/>
          <w:lang w:val="en-ZA"/>
        </w:rPr>
        <w:tab/>
      </w:r>
      <w:r w:rsidRPr="00A41E69">
        <w:rPr>
          <w:sz w:val="22"/>
          <w:lang w:val="en-ZA"/>
        </w:rPr>
        <w:t xml:space="preserve">socio economic development and integration; and </w:t>
      </w:r>
    </w:p>
    <w:p w14:paraId="2378E3CE" w14:textId="77777777" w:rsidR="009604F3" w:rsidRPr="00566945" w:rsidRDefault="009604F3" w:rsidP="00A16C78">
      <w:pPr>
        <w:pStyle w:val="JudgmentNumbered"/>
        <w:numPr>
          <w:ilvl w:val="0"/>
          <w:numId w:val="0"/>
        </w:numPr>
        <w:spacing w:after="360" w:line="240" w:lineRule="auto"/>
        <w:ind w:left="1560" w:right="522" w:hanging="403"/>
      </w:pPr>
      <w:r w:rsidRPr="00A41E69">
        <w:rPr>
          <w:sz w:val="22"/>
          <w:lang w:val="en-ZA"/>
        </w:rPr>
        <w:t xml:space="preserve">(e) </w:t>
      </w:r>
      <w:r w:rsidRPr="009404DC">
        <w:rPr>
          <w:sz w:val="22"/>
          <w:szCs w:val="20"/>
          <w:lang w:val="en-ZA"/>
        </w:rPr>
        <w:tab/>
      </w:r>
      <w:r w:rsidRPr="00A41E69">
        <w:rPr>
          <w:sz w:val="22"/>
          <w:lang w:val="en-ZA"/>
        </w:rPr>
        <w:t xml:space="preserve">humanitarian assistance and human resource development.” </w:t>
      </w:r>
    </w:p>
    <w:p w14:paraId="6FC81D17" w14:textId="74D52C0D" w:rsidR="009604F3" w:rsidRPr="00A41E69" w:rsidRDefault="0048361F" w:rsidP="0048361F">
      <w:pPr>
        <w:pStyle w:val="JudgmentNumbered"/>
        <w:numPr>
          <w:ilvl w:val="0"/>
          <w:numId w:val="0"/>
        </w:numPr>
        <w:ind w:left="567" w:hanging="567"/>
        <w:rPr>
          <w:lang w:val="en-ZA"/>
        </w:rPr>
      </w:pPr>
      <w:r w:rsidRPr="00A41E69">
        <w:rPr>
          <w:lang w:val="en-ZA"/>
        </w:rPr>
        <w:t>[8]</w:t>
      </w:r>
      <w:r w:rsidRPr="00A41E69">
        <w:rPr>
          <w:lang w:val="en-ZA"/>
        </w:rPr>
        <w:tab/>
      </w:r>
      <w:r w:rsidR="009604F3" w:rsidRPr="00A41E69">
        <w:rPr>
          <w:lang w:val="en-ZA"/>
        </w:rPr>
        <w:t>The Fifth Respondent is the Advisory Committee of the African Renaissance Fund (the Advisory Committee) being the Committee envisaged in section 5 of the Act. In terms of section 5(1</w:t>
      </w:r>
      <w:r w:rsidR="009604F3" w:rsidRPr="009404DC">
        <w:rPr>
          <w:lang w:val="en-ZA"/>
        </w:rPr>
        <w:t>),</w:t>
      </w:r>
      <w:r w:rsidR="009604F3" w:rsidRPr="00A41E69">
        <w:rPr>
          <w:lang w:val="en-ZA"/>
        </w:rPr>
        <w:t xml:space="preserve"> the Advisory Committee consists of the Director</w:t>
      </w:r>
      <w:r w:rsidR="000C01E2">
        <w:rPr>
          <w:lang w:val="en-ZA"/>
        </w:rPr>
        <w:t>-</w:t>
      </w:r>
      <w:r w:rsidR="009604F3" w:rsidRPr="00A41E69">
        <w:rPr>
          <w:lang w:val="en-ZA"/>
        </w:rPr>
        <w:t>General of DIRCO or his delegate, three officials from DIRCO appointed by the Minister and two officials of the Department of Finance appointed by the Minister of Finance</w:t>
      </w:r>
      <w:r w:rsidR="000C01E2">
        <w:rPr>
          <w:lang w:val="en-ZA"/>
        </w:rPr>
        <w:t>,</w:t>
      </w:r>
      <w:r w:rsidR="009604F3" w:rsidRPr="00A41E69">
        <w:rPr>
          <w:lang w:val="en-ZA"/>
        </w:rPr>
        <w:t xml:space="preserve"> </w:t>
      </w:r>
      <w:r w:rsidR="0072220B" w:rsidRPr="00A41E69">
        <w:rPr>
          <w:lang w:val="en-ZA"/>
        </w:rPr>
        <w:t>i.e.</w:t>
      </w:r>
      <w:r w:rsidR="009604F3" w:rsidRPr="00A41E69">
        <w:rPr>
          <w:lang w:val="en-ZA"/>
        </w:rPr>
        <w:t xml:space="preserve"> six members in total. Funds accruing to the fund must be “disbursed upon the recommendation of the Advisory Committee and approval by the Minister in consultation with the Minister of Finance</w:t>
      </w:r>
      <w:r w:rsidR="009604F3">
        <w:rPr>
          <w:lang w:val="en-ZA"/>
        </w:rPr>
        <w:t>”.</w:t>
      </w:r>
      <w:r w:rsidR="009604F3" w:rsidRPr="00A41E69">
        <w:rPr>
          <w:rStyle w:val="FootnoteReference"/>
          <w:lang w:val="en-ZA"/>
        </w:rPr>
        <w:footnoteReference w:id="6"/>
      </w:r>
      <w:r w:rsidR="009604F3" w:rsidRPr="00A41E69">
        <w:rPr>
          <w:lang w:val="en-ZA"/>
        </w:rPr>
        <w:t xml:space="preserve"> The operations of the Advisory Committee are further carried out in line with </w:t>
      </w:r>
      <w:r w:rsidR="009604F3" w:rsidRPr="009404DC">
        <w:rPr>
          <w:lang w:val="en-ZA"/>
        </w:rPr>
        <w:t>its</w:t>
      </w:r>
      <w:r w:rsidR="009604F3">
        <w:rPr>
          <w:lang w:val="en-ZA"/>
        </w:rPr>
        <w:t xml:space="preserve"> </w:t>
      </w:r>
      <w:r w:rsidR="009604F3" w:rsidRPr="00A41E69">
        <w:rPr>
          <w:lang w:val="en-ZA"/>
        </w:rPr>
        <w:t xml:space="preserve">Terms of Reference which will be considered later in this </w:t>
      </w:r>
      <w:r w:rsidR="009604F3">
        <w:rPr>
          <w:lang w:val="en-ZA"/>
        </w:rPr>
        <w:t>judgment</w:t>
      </w:r>
      <w:r w:rsidR="009604F3" w:rsidRPr="00A41E69">
        <w:rPr>
          <w:lang w:val="en-ZA"/>
        </w:rPr>
        <w:t xml:space="preserve">. The </w:t>
      </w:r>
      <w:r w:rsidR="009604F3">
        <w:rPr>
          <w:lang w:val="en-ZA"/>
        </w:rPr>
        <w:t>F</w:t>
      </w:r>
      <w:r w:rsidR="009604F3" w:rsidRPr="009404DC">
        <w:rPr>
          <w:lang w:val="en-ZA"/>
        </w:rPr>
        <w:t>irst</w:t>
      </w:r>
      <w:r w:rsidR="009604F3" w:rsidRPr="00A41E69">
        <w:rPr>
          <w:lang w:val="en-ZA"/>
        </w:rPr>
        <w:t xml:space="preserve"> to </w:t>
      </w:r>
      <w:r w:rsidR="009604F3">
        <w:rPr>
          <w:lang w:val="en-ZA"/>
        </w:rPr>
        <w:t>F</w:t>
      </w:r>
      <w:r w:rsidR="009604F3" w:rsidRPr="009404DC">
        <w:rPr>
          <w:lang w:val="en-ZA"/>
        </w:rPr>
        <w:t>ifth</w:t>
      </w:r>
      <w:r w:rsidR="009604F3" w:rsidRPr="00A41E69">
        <w:rPr>
          <w:lang w:val="en-ZA"/>
        </w:rPr>
        <w:t xml:space="preserve"> Respondents, are sometimes also collectively referred to as the DIRCO </w:t>
      </w:r>
      <w:r w:rsidR="009604F3">
        <w:rPr>
          <w:lang w:val="en-ZA"/>
        </w:rPr>
        <w:t>Respondent</w:t>
      </w:r>
      <w:r w:rsidR="009604F3" w:rsidRPr="009404DC">
        <w:rPr>
          <w:lang w:val="en-ZA"/>
        </w:rPr>
        <w:t>s</w:t>
      </w:r>
      <w:r w:rsidR="009604F3" w:rsidRPr="00A41E69">
        <w:rPr>
          <w:lang w:val="en-ZA"/>
        </w:rPr>
        <w:t>.</w:t>
      </w:r>
    </w:p>
    <w:p w14:paraId="6B10F197" w14:textId="2CE1FDDF" w:rsidR="009604F3" w:rsidRPr="00A41E69" w:rsidRDefault="0048361F" w:rsidP="0048361F">
      <w:pPr>
        <w:pStyle w:val="JudgmentNumbered"/>
        <w:numPr>
          <w:ilvl w:val="0"/>
          <w:numId w:val="0"/>
        </w:numPr>
        <w:ind w:left="567" w:hanging="567"/>
        <w:rPr>
          <w:lang w:val="en-ZA"/>
        </w:rPr>
      </w:pPr>
      <w:r w:rsidRPr="00A41E69">
        <w:rPr>
          <w:lang w:val="en-ZA"/>
        </w:rPr>
        <w:t>[9]</w:t>
      </w:r>
      <w:r w:rsidRPr="00A41E69">
        <w:rPr>
          <w:lang w:val="en-ZA"/>
        </w:rPr>
        <w:tab/>
      </w:r>
      <w:r w:rsidR="009604F3" w:rsidRPr="00A41E69">
        <w:rPr>
          <w:lang w:val="en-ZA"/>
        </w:rPr>
        <w:t>The Sixth Respondent is the Minister of Finance, the Minister in the cabinet responsible for the Department of Finance; the Seventh Respondent is the Director</w:t>
      </w:r>
      <w:r w:rsidR="000C01E2">
        <w:rPr>
          <w:lang w:val="en-ZA"/>
        </w:rPr>
        <w:t>-</w:t>
      </w:r>
      <w:r w:rsidR="009604F3" w:rsidRPr="00A41E69">
        <w:rPr>
          <w:lang w:val="en-ZA"/>
        </w:rPr>
        <w:t>General of the Department of Finance; the Eighth Respondent is the Deputy Director</w:t>
      </w:r>
      <w:r w:rsidR="000C01E2">
        <w:rPr>
          <w:lang w:val="en-ZA"/>
        </w:rPr>
        <w:t>-</w:t>
      </w:r>
      <w:r w:rsidR="009604F3" w:rsidRPr="00A41E69">
        <w:rPr>
          <w:lang w:val="en-ZA"/>
        </w:rPr>
        <w:t>General of the Department of Finance. The Ninth Respondent is the National Treasury, as contemplated in section 5 of the PFMA</w:t>
      </w:r>
      <w:r w:rsidR="009604F3" w:rsidRPr="009404DC">
        <w:rPr>
          <w:lang w:val="en-ZA"/>
        </w:rPr>
        <w:t>.</w:t>
      </w:r>
      <w:r w:rsidR="009604F3" w:rsidRPr="00A41E69">
        <w:rPr>
          <w:lang w:val="en-ZA"/>
        </w:rPr>
        <w:t xml:space="preserve"> The </w:t>
      </w:r>
      <w:r w:rsidR="009604F3">
        <w:rPr>
          <w:lang w:val="en-ZA"/>
        </w:rPr>
        <w:t>S</w:t>
      </w:r>
      <w:r w:rsidR="009604F3" w:rsidRPr="009404DC">
        <w:rPr>
          <w:lang w:val="en-ZA"/>
        </w:rPr>
        <w:t>eventh</w:t>
      </w:r>
      <w:r w:rsidR="009604F3" w:rsidRPr="00A41E69">
        <w:rPr>
          <w:lang w:val="en-ZA"/>
        </w:rPr>
        <w:t xml:space="preserve"> to </w:t>
      </w:r>
      <w:r w:rsidR="009604F3">
        <w:rPr>
          <w:lang w:val="en-ZA"/>
        </w:rPr>
        <w:t>N</w:t>
      </w:r>
      <w:r w:rsidR="009604F3" w:rsidRPr="009404DC">
        <w:rPr>
          <w:lang w:val="en-ZA"/>
        </w:rPr>
        <w:t>inth</w:t>
      </w:r>
      <w:r w:rsidR="009604F3">
        <w:rPr>
          <w:lang w:val="en-ZA"/>
        </w:rPr>
        <w:t xml:space="preserve"> Respondent</w:t>
      </w:r>
      <w:r w:rsidR="009604F3" w:rsidRPr="009404DC">
        <w:rPr>
          <w:lang w:val="en-ZA"/>
        </w:rPr>
        <w:t>s</w:t>
      </w:r>
      <w:r w:rsidR="009604F3" w:rsidRPr="00A41E69">
        <w:rPr>
          <w:lang w:val="en-ZA"/>
        </w:rPr>
        <w:t xml:space="preserve"> will sometimes be collectively referred to the Treasury </w:t>
      </w:r>
      <w:r w:rsidR="009604F3" w:rsidRPr="009404DC">
        <w:rPr>
          <w:lang w:val="en-ZA"/>
        </w:rPr>
        <w:t>Respondents</w:t>
      </w:r>
      <w:r w:rsidR="009604F3" w:rsidRPr="00A41E69">
        <w:rPr>
          <w:lang w:val="en-ZA"/>
        </w:rPr>
        <w:t>.</w:t>
      </w:r>
    </w:p>
    <w:p w14:paraId="04111FFA" w14:textId="010B6302" w:rsidR="009604F3" w:rsidRPr="00A41E69" w:rsidRDefault="0048361F" w:rsidP="0048361F">
      <w:pPr>
        <w:pStyle w:val="JudgmentNumbered"/>
        <w:numPr>
          <w:ilvl w:val="0"/>
          <w:numId w:val="0"/>
        </w:numPr>
        <w:ind w:left="567" w:hanging="567"/>
        <w:rPr>
          <w:lang w:val="en-ZA"/>
        </w:rPr>
      </w:pPr>
      <w:r w:rsidRPr="00A41E69">
        <w:rPr>
          <w:lang w:val="en-ZA"/>
        </w:rPr>
        <w:t>[10]</w:t>
      </w:r>
      <w:r w:rsidRPr="00A41E69">
        <w:rPr>
          <w:lang w:val="en-ZA"/>
        </w:rPr>
        <w:tab/>
      </w:r>
      <w:r w:rsidR="009604F3" w:rsidRPr="00A41E69">
        <w:rPr>
          <w:lang w:val="en-ZA"/>
        </w:rPr>
        <w:t xml:space="preserve">The Tenth Respondent is the Parliament of the Republic of South Africa, as contemplated in section 42 of the Constitution and the Eleventh Respondent is the President of the Republic of South Africa, the head of both the state and national executive of South Africa, as contemplated in section 83 of the Constitution. These </w:t>
      </w:r>
      <w:r w:rsidR="009604F3">
        <w:rPr>
          <w:lang w:val="en-ZA"/>
        </w:rPr>
        <w:t>Respondent</w:t>
      </w:r>
      <w:r w:rsidR="009604F3" w:rsidRPr="009404DC">
        <w:rPr>
          <w:lang w:val="en-ZA"/>
        </w:rPr>
        <w:t>s</w:t>
      </w:r>
      <w:r w:rsidR="009604F3" w:rsidRPr="00A41E69">
        <w:rPr>
          <w:lang w:val="en-ZA"/>
        </w:rPr>
        <w:t xml:space="preserve"> have played no part in these proceedings.</w:t>
      </w:r>
    </w:p>
    <w:p w14:paraId="20045F83" w14:textId="77777777" w:rsidR="009604F3" w:rsidRPr="00A41E69" w:rsidRDefault="009604F3">
      <w:pPr>
        <w:pStyle w:val="JudgmentNumbered"/>
        <w:numPr>
          <w:ilvl w:val="0"/>
          <w:numId w:val="0"/>
        </w:numPr>
        <w:rPr>
          <w:i/>
          <w:lang w:val="en-ZA"/>
        </w:rPr>
      </w:pPr>
      <w:r w:rsidRPr="00A41E69">
        <w:rPr>
          <w:i/>
          <w:lang w:val="en-ZA"/>
        </w:rPr>
        <w:t>Salient facts</w:t>
      </w:r>
    </w:p>
    <w:p w14:paraId="62D0E613" w14:textId="375CE008" w:rsidR="009604F3" w:rsidRPr="00A41E69" w:rsidRDefault="0048361F" w:rsidP="0048361F">
      <w:pPr>
        <w:pStyle w:val="JudgmentNumbered"/>
        <w:numPr>
          <w:ilvl w:val="0"/>
          <w:numId w:val="0"/>
        </w:numPr>
        <w:ind w:left="567" w:hanging="567"/>
        <w:rPr>
          <w:lang w:val="en-ZA"/>
        </w:rPr>
      </w:pPr>
      <w:r w:rsidRPr="00A41E69">
        <w:rPr>
          <w:lang w:val="en-ZA"/>
        </w:rPr>
        <w:t>[11]</w:t>
      </w:r>
      <w:r w:rsidRPr="00A41E69">
        <w:rPr>
          <w:lang w:val="en-ZA"/>
        </w:rPr>
        <w:tab/>
      </w:r>
      <w:r w:rsidR="009604F3" w:rsidRPr="00A41E69">
        <w:rPr>
          <w:lang w:val="en-ZA"/>
        </w:rPr>
        <w:t xml:space="preserve">On 31 May 2021, the Acting Director-General of DIRCO transmitted a request to the Ninth Respondent (National Treasury) to retain a cash surplus, in the budget of the African Renaissance Fund, as at 31 March 2021. The request was </w:t>
      </w:r>
      <w:r w:rsidR="00563753">
        <w:rPr>
          <w:lang w:val="en-ZA"/>
        </w:rPr>
        <w:t>made</w:t>
      </w:r>
      <w:r w:rsidR="00563753" w:rsidRPr="00A41E69">
        <w:rPr>
          <w:lang w:val="en-ZA"/>
        </w:rPr>
        <w:t xml:space="preserve"> </w:t>
      </w:r>
      <w:r w:rsidR="009604F3" w:rsidRPr="00A41E69">
        <w:rPr>
          <w:lang w:val="en-ZA"/>
        </w:rPr>
        <w:t xml:space="preserve">in terms of section 53(3) of the PFMA. </w:t>
      </w:r>
      <w:r w:rsidR="009604F3" w:rsidRPr="00DE2467">
        <w:rPr>
          <w:lang w:val="en-ZA"/>
        </w:rPr>
        <w:t xml:space="preserve">This section provides that a </w:t>
      </w:r>
      <w:r w:rsidR="00DE2467">
        <w:rPr>
          <w:lang w:val="en-ZA"/>
        </w:rPr>
        <w:t xml:space="preserve">Schedule 3 </w:t>
      </w:r>
      <w:r w:rsidR="009604F3" w:rsidRPr="00DE2467">
        <w:rPr>
          <w:lang w:val="en-ZA"/>
        </w:rPr>
        <w:t xml:space="preserve">public </w:t>
      </w:r>
      <w:r w:rsidR="009604F3" w:rsidRPr="00DE2467">
        <w:rPr>
          <w:lang w:val="en-ZA"/>
        </w:rPr>
        <w:lastRenderedPageBreak/>
        <w:t xml:space="preserve">entity may not accumulate a surplus unless the prior written approval of </w:t>
      </w:r>
      <w:r w:rsidR="00D4529E">
        <w:rPr>
          <w:lang w:val="en-ZA"/>
        </w:rPr>
        <w:t xml:space="preserve">the </w:t>
      </w:r>
      <w:r w:rsidR="009604F3" w:rsidRPr="00DE2467">
        <w:rPr>
          <w:lang w:val="en-ZA"/>
        </w:rPr>
        <w:t>National Treasury has been obtained</w:t>
      </w:r>
      <w:r w:rsidR="009604F3" w:rsidRPr="00A41E69">
        <w:rPr>
          <w:lang w:val="en-ZA"/>
        </w:rPr>
        <w:t>. In the request, the Acting Director</w:t>
      </w:r>
      <w:r w:rsidR="00563753">
        <w:rPr>
          <w:lang w:val="en-ZA"/>
        </w:rPr>
        <w:t>-</w:t>
      </w:r>
      <w:r w:rsidR="009604F3" w:rsidRPr="00A41E69">
        <w:rPr>
          <w:lang w:val="en-ZA"/>
        </w:rPr>
        <w:t xml:space="preserve">General documented both the available and committed funds in the Fund in (a) displaying that the surplus declared as at 31 March 2021 was R 71 537 000.00 (R71 </w:t>
      </w:r>
      <w:r w:rsidR="00170CE7">
        <w:rPr>
          <w:lang w:val="en-ZA"/>
        </w:rPr>
        <w:t>m</w:t>
      </w:r>
      <w:r w:rsidR="009604F3" w:rsidRPr="00A41E69">
        <w:rPr>
          <w:lang w:val="en-ZA"/>
        </w:rPr>
        <w:t>illion) and (b) requesting approval to retain the said surplus amount, which would be “earmarked for any urgent humanitarian assistance to African countries as a result of national disasters</w:t>
      </w:r>
      <w:r w:rsidR="009604F3">
        <w:rPr>
          <w:lang w:val="en-ZA"/>
        </w:rPr>
        <w:t>”.</w:t>
      </w:r>
    </w:p>
    <w:p w14:paraId="03175DAB" w14:textId="7C64855B" w:rsidR="009604F3" w:rsidRPr="00A41E69" w:rsidRDefault="0048361F" w:rsidP="0048361F">
      <w:pPr>
        <w:pStyle w:val="JudgmentNumbered"/>
        <w:numPr>
          <w:ilvl w:val="0"/>
          <w:numId w:val="0"/>
        </w:numPr>
        <w:ind w:left="567" w:hanging="567"/>
        <w:rPr>
          <w:lang w:val="en-ZA"/>
        </w:rPr>
      </w:pPr>
      <w:r w:rsidRPr="00A41E69">
        <w:rPr>
          <w:lang w:val="en-ZA"/>
        </w:rPr>
        <w:t>[12]</w:t>
      </w:r>
      <w:r w:rsidRPr="00A41E69">
        <w:rPr>
          <w:lang w:val="en-ZA"/>
        </w:rPr>
        <w:tab/>
      </w:r>
      <w:r w:rsidR="009604F3" w:rsidRPr="00A41E69">
        <w:rPr>
          <w:lang w:val="en-ZA"/>
        </w:rPr>
        <w:t xml:space="preserve">This request was, according to the DIRCO </w:t>
      </w:r>
      <w:r w:rsidR="009604F3">
        <w:rPr>
          <w:lang w:val="en-ZA"/>
        </w:rPr>
        <w:t>Respondent</w:t>
      </w:r>
      <w:r w:rsidR="009604F3" w:rsidRPr="009404DC">
        <w:rPr>
          <w:lang w:val="en-ZA"/>
        </w:rPr>
        <w:t>s</w:t>
      </w:r>
      <w:r w:rsidR="009604F3" w:rsidRPr="00A41E69">
        <w:rPr>
          <w:lang w:val="en-ZA"/>
        </w:rPr>
        <w:t xml:space="preserve">, made in terms of </w:t>
      </w:r>
      <w:r w:rsidR="009604F3" w:rsidRPr="00ED7522">
        <w:rPr>
          <w:lang w:val="en-ZA"/>
        </w:rPr>
        <w:t>National Treasury Instruction No 12</w:t>
      </w:r>
      <w:r w:rsidR="009604F3" w:rsidRPr="00A41E69">
        <w:rPr>
          <w:lang w:val="en-ZA"/>
        </w:rPr>
        <w:t xml:space="preserve"> of 2020/2021 which outlines the process to be followed by accounting officers who declare surpluses. The </w:t>
      </w:r>
      <w:r w:rsidR="00ED7522">
        <w:rPr>
          <w:lang w:val="en-ZA"/>
        </w:rPr>
        <w:t xml:space="preserve">Treasury </w:t>
      </w:r>
      <w:r w:rsidR="009604F3" w:rsidRPr="00A41E69">
        <w:rPr>
          <w:lang w:val="en-ZA"/>
        </w:rPr>
        <w:t xml:space="preserve">Instruction specifies that Schedule 3A entities are permitted to submit surplus retention requests to National Treasury as at 31 March (year-end). </w:t>
      </w:r>
    </w:p>
    <w:p w14:paraId="327118C7" w14:textId="197D70FE" w:rsidR="009604F3" w:rsidRPr="00A41E69" w:rsidRDefault="0048361F" w:rsidP="0048361F">
      <w:pPr>
        <w:pStyle w:val="JudgmentNumbered"/>
        <w:numPr>
          <w:ilvl w:val="0"/>
          <w:numId w:val="0"/>
        </w:numPr>
        <w:ind w:left="567" w:hanging="567"/>
        <w:rPr>
          <w:lang w:val="en-ZA"/>
        </w:rPr>
      </w:pPr>
      <w:r w:rsidRPr="00A41E69">
        <w:rPr>
          <w:lang w:val="en-ZA"/>
        </w:rPr>
        <w:t>[13]</w:t>
      </w:r>
      <w:r w:rsidRPr="00A41E69">
        <w:rPr>
          <w:lang w:val="en-ZA"/>
        </w:rPr>
        <w:tab/>
      </w:r>
      <w:r w:rsidR="00C72AEF">
        <w:rPr>
          <w:lang w:val="en-ZA"/>
        </w:rPr>
        <w:t>Meanwhile, o</w:t>
      </w:r>
      <w:r w:rsidR="009604F3" w:rsidRPr="00A41E69">
        <w:rPr>
          <w:lang w:val="en-ZA"/>
        </w:rPr>
        <w:t xml:space="preserve">n 20 July 2021, </w:t>
      </w:r>
      <w:r w:rsidR="009604F3" w:rsidRPr="009404DC">
        <w:rPr>
          <w:lang w:val="en-ZA"/>
        </w:rPr>
        <w:t>Cuba’s</w:t>
      </w:r>
      <w:r w:rsidR="009604F3" w:rsidRPr="00A41E69">
        <w:rPr>
          <w:lang w:val="en-ZA"/>
        </w:rPr>
        <w:t xml:space="preserve"> Ambassador </w:t>
      </w:r>
      <w:r w:rsidR="009604F3" w:rsidRPr="009404DC">
        <w:rPr>
          <w:lang w:val="en-ZA"/>
        </w:rPr>
        <w:t>to</w:t>
      </w:r>
      <w:r w:rsidR="009604F3">
        <w:rPr>
          <w:lang w:val="en-ZA"/>
        </w:rPr>
        <w:t xml:space="preserve"> </w:t>
      </w:r>
      <w:r w:rsidR="009604F3" w:rsidRPr="009404DC">
        <w:rPr>
          <w:lang w:val="en-ZA"/>
        </w:rPr>
        <w:t>South</w:t>
      </w:r>
      <w:r w:rsidR="009604F3">
        <w:rPr>
          <w:lang w:val="en-ZA"/>
        </w:rPr>
        <w:t xml:space="preserve"> </w:t>
      </w:r>
      <w:r w:rsidR="009604F3" w:rsidRPr="009404DC">
        <w:rPr>
          <w:lang w:val="en-ZA"/>
        </w:rPr>
        <w:t>Africa</w:t>
      </w:r>
      <w:r w:rsidR="009604F3" w:rsidRPr="00A41E69">
        <w:rPr>
          <w:lang w:val="en-ZA"/>
        </w:rPr>
        <w:t xml:space="preserve"> wrote to the Minister </w:t>
      </w:r>
      <w:r w:rsidR="009604F3" w:rsidRPr="009404DC">
        <w:rPr>
          <w:lang w:val="en-ZA"/>
        </w:rPr>
        <w:t>of</w:t>
      </w:r>
      <w:r w:rsidR="009604F3">
        <w:rPr>
          <w:lang w:val="en-ZA"/>
        </w:rPr>
        <w:t xml:space="preserve"> </w:t>
      </w:r>
      <w:r w:rsidR="009604F3" w:rsidRPr="009404DC">
        <w:rPr>
          <w:lang w:val="en-ZA"/>
        </w:rPr>
        <w:t>DIRCO</w:t>
      </w:r>
      <w:r w:rsidR="009604F3">
        <w:rPr>
          <w:lang w:val="en-ZA"/>
        </w:rPr>
        <w:t xml:space="preserve"> </w:t>
      </w:r>
      <w:r w:rsidR="009604F3" w:rsidRPr="00A41E69">
        <w:rPr>
          <w:lang w:val="en-ZA"/>
        </w:rPr>
        <w:t xml:space="preserve">requesting emergency assistance consisting of food and medical supplies. </w:t>
      </w:r>
      <w:r w:rsidR="009604F3" w:rsidRPr="009404DC">
        <w:rPr>
          <w:lang w:val="en-ZA"/>
        </w:rPr>
        <w:t>He</w:t>
      </w:r>
      <w:r w:rsidR="009604F3" w:rsidRPr="00A41E69">
        <w:rPr>
          <w:lang w:val="en-ZA"/>
        </w:rPr>
        <w:t xml:space="preserve"> motivated the request </w:t>
      </w:r>
      <w:r w:rsidR="009604F3" w:rsidRPr="009404DC">
        <w:rPr>
          <w:lang w:val="en-ZA"/>
        </w:rPr>
        <w:t>as</w:t>
      </w:r>
      <w:r w:rsidR="009604F3">
        <w:rPr>
          <w:lang w:val="en-ZA"/>
        </w:rPr>
        <w:t xml:space="preserve"> </w:t>
      </w:r>
      <w:r w:rsidR="009604F3" w:rsidRPr="009404DC">
        <w:rPr>
          <w:lang w:val="en-ZA"/>
        </w:rPr>
        <w:t>being</w:t>
      </w:r>
      <w:r w:rsidR="009604F3">
        <w:rPr>
          <w:lang w:val="en-ZA"/>
        </w:rPr>
        <w:t xml:space="preserve"> </w:t>
      </w:r>
      <w:r w:rsidR="009604F3" w:rsidRPr="00A41E69">
        <w:rPr>
          <w:lang w:val="en-ZA"/>
        </w:rPr>
        <w:t xml:space="preserve">based on the dire situation that Cuba found itself in due to sanctions imposed on it by the United States of America and the </w:t>
      </w:r>
      <w:r w:rsidR="009604F3" w:rsidRPr="009404DC">
        <w:rPr>
          <w:lang w:val="en-ZA"/>
        </w:rPr>
        <w:t>effects</w:t>
      </w:r>
      <w:r w:rsidR="009604F3" w:rsidRPr="00A41E69">
        <w:rPr>
          <w:lang w:val="en-ZA"/>
        </w:rPr>
        <w:t xml:space="preserve"> of the Covid-19 pandemic. </w:t>
      </w:r>
    </w:p>
    <w:p w14:paraId="027B2B93" w14:textId="1EFE367F" w:rsidR="00A149D9" w:rsidRDefault="0048361F" w:rsidP="0048361F">
      <w:pPr>
        <w:pStyle w:val="JudgmentNumbered"/>
        <w:numPr>
          <w:ilvl w:val="0"/>
          <w:numId w:val="0"/>
        </w:numPr>
        <w:ind w:left="567" w:hanging="567"/>
        <w:rPr>
          <w:lang w:val="en-ZA"/>
        </w:rPr>
      </w:pPr>
      <w:r>
        <w:rPr>
          <w:lang w:val="en-ZA"/>
        </w:rPr>
        <w:t>[14]</w:t>
      </w:r>
      <w:r>
        <w:rPr>
          <w:lang w:val="en-ZA"/>
        </w:rPr>
        <w:tab/>
      </w:r>
      <w:r w:rsidR="009604F3" w:rsidRPr="00A41E69">
        <w:rPr>
          <w:lang w:val="en-ZA"/>
        </w:rPr>
        <w:t>On 29 July 2021</w:t>
      </w:r>
      <w:r w:rsidR="00C53895">
        <w:rPr>
          <w:lang w:val="en-ZA"/>
        </w:rPr>
        <w:t xml:space="preserve"> and regarding the surplus retention request,</w:t>
      </w:r>
      <w:r w:rsidR="009604F3" w:rsidRPr="00A41E69">
        <w:rPr>
          <w:lang w:val="en-ZA"/>
        </w:rPr>
        <w:t xml:space="preserve"> there was email communication between National Treasury and the Secretariat of the African International Renaissance Fund regarding the calculations of how the surplus was determined.</w:t>
      </w:r>
      <w:r w:rsidR="006B75C1">
        <w:rPr>
          <w:lang w:val="en-ZA"/>
        </w:rPr>
        <w:t xml:space="preserve">  The communication anticipated that R50 million of the R71 million may be used to provide assistance to Cuba. </w:t>
      </w:r>
      <w:r w:rsidR="009604F3" w:rsidRPr="00A41E69">
        <w:rPr>
          <w:lang w:val="en-ZA"/>
        </w:rPr>
        <w:t xml:space="preserve"> </w:t>
      </w:r>
    </w:p>
    <w:p w14:paraId="37D051DA" w14:textId="0ABA0FD6" w:rsidR="009604F3" w:rsidRPr="00A41E69" w:rsidRDefault="0048361F" w:rsidP="0048361F">
      <w:pPr>
        <w:pStyle w:val="JudgmentNumbered"/>
        <w:numPr>
          <w:ilvl w:val="0"/>
          <w:numId w:val="0"/>
        </w:numPr>
        <w:ind w:left="567" w:hanging="567"/>
        <w:rPr>
          <w:lang w:val="en-ZA"/>
        </w:rPr>
      </w:pPr>
      <w:r w:rsidRPr="00A41E69">
        <w:rPr>
          <w:lang w:val="en-ZA"/>
        </w:rPr>
        <w:t>[15]</w:t>
      </w:r>
      <w:r w:rsidRPr="00A41E69">
        <w:rPr>
          <w:lang w:val="en-ZA"/>
        </w:rPr>
        <w:tab/>
      </w:r>
      <w:r w:rsidR="009604F3" w:rsidRPr="00A41E69">
        <w:rPr>
          <w:lang w:val="en-ZA"/>
        </w:rPr>
        <w:t>On th</w:t>
      </w:r>
      <w:r w:rsidR="00E12FE0">
        <w:rPr>
          <w:lang w:val="en-ZA"/>
        </w:rPr>
        <w:t>at</w:t>
      </w:r>
      <w:r w:rsidR="009604F3" w:rsidRPr="00A41E69">
        <w:rPr>
          <w:lang w:val="en-ZA"/>
        </w:rPr>
        <w:t xml:space="preserve"> same day, the Deputy Director</w:t>
      </w:r>
      <w:r w:rsidR="00563753">
        <w:rPr>
          <w:lang w:val="en-ZA"/>
        </w:rPr>
        <w:t>-</w:t>
      </w:r>
      <w:r w:rsidR="009604F3" w:rsidRPr="00A41E69">
        <w:rPr>
          <w:lang w:val="en-ZA"/>
        </w:rPr>
        <w:t xml:space="preserve">General, for the Americas and Europe Branch of DIRCO, </w:t>
      </w:r>
      <w:r w:rsidR="009604F3" w:rsidRPr="00AC6FB0">
        <w:rPr>
          <w:lang w:val="en-ZA"/>
        </w:rPr>
        <w:t>prepared a memorandum for the</w:t>
      </w:r>
      <w:r w:rsidR="009604F3" w:rsidRPr="00A41E69">
        <w:rPr>
          <w:lang w:val="en-ZA"/>
        </w:rPr>
        <w:t xml:space="preserve"> consideration of the Advisory Committee which recommended that an amount of R50 </w:t>
      </w:r>
      <w:r w:rsidR="006B75C1">
        <w:rPr>
          <w:lang w:val="en-ZA"/>
        </w:rPr>
        <w:t>m</w:t>
      </w:r>
      <w:r w:rsidR="009604F3" w:rsidRPr="00A41E69">
        <w:rPr>
          <w:lang w:val="en-ZA"/>
        </w:rPr>
        <w:t>illion be approved for “urgent humanitarian assistance to the Republic of Cuba for the procurement of South African goods to alleviate the humanitarian crisis</w:t>
      </w:r>
      <w:r w:rsidR="009604F3">
        <w:rPr>
          <w:lang w:val="en-ZA"/>
        </w:rPr>
        <w:t>”.</w:t>
      </w:r>
    </w:p>
    <w:p w14:paraId="4DE0F495" w14:textId="06B5E25F" w:rsidR="009604F3" w:rsidRPr="00A41E69" w:rsidRDefault="0048361F" w:rsidP="0048361F">
      <w:pPr>
        <w:pStyle w:val="JudgmentNumbered"/>
        <w:numPr>
          <w:ilvl w:val="0"/>
          <w:numId w:val="0"/>
        </w:numPr>
        <w:ind w:left="567" w:hanging="567"/>
        <w:rPr>
          <w:lang w:val="en-ZA"/>
        </w:rPr>
      </w:pPr>
      <w:r w:rsidRPr="00A41E69">
        <w:rPr>
          <w:lang w:val="en-ZA"/>
        </w:rPr>
        <w:t>[16]</w:t>
      </w:r>
      <w:r w:rsidRPr="00A41E69">
        <w:rPr>
          <w:lang w:val="en-ZA"/>
        </w:rPr>
        <w:tab/>
      </w:r>
      <w:r w:rsidR="009604F3" w:rsidRPr="00A41E69">
        <w:rPr>
          <w:lang w:val="en-ZA"/>
        </w:rPr>
        <w:t xml:space="preserve">The Secretariat of the African Renaissance Fund </w:t>
      </w:r>
      <w:r w:rsidR="009604F3" w:rsidRPr="009404DC">
        <w:rPr>
          <w:lang w:val="en-ZA"/>
        </w:rPr>
        <w:t>then</w:t>
      </w:r>
      <w:r w:rsidR="009604F3">
        <w:rPr>
          <w:lang w:val="en-ZA"/>
        </w:rPr>
        <w:t xml:space="preserve"> </w:t>
      </w:r>
      <w:r w:rsidR="009604F3" w:rsidRPr="00A41E69">
        <w:rPr>
          <w:lang w:val="en-ZA"/>
        </w:rPr>
        <w:t xml:space="preserve">circulated a memorandum by e-mail to </w:t>
      </w:r>
      <w:r w:rsidR="00CD6E63">
        <w:rPr>
          <w:lang w:val="en-ZA"/>
        </w:rPr>
        <w:t xml:space="preserve">its </w:t>
      </w:r>
      <w:r w:rsidR="009604F3" w:rsidRPr="00A41E69">
        <w:rPr>
          <w:lang w:val="en-ZA"/>
        </w:rPr>
        <w:t>Advisory Committee members,</w:t>
      </w:r>
      <w:r w:rsidR="009604F3">
        <w:rPr>
          <w:lang w:val="en-ZA"/>
        </w:rPr>
        <w:t xml:space="preserve"> </w:t>
      </w:r>
      <w:r w:rsidR="009604F3" w:rsidRPr="00A41E69">
        <w:rPr>
          <w:lang w:val="en-ZA"/>
        </w:rPr>
        <w:t xml:space="preserve">the purpose of which was “to submit, for the ARF Advisory Committee’s consideration, the request from the Republic of Cuba for urgent assistance.” This is repeated in the conclusion of the </w:t>
      </w:r>
      <w:r w:rsidR="009604F3" w:rsidRPr="00A41E69">
        <w:rPr>
          <w:lang w:val="en-ZA"/>
        </w:rPr>
        <w:lastRenderedPageBreak/>
        <w:t>memorandum, under the heading “Recommendation” it says: “It is recommended that the ARF Advisory Committee</w:t>
      </w:r>
      <w:r w:rsidR="009604F3">
        <w:rPr>
          <w:lang w:val="en-ZA"/>
        </w:rPr>
        <w:t xml:space="preserve"> </w:t>
      </w:r>
      <w:r w:rsidR="009604F3" w:rsidRPr="00A41E69">
        <w:rPr>
          <w:lang w:val="en-ZA"/>
        </w:rPr>
        <w:t>… considers recommending R50 million for the urgent humanitarian assistance to Republic of Cuba</w:t>
      </w:r>
      <w:r w:rsidR="009604F3">
        <w:rPr>
          <w:lang w:val="en-ZA"/>
        </w:rPr>
        <w:t xml:space="preserve"> (</w:t>
      </w:r>
      <w:r w:rsidR="009604F3">
        <w:rPr>
          <w:i/>
          <w:iCs/>
          <w:lang w:val="en-ZA"/>
        </w:rPr>
        <w:t>sic)</w:t>
      </w:r>
      <w:r w:rsidR="009604F3" w:rsidRPr="00A41E69">
        <w:rPr>
          <w:i/>
          <w:lang w:val="en-ZA"/>
        </w:rPr>
        <w:t xml:space="preserve"> </w:t>
      </w:r>
      <w:r w:rsidR="009604F3" w:rsidRPr="00A41E69">
        <w:rPr>
          <w:lang w:val="en-ZA"/>
        </w:rPr>
        <w:t>for the procurement of South African goods to help alleviate the humanitarian crisis.”</w:t>
      </w:r>
    </w:p>
    <w:p w14:paraId="4A13D08B" w14:textId="686BB2C3" w:rsidR="009604F3" w:rsidRPr="00A41E69" w:rsidRDefault="0048361F" w:rsidP="0048361F">
      <w:pPr>
        <w:pStyle w:val="JudgmentNumbered"/>
        <w:numPr>
          <w:ilvl w:val="0"/>
          <w:numId w:val="0"/>
        </w:numPr>
        <w:ind w:left="567" w:hanging="567"/>
        <w:rPr>
          <w:lang w:val="en-ZA"/>
        </w:rPr>
      </w:pPr>
      <w:r w:rsidRPr="00A41E69">
        <w:rPr>
          <w:lang w:val="en-ZA"/>
        </w:rPr>
        <w:t>[17]</w:t>
      </w:r>
      <w:r w:rsidRPr="00A41E69">
        <w:rPr>
          <w:lang w:val="en-ZA"/>
        </w:rPr>
        <w:tab/>
      </w:r>
      <w:r w:rsidR="00340FED">
        <w:rPr>
          <w:lang w:val="en-ZA"/>
        </w:rPr>
        <w:t>Furtherm</w:t>
      </w:r>
      <w:r w:rsidR="007377D3">
        <w:rPr>
          <w:lang w:val="en-ZA"/>
        </w:rPr>
        <w:t>ore, o</w:t>
      </w:r>
      <w:r w:rsidR="009604F3" w:rsidRPr="00A41E69">
        <w:rPr>
          <w:lang w:val="en-ZA"/>
        </w:rPr>
        <w:t xml:space="preserve">n the same day, 29 July 2021, having received responses from some Advisory Committee members, approving the decision to make the R50 </w:t>
      </w:r>
      <w:r w:rsidR="00563753">
        <w:rPr>
          <w:lang w:val="en-ZA"/>
        </w:rPr>
        <w:t>m</w:t>
      </w:r>
      <w:r w:rsidR="009604F3" w:rsidRPr="00A41E69">
        <w:rPr>
          <w:lang w:val="en-ZA"/>
        </w:rPr>
        <w:t>illion donation to Cuba, the Secretariat sent a memorandum to the Minister and Director</w:t>
      </w:r>
      <w:r w:rsidR="00563753">
        <w:rPr>
          <w:lang w:val="en-ZA"/>
        </w:rPr>
        <w:t>-</w:t>
      </w:r>
      <w:r w:rsidR="009604F3" w:rsidRPr="00A41E69">
        <w:rPr>
          <w:lang w:val="en-ZA"/>
        </w:rPr>
        <w:t>General of DIRCO, with a recommendation, to approve the donation. The memorandum requested the Minister to source the concurrence of the Minister of Finance, regarding the Advisory Committee’s recommendation</w:t>
      </w:r>
      <w:r w:rsidR="00CB3E47" w:rsidRPr="00A41E69">
        <w:rPr>
          <w:lang w:val="en-ZA"/>
        </w:rPr>
        <w:t>.</w:t>
      </w:r>
      <w:r w:rsidR="00CB3E47">
        <w:rPr>
          <w:lang w:val="en-ZA"/>
        </w:rPr>
        <w:t xml:space="preserve"> </w:t>
      </w:r>
      <w:r w:rsidR="009604F3" w:rsidRPr="00A41E69">
        <w:rPr>
          <w:lang w:val="en-ZA"/>
        </w:rPr>
        <w:t>The memorandum was endorsed by the Director</w:t>
      </w:r>
      <w:r w:rsidR="00563753">
        <w:rPr>
          <w:lang w:val="en-ZA"/>
        </w:rPr>
        <w:t>-</w:t>
      </w:r>
      <w:r w:rsidR="009604F3" w:rsidRPr="00A41E69">
        <w:rPr>
          <w:lang w:val="en-ZA"/>
        </w:rPr>
        <w:t>General of DIRCO on 30 July 2021 and by the Minister</w:t>
      </w:r>
      <w:r w:rsidR="00A17F78">
        <w:rPr>
          <w:lang w:val="en-ZA"/>
        </w:rPr>
        <w:t xml:space="preserve"> </w:t>
      </w:r>
      <w:r w:rsidR="00A17F78" w:rsidRPr="00DD225D">
        <w:rPr>
          <w:lang w:val="en-ZA"/>
        </w:rPr>
        <w:t>of DIRCO</w:t>
      </w:r>
      <w:r w:rsidR="009604F3" w:rsidRPr="00A41E69">
        <w:rPr>
          <w:lang w:val="en-ZA"/>
        </w:rPr>
        <w:t xml:space="preserve"> on 1 August 2021. </w:t>
      </w:r>
    </w:p>
    <w:p w14:paraId="75344B38" w14:textId="28B9512B" w:rsidR="009604F3" w:rsidRPr="00A41E69" w:rsidRDefault="0048361F" w:rsidP="0048361F">
      <w:pPr>
        <w:pStyle w:val="JudgmentNumbered"/>
        <w:numPr>
          <w:ilvl w:val="0"/>
          <w:numId w:val="0"/>
        </w:numPr>
        <w:ind w:left="567" w:hanging="567"/>
        <w:rPr>
          <w:lang w:val="en-ZA"/>
        </w:rPr>
      </w:pPr>
      <w:r w:rsidRPr="00A41E69">
        <w:rPr>
          <w:lang w:val="en-ZA"/>
        </w:rPr>
        <w:t>[18]</w:t>
      </w:r>
      <w:r w:rsidRPr="00A41E69">
        <w:rPr>
          <w:lang w:val="en-ZA"/>
        </w:rPr>
        <w:tab/>
      </w:r>
      <w:r w:rsidR="009604F3" w:rsidRPr="00A41E69">
        <w:rPr>
          <w:lang w:val="en-ZA"/>
        </w:rPr>
        <w:t xml:space="preserve">It is recorded in the memorandum that the Advisory Committee’s recommendation was in line with </w:t>
      </w:r>
      <w:r w:rsidR="009604F3">
        <w:rPr>
          <w:lang w:val="en-ZA"/>
        </w:rPr>
        <w:t>section</w:t>
      </w:r>
      <w:r w:rsidR="009604F3" w:rsidRPr="00A41E69">
        <w:rPr>
          <w:lang w:val="en-ZA"/>
        </w:rPr>
        <w:t xml:space="preserve"> 5 of the </w:t>
      </w:r>
      <w:r w:rsidR="00A17F78">
        <w:rPr>
          <w:lang w:val="en-ZA"/>
        </w:rPr>
        <w:t>A</w:t>
      </w:r>
      <w:r w:rsidR="009604F3" w:rsidRPr="00A41E69">
        <w:rPr>
          <w:lang w:val="en-ZA"/>
        </w:rPr>
        <w:t xml:space="preserve">ct, to disburse funds from the </w:t>
      </w:r>
      <w:r w:rsidR="00BE5BCE">
        <w:rPr>
          <w:lang w:val="en-ZA"/>
        </w:rPr>
        <w:t xml:space="preserve">African Renaissance Fund </w:t>
      </w:r>
      <w:r w:rsidR="009604F3" w:rsidRPr="00A41E69">
        <w:rPr>
          <w:lang w:val="en-ZA"/>
        </w:rPr>
        <w:t>as contemplated in subsections 2,</w:t>
      </w:r>
      <w:r w:rsidR="009604F3">
        <w:rPr>
          <w:lang w:val="en-ZA"/>
        </w:rPr>
        <w:t xml:space="preserve"> </w:t>
      </w:r>
      <w:r w:rsidR="009604F3" w:rsidRPr="00A41E69">
        <w:rPr>
          <w:lang w:val="en-ZA"/>
        </w:rPr>
        <w:t xml:space="preserve">3 and 4; that the financial or legal implications regarding the Advisory Committee’s recommendation were based on the request submitted to National Treasury requesting a retention of surplus funds to the tune of R71 million; that the </w:t>
      </w:r>
      <w:r w:rsidR="00A17F78">
        <w:rPr>
          <w:lang w:val="en-ZA"/>
        </w:rPr>
        <w:t>A</w:t>
      </w:r>
      <w:r w:rsidR="009604F3" w:rsidRPr="00A41E69">
        <w:rPr>
          <w:lang w:val="en-ZA"/>
        </w:rPr>
        <w:t>ct specified that the funds must be made available or disbursed upon the recommendation of the Advisory Committee and the approval by the Minister in consultation with the Minister of Finance</w:t>
      </w:r>
      <w:r w:rsidR="008E1A68">
        <w:rPr>
          <w:lang w:val="en-ZA"/>
        </w:rPr>
        <w:t>;</w:t>
      </w:r>
      <w:r w:rsidR="00CB3E47">
        <w:rPr>
          <w:lang w:val="en-ZA"/>
        </w:rPr>
        <w:t xml:space="preserve"> and</w:t>
      </w:r>
      <w:r w:rsidR="009604F3" w:rsidRPr="00A41E69">
        <w:rPr>
          <w:lang w:val="en-ZA"/>
        </w:rPr>
        <w:t xml:space="preserve"> that Cuba’s formal request for assistance for food and medical supplies to South Africa could be addressed by extending facility B of the Expired Agreement on Economic Assistance with Cuba.</w:t>
      </w:r>
      <w:r w:rsidR="009604F3" w:rsidRPr="009404DC">
        <w:rPr>
          <w:rStyle w:val="FootnoteReference"/>
          <w:lang w:val="en-ZA"/>
        </w:rPr>
        <w:footnoteReference w:id="7"/>
      </w:r>
    </w:p>
    <w:p w14:paraId="7236A4AB" w14:textId="7B23D542" w:rsidR="009604F3" w:rsidRPr="00A41E69" w:rsidRDefault="0048361F" w:rsidP="0048361F">
      <w:pPr>
        <w:pStyle w:val="JudgmentNumbered"/>
        <w:numPr>
          <w:ilvl w:val="0"/>
          <w:numId w:val="0"/>
        </w:numPr>
        <w:ind w:left="567" w:hanging="567"/>
        <w:rPr>
          <w:lang w:val="en-ZA"/>
        </w:rPr>
      </w:pPr>
      <w:r w:rsidRPr="00A41E69">
        <w:rPr>
          <w:lang w:val="en-ZA"/>
        </w:rPr>
        <w:t>[19]</w:t>
      </w:r>
      <w:r w:rsidRPr="00A41E69">
        <w:rPr>
          <w:lang w:val="en-ZA"/>
        </w:rPr>
        <w:tab/>
      </w:r>
      <w:r w:rsidR="0056628B">
        <w:rPr>
          <w:lang w:val="en-ZA"/>
        </w:rPr>
        <w:t>As regard</w:t>
      </w:r>
      <w:r w:rsidR="00544221">
        <w:rPr>
          <w:lang w:val="en-ZA"/>
        </w:rPr>
        <w:t>s the surplus retention request and o</w:t>
      </w:r>
      <w:r w:rsidR="009604F3" w:rsidRPr="00A41E69">
        <w:rPr>
          <w:lang w:val="en-ZA"/>
        </w:rPr>
        <w:t>n 30 July 2021</w:t>
      </w:r>
      <w:r w:rsidR="00123DAB">
        <w:rPr>
          <w:lang w:val="en-ZA"/>
        </w:rPr>
        <w:t>,</w:t>
      </w:r>
      <w:r w:rsidR="009604F3" w:rsidRPr="00A41E69">
        <w:rPr>
          <w:lang w:val="en-ZA"/>
        </w:rPr>
        <w:t xml:space="preserve"> National Treasury called for the audited financial statements of the African Renaissance Fund and these were submitted on 2 August 2021. On 3 August 2021 National Treasury </w:t>
      </w:r>
      <w:r w:rsidR="00123DAB">
        <w:rPr>
          <w:lang w:val="en-ZA"/>
        </w:rPr>
        <w:t xml:space="preserve">(through its Acting Director-General) </w:t>
      </w:r>
      <w:r w:rsidR="009604F3" w:rsidRPr="00A41E69">
        <w:rPr>
          <w:lang w:val="en-ZA"/>
        </w:rPr>
        <w:t xml:space="preserve">granted its approval to the African Renaissance Fund to retain the surplus of R71 </w:t>
      </w:r>
      <w:r w:rsidR="00123DAB">
        <w:rPr>
          <w:lang w:val="en-ZA"/>
        </w:rPr>
        <w:t>m</w:t>
      </w:r>
      <w:r w:rsidR="009604F3" w:rsidRPr="00A41E69">
        <w:rPr>
          <w:lang w:val="en-ZA"/>
        </w:rPr>
        <w:t xml:space="preserve">illion accumulated for the </w:t>
      </w:r>
      <w:r w:rsidR="009604F3" w:rsidRPr="00A41E69">
        <w:rPr>
          <w:lang w:val="en-ZA"/>
        </w:rPr>
        <w:lastRenderedPageBreak/>
        <w:t xml:space="preserve">2020/2021 financial year. </w:t>
      </w:r>
      <w:r w:rsidR="00123DAB">
        <w:rPr>
          <w:lang w:val="en-ZA"/>
        </w:rPr>
        <w:t xml:space="preserve"> The memorandum placed before the Acting Director-General anticipates</w:t>
      </w:r>
      <w:r w:rsidR="00893A1B">
        <w:rPr>
          <w:lang w:val="en-ZA"/>
        </w:rPr>
        <w:t>, in express terms,</w:t>
      </w:r>
      <w:r w:rsidR="00123DAB">
        <w:rPr>
          <w:lang w:val="en-ZA"/>
        </w:rPr>
        <w:t xml:space="preserve"> that the surplus may be used to assist Cuba. </w:t>
      </w:r>
    </w:p>
    <w:p w14:paraId="005FE118" w14:textId="3E090579" w:rsidR="00E20592" w:rsidRDefault="0048361F" w:rsidP="0048361F">
      <w:pPr>
        <w:pStyle w:val="JudgmentNumbered"/>
        <w:numPr>
          <w:ilvl w:val="0"/>
          <w:numId w:val="0"/>
        </w:numPr>
        <w:ind w:left="567" w:hanging="567"/>
        <w:rPr>
          <w:lang w:val="en-ZA"/>
        </w:rPr>
      </w:pPr>
      <w:r>
        <w:rPr>
          <w:lang w:val="en-ZA"/>
        </w:rPr>
        <w:t>[20]</w:t>
      </w:r>
      <w:r>
        <w:rPr>
          <w:lang w:val="en-ZA"/>
        </w:rPr>
        <w:tab/>
      </w:r>
      <w:r w:rsidR="009604F3" w:rsidRPr="00A41E69">
        <w:rPr>
          <w:lang w:val="en-ZA"/>
        </w:rPr>
        <w:t>On 1 August 2021, the request for the Finance Minister’s concurrence</w:t>
      </w:r>
      <w:r w:rsidR="009604F3">
        <w:rPr>
          <w:lang w:val="en-ZA"/>
        </w:rPr>
        <w:t xml:space="preserve"> </w:t>
      </w:r>
      <w:r w:rsidR="009604F3" w:rsidRPr="009404DC">
        <w:rPr>
          <w:lang w:val="en-ZA"/>
        </w:rPr>
        <w:t>for</w:t>
      </w:r>
      <w:r w:rsidR="009604F3">
        <w:rPr>
          <w:lang w:val="en-ZA"/>
        </w:rPr>
        <w:t xml:space="preserve"> </w:t>
      </w:r>
      <w:r w:rsidR="009604F3" w:rsidRPr="009404DC">
        <w:rPr>
          <w:lang w:val="en-ZA"/>
        </w:rPr>
        <w:t>the</w:t>
      </w:r>
      <w:r w:rsidR="009604F3">
        <w:rPr>
          <w:lang w:val="en-ZA"/>
        </w:rPr>
        <w:t xml:space="preserve"> </w:t>
      </w:r>
      <w:r w:rsidR="009604F3" w:rsidRPr="009404DC">
        <w:rPr>
          <w:lang w:val="en-ZA"/>
        </w:rPr>
        <w:t>donation</w:t>
      </w:r>
      <w:r w:rsidR="009604F3" w:rsidRPr="00A41E69">
        <w:rPr>
          <w:lang w:val="en-ZA"/>
        </w:rPr>
        <w:t xml:space="preserve"> was formalised in a letter to him and he confirmed his concurrence in the Advisory Committee’s recommendation, on 13 August 2021.</w:t>
      </w:r>
      <w:bookmarkStart w:id="5" w:name="_Hlk146707318"/>
    </w:p>
    <w:p w14:paraId="3F3C1238" w14:textId="4BC276A3" w:rsidR="006F3B12" w:rsidRPr="001F0EC3" w:rsidRDefault="006F3B12" w:rsidP="001F0EC3">
      <w:pPr>
        <w:pStyle w:val="JudgmentNumbered"/>
        <w:numPr>
          <w:ilvl w:val="0"/>
          <w:numId w:val="0"/>
        </w:numPr>
        <w:rPr>
          <w:i/>
          <w:iCs/>
          <w:lang w:val="en-ZA"/>
        </w:rPr>
      </w:pPr>
      <w:r w:rsidRPr="001F0EC3">
        <w:rPr>
          <w:i/>
          <w:iCs/>
          <w:lang w:val="en-ZA"/>
        </w:rPr>
        <w:t>AfriForum’s case</w:t>
      </w:r>
    </w:p>
    <w:bookmarkEnd w:id="5"/>
    <w:p w14:paraId="2B703408" w14:textId="0AC18B48" w:rsidR="009604F3" w:rsidRPr="00A41E69" w:rsidRDefault="0048361F" w:rsidP="0048361F">
      <w:pPr>
        <w:pStyle w:val="JudgmentNumbered"/>
        <w:numPr>
          <w:ilvl w:val="0"/>
          <w:numId w:val="0"/>
        </w:numPr>
        <w:ind w:left="567" w:hanging="567"/>
        <w:rPr>
          <w:lang w:val="en-ZA"/>
        </w:rPr>
      </w:pPr>
      <w:r w:rsidRPr="00A41E69">
        <w:rPr>
          <w:lang w:val="en-ZA"/>
        </w:rPr>
        <w:t>[21]</w:t>
      </w:r>
      <w:r w:rsidRPr="00A41E69">
        <w:rPr>
          <w:lang w:val="en-ZA"/>
        </w:rPr>
        <w:tab/>
      </w:r>
      <w:r w:rsidR="009604F3" w:rsidRPr="00A41E69">
        <w:rPr>
          <w:lang w:val="en-ZA"/>
        </w:rPr>
        <w:t>AfriForum’s overarching basis for this application is that South Africa is in dire straits on a number of fronts economically</w:t>
      </w:r>
      <w:r w:rsidR="009604F3" w:rsidRPr="00FD0A6B">
        <w:rPr>
          <w:lang w:val="en-ZA"/>
        </w:rPr>
        <w:t>. It</w:t>
      </w:r>
      <w:r w:rsidR="009604F3" w:rsidRPr="00A41E69">
        <w:rPr>
          <w:lang w:val="en-ZA"/>
        </w:rPr>
        <w:t xml:space="preserve"> refers to the well-known service delivery challenges in South Africa which</w:t>
      </w:r>
      <w:r w:rsidR="00C72AB8">
        <w:rPr>
          <w:lang w:val="en-ZA"/>
        </w:rPr>
        <w:t>,</w:t>
      </w:r>
      <w:r w:rsidR="009604F3" w:rsidRPr="00A41E69">
        <w:rPr>
          <w:lang w:val="en-ZA"/>
        </w:rPr>
        <w:t xml:space="preserve"> it says</w:t>
      </w:r>
      <w:r w:rsidR="00C72AB8">
        <w:rPr>
          <w:lang w:val="en-ZA"/>
        </w:rPr>
        <w:t>,</w:t>
      </w:r>
      <w:r w:rsidR="009604F3" w:rsidRPr="00A41E69">
        <w:rPr>
          <w:lang w:val="en-ZA"/>
        </w:rPr>
        <w:t xml:space="preserve"> are the consequence of a lack of sufficient funding for government to undertake all its constitutional obligations as well as the after</w:t>
      </w:r>
      <w:r w:rsidR="00A657A3">
        <w:rPr>
          <w:lang w:val="en-ZA"/>
        </w:rPr>
        <w:t>-</w:t>
      </w:r>
      <w:r w:rsidR="009604F3" w:rsidRPr="00A41E69">
        <w:rPr>
          <w:lang w:val="en-ZA"/>
        </w:rPr>
        <w:t>effects of the Covid</w:t>
      </w:r>
      <w:r w:rsidR="002B42C6">
        <w:rPr>
          <w:lang w:val="en-ZA"/>
        </w:rPr>
        <w:t>-</w:t>
      </w:r>
      <w:r w:rsidR="009604F3" w:rsidRPr="00A41E69">
        <w:rPr>
          <w:lang w:val="en-ZA"/>
        </w:rPr>
        <w:t xml:space="preserve">19 pandemic and the lockdown. </w:t>
      </w:r>
      <w:r w:rsidR="009604F3" w:rsidRPr="009404DC">
        <w:rPr>
          <w:lang w:val="en-ZA"/>
        </w:rPr>
        <w:t>The</w:t>
      </w:r>
      <w:r w:rsidR="009604F3" w:rsidRPr="00A41E69">
        <w:rPr>
          <w:lang w:val="en-ZA"/>
        </w:rPr>
        <w:t xml:space="preserve"> primary stance based on this country’s reported service delivery failures and the parlous state of the economy was echoed in the </w:t>
      </w:r>
      <w:r w:rsidR="009604F3">
        <w:rPr>
          <w:lang w:val="en-ZA"/>
        </w:rPr>
        <w:t>National</w:t>
      </w:r>
      <w:r w:rsidR="009604F3" w:rsidRPr="00A41E69">
        <w:rPr>
          <w:lang w:val="en-ZA"/>
        </w:rPr>
        <w:t xml:space="preserve"> Assembly, on 22 February 2022, when a member of the Democratic Alliance,</w:t>
      </w:r>
      <w:r w:rsidR="009604F3" w:rsidRPr="009404DC">
        <w:rPr>
          <w:rStyle w:val="FootnoteReference"/>
          <w:lang w:val="en-ZA"/>
        </w:rPr>
        <w:footnoteReference w:id="8"/>
      </w:r>
      <w:r w:rsidR="009604F3" w:rsidRPr="00A41E69">
        <w:rPr>
          <w:lang w:val="en-ZA"/>
        </w:rPr>
        <w:t xml:space="preserve"> referring to the Cuban donation, posed the following question to the Minister - </w:t>
      </w:r>
      <w:r w:rsidR="009604F3" w:rsidRPr="009404DC">
        <w:rPr>
          <w:lang w:val="en-ZA"/>
        </w:rPr>
        <w:t>“[w]hether</w:t>
      </w:r>
      <w:r w:rsidR="009604F3" w:rsidRPr="00A41E69">
        <w:rPr>
          <w:lang w:val="en-ZA"/>
        </w:rPr>
        <w:t xml:space="preserve">, against the background of record high unemployment figures and persistent levels of poverty in the Republic, she has found that the Government’s R50 million donation to the government of the Republic of Cuba for special intervention purposes, could have been put to better use at home?” Without mentioning the full response of the Minister, </w:t>
      </w:r>
      <w:r w:rsidR="00A17F78">
        <w:rPr>
          <w:lang w:val="en-ZA"/>
        </w:rPr>
        <w:t xml:space="preserve">it </w:t>
      </w:r>
      <w:r w:rsidR="009604F3" w:rsidRPr="00A41E69">
        <w:rPr>
          <w:lang w:val="en-ZA"/>
        </w:rPr>
        <w:t>suffice</w:t>
      </w:r>
      <w:r w:rsidR="00A17F78">
        <w:rPr>
          <w:lang w:val="en-ZA"/>
        </w:rPr>
        <w:t xml:space="preserve">s </w:t>
      </w:r>
      <w:r w:rsidR="009604F3" w:rsidRPr="00A41E69">
        <w:rPr>
          <w:lang w:val="en-ZA"/>
        </w:rPr>
        <w:t>to say that she stated that the request from Cuba was due to chronic shortage</w:t>
      </w:r>
      <w:r w:rsidR="00B25576">
        <w:rPr>
          <w:lang w:val="en-ZA"/>
        </w:rPr>
        <w:t>s</w:t>
      </w:r>
      <w:r w:rsidR="009604F3" w:rsidRPr="00A41E69">
        <w:rPr>
          <w:lang w:val="en-ZA"/>
        </w:rPr>
        <w:t xml:space="preserve"> in food, fuel, medicine and electricity in that country and that the Government of South Africa had responded positively in the context of reciprocity and its historical friendship and solidarity with the Republic of Cuba.</w:t>
      </w:r>
    </w:p>
    <w:p w14:paraId="0A88D0D4" w14:textId="56BC2418" w:rsidR="009604F3" w:rsidRPr="00A41E69" w:rsidRDefault="0048361F" w:rsidP="0048361F">
      <w:pPr>
        <w:pStyle w:val="JudgmentNumbered"/>
        <w:numPr>
          <w:ilvl w:val="0"/>
          <w:numId w:val="0"/>
        </w:numPr>
        <w:ind w:left="567" w:hanging="567"/>
        <w:rPr>
          <w:i/>
          <w:lang w:val="en-ZA"/>
        </w:rPr>
      </w:pPr>
      <w:r w:rsidRPr="00A41E69">
        <w:rPr>
          <w:lang w:val="en-ZA"/>
        </w:rPr>
        <w:t>[22]</w:t>
      </w:r>
      <w:r w:rsidRPr="00A41E69">
        <w:rPr>
          <w:lang w:val="en-ZA"/>
        </w:rPr>
        <w:tab/>
      </w:r>
      <w:r w:rsidR="009604F3" w:rsidRPr="00A41E69">
        <w:rPr>
          <w:lang w:val="en-ZA"/>
        </w:rPr>
        <w:t xml:space="preserve">In </w:t>
      </w:r>
      <w:r w:rsidR="009604F3" w:rsidRPr="00FD0A6B">
        <w:rPr>
          <w:lang w:val="en-ZA"/>
        </w:rPr>
        <w:t>its</w:t>
      </w:r>
      <w:r w:rsidR="009604F3" w:rsidRPr="00A41E69">
        <w:rPr>
          <w:lang w:val="en-ZA"/>
        </w:rPr>
        <w:t xml:space="preserve"> founding affidavit, </w:t>
      </w:r>
      <w:r w:rsidR="009604F3">
        <w:rPr>
          <w:lang w:val="en-ZA"/>
        </w:rPr>
        <w:t>AfriForum</w:t>
      </w:r>
      <w:r w:rsidR="009604F3" w:rsidRPr="00A41E69">
        <w:rPr>
          <w:lang w:val="en-ZA"/>
        </w:rPr>
        <w:t xml:space="preserve"> makes the point that, in view of the South African realities discussed in the preceding paragraph, it was inconceivable for National Treasury to grant the retention request as well as for the DIRCO </w:t>
      </w:r>
      <w:r w:rsidR="009604F3">
        <w:rPr>
          <w:lang w:val="en-ZA"/>
        </w:rPr>
        <w:t>Respondent</w:t>
      </w:r>
      <w:r w:rsidR="009604F3" w:rsidRPr="009404DC">
        <w:rPr>
          <w:lang w:val="en-ZA"/>
        </w:rPr>
        <w:t>s</w:t>
      </w:r>
      <w:r w:rsidR="009604F3" w:rsidRPr="00A41E69">
        <w:rPr>
          <w:lang w:val="en-ZA"/>
        </w:rPr>
        <w:t>, with the concurrence of the Minister of Finance, to make the decision to donate R50 million to Cuba.</w:t>
      </w:r>
    </w:p>
    <w:p w14:paraId="3DC01827" w14:textId="682B0DC5" w:rsidR="009604F3" w:rsidRDefault="0048361F" w:rsidP="0048361F">
      <w:pPr>
        <w:pStyle w:val="JudgmentNumbered"/>
        <w:numPr>
          <w:ilvl w:val="0"/>
          <w:numId w:val="0"/>
        </w:numPr>
        <w:ind w:left="567" w:hanging="567"/>
        <w:rPr>
          <w:lang w:val="en-ZA"/>
        </w:rPr>
      </w:pPr>
      <w:r>
        <w:rPr>
          <w:lang w:val="en-ZA"/>
        </w:rPr>
        <w:lastRenderedPageBreak/>
        <w:t>[23]</w:t>
      </w:r>
      <w:r>
        <w:rPr>
          <w:lang w:val="en-ZA"/>
        </w:rPr>
        <w:tab/>
      </w:r>
      <w:r w:rsidR="009604F3" w:rsidRPr="00A41E69">
        <w:rPr>
          <w:lang w:val="en-ZA"/>
        </w:rPr>
        <w:t xml:space="preserve">Reliant on this background, </w:t>
      </w:r>
      <w:r w:rsidR="009604F3">
        <w:rPr>
          <w:lang w:val="en-ZA"/>
        </w:rPr>
        <w:t>AfriForum</w:t>
      </w:r>
      <w:r w:rsidR="009604F3" w:rsidRPr="009404DC">
        <w:rPr>
          <w:lang w:val="en-ZA"/>
        </w:rPr>
        <w:t>’s</w:t>
      </w:r>
      <w:r w:rsidR="009604F3" w:rsidRPr="00A41E69">
        <w:rPr>
          <w:lang w:val="en-ZA"/>
        </w:rPr>
        <w:t xml:space="preserve"> case rests on t</w:t>
      </w:r>
      <w:r w:rsidR="009F101B">
        <w:rPr>
          <w:lang w:val="en-ZA"/>
        </w:rPr>
        <w:t>wo</w:t>
      </w:r>
      <w:r w:rsidR="009604F3" w:rsidRPr="00A41E69">
        <w:rPr>
          <w:lang w:val="en-ZA"/>
        </w:rPr>
        <w:t xml:space="preserve"> primary pillars. In the first place </w:t>
      </w:r>
      <w:r w:rsidR="00CA3F07">
        <w:rPr>
          <w:lang w:val="en-ZA"/>
        </w:rPr>
        <w:t>it</w:t>
      </w:r>
      <w:r w:rsidR="009604F3">
        <w:rPr>
          <w:lang w:val="en-ZA"/>
        </w:rPr>
        <w:t xml:space="preserve"> </w:t>
      </w:r>
      <w:r w:rsidR="009604F3" w:rsidRPr="009404DC">
        <w:rPr>
          <w:lang w:val="en-ZA"/>
        </w:rPr>
        <w:t>seek</w:t>
      </w:r>
      <w:r w:rsidR="00CA3F07">
        <w:rPr>
          <w:lang w:val="en-ZA"/>
        </w:rPr>
        <w:t>s</w:t>
      </w:r>
      <w:r w:rsidR="009604F3" w:rsidRPr="00A41E69">
        <w:rPr>
          <w:lang w:val="en-ZA"/>
        </w:rPr>
        <w:t xml:space="preserve"> the review of </w:t>
      </w:r>
      <w:r w:rsidR="009F101B">
        <w:rPr>
          <w:lang w:val="en-ZA"/>
        </w:rPr>
        <w:t>the Treasury re</w:t>
      </w:r>
      <w:r w:rsidR="00623E28">
        <w:rPr>
          <w:lang w:val="en-ZA"/>
        </w:rPr>
        <w:t>s</w:t>
      </w:r>
      <w:r w:rsidR="009F101B">
        <w:rPr>
          <w:lang w:val="en-ZA"/>
        </w:rPr>
        <w:t>pondents</w:t>
      </w:r>
      <w:r w:rsidR="000C4D87">
        <w:rPr>
          <w:lang w:val="en-ZA"/>
        </w:rPr>
        <w:t>’</w:t>
      </w:r>
      <w:r w:rsidR="009F101B">
        <w:rPr>
          <w:lang w:val="en-ZA"/>
        </w:rPr>
        <w:t xml:space="preserve"> </w:t>
      </w:r>
      <w:r w:rsidR="0014299E">
        <w:rPr>
          <w:lang w:val="en-ZA"/>
        </w:rPr>
        <w:t xml:space="preserve">decision </w:t>
      </w:r>
      <w:r w:rsidR="009F101B">
        <w:rPr>
          <w:lang w:val="en-ZA"/>
        </w:rPr>
        <w:t>to approve the</w:t>
      </w:r>
      <w:r w:rsidR="00623E28">
        <w:rPr>
          <w:lang w:val="en-ZA"/>
        </w:rPr>
        <w:t xml:space="preserve"> </w:t>
      </w:r>
      <w:r w:rsidR="00083396">
        <w:rPr>
          <w:lang w:val="en-ZA"/>
        </w:rPr>
        <w:t xml:space="preserve">surplus retention request made by </w:t>
      </w:r>
      <w:r w:rsidR="009604F3" w:rsidRPr="00A41E69">
        <w:rPr>
          <w:lang w:val="en-ZA"/>
        </w:rPr>
        <w:t>the African Renaissance Fund</w:t>
      </w:r>
      <w:r w:rsidR="006A79E1">
        <w:rPr>
          <w:lang w:val="en-ZA"/>
        </w:rPr>
        <w:t xml:space="preserve">. </w:t>
      </w:r>
      <w:r w:rsidR="00DB70B6">
        <w:rPr>
          <w:lang w:val="en-ZA"/>
        </w:rPr>
        <w:t xml:space="preserve">Foreshadowed in this part of the case, </w:t>
      </w:r>
      <w:r w:rsidR="007D0FD1">
        <w:rPr>
          <w:lang w:val="en-ZA"/>
        </w:rPr>
        <w:t xml:space="preserve">are all decisions </w:t>
      </w:r>
      <w:r w:rsidR="002B26FD">
        <w:rPr>
          <w:lang w:val="en-ZA"/>
        </w:rPr>
        <w:t>taken</w:t>
      </w:r>
      <w:r w:rsidR="009604F3" w:rsidRPr="00A41E69">
        <w:rPr>
          <w:lang w:val="en-ZA"/>
        </w:rPr>
        <w:t xml:space="preserve"> from the initiation of the request up to and including </w:t>
      </w:r>
      <w:r w:rsidR="00497061">
        <w:rPr>
          <w:lang w:val="en-ZA"/>
        </w:rPr>
        <w:t>its approval</w:t>
      </w:r>
      <w:r w:rsidR="009604F3" w:rsidRPr="00A41E69">
        <w:rPr>
          <w:lang w:val="en-ZA"/>
        </w:rPr>
        <w:t xml:space="preserve">. Secondly, </w:t>
      </w:r>
      <w:r w:rsidR="00711E49">
        <w:rPr>
          <w:lang w:val="en-ZA"/>
        </w:rPr>
        <w:t>AfriForum</w:t>
      </w:r>
      <w:r w:rsidR="009604F3">
        <w:rPr>
          <w:lang w:val="en-ZA"/>
        </w:rPr>
        <w:t xml:space="preserve"> </w:t>
      </w:r>
      <w:r w:rsidR="009604F3" w:rsidRPr="009404DC">
        <w:rPr>
          <w:lang w:val="en-ZA"/>
        </w:rPr>
        <w:t>attack</w:t>
      </w:r>
      <w:r w:rsidR="00711E49">
        <w:rPr>
          <w:lang w:val="en-ZA"/>
        </w:rPr>
        <w:t>s</w:t>
      </w:r>
      <w:r w:rsidR="009604F3" w:rsidRPr="00A41E69">
        <w:rPr>
          <w:lang w:val="en-ZA"/>
        </w:rPr>
        <w:t xml:space="preserve"> the decision of the African Renaissance Fund to approve the Cuban donation, supported by the two Ministers. </w:t>
      </w:r>
      <w:r w:rsidR="00586C4A">
        <w:rPr>
          <w:lang w:val="en-ZA"/>
        </w:rPr>
        <w:t xml:space="preserve">Also countenanced in this part of AfriForum’s case </w:t>
      </w:r>
      <w:r w:rsidR="00D33DDF">
        <w:rPr>
          <w:lang w:val="en-ZA"/>
        </w:rPr>
        <w:t xml:space="preserve">is </w:t>
      </w:r>
      <w:r w:rsidR="009604F3" w:rsidRPr="00A41E69">
        <w:rPr>
          <w:lang w:val="en-ZA"/>
        </w:rPr>
        <w:t xml:space="preserve">each and every decision taken underpinning the African Renaissance </w:t>
      </w:r>
      <w:r w:rsidR="009604F3">
        <w:rPr>
          <w:lang w:val="en-ZA"/>
        </w:rPr>
        <w:t>Fund’s</w:t>
      </w:r>
      <w:r w:rsidR="009604F3" w:rsidRPr="00A41E69">
        <w:rPr>
          <w:lang w:val="en-ZA"/>
        </w:rPr>
        <w:t xml:space="preserve"> initiation of the internal approval processes up to and including the final decision adopted when the concurrence of the Minister of Finance was secured to make the donation. </w:t>
      </w:r>
    </w:p>
    <w:p w14:paraId="1D877558" w14:textId="523BB516" w:rsidR="00826146" w:rsidRPr="00D47C1F" w:rsidRDefault="00015300" w:rsidP="004B42AE">
      <w:pPr>
        <w:pStyle w:val="JudgmentNumbered"/>
        <w:numPr>
          <w:ilvl w:val="0"/>
          <w:numId w:val="0"/>
        </w:numPr>
        <w:rPr>
          <w:i/>
          <w:iCs/>
          <w:lang w:val="en-ZA"/>
        </w:rPr>
      </w:pPr>
      <w:r w:rsidRPr="00D47C1F">
        <w:rPr>
          <w:i/>
          <w:iCs/>
          <w:lang w:val="en-ZA"/>
        </w:rPr>
        <w:t>Is the approval of the surplus retention request administrative action?</w:t>
      </w:r>
    </w:p>
    <w:p w14:paraId="0D6B606B" w14:textId="722A9F38" w:rsidR="009604F3" w:rsidRPr="00A41E69" w:rsidRDefault="0048361F" w:rsidP="0048361F">
      <w:pPr>
        <w:pStyle w:val="JudgmentNumbered"/>
        <w:numPr>
          <w:ilvl w:val="0"/>
          <w:numId w:val="0"/>
        </w:numPr>
        <w:ind w:left="567" w:hanging="567"/>
        <w:rPr>
          <w:lang w:val="en-ZA"/>
        </w:rPr>
      </w:pPr>
      <w:r w:rsidRPr="00A41E69">
        <w:rPr>
          <w:lang w:val="en-ZA"/>
        </w:rPr>
        <w:t>[24]</w:t>
      </w:r>
      <w:r w:rsidRPr="00A41E69">
        <w:rPr>
          <w:lang w:val="en-ZA"/>
        </w:rPr>
        <w:tab/>
      </w:r>
      <w:r w:rsidR="009604F3">
        <w:rPr>
          <w:lang w:val="en-ZA"/>
        </w:rPr>
        <w:t>AfriForum</w:t>
      </w:r>
      <w:r w:rsidR="009604F3" w:rsidRPr="00A41E69">
        <w:rPr>
          <w:lang w:val="en-ZA"/>
        </w:rPr>
        <w:t xml:space="preserve"> argues that the impugned conduct is reviewable under PAJA or alternatively in terms of the legality principle in the Constitution. Thus, the starting point should be to determine whether any of the impugned decisions are administrative action. If they are, they are reviewable under PAJA and if they are not, then they are reviewable under the principle of legality</w:t>
      </w:r>
      <w:r w:rsidR="00A15A77">
        <w:rPr>
          <w:lang w:val="en-ZA"/>
        </w:rPr>
        <w:t>.</w:t>
      </w:r>
      <w:r w:rsidR="009604F3" w:rsidRPr="00A41E69">
        <w:rPr>
          <w:rStyle w:val="FootnoteReference"/>
          <w:lang w:val="en-ZA"/>
        </w:rPr>
        <w:footnoteReference w:id="9"/>
      </w:r>
      <w:r w:rsidR="00A15A77">
        <w:rPr>
          <w:lang w:val="en-ZA"/>
        </w:rPr>
        <w:t xml:space="preserve"> </w:t>
      </w:r>
    </w:p>
    <w:p w14:paraId="2AB75071" w14:textId="0C85556B" w:rsidR="009604F3" w:rsidRPr="00A41E69" w:rsidRDefault="0048361F" w:rsidP="0048361F">
      <w:pPr>
        <w:pStyle w:val="JudgmentNumbered"/>
        <w:numPr>
          <w:ilvl w:val="0"/>
          <w:numId w:val="0"/>
        </w:numPr>
        <w:ind w:left="567" w:hanging="567"/>
        <w:rPr>
          <w:lang w:val="en-ZA"/>
        </w:rPr>
      </w:pPr>
      <w:r w:rsidRPr="00A41E69">
        <w:rPr>
          <w:lang w:val="en-ZA"/>
        </w:rPr>
        <w:t>[25]</w:t>
      </w:r>
      <w:r w:rsidRPr="00A41E69">
        <w:rPr>
          <w:lang w:val="en-ZA"/>
        </w:rPr>
        <w:tab/>
      </w:r>
      <w:r w:rsidR="009604F3" w:rsidRPr="00A41E69">
        <w:rPr>
          <w:lang w:val="en-ZA"/>
        </w:rPr>
        <w:t xml:space="preserve">Our jurisprudence fortunately provides the necessary guidance in these matters. It is necessary, at the outset, to determine whether </w:t>
      </w:r>
      <w:r w:rsidR="00423E97">
        <w:rPr>
          <w:lang w:val="en-ZA"/>
        </w:rPr>
        <w:t xml:space="preserve">National Treasury’s approval of the </w:t>
      </w:r>
      <w:r w:rsidR="009604F3" w:rsidRPr="00A41E69">
        <w:rPr>
          <w:lang w:val="en-ZA"/>
        </w:rPr>
        <w:t>request by the African Renaissance Fund, to retain the accumulated surplus</w:t>
      </w:r>
      <w:r w:rsidR="00423E97">
        <w:rPr>
          <w:lang w:val="en-ZA"/>
        </w:rPr>
        <w:t>,</w:t>
      </w:r>
      <w:r w:rsidR="009604F3" w:rsidRPr="00A41E69">
        <w:rPr>
          <w:lang w:val="en-ZA"/>
        </w:rPr>
        <w:t xml:space="preserve"> and the subsequent decision by the DIRCO Respondents with the concurrence of the Minister of Finance, to donate R50 million from that surplus to Cuba, constitute administrative action</w:t>
      </w:r>
      <w:r w:rsidR="009604F3" w:rsidRPr="009404DC">
        <w:rPr>
          <w:lang w:val="en-ZA"/>
        </w:rPr>
        <w:t>.</w:t>
      </w:r>
      <w:r w:rsidR="009604F3" w:rsidRPr="00A41E69">
        <w:rPr>
          <w:i/>
          <w:lang w:val="en-ZA"/>
        </w:rPr>
        <w:t xml:space="preserve"> </w:t>
      </w:r>
      <w:r w:rsidR="009604F3" w:rsidRPr="00A41E69">
        <w:rPr>
          <w:lang w:val="en-ZA"/>
        </w:rPr>
        <w:t xml:space="preserve">In </w:t>
      </w:r>
      <w:r w:rsidR="009604F3" w:rsidRPr="00A41E69">
        <w:rPr>
          <w:i/>
          <w:lang w:val="en-ZA"/>
        </w:rPr>
        <w:t>Trustees for the time being of the Legacy Body Corporate v Bae Estates and Escapes (Pty) Ltd and another</w:t>
      </w:r>
      <w:r w:rsidR="009604F3" w:rsidRPr="00A41E69">
        <w:rPr>
          <w:lang w:val="en-ZA"/>
        </w:rPr>
        <w:t>,</w:t>
      </w:r>
      <w:r w:rsidR="009604F3" w:rsidRPr="009404DC">
        <w:rPr>
          <w:rStyle w:val="FootnoteReference"/>
          <w:lang w:val="en-ZA"/>
        </w:rPr>
        <w:footnoteReference w:id="10"/>
      </w:r>
      <w:r w:rsidR="009604F3" w:rsidRPr="00A41E69">
        <w:rPr>
          <w:lang w:val="en-ZA"/>
        </w:rPr>
        <w:t xml:space="preserve"> the SCA said the following in relation to the starting point when determining if a decision is administrative action:</w:t>
      </w:r>
    </w:p>
    <w:p w14:paraId="5595C3C2" w14:textId="5D175CD1" w:rsidR="009604F3" w:rsidRPr="00A41E69" w:rsidRDefault="009604F3" w:rsidP="00A41E69">
      <w:pPr>
        <w:pStyle w:val="JudgmentNumbered"/>
        <w:numPr>
          <w:ilvl w:val="0"/>
          <w:numId w:val="0"/>
        </w:numPr>
        <w:ind w:left="1134" w:right="521"/>
        <w:rPr>
          <w:sz w:val="22"/>
          <w:lang w:val="en-ZA"/>
        </w:rPr>
      </w:pPr>
      <w:r w:rsidRPr="009404DC">
        <w:rPr>
          <w:sz w:val="22"/>
          <w:lang w:val="en-ZA"/>
        </w:rPr>
        <w:t>“</w:t>
      </w:r>
      <w:r w:rsidRPr="00A41E69">
        <w:rPr>
          <w:sz w:val="22"/>
          <w:lang w:val="en-ZA"/>
        </w:rPr>
        <w:t xml:space="preserve">When regard is had to the structure of the definition of an administrative action, the requirement that the decision be of an administrative nature, is a gateway to determining whether a particular decision constitutes </w:t>
      </w:r>
      <w:r w:rsidRPr="00A41E69">
        <w:rPr>
          <w:sz w:val="22"/>
          <w:lang w:val="en-ZA"/>
        </w:rPr>
        <w:lastRenderedPageBreak/>
        <w:t xml:space="preserve">administrative action. As Wallis J explained in </w:t>
      </w:r>
      <w:r w:rsidRPr="00A41E69">
        <w:rPr>
          <w:i/>
          <w:sz w:val="22"/>
          <w:lang w:val="en-ZA"/>
        </w:rPr>
        <w:t>Sokhela and others v MEC for Agriculture and Environmental Affairs</w:t>
      </w:r>
      <w:r w:rsidRPr="00A41E69">
        <w:rPr>
          <w:sz w:val="22"/>
          <w:lang w:val="en-ZA"/>
        </w:rPr>
        <w:t>, this requirement demands that a detailed analysis be undertaken of the nature of the public power or public function in question, “to determine its true character”. Thus, the determination of what constitutes administrative action does not occur by default, and “[t]he court is required to make a positive decision in each case whether a particular exercise of public power or performance of a public function is of an administrative character.”</w:t>
      </w:r>
      <w:r w:rsidRPr="00A41E69">
        <w:rPr>
          <w:rStyle w:val="FootnoteReference"/>
          <w:sz w:val="22"/>
          <w:lang w:val="en-ZA"/>
        </w:rPr>
        <w:footnoteReference w:id="11"/>
      </w:r>
      <w:r>
        <w:rPr>
          <w:sz w:val="22"/>
          <w:lang w:val="en-ZA"/>
        </w:rPr>
        <w:t xml:space="preserve"> </w:t>
      </w:r>
      <w:r w:rsidR="00930BA9">
        <w:rPr>
          <w:sz w:val="22"/>
          <w:lang w:val="en-ZA"/>
        </w:rPr>
        <w:t>(Footnotes omitted.)</w:t>
      </w:r>
    </w:p>
    <w:p w14:paraId="65683EF2" w14:textId="482347C6" w:rsidR="009604F3" w:rsidRPr="009404DC" w:rsidRDefault="0048361F" w:rsidP="0048361F">
      <w:pPr>
        <w:pStyle w:val="JudgmentNumbered"/>
        <w:numPr>
          <w:ilvl w:val="0"/>
          <w:numId w:val="0"/>
        </w:numPr>
        <w:ind w:left="567" w:hanging="567"/>
        <w:rPr>
          <w:lang w:val="en-ZA"/>
        </w:rPr>
      </w:pPr>
      <w:r w:rsidRPr="009404DC">
        <w:rPr>
          <w:lang w:val="en-ZA"/>
        </w:rPr>
        <w:t>[26]</w:t>
      </w:r>
      <w:r w:rsidRPr="009404DC">
        <w:rPr>
          <w:lang w:val="en-ZA"/>
        </w:rPr>
        <w:tab/>
      </w:r>
      <w:r w:rsidR="009604F3" w:rsidRPr="00A41E69">
        <w:rPr>
          <w:lang w:val="en-ZA"/>
        </w:rPr>
        <w:t xml:space="preserve">In </w:t>
      </w:r>
      <w:r w:rsidR="009604F3" w:rsidRPr="00A41E69">
        <w:rPr>
          <w:i/>
          <w:lang w:val="en-ZA"/>
        </w:rPr>
        <w:t>Minister of Defence and Military Veterans v Motau and Others,</w:t>
      </w:r>
      <w:r w:rsidR="009604F3" w:rsidRPr="00893A1B">
        <w:rPr>
          <w:rStyle w:val="FootnoteReference"/>
          <w:lang w:val="en-ZA"/>
        </w:rPr>
        <w:footnoteReference w:id="12"/>
      </w:r>
      <w:r w:rsidR="009604F3" w:rsidRPr="00A41E69">
        <w:rPr>
          <w:lang w:val="en-ZA"/>
        </w:rPr>
        <w:t xml:space="preserve"> the Constitutional Court provided a convenient breakdown of the elements contained in the definition of administrative action as found in section 1 of PAJA. </w:t>
      </w:r>
      <w:r w:rsidR="009604F3" w:rsidRPr="009404DC">
        <w:rPr>
          <w:lang w:val="en-ZA"/>
        </w:rPr>
        <w:t>At</w:t>
      </w:r>
      <w:r w:rsidR="009604F3">
        <w:rPr>
          <w:lang w:val="en-ZA"/>
        </w:rPr>
        <w:t xml:space="preserve"> </w:t>
      </w:r>
      <w:r w:rsidR="009604F3" w:rsidRPr="009404DC">
        <w:rPr>
          <w:lang w:val="en-ZA"/>
        </w:rPr>
        <w:t>paragraph</w:t>
      </w:r>
      <w:r w:rsidR="009604F3">
        <w:rPr>
          <w:lang w:val="en-ZA"/>
        </w:rPr>
        <w:t xml:space="preserve"> </w:t>
      </w:r>
      <w:r w:rsidR="009604F3" w:rsidRPr="009404DC">
        <w:rPr>
          <w:lang w:val="en-ZA"/>
        </w:rPr>
        <w:t>33,</w:t>
      </w:r>
      <w:r w:rsidR="009604F3" w:rsidRPr="00A41E69">
        <w:rPr>
          <w:lang w:val="en-ZA"/>
        </w:rPr>
        <w:t xml:space="preserve"> the Court said administrative </w:t>
      </w:r>
      <w:r w:rsidR="006154F7">
        <w:rPr>
          <w:lang w:val="en-ZA"/>
        </w:rPr>
        <w:t>action</w:t>
      </w:r>
      <w:r w:rsidR="009604F3" w:rsidRPr="00A41E69">
        <w:rPr>
          <w:lang w:val="en-ZA"/>
        </w:rPr>
        <w:t xml:space="preserve"> is</w:t>
      </w:r>
      <w:r w:rsidR="009604F3">
        <w:rPr>
          <w:lang w:val="en-ZA"/>
        </w:rPr>
        <w:t xml:space="preserve">: </w:t>
      </w:r>
    </w:p>
    <w:p w14:paraId="6B43BEBA" w14:textId="2211FE0D" w:rsidR="009604F3" w:rsidRPr="009404DC" w:rsidRDefault="009604F3" w:rsidP="009604F3">
      <w:pPr>
        <w:pStyle w:val="JudgmentNumbered"/>
        <w:numPr>
          <w:ilvl w:val="0"/>
          <w:numId w:val="0"/>
        </w:numPr>
        <w:ind w:left="1134" w:right="521"/>
        <w:rPr>
          <w:sz w:val="22"/>
          <w:lang w:val="en-ZA"/>
        </w:rPr>
      </w:pPr>
      <w:r w:rsidRPr="009404DC">
        <w:rPr>
          <w:sz w:val="22"/>
          <w:lang w:val="en-ZA"/>
        </w:rPr>
        <w:t>“</w:t>
      </w:r>
      <w:r w:rsidRPr="00A41E69">
        <w:rPr>
          <w:sz w:val="22"/>
          <w:lang w:val="en-ZA"/>
        </w:rPr>
        <w:t xml:space="preserve">a decision of an administrative nature; by an organ of state or a natural or juristic person; exercising a public power or performing a public function; in terms of any legislation or an empowering provision; that adversely affects rights; that has a direct, external legal effect; and that does not fall under any of the listed exclusions”. </w:t>
      </w:r>
      <w:r w:rsidR="00930BA9">
        <w:rPr>
          <w:sz w:val="22"/>
          <w:lang w:val="en-ZA"/>
        </w:rPr>
        <w:t>(Footnote omitted.)</w:t>
      </w:r>
    </w:p>
    <w:p w14:paraId="20F8C63B" w14:textId="6CFD3F18" w:rsidR="009604F3" w:rsidRPr="009404DC" w:rsidRDefault="009604F3" w:rsidP="00D90125">
      <w:pPr>
        <w:pStyle w:val="JudgmentNumbered"/>
        <w:numPr>
          <w:ilvl w:val="0"/>
          <w:numId w:val="0"/>
        </w:numPr>
        <w:ind w:left="567"/>
        <w:rPr>
          <w:szCs w:val="24"/>
          <w:lang w:val="en-ZA"/>
        </w:rPr>
      </w:pPr>
      <w:r w:rsidRPr="00A41E69">
        <w:rPr>
          <w:lang w:val="en-ZA"/>
        </w:rPr>
        <w:t xml:space="preserve">And further </w:t>
      </w:r>
      <w:r w:rsidRPr="009404DC">
        <w:rPr>
          <w:szCs w:val="24"/>
          <w:lang w:val="en-ZA"/>
        </w:rPr>
        <w:t>at</w:t>
      </w:r>
      <w:r>
        <w:rPr>
          <w:szCs w:val="24"/>
          <w:lang w:val="en-ZA"/>
        </w:rPr>
        <w:t xml:space="preserve"> </w:t>
      </w:r>
      <w:r w:rsidRPr="009404DC">
        <w:rPr>
          <w:szCs w:val="24"/>
          <w:lang w:val="en-ZA"/>
        </w:rPr>
        <w:t>paragraph</w:t>
      </w:r>
      <w:r>
        <w:rPr>
          <w:szCs w:val="24"/>
          <w:lang w:val="en-ZA"/>
        </w:rPr>
        <w:t xml:space="preserve"> </w:t>
      </w:r>
      <w:r w:rsidRPr="00A41E69">
        <w:rPr>
          <w:lang w:val="en-ZA"/>
        </w:rPr>
        <w:t>34</w:t>
      </w:r>
      <w:r w:rsidRPr="009404DC">
        <w:rPr>
          <w:szCs w:val="24"/>
          <w:lang w:val="en-ZA"/>
        </w:rPr>
        <w:t>:</w:t>
      </w:r>
    </w:p>
    <w:p w14:paraId="02D98534" w14:textId="079AF52D" w:rsidR="009604F3" w:rsidRPr="00A41E69" w:rsidRDefault="009604F3" w:rsidP="00A41E69">
      <w:pPr>
        <w:pStyle w:val="JudgmentNumbered"/>
        <w:numPr>
          <w:ilvl w:val="0"/>
          <w:numId w:val="0"/>
        </w:numPr>
        <w:ind w:left="1134" w:right="521"/>
        <w:rPr>
          <w:sz w:val="22"/>
          <w:lang w:val="en-ZA"/>
        </w:rPr>
      </w:pPr>
      <w:r w:rsidRPr="009404DC">
        <w:rPr>
          <w:sz w:val="22"/>
          <w:lang w:val="en-ZA"/>
        </w:rPr>
        <w:t>“</w:t>
      </w:r>
      <w:r w:rsidRPr="00A41E69">
        <w:rPr>
          <w:sz w:val="22"/>
          <w:lang w:val="en-ZA"/>
        </w:rPr>
        <w:t xml:space="preserve">To determine what constitutes administrative action by asking whether a particular decision is of an administrative nature may, at first blush, appear to presuppose the outcome of that enquiry. But the requirement has two important functions. First, it obliges courts to make a “positive decision in each case whether a particular exercise of public power ... is of an administrative character”. Second, it makes clear that a decision is not administrative action merely because it does not fall within one of the listed exclusions in section 1(i) of PAJA. In other words, the requirement propels a reviewing court to undertake a close analysis of the nature of the power under consideration”. </w:t>
      </w:r>
      <w:r w:rsidR="00930BA9">
        <w:rPr>
          <w:sz w:val="22"/>
          <w:lang w:val="en-ZA"/>
        </w:rPr>
        <w:t>(Footnotes omitted.)</w:t>
      </w:r>
    </w:p>
    <w:p w14:paraId="778179B1" w14:textId="1C71785D" w:rsidR="008D11CA" w:rsidRPr="008D11CA" w:rsidRDefault="0048361F" w:rsidP="0048361F">
      <w:pPr>
        <w:pStyle w:val="JudgmentNumbered"/>
        <w:numPr>
          <w:ilvl w:val="0"/>
          <w:numId w:val="0"/>
        </w:numPr>
        <w:ind w:left="567" w:hanging="567"/>
        <w:rPr>
          <w:lang w:val="en-ZA"/>
        </w:rPr>
      </w:pPr>
      <w:r w:rsidRPr="008D11CA">
        <w:rPr>
          <w:lang w:val="en-ZA"/>
        </w:rPr>
        <w:lastRenderedPageBreak/>
        <w:t>[27]</w:t>
      </w:r>
      <w:r w:rsidRPr="008D11CA">
        <w:rPr>
          <w:lang w:val="en-ZA"/>
        </w:rPr>
        <w:tab/>
      </w:r>
      <w:r w:rsidR="008D11CA" w:rsidRPr="008D11CA">
        <w:rPr>
          <w:lang w:val="en-ZA"/>
        </w:rPr>
        <w:t xml:space="preserve">In </w:t>
      </w:r>
      <w:r w:rsidR="008D11CA" w:rsidRPr="00161E3A">
        <w:rPr>
          <w:i/>
          <w:lang w:val="en-ZA"/>
        </w:rPr>
        <w:t>Greys Marine Hout Bay (Pty) Ltd and Others v Minister of Public Works and Others</w:t>
      </w:r>
      <w:r w:rsidR="008D11CA" w:rsidRPr="008D11CA">
        <w:rPr>
          <w:lang w:val="en-ZA"/>
        </w:rPr>
        <w:t>,</w:t>
      </w:r>
      <w:r w:rsidR="00EA0F0E">
        <w:rPr>
          <w:rStyle w:val="FootnoteReference"/>
          <w:lang w:val="en-ZA"/>
        </w:rPr>
        <w:footnoteReference w:id="13"/>
      </w:r>
      <w:r w:rsidR="00161E3A">
        <w:rPr>
          <w:lang w:val="en-ZA"/>
        </w:rPr>
        <w:t xml:space="preserve"> </w:t>
      </w:r>
      <w:r w:rsidR="008D11CA" w:rsidRPr="008D11CA">
        <w:rPr>
          <w:lang w:val="en-ZA"/>
        </w:rPr>
        <w:t xml:space="preserve">as to what is meant when saying a decision is of an administrative nature, the </w:t>
      </w:r>
      <w:r w:rsidR="005F7889">
        <w:rPr>
          <w:lang w:val="en-ZA"/>
        </w:rPr>
        <w:t>SCA</w:t>
      </w:r>
      <w:r w:rsidR="008D11CA" w:rsidRPr="008D11CA">
        <w:rPr>
          <w:lang w:val="en-ZA"/>
        </w:rPr>
        <w:t xml:space="preserve"> said:</w:t>
      </w:r>
    </w:p>
    <w:p w14:paraId="702F2E52" w14:textId="729975AE" w:rsidR="009604F3" w:rsidRPr="007E33BA" w:rsidRDefault="008D11CA" w:rsidP="007E33BA">
      <w:pPr>
        <w:pStyle w:val="JudgmentNumbered"/>
        <w:numPr>
          <w:ilvl w:val="0"/>
          <w:numId w:val="0"/>
        </w:numPr>
        <w:ind w:left="1134" w:right="521"/>
        <w:rPr>
          <w:sz w:val="22"/>
          <w:lang w:val="en-ZA"/>
        </w:rPr>
      </w:pPr>
      <w:r w:rsidRPr="003566ED">
        <w:rPr>
          <w:sz w:val="22"/>
          <w:lang w:val="en-ZA"/>
        </w:rPr>
        <w:t>“Whether particular conduct constitutes administrative action depends primarily on the nature of the power that is being exercised rather than upon the identity of the person who does so. Features of administrative action (conduct of ‘an administrative nature’) that have emerged from the construction that has been placed on s 33 of the Constitution are that it does not extend to the exercise of legislative powers by deliberative elected legislative bodies, nor to the ordinary exercise of judicial powers, nor to the formulation of policy or the initiation of legislation by the executive, nor to the exercise of original powers conferred upon the President as head of state. Administrative action is rather, in general terms, the conduct of the bureaucracy (whoever the bureaucratic functionary might be) in carrying out the daily functions of the state which necessarily involves the application of policy, usually after its translation into law, with direct and immediate consequences for individuals or groups of individuals.”</w:t>
      </w:r>
      <w:r w:rsidR="00EB02A9">
        <w:rPr>
          <w:rStyle w:val="FootnoteReference"/>
          <w:sz w:val="22"/>
          <w:lang w:val="en-ZA"/>
        </w:rPr>
        <w:footnoteReference w:id="14"/>
      </w:r>
      <w:r w:rsidRPr="003566ED">
        <w:rPr>
          <w:sz w:val="22"/>
          <w:lang w:val="en-ZA"/>
        </w:rPr>
        <w:t xml:space="preserve">  </w:t>
      </w:r>
      <w:r w:rsidR="00930BA9">
        <w:rPr>
          <w:sz w:val="22"/>
          <w:lang w:val="en-ZA"/>
        </w:rPr>
        <w:t>(Footnotes omitted.)</w:t>
      </w:r>
    </w:p>
    <w:p w14:paraId="4A3F1740" w14:textId="0D4147F0" w:rsidR="00454D26" w:rsidRPr="00454D26" w:rsidRDefault="0048361F" w:rsidP="0048361F">
      <w:pPr>
        <w:pStyle w:val="JudgmentNumbered"/>
        <w:numPr>
          <w:ilvl w:val="0"/>
          <w:numId w:val="0"/>
        </w:numPr>
        <w:ind w:left="567" w:hanging="567"/>
        <w:rPr>
          <w:lang w:val="en-ZA"/>
        </w:rPr>
      </w:pPr>
      <w:r w:rsidRPr="00454D26">
        <w:rPr>
          <w:lang w:val="en-ZA"/>
        </w:rPr>
        <w:t>[28]</w:t>
      </w:r>
      <w:r w:rsidRPr="00454D26">
        <w:rPr>
          <w:lang w:val="en-ZA"/>
        </w:rPr>
        <w:tab/>
      </w:r>
      <w:r w:rsidR="00BD7A77" w:rsidRPr="00B63D28">
        <w:rPr>
          <w:lang w:val="en-ZA"/>
        </w:rPr>
        <w:t xml:space="preserve">The </w:t>
      </w:r>
      <w:r w:rsidR="006B5E6E" w:rsidRPr="00B63D28">
        <w:rPr>
          <w:lang w:val="en-ZA"/>
        </w:rPr>
        <w:t xml:space="preserve">decision to approve the surplus retention request as </w:t>
      </w:r>
      <w:r w:rsidR="00550D5E" w:rsidRPr="00B63D28">
        <w:rPr>
          <w:lang w:val="en-ZA"/>
        </w:rPr>
        <w:t xml:space="preserve">well </w:t>
      </w:r>
      <w:r w:rsidR="006B5E6E" w:rsidRPr="00B63D28">
        <w:rPr>
          <w:lang w:val="en-ZA"/>
        </w:rPr>
        <w:t>as the decision to approve the C</w:t>
      </w:r>
      <w:r w:rsidR="00001596" w:rsidRPr="00B63D28">
        <w:rPr>
          <w:lang w:val="en-ZA"/>
        </w:rPr>
        <w:t>u</w:t>
      </w:r>
      <w:r w:rsidR="000D6EA9" w:rsidRPr="00B63D28">
        <w:rPr>
          <w:lang w:val="en-ZA"/>
        </w:rPr>
        <w:t>ban</w:t>
      </w:r>
      <w:r w:rsidR="0068490C" w:rsidRPr="00B63D28">
        <w:rPr>
          <w:lang w:val="en-ZA"/>
        </w:rPr>
        <w:t xml:space="preserve"> </w:t>
      </w:r>
      <w:r w:rsidR="00423E97">
        <w:rPr>
          <w:lang w:val="en-ZA"/>
        </w:rPr>
        <w:t xml:space="preserve">donation </w:t>
      </w:r>
      <w:r w:rsidR="0068490C" w:rsidRPr="00B63D28">
        <w:rPr>
          <w:lang w:val="en-ZA"/>
        </w:rPr>
        <w:t xml:space="preserve">are </w:t>
      </w:r>
      <w:r w:rsidR="00F40406" w:rsidRPr="00B63D28">
        <w:rPr>
          <w:lang w:val="en-ZA"/>
        </w:rPr>
        <w:t>pre-eminently</w:t>
      </w:r>
      <w:r w:rsidR="0068490C" w:rsidRPr="00B63D28">
        <w:rPr>
          <w:lang w:val="en-ZA"/>
        </w:rPr>
        <w:t xml:space="preserve"> the exercise of public powers.</w:t>
      </w:r>
      <w:r w:rsidR="00423E97">
        <w:rPr>
          <w:lang w:val="en-ZA"/>
        </w:rPr>
        <w:t xml:space="preserve"> </w:t>
      </w:r>
      <w:r w:rsidR="00001596" w:rsidRPr="00B63D28">
        <w:rPr>
          <w:lang w:val="en-ZA"/>
        </w:rPr>
        <w:t>This much is borne</w:t>
      </w:r>
      <w:r w:rsidR="004B42AE">
        <w:rPr>
          <w:lang w:val="en-ZA"/>
        </w:rPr>
        <w:t xml:space="preserve"> out</w:t>
      </w:r>
      <w:r w:rsidR="00001596" w:rsidRPr="00B63D28">
        <w:rPr>
          <w:lang w:val="en-ZA"/>
        </w:rPr>
        <w:t xml:space="preserve"> by the jurisprudence examined</w:t>
      </w:r>
      <w:r w:rsidR="000D6EA9" w:rsidRPr="00B63D28">
        <w:rPr>
          <w:lang w:val="en-ZA"/>
        </w:rPr>
        <w:t xml:space="preserve">. </w:t>
      </w:r>
      <w:r w:rsidR="0000173C" w:rsidRPr="00B63D28">
        <w:rPr>
          <w:lang w:val="en-ZA"/>
        </w:rPr>
        <w:t>The</w:t>
      </w:r>
      <w:r w:rsidR="0000173C" w:rsidRPr="0000173C">
        <w:rPr>
          <w:lang w:val="en-ZA"/>
        </w:rPr>
        <w:t xml:space="preserve"> African Renaissance Fund </w:t>
      </w:r>
      <w:r w:rsidR="0098554B">
        <w:rPr>
          <w:lang w:val="en-ZA"/>
        </w:rPr>
        <w:t>a</w:t>
      </w:r>
      <w:r w:rsidR="0000173C" w:rsidRPr="0000173C">
        <w:rPr>
          <w:lang w:val="en-ZA"/>
        </w:rPr>
        <w:t>s a schedule 3A entity</w:t>
      </w:r>
      <w:r w:rsidR="0098554B">
        <w:rPr>
          <w:lang w:val="en-ZA"/>
        </w:rPr>
        <w:t>,</w:t>
      </w:r>
      <w:r w:rsidR="0000173C" w:rsidRPr="0000173C">
        <w:rPr>
          <w:lang w:val="en-ZA"/>
        </w:rPr>
        <w:t xml:space="preserve"> is </w:t>
      </w:r>
      <w:r w:rsidR="00B54008">
        <w:rPr>
          <w:lang w:val="en-ZA"/>
        </w:rPr>
        <w:t xml:space="preserve">a public entity </w:t>
      </w:r>
      <w:r w:rsidR="0000173C" w:rsidRPr="0000173C">
        <w:rPr>
          <w:lang w:val="en-ZA"/>
        </w:rPr>
        <w:t>and</w:t>
      </w:r>
      <w:r w:rsidR="00B54008">
        <w:rPr>
          <w:lang w:val="en-ZA"/>
        </w:rPr>
        <w:t>, similarly,</w:t>
      </w:r>
      <w:r w:rsidR="0000173C" w:rsidRPr="0000173C">
        <w:rPr>
          <w:lang w:val="en-ZA"/>
        </w:rPr>
        <w:t xml:space="preserve"> National Treasury, without doubt </w:t>
      </w:r>
      <w:r w:rsidR="00B54008">
        <w:rPr>
          <w:lang w:val="en-ZA"/>
        </w:rPr>
        <w:t xml:space="preserve">is also </w:t>
      </w:r>
      <w:r w:rsidR="0000173C" w:rsidRPr="0000173C">
        <w:rPr>
          <w:lang w:val="en-ZA"/>
        </w:rPr>
        <w:t xml:space="preserve">a </w:t>
      </w:r>
      <w:r w:rsidR="000051DD">
        <w:rPr>
          <w:lang w:val="en-ZA"/>
        </w:rPr>
        <w:t xml:space="preserve">public </w:t>
      </w:r>
      <w:r w:rsidR="00BD76D1">
        <w:rPr>
          <w:lang w:val="en-ZA"/>
        </w:rPr>
        <w:t>body</w:t>
      </w:r>
      <w:r w:rsidR="0000173C" w:rsidRPr="00423E97">
        <w:rPr>
          <w:lang w:val="en-ZA"/>
        </w:rPr>
        <w:t>.</w:t>
      </w:r>
      <w:r w:rsidR="00454D26">
        <w:rPr>
          <w:lang w:val="en-ZA"/>
        </w:rPr>
        <w:t xml:space="preserve"> </w:t>
      </w:r>
      <w:r w:rsidR="00454D26" w:rsidRPr="00454D26">
        <w:rPr>
          <w:lang w:val="en-ZA"/>
        </w:rPr>
        <w:t xml:space="preserve">These </w:t>
      </w:r>
      <w:r w:rsidR="00AE0C80">
        <w:rPr>
          <w:lang w:val="en-ZA"/>
        </w:rPr>
        <w:t>organs of state</w:t>
      </w:r>
      <w:r w:rsidR="00AE0C80" w:rsidRPr="00454D26">
        <w:rPr>
          <w:lang w:val="en-ZA"/>
        </w:rPr>
        <w:t xml:space="preserve"> </w:t>
      </w:r>
      <w:r w:rsidR="00454D26" w:rsidRPr="00454D26">
        <w:rPr>
          <w:lang w:val="en-ZA"/>
        </w:rPr>
        <w:t>took the decisions at issue when performing public function</w:t>
      </w:r>
      <w:r w:rsidR="00B04E14">
        <w:rPr>
          <w:lang w:val="en-ZA"/>
        </w:rPr>
        <w:t>s</w:t>
      </w:r>
      <w:r w:rsidR="00454D26" w:rsidRPr="00454D26">
        <w:rPr>
          <w:lang w:val="en-ZA"/>
        </w:rPr>
        <w:t xml:space="preserve">, and while exercising public power. This was described by the Constitutional Court in </w:t>
      </w:r>
      <w:r w:rsidR="00454D26" w:rsidRPr="00BD76D1">
        <w:rPr>
          <w:i/>
          <w:lang w:val="en-ZA"/>
        </w:rPr>
        <w:t xml:space="preserve">Chirwa v Transnet Limited and </w:t>
      </w:r>
      <w:r w:rsidR="003F4DE2" w:rsidRPr="00BD76D1">
        <w:rPr>
          <w:i/>
          <w:lang w:val="en-ZA"/>
        </w:rPr>
        <w:t>Others</w:t>
      </w:r>
      <w:r w:rsidR="003F4DE2" w:rsidRPr="00454D26">
        <w:rPr>
          <w:lang w:val="en-ZA"/>
        </w:rPr>
        <w:t>,</w:t>
      </w:r>
      <w:r w:rsidR="00930BA9">
        <w:rPr>
          <w:rStyle w:val="FootnoteReference"/>
          <w:lang w:val="en-ZA"/>
        </w:rPr>
        <w:footnoteReference w:id="15"/>
      </w:r>
      <w:r w:rsidR="003F4DE2" w:rsidRPr="00454D26">
        <w:rPr>
          <w:lang w:val="en-ZA"/>
        </w:rPr>
        <w:t xml:space="preserve"> as</w:t>
      </w:r>
      <w:r w:rsidR="00454D26" w:rsidRPr="00454D26">
        <w:rPr>
          <w:lang w:val="en-ZA"/>
        </w:rPr>
        <w:t xml:space="preserve"> follows:</w:t>
      </w:r>
    </w:p>
    <w:p w14:paraId="3EA3047F" w14:textId="626C5C97" w:rsidR="00223974" w:rsidRPr="007E33BA" w:rsidRDefault="00454D26" w:rsidP="007E33BA">
      <w:pPr>
        <w:pStyle w:val="JudgmentNumbered"/>
        <w:numPr>
          <w:ilvl w:val="0"/>
          <w:numId w:val="0"/>
        </w:numPr>
        <w:ind w:left="1134" w:right="521"/>
        <w:rPr>
          <w:sz w:val="22"/>
          <w:szCs w:val="20"/>
          <w:lang w:val="en-ZA"/>
        </w:rPr>
      </w:pPr>
      <w:r w:rsidRPr="007E33BA">
        <w:rPr>
          <w:sz w:val="22"/>
          <w:szCs w:val="20"/>
          <w:lang w:val="en-ZA"/>
        </w:rPr>
        <w:t>“In my view, what makes the power in question a public power is the fact that it has been vested in a public functionary, who is required to exercise the power in the public interest. When a public official performs a function in relation to his or her duties, the public official exercises public</w:t>
      </w:r>
      <w:r w:rsidR="002B42C6">
        <w:rPr>
          <w:sz w:val="22"/>
          <w:szCs w:val="20"/>
          <w:lang w:val="en-ZA"/>
        </w:rPr>
        <w:t xml:space="preserve"> power</w:t>
      </w:r>
      <w:r w:rsidR="00EB5543">
        <w:rPr>
          <w:sz w:val="22"/>
          <w:szCs w:val="20"/>
          <w:lang w:val="en-ZA"/>
        </w:rPr>
        <w:t>.</w:t>
      </w:r>
      <w:r w:rsidRPr="007E33BA">
        <w:rPr>
          <w:sz w:val="22"/>
          <w:szCs w:val="20"/>
          <w:lang w:val="en-ZA"/>
        </w:rPr>
        <w:t>… Transnet is a creature of statute. It is a public entity created by the statute and it operates under statutory authority.</w:t>
      </w:r>
      <w:r w:rsidR="000123F9">
        <w:rPr>
          <w:rStyle w:val="FootnoteReference"/>
          <w:sz w:val="22"/>
          <w:szCs w:val="20"/>
          <w:lang w:val="en-ZA"/>
        </w:rPr>
        <w:footnoteReference w:id="16"/>
      </w:r>
    </w:p>
    <w:p w14:paraId="6EB76181" w14:textId="05118C55" w:rsidR="009604F3" w:rsidRPr="007E33BA" w:rsidRDefault="0048361F" w:rsidP="0048361F">
      <w:pPr>
        <w:pStyle w:val="JudgmentNumbered"/>
        <w:numPr>
          <w:ilvl w:val="0"/>
          <w:numId w:val="0"/>
        </w:numPr>
        <w:ind w:left="567" w:hanging="567"/>
        <w:rPr>
          <w:lang w:val="en-ZA"/>
        </w:rPr>
      </w:pPr>
      <w:r w:rsidRPr="007E33BA">
        <w:rPr>
          <w:lang w:val="en-ZA"/>
        </w:rPr>
        <w:lastRenderedPageBreak/>
        <w:t>[29]</w:t>
      </w:r>
      <w:r w:rsidRPr="007E33BA">
        <w:rPr>
          <w:lang w:val="en-ZA"/>
        </w:rPr>
        <w:tab/>
      </w:r>
      <w:r w:rsidR="00483EEB" w:rsidRPr="00454D26">
        <w:rPr>
          <w:lang w:val="en-ZA"/>
        </w:rPr>
        <w:t>I</w:t>
      </w:r>
      <w:r w:rsidR="00176C35">
        <w:rPr>
          <w:lang w:val="en-ZA"/>
        </w:rPr>
        <w:t xml:space="preserve"> hold the </w:t>
      </w:r>
      <w:r w:rsidR="00EC422E" w:rsidRPr="00EC422E">
        <w:rPr>
          <w:lang w:val="en-ZA"/>
        </w:rPr>
        <w:t>view that the exercise of the power to approve the surplus retention</w:t>
      </w:r>
      <w:r w:rsidR="00394FA4">
        <w:rPr>
          <w:lang w:val="en-ZA"/>
        </w:rPr>
        <w:t xml:space="preserve"> </w:t>
      </w:r>
      <w:r w:rsidR="00EC422E" w:rsidRPr="00EC422E">
        <w:rPr>
          <w:lang w:val="en-ZA"/>
        </w:rPr>
        <w:t xml:space="preserve">request is </w:t>
      </w:r>
      <w:r w:rsidR="00DF4DCF">
        <w:rPr>
          <w:lang w:val="en-ZA"/>
        </w:rPr>
        <w:t xml:space="preserve">executive </w:t>
      </w:r>
      <w:r w:rsidR="00F6186A">
        <w:rPr>
          <w:lang w:val="en-ZA"/>
        </w:rPr>
        <w:t xml:space="preserve">in </w:t>
      </w:r>
      <w:r w:rsidR="00F6186A" w:rsidRPr="004B42AE">
        <w:rPr>
          <w:lang w:val="en-ZA"/>
        </w:rPr>
        <w:t>nature</w:t>
      </w:r>
      <w:r w:rsidR="00EC422E" w:rsidRPr="004B42AE">
        <w:rPr>
          <w:lang w:val="en-ZA"/>
        </w:rPr>
        <w:t xml:space="preserve">. What we are dealing with here is conduct </w:t>
      </w:r>
      <w:r w:rsidR="00541DF9" w:rsidRPr="004B42AE">
        <w:rPr>
          <w:lang w:val="en-ZA"/>
        </w:rPr>
        <w:t xml:space="preserve">concerning </w:t>
      </w:r>
      <w:r w:rsidR="00BD76D1" w:rsidRPr="004B42AE">
        <w:rPr>
          <w:lang w:val="en-ZA"/>
        </w:rPr>
        <w:t>budget and fiscal</w:t>
      </w:r>
      <w:r w:rsidR="00541DF9" w:rsidRPr="004B42AE">
        <w:rPr>
          <w:lang w:val="en-ZA"/>
        </w:rPr>
        <w:t xml:space="preserve"> management </w:t>
      </w:r>
      <w:r w:rsidR="00EC422E" w:rsidRPr="004B42AE">
        <w:rPr>
          <w:lang w:val="en-ZA"/>
        </w:rPr>
        <w:t>undertaken by the executive in furtherance</w:t>
      </w:r>
      <w:r w:rsidR="00541DF9" w:rsidRPr="004B42AE">
        <w:rPr>
          <w:lang w:val="en-ZA"/>
        </w:rPr>
        <w:t xml:space="preserve">, in this instance, </w:t>
      </w:r>
      <w:r w:rsidR="00EC422E" w:rsidRPr="004B42AE">
        <w:rPr>
          <w:lang w:val="en-ZA"/>
        </w:rPr>
        <w:t>of policy laden processes</w:t>
      </w:r>
      <w:r w:rsidR="00F6186A" w:rsidRPr="004B42AE">
        <w:rPr>
          <w:lang w:val="en-ZA"/>
        </w:rPr>
        <w:t xml:space="preserve"> to support its foreign policy </w:t>
      </w:r>
      <w:r w:rsidR="00483EEB" w:rsidRPr="004B42AE">
        <w:rPr>
          <w:lang w:val="en-ZA"/>
        </w:rPr>
        <w:t>endeavours</w:t>
      </w:r>
      <w:r w:rsidR="00EC422E" w:rsidRPr="004B42AE">
        <w:rPr>
          <w:lang w:val="en-ZA"/>
        </w:rPr>
        <w:t xml:space="preserve">. </w:t>
      </w:r>
      <w:r w:rsidR="000C683F" w:rsidRPr="004B42AE">
        <w:rPr>
          <w:lang w:val="en-ZA"/>
        </w:rPr>
        <w:t xml:space="preserve"> For</w:t>
      </w:r>
      <w:r w:rsidR="000C683F">
        <w:rPr>
          <w:lang w:val="en-ZA"/>
        </w:rPr>
        <w:t xml:space="preserve"> this reason alone, </w:t>
      </w:r>
      <w:r w:rsidR="0031627F">
        <w:rPr>
          <w:lang w:val="en-ZA"/>
        </w:rPr>
        <w:t>the</w:t>
      </w:r>
      <w:r w:rsidR="00A6456D">
        <w:rPr>
          <w:lang w:val="en-ZA"/>
        </w:rPr>
        <w:t xml:space="preserve"> </w:t>
      </w:r>
      <w:r w:rsidR="0031627F">
        <w:rPr>
          <w:lang w:val="en-ZA"/>
        </w:rPr>
        <w:t xml:space="preserve">approval of the surplus retention request, </w:t>
      </w:r>
      <w:r w:rsidR="00F01C8F">
        <w:rPr>
          <w:lang w:val="en-ZA"/>
        </w:rPr>
        <w:t xml:space="preserve">must be subjected to the </w:t>
      </w:r>
      <w:r w:rsidR="00A6456D">
        <w:rPr>
          <w:lang w:val="en-ZA"/>
        </w:rPr>
        <w:t>legality standard of review</w:t>
      </w:r>
      <w:r w:rsidR="00335C38">
        <w:rPr>
          <w:lang w:val="en-ZA"/>
        </w:rPr>
        <w:t>.</w:t>
      </w:r>
    </w:p>
    <w:p w14:paraId="0C248482" w14:textId="5B37C1C5" w:rsidR="009604F3" w:rsidRPr="00A41E69" w:rsidRDefault="0048361F" w:rsidP="0048361F">
      <w:pPr>
        <w:pStyle w:val="JudgmentNumbered"/>
        <w:numPr>
          <w:ilvl w:val="0"/>
          <w:numId w:val="0"/>
        </w:numPr>
        <w:ind w:left="567" w:hanging="567"/>
        <w:rPr>
          <w:lang w:val="en-ZA"/>
        </w:rPr>
      </w:pPr>
      <w:r w:rsidRPr="00A41E69">
        <w:rPr>
          <w:lang w:val="en-ZA"/>
        </w:rPr>
        <w:t>[30]</w:t>
      </w:r>
      <w:r w:rsidRPr="00A41E69">
        <w:rPr>
          <w:lang w:val="en-ZA"/>
        </w:rPr>
        <w:tab/>
      </w:r>
      <w:r w:rsidR="009604F3" w:rsidRPr="00A41E69">
        <w:rPr>
          <w:lang w:val="en-ZA"/>
        </w:rPr>
        <w:t xml:space="preserve">The remaining </w:t>
      </w:r>
      <w:r w:rsidR="00AE0C80">
        <w:rPr>
          <w:lang w:val="en-ZA"/>
        </w:rPr>
        <w:t xml:space="preserve">material </w:t>
      </w:r>
      <w:r w:rsidR="009604F3" w:rsidRPr="00A41E69">
        <w:rPr>
          <w:lang w:val="en-ZA"/>
        </w:rPr>
        <w:t xml:space="preserve">requirements are whether the decision </w:t>
      </w:r>
      <w:r w:rsidR="000009BD">
        <w:rPr>
          <w:lang w:val="en-ZA"/>
        </w:rPr>
        <w:t xml:space="preserve">to approve the request, </w:t>
      </w:r>
      <w:r w:rsidR="009604F3" w:rsidRPr="00A41E69">
        <w:rPr>
          <w:lang w:val="en-ZA"/>
        </w:rPr>
        <w:t>adversely affect</w:t>
      </w:r>
      <w:r w:rsidR="00AE0C80">
        <w:rPr>
          <w:lang w:val="en-ZA"/>
        </w:rPr>
        <w:t>s</w:t>
      </w:r>
      <w:r w:rsidR="009604F3" w:rsidRPr="00A41E69">
        <w:rPr>
          <w:lang w:val="en-ZA"/>
        </w:rPr>
        <w:t xml:space="preserve"> the rights of any person and </w:t>
      </w:r>
      <w:r w:rsidR="009604F3" w:rsidRPr="009404DC">
        <w:rPr>
          <w:lang w:val="en-ZA"/>
        </w:rPr>
        <w:t>had</w:t>
      </w:r>
      <w:r w:rsidR="009604F3" w:rsidRPr="00A41E69">
        <w:rPr>
          <w:lang w:val="en-ZA"/>
        </w:rPr>
        <w:t xml:space="preserve"> a direct, external legal effect. In </w:t>
      </w:r>
      <w:r w:rsidR="009604F3" w:rsidRPr="00A41E69">
        <w:rPr>
          <w:i/>
          <w:lang w:val="en-ZA"/>
        </w:rPr>
        <w:t>Greys Marine</w:t>
      </w:r>
      <w:r w:rsidR="009604F3" w:rsidRPr="00A41E69">
        <w:rPr>
          <w:lang w:val="en-ZA"/>
        </w:rPr>
        <w:t>, the SCA considered the impact of these requirements and said:</w:t>
      </w:r>
    </w:p>
    <w:p w14:paraId="6FFC1F67" w14:textId="77777777" w:rsidR="009604F3" w:rsidRPr="00A41E69" w:rsidRDefault="009604F3" w:rsidP="00A41E69">
      <w:pPr>
        <w:pStyle w:val="JudgmentNumbered"/>
        <w:numPr>
          <w:ilvl w:val="0"/>
          <w:numId w:val="0"/>
        </w:numPr>
        <w:ind w:left="1134" w:right="521"/>
        <w:rPr>
          <w:sz w:val="22"/>
          <w:lang w:val="en-ZA"/>
        </w:rPr>
      </w:pPr>
      <w:r w:rsidRPr="00A41E69">
        <w:rPr>
          <w:sz w:val="22"/>
          <w:lang w:val="en-ZA"/>
        </w:rPr>
        <w:t>“The qualification, particularly when seen in conjunction with the requirement that it must have a ‘direct and external legal effect’, was probably intended rather to convey that administrative action is action that has the capacity to affect legal rights, the two qualifications in tandem serving to emphasise that administrative action impacts directly and immediately on individuals.”</w:t>
      </w:r>
      <w:r>
        <w:rPr>
          <w:rStyle w:val="FootnoteReference"/>
          <w:sz w:val="22"/>
          <w:lang w:val="en-ZA"/>
        </w:rPr>
        <w:footnoteReference w:id="17"/>
      </w:r>
    </w:p>
    <w:p w14:paraId="364DAAC1" w14:textId="1EA280E6" w:rsidR="009604F3" w:rsidRPr="00A41E69" w:rsidRDefault="0048361F" w:rsidP="0048361F">
      <w:pPr>
        <w:pStyle w:val="JudgmentNumbered"/>
        <w:numPr>
          <w:ilvl w:val="0"/>
          <w:numId w:val="0"/>
        </w:numPr>
        <w:ind w:left="567" w:hanging="567"/>
        <w:rPr>
          <w:lang w:val="en-ZA"/>
        </w:rPr>
      </w:pPr>
      <w:r w:rsidRPr="00A41E69">
        <w:rPr>
          <w:lang w:val="en-ZA"/>
        </w:rPr>
        <w:t>[31]</w:t>
      </w:r>
      <w:r w:rsidRPr="00A41E69">
        <w:rPr>
          <w:lang w:val="en-ZA"/>
        </w:rPr>
        <w:tab/>
      </w:r>
      <w:r w:rsidR="009604F3" w:rsidRPr="00A41E69">
        <w:rPr>
          <w:lang w:val="en-ZA"/>
        </w:rPr>
        <w:t xml:space="preserve">The Constitutional Court endorsed this view in </w:t>
      </w:r>
      <w:r w:rsidR="009604F3" w:rsidRPr="00A41E69">
        <w:rPr>
          <w:i/>
          <w:lang w:val="en-ZA"/>
        </w:rPr>
        <w:t>Joseph and Others v City of Johannesburg and Others</w:t>
      </w:r>
      <w:r w:rsidR="009604F3" w:rsidRPr="00A41E69">
        <w:rPr>
          <w:lang w:val="en-ZA"/>
        </w:rPr>
        <w:t>,</w:t>
      </w:r>
      <w:r w:rsidR="009604F3">
        <w:rPr>
          <w:rStyle w:val="FootnoteReference"/>
          <w:lang w:val="en-ZA"/>
        </w:rPr>
        <w:footnoteReference w:id="18"/>
      </w:r>
      <w:r w:rsidR="009604F3" w:rsidRPr="00A41E69">
        <w:rPr>
          <w:lang w:val="en-ZA"/>
        </w:rPr>
        <w:t xml:space="preserve"> when it held that:</w:t>
      </w:r>
    </w:p>
    <w:p w14:paraId="488ADF32" w14:textId="5CD3DEA1" w:rsidR="009604F3" w:rsidRPr="00A41E69" w:rsidRDefault="009604F3" w:rsidP="00CF5695">
      <w:pPr>
        <w:pStyle w:val="JudgmentNumbered"/>
        <w:numPr>
          <w:ilvl w:val="0"/>
          <w:numId w:val="0"/>
        </w:numPr>
        <w:ind w:left="1134" w:right="521"/>
        <w:rPr>
          <w:lang w:val="en-ZA"/>
        </w:rPr>
      </w:pPr>
      <w:r w:rsidRPr="00A41E69">
        <w:rPr>
          <w:sz w:val="22"/>
          <w:lang w:val="en-ZA"/>
        </w:rPr>
        <w:t xml:space="preserve">“The qualifying phrase “direct, external legal effect” appears in the definition of administrative action under section 1 of PAJA. I need do no more on the facts of this case than endorse the broad interpretation accorded to this phrase by the Supreme Court of Appeal in </w:t>
      </w:r>
      <w:r w:rsidRPr="00A41E69">
        <w:rPr>
          <w:i/>
          <w:sz w:val="22"/>
          <w:lang w:val="en-ZA"/>
        </w:rPr>
        <w:t>Grey’s Marine</w:t>
      </w:r>
      <w:r w:rsidRPr="00A41E69">
        <w:rPr>
          <w:sz w:val="22"/>
          <w:lang w:val="en-ZA"/>
        </w:rPr>
        <w:t>, where it stated that the phrase “serv[es] to emphasise that administrative action impacts directly and immediately on individuals.” Indeed, a finding that the rights of the applicants were materially and adversely affected for the purposes of section 3 of PAJA would necessarily imply that the decision had a “direct, external legal effect” on the applicants. Conversely, a finding that the rights of the applicants were not materially and adversely affected would have the result that section 3 of PAJA would not apply.”</w:t>
      </w:r>
      <w:r>
        <w:rPr>
          <w:rStyle w:val="FootnoteReference"/>
          <w:sz w:val="22"/>
          <w:lang w:val="en-ZA"/>
        </w:rPr>
        <w:footnoteReference w:id="19"/>
      </w:r>
    </w:p>
    <w:p w14:paraId="3CA69CCB" w14:textId="102CB82E" w:rsidR="00AE0C80" w:rsidRPr="00936D7D" w:rsidRDefault="0048361F" w:rsidP="0048361F">
      <w:pPr>
        <w:pStyle w:val="JudgmentNumbered"/>
        <w:numPr>
          <w:ilvl w:val="0"/>
          <w:numId w:val="0"/>
        </w:numPr>
        <w:ind w:left="567" w:hanging="567"/>
        <w:rPr>
          <w:lang w:val="en-ZA"/>
        </w:rPr>
      </w:pPr>
      <w:r w:rsidRPr="00936D7D">
        <w:rPr>
          <w:lang w:val="en-ZA"/>
        </w:rPr>
        <w:lastRenderedPageBreak/>
        <w:t>[32]</w:t>
      </w:r>
      <w:r w:rsidRPr="00936D7D">
        <w:rPr>
          <w:lang w:val="en-ZA"/>
        </w:rPr>
        <w:tab/>
      </w:r>
      <w:r w:rsidR="00AE0C80" w:rsidRPr="00936D7D">
        <w:rPr>
          <w:lang w:val="en-ZA"/>
        </w:rPr>
        <w:t>In my view, AfriForum has not shown that the decision to approve the retention request had a “direct and external legal effect” on it and its members</w:t>
      </w:r>
      <w:r w:rsidR="00247F45" w:rsidRPr="004B42AE">
        <w:rPr>
          <w:lang w:val="en-ZA"/>
        </w:rPr>
        <w:t xml:space="preserve"> or adversely affected their rights</w:t>
      </w:r>
      <w:r w:rsidR="00AE0C80" w:rsidRPr="004B42AE">
        <w:rPr>
          <w:lang w:val="en-ZA"/>
        </w:rPr>
        <w:t>.</w:t>
      </w:r>
      <w:r w:rsidR="00247F45" w:rsidRPr="004B42AE">
        <w:rPr>
          <w:lang w:val="en-ZA"/>
        </w:rPr>
        <w:t xml:space="preserve">  For this reason too, that decision is not administrative action. </w:t>
      </w:r>
      <w:r w:rsidR="00247F45" w:rsidRPr="00936D7D">
        <w:rPr>
          <w:lang w:val="en-ZA"/>
        </w:rPr>
        <w:t xml:space="preserve"> I return below to the characterisation of the donation decision. </w:t>
      </w:r>
    </w:p>
    <w:p w14:paraId="6E6BD083" w14:textId="0177B369" w:rsidR="00663E57" w:rsidRPr="00936D7D" w:rsidRDefault="00663E57" w:rsidP="00936D7D">
      <w:pPr>
        <w:pStyle w:val="JudgmentNumbered"/>
        <w:numPr>
          <w:ilvl w:val="0"/>
          <w:numId w:val="0"/>
        </w:numPr>
        <w:rPr>
          <w:i/>
          <w:iCs/>
          <w:lang w:val="en-ZA"/>
        </w:rPr>
      </w:pPr>
      <w:r w:rsidRPr="00936D7D">
        <w:rPr>
          <w:i/>
          <w:iCs/>
          <w:lang w:val="en-ZA"/>
        </w:rPr>
        <w:t xml:space="preserve">The lawfulness of the </w:t>
      </w:r>
      <w:r w:rsidR="001B79CC" w:rsidRPr="00936D7D">
        <w:rPr>
          <w:i/>
          <w:iCs/>
          <w:lang w:val="en-ZA"/>
        </w:rPr>
        <w:t>decision to approve the surplus retention request</w:t>
      </w:r>
    </w:p>
    <w:p w14:paraId="1C35FCEE" w14:textId="006A7C3C" w:rsidR="007C28BD" w:rsidRPr="007C28BD" w:rsidRDefault="0048361F" w:rsidP="0048361F">
      <w:pPr>
        <w:pStyle w:val="JudgmentNumbered"/>
        <w:numPr>
          <w:ilvl w:val="0"/>
          <w:numId w:val="0"/>
        </w:numPr>
        <w:ind w:left="567" w:hanging="567"/>
        <w:rPr>
          <w:lang w:val="en-ZA"/>
        </w:rPr>
      </w:pPr>
      <w:r w:rsidRPr="007C28BD">
        <w:rPr>
          <w:lang w:val="en-ZA"/>
        </w:rPr>
        <w:t>[33]</w:t>
      </w:r>
      <w:r w:rsidRPr="007C28BD">
        <w:rPr>
          <w:lang w:val="en-ZA"/>
        </w:rPr>
        <w:tab/>
      </w:r>
      <w:r w:rsidR="007C28BD" w:rsidRPr="007C28BD">
        <w:rPr>
          <w:lang w:val="en-ZA"/>
        </w:rPr>
        <w:t>AfriForum has argued that the decision to approve the request was unlawful and/or irrational and/or unconstitutional and that mandatory and material procedures which were prescribed by the empowering legislation were not complied with.</w:t>
      </w:r>
      <w:r w:rsidR="00AA7EC9">
        <w:rPr>
          <w:lang w:val="en-ZA"/>
        </w:rPr>
        <w:t xml:space="preserve"> Based on these broad</w:t>
      </w:r>
      <w:r w:rsidR="00810695">
        <w:rPr>
          <w:lang w:val="en-ZA"/>
        </w:rPr>
        <w:t xml:space="preserve"> arguments AfriForum submitted that the decision to approve the surplus retention request </w:t>
      </w:r>
      <w:r w:rsidR="004E2EF3">
        <w:rPr>
          <w:lang w:val="en-ZA"/>
        </w:rPr>
        <w:t xml:space="preserve">was </w:t>
      </w:r>
      <w:r w:rsidR="00AE0C80">
        <w:rPr>
          <w:lang w:val="en-ZA"/>
        </w:rPr>
        <w:t>unlawful</w:t>
      </w:r>
      <w:r w:rsidR="004E2EF3">
        <w:rPr>
          <w:lang w:val="en-ZA"/>
        </w:rPr>
        <w:t xml:space="preserve">. </w:t>
      </w:r>
      <w:r w:rsidR="00AA7EC9">
        <w:rPr>
          <w:lang w:val="en-ZA"/>
        </w:rPr>
        <w:t xml:space="preserve"> </w:t>
      </w:r>
    </w:p>
    <w:p w14:paraId="4E7EBC27" w14:textId="1F6853FB" w:rsidR="00CF5695" w:rsidRDefault="0048361F" w:rsidP="0048361F">
      <w:pPr>
        <w:pStyle w:val="JudgmentNumbered"/>
        <w:numPr>
          <w:ilvl w:val="0"/>
          <w:numId w:val="0"/>
        </w:numPr>
        <w:ind w:left="567" w:hanging="567"/>
        <w:rPr>
          <w:lang w:val="en-ZA"/>
        </w:rPr>
      </w:pPr>
      <w:r>
        <w:rPr>
          <w:lang w:val="en-ZA"/>
        </w:rPr>
        <w:t>[34]</w:t>
      </w:r>
      <w:r>
        <w:rPr>
          <w:lang w:val="en-ZA"/>
        </w:rPr>
        <w:tab/>
      </w:r>
      <w:r w:rsidR="00E95A1B">
        <w:rPr>
          <w:lang w:val="en-ZA"/>
        </w:rPr>
        <w:t xml:space="preserve">The building blocks </w:t>
      </w:r>
      <w:r w:rsidR="005F7889">
        <w:rPr>
          <w:lang w:val="en-ZA"/>
        </w:rPr>
        <w:t xml:space="preserve">of </w:t>
      </w:r>
      <w:r w:rsidR="009604F3">
        <w:rPr>
          <w:lang w:val="en-ZA"/>
        </w:rPr>
        <w:t>AfriForum</w:t>
      </w:r>
      <w:r w:rsidR="007B20AA">
        <w:rPr>
          <w:lang w:val="en-ZA"/>
        </w:rPr>
        <w:t xml:space="preserve">’s </w:t>
      </w:r>
      <w:r w:rsidR="00B14B13">
        <w:rPr>
          <w:lang w:val="en-ZA"/>
        </w:rPr>
        <w:t>attack</w:t>
      </w:r>
      <w:r w:rsidR="00BA0B57">
        <w:rPr>
          <w:lang w:val="en-ZA"/>
        </w:rPr>
        <w:t xml:space="preserve"> of </w:t>
      </w:r>
      <w:r w:rsidR="00B14B13">
        <w:rPr>
          <w:lang w:val="en-ZA"/>
        </w:rPr>
        <w:t>the approval of the surplus retention request,</w:t>
      </w:r>
      <w:r w:rsidR="007B20AA">
        <w:rPr>
          <w:lang w:val="en-ZA"/>
        </w:rPr>
        <w:t xml:space="preserve"> c</w:t>
      </w:r>
      <w:r w:rsidR="00FF294F">
        <w:rPr>
          <w:lang w:val="en-ZA"/>
        </w:rPr>
        <w:t xml:space="preserve">ommences with the initiation of the request. </w:t>
      </w:r>
      <w:r w:rsidR="009604F3" w:rsidRPr="00A41E69">
        <w:rPr>
          <w:lang w:val="en-ZA"/>
        </w:rPr>
        <w:t xml:space="preserve"> </w:t>
      </w:r>
      <w:r w:rsidR="00FF294F">
        <w:rPr>
          <w:lang w:val="en-ZA"/>
        </w:rPr>
        <w:t xml:space="preserve">It says </w:t>
      </w:r>
      <w:r w:rsidR="009604F3" w:rsidRPr="00A41E69">
        <w:rPr>
          <w:lang w:val="en-ZA"/>
        </w:rPr>
        <w:t>that applying for the surplus retention two months earlier than the time when suc</w:t>
      </w:r>
      <w:r w:rsidR="009604F3" w:rsidRPr="00161E3A">
        <w:rPr>
          <w:lang w:val="en-ZA"/>
        </w:rPr>
        <w:t xml:space="preserve">h requests could be made </w:t>
      </w:r>
      <w:r w:rsidR="008F31C7" w:rsidRPr="00161E3A">
        <w:rPr>
          <w:lang w:val="en-ZA"/>
        </w:rPr>
        <w:t>i.e.,</w:t>
      </w:r>
      <w:r w:rsidR="009604F3" w:rsidRPr="00161E3A">
        <w:rPr>
          <w:lang w:val="en-ZA"/>
        </w:rPr>
        <w:t xml:space="preserve"> 1 August</w:t>
      </w:r>
      <w:r w:rsidR="009F0D6C">
        <w:rPr>
          <w:lang w:val="en-ZA"/>
        </w:rPr>
        <w:t>,</w:t>
      </w:r>
      <w:r w:rsidR="009604F3" w:rsidRPr="00161E3A">
        <w:rPr>
          <w:lang w:val="en-ZA"/>
        </w:rPr>
        <w:t xml:space="preserve"> was unlawful </w:t>
      </w:r>
      <w:r w:rsidR="00795318" w:rsidRPr="00161E3A">
        <w:rPr>
          <w:lang w:val="en-ZA"/>
        </w:rPr>
        <w:t xml:space="preserve">in light </w:t>
      </w:r>
      <w:r w:rsidR="009604F3" w:rsidRPr="00161E3A">
        <w:rPr>
          <w:lang w:val="en-ZA"/>
        </w:rPr>
        <w:t xml:space="preserve">of the objectives of the Fund – being to provide humanitarian assistance. </w:t>
      </w:r>
      <w:r w:rsidR="008F31C7" w:rsidRPr="00161E3A">
        <w:rPr>
          <w:lang w:val="en-ZA"/>
        </w:rPr>
        <w:t>It</w:t>
      </w:r>
      <w:r w:rsidR="009604F3" w:rsidRPr="00161E3A">
        <w:rPr>
          <w:lang w:val="en-ZA"/>
        </w:rPr>
        <w:t xml:space="preserve"> argue</w:t>
      </w:r>
      <w:r w:rsidR="008F31C7" w:rsidRPr="00161E3A">
        <w:rPr>
          <w:lang w:val="en-ZA"/>
        </w:rPr>
        <w:t>s</w:t>
      </w:r>
      <w:r w:rsidR="009604F3" w:rsidRPr="00161E3A">
        <w:rPr>
          <w:lang w:val="en-ZA"/>
        </w:rPr>
        <w:t xml:space="preserve"> that there is good reason for not requesting a retention before 1 August as new events like natural disasters that would necessitate a need for humanitarian assistance, could occur after the surplus retention is approved. A request before 1 August would result in the African Renaissance Fund not being able to assist as funds would already be earmarked for other </w:t>
      </w:r>
      <w:r w:rsidR="00B822E3" w:rsidRPr="00161E3A">
        <w:rPr>
          <w:lang w:val="en-ZA"/>
        </w:rPr>
        <w:t>causes</w:t>
      </w:r>
      <w:r w:rsidR="009604F3" w:rsidRPr="00161E3A">
        <w:rPr>
          <w:lang w:val="en-ZA"/>
        </w:rPr>
        <w:t xml:space="preserve">. </w:t>
      </w:r>
    </w:p>
    <w:p w14:paraId="54DC33A3" w14:textId="2F991932" w:rsidR="009604F3" w:rsidRPr="00A41E69" w:rsidRDefault="0048361F" w:rsidP="0048361F">
      <w:pPr>
        <w:pStyle w:val="JudgmentNumbered"/>
        <w:numPr>
          <w:ilvl w:val="0"/>
          <w:numId w:val="0"/>
        </w:numPr>
        <w:ind w:left="567" w:hanging="567"/>
        <w:rPr>
          <w:lang w:val="en-ZA"/>
        </w:rPr>
      </w:pPr>
      <w:r w:rsidRPr="00A41E69">
        <w:rPr>
          <w:lang w:val="en-ZA"/>
        </w:rPr>
        <w:t>[35]</w:t>
      </w:r>
      <w:r w:rsidRPr="00A41E69">
        <w:rPr>
          <w:lang w:val="en-ZA"/>
        </w:rPr>
        <w:tab/>
      </w:r>
      <w:r w:rsidR="00B822E3" w:rsidRPr="00161E3A">
        <w:rPr>
          <w:lang w:val="en-ZA"/>
        </w:rPr>
        <w:t>It</w:t>
      </w:r>
      <w:r w:rsidR="009604F3" w:rsidRPr="00161E3A">
        <w:rPr>
          <w:lang w:val="en-ZA"/>
        </w:rPr>
        <w:t xml:space="preserve"> also argue</w:t>
      </w:r>
      <w:r w:rsidR="00B822E3" w:rsidRPr="00161E3A">
        <w:rPr>
          <w:lang w:val="en-ZA"/>
        </w:rPr>
        <w:t>s</w:t>
      </w:r>
      <w:r w:rsidR="009604F3" w:rsidRPr="00161E3A">
        <w:rPr>
          <w:lang w:val="en-ZA"/>
        </w:rPr>
        <w:t xml:space="preserve"> that early requests would lead to the inability of the African Renaissance Fund to fully disclose contingent liabilities that could arise before 1 August. </w:t>
      </w:r>
      <w:r w:rsidR="00B822E3" w:rsidRPr="00161E3A">
        <w:rPr>
          <w:lang w:val="en-ZA"/>
        </w:rPr>
        <w:t>It</w:t>
      </w:r>
      <w:r w:rsidR="009604F3" w:rsidRPr="00161E3A">
        <w:rPr>
          <w:lang w:val="en-ZA"/>
        </w:rPr>
        <w:t xml:space="preserve"> furth</w:t>
      </w:r>
      <w:r w:rsidR="009604F3" w:rsidRPr="00A41E69">
        <w:rPr>
          <w:lang w:val="en-ZA"/>
        </w:rPr>
        <w:t>er argu</w:t>
      </w:r>
      <w:r w:rsidR="00B822E3">
        <w:rPr>
          <w:lang w:val="en-ZA"/>
        </w:rPr>
        <w:t>es</w:t>
      </w:r>
      <w:r w:rsidR="009604F3" w:rsidRPr="00A41E69">
        <w:rPr>
          <w:lang w:val="en-ZA"/>
        </w:rPr>
        <w:t xml:space="preserve"> that because National Treasury was not informed that the money would be used for the Cuba donation, it would have formed part of contingent liabilities. Additiona</w:t>
      </w:r>
      <w:r w:rsidR="009604F3" w:rsidRPr="00161E3A">
        <w:rPr>
          <w:lang w:val="en-ZA"/>
        </w:rPr>
        <w:t xml:space="preserve">lly, </w:t>
      </w:r>
      <w:r w:rsidR="00391EBA" w:rsidRPr="00161E3A">
        <w:rPr>
          <w:lang w:val="en-ZA"/>
        </w:rPr>
        <w:t xml:space="preserve">it </w:t>
      </w:r>
      <w:r w:rsidR="009604F3" w:rsidRPr="00161E3A">
        <w:rPr>
          <w:lang w:val="en-ZA"/>
        </w:rPr>
        <w:t>argue</w:t>
      </w:r>
      <w:r w:rsidR="00391EBA" w:rsidRPr="00161E3A">
        <w:rPr>
          <w:lang w:val="en-ZA"/>
        </w:rPr>
        <w:t>s</w:t>
      </w:r>
      <w:r w:rsidR="009604F3" w:rsidRPr="00161E3A">
        <w:rPr>
          <w:lang w:val="en-ZA"/>
        </w:rPr>
        <w:t xml:space="preserve"> that there was no detailed information, accompanying the request, regarding contingent liabilities. </w:t>
      </w:r>
      <w:r w:rsidR="00391EBA" w:rsidRPr="00161E3A">
        <w:rPr>
          <w:lang w:val="en-ZA"/>
        </w:rPr>
        <w:t>Its</w:t>
      </w:r>
      <w:r w:rsidR="009604F3" w:rsidRPr="00161E3A">
        <w:rPr>
          <w:lang w:val="en-ZA"/>
        </w:rPr>
        <w:t xml:space="preserve"> final argument on this</w:t>
      </w:r>
      <w:r w:rsidR="00391EBA" w:rsidRPr="00161E3A">
        <w:rPr>
          <w:lang w:val="en-ZA"/>
        </w:rPr>
        <w:t xml:space="preserve"> point,</w:t>
      </w:r>
      <w:r w:rsidR="009604F3" w:rsidRPr="00161E3A">
        <w:rPr>
          <w:lang w:val="en-ZA"/>
        </w:rPr>
        <w:t xml:space="preserve"> is that the surplus retention request was premised on rendering humanitarian assistance to African countries and the donation to Cuba was unlawful as Cuba is obviously not an African country</w:t>
      </w:r>
      <w:r w:rsidR="009604F3" w:rsidRPr="00161E3A">
        <w:rPr>
          <w:b/>
          <w:bCs/>
          <w:lang w:val="en-ZA"/>
        </w:rPr>
        <w:t>.</w:t>
      </w:r>
    </w:p>
    <w:p w14:paraId="1EB5C943" w14:textId="05086F0E" w:rsidR="009604F3" w:rsidRPr="00A41E69" w:rsidRDefault="0048361F" w:rsidP="0048361F">
      <w:pPr>
        <w:pStyle w:val="JudgmentNumbered"/>
        <w:numPr>
          <w:ilvl w:val="0"/>
          <w:numId w:val="0"/>
        </w:numPr>
        <w:ind w:left="567" w:hanging="567"/>
        <w:rPr>
          <w:lang w:val="en-ZA"/>
        </w:rPr>
      </w:pPr>
      <w:r w:rsidRPr="00A41E69">
        <w:rPr>
          <w:lang w:val="en-ZA"/>
        </w:rPr>
        <w:t>[36]</w:t>
      </w:r>
      <w:r w:rsidRPr="00A41E69">
        <w:rPr>
          <w:lang w:val="en-ZA"/>
        </w:rPr>
        <w:tab/>
      </w:r>
      <w:r w:rsidR="00431E08">
        <w:rPr>
          <w:lang w:val="en-ZA"/>
        </w:rPr>
        <w:t xml:space="preserve">I’m not persuaded that these </w:t>
      </w:r>
      <w:r w:rsidR="00CD6540">
        <w:rPr>
          <w:lang w:val="en-ZA"/>
        </w:rPr>
        <w:t>submissions hold water</w:t>
      </w:r>
      <w:r w:rsidR="000106AA">
        <w:rPr>
          <w:lang w:val="en-ZA"/>
        </w:rPr>
        <w:t>.</w:t>
      </w:r>
      <w:r w:rsidR="003B76F9">
        <w:rPr>
          <w:lang w:val="en-ZA"/>
        </w:rPr>
        <w:t xml:space="preserve"> </w:t>
      </w:r>
      <w:r w:rsidR="009604F3" w:rsidRPr="00A41E69">
        <w:rPr>
          <w:lang w:val="en-ZA"/>
        </w:rPr>
        <w:t>The fact of the matter is that the</w:t>
      </w:r>
      <w:r w:rsidR="00B30977">
        <w:rPr>
          <w:lang w:val="en-ZA"/>
        </w:rPr>
        <w:t xml:space="preserve"> surplus retention</w:t>
      </w:r>
      <w:r w:rsidR="009604F3" w:rsidRPr="00A41E69">
        <w:rPr>
          <w:lang w:val="en-ZA"/>
        </w:rPr>
        <w:t xml:space="preserve"> request was made at the end of the relevant financial year </w:t>
      </w:r>
      <w:r w:rsidR="009604F3" w:rsidRPr="00A41E69">
        <w:rPr>
          <w:lang w:val="en-ZA"/>
        </w:rPr>
        <w:lastRenderedPageBreak/>
        <w:t xml:space="preserve">when it had become clear how much the accumulated surplus was. </w:t>
      </w:r>
      <w:r w:rsidR="009604F3" w:rsidRPr="000B5C7A">
        <w:rPr>
          <w:lang w:val="en-ZA"/>
        </w:rPr>
        <w:t>I’m aware of no bar to the submission of the retention request after the end of the financial year and before August. AfriForum has pointed to none</w:t>
      </w:r>
      <w:r w:rsidR="009604F3" w:rsidRPr="001F5367">
        <w:rPr>
          <w:lang w:val="en-ZA"/>
        </w:rPr>
        <w:t xml:space="preserve">. </w:t>
      </w:r>
      <w:r w:rsidR="009604F3" w:rsidRPr="00A41E69">
        <w:rPr>
          <w:lang w:val="en-ZA"/>
        </w:rPr>
        <w:t xml:space="preserve">In any event the legislative scheme evinces no bar to such early requests. </w:t>
      </w:r>
      <w:r w:rsidR="00F56227" w:rsidRPr="00F56227">
        <w:rPr>
          <w:lang w:val="en-ZA"/>
        </w:rPr>
        <w:t xml:space="preserve">In this regard, Regulation 6.4 of the </w:t>
      </w:r>
      <w:r w:rsidR="00F56227" w:rsidRPr="000353FA">
        <w:rPr>
          <w:lang w:val="en-ZA"/>
        </w:rPr>
        <w:t>Treasury Regulations</w:t>
      </w:r>
      <w:r w:rsidR="00F56227" w:rsidRPr="00F56227">
        <w:rPr>
          <w:lang w:val="en-ZA"/>
        </w:rPr>
        <w:t xml:space="preserve"> contemplates submission of roll over requests by </w:t>
      </w:r>
      <w:r w:rsidR="00B634F7">
        <w:rPr>
          <w:lang w:val="en-ZA"/>
        </w:rPr>
        <w:t xml:space="preserve">the </w:t>
      </w:r>
      <w:r w:rsidR="00F56227" w:rsidRPr="00F56227">
        <w:rPr>
          <w:lang w:val="en-ZA"/>
        </w:rPr>
        <w:t xml:space="preserve">end </w:t>
      </w:r>
      <w:r w:rsidR="00B634F7">
        <w:rPr>
          <w:lang w:val="en-ZA"/>
        </w:rPr>
        <w:t xml:space="preserve">of </w:t>
      </w:r>
      <w:r w:rsidR="00F56227" w:rsidRPr="00F56227">
        <w:rPr>
          <w:lang w:val="en-ZA"/>
        </w:rPr>
        <w:t>May and this regulation is readily reconciled with the Treasur</w:t>
      </w:r>
      <w:r w:rsidR="00357DAF">
        <w:rPr>
          <w:lang w:val="en-ZA"/>
        </w:rPr>
        <w:t>y</w:t>
      </w:r>
      <w:r w:rsidR="00F56227" w:rsidRPr="00F56227">
        <w:rPr>
          <w:lang w:val="en-ZA"/>
        </w:rPr>
        <w:t xml:space="preserve"> </w:t>
      </w:r>
      <w:r w:rsidR="000353FA">
        <w:rPr>
          <w:lang w:val="en-ZA"/>
        </w:rPr>
        <w:t>Instruction</w:t>
      </w:r>
      <w:r w:rsidR="000353FA" w:rsidRPr="00F56227">
        <w:rPr>
          <w:lang w:val="en-ZA"/>
        </w:rPr>
        <w:t xml:space="preserve"> </w:t>
      </w:r>
      <w:r w:rsidR="00F56227" w:rsidRPr="00F56227">
        <w:rPr>
          <w:lang w:val="en-ZA"/>
        </w:rPr>
        <w:t>which contemplates that the applications are only subsequently presented to the decision maker.</w:t>
      </w:r>
    </w:p>
    <w:p w14:paraId="3EF6C909" w14:textId="0FFA0116" w:rsidR="009604F3" w:rsidRPr="00A41E69" w:rsidRDefault="0048361F" w:rsidP="0048361F">
      <w:pPr>
        <w:pStyle w:val="JudgmentNumbered"/>
        <w:numPr>
          <w:ilvl w:val="0"/>
          <w:numId w:val="0"/>
        </w:numPr>
        <w:ind w:left="567" w:hanging="567"/>
        <w:rPr>
          <w:lang w:val="en-ZA"/>
        </w:rPr>
      </w:pPr>
      <w:r w:rsidRPr="00A41E69">
        <w:rPr>
          <w:lang w:val="en-ZA"/>
        </w:rPr>
        <w:t>[37]</w:t>
      </w:r>
      <w:r w:rsidRPr="00A41E69">
        <w:rPr>
          <w:lang w:val="en-ZA"/>
        </w:rPr>
        <w:tab/>
      </w:r>
      <w:r w:rsidR="009604F3" w:rsidRPr="00A41E69">
        <w:rPr>
          <w:lang w:val="en-ZA"/>
        </w:rPr>
        <w:t>Admittedly, no audited financial statements accompanied the request as these had been submitted to the Auditor</w:t>
      </w:r>
      <w:r w:rsidR="009604F3">
        <w:rPr>
          <w:lang w:val="en-ZA"/>
        </w:rPr>
        <w:t>-</w:t>
      </w:r>
      <w:r w:rsidR="009604F3" w:rsidRPr="00A41E69">
        <w:rPr>
          <w:lang w:val="en-ZA"/>
        </w:rPr>
        <w:t xml:space="preserve">General for auditing. I can however find no basis on which to find that the surplus retention request must be reviewed and set aside on the basis that no audited financial statements accompanied it. That fact </w:t>
      </w:r>
      <w:r w:rsidR="00424186">
        <w:rPr>
          <w:lang w:val="en-ZA"/>
        </w:rPr>
        <w:t xml:space="preserve">does </w:t>
      </w:r>
      <w:r w:rsidR="009604F3" w:rsidRPr="00A41E69">
        <w:rPr>
          <w:lang w:val="en-ZA"/>
        </w:rPr>
        <w:t xml:space="preserve">not render the request </w:t>
      </w:r>
      <w:r w:rsidR="00AA23C1">
        <w:rPr>
          <w:lang w:val="en-ZA"/>
        </w:rPr>
        <w:t>unlawful</w:t>
      </w:r>
      <w:r w:rsidR="009604F3" w:rsidRPr="00A41E69">
        <w:rPr>
          <w:lang w:val="en-ZA"/>
        </w:rPr>
        <w:t>. It is self-evident why no audited financial statements accompanied the request</w:t>
      </w:r>
      <w:r w:rsidR="009604F3">
        <w:rPr>
          <w:lang w:val="en-ZA"/>
        </w:rPr>
        <w:t xml:space="preserve"> –</w:t>
      </w:r>
      <w:r w:rsidR="009604F3" w:rsidRPr="00A41E69">
        <w:rPr>
          <w:lang w:val="en-ZA"/>
        </w:rPr>
        <w:t xml:space="preserve"> these were submitted to the Auditor-General for purposes of </w:t>
      </w:r>
      <w:r w:rsidR="009604F3" w:rsidRPr="009404DC">
        <w:rPr>
          <w:lang w:val="en-ZA"/>
        </w:rPr>
        <w:t>the</w:t>
      </w:r>
      <w:r w:rsidR="009604F3" w:rsidRPr="00A41E69">
        <w:rPr>
          <w:lang w:val="en-ZA"/>
        </w:rPr>
        <w:t xml:space="preserve"> annual audit. It has also correctly been pointed out by the Treasury </w:t>
      </w:r>
      <w:r w:rsidR="009604F3">
        <w:rPr>
          <w:lang w:val="en-ZA"/>
        </w:rPr>
        <w:t>Respondents</w:t>
      </w:r>
      <w:r w:rsidR="009604F3" w:rsidRPr="00A41E69">
        <w:rPr>
          <w:lang w:val="en-ZA"/>
        </w:rPr>
        <w:t xml:space="preserve"> that submitting on 31 May was</w:t>
      </w:r>
      <w:r w:rsidR="00791813">
        <w:rPr>
          <w:lang w:val="en-ZA"/>
        </w:rPr>
        <w:t xml:space="preserve"> appropriate</w:t>
      </w:r>
      <w:r w:rsidR="009604F3" w:rsidRPr="00A41E69">
        <w:rPr>
          <w:lang w:val="en-ZA"/>
        </w:rPr>
        <w:t xml:space="preserve"> because in terms of section 55(1)(c) of the PFMA, public entities must submit their financial statements to both National Treasury and the Auditor</w:t>
      </w:r>
      <w:r w:rsidR="009604F3">
        <w:rPr>
          <w:lang w:val="en-ZA"/>
        </w:rPr>
        <w:t>-</w:t>
      </w:r>
      <w:r w:rsidR="009604F3" w:rsidRPr="00A41E69">
        <w:rPr>
          <w:lang w:val="en-ZA"/>
        </w:rPr>
        <w:t>General for audit within two months after the end of the financial year.</w:t>
      </w:r>
      <w:r w:rsidR="0074219A">
        <w:rPr>
          <w:lang w:val="en-ZA"/>
        </w:rPr>
        <w:t xml:space="preserve"> </w:t>
      </w:r>
      <w:r w:rsidR="00D302E1">
        <w:rPr>
          <w:lang w:val="en-ZA"/>
        </w:rPr>
        <w:t xml:space="preserve">Moreover, the </w:t>
      </w:r>
      <w:r w:rsidR="00D302E1" w:rsidRPr="000353FA">
        <w:rPr>
          <w:lang w:val="en-ZA"/>
        </w:rPr>
        <w:t xml:space="preserve">Treasury </w:t>
      </w:r>
      <w:r w:rsidR="000353FA">
        <w:rPr>
          <w:lang w:val="en-ZA"/>
        </w:rPr>
        <w:t>Instruction</w:t>
      </w:r>
      <w:r w:rsidR="00D302E1">
        <w:rPr>
          <w:lang w:val="en-ZA"/>
        </w:rPr>
        <w:t xml:space="preserve"> makes provision for the request to be presented to the decision-maker after August. </w:t>
      </w:r>
    </w:p>
    <w:p w14:paraId="1C8B32DE" w14:textId="42D21199" w:rsidR="009604F3" w:rsidRPr="00A41E69" w:rsidRDefault="0048361F" w:rsidP="0048361F">
      <w:pPr>
        <w:pStyle w:val="JudgmentNumbered"/>
        <w:numPr>
          <w:ilvl w:val="0"/>
          <w:numId w:val="0"/>
        </w:numPr>
        <w:ind w:left="567" w:hanging="567"/>
        <w:rPr>
          <w:lang w:val="en-ZA"/>
        </w:rPr>
      </w:pPr>
      <w:r w:rsidRPr="00A41E69">
        <w:rPr>
          <w:lang w:val="en-ZA"/>
        </w:rPr>
        <w:t>[38]</w:t>
      </w:r>
      <w:r w:rsidRPr="00A41E69">
        <w:rPr>
          <w:lang w:val="en-ZA"/>
        </w:rPr>
        <w:tab/>
      </w:r>
      <w:r w:rsidR="009604F3" w:rsidRPr="00A41E69">
        <w:rPr>
          <w:lang w:val="en-ZA"/>
        </w:rPr>
        <w:t xml:space="preserve">AfriForum’s argument that a correct statement of contingent liabilities would </w:t>
      </w:r>
      <w:r w:rsidR="00D10C95">
        <w:rPr>
          <w:lang w:val="en-ZA"/>
        </w:rPr>
        <w:t>have</w:t>
      </w:r>
      <w:r w:rsidR="009604F3">
        <w:rPr>
          <w:lang w:val="en-ZA"/>
        </w:rPr>
        <w:t xml:space="preserve"> </w:t>
      </w:r>
      <w:r w:rsidR="009604F3" w:rsidRPr="00A41E69">
        <w:rPr>
          <w:lang w:val="en-ZA"/>
        </w:rPr>
        <w:t xml:space="preserve">become clear around August is </w:t>
      </w:r>
      <w:r w:rsidR="00E5373C">
        <w:rPr>
          <w:lang w:val="en-ZA"/>
        </w:rPr>
        <w:t>misconceived</w:t>
      </w:r>
      <w:r w:rsidR="009604F3" w:rsidRPr="00A41E69">
        <w:rPr>
          <w:lang w:val="en-ZA"/>
        </w:rPr>
        <w:t xml:space="preserve">. </w:t>
      </w:r>
      <w:r w:rsidR="00FB4532">
        <w:rPr>
          <w:lang w:val="en-ZA"/>
        </w:rPr>
        <w:t>It</w:t>
      </w:r>
      <w:r w:rsidR="009604F3" w:rsidRPr="00A41E69">
        <w:rPr>
          <w:lang w:val="en-ZA"/>
        </w:rPr>
        <w:t xml:space="preserve"> overlooks the fact that when the African Renaissance Fund submitted its financial statements for auditing purposes, contingent liabilities would already have been determined. No contingent liabilities were declared as there were none. AfriForum’s argument</w:t>
      </w:r>
      <w:r w:rsidR="00590462">
        <w:rPr>
          <w:lang w:val="en-ZA"/>
        </w:rPr>
        <w:t>,</w:t>
      </w:r>
      <w:r w:rsidR="009604F3" w:rsidRPr="00A41E69">
        <w:rPr>
          <w:lang w:val="en-ZA"/>
        </w:rPr>
        <w:t xml:space="preserve"> that the R71 million could have become </w:t>
      </w:r>
      <w:r w:rsidR="009604F3">
        <w:rPr>
          <w:lang w:val="en-ZA"/>
        </w:rPr>
        <w:t xml:space="preserve">a </w:t>
      </w:r>
      <w:r w:rsidR="009604F3" w:rsidRPr="00A41E69">
        <w:rPr>
          <w:lang w:val="en-ZA"/>
        </w:rPr>
        <w:t xml:space="preserve">contingent </w:t>
      </w:r>
      <w:r w:rsidR="009604F3" w:rsidRPr="009404DC">
        <w:rPr>
          <w:lang w:val="en-ZA"/>
        </w:rPr>
        <w:t>liabilit</w:t>
      </w:r>
      <w:r w:rsidR="009604F3">
        <w:rPr>
          <w:lang w:val="en-ZA"/>
        </w:rPr>
        <w:t>y</w:t>
      </w:r>
      <w:r w:rsidR="009604F3" w:rsidRPr="00A41E69">
        <w:rPr>
          <w:lang w:val="en-ZA"/>
        </w:rPr>
        <w:t xml:space="preserve"> had the Cuba aid not been mentioned</w:t>
      </w:r>
      <w:r w:rsidR="00590462">
        <w:rPr>
          <w:lang w:val="en-ZA"/>
        </w:rPr>
        <w:t>,</w:t>
      </w:r>
      <w:r w:rsidR="009604F3" w:rsidRPr="00A41E69">
        <w:rPr>
          <w:lang w:val="en-ZA"/>
        </w:rPr>
        <w:t xml:space="preserve"> is a red herring. That amount was an accumulated surplus and was committed to no causes. As such it could never have been regarded as a contingent liability. Contingent liabilities are determinable at the end of the financial year and if there were none when the financial year ended, none could </w:t>
      </w:r>
      <w:r w:rsidR="009604F3" w:rsidRPr="009404DC">
        <w:rPr>
          <w:lang w:val="en-ZA"/>
        </w:rPr>
        <w:t>materiali</w:t>
      </w:r>
      <w:r w:rsidR="009604F3">
        <w:rPr>
          <w:lang w:val="en-ZA"/>
        </w:rPr>
        <w:t>s</w:t>
      </w:r>
      <w:r w:rsidR="009604F3" w:rsidRPr="009404DC">
        <w:rPr>
          <w:lang w:val="en-ZA"/>
        </w:rPr>
        <w:t>e</w:t>
      </w:r>
      <w:r w:rsidR="009604F3" w:rsidRPr="00A41E69">
        <w:rPr>
          <w:lang w:val="en-ZA"/>
        </w:rPr>
        <w:t xml:space="preserve"> thereafter, as appears to be suggested by </w:t>
      </w:r>
      <w:r w:rsidR="00842151">
        <w:rPr>
          <w:lang w:val="en-ZA"/>
        </w:rPr>
        <w:t>AfriForum</w:t>
      </w:r>
      <w:r w:rsidR="009604F3" w:rsidRPr="009404DC">
        <w:rPr>
          <w:lang w:val="en-ZA"/>
        </w:rPr>
        <w:t>.</w:t>
      </w:r>
    </w:p>
    <w:p w14:paraId="232B24E6" w14:textId="67EE7A2D" w:rsidR="009604F3" w:rsidRPr="00A41E69" w:rsidRDefault="0048361F" w:rsidP="0048361F">
      <w:pPr>
        <w:pStyle w:val="JudgmentNumbered"/>
        <w:numPr>
          <w:ilvl w:val="0"/>
          <w:numId w:val="0"/>
        </w:numPr>
        <w:ind w:left="567" w:hanging="567"/>
        <w:rPr>
          <w:lang w:val="en-ZA"/>
        </w:rPr>
      </w:pPr>
      <w:r w:rsidRPr="00A41E69">
        <w:rPr>
          <w:lang w:val="en-ZA"/>
        </w:rPr>
        <w:lastRenderedPageBreak/>
        <w:t>[39]</w:t>
      </w:r>
      <w:r w:rsidRPr="00A41E69">
        <w:rPr>
          <w:lang w:val="en-ZA"/>
        </w:rPr>
        <w:tab/>
      </w:r>
      <w:r w:rsidR="009604F3" w:rsidRPr="00A41E69">
        <w:rPr>
          <w:lang w:val="en-ZA"/>
        </w:rPr>
        <w:t xml:space="preserve">What is important is that the request is </w:t>
      </w:r>
      <w:r w:rsidR="00A41477">
        <w:rPr>
          <w:lang w:val="en-ZA"/>
        </w:rPr>
        <w:t xml:space="preserve">presented and </w:t>
      </w:r>
      <w:r w:rsidR="009604F3" w:rsidRPr="00A41E69">
        <w:rPr>
          <w:lang w:val="en-ZA"/>
        </w:rPr>
        <w:t xml:space="preserve">considered between 1 August and 30 September </w:t>
      </w:r>
      <w:r w:rsidR="002F1F30">
        <w:rPr>
          <w:lang w:val="en-ZA"/>
        </w:rPr>
        <w:t>and</w:t>
      </w:r>
      <w:r w:rsidR="002F1F30" w:rsidRPr="00A41E69">
        <w:rPr>
          <w:lang w:val="en-ZA"/>
        </w:rPr>
        <w:t xml:space="preserve"> </w:t>
      </w:r>
      <w:r w:rsidR="009604F3" w:rsidRPr="00A41E69">
        <w:rPr>
          <w:lang w:val="en-ZA"/>
        </w:rPr>
        <w:t xml:space="preserve">that all supporting documentation was </w:t>
      </w:r>
      <w:r w:rsidR="009D4681">
        <w:rPr>
          <w:lang w:val="en-ZA"/>
        </w:rPr>
        <w:t xml:space="preserve">before </w:t>
      </w:r>
      <w:r w:rsidR="006857C0">
        <w:rPr>
          <w:lang w:val="en-ZA"/>
        </w:rPr>
        <w:t>Treasury</w:t>
      </w:r>
      <w:r w:rsidR="009604F3" w:rsidRPr="00A41E69">
        <w:rPr>
          <w:lang w:val="en-ZA"/>
        </w:rPr>
        <w:t xml:space="preserve">. </w:t>
      </w:r>
      <w:r w:rsidR="00A41477">
        <w:rPr>
          <w:lang w:val="en-ZA"/>
        </w:rPr>
        <w:t>T</w:t>
      </w:r>
      <w:r w:rsidR="009604F3" w:rsidRPr="00A41E69">
        <w:rPr>
          <w:lang w:val="en-ZA"/>
        </w:rPr>
        <w:t xml:space="preserve">he supporting documentation envisaged in the </w:t>
      </w:r>
      <w:r w:rsidR="009604F3" w:rsidRPr="000353FA">
        <w:rPr>
          <w:lang w:val="en-ZA"/>
        </w:rPr>
        <w:t xml:space="preserve">Treasury </w:t>
      </w:r>
      <w:r w:rsidR="000353FA" w:rsidRPr="0059736F">
        <w:rPr>
          <w:lang w:val="en-ZA"/>
        </w:rPr>
        <w:t>Instruction</w:t>
      </w:r>
      <w:r w:rsidR="009604F3" w:rsidRPr="00A41E69">
        <w:rPr>
          <w:lang w:val="en-ZA"/>
        </w:rPr>
        <w:t xml:space="preserve"> and section 53(3) of the PFMA accompanied the retention request, </w:t>
      </w:r>
      <w:r w:rsidR="00E46AEB">
        <w:rPr>
          <w:lang w:val="en-ZA"/>
        </w:rPr>
        <w:t>incl</w:t>
      </w:r>
      <w:r w:rsidR="00F861F5">
        <w:rPr>
          <w:lang w:val="en-ZA"/>
        </w:rPr>
        <w:t>u</w:t>
      </w:r>
      <w:r w:rsidR="00E46AEB">
        <w:rPr>
          <w:lang w:val="en-ZA"/>
        </w:rPr>
        <w:t>ding the</w:t>
      </w:r>
      <w:r w:rsidR="00F861F5">
        <w:rPr>
          <w:lang w:val="en-ZA"/>
        </w:rPr>
        <w:t xml:space="preserve"> </w:t>
      </w:r>
      <w:r w:rsidR="009604F3" w:rsidRPr="00A41E69">
        <w:rPr>
          <w:lang w:val="en-ZA"/>
        </w:rPr>
        <w:t>audited financial statements</w:t>
      </w:r>
      <w:r w:rsidR="00F861F5">
        <w:rPr>
          <w:lang w:val="en-ZA"/>
        </w:rPr>
        <w:t>, which w</w:t>
      </w:r>
      <w:r w:rsidR="003B52FC">
        <w:rPr>
          <w:lang w:val="en-ZA"/>
        </w:rPr>
        <w:t>e</w:t>
      </w:r>
      <w:r w:rsidR="00F861F5">
        <w:rPr>
          <w:lang w:val="en-ZA"/>
        </w:rPr>
        <w:t xml:space="preserve">re submitted </w:t>
      </w:r>
      <w:r w:rsidR="003B52FC">
        <w:rPr>
          <w:lang w:val="en-ZA"/>
        </w:rPr>
        <w:t>subsequently and after the annual audit.</w:t>
      </w:r>
      <w:r w:rsidR="009604F3" w:rsidRPr="00A41E69">
        <w:rPr>
          <w:lang w:val="en-ZA"/>
        </w:rPr>
        <w:t xml:space="preserve"> This documentation included: a calculation of how the surplus was arrived at; a motivation detailing how the surplus arose</w:t>
      </w:r>
      <w:r w:rsidR="00316626">
        <w:rPr>
          <w:lang w:val="en-ZA"/>
        </w:rPr>
        <w:t>;</w:t>
      </w:r>
      <w:r w:rsidR="009604F3" w:rsidRPr="00A41E69">
        <w:rPr>
          <w:lang w:val="en-ZA"/>
        </w:rPr>
        <w:t xml:space="preserve"> that there were no contingent liabilities</w:t>
      </w:r>
      <w:r w:rsidR="00316626">
        <w:rPr>
          <w:lang w:val="en-ZA"/>
        </w:rPr>
        <w:t>;</w:t>
      </w:r>
      <w:r w:rsidR="009604F3" w:rsidRPr="00A41E69">
        <w:rPr>
          <w:lang w:val="en-ZA"/>
        </w:rPr>
        <w:t xml:space="preserve"> and a schedule of new commitments for the 2021/22 financial year. </w:t>
      </w:r>
      <w:r w:rsidR="00C42C1C" w:rsidRPr="00C42C1C">
        <w:rPr>
          <w:lang w:val="en-ZA"/>
        </w:rPr>
        <w:t xml:space="preserve">It is </w:t>
      </w:r>
      <w:r w:rsidR="00C42C1C">
        <w:rPr>
          <w:lang w:val="en-ZA"/>
        </w:rPr>
        <w:t xml:space="preserve">therefore </w:t>
      </w:r>
      <w:r w:rsidR="00C42C1C" w:rsidRPr="00C42C1C">
        <w:rPr>
          <w:lang w:val="en-ZA"/>
        </w:rPr>
        <w:t xml:space="preserve">incontrovertible, that when the Treasury </w:t>
      </w:r>
      <w:r w:rsidR="002F1F30">
        <w:rPr>
          <w:lang w:val="en-ZA"/>
        </w:rPr>
        <w:t>R</w:t>
      </w:r>
      <w:r w:rsidR="00C42C1C" w:rsidRPr="00C42C1C">
        <w:rPr>
          <w:lang w:val="en-ZA"/>
        </w:rPr>
        <w:t>espondents considered and approved the request, all the required documentation had been submitted by the DIRCO respondents.</w:t>
      </w:r>
    </w:p>
    <w:p w14:paraId="49335283" w14:textId="61F75115" w:rsidR="009604F3" w:rsidRPr="00A41E69" w:rsidRDefault="0048361F" w:rsidP="0048361F">
      <w:pPr>
        <w:pStyle w:val="JudgmentNumbered"/>
        <w:numPr>
          <w:ilvl w:val="0"/>
          <w:numId w:val="0"/>
        </w:numPr>
        <w:ind w:left="567" w:hanging="567"/>
        <w:rPr>
          <w:lang w:val="en-ZA"/>
        </w:rPr>
      </w:pPr>
      <w:r w:rsidRPr="00A41E69">
        <w:rPr>
          <w:lang w:val="en-ZA"/>
        </w:rPr>
        <w:t>[40]</w:t>
      </w:r>
      <w:r w:rsidRPr="00A41E69">
        <w:rPr>
          <w:lang w:val="en-ZA"/>
        </w:rPr>
        <w:tab/>
      </w:r>
      <w:r w:rsidR="00B2627F">
        <w:rPr>
          <w:lang w:val="en-ZA"/>
        </w:rPr>
        <w:t>Additionally</w:t>
      </w:r>
      <w:r w:rsidR="009604F3" w:rsidRPr="00A41E69">
        <w:rPr>
          <w:lang w:val="en-ZA"/>
        </w:rPr>
        <w:t xml:space="preserve">, </w:t>
      </w:r>
      <w:r w:rsidR="009604F3">
        <w:rPr>
          <w:lang w:val="en-ZA"/>
        </w:rPr>
        <w:t>AfriForum</w:t>
      </w:r>
      <w:r w:rsidR="009604F3" w:rsidRPr="009404DC">
        <w:rPr>
          <w:lang w:val="en-ZA"/>
        </w:rPr>
        <w:t>’s</w:t>
      </w:r>
      <w:r w:rsidR="009604F3" w:rsidRPr="00A41E69">
        <w:rPr>
          <w:lang w:val="en-ZA"/>
        </w:rPr>
        <w:t xml:space="preserve"> contention that the </w:t>
      </w:r>
      <w:r w:rsidR="00B2627F">
        <w:rPr>
          <w:lang w:val="en-ZA"/>
        </w:rPr>
        <w:t xml:space="preserve">African Renaissance Fund </w:t>
      </w:r>
      <w:r w:rsidR="009604F3" w:rsidRPr="00A41E69">
        <w:rPr>
          <w:lang w:val="en-ZA"/>
        </w:rPr>
        <w:t xml:space="preserve">was only able to afford the donation after the surplus, is </w:t>
      </w:r>
      <w:r w:rsidR="005D5601">
        <w:rPr>
          <w:lang w:val="en-ZA"/>
        </w:rPr>
        <w:t xml:space="preserve">not </w:t>
      </w:r>
      <w:r w:rsidR="00DB4955">
        <w:rPr>
          <w:lang w:val="en-ZA"/>
        </w:rPr>
        <w:t xml:space="preserve">supported by the </w:t>
      </w:r>
      <w:r w:rsidR="007A4853">
        <w:rPr>
          <w:lang w:val="en-ZA"/>
        </w:rPr>
        <w:t xml:space="preserve">uncontested </w:t>
      </w:r>
      <w:r w:rsidR="00DB4955">
        <w:rPr>
          <w:lang w:val="en-ZA"/>
        </w:rPr>
        <w:t>evidence before us</w:t>
      </w:r>
      <w:r w:rsidR="009604F3" w:rsidRPr="00A41E69">
        <w:rPr>
          <w:lang w:val="en-ZA"/>
        </w:rPr>
        <w:t>. It is apparent from the calculations accompanying the request that the surplus was R557 060 000</w:t>
      </w:r>
      <w:r w:rsidR="009604F3">
        <w:rPr>
          <w:lang w:val="en-ZA"/>
        </w:rPr>
        <w:t xml:space="preserve"> (five hundred and fifty</w:t>
      </w:r>
      <w:r w:rsidR="001305D9">
        <w:rPr>
          <w:lang w:val="en-ZA"/>
        </w:rPr>
        <w:t>-</w:t>
      </w:r>
      <w:r w:rsidR="009604F3">
        <w:rPr>
          <w:lang w:val="en-ZA"/>
        </w:rPr>
        <w:t>seven million and sixty thousand rand)</w:t>
      </w:r>
      <w:r w:rsidR="009604F3" w:rsidRPr="009404DC">
        <w:rPr>
          <w:lang w:val="en-ZA"/>
        </w:rPr>
        <w:t>,</w:t>
      </w:r>
      <w:r w:rsidR="009604F3" w:rsidRPr="00A41E69">
        <w:rPr>
          <w:lang w:val="en-ZA"/>
        </w:rPr>
        <w:t xml:space="preserve"> of which R485 523 000 </w:t>
      </w:r>
      <w:r w:rsidR="009604F3">
        <w:rPr>
          <w:lang w:val="en-ZA"/>
        </w:rPr>
        <w:t>(four hundred and eighty</w:t>
      </w:r>
      <w:r w:rsidR="000353FA">
        <w:rPr>
          <w:lang w:val="en-ZA"/>
        </w:rPr>
        <w:t>-</w:t>
      </w:r>
      <w:r w:rsidR="009604F3">
        <w:rPr>
          <w:lang w:val="en-ZA"/>
        </w:rPr>
        <w:t xml:space="preserve">five million five hundred and twenty three thousand rand) </w:t>
      </w:r>
      <w:r w:rsidR="009604F3" w:rsidRPr="00A41E69">
        <w:rPr>
          <w:lang w:val="en-ZA"/>
        </w:rPr>
        <w:t>w</w:t>
      </w:r>
      <w:r w:rsidR="00A41477">
        <w:rPr>
          <w:lang w:val="en-ZA"/>
        </w:rPr>
        <w:t>ere</w:t>
      </w:r>
      <w:r w:rsidR="009604F3" w:rsidRPr="00A41E69">
        <w:rPr>
          <w:lang w:val="en-ZA"/>
        </w:rPr>
        <w:t xml:space="preserve"> committed funds and R71 537 000 </w:t>
      </w:r>
      <w:r w:rsidR="009604F3">
        <w:rPr>
          <w:lang w:val="en-ZA"/>
        </w:rPr>
        <w:t xml:space="preserve">(seventy one million five hundred and thirty seven thousand rand) </w:t>
      </w:r>
      <w:r w:rsidR="009604F3" w:rsidRPr="00A41E69">
        <w:rPr>
          <w:lang w:val="en-ZA"/>
        </w:rPr>
        <w:t>w</w:t>
      </w:r>
      <w:r w:rsidR="00A41477">
        <w:rPr>
          <w:lang w:val="en-ZA"/>
        </w:rPr>
        <w:t>ere</w:t>
      </w:r>
      <w:r w:rsidR="009604F3" w:rsidRPr="00A41E69">
        <w:rPr>
          <w:lang w:val="en-ZA"/>
        </w:rPr>
        <w:t xml:space="preserve"> uncommitted funds. This was the surplus amount and the subject of the retention request. This amount was mentioned in the retention request to National Treasury as the funds that would be earmarked for urgent humanitarian assistance to African countries that might arise, hence the assertion that these funds were uncommitted. The R71 million was within the African Renaissance Fund’s budget but could not be used as it was a surplus and required </w:t>
      </w:r>
      <w:r w:rsidR="00551FD5">
        <w:rPr>
          <w:lang w:val="en-ZA"/>
        </w:rPr>
        <w:t xml:space="preserve">approval by </w:t>
      </w:r>
      <w:r w:rsidR="009604F3" w:rsidRPr="00A41E69">
        <w:rPr>
          <w:lang w:val="en-ZA"/>
        </w:rPr>
        <w:t xml:space="preserve">National Treasury to be retained and used to further </w:t>
      </w:r>
      <w:r w:rsidR="00C0647D">
        <w:rPr>
          <w:lang w:val="en-ZA"/>
        </w:rPr>
        <w:t xml:space="preserve">the </w:t>
      </w:r>
      <w:r w:rsidR="009604F3" w:rsidRPr="00A41E69">
        <w:rPr>
          <w:lang w:val="en-ZA"/>
        </w:rPr>
        <w:t xml:space="preserve">objectives of the African Renaissance Fund. </w:t>
      </w:r>
      <w:r w:rsidR="007B70E4">
        <w:rPr>
          <w:lang w:val="en-ZA"/>
        </w:rPr>
        <w:t>U</w:t>
      </w:r>
      <w:r w:rsidR="009604F3" w:rsidRPr="00A41E69">
        <w:rPr>
          <w:lang w:val="en-ZA"/>
        </w:rPr>
        <w:t xml:space="preserve">nder no circumstances could this amount be regarded as a contingent liability. </w:t>
      </w:r>
    </w:p>
    <w:p w14:paraId="50F145F4" w14:textId="4AA974EC" w:rsidR="009604F3" w:rsidRPr="00A41E69" w:rsidRDefault="0048361F" w:rsidP="0048361F">
      <w:pPr>
        <w:pStyle w:val="JudgmentNumbered"/>
        <w:numPr>
          <w:ilvl w:val="0"/>
          <w:numId w:val="0"/>
        </w:numPr>
        <w:ind w:left="567" w:hanging="567"/>
        <w:rPr>
          <w:lang w:val="en-ZA"/>
        </w:rPr>
      </w:pPr>
      <w:r w:rsidRPr="00A41E69">
        <w:rPr>
          <w:lang w:val="en-ZA"/>
        </w:rPr>
        <w:t>[41]</w:t>
      </w:r>
      <w:r w:rsidRPr="00A41E69">
        <w:rPr>
          <w:lang w:val="en-ZA"/>
        </w:rPr>
        <w:tab/>
      </w:r>
      <w:r w:rsidR="009604F3" w:rsidRPr="00A41E69">
        <w:rPr>
          <w:lang w:val="en-ZA"/>
        </w:rPr>
        <w:t xml:space="preserve">As to </w:t>
      </w:r>
      <w:r w:rsidR="009604F3">
        <w:rPr>
          <w:lang w:val="en-ZA"/>
        </w:rPr>
        <w:t>AfriForum</w:t>
      </w:r>
      <w:r w:rsidR="009604F3" w:rsidRPr="009404DC">
        <w:rPr>
          <w:lang w:val="en-ZA"/>
        </w:rPr>
        <w:t>’s</w:t>
      </w:r>
      <w:r w:rsidR="009604F3" w:rsidRPr="00A41E69">
        <w:rPr>
          <w:lang w:val="en-ZA"/>
        </w:rPr>
        <w:t xml:space="preserve"> submission that the request was unlawful and unconstitutional as it mentioned Cuba which is not an African country, I can only refer to the wider objectives of the African Renaissance Fund. This is a fund that </w:t>
      </w:r>
      <w:r w:rsidR="00C47043">
        <w:rPr>
          <w:lang w:val="en-ZA"/>
        </w:rPr>
        <w:t xml:space="preserve">not only has a continental outlook but </w:t>
      </w:r>
      <w:r w:rsidR="009604F3" w:rsidRPr="00A41E69">
        <w:rPr>
          <w:lang w:val="en-ZA"/>
        </w:rPr>
        <w:t xml:space="preserve">a global </w:t>
      </w:r>
      <w:r w:rsidR="0033451D">
        <w:rPr>
          <w:lang w:val="en-ZA"/>
        </w:rPr>
        <w:t>one</w:t>
      </w:r>
      <w:r w:rsidR="009604F3" w:rsidRPr="00A41E69">
        <w:rPr>
          <w:lang w:val="en-ZA"/>
        </w:rPr>
        <w:t xml:space="preserve">. Granted, the request to retain the surplus mentioned that the funds would be used to assist African countries, </w:t>
      </w:r>
      <w:r w:rsidR="000059AB">
        <w:rPr>
          <w:lang w:val="en-ZA"/>
        </w:rPr>
        <w:t xml:space="preserve">but </w:t>
      </w:r>
      <w:r w:rsidR="009604F3" w:rsidRPr="00A41E69">
        <w:rPr>
          <w:lang w:val="en-ZA"/>
        </w:rPr>
        <w:t xml:space="preserve">this does </w:t>
      </w:r>
      <w:r w:rsidR="009604F3" w:rsidRPr="00A41E69">
        <w:rPr>
          <w:lang w:val="en-ZA"/>
        </w:rPr>
        <w:lastRenderedPageBreak/>
        <w:t xml:space="preserve">not </w:t>
      </w:r>
      <w:r w:rsidR="009604F3" w:rsidRPr="009404DC">
        <w:rPr>
          <w:lang w:val="en-ZA"/>
        </w:rPr>
        <w:t>delegitimi</w:t>
      </w:r>
      <w:r w:rsidR="009604F3">
        <w:rPr>
          <w:lang w:val="en-ZA"/>
        </w:rPr>
        <w:t>s</w:t>
      </w:r>
      <w:r w:rsidR="009604F3" w:rsidRPr="009404DC">
        <w:rPr>
          <w:lang w:val="en-ZA"/>
        </w:rPr>
        <w:t>e</w:t>
      </w:r>
      <w:r w:rsidR="009604F3" w:rsidRPr="00A41E69">
        <w:rPr>
          <w:lang w:val="en-ZA"/>
        </w:rPr>
        <w:t xml:space="preserve"> the request </w:t>
      </w:r>
      <w:r w:rsidR="009604F3" w:rsidRPr="00A41E69">
        <w:rPr>
          <w:i/>
          <w:lang w:val="en-ZA"/>
        </w:rPr>
        <w:t>per se</w:t>
      </w:r>
      <w:r w:rsidR="00843C05">
        <w:rPr>
          <w:i/>
          <w:lang w:val="en-ZA"/>
        </w:rPr>
        <w:t xml:space="preserve"> </w:t>
      </w:r>
      <w:r w:rsidR="00843C05" w:rsidRPr="00936D7D">
        <w:rPr>
          <w:iCs/>
          <w:lang w:val="en-ZA"/>
        </w:rPr>
        <w:t>and its approval</w:t>
      </w:r>
      <w:r w:rsidR="009604F3" w:rsidRPr="00A41E69">
        <w:rPr>
          <w:lang w:val="en-ZA"/>
        </w:rPr>
        <w:t>. We have also not been shown any evidence that there were requests from African countries that were overlooked in favour of Cuba.</w:t>
      </w:r>
      <w:r w:rsidR="001305D9">
        <w:rPr>
          <w:lang w:val="en-ZA"/>
        </w:rPr>
        <w:t xml:space="preserve"> </w:t>
      </w:r>
      <w:r w:rsidR="00A41477">
        <w:rPr>
          <w:lang w:val="en-ZA"/>
        </w:rPr>
        <w:t xml:space="preserve">Moreover, by the time the </w:t>
      </w:r>
      <w:r w:rsidR="005B08DC">
        <w:rPr>
          <w:lang w:val="en-ZA"/>
        </w:rPr>
        <w:t xml:space="preserve">request was presented to </w:t>
      </w:r>
      <w:r w:rsidR="00A41477">
        <w:rPr>
          <w:lang w:val="en-ZA"/>
        </w:rPr>
        <w:t>National Treasury</w:t>
      </w:r>
      <w:r w:rsidR="005B08DC">
        <w:rPr>
          <w:lang w:val="en-ZA"/>
        </w:rPr>
        <w:t xml:space="preserve"> in August, DIRCO had </w:t>
      </w:r>
      <w:r w:rsidR="00A41477">
        <w:rPr>
          <w:lang w:val="en-ZA"/>
        </w:rPr>
        <w:t xml:space="preserve">informed </w:t>
      </w:r>
      <w:r w:rsidR="005B08DC">
        <w:rPr>
          <w:lang w:val="en-ZA"/>
        </w:rPr>
        <w:t xml:space="preserve">National Treasury </w:t>
      </w:r>
      <w:r w:rsidR="00A41477">
        <w:rPr>
          <w:lang w:val="en-ZA"/>
        </w:rPr>
        <w:t>that the donation to Cuba was at that stage under consideration</w:t>
      </w:r>
      <w:r w:rsidR="008F5E8E">
        <w:rPr>
          <w:lang w:val="en-ZA"/>
        </w:rPr>
        <w:t xml:space="preserve"> and that </w:t>
      </w:r>
      <w:r w:rsidR="007F5F26">
        <w:rPr>
          <w:lang w:val="en-ZA"/>
        </w:rPr>
        <w:t>the assistance to Cuba would be from that surplus</w:t>
      </w:r>
      <w:r w:rsidR="00E35C79">
        <w:rPr>
          <w:lang w:val="en-ZA"/>
        </w:rPr>
        <w:t>, on being approved</w:t>
      </w:r>
      <w:r w:rsidR="0088273D">
        <w:rPr>
          <w:lang w:val="en-ZA"/>
        </w:rPr>
        <w:t xml:space="preserve">. </w:t>
      </w:r>
    </w:p>
    <w:p w14:paraId="2B632329" w14:textId="79F86E39" w:rsidR="009604F3" w:rsidRPr="00A41E69" w:rsidRDefault="0048361F" w:rsidP="0048361F">
      <w:pPr>
        <w:pStyle w:val="JudgmentNumbered"/>
        <w:numPr>
          <w:ilvl w:val="0"/>
          <w:numId w:val="0"/>
        </w:numPr>
        <w:ind w:left="567" w:hanging="567"/>
        <w:rPr>
          <w:lang w:val="en-ZA"/>
        </w:rPr>
      </w:pPr>
      <w:r w:rsidRPr="00A41E69">
        <w:rPr>
          <w:lang w:val="en-ZA"/>
        </w:rPr>
        <w:t>[42]</w:t>
      </w:r>
      <w:r w:rsidRPr="00A41E69">
        <w:rPr>
          <w:lang w:val="en-ZA"/>
        </w:rPr>
        <w:tab/>
      </w:r>
      <w:r w:rsidR="00B40C10" w:rsidRPr="00B40C10">
        <w:rPr>
          <w:lang w:val="en-ZA"/>
        </w:rPr>
        <w:t xml:space="preserve">AfriForum </w:t>
      </w:r>
      <w:r w:rsidR="00913A95">
        <w:rPr>
          <w:lang w:val="en-ZA"/>
        </w:rPr>
        <w:t xml:space="preserve">further </w:t>
      </w:r>
      <w:r w:rsidR="00B40C10" w:rsidRPr="00B40C10">
        <w:rPr>
          <w:lang w:val="en-ZA"/>
        </w:rPr>
        <w:t>attacks National Treasury’s approval of the surplus retention request predominantly based on its overarching criticism that South Africa’s economy was in the doldrums, with high levels of unemployment and that the Government had failed spectacularly on the service delivery front.</w:t>
      </w:r>
      <w:r w:rsidR="00913A95">
        <w:rPr>
          <w:lang w:val="en-ZA"/>
        </w:rPr>
        <w:t xml:space="preserve"> </w:t>
      </w:r>
      <w:r w:rsidR="009604F3" w:rsidRPr="00A41E69">
        <w:rPr>
          <w:lang w:val="en-ZA"/>
        </w:rPr>
        <w:t xml:space="preserve">This challenge to the approval of the request ignores the regulatory framework applicable to National Treasury and the treatment of funds appropriated through Parliament to entities such as the African Renaissance Fund. </w:t>
      </w:r>
      <w:r w:rsidR="009604F3">
        <w:rPr>
          <w:lang w:val="en-ZA"/>
        </w:rPr>
        <w:t>AfriForum</w:t>
      </w:r>
      <w:r w:rsidR="009604F3" w:rsidRPr="009404DC">
        <w:rPr>
          <w:lang w:val="en-ZA"/>
        </w:rPr>
        <w:t>’s</w:t>
      </w:r>
      <w:r w:rsidR="009604F3" w:rsidRPr="00A41E69">
        <w:rPr>
          <w:lang w:val="en-ZA"/>
        </w:rPr>
        <w:t xml:space="preserve"> submission suggests that National Treasury should have refused the request and redirected the surplus funds to other purposes and presumably to other entities and departments so to speak. This is a misconceived submission. It ignores the fact that the </w:t>
      </w:r>
      <w:r w:rsidR="009604F3" w:rsidRPr="0081028E">
        <w:rPr>
          <w:lang w:val="en-ZA"/>
        </w:rPr>
        <w:t>approval of the retention of the surplus was for a broader purpose</w:t>
      </w:r>
      <w:r w:rsidR="009604F3" w:rsidRPr="00A41E69">
        <w:rPr>
          <w:lang w:val="en-ZA"/>
        </w:rPr>
        <w:t xml:space="preserve"> of enabling many potential projects that </w:t>
      </w:r>
      <w:r w:rsidR="001305D9">
        <w:rPr>
          <w:lang w:val="en-ZA"/>
        </w:rPr>
        <w:t>accord</w:t>
      </w:r>
      <w:r w:rsidR="009604F3" w:rsidRPr="00A41E69">
        <w:rPr>
          <w:lang w:val="en-ZA"/>
        </w:rPr>
        <w:t xml:space="preserve"> with the purpose of the African Renaissance Fund</w:t>
      </w:r>
      <w:r w:rsidR="002F1F30">
        <w:rPr>
          <w:lang w:val="en-ZA"/>
        </w:rPr>
        <w:t>,</w:t>
      </w:r>
      <w:r w:rsidR="009604F3" w:rsidRPr="00A41E69">
        <w:rPr>
          <w:lang w:val="en-ZA"/>
        </w:rPr>
        <w:t xml:space="preserve"> which </w:t>
      </w:r>
      <w:r w:rsidR="005B08DC">
        <w:rPr>
          <w:lang w:val="en-ZA"/>
        </w:rPr>
        <w:t>differs</w:t>
      </w:r>
      <w:r w:rsidR="009604F3" w:rsidRPr="00A41E69">
        <w:rPr>
          <w:lang w:val="en-ZA"/>
        </w:rPr>
        <w:t xml:space="preserve"> from the approval of any specific project. As pointed out by the Treasury </w:t>
      </w:r>
      <w:r w:rsidR="009604F3">
        <w:rPr>
          <w:lang w:val="en-ZA"/>
        </w:rPr>
        <w:t>Respondent</w:t>
      </w:r>
      <w:r w:rsidR="009604F3" w:rsidRPr="009404DC">
        <w:rPr>
          <w:lang w:val="en-ZA"/>
        </w:rPr>
        <w:t>s</w:t>
      </w:r>
      <w:r w:rsidR="009604F3" w:rsidRPr="00A41E69">
        <w:rPr>
          <w:lang w:val="en-ZA"/>
        </w:rPr>
        <w:t>, had the surplus not been approved then various support projects to other deserving countries including Mozambique (for example, due to effects of cyclone Idai), Zimbabwe, Guinea, Madagascar, South Sudan, and others, for which commitment had been declared would not have been possible.</w:t>
      </w:r>
    </w:p>
    <w:p w14:paraId="1548B80F" w14:textId="39367A23" w:rsidR="009604F3" w:rsidRDefault="0048361F" w:rsidP="0048361F">
      <w:pPr>
        <w:pStyle w:val="JudgmentNumbered"/>
        <w:numPr>
          <w:ilvl w:val="0"/>
          <w:numId w:val="0"/>
        </w:numPr>
        <w:ind w:left="567" w:hanging="567"/>
        <w:rPr>
          <w:lang w:val="en-ZA"/>
        </w:rPr>
      </w:pPr>
      <w:r>
        <w:rPr>
          <w:lang w:val="en-ZA"/>
        </w:rPr>
        <w:t>[43]</w:t>
      </w:r>
      <w:r>
        <w:rPr>
          <w:lang w:val="en-ZA"/>
        </w:rPr>
        <w:tab/>
      </w:r>
      <w:r w:rsidR="0006786B">
        <w:rPr>
          <w:lang w:val="en-ZA"/>
        </w:rPr>
        <w:t>Regarding</w:t>
      </w:r>
      <w:r w:rsidR="009604F3" w:rsidRPr="00A41E69">
        <w:rPr>
          <w:lang w:val="en-ZA"/>
        </w:rPr>
        <w:t xml:space="preserve"> Parliament’s role in such matters, Chapter 4 of the PFMA governs the appropriation of funds by Parliament for the state and </w:t>
      </w:r>
      <w:r w:rsidR="00316626">
        <w:rPr>
          <w:lang w:val="en-ZA"/>
        </w:rPr>
        <w:t xml:space="preserve">its </w:t>
      </w:r>
      <w:r w:rsidR="009604F3" w:rsidRPr="00A41E69">
        <w:rPr>
          <w:lang w:val="en-ZA"/>
        </w:rPr>
        <w:t>entities. The Act specifically reiterates that this function is the preserve of Parliament, not National Treasury. In carrying</w:t>
      </w:r>
      <w:r w:rsidR="009604F3">
        <w:rPr>
          <w:lang w:val="en-ZA"/>
        </w:rPr>
        <w:t xml:space="preserve"> out</w:t>
      </w:r>
      <w:r w:rsidR="009604F3" w:rsidRPr="00A41E69">
        <w:rPr>
          <w:lang w:val="en-ZA"/>
        </w:rPr>
        <w:t xml:space="preserve"> its functions, Parliament </w:t>
      </w:r>
      <w:r w:rsidR="00951A83">
        <w:rPr>
          <w:lang w:val="en-ZA"/>
        </w:rPr>
        <w:t>makes</w:t>
      </w:r>
      <w:r w:rsidR="00951A83" w:rsidRPr="00A41E69">
        <w:rPr>
          <w:lang w:val="en-ZA"/>
        </w:rPr>
        <w:t xml:space="preserve"> </w:t>
      </w:r>
      <w:r w:rsidR="009604F3" w:rsidRPr="00A41E69">
        <w:rPr>
          <w:lang w:val="en-ZA"/>
        </w:rPr>
        <w:t xml:space="preserve">policy choices that are available to it, to meet the broad and diverse needs and imperatives of the South African government and society. </w:t>
      </w:r>
      <w:r w:rsidR="00A54161">
        <w:rPr>
          <w:lang w:val="en-ZA"/>
        </w:rPr>
        <w:t>T</w:t>
      </w:r>
      <w:r w:rsidR="009604F3" w:rsidRPr="00A41E69">
        <w:rPr>
          <w:lang w:val="en-ZA"/>
        </w:rPr>
        <w:t xml:space="preserve">he Treasury </w:t>
      </w:r>
      <w:r w:rsidR="009604F3">
        <w:rPr>
          <w:lang w:val="en-ZA"/>
        </w:rPr>
        <w:t>Respondent</w:t>
      </w:r>
      <w:r w:rsidR="009604F3" w:rsidRPr="009404DC">
        <w:rPr>
          <w:lang w:val="en-ZA"/>
        </w:rPr>
        <w:t>s</w:t>
      </w:r>
      <w:r w:rsidR="00A54161">
        <w:rPr>
          <w:lang w:val="en-ZA"/>
        </w:rPr>
        <w:t xml:space="preserve"> have also pointed out that,</w:t>
      </w:r>
      <w:r w:rsidR="009604F3" w:rsidRPr="00A41E69">
        <w:rPr>
          <w:lang w:val="en-ZA"/>
        </w:rPr>
        <w:t xml:space="preserve"> in appropriating any funds for the African Renaissance Fund to be donated to foreign governments, Parliament does so fully mindful of the prevailing circumstances and makes appropriate appropriations having regard to such </w:t>
      </w:r>
      <w:r w:rsidR="009604F3" w:rsidRPr="00A41E69">
        <w:rPr>
          <w:lang w:val="en-ZA"/>
        </w:rPr>
        <w:lastRenderedPageBreak/>
        <w:t xml:space="preserve">circumstances. These </w:t>
      </w:r>
      <w:r w:rsidR="009604F3">
        <w:rPr>
          <w:lang w:val="en-ZA"/>
        </w:rPr>
        <w:t>Respondent</w:t>
      </w:r>
      <w:r w:rsidR="009604F3" w:rsidRPr="009404DC">
        <w:rPr>
          <w:lang w:val="en-ZA"/>
        </w:rPr>
        <w:t>s</w:t>
      </w:r>
      <w:r w:rsidR="009604F3" w:rsidRPr="00A41E69">
        <w:rPr>
          <w:lang w:val="en-ZA"/>
        </w:rPr>
        <w:t xml:space="preserve"> have demonstrated, without counter from </w:t>
      </w:r>
      <w:r w:rsidR="009604F3">
        <w:rPr>
          <w:lang w:val="en-ZA"/>
        </w:rPr>
        <w:t>AfriForum</w:t>
      </w:r>
      <w:r w:rsidR="009604F3" w:rsidRPr="00A41E69">
        <w:rPr>
          <w:lang w:val="en-ZA"/>
        </w:rPr>
        <w:t xml:space="preserve">, that the appropriation of funds from the fiscus happens within, and is informed by, a strictly determined legislative scheme. </w:t>
      </w:r>
    </w:p>
    <w:p w14:paraId="72D62510" w14:textId="07E6B83C" w:rsidR="00E209F1" w:rsidRPr="00E209F1" w:rsidRDefault="0048361F" w:rsidP="0048361F">
      <w:pPr>
        <w:pStyle w:val="JudgmentNumbered"/>
        <w:numPr>
          <w:ilvl w:val="0"/>
          <w:numId w:val="0"/>
        </w:numPr>
        <w:ind w:left="567" w:hanging="567"/>
        <w:rPr>
          <w:lang w:val="en-ZA"/>
        </w:rPr>
      </w:pPr>
      <w:r w:rsidRPr="00E209F1">
        <w:rPr>
          <w:lang w:val="en-ZA"/>
        </w:rPr>
        <w:t>[44]</w:t>
      </w:r>
      <w:r w:rsidRPr="00E209F1">
        <w:rPr>
          <w:lang w:val="en-ZA"/>
        </w:rPr>
        <w:tab/>
      </w:r>
      <w:r w:rsidR="00E209F1" w:rsidRPr="00E209F1">
        <w:rPr>
          <w:lang w:val="en-ZA"/>
        </w:rPr>
        <w:t xml:space="preserve">AfriForum contends that because it brought this application in the public interest and that public funds are involved, the rights of the public are affected. AfriForum’s stance is based on its assertion that had National Treasury not approved the retention request, the funds would have reverted to National Treasury, where the funds would then be appropriated to other areas to address the service delivery challenges faced by the country. This is nothing more than mere speculation. The SCA’s warning on hastily relying on inferential reasoning is helpful to consider. In </w:t>
      </w:r>
      <w:r w:rsidR="00E209F1" w:rsidRPr="00DE567B">
        <w:rPr>
          <w:i/>
          <w:iCs/>
          <w:lang w:val="en-ZA"/>
        </w:rPr>
        <w:t>Home Talk Developments (Pty) Ltd and Others v Ekurhuleni Metropolitan Municipality</w:t>
      </w:r>
      <w:r w:rsidR="00E209F1" w:rsidRPr="00E209F1">
        <w:rPr>
          <w:lang w:val="en-ZA"/>
        </w:rPr>
        <w:t>,</w:t>
      </w:r>
      <w:r w:rsidR="00A32AAC">
        <w:rPr>
          <w:rStyle w:val="FootnoteReference"/>
          <w:lang w:val="en-ZA"/>
        </w:rPr>
        <w:footnoteReference w:id="20"/>
      </w:r>
      <w:r w:rsidR="00E209F1" w:rsidRPr="00E209F1">
        <w:rPr>
          <w:lang w:val="en-ZA"/>
        </w:rPr>
        <w:t xml:space="preserve"> at paragraph 40, it described the process of inferential reasoning as “call[ing] for an evaluation of all the evidence and not merely selected parts”. It continued by stating the importance of distinguishing the making of inferences from conjecture or speculation in the following terms:</w:t>
      </w:r>
    </w:p>
    <w:p w14:paraId="0EC55E90" w14:textId="525B2228" w:rsidR="009604F3" w:rsidRPr="000654B7" w:rsidRDefault="00E209F1" w:rsidP="000654B7">
      <w:pPr>
        <w:pStyle w:val="JudgmentNumbered"/>
        <w:numPr>
          <w:ilvl w:val="0"/>
          <w:numId w:val="0"/>
        </w:numPr>
        <w:ind w:left="1134" w:right="521"/>
        <w:rPr>
          <w:sz w:val="22"/>
          <w:szCs w:val="20"/>
          <w:lang w:val="en-ZA"/>
        </w:rPr>
      </w:pPr>
      <w:r w:rsidRPr="00A32AAC">
        <w:rPr>
          <w:sz w:val="22"/>
          <w:szCs w:val="20"/>
          <w:lang w:val="en-ZA"/>
        </w:rPr>
        <w:t>“The inference that is sought to be drawn must be ‘consistent with all the proved facts: If it is not, then the inference cannot be drawn’ and it must be the ‘more natural, or plausible, conclusion from amongst several conceivable ones’ when measured against the probabilities.”</w:t>
      </w:r>
      <w:r w:rsidR="00A32AAC">
        <w:rPr>
          <w:rStyle w:val="FootnoteReference"/>
          <w:sz w:val="22"/>
          <w:szCs w:val="20"/>
          <w:lang w:val="en-ZA"/>
        </w:rPr>
        <w:footnoteReference w:id="21"/>
      </w:r>
      <w:r w:rsidRPr="00A32AAC">
        <w:rPr>
          <w:sz w:val="22"/>
          <w:szCs w:val="20"/>
          <w:lang w:val="en-ZA"/>
        </w:rPr>
        <w:t xml:space="preserve">  </w:t>
      </w:r>
      <w:r w:rsidR="00930BA9">
        <w:rPr>
          <w:sz w:val="22"/>
          <w:szCs w:val="20"/>
          <w:lang w:val="en-ZA"/>
        </w:rPr>
        <w:t>(Footnotes omitted.)</w:t>
      </w:r>
    </w:p>
    <w:p w14:paraId="5DE0044A" w14:textId="5D25A2E3" w:rsidR="00A10108" w:rsidRPr="00A10108" w:rsidRDefault="0048361F" w:rsidP="0048361F">
      <w:pPr>
        <w:pStyle w:val="JudgmentNumbered"/>
        <w:numPr>
          <w:ilvl w:val="0"/>
          <w:numId w:val="0"/>
        </w:numPr>
        <w:ind w:left="567" w:hanging="567"/>
        <w:rPr>
          <w:lang w:val="en-ZA"/>
        </w:rPr>
      </w:pPr>
      <w:r w:rsidRPr="00A10108">
        <w:rPr>
          <w:lang w:val="en-ZA"/>
        </w:rPr>
        <w:t>[45]</w:t>
      </w:r>
      <w:r w:rsidRPr="00A10108">
        <w:rPr>
          <w:lang w:val="en-ZA"/>
        </w:rPr>
        <w:tab/>
      </w:r>
      <w:r w:rsidR="00C41BD3" w:rsidRPr="00357DAF">
        <w:rPr>
          <w:lang w:val="en-ZA"/>
        </w:rPr>
        <w:t xml:space="preserve">It is clear to me having traversed AfriForum’s arguments, that </w:t>
      </w:r>
      <w:r w:rsidR="003A240A" w:rsidRPr="00357DAF">
        <w:rPr>
          <w:lang w:val="en-ZA"/>
        </w:rPr>
        <w:t xml:space="preserve">there is </w:t>
      </w:r>
      <w:r w:rsidR="009604F3" w:rsidRPr="00357DAF">
        <w:rPr>
          <w:lang w:val="en-ZA"/>
        </w:rPr>
        <w:t>no basis on which to review and set aside the approval of the retention request.</w:t>
      </w:r>
      <w:r w:rsidR="007B2BB7" w:rsidRPr="00357DAF">
        <w:rPr>
          <w:lang w:val="en-ZA"/>
        </w:rPr>
        <w:t xml:space="preserve"> </w:t>
      </w:r>
      <w:r w:rsidR="00BB5FA0" w:rsidRPr="00357DAF">
        <w:rPr>
          <w:lang w:val="en-ZA"/>
        </w:rPr>
        <w:t>AfriForum</w:t>
      </w:r>
      <w:r w:rsidR="00BB5FA0">
        <w:rPr>
          <w:lang w:val="en-ZA"/>
        </w:rPr>
        <w:t xml:space="preserve"> has simply not put up any case </w:t>
      </w:r>
      <w:r w:rsidR="00B223C8">
        <w:rPr>
          <w:lang w:val="en-ZA"/>
        </w:rPr>
        <w:t xml:space="preserve">showing that the </w:t>
      </w:r>
      <w:r w:rsidR="002078D3">
        <w:rPr>
          <w:lang w:val="en-ZA"/>
        </w:rPr>
        <w:t>decision</w:t>
      </w:r>
      <w:r w:rsidR="00B223C8">
        <w:rPr>
          <w:lang w:val="en-ZA"/>
        </w:rPr>
        <w:t xml:space="preserve"> was unlawfully and/or irrationally </w:t>
      </w:r>
      <w:r w:rsidR="00530DCF">
        <w:rPr>
          <w:lang w:val="en-ZA"/>
        </w:rPr>
        <w:t>made</w:t>
      </w:r>
      <w:r w:rsidR="00B223C8" w:rsidRPr="00247F45">
        <w:rPr>
          <w:lang w:val="en-ZA"/>
        </w:rPr>
        <w:t>.</w:t>
      </w:r>
      <w:r w:rsidR="00E62098" w:rsidRPr="00247F45">
        <w:rPr>
          <w:lang w:val="en-ZA"/>
        </w:rPr>
        <w:t xml:space="preserve"> </w:t>
      </w:r>
      <w:r w:rsidR="002F1F30" w:rsidRPr="00247F45">
        <w:rPr>
          <w:lang w:val="en-ZA"/>
        </w:rPr>
        <w:t xml:space="preserve">I must also </w:t>
      </w:r>
      <w:r w:rsidR="00247F45">
        <w:rPr>
          <w:lang w:val="en-ZA"/>
        </w:rPr>
        <w:t>reiterate</w:t>
      </w:r>
      <w:r w:rsidR="00247F45" w:rsidRPr="00247F45">
        <w:rPr>
          <w:lang w:val="en-ZA"/>
        </w:rPr>
        <w:t xml:space="preserve"> </w:t>
      </w:r>
      <w:r w:rsidR="002F1F30" w:rsidRPr="00247F45">
        <w:rPr>
          <w:lang w:val="en-ZA"/>
        </w:rPr>
        <w:t>that AfriForum has not shown that the decision to approve the r</w:t>
      </w:r>
      <w:r w:rsidR="00247F45" w:rsidRPr="00247F45">
        <w:rPr>
          <w:lang w:val="en-ZA"/>
        </w:rPr>
        <w:t xml:space="preserve">etention had a “direct and external legal effect” on it and its members. </w:t>
      </w:r>
      <w:r w:rsidR="0014596D" w:rsidRPr="00247F45">
        <w:rPr>
          <w:lang w:val="en-ZA"/>
        </w:rPr>
        <w:t>U</w:t>
      </w:r>
      <w:r w:rsidR="002078D3" w:rsidRPr="00247F45">
        <w:rPr>
          <w:lang w:val="en-ZA"/>
        </w:rPr>
        <w:t>nless</w:t>
      </w:r>
      <w:r w:rsidR="002078D3" w:rsidRPr="002078D3">
        <w:rPr>
          <w:lang w:val="en-ZA"/>
        </w:rPr>
        <w:t xml:space="preserve"> the PFMA is challenged, there can be nothing wrong in approving a request to retain a surplus where it complies with all the prescribed requirements </w:t>
      </w:r>
      <w:r w:rsidR="00032C0D">
        <w:rPr>
          <w:lang w:val="en-ZA"/>
        </w:rPr>
        <w:t xml:space="preserve">as well </w:t>
      </w:r>
      <w:r w:rsidR="00630D10">
        <w:rPr>
          <w:lang w:val="en-ZA"/>
        </w:rPr>
        <w:t>as satisf</w:t>
      </w:r>
      <w:r w:rsidR="00951A83">
        <w:rPr>
          <w:lang w:val="en-ZA"/>
        </w:rPr>
        <w:t>ies</w:t>
      </w:r>
      <w:r w:rsidR="002078D3" w:rsidRPr="002078D3">
        <w:rPr>
          <w:lang w:val="en-ZA"/>
        </w:rPr>
        <w:t xml:space="preserve"> the requirements of the principle of legality.</w:t>
      </w:r>
    </w:p>
    <w:p w14:paraId="73F6BEA7" w14:textId="714803D5" w:rsidR="00A10108" w:rsidRPr="00936D7D" w:rsidRDefault="00A10108" w:rsidP="00936D7D">
      <w:pPr>
        <w:pStyle w:val="JudgmentNumbered"/>
        <w:numPr>
          <w:ilvl w:val="0"/>
          <w:numId w:val="0"/>
        </w:numPr>
        <w:rPr>
          <w:i/>
          <w:iCs/>
          <w:lang w:val="en-ZA"/>
        </w:rPr>
      </w:pPr>
      <w:r w:rsidRPr="00936D7D">
        <w:rPr>
          <w:i/>
          <w:iCs/>
          <w:lang w:val="en-ZA"/>
        </w:rPr>
        <w:t xml:space="preserve">Is the donation decision </w:t>
      </w:r>
      <w:r w:rsidR="00394DB4" w:rsidRPr="00936D7D">
        <w:rPr>
          <w:i/>
          <w:iCs/>
          <w:lang w:val="en-ZA"/>
        </w:rPr>
        <w:t>administrative action</w:t>
      </w:r>
      <w:r w:rsidR="00951A83">
        <w:rPr>
          <w:i/>
          <w:iCs/>
          <w:lang w:val="en-ZA"/>
        </w:rPr>
        <w:t>?</w:t>
      </w:r>
    </w:p>
    <w:p w14:paraId="75C4CC64" w14:textId="1485694E" w:rsidR="009604F3" w:rsidRPr="00A41E69" w:rsidRDefault="0048361F" w:rsidP="0048361F">
      <w:pPr>
        <w:pStyle w:val="JudgmentNumbered"/>
        <w:numPr>
          <w:ilvl w:val="0"/>
          <w:numId w:val="0"/>
        </w:numPr>
        <w:ind w:left="567" w:hanging="567"/>
        <w:rPr>
          <w:lang w:val="en-ZA"/>
        </w:rPr>
      </w:pPr>
      <w:r w:rsidRPr="00A41E69">
        <w:rPr>
          <w:lang w:val="en-ZA"/>
        </w:rPr>
        <w:lastRenderedPageBreak/>
        <w:t>[46]</w:t>
      </w:r>
      <w:r w:rsidRPr="00A41E69">
        <w:rPr>
          <w:lang w:val="en-ZA"/>
        </w:rPr>
        <w:tab/>
      </w:r>
      <w:r w:rsidR="009604F3">
        <w:rPr>
          <w:lang w:val="en-ZA"/>
        </w:rPr>
        <w:t>AfriForum</w:t>
      </w:r>
      <w:r w:rsidR="009604F3" w:rsidRPr="00A41E69">
        <w:rPr>
          <w:lang w:val="en-ZA"/>
        </w:rPr>
        <w:t xml:space="preserve"> argues that </w:t>
      </w:r>
      <w:r w:rsidR="00C764DC">
        <w:rPr>
          <w:lang w:val="en-ZA"/>
        </w:rPr>
        <w:t>the decision</w:t>
      </w:r>
      <w:r w:rsidR="00410223">
        <w:rPr>
          <w:lang w:val="en-ZA"/>
        </w:rPr>
        <w:t xml:space="preserve"> to donate R50 Million to Cuba</w:t>
      </w:r>
      <w:r w:rsidR="009604F3" w:rsidRPr="00A41E69">
        <w:rPr>
          <w:lang w:val="en-ZA"/>
        </w:rPr>
        <w:t xml:space="preserve"> is administrative</w:t>
      </w:r>
      <w:r w:rsidR="009604F3">
        <w:rPr>
          <w:lang w:val="en-ZA"/>
        </w:rPr>
        <w:t xml:space="preserve"> action</w:t>
      </w:r>
      <w:r w:rsidR="009604F3" w:rsidRPr="00A41E69">
        <w:rPr>
          <w:lang w:val="en-ZA"/>
        </w:rPr>
        <w:t xml:space="preserve"> and that it was irrational for the African Renaissance Fund supported by the two Ministers to approve the donation. The submission is that this was clearly the application of legislation and amounted to the exercise of a discretion in light of the relationship that South Africa had with Cuba for a long time. </w:t>
      </w:r>
      <w:r w:rsidR="009604F3">
        <w:rPr>
          <w:lang w:val="en-ZA"/>
        </w:rPr>
        <w:t>It</w:t>
      </w:r>
      <w:r w:rsidR="009604F3" w:rsidRPr="00A41E69">
        <w:rPr>
          <w:lang w:val="en-ZA"/>
        </w:rPr>
        <w:t xml:space="preserve"> argued that the donation decision appears to be a narrower exercise of statutory power which might also give effect to formulated policy. In this regard </w:t>
      </w:r>
      <w:r w:rsidR="009604F3">
        <w:rPr>
          <w:lang w:val="en-ZA"/>
        </w:rPr>
        <w:t>they</w:t>
      </w:r>
      <w:r w:rsidR="009604F3" w:rsidRPr="00A41E69">
        <w:rPr>
          <w:lang w:val="en-ZA"/>
        </w:rPr>
        <w:t xml:space="preserve"> relied on the </w:t>
      </w:r>
      <w:r w:rsidR="009604F3" w:rsidRPr="00A41E69">
        <w:rPr>
          <w:i/>
          <w:lang w:val="en-ZA"/>
        </w:rPr>
        <w:t>Motau</w:t>
      </w:r>
      <w:r w:rsidR="009604F3" w:rsidRPr="00A41E69">
        <w:rPr>
          <w:lang w:val="en-ZA"/>
        </w:rPr>
        <w:t xml:space="preserve"> </w:t>
      </w:r>
      <w:r w:rsidR="009604F3">
        <w:rPr>
          <w:lang w:val="en-ZA"/>
        </w:rPr>
        <w:t>judgment</w:t>
      </w:r>
      <w:r w:rsidR="009604F3" w:rsidRPr="00A41E69">
        <w:rPr>
          <w:lang w:val="en-ZA"/>
        </w:rPr>
        <w:t xml:space="preserve"> of the Constitutional Court.</w:t>
      </w:r>
      <w:r w:rsidR="009604F3">
        <w:rPr>
          <w:rStyle w:val="FootnoteReference"/>
          <w:lang w:val="en-ZA"/>
        </w:rPr>
        <w:footnoteReference w:id="22"/>
      </w:r>
      <w:r w:rsidR="009604F3">
        <w:rPr>
          <w:lang w:val="en-ZA"/>
        </w:rPr>
        <w:t xml:space="preserve"> They</w:t>
      </w:r>
      <w:r w:rsidR="009604F3" w:rsidRPr="00A41E69">
        <w:rPr>
          <w:lang w:val="en-ZA"/>
        </w:rPr>
        <w:t xml:space="preserve"> argued that South Africans in general are adversely affected when their government simply gives away large sums of money which could be used to address prevailing service delivery shortfalls.</w:t>
      </w:r>
    </w:p>
    <w:p w14:paraId="19E20A72" w14:textId="72CF448A" w:rsidR="009604F3" w:rsidRPr="00A41E69" w:rsidRDefault="0048361F" w:rsidP="0048361F">
      <w:pPr>
        <w:pStyle w:val="JudgmentNumbered"/>
        <w:numPr>
          <w:ilvl w:val="0"/>
          <w:numId w:val="0"/>
        </w:numPr>
        <w:ind w:left="567" w:hanging="567"/>
        <w:rPr>
          <w:lang w:val="en-ZA"/>
        </w:rPr>
      </w:pPr>
      <w:r w:rsidRPr="00A41E69">
        <w:rPr>
          <w:lang w:val="en-ZA"/>
        </w:rPr>
        <w:t>[47]</w:t>
      </w:r>
      <w:r w:rsidRPr="00A41E69">
        <w:rPr>
          <w:lang w:val="en-ZA"/>
        </w:rPr>
        <w:tab/>
      </w:r>
      <w:r w:rsidR="009604F3">
        <w:rPr>
          <w:lang w:val="en-ZA"/>
        </w:rPr>
        <w:t>AfriForum</w:t>
      </w:r>
      <w:r w:rsidR="009604F3" w:rsidRPr="00A41E69">
        <w:rPr>
          <w:lang w:val="en-ZA"/>
        </w:rPr>
        <w:t xml:space="preserve"> has argued that it brought this application in the public interest, </w:t>
      </w:r>
      <w:r w:rsidR="005221BA">
        <w:rPr>
          <w:lang w:val="en-ZA"/>
        </w:rPr>
        <w:t xml:space="preserve">and </w:t>
      </w:r>
      <w:r w:rsidR="0083533D">
        <w:rPr>
          <w:lang w:val="en-ZA"/>
        </w:rPr>
        <w:t xml:space="preserve">that </w:t>
      </w:r>
      <w:r w:rsidR="009604F3" w:rsidRPr="00A41E69">
        <w:rPr>
          <w:lang w:val="en-ZA"/>
        </w:rPr>
        <w:t xml:space="preserve">the decision to donate money to Cuba was administrative action as the public is affected adversely when its Government ignores domestic needs and gives away monies such as we have here. It is on this basis that </w:t>
      </w:r>
      <w:r w:rsidR="009604F3">
        <w:rPr>
          <w:lang w:val="en-ZA"/>
        </w:rPr>
        <w:t>AfriForum</w:t>
      </w:r>
      <w:r w:rsidR="009604F3" w:rsidRPr="00A41E69">
        <w:rPr>
          <w:lang w:val="en-ZA"/>
        </w:rPr>
        <w:t xml:space="preserve"> submitted that the decision to donate R50 </w:t>
      </w:r>
      <w:r w:rsidR="005221BA">
        <w:rPr>
          <w:lang w:val="en-ZA"/>
        </w:rPr>
        <w:t>m</w:t>
      </w:r>
      <w:r w:rsidR="009604F3" w:rsidRPr="00A41E69">
        <w:rPr>
          <w:lang w:val="en-ZA"/>
        </w:rPr>
        <w:t xml:space="preserve">illion to Cuba is </w:t>
      </w:r>
      <w:r w:rsidR="009604F3" w:rsidRPr="009404DC">
        <w:rPr>
          <w:lang w:val="en-ZA"/>
        </w:rPr>
        <w:t>reviewable</w:t>
      </w:r>
      <w:r w:rsidR="009604F3" w:rsidRPr="00A41E69">
        <w:rPr>
          <w:lang w:val="en-ZA"/>
        </w:rPr>
        <w:t xml:space="preserve"> under PAJA because </w:t>
      </w:r>
      <w:r w:rsidR="009604F3">
        <w:rPr>
          <w:lang w:val="en-ZA"/>
        </w:rPr>
        <w:t>s</w:t>
      </w:r>
      <w:r w:rsidR="009604F3" w:rsidRPr="009404DC">
        <w:rPr>
          <w:lang w:val="en-ZA"/>
        </w:rPr>
        <w:t>ection</w:t>
      </w:r>
      <w:r w:rsidR="009604F3" w:rsidRPr="00A41E69">
        <w:rPr>
          <w:lang w:val="en-ZA"/>
        </w:rPr>
        <w:t xml:space="preserve"> 4 thereof caters for administrative action that affects the public. Furthermore, </w:t>
      </w:r>
      <w:r w:rsidR="009604F3">
        <w:rPr>
          <w:lang w:val="en-ZA"/>
        </w:rPr>
        <w:t xml:space="preserve">they </w:t>
      </w:r>
      <w:r w:rsidR="009604F3" w:rsidRPr="009404DC">
        <w:rPr>
          <w:lang w:val="en-ZA"/>
        </w:rPr>
        <w:t>submit</w:t>
      </w:r>
      <w:r w:rsidR="009604F3" w:rsidRPr="00A41E69">
        <w:rPr>
          <w:lang w:val="en-ZA"/>
        </w:rPr>
        <w:t xml:space="preserve"> that some form of public participation as provided for in </w:t>
      </w:r>
      <w:r w:rsidR="009604F3">
        <w:rPr>
          <w:lang w:val="en-ZA"/>
        </w:rPr>
        <w:t>s</w:t>
      </w:r>
      <w:r w:rsidR="009604F3" w:rsidRPr="009404DC">
        <w:rPr>
          <w:lang w:val="en-ZA"/>
        </w:rPr>
        <w:t>ection</w:t>
      </w:r>
      <w:r w:rsidR="009604F3" w:rsidRPr="00A41E69">
        <w:rPr>
          <w:lang w:val="en-ZA"/>
        </w:rPr>
        <w:t xml:space="preserve"> 4 of PAJA should have been followed before the decision was taken.</w:t>
      </w:r>
    </w:p>
    <w:p w14:paraId="0FB78378" w14:textId="36799ED6" w:rsidR="009604F3" w:rsidRDefault="0048361F" w:rsidP="0048361F">
      <w:pPr>
        <w:pStyle w:val="JudgmentNumbered"/>
        <w:numPr>
          <w:ilvl w:val="0"/>
          <w:numId w:val="0"/>
        </w:numPr>
        <w:ind w:left="567" w:hanging="567"/>
        <w:rPr>
          <w:lang w:val="en-ZA"/>
        </w:rPr>
      </w:pPr>
      <w:r>
        <w:rPr>
          <w:lang w:val="en-ZA"/>
        </w:rPr>
        <w:t>[48]</w:t>
      </w:r>
      <w:r>
        <w:rPr>
          <w:lang w:val="en-ZA"/>
        </w:rPr>
        <w:tab/>
      </w:r>
      <w:r w:rsidR="009604F3" w:rsidRPr="00A41E69">
        <w:rPr>
          <w:lang w:val="en-ZA"/>
        </w:rPr>
        <w:t>The DIRCO Respondents maintain that the donation decision is executive action and is not subject to PAJA. They maintain that the request to provide humanitarian assistance to the Republic of Cuba and the subsequent decision to allocate funds for that purpose is a policy decision which the Minister and the Minister of Finance took. They also argue that the decision does not have direct and immediate consequences for individuals or group</w:t>
      </w:r>
      <w:r w:rsidR="0096373D">
        <w:rPr>
          <w:lang w:val="en-ZA"/>
        </w:rPr>
        <w:t>s</w:t>
      </w:r>
      <w:r w:rsidR="009604F3" w:rsidRPr="00A41E69">
        <w:rPr>
          <w:lang w:val="en-ZA"/>
        </w:rPr>
        <w:t xml:space="preserve"> </w:t>
      </w:r>
      <w:r w:rsidR="0052440D" w:rsidRPr="00A41E69">
        <w:rPr>
          <w:lang w:val="en-ZA"/>
        </w:rPr>
        <w:t>o</w:t>
      </w:r>
      <w:r w:rsidR="0052440D">
        <w:rPr>
          <w:lang w:val="en-ZA"/>
        </w:rPr>
        <w:t>f</w:t>
      </w:r>
      <w:r w:rsidR="0052440D" w:rsidRPr="00A41E69">
        <w:rPr>
          <w:lang w:val="en-ZA"/>
        </w:rPr>
        <w:t xml:space="preserve"> </w:t>
      </w:r>
      <w:r w:rsidR="009604F3" w:rsidRPr="00A41E69">
        <w:rPr>
          <w:lang w:val="en-ZA"/>
        </w:rPr>
        <w:t xml:space="preserve">individuals, as the Act is clear about the funds appropriated for the African Renaissance Fund and further that the Act does not prescribe how African Renaissance Fund beneficiary countries ought to be selected which remains the broad prerogative of the African Renaissance Fund. </w:t>
      </w:r>
    </w:p>
    <w:p w14:paraId="0E3B5416" w14:textId="08A17E5E" w:rsidR="009604F3" w:rsidRPr="00A41E69" w:rsidRDefault="0048361F" w:rsidP="0048361F">
      <w:pPr>
        <w:pStyle w:val="JudgmentNumbered"/>
        <w:numPr>
          <w:ilvl w:val="0"/>
          <w:numId w:val="0"/>
        </w:numPr>
        <w:ind w:left="567" w:hanging="567"/>
        <w:rPr>
          <w:lang w:val="en-ZA"/>
        </w:rPr>
      </w:pPr>
      <w:r w:rsidRPr="00A41E69">
        <w:rPr>
          <w:lang w:val="en-ZA"/>
        </w:rPr>
        <w:t>[49]</w:t>
      </w:r>
      <w:r w:rsidRPr="00A41E69">
        <w:rPr>
          <w:lang w:val="en-ZA"/>
        </w:rPr>
        <w:tab/>
      </w:r>
      <w:r w:rsidR="009604F3" w:rsidRPr="00A41E69">
        <w:rPr>
          <w:lang w:val="en-ZA"/>
        </w:rPr>
        <w:t xml:space="preserve">Section 1(aa) of PAJA provides that executive powers and functions of the executive are </w:t>
      </w:r>
      <w:r w:rsidR="005221BA">
        <w:rPr>
          <w:lang w:val="en-ZA"/>
        </w:rPr>
        <w:t>ex</w:t>
      </w:r>
      <w:r w:rsidR="009604F3" w:rsidRPr="00A41E69">
        <w:rPr>
          <w:lang w:val="en-ZA"/>
        </w:rPr>
        <w:t xml:space="preserve">cluded from the list of administrative acts. The section further provides </w:t>
      </w:r>
      <w:r w:rsidR="009604F3" w:rsidRPr="00A41E69">
        <w:rPr>
          <w:i/>
          <w:lang w:val="en-ZA"/>
        </w:rPr>
        <w:t>inter alia</w:t>
      </w:r>
      <w:r w:rsidR="009604F3" w:rsidRPr="00A41E69">
        <w:rPr>
          <w:lang w:val="en-ZA"/>
        </w:rPr>
        <w:t xml:space="preserve"> </w:t>
      </w:r>
      <w:r w:rsidR="009604F3">
        <w:rPr>
          <w:lang w:val="en-ZA"/>
        </w:rPr>
        <w:t xml:space="preserve">that </w:t>
      </w:r>
      <w:r w:rsidR="009604F3" w:rsidRPr="00A41E69">
        <w:rPr>
          <w:lang w:val="en-ZA"/>
        </w:rPr>
        <w:t xml:space="preserve">sections 85(2)(a)-(e) and 92(3) are executive actions. The </w:t>
      </w:r>
      <w:r w:rsidR="009604F3" w:rsidRPr="00A41E69">
        <w:rPr>
          <w:lang w:val="en-ZA"/>
        </w:rPr>
        <w:lastRenderedPageBreak/>
        <w:t>executive authority is essentially involved with the preparation, initiation and implementation of legislation, the development and implementation of national policies, and co-ordination of the functions of State departments.</w:t>
      </w:r>
    </w:p>
    <w:p w14:paraId="15157A08" w14:textId="182CC580" w:rsidR="009604F3" w:rsidRPr="00A41E69" w:rsidRDefault="0048361F" w:rsidP="0048361F">
      <w:pPr>
        <w:pStyle w:val="JudgmentNumbered"/>
        <w:numPr>
          <w:ilvl w:val="0"/>
          <w:numId w:val="0"/>
        </w:numPr>
        <w:ind w:left="567" w:hanging="567"/>
        <w:rPr>
          <w:lang w:val="en-ZA"/>
        </w:rPr>
      </w:pPr>
      <w:r w:rsidRPr="00A41E69">
        <w:rPr>
          <w:lang w:val="en-ZA"/>
        </w:rPr>
        <w:t>[50]</w:t>
      </w:r>
      <w:r w:rsidRPr="00A41E69">
        <w:rPr>
          <w:lang w:val="en-ZA"/>
        </w:rPr>
        <w:tab/>
      </w:r>
      <w:r w:rsidR="009604F3" w:rsidRPr="00A41E69">
        <w:rPr>
          <w:lang w:val="en-ZA"/>
        </w:rPr>
        <w:t xml:space="preserve">The Constitutional Court in </w:t>
      </w:r>
      <w:r w:rsidR="009604F3" w:rsidRPr="00A41E69">
        <w:rPr>
          <w:i/>
          <w:lang w:val="en-ZA"/>
        </w:rPr>
        <w:t xml:space="preserve">Glenister v President of the Republic of South Africa and </w:t>
      </w:r>
      <w:r w:rsidR="009604F3" w:rsidRPr="009404DC">
        <w:rPr>
          <w:i/>
          <w:iCs/>
          <w:lang w:val="en-ZA"/>
        </w:rPr>
        <w:t>Others</w:t>
      </w:r>
      <w:r w:rsidR="009604F3">
        <w:rPr>
          <w:lang w:val="en-ZA"/>
        </w:rPr>
        <w:t>,</w:t>
      </w:r>
      <w:r w:rsidR="009604F3">
        <w:rPr>
          <w:rStyle w:val="FootnoteReference"/>
          <w:lang w:val="en-ZA"/>
        </w:rPr>
        <w:footnoteReference w:id="23"/>
      </w:r>
      <w:r w:rsidR="009604F3" w:rsidRPr="00A41E69">
        <w:rPr>
          <w:lang w:val="en-ZA"/>
        </w:rPr>
        <w:t xml:space="preserve"> held that “under our constitutional scheme it is the responsibility of the executive to develop and implement policy”.</w:t>
      </w:r>
      <w:r w:rsidR="009604F3">
        <w:rPr>
          <w:rStyle w:val="FootnoteReference"/>
          <w:lang w:val="en-ZA"/>
        </w:rPr>
        <w:footnoteReference w:id="24"/>
      </w:r>
      <w:r w:rsidR="009604F3" w:rsidRPr="00A41E69">
        <w:rPr>
          <w:lang w:val="en-ZA"/>
        </w:rPr>
        <w:t xml:space="preserve"> The Court also stated that it is “not for the Court to disturb political judgments, much less to substitute the opinions of experts”</w:t>
      </w:r>
      <w:r w:rsidR="009604F3" w:rsidRPr="00A41E69">
        <w:rPr>
          <w:rStyle w:val="FootnoteReference"/>
          <w:lang w:val="en-ZA"/>
        </w:rPr>
        <w:footnoteReference w:id="25"/>
      </w:r>
      <w:r w:rsidR="009604F3" w:rsidRPr="00A41E69">
        <w:rPr>
          <w:lang w:val="en-ZA"/>
        </w:rPr>
        <w:t xml:space="preserve"> </w:t>
      </w:r>
    </w:p>
    <w:p w14:paraId="73F7348F" w14:textId="3E67336E" w:rsidR="009604F3" w:rsidRDefault="0048361F" w:rsidP="0048361F">
      <w:pPr>
        <w:pStyle w:val="JudgmentNumbered"/>
        <w:numPr>
          <w:ilvl w:val="0"/>
          <w:numId w:val="0"/>
        </w:numPr>
        <w:ind w:left="567" w:hanging="567"/>
        <w:rPr>
          <w:lang w:val="en-ZA"/>
        </w:rPr>
      </w:pPr>
      <w:r>
        <w:rPr>
          <w:lang w:val="en-ZA"/>
        </w:rPr>
        <w:t>[51]</w:t>
      </w:r>
      <w:r>
        <w:rPr>
          <w:lang w:val="en-ZA"/>
        </w:rPr>
        <w:tab/>
      </w:r>
      <w:r w:rsidR="009604F3" w:rsidRPr="00A41E69">
        <w:rPr>
          <w:lang w:val="en-ZA"/>
        </w:rPr>
        <w:t xml:space="preserve">The function of the executive is therefore the formulation of policies which may lead to the making of laws, and to oversee the implementation of laws and policies by government departments. In this way the executive is meant to promote effective and efficient governance. In </w:t>
      </w:r>
      <w:r w:rsidR="009604F3" w:rsidRPr="00A41E69">
        <w:rPr>
          <w:i/>
          <w:lang w:val="en-ZA"/>
        </w:rPr>
        <w:t>Motau</w:t>
      </w:r>
      <w:r w:rsidR="009604F3" w:rsidRPr="00A41E69">
        <w:rPr>
          <w:lang w:val="en-ZA"/>
        </w:rPr>
        <w:t>, the Constitutional Court defined executive powers as</w:t>
      </w:r>
      <w:r w:rsidR="009604F3">
        <w:rPr>
          <w:lang w:val="en-ZA"/>
        </w:rPr>
        <w:t>:</w:t>
      </w:r>
    </w:p>
    <w:p w14:paraId="6DA83FDE" w14:textId="7DD39EA9" w:rsidR="009604F3" w:rsidRPr="00A41E69" w:rsidRDefault="009604F3" w:rsidP="00A41E69">
      <w:pPr>
        <w:pStyle w:val="JudgmentNumbered"/>
        <w:numPr>
          <w:ilvl w:val="0"/>
          <w:numId w:val="0"/>
        </w:numPr>
        <w:ind w:left="1134" w:right="521"/>
        <w:rPr>
          <w:lang w:val="en-ZA"/>
        </w:rPr>
      </w:pPr>
      <w:r w:rsidRPr="00A41E69">
        <w:rPr>
          <w:sz w:val="22"/>
          <w:lang w:val="en-ZA"/>
        </w:rPr>
        <w:t>“Executive powers are, in essence, high-policy or broad direction-giving powers. The formulation of policy is a paradigm case of a function that is executive in nature. The initiation of legislation is another. By contrast, “[a]</w:t>
      </w:r>
      <w:r w:rsidR="00265281" w:rsidRPr="00A41E69">
        <w:rPr>
          <w:sz w:val="22"/>
          <w:lang w:val="en-ZA"/>
        </w:rPr>
        <w:t>administrative</w:t>
      </w:r>
      <w:r w:rsidRPr="00A41E69">
        <w:rPr>
          <w:sz w:val="22"/>
          <w:lang w:val="en-ZA"/>
        </w:rPr>
        <w:t xml:space="preserve"> action is . . . the conduct of the bureaucracy (whoever the bureaucratic functionary might be) in carrying out the daily functions of the state, which necessarily involves the application of policy, usually after its translation into law, with direct and immediate consequences for individuals or groups of individuals.”</w:t>
      </w:r>
      <w:r>
        <w:rPr>
          <w:rStyle w:val="FootnoteReference"/>
          <w:sz w:val="22"/>
          <w:lang w:val="en-ZA"/>
        </w:rPr>
        <w:footnoteReference w:id="26"/>
      </w:r>
    </w:p>
    <w:p w14:paraId="6AA71378" w14:textId="486DFBF1" w:rsidR="009604F3" w:rsidRPr="00A41E69" w:rsidRDefault="0048361F" w:rsidP="0048361F">
      <w:pPr>
        <w:pStyle w:val="JudgmentNumbered"/>
        <w:numPr>
          <w:ilvl w:val="0"/>
          <w:numId w:val="0"/>
        </w:numPr>
        <w:ind w:left="567" w:hanging="567"/>
        <w:rPr>
          <w:lang w:val="en-ZA"/>
        </w:rPr>
      </w:pPr>
      <w:r w:rsidRPr="00A41E69">
        <w:rPr>
          <w:lang w:val="en-ZA"/>
        </w:rPr>
        <w:t>[52]</w:t>
      </w:r>
      <w:r w:rsidRPr="00A41E69">
        <w:rPr>
          <w:lang w:val="en-ZA"/>
        </w:rPr>
        <w:tab/>
      </w:r>
      <w:r w:rsidR="00CD5D2C">
        <w:rPr>
          <w:lang w:val="en-ZA"/>
        </w:rPr>
        <w:t>Our</w:t>
      </w:r>
      <w:r w:rsidR="009604F3" w:rsidRPr="00A41E69">
        <w:rPr>
          <w:lang w:val="en-ZA"/>
        </w:rPr>
        <w:t xml:space="preserve"> </w:t>
      </w:r>
      <w:r w:rsidR="00C9050D">
        <w:rPr>
          <w:lang w:val="en-ZA"/>
        </w:rPr>
        <w:t>C</w:t>
      </w:r>
      <w:r w:rsidR="009604F3" w:rsidRPr="00A41E69">
        <w:rPr>
          <w:lang w:val="en-ZA"/>
        </w:rPr>
        <w:t xml:space="preserve">ourts show particular respect for Government’s prerogative in making decisions in the conduct of its foreign affairs. In </w:t>
      </w:r>
      <w:r w:rsidR="009604F3" w:rsidRPr="00A41E69">
        <w:rPr>
          <w:i/>
          <w:lang w:val="en-ZA"/>
        </w:rPr>
        <w:t xml:space="preserve">Kaunda </w:t>
      </w:r>
      <w:r w:rsidR="009604F3" w:rsidRPr="009404DC">
        <w:rPr>
          <w:i/>
          <w:iCs/>
          <w:lang w:val="en-ZA"/>
        </w:rPr>
        <w:t>and</w:t>
      </w:r>
      <w:r w:rsidR="009604F3">
        <w:rPr>
          <w:i/>
          <w:iCs/>
          <w:lang w:val="en-ZA"/>
        </w:rPr>
        <w:t xml:space="preserve"> </w:t>
      </w:r>
      <w:r w:rsidR="009604F3" w:rsidRPr="009404DC">
        <w:rPr>
          <w:i/>
          <w:iCs/>
          <w:lang w:val="en-ZA"/>
        </w:rPr>
        <w:t>Others</w:t>
      </w:r>
      <w:r w:rsidR="009604F3">
        <w:rPr>
          <w:i/>
          <w:iCs/>
          <w:lang w:val="en-ZA"/>
        </w:rPr>
        <w:t xml:space="preserve"> </w:t>
      </w:r>
      <w:r w:rsidR="009604F3" w:rsidRPr="00A41E69">
        <w:rPr>
          <w:i/>
          <w:lang w:val="en-ZA"/>
        </w:rPr>
        <w:t>v President of the Republic of South Africa</w:t>
      </w:r>
      <w:r w:rsidR="009604F3">
        <w:rPr>
          <w:lang w:val="en-ZA"/>
        </w:rPr>
        <w:t>,</w:t>
      </w:r>
      <w:r w:rsidR="009604F3" w:rsidRPr="00A41E69">
        <w:rPr>
          <w:rStyle w:val="FootnoteReference"/>
          <w:lang w:val="en-ZA"/>
        </w:rPr>
        <w:footnoteReference w:id="27"/>
      </w:r>
      <w:r w:rsidR="009604F3" w:rsidRPr="00A41E69">
        <w:rPr>
          <w:lang w:val="en-ZA"/>
        </w:rPr>
        <w:t xml:space="preserve"> the Constitutional Court held that the Executive’s conduct of South Africa’s international affairs is subject to legality review and in the same breath, also stressed that the Government has a broad discretion in matters such as these which must be respected by our </w:t>
      </w:r>
      <w:r w:rsidR="009C66A8">
        <w:rPr>
          <w:lang w:val="en-ZA"/>
        </w:rPr>
        <w:t>C</w:t>
      </w:r>
      <w:r w:rsidR="009604F3" w:rsidRPr="00A41E69">
        <w:rPr>
          <w:lang w:val="en-ZA"/>
        </w:rPr>
        <w:t>ourts. The Court summarised the principle as follows:</w:t>
      </w:r>
    </w:p>
    <w:p w14:paraId="26A2CB1F" w14:textId="4A2CC626" w:rsidR="009604F3" w:rsidRPr="00A41E69" w:rsidRDefault="009604F3" w:rsidP="00A41E69">
      <w:pPr>
        <w:pStyle w:val="JudgmentNumbered"/>
        <w:numPr>
          <w:ilvl w:val="0"/>
          <w:numId w:val="0"/>
        </w:numPr>
        <w:ind w:left="1134" w:right="521"/>
        <w:rPr>
          <w:sz w:val="22"/>
          <w:lang w:val="en-ZA"/>
        </w:rPr>
      </w:pPr>
      <w:r w:rsidRPr="00A41E69">
        <w:rPr>
          <w:sz w:val="22"/>
          <w:lang w:val="en-ZA"/>
        </w:rPr>
        <w:lastRenderedPageBreak/>
        <w:t>“Decisions made by the Government in these matters are subject to constitutional control. Courts required to deal with such matters will, however, give particular weight to the Government’s special responsibility for and particular expertise in foreign affairs, and the wide discretion that it must have in determining how best to deal with such matters”.</w:t>
      </w:r>
      <w:r w:rsidRPr="009404DC">
        <w:rPr>
          <w:vertAlign w:val="superscript"/>
        </w:rPr>
        <w:footnoteReference w:id="28"/>
      </w:r>
    </w:p>
    <w:p w14:paraId="4E5726A6" w14:textId="6B737C21" w:rsidR="009604F3" w:rsidRPr="00A41E69" w:rsidRDefault="0048361F" w:rsidP="0048361F">
      <w:pPr>
        <w:pStyle w:val="JudgmentNumbered"/>
        <w:numPr>
          <w:ilvl w:val="0"/>
          <w:numId w:val="0"/>
        </w:numPr>
        <w:ind w:left="567" w:hanging="567"/>
        <w:rPr>
          <w:lang w:val="en-ZA"/>
        </w:rPr>
      </w:pPr>
      <w:r w:rsidRPr="00A41E69">
        <w:rPr>
          <w:lang w:val="en-ZA"/>
        </w:rPr>
        <w:t>[53]</w:t>
      </w:r>
      <w:r w:rsidRPr="00A41E69">
        <w:rPr>
          <w:lang w:val="en-ZA"/>
        </w:rPr>
        <w:tab/>
      </w:r>
      <w:r w:rsidR="009604F3" w:rsidRPr="00A41E69">
        <w:rPr>
          <w:lang w:val="en-ZA"/>
        </w:rPr>
        <w:t xml:space="preserve">In </w:t>
      </w:r>
      <w:r w:rsidR="009604F3" w:rsidRPr="00A41E69">
        <w:rPr>
          <w:i/>
          <w:lang w:val="en-ZA"/>
        </w:rPr>
        <w:t xml:space="preserve">Geuking v President of the Republic of South Africa </w:t>
      </w:r>
      <w:r w:rsidR="009604F3" w:rsidRPr="009404DC">
        <w:rPr>
          <w:i/>
          <w:iCs/>
          <w:lang w:val="en-ZA"/>
        </w:rPr>
        <w:t>and</w:t>
      </w:r>
      <w:r w:rsidR="009604F3">
        <w:rPr>
          <w:i/>
          <w:iCs/>
          <w:lang w:val="en-ZA"/>
        </w:rPr>
        <w:t xml:space="preserve"> </w:t>
      </w:r>
      <w:r w:rsidR="009604F3" w:rsidRPr="009404DC">
        <w:rPr>
          <w:i/>
          <w:iCs/>
          <w:lang w:val="en-ZA"/>
        </w:rPr>
        <w:t>Others</w:t>
      </w:r>
      <w:r w:rsidR="009604F3">
        <w:rPr>
          <w:lang w:val="en-ZA"/>
        </w:rPr>
        <w:t>,</w:t>
      </w:r>
      <w:r w:rsidR="009604F3">
        <w:rPr>
          <w:rStyle w:val="FootnoteReference"/>
          <w:lang w:val="en-ZA"/>
        </w:rPr>
        <w:footnoteReference w:id="29"/>
      </w:r>
      <w:r w:rsidR="009604F3">
        <w:rPr>
          <w:lang w:val="en-ZA"/>
        </w:rPr>
        <w:t xml:space="preserve"> </w:t>
      </w:r>
      <w:r w:rsidR="009604F3" w:rsidRPr="00A41E69">
        <w:rPr>
          <w:lang w:val="en-ZA"/>
        </w:rPr>
        <w:t xml:space="preserve">the Constitutional Court described the </w:t>
      </w:r>
      <w:r w:rsidR="005221BA">
        <w:rPr>
          <w:lang w:val="en-ZA"/>
        </w:rPr>
        <w:t>P</w:t>
      </w:r>
      <w:r w:rsidR="009604F3" w:rsidRPr="00A41E69">
        <w:rPr>
          <w:lang w:val="en-ZA"/>
        </w:rPr>
        <w:t xml:space="preserve">resident's granting or refusal of consent to an extradition request as a policy decision based on considerations of </w:t>
      </w:r>
      <w:r w:rsidR="009604F3" w:rsidRPr="009F7FBA">
        <w:rPr>
          <w:lang w:val="en-ZA"/>
        </w:rPr>
        <w:t>comity</w:t>
      </w:r>
      <w:r w:rsidR="009604F3" w:rsidRPr="00A41E69">
        <w:rPr>
          <w:lang w:val="en-ZA"/>
        </w:rPr>
        <w:t xml:space="preserve"> and reciprocity and having more to do with the relationship between South Africa and the state requesting the extradition than with the merits of the application itself.</w:t>
      </w:r>
    </w:p>
    <w:p w14:paraId="0072859A" w14:textId="5B306A86" w:rsidR="009604F3" w:rsidRPr="00A41E69" w:rsidRDefault="0048361F" w:rsidP="0048361F">
      <w:pPr>
        <w:pStyle w:val="JudgmentNumbered"/>
        <w:numPr>
          <w:ilvl w:val="0"/>
          <w:numId w:val="0"/>
        </w:numPr>
        <w:ind w:left="567" w:hanging="567"/>
        <w:rPr>
          <w:lang w:val="en-ZA"/>
        </w:rPr>
      </w:pPr>
      <w:r w:rsidRPr="00A41E69">
        <w:rPr>
          <w:lang w:val="en-ZA"/>
        </w:rPr>
        <w:t>[54]</w:t>
      </w:r>
      <w:r w:rsidRPr="00A41E69">
        <w:rPr>
          <w:lang w:val="en-ZA"/>
        </w:rPr>
        <w:tab/>
      </w:r>
      <w:r w:rsidR="009604F3" w:rsidRPr="00A41E69">
        <w:rPr>
          <w:lang w:val="en-ZA"/>
        </w:rPr>
        <w:t>These decisions confirm that executive action also involves the exercise of public power but relating to the formulation of legislation and policy. This covers action that is polycentric and is removed from bureaucratic action that is subject to legislative prescripts</w:t>
      </w:r>
      <w:r w:rsidR="00C5351D">
        <w:rPr>
          <w:lang w:val="en-ZA"/>
        </w:rPr>
        <w:t>.</w:t>
      </w:r>
    </w:p>
    <w:p w14:paraId="447C0983" w14:textId="400000ED" w:rsidR="009604F3" w:rsidRPr="00A41E69" w:rsidRDefault="0048361F" w:rsidP="0048361F">
      <w:pPr>
        <w:pStyle w:val="JudgmentNumbered"/>
        <w:numPr>
          <w:ilvl w:val="0"/>
          <w:numId w:val="0"/>
        </w:numPr>
        <w:ind w:left="567" w:hanging="567"/>
        <w:rPr>
          <w:lang w:val="en-ZA"/>
        </w:rPr>
      </w:pPr>
      <w:r w:rsidRPr="00A41E69">
        <w:rPr>
          <w:lang w:val="en-ZA"/>
        </w:rPr>
        <w:t>[55]</w:t>
      </w:r>
      <w:r w:rsidRPr="00A41E69">
        <w:rPr>
          <w:lang w:val="en-ZA"/>
        </w:rPr>
        <w:tab/>
      </w:r>
      <w:r w:rsidR="009604F3" w:rsidRPr="00A41E69">
        <w:rPr>
          <w:lang w:val="en-ZA"/>
        </w:rPr>
        <w:t xml:space="preserve">The decision to provide assistance to Cuba including the decision of the Minister of Finance’s decision to concur in that decision, are decisions embedded in the foreign policy of South Africa towards Cuba and are based on historic relationships between the two countries. The Act was promulgated with the objective of establishing the African Renaissance Fund whose objects include, </w:t>
      </w:r>
      <w:r w:rsidR="009604F3" w:rsidRPr="00A41E69">
        <w:rPr>
          <w:i/>
          <w:lang w:val="en-ZA"/>
        </w:rPr>
        <w:t>inter alia</w:t>
      </w:r>
      <w:r w:rsidR="009604F3" w:rsidRPr="00A41E69">
        <w:rPr>
          <w:lang w:val="en-ZA"/>
        </w:rPr>
        <w:t xml:space="preserve">, to enhance humanitarian assistance to other countries with a view to strengthen cooperation between the Republic and such countries. Such humanitarian assistance is funded from funds appropriated by Parliament in terms of the Appropriation Act. Furthermore, the exercise of powers under section 5(3) and 5(4) of the Act </w:t>
      </w:r>
      <w:r w:rsidR="008E69B5">
        <w:rPr>
          <w:lang w:val="en-ZA"/>
        </w:rPr>
        <w:t>is</w:t>
      </w:r>
      <w:r w:rsidR="009604F3" w:rsidRPr="00A41E69">
        <w:rPr>
          <w:lang w:val="en-ZA"/>
        </w:rPr>
        <w:t xml:space="preserve"> clearly executive in nature. </w:t>
      </w:r>
    </w:p>
    <w:p w14:paraId="6585B2A4" w14:textId="4E2A18A3" w:rsidR="009604F3" w:rsidRPr="00A41E69" w:rsidRDefault="0048361F" w:rsidP="0048361F">
      <w:pPr>
        <w:pStyle w:val="JudgmentNumbered"/>
        <w:numPr>
          <w:ilvl w:val="0"/>
          <w:numId w:val="0"/>
        </w:numPr>
        <w:ind w:left="567" w:hanging="567"/>
        <w:rPr>
          <w:lang w:val="en-ZA"/>
        </w:rPr>
      </w:pPr>
      <w:r w:rsidRPr="00A41E69">
        <w:rPr>
          <w:lang w:val="en-ZA"/>
        </w:rPr>
        <w:t>[56]</w:t>
      </w:r>
      <w:r w:rsidRPr="00A41E69">
        <w:rPr>
          <w:lang w:val="en-ZA"/>
        </w:rPr>
        <w:tab/>
      </w:r>
      <w:r w:rsidR="009604F3" w:rsidRPr="00A41E69">
        <w:rPr>
          <w:lang w:val="en-ZA"/>
        </w:rPr>
        <w:t>In th</w:t>
      </w:r>
      <w:r w:rsidR="00CC15FA">
        <w:rPr>
          <w:lang w:val="en-ZA"/>
        </w:rPr>
        <w:t>is</w:t>
      </w:r>
      <w:r w:rsidR="009604F3" w:rsidRPr="00A41E69">
        <w:rPr>
          <w:lang w:val="en-ZA"/>
        </w:rPr>
        <w:t xml:space="preserve"> context therefore</w:t>
      </w:r>
      <w:r w:rsidR="009604F3">
        <w:rPr>
          <w:lang w:val="en-ZA"/>
        </w:rPr>
        <w:t>,</w:t>
      </w:r>
      <w:r w:rsidR="009604F3" w:rsidRPr="00A41E69">
        <w:rPr>
          <w:lang w:val="en-ZA"/>
        </w:rPr>
        <w:t xml:space="preserve"> the decision was more</w:t>
      </w:r>
      <w:r w:rsidR="00C5351D">
        <w:rPr>
          <w:lang w:val="en-ZA"/>
        </w:rPr>
        <w:t xml:space="preserve"> concerned</w:t>
      </w:r>
      <w:r w:rsidR="009604F3" w:rsidRPr="00A41E69">
        <w:rPr>
          <w:lang w:val="en-ZA"/>
        </w:rPr>
        <w:t xml:space="preserve"> with foreign policy </w:t>
      </w:r>
      <w:r w:rsidR="00CC15FA">
        <w:rPr>
          <w:lang w:val="en-ZA"/>
        </w:rPr>
        <w:t>than with</w:t>
      </w:r>
      <w:r w:rsidR="009604F3" w:rsidRPr="00A41E69">
        <w:rPr>
          <w:lang w:val="en-ZA"/>
        </w:rPr>
        <w:t xml:space="preserve"> the implementation and the application of policy</w:t>
      </w:r>
      <w:r w:rsidR="009604F3">
        <w:rPr>
          <w:lang w:val="en-ZA"/>
        </w:rPr>
        <w:t xml:space="preserve"> more </w:t>
      </w:r>
      <w:r w:rsidR="00CC15FA">
        <w:rPr>
          <w:lang w:val="en-ZA"/>
        </w:rPr>
        <w:t>specifically</w:t>
      </w:r>
      <w:r w:rsidR="009604F3" w:rsidRPr="009404DC">
        <w:rPr>
          <w:lang w:val="en-ZA"/>
        </w:rPr>
        <w:t>.</w:t>
      </w:r>
      <w:r w:rsidR="00CC15FA">
        <w:rPr>
          <w:rStyle w:val="FootnoteReference"/>
          <w:lang w:val="en-ZA"/>
        </w:rPr>
        <w:footnoteReference w:id="30"/>
      </w:r>
      <w:r w:rsidR="009604F3" w:rsidRPr="00A41E69">
        <w:rPr>
          <w:lang w:val="en-ZA"/>
        </w:rPr>
        <w:t xml:space="preserve"> Based on th</w:t>
      </w:r>
      <w:r w:rsidR="00BD2497">
        <w:rPr>
          <w:lang w:val="en-ZA"/>
        </w:rPr>
        <w:t>is</w:t>
      </w:r>
      <w:r w:rsidR="009604F3" w:rsidRPr="00A41E69">
        <w:rPr>
          <w:lang w:val="en-ZA"/>
        </w:rPr>
        <w:t xml:space="preserve">, there can be no argument that the decision of the DIRCO </w:t>
      </w:r>
      <w:r w:rsidR="009604F3">
        <w:rPr>
          <w:lang w:val="en-ZA"/>
        </w:rPr>
        <w:t>Respondent</w:t>
      </w:r>
      <w:r w:rsidR="009604F3" w:rsidRPr="009404DC">
        <w:rPr>
          <w:lang w:val="en-ZA"/>
        </w:rPr>
        <w:t>s</w:t>
      </w:r>
      <w:r w:rsidR="009604F3" w:rsidRPr="00A41E69">
        <w:rPr>
          <w:lang w:val="en-ZA"/>
        </w:rPr>
        <w:t xml:space="preserve"> to </w:t>
      </w:r>
      <w:r w:rsidR="001E6F09">
        <w:rPr>
          <w:lang w:val="en-ZA"/>
        </w:rPr>
        <w:t>make a donation</w:t>
      </w:r>
      <w:r w:rsidR="009604F3" w:rsidRPr="00A41E69">
        <w:rPr>
          <w:lang w:val="en-ZA"/>
        </w:rPr>
        <w:t xml:space="preserve"> to Cuba must be </w:t>
      </w:r>
      <w:r w:rsidR="00A96CBA">
        <w:rPr>
          <w:lang w:val="en-ZA"/>
        </w:rPr>
        <w:t>scrutinised</w:t>
      </w:r>
      <w:r w:rsidR="00EC083B">
        <w:rPr>
          <w:lang w:val="en-ZA"/>
        </w:rPr>
        <w:t xml:space="preserve"> </w:t>
      </w:r>
      <w:r w:rsidR="00A96CBA">
        <w:rPr>
          <w:lang w:val="en-ZA"/>
        </w:rPr>
        <w:t xml:space="preserve">through the administrative action </w:t>
      </w:r>
      <w:r w:rsidR="00B73F91">
        <w:rPr>
          <w:lang w:val="en-ZA"/>
        </w:rPr>
        <w:t xml:space="preserve">prism. It is </w:t>
      </w:r>
      <w:r w:rsidR="009604F3" w:rsidRPr="00A41E69">
        <w:rPr>
          <w:lang w:val="en-ZA"/>
        </w:rPr>
        <w:t>the principle of legality</w:t>
      </w:r>
      <w:r w:rsidR="00EC083B">
        <w:rPr>
          <w:lang w:val="en-ZA"/>
        </w:rPr>
        <w:t xml:space="preserve"> that applies</w:t>
      </w:r>
      <w:r w:rsidR="009604F3" w:rsidRPr="00A41E69">
        <w:rPr>
          <w:lang w:val="en-ZA"/>
        </w:rPr>
        <w:t xml:space="preserve"> in view of the</w:t>
      </w:r>
      <w:r w:rsidR="009604F3">
        <w:rPr>
          <w:lang w:val="en-ZA"/>
        </w:rPr>
        <w:t xml:space="preserve"> polycentric</w:t>
      </w:r>
      <w:r w:rsidR="009604F3" w:rsidRPr="00A41E69">
        <w:rPr>
          <w:lang w:val="en-ZA"/>
        </w:rPr>
        <w:t xml:space="preserve"> and executive nature of the decision. It’s a decision taken to grant humanitarian assistance to Cuba and amounts to an exercise of a policy prerogative, exercised in the Minister’s official capacity as a member of the national executive and </w:t>
      </w:r>
      <w:r w:rsidR="009604F3">
        <w:rPr>
          <w:lang w:val="en-ZA"/>
        </w:rPr>
        <w:t>authorised</w:t>
      </w:r>
      <w:r w:rsidR="009604F3" w:rsidRPr="00A41E69">
        <w:rPr>
          <w:lang w:val="en-ZA"/>
        </w:rPr>
        <w:t xml:space="preserve"> to do so by the Act in consultation with and concurrence of the Minister of Finance. The Act gives</w:t>
      </w:r>
      <w:r w:rsidR="008D547A">
        <w:rPr>
          <w:lang w:val="en-ZA"/>
        </w:rPr>
        <w:t xml:space="preserve"> relevant members of the</w:t>
      </w:r>
      <w:r w:rsidR="009604F3" w:rsidRPr="00A41E69">
        <w:rPr>
          <w:lang w:val="en-ZA"/>
        </w:rPr>
        <w:t xml:space="preserve"> executive the power to make these kinds of decisions</w:t>
      </w:r>
      <w:r w:rsidR="00C5351D">
        <w:rPr>
          <w:lang w:val="en-ZA"/>
        </w:rPr>
        <w:t xml:space="preserve">, </w:t>
      </w:r>
      <w:r w:rsidR="008D547A">
        <w:rPr>
          <w:lang w:val="en-ZA"/>
        </w:rPr>
        <w:t xml:space="preserve">because they </w:t>
      </w:r>
      <w:r w:rsidR="00C5351D">
        <w:rPr>
          <w:lang w:val="en-ZA"/>
        </w:rPr>
        <w:t>are quintessentially foreign policy decisions</w:t>
      </w:r>
      <w:r w:rsidR="009604F3" w:rsidRPr="00A41E69">
        <w:rPr>
          <w:lang w:val="en-ZA"/>
        </w:rPr>
        <w:t xml:space="preserve">. </w:t>
      </w:r>
    </w:p>
    <w:p w14:paraId="552330E4" w14:textId="67735253" w:rsidR="009604F3" w:rsidRDefault="0048361F" w:rsidP="0048361F">
      <w:pPr>
        <w:pStyle w:val="JudgmentNumbered"/>
        <w:numPr>
          <w:ilvl w:val="0"/>
          <w:numId w:val="0"/>
        </w:numPr>
        <w:ind w:left="567" w:hanging="567"/>
        <w:rPr>
          <w:lang w:val="en-ZA"/>
        </w:rPr>
      </w:pPr>
      <w:r>
        <w:rPr>
          <w:lang w:val="en-ZA"/>
        </w:rPr>
        <w:t>[57]</w:t>
      </w:r>
      <w:r>
        <w:rPr>
          <w:lang w:val="en-ZA"/>
        </w:rPr>
        <w:tab/>
      </w:r>
      <w:r w:rsidR="009604F3" w:rsidRPr="00A41E69">
        <w:rPr>
          <w:lang w:val="en-ZA"/>
        </w:rPr>
        <w:t>The donation decision was taken in accordance with policy</w:t>
      </w:r>
      <w:r w:rsidR="00C5351D">
        <w:rPr>
          <w:lang w:val="en-ZA"/>
        </w:rPr>
        <w:t>, specifically foreign policy</w:t>
      </w:r>
      <w:r w:rsidR="009604F3" w:rsidRPr="00A41E69">
        <w:rPr>
          <w:lang w:val="en-ZA"/>
        </w:rPr>
        <w:t xml:space="preserve"> prerogatives, and it was taken for the benefit of the people of Cuba, in support of the international relations between the two countries. </w:t>
      </w:r>
      <w:r w:rsidR="004F6A27">
        <w:rPr>
          <w:lang w:val="en-ZA"/>
        </w:rPr>
        <w:t>T</w:t>
      </w:r>
      <w:r w:rsidR="009604F3" w:rsidRPr="00A41E69">
        <w:rPr>
          <w:lang w:val="en-ZA"/>
        </w:rPr>
        <w:t xml:space="preserve">he funds </w:t>
      </w:r>
      <w:r w:rsidR="009C04B6">
        <w:rPr>
          <w:lang w:val="en-ZA"/>
        </w:rPr>
        <w:t xml:space="preserve">at the disposal of the African Renaissance Fund </w:t>
      </w:r>
      <w:r w:rsidR="009604F3" w:rsidRPr="00A41E69">
        <w:rPr>
          <w:lang w:val="en-ZA"/>
        </w:rPr>
        <w:t xml:space="preserve">are specifically allocated to </w:t>
      </w:r>
      <w:r w:rsidR="009C04B6">
        <w:rPr>
          <w:lang w:val="en-ZA"/>
        </w:rPr>
        <w:t>i</w:t>
      </w:r>
      <w:r w:rsidR="009604F3" w:rsidRPr="00A41E69">
        <w:rPr>
          <w:lang w:val="en-ZA"/>
        </w:rPr>
        <w:t>t for the purposes found in the Act.</w:t>
      </w:r>
      <w:r w:rsidR="005221BA">
        <w:rPr>
          <w:lang w:val="en-ZA"/>
        </w:rPr>
        <w:t xml:space="preserve"> </w:t>
      </w:r>
    </w:p>
    <w:p w14:paraId="3687B01D" w14:textId="3981BA04" w:rsidR="0049783D" w:rsidRPr="00936D7D" w:rsidRDefault="0049783D" w:rsidP="00936D7D">
      <w:pPr>
        <w:pStyle w:val="JudgmentNumbered"/>
        <w:numPr>
          <w:ilvl w:val="0"/>
          <w:numId w:val="0"/>
        </w:numPr>
        <w:rPr>
          <w:i/>
          <w:iCs/>
          <w:lang w:val="en-ZA"/>
        </w:rPr>
      </w:pPr>
      <w:r w:rsidRPr="00936D7D">
        <w:rPr>
          <w:i/>
          <w:iCs/>
          <w:lang w:val="en-ZA"/>
        </w:rPr>
        <w:t>Does the donation decision</w:t>
      </w:r>
      <w:r w:rsidR="001C5995" w:rsidRPr="00936D7D">
        <w:rPr>
          <w:i/>
          <w:iCs/>
          <w:lang w:val="en-ZA"/>
        </w:rPr>
        <w:t xml:space="preserve"> comply with the </w:t>
      </w:r>
      <w:r w:rsidR="00563228" w:rsidRPr="00936D7D">
        <w:rPr>
          <w:i/>
          <w:iCs/>
          <w:lang w:val="en-ZA"/>
        </w:rPr>
        <w:t>prescripts of the legality principle</w:t>
      </w:r>
      <w:r w:rsidR="00D47C1F">
        <w:rPr>
          <w:i/>
          <w:iCs/>
          <w:lang w:val="en-ZA"/>
        </w:rPr>
        <w:t>?</w:t>
      </w:r>
    </w:p>
    <w:p w14:paraId="1C0591B7" w14:textId="2A144A4E" w:rsidR="009604F3" w:rsidRPr="00A41E69" w:rsidRDefault="0048361F" w:rsidP="0048361F">
      <w:pPr>
        <w:pStyle w:val="JudgmentNumbered"/>
        <w:numPr>
          <w:ilvl w:val="0"/>
          <w:numId w:val="0"/>
        </w:numPr>
        <w:ind w:left="567" w:hanging="567"/>
        <w:rPr>
          <w:lang w:val="en-ZA"/>
        </w:rPr>
      </w:pPr>
      <w:r w:rsidRPr="00A41E69">
        <w:rPr>
          <w:lang w:val="en-ZA"/>
        </w:rPr>
        <w:t>[58]</w:t>
      </w:r>
      <w:r w:rsidRPr="00A41E69">
        <w:rPr>
          <w:lang w:val="en-ZA"/>
        </w:rPr>
        <w:tab/>
      </w:r>
      <w:r w:rsidR="009604F3" w:rsidRPr="00A41E69">
        <w:rPr>
          <w:lang w:val="en-ZA"/>
        </w:rPr>
        <w:t>Having determined that the donation decision was executive in nature and subject to legality scrutiny, I must now determine if the decision survives that scrutiny. A</w:t>
      </w:r>
      <w:r w:rsidR="00783E2B">
        <w:rPr>
          <w:lang w:val="en-ZA"/>
        </w:rPr>
        <w:t>friForum</w:t>
      </w:r>
      <w:r w:rsidR="009103CC">
        <w:rPr>
          <w:lang w:val="en-ZA"/>
        </w:rPr>
        <w:t xml:space="preserve"> made a series of submissions</w:t>
      </w:r>
      <w:r w:rsidR="00460C70">
        <w:rPr>
          <w:lang w:val="en-ZA"/>
        </w:rPr>
        <w:t xml:space="preserve"> as to why the donation decision was unlawful.</w:t>
      </w:r>
      <w:r w:rsidR="00AD13FD">
        <w:rPr>
          <w:lang w:val="en-ZA"/>
        </w:rPr>
        <w:t xml:space="preserve"> </w:t>
      </w:r>
      <w:r w:rsidR="00AD13FD" w:rsidRPr="00AD13FD">
        <w:rPr>
          <w:lang w:val="en-ZA"/>
        </w:rPr>
        <w:t xml:space="preserve">One argument raised which may well have had merit was not adequately foreshadowed in the notice of motion or pleaded, specifically that the Advisory Committee was not fully constituted in that one requisite DIRCO representative has not been appointed. </w:t>
      </w:r>
      <w:r w:rsidR="00460C70">
        <w:rPr>
          <w:lang w:val="en-ZA"/>
        </w:rPr>
        <w:t xml:space="preserve"> </w:t>
      </w:r>
      <w:r w:rsidR="00B64B9E">
        <w:rPr>
          <w:lang w:val="en-ZA"/>
        </w:rPr>
        <w:t>For the most part, and t</w:t>
      </w:r>
      <w:r w:rsidR="006A085D">
        <w:rPr>
          <w:lang w:val="en-ZA"/>
        </w:rPr>
        <w:t xml:space="preserve">o the extent that the issues raised by AfriForum </w:t>
      </w:r>
      <w:r w:rsidR="00A8773C">
        <w:rPr>
          <w:lang w:val="en-ZA"/>
        </w:rPr>
        <w:t>were pleaded, they are meritless and only</w:t>
      </w:r>
      <w:r w:rsidR="00515974">
        <w:rPr>
          <w:lang w:val="en-ZA"/>
        </w:rPr>
        <w:t xml:space="preserve"> one</w:t>
      </w:r>
      <w:r w:rsidR="00A8773C">
        <w:rPr>
          <w:lang w:val="en-ZA"/>
        </w:rPr>
        <w:t xml:space="preserve"> </w:t>
      </w:r>
      <w:r w:rsidR="00515974">
        <w:rPr>
          <w:lang w:val="en-ZA"/>
        </w:rPr>
        <w:t>requires</w:t>
      </w:r>
      <w:r w:rsidR="00A8773C">
        <w:rPr>
          <w:lang w:val="en-ZA"/>
        </w:rPr>
        <w:t xml:space="preserve"> attention. </w:t>
      </w:r>
    </w:p>
    <w:p w14:paraId="1CB3CDA2" w14:textId="51224094" w:rsidR="009604F3" w:rsidRPr="00A41E69" w:rsidRDefault="0048361F" w:rsidP="0048361F">
      <w:pPr>
        <w:pStyle w:val="JudgmentNumbered"/>
        <w:numPr>
          <w:ilvl w:val="0"/>
          <w:numId w:val="0"/>
        </w:numPr>
        <w:ind w:left="567" w:hanging="567"/>
        <w:rPr>
          <w:lang w:val="en-ZA"/>
        </w:rPr>
      </w:pPr>
      <w:r w:rsidRPr="00A41E69">
        <w:rPr>
          <w:lang w:val="en-ZA"/>
        </w:rPr>
        <w:t>[59]</w:t>
      </w:r>
      <w:r w:rsidRPr="00A41E69">
        <w:rPr>
          <w:lang w:val="en-ZA"/>
        </w:rPr>
        <w:tab/>
      </w:r>
      <w:r w:rsidR="009604F3">
        <w:rPr>
          <w:lang w:val="en-ZA"/>
        </w:rPr>
        <w:t>AfriForum</w:t>
      </w:r>
      <w:r w:rsidR="009604F3" w:rsidRPr="00A41E69">
        <w:rPr>
          <w:lang w:val="en-ZA"/>
        </w:rPr>
        <w:t xml:space="preserve"> argued that the Advisory Committee was not properly constituted when it took the decision that the donation be made. It argued that the voting threshold was not met as only three of the six members voted in support of the decision. Simply put, </w:t>
      </w:r>
      <w:r w:rsidR="009604F3">
        <w:rPr>
          <w:lang w:val="en-ZA"/>
        </w:rPr>
        <w:t>AfriForum</w:t>
      </w:r>
      <w:r w:rsidR="009604F3" w:rsidRPr="00A41E69">
        <w:rPr>
          <w:lang w:val="en-ZA"/>
        </w:rPr>
        <w:t xml:space="preserve"> has argued that the decision was not supported by a majority of Advisory Committee members eligible to vote. </w:t>
      </w:r>
    </w:p>
    <w:p w14:paraId="38E48383" w14:textId="3A0AF33D" w:rsidR="009604F3" w:rsidRPr="00A41E69" w:rsidRDefault="0048361F" w:rsidP="0048361F">
      <w:pPr>
        <w:pStyle w:val="JudgmentNumbered"/>
        <w:numPr>
          <w:ilvl w:val="0"/>
          <w:numId w:val="0"/>
        </w:numPr>
        <w:ind w:left="567" w:hanging="567"/>
        <w:rPr>
          <w:lang w:val="en-ZA"/>
        </w:rPr>
      </w:pPr>
      <w:r w:rsidRPr="00A41E69">
        <w:rPr>
          <w:lang w:val="en-ZA"/>
        </w:rPr>
        <w:t>[60]</w:t>
      </w:r>
      <w:r w:rsidRPr="00A41E69">
        <w:rPr>
          <w:lang w:val="en-ZA"/>
        </w:rPr>
        <w:tab/>
      </w:r>
      <w:r w:rsidR="009604F3" w:rsidRPr="00A41E69">
        <w:rPr>
          <w:lang w:val="en-ZA"/>
        </w:rPr>
        <w:t xml:space="preserve">In response, the DIRCO Respondents say that the terms of reference do not require all members of the Committee to be present, but rather a quorum of 50% of the members plus 1. As to the vote, they say that four members voted thus meeting the required threshold. </w:t>
      </w:r>
    </w:p>
    <w:p w14:paraId="31961341" w14:textId="47F26B4B" w:rsidR="009604F3" w:rsidRPr="009404DC" w:rsidRDefault="0048361F" w:rsidP="0048361F">
      <w:pPr>
        <w:pStyle w:val="JudgmentNumbered"/>
        <w:numPr>
          <w:ilvl w:val="0"/>
          <w:numId w:val="0"/>
        </w:numPr>
        <w:ind w:left="567" w:hanging="567"/>
        <w:rPr>
          <w:lang w:val="en-ZA"/>
        </w:rPr>
      </w:pPr>
      <w:r w:rsidRPr="009404DC">
        <w:rPr>
          <w:lang w:val="en-ZA"/>
        </w:rPr>
        <w:t>[61]</w:t>
      </w:r>
      <w:r w:rsidRPr="009404DC">
        <w:rPr>
          <w:lang w:val="en-ZA"/>
        </w:rPr>
        <w:tab/>
      </w:r>
      <w:r w:rsidR="007922D0">
        <w:rPr>
          <w:lang w:val="en-ZA"/>
        </w:rPr>
        <w:t xml:space="preserve">I have </w:t>
      </w:r>
      <w:r w:rsidR="000C01DC">
        <w:rPr>
          <w:lang w:val="en-ZA"/>
        </w:rPr>
        <w:t xml:space="preserve">already mentioned that the Advisory Committee consists of </w:t>
      </w:r>
      <w:r w:rsidR="000353FA">
        <w:rPr>
          <w:lang w:val="en-ZA"/>
        </w:rPr>
        <w:t xml:space="preserve">four </w:t>
      </w:r>
      <w:r w:rsidR="000C01DC">
        <w:rPr>
          <w:lang w:val="en-ZA"/>
        </w:rPr>
        <w:t xml:space="preserve"> DIRCO and two Finance </w:t>
      </w:r>
      <w:r w:rsidR="0015498E">
        <w:rPr>
          <w:lang w:val="en-ZA"/>
        </w:rPr>
        <w:t>officials</w:t>
      </w:r>
      <w:r w:rsidR="009604F3" w:rsidRPr="00A41E69">
        <w:rPr>
          <w:lang w:val="en-ZA"/>
        </w:rPr>
        <w:t>.</w:t>
      </w:r>
      <w:r w:rsidR="004B2ADC" w:rsidRPr="00A41E69" w:rsidDel="004B2ADC">
        <w:rPr>
          <w:lang w:val="en-ZA"/>
        </w:rPr>
        <w:t xml:space="preserve"> </w:t>
      </w:r>
      <w:r w:rsidR="004B2ADC">
        <w:rPr>
          <w:lang w:val="en-ZA"/>
        </w:rPr>
        <w:t>T</w:t>
      </w:r>
      <w:r w:rsidR="009604F3" w:rsidRPr="00A41E69">
        <w:rPr>
          <w:lang w:val="en-ZA"/>
        </w:rPr>
        <w:t>he terms of reference provide for the appointment of alternates to the main members</w:t>
      </w:r>
      <w:r w:rsidR="00EE5E55">
        <w:rPr>
          <w:lang w:val="en-ZA"/>
        </w:rPr>
        <w:t>,</w:t>
      </w:r>
      <w:r w:rsidR="00DF5A87">
        <w:rPr>
          <w:rStyle w:val="FootnoteReference"/>
          <w:lang w:val="en-ZA"/>
        </w:rPr>
        <w:footnoteReference w:id="31"/>
      </w:r>
      <w:r w:rsidR="00C97593">
        <w:rPr>
          <w:lang w:val="en-ZA"/>
        </w:rPr>
        <w:t xml:space="preserve"> also appointed by the respective Ministers.</w:t>
      </w:r>
      <w:r w:rsidR="009604F3" w:rsidRPr="00A41E69">
        <w:rPr>
          <w:lang w:val="en-ZA"/>
        </w:rPr>
        <w:t xml:space="preserve"> </w:t>
      </w:r>
      <w:r w:rsidR="000D5920">
        <w:rPr>
          <w:lang w:val="en-ZA"/>
        </w:rPr>
        <w:t>A</w:t>
      </w:r>
      <w:r w:rsidR="009604F3" w:rsidRPr="00A41E69">
        <w:rPr>
          <w:lang w:val="en-ZA"/>
        </w:rPr>
        <w:t>lternate members attend meetings in the main member’s stead in their absence</w:t>
      </w:r>
      <w:r w:rsidR="00EE5E55">
        <w:rPr>
          <w:lang w:val="en-ZA"/>
        </w:rPr>
        <w:t>.</w:t>
      </w:r>
      <w:r w:rsidR="000D5920">
        <w:rPr>
          <w:rStyle w:val="FootnoteReference"/>
          <w:lang w:val="en-ZA"/>
        </w:rPr>
        <w:footnoteReference w:id="32"/>
      </w:r>
      <w:r w:rsidR="009604F3" w:rsidRPr="00A41E69">
        <w:rPr>
          <w:lang w:val="en-ZA"/>
        </w:rPr>
        <w:t xml:space="preserve"> The terms of reference also provide for when and how Advisory Committee business is to be conducted to the following effect</w:t>
      </w:r>
      <w:r w:rsidR="009604F3">
        <w:rPr>
          <w:lang w:val="en-ZA"/>
        </w:rPr>
        <w:t>:</w:t>
      </w:r>
    </w:p>
    <w:p w14:paraId="68D991BA" w14:textId="59DB2A4B" w:rsidR="007D3B0D" w:rsidRPr="0048361F" w:rsidRDefault="0048361F" w:rsidP="0048361F">
      <w:pPr>
        <w:spacing w:after="0"/>
        <w:ind w:left="360" w:hanging="360"/>
        <w:rPr>
          <w:rFonts w:cs="Arial"/>
          <w:vanish/>
        </w:rPr>
      </w:pPr>
      <w:r w:rsidRPr="007D3B0D">
        <w:rPr>
          <w:rFonts w:cs="Arial"/>
          <w:vanish/>
          <w:lang w:val="en-ZA"/>
        </w:rPr>
        <w:t>1.</w:t>
      </w:r>
      <w:r w:rsidRPr="007D3B0D">
        <w:rPr>
          <w:rFonts w:cs="Arial"/>
          <w:vanish/>
          <w:lang w:val="en-ZA"/>
        </w:rPr>
        <w:tab/>
      </w:r>
    </w:p>
    <w:p w14:paraId="2B4841C0" w14:textId="6F72BCF1" w:rsidR="007D3B0D" w:rsidRPr="0048361F" w:rsidRDefault="0048361F" w:rsidP="0048361F">
      <w:pPr>
        <w:spacing w:after="0"/>
        <w:ind w:left="360" w:hanging="360"/>
        <w:rPr>
          <w:rFonts w:cs="Arial"/>
          <w:vanish/>
        </w:rPr>
      </w:pPr>
      <w:r w:rsidRPr="007D3B0D">
        <w:rPr>
          <w:rFonts w:cs="Arial"/>
          <w:vanish/>
          <w:lang w:val="en-ZA"/>
        </w:rPr>
        <w:t>2.</w:t>
      </w:r>
      <w:r w:rsidRPr="007D3B0D">
        <w:rPr>
          <w:rFonts w:cs="Arial"/>
          <w:vanish/>
          <w:lang w:val="en-ZA"/>
        </w:rPr>
        <w:tab/>
      </w:r>
    </w:p>
    <w:p w14:paraId="782FCE90" w14:textId="20F886C8" w:rsidR="007D3B0D" w:rsidRPr="0048361F" w:rsidRDefault="0048361F" w:rsidP="0048361F">
      <w:pPr>
        <w:spacing w:after="0"/>
        <w:ind w:left="360" w:hanging="360"/>
        <w:rPr>
          <w:rFonts w:cs="Arial"/>
          <w:vanish/>
        </w:rPr>
      </w:pPr>
      <w:r w:rsidRPr="007D3B0D">
        <w:rPr>
          <w:rFonts w:cs="Arial"/>
          <w:vanish/>
          <w:lang w:val="en-ZA"/>
        </w:rPr>
        <w:t>3.</w:t>
      </w:r>
      <w:r w:rsidRPr="007D3B0D">
        <w:rPr>
          <w:rFonts w:cs="Arial"/>
          <w:vanish/>
          <w:lang w:val="en-ZA"/>
        </w:rPr>
        <w:tab/>
      </w:r>
    </w:p>
    <w:p w14:paraId="6F4D897B" w14:textId="622DED4F" w:rsidR="007D3B0D" w:rsidRPr="0048361F" w:rsidRDefault="0048361F" w:rsidP="0048361F">
      <w:pPr>
        <w:spacing w:after="0"/>
        <w:ind w:left="360" w:hanging="360"/>
        <w:rPr>
          <w:rFonts w:cs="Arial"/>
          <w:vanish/>
        </w:rPr>
      </w:pPr>
      <w:r w:rsidRPr="007D3B0D">
        <w:rPr>
          <w:rFonts w:cs="Arial"/>
          <w:vanish/>
          <w:lang w:val="en-ZA"/>
        </w:rPr>
        <w:t>4.</w:t>
      </w:r>
      <w:r w:rsidRPr="007D3B0D">
        <w:rPr>
          <w:rFonts w:cs="Arial"/>
          <w:vanish/>
          <w:lang w:val="en-ZA"/>
        </w:rPr>
        <w:tab/>
      </w:r>
    </w:p>
    <w:p w14:paraId="7455F249" w14:textId="6391ABB5" w:rsidR="007D3B0D" w:rsidRPr="0048361F" w:rsidRDefault="0048361F" w:rsidP="0048361F">
      <w:pPr>
        <w:spacing w:after="0"/>
        <w:ind w:left="360" w:hanging="360"/>
        <w:rPr>
          <w:rFonts w:cs="Arial"/>
          <w:vanish/>
        </w:rPr>
      </w:pPr>
      <w:r w:rsidRPr="007D3B0D">
        <w:rPr>
          <w:rFonts w:cs="Arial"/>
          <w:vanish/>
          <w:lang w:val="en-ZA"/>
        </w:rPr>
        <w:t>5.</w:t>
      </w:r>
      <w:r w:rsidRPr="007D3B0D">
        <w:rPr>
          <w:rFonts w:cs="Arial"/>
          <w:vanish/>
          <w:lang w:val="en-ZA"/>
        </w:rPr>
        <w:tab/>
      </w:r>
    </w:p>
    <w:p w14:paraId="5A6BD3D8" w14:textId="53D6318B" w:rsidR="007D3B0D" w:rsidRPr="0048361F" w:rsidRDefault="0048361F" w:rsidP="0048361F">
      <w:pPr>
        <w:spacing w:after="0"/>
        <w:ind w:left="360" w:hanging="360"/>
        <w:rPr>
          <w:rFonts w:cs="Arial"/>
          <w:vanish/>
        </w:rPr>
      </w:pPr>
      <w:r w:rsidRPr="007D3B0D">
        <w:rPr>
          <w:rFonts w:cs="Arial"/>
          <w:vanish/>
          <w:lang w:val="en-ZA"/>
        </w:rPr>
        <w:t>6.</w:t>
      </w:r>
      <w:r w:rsidRPr="007D3B0D">
        <w:rPr>
          <w:rFonts w:cs="Arial"/>
          <w:vanish/>
          <w:lang w:val="en-ZA"/>
        </w:rPr>
        <w:tab/>
      </w:r>
    </w:p>
    <w:p w14:paraId="3B701B64" w14:textId="225BA393" w:rsidR="007D3B0D" w:rsidRPr="0048361F" w:rsidRDefault="0048361F" w:rsidP="0048361F">
      <w:pPr>
        <w:spacing w:after="0"/>
        <w:ind w:left="360" w:hanging="360"/>
        <w:rPr>
          <w:rFonts w:cs="Arial"/>
          <w:vanish/>
        </w:rPr>
      </w:pPr>
      <w:r w:rsidRPr="007D3B0D">
        <w:rPr>
          <w:rFonts w:cs="Arial"/>
          <w:vanish/>
          <w:lang w:val="en-ZA"/>
        </w:rPr>
        <w:t>7.</w:t>
      </w:r>
      <w:r w:rsidRPr="007D3B0D">
        <w:rPr>
          <w:rFonts w:cs="Arial"/>
          <w:vanish/>
          <w:lang w:val="en-ZA"/>
        </w:rPr>
        <w:tab/>
      </w:r>
    </w:p>
    <w:p w14:paraId="2AB16B3E" w14:textId="6AA7AC12" w:rsidR="007D3B0D" w:rsidRPr="0048361F" w:rsidRDefault="0048361F" w:rsidP="0048361F">
      <w:pPr>
        <w:spacing w:after="0"/>
        <w:ind w:left="360" w:hanging="360"/>
        <w:rPr>
          <w:rFonts w:cs="Arial"/>
          <w:vanish/>
        </w:rPr>
      </w:pPr>
      <w:r w:rsidRPr="007D3B0D">
        <w:rPr>
          <w:rFonts w:cs="Arial"/>
          <w:vanish/>
          <w:lang w:val="en-ZA"/>
        </w:rPr>
        <w:t>8.</w:t>
      </w:r>
      <w:r w:rsidRPr="007D3B0D">
        <w:rPr>
          <w:rFonts w:cs="Arial"/>
          <w:vanish/>
          <w:lang w:val="en-ZA"/>
        </w:rPr>
        <w:tab/>
      </w:r>
    </w:p>
    <w:p w14:paraId="0EBBFBA3" w14:textId="7DB98D42" w:rsidR="007D3B0D" w:rsidRPr="0048361F" w:rsidRDefault="0048361F" w:rsidP="0048361F">
      <w:pPr>
        <w:spacing w:after="0"/>
        <w:ind w:left="360" w:hanging="360"/>
        <w:rPr>
          <w:rFonts w:cs="Arial"/>
          <w:vanish/>
        </w:rPr>
      </w:pPr>
      <w:r w:rsidRPr="007D3B0D">
        <w:rPr>
          <w:rFonts w:cs="Arial"/>
          <w:vanish/>
          <w:lang w:val="en-ZA"/>
        </w:rPr>
        <w:t>9.</w:t>
      </w:r>
      <w:r w:rsidRPr="007D3B0D">
        <w:rPr>
          <w:rFonts w:cs="Arial"/>
          <w:vanish/>
          <w:lang w:val="en-ZA"/>
        </w:rPr>
        <w:tab/>
      </w:r>
    </w:p>
    <w:p w14:paraId="1A817D02" w14:textId="731DE2FF" w:rsidR="007D3B0D" w:rsidRPr="0048361F" w:rsidRDefault="0048361F" w:rsidP="0048361F">
      <w:pPr>
        <w:spacing w:after="0"/>
        <w:ind w:left="360" w:hanging="360"/>
        <w:rPr>
          <w:rFonts w:cs="Arial"/>
          <w:vanish/>
        </w:rPr>
      </w:pPr>
      <w:r w:rsidRPr="007D3B0D">
        <w:rPr>
          <w:rFonts w:cs="Arial"/>
          <w:vanish/>
          <w:lang w:val="en-ZA"/>
        </w:rPr>
        <w:t>10.</w:t>
      </w:r>
      <w:r w:rsidRPr="007D3B0D">
        <w:rPr>
          <w:rFonts w:cs="Arial"/>
          <w:vanish/>
          <w:lang w:val="en-ZA"/>
        </w:rPr>
        <w:tab/>
      </w:r>
    </w:p>
    <w:p w14:paraId="0AFAE7F6" w14:textId="0D9F5CAB" w:rsidR="007D3B0D" w:rsidRPr="0048361F" w:rsidRDefault="0048361F" w:rsidP="0048361F">
      <w:pPr>
        <w:spacing w:after="0"/>
        <w:ind w:left="360" w:hanging="360"/>
        <w:rPr>
          <w:rFonts w:cs="Arial"/>
          <w:vanish/>
        </w:rPr>
      </w:pPr>
      <w:r w:rsidRPr="007D3B0D">
        <w:rPr>
          <w:rFonts w:cs="Arial"/>
          <w:vanish/>
          <w:lang w:val="en-ZA"/>
        </w:rPr>
        <w:t>11.</w:t>
      </w:r>
      <w:r w:rsidRPr="007D3B0D">
        <w:rPr>
          <w:rFonts w:cs="Arial"/>
          <w:vanish/>
          <w:lang w:val="en-ZA"/>
        </w:rPr>
        <w:tab/>
      </w:r>
    </w:p>
    <w:p w14:paraId="0A7AF1C4" w14:textId="4BAEA33F" w:rsidR="007D3B0D" w:rsidRPr="0048361F" w:rsidRDefault="0048361F" w:rsidP="0048361F">
      <w:pPr>
        <w:spacing w:after="0"/>
        <w:ind w:left="360" w:hanging="360"/>
        <w:rPr>
          <w:rFonts w:cs="Arial"/>
          <w:vanish/>
        </w:rPr>
      </w:pPr>
      <w:r w:rsidRPr="007D3B0D">
        <w:rPr>
          <w:rFonts w:cs="Arial"/>
          <w:vanish/>
          <w:lang w:val="en-ZA"/>
        </w:rPr>
        <w:t>12.</w:t>
      </w:r>
      <w:r w:rsidRPr="007D3B0D">
        <w:rPr>
          <w:rFonts w:cs="Arial"/>
          <w:vanish/>
          <w:lang w:val="en-ZA"/>
        </w:rPr>
        <w:tab/>
      </w:r>
    </w:p>
    <w:p w14:paraId="083049A0" w14:textId="73D3B8FE" w:rsidR="007D3B0D" w:rsidRPr="0048361F" w:rsidRDefault="0048361F" w:rsidP="0048361F">
      <w:pPr>
        <w:spacing w:after="0"/>
        <w:ind w:left="360" w:hanging="360"/>
        <w:rPr>
          <w:rFonts w:cs="Arial"/>
          <w:vanish/>
        </w:rPr>
      </w:pPr>
      <w:r w:rsidRPr="007D3B0D">
        <w:rPr>
          <w:rFonts w:cs="Arial"/>
          <w:vanish/>
          <w:lang w:val="en-ZA"/>
        </w:rPr>
        <w:t>13.</w:t>
      </w:r>
      <w:r w:rsidRPr="007D3B0D">
        <w:rPr>
          <w:rFonts w:cs="Arial"/>
          <w:vanish/>
          <w:lang w:val="en-ZA"/>
        </w:rPr>
        <w:tab/>
      </w:r>
    </w:p>
    <w:p w14:paraId="73189971" w14:textId="3979B6A6" w:rsidR="007D3B0D" w:rsidRPr="0048361F" w:rsidRDefault="0048361F" w:rsidP="0048361F">
      <w:pPr>
        <w:spacing w:after="0"/>
        <w:ind w:left="360" w:hanging="360"/>
        <w:rPr>
          <w:rFonts w:cs="Arial"/>
          <w:vanish/>
        </w:rPr>
      </w:pPr>
      <w:r w:rsidRPr="007D3B0D">
        <w:rPr>
          <w:rFonts w:cs="Arial"/>
          <w:vanish/>
          <w:lang w:val="en-ZA"/>
        </w:rPr>
        <w:t>14.</w:t>
      </w:r>
      <w:r w:rsidRPr="007D3B0D">
        <w:rPr>
          <w:rFonts w:cs="Arial"/>
          <w:vanish/>
          <w:lang w:val="en-ZA"/>
        </w:rPr>
        <w:tab/>
      </w:r>
    </w:p>
    <w:p w14:paraId="1595B947" w14:textId="276639A5" w:rsidR="007D3B0D" w:rsidRPr="0048361F" w:rsidRDefault="0048361F" w:rsidP="0048361F">
      <w:pPr>
        <w:spacing w:after="0"/>
        <w:ind w:left="360" w:hanging="360"/>
        <w:rPr>
          <w:rFonts w:cs="Arial"/>
          <w:vanish/>
        </w:rPr>
      </w:pPr>
      <w:r w:rsidRPr="007D3B0D">
        <w:rPr>
          <w:rFonts w:cs="Arial"/>
          <w:vanish/>
          <w:lang w:val="en-ZA"/>
        </w:rPr>
        <w:t>15.</w:t>
      </w:r>
      <w:r w:rsidRPr="007D3B0D">
        <w:rPr>
          <w:rFonts w:cs="Arial"/>
          <w:vanish/>
          <w:lang w:val="en-ZA"/>
        </w:rPr>
        <w:tab/>
      </w:r>
    </w:p>
    <w:p w14:paraId="6B6B7293" w14:textId="2C937E74" w:rsidR="007D3B0D" w:rsidRPr="0048361F" w:rsidRDefault="0048361F" w:rsidP="0048361F">
      <w:pPr>
        <w:spacing w:after="0"/>
        <w:ind w:left="360" w:hanging="360"/>
        <w:rPr>
          <w:rFonts w:cs="Arial"/>
          <w:vanish/>
        </w:rPr>
      </w:pPr>
      <w:r w:rsidRPr="007D3B0D">
        <w:rPr>
          <w:rFonts w:cs="Arial"/>
          <w:vanish/>
          <w:lang w:val="en-ZA"/>
        </w:rPr>
        <w:t>16.</w:t>
      </w:r>
      <w:r w:rsidRPr="007D3B0D">
        <w:rPr>
          <w:rFonts w:cs="Arial"/>
          <w:vanish/>
          <w:lang w:val="en-ZA"/>
        </w:rPr>
        <w:tab/>
      </w:r>
    </w:p>
    <w:p w14:paraId="5F745B66" w14:textId="08B289F7" w:rsidR="007D3B0D" w:rsidRPr="0048361F" w:rsidRDefault="0048361F" w:rsidP="0048361F">
      <w:pPr>
        <w:spacing w:after="0"/>
        <w:ind w:left="360" w:hanging="360"/>
        <w:rPr>
          <w:rFonts w:cs="Arial"/>
          <w:vanish/>
        </w:rPr>
      </w:pPr>
      <w:r w:rsidRPr="007D3B0D">
        <w:rPr>
          <w:rFonts w:cs="Arial"/>
          <w:vanish/>
          <w:lang w:val="en-ZA"/>
        </w:rPr>
        <w:t>17.</w:t>
      </w:r>
      <w:r w:rsidRPr="007D3B0D">
        <w:rPr>
          <w:rFonts w:cs="Arial"/>
          <w:vanish/>
          <w:lang w:val="en-ZA"/>
        </w:rPr>
        <w:tab/>
      </w:r>
    </w:p>
    <w:p w14:paraId="64B259AC" w14:textId="5A7C712C" w:rsidR="007D3B0D" w:rsidRPr="0048361F" w:rsidRDefault="0048361F" w:rsidP="0048361F">
      <w:pPr>
        <w:spacing w:after="0"/>
        <w:ind w:left="360" w:hanging="360"/>
        <w:rPr>
          <w:rFonts w:cs="Arial"/>
          <w:vanish/>
        </w:rPr>
      </w:pPr>
      <w:r w:rsidRPr="007D3B0D">
        <w:rPr>
          <w:rFonts w:cs="Arial"/>
          <w:vanish/>
          <w:lang w:val="en-ZA"/>
        </w:rPr>
        <w:t>18.</w:t>
      </w:r>
      <w:r w:rsidRPr="007D3B0D">
        <w:rPr>
          <w:rFonts w:cs="Arial"/>
          <w:vanish/>
          <w:lang w:val="en-ZA"/>
        </w:rPr>
        <w:tab/>
      </w:r>
    </w:p>
    <w:p w14:paraId="5C3E6208" w14:textId="0862AD15" w:rsidR="007D3B0D" w:rsidRPr="0048361F" w:rsidRDefault="0048361F" w:rsidP="0048361F">
      <w:pPr>
        <w:spacing w:after="0"/>
        <w:ind w:left="360" w:hanging="360"/>
        <w:rPr>
          <w:rFonts w:cs="Arial"/>
          <w:vanish/>
        </w:rPr>
      </w:pPr>
      <w:r w:rsidRPr="007D3B0D">
        <w:rPr>
          <w:rFonts w:cs="Arial"/>
          <w:vanish/>
          <w:lang w:val="en-ZA"/>
        </w:rPr>
        <w:t>19.</w:t>
      </w:r>
      <w:r w:rsidRPr="007D3B0D">
        <w:rPr>
          <w:rFonts w:cs="Arial"/>
          <w:vanish/>
          <w:lang w:val="en-ZA"/>
        </w:rPr>
        <w:tab/>
      </w:r>
    </w:p>
    <w:p w14:paraId="1F5AD3CF" w14:textId="614A3E58" w:rsidR="007D3B0D" w:rsidRPr="0048361F" w:rsidRDefault="0048361F" w:rsidP="0048361F">
      <w:pPr>
        <w:spacing w:after="0"/>
        <w:ind w:left="360" w:hanging="360"/>
        <w:rPr>
          <w:rFonts w:cs="Arial"/>
          <w:vanish/>
        </w:rPr>
      </w:pPr>
      <w:r w:rsidRPr="007D3B0D">
        <w:rPr>
          <w:rFonts w:cs="Arial"/>
          <w:vanish/>
          <w:lang w:val="en-ZA"/>
        </w:rPr>
        <w:t>20.</w:t>
      </w:r>
      <w:r w:rsidRPr="007D3B0D">
        <w:rPr>
          <w:rFonts w:cs="Arial"/>
          <w:vanish/>
          <w:lang w:val="en-ZA"/>
        </w:rPr>
        <w:tab/>
      </w:r>
    </w:p>
    <w:p w14:paraId="1420F6F9" w14:textId="0F89F516" w:rsidR="007D3B0D" w:rsidRPr="0048361F" w:rsidRDefault="0048361F" w:rsidP="0048361F">
      <w:pPr>
        <w:spacing w:after="0"/>
        <w:ind w:left="360" w:hanging="360"/>
        <w:rPr>
          <w:rFonts w:cs="Arial"/>
          <w:vanish/>
        </w:rPr>
      </w:pPr>
      <w:r w:rsidRPr="007D3B0D">
        <w:rPr>
          <w:rFonts w:cs="Arial"/>
          <w:vanish/>
          <w:lang w:val="en-ZA"/>
        </w:rPr>
        <w:t>21.</w:t>
      </w:r>
      <w:r w:rsidRPr="007D3B0D">
        <w:rPr>
          <w:rFonts w:cs="Arial"/>
          <w:vanish/>
          <w:lang w:val="en-ZA"/>
        </w:rPr>
        <w:tab/>
      </w:r>
    </w:p>
    <w:p w14:paraId="1A073490" w14:textId="3A6AB124" w:rsidR="007D3B0D" w:rsidRPr="0048361F" w:rsidRDefault="0048361F" w:rsidP="0048361F">
      <w:pPr>
        <w:spacing w:after="0"/>
        <w:ind w:left="360" w:hanging="360"/>
        <w:rPr>
          <w:rFonts w:cs="Arial"/>
          <w:vanish/>
        </w:rPr>
      </w:pPr>
      <w:r w:rsidRPr="007D3B0D">
        <w:rPr>
          <w:rFonts w:cs="Arial"/>
          <w:vanish/>
          <w:lang w:val="en-ZA"/>
        </w:rPr>
        <w:t>22.</w:t>
      </w:r>
      <w:r w:rsidRPr="007D3B0D">
        <w:rPr>
          <w:rFonts w:cs="Arial"/>
          <w:vanish/>
          <w:lang w:val="en-ZA"/>
        </w:rPr>
        <w:tab/>
      </w:r>
    </w:p>
    <w:p w14:paraId="1C11E097" w14:textId="054BDCE1" w:rsidR="007D3B0D" w:rsidRPr="0048361F" w:rsidRDefault="0048361F" w:rsidP="0048361F">
      <w:pPr>
        <w:spacing w:after="0"/>
        <w:ind w:left="360" w:hanging="360"/>
        <w:rPr>
          <w:rFonts w:cs="Arial"/>
          <w:vanish/>
        </w:rPr>
      </w:pPr>
      <w:r w:rsidRPr="007D3B0D">
        <w:rPr>
          <w:rFonts w:cs="Arial"/>
          <w:vanish/>
          <w:lang w:val="en-ZA"/>
        </w:rPr>
        <w:t>23.</w:t>
      </w:r>
      <w:r w:rsidRPr="007D3B0D">
        <w:rPr>
          <w:rFonts w:cs="Arial"/>
          <w:vanish/>
          <w:lang w:val="en-ZA"/>
        </w:rPr>
        <w:tab/>
      </w:r>
    </w:p>
    <w:p w14:paraId="12B5E835" w14:textId="2212701F" w:rsidR="007D3B0D" w:rsidRPr="0048361F" w:rsidRDefault="0048361F" w:rsidP="0048361F">
      <w:pPr>
        <w:spacing w:after="0"/>
        <w:ind w:left="360" w:hanging="360"/>
        <w:rPr>
          <w:rFonts w:cs="Arial"/>
          <w:vanish/>
        </w:rPr>
      </w:pPr>
      <w:r w:rsidRPr="007D3B0D">
        <w:rPr>
          <w:rFonts w:cs="Arial"/>
          <w:vanish/>
          <w:lang w:val="en-ZA"/>
        </w:rPr>
        <w:t>24.</w:t>
      </w:r>
      <w:r w:rsidRPr="007D3B0D">
        <w:rPr>
          <w:rFonts w:cs="Arial"/>
          <w:vanish/>
          <w:lang w:val="en-ZA"/>
        </w:rPr>
        <w:tab/>
      </w:r>
    </w:p>
    <w:p w14:paraId="1965F93A" w14:textId="58EFD07F" w:rsidR="007D3B0D" w:rsidRPr="0048361F" w:rsidRDefault="0048361F" w:rsidP="0048361F">
      <w:pPr>
        <w:spacing w:after="0"/>
        <w:ind w:left="360" w:hanging="360"/>
        <w:rPr>
          <w:rFonts w:cs="Arial"/>
          <w:vanish/>
        </w:rPr>
      </w:pPr>
      <w:r w:rsidRPr="007D3B0D">
        <w:rPr>
          <w:rFonts w:cs="Arial"/>
          <w:vanish/>
          <w:lang w:val="en-ZA"/>
        </w:rPr>
        <w:t>25.</w:t>
      </w:r>
      <w:r w:rsidRPr="007D3B0D">
        <w:rPr>
          <w:rFonts w:cs="Arial"/>
          <w:vanish/>
          <w:lang w:val="en-ZA"/>
        </w:rPr>
        <w:tab/>
      </w:r>
    </w:p>
    <w:p w14:paraId="2011DC9E" w14:textId="5C6B61E6" w:rsidR="007D3B0D" w:rsidRPr="0048361F" w:rsidRDefault="0048361F" w:rsidP="0048361F">
      <w:pPr>
        <w:spacing w:after="0"/>
        <w:ind w:left="360" w:hanging="360"/>
        <w:rPr>
          <w:rFonts w:cs="Arial"/>
          <w:vanish/>
        </w:rPr>
      </w:pPr>
      <w:r w:rsidRPr="007D3B0D">
        <w:rPr>
          <w:rFonts w:cs="Arial"/>
          <w:vanish/>
          <w:lang w:val="en-ZA"/>
        </w:rPr>
        <w:t>26.</w:t>
      </w:r>
      <w:r w:rsidRPr="007D3B0D">
        <w:rPr>
          <w:rFonts w:cs="Arial"/>
          <w:vanish/>
          <w:lang w:val="en-ZA"/>
        </w:rPr>
        <w:tab/>
      </w:r>
    </w:p>
    <w:p w14:paraId="644CC30A" w14:textId="58E3943C" w:rsidR="007D3B0D" w:rsidRPr="0048361F" w:rsidRDefault="0048361F" w:rsidP="0048361F">
      <w:pPr>
        <w:spacing w:after="0"/>
        <w:ind w:left="360" w:hanging="360"/>
        <w:rPr>
          <w:rFonts w:cs="Arial"/>
          <w:vanish/>
        </w:rPr>
      </w:pPr>
      <w:r w:rsidRPr="007D3B0D">
        <w:rPr>
          <w:rFonts w:cs="Arial"/>
          <w:vanish/>
          <w:lang w:val="en-ZA"/>
        </w:rPr>
        <w:t>27.</w:t>
      </w:r>
      <w:r w:rsidRPr="007D3B0D">
        <w:rPr>
          <w:rFonts w:cs="Arial"/>
          <w:vanish/>
          <w:lang w:val="en-ZA"/>
        </w:rPr>
        <w:tab/>
      </w:r>
    </w:p>
    <w:p w14:paraId="7A9C1A0E" w14:textId="06F0F15B" w:rsidR="007D3B0D" w:rsidRPr="0048361F" w:rsidRDefault="0048361F" w:rsidP="0048361F">
      <w:pPr>
        <w:spacing w:after="0"/>
        <w:ind w:left="360" w:hanging="360"/>
        <w:rPr>
          <w:rFonts w:cs="Arial"/>
          <w:vanish/>
        </w:rPr>
      </w:pPr>
      <w:r w:rsidRPr="007D3B0D">
        <w:rPr>
          <w:rFonts w:cs="Arial"/>
          <w:vanish/>
          <w:lang w:val="en-ZA"/>
        </w:rPr>
        <w:t>28.</w:t>
      </w:r>
      <w:r w:rsidRPr="007D3B0D">
        <w:rPr>
          <w:rFonts w:cs="Arial"/>
          <w:vanish/>
          <w:lang w:val="en-ZA"/>
        </w:rPr>
        <w:tab/>
      </w:r>
    </w:p>
    <w:p w14:paraId="1745E50C" w14:textId="0E282389" w:rsidR="007D3B0D" w:rsidRPr="0048361F" w:rsidRDefault="0048361F" w:rsidP="0048361F">
      <w:pPr>
        <w:spacing w:after="0"/>
        <w:ind w:left="360" w:hanging="360"/>
        <w:rPr>
          <w:rFonts w:cs="Arial"/>
          <w:vanish/>
        </w:rPr>
      </w:pPr>
      <w:r w:rsidRPr="007D3B0D">
        <w:rPr>
          <w:rFonts w:cs="Arial"/>
          <w:vanish/>
          <w:lang w:val="en-ZA"/>
        </w:rPr>
        <w:t>29.</w:t>
      </w:r>
      <w:r w:rsidRPr="007D3B0D">
        <w:rPr>
          <w:rFonts w:cs="Arial"/>
          <w:vanish/>
          <w:lang w:val="en-ZA"/>
        </w:rPr>
        <w:tab/>
      </w:r>
    </w:p>
    <w:p w14:paraId="515C71FE" w14:textId="13C4FED6" w:rsidR="007D3B0D" w:rsidRPr="0048361F" w:rsidRDefault="0048361F" w:rsidP="0048361F">
      <w:pPr>
        <w:spacing w:after="0"/>
        <w:ind w:left="360" w:hanging="360"/>
        <w:rPr>
          <w:rFonts w:cs="Arial"/>
          <w:vanish/>
        </w:rPr>
      </w:pPr>
      <w:r w:rsidRPr="007D3B0D">
        <w:rPr>
          <w:rFonts w:cs="Arial"/>
          <w:vanish/>
          <w:lang w:val="en-ZA"/>
        </w:rPr>
        <w:t>30.</w:t>
      </w:r>
      <w:r w:rsidRPr="007D3B0D">
        <w:rPr>
          <w:rFonts w:cs="Arial"/>
          <w:vanish/>
          <w:lang w:val="en-ZA"/>
        </w:rPr>
        <w:tab/>
      </w:r>
    </w:p>
    <w:p w14:paraId="7A3431E1" w14:textId="65B4F3D5" w:rsidR="007D3B0D" w:rsidRPr="0048361F" w:rsidRDefault="0048361F" w:rsidP="0048361F">
      <w:pPr>
        <w:spacing w:after="0"/>
        <w:ind w:left="360" w:hanging="360"/>
        <w:rPr>
          <w:rFonts w:cs="Arial"/>
          <w:vanish/>
        </w:rPr>
      </w:pPr>
      <w:r w:rsidRPr="007D3B0D">
        <w:rPr>
          <w:rFonts w:cs="Arial"/>
          <w:vanish/>
          <w:lang w:val="en-ZA"/>
        </w:rPr>
        <w:t>31.</w:t>
      </w:r>
      <w:r w:rsidRPr="007D3B0D">
        <w:rPr>
          <w:rFonts w:cs="Arial"/>
          <w:vanish/>
          <w:lang w:val="en-ZA"/>
        </w:rPr>
        <w:tab/>
      </w:r>
    </w:p>
    <w:p w14:paraId="71B2035E" w14:textId="3F624E1B" w:rsidR="007D3B0D" w:rsidRPr="0048361F" w:rsidRDefault="0048361F" w:rsidP="0048361F">
      <w:pPr>
        <w:spacing w:after="0"/>
        <w:ind w:left="360" w:hanging="360"/>
        <w:rPr>
          <w:rFonts w:cs="Arial"/>
          <w:vanish/>
        </w:rPr>
      </w:pPr>
      <w:r w:rsidRPr="007D3B0D">
        <w:rPr>
          <w:rFonts w:cs="Arial"/>
          <w:vanish/>
          <w:lang w:val="en-ZA"/>
        </w:rPr>
        <w:t>32.</w:t>
      </w:r>
      <w:r w:rsidRPr="007D3B0D">
        <w:rPr>
          <w:rFonts w:cs="Arial"/>
          <w:vanish/>
          <w:lang w:val="en-ZA"/>
        </w:rPr>
        <w:tab/>
      </w:r>
    </w:p>
    <w:p w14:paraId="6619D40F" w14:textId="44844AF6" w:rsidR="007D3B0D" w:rsidRPr="0048361F" w:rsidRDefault="0048361F" w:rsidP="0048361F">
      <w:pPr>
        <w:spacing w:after="0"/>
        <w:ind w:left="360" w:hanging="360"/>
        <w:rPr>
          <w:rFonts w:cs="Arial"/>
          <w:vanish/>
        </w:rPr>
      </w:pPr>
      <w:r w:rsidRPr="007D3B0D">
        <w:rPr>
          <w:rFonts w:cs="Arial"/>
          <w:vanish/>
          <w:lang w:val="en-ZA"/>
        </w:rPr>
        <w:t>33.</w:t>
      </w:r>
      <w:r w:rsidRPr="007D3B0D">
        <w:rPr>
          <w:rFonts w:cs="Arial"/>
          <w:vanish/>
          <w:lang w:val="en-ZA"/>
        </w:rPr>
        <w:tab/>
      </w:r>
    </w:p>
    <w:p w14:paraId="1984DE79" w14:textId="3639C1F8" w:rsidR="007D3B0D" w:rsidRPr="0048361F" w:rsidRDefault="0048361F" w:rsidP="0048361F">
      <w:pPr>
        <w:spacing w:after="0"/>
        <w:ind w:left="360" w:hanging="360"/>
        <w:rPr>
          <w:rFonts w:cs="Arial"/>
          <w:vanish/>
        </w:rPr>
      </w:pPr>
      <w:r w:rsidRPr="007D3B0D">
        <w:rPr>
          <w:rFonts w:cs="Arial"/>
          <w:vanish/>
          <w:lang w:val="en-ZA"/>
        </w:rPr>
        <w:t>34.</w:t>
      </w:r>
      <w:r w:rsidRPr="007D3B0D">
        <w:rPr>
          <w:rFonts w:cs="Arial"/>
          <w:vanish/>
          <w:lang w:val="en-ZA"/>
        </w:rPr>
        <w:tab/>
      </w:r>
    </w:p>
    <w:p w14:paraId="4F5A5E23" w14:textId="7C656DFA" w:rsidR="007D3B0D" w:rsidRPr="0048361F" w:rsidRDefault="0048361F" w:rsidP="0048361F">
      <w:pPr>
        <w:spacing w:after="0"/>
        <w:ind w:left="360" w:hanging="360"/>
        <w:rPr>
          <w:rFonts w:cs="Arial"/>
          <w:vanish/>
        </w:rPr>
      </w:pPr>
      <w:r w:rsidRPr="007D3B0D">
        <w:rPr>
          <w:rFonts w:cs="Arial"/>
          <w:vanish/>
          <w:lang w:val="en-ZA"/>
        </w:rPr>
        <w:t>35.</w:t>
      </w:r>
      <w:r w:rsidRPr="007D3B0D">
        <w:rPr>
          <w:rFonts w:cs="Arial"/>
          <w:vanish/>
          <w:lang w:val="en-ZA"/>
        </w:rPr>
        <w:tab/>
      </w:r>
    </w:p>
    <w:p w14:paraId="49C3A68E" w14:textId="381C5D49" w:rsidR="007D3B0D" w:rsidRPr="0048361F" w:rsidRDefault="0048361F" w:rsidP="0048361F">
      <w:pPr>
        <w:spacing w:after="0"/>
        <w:ind w:left="360" w:hanging="360"/>
        <w:rPr>
          <w:rFonts w:cs="Arial"/>
          <w:vanish/>
        </w:rPr>
      </w:pPr>
      <w:r w:rsidRPr="007D3B0D">
        <w:rPr>
          <w:rFonts w:cs="Arial"/>
          <w:vanish/>
          <w:lang w:val="en-ZA"/>
        </w:rPr>
        <w:t>36.</w:t>
      </w:r>
      <w:r w:rsidRPr="007D3B0D">
        <w:rPr>
          <w:rFonts w:cs="Arial"/>
          <w:vanish/>
          <w:lang w:val="en-ZA"/>
        </w:rPr>
        <w:tab/>
      </w:r>
    </w:p>
    <w:p w14:paraId="40493B1A" w14:textId="1CB16FE1" w:rsidR="007D3B0D" w:rsidRPr="0048361F" w:rsidRDefault="0048361F" w:rsidP="0048361F">
      <w:pPr>
        <w:spacing w:after="0"/>
        <w:ind w:left="360" w:hanging="360"/>
        <w:rPr>
          <w:rFonts w:cs="Arial"/>
          <w:vanish/>
        </w:rPr>
      </w:pPr>
      <w:r w:rsidRPr="007D3B0D">
        <w:rPr>
          <w:rFonts w:cs="Arial"/>
          <w:vanish/>
          <w:lang w:val="en-ZA"/>
        </w:rPr>
        <w:t>37.</w:t>
      </w:r>
      <w:r w:rsidRPr="007D3B0D">
        <w:rPr>
          <w:rFonts w:cs="Arial"/>
          <w:vanish/>
          <w:lang w:val="en-ZA"/>
        </w:rPr>
        <w:tab/>
      </w:r>
    </w:p>
    <w:p w14:paraId="7C2AF177" w14:textId="1F19D06B" w:rsidR="007D3B0D" w:rsidRPr="0048361F" w:rsidRDefault="0048361F" w:rsidP="0048361F">
      <w:pPr>
        <w:spacing w:after="0"/>
        <w:ind w:left="360" w:hanging="360"/>
        <w:rPr>
          <w:rFonts w:cs="Arial"/>
          <w:vanish/>
        </w:rPr>
      </w:pPr>
      <w:r w:rsidRPr="007D3B0D">
        <w:rPr>
          <w:rFonts w:cs="Arial"/>
          <w:vanish/>
          <w:lang w:val="en-ZA"/>
        </w:rPr>
        <w:t>38.</w:t>
      </w:r>
      <w:r w:rsidRPr="007D3B0D">
        <w:rPr>
          <w:rFonts w:cs="Arial"/>
          <w:vanish/>
          <w:lang w:val="en-ZA"/>
        </w:rPr>
        <w:tab/>
      </w:r>
    </w:p>
    <w:p w14:paraId="062375A6" w14:textId="2593FB57" w:rsidR="007D3B0D" w:rsidRPr="0048361F" w:rsidRDefault="0048361F" w:rsidP="0048361F">
      <w:pPr>
        <w:spacing w:after="0"/>
        <w:ind w:left="360" w:hanging="360"/>
        <w:rPr>
          <w:rFonts w:cs="Arial"/>
          <w:vanish/>
        </w:rPr>
      </w:pPr>
      <w:r w:rsidRPr="007D3B0D">
        <w:rPr>
          <w:rFonts w:cs="Arial"/>
          <w:vanish/>
          <w:lang w:val="en-ZA"/>
        </w:rPr>
        <w:t>39.</w:t>
      </w:r>
      <w:r w:rsidRPr="007D3B0D">
        <w:rPr>
          <w:rFonts w:cs="Arial"/>
          <w:vanish/>
          <w:lang w:val="en-ZA"/>
        </w:rPr>
        <w:tab/>
      </w:r>
    </w:p>
    <w:p w14:paraId="56176B9C" w14:textId="419A9D21" w:rsidR="007D3B0D" w:rsidRPr="0048361F" w:rsidRDefault="0048361F" w:rsidP="0048361F">
      <w:pPr>
        <w:spacing w:after="0"/>
        <w:ind w:left="360" w:hanging="360"/>
        <w:rPr>
          <w:rFonts w:cs="Arial"/>
          <w:vanish/>
        </w:rPr>
      </w:pPr>
      <w:r w:rsidRPr="007D3B0D">
        <w:rPr>
          <w:rFonts w:cs="Arial"/>
          <w:vanish/>
          <w:lang w:val="en-ZA"/>
        </w:rPr>
        <w:t>40.</w:t>
      </w:r>
      <w:r w:rsidRPr="007D3B0D">
        <w:rPr>
          <w:rFonts w:cs="Arial"/>
          <w:vanish/>
          <w:lang w:val="en-ZA"/>
        </w:rPr>
        <w:tab/>
      </w:r>
    </w:p>
    <w:p w14:paraId="137D77C4" w14:textId="509DED2E" w:rsidR="007D3B0D" w:rsidRPr="0048361F" w:rsidRDefault="0048361F" w:rsidP="0048361F">
      <w:pPr>
        <w:spacing w:after="0"/>
        <w:ind w:left="360" w:hanging="360"/>
        <w:rPr>
          <w:rFonts w:cs="Arial"/>
          <w:vanish/>
        </w:rPr>
      </w:pPr>
      <w:r w:rsidRPr="007D3B0D">
        <w:rPr>
          <w:rFonts w:cs="Arial"/>
          <w:vanish/>
          <w:lang w:val="en-ZA"/>
        </w:rPr>
        <w:t>41.</w:t>
      </w:r>
      <w:r w:rsidRPr="007D3B0D">
        <w:rPr>
          <w:rFonts w:cs="Arial"/>
          <w:vanish/>
          <w:lang w:val="en-ZA"/>
        </w:rPr>
        <w:tab/>
      </w:r>
    </w:p>
    <w:p w14:paraId="73868F31" w14:textId="6C5EB31F" w:rsidR="007D3B0D" w:rsidRPr="0048361F" w:rsidRDefault="0048361F" w:rsidP="0048361F">
      <w:pPr>
        <w:spacing w:after="0"/>
        <w:ind w:left="360" w:hanging="360"/>
        <w:rPr>
          <w:rFonts w:cs="Arial"/>
          <w:vanish/>
        </w:rPr>
      </w:pPr>
      <w:r w:rsidRPr="007D3B0D">
        <w:rPr>
          <w:rFonts w:cs="Arial"/>
          <w:vanish/>
          <w:lang w:val="en-ZA"/>
        </w:rPr>
        <w:t>42.</w:t>
      </w:r>
      <w:r w:rsidRPr="007D3B0D">
        <w:rPr>
          <w:rFonts w:cs="Arial"/>
          <w:vanish/>
          <w:lang w:val="en-ZA"/>
        </w:rPr>
        <w:tab/>
      </w:r>
    </w:p>
    <w:p w14:paraId="34EDC959" w14:textId="1D0644B6" w:rsidR="007D3B0D" w:rsidRPr="0048361F" w:rsidRDefault="0048361F" w:rsidP="0048361F">
      <w:pPr>
        <w:spacing w:after="0"/>
        <w:ind w:left="360" w:hanging="360"/>
        <w:rPr>
          <w:rFonts w:cs="Arial"/>
          <w:vanish/>
        </w:rPr>
      </w:pPr>
      <w:r w:rsidRPr="007D3B0D">
        <w:rPr>
          <w:rFonts w:cs="Arial"/>
          <w:vanish/>
          <w:lang w:val="en-ZA"/>
        </w:rPr>
        <w:t>43.</w:t>
      </w:r>
      <w:r w:rsidRPr="007D3B0D">
        <w:rPr>
          <w:rFonts w:cs="Arial"/>
          <w:vanish/>
          <w:lang w:val="en-ZA"/>
        </w:rPr>
        <w:tab/>
      </w:r>
    </w:p>
    <w:p w14:paraId="68FCD418" w14:textId="37F20248" w:rsidR="007D3B0D" w:rsidRPr="0048361F" w:rsidRDefault="0048361F" w:rsidP="0048361F">
      <w:pPr>
        <w:spacing w:after="0"/>
        <w:ind w:left="360" w:hanging="360"/>
        <w:rPr>
          <w:rFonts w:cs="Arial"/>
          <w:vanish/>
        </w:rPr>
      </w:pPr>
      <w:r w:rsidRPr="007D3B0D">
        <w:rPr>
          <w:rFonts w:cs="Arial"/>
          <w:vanish/>
          <w:lang w:val="en-ZA"/>
        </w:rPr>
        <w:t>44.</w:t>
      </w:r>
      <w:r w:rsidRPr="007D3B0D">
        <w:rPr>
          <w:rFonts w:cs="Arial"/>
          <w:vanish/>
          <w:lang w:val="en-ZA"/>
        </w:rPr>
        <w:tab/>
      </w:r>
    </w:p>
    <w:p w14:paraId="28D3C6A9" w14:textId="5B3E9ED6" w:rsidR="007D3B0D" w:rsidRPr="0048361F" w:rsidRDefault="0048361F" w:rsidP="0048361F">
      <w:pPr>
        <w:spacing w:after="0"/>
        <w:ind w:left="360" w:hanging="360"/>
        <w:rPr>
          <w:rFonts w:cs="Arial"/>
          <w:vanish/>
        </w:rPr>
      </w:pPr>
      <w:r w:rsidRPr="007D3B0D">
        <w:rPr>
          <w:rFonts w:cs="Arial"/>
          <w:vanish/>
          <w:lang w:val="en-ZA"/>
        </w:rPr>
        <w:t>45.</w:t>
      </w:r>
      <w:r w:rsidRPr="007D3B0D">
        <w:rPr>
          <w:rFonts w:cs="Arial"/>
          <w:vanish/>
          <w:lang w:val="en-ZA"/>
        </w:rPr>
        <w:tab/>
      </w:r>
    </w:p>
    <w:p w14:paraId="40426A92" w14:textId="7F599025" w:rsidR="007D3B0D" w:rsidRPr="0048361F" w:rsidRDefault="0048361F" w:rsidP="0048361F">
      <w:pPr>
        <w:spacing w:after="0"/>
        <w:ind w:left="360" w:hanging="360"/>
        <w:rPr>
          <w:rFonts w:cs="Arial"/>
          <w:vanish/>
        </w:rPr>
      </w:pPr>
      <w:r w:rsidRPr="007D3B0D">
        <w:rPr>
          <w:rFonts w:cs="Arial"/>
          <w:vanish/>
          <w:lang w:val="en-ZA"/>
        </w:rPr>
        <w:t>46.</w:t>
      </w:r>
      <w:r w:rsidRPr="007D3B0D">
        <w:rPr>
          <w:rFonts w:cs="Arial"/>
          <w:vanish/>
          <w:lang w:val="en-ZA"/>
        </w:rPr>
        <w:tab/>
      </w:r>
    </w:p>
    <w:p w14:paraId="2E9ECEA1" w14:textId="7B2C2096" w:rsidR="007D3B0D" w:rsidRPr="0048361F" w:rsidRDefault="0048361F" w:rsidP="0048361F">
      <w:pPr>
        <w:spacing w:after="0"/>
        <w:ind w:left="360" w:hanging="360"/>
        <w:rPr>
          <w:rFonts w:cs="Arial"/>
          <w:vanish/>
        </w:rPr>
      </w:pPr>
      <w:r w:rsidRPr="007D3B0D">
        <w:rPr>
          <w:rFonts w:cs="Arial"/>
          <w:vanish/>
          <w:lang w:val="en-ZA"/>
        </w:rPr>
        <w:t>47.</w:t>
      </w:r>
      <w:r w:rsidRPr="007D3B0D">
        <w:rPr>
          <w:rFonts w:cs="Arial"/>
          <w:vanish/>
          <w:lang w:val="en-ZA"/>
        </w:rPr>
        <w:tab/>
      </w:r>
    </w:p>
    <w:p w14:paraId="7F0B1C74" w14:textId="7287CE68" w:rsidR="007D3B0D" w:rsidRPr="0048361F" w:rsidRDefault="0048361F" w:rsidP="0048361F">
      <w:pPr>
        <w:spacing w:after="0"/>
        <w:ind w:left="360" w:hanging="360"/>
        <w:rPr>
          <w:rFonts w:cs="Arial"/>
          <w:vanish/>
        </w:rPr>
      </w:pPr>
      <w:r w:rsidRPr="007D3B0D">
        <w:rPr>
          <w:rFonts w:cs="Arial"/>
          <w:vanish/>
          <w:lang w:val="en-ZA"/>
        </w:rPr>
        <w:t>48.</w:t>
      </w:r>
      <w:r w:rsidRPr="007D3B0D">
        <w:rPr>
          <w:rFonts w:cs="Arial"/>
          <w:vanish/>
          <w:lang w:val="en-ZA"/>
        </w:rPr>
        <w:tab/>
      </w:r>
    </w:p>
    <w:p w14:paraId="4C65968D" w14:textId="2191C7AF" w:rsidR="007D3B0D" w:rsidRPr="0048361F" w:rsidRDefault="0048361F" w:rsidP="0048361F">
      <w:pPr>
        <w:spacing w:after="0"/>
        <w:ind w:left="360" w:hanging="360"/>
        <w:rPr>
          <w:rFonts w:cs="Arial"/>
          <w:vanish/>
        </w:rPr>
      </w:pPr>
      <w:r w:rsidRPr="007D3B0D">
        <w:rPr>
          <w:rFonts w:cs="Arial"/>
          <w:vanish/>
          <w:lang w:val="en-ZA"/>
        </w:rPr>
        <w:t>49.</w:t>
      </w:r>
      <w:r w:rsidRPr="007D3B0D">
        <w:rPr>
          <w:rFonts w:cs="Arial"/>
          <w:vanish/>
          <w:lang w:val="en-ZA"/>
        </w:rPr>
        <w:tab/>
      </w:r>
    </w:p>
    <w:p w14:paraId="6538E2DB" w14:textId="5B255A8E" w:rsidR="007D3B0D" w:rsidRPr="0048361F" w:rsidRDefault="0048361F" w:rsidP="0048361F">
      <w:pPr>
        <w:spacing w:after="0"/>
        <w:ind w:left="360" w:hanging="360"/>
        <w:rPr>
          <w:rFonts w:cs="Arial"/>
          <w:vanish/>
        </w:rPr>
      </w:pPr>
      <w:r w:rsidRPr="007D3B0D">
        <w:rPr>
          <w:rFonts w:cs="Arial"/>
          <w:vanish/>
          <w:lang w:val="en-ZA"/>
        </w:rPr>
        <w:t>50.</w:t>
      </w:r>
      <w:r w:rsidRPr="007D3B0D">
        <w:rPr>
          <w:rFonts w:cs="Arial"/>
          <w:vanish/>
          <w:lang w:val="en-ZA"/>
        </w:rPr>
        <w:tab/>
      </w:r>
    </w:p>
    <w:p w14:paraId="5BE5C5B4" w14:textId="0F5C3BE3" w:rsidR="007D3B0D" w:rsidRPr="0048361F" w:rsidRDefault="0048361F" w:rsidP="0048361F">
      <w:pPr>
        <w:spacing w:after="0"/>
        <w:ind w:left="360" w:hanging="360"/>
        <w:rPr>
          <w:rFonts w:cs="Arial"/>
          <w:vanish/>
        </w:rPr>
      </w:pPr>
      <w:r w:rsidRPr="007D3B0D">
        <w:rPr>
          <w:rFonts w:cs="Arial"/>
          <w:vanish/>
          <w:lang w:val="en-ZA"/>
        </w:rPr>
        <w:t>51.</w:t>
      </w:r>
      <w:r w:rsidRPr="007D3B0D">
        <w:rPr>
          <w:rFonts w:cs="Arial"/>
          <w:vanish/>
          <w:lang w:val="en-ZA"/>
        </w:rPr>
        <w:tab/>
      </w:r>
    </w:p>
    <w:p w14:paraId="290DE235" w14:textId="68D10A78" w:rsidR="007D3B0D" w:rsidRPr="0048361F" w:rsidRDefault="0048361F" w:rsidP="0048361F">
      <w:pPr>
        <w:spacing w:after="0"/>
        <w:ind w:left="360" w:hanging="360"/>
        <w:rPr>
          <w:rFonts w:cs="Arial"/>
          <w:vanish/>
        </w:rPr>
      </w:pPr>
      <w:r w:rsidRPr="007D3B0D">
        <w:rPr>
          <w:rFonts w:cs="Arial"/>
          <w:vanish/>
          <w:lang w:val="en-ZA"/>
        </w:rPr>
        <w:t>52.</w:t>
      </w:r>
      <w:r w:rsidRPr="007D3B0D">
        <w:rPr>
          <w:rFonts w:cs="Arial"/>
          <w:vanish/>
          <w:lang w:val="en-ZA"/>
        </w:rPr>
        <w:tab/>
      </w:r>
    </w:p>
    <w:p w14:paraId="1F7572EE" w14:textId="128D6955" w:rsidR="007D3B0D" w:rsidRPr="0048361F" w:rsidRDefault="0048361F" w:rsidP="0048361F">
      <w:pPr>
        <w:spacing w:after="0"/>
        <w:ind w:left="360" w:hanging="360"/>
        <w:rPr>
          <w:rFonts w:cs="Arial"/>
          <w:vanish/>
        </w:rPr>
      </w:pPr>
      <w:r w:rsidRPr="007D3B0D">
        <w:rPr>
          <w:rFonts w:cs="Arial"/>
          <w:vanish/>
          <w:lang w:val="en-ZA"/>
        </w:rPr>
        <w:t>53.</w:t>
      </w:r>
      <w:r w:rsidRPr="007D3B0D">
        <w:rPr>
          <w:rFonts w:cs="Arial"/>
          <w:vanish/>
          <w:lang w:val="en-ZA"/>
        </w:rPr>
        <w:tab/>
      </w:r>
    </w:p>
    <w:p w14:paraId="230A702B" w14:textId="7B81A4ED" w:rsidR="007D3B0D" w:rsidRPr="0048361F" w:rsidRDefault="0048361F" w:rsidP="0048361F">
      <w:pPr>
        <w:spacing w:after="0"/>
        <w:ind w:left="360" w:hanging="360"/>
        <w:rPr>
          <w:rFonts w:cs="Arial"/>
          <w:vanish/>
        </w:rPr>
      </w:pPr>
      <w:r w:rsidRPr="007D3B0D">
        <w:rPr>
          <w:rFonts w:cs="Arial"/>
          <w:vanish/>
          <w:lang w:val="en-ZA"/>
        </w:rPr>
        <w:t>54.</w:t>
      </w:r>
      <w:r w:rsidRPr="007D3B0D">
        <w:rPr>
          <w:rFonts w:cs="Arial"/>
          <w:vanish/>
          <w:lang w:val="en-ZA"/>
        </w:rPr>
        <w:tab/>
      </w:r>
    </w:p>
    <w:p w14:paraId="125EDAFF" w14:textId="20B62304" w:rsidR="007D3B0D" w:rsidRPr="0048361F" w:rsidRDefault="0048361F" w:rsidP="0048361F">
      <w:pPr>
        <w:spacing w:after="0"/>
        <w:ind w:left="360" w:hanging="360"/>
        <w:rPr>
          <w:rFonts w:cs="Arial"/>
          <w:vanish/>
        </w:rPr>
      </w:pPr>
      <w:r w:rsidRPr="007D3B0D">
        <w:rPr>
          <w:rFonts w:cs="Arial"/>
          <w:vanish/>
          <w:lang w:val="en-ZA"/>
        </w:rPr>
        <w:t>55.</w:t>
      </w:r>
      <w:r w:rsidRPr="007D3B0D">
        <w:rPr>
          <w:rFonts w:cs="Arial"/>
          <w:vanish/>
          <w:lang w:val="en-ZA"/>
        </w:rPr>
        <w:tab/>
      </w:r>
    </w:p>
    <w:p w14:paraId="253010C7" w14:textId="178009D9" w:rsidR="007D3B0D" w:rsidRPr="0048361F" w:rsidRDefault="0048361F" w:rsidP="0048361F">
      <w:pPr>
        <w:spacing w:after="0"/>
        <w:ind w:left="360" w:hanging="360"/>
        <w:rPr>
          <w:rFonts w:cs="Arial"/>
          <w:vanish/>
        </w:rPr>
      </w:pPr>
      <w:r w:rsidRPr="007D3B0D">
        <w:rPr>
          <w:rFonts w:cs="Arial"/>
          <w:vanish/>
          <w:lang w:val="en-ZA"/>
        </w:rPr>
        <w:t>56.</w:t>
      </w:r>
      <w:r w:rsidRPr="007D3B0D">
        <w:rPr>
          <w:rFonts w:cs="Arial"/>
          <w:vanish/>
          <w:lang w:val="en-ZA"/>
        </w:rPr>
        <w:tab/>
      </w:r>
    </w:p>
    <w:p w14:paraId="6AA498AE" w14:textId="59ED0A4F" w:rsidR="007D3B0D" w:rsidRPr="0048361F" w:rsidRDefault="0048361F" w:rsidP="0048361F">
      <w:pPr>
        <w:spacing w:after="0"/>
        <w:ind w:left="360" w:hanging="360"/>
        <w:rPr>
          <w:rFonts w:cs="Arial"/>
          <w:vanish/>
        </w:rPr>
      </w:pPr>
      <w:r w:rsidRPr="007D3B0D">
        <w:rPr>
          <w:rFonts w:cs="Arial"/>
          <w:vanish/>
          <w:lang w:val="en-ZA"/>
        </w:rPr>
        <w:t>57.</w:t>
      </w:r>
      <w:r w:rsidRPr="007D3B0D">
        <w:rPr>
          <w:rFonts w:cs="Arial"/>
          <w:vanish/>
          <w:lang w:val="en-ZA"/>
        </w:rPr>
        <w:tab/>
      </w:r>
    </w:p>
    <w:p w14:paraId="6B4C41EC" w14:textId="3EB3AE6A" w:rsidR="007D3B0D" w:rsidRPr="0048361F" w:rsidRDefault="0048361F" w:rsidP="0048361F">
      <w:pPr>
        <w:spacing w:after="0"/>
        <w:ind w:left="360" w:hanging="360"/>
        <w:rPr>
          <w:rFonts w:cs="Arial"/>
          <w:vanish/>
        </w:rPr>
      </w:pPr>
      <w:r w:rsidRPr="007D3B0D">
        <w:rPr>
          <w:rFonts w:cs="Arial"/>
          <w:vanish/>
          <w:lang w:val="en-ZA"/>
        </w:rPr>
        <w:t>58.</w:t>
      </w:r>
      <w:r w:rsidRPr="007D3B0D">
        <w:rPr>
          <w:rFonts w:cs="Arial"/>
          <w:vanish/>
          <w:lang w:val="en-ZA"/>
        </w:rPr>
        <w:tab/>
      </w:r>
    </w:p>
    <w:p w14:paraId="2F05CDA2" w14:textId="213EDA9A" w:rsidR="007D3B0D" w:rsidRPr="0048361F" w:rsidRDefault="0048361F" w:rsidP="0048361F">
      <w:pPr>
        <w:spacing w:after="0"/>
        <w:ind w:left="360" w:hanging="360"/>
        <w:rPr>
          <w:rFonts w:cs="Arial"/>
          <w:vanish/>
        </w:rPr>
      </w:pPr>
      <w:r w:rsidRPr="007D3B0D">
        <w:rPr>
          <w:rFonts w:cs="Arial"/>
          <w:vanish/>
          <w:lang w:val="en-ZA"/>
        </w:rPr>
        <w:t>59.</w:t>
      </w:r>
      <w:r w:rsidRPr="007D3B0D">
        <w:rPr>
          <w:rFonts w:cs="Arial"/>
          <w:vanish/>
          <w:lang w:val="en-ZA"/>
        </w:rPr>
        <w:tab/>
      </w:r>
    </w:p>
    <w:p w14:paraId="1D263CB2" w14:textId="0A6BC285" w:rsidR="007D3B0D" w:rsidRPr="0048361F" w:rsidRDefault="0048361F" w:rsidP="0048361F">
      <w:pPr>
        <w:spacing w:after="0"/>
        <w:ind w:left="360" w:hanging="360"/>
        <w:rPr>
          <w:rFonts w:cs="Arial"/>
          <w:vanish/>
        </w:rPr>
      </w:pPr>
      <w:r w:rsidRPr="007D3B0D">
        <w:rPr>
          <w:rFonts w:cs="Arial"/>
          <w:vanish/>
          <w:lang w:val="en-ZA"/>
        </w:rPr>
        <w:t>60.</w:t>
      </w:r>
      <w:r w:rsidRPr="007D3B0D">
        <w:rPr>
          <w:rFonts w:cs="Arial"/>
          <w:vanish/>
          <w:lang w:val="en-ZA"/>
        </w:rPr>
        <w:tab/>
      </w:r>
    </w:p>
    <w:p w14:paraId="358BE93D" w14:textId="046FCF85" w:rsidR="007D3B0D" w:rsidRPr="0048361F" w:rsidRDefault="0048361F" w:rsidP="0048361F">
      <w:pPr>
        <w:spacing w:after="0"/>
        <w:ind w:left="360" w:hanging="360"/>
        <w:rPr>
          <w:rFonts w:cs="Arial"/>
          <w:vanish/>
        </w:rPr>
      </w:pPr>
      <w:r w:rsidRPr="007D3B0D">
        <w:rPr>
          <w:rFonts w:cs="Arial"/>
          <w:vanish/>
          <w:lang w:val="en-ZA"/>
        </w:rPr>
        <w:t>61.</w:t>
      </w:r>
      <w:r w:rsidRPr="007D3B0D">
        <w:rPr>
          <w:rFonts w:cs="Arial"/>
          <w:vanish/>
          <w:lang w:val="en-ZA"/>
        </w:rPr>
        <w:tab/>
      </w:r>
    </w:p>
    <w:p w14:paraId="6D0A5175" w14:textId="08BC1D6B" w:rsidR="009604F3" w:rsidRPr="00A41E69" w:rsidRDefault="0048361F" w:rsidP="0048361F">
      <w:pPr>
        <w:pStyle w:val="JudgmentNumbered"/>
        <w:numPr>
          <w:ilvl w:val="0"/>
          <w:numId w:val="0"/>
        </w:numPr>
        <w:spacing w:after="0"/>
        <w:ind w:left="1276" w:hanging="709"/>
        <w:rPr>
          <w:lang w:val="en-ZA"/>
        </w:rPr>
      </w:pPr>
      <w:r w:rsidRPr="00A41E69">
        <w:rPr>
          <w:lang w:val="en-ZA"/>
        </w:rPr>
        <w:t>61.1.</w:t>
      </w:r>
      <w:r w:rsidRPr="00A41E69">
        <w:rPr>
          <w:lang w:val="en-ZA"/>
        </w:rPr>
        <w:tab/>
      </w:r>
      <w:r w:rsidR="009604F3" w:rsidRPr="00A41E69">
        <w:rPr>
          <w:lang w:val="en-ZA"/>
        </w:rPr>
        <w:t>Four committee members constitute a quorum, without which the committee business cannot proceed</w:t>
      </w:r>
      <w:r w:rsidR="003C32B3">
        <w:rPr>
          <w:lang w:val="en-ZA"/>
        </w:rPr>
        <w:t>.</w:t>
      </w:r>
      <w:r w:rsidR="009604F3" w:rsidRPr="00A41E69">
        <w:rPr>
          <w:lang w:val="en-ZA"/>
        </w:rPr>
        <w:t xml:space="preserve"> </w:t>
      </w:r>
    </w:p>
    <w:p w14:paraId="3FE3EAFE" w14:textId="51E99313" w:rsidR="009604F3" w:rsidRDefault="0048361F" w:rsidP="0048361F">
      <w:pPr>
        <w:pStyle w:val="JudgmentNumbered"/>
        <w:numPr>
          <w:ilvl w:val="0"/>
          <w:numId w:val="0"/>
        </w:numPr>
        <w:spacing w:after="0"/>
        <w:ind w:left="1276" w:hanging="709"/>
        <w:rPr>
          <w:lang w:val="en-ZA"/>
        </w:rPr>
      </w:pPr>
      <w:r>
        <w:rPr>
          <w:lang w:val="en-ZA"/>
        </w:rPr>
        <w:t>61.2.</w:t>
      </w:r>
      <w:r>
        <w:rPr>
          <w:lang w:val="en-ZA"/>
        </w:rPr>
        <w:tab/>
      </w:r>
      <w:r w:rsidR="009604F3" w:rsidRPr="00A41E69">
        <w:rPr>
          <w:lang w:val="en-ZA"/>
        </w:rPr>
        <w:t xml:space="preserve">There are no fixed rules concerning the composition of a quorum except to say that it should include the Committee Chair, </w:t>
      </w:r>
      <w:r w:rsidR="009604F3">
        <w:rPr>
          <w:lang w:val="en-ZA"/>
        </w:rPr>
        <w:t>V</w:t>
      </w:r>
      <w:r w:rsidR="009604F3" w:rsidRPr="009404DC">
        <w:rPr>
          <w:lang w:val="en-ZA"/>
        </w:rPr>
        <w:t>ice-</w:t>
      </w:r>
      <w:r w:rsidR="009604F3">
        <w:rPr>
          <w:lang w:val="en-ZA"/>
        </w:rPr>
        <w:t>C</w:t>
      </w:r>
      <w:r w:rsidR="009604F3" w:rsidRPr="009404DC">
        <w:rPr>
          <w:lang w:val="en-ZA"/>
        </w:rPr>
        <w:t>hair</w:t>
      </w:r>
      <w:r w:rsidR="009604F3" w:rsidRPr="00A41E69">
        <w:rPr>
          <w:lang w:val="en-ZA"/>
        </w:rPr>
        <w:t xml:space="preserve"> or another member designated to act as the interim Chair or </w:t>
      </w:r>
      <w:r w:rsidR="009604F3">
        <w:rPr>
          <w:lang w:val="en-ZA"/>
        </w:rPr>
        <w:t>V</w:t>
      </w:r>
      <w:r w:rsidR="009604F3" w:rsidRPr="009404DC">
        <w:rPr>
          <w:lang w:val="en-ZA"/>
        </w:rPr>
        <w:t>ice-</w:t>
      </w:r>
      <w:r w:rsidR="009604F3">
        <w:rPr>
          <w:lang w:val="en-ZA"/>
        </w:rPr>
        <w:t>C</w:t>
      </w:r>
      <w:r w:rsidR="009604F3" w:rsidRPr="009404DC">
        <w:rPr>
          <w:lang w:val="en-ZA"/>
        </w:rPr>
        <w:t>hair</w:t>
      </w:r>
      <w:r w:rsidR="009604F3" w:rsidRPr="00A41E69">
        <w:rPr>
          <w:lang w:val="en-ZA"/>
        </w:rPr>
        <w:t xml:space="preserve"> should either not be able to attend the meeting. </w:t>
      </w:r>
    </w:p>
    <w:p w14:paraId="25BAE4EC" w14:textId="02C4C5EC" w:rsidR="009604F3" w:rsidRPr="00A41E69" w:rsidRDefault="0048361F" w:rsidP="0048361F">
      <w:pPr>
        <w:pStyle w:val="JudgmentNumbered"/>
        <w:numPr>
          <w:ilvl w:val="0"/>
          <w:numId w:val="0"/>
        </w:numPr>
        <w:spacing w:after="0"/>
        <w:ind w:left="1276" w:hanging="709"/>
        <w:rPr>
          <w:lang w:val="en-ZA"/>
        </w:rPr>
      </w:pPr>
      <w:r w:rsidRPr="00A41E69">
        <w:rPr>
          <w:lang w:val="en-ZA"/>
        </w:rPr>
        <w:t>61.3.</w:t>
      </w:r>
      <w:r w:rsidRPr="00A41E69">
        <w:rPr>
          <w:lang w:val="en-ZA"/>
        </w:rPr>
        <w:tab/>
      </w:r>
      <w:r w:rsidR="009604F3" w:rsidRPr="00A41E69">
        <w:rPr>
          <w:lang w:val="en-ZA"/>
        </w:rPr>
        <w:t xml:space="preserve">At least </w:t>
      </w:r>
      <w:r w:rsidR="009604F3">
        <w:rPr>
          <w:lang w:val="en-ZA"/>
        </w:rPr>
        <w:t>one</w:t>
      </w:r>
      <w:r w:rsidR="009604F3" w:rsidRPr="00A41E69">
        <w:rPr>
          <w:lang w:val="en-ZA"/>
        </w:rPr>
        <w:t xml:space="preserve"> member from the National </w:t>
      </w:r>
      <w:r w:rsidR="009604F3">
        <w:rPr>
          <w:lang w:val="en-ZA"/>
        </w:rPr>
        <w:t>Treasury</w:t>
      </w:r>
      <w:r w:rsidR="009604F3" w:rsidRPr="00A41E69">
        <w:rPr>
          <w:lang w:val="en-ZA"/>
        </w:rPr>
        <w:t xml:space="preserve"> must be present at the Advisory Committee meeting to comprise a quorum</w:t>
      </w:r>
      <w:r w:rsidR="00EE5E55">
        <w:rPr>
          <w:lang w:val="en-ZA"/>
        </w:rPr>
        <w:t>.</w:t>
      </w:r>
    </w:p>
    <w:p w14:paraId="0DECF2A0" w14:textId="3D29AC53" w:rsidR="009604F3" w:rsidRPr="00A41E69" w:rsidRDefault="0048361F" w:rsidP="0048361F">
      <w:pPr>
        <w:pStyle w:val="JudgmentNumbered"/>
        <w:numPr>
          <w:ilvl w:val="0"/>
          <w:numId w:val="0"/>
        </w:numPr>
        <w:spacing w:after="0"/>
        <w:ind w:left="1276" w:hanging="709"/>
        <w:rPr>
          <w:lang w:val="en-ZA"/>
        </w:rPr>
      </w:pPr>
      <w:r w:rsidRPr="00A41E69">
        <w:rPr>
          <w:lang w:val="en-ZA"/>
        </w:rPr>
        <w:t>61.4.</w:t>
      </w:r>
      <w:r w:rsidRPr="00A41E69">
        <w:rPr>
          <w:lang w:val="en-ZA"/>
        </w:rPr>
        <w:tab/>
      </w:r>
      <w:r w:rsidR="009604F3" w:rsidRPr="00A41E69">
        <w:rPr>
          <w:lang w:val="en-ZA"/>
        </w:rPr>
        <w:t>A decision of the majority of the members of the committee present at any formally constituted meeting of the committee shall constitute a decision of the committee</w:t>
      </w:r>
      <w:r w:rsidR="00EE5E55">
        <w:rPr>
          <w:lang w:val="en-ZA"/>
        </w:rPr>
        <w:t>.</w:t>
      </w:r>
    </w:p>
    <w:p w14:paraId="5624A323" w14:textId="77777777" w:rsidR="009604F3" w:rsidRPr="00A41E69" w:rsidRDefault="009604F3" w:rsidP="00A41E69">
      <w:pPr>
        <w:pStyle w:val="JudgmentNumbered"/>
        <w:numPr>
          <w:ilvl w:val="0"/>
          <w:numId w:val="0"/>
        </w:numPr>
        <w:spacing w:after="0"/>
        <w:ind w:left="1276"/>
        <w:rPr>
          <w:lang w:val="en-ZA"/>
        </w:rPr>
      </w:pPr>
    </w:p>
    <w:p w14:paraId="178C5736" w14:textId="0FF8217F" w:rsidR="0038164F" w:rsidRDefault="0048361F" w:rsidP="0048361F">
      <w:pPr>
        <w:pStyle w:val="JudgmentNumbered"/>
        <w:numPr>
          <w:ilvl w:val="0"/>
          <w:numId w:val="0"/>
        </w:numPr>
        <w:ind w:left="567" w:hanging="567"/>
        <w:rPr>
          <w:lang w:val="en-ZA"/>
        </w:rPr>
      </w:pPr>
      <w:r>
        <w:rPr>
          <w:lang w:val="en-ZA"/>
        </w:rPr>
        <w:t>[62]</w:t>
      </w:r>
      <w:r>
        <w:rPr>
          <w:lang w:val="en-ZA"/>
        </w:rPr>
        <w:tab/>
      </w:r>
      <w:r w:rsidR="00A116DF">
        <w:rPr>
          <w:lang w:val="en-ZA"/>
        </w:rPr>
        <w:t xml:space="preserve">The </w:t>
      </w:r>
      <w:r w:rsidR="00DB4DC5">
        <w:rPr>
          <w:lang w:val="en-ZA"/>
        </w:rPr>
        <w:t xml:space="preserve">uncontested </w:t>
      </w:r>
      <w:r w:rsidR="00A116DF">
        <w:rPr>
          <w:lang w:val="en-ZA"/>
        </w:rPr>
        <w:t xml:space="preserve">evidence tells us that the Secretariat of the </w:t>
      </w:r>
      <w:r w:rsidR="0090644D">
        <w:rPr>
          <w:lang w:val="en-ZA"/>
        </w:rPr>
        <w:t xml:space="preserve">Advisory Committee sent an email to </w:t>
      </w:r>
      <w:r w:rsidR="00B0724E">
        <w:rPr>
          <w:lang w:val="en-ZA"/>
        </w:rPr>
        <w:t xml:space="preserve">four </w:t>
      </w:r>
      <w:r w:rsidR="0090644D">
        <w:rPr>
          <w:lang w:val="en-ZA"/>
        </w:rPr>
        <w:t xml:space="preserve">Advisory </w:t>
      </w:r>
      <w:r w:rsidR="00D818FF">
        <w:rPr>
          <w:lang w:val="en-ZA"/>
        </w:rPr>
        <w:t>Committee</w:t>
      </w:r>
      <w:r w:rsidR="0090644D">
        <w:rPr>
          <w:lang w:val="en-ZA"/>
        </w:rPr>
        <w:t xml:space="preserve"> members</w:t>
      </w:r>
      <w:r w:rsidR="00B0724E">
        <w:rPr>
          <w:lang w:val="en-ZA"/>
        </w:rPr>
        <w:t>, and three alternate Advisory Committee member</w:t>
      </w:r>
      <w:r w:rsidR="00E72327">
        <w:rPr>
          <w:lang w:val="en-ZA"/>
        </w:rPr>
        <w:t>s,</w:t>
      </w:r>
      <w:r w:rsidR="0090644D">
        <w:rPr>
          <w:lang w:val="en-ZA"/>
        </w:rPr>
        <w:t xml:space="preserve"> to consider the Cuban request for </w:t>
      </w:r>
      <w:r w:rsidR="00D818FF">
        <w:rPr>
          <w:lang w:val="en-ZA"/>
        </w:rPr>
        <w:t>humanitarian</w:t>
      </w:r>
      <w:r w:rsidR="0090644D">
        <w:rPr>
          <w:lang w:val="en-ZA"/>
        </w:rPr>
        <w:t xml:space="preserve"> assistance. </w:t>
      </w:r>
      <w:r w:rsidR="00CE64A3">
        <w:rPr>
          <w:lang w:val="en-ZA"/>
        </w:rPr>
        <w:t xml:space="preserve">The members </w:t>
      </w:r>
      <w:r w:rsidR="00E72327">
        <w:rPr>
          <w:lang w:val="en-ZA"/>
        </w:rPr>
        <w:t>mentioned</w:t>
      </w:r>
      <w:r w:rsidR="00CE64A3">
        <w:rPr>
          <w:lang w:val="en-ZA"/>
        </w:rPr>
        <w:t xml:space="preserve"> in the memo are Ambassador Losi</w:t>
      </w:r>
      <w:r w:rsidR="00463D41">
        <w:rPr>
          <w:lang w:val="en-ZA"/>
        </w:rPr>
        <w:t xml:space="preserve"> (DIRCO), Mr Robin Toli (Fina</w:t>
      </w:r>
      <w:r w:rsidR="003D5E2D">
        <w:rPr>
          <w:lang w:val="en-ZA"/>
        </w:rPr>
        <w:t>n</w:t>
      </w:r>
      <w:r w:rsidR="00463D41">
        <w:rPr>
          <w:lang w:val="en-ZA"/>
        </w:rPr>
        <w:t>ce)</w:t>
      </w:r>
      <w:r w:rsidR="003D5E2D">
        <w:rPr>
          <w:lang w:val="en-ZA"/>
        </w:rPr>
        <w:t xml:space="preserve">, Ambassador Tsengiwe (DIRCO), </w:t>
      </w:r>
      <w:r w:rsidR="00C17252">
        <w:rPr>
          <w:lang w:val="en-ZA"/>
        </w:rPr>
        <w:t>Mr Themba Zulu (Finance)</w:t>
      </w:r>
      <w:r w:rsidR="00E72327">
        <w:rPr>
          <w:lang w:val="en-ZA"/>
        </w:rPr>
        <w:t xml:space="preserve">. </w:t>
      </w:r>
      <w:r w:rsidR="007D11E0">
        <w:rPr>
          <w:lang w:val="en-ZA"/>
        </w:rPr>
        <w:t>Additionally</w:t>
      </w:r>
      <w:r w:rsidR="00E72327">
        <w:rPr>
          <w:lang w:val="en-ZA"/>
        </w:rPr>
        <w:t xml:space="preserve"> the </w:t>
      </w:r>
      <w:r w:rsidR="000C41C6">
        <w:rPr>
          <w:lang w:val="en-ZA"/>
        </w:rPr>
        <w:t>alternate members also mentioned in the email are Ms Bhengu (</w:t>
      </w:r>
      <w:r w:rsidR="00351B87">
        <w:rPr>
          <w:lang w:val="en-ZA"/>
        </w:rPr>
        <w:t>DIRCO), Ms Nkuna-Shilubane (</w:t>
      </w:r>
      <w:r w:rsidR="00834F71">
        <w:rPr>
          <w:lang w:val="en-ZA"/>
        </w:rPr>
        <w:t xml:space="preserve">Finance) and Ms Naran (Finance). </w:t>
      </w:r>
      <w:r w:rsidR="003C7AFD">
        <w:rPr>
          <w:lang w:val="en-ZA"/>
        </w:rPr>
        <w:t xml:space="preserve">The </w:t>
      </w:r>
      <w:r w:rsidR="00F063E2">
        <w:rPr>
          <w:lang w:val="en-ZA"/>
        </w:rPr>
        <w:t>evidence is</w:t>
      </w:r>
      <w:r w:rsidR="003C7AFD">
        <w:rPr>
          <w:lang w:val="en-ZA"/>
        </w:rPr>
        <w:t xml:space="preserve"> further to the effect that </w:t>
      </w:r>
      <w:r w:rsidR="009604F3" w:rsidRPr="00DA1391">
        <w:rPr>
          <w:lang w:val="en-ZA"/>
        </w:rPr>
        <w:t xml:space="preserve">only </w:t>
      </w:r>
      <w:r w:rsidR="009D3E0E">
        <w:rPr>
          <w:lang w:val="en-ZA"/>
        </w:rPr>
        <w:t xml:space="preserve">two members responded, approving the </w:t>
      </w:r>
      <w:r w:rsidR="00411059">
        <w:rPr>
          <w:lang w:val="en-ZA"/>
        </w:rPr>
        <w:t>recommendation to make the donation to Cuba</w:t>
      </w:r>
      <w:r w:rsidR="004A3344">
        <w:rPr>
          <w:lang w:val="en-ZA"/>
        </w:rPr>
        <w:t>. They</w:t>
      </w:r>
      <w:r w:rsidR="009604F3" w:rsidRPr="00DA1391">
        <w:rPr>
          <w:lang w:val="en-ZA"/>
        </w:rPr>
        <w:t xml:space="preserve"> are </w:t>
      </w:r>
      <w:r w:rsidR="00270256">
        <w:rPr>
          <w:lang w:val="en-ZA"/>
        </w:rPr>
        <w:t xml:space="preserve">Mr </w:t>
      </w:r>
      <w:r w:rsidR="009604F3" w:rsidRPr="00DA1391">
        <w:rPr>
          <w:lang w:val="en-ZA"/>
        </w:rPr>
        <w:t>Robin Toli</w:t>
      </w:r>
      <w:r w:rsidR="00DE61BD">
        <w:rPr>
          <w:lang w:val="en-ZA"/>
        </w:rPr>
        <w:t xml:space="preserve"> and Ambassador </w:t>
      </w:r>
      <w:r w:rsidR="00381249">
        <w:rPr>
          <w:lang w:val="en-ZA"/>
        </w:rPr>
        <w:t xml:space="preserve">Ganga </w:t>
      </w:r>
      <w:r w:rsidR="00DE61BD">
        <w:rPr>
          <w:lang w:val="en-ZA"/>
        </w:rPr>
        <w:t xml:space="preserve">Tsengiwe. One Alternate member </w:t>
      </w:r>
      <w:r w:rsidR="00B04549">
        <w:rPr>
          <w:lang w:val="en-ZA"/>
        </w:rPr>
        <w:t xml:space="preserve">also voted in favour and that is Ms </w:t>
      </w:r>
      <w:r w:rsidR="00535EA1">
        <w:rPr>
          <w:lang w:val="en-ZA"/>
        </w:rPr>
        <w:t xml:space="preserve">Hlengiwe </w:t>
      </w:r>
      <w:r w:rsidR="00B04549">
        <w:rPr>
          <w:lang w:val="en-ZA"/>
        </w:rPr>
        <w:t>Bhengu.</w:t>
      </w:r>
      <w:r w:rsidR="009604F3" w:rsidRPr="00DA1391">
        <w:rPr>
          <w:lang w:val="en-ZA"/>
        </w:rPr>
        <w:t xml:space="preserve"> No other email response is recorded especially from Ambassador Losi who</w:t>
      </w:r>
      <w:r w:rsidR="00FC3672" w:rsidRPr="00DA1391">
        <w:rPr>
          <w:lang w:val="en-ZA"/>
        </w:rPr>
        <w:t>,</w:t>
      </w:r>
      <w:r w:rsidR="009604F3" w:rsidRPr="00DA1391">
        <w:rPr>
          <w:lang w:val="en-ZA"/>
        </w:rPr>
        <w:t xml:space="preserve"> the DIRCO Respondents state</w:t>
      </w:r>
      <w:r w:rsidR="00515974">
        <w:rPr>
          <w:lang w:val="en-ZA"/>
        </w:rPr>
        <w:t>,</w:t>
      </w:r>
      <w:r w:rsidR="009604F3" w:rsidRPr="00DA1391">
        <w:rPr>
          <w:lang w:val="en-ZA"/>
        </w:rPr>
        <w:t xml:space="preserve"> also voted. There is however no evidence from the record that she voted. The allegation that she voted is made by the deponent of the DIRCO Respondents</w:t>
      </w:r>
      <w:r w:rsidR="00EE5E55" w:rsidRPr="00DA1391">
        <w:rPr>
          <w:lang w:val="en-ZA"/>
        </w:rPr>
        <w:t>’</w:t>
      </w:r>
      <w:r w:rsidR="009604F3" w:rsidRPr="00DA1391">
        <w:rPr>
          <w:lang w:val="en-ZA"/>
        </w:rPr>
        <w:t xml:space="preserve"> </w:t>
      </w:r>
      <w:r w:rsidR="009604F3" w:rsidRPr="003C32B3">
        <w:rPr>
          <w:lang w:val="en-ZA"/>
        </w:rPr>
        <w:t>answering affidavit, Mr Zane Dangor, the current Director</w:t>
      </w:r>
      <w:r w:rsidR="00EE5E55" w:rsidRPr="003C32B3">
        <w:rPr>
          <w:lang w:val="en-ZA"/>
        </w:rPr>
        <w:t>-</w:t>
      </w:r>
      <w:r w:rsidR="009604F3" w:rsidRPr="003C32B3">
        <w:rPr>
          <w:lang w:val="en-ZA"/>
        </w:rPr>
        <w:t xml:space="preserve">General of </w:t>
      </w:r>
      <w:r w:rsidR="001002AF" w:rsidRPr="003C32B3">
        <w:rPr>
          <w:lang w:val="en-ZA"/>
        </w:rPr>
        <w:t>DIRCO</w:t>
      </w:r>
      <w:r w:rsidR="002C1411">
        <w:rPr>
          <w:lang w:val="en-ZA"/>
        </w:rPr>
        <w:t>, who was not involved</w:t>
      </w:r>
      <w:r w:rsidR="006837C7">
        <w:rPr>
          <w:lang w:val="en-ZA"/>
        </w:rPr>
        <w:t xml:space="preserve"> in that process</w:t>
      </w:r>
      <w:r w:rsidR="009604F3" w:rsidRPr="003C32B3">
        <w:rPr>
          <w:lang w:val="en-ZA"/>
        </w:rPr>
        <w:t xml:space="preserve">. </w:t>
      </w:r>
      <w:r w:rsidR="00734B9C">
        <w:rPr>
          <w:lang w:val="en-ZA"/>
        </w:rPr>
        <w:t xml:space="preserve">As to that allegation however, </w:t>
      </w:r>
      <w:r w:rsidR="009604F3" w:rsidRPr="003C32B3">
        <w:rPr>
          <w:lang w:val="en-ZA"/>
        </w:rPr>
        <w:t>Ambassador Losi has not filed a confirmatory affidavit to confirm that she voted.</w:t>
      </w:r>
      <w:r w:rsidR="00DA1391" w:rsidRPr="003C32B3">
        <w:rPr>
          <w:lang w:val="en-ZA"/>
        </w:rPr>
        <w:t xml:space="preserve">  We are mindful that there is a document </w:t>
      </w:r>
      <w:r w:rsidR="007F7DC4" w:rsidRPr="003C32B3">
        <w:rPr>
          <w:lang w:val="en-ZA"/>
        </w:rPr>
        <w:t>on</w:t>
      </w:r>
      <w:r w:rsidR="00DA1391" w:rsidRPr="003C32B3">
        <w:rPr>
          <w:lang w:val="en-ZA"/>
        </w:rPr>
        <w:t xml:space="preserve"> the record which appears to reflect her signature in her capacity as Acting Director-General and which </w:t>
      </w:r>
      <w:r w:rsidR="00DA1391" w:rsidRPr="00657B22">
        <w:rPr>
          <w:lang w:val="en-ZA"/>
        </w:rPr>
        <w:t>seeks the Minister’s support as well as the Finance Minister’s concurrence.</w:t>
      </w:r>
      <w:r w:rsidR="007F7DC4" w:rsidRPr="003C32B3">
        <w:rPr>
          <w:lang w:val="en-ZA"/>
        </w:rPr>
        <w:t xml:space="preserve">  </w:t>
      </w:r>
      <w:r w:rsidR="00451EB3">
        <w:rPr>
          <w:lang w:val="en-ZA"/>
        </w:rPr>
        <w:t xml:space="preserve">To the extent that I </w:t>
      </w:r>
      <w:r w:rsidR="001F5CDA">
        <w:rPr>
          <w:lang w:val="en-ZA"/>
        </w:rPr>
        <w:t xml:space="preserve">can </w:t>
      </w:r>
      <w:r w:rsidR="00451EB3">
        <w:rPr>
          <w:lang w:val="en-ZA"/>
        </w:rPr>
        <w:t>make out, t</w:t>
      </w:r>
      <w:r w:rsidR="002C2BBB">
        <w:rPr>
          <w:lang w:val="en-ZA"/>
        </w:rPr>
        <w:t xml:space="preserve">hat </w:t>
      </w:r>
      <w:r w:rsidR="00783E94">
        <w:rPr>
          <w:lang w:val="en-ZA"/>
        </w:rPr>
        <w:t xml:space="preserve">was a </w:t>
      </w:r>
      <w:r w:rsidR="003E1BE3">
        <w:rPr>
          <w:lang w:val="en-ZA"/>
        </w:rPr>
        <w:t>step</w:t>
      </w:r>
      <w:r w:rsidR="00783E94">
        <w:rPr>
          <w:lang w:val="en-ZA"/>
        </w:rPr>
        <w:t xml:space="preserve"> subsequent to the voting process </w:t>
      </w:r>
      <w:r w:rsidR="003E1BE3">
        <w:rPr>
          <w:lang w:val="en-ZA"/>
        </w:rPr>
        <w:t>which</w:t>
      </w:r>
      <w:r w:rsidR="00783E94">
        <w:rPr>
          <w:lang w:val="en-ZA"/>
        </w:rPr>
        <w:t xml:space="preserve"> was designed to establish if there was </w:t>
      </w:r>
      <w:r w:rsidR="00050E81">
        <w:rPr>
          <w:lang w:val="en-ZA"/>
        </w:rPr>
        <w:t xml:space="preserve">support for the decision to make the donation. </w:t>
      </w:r>
      <w:r w:rsidR="00520310">
        <w:rPr>
          <w:lang w:val="en-ZA"/>
        </w:rPr>
        <w:t>T</w:t>
      </w:r>
      <w:r w:rsidR="007F7DC4" w:rsidRPr="003C32B3">
        <w:rPr>
          <w:lang w:val="en-ZA"/>
        </w:rPr>
        <w:t>hese aspects are</w:t>
      </w:r>
      <w:r w:rsidR="00520310">
        <w:rPr>
          <w:lang w:val="en-ZA"/>
        </w:rPr>
        <w:t xml:space="preserve">, </w:t>
      </w:r>
      <w:r w:rsidR="00B3146C">
        <w:rPr>
          <w:lang w:val="en-ZA"/>
        </w:rPr>
        <w:t>however,</w:t>
      </w:r>
      <w:r w:rsidR="00DA1391" w:rsidRPr="003C32B3">
        <w:rPr>
          <w:lang w:val="en-ZA"/>
        </w:rPr>
        <w:t xml:space="preserve"> not</w:t>
      </w:r>
      <w:r w:rsidR="007F7DC4" w:rsidRPr="003C32B3">
        <w:rPr>
          <w:lang w:val="en-ZA"/>
        </w:rPr>
        <w:t xml:space="preserve"> adequately</w:t>
      </w:r>
      <w:r w:rsidR="00DA1391" w:rsidRPr="003C32B3">
        <w:rPr>
          <w:lang w:val="en-ZA"/>
        </w:rPr>
        <w:t xml:space="preserve"> traversed in the </w:t>
      </w:r>
      <w:r w:rsidR="007F7DC4" w:rsidRPr="003C32B3">
        <w:rPr>
          <w:lang w:val="en-ZA"/>
        </w:rPr>
        <w:t xml:space="preserve">evidence to justify a conclusion that </w:t>
      </w:r>
      <w:r w:rsidR="00CE3F36">
        <w:rPr>
          <w:lang w:val="en-ZA"/>
        </w:rPr>
        <w:t>Ambassador Losi</w:t>
      </w:r>
      <w:r w:rsidR="007F7DC4" w:rsidRPr="003C32B3">
        <w:rPr>
          <w:lang w:val="en-ZA"/>
        </w:rPr>
        <w:t xml:space="preserve"> duly participated and voted. </w:t>
      </w:r>
      <w:r w:rsidR="00DA1391" w:rsidRPr="003C32B3">
        <w:rPr>
          <w:lang w:val="en-ZA"/>
        </w:rPr>
        <w:t xml:space="preserve">  </w:t>
      </w:r>
    </w:p>
    <w:p w14:paraId="70BDF9F3" w14:textId="6FA1098C" w:rsidR="009604F3" w:rsidRPr="003C32B3" w:rsidRDefault="0048361F" w:rsidP="0048361F">
      <w:pPr>
        <w:pStyle w:val="JudgmentNumbered"/>
        <w:numPr>
          <w:ilvl w:val="0"/>
          <w:numId w:val="0"/>
        </w:numPr>
        <w:ind w:left="567" w:hanging="567"/>
        <w:rPr>
          <w:lang w:val="en-ZA"/>
        </w:rPr>
      </w:pPr>
      <w:r w:rsidRPr="003C32B3">
        <w:rPr>
          <w:lang w:val="en-ZA"/>
        </w:rPr>
        <w:t>[63]</w:t>
      </w:r>
      <w:r w:rsidRPr="003C32B3">
        <w:rPr>
          <w:lang w:val="en-ZA"/>
        </w:rPr>
        <w:tab/>
      </w:r>
      <w:r w:rsidR="009604F3" w:rsidRPr="003C32B3">
        <w:rPr>
          <w:lang w:val="en-ZA"/>
        </w:rPr>
        <w:t xml:space="preserve">The Constitutional Court in </w:t>
      </w:r>
      <w:r w:rsidR="009604F3" w:rsidRPr="003C32B3">
        <w:rPr>
          <w:i/>
          <w:lang w:val="en-ZA"/>
        </w:rPr>
        <w:t>Affordable Medicines Trust and Others v Minister of Health and Another</w:t>
      </w:r>
      <w:r w:rsidR="009604F3" w:rsidRPr="003C32B3">
        <w:rPr>
          <w:rStyle w:val="FootnoteReference"/>
          <w:lang w:val="en-ZA"/>
        </w:rPr>
        <w:footnoteReference w:id="33"/>
      </w:r>
      <w:r w:rsidR="009604F3" w:rsidRPr="003C32B3">
        <w:rPr>
          <w:i/>
          <w:lang w:val="en-ZA"/>
        </w:rPr>
        <w:t xml:space="preserve"> </w:t>
      </w:r>
      <w:r w:rsidR="009604F3" w:rsidRPr="003C32B3">
        <w:rPr>
          <w:lang w:val="en-ZA"/>
        </w:rPr>
        <w:t>held that:</w:t>
      </w:r>
    </w:p>
    <w:p w14:paraId="432AC0D6" w14:textId="0C85D9DE" w:rsidR="009604F3" w:rsidRPr="00A41E69" w:rsidRDefault="009604F3" w:rsidP="00A41E69">
      <w:pPr>
        <w:pStyle w:val="JudgmentNumbered"/>
        <w:numPr>
          <w:ilvl w:val="0"/>
          <w:numId w:val="0"/>
        </w:numPr>
        <w:ind w:left="1134" w:right="521"/>
        <w:rPr>
          <w:sz w:val="22"/>
          <w:lang w:val="en-ZA"/>
        </w:rPr>
      </w:pPr>
      <w:r w:rsidRPr="003C32B3">
        <w:rPr>
          <w:sz w:val="22"/>
          <w:lang w:val="en-ZA"/>
        </w:rPr>
        <w:t>“The exercise of public power must therefore comply with the Constitution, which is the suprem</w:t>
      </w:r>
      <w:r w:rsidRPr="00A41E69">
        <w:rPr>
          <w:sz w:val="22"/>
          <w:lang w:val="en-ZA"/>
        </w:rPr>
        <w:t>e law, and the doctrine of legality, which is part of that law. The doctrine of legality, which is an incident of the rule of law, is one of the constitutional controls through which the exercise of public power is regulated by the Constitution. It entails that both the Legislature and the Executive ‘are constrained by the principle that they may exercise no power and perform no function beyond that conferred upon them by law’. In this sense the Constitution entrenches the principle of legality and provides the foundation for the control of public power.”</w:t>
      </w:r>
      <w:r>
        <w:rPr>
          <w:rStyle w:val="FootnoteReference"/>
          <w:sz w:val="22"/>
          <w:lang w:val="en-ZA"/>
        </w:rPr>
        <w:footnoteReference w:id="34"/>
      </w:r>
      <w:r>
        <w:rPr>
          <w:sz w:val="22"/>
          <w:lang w:val="en-ZA"/>
        </w:rPr>
        <w:t xml:space="preserve"> </w:t>
      </w:r>
      <w:r w:rsidR="00930BA9">
        <w:rPr>
          <w:sz w:val="22"/>
          <w:lang w:val="en-ZA"/>
        </w:rPr>
        <w:t>(Footnotes omitted.)</w:t>
      </w:r>
    </w:p>
    <w:p w14:paraId="5A349866" w14:textId="77A77E31" w:rsidR="009604F3" w:rsidRPr="00A41E69" w:rsidRDefault="0048361F" w:rsidP="0048361F">
      <w:pPr>
        <w:pStyle w:val="JudgmentNumbered"/>
        <w:numPr>
          <w:ilvl w:val="0"/>
          <w:numId w:val="0"/>
        </w:numPr>
        <w:ind w:left="567" w:hanging="567"/>
        <w:rPr>
          <w:lang w:val="en-ZA"/>
        </w:rPr>
      </w:pPr>
      <w:r w:rsidRPr="00A41E69">
        <w:rPr>
          <w:lang w:val="en-ZA"/>
        </w:rPr>
        <w:t>[64]</w:t>
      </w:r>
      <w:r w:rsidRPr="00A41E69">
        <w:rPr>
          <w:lang w:val="en-ZA"/>
        </w:rPr>
        <w:tab/>
      </w:r>
      <w:r w:rsidR="009604F3" w:rsidRPr="00A41E69">
        <w:rPr>
          <w:lang w:val="en-ZA"/>
        </w:rPr>
        <w:t xml:space="preserve">The executive cannot exercise its power or perform a function beyond that which is conferred </w:t>
      </w:r>
      <w:r w:rsidR="00EE5E55">
        <w:rPr>
          <w:lang w:val="en-ZA"/>
        </w:rPr>
        <w:t>on</w:t>
      </w:r>
      <w:r w:rsidR="00EE5E55" w:rsidRPr="00A41E69">
        <w:rPr>
          <w:lang w:val="en-ZA"/>
        </w:rPr>
        <w:t xml:space="preserve"> </w:t>
      </w:r>
      <w:r w:rsidR="009604F3" w:rsidRPr="00A41E69">
        <w:rPr>
          <w:lang w:val="en-ZA"/>
        </w:rPr>
        <w:t xml:space="preserve">it by law, further that power must not be misconstrued. The decision must be rationally related to the purpose for which the power was conferred, otherwise the exercise of the power would be arbitrary and at </w:t>
      </w:r>
      <w:r w:rsidR="009604F3" w:rsidRPr="009404DC">
        <w:rPr>
          <w:szCs w:val="24"/>
          <w:lang w:val="en-ZA"/>
        </w:rPr>
        <w:t>odd</w:t>
      </w:r>
      <w:r w:rsidR="009604F3">
        <w:rPr>
          <w:szCs w:val="24"/>
          <w:lang w:val="en-ZA"/>
        </w:rPr>
        <w:t>s</w:t>
      </w:r>
      <w:r w:rsidR="009604F3" w:rsidRPr="00A41E69">
        <w:rPr>
          <w:lang w:val="en-ZA"/>
        </w:rPr>
        <w:t xml:space="preserve"> with the </w:t>
      </w:r>
      <w:r w:rsidR="00C134ED">
        <w:rPr>
          <w:szCs w:val="24"/>
          <w:lang w:val="en-ZA"/>
        </w:rPr>
        <w:t>C</w:t>
      </w:r>
      <w:r w:rsidR="00C134ED" w:rsidRPr="009404DC">
        <w:rPr>
          <w:szCs w:val="24"/>
          <w:lang w:val="en-ZA"/>
        </w:rPr>
        <w:t>onstitution</w:t>
      </w:r>
      <w:r w:rsidR="00C134ED" w:rsidRPr="00A41E69">
        <w:rPr>
          <w:lang w:val="en-ZA"/>
        </w:rPr>
        <w:t>.</w:t>
      </w:r>
      <w:r w:rsidR="009604F3" w:rsidRPr="00A41E69">
        <w:rPr>
          <w:lang w:val="en-ZA"/>
        </w:rPr>
        <w:t xml:space="preserve"> Our courts have established that rationality applies not only to the decision, but also to the process in terms of which that decision was arrived at. In </w:t>
      </w:r>
      <w:r w:rsidR="009604F3" w:rsidRPr="00A41E69">
        <w:rPr>
          <w:i/>
          <w:lang w:val="en-ZA"/>
        </w:rPr>
        <w:t>Democratic Alliance v President of South Africa and Others</w:t>
      </w:r>
      <w:r w:rsidR="009604F3" w:rsidRPr="009404DC">
        <w:rPr>
          <w:szCs w:val="24"/>
          <w:lang w:val="en-ZA"/>
        </w:rPr>
        <w:t>,</w:t>
      </w:r>
      <w:r w:rsidR="009604F3" w:rsidRPr="009404DC">
        <w:rPr>
          <w:rStyle w:val="FootnoteReference"/>
          <w:szCs w:val="24"/>
          <w:lang w:val="en-ZA"/>
        </w:rPr>
        <w:footnoteReference w:id="35"/>
      </w:r>
      <w:r w:rsidR="009604F3" w:rsidRPr="00A41E69">
        <w:rPr>
          <w:lang w:val="en-ZA"/>
        </w:rPr>
        <w:t xml:space="preserve"> the </w:t>
      </w:r>
      <w:r w:rsidR="009604F3">
        <w:rPr>
          <w:szCs w:val="24"/>
          <w:lang w:val="en-ZA"/>
        </w:rPr>
        <w:t>Constitutional C</w:t>
      </w:r>
      <w:r w:rsidR="009604F3" w:rsidRPr="009404DC">
        <w:rPr>
          <w:szCs w:val="24"/>
          <w:lang w:val="en-ZA"/>
        </w:rPr>
        <w:t>ourt</w:t>
      </w:r>
      <w:r w:rsidR="009604F3" w:rsidRPr="00A41E69">
        <w:rPr>
          <w:lang w:val="en-ZA"/>
        </w:rPr>
        <w:t xml:space="preserve"> held that:</w:t>
      </w:r>
    </w:p>
    <w:p w14:paraId="2EC765E9" w14:textId="50D5A2AC" w:rsidR="009604F3" w:rsidRPr="00A41E69" w:rsidRDefault="009604F3" w:rsidP="00A41E69">
      <w:pPr>
        <w:pStyle w:val="JudgmentNumbered"/>
        <w:numPr>
          <w:ilvl w:val="0"/>
          <w:numId w:val="0"/>
        </w:numPr>
        <w:ind w:left="1134" w:right="521"/>
        <w:rPr>
          <w:sz w:val="22"/>
          <w:lang w:val="en-ZA"/>
        </w:rPr>
      </w:pPr>
      <w:r w:rsidRPr="009404DC">
        <w:rPr>
          <w:sz w:val="22"/>
          <w:lang w:val="en-ZA"/>
        </w:rPr>
        <w:t>“</w:t>
      </w:r>
      <w:r>
        <w:rPr>
          <w:sz w:val="22"/>
          <w:lang w:val="en-ZA"/>
        </w:rPr>
        <w:t>We</w:t>
      </w:r>
      <w:r w:rsidRPr="00A41E69">
        <w:rPr>
          <w:sz w:val="22"/>
          <w:lang w:val="en-ZA"/>
        </w:rPr>
        <w:t xml:space="preserve"> must look at the process as a whole and determine whether the steps in the process were rationally related to the end sought to be achieved and, if not, whether the absence of a connection between a particular step (part of the means) is so unrelated to the end as to taint the whole process with irrationality.”</w:t>
      </w:r>
      <w:r w:rsidRPr="009404DC">
        <w:rPr>
          <w:vertAlign w:val="superscript"/>
        </w:rPr>
        <w:footnoteReference w:id="36"/>
      </w:r>
    </w:p>
    <w:p w14:paraId="329D61DA" w14:textId="5C50D8F5" w:rsidR="009604F3" w:rsidRPr="00A41E69" w:rsidRDefault="0048361F" w:rsidP="0048361F">
      <w:pPr>
        <w:pStyle w:val="JudgmentNumbered"/>
        <w:numPr>
          <w:ilvl w:val="0"/>
          <w:numId w:val="0"/>
        </w:numPr>
        <w:ind w:left="567" w:hanging="567"/>
        <w:rPr>
          <w:lang w:val="en-ZA"/>
        </w:rPr>
      </w:pPr>
      <w:r w:rsidRPr="00A41E69">
        <w:rPr>
          <w:lang w:val="en-ZA"/>
        </w:rPr>
        <w:t>[65]</w:t>
      </w:r>
      <w:r w:rsidRPr="00A41E69">
        <w:rPr>
          <w:lang w:val="en-ZA"/>
        </w:rPr>
        <w:tab/>
      </w:r>
      <w:r w:rsidR="009604F3" w:rsidRPr="00A41E69">
        <w:rPr>
          <w:lang w:val="en-ZA"/>
        </w:rPr>
        <w:t>Clearly</w:t>
      </w:r>
      <w:r w:rsidR="009604F3">
        <w:rPr>
          <w:lang w:val="en-ZA"/>
        </w:rPr>
        <w:t>, AfriForum</w:t>
      </w:r>
      <w:r w:rsidR="009604F3" w:rsidRPr="009404DC">
        <w:rPr>
          <w:lang w:val="en-ZA"/>
        </w:rPr>
        <w:t>’s</w:t>
      </w:r>
      <w:r w:rsidR="009604F3" w:rsidRPr="00A41E69">
        <w:rPr>
          <w:lang w:val="en-ZA"/>
        </w:rPr>
        <w:t xml:space="preserve"> contentions regarding the record of Ambassador Losi’s vote are correct. She was the Acting D</w:t>
      </w:r>
      <w:r w:rsidR="00EE5E55">
        <w:rPr>
          <w:lang w:val="en-ZA"/>
        </w:rPr>
        <w:t>irector-</w:t>
      </w:r>
      <w:r w:rsidR="009604F3" w:rsidRPr="00A41E69">
        <w:rPr>
          <w:lang w:val="en-ZA"/>
        </w:rPr>
        <w:t>G</w:t>
      </w:r>
      <w:r w:rsidR="00EE5E55">
        <w:rPr>
          <w:lang w:val="en-ZA"/>
        </w:rPr>
        <w:t>eneral</w:t>
      </w:r>
      <w:r w:rsidR="009604F3" w:rsidRPr="00A41E69">
        <w:rPr>
          <w:lang w:val="en-ZA"/>
        </w:rPr>
        <w:t xml:space="preserve"> of DIRCO at the time and indeed, there is no indication that she voted. </w:t>
      </w:r>
      <w:r w:rsidR="009604F3">
        <w:rPr>
          <w:lang w:val="en-ZA"/>
        </w:rPr>
        <w:t>It</w:t>
      </w:r>
      <w:r w:rsidR="009604F3" w:rsidRPr="00A41E69">
        <w:rPr>
          <w:lang w:val="en-ZA"/>
        </w:rPr>
        <w:t xml:space="preserve"> must be accepted that three of the six Advisory Members voted and this is less than the required majority threshold, </w:t>
      </w:r>
      <w:r w:rsidR="00A52C8D">
        <w:rPr>
          <w:lang w:val="en-ZA"/>
        </w:rPr>
        <w:t>prescri</w:t>
      </w:r>
      <w:r w:rsidR="003A5FEB">
        <w:rPr>
          <w:lang w:val="en-ZA"/>
        </w:rPr>
        <w:t>b</w:t>
      </w:r>
      <w:r w:rsidR="009604F3" w:rsidRPr="00A41E69">
        <w:rPr>
          <w:lang w:val="en-ZA"/>
        </w:rPr>
        <w:t>ed in the terms of reference. Therefore, there is merit to the claim that there was no majority vote when the African Renaissance Fund made the recommendation to the Minister</w:t>
      </w:r>
      <w:r w:rsidR="0047352C">
        <w:rPr>
          <w:lang w:val="en-ZA"/>
        </w:rPr>
        <w:t xml:space="preserve"> of DIRCO</w:t>
      </w:r>
      <w:r w:rsidR="009604F3" w:rsidRPr="00A41E69">
        <w:rPr>
          <w:lang w:val="en-ZA"/>
        </w:rPr>
        <w:t>.</w:t>
      </w:r>
    </w:p>
    <w:p w14:paraId="5ABFC99A" w14:textId="1E707BFA" w:rsidR="009604F3" w:rsidRPr="00A41E69" w:rsidRDefault="0048361F" w:rsidP="0048361F">
      <w:pPr>
        <w:pStyle w:val="JudgmentNumbered"/>
        <w:numPr>
          <w:ilvl w:val="0"/>
          <w:numId w:val="0"/>
        </w:numPr>
        <w:ind w:left="567" w:hanging="567"/>
        <w:rPr>
          <w:b/>
          <w:lang w:val="en-ZA"/>
        </w:rPr>
      </w:pPr>
      <w:r w:rsidRPr="00A41E69">
        <w:rPr>
          <w:lang w:val="en-ZA"/>
        </w:rPr>
        <w:t>[66]</w:t>
      </w:r>
      <w:r w:rsidRPr="00A41E69">
        <w:rPr>
          <w:lang w:val="en-ZA"/>
        </w:rPr>
        <w:tab/>
      </w:r>
      <w:r w:rsidR="009604F3">
        <w:rPr>
          <w:lang w:val="en-ZA"/>
        </w:rPr>
        <w:t>To</w:t>
      </w:r>
      <w:r w:rsidR="009604F3" w:rsidRPr="00A41E69">
        <w:rPr>
          <w:lang w:val="en-ZA"/>
        </w:rPr>
        <w:t xml:space="preserve"> comply with the principle of legality the recommendation by the </w:t>
      </w:r>
      <w:r w:rsidR="009604F3">
        <w:rPr>
          <w:lang w:val="en-ZA"/>
        </w:rPr>
        <w:t>A</w:t>
      </w:r>
      <w:r w:rsidR="009604F3" w:rsidRPr="009404DC">
        <w:rPr>
          <w:lang w:val="en-ZA"/>
        </w:rPr>
        <w:t>dvisory</w:t>
      </w:r>
      <w:r w:rsidR="009604F3">
        <w:rPr>
          <w:lang w:val="en-ZA"/>
        </w:rPr>
        <w:t xml:space="preserve"> C</w:t>
      </w:r>
      <w:r w:rsidR="009604F3" w:rsidRPr="009404DC">
        <w:rPr>
          <w:lang w:val="en-ZA"/>
        </w:rPr>
        <w:t>ommittee</w:t>
      </w:r>
      <w:r w:rsidR="009604F3" w:rsidRPr="00A41E69">
        <w:rPr>
          <w:lang w:val="en-ZA"/>
        </w:rPr>
        <w:t xml:space="preserve"> had to be in line with or comply with the prescripts of how that committee took decisions. This is mandatory. </w:t>
      </w:r>
      <w:r w:rsidR="00DD041F">
        <w:rPr>
          <w:lang w:val="en-ZA"/>
        </w:rPr>
        <w:t>T</w:t>
      </w:r>
      <w:r w:rsidR="009604F3" w:rsidRPr="00A41E69">
        <w:rPr>
          <w:lang w:val="en-ZA"/>
        </w:rPr>
        <w:t xml:space="preserve">he terms of reference require a threshold majority of four participating members of the </w:t>
      </w:r>
      <w:r w:rsidR="009604F3">
        <w:rPr>
          <w:lang w:val="en-ZA"/>
        </w:rPr>
        <w:t>A</w:t>
      </w:r>
      <w:r w:rsidR="009604F3" w:rsidRPr="009404DC">
        <w:rPr>
          <w:lang w:val="en-ZA"/>
        </w:rPr>
        <w:t>dvisory</w:t>
      </w:r>
      <w:r w:rsidR="009604F3">
        <w:rPr>
          <w:lang w:val="en-ZA"/>
        </w:rPr>
        <w:t xml:space="preserve"> C</w:t>
      </w:r>
      <w:r w:rsidR="009604F3" w:rsidRPr="009404DC">
        <w:rPr>
          <w:lang w:val="en-ZA"/>
        </w:rPr>
        <w:t>ommittee.</w:t>
      </w:r>
      <w:r w:rsidR="009604F3" w:rsidRPr="00A41E69">
        <w:rPr>
          <w:lang w:val="en-ZA"/>
        </w:rPr>
        <w:t xml:space="preserve"> Th</w:t>
      </w:r>
      <w:r w:rsidR="006B648E">
        <w:rPr>
          <w:lang w:val="en-ZA"/>
        </w:rPr>
        <w:t>e</w:t>
      </w:r>
      <w:r w:rsidR="009604F3" w:rsidRPr="00A41E69">
        <w:rPr>
          <w:lang w:val="en-ZA"/>
        </w:rPr>
        <w:t xml:space="preserve"> </w:t>
      </w:r>
      <w:r w:rsidR="006B648E">
        <w:rPr>
          <w:lang w:val="en-ZA"/>
        </w:rPr>
        <w:t xml:space="preserve">Advisory Committee </w:t>
      </w:r>
      <w:r w:rsidR="009604F3" w:rsidRPr="00A41E69">
        <w:rPr>
          <w:lang w:val="en-ZA"/>
        </w:rPr>
        <w:t>recommendation therefore fell short of the required threshold for the decision to meet constitutional imprimatur. The ineluctable conclusion</w:t>
      </w:r>
      <w:r w:rsidR="009D593D">
        <w:rPr>
          <w:lang w:val="en-ZA"/>
        </w:rPr>
        <w:t xml:space="preserve"> </w:t>
      </w:r>
      <w:r w:rsidR="009604F3" w:rsidRPr="00A41E69">
        <w:rPr>
          <w:lang w:val="en-ZA"/>
        </w:rPr>
        <w:t xml:space="preserve">is that the donation decision suffered from illegality in that it was not taken by a </w:t>
      </w:r>
      <w:r w:rsidR="000353FA">
        <w:rPr>
          <w:lang w:val="en-ZA"/>
        </w:rPr>
        <w:t xml:space="preserve">quorate </w:t>
      </w:r>
      <w:r w:rsidR="009604F3" w:rsidRPr="00A41E69">
        <w:rPr>
          <w:lang w:val="en-ZA"/>
        </w:rPr>
        <w:t xml:space="preserve">Advisory Committee. </w:t>
      </w:r>
      <w:r w:rsidR="009D593D">
        <w:rPr>
          <w:lang w:val="en-ZA"/>
        </w:rPr>
        <w:t xml:space="preserve">This means that </w:t>
      </w:r>
      <w:r w:rsidR="00B204D6">
        <w:rPr>
          <w:lang w:val="en-ZA"/>
        </w:rPr>
        <w:t xml:space="preserve">the </w:t>
      </w:r>
      <w:r w:rsidR="009604F3" w:rsidRPr="00A41E69">
        <w:rPr>
          <w:lang w:val="en-ZA"/>
        </w:rPr>
        <w:t xml:space="preserve">donation decision </w:t>
      </w:r>
      <w:r w:rsidR="009604F3">
        <w:rPr>
          <w:lang w:val="en-ZA"/>
        </w:rPr>
        <w:t>is</w:t>
      </w:r>
      <w:r w:rsidR="009604F3" w:rsidRPr="00A41E69">
        <w:rPr>
          <w:lang w:val="en-ZA"/>
        </w:rPr>
        <w:t xml:space="preserve"> liable to be reviewed and set aside.</w:t>
      </w:r>
    </w:p>
    <w:p w14:paraId="0AA5F7E2" w14:textId="0C2C66CD" w:rsidR="009604F3" w:rsidRDefault="0048361F" w:rsidP="0048361F">
      <w:pPr>
        <w:pStyle w:val="JudgmentNumbered"/>
        <w:numPr>
          <w:ilvl w:val="0"/>
          <w:numId w:val="0"/>
        </w:numPr>
        <w:ind w:left="567" w:hanging="567"/>
        <w:rPr>
          <w:lang w:val="en-ZA"/>
        </w:rPr>
      </w:pPr>
      <w:r>
        <w:rPr>
          <w:lang w:val="en-ZA"/>
        </w:rPr>
        <w:t>[67]</w:t>
      </w:r>
      <w:r>
        <w:rPr>
          <w:lang w:val="en-ZA"/>
        </w:rPr>
        <w:tab/>
      </w:r>
      <w:r w:rsidR="009604F3">
        <w:rPr>
          <w:lang w:val="en-ZA"/>
        </w:rPr>
        <w:t>AfriForum</w:t>
      </w:r>
      <w:r w:rsidR="009604F3" w:rsidRPr="00A41E69">
        <w:rPr>
          <w:lang w:val="en-ZA"/>
        </w:rPr>
        <w:t xml:space="preserve"> had also sought to review and set aside the procurement processes incidental to the donation decision. It is common cause that after the interdict was granted, the donation decision was never implemented. What that means is that no actual procurement decisions were taken to implement the donation decision. For that reason, no declaratory relief can follow where no conduct followed the impugned decision that has just been found to be un</w:t>
      </w:r>
      <w:r w:rsidR="00B06C86">
        <w:rPr>
          <w:lang w:val="en-ZA"/>
        </w:rPr>
        <w:t>lawful</w:t>
      </w:r>
      <w:r w:rsidR="009604F3" w:rsidRPr="00A41E69">
        <w:rPr>
          <w:lang w:val="en-ZA"/>
        </w:rPr>
        <w:t>.</w:t>
      </w:r>
    </w:p>
    <w:p w14:paraId="19A5ED4B" w14:textId="0D8D06CE" w:rsidR="00F87C02" w:rsidRPr="0059736F" w:rsidRDefault="00F87C02" w:rsidP="0059736F">
      <w:pPr>
        <w:pStyle w:val="JudgmentNumbered"/>
        <w:numPr>
          <w:ilvl w:val="0"/>
          <w:numId w:val="0"/>
        </w:numPr>
        <w:rPr>
          <w:i/>
          <w:lang w:val="en-ZA"/>
        </w:rPr>
      </w:pPr>
      <w:r>
        <w:rPr>
          <w:i/>
          <w:lang w:val="en-ZA"/>
        </w:rPr>
        <w:t>Costs</w:t>
      </w:r>
    </w:p>
    <w:p w14:paraId="76AE4CD3" w14:textId="007E666F" w:rsidR="003B7B45" w:rsidRPr="00A41E69" w:rsidRDefault="0048361F" w:rsidP="0048361F">
      <w:pPr>
        <w:pStyle w:val="JudgmentNumbered"/>
        <w:numPr>
          <w:ilvl w:val="0"/>
          <w:numId w:val="0"/>
        </w:numPr>
        <w:ind w:left="567" w:hanging="567"/>
        <w:rPr>
          <w:lang w:val="en-ZA"/>
        </w:rPr>
      </w:pPr>
      <w:r w:rsidRPr="00A41E69">
        <w:rPr>
          <w:lang w:val="en-ZA"/>
        </w:rPr>
        <w:t>[68]</w:t>
      </w:r>
      <w:r w:rsidRPr="00A41E69">
        <w:rPr>
          <w:lang w:val="en-ZA"/>
        </w:rPr>
        <w:tab/>
      </w:r>
      <w:r w:rsidR="00F87C02">
        <w:rPr>
          <w:lang w:val="en-ZA"/>
        </w:rPr>
        <w:t xml:space="preserve">The </w:t>
      </w:r>
      <w:r w:rsidR="00F87C02" w:rsidRPr="0059736F">
        <w:rPr>
          <w:i/>
          <w:lang w:val="en-ZA"/>
        </w:rPr>
        <w:t>Biowatch</w:t>
      </w:r>
      <w:r w:rsidR="00F87C02">
        <w:rPr>
          <w:lang w:val="en-ZA"/>
        </w:rPr>
        <w:t xml:space="preserve"> principle applies in this case because this is constitutional litigation.  Afriforum was successful in its review of the donation decision and should recover its costs to the extent of its success. </w:t>
      </w:r>
      <w:r w:rsidR="005E417D">
        <w:rPr>
          <w:lang w:val="en-ZA"/>
        </w:rPr>
        <w:t xml:space="preserve">There is no basis however to </w:t>
      </w:r>
      <w:r w:rsidR="009D5E70">
        <w:rPr>
          <w:lang w:val="en-ZA"/>
        </w:rPr>
        <w:t xml:space="preserve">mulct the Second Respondent with the Applicant’s costs. He didn’t take part in this litigation. </w:t>
      </w:r>
      <w:r w:rsidR="003A2656">
        <w:rPr>
          <w:lang w:val="en-ZA"/>
        </w:rPr>
        <w:t>T</w:t>
      </w:r>
      <w:r w:rsidR="005D6B12">
        <w:rPr>
          <w:lang w:val="en-ZA"/>
        </w:rPr>
        <w:t>he Advisory Council wa</w:t>
      </w:r>
      <w:r w:rsidR="004A16C3">
        <w:rPr>
          <w:lang w:val="en-ZA"/>
        </w:rPr>
        <w:t>s</w:t>
      </w:r>
      <w:r w:rsidR="005D6B12">
        <w:rPr>
          <w:lang w:val="en-ZA"/>
        </w:rPr>
        <w:t xml:space="preserve"> cited as </w:t>
      </w:r>
      <w:r w:rsidR="004A16C3">
        <w:rPr>
          <w:lang w:val="en-ZA"/>
        </w:rPr>
        <w:t>the Fifth Respondent</w:t>
      </w:r>
      <w:r w:rsidR="00C21065">
        <w:rPr>
          <w:lang w:val="en-ZA"/>
        </w:rPr>
        <w:t xml:space="preserve"> but within the context of the Act</w:t>
      </w:r>
      <w:r w:rsidR="00A25BF2">
        <w:rPr>
          <w:lang w:val="en-ZA"/>
        </w:rPr>
        <w:t>,</w:t>
      </w:r>
      <w:r w:rsidR="004A16C3">
        <w:rPr>
          <w:lang w:val="en-ZA"/>
        </w:rPr>
        <w:t xml:space="preserve"> it has no separate existence outside of the African Renaissance Fund. It is a</w:t>
      </w:r>
      <w:r w:rsidR="003C1EB4">
        <w:rPr>
          <w:lang w:val="en-ZA"/>
        </w:rPr>
        <w:t xml:space="preserve"> </w:t>
      </w:r>
      <w:r w:rsidR="00A20587">
        <w:rPr>
          <w:lang w:val="en-ZA"/>
        </w:rPr>
        <w:t>legislatively</w:t>
      </w:r>
      <w:r w:rsidR="003C1EB4">
        <w:rPr>
          <w:lang w:val="en-ZA"/>
        </w:rPr>
        <w:t xml:space="preserve"> created structure established within the African Renaissance Fund for the </w:t>
      </w:r>
      <w:r w:rsidR="00A20587">
        <w:rPr>
          <w:lang w:val="en-ZA"/>
        </w:rPr>
        <w:t xml:space="preserve">specific purpose of </w:t>
      </w:r>
      <w:r w:rsidR="00400B4F">
        <w:rPr>
          <w:lang w:val="en-ZA"/>
        </w:rPr>
        <w:t xml:space="preserve">complementing the activities of the African Renaissance Fund </w:t>
      </w:r>
      <w:r w:rsidR="00D43345">
        <w:rPr>
          <w:lang w:val="en-ZA"/>
        </w:rPr>
        <w:t xml:space="preserve">in the treatment of </w:t>
      </w:r>
      <w:r w:rsidR="00C56844">
        <w:rPr>
          <w:lang w:val="en-ZA"/>
        </w:rPr>
        <w:t xml:space="preserve">assistance to other countries in line with the objectives of the African Renaissance Fund. </w:t>
      </w:r>
      <w:r w:rsidR="009C0792">
        <w:rPr>
          <w:lang w:val="en-ZA"/>
        </w:rPr>
        <w:t xml:space="preserve">The decision to </w:t>
      </w:r>
      <w:r w:rsidR="00062D05">
        <w:rPr>
          <w:lang w:val="en-ZA"/>
        </w:rPr>
        <w:t xml:space="preserve">make a donation </w:t>
      </w:r>
      <w:r w:rsidR="0038164F">
        <w:rPr>
          <w:lang w:val="en-ZA"/>
        </w:rPr>
        <w:t xml:space="preserve">to </w:t>
      </w:r>
      <w:r w:rsidR="00062D05">
        <w:rPr>
          <w:lang w:val="en-ZA"/>
        </w:rPr>
        <w:t>Cuba even though</w:t>
      </w:r>
      <w:r w:rsidR="00E0522A">
        <w:rPr>
          <w:lang w:val="en-ZA"/>
        </w:rPr>
        <w:t xml:space="preserve"> </w:t>
      </w:r>
      <w:r w:rsidR="00062D05">
        <w:rPr>
          <w:lang w:val="en-ZA"/>
        </w:rPr>
        <w:t>recommended by it, was in the final analysis a decision of the</w:t>
      </w:r>
      <w:r w:rsidR="00F87C02">
        <w:rPr>
          <w:lang w:val="en-ZA"/>
        </w:rPr>
        <w:t xml:space="preserve"> two Ministers and the</w:t>
      </w:r>
      <w:r w:rsidR="00062D05">
        <w:rPr>
          <w:lang w:val="en-ZA"/>
        </w:rPr>
        <w:t xml:space="preserve"> </w:t>
      </w:r>
      <w:r w:rsidR="00E0522A">
        <w:rPr>
          <w:lang w:val="en-ZA"/>
        </w:rPr>
        <w:t xml:space="preserve">African Renaissance Fund. </w:t>
      </w:r>
      <w:r w:rsidR="00021D0F">
        <w:rPr>
          <w:lang w:val="en-ZA"/>
        </w:rPr>
        <w:t>Therefore, f</w:t>
      </w:r>
      <w:r w:rsidR="00562087">
        <w:rPr>
          <w:lang w:val="en-ZA"/>
        </w:rPr>
        <w:t xml:space="preserve">or all intents and </w:t>
      </w:r>
      <w:r w:rsidR="00C605DA">
        <w:rPr>
          <w:lang w:val="en-ZA"/>
        </w:rPr>
        <w:t>purposes</w:t>
      </w:r>
      <w:r w:rsidR="00562087">
        <w:rPr>
          <w:lang w:val="en-ZA"/>
        </w:rPr>
        <w:t xml:space="preserve">, </w:t>
      </w:r>
      <w:r w:rsidR="00F87C02">
        <w:rPr>
          <w:lang w:val="en-ZA"/>
        </w:rPr>
        <w:t>the Advisory Council</w:t>
      </w:r>
      <w:r w:rsidR="00562087">
        <w:rPr>
          <w:lang w:val="en-ZA"/>
        </w:rPr>
        <w:t xml:space="preserve"> is part and </w:t>
      </w:r>
      <w:r w:rsidR="00C605DA">
        <w:rPr>
          <w:lang w:val="en-ZA"/>
        </w:rPr>
        <w:t xml:space="preserve">parcel of the African Renaissance Fund and as such cannot attract </w:t>
      </w:r>
      <w:r w:rsidR="006D0ED9">
        <w:rPr>
          <w:lang w:val="en-ZA"/>
        </w:rPr>
        <w:t xml:space="preserve">liability for </w:t>
      </w:r>
      <w:r w:rsidR="00C605DA">
        <w:rPr>
          <w:lang w:val="en-ZA"/>
        </w:rPr>
        <w:t xml:space="preserve">costs in its name. </w:t>
      </w:r>
      <w:r w:rsidR="00400B4F">
        <w:rPr>
          <w:lang w:val="en-ZA"/>
        </w:rPr>
        <w:t xml:space="preserve"> </w:t>
      </w:r>
    </w:p>
    <w:p w14:paraId="1C2351E6" w14:textId="760031AB" w:rsidR="009604F3" w:rsidRPr="009404DC" w:rsidRDefault="0048361F" w:rsidP="0048361F">
      <w:pPr>
        <w:pStyle w:val="JudgmentNumbered"/>
        <w:numPr>
          <w:ilvl w:val="0"/>
          <w:numId w:val="0"/>
        </w:numPr>
        <w:ind w:left="567" w:hanging="567"/>
        <w:rPr>
          <w:lang w:val="en-ZA"/>
        </w:rPr>
      </w:pPr>
      <w:r w:rsidRPr="009404DC">
        <w:rPr>
          <w:lang w:val="en-ZA"/>
        </w:rPr>
        <w:t>[69]</w:t>
      </w:r>
      <w:r w:rsidRPr="009404DC">
        <w:rPr>
          <w:lang w:val="en-ZA"/>
        </w:rPr>
        <w:tab/>
      </w:r>
      <w:r w:rsidR="009604F3" w:rsidRPr="00A41E69">
        <w:rPr>
          <w:lang w:val="en-ZA"/>
        </w:rPr>
        <w:t>In the circumstances an order is granted that –</w:t>
      </w:r>
    </w:p>
    <w:p w14:paraId="1209B242" w14:textId="0FD34771" w:rsidR="009604F3" w:rsidRPr="00A41E69" w:rsidRDefault="00E43C0F" w:rsidP="00A41E69">
      <w:pPr>
        <w:pStyle w:val="JudgmentNumbered"/>
        <w:numPr>
          <w:ilvl w:val="0"/>
          <w:numId w:val="0"/>
        </w:numPr>
        <w:ind w:left="1134" w:hanging="567"/>
        <w:rPr>
          <w:lang w:val="en-ZA"/>
        </w:rPr>
      </w:pPr>
      <w:r>
        <w:rPr>
          <w:lang w:val="en-ZA"/>
        </w:rPr>
        <w:t>1.</w:t>
      </w:r>
      <w:r w:rsidR="009604F3" w:rsidRPr="00A41E69">
        <w:rPr>
          <w:lang w:val="en-ZA"/>
        </w:rPr>
        <w:t xml:space="preserve"> </w:t>
      </w:r>
      <w:r w:rsidR="009604F3">
        <w:rPr>
          <w:lang w:val="en-ZA"/>
        </w:rPr>
        <w:tab/>
      </w:r>
      <w:r w:rsidR="009604F3" w:rsidRPr="00A41E69">
        <w:rPr>
          <w:lang w:val="en-ZA"/>
        </w:rPr>
        <w:t xml:space="preserve">the decision of the </w:t>
      </w:r>
      <w:r w:rsidR="009604F3">
        <w:rPr>
          <w:lang w:val="en-ZA"/>
        </w:rPr>
        <w:t>F</w:t>
      </w:r>
      <w:r w:rsidR="009604F3" w:rsidRPr="009404DC">
        <w:rPr>
          <w:lang w:val="en-ZA"/>
        </w:rPr>
        <w:t>irst</w:t>
      </w:r>
      <w:r w:rsidR="00A55295">
        <w:rPr>
          <w:lang w:val="en-ZA"/>
        </w:rPr>
        <w:t>,</w:t>
      </w:r>
      <w:r w:rsidR="009604F3" w:rsidRPr="00A41E69">
        <w:rPr>
          <w:lang w:val="en-ZA"/>
        </w:rPr>
        <w:t xml:space="preserve"> </w:t>
      </w:r>
      <w:r w:rsidR="00590D85">
        <w:rPr>
          <w:lang w:val="en-ZA"/>
        </w:rPr>
        <w:t xml:space="preserve">Third, Fourth and </w:t>
      </w:r>
      <w:r w:rsidR="009604F3">
        <w:rPr>
          <w:lang w:val="en-ZA"/>
        </w:rPr>
        <w:t>S</w:t>
      </w:r>
      <w:r w:rsidR="009604F3" w:rsidRPr="009404DC">
        <w:rPr>
          <w:lang w:val="en-ZA"/>
        </w:rPr>
        <w:t>ixth</w:t>
      </w:r>
      <w:r w:rsidR="009604F3">
        <w:rPr>
          <w:lang w:val="en-ZA"/>
        </w:rPr>
        <w:t xml:space="preserve"> R</w:t>
      </w:r>
      <w:r w:rsidR="009604F3" w:rsidRPr="009404DC">
        <w:rPr>
          <w:lang w:val="en-ZA"/>
        </w:rPr>
        <w:t>espondents</w:t>
      </w:r>
      <w:r w:rsidR="009604F3" w:rsidRPr="00A41E69">
        <w:rPr>
          <w:lang w:val="en-ZA"/>
        </w:rPr>
        <w:t xml:space="preserve"> to donate R50 million to the Republic of Cuba is reviewed and set aside.</w:t>
      </w:r>
    </w:p>
    <w:p w14:paraId="19084F51" w14:textId="3527EFD1" w:rsidR="009604F3" w:rsidRPr="00A41E69" w:rsidRDefault="00E43C0F" w:rsidP="00A41E69">
      <w:pPr>
        <w:pStyle w:val="JudgmentNumbered"/>
        <w:numPr>
          <w:ilvl w:val="0"/>
          <w:numId w:val="0"/>
        </w:numPr>
        <w:ind w:left="1134" w:hanging="567"/>
        <w:rPr>
          <w:lang w:val="en-ZA"/>
        </w:rPr>
      </w:pPr>
      <w:r>
        <w:rPr>
          <w:lang w:val="en-ZA"/>
        </w:rPr>
        <w:t>2.</w:t>
      </w:r>
      <w:r w:rsidR="009604F3">
        <w:rPr>
          <w:lang w:val="en-ZA"/>
        </w:rPr>
        <w:tab/>
        <w:t>t</w:t>
      </w:r>
      <w:r w:rsidR="009604F3" w:rsidRPr="009404DC">
        <w:rPr>
          <w:lang w:val="en-ZA"/>
        </w:rPr>
        <w:t>he</w:t>
      </w:r>
      <w:r w:rsidR="009604F3">
        <w:rPr>
          <w:lang w:val="en-ZA"/>
        </w:rPr>
        <w:t xml:space="preserve"> F</w:t>
      </w:r>
      <w:r w:rsidR="009604F3" w:rsidRPr="009404DC">
        <w:rPr>
          <w:lang w:val="en-ZA"/>
        </w:rPr>
        <w:t>irst</w:t>
      </w:r>
      <w:r w:rsidR="003710E9">
        <w:rPr>
          <w:lang w:val="en-ZA"/>
        </w:rPr>
        <w:t>, Third</w:t>
      </w:r>
      <w:r w:rsidR="00186A74">
        <w:rPr>
          <w:lang w:val="en-ZA"/>
        </w:rPr>
        <w:t>, Fourth</w:t>
      </w:r>
      <w:r w:rsidR="005B0014">
        <w:rPr>
          <w:lang w:val="en-ZA"/>
        </w:rPr>
        <w:t xml:space="preserve"> and</w:t>
      </w:r>
      <w:r w:rsidR="009604F3" w:rsidRPr="00A41E69">
        <w:rPr>
          <w:lang w:val="en-ZA"/>
        </w:rPr>
        <w:t xml:space="preserve"> </w:t>
      </w:r>
      <w:r w:rsidR="009604F3">
        <w:rPr>
          <w:lang w:val="en-ZA"/>
        </w:rPr>
        <w:t>S</w:t>
      </w:r>
      <w:r w:rsidR="009604F3" w:rsidRPr="009404DC">
        <w:rPr>
          <w:lang w:val="en-ZA"/>
        </w:rPr>
        <w:t>ixth</w:t>
      </w:r>
      <w:r w:rsidR="009604F3">
        <w:rPr>
          <w:lang w:val="en-ZA"/>
        </w:rPr>
        <w:t xml:space="preserve"> R</w:t>
      </w:r>
      <w:r w:rsidR="009604F3" w:rsidRPr="009404DC">
        <w:rPr>
          <w:lang w:val="en-ZA"/>
        </w:rPr>
        <w:t>espondents</w:t>
      </w:r>
      <w:r w:rsidR="009604F3" w:rsidRPr="00A41E69">
        <w:rPr>
          <w:lang w:val="en-ZA"/>
        </w:rPr>
        <w:t xml:space="preserve"> are ordered to pay </w:t>
      </w:r>
      <w:r w:rsidR="00F87C02">
        <w:rPr>
          <w:lang w:val="en-ZA"/>
        </w:rPr>
        <w:t xml:space="preserve">fifty percent (50%) of </w:t>
      </w:r>
      <w:r w:rsidR="009604F3" w:rsidRPr="00A41E69">
        <w:rPr>
          <w:lang w:val="en-ZA"/>
        </w:rPr>
        <w:t xml:space="preserve">the </w:t>
      </w:r>
      <w:r w:rsidR="009604F3">
        <w:rPr>
          <w:lang w:val="en-ZA"/>
        </w:rPr>
        <w:t>A</w:t>
      </w:r>
      <w:r w:rsidR="009604F3" w:rsidRPr="009404DC">
        <w:rPr>
          <w:lang w:val="en-ZA"/>
        </w:rPr>
        <w:t>pplicant</w:t>
      </w:r>
      <w:r w:rsidR="003B6DBB">
        <w:rPr>
          <w:lang w:val="en-ZA"/>
        </w:rPr>
        <w:t>’</w:t>
      </w:r>
      <w:r w:rsidR="009604F3" w:rsidRPr="009404DC">
        <w:rPr>
          <w:lang w:val="en-ZA"/>
        </w:rPr>
        <w:t>s</w:t>
      </w:r>
      <w:r w:rsidR="009604F3" w:rsidRPr="00A41E69">
        <w:rPr>
          <w:lang w:val="en-ZA"/>
        </w:rPr>
        <w:t xml:space="preserve"> costs.</w:t>
      </w:r>
    </w:p>
    <w:p w14:paraId="6ED798E2" w14:textId="71F82A68" w:rsidR="009604F3" w:rsidRPr="00A41E69" w:rsidRDefault="009604F3" w:rsidP="006378FC">
      <w:pPr>
        <w:pStyle w:val="JudgmentNumbered"/>
        <w:numPr>
          <w:ilvl w:val="0"/>
          <w:numId w:val="0"/>
        </w:numPr>
        <w:spacing w:after="0"/>
        <w:rPr>
          <w:lang w:val="en-ZA"/>
        </w:rPr>
      </w:pPr>
    </w:p>
    <w:p w14:paraId="60111AB9" w14:textId="77777777" w:rsidR="009604F3" w:rsidRPr="00A41E69" w:rsidRDefault="009604F3" w:rsidP="009604F3">
      <w:pPr>
        <w:pStyle w:val="JudgmentNumbered"/>
        <w:numPr>
          <w:ilvl w:val="0"/>
          <w:numId w:val="0"/>
        </w:numPr>
        <w:spacing w:after="0"/>
        <w:ind w:left="567" w:hanging="567"/>
        <w:jc w:val="right"/>
        <w:rPr>
          <w:lang w:val="en-ZA"/>
        </w:rPr>
      </w:pPr>
      <w:r w:rsidRPr="00A41E69">
        <w:rPr>
          <w:lang w:val="en-ZA"/>
        </w:rPr>
        <w:t>___________________________</w:t>
      </w:r>
    </w:p>
    <w:p w14:paraId="5DDD4FD1" w14:textId="62AB3499" w:rsidR="00C57B51" w:rsidRDefault="004A0A5C" w:rsidP="009604F3">
      <w:pPr>
        <w:pStyle w:val="JudgmentNumbered"/>
        <w:numPr>
          <w:ilvl w:val="0"/>
          <w:numId w:val="0"/>
        </w:numPr>
        <w:spacing w:after="0"/>
        <w:ind w:left="567" w:hanging="567"/>
        <w:jc w:val="right"/>
        <w:rPr>
          <w:b/>
          <w:lang w:val="en-ZA"/>
        </w:rPr>
      </w:pPr>
      <w:r w:rsidRPr="003E2B2F">
        <w:rPr>
          <w:b/>
          <w:lang w:val="en-ZA"/>
        </w:rPr>
        <w:t>D MLAMBO</w:t>
      </w:r>
    </w:p>
    <w:p w14:paraId="0B3B1888" w14:textId="4EF187E1" w:rsidR="009604F3" w:rsidRDefault="004A0A5C" w:rsidP="009604F3">
      <w:pPr>
        <w:pStyle w:val="JudgmentNumbered"/>
        <w:numPr>
          <w:ilvl w:val="0"/>
          <w:numId w:val="0"/>
        </w:numPr>
        <w:spacing w:after="0"/>
        <w:ind w:left="567" w:hanging="567"/>
        <w:jc w:val="right"/>
        <w:rPr>
          <w:b/>
          <w:lang w:val="en-ZA"/>
        </w:rPr>
      </w:pPr>
      <w:r>
        <w:rPr>
          <w:b/>
          <w:lang w:val="en-ZA"/>
        </w:rPr>
        <w:t>JUDGE PRESIDENT</w:t>
      </w:r>
    </w:p>
    <w:p w14:paraId="6D5874B5" w14:textId="6D1206B5" w:rsidR="00C57B51" w:rsidRPr="00A41E69" w:rsidRDefault="004A0A5C" w:rsidP="009604F3">
      <w:pPr>
        <w:pStyle w:val="JudgmentNumbered"/>
        <w:numPr>
          <w:ilvl w:val="0"/>
          <w:numId w:val="0"/>
        </w:numPr>
        <w:spacing w:after="0"/>
        <w:ind w:left="567" w:hanging="567"/>
        <w:jc w:val="right"/>
        <w:rPr>
          <w:b/>
          <w:lang w:val="en-ZA"/>
        </w:rPr>
      </w:pPr>
      <w:r>
        <w:rPr>
          <w:b/>
          <w:lang w:val="en-ZA"/>
        </w:rPr>
        <w:t>GAUTENG DIVISION, PRETORIA</w:t>
      </w:r>
    </w:p>
    <w:p w14:paraId="7528CD67" w14:textId="77777777" w:rsidR="009604F3" w:rsidRPr="00A41E69" w:rsidRDefault="009604F3" w:rsidP="009604F3">
      <w:pPr>
        <w:pStyle w:val="JudgmentNumbered"/>
        <w:numPr>
          <w:ilvl w:val="0"/>
          <w:numId w:val="0"/>
        </w:numPr>
        <w:spacing w:after="0"/>
        <w:ind w:left="567" w:hanging="567"/>
        <w:jc w:val="right"/>
        <w:rPr>
          <w:b/>
          <w:lang w:val="en-ZA"/>
        </w:rPr>
      </w:pPr>
    </w:p>
    <w:p w14:paraId="395CEADE" w14:textId="33CCA147" w:rsidR="009604F3" w:rsidRPr="00A41E69" w:rsidRDefault="009604F3" w:rsidP="009604F3">
      <w:pPr>
        <w:pStyle w:val="JudgmentNumbered"/>
        <w:numPr>
          <w:ilvl w:val="0"/>
          <w:numId w:val="0"/>
        </w:numPr>
        <w:spacing w:after="0"/>
        <w:ind w:left="567" w:hanging="567"/>
        <w:jc w:val="right"/>
        <w:rPr>
          <w:b/>
          <w:lang w:val="en-ZA"/>
        </w:rPr>
        <w:sectPr w:rsidR="009604F3" w:rsidRPr="00A41E69" w:rsidSect="00DF5C70">
          <w:footerReference w:type="default" r:id="rId10"/>
          <w:pgSz w:w="11906" w:h="16838"/>
          <w:pgMar w:top="1440" w:right="1440" w:bottom="1440" w:left="1276" w:header="708" w:footer="708" w:gutter="0"/>
          <w:cols w:space="708"/>
          <w:titlePg/>
          <w:docGrid w:linePitch="360"/>
        </w:sectPr>
      </w:pPr>
    </w:p>
    <w:p w14:paraId="40816A32" w14:textId="2BFA8810" w:rsidR="00936D7D" w:rsidRPr="00936D7D" w:rsidRDefault="00936D7D" w:rsidP="00936D7D">
      <w:pPr>
        <w:pStyle w:val="JudgmentNumbered"/>
        <w:numPr>
          <w:ilvl w:val="0"/>
          <w:numId w:val="0"/>
        </w:numPr>
        <w:spacing w:after="0"/>
        <w:ind w:left="567" w:hanging="567"/>
        <w:rPr>
          <w:lang w:val="en-ZA"/>
        </w:rPr>
      </w:pPr>
      <w:r w:rsidRPr="00936D7D">
        <w:rPr>
          <w:lang w:val="en-ZA"/>
        </w:rPr>
        <w:t>I agree</w:t>
      </w:r>
      <w:r w:rsidR="000353FA">
        <w:rPr>
          <w:lang w:val="en-ZA"/>
        </w:rPr>
        <w:t>.</w:t>
      </w:r>
      <w:r w:rsidRPr="00936D7D">
        <w:rPr>
          <w:lang w:val="en-ZA"/>
        </w:rPr>
        <w:t xml:space="preserve">         </w:t>
      </w:r>
    </w:p>
    <w:p w14:paraId="4F856AD7" w14:textId="5990CF3F" w:rsidR="00AF3CD3" w:rsidRPr="00AF3CD3" w:rsidRDefault="00AF3CD3" w:rsidP="00AF3CD3">
      <w:pPr>
        <w:pStyle w:val="JudgmentNumbered"/>
        <w:numPr>
          <w:ilvl w:val="0"/>
          <w:numId w:val="0"/>
        </w:numPr>
        <w:spacing w:after="0"/>
        <w:ind w:left="567" w:hanging="567"/>
        <w:jc w:val="right"/>
        <w:rPr>
          <w:lang w:val="en-ZA"/>
        </w:rPr>
      </w:pPr>
      <w:r w:rsidRPr="00A41E69">
        <w:rPr>
          <w:lang w:val="en-ZA"/>
        </w:rPr>
        <w:t>___________________________</w:t>
      </w:r>
    </w:p>
    <w:p w14:paraId="2AE7913E" w14:textId="511509A4" w:rsidR="00936D7D" w:rsidRDefault="004A0A5C" w:rsidP="00DE5927">
      <w:pPr>
        <w:pStyle w:val="JudgmentNumbered"/>
        <w:numPr>
          <w:ilvl w:val="0"/>
          <w:numId w:val="0"/>
        </w:numPr>
        <w:spacing w:after="0"/>
        <w:ind w:left="567" w:hanging="567"/>
        <w:jc w:val="right"/>
        <w:rPr>
          <w:b/>
          <w:lang w:val="en-ZA"/>
        </w:rPr>
      </w:pPr>
      <w:r>
        <w:rPr>
          <w:b/>
          <w:lang w:val="en-ZA"/>
        </w:rPr>
        <w:t xml:space="preserve">                                                                                                         </w:t>
      </w:r>
      <w:r w:rsidRPr="0075574F">
        <w:rPr>
          <w:b/>
          <w:lang w:val="en-ZA"/>
        </w:rPr>
        <w:t xml:space="preserve">   J DLAMINI</w:t>
      </w:r>
    </w:p>
    <w:p w14:paraId="541FE095" w14:textId="5CADC24A" w:rsidR="004A0A5C" w:rsidRDefault="004A0A5C" w:rsidP="00DE5927">
      <w:pPr>
        <w:pStyle w:val="JudgmentNumbered"/>
        <w:numPr>
          <w:ilvl w:val="0"/>
          <w:numId w:val="0"/>
        </w:numPr>
        <w:spacing w:after="0"/>
        <w:ind w:left="567" w:hanging="567"/>
        <w:jc w:val="right"/>
        <w:rPr>
          <w:b/>
          <w:lang w:val="en-ZA"/>
        </w:rPr>
      </w:pPr>
      <w:r>
        <w:rPr>
          <w:b/>
          <w:lang w:val="en-ZA"/>
        </w:rPr>
        <w:t>JUDGE OF THE HIGH COURT</w:t>
      </w:r>
    </w:p>
    <w:p w14:paraId="4BA08730" w14:textId="3B7A555E" w:rsidR="004A0A5C" w:rsidRDefault="004A0A5C" w:rsidP="00DE5927">
      <w:pPr>
        <w:pStyle w:val="JudgmentNumbered"/>
        <w:numPr>
          <w:ilvl w:val="0"/>
          <w:numId w:val="0"/>
        </w:numPr>
        <w:spacing w:after="0"/>
        <w:ind w:left="567" w:hanging="567"/>
        <w:jc w:val="right"/>
        <w:rPr>
          <w:b/>
          <w:lang w:val="en-ZA"/>
        </w:rPr>
      </w:pPr>
      <w:r>
        <w:rPr>
          <w:b/>
          <w:lang w:val="en-ZA"/>
        </w:rPr>
        <w:t>GAUTENG DIVISION, PRETORIA</w:t>
      </w:r>
    </w:p>
    <w:p w14:paraId="1EA09880" w14:textId="77777777" w:rsidR="00936D7D" w:rsidRDefault="00936D7D" w:rsidP="00705BFE">
      <w:pPr>
        <w:pStyle w:val="JudgmentNumbered"/>
        <w:numPr>
          <w:ilvl w:val="0"/>
          <w:numId w:val="0"/>
        </w:numPr>
        <w:spacing w:after="0"/>
        <w:ind w:left="567" w:hanging="567"/>
        <w:rPr>
          <w:b/>
          <w:lang w:val="en-ZA"/>
        </w:rPr>
      </w:pPr>
    </w:p>
    <w:p w14:paraId="2D11AF6F" w14:textId="311739A7" w:rsidR="003C3B41" w:rsidRPr="00AF3CD3" w:rsidRDefault="00901244" w:rsidP="00705BFE">
      <w:pPr>
        <w:pStyle w:val="JudgmentNumbered"/>
        <w:numPr>
          <w:ilvl w:val="0"/>
          <w:numId w:val="0"/>
        </w:numPr>
        <w:spacing w:after="0"/>
        <w:ind w:left="567" w:hanging="567"/>
        <w:rPr>
          <w:bCs/>
          <w:lang w:val="en-ZA"/>
        </w:rPr>
      </w:pPr>
      <w:r w:rsidRPr="00AF3CD3">
        <w:rPr>
          <w:bCs/>
          <w:lang w:val="en-ZA"/>
        </w:rPr>
        <w:t>I agree</w:t>
      </w:r>
      <w:r w:rsidR="000353FA">
        <w:rPr>
          <w:bCs/>
          <w:lang w:val="en-ZA"/>
        </w:rPr>
        <w:t>.</w:t>
      </w:r>
      <w:r w:rsidRPr="00AF3CD3">
        <w:rPr>
          <w:bCs/>
          <w:lang w:val="en-ZA"/>
        </w:rPr>
        <w:t xml:space="preserve"> </w:t>
      </w:r>
    </w:p>
    <w:p w14:paraId="7E28DFE2" w14:textId="3B78DCC2" w:rsidR="00901244" w:rsidRPr="00AF3CD3" w:rsidRDefault="00901244" w:rsidP="00AF3CD3">
      <w:pPr>
        <w:pStyle w:val="JudgmentNumbered"/>
        <w:numPr>
          <w:ilvl w:val="0"/>
          <w:numId w:val="0"/>
        </w:numPr>
        <w:spacing w:after="0"/>
        <w:ind w:left="567" w:hanging="567"/>
        <w:jc w:val="right"/>
        <w:rPr>
          <w:lang w:val="en-ZA"/>
        </w:rPr>
      </w:pPr>
      <w:r>
        <w:rPr>
          <w:b/>
          <w:lang w:val="en-ZA"/>
        </w:rPr>
        <w:tab/>
      </w:r>
      <w:r>
        <w:rPr>
          <w:b/>
          <w:lang w:val="en-ZA"/>
        </w:rPr>
        <w:tab/>
      </w:r>
      <w:r w:rsidR="00AF3CD3" w:rsidRPr="00A41E69">
        <w:rPr>
          <w:lang w:val="en-ZA"/>
        </w:rPr>
        <w:t>___________________________</w:t>
      </w:r>
    </w:p>
    <w:p w14:paraId="0CB6875F" w14:textId="17E4C01C" w:rsidR="00705BFE" w:rsidRDefault="004A0A5C" w:rsidP="00705BFE">
      <w:pPr>
        <w:pStyle w:val="JudgmentNumbered"/>
        <w:numPr>
          <w:ilvl w:val="0"/>
          <w:numId w:val="0"/>
        </w:numPr>
        <w:spacing w:after="0"/>
        <w:ind w:left="567" w:hanging="567"/>
        <w:jc w:val="right"/>
        <w:rPr>
          <w:b/>
          <w:lang w:val="en-ZA"/>
        </w:rPr>
      </w:pPr>
      <w:r>
        <w:rPr>
          <w:b/>
          <w:lang w:val="en-ZA"/>
        </w:rPr>
        <w:t>SJ COWEN</w:t>
      </w:r>
    </w:p>
    <w:p w14:paraId="224BCF77" w14:textId="77777777" w:rsidR="004A0A5C" w:rsidRDefault="004A0A5C" w:rsidP="004A0A5C">
      <w:pPr>
        <w:pStyle w:val="JudgmentNumbered"/>
        <w:numPr>
          <w:ilvl w:val="0"/>
          <w:numId w:val="0"/>
        </w:numPr>
        <w:spacing w:after="0"/>
        <w:ind w:left="567" w:hanging="567"/>
        <w:jc w:val="right"/>
        <w:rPr>
          <w:b/>
          <w:lang w:val="en-ZA"/>
        </w:rPr>
      </w:pPr>
      <w:r>
        <w:rPr>
          <w:b/>
          <w:lang w:val="en-ZA"/>
        </w:rPr>
        <w:t>JUDGE OF THE HIGH COURT</w:t>
      </w:r>
    </w:p>
    <w:p w14:paraId="5162D242" w14:textId="77777777" w:rsidR="004A0A5C" w:rsidRDefault="004A0A5C" w:rsidP="004A0A5C">
      <w:pPr>
        <w:pStyle w:val="JudgmentNumbered"/>
        <w:numPr>
          <w:ilvl w:val="0"/>
          <w:numId w:val="0"/>
        </w:numPr>
        <w:spacing w:after="0"/>
        <w:ind w:left="567" w:hanging="567"/>
        <w:jc w:val="right"/>
        <w:rPr>
          <w:b/>
          <w:lang w:val="en-ZA"/>
        </w:rPr>
      </w:pPr>
      <w:r>
        <w:rPr>
          <w:b/>
          <w:lang w:val="en-ZA"/>
        </w:rPr>
        <w:t>GAUTENG DIVISION, PRETORIA</w:t>
      </w:r>
    </w:p>
    <w:p w14:paraId="083632E9" w14:textId="4F3C4AE6" w:rsidR="004A0A5C" w:rsidRDefault="004A0A5C" w:rsidP="00705BFE">
      <w:pPr>
        <w:pStyle w:val="JudgmentNumbered"/>
        <w:numPr>
          <w:ilvl w:val="0"/>
          <w:numId w:val="0"/>
        </w:numPr>
        <w:spacing w:after="0"/>
        <w:ind w:left="567" w:hanging="567"/>
        <w:jc w:val="right"/>
        <w:rPr>
          <w:b/>
          <w:lang w:val="en-ZA"/>
        </w:rPr>
      </w:pPr>
    </w:p>
    <w:p w14:paraId="5712380A" w14:textId="77777777" w:rsidR="00F35582" w:rsidRDefault="00F35582" w:rsidP="00705BFE">
      <w:pPr>
        <w:pStyle w:val="JudgmentNumbered"/>
        <w:numPr>
          <w:ilvl w:val="0"/>
          <w:numId w:val="0"/>
        </w:numPr>
        <w:spacing w:after="0"/>
        <w:ind w:left="567" w:hanging="567"/>
        <w:jc w:val="right"/>
        <w:rPr>
          <w:b/>
          <w:lang w:val="en-ZA"/>
        </w:rPr>
      </w:pPr>
    </w:p>
    <w:p w14:paraId="6D89C27A" w14:textId="77777777" w:rsidR="00705BFE" w:rsidRDefault="00705BFE" w:rsidP="00705BFE">
      <w:pPr>
        <w:pStyle w:val="JudgmentNumbered"/>
        <w:numPr>
          <w:ilvl w:val="0"/>
          <w:numId w:val="0"/>
        </w:numPr>
        <w:spacing w:after="0"/>
        <w:ind w:left="567" w:hanging="567"/>
        <w:jc w:val="right"/>
        <w:rPr>
          <w:b/>
          <w:lang w:val="en-ZA"/>
        </w:rPr>
      </w:pPr>
    </w:p>
    <w:p w14:paraId="433105BD" w14:textId="77777777" w:rsidR="00705BFE" w:rsidRDefault="00705BFE" w:rsidP="00705BFE">
      <w:pPr>
        <w:pStyle w:val="JudgmentNumbered"/>
        <w:numPr>
          <w:ilvl w:val="0"/>
          <w:numId w:val="0"/>
        </w:numPr>
        <w:spacing w:after="0"/>
        <w:ind w:left="567" w:hanging="567"/>
        <w:jc w:val="right"/>
        <w:rPr>
          <w:b/>
          <w:lang w:val="en-ZA"/>
        </w:rPr>
      </w:pPr>
    </w:p>
    <w:p w14:paraId="2C07A199" w14:textId="6AED6C23" w:rsidR="006E573D" w:rsidRPr="00A41E69" w:rsidRDefault="006E573D" w:rsidP="00936D7D">
      <w:pPr>
        <w:pStyle w:val="JudgmentNumbered"/>
        <w:numPr>
          <w:ilvl w:val="0"/>
          <w:numId w:val="0"/>
        </w:numPr>
        <w:spacing w:after="0"/>
        <w:ind w:left="567" w:hanging="567"/>
        <w:rPr>
          <w:b/>
          <w:lang w:val="en-ZA"/>
        </w:rPr>
        <w:sectPr w:rsidR="006E573D" w:rsidRPr="00A41E69" w:rsidSect="00EB01DA">
          <w:type w:val="continuous"/>
          <w:pgSz w:w="11906" w:h="16838"/>
          <w:pgMar w:top="1440" w:right="1440" w:bottom="1440" w:left="1440" w:header="708" w:footer="708" w:gutter="0"/>
          <w:cols w:space="708"/>
          <w:docGrid w:linePitch="360"/>
        </w:sectPr>
      </w:pPr>
      <w:r>
        <w:rPr>
          <w:b/>
          <w:lang w:val="en-ZA"/>
        </w:rPr>
        <w:t xml:space="preserve">           </w:t>
      </w:r>
    </w:p>
    <w:p w14:paraId="43C1D1D6" w14:textId="7E2F114D" w:rsidR="00A21089" w:rsidRPr="00A21089" w:rsidRDefault="00A21089" w:rsidP="008127FF">
      <w:pPr>
        <w:spacing w:after="0"/>
        <w:ind w:left="0"/>
        <w:rPr>
          <w:rFonts w:eastAsia="Times New Roman" w:cs="Arial"/>
          <w:szCs w:val="24"/>
          <w:u w:val="single"/>
          <w:lang w:val="en-ZA"/>
        </w:rPr>
      </w:pPr>
      <w:r w:rsidRPr="00A21089">
        <w:rPr>
          <w:rFonts w:eastAsia="Times New Roman" w:cs="Arial"/>
          <w:szCs w:val="24"/>
          <w:u w:val="single"/>
          <w:lang w:val="en-ZA"/>
        </w:rPr>
        <w:t>Appearances:</w:t>
      </w:r>
    </w:p>
    <w:p w14:paraId="0D68DD4F" w14:textId="0A463DE9" w:rsidR="009604F3" w:rsidRPr="009F7FBA" w:rsidRDefault="009604F3" w:rsidP="008127FF">
      <w:pPr>
        <w:spacing w:after="0"/>
        <w:ind w:left="0"/>
        <w:rPr>
          <w:rFonts w:eastAsia="Times New Roman" w:cs="Arial"/>
          <w:szCs w:val="24"/>
          <w:lang w:val="en-ZA"/>
        </w:rPr>
      </w:pPr>
      <w:r w:rsidRPr="009F7FBA">
        <w:rPr>
          <w:rFonts w:eastAsia="Times New Roman" w:cs="Arial"/>
          <w:szCs w:val="24"/>
          <w:lang w:val="en-ZA"/>
        </w:rPr>
        <w:t>For</w:t>
      </w:r>
      <w:r>
        <w:rPr>
          <w:rFonts w:eastAsia="Times New Roman" w:cs="Arial"/>
          <w:szCs w:val="24"/>
          <w:lang w:val="en-ZA"/>
        </w:rPr>
        <w:t xml:space="preserve"> </w:t>
      </w:r>
      <w:r w:rsidRPr="009F7FBA">
        <w:rPr>
          <w:rFonts w:eastAsia="Times New Roman" w:cs="Arial"/>
          <w:szCs w:val="24"/>
          <w:lang w:val="en-ZA"/>
        </w:rPr>
        <w:t>the</w:t>
      </w:r>
      <w:r>
        <w:rPr>
          <w:rFonts w:eastAsia="Times New Roman" w:cs="Arial"/>
          <w:szCs w:val="24"/>
          <w:lang w:val="en-ZA"/>
        </w:rPr>
        <w:t xml:space="preserve"> </w:t>
      </w:r>
      <w:r w:rsidRPr="009F7FBA">
        <w:rPr>
          <w:rFonts w:eastAsia="Times New Roman" w:cs="Arial"/>
          <w:szCs w:val="24"/>
          <w:lang w:val="en-ZA"/>
        </w:rPr>
        <w:t>Applicant:</w:t>
      </w:r>
    </w:p>
    <w:p w14:paraId="6C4BBEC7" w14:textId="77777777" w:rsidR="009604F3" w:rsidRPr="009F7FBA" w:rsidRDefault="009604F3" w:rsidP="008127FF">
      <w:pPr>
        <w:spacing w:after="0"/>
        <w:ind w:left="0"/>
        <w:rPr>
          <w:rFonts w:eastAsia="Times New Roman" w:cs="Arial"/>
          <w:szCs w:val="24"/>
          <w:lang w:val="en-ZA"/>
        </w:rPr>
      </w:pPr>
    </w:p>
    <w:p w14:paraId="10E82934" w14:textId="77777777" w:rsidR="00B61EAF" w:rsidRDefault="00B61EAF" w:rsidP="008127FF">
      <w:pPr>
        <w:spacing w:after="0"/>
        <w:ind w:left="0"/>
        <w:rPr>
          <w:rFonts w:eastAsia="Times New Roman" w:cs="Arial"/>
          <w:szCs w:val="24"/>
          <w:lang w:val="en-ZA"/>
        </w:rPr>
      </w:pPr>
    </w:p>
    <w:p w14:paraId="30E2C2C4" w14:textId="57ACB6E0" w:rsidR="009604F3" w:rsidRDefault="009604F3" w:rsidP="008127FF">
      <w:pPr>
        <w:spacing w:after="0"/>
        <w:ind w:left="0"/>
        <w:rPr>
          <w:rFonts w:eastAsia="Times New Roman" w:cs="Arial"/>
          <w:szCs w:val="24"/>
          <w:lang w:val="en-ZA"/>
        </w:rPr>
      </w:pPr>
      <w:r w:rsidRPr="009F7FBA">
        <w:rPr>
          <w:rFonts w:eastAsia="Times New Roman" w:cs="Arial"/>
          <w:szCs w:val="24"/>
          <w:lang w:val="en-ZA"/>
        </w:rPr>
        <w:t>For</w:t>
      </w:r>
      <w:r>
        <w:rPr>
          <w:rFonts w:eastAsia="Times New Roman" w:cs="Arial"/>
          <w:szCs w:val="24"/>
          <w:lang w:val="en-ZA"/>
        </w:rPr>
        <w:t xml:space="preserve"> </w:t>
      </w:r>
      <w:r w:rsidRPr="009F7FBA">
        <w:rPr>
          <w:rFonts w:eastAsia="Times New Roman" w:cs="Arial"/>
          <w:szCs w:val="24"/>
          <w:lang w:val="en-ZA"/>
        </w:rPr>
        <w:t>the</w:t>
      </w:r>
      <w:r>
        <w:rPr>
          <w:rFonts w:eastAsia="Times New Roman" w:cs="Arial"/>
          <w:szCs w:val="24"/>
          <w:lang w:val="en-ZA"/>
        </w:rPr>
        <w:t xml:space="preserve"> </w:t>
      </w:r>
      <w:r w:rsidR="005570A4">
        <w:rPr>
          <w:rFonts w:eastAsia="Times New Roman" w:cs="Arial"/>
          <w:szCs w:val="24"/>
          <w:lang w:val="en-ZA"/>
        </w:rPr>
        <w:t xml:space="preserve">First to Fifth </w:t>
      </w:r>
      <w:r w:rsidR="005570A4" w:rsidRPr="009F7FBA">
        <w:rPr>
          <w:rFonts w:eastAsia="Times New Roman" w:cs="Arial"/>
          <w:szCs w:val="24"/>
          <w:lang w:val="en-ZA"/>
        </w:rPr>
        <w:t>Respondent</w:t>
      </w:r>
      <w:r w:rsidR="005570A4">
        <w:rPr>
          <w:rFonts w:eastAsia="Times New Roman" w:cs="Arial"/>
          <w:szCs w:val="24"/>
          <w:lang w:val="en-ZA"/>
        </w:rPr>
        <w:t>s</w:t>
      </w:r>
      <w:r w:rsidRPr="009F7FBA">
        <w:rPr>
          <w:rFonts w:eastAsia="Times New Roman" w:cs="Arial"/>
          <w:szCs w:val="24"/>
          <w:lang w:val="en-ZA"/>
        </w:rPr>
        <w:t>:</w:t>
      </w:r>
    </w:p>
    <w:p w14:paraId="4E1D35B3" w14:textId="77777777" w:rsidR="002B1257" w:rsidRDefault="002B1257" w:rsidP="00AE57C5">
      <w:pPr>
        <w:spacing w:after="0"/>
        <w:ind w:left="0"/>
        <w:rPr>
          <w:rFonts w:eastAsia="Times New Roman" w:cs="Arial"/>
          <w:szCs w:val="24"/>
          <w:lang w:val="en-ZA"/>
        </w:rPr>
      </w:pPr>
    </w:p>
    <w:p w14:paraId="17B433E0" w14:textId="77777777" w:rsidR="009F58C9" w:rsidRDefault="009F58C9" w:rsidP="00AE57C5">
      <w:pPr>
        <w:spacing w:after="0"/>
        <w:ind w:left="0"/>
        <w:rPr>
          <w:rFonts w:eastAsia="Times New Roman" w:cs="Arial"/>
          <w:szCs w:val="24"/>
          <w:lang w:val="en-ZA"/>
        </w:rPr>
      </w:pPr>
    </w:p>
    <w:p w14:paraId="3999A48D" w14:textId="3327C4C3" w:rsidR="00AE57C5" w:rsidRPr="009F7FBA" w:rsidRDefault="00AE57C5" w:rsidP="00AE57C5">
      <w:pPr>
        <w:spacing w:after="0"/>
        <w:ind w:left="0"/>
        <w:rPr>
          <w:rFonts w:eastAsia="Times New Roman" w:cs="Arial"/>
          <w:szCs w:val="24"/>
          <w:lang w:val="en-ZA"/>
        </w:rPr>
      </w:pPr>
      <w:r w:rsidRPr="009F7FBA">
        <w:rPr>
          <w:rFonts w:eastAsia="Times New Roman" w:cs="Arial"/>
          <w:szCs w:val="24"/>
          <w:lang w:val="en-ZA"/>
        </w:rPr>
        <w:t>For</w:t>
      </w:r>
      <w:r>
        <w:rPr>
          <w:rFonts w:eastAsia="Times New Roman" w:cs="Arial"/>
          <w:szCs w:val="24"/>
          <w:lang w:val="en-ZA"/>
        </w:rPr>
        <w:t xml:space="preserve"> </w:t>
      </w:r>
      <w:r w:rsidRPr="009F7FBA">
        <w:rPr>
          <w:rFonts w:eastAsia="Times New Roman" w:cs="Arial"/>
          <w:szCs w:val="24"/>
          <w:lang w:val="en-ZA"/>
        </w:rPr>
        <w:t>the</w:t>
      </w:r>
      <w:r>
        <w:rPr>
          <w:rFonts w:eastAsia="Times New Roman" w:cs="Arial"/>
          <w:szCs w:val="24"/>
          <w:lang w:val="en-ZA"/>
        </w:rPr>
        <w:t xml:space="preserve"> </w:t>
      </w:r>
      <w:r w:rsidR="00416B4F">
        <w:rPr>
          <w:rFonts w:eastAsia="Times New Roman" w:cs="Arial"/>
          <w:szCs w:val="24"/>
          <w:lang w:val="en-ZA"/>
        </w:rPr>
        <w:t xml:space="preserve">Sixth to Ninth </w:t>
      </w:r>
      <w:r w:rsidR="00416B4F" w:rsidRPr="009F7FBA">
        <w:rPr>
          <w:rFonts w:eastAsia="Times New Roman" w:cs="Arial"/>
          <w:szCs w:val="24"/>
          <w:lang w:val="en-ZA"/>
        </w:rPr>
        <w:t>Respondent</w:t>
      </w:r>
      <w:r w:rsidR="00416B4F">
        <w:rPr>
          <w:rFonts w:eastAsia="Times New Roman" w:cs="Arial"/>
          <w:szCs w:val="24"/>
          <w:lang w:val="en-ZA"/>
        </w:rPr>
        <w:t>s</w:t>
      </w:r>
      <w:r w:rsidRPr="009F7FBA">
        <w:rPr>
          <w:rFonts w:eastAsia="Times New Roman" w:cs="Arial"/>
          <w:szCs w:val="24"/>
          <w:lang w:val="en-ZA"/>
        </w:rPr>
        <w:t>:</w:t>
      </w:r>
    </w:p>
    <w:p w14:paraId="564A8565" w14:textId="77777777" w:rsidR="00AE57C5" w:rsidRPr="009F7FBA" w:rsidRDefault="00AE57C5" w:rsidP="00AE57C5">
      <w:pPr>
        <w:spacing w:after="0"/>
        <w:ind w:left="0"/>
        <w:rPr>
          <w:rFonts w:eastAsia="Times New Roman" w:cs="Arial"/>
          <w:szCs w:val="24"/>
          <w:lang w:val="en-ZA"/>
        </w:rPr>
      </w:pPr>
    </w:p>
    <w:p w14:paraId="46221CC1" w14:textId="623625F9" w:rsidR="00AE57C5" w:rsidRDefault="00AE57C5" w:rsidP="00AE57C5">
      <w:pPr>
        <w:pStyle w:val="JudgmentNumbered"/>
        <w:numPr>
          <w:ilvl w:val="0"/>
          <w:numId w:val="0"/>
        </w:numPr>
        <w:rPr>
          <w:lang w:val="en-ZA"/>
        </w:rPr>
      </w:pPr>
    </w:p>
    <w:p w14:paraId="525BBD9D" w14:textId="2BDA93CA" w:rsidR="00F35582" w:rsidRDefault="00F35582" w:rsidP="00AE57C5">
      <w:pPr>
        <w:pStyle w:val="JudgmentNumbered"/>
        <w:numPr>
          <w:ilvl w:val="0"/>
          <w:numId w:val="0"/>
        </w:numPr>
        <w:rPr>
          <w:lang w:val="en-ZA"/>
        </w:rPr>
      </w:pPr>
      <w:r>
        <w:rPr>
          <w:lang w:val="en-ZA"/>
        </w:rPr>
        <w:t xml:space="preserve">Date heard: </w:t>
      </w:r>
      <w:r>
        <w:rPr>
          <w:lang w:val="en-ZA"/>
        </w:rPr>
        <w:tab/>
      </w:r>
      <w:r>
        <w:rPr>
          <w:lang w:val="en-ZA"/>
        </w:rPr>
        <w:tab/>
        <w:t>15 May 2023</w:t>
      </w:r>
      <w:r>
        <w:rPr>
          <w:lang w:val="en-ZA"/>
        </w:rPr>
        <w:tab/>
      </w:r>
    </w:p>
    <w:p w14:paraId="73D20803" w14:textId="561663D4" w:rsidR="00F35582" w:rsidRPr="00AE57C5" w:rsidRDefault="00F35582" w:rsidP="00AE57C5">
      <w:pPr>
        <w:pStyle w:val="JudgmentNumbered"/>
        <w:numPr>
          <w:ilvl w:val="0"/>
          <w:numId w:val="0"/>
        </w:numPr>
        <w:rPr>
          <w:lang w:val="en-ZA"/>
        </w:rPr>
      </w:pPr>
      <w:r>
        <w:rPr>
          <w:lang w:val="en-ZA"/>
        </w:rPr>
        <w:t xml:space="preserve">Date delivered: </w:t>
      </w:r>
      <w:r>
        <w:rPr>
          <w:lang w:val="en-ZA"/>
        </w:rPr>
        <w:tab/>
      </w:r>
      <w:r w:rsidR="002148B3">
        <w:rPr>
          <w:lang w:val="en-ZA"/>
        </w:rPr>
        <w:t>25</w:t>
      </w:r>
      <w:r>
        <w:rPr>
          <w:lang w:val="en-ZA"/>
        </w:rPr>
        <w:t xml:space="preserve"> October 2023</w:t>
      </w:r>
    </w:p>
    <w:p w14:paraId="5D71ED94" w14:textId="77777777" w:rsidR="00A21089" w:rsidRDefault="00AE57C5" w:rsidP="00AE57C5">
      <w:pPr>
        <w:spacing w:after="0"/>
        <w:ind w:left="0"/>
        <w:rPr>
          <w:rFonts w:eastAsia="Times New Roman" w:cs="Arial"/>
          <w:szCs w:val="24"/>
          <w:lang w:val="en-ZA"/>
        </w:rPr>
      </w:pPr>
      <w:r w:rsidRPr="009F7FBA">
        <w:rPr>
          <w:rFonts w:eastAsia="Times New Roman" w:cs="Arial"/>
          <w:szCs w:val="24"/>
          <w:lang w:val="en-ZA"/>
        </w:rPr>
        <w:br w:type="column"/>
      </w:r>
    </w:p>
    <w:p w14:paraId="3F3585AD" w14:textId="7D9BCF70" w:rsidR="00B61EAF" w:rsidRPr="009F58C9" w:rsidRDefault="00E22253" w:rsidP="00AE57C5">
      <w:pPr>
        <w:spacing w:after="0"/>
        <w:ind w:left="0"/>
        <w:rPr>
          <w:rFonts w:eastAsia="Times New Roman" w:cs="Arial"/>
          <w:spacing w:val="-2"/>
          <w:szCs w:val="24"/>
          <w:lang w:val="en-ZA"/>
        </w:rPr>
      </w:pPr>
      <w:r w:rsidRPr="009F58C9">
        <w:rPr>
          <w:rFonts w:eastAsia="Times New Roman" w:cs="Arial"/>
          <w:spacing w:val="-2"/>
          <w:szCs w:val="24"/>
          <w:lang w:val="en-ZA"/>
        </w:rPr>
        <w:t>J</w:t>
      </w:r>
      <w:r w:rsidR="002E1E9B" w:rsidRPr="009F58C9">
        <w:rPr>
          <w:rFonts w:eastAsia="Times New Roman" w:cs="Arial"/>
          <w:spacing w:val="-2"/>
          <w:szCs w:val="24"/>
          <w:lang w:val="en-ZA"/>
        </w:rPr>
        <w:t xml:space="preserve"> </w:t>
      </w:r>
      <w:r w:rsidRPr="009F58C9">
        <w:rPr>
          <w:rFonts w:eastAsia="Times New Roman" w:cs="Arial"/>
          <w:spacing w:val="-2"/>
          <w:szCs w:val="24"/>
          <w:lang w:val="en-ZA"/>
        </w:rPr>
        <w:t>G</w:t>
      </w:r>
      <w:r w:rsidR="002E1E9B" w:rsidRPr="009F58C9">
        <w:rPr>
          <w:rFonts w:eastAsia="Times New Roman" w:cs="Arial"/>
          <w:spacing w:val="-2"/>
          <w:szCs w:val="24"/>
          <w:lang w:val="en-ZA"/>
        </w:rPr>
        <w:t xml:space="preserve"> </w:t>
      </w:r>
      <w:r w:rsidRPr="009F58C9">
        <w:rPr>
          <w:rFonts w:eastAsia="Times New Roman" w:cs="Arial"/>
          <w:spacing w:val="-2"/>
          <w:szCs w:val="24"/>
          <w:lang w:val="en-ZA"/>
        </w:rPr>
        <w:t xml:space="preserve">C Hamman and </w:t>
      </w:r>
      <w:r w:rsidR="002E1E9B" w:rsidRPr="009F58C9">
        <w:rPr>
          <w:rFonts w:eastAsia="Times New Roman" w:cs="Arial"/>
          <w:spacing w:val="-2"/>
          <w:szCs w:val="24"/>
          <w:lang w:val="en-ZA"/>
        </w:rPr>
        <w:t xml:space="preserve">H </w:t>
      </w:r>
      <w:r w:rsidRPr="009F58C9">
        <w:rPr>
          <w:rFonts w:eastAsia="Times New Roman" w:cs="Arial"/>
          <w:spacing w:val="-2"/>
          <w:szCs w:val="24"/>
          <w:lang w:val="en-ZA"/>
        </w:rPr>
        <w:t>Scholtz</w:t>
      </w:r>
      <w:r w:rsidR="002E1E9B" w:rsidRPr="009F58C9">
        <w:rPr>
          <w:rFonts w:eastAsia="Times New Roman" w:cs="Arial"/>
          <w:spacing w:val="-2"/>
          <w:szCs w:val="24"/>
          <w:lang w:val="en-ZA"/>
        </w:rPr>
        <w:t xml:space="preserve"> i</w:t>
      </w:r>
      <w:r w:rsidR="00AE57C5" w:rsidRPr="009F58C9">
        <w:rPr>
          <w:rFonts w:eastAsia="Times New Roman" w:cs="Arial"/>
          <w:spacing w:val="-2"/>
          <w:szCs w:val="24"/>
          <w:lang w:val="en-ZA"/>
        </w:rPr>
        <w:t xml:space="preserve">nstructed by </w:t>
      </w:r>
      <w:r w:rsidR="00B61EAF" w:rsidRPr="009F58C9">
        <w:rPr>
          <w:rFonts w:eastAsia="Times New Roman" w:cs="Arial"/>
          <w:spacing w:val="-2"/>
          <w:szCs w:val="24"/>
          <w:lang w:val="en-ZA"/>
        </w:rPr>
        <w:t>Hurter Spies Incorporated</w:t>
      </w:r>
    </w:p>
    <w:p w14:paraId="65A89438" w14:textId="77777777" w:rsidR="002562CA" w:rsidRPr="009F58C9" w:rsidRDefault="002562CA" w:rsidP="000C5B35">
      <w:pPr>
        <w:spacing w:after="0"/>
        <w:ind w:left="0"/>
        <w:rPr>
          <w:rFonts w:eastAsia="Times New Roman" w:cs="Arial"/>
          <w:spacing w:val="-2"/>
          <w:szCs w:val="24"/>
          <w:lang w:val="en-ZA"/>
        </w:rPr>
      </w:pPr>
    </w:p>
    <w:p w14:paraId="2F9E4F8F" w14:textId="4E72AB24" w:rsidR="000C5B35" w:rsidRPr="009F58C9" w:rsidRDefault="002E1E9B" w:rsidP="00F64173">
      <w:pPr>
        <w:spacing w:after="0"/>
        <w:ind w:left="0"/>
        <w:rPr>
          <w:rFonts w:eastAsia="Times New Roman" w:cs="Arial"/>
          <w:spacing w:val="-2"/>
          <w:szCs w:val="24"/>
          <w:lang w:val="en-ZA"/>
        </w:rPr>
      </w:pPr>
      <w:r w:rsidRPr="009F58C9">
        <w:rPr>
          <w:rFonts w:eastAsia="Times New Roman" w:cs="Arial"/>
          <w:spacing w:val="-2"/>
          <w:szCs w:val="24"/>
          <w:lang w:val="en-ZA"/>
        </w:rPr>
        <w:t>W</w:t>
      </w:r>
      <w:r w:rsidR="00991256" w:rsidRPr="009F58C9">
        <w:rPr>
          <w:rFonts w:eastAsia="Times New Roman" w:cs="Arial"/>
          <w:spacing w:val="-2"/>
          <w:szCs w:val="24"/>
          <w:lang w:val="en-ZA"/>
        </w:rPr>
        <w:t xml:space="preserve"> Trengrove SC and </w:t>
      </w:r>
      <w:r w:rsidR="00714CB2" w:rsidRPr="009F58C9">
        <w:rPr>
          <w:rFonts w:eastAsia="Times New Roman" w:cs="Arial"/>
          <w:spacing w:val="-2"/>
          <w:szCs w:val="24"/>
          <w:lang w:val="en-ZA"/>
        </w:rPr>
        <w:t xml:space="preserve">H </w:t>
      </w:r>
      <w:r w:rsidR="00991256" w:rsidRPr="009F58C9">
        <w:rPr>
          <w:spacing w:val="-2"/>
          <w:lang w:val="en-ZA"/>
        </w:rPr>
        <w:t>Rajah</w:t>
      </w:r>
      <w:r w:rsidR="002562CA" w:rsidRPr="009F58C9">
        <w:rPr>
          <w:spacing w:val="-2"/>
          <w:lang w:val="en-ZA"/>
        </w:rPr>
        <w:t xml:space="preserve"> </w:t>
      </w:r>
      <w:r w:rsidR="00714CB2" w:rsidRPr="009F58C9">
        <w:rPr>
          <w:spacing w:val="-2"/>
        </w:rPr>
        <w:t>i</w:t>
      </w:r>
      <w:r w:rsidR="00AE57C5" w:rsidRPr="009F58C9">
        <w:rPr>
          <w:spacing w:val="-2"/>
        </w:rPr>
        <w:t>nstructed</w:t>
      </w:r>
      <w:r w:rsidR="00AE57C5" w:rsidRPr="009F58C9">
        <w:rPr>
          <w:rFonts w:eastAsia="Times New Roman" w:cs="Arial"/>
          <w:spacing w:val="-2"/>
          <w:szCs w:val="24"/>
          <w:lang w:val="en-ZA"/>
        </w:rPr>
        <w:t xml:space="preserve"> by </w:t>
      </w:r>
      <w:r w:rsidR="0019575B" w:rsidRPr="009F58C9">
        <w:rPr>
          <w:rFonts w:eastAsia="Times New Roman" w:cs="Arial"/>
          <w:spacing w:val="-2"/>
          <w:szCs w:val="24"/>
          <w:lang w:val="en-ZA"/>
        </w:rPr>
        <w:t>State Attorney, Pretoria</w:t>
      </w:r>
    </w:p>
    <w:p w14:paraId="4C323026" w14:textId="77777777" w:rsidR="002562CA" w:rsidRDefault="002562CA" w:rsidP="00991482">
      <w:pPr>
        <w:spacing w:after="0"/>
        <w:ind w:left="0"/>
        <w:rPr>
          <w:rFonts w:eastAsia="Times New Roman" w:cs="Arial"/>
          <w:szCs w:val="24"/>
          <w:lang w:val="en-ZA"/>
        </w:rPr>
      </w:pPr>
    </w:p>
    <w:p w14:paraId="1A3F3D2C" w14:textId="5E012ED2" w:rsidR="009604F3" w:rsidRPr="009F58C9" w:rsidRDefault="00DF17CC" w:rsidP="00991482">
      <w:pPr>
        <w:spacing w:after="0"/>
        <w:ind w:left="0"/>
        <w:rPr>
          <w:rFonts w:eastAsia="Times New Roman" w:cs="Arial"/>
          <w:spacing w:val="-2"/>
          <w:szCs w:val="24"/>
          <w:highlight w:val="yellow"/>
          <w:lang w:val="en-ZA"/>
        </w:rPr>
      </w:pPr>
      <w:r w:rsidRPr="009F58C9">
        <w:rPr>
          <w:rFonts w:eastAsia="Times New Roman" w:cs="Arial"/>
          <w:spacing w:val="-2"/>
          <w:szCs w:val="24"/>
          <w:lang w:val="en-ZA"/>
        </w:rPr>
        <w:t>M</w:t>
      </w:r>
      <w:r w:rsidR="000C5B35" w:rsidRPr="009F58C9">
        <w:rPr>
          <w:rFonts w:eastAsia="Times New Roman" w:cs="Arial"/>
          <w:spacing w:val="-2"/>
          <w:szCs w:val="24"/>
          <w:lang w:val="en-ZA"/>
        </w:rPr>
        <w:t xml:space="preserve"> Sello SC and </w:t>
      </w:r>
      <w:r w:rsidRPr="009F58C9">
        <w:rPr>
          <w:rFonts w:eastAsia="Times New Roman" w:cs="Arial"/>
          <w:spacing w:val="-2"/>
          <w:szCs w:val="24"/>
          <w:lang w:val="en-ZA"/>
        </w:rPr>
        <w:t>B</w:t>
      </w:r>
      <w:r w:rsidR="00991482" w:rsidRPr="009F58C9">
        <w:rPr>
          <w:rFonts w:eastAsia="Times New Roman" w:cs="Arial"/>
          <w:spacing w:val="-2"/>
          <w:szCs w:val="24"/>
          <w:lang w:val="en-ZA"/>
        </w:rPr>
        <w:t xml:space="preserve"> Lekokotla</w:t>
      </w:r>
      <w:r w:rsidR="002562CA" w:rsidRPr="009F58C9">
        <w:rPr>
          <w:rFonts w:eastAsia="Times New Roman" w:cs="Arial"/>
          <w:spacing w:val="-2"/>
          <w:szCs w:val="24"/>
          <w:lang w:val="en-ZA"/>
        </w:rPr>
        <w:t xml:space="preserve"> </w:t>
      </w:r>
      <w:r w:rsidR="00124C4B">
        <w:rPr>
          <w:rFonts w:eastAsia="Times New Roman" w:cs="Arial"/>
          <w:spacing w:val="-2"/>
          <w:szCs w:val="24"/>
          <w:lang w:val="en-ZA"/>
        </w:rPr>
        <w:t>i</w:t>
      </w:r>
      <w:r w:rsidR="00AE57C5" w:rsidRPr="009F58C9">
        <w:rPr>
          <w:rFonts w:eastAsia="Times New Roman" w:cs="Arial"/>
          <w:spacing w:val="-2"/>
          <w:szCs w:val="24"/>
          <w:lang w:val="en-ZA"/>
        </w:rPr>
        <w:t xml:space="preserve">nstructed </w:t>
      </w:r>
      <w:r w:rsidR="009F58C9" w:rsidRPr="009F58C9">
        <w:rPr>
          <w:rFonts w:eastAsia="Times New Roman" w:cs="Arial"/>
          <w:spacing w:val="-2"/>
          <w:szCs w:val="24"/>
          <w:lang w:val="en-ZA"/>
        </w:rPr>
        <w:t>b</w:t>
      </w:r>
      <w:r w:rsidR="00AE57C5" w:rsidRPr="009F58C9">
        <w:rPr>
          <w:rFonts w:eastAsia="Times New Roman" w:cs="Arial"/>
          <w:spacing w:val="-2"/>
          <w:szCs w:val="24"/>
          <w:lang w:val="en-ZA"/>
        </w:rPr>
        <w:t xml:space="preserve">y </w:t>
      </w:r>
      <w:r w:rsidR="0019575B" w:rsidRPr="009F58C9">
        <w:rPr>
          <w:rFonts w:eastAsia="Times New Roman" w:cs="Arial"/>
          <w:spacing w:val="-2"/>
          <w:szCs w:val="24"/>
          <w:lang w:val="en-ZA"/>
        </w:rPr>
        <w:t>State Attorney, Pretoria</w:t>
      </w:r>
    </w:p>
    <w:p w14:paraId="071A7E94" w14:textId="77777777" w:rsidR="00525029" w:rsidRPr="00C302EE" w:rsidRDefault="00525029" w:rsidP="00AE57C5">
      <w:pPr>
        <w:ind w:left="0"/>
      </w:pPr>
    </w:p>
    <w:sectPr w:rsidR="00525029" w:rsidRPr="00C302EE" w:rsidSect="00E469E1">
      <w:footerReference w:type="default" r:id="rId11"/>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9933F" w14:textId="77777777" w:rsidR="003A5A04" w:rsidRDefault="003A5A04" w:rsidP="009604F3">
      <w:pPr>
        <w:spacing w:after="0" w:line="240" w:lineRule="auto"/>
      </w:pPr>
      <w:r>
        <w:separator/>
      </w:r>
    </w:p>
  </w:endnote>
  <w:endnote w:type="continuationSeparator" w:id="0">
    <w:p w14:paraId="58967564" w14:textId="77777777" w:rsidR="003A5A04" w:rsidRDefault="003A5A04" w:rsidP="009604F3">
      <w:pPr>
        <w:spacing w:after="0" w:line="240" w:lineRule="auto"/>
      </w:pPr>
      <w:r>
        <w:continuationSeparator/>
      </w:r>
    </w:p>
  </w:endnote>
  <w:endnote w:type="continuationNotice" w:id="1">
    <w:p w14:paraId="04B5EFF1" w14:textId="77777777" w:rsidR="003A5A04" w:rsidRDefault="003A5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17268"/>
      <w:docPartObj>
        <w:docPartGallery w:val="Page Numbers (Bottom of Page)"/>
        <w:docPartUnique/>
      </w:docPartObj>
    </w:sdtPr>
    <w:sdtEndPr>
      <w:rPr>
        <w:noProof/>
      </w:rPr>
    </w:sdtEndPr>
    <w:sdtContent>
      <w:p w14:paraId="30CE71AA" w14:textId="7D5E682F" w:rsidR="001346A2" w:rsidRDefault="001346A2" w:rsidP="00E469E1">
        <w:pPr>
          <w:pStyle w:val="Footer"/>
          <w:jc w:val="right"/>
        </w:pPr>
        <w:r>
          <w:fldChar w:fldCharType="begin"/>
        </w:r>
        <w:r>
          <w:instrText xml:space="preserve"> PAGE   \* MERGEFORMAT </w:instrText>
        </w:r>
        <w:r>
          <w:fldChar w:fldCharType="separate"/>
        </w:r>
        <w:r w:rsidR="0048361F">
          <w:rPr>
            <w:noProof/>
          </w:rPr>
          <w:t>2</w:t>
        </w:r>
        <w:r>
          <w:rPr>
            <w:noProof/>
          </w:rPr>
          <w:fldChar w:fldCharType="end"/>
        </w:r>
      </w:p>
    </w:sdtContent>
  </w:sdt>
  <w:p w14:paraId="7AEB532E" w14:textId="77777777" w:rsidR="001346A2" w:rsidRDefault="001346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12DF4FA7" w14:textId="4E5C06A0" w:rsidR="001346A2" w:rsidRDefault="001346A2" w:rsidP="00E469E1">
        <w:pPr>
          <w:pStyle w:val="Footer"/>
          <w:jc w:val="right"/>
        </w:pPr>
        <w:r>
          <w:fldChar w:fldCharType="begin"/>
        </w:r>
        <w:r>
          <w:instrText xml:space="preserve"> PAGE   \* MERGEFORMAT </w:instrText>
        </w:r>
        <w:r>
          <w:fldChar w:fldCharType="separate"/>
        </w:r>
        <w:r w:rsidR="002148B3">
          <w:rPr>
            <w:noProof/>
          </w:rPr>
          <w:t>27</w:t>
        </w:r>
        <w:r>
          <w:rPr>
            <w:noProof/>
          </w:rPr>
          <w:fldChar w:fldCharType="end"/>
        </w:r>
      </w:p>
    </w:sdtContent>
  </w:sdt>
  <w:p w14:paraId="1BFF722B" w14:textId="77777777" w:rsidR="001346A2" w:rsidRDefault="001346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10D70" w14:textId="77777777" w:rsidR="003A5A04" w:rsidRDefault="003A5A04" w:rsidP="005C43BB">
      <w:pPr>
        <w:spacing w:after="0" w:line="240" w:lineRule="auto"/>
        <w:ind w:left="0"/>
      </w:pPr>
      <w:r>
        <w:separator/>
      </w:r>
    </w:p>
  </w:footnote>
  <w:footnote w:type="continuationSeparator" w:id="0">
    <w:p w14:paraId="28D974C0" w14:textId="77777777" w:rsidR="003A5A04" w:rsidRDefault="003A5A04" w:rsidP="009604F3">
      <w:pPr>
        <w:spacing w:after="0" w:line="240" w:lineRule="auto"/>
      </w:pPr>
      <w:r>
        <w:continuationSeparator/>
      </w:r>
    </w:p>
  </w:footnote>
  <w:footnote w:type="continuationNotice" w:id="1">
    <w:p w14:paraId="4C9053D1" w14:textId="77777777" w:rsidR="003A5A04" w:rsidRDefault="003A5A04">
      <w:pPr>
        <w:spacing w:after="0" w:line="240" w:lineRule="auto"/>
      </w:pPr>
    </w:p>
  </w:footnote>
  <w:footnote w:id="2">
    <w:p w14:paraId="7DE742E8" w14:textId="7F4F4E6F"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51 of 2000 (the Act).</w:t>
      </w:r>
    </w:p>
  </w:footnote>
  <w:footnote w:id="3">
    <w:p w14:paraId="72F2D27A" w14:textId="0BFF7EB8" w:rsidR="00F2557B" w:rsidRPr="00445FD9" w:rsidRDefault="00F2557B" w:rsidP="008277DC">
      <w:pPr>
        <w:pStyle w:val="FootnoteText"/>
        <w:ind w:left="0"/>
        <w:rPr>
          <w:sz w:val="18"/>
          <w:szCs w:val="18"/>
          <w:lang w:val="en-ZA"/>
        </w:rPr>
      </w:pPr>
      <w:r w:rsidRPr="00445FD9">
        <w:rPr>
          <w:rStyle w:val="FootnoteReference"/>
          <w:sz w:val="18"/>
          <w:szCs w:val="18"/>
        </w:rPr>
        <w:footnoteRef/>
      </w:r>
      <w:r w:rsidRPr="00445FD9">
        <w:rPr>
          <w:sz w:val="18"/>
          <w:szCs w:val="18"/>
        </w:rPr>
        <w:t xml:space="preserve"> </w:t>
      </w:r>
      <w:r w:rsidRPr="00445FD9">
        <w:rPr>
          <w:rFonts w:eastAsia="Calibri" w:cs="Arial"/>
          <w:i/>
          <w:sz w:val="18"/>
          <w:szCs w:val="18"/>
          <w:lang w:val="en-ZA"/>
        </w:rPr>
        <w:t>AfriForum NPC v Minister of International Relations and Co-operation and Others</w:t>
      </w:r>
      <w:r w:rsidRPr="00445FD9">
        <w:rPr>
          <w:rFonts w:eastAsia="Calibri" w:cs="Arial"/>
          <w:sz w:val="18"/>
          <w:szCs w:val="18"/>
          <w:lang w:val="en-ZA"/>
        </w:rPr>
        <w:t xml:space="preserve"> [2022] ZAGPPHC 185.</w:t>
      </w:r>
    </w:p>
  </w:footnote>
  <w:footnote w:id="4">
    <w:p w14:paraId="63E4AF23" w14:textId="0E5C4D22" w:rsidR="001346A2" w:rsidRPr="00445FD9" w:rsidRDefault="001346A2" w:rsidP="008277DC">
      <w:pPr>
        <w:pStyle w:val="FootnoteText"/>
        <w:ind w:left="0"/>
        <w:rPr>
          <w:rFonts w:cs="Arial"/>
          <w:sz w:val="18"/>
          <w:szCs w:val="18"/>
        </w:rPr>
      </w:pPr>
      <w:r w:rsidRPr="00445FD9">
        <w:rPr>
          <w:rStyle w:val="FootnoteReference"/>
          <w:rFonts w:cs="Arial"/>
          <w:sz w:val="18"/>
          <w:szCs w:val="18"/>
        </w:rPr>
        <w:footnoteRef/>
      </w:r>
      <w:r w:rsidRPr="00445FD9">
        <w:rPr>
          <w:rFonts w:cs="Arial"/>
          <w:sz w:val="18"/>
          <w:szCs w:val="18"/>
        </w:rPr>
        <w:t xml:space="preserve"> 1 of 1999 (the PFMA).</w:t>
      </w:r>
    </w:p>
  </w:footnote>
  <w:footnote w:id="5">
    <w:p w14:paraId="571FCAF3" w14:textId="2D51213C" w:rsidR="001346A2" w:rsidRPr="00445FD9" w:rsidRDefault="001346A2" w:rsidP="008277DC">
      <w:pPr>
        <w:pStyle w:val="FootnoteText"/>
        <w:ind w:left="0"/>
        <w:rPr>
          <w:rFonts w:cs="Arial"/>
          <w:sz w:val="18"/>
          <w:szCs w:val="18"/>
        </w:rPr>
      </w:pPr>
      <w:r w:rsidRPr="00445FD9">
        <w:rPr>
          <w:rStyle w:val="FootnoteReference"/>
          <w:rFonts w:cs="Arial"/>
          <w:sz w:val="18"/>
          <w:szCs w:val="18"/>
        </w:rPr>
        <w:footnoteRef/>
      </w:r>
      <w:r w:rsidRPr="00445FD9">
        <w:rPr>
          <w:rFonts w:cs="Arial"/>
          <w:sz w:val="18"/>
          <w:szCs w:val="18"/>
        </w:rPr>
        <w:t xml:space="preserve"> Section 2(2) of the Act</w:t>
      </w:r>
      <w:r w:rsidR="00D4529E" w:rsidRPr="00445FD9">
        <w:rPr>
          <w:rFonts w:cs="Arial"/>
          <w:sz w:val="18"/>
          <w:szCs w:val="18"/>
        </w:rPr>
        <w:t>.</w:t>
      </w:r>
    </w:p>
  </w:footnote>
  <w:footnote w:id="6">
    <w:p w14:paraId="618B658D" w14:textId="7F05C8D3" w:rsidR="001346A2" w:rsidRPr="00445FD9" w:rsidRDefault="001346A2" w:rsidP="008277DC">
      <w:pPr>
        <w:pStyle w:val="FootnoteText"/>
        <w:ind w:left="0"/>
        <w:rPr>
          <w:rFonts w:cs="Arial"/>
          <w:sz w:val="18"/>
          <w:szCs w:val="18"/>
        </w:rPr>
      </w:pPr>
      <w:r w:rsidRPr="00445FD9">
        <w:rPr>
          <w:rStyle w:val="FootnoteReference"/>
          <w:rFonts w:cs="Arial"/>
          <w:sz w:val="18"/>
          <w:szCs w:val="18"/>
        </w:rPr>
        <w:footnoteRef/>
      </w:r>
      <w:r w:rsidRPr="00445FD9">
        <w:rPr>
          <w:rFonts w:cs="Arial"/>
          <w:sz w:val="18"/>
          <w:szCs w:val="18"/>
        </w:rPr>
        <w:t xml:space="preserve"> Section 5(3) of the Act.</w:t>
      </w:r>
    </w:p>
  </w:footnote>
  <w:footnote w:id="7">
    <w:p w14:paraId="3BC3CA55" w14:textId="358D03D3"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This was a bilateral agreement entered into between the governments of South Africa and Cuba in December 2010. It had three facilities. Facility A was a conditional grant of money to purchase goods in South Africa and elsewhere. Facility B was a solidarity grant to purchase goods in South Africa. Facility C was a credit line from South Africa to Cuba.</w:t>
      </w:r>
    </w:p>
  </w:footnote>
  <w:footnote w:id="8">
    <w:p w14:paraId="6135FF3C" w14:textId="01E5FD00"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Pr="00445FD9">
        <w:rPr>
          <w:rFonts w:cs="Arial"/>
          <w:sz w:val="18"/>
          <w:szCs w:val="18"/>
          <w:lang w:val="en-ZA"/>
        </w:rPr>
        <w:t>A political party and the official opposition in Parliament.</w:t>
      </w:r>
    </w:p>
  </w:footnote>
  <w:footnote w:id="9">
    <w:p w14:paraId="6F8D9143" w14:textId="2ACD3F9C" w:rsidR="001346A2" w:rsidRPr="00445FD9" w:rsidRDefault="001346A2" w:rsidP="008277DC">
      <w:pPr>
        <w:pStyle w:val="FootnoteText"/>
        <w:ind w:left="0"/>
        <w:rPr>
          <w:rFonts w:cs="Arial"/>
          <w:sz w:val="18"/>
          <w:szCs w:val="18"/>
        </w:rPr>
      </w:pPr>
      <w:r w:rsidRPr="00445FD9">
        <w:rPr>
          <w:rStyle w:val="FootnoteReference"/>
          <w:rFonts w:cs="Arial"/>
          <w:sz w:val="18"/>
          <w:szCs w:val="18"/>
        </w:rPr>
        <w:footnoteRef/>
      </w:r>
      <w:r w:rsidRPr="00445FD9">
        <w:rPr>
          <w:rFonts w:cs="Arial"/>
          <w:sz w:val="18"/>
          <w:szCs w:val="18"/>
        </w:rPr>
        <w:t xml:space="preserve"> If a decision cannot be reviewed under PAJA, it does not mean it cannot be reviewed at all, rather that it can be reviewed under the principle of legality. See </w:t>
      </w:r>
      <w:r w:rsidR="00604720" w:rsidRPr="00445FD9">
        <w:rPr>
          <w:rFonts w:cs="Arial"/>
          <w:i/>
          <w:iCs/>
          <w:sz w:val="18"/>
          <w:szCs w:val="18"/>
        </w:rPr>
        <w:t>Prudential Authority of the South African Reserve Bank v Msiza and Another</w:t>
      </w:r>
      <w:r w:rsidR="00604720" w:rsidRPr="00445FD9">
        <w:rPr>
          <w:rFonts w:cs="Arial"/>
          <w:sz w:val="18"/>
          <w:szCs w:val="18"/>
        </w:rPr>
        <w:t xml:space="preserve"> [2023] ZAGPPHC 313 </w:t>
      </w:r>
      <w:r w:rsidR="004878B8" w:rsidRPr="00445FD9">
        <w:rPr>
          <w:rFonts w:cs="Arial"/>
          <w:sz w:val="18"/>
          <w:szCs w:val="18"/>
        </w:rPr>
        <w:t>at para 16;</w:t>
      </w:r>
      <w:r w:rsidR="000219F2" w:rsidRPr="00445FD9">
        <w:rPr>
          <w:rFonts w:cs="Arial"/>
          <w:sz w:val="18"/>
          <w:szCs w:val="18"/>
        </w:rPr>
        <w:t xml:space="preserve"> </w:t>
      </w:r>
      <w:r w:rsidR="000219F2" w:rsidRPr="00445FD9">
        <w:rPr>
          <w:rFonts w:cs="Arial"/>
          <w:i/>
          <w:sz w:val="18"/>
          <w:szCs w:val="18"/>
        </w:rPr>
        <w:t xml:space="preserve">National Energy Regulator of South Africa and Another v PG Group (Pty) Limited and Others </w:t>
      </w:r>
      <w:r w:rsidR="000219F2" w:rsidRPr="00445FD9">
        <w:rPr>
          <w:rFonts w:cs="Arial"/>
          <w:iCs/>
          <w:sz w:val="18"/>
          <w:szCs w:val="18"/>
        </w:rPr>
        <w:t>[2019] ZACC 28; 2019 (10) BCLR 1185 (CC); 2020 (1) SA 450 (CC) at paras 112-113</w:t>
      </w:r>
      <w:r w:rsidR="00D933A2" w:rsidRPr="00445FD9">
        <w:rPr>
          <w:rFonts w:cs="Arial"/>
          <w:iCs/>
          <w:sz w:val="18"/>
          <w:szCs w:val="18"/>
        </w:rPr>
        <w:t xml:space="preserve">; </w:t>
      </w:r>
      <w:r w:rsidRPr="00445FD9">
        <w:rPr>
          <w:rFonts w:cs="Arial"/>
          <w:i/>
          <w:sz w:val="18"/>
          <w:szCs w:val="18"/>
        </w:rPr>
        <w:t>State Information Technology Agency SOC Limited v Gijima Holdings (Pty) Limited</w:t>
      </w:r>
      <w:r w:rsidRPr="00445FD9">
        <w:rPr>
          <w:rFonts w:cs="Arial"/>
          <w:sz w:val="18"/>
          <w:szCs w:val="18"/>
        </w:rPr>
        <w:t xml:space="preserve"> [2017] ZACC 40; 2018 (2) BCLR 240 (CC); 2018 (2) SA 23 (CC) at para 38.</w:t>
      </w:r>
    </w:p>
  </w:footnote>
  <w:footnote w:id="10">
    <w:p w14:paraId="250AA9D5" w14:textId="278274EE"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00877B89" w:rsidRPr="00445FD9">
        <w:rPr>
          <w:rFonts w:cs="Arial"/>
          <w:sz w:val="18"/>
          <w:szCs w:val="18"/>
        </w:rPr>
        <w:t>[2021] ZASCA 157; [2022] 1 All SA 138 (SCA); 2022 (1) SA 424 (SCA)</w:t>
      </w:r>
      <w:r w:rsidRPr="00445FD9">
        <w:rPr>
          <w:rFonts w:cs="Arial"/>
          <w:sz w:val="18"/>
          <w:szCs w:val="18"/>
        </w:rPr>
        <w:t>.</w:t>
      </w:r>
    </w:p>
  </w:footnote>
  <w:footnote w:id="11">
    <w:p w14:paraId="252218D6" w14:textId="4731350A" w:rsidR="001346A2" w:rsidRPr="00445FD9" w:rsidRDefault="001346A2" w:rsidP="008277DC">
      <w:pPr>
        <w:pStyle w:val="FootnoteText"/>
        <w:ind w:left="0"/>
        <w:rPr>
          <w:rFonts w:cs="Arial"/>
          <w:sz w:val="18"/>
          <w:szCs w:val="18"/>
        </w:rPr>
      </w:pPr>
      <w:r w:rsidRPr="00445FD9">
        <w:rPr>
          <w:rStyle w:val="FootnoteReference"/>
          <w:rFonts w:cs="Arial"/>
          <w:sz w:val="18"/>
          <w:szCs w:val="18"/>
        </w:rPr>
        <w:footnoteRef/>
      </w:r>
      <w:r w:rsidRPr="00445FD9">
        <w:rPr>
          <w:rFonts w:cs="Arial"/>
          <w:sz w:val="18"/>
          <w:szCs w:val="18"/>
        </w:rPr>
        <w:t xml:space="preserve"> </w:t>
      </w:r>
      <w:r w:rsidRPr="00445FD9">
        <w:rPr>
          <w:rFonts w:cs="Arial"/>
          <w:i/>
          <w:iCs/>
          <w:sz w:val="18"/>
          <w:szCs w:val="18"/>
        </w:rPr>
        <w:t>Ibid</w:t>
      </w:r>
      <w:r w:rsidRPr="00445FD9">
        <w:rPr>
          <w:rFonts w:cs="Arial"/>
          <w:sz w:val="18"/>
          <w:szCs w:val="18"/>
        </w:rPr>
        <w:t xml:space="preserve"> at para 14.</w:t>
      </w:r>
    </w:p>
  </w:footnote>
  <w:footnote w:id="12">
    <w:p w14:paraId="2FD31FA7" w14:textId="006674B2" w:rsidR="001346A2" w:rsidRPr="00445FD9" w:rsidRDefault="001346A2" w:rsidP="008277DC">
      <w:pPr>
        <w:pStyle w:val="FootnoteText"/>
        <w:ind w:left="0"/>
        <w:rPr>
          <w:rFonts w:cs="Arial"/>
          <w:sz w:val="18"/>
          <w:szCs w:val="18"/>
        </w:rPr>
      </w:pPr>
      <w:r w:rsidRPr="00445FD9">
        <w:rPr>
          <w:rStyle w:val="FootnoteReference"/>
          <w:rFonts w:cs="Arial"/>
          <w:sz w:val="18"/>
          <w:szCs w:val="18"/>
        </w:rPr>
        <w:footnoteRef/>
      </w:r>
      <w:r w:rsidRPr="00445FD9">
        <w:rPr>
          <w:rFonts w:cs="Arial"/>
          <w:sz w:val="18"/>
          <w:szCs w:val="18"/>
        </w:rPr>
        <w:t xml:space="preserve"> </w:t>
      </w:r>
      <w:r w:rsidR="00833910" w:rsidRPr="00445FD9">
        <w:rPr>
          <w:rFonts w:cs="Arial"/>
          <w:sz w:val="18"/>
          <w:szCs w:val="18"/>
        </w:rPr>
        <w:t>[2014] ZACC 18; 2014 (8) BCLR 930 (CC); 2014 (5) SA 69 (CC)</w:t>
      </w:r>
      <w:r w:rsidRPr="00445FD9">
        <w:rPr>
          <w:rFonts w:cs="Arial"/>
          <w:sz w:val="18"/>
          <w:szCs w:val="18"/>
        </w:rPr>
        <w:t xml:space="preserve"> (“</w:t>
      </w:r>
      <w:r w:rsidRPr="00445FD9">
        <w:rPr>
          <w:rFonts w:cs="Arial"/>
          <w:i/>
          <w:sz w:val="18"/>
          <w:szCs w:val="18"/>
        </w:rPr>
        <w:t>Motau”</w:t>
      </w:r>
      <w:r w:rsidRPr="00445FD9">
        <w:rPr>
          <w:rFonts w:cs="Arial"/>
          <w:sz w:val="18"/>
          <w:szCs w:val="18"/>
        </w:rPr>
        <w:t>).</w:t>
      </w:r>
    </w:p>
  </w:footnote>
  <w:footnote w:id="13">
    <w:p w14:paraId="55626CE3" w14:textId="7AE39CEE" w:rsidR="00EA0F0E" w:rsidRPr="00445FD9" w:rsidRDefault="00EA0F0E" w:rsidP="008277DC">
      <w:pPr>
        <w:pStyle w:val="FootnoteText"/>
        <w:ind w:left="0"/>
        <w:rPr>
          <w:sz w:val="18"/>
          <w:szCs w:val="18"/>
          <w:lang w:val="en-ZA"/>
        </w:rPr>
      </w:pPr>
      <w:r w:rsidRPr="00445FD9">
        <w:rPr>
          <w:rStyle w:val="FootnoteReference"/>
          <w:sz w:val="18"/>
          <w:szCs w:val="18"/>
        </w:rPr>
        <w:footnoteRef/>
      </w:r>
      <w:r w:rsidRPr="00445FD9">
        <w:rPr>
          <w:sz w:val="18"/>
          <w:szCs w:val="18"/>
        </w:rPr>
        <w:t xml:space="preserve"> </w:t>
      </w:r>
      <w:r w:rsidR="008277DC" w:rsidRPr="00445FD9">
        <w:rPr>
          <w:sz w:val="18"/>
          <w:szCs w:val="18"/>
        </w:rPr>
        <w:t>[2005] ZASCA 43; [2005] 3 All SA 33 (SCA); 2005 (6) SA 313 (SCA)</w:t>
      </w:r>
      <w:r w:rsidR="007F15CB" w:rsidRPr="00445FD9">
        <w:rPr>
          <w:sz w:val="18"/>
          <w:szCs w:val="18"/>
        </w:rPr>
        <w:t xml:space="preserve"> (“</w:t>
      </w:r>
      <w:r w:rsidR="007F15CB" w:rsidRPr="00445FD9">
        <w:rPr>
          <w:i/>
          <w:iCs/>
          <w:sz w:val="18"/>
          <w:szCs w:val="18"/>
        </w:rPr>
        <w:t>Greys Marine</w:t>
      </w:r>
      <w:r w:rsidR="007F15CB" w:rsidRPr="00445FD9">
        <w:rPr>
          <w:sz w:val="18"/>
          <w:szCs w:val="18"/>
        </w:rPr>
        <w:t>”)</w:t>
      </w:r>
      <w:r w:rsidR="008277DC" w:rsidRPr="00445FD9">
        <w:rPr>
          <w:sz w:val="18"/>
          <w:szCs w:val="18"/>
        </w:rPr>
        <w:t>.</w:t>
      </w:r>
    </w:p>
  </w:footnote>
  <w:footnote w:id="14">
    <w:p w14:paraId="37C2C0C4" w14:textId="1CEE4155" w:rsidR="00EB02A9" w:rsidRPr="00445FD9" w:rsidRDefault="00EB02A9" w:rsidP="008277DC">
      <w:pPr>
        <w:pStyle w:val="FootnoteText"/>
        <w:ind w:left="0"/>
        <w:rPr>
          <w:sz w:val="18"/>
          <w:szCs w:val="18"/>
          <w:lang w:val="en-ZA"/>
        </w:rPr>
      </w:pPr>
      <w:r w:rsidRPr="00445FD9">
        <w:rPr>
          <w:rStyle w:val="FootnoteReference"/>
          <w:sz w:val="18"/>
          <w:szCs w:val="18"/>
        </w:rPr>
        <w:footnoteRef/>
      </w:r>
      <w:r w:rsidRPr="00445FD9">
        <w:rPr>
          <w:sz w:val="18"/>
          <w:szCs w:val="18"/>
        </w:rPr>
        <w:t xml:space="preserve"> </w:t>
      </w:r>
      <w:r w:rsidR="00930BA9" w:rsidRPr="00445FD9">
        <w:rPr>
          <w:i/>
          <w:iCs/>
          <w:sz w:val="18"/>
          <w:szCs w:val="18"/>
          <w:lang w:val="en-ZA"/>
        </w:rPr>
        <w:t>Ibid</w:t>
      </w:r>
      <w:r w:rsidR="00930BA9" w:rsidRPr="00445FD9">
        <w:rPr>
          <w:sz w:val="18"/>
          <w:szCs w:val="18"/>
          <w:lang w:val="en-ZA"/>
        </w:rPr>
        <w:t xml:space="preserve"> at para 24.</w:t>
      </w:r>
    </w:p>
  </w:footnote>
  <w:footnote w:id="15">
    <w:p w14:paraId="5BB743E3" w14:textId="634BF299" w:rsidR="00930BA9" w:rsidRPr="00445FD9" w:rsidRDefault="00930BA9" w:rsidP="008277DC">
      <w:pPr>
        <w:pStyle w:val="FootnoteText"/>
        <w:ind w:left="0"/>
        <w:rPr>
          <w:sz w:val="18"/>
          <w:szCs w:val="18"/>
          <w:lang w:val="en-ZA"/>
        </w:rPr>
      </w:pPr>
      <w:r w:rsidRPr="00445FD9">
        <w:rPr>
          <w:rStyle w:val="FootnoteReference"/>
          <w:sz w:val="18"/>
          <w:szCs w:val="18"/>
        </w:rPr>
        <w:footnoteRef/>
      </w:r>
      <w:r w:rsidRPr="00445FD9">
        <w:rPr>
          <w:sz w:val="18"/>
          <w:szCs w:val="18"/>
        </w:rPr>
        <w:t xml:space="preserve"> </w:t>
      </w:r>
      <w:r w:rsidR="0043058E" w:rsidRPr="00445FD9">
        <w:rPr>
          <w:sz w:val="18"/>
          <w:szCs w:val="18"/>
        </w:rPr>
        <w:t>[2007] ZACC 23; 2008 (4) SA 367 (CC); 2008 (3) BCLR 251 (CC); [2008] 2 BLLR 97 (CC); (2008) 29 ILJ 73 (CC).</w:t>
      </w:r>
    </w:p>
  </w:footnote>
  <w:footnote w:id="16">
    <w:p w14:paraId="0B2AB1B5" w14:textId="0B22620B" w:rsidR="000123F9" w:rsidRPr="00445FD9" w:rsidRDefault="000123F9" w:rsidP="008277DC">
      <w:pPr>
        <w:pStyle w:val="FootnoteText"/>
        <w:ind w:left="0"/>
        <w:rPr>
          <w:sz w:val="18"/>
          <w:szCs w:val="18"/>
          <w:lang w:val="en-ZA"/>
        </w:rPr>
      </w:pPr>
      <w:r w:rsidRPr="00445FD9">
        <w:rPr>
          <w:rStyle w:val="FootnoteReference"/>
          <w:sz w:val="18"/>
          <w:szCs w:val="18"/>
        </w:rPr>
        <w:footnoteRef/>
      </w:r>
      <w:r w:rsidRPr="00445FD9">
        <w:rPr>
          <w:sz w:val="18"/>
          <w:szCs w:val="18"/>
        </w:rPr>
        <w:t xml:space="preserve"> </w:t>
      </w:r>
      <w:r w:rsidRPr="00445FD9">
        <w:rPr>
          <w:i/>
          <w:iCs/>
          <w:sz w:val="18"/>
          <w:szCs w:val="18"/>
          <w:lang w:val="en-ZA"/>
        </w:rPr>
        <w:t xml:space="preserve">Ibid </w:t>
      </w:r>
      <w:r w:rsidRPr="00445FD9">
        <w:rPr>
          <w:sz w:val="18"/>
          <w:szCs w:val="18"/>
          <w:lang w:val="en-ZA"/>
        </w:rPr>
        <w:t>at para 138.</w:t>
      </w:r>
    </w:p>
  </w:footnote>
  <w:footnote w:id="17">
    <w:p w14:paraId="12C083E2" w14:textId="57619BC5"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Pr="00445FD9">
        <w:rPr>
          <w:rFonts w:cs="Arial"/>
          <w:i/>
          <w:iCs/>
          <w:sz w:val="18"/>
          <w:szCs w:val="18"/>
        </w:rPr>
        <w:t xml:space="preserve">Greys Marine </w:t>
      </w:r>
      <w:r w:rsidRPr="00445FD9">
        <w:rPr>
          <w:rFonts w:cs="Arial"/>
          <w:sz w:val="18"/>
          <w:szCs w:val="18"/>
        </w:rPr>
        <w:t>above n 1</w:t>
      </w:r>
      <w:r w:rsidR="00457961" w:rsidRPr="00445FD9">
        <w:rPr>
          <w:rFonts w:cs="Arial"/>
          <w:sz w:val="18"/>
          <w:szCs w:val="18"/>
        </w:rPr>
        <w:t>2</w:t>
      </w:r>
      <w:r w:rsidRPr="00445FD9">
        <w:rPr>
          <w:rFonts w:cs="Arial"/>
          <w:sz w:val="18"/>
          <w:szCs w:val="18"/>
        </w:rPr>
        <w:t xml:space="preserve"> at para 23.</w:t>
      </w:r>
    </w:p>
  </w:footnote>
  <w:footnote w:id="18">
    <w:p w14:paraId="7E9035D6" w14:textId="73255238"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[2009] ZACC 30; 2010 (3) BCLR 212 (CC); 2010 (4) SA 55 (CC).</w:t>
      </w:r>
    </w:p>
  </w:footnote>
  <w:footnote w:id="19">
    <w:p w14:paraId="7D6E508B" w14:textId="3A12B97A"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Pr="00445FD9">
        <w:rPr>
          <w:rFonts w:cs="Arial"/>
          <w:i/>
          <w:iCs/>
          <w:sz w:val="18"/>
          <w:szCs w:val="18"/>
        </w:rPr>
        <w:t xml:space="preserve">Ibid </w:t>
      </w:r>
      <w:r w:rsidRPr="00445FD9">
        <w:rPr>
          <w:rFonts w:cs="Arial"/>
          <w:sz w:val="18"/>
          <w:szCs w:val="18"/>
        </w:rPr>
        <w:t>at para 2</w:t>
      </w:r>
      <w:r w:rsidR="00545A72" w:rsidRPr="00445FD9">
        <w:rPr>
          <w:rFonts w:cs="Arial"/>
          <w:sz w:val="18"/>
          <w:szCs w:val="18"/>
        </w:rPr>
        <w:t>7</w:t>
      </w:r>
      <w:r w:rsidRPr="00445FD9">
        <w:rPr>
          <w:rFonts w:cs="Arial"/>
          <w:sz w:val="18"/>
          <w:szCs w:val="18"/>
        </w:rPr>
        <w:t>.</w:t>
      </w:r>
    </w:p>
  </w:footnote>
  <w:footnote w:id="20">
    <w:p w14:paraId="0FD480F6" w14:textId="343B5063" w:rsidR="00A32AAC" w:rsidRPr="00445FD9" w:rsidRDefault="00A32AAC"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006274A9" w:rsidRPr="00445FD9">
        <w:rPr>
          <w:rFonts w:cs="Arial"/>
          <w:sz w:val="18"/>
          <w:szCs w:val="18"/>
        </w:rPr>
        <w:t>[2017] ZASCA 77; [2017] 3 All SA 382 (SCA); 2018 (1) SA 391 (SCA)</w:t>
      </w:r>
      <w:r w:rsidR="00712637" w:rsidRPr="00445FD9">
        <w:rPr>
          <w:rFonts w:cs="Arial"/>
          <w:sz w:val="18"/>
          <w:szCs w:val="18"/>
        </w:rPr>
        <w:t>.</w:t>
      </w:r>
    </w:p>
  </w:footnote>
  <w:footnote w:id="21">
    <w:p w14:paraId="562F43BF" w14:textId="5BF118AD" w:rsidR="00A32AAC" w:rsidRPr="00445FD9" w:rsidRDefault="00A32AAC"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00712637" w:rsidRPr="00445FD9">
        <w:rPr>
          <w:rFonts w:cs="Arial"/>
          <w:i/>
          <w:iCs/>
          <w:sz w:val="18"/>
          <w:szCs w:val="18"/>
        </w:rPr>
        <w:t xml:space="preserve">Ibid </w:t>
      </w:r>
      <w:r w:rsidR="00712637" w:rsidRPr="00445FD9">
        <w:rPr>
          <w:rFonts w:cs="Arial"/>
          <w:sz w:val="18"/>
          <w:szCs w:val="18"/>
        </w:rPr>
        <w:t>at para 42.</w:t>
      </w:r>
    </w:p>
  </w:footnote>
  <w:footnote w:id="22">
    <w:p w14:paraId="34572D9A" w14:textId="719D867F"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Pr="00445FD9">
        <w:rPr>
          <w:rFonts w:cs="Arial"/>
          <w:i/>
          <w:iCs/>
          <w:sz w:val="18"/>
          <w:szCs w:val="18"/>
          <w:lang w:val="en-ZA"/>
        </w:rPr>
        <w:t xml:space="preserve">Motau </w:t>
      </w:r>
      <w:r w:rsidRPr="00445FD9">
        <w:rPr>
          <w:rFonts w:cs="Arial"/>
          <w:sz w:val="18"/>
          <w:szCs w:val="18"/>
          <w:lang w:val="en-ZA"/>
        </w:rPr>
        <w:t>above n 1</w:t>
      </w:r>
      <w:r w:rsidR="001C460E" w:rsidRPr="00445FD9">
        <w:rPr>
          <w:rFonts w:cs="Arial"/>
          <w:sz w:val="18"/>
          <w:szCs w:val="18"/>
          <w:lang w:val="en-ZA"/>
        </w:rPr>
        <w:t>1</w:t>
      </w:r>
      <w:r w:rsidRPr="00445FD9">
        <w:rPr>
          <w:rFonts w:cs="Arial"/>
          <w:sz w:val="18"/>
          <w:szCs w:val="18"/>
          <w:lang w:val="en-ZA"/>
        </w:rPr>
        <w:t>.</w:t>
      </w:r>
    </w:p>
  </w:footnote>
  <w:footnote w:id="23">
    <w:p w14:paraId="0F7D328F" w14:textId="4B99DAE0"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Pr="00445FD9">
        <w:rPr>
          <w:rFonts w:cs="Arial"/>
          <w:sz w:val="18"/>
          <w:szCs w:val="18"/>
          <w:lang w:val="en-ZA"/>
        </w:rPr>
        <w:t>[2011] ZACC 6; 2011 (3) SA 347 (CC); 2011 (7) BCLR 651 (CC).</w:t>
      </w:r>
    </w:p>
  </w:footnote>
  <w:footnote w:id="24">
    <w:p w14:paraId="5109419C" w14:textId="674F0FF7"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Pr="00445FD9">
        <w:rPr>
          <w:rFonts w:cs="Arial"/>
          <w:i/>
          <w:iCs/>
          <w:sz w:val="18"/>
          <w:szCs w:val="18"/>
          <w:lang w:val="en-ZA"/>
        </w:rPr>
        <w:t xml:space="preserve">Ibid </w:t>
      </w:r>
      <w:r w:rsidRPr="00445FD9">
        <w:rPr>
          <w:rFonts w:cs="Arial"/>
          <w:sz w:val="18"/>
          <w:szCs w:val="18"/>
          <w:lang w:val="en-ZA"/>
        </w:rPr>
        <w:t>at para 67.</w:t>
      </w:r>
    </w:p>
  </w:footnote>
  <w:footnote w:id="25">
    <w:p w14:paraId="6B26D735" w14:textId="01B4B1D3" w:rsidR="001346A2" w:rsidRPr="00445FD9" w:rsidRDefault="001346A2" w:rsidP="008277DC">
      <w:pPr>
        <w:pStyle w:val="FootnoteText"/>
        <w:ind w:left="0"/>
        <w:rPr>
          <w:rFonts w:cs="Arial"/>
          <w:sz w:val="18"/>
          <w:szCs w:val="18"/>
        </w:rPr>
      </w:pPr>
      <w:r w:rsidRPr="00445FD9">
        <w:rPr>
          <w:rStyle w:val="FootnoteReference"/>
          <w:rFonts w:cs="Arial"/>
          <w:sz w:val="18"/>
          <w:szCs w:val="18"/>
        </w:rPr>
        <w:footnoteRef/>
      </w:r>
      <w:r w:rsidRPr="00445FD9">
        <w:rPr>
          <w:rFonts w:cs="Arial"/>
          <w:sz w:val="18"/>
          <w:szCs w:val="18"/>
        </w:rPr>
        <w:t xml:space="preserve"> </w:t>
      </w:r>
      <w:r w:rsidRPr="00445FD9">
        <w:rPr>
          <w:rFonts w:cs="Arial"/>
          <w:i/>
          <w:iCs/>
          <w:sz w:val="18"/>
          <w:szCs w:val="18"/>
        </w:rPr>
        <w:t>Ibid</w:t>
      </w:r>
      <w:r w:rsidRPr="00445FD9">
        <w:rPr>
          <w:rFonts w:cs="Arial"/>
          <w:sz w:val="18"/>
          <w:szCs w:val="18"/>
        </w:rPr>
        <w:t>.</w:t>
      </w:r>
    </w:p>
  </w:footnote>
  <w:footnote w:id="26">
    <w:p w14:paraId="4C1B0EC7" w14:textId="5922FA15"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Pr="00445FD9">
        <w:rPr>
          <w:rFonts w:cs="Arial"/>
          <w:i/>
          <w:iCs/>
          <w:sz w:val="18"/>
          <w:szCs w:val="18"/>
          <w:lang w:val="en-ZA"/>
        </w:rPr>
        <w:t>Motau</w:t>
      </w:r>
      <w:r w:rsidRPr="00445FD9">
        <w:rPr>
          <w:rFonts w:cs="Arial"/>
          <w:sz w:val="18"/>
          <w:szCs w:val="18"/>
          <w:lang w:val="en-ZA"/>
        </w:rPr>
        <w:t xml:space="preserve"> above n 1</w:t>
      </w:r>
      <w:r w:rsidR="006A7073" w:rsidRPr="00445FD9">
        <w:rPr>
          <w:rFonts w:cs="Arial"/>
          <w:sz w:val="18"/>
          <w:szCs w:val="18"/>
          <w:lang w:val="en-ZA"/>
        </w:rPr>
        <w:t>1</w:t>
      </w:r>
      <w:r w:rsidRPr="00445FD9">
        <w:rPr>
          <w:rFonts w:cs="Arial"/>
          <w:sz w:val="18"/>
          <w:szCs w:val="18"/>
          <w:lang w:val="en-ZA"/>
        </w:rPr>
        <w:t xml:space="preserve"> at para 37.</w:t>
      </w:r>
    </w:p>
  </w:footnote>
  <w:footnote w:id="27">
    <w:p w14:paraId="4512D251" w14:textId="0C16A799" w:rsidR="001346A2" w:rsidRPr="00445FD9" w:rsidRDefault="001346A2" w:rsidP="008277DC">
      <w:pPr>
        <w:pStyle w:val="FootnoteText"/>
        <w:ind w:left="0"/>
        <w:rPr>
          <w:rFonts w:cs="Arial"/>
          <w:sz w:val="18"/>
          <w:szCs w:val="18"/>
        </w:rPr>
      </w:pPr>
      <w:r w:rsidRPr="00445FD9">
        <w:rPr>
          <w:rStyle w:val="FootnoteReference"/>
          <w:rFonts w:cs="Arial"/>
          <w:sz w:val="18"/>
          <w:szCs w:val="18"/>
        </w:rPr>
        <w:footnoteRef/>
      </w:r>
      <w:r w:rsidRPr="00445FD9">
        <w:rPr>
          <w:rFonts w:cs="Arial"/>
          <w:sz w:val="18"/>
          <w:szCs w:val="18"/>
        </w:rPr>
        <w:t xml:space="preserve"> </w:t>
      </w:r>
      <w:r w:rsidRPr="00445FD9">
        <w:rPr>
          <w:rFonts w:cs="Arial"/>
          <w:sz w:val="18"/>
          <w:szCs w:val="18"/>
          <w:lang w:val="en-ZA"/>
        </w:rPr>
        <w:t>[2004] ZACC 5; 2005 (4) SA 235 (CC); 2004 (10) BCLR 1009 (CC); 2005 (1) SACR 111 (CC).</w:t>
      </w:r>
    </w:p>
  </w:footnote>
  <w:footnote w:id="28">
    <w:p w14:paraId="7E1B4816" w14:textId="33521B6C"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Pr="00445FD9">
        <w:rPr>
          <w:rFonts w:cs="Arial"/>
          <w:i/>
          <w:iCs/>
          <w:sz w:val="18"/>
          <w:szCs w:val="18"/>
          <w:lang w:val="en-ZA"/>
        </w:rPr>
        <w:t>Ibid</w:t>
      </w:r>
      <w:r w:rsidRPr="00445FD9">
        <w:rPr>
          <w:rFonts w:cs="Arial"/>
          <w:sz w:val="18"/>
          <w:szCs w:val="18"/>
          <w:lang w:val="en-ZA"/>
        </w:rPr>
        <w:t xml:space="preserve"> at para </w:t>
      </w:r>
      <w:r w:rsidR="005274FB" w:rsidRPr="00445FD9">
        <w:rPr>
          <w:rFonts w:cs="Arial"/>
          <w:sz w:val="18"/>
          <w:szCs w:val="18"/>
          <w:lang w:val="en-ZA"/>
        </w:rPr>
        <w:t>14</w:t>
      </w:r>
      <w:r w:rsidR="00B0514D" w:rsidRPr="00445FD9">
        <w:rPr>
          <w:rFonts w:cs="Arial"/>
          <w:sz w:val="18"/>
          <w:szCs w:val="18"/>
          <w:lang w:val="en-ZA"/>
        </w:rPr>
        <w:t>4</w:t>
      </w:r>
      <w:r w:rsidRPr="00445FD9">
        <w:rPr>
          <w:rFonts w:cs="Arial"/>
          <w:sz w:val="18"/>
          <w:szCs w:val="18"/>
          <w:lang w:val="en-ZA"/>
        </w:rPr>
        <w:t>.</w:t>
      </w:r>
    </w:p>
  </w:footnote>
  <w:footnote w:id="29">
    <w:p w14:paraId="77A96BF3" w14:textId="37367EC5"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Pr="00445FD9">
        <w:rPr>
          <w:rFonts w:cs="Arial"/>
          <w:sz w:val="18"/>
          <w:szCs w:val="18"/>
          <w:lang w:val="en-ZA"/>
        </w:rPr>
        <w:t>[2002] ZACC 29; 2003 (3) SA 34 (CC); 2004 (9) BCLR 895 (CC) at para 26.</w:t>
      </w:r>
    </w:p>
  </w:footnote>
  <w:footnote w:id="30">
    <w:p w14:paraId="3EDD6B27" w14:textId="08718F2A" w:rsidR="001346A2" w:rsidRPr="00445FD9" w:rsidRDefault="001346A2" w:rsidP="008277DC">
      <w:pPr>
        <w:pStyle w:val="FootnoteText"/>
        <w:ind w:left="0"/>
        <w:rPr>
          <w:rFonts w:cs="Arial"/>
          <w:i/>
          <w:sz w:val="18"/>
          <w:szCs w:val="18"/>
          <w:lang w:val="en-US"/>
        </w:rPr>
      </w:pPr>
      <w:r w:rsidRPr="00445FD9">
        <w:rPr>
          <w:rStyle w:val="FootnoteReference"/>
          <w:rFonts w:cs="Arial"/>
          <w:sz w:val="18"/>
          <w:szCs w:val="18"/>
        </w:rPr>
        <w:footnoteRef/>
      </w:r>
      <w:r w:rsidRPr="00445FD9">
        <w:rPr>
          <w:rFonts w:cs="Arial"/>
          <w:sz w:val="18"/>
          <w:szCs w:val="18"/>
        </w:rPr>
        <w:t xml:space="preserve"> </w:t>
      </w:r>
      <w:r w:rsidRPr="00445FD9">
        <w:rPr>
          <w:rFonts w:cs="Arial"/>
          <w:i/>
          <w:sz w:val="18"/>
          <w:szCs w:val="18"/>
          <w:lang w:val="en-US"/>
        </w:rPr>
        <w:t xml:space="preserve">Permanent Secretary of the Department of Education of the Government of the Eastern Cape Province and Another v Ed-U-College (PE) (Section 21) </w:t>
      </w:r>
      <w:r w:rsidRPr="00445FD9">
        <w:rPr>
          <w:rFonts w:cs="Arial"/>
          <w:sz w:val="18"/>
          <w:szCs w:val="18"/>
          <w:lang w:val="en-US"/>
        </w:rPr>
        <w:t xml:space="preserve">[2000] ZACC 23; 2001(2) SA 1 (CC); 2001 (2) BCLR 118 (CC) at para 18, with reference to </w:t>
      </w:r>
      <w:r w:rsidRPr="00445FD9">
        <w:rPr>
          <w:rFonts w:cs="Arial"/>
          <w:i/>
          <w:sz w:val="18"/>
          <w:szCs w:val="18"/>
          <w:lang w:val="en-US"/>
        </w:rPr>
        <w:t xml:space="preserve">President of the Republic of South Africa and Others v South African Rugby Football Union and Others </w:t>
      </w:r>
      <w:r w:rsidRPr="00445FD9">
        <w:rPr>
          <w:rFonts w:cs="Arial"/>
          <w:sz w:val="18"/>
          <w:szCs w:val="18"/>
          <w:lang w:val="en-US"/>
        </w:rPr>
        <w:t>2000</w:t>
      </w:r>
      <w:r w:rsidR="00E62871" w:rsidRPr="00445FD9">
        <w:rPr>
          <w:rFonts w:cs="Arial"/>
          <w:sz w:val="18"/>
          <w:szCs w:val="18"/>
          <w:lang w:val="en-US"/>
        </w:rPr>
        <w:t xml:space="preserve"> </w:t>
      </w:r>
      <w:r w:rsidRPr="00445FD9">
        <w:rPr>
          <w:rFonts w:cs="Arial"/>
          <w:sz w:val="18"/>
          <w:szCs w:val="18"/>
          <w:lang w:val="en-US"/>
        </w:rPr>
        <w:t>(1) SA 1 (CC); 1999</w:t>
      </w:r>
      <w:r w:rsidR="00E62871" w:rsidRPr="00445FD9">
        <w:rPr>
          <w:rFonts w:cs="Arial"/>
          <w:sz w:val="18"/>
          <w:szCs w:val="18"/>
          <w:lang w:val="en-US"/>
        </w:rPr>
        <w:t xml:space="preserve"> </w:t>
      </w:r>
      <w:r w:rsidRPr="00445FD9">
        <w:rPr>
          <w:rFonts w:cs="Arial"/>
          <w:sz w:val="18"/>
          <w:szCs w:val="18"/>
          <w:lang w:val="en-US"/>
        </w:rPr>
        <w:t>(10) BCLR 1059 (CC) at para</w:t>
      </w:r>
      <w:r w:rsidR="00DC33A4" w:rsidRPr="00445FD9">
        <w:rPr>
          <w:rFonts w:cs="Arial"/>
          <w:sz w:val="18"/>
          <w:szCs w:val="18"/>
          <w:lang w:val="en-US"/>
        </w:rPr>
        <w:t>s</w:t>
      </w:r>
      <w:r w:rsidRPr="00445FD9">
        <w:rPr>
          <w:rFonts w:cs="Arial"/>
          <w:sz w:val="18"/>
          <w:szCs w:val="18"/>
          <w:lang w:val="en-US"/>
        </w:rPr>
        <w:t xml:space="preserve"> 142 and 143. </w:t>
      </w:r>
    </w:p>
  </w:footnote>
  <w:footnote w:id="31">
    <w:p w14:paraId="0D0E6DE5" w14:textId="79FCC069" w:rsidR="001346A2" w:rsidRPr="00445FD9" w:rsidRDefault="001346A2" w:rsidP="008277DC">
      <w:pPr>
        <w:pStyle w:val="FootnoteText"/>
        <w:ind w:left="0"/>
        <w:rPr>
          <w:rFonts w:cs="Arial"/>
          <w:sz w:val="18"/>
          <w:szCs w:val="18"/>
        </w:rPr>
      </w:pPr>
      <w:r w:rsidRPr="00445FD9">
        <w:rPr>
          <w:rStyle w:val="FootnoteReference"/>
          <w:rFonts w:cs="Arial"/>
          <w:sz w:val="18"/>
          <w:szCs w:val="18"/>
        </w:rPr>
        <w:footnoteRef/>
      </w:r>
      <w:r w:rsidRPr="00445FD9">
        <w:rPr>
          <w:rFonts w:cs="Arial"/>
          <w:sz w:val="18"/>
          <w:szCs w:val="18"/>
        </w:rPr>
        <w:t xml:space="preserve"> Paragraph 4.2</w:t>
      </w:r>
      <w:r w:rsidR="00DC33A4" w:rsidRPr="00445FD9">
        <w:rPr>
          <w:rFonts w:cs="Arial"/>
          <w:sz w:val="18"/>
          <w:szCs w:val="18"/>
        </w:rPr>
        <w:t>.</w:t>
      </w:r>
    </w:p>
  </w:footnote>
  <w:footnote w:id="32">
    <w:p w14:paraId="459E8B34" w14:textId="706E668A" w:rsidR="001346A2" w:rsidRPr="00445FD9" w:rsidRDefault="001346A2" w:rsidP="008277DC">
      <w:pPr>
        <w:pStyle w:val="FootnoteText"/>
        <w:ind w:left="0"/>
        <w:rPr>
          <w:rFonts w:cs="Arial"/>
          <w:sz w:val="18"/>
          <w:szCs w:val="18"/>
        </w:rPr>
      </w:pPr>
      <w:r w:rsidRPr="00445FD9">
        <w:rPr>
          <w:rStyle w:val="FootnoteReference"/>
          <w:rFonts w:cs="Arial"/>
          <w:sz w:val="18"/>
          <w:szCs w:val="18"/>
        </w:rPr>
        <w:footnoteRef/>
      </w:r>
      <w:r w:rsidRPr="00445FD9">
        <w:rPr>
          <w:rFonts w:cs="Arial"/>
          <w:sz w:val="18"/>
          <w:szCs w:val="18"/>
        </w:rPr>
        <w:t xml:space="preserve"> Paragraph 9.2</w:t>
      </w:r>
      <w:r w:rsidR="00DC33A4" w:rsidRPr="00445FD9">
        <w:rPr>
          <w:rFonts w:cs="Arial"/>
          <w:sz w:val="18"/>
          <w:szCs w:val="18"/>
        </w:rPr>
        <w:t>.</w:t>
      </w:r>
    </w:p>
  </w:footnote>
  <w:footnote w:id="33">
    <w:p w14:paraId="2DB9121B" w14:textId="29DCCA2A"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[2005] ZACC 3; 2006 (3) SA 247 (CC); 2005 (6) BCLR 529 (CC).</w:t>
      </w:r>
    </w:p>
  </w:footnote>
  <w:footnote w:id="34">
    <w:p w14:paraId="2FF86409" w14:textId="6CD7A516"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Pr="00445FD9">
        <w:rPr>
          <w:rFonts w:cs="Arial"/>
          <w:i/>
          <w:iCs/>
          <w:sz w:val="18"/>
          <w:szCs w:val="18"/>
          <w:lang w:val="en-ZA"/>
        </w:rPr>
        <w:t>Ibid</w:t>
      </w:r>
      <w:r w:rsidRPr="00445FD9">
        <w:rPr>
          <w:rFonts w:cs="Arial"/>
          <w:sz w:val="18"/>
          <w:szCs w:val="18"/>
          <w:lang w:val="en-ZA"/>
        </w:rPr>
        <w:t xml:space="preserve"> at para 49.</w:t>
      </w:r>
    </w:p>
  </w:footnote>
  <w:footnote w:id="35">
    <w:p w14:paraId="3B4164FF" w14:textId="22B9D80B" w:rsidR="001346A2" w:rsidRPr="00445FD9" w:rsidRDefault="001346A2" w:rsidP="008277DC">
      <w:pPr>
        <w:pStyle w:val="FootnoteText"/>
        <w:ind w:left="0"/>
        <w:rPr>
          <w:rFonts w:cs="Arial"/>
          <w:i/>
          <w:iCs/>
          <w:sz w:val="18"/>
          <w:szCs w:val="18"/>
          <w:lang w:val="en-ZA"/>
        </w:rPr>
      </w:pPr>
      <w:r w:rsidRPr="00445FD9">
        <w:rPr>
          <w:rStyle w:val="FootnoteReference"/>
          <w:rFonts w:cs="Arial"/>
          <w:sz w:val="18"/>
          <w:szCs w:val="18"/>
        </w:rPr>
        <w:footnoteRef/>
      </w:r>
      <w:r w:rsidRPr="00445FD9">
        <w:rPr>
          <w:rFonts w:cs="Arial"/>
          <w:sz w:val="18"/>
          <w:szCs w:val="18"/>
        </w:rPr>
        <w:t xml:space="preserve"> [2012] ZACC 24; 2012 (12) BCLR 1297 (CC); 2013 (1) SA 248 (CC).</w:t>
      </w:r>
    </w:p>
  </w:footnote>
  <w:footnote w:id="36">
    <w:p w14:paraId="47800B38" w14:textId="6A6E611A" w:rsidR="001346A2" w:rsidRPr="00445FD9" w:rsidRDefault="001346A2" w:rsidP="008277DC">
      <w:pPr>
        <w:pStyle w:val="FootnoteText"/>
        <w:ind w:left="0"/>
        <w:rPr>
          <w:rFonts w:cs="Arial"/>
          <w:sz w:val="18"/>
          <w:szCs w:val="18"/>
          <w:lang w:val="en-ZA"/>
        </w:rPr>
      </w:pPr>
      <w:r w:rsidRPr="00445FD9">
        <w:rPr>
          <w:rStyle w:val="FootnoteReference"/>
          <w:rFonts w:cs="Arial"/>
          <w:sz w:val="18"/>
          <w:szCs w:val="18"/>
        </w:rPr>
        <w:footnoteRef/>
      </w:r>
      <w:r w:rsidRPr="00445FD9">
        <w:rPr>
          <w:rFonts w:cs="Arial"/>
          <w:sz w:val="18"/>
          <w:szCs w:val="18"/>
        </w:rPr>
        <w:t xml:space="preserve"> </w:t>
      </w:r>
      <w:r w:rsidRPr="00445FD9">
        <w:rPr>
          <w:rFonts w:cs="Arial"/>
          <w:i/>
          <w:iCs/>
          <w:sz w:val="18"/>
          <w:szCs w:val="18"/>
        </w:rPr>
        <w:t>Ibid</w:t>
      </w:r>
      <w:r w:rsidRPr="00445FD9">
        <w:rPr>
          <w:rFonts w:cs="Arial"/>
          <w:sz w:val="18"/>
          <w:szCs w:val="18"/>
        </w:rPr>
        <w:t xml:space="preserve"> at para 37.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B98056F"/>
    <w:multiLevelType w:val="hybridMultilevel"/>
    <w:tmpl w:val="8C2ACA9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 w15:restartNumberingAfterBreak="0">
    <w:nsid w:val="13717EB9"/>
    <w:multiLevelType w:val="multilevel"/>
    <w:tmpl w:val="B212DECA"/>
    <w:lvl w:ilvl="0">
      <w:start w:val="1"/>
      <w:numFmt w:val="decimal"/>
      <w:lvlText w:val="%1"/>
      <w:lvlJc w:val="left"/>
      <w:pPr>
        <w:ind w:left="386" w:hanging="386"/>
      </w:pPr>
      <w:rPr>
        <w:rFonts w:hint="default"/>
      </w:rPr>
    </w:lvl>
    <w:lvl w:ilvl="1">
      <w:start w:val="1"/>
      <w:numFmt w:val="decimal"/>
      <w:lvlText w:val="%1.%2"/>
      <w:lvlJc w:val="left"/>
      <w:pPr>
        <w:ind w:left="953" w:hanging="38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45473B"/>
    <w:multiLevelType w:val="multilevel"/>
    <w:tmpl w:val="2078F5FE"/>
    <w:lvl w:ilvl="0">
      <w:start w:val="1"/>
      <w:numFmt w:val="decimal"/>
      <w:pStyle w:val="JudgmentNumbered"/>
      <w:lvlText w:val="[%1]"/>
      <w:lvlJc w:val="left"/>
      <w:pPr>
        <w:ind w:left="993" w:hanging="567"/>
      </w:pPr>
      <w:rPr>
        <w:rFonts w:hint="default"/>
        <w:b w:val="0"/>
        <w:bCs w:val="0"/>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22846198"/>
    <w:multiLevelType w:val="hybridMultilevel"/>
    <w:tmpl w:val="8A82207C"/>
    <w:lvl w:ilvl="0" w:tplc="4A8E7B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89F1A42"/>
    <w:multiLevelType w:val="hybridMultilevel"/>
    <w:tmpl w:val="64A2FC70"/>
    <w:lvl w:ilvl="0" w:tplc="BE763FDC">
      <w:start w:val="1"/>
      <w:numFmt w:val="decimal"/>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3B86523A"/>
    <w:multiLevelType w:val="hybridMultilevel"/>
    <w:tmpl w:val="6C8E22C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8" w15:restartNumberingAfterBreak="0">
    <w:nsid w:val="3CF0724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11132E"/>
    <w:multiLevelType w:val="hybridMultilevel"/>
    <w:tmpl w:val="1612337A"/>
    <w:lvl w:ilvl="0" w:tplc="86981410">
      <w:start w:val="33"/>
      <w:numFmt w:val="bullet"/>
      <w:lvlText w:val="-"/>
      <w:lvlJc w:val="left"/>
      <w:pPr>
        <w:ind w:left="1287" w:hanging="360"/>
      </w:pPr>
      <w:rPr>
        <w:rFonts w:ascii="Calibri" w:eastAsiaTheme="minorHAnsi"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 w15:restartNumberingAfterBreak="0">
    <w:nsid w:val="5D35138E"/>
    <w:multiLevelType w:val="hybridMultilevel"/>
    <w:tmpl w:val="524A3F4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15:restartNumberingAfterBreak="0">
    <w:nsid w:val="695F40FC"/>
    <w:multiLevelType w:val="hybridMultilevel"/>
    <w:tmpl w:val="BC4E87C4"/>
    <w:lvl w:ilvl="0" w:tplc="185CEF8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4"/>
  </w:num>
  <w:num w:numId="5">
    <w:abstractNumId w:val="11"/>
  </w:num>
  <w:num w:numId="6">
    <w:abstractNumId w:val="2"/>
  </w:num>
  <w:num w:numId="7">
    <w:abstractNumId w:val="10"/>
  </w:num>
  <w:num w:numId="8">
    <w:abstractNumId w:val="1"/>
  </w:num>
  <w:num w:numId="9">
    <w:abstractNumId w:val="9"/>
  </w:num>
  <w:num w:numId="10">
    <w:abstractNumId w:val="8"/>
  </w:num>
  <w:num w:numId="11">
    <w:abstractNumId w:val="3"/>
  </w:num>
  <w:num w:numId="12">
    <w:abstractNumId w:val="3"/>
  </w:num>
  <w:num w:numId="13">
    <w:abstractNumId w:val="3"/>
  </w:num>
  <w:num w:numId="14">
    <w:abstractNumId w:val="3"/>
  </w:num>
  <w:num w:numId="15">
    <w:abstractNumId w:val="3"/>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F3"/>
    <w:rsid w:val="000009BD"/>
    <w:rsid w:val="00000AC0"/>
    <w:rsid w:val="00000CD1"/>
    <w:rsid w:val="00001596"/>
    <w:rsid w:val="000015D6"/>
    <w:rsid w:val="0000173C"/>
    <w:rsid w:val="00001AE5"/>
    <w:rsid w:val="00001C18"/>
    <w:rsid w:val="00002668"/>
    <w:rsid w:val="0000341B"/>
    <w:rsid w:val="000051DD"/>
    <w:rsid w:val="000059AB"/>
    <w:rsid w:val="000070C2"/>
    <w:rsid w:val="0000743E"/>
    <w:rsid w:val="000106AA"/>
    <w:rsid w:val="000123F9"/>
    <w:rsid w:val="0001255F"/>
    <w:rsid w:val="00013451"/>
    <w:rsid w:val="00015300"/>
    <w:rsid w:val="0001694B"/>
    <w:rsid w:val="00016A8A"/>
    <w:rsid w:val="000219F2"/>
    <w:rsid w:val="00021D0F"/>
    <w:rsid w:val="00022896"/>
    <w:rsid w:val="000236AC"/>
    <w:rsid w:val="00024282"/>
    <w:rsid w:val="000250BA"/>
    <w:rsid w:val="0002645D"/>
    <w:rsid w:val="000268D5"/>
    <w:rsid w:val="00026ABB"/>
    <w:rsid w:val="000271FB"/>
    <w:rsid w:val="00027249"/>
    <w:rsid w:val="00030B98"/>
    <w:rsid w:val="00030C43"/>
    <w:rsid w:val="0003118F"/>
    <w:rsid w:val="00031762"/>
    <w:rsid w:val="00031863"/>
    <w:rsid w:val="000320DC"/>
    <w:rsid w:val="00032C0D"/>
    <w:rsid w:val="00033034"/>
    <w:rsid w:val="000338E6"/>
    <w:rsid w:val="00033FC9"/>
    <w:rsid w:val="0003413D"/>
    <w:rsid w:val="0003483B"/>
    <w:rsid w:val="000353FA"/>
    <w:rsid w:val="000357FA"/>
    <w:rsid w:val="00036C2D"/>
    <w:rsid w:val="000376F5"/>
    <w:rsid w:val="00037D58"/>
    <w:rsid w:val="00037F56"/>
    <w:rsid w:val="0004064A"/>
    <w:rsid w:val="0004154F"/>
    <w:rsid w:val="000418B4"/>
    <w:rsid w:val="00041BA6"/>
    <w:rsid w:val="0004225F"/>
    <w:rsid w:val="00043E6A"/>
    <w:rsid w:val="000450D8"/>
    <w:rsid w:val="00045183"/>
    <w:rsid w:val="00045E71"/>
    <w:rsid w:val="000465E2"/>
    <w:rsid w:val="0004744C"/>
    <w:rsid w:val="00047A36"/>
    <w:rsid w:val="00050499"/>
    <w:rsid w:val="00050E81"/>
    <w:rsid w:val="00051D16"/>
    <w:rsid w:val="00052229"/>
    <w:rsid w:val="00052A7C"/>
    <w:rsid w:val="00053492"/>
    <w:rsid w:val="00053595"/>
    <w:rsid w:val="0005390F"/>
    <w:rsid w:val="00053E34"/>
    <w:rsid w:val="000545AF"/>
    <w:rsid w:val="00055A76"/>
    <w:rsid w:val="000579F1"/>
    <w:rsid w:val="000605F8"/>
    <w:rsid w:val="000623BE"/>
    <w:rsid w:val="0006253D"/>
    <w:rsid w:val="00062D05"/>
    <w:rsid w:val="000639A9"/>
    <w:rsid w:val="000654B7"/>
    <w:rsid w:val="00065FA4"/>
    <w:rsid w:val="0006786B"/>
    <w:rsid w:val="0007119A"/>
    <w:rsid w:val="00071644"/>
    <w:rsid w:val="00071CF5"/>
    <w:rsid w:val="00073999"/>
    <w:rsid w:val="00073E78"/>
    <w:rsid w:val="00073EDD"/>
    <w:rsid w:val="000749CA"/>
    <w:rsid w:val="00074A95"/>
    <w:rsid w:val="000768E8"/>
    <w:rsid w:val="0007691A"/>
    <w:rsid w:val="00080390"/>
    <w:rsid w:val="00080749"/>
    <w:rsid w:val="00082091"/>
    <w:rsid w:val="00083396"/>
    <w:rsid w:val="00083F00"/>
    <w:rsid w:val="00084B4D"/>
    <w:rsid w:val="00084F03"/>
    <w:rsid w:val="0008511D"/>
    <w:rsid w:val="000854E9"/>
    <w:rsid w:val="00086763"/>
    <w:rsid w:val="0008713E"/>
    <w:rsid w:val="000876CB"/>
    <w:rsid w:val="000878F5"/>
    <w:rsid w:val="00087E0E"/>
    <w:rsid w:val="00092333"/>
    <w:rsid w:val="00092662"/>
    <w:rsid w:val="00092A42"/>
    <w:rsid w:val="00092A62"/>
    <w:rsid w:val="00092DC1"/>
    <w:rsid w:val="000933F5"/>
    <w:rsid w:val="00093BA8"/>
    <w:rsid w:val="00094608"/>
    <w:rsid w:val="0009462B"/>
    <w:rsid w:val="00094833"/>
    <w:rsid w:val="00095509"/>
    <w:rsid w:val="00095884"/>
    <w:rsid w:val="00095C72"/>
    <w:rsid w:val="000968B5"/>
    <w:rsid w:val="000970E7"/>
    <w:rsid w:val="000976A8"/>
    <w:rsid w:val="000A05FC"/>
    <w:rsid w:val="000A0B89"/>
    <w:rsid w:val="000A2AE4"/>
    <w:rsid w:val="000A3B03"/>
    <w:rsid w:val="000A3E44"/>
    <w:rsid w:val="000A4B10"/>
    <w:rsid w:val="000A4DCA"/>
    <w:rsid w:val="000A57C8"/>
    <w:rsid w:val="000A62C1"/>
    <w:rsid w:val="000A6760"/>
    <w:rsid w:val="000A72CB"/>
    <w:rsid w:val="000A778D"/>
    <w:rsid w:val="000A78F8"/>
    <w:rsid w:val="000B0564"/>
    <w:rsid w:val="000B37F9"/>
    <w:rsid w:val="000B3BB3"/>
    <w:rsid w:val="000B52DF"/>
    <w:rsid w:val="000B557A"/>
    <w:rsid w:val="000B5C7A"/>
    <w:rsid w:val="000B68D7"/>
    <w:rsid w:val="000B75F9"/>
    <w:rsid w:val="000B7953"/>
    <w:rsid w:val="000B7D6E"/>
    <w:rsid w:val="000B7FF2"/>
    <w:rsid w:val="000C01DC"/>
    <w:rsid w:val="000C01E2"/>
    <w:rsid w:val="000C0477"/>
    <w:rsid w:val="000C099D"/>
    <w:rsid w:val="000C326B"/>
    <w:rsid w:val="000C3970"/>
    <w:rsid w:val="000C4150"/>
    <w:rsid w:val="000C41C6"/>
    <w:rsid w:val="000C468D"/>
    <w:rsid w:val="000C4B94"/>
    <w:rsid w:val="000C4D87"/>
    <w:rsid w:val="000C5B35"/>
    <w:rsid w:val="000C683F"/>
    <w:rsid w:val="000C7947"/>
    <w:rsid w:val="000C7B42"/>
    <w:rsid w:val="000D1D2B"/>
    <w:rsid w:val="000D24F2"/>
    <w:rsid w:val="000D4264"/>
    <w:rsid w:val="000D466C"/>
    <w:rsid w:val="000D5301"/>
    <w:rsid w:val="000D5920"/>
    <w:rsid w:val="000D5D75"/>
    <w:rsid w:val="000D6A0D"/>
    <w:rsid w:val="000D6EA9"/>
    <w:rsid w:val="000D7A32"/>
    <w:rsid w:val="000E08FB"/>
    <w:rsid w:val="000E0D23"/>
    <w:rsid w:val="000E1494"/>
    <w:rsid w:val="000E15D2"/>
    <w:rsid w:val="000E1965"/>
    <w:rsid w:val="000E20AF"/>
    <w:rsid w:val="000E3572"/>
    <w:rsid w:val="000E3D3D"/>
    <w:rsid w:val="000E58CD"/>
    <w:rsid w:val="000E7534"/>
    <w:rsid w:val="000E765D"/>
    <w:rsid w:val="000E7972"/>
    <w:rsid w:val="000E7D2D"/>
    <w:rsid w:val="000F04AC"/>
    <w:rsid w:val="000F10B3"/>
    <w:rsid w:val="000F1C75"/>
    <w:rsid w:val="000F2007"/>
    <w:rsid w:val="000F2363"/>
    <w:rsid w:val="000F2BAB"/>
    <w:rsid w:val="000F2CD9"/>
    <w:rsid w:val="000F30BF"/>
    <w:rsid w:val="000F3E54"/>
    <w:rsid w:val="000F4F16"/>
    <w:rsid w:val="000F62C4"/>
    <w:rsid w:val="000F639F"/>
    <w:rsid w:val="000F6775"/>
    <w:rsid w:val="000F6966"/>
    <w:rsid w:val="000F69E0"/>
    <w:rsid w:val="001002AF"/>
    <w:rsid w:val="0010073D"/>
    <w:rsid w:val="001009BE"/>
    <w:rsid w:val="00101941"/>
    <w:rsid w:val="00102F66"/>
    <w:rsid w:val="0010316F"/>
    <w:rsid w:val="00103668"/>
    <w:rsid w:val="00103E5B"/>
    <w:rsid w:val="00104619"/>
    <w:rsid w:val="00104E50"/>
    <w:rsid w:val="001051E7"/>
    <w:rsid w:val="00105411"/>
    <w:rsid w:val="00106051"/>
    <w:rsid w:val="001107AB"/>
    <w:rsid w:val="001117A1"/>
    <w:rsid w:val="00112832"/>
    <w:rsid w:val="00112CAE"/>
    <w:rsid w:val="00112DDE"/>
    <w:rsid w:val="001139BC"/>
    <w:rsid w:val="00113C13"/>
    <w:rsid w:val="00114031"/>
    <w:rsid w:val="00115A97"/>
    <w:rsid w:val="00116507"/>
    <w:rsid w:val="00120357"/>
    <w:rsid w:val="0012091F"/>
    <w:rsid w:val="00121016"/>
    <w:rsid w:val="00122798"/>
    <w:rsid w:val="00122939"/>
    <w:rsid w:val="00123579"/>
    <w:rsid w:val="00123DAB"/>
    <w:rsid w:val="00124C4B"/>
    <w:rsid w:val="001305D9"/>
    <w:rsid w:val="001312E9"/>
    <w:rsid w:val="00131AB9"/>
    <w:rsid w:val="0013313F"/>
    <w:rsid w:val="001331A0"/>
    <w:rsid w:val="001339EB"/>
    <w:rsid w:val="001346A2"/>
    <w:rsid w:val="0013626B"/>
    <w:rsid w:val="00136599"/>
    <w:rsid w:val="00140B9E"/>
    <w:rsid w:val="001420EC"/>
    <w:rsid w:val="00142264"/>
    <w:rsid w:val="0014299E"/>
    <w:rsid w:val="00143A04"/>
    <w:rsid w:val="001448B3"/>
    <w:rsid w:val="00144A31"/>
    <w:rsid w:val="0014524A"/>
    <w:rsid w:val="0014596D"/>
    <w:rsid w:val="00145B91"/>
    <w:rsid w:val="00145BB7"/>
    <w:rsid w:val="00145C56"/>
    <w:rsid w:val="00145CCD"/>
    <w:rsid w:val="0015189E"/>
    <w:rsid w:val="00151B75"/>
    <w:rsid w:val="00153667"/>
    <w:rsid w:val="00153A3C"/>
    <w:rsid w:val="001544AF"/>
    <w:rsid w:val="0015498E"/>
    <w:rsid w:val="00154B81"/>
    <w:rsid w:val="001558F1"/>
    <w:rsid w:val="00155BBC"/>
    <w:rsid w:val="00160344"/>
    <w:rsid w:val="0016136B"/>
    <w:rsid w:val="00161E3A"/>
    <w:rsid w:val="001631AA"/>
    <w:rsid w:val="001632D7"/>
    <w:rsid w:val="00163690"/>
    <w:rsid w:val="00164293"/>
    <w:rsid w:val="00164BAF"/>
    <w:rsid w:val="001650EF"/>
    <w:rsid w:val="00165632"/>
    <w:rsid w:val="001667EB"/>
    <w:rsid w:val="001672AC"/>
    <w:rsid w:val="00170CE7"/>
    <w:rsid w:val="00170F9B"/>
    <w:rsid w:val="00171B54"/>
    <w:rsid w:val="00171F3F"/>
    <w:rsid w:val="00172F1C"/>
    <w:rsid w:val="00174393"/>
    <w:rsid w:val="00175F24"/>
    <w:rsid w:val="0017607F"/>
    <w:rsid w:val="00176C35"/>
    <w:rsid w:val="0018203B"/>
    <w:rsid w:val="001834FB"/>
    <w:rsid w:val="00183541"/>
    <w:rsid w:val="001836FD"/>
    <w:rsid w:val="001853D5"/>
    <w:rsid w:val="001854C8"/>
    <w:rsid w:val="00185972"/>
    <w:rsid w:val="00185EB3"/>
    <w:rsid w:val="0018669B"/>
    <w:rsid w:val="00186A74"/>
    <w:rsid w:val="00186AE0"/>
    <w:rsid w:val="0018723D"/>
    <w:rsid w:val="00187339"/>
    <w:rsid w:val="00187DB7"/>
    <w:rsid w:val="00187F1E"/>
    <w:rsid w:val="001907A9"/>
    <w:rsid w:val="001915C0"/>
    <w:rsid w:val="00191DF3"/>
    <w:rsid w:val="00191F67"/>
    <w:rsid w:val="001923A7"/>
    <w:rsid w:val="00193218"/>
    <w:rsid w:val="00193B7E"/>
    <w:rsid w:val="00194043"/>
    <w:rsid w:val="00194681"/>
    <w:rsid w:val="0019575B"/>
    <w:rsid w:val="001958B7"/>
    <w:rsid w:val="001959B4"/>
    <w:rsid w:val="00196608"/>
    <w:rsid w:val="00197BB8"/>
    <w:rsid w:val="001A060A"/>
    <w:rsid w:val="001A0AB9"/>
    <w:rsid w:val="001A11BF"/>
    <w:rsid w:val="001A219F"/>
    <w:rsid w:val="001A22AD"/>
    <w:rsid w:val="001A3957"/>
    <w:rsid w:val="001A44AA"/>
    <w:rsid w:val="001A47E1"/>
    <w:rsid w:val="001A65A6"/>
    <w:rsid w:val="001A70CE"/>
    <w:rsid w:val="001A7FC4"/>
    <w:rsid w:val="001B0268"/>
    <w:rsid w:val="001B0BE5"/>
    <w:rsid w:val="001B1480"/>
    <w:rsid w:val="001B1598"/>
    <w:rsid w:val="001B3CA9"/>
    <w:rsid w:val="001B3CF9"/>
    <w:rsid w:val="001B512A"/>
    <w:rsid w:val="001B51B8"/>
    <w:rsid w:val="001B7080"/>
    <w:rsid w:val="001B79CC"/>
    <w:rsid w:val="001B7E88"/>
    <w:rsid w:val="001C0228"/>
    <w:rsid w:val="001C129B"/>
    <w:rsid w:val="001C1562"/>
    <w:rsid w:val="001C18DD"/>
    <w:rsid w:val="001C30ED"/>
    <w:rsid w:val="001C3576"/>
    <w:rsid w:val="001C410F"/>
    <w:rsid w:val="001C4406"/>
    <w:rsid w:val="001C460E"/>
    <w:rsid w:val="001C4ABB"/>
    <w:rsid w:val="001C4BC8"/>
    <w:rsid w:val="001C5042"/>
    <w:rsid w:val="001C5995"/>
    <w:rsid w:val="001C7BCC"/>
    <w:rsid w:val="001C7D64"/>
    <w:rsid w:val="001D03CA"/>
    <w:rsid w:val="001D05E8"/>
    <w:rsid w:val="001D079B"/>
    <w:rsid w:val="001D09BE"/>
    <w:rsid w:val="001D1DE4"/>
    <w:rsid w:val="001D29EC"/>
    <w:rsid w:val="001D4BBD"/>
    <w:rsid w:val="001D7FFE"/>
    <w:rsid w:val="001E0C15"/>
    <w:rsid w:val="001E185A"/>
    <w:rsid w:val="001E18D8"/>
    <w:rsid w:val="001E2123"/>
    <w:rsid w:val="001E306B"/>
    <w:rsid w:val="001E3163"/>
    <w:rsid w:val="001E3FF2"/>
    <w:rsid w:val="001E60AE"/>
    <w:rsid w:val="001E6701"/>
    <w:rsid w:val="001E6EBB"/>
    <w:rsid w:val="001E6F09"/>
    <w:rsid w:val="001E7013"/>
    <w:rsid w:val="001E7669"/>
    <w:rsid w:val="001E7927"/>
    <w:rsid w:val="001F0850"/>
    <w:rsid w:val="001F0EC3"/>
    <w:rsid w:val="001F1431"/>
    <w:rsid w:val="001F235C"/>
    <w:rsid w:val="001F388B"/>
    <w:rsid w:val="001F3D3C"/>
    <w:rsid w:val="001F4414"/>
    <w:rsid w:val="001F45F2"/>
    <w:rsid w:val="001F5367"/>
    <w:rsid w:val="001F5CDA"/>
    <w:rsid w:val="001F67A4"/>
    <w:rsid w:val="001F694B"/>
    <w:rsid w:val="001F6EC6"/>
    <w:rsid w:val="001F7BD7"/>
    <w:rsid w:val="00200479"/>
    <w:rsid w:val="002007BE"/>
    <w:rsid w:val="00201A36"/>
    <w:rsid w:val="00201FCB"/>
    <w:rsid w:val="0020290C"/>
    <w:rsid w:val="002050F8"/>
    <w:rsid w:val="00205C02"/>
    <w:rsid w:val="0020611C"/>
    <w:rsid w:val="002062C6"/>
    <w:rsid w:val="00206B7F"/>
    <w:rsid w:val="002078D3"/>
    <w:rsid w:val="00210076"/>
    <w:rsid w:val="00212C88"/>
    <w:rsid w:val="00212EA4"/>
    <w:rsid w:val="00212FCB"/>
    <w:rsid w:val="00213830"/>
    <w:rsid w:val="00213E65"/>
    <w:rsid w:val="00214058"/>
    <w:rsid w:val="002148B3"/>
    <w:rsid w:val="00214C13"/>
    <w:rsid w:val="00215426"/>
    <w:rsid w:val="00215B74"/>
    <w:rsid w:val="002175CC"/>
    <w:rsid w:val="00220156"/>
    <w:rsid w:val="002207C9"/>
    <w:rsid w:val="00220C6E"/>
    <w:rsid w:val="00220E5F"/>
    <w:rsid w:val="00221435"/>
    <w:rsid w:val="00222473"/>
    <w:rsid w:val="00223974"/>
    <w:rsid w:val="0022412A"/>
    <w:rsid w:val="00224193"/>
    <w:rsid w:val="00225093"/>
    <w:rsid w:val="00226EAC"/>
    <w:rsid w:val="00227A9C"/>
    <w:rsid w:val="00227D0F"/>
    <w:rsid w:val="002308D1"/>
    <w:rsid w:val="002321C8"/>
    <w:rsid w:val="0023273F"/>
    <w:rsid w:val="0023299D"/>
    <w:rsid w:val="00233105"/>
    <w:rsid w:val="0023339A"/>
    <w:rsid w:val="00234357"/>
    <w:rsid w:val="002358F7"/>
    <w:rsid w:val="002369AB"/>
    <w:rsid w:val="002402ED"/>
    <w:rsid w:val="0024082A"/>
    <w:rsid w:val="00240DF6"/>
    <w:rsid w:val="00241094"/>
    <w:rsid w:val="00242553"/>
    <w:rsid w:val="00244764"/>
    <w:rsid w:val="00244D28"/>
    <w:rsid w:val="002468F5"/>
    <w:rsid w:val="0024731C"/>
    <w:rsid w:val="002476B6"/>
    <w:rsid w:val="0024778B"/>
    <w:rsid w:val="00247F45"/>
    <w:rsid w:val="00252B26"/>
    <w:rsid w:val="00254B5E"/>
    <w:rsid w:val="00255220"/>
    <w:rsid w:val="00255858"/>
    <w:rsid w:val="00255A74"/>
    <w:rsid w:val="002562CA"/>
    <w:rsid w:val="0025741C"/>
    <w:rsid w:val="00257BC0"/>
    <w:rsid w:val="002609B2"/>
    <w:rsid w:val="00260D4C"/>
    <w:rsid w:val="00261AAD"/>
    <w:rsid w:val="00263127"/>
    <w:rsid w:val="0026410D"/>
    <w:rsid w:val="002641E3"/>
    <w:rsid w:val="00265281"/>
    <w:rsid w:val="002652A1"/>
    <w:rsid w:val="0026530F"/>
    <w:rsid w:val="00265DFF"/>
    <w:rsid w:val="002665A0"/>
    <w:rsid w:val="002665E7"/>
    <w:rsid w:val="002670CF"/>
    <w:rsid w:val="00267563"/>
    <w:rsid w:val="00270256"/>
    <w:rsid w:val="00270888"/>
    <w:rsid w:val="00271D31"/>
    <w:rsid w:val="00272C36"/>
    <w:rsid w:val="00274033"/>
    <w:rsid w:val="002746D6"/>
    <w:rsid w:val="00274A4A"/>
    <w:rsid w:val="0027680A"/>
    <w:rsid w:val="002776CB"/>
    <w:rsid w:val="00277FB8"/>
    <w:rsid w:val="00282AB4"/>
    <w:rsid w:val="00282FE3"/>
    <w:rsid w:val="00284733"/>
    <w:rsid w:val="00284BC3"/>
    <w:rsid w:val="00284D21"/>
    <w:rsid w:val="002854C7"/>
    <w:rsid w:val="00286D7F"/>
    <w:rsid w:val="002875C2"/>
    <w:rsid w:val="0029106D"/>
    <w:rsid w:val="00291206"/>
    <w:rsid w:val="00291FE2"/>
    <w:rsid w:val="00292713"/>
    <w:rsid w:val="00292FF5"/>
    <w:rsid w:val="0029518D"/>
    <w:rsid w:val="002952D6"/>
    <w:rsid w:val="00296214"/>
    <w:rsid w:val="00296B00"/>
    <w:rsid w:val="00296B02"/>
    <w:rsid w:val="002A05C0"/>
    <w:rsid w:val="002A0C42"/>
    <w:rsid w:val="002A0E7D"/>
    <w:rsid w:val="002A2E0B"/>
    <w:rsid w:val="002A2E58"/>
    <w:rsid w:val="002A50CF"/>
    <w:rsid w:val="002A5AB3"/>
    <w:rsid w:val="002A6A25"/>
    <w:rsid w:val="002A6E14"/>
    <w:rsid w:val="002A6E49"/>
    <w:rsid w:val="002B1257"/>
    <w:rsid w:val="002B1A49"/>
    <w:rsid w:val="002B26FD"/>
    <w:rsid w:val="002B27C0"/>
    <w:rsid w:val="002B3173"/>
    <w:rsid w:val="002B40A6"/>
    <w:rsid w:val="002B4151"/>
    <w:rsid w:val="002B42C6"/>
    <w:rsid w:val="002B448C"/>
    <w:rsid w:val="002B57E4"/>
    <w:rsid w:val="002B5F26"/>
    <w:rsid w:val="002B6BFC"/>
    <w:rsid w:val="002B746E"/>
    <w:rsid w:val="002B76EB"/>
    <w:rsid w:val="002B7DCD"/>
    <w:rsid w:val="002C033D"/>
    <w:rsid w:val="002C070D"/>
    <w:rsid w:val="002C1411"/>
    <w:rsid w:val="002C2BBB"/>
    <w:rsid w:val="002C2F83"/>
    <w:rsid w:val="002C3DE9"/>
    <w:rsid w:val="002C47E0"/>
    <w:rsid w:val="002C5B19"/>
    <w:rsid w:val="002C702D"/>
    <w:rsid w:val="002C7267"/>
    <w:rsid w:val="002C7A7B"/>
    <w:rsid w:val="002C7ADE"/>
    <w:rsid w:val="002D03C2"/>
    <w:rsid w:val="002D044B"/>
    <w:rsid w:val="002D134C"/>
    <w:rsid w:val="002D1416"/>
    <w:rsid w:val="002D2B72"/>
    <w:rsid w:val="002D2C08"/>
    <w:rsid w:val="002D2C26"/>
    <w:rsid w:val="002D2EB3"/>
    <w:rsid w:val="002D35D4"/>
    <w:rsid w:val="002D3DD4"/>
    <w:rsid w:val="002D4351"/>
    <w:rsid w:val="002D66CC"/>
    <w:rsid w:val="002D6B99"/>
    <w:rsid w:val="002D75DF"/>
    <w:rsid w:val="002E038B"/>
    <w:rsid w:val="002E14B7"/>
    <w:rsid w:val="002E1E9B"/>
    <w:rsid w:val="002E21DC"/>
    <w:rsid w:val="002E3363"/>
    <w:rsid w:val="002E756D"/>
    <w:rsid w:val="002E7D39"/>
    <w:rsid w:val="002E7D41"/>
    <w:rsid w:val="002F0545"/>
    <w:rsid w:val="002F1830"/>
    <w:rsid w:val="002F1F30"/>
    <w:rsid w:val="002F404B"/>
    <w:rsid w:val="002F4251"/>
    <w:rsid w:val="002F43E4"/>
    <w:rsid w:val="002F4BD0"/>
    <w:rsid w:val="002F5DE0"/>
    <w:rsid w:val="002F6002"/>
    <w:rsid w:val="002F6430"/>
    <w:rsid w:val="003001C4"/>
    <w:rsid w:val="0030049A"/>
    <w:rsid w:val="003008E2"/>
    <w:rsid w:val="00300BE3"/>
    <w:rsid w:val="00301106"/>
    <w:rsid w:val="003024B6"/>
    <w:rsid w:val="00302BA1"/>
    <w:rsid w:val="00302E27"/>
    <w:rsid w:val="00302E7E"/>
    <w:rsid w:val="0030310F"/>
    <w:rsid w:val="0030431E"/>
    <w:rsid w:val="0030458B"/>
    <w:rsid w:val="00304A44"/>
    <w:rsid w:val="00304B30"/>
    <w:rsid w:val="0030506C"/>
    <w:rsid w:val="003065A0"/>
    <w:rsid w:val="00306814"/>
    <w:rsid w:val="00306BE8"/>
    <w:rsid w:val="0030738F"/>
    <w:rsid w:val="003078C0"/>
    <w:rsid w:val="00307DD5"/>
    <w:rsid w:val="003107C3"/>
    <w:rsid w:val="0031080A"/>
    <w:rsid w:val="00310A09"/>
    <w:rsid w:val="00310DBA"/>
    <w:rsid w:val="00311950"/>
    <w:rsid w:val="003136FD"/>
    <w:rsid w:val="00314420"/>
    <w:rsid w:val="00314B80"/>
    <w:rsid w:val="00315715"/>
    <w:rsid w:val="0031627F"/>
    <w:rsid w:val="00316626"/>
    <w:rsid w:val="00320C70"/>
    <w:rsid w:val="003227DA"/>
    <w:rsid w:val="00322D0C"/>
    <w:rsid w:val="00322F9A"/>
    <w:rsid w:val="003231F6"/>
    <w:rsid w:val="003235BD"/>
    <w:rsid w:val="00323636"/>
    <w:rsid w:val="00324540"/>
    <w:rsid w:val="00325B04"/>
    <w:rsid w:val="003266EF"/>
    <w:rsid w:val="00327085"/>
    <w:rsid w:val="00327280"/>
    <w:rsid w:val="00327C22"/>
    <w:rsid w:val="0033124E"/>
    <w:rsid w:val="00331444"/>
    <w:rsid w:val="00331D27"/>
    <w:rsid w:val="00331D9F"/>
    <w:rsid w:val="00333EFE"/>
    <w:rsid w:val="003340A0"/>
    <w:rsid w:val="0033451D"/>
    <w:rsid w:val="003348E2"/>
    <w:rsid w:val="00335C38"/>
    <w:rsid w:val="0033614B"/>
    <w:rsid w:val="003367A3"/>
    <w:rsid w:val="00340FED"/>
    <w:rsid w:val="0034274A"/>
    <w:rsid w:val="00344ACD"/>
    <w:rsid w:val="003464C6"/>
    <w:rsid w:val="00346926"/>
    <w:rsid w:val="00347014"/>
    <w:rsid w:val="00347C5F"/>
    <w:rsid w:val="003501F1"/>
    <w:rsid w:val="00350BE4"/>
    <w:rsid w:val="00350E6A"/>
    <w:rsid w:val="0035103E"/>
    <w:rsid w:val="00351B87"/>
    <w:rsid w:val="00352756"/>
    <w:rsid w:val="003543F6"/>
    <w:rsid w:val="0035579C"/>
    <w:rsid w:val="003566ED"/>
    <w:rsid w:val="0035680E"/>
    <w:rsid w:val="003575D1"/>
    <w:rsid w:val="00357DAF"/>
    <w:rsid w:val="00361419"/>
    <w:rsid w:val="003616ED"/>
    <w:rsid w:val="0036224A"/>
    <w:rsid w:val="003622CB"/>
    <w:rsid w:val="00362354"/>
    <w:rsid w:val="003624D3"/>
    <w:rsid w:val="0036254D"/>
    <w:rsid w:val="00363F97"/>
    <w:rsid w:val="00364C25"/>
    <w:rsid w:val="00364D51"/>
    <w:rsid w:val="0036514C"/>
    <w:rsid w:val="00365AA7"/>
    <w:rsid w:val="00365C13"/>
    <w:rsid w:val="003661BB"/>
    <w:rsid w:val="003665FC"/>
    <w:rsid w:val="003671BC"/>
    <w:rsid w:val="003673B7"/>
    <w:rsid w:val="00370C71"/>
    <w:rsid w:val="00370D36"/>
    <w:rsid w:val="003710E9"/>
    <w:rsid w:val="003710F1"/>
    <w:rsid w:val="003726CB"/>
    <w:rsid w:val="00372B3A"/>
    <w:rsid w:val="00372F35"/>
    <w:rsid w:val="003730F7"/>
    <w:rsid w:val="00373B90"/>
    <w:rsid w:val="00373E49"/>
    <w:rsid w:val="0037622F"/>
    <w:rsid w:val="003764B9"/>
    <w:rsid w:val="003768EF"/>
    <w:rsid w:val="0037690B"/>
    <w:rsid w:val="00377E36"/>
    <w:rsid w:val="00377F50"/>
    <w:rsid w:val="00380733"/>
    <w:rsid w:val="00381249"/>
    <w:rsid w:val="00381290"/>
    <w:rsid w:val="00381554"/>
    <w:rsid w:val="0038164F"/>
    <w:rsid w:val="00382458"/>
    <w:rsid w:val="00382B18"/>
    <w:rsid w:val="003832A9"/>
    <w:rsid w:val="003832DD"/>
    <w:rsid w:val="00383A9B"/>
    <w:rsid w:val="00383B09"/>
    <w:rsid w:val="0038400E"/>
    <w:rsid w:val="00384ABA"/>
    <w:rsid w:val="003865EB"/>
    <w:rsid w:val="00387A2D"/>
    <w:rsid w:val="00387FD8"/>
    <w:rsid w:val="003910FD"/>
    <w:rsid w:val="00391EBA"/>
    <w:rsid w:val="0039284F"/>
    <w:rsid w:val="00393283"/>
    <w:rsid w:val="00394DB4"/>
    <w:rsid w:val="00394FA4"/>
    <w:rsid w:val="003961CF"/>
    <w:rsid w:val="00396B85"/>
    <w:rsid w:val="003971F1"/>
    <w:rsid w:val="00397E23"/>
    <w:rsid w:val="003A0C29"/>
    <w:rsid w:val="003A1922"/>
    <w:rsid w:val="003A1D72"/>
    <w:rsid w:val="003A240A"/>
    <w:rsid w:val="003A2656"/>
    <w:rsid w:val="003A2A32"/>
    <w:rsid w:val="003A3892"/>
    <w:rsid w:val="003A3B4F"/>
    <w:rsid w:val="003A5A04"/>
    <w:rsid w:val="003A5FEB"/>
    <w:rsid w:val="003A6362"/>
    <w:rsid w:val="003A6EAA"/>
    <w:rsid w:val="003A79B1"/>
    <w:rsid w:val="003B081F"/>
    <w:rsid w:val="003B0BC3"/>
    <w:rsid w:val="003B0BEA"/>
    <w:rsid w:val="003B3649"/>
    <w:rsid w:val="003B3BBD"/>
    <w:rsid w:val="003B466F"/>
    <w:rsid w:val="003B52FC"/>
    <w:rsid w:val="003B6DBB"/>
    <w:rsid w:val="003B76F9"/>
    <w:rsid w:val="003B7B45"/>
    <w:rsid w:val="003B7BF4"/>
    <w:rsid w:val="003C0483"/>
    <w:rsid w:val="003C08E2"/>
    <w:rsid w:val="003C0956"/>
    <w:rsid w:val="003C10AD"/>
    <w:rsid w:val="003C10FA"/>
    <w:rsid w:val="003C1874"/>
    <w:rsid w:val="003C1EB4"/>
    <w:rsid w:val="003C2836"/>
    <w:rsid w:val="003C2A02"/>
    <w:rsid w:val="003C2AE6"/>
    <w:rsid w:val="003C2F5F"/>
    <w:rsid w:val="003C32B3"/>
    <w:rsid w:val="003C32D6"/>
    <w:rsid w:val="003C34F9"/>
    <w:rsid w:val="003C388D"/>
    <w:rsid w:val="003C3B41"/>
    <w:rsid w:val="003C3DE7"/>
    <w:rsid w:val="003C4EC7"/>
    <w:rsid w:val="003C6A0C"/>
    <w:rsid w:val="003C7AFD"/>
    <w:rsid w:val="003D043C"/>
    <w:rsid w:val="003D0664"/>
    <w:rsid w:val="003D1F50"/>
    <w:rsid w:val="003D28FC"/>
    <w:rsid w:val="003D2ACC"/>
    <w:rsid w:val="003D2FF2"/>
    <w:rsid w:val="003D5E2D"/>
    <w:rsid w:val="003D69D3"/>
    <w:rsid w:val="003D6EDA"/>
    <w:rsid w:val="003D6FED"/>
    <w:rsid w:val="003D7D3A"/>
    <w:rsid w:val="003E1B74"/>
    <w:rsid w:val="003E1BE3"/>
    <w:rsid w:val="003E2B2F"/>
    <w:rsid w:val="003E3D78"/>
    <w:rsid w:val="003E662B"/>
    <w:rsid w:val="003F2540"/>
    <w:rsid w:val="003F3611"/>
    <w:rsid w:val="003F4C23"/>
    <w:rsid w:val="003F4DE2"/>
    <w:rsid w:val="003F53DB"/>
    <w:rsid w:val="003F555B"/>
    <w:rsid w:val="00400B4F"/>
    <w:rsid w:val="00400BC8"/>
    <w:rsid w:val="00403DAB"/>
    <w:rsid w:val="00404491"/>
    <w:rsid w:val="004046E3"/>
    <w:rsid w:val="0040474A"/>
    <w:rsid w:val="00406B04"/>
    <w:rsid w:val="004071F0"/>
    <w:rsid w:val="00410223"/>
    <w:rsid w:val="00410963"/>
    <w:rsid w:val="00411013"/>
    <w:rsid w:val="00411059"/>
    <w:rsid w:val="004116EC"/>
    <w:rsid w:val="0041352B"/>
    <w:rsid w:val="00415102"/>
    <w:rsid w:val="00415DF1"/>
    <w:rsid w:val="00416B4F"/>
    <w:rsid w:val="00416F45"/>
    <w:rsid w:val="0041737B"/>
    <w:rsid w:val="00417D2E"/>
    <w:rsid w:val="00417E01"/>
    <w:rsid w:val="00420CB9"/>
    <w:rsid w:val="0042116F"/>
    <w:rsid w:val="004239B9"/>
    <w:rsid w:val="00423AF0"/>
    <w:rsid w:val="00423E97"/>
    <w:rsid w:val="00424186"/>
    <w:rsid w:val="0042497F"/>
    <w:rsid w:val="00425DC6"/>
    <w:rsid w:val="004270A3"/>
    <w:rsid w:val="0043058E"/>
    <w:rsid w:val="004312F4"/>
    <w:rsid w:val="00431E08"/>
    <w:rsid w:val="00432A10"/>
    <w:rsid w:val="00432ADA"/>
    <w:rsid w:val="004337C8"/>
    <w:rsid w:val="00435933"/>
    <w:rsid w:val="004363C5"/>
    <w:rsid w:val="004370F9"/>
    <w:rsid w:val="00437C7B"/>
    <w:rsid w:val="004417C7"/>
    <w:rsid w:val="0044249D"/>
    <w:rsid w:val="0044260B"/>
    <w:rsid w:val="00443BD4"/>
    <w:rsid w:val="00444D90"/>
    <w:rsid w:val="00445C59"/>
    <w:rsid w:val="00445C8A"/>
    <w:rsid w:val="00445FD9"/>
    <w:rsid w:val="004469EC"/>
    <w:rsid w:val="004475B4"/>
    <w:rsid w:val="00447AD2"/>
    <w:rsid w:val="00447BCA"/>
    <w:rsid w:val="00451B15"/>
    <w:rsid w:val="00451E2D"/>
    <w:rsid w:val="00451EB3"/>
    <w:rsid w:val="004520EB"/>
    <w:rsid w:val="004525C8"/>
    <w:rsid w:val="00452F4B"/>
    <w:rsid w:val="00453121"/>
    <w:rsid w:val="004536B8"/>
    <w:rsid w:val="00454A14"/>
    <w:rsid w:val="00454D26"/>
    <w:rsid w:val="00456983"/>
    <w:rsid w:val="0045727C"/>
    <w:rsid w:val="00457961"/>
    <w:rsid w:val="00457ADC"/>
    <w:rsid w:val="00460C70"/>
    <w:rsid w:val="0046129B"/>
    <w:rsid w:val="00461601"/>
    <w:rsid w:val="00461931"/>
    <w:rsid w:val="004619EC"/>
    <w:rsid w:val="00461B28"/>
    <w:rsid w:val="00463D41"/>
    <w:rsid w:val="00463FD9"/>
    <w:rsid w:val="00465095"/>
    <w:rsid w:val="00466A9F"/>
    <w:rsid w:val="00466BA9"/>
    <w:rsid w:val="004679A6"/>
    <w:rsid w:val="004700D0"/>
    <w:rsid w:val="00470A3D"/>
    <w:rsid w:val="00471740"/>
    <w:rsid w:val="0047236C"/>
    <w:rsid w:val="00472941"/>
    <w:rsid w:val="00472CD1"/>
    <w:rsid w:val="0047311D"/>
    <w:rsid w:val="0047352C"/>
    <w:rsid w:val="00473562"/>
    <w:rsid w:val="00473F1B"/>
    <w:rsid w:val="004740FE"/>
    <w:rsid w:val="00474180"/>
    <w:rsid w:val="004756EC"/>
    <w:rsid w:val="00475CE5"/>
    <w:rsid w:val="00475EDE"/>
    <w:rsid w:val="00476D95"/>
    <w:rsid w:val="00476E54"/>
    <w:rsid w:val="00477449"/>
    <w:rsid w:val="00477F05"/>
    <w:rsid w:val="004807A0"/>
    <w:rsid w:val="00480CD8"/>
    <w:rsid w:val="00482032"/>
    <w:rsid w:val="0048361F"/>
    <w:rsid w:val="00483EEB"/>
    <w:rsid w:val="00484715"/>
    <w:rsid w:val="00484861"/>
    <w:rsid w:val="00485457"/>
    <w:rsid w:val="00485908"/>
    <w:rsid w:val="0048781C"/>
    <w:rsid w:val="004878B8"/>
    <w:rsid w:val="00487F61"/>
    <w:rsid w:val="00490C8B"/>
    <w:rsid w:val="004915BB"/>
    <w:rsid w:val="004916BC"/>
    <w:rsid w:val="004918DB"/>
    <w:rsid w:val="00491CDF"/>
    <w:rsid w:val="004920C3"/>
    <w:rsid w:val="00493690"/>
    <w:rsid w:val="00493699"/>
    <w:rsid w:val="004939F4"/>
    <w:rsid w:val="00493B6B"/>
    <w:rsid w:val="004946FD"/>
    <w:rsid w:val="0049572F"/>
    <w:rsid w:val="00495CF3"/>
    <w:rsid w:val="00496611"/>
    <w:rsid w:val="00496A73"/>
    <w:rsid w:val="00496C4F"/>
    <w:rsid w:val="0049700D"/>
    <w:rsid w:val="00497061"/>
    <w:rsid w:val="0049783D"/>
    <w:rsid w:val="004A002F"/>
    <w:rsid w:val="004A0056"/>
    <w:rsid w:val="004A0A5C"/>
    <w:rsid w:val="004A10C2"/>
    <w:rsid w:val="004A10D0"/>
    <w:rsid w:val="004A13DF"/>
    <w:rsid w:val="004A15C8"/>
    <w:rsid w:val="004A16C3"/>
    <w:rsid w:val="004A3344"/>
    <w:rsid w:val="004A379E"/>
    <w:rsid w:val="004A4144"/>
    <w:rsid w:val="004A4502"/>
    <w:rsid w:val="004A4877"/>
    <w:rsid w:val="004A53A3"/>
    <w:rsid w:val="004A5EA8"/>
    <w:rsid w:val="004A7DA2"/>
    <w:rsid w:val="004B02E5"/>
    <w:rsid w:val="004B05D6"/>
    <w:rsid w:val="004B0AD7"/>
    <w:rsid w:val="004B1537"/>
    <w:rsid w:val="004B25D8"/>
    <w:rsid w:val="004B27B9"/>
    <w:rsid w:val="004B2ADC"/>
    <w:rsid w:val="004B2BEA"/>
    <w:rsid w:val="004B42AE"/>
    <w:rsid w:val="004B4398"/>
    <w:rsid w:val="004B4E38"/>
    <w:rsid w:val="004B50AF"/>
    <w:rsid w:val="004B5184"/>
    <w:rsid w:val="004B5593"/>
    <w:rsid w:val="004B59C7"/>
    <w:rsid w:val="004B5A56"/>
    <w:rsid w:val="004B5AF4"/>
    <w:rsid w:val="004B6024"/>
    <w:rsid w:val="004B6E39"/>
    <w:rsid w:val="004C03E7"/>
    <w:rsid w:val="004C1614"/>
    <w:rsid w:val="004C1AB0"/>
    <w:rsid w:val="004C2391"/>
    <w:rsid w:val="004C5789"/>
    <w:rsid w:val="004C6105"/>
    <w:rsid w:val="004C670E"/>
    <w:rsid w:val="004C6847"/>
    <w:rsid w:val="004C6D3C"/>
    <w:rsid w:val="004C76DA"/>
    <w:rsid w:val="004C7A54"/>
    <w:rsid w:val="004D1C44"/>
    <w:rsid w:val="004D3048"/>
    <w:rsid w:val="004D31CE"/>
    <w:rsid w:val="004D409B"/>
    <w:rsid w:val="004D557D"/>
    <w:rsid w:val="004D5A4C"/>
    <w:rsid w:val="004D5A75"/>
    <w:rsid w:val="004D6057"/>
    <w:rsid w:val="004D62BE"/>
    <w:rsid w:val="004E0732"/>
    <w:rsid w:val="004E0D8E"/>
    <w:rsid w:val="004E0F0B"/>
    <w:rsid w:val="004E14E6"/>
    <w:rsid w:val="004E24CE"/>
    <w:rsid w:val="004E25AA"/>
    <w:rsid w:val="004E25DA"/>
    <w:rsid w:val="004E2692"/>
    <w:rsid w:val="004E2709"/>
    <w:rsid w:val="004E2A05"/>
    <w:rsid w:val="004E2EF3"/>
    <w:rsid w:val="004E6400"/>
    <w:rsid w:val="004F0113"/>
    <w:rsid w:val="004F0395"/>
    <w:rsid w:val="004F15B9"/>
    <w:rsid w:val="004F1DC8"/>
    <w:rsid w:val="004F2016"/>
    <w:rsid w:val="004F360E"/>
    <w:rsid w:val="004F36D0"/>
    <w:rsid w:val="004F3E75"/>
    <w:rsid w:val="004F4625"/>
    <w:rsid w:val="004F4827"/>
    <w:rsid w:val="004F56F5"/>
    <w:rsid w:val="004F5E9E"/>
    <w:rsid w:val="004F6183"/>
    <w:rsid w:val="004F6630"/>
    <w:rsid w:val="004F6A27"/>
    <w:rsid w:val="004F6C30"/>
    <w:rsid w:val="004F76BF"/>
    <w:rsid w:val="004F7D3D"/>
    <w:rsid w:val="00500D09"/>
    <w:rsid w:val="00500E16"/>
    <w:rsid w:val="005010BB"/>
    <w:rsid w:val="005016B4"/>
    <w:rsid w:val="00501C68"/>
    <w:rsid w:val="00502C12"/>
    <w:rsid w:val="00504AC8"/>
    <w:rsid w:val="00504F63"/>
    <w:rsid w:val="00505000"/>
    <w:rsid w:val="0050557A"/>
    <w:rsid w:val="00506521"/>
    <w:rsid w:val="00506869"/>
    <w:rsid w:val="00506918"/>
    <w:rsid w:val="00507E1D"/>
    <w:rsid w:val="00510431"/>
    <w:rsid w:val="005106DA"/>
    <w:rsid w:val="00511C39"/>
    <w:rsid w:val="0051250A"/>
    <w:rsid w:val="00512A89"/>
    <w:rsid w:val="0051515B"/>
    <w:rsid w:val="0051546C"/>
    <w:rsid w:val="00515974"/>
    <w:rsid w:val="00515CC4"/>
    <w:rsid w:val="00515D8A"/>
    <w:rsid w:val="00516198"/>
    <w:rsid w:val="00520310"/>
    <w:rsid w:val="00520FCC"/>
    <w:rsid w:val="0052102C"/>
    <w:rsid w:val="005211C9"/>
    <w:rsid w:val="00521832"/>
    <w:rsid w:val="00522001"/>
    <w:rsid w:val="005221BA"/>
    <w:rsid w:val="0052274E"/>
    <w:rsid w:val="00522D32"/>
    <w:rsid w:val="00522F1D"/>
    <w:rsid w:val="00523BFE"/>
    <w:rsid w:val="0052440D"/>
    <w:rsid w:val="00524493"/>
    <w:rsid w:val="00525029"/>
    <w:rsid w:val="0052561F"/>
    <w:rsid w:val="00525875"/>
    <w:rsid w:val="005267E5"/>
    <w:rsid w:val="005274FB"/>
    <w:rsid w:val="0052759A"/>
    <w:rsid w:val="00530DCF"/>
    <w:rsid w:val="00533777"/>
    <w:rsid w:val="005349A5"/>
    <w:rsid w:val="00534D73"/>
    <w:rsid w:val="00535096"/>
    <w:rsid w:val="005357DE"/>
    <w:rsid w:val="00535EA1"/>
    <w:rsid w:val="00536037"/>
    <w:rsid w:val="00537473"/>
    <w:rsid w:val="005408D7"/>
    <w:rsid w:val="005418BB"/>
    <w:rsid w:val="00541DF9"/>
    <w:rsid w:val="005424D2"/>
    <w:rsid w:val="00542F0C"/>
    <w:rsid w:val="0054347E"/>
    <w:rsid w:val="00543BD9"/>
    <w:rsid w:val="00544221"/>
    <w:rsid w:val="005442F8"/>
    <w:rsid w:val="00544830"/>
    <w:rsid w:val="00545A72"/>
    <w:rsid w:val="005463F6"/>
    <w:rsid w:val="005468F5"/>
    <w:rsid w:val="005476B9"/>
    <w:rsid w:val="00547D4D"/>
    <w:rsid w:val="00550278"/>
    <w:rsid w:val="00550A2C"/>
    <w:rsid w:val="00550D5E"/>
    <w:rsid w:val="00551A8B"/>
    <w:rsid w:val="00551DA0"/>
    <w:rsid w:val="00551FD5"/>
    <w:rsid w:val="005521ED"/>
    <w:rsid w:val="005525F1"/>
    <w:rsid w:val="00552A82"/>
    <w:rsid w:val="00553FCB"/>
    <w:rsid w:val="005552F5"/>
    <w:rsid w:val="00555C38"/>
    <w:rsid w:val="00556F68"/>
    <w:rsid w:val="005570A4"/>
    <w:rsid w:val="00557160"/>
    <w:rsid w:val="0056057E"/>
    <w:rsid w:val="00560814"/>
    <w:rsid w:val="00561BE5"/>
    <w:rsid w:val="00562087"/>
    <w:rsid w:val="00563228"/>
    <w:rsid w:val="00563753"/>
    <w:rsid w:val="00563BD5"/>
    <w:rsid w:val="005647CE"/>
    <w:rsid w:val="00565271"/>
    <w:rsid w:val="005654DC"/>
    <w:rsid w:val="00565565"/>
    <w:rsid w:val="00565795"/>
    <w:rsid w:val="005660C5"/>
    <w:rsid w:val="0056628B"/>
    <w:rsid w:val="00566617"/>
    <w:rsid w:val="00566E9E"/>
    <w:rsid w:val="005674DE"/>
    <w:rsid w:val="0057127F"/>
    <w:rsid w:val="00571342"/>
    <w:rsid w:val="005719F5"/>
    <w:rsid w:val="00572654"/>
    <w:rsid w:val="00572910"/>
    <w:rsid w:val="0057514D"/>
    <w:rsid w:val="00575734"/>
    <w:rsid w:val="005758ED"/>
    <w:rsid w:val="00575BFB"/>
    <w:rsid w:val="00577586"/>
    <w:rsid w:val="005775AB"/>
    <w:rsid w:val="005777B8"/>
    <w:rsid w:val="00577E1C"/>
    <w:rsid w:val="005807C3"/>
    <w:rsid w:val="0058493C"/>
    <w:rsid w:val="00584A56"/>
    <w:rsid w:val="00584B37"/>
    <w:rsid w:val="00585284"/>
    <w:rsid w:val="00586C4A"/>
    <w:rsid w:val="00586D9F"/>
    <w:rsid w:val="0059002E"/>
    <w:rsid w:val="00590462"/>
    <w:rsid w:val="0059053C"/>
    <w:rsid w:val="00590683"/>
    <w:rsid w:val="00590D85"/>
    <w:rsid w:val="0059265A"/>
    <w:rsid w:val="005930F1"/>
    <w:rsid w:val="005939E6"/>
    <w:rsid w:val="00593EA7"/>
    <w:rsid w:val="00593FF3"/>
    <w:rsid w:val="005946AA"/>
    <w:rsid w:val="0059535B"/>
    <w:rsid w:val="00595E39"/>
    <w:rsid w:val="005965D5"/>
    <w:rsid w:val="005968E4"/>
    <w:rsid w:val="00596E95"/>
    <w:rsid w:val="0059736F"/>
    <w:rsid w:val="005A12D2"/>
    <w:rsid w:val="005A18BE"/>
    <w:rsid w:val="005A1FCD"/>
    <w:rsid w:val="005A3E9B"/>
    <w:rsid w:val="005A3EE8"/>
    <w:rsid w:val="005A4714"/>
    <w:rsid w:val="005A4C40"/>
    <w:rsid w:val="005A6132"/>
    <w:rsid w:val="005A7A51"/>
    <w:rsid w:val="005B0014"/>
    <w:rsid w:val="005B00DC"/>
    <w:rsid w:val="005B0504"/>
    <w:rsid w:val="005B08DC"/>
    <w:rsid w:val="005B21F3"/>
    <w:rsid w:val="005B4086"/>
    <w:rsid w:val="005B53AE"/>
    <w:rsid w:val="005B6623"/>
    <w:rsid w:val="005B7DA5"/>
    <w:rsid w:val="005B7FC1"/>
    <w:rsid w:val="005C3B69"/>
    <w:rsid w:val="005C4060"/>
    <w:rsid w:val="005C40C9"/>
    <w:rsid w:val="005C43BB"/>
    <w:rsid w:val="005C541B"/>
    <w:rsid w:val="005C6096"/>
    <w:rsid w:val="005C697E"/>
    <w:rsid w:val="005C7B8E"/>
    <w:rsid w:val="005C7FA6"/>
    <w:rsid w:val="005D0898"/>
    <w:rsid w:val="005D08C5"/>
    <w:rsid w:val="005D1340"/>
    <w:rsid w:val="005D2369"/>
    <w:rsid w:val="005D28C6"/>
    <w:rsid w:val="005D3538"/>
    <w:rsid w:val="005D402B"/>
    <w:rsid w:val="005D4B58"/>
    <w:rsid w:val="005D5601"/>
    <w:rsid w:val="005D67CA"/>
    <w:rsid w:val="005D6B12"/>
    <w:rsid w:val="005D6E88"/>
    <w:rsid w:val="005E0453"/>
    <w:rsid w:val="005E0D74"/>
    <w:rsid w:val="005E26E9"/>
    <w:rsid w:val="005E3291"/>
    <w:rsid w:val="005E417D"/>
    <w:rsid w:val="005E45FB"/>
    <w:rsid w:val="005E4DF4"/>
    <w:rsid w:val="005E4E20"/>
    <w:rsid w:val="005E7172"/>
    <w:rsid w:val="005E72C1"/>
    <w:rsid w:val="005F02E0"/>
    <w:rsid w:val="005F04A2"/>
    <w:rsid w:val="005F0886"/>
    <w:rsid w:val="005F0E25"/>
    <w:rsid w:val="005F1008"/>
    <w:rsid w:val="005F1432"/>
    <w:rsid w:val="005F1651"/>
    <w:rsid w:val="005F1A51"/>
    <w:rsid w:val="005F1B9A"/>
    <w:rsid w:val="005F3739"/>
    <w:rsid w:val="005F4B18"/>
    <w:rsid w:val="005F4D11"/>
    <w:rsid w:val="005F74E8"/>
    <w:rsid w:val="005F7889"/>
    <w:rsid w:val="00601870"/>
    <w:rsid w:val="0060191C"/>
    <w:rsid w:val="00601A52"/>
    <w:rsid w:val="00602675"/>
    <w:rsid w:val="006028D1"/>
    <w:rsid w:val="00602E8B"/>
    <w:rsid w:val="00603ECF"/>
    <w:rsid w:val="00604720"/>
    <w:rsid w:val="006047C0"/>
    <w:rsid w:val="00604F0A"/>
    <w:rsid w:val="0060526E"/>
    <w:rsid w:val="0060556D"/>
    <w:rsid w:val="00606390"/>
    <w:rsid w:val="0060659B"/>
    <w:rsid w:val="00606A4D"/>
    <w:rsid w:val="00606C3C"/>
    <w:rsid w:val="0061105C"/>
    <w:rsid w:val="00611124"/>
    <w:rsid w:val="006118D6"/>
    <w:rsid w:val="00614245"/>
    <w:rsid w:val="006154F7"/>
    <w:rsid w:val="00616461"/>
    <w:rsid w:val="0061649D"/>
    <w:rsid w:val="006168C4"/>
    <w:rsid w:val="006170E7"/>
    <w:rsid w:val="00617A1B"/>
    <w:rsid w:val="00620DF2"/>
    <w:rsid w:val="006212AB"/>
    <w:rsid w:val="00623886"/>
    <w:rsid w:val="00623E28"/>
    <w:rsid w:val="0062470B"/>
    <w:rsid w:val="00624B93"/>
    <w:rsid w:val="00625170"/>
    <w:rsid w:val="00625259"/>
    <w:rsid w:val="00625F48"/>
    <w:rsid w:val="006274A9"/>
    <w:rsid w:val="006276EE"/>
    <w:rsid w:val="00627A3D"/>
    <w:rsid w:val="00627C59"/>
    <w:rsid w:val="0063087E"/>
    <w:rsid w:val="00630B94"/>
    <w:rsid w:val="00630D10"/>
    <w:rsid w:val="0063151E"/>
    <w:rsid w:val="0063184D"/>
    <w:rsid w:val="00632CA6"/>
    <w:rsid w:val="006332BB"/>
    <w:rsid w:val="00633392"/>
    <w:rsid w:val="006346BC"/>
    <w:rsid w:val="00636269"/>
    <w:rsid w:val="00636AFD"/>
    <w:rsid w:val="0063727B"/>
    <w:rsid w:val="00637351"/>
    <w:rsid w:val="006378FC"/>
    <w:rsid w:val="00637C7D"/>
    <w:rsid w:val="006421AA"/>
    <w:rsid w:val="00642433"/>
    <w:rsid w:val="00642FED"/>
    <w:rsid w:val="00642FFE"/>
    <w:rsid w:val="00646347"/>
    <w:rsid w:val="00646688"/>
    <w:rsid w:val="0064680F"/>
    <w:rsid w:val="0064715D"/>
    <w:rsid w:val="0065032E"/>
    <w:rsid w:val="006506AF"/>
    <w:rsid w:val="006507C2"/>
    <w:rsid w:val="00651786"/>
    <w:rsid w:val="006517B8"/>
    <w:rsid w:val="00652695"/>
    <w:rsid w:val="006528BE"/>
    <w:rsid w:val="00652AD5"/>
    <w:rsid w:val="0065333C"/>
    <w:rsid w:val="00653CD9"/>
    <w:rsid w:val="00654B5D"/>
    <w:rsid w:val="0065740F"/>
    <w:rsid w:val="00657B22"/>
    <w:rsid w:val="00661A1F"/>
    <w:rsid w:val="00661C08"/>
    <w:rsid w:val="006622E3"/>
    <w:rsid w:val="006624C0"/>
    <w:rsid w:val="00663159"/>
    <w:rsid w:val="00663E57"/>
    <w:rsid w:val="006647CC"/>
    <w:rsid w:val="00664C6A"/>
    <w:rsid w:val="006653C9"/>
    <w:rsid w:val="00665551"/>
    <w:rsid w:val="006661D6"/>
    <w:rsid w:val="006668D6"/>
    <w:rsid w:val="00666A77"/>
    <w:rsid w:val="00666DCD"/>
    <w:rsid w:val="00667274"/>
    <w:rsid w:val="00667652"/>
    <w:rsid w:val="006676EC"/>
    <w:rsid w:val="00671036"/>
    <w:rsid w:val="00671421"/>
    <w:rsid w:val="00672093"/>
    <w:rsid w:val="00672743"/>
    <w:rsid w:val="0067292C"/>
    <w:rsid w:val="00672AC0"/>
    <w:rsid w:val="00672AD3"/>
    <w:rsid w:val="00674795"/>
    <w:rsid w:val="00675301"/>
    <w:rsid w:val="00675426"/>
    <w:rsid w:val="00675666"/>
    <w:rsid w:val="00676050"/>
    <w:rsid w:val="00676FFB"/>
    <w:rsid w:val="00680396"/>
    <w:rsid w:val="00682A1C"/>
    <w:rsid w:val="00682E3C"/>
    <w:rsid w:val="0068301B"/>
    <w:rsid w:val="006837C7"/>
    <w:rsid w:val="0068490C"/>
    <w:rsid w:val="006850FD"/>
    <w:rsid w:val="006857C0"/>
    <w:rsid w:val="00685C21"/>
    <w:rsid w:val="00687091"/>
    <w:rsid w:val="00687856"/>
    <w:rsid w:val="00690A38"/>
    <w:rsid w:val="006913EA"/>
    <w:rsid w:val="00691A45"/>
    <w:rsid w:val="00692829"/>
    <w:rsid w:val="00693127"/>
    <w:rsid w:val="0069388C"/>
    <w:rsid w:val="0069422F"/>
    <w:rsid w:val="006962F0"/>
    <w:rsid w:val="00697092"/>
    <w:rsid w:val="0069711A"/>
    <w:rsid w:val="006976AF"/>
    <w:rsid w:val="006A080E"/>
    <w:rsid w:val="006A085D"/>
    <w:rsid w:val="006A13D8"/>
    <w:rsid w:val="006A1532"/>
    <w:rsid w:val="006A21B8"/>
    <w:rsid w:val="006A233F"/>
    <w:rsid w:val="006A318E"/>
    <w:rsid w:val="006A3CD2"/>
    <w:rsid w:val="006A412F"/>
    <w:rsid w:val="006A48E8"/>
    <w:rsid w:val="006A4BAD"/>
    <w:rsid w:val="006A4CB4"/>
    <w:rsid w:val="006A7073"/>
    <w:rsid w:val="006A7985"/>
    <w:rsid w:val="006A79E1"/>
    <w:rsid w:val="006B04CF"/>
    <w:rsid w:val="006B0D6F"/>
    <w:rsid w:val="006B159C"/>
    <w:rsid w:val="006B1CC6"/>
    <w:rsid w:val="006B31BB"/>
    <w:rsid w:val="006B40C8"/>
    <w:rsid w:val="006B5E6E"/>
    <w:rsid w:val="006B5E98"/>
    <w:rsid w:val="006B619F"/>
    <w:rsid w:val="006B648E"/>
    <w:rsid w:val="006B6EE2"/>
    <w:rsid w:val="006B75C1"/>
    <w:rsid w:val="006C02E2"/>
    <w:rsid w:val="006C06B6"/>
    <w:rsid w:val="006C07C1"/>
    <w:rsid w:val="006C0CBA"/>
    <w:rsid w:val="006C16E4"/>
    <w:rsid w:val="006C1BEF"/>
    <w:rsid w:val="006C1FD0"/>
    <w:rsid w:val="006C2497"/>
    <w:rsid w:val="006C27A4"/>
    <w:rsid w:val="006C2E03"/>
    <w:rsid w:val="006C3AB3"/>
    <w:rsid w:val="006C3B78"/>
    <w:rsid w:val="006C44C2"/>
    <w:rsid w:val="006C4996"/>
    <w:rsid w:val="006C4FC9"/>
    <w:rsid w:val="006C5F18"/>
    <w:rsid w:val="006C6E87"/>
    <w:rsid w:val="006C7279"/>
    <w:rsid w:val="006C7D5A"/>
    <w:rsid w:val="006D0B7A"/>
    <w:rsid w:val="006D0ED9"/>
    <w:rsid w:val="006D3A1F"/>
    <w:rsid w:val="006D4DC7"/>
    <w:rsid w:val="006D5C6D"/>
    <w:rsid w:val="006D5EC7"/>
    <w:rsid w:val="006D6353"/>
    <w:rsid w:val="006D73C2"/>
    <w:rsid w:val="006D7DEB"/>
    <w:rsid w:val="006D7F0C"/>
    <w:rsid w:val="006D7FEF"/>
    <w:rsid w:val="006E0043"/>
    <w:rsid w:val="006E06AB"/>
    <w:rsid w:val="006E0E8F"/>
    <w:rsid w:val="006E16CB"/>
    <w:rsid w:val="006E1948"/>
    <w:rsid w:val="006E2787"/>
    <w:rsid w:val="006E2DE6"/>
    <w:rsid w:val="006E325B"/>
    <w:rsid w:val="006E3BEC"/>
    <w:rsid w:val="006E484C"/>
    <w:rsid w:val="006E4E53"/>
    <w:rsid w:val="006E5255"/>
    <w:rsid w:val="006E573D"/>
    <w:rsid w:val="006E6E06"/>
    <w:rsid w:val="006E75F1"/>
    <w:rsid w:val="006F037B"/>
    <w:rsid w:val="006F0394"/>
    <w:rsid w:val="006F086D"/>
    <w:rsid w:val="006F0900"/>
    <w:rsid w:val="006F0CED"/>
    <w:rsid w:val="006F2F96"/>
    <w:rsid w:val="006F323B"/>
    <w:rsid w:val="006F34D1"/>
    <w:rsid w:val="006F39ED"/>
    <w:rsid w:val="006F3B12"/>
    <w:rsid w:val="006F4274"/>
    <w:rsid w:val="006F75C0"/>
    <w:rsid w:val="006F7882"/>
    <w:rsid w:val="006F7D59"/>
    <w:rsid w:val="00700D98"/>
    <w:rsid w:val="00700EB7"/>
    <w:rsid w:val="00703B65"/>
    <w:rsid w:val="00704296"/>
    <w:rsid w:val="00705BFE"/>
    <w:rsid w:val="00705FEA"/>
    <w:rsid w:val="00706815"/>
    <w:rsid w:val="00707C70"/>
    <w:rsid w:val="00707EB6"/>
    <w:rsid w:val="00710262"/>
    <w:rsid w:val="007108FD"/>
    <w:rsid w:val="00710DA5"/>
    <w:rsid w:val="007116DB"/>
    <w:rsid w:val="00711E49"/>
    <w:rsid w:val="00712562"/>
    <w:rsid w:val="00712637"/>
    <w:rsid w:val="007131DA"/>
    <w:rsid w:val="0071391F"/>
    <w:rsid w:val="00713FC5"/>
    <w:rsid w:val="00714CB2"/>
    <w:rsid w:val="00714D8C"/>
    <w:rsid w:val="007152DC"/>
    <w:rsid w:val="00715390"/>
    <w:rsid w:val="00715467"/>
    <w:rsid w:val="00716366"/>
    <w:rsid w:val="0071659E"/>
    <w:rsid w:val="00716CFE"/>
    <w:rsid w:val="0072220B"/>
    <w:rsid w:val="00722628"/>
    <w:rsid w:val="0072281B"/>
    <w:rsid w:val="00723275"/>
    <w:rsid w:val="007232D9"/>
    <w:rsid w:val="0072462A"/>
    <w:rsid w:val="007246AF"/>
    <w:rsid w:val="00724DA1"/>
    <w:rsid w:val="007251D3"/>
    <w:rsid w:val="0072601A"/>
    <w:rsid w:val="00727905"/>
    <w:rsid w:val="00727F85"/>
    <w:rsid w:val="00732C0E"/>
    <w:rsid w:val="007347BC"/>
    <w:rsid w:val="0073485C"/>
    <w:rsid w:val="00734B9C"/>
    <w:rsid w:val="00735628"/>
    <w:rsid w:val="00736A95"/>
    <w:rsid w:val="00736B4C"/>
    <w:rsid w:val="00736C07"/>
    <w:rsid w:val="007377D3"/>
    <w:rsid w:val="00737F6B"/>
    <w:rsid w:val="00740D6E"/>
    <w:rsid w:val="00742194"/>
    <w:rsid w:val="0074219A"/>
    <w:rsid w:val="00742A2E"/>
    <w:rsid w:val="00744911"/>
    <w:rsid w:val="00745241"/>
    <w:rsid w:val="00745445"/>
    <w:rsid w:val="007457E9"/>
    <w:rsid w:val="00746129"/>
    <w:rsid w:val="00746380"/>
    <w:rsid w:val="007467C0"/>
    <w:rsid w:val="007468C4"/>
    <w:rsid w:val="00746BC1"/>
    <w:rsid w:val="00746CEE"/>
    <w:rsid w:val="00747976"/>
    <w:rsid w:val="00750193"/>
    <w:rsid w:val="00750669"/>
    <w:rsid w:val="00750813"/>
    <w:rsid w:val="00751A97"/>
    <w:rsid w:val="00751B3F"/>
    <w:rsid w:val="00752329"/>
    <w:rsid w:val="007553D2"/>
    <w:rsid w:val="00755403"/>
    <w:rsid w:val="0075574F"/>
    <w:rsid w:val="007562D1"/>
    <w:rsid w:val="007567E6"/>
    <w:rsid w:val="00756EAD"/>
    <w:rsid w:val="00757AF0"/>
    <w:rsid w:val="00762701"/>
    <w:rsid w:val="00763AAB"/>
    <w:rsid w:val="0076408C"/>
    <w:rsid w:val="00765A12"/>
    <w:rsid w:val="0076671C"/>
    <w:rsid w:val="00766F56"/>
    <w:rsid w:val="00767326"/>
    <w:rsid w:val="00767904"/>
    <w:rsid w:val="00770130"/>
    <w:rsid w:val="0077324B"/>
    <w:rsid w:val="0077419F"/>
    <w:rsid w:val="00774654"/>
    <w:rsid w:val="007748DC"/>
    <w:rsid w:val="00774978"/>
    <w:rsid w:val="007752CB"/>
    <w:rsid w:val="007753C4"/>
    <w:rsid w:val="0077553F"/>
    <w:rsid w:val="00776232"/>
    <w:rsid w:val="00776DC9"/>
    <w:rsid w:val="00777FA0"/>
    <w:rsid w:val="00780217"/>
    <w:rsid w:val="00781017"/>
    <w:rsid w:val="007820F4"/>
    <w:rsid w:val="00782158"/>
    <w:rsid w:val="0078367C"/>
    <w:rsid w:val="0078379D"/>
    <w:rsid w:val="00783806"/>
    <w:rsid w:val="00783A1A"/>
    <w:rsid w:val="00783C71"/>
    <w:rsid w:val="00783E2B"/>
    <w:rsid w:val="00783E94"/>
    <w:rsid w:val="007856F3"/>
    <w:rsid w:val="007857E4"/>
    <w:rsid w:val="00785FC9"/>
    <w:rsid w:val="00787D81"/>
    <w:rsid w:val="00790A7A"/>
    <w:rsid w:val="00791813"/>
    <w:rsid w:val="00792069"/>
    <w:rsid w:val="007922D0"/>
    <w:rsid w:val="007923B1"/>
    <w:rsid w:val="00792A87"/>
    <w:rsid w:val="00793605"/>
    <w:rsid w:val="00794DCB"/>
    <w:rsid w:val="00795318"/>
    <w:rsid w:val="00795A29"/>
    <w:rsid w:val="0079611E"/>
    <w:rsid w:val="00796CEB"/>
    <w:rsid w:val="00797210"/>
    <w:rsid w:val="00797339"/>
    <w:rsid w:val="00797A09"/>
    <w:rsid w:val="007A31C0"/>
    <w:rsid w:val="007A3547"/>
    <w:rsid w:val="007A3C45"/>
    <w:rsid w:val="007A45C9"/>
    <w:rsid w:val="007A4605"/>
    <w:rsid w:val="007A4853"/>
    <w:rsid w:val="007A4D31"/>
    <w:rsid w:val="007A7201"/>
    <w:rsid w:val="007B01DB"/>
    <w:rsid w:val="007B0D95"/>
    <w:rsid w:val="007B20AA"/>
    <w:rsid w:val="007B2569"/>
    <w:rsid w:val="007B26BE"/>
    <w:rsid w:val="007B2BB7"/>
    <w:rsid w:val="007B2F15"/>
    <w:rsid w:val="007B4940"/>
    <w:rsid w:val="007B531C"/>
    <w:rsid w:val="007B5EF5"/>
    <w:rsid w:val="007B6F18"/>
    <w:rsid w:val="007B70E4"/>
    <w:rsid w:val="007B77A9"/>
    <w:rsid w:val="007B7F59"/>
    <w:rsid w:val="007C0F6F"/>
    <w:rsid w:val="007C1756"/>
    <w:rsid w:val="007C1AAB"/>
    <w:rsid w:val="007C22F0"/>
    <w:rsid w:val="007C2654"/>
    <w:rsid w:val="007C2767"/>
    <w:rsid w:val="007C28BD"/>
    <w:rsid w:val="007C28F7"/>
    <w:rsid w:val="007C34DA"/>
    <w:rsid w:val="007C4B8D"/>
    <w:rsid w:val="007C57D8"/>
    <w:rsid w:val="007C5A2F"/>
    <w:rsid w:val="007C63C0"/>
    <w:rsid w:val="007C648D"/>
    <w:rsid w:val="007C69E2"/>
    <w:rsid w:val="007C7442"/>
    <w:rsid w:val="007D0FD1"/>
    <w:rsid w:val="007D11E0"/>
    <w:rsid w:val="007D126C"/>
    <w:rsid w:val="007D223D"/>
    <w:rsid w:val="007D31DF"/>
    <w:rsid w:val="007D3B0D"/>
    <w:rsid w:val="007D431C"/>
    <w:rsid w:val="007D5C6E"/>
    <w:rsid w:val="007D64F0"/>
    <w:rsid w:val="007D6F01"/>
    <w:rsid w:val="007D7259"/>
    <w:rsid w:val="007E072E"/>
    <w:rsid w:val="007E0ADD"/>
    <w:rsid w:val="007E1259"/>
    <w:rsid w:val="007E1540"/>
    <w:rsid w:val="007E1CF3"/>
    <w:rsid w:val="007E219A"/>
    <w:rsid w:val="007E33BA"/>
    <w:rsid w:val="007E3E08"/>
    <w:rsid w:val="007E4F1C"/>
    <w:rsid w:val="007E55DC"/>
    <w:rsid w:val="007E5B57"/>
    <w:rsid w:val="007E6CF3"/>
    <w:rsid w:val="007E730E"/>
    <w:rsid w:val="007F15CB"/>
    <w:rsid w:val="007F19C0"/>
    <w:rsid w:val="007F49D6"/>
    <w:rsid w:val="007F59CE"/>
    <w:rsid w:val="007F5F26"/>
    <w:rsid w:val="007F7492"/>
    <w:rsid w:val="007F79C2"/>
    <w:rsid w:val="007F7D99"/>
    <w:rsid w:val="007F7DC4"/>
    <w:rsid w:val="008017E9"/>
    <w:rsid w:val="008025FA"/>
    <w:rsid w:val="008032C3"/>
    <w:rsid w:val="008048C8"/>
    <w:rsid w:val="00804919"/>
    <w:rsid w:val="00804CD3"/>
    <w:rsid w:val="008052EE"/>
    <w:rsid w:val="00807820"/>
    <w:rsid w:val="0081028E"/>
    <w:rsid w:val="00810695"/>
    <w:rsid w:val="00810989"/>
    <w:rsid w:val="008122A5"/>
    <w:rsid w:val="008127FF"/>
    <w:rsid w:val="00812CB3"/>
    <w:rsid w:val="00813554"/>
    <w:rsid w:val="00814979"/>
    <w:rsid w:val="00814A14"/>
    <w:rsid w:val="00814AFD"/>
    <w:rsid w:val="00814E9C"/>
    <w:rsid w:val="008155FE"/>
    <w:rsid w:val="0081622C"/>
    <w:rsid w:val="008162FE"/>
    <w:rsid w:val="00816E15"/>
    <w:rsid w:val="00816E5E"/>
    <w:rsid w:val="00817AD8"/>
    <w:rsid w:val="00817DB3"/>
    <w:rsid w:val="008205A8"/>
    <w:rsid w:val="00821456"/>
    <w:rsid w:val="00821877"/>
    <w:rsid w:val="00822DA1"/>
    <w:rsid w:val="008235B7"/>
    <w:rsid w:val="00823D92"/>
    <w:rsid w:val="00823EF6"/>
    <w:rsid w:val="008245C8"/>
    <w:rsid w:val="00825116"/>
    <w:rsid w:val="00825266"/>
    <w:rsid w:val="008260A1"/>
    <w:rsid w:val="00826146"/>
    <w:rsid w:val="00826247"/>
    <w:rsid w:val="008265B0"/>
    <w:rsid w:val="008270F9"/>
    <w:rsid w:val="008273D7"/>
    <w:rsid w:val="0082749F"/>
    <w:rsid w:val="008277DC"/>
    <w:rsid w:val="00827E69"/>
    <w:rsid w:val="008304D5"/>
    <w:rsid w:val="008309CB"/>
    <w:rsid w:val="0083190F"/>
    <w:rsid w:val="008324C6"/>
    <w:rsid w:val="00832711"/>
    <w:rsid w:val="00832C60"/>
    <w:rsid w:val="008334C5"/>
    <w:rsid w:val="00833910"/>
    <w:rsid w:val="00834F71"/>
    <w:rsid w:val="0083533D"/>
    <w:rsid w:val="008359DA"/>
    <w:rsid w:val="00841158"/>
    <w:rsid w:val="0084176D"/>
    <w:rsid w:val="00842151"/>
    <w:rsid w:val="0084265E"/>
    <w:rsid w:val="00842808"/>
    <w:rsid w:val="00842EB7"/>
    <w:rsid w:val="008431D7"/>
    <w:rsid w:val="00843C05"/>
    <w:rsid w:val="00843EEC"/>
    <w:rsid w:val="0084437B"/>
    <w:rsid w:val="00844DA6"/>
    <w:rsid w:val="0084580E"/>
    <w:rsid w:val="00846528"/>
    <w:rsid w:val="0085084D"/>
    <w:rsid w:val="008508DD"/>
    <w:rsid w:val="008524ED"/>
    <w:rsid w:val="00852721"/>
    <w:rsid w:val="00854CB5"/>
    <w:rsid w:val="00855ABB"/>
    <w:rsid w:val="0085626C"/>
    <w:rsid w:val="008570CB"/>
    <w:rsid w:val="008606F6"/>
    <w:rsid w:val="00860CFC"/>
    <w:rsid w:val="00862590"/>
    <w:rsid w:val="00862DD3"/>
    <w:rsid w:val="0086359A"/>
    <w:rsid w:val="0086371F"/>
    <w:rsid w:val="008640EB"/>
    <w:rsid w:val="00864579"/>
    <w:rsid w:val="00864B9D"/>
    <w:rsid w:val="008653E9"/>
    <w:rsid w:val="00865EE1"/>
    <w:rsid w:val="00865F7D"/>
    <w:rsid w:val="00866B68"/>
    <w:rsid w:val="00867C4D"/>
    <w:rsid w:val="008716F8"/>
    <w:rsid w:val="008718A6"/>
    <w:rsid w:val="00871B8F"/>
    <w:rsid w:val="00873306"/>
    <w:rsid w:val="008747C1"/>
    <w:rsid w:val="0087480B"/>
    <w:rsid w:val="00874B86"/>
    <w:rsid w:val="0087536A"/>
    <w:rsid w:val="0087540C"/>
    <w:rsid w:val="008755B6"/>
    <w:rsid w:val="00875A5E"/>
    <w:rsid w:val="00876366"/>
    <w:rsid w:val="0087655C"/>
    <w:rsid w:val="00876B78"/>
    <w:rsid w:val="00877B89"/>
    <w:rsid w:val="00877C1C"/>
    <w:rsid w:val="0088028A"/>
    <w:rsid w:val="008802AF"/>
    <w:rsid w:val="0088095A"/>
    <w:rsid w:val="00881C29"/>
    <w:rsid w:val="00881CE5"/>
    <w:rsid w:val="00881E2A"/>
    <w:rsid w:val="0088273D"/>
    <w:rsid w:val="008828A7"/>
    <w:rsid w:val="00883A8A"/>
    <w:rsid w:val="008842E6"/>
    <w:rsid w:val="008849DD"/>
    <w:rsid w:val="00884AAF"/>
    <w:rsid w:val="008854A2"/>
    <w:rsid w:val="008864F4"/>
    <w:rsid w:val="008902F2"/>
    <w:rsid w:val="0089198B"/>
    <w:rsid w:val="00891AC6"/>
    <w:rsid w:val="0089240D"/>
    <w:rsid w:val="008924EB"/>
    <w:rsid w:val="00892795"/>
    <w:rsid w:val="00892835"/>
    <w:rsid w:val="00893A1B"/>
    <w:rsid w:val="00893C0F"/>
    <w:rsid w:val="0089424F"/>
    <w:rsid w:val="00894780"/>
    <w:rsid w:val="008954E3"/>
    <w:rsid w:val="008958F1"/>
    <w:rsid w:val="008971F2"/>
    <w:rsid w:val="00897A3E"/>
    <w:rsid w:val="00897DC1"/>
    <w:rsid w:val="008A1112"/>
    <w:rsid w:val="008A11E5"/>
    <w:rsid w:val="008A1779"/>
    <w:rsid w:val="008A2205"/>
    <w:rsid w:val="008A24E8"/>
    <w:rsid w:val="008A5B02"/>
    <w:rsid w:val="008A614F"/>
    <w:rsid w:val="008A62D6"/>
    <w:rsid w:val="008A7324"/>
    <w:rsid w:val="008A7937"/>
    <w:rsid w:val="008B0055"/>
    <w:rsid w:val="008B0460"/>
    <w:rsid w:val="008B0624"/>
    <w:rsid w:val="008B0902"/>
    <w:rsid w:val="008B0CCA"/>
    <w:rsid w:val="008B0FEC"/>
    <w:rsid w:val="008B13A5"/>
    <w:rsid w:val="008B13D5"/>
    <w:rsid w:val="008B2F7B"/>
    <w:rsid w:val="008B318B"/>
    <w:rsid w:val="008B361D"/>
    <w:rsid w:val="008B4088"/>
    <w:rsid w:val="008B45A8"/>
    <w:rsid w:val="008B5BE3"/>
    <w:rsid w:val="008B617E"/>
    <w:rsid w:val="008B6A9B"/>
    <w:rsid w:val="008C2781"/>
    <w:rsid w:val="008C404B"/>
    <w:rsid w:val="008C42C9"/>
    <w:rsid w:val="008C5652"/>
    <w:rsid w:val="008C5F24"/>
    <w:rsid w:val="008C62D8"/>
    <w:rsid w:val="008C6E2A"/>
    <w:rsid w:val="008C7691"/>
    <w:rsid w:val="008C7F3F"/>
    <w:rsid w:val="008D0C06"/>
    <w:rsid w:val="008D0D5F"/>
    <w:rsid w:val="008D11CA"/>
    <w:rsid w:val="008D2233"/>
    <w:rsid w:val="008D2A3E"/>
    <w:rsid w:val="008D3D36"/>
    <w:rsid w:val="008D41D7"/>
    <w:rsid w:val="008D4615"/>
    <w:rsid w:val="008D4712"/>
    <w:rsid w:val="008D547A"/>
    <w:rsid w:val="008D558F"/>
    <w:rsid w:val="008D6587"/>
    <w:rsid w:val="008E0055"/>
    <w:rsid w:val="008E08ED"/>
    <w:rsid w:val="008E1A68"/>
    <w:rsid w:val="008E24CF"/>
    <w:rsid w:val="008E2558"/>
    <w:rsid w:val="008E258B"/>
    <w:rsid w:val="008E36AF"/>
    <w:rsid w:val="008E3881"/>
    <w:rsid w:val="008E5A3B"/>
    <w:rsid w:val="008E6172"/>
    <w:rsid w:val="008E69B5"/>
    <w:rsid w:val="008E7A5D"/>
    <w:rsid w:val="008E7F79"/>
    <w:rsid w:val="008F0388"/>
    <w:rsid w:val="008F178B"/>
    <w:rsid w:val="008F1AD3"/>
    <w:rsid w:val="008F224B"/>
    <w:rsid w:val="008F2B1F"/>
    <w:rsid w:val="008F2DE0"/>
    <w:rsid w:val="008F31C7"/>
    <w:rsid w:val="008F4557"/>
    <w:rsid w:val="008F45C4"/>
    <w:rsid w:val="008F5E8E"/>
    <w:rsid w:val="008F6473"/>
    <w:rsid w:val="009000C0"/>
    <w:rsid w:val="00900EEE"/>
    <w:rsid w:val="00901244"/>
    <w:rsid w:val="009016B0"/>
    <w:rsid w:val="00901732"/>
    <w:rsid w:val="00901DF2"/>
    <w:rsid w:val="009021B4"/>
    <w:rsid w:val="0090227F"/>
    <w:rsid w:val="009033C8"/>
    <w:rsid w:val="0090644D"/>
    <w:rsid w:val="00907214"/>
    <w:rsid w:val="009075D8"/>
    <w:rsid w:val="009076F0"/>
    <w:rsid w:val="009078CE"/>
    <w:rsid w:val="00910220"/>
    <w:rsid w:val="009103CC"/>
    <w:rsid w:val="0091139B"/>
    <w:rsid w:val="009131FE"/>
    <w:rsid w:val="00913787"/>
    <w:rsid w:val="00913989"/>
    <w:rsid w:val="00913A95"/>
    <w:rsid w:val="00913C66"/>
    <w:rsid w:val="009141C3"/>
    <w:rsid w:val="00914E65"/>
    <w:rsid w:val="009154D7"/>
    <w:rsid w:val="009158F6"/>
    <w:rsid w:val="009163D0"/>
    <w:rsid w:val="00916674"/>
    <w:rsid w:val="00916EFB"/>
    <w:rsid w:val="00920D3B"/>
    <w:rsid w:val="0092249D"/>
    <w:rsid w:val="009236FE"/>
    <w:rsid w:val="00923C1D"/>
    <w:rsid w:val="00923EE2"/>
    <w:rsid w:val="009242EE"/>
    <w:rsid w:val="00924B79"/>
    <w:rsid w:val="0092509C"/>
    <w:rsid w:val="0092573D"/>
    <w:rsid w:val="009269E5"/>
    <w:rsid w:val="00927A99"/>
    <w:rsid w:val="00930BA9"/>
    <w:rsid w:val="00931340"/>
    <w:rsid w:val="009325C8"/>
    <w:rsid w:val="00935D9C"/>
    <w:rsid w:val="00936D7D"/>
    <w:rsid w:val="009375B4"/>
    <w:rsid w:val="0094055C"/>
    <w:rsid w:val="0094055F"/>
    <w:rsid w:val="00940DEC"/>
    <w:rsid w:val="0094210C"/>
    <w:rsid w:val="009421FD"/>
    <w:rsid w:val="00942957"/>
    <w:rsid w:val="00942A5F"/>
    <w:rsid w:val="00943B75"/>
    <w:rsid w:val="00943FC6"/>
    <w:rsid w:val="00944905"/>
    <w:rsid w:val="00945127"/>
    <w:rsid w:val="00946D83"/>
    <w:rsid w:val="00947A4D"/>
    <w:rsid w:val="00950326"/>
    <w:rsid w:val="009510C1"/>
    <w:rsid w:val="009517B7"/>
    <w:rsid w:val="00951A83"/>
    <w:rsid w:val="00951AA2"/>
    <w:rsid w:val="00951C9E"/>
    <w:rsid w:val="0095339A"/>
    <w:rsid w:val="00953900"/>
    <w:rsid w:val="009539CE"/>
    <w:rsid w:val="009566C1"/>
    <w:rsid w:val="00956A0A"/>
    <w:rsid w:val="00956A82"/>
    <w:rsid w:val="00957090"/>
    <w:rsid w:val="00957EF6"/>
    <w:rsid w:val="00960102"/>
    <w:rsid w:val="009604F3"/>
    <w:rsid w:val="00960C24"/>
    <w:rsid w:val="00962084"/>
    <w:rsid w:val="00962464"/>
    <w:rsid w:val="00962974"/>
    <w:rsid w:val="0096317C"/>
    <w:rsid w:val="0096373D"/>
    <w:rsid w:val="009639F8"/>
    <w:rsid w:val="00963F99"/>
    <w:rsid w:val="009666C5"/>
    <w:rsid w:val="009673D4"/>
    <w:rsid w:val="00967BAE"/>
    <w:rsid w:val="00967EED"/>
    <w:rsid w:val="009702C2"/>
    <w:rsid w:val="00970580"/>
    <w:rsid w:val="009714BA"/>
    <w:rsid w:val="00971C12"/>
    <w:rsid w:val="009729B3"/>
    <w:rsid w:val="00973268"/>
    <w:rsid w:val="009733B4"/>
    <w:rsid w:val="0097399C"/>
    <w:rsid w:val="00973FC2"/>
    <w:rsid w:val="0097441D"/>
    <w:rsid w:val="009754B1"/>
    <w:rsid w:val="009756A5"/>
    <w:rsid w:val="00975998"/>
    <w:rsid w:val="00975BD9"/>
    <w:rsid w:val="009761F0"/>
    <w:rsid w:val="0097661E"/>
    <w:rsid w:val="00980FF2"/>
    <w:rsid w:val="0098161D"/>
    <w:rsid w:val="00981F4E"/>
    <w:rsid w:val="00982B01"/>
    <w:rsid w:val="00982BAE"/>
    <w:rsid w:val="0098357E"/>
    <w:rsid w:val="00984B2C"/>
    <w:rsid w:val="0098554B"/>
    <w:rsid w:val="00985741"/>
    <w:rsid w:val="0098697F"/>
    <w:rsid w:val="00986A33"/>
    <w:rsid w:val="009871CD"/>
    <w:rsid w:val="009906B9"/>
    <w:rsid w:val="009911EB"/>
    <w:rsid w:val="00991256"/>
    <w:rsid w:val="00991482"/>
    <w:rsid w:val="00992341"/>
    <w:rsid w:val="009933C1"/>
    <w:rsid w:val="00993598"/>
    <w:rsid w:val="00994865"/>
    <w:rsid w:val="00995412"/>
    <w:rsid w:val="00995879"/>
    <w:rsid w:val="00996788"/>
    <w:rsid w:val="009977AB"/>
    <w:rsid w:val="009A0561"/>
    <w:rsid w:val="009A0AE6"/>
    <w:rsid w:val="009A0B2E"/>
    <w:rsid w:val="009A2ED0"/>
    <w:rsid w:val="009A3143"/>
    <w:rsid w:val="009A33EA"/>
    <w:rsid w:val="009A3911"/>
    <w:rsid w:val="009A4BC5"/>
    <w:rsid w:val="009A5472"/>
    <w:rsid w:val="009A54FA"/>
    <w:rsid w:val="009A6066"/>
    <w:rsid w:val="009A6477"/>
    <w:rsid w:val="009A6B47"/>
    <w:rsid w:val="009A7BA4"/>
    <w:rsid w:val="009B09C2"/>
    <w:rsid w:val="009B2879"/>
    <w:rsid w:val="009B4D4E"/>
    <w:rsid w:val="009B64A7"/>
    <w:rsid w:val="009B6DB8"/>
    <w:rsid w:val="009B7503"/>
    <w:rsid w:val="009B75C6"/>
    <w:rsid w:val="009C038D"/>
    <w:rsid w:val="009C04B6"/>
    <w:rsid w:val="009C0792"/>
    <w:rsid w:val="009C08C0"/>
    <w:rsid w:val="009C0991"/>
    <w:rsid w:val="009C1895"/>
    <w:rsid w:val="009C5364"/>
    <w:rsid w:val="009C6331"/>
    <w:rsid w:val="009C66A8"/>
    <w:rsid w:val="009C793D"/>
    <w:rsid w:val="009D013A"/>
    <w:rsid w:val="009D0760"/>
    <w:rsid w:val="009D0913"/>
    <w:rsid w:val="009D0A59"/>
    <w:rsid w:val="009D0FFE"/>
    <w:rsid w:val="009D1CD8"/>
    <w:rsid w:val="009D2FA5"/>
    <w:rsid w:val="009D3A98"/>
    <w:rsid w:val="009D3E0E"/>
    <w:rsid w:val="009D4681"/>
    <w:rsid w:val="009D5804"/>
    <w:rsid w:val="009D593D"/>
    <w:rsid w:val="009D5E70"/>
    <w:rsid w:val="009D6693"/>
    <w:rsid w:val="009E1A70"/>
    <w:rsid w:val="009E224A"/>
    <w:rsid w:val="009E2C38"/>
    <w:rsid w:val="009E3F81"/>
    <w:rsid w:val="009E5564"/>
    <w:rsid w:val="009E625D"/>
    <w:rsid w:val="009E62C6"/>
    <w:rsid w:val="009E65B3"/>
    <w:rsid w:val="009E6B21"/>
    <w:rsid w:val="009E78E8"/>
    <w:rsid w:val="009F0BC9"/>
    <w:rsid w:val="009F0D6C"/>
    <w:rsid w:val="009F101B"/>
    <w:rsid w:val="009F11DF"/>
    <w:rsid w:val="009F1948"/>
    <w:rsid w:val="009F461E"/>
    <w:rsid w:val="009F4FCB"/>
    <w:rsid w:val="009F514E"/>
    <w:rsid w:val="009F58C9"/>
    <w:rsid w:val="009F7B75"/>
    <w:rsid w:val="00A00446"/>
    <w:rsid w:val="00A00EF7"/>
    <w:rsid w:val="00A0182E"/>
    <w:rsid w:val="00A01CB0"/>
    <w:rsid w:val="00A03A28"/>
    <w:rsid w:val="00A052FA"/>
    <w:rsid w:val="00A05516"/>
    <w:rsid w:val="00A055AB"/>
    <w:rsid w:val="00A05635"/>
    <w:rsid w:val="00A0692E"/>
    <w:rsid w:val="00A07038"/>
    <w:rsid w:val="00A07704"/>
    <w:rsid w:val="00A10108"/>
    <w:rsid w:val="00A116DF"/>
    <w:rsid w:val="00A13832"/>
    <w:rsid w:val="00A149D9"/>
    <w:rsid w:val="00A14A05"/>
    <w:rsid w:val="00A15A77"/>
    <w:rsid w:val="00A1625B"/>
    <w:rsid w:val="00A167AF"/>
    <w:rsid w:val="00A16C78"/>
    <w:rsid w:val="00A17782"/>
    <w:rsid w:val="00A17B1D"/>
    <w:rsid w:val="00A17F78"/>
    <w:rsid w:val="00A2034E"/>
    <w:rsid w:val="00A20587"/>
    <w:rsid w:val="00A21089"/>
    <w:rsid w:val="00A214AE"/>
    <w:rsid w:val="00A21848"/>
    <w:rsid w:val="00A21D38"/>
    <w:rsid w:val="00A22418"/>
    <w:rsid w:val="00A226CA"/>
    <w:rsid w:val="00A24B80"/>
    <w:rsid w:val="00A25BD6"/>
    <w:rsid w:val="00A25BF2"/>
    <w:rsid w:val="00A265F4"/>
    <w:rsid w:val="00A276BC"/>
    <w:rsid w:val="00A277A9"/>
    <w:rsid w:val="00A27EF3"/>
    <w:rsid w:val="00A27F35"/>
    <w:rsid w:val="00A31204"/>
    <w:rsid w:val="00A32278"/>
    <w:rsid w:val="00A328DF"/>
    <w:rsid w:val="00A32AAC"/>
    <w:rsid w:val="00A330AC"/>
    <w:rsid w:val="00A3462F"/>
    <w:rsid w:val="00A34D20"/>
    <w:rsid w:val="00A34ED8"/>
    <w:rsid w:val="00A356BD"/>
    <w:rsid w:val="00A360FE"/>
    <w:rsid w:val="00A37C0B"/>
    <w:rsid w:val="00A37D41"/>
    <w:rsid w:val="00A405F0"/>
    <w:rsid w:val="00A41477"/>
    <w:rsid w:val="00A41CF8"/>
    <w:rsid w:val="00A41E69"/>
    <w:rsid w:val="00A4210B"/>
    <w:rsid w:val="00A431FC"/>
    <w:rsid w:val="00A4454B"/>
    <w:rsid w:val="00A44EE6"/>
    <w:rsid w:val="00A455C4"/>
    <w:rsid w:val="00A46080"/>
    <w:rsid w:val="00A46BA1"/>
    <w:rsid w:val="00A46C18"/>
    <w:rsid w:val="00A51340"/>
    <w:rsid w:val="00A52C8D"/>
    <w:rsid w:val="00A53373"/>
    <w:rsid w:val="00A54161"/>
    <w:rsid w:val="00A54DC8"/>
    <w:rsid w:val="00A55295"/>
    <w:rsid w:val="00A55D35"/>
    <w:rsid w:val="00A55F5D"/>
    <w:rsid w:val="00A56460"/>
    <w:rsid w:val="00A5676D"/>
    <w:rsid w:val="00A56F4F"/>
    <w:rsid w:val="00A57228"/>
    <w:rsid w:val="00A57C53"/>
    <w:rsid w:val="00A57E0A"/>
    <w:rsid w:val="00A6125A"/>
    <w:rsid w:val="00A612CF"/>
    <w:rsid w:val="00A626B5"/>
    <w:rsid w:val="00A63301"/>
    <w:rsid w:val="00A6456D"/>
    <w:rsid w:val="00A64BB5"/>
    <w:rsid w:val="00A657A3"/>
    <w:rsid w:val="00A672ED"/>
    <w:rsid w:val="00A675FB"/>
    <w:rsid w:val="00A67A82"/>
    <w:rsid w:val="00A705FD"/>
    <w:rsid w:val="00A70A98"/>
    <w:rsid w:val="00A71D51"/>
    <w:rsid w:val="00A727CD"/>
    <w:rsid w:val="00A732F9"/>
    <w:rsid w:val="00A75701"/>
    <w:rsid w:val="00A75AE5"/>
    <w:rsid w:val="00A763B9"/>
    <w:rsid w:val="00A7740E"/>
    <w:rsid w:val="00A8039F"/>
    <w:rsid w:val="00A807CA"/>
    <w:rsid w:val="00A81AAA"/>
    <w:rsid w:val="00A82894"/>
    <w:rsid w:val="00A83A79"/>
    <w:rsid w:val="00A846F0"/>
    <w:rsid w:val="00A84FF5"/>
    <w:rsid w:val="00A8609B"/>
    <w:rsid w:val="00A86534"/>
    <w:rsid w:val="00A8756C"/>
    <w:rsid w:val="00A8757C"/>
    <w:rsid w:val="00A8770F"/>
    <w:rsid w:val="00A8773C"/>
    <w:rsid w:val="00A90395"/>
    <w:rsid w:val="00A91ADC"/>
    <w:rsid w:val="00A925EF"/>
    <w:rsid w:val="00A929D4"/>
    <w:rsid w:val="00A93088"/>
    <w:rsid w:val="00A947A4"/>
    <w:rsid w:val="00A94993"/>
    <w:rsid w:val="00A94B9B"/>
    <w:rsid w:val="00A96CBA"/>
    <w:rsid w:val="00AA141D"/>
    <w:rsid w:val="00AA14A0"/>
    <w:rsid w:val="00AA14BF"/>
    <w:rsid w:val="00AA23C1"/>
    <w:rsid w:val="00AA2696"/>
    <w:rsid w:val="00AA39DB"/>
    <w:rsid w:val="00AA6D7D"/>
    <w:rsid w:val="00AA7B46"/>
    <w:rsid w:val="00AA7B62"/>
    <w:rsid w:val="00AA7EC9"/>
    <w:rsid w:val="00AB02D4"/>
    <w:rsid w:val="00AB10A7"/>
    <w:rsid w:val="00AB1F44"/>
    <w:rsid w:val="00AB24C0"/>
    <w:rsid w:val="00AB3167"/>
    <w:rsid w:val="00AB4CD2"/>
    <w:rsid w:val="00AB54DC"/>
    <w:rsid w:val="00AB5BC4"/>
    <w:rsid w:val="00AB6C6D"/>
    <w:rsid w:val="00AB6DDC"/>
    <w:rsid w:val="00AC213B"/>
    <w:rsid w:val="00AC2B31"/>
    <w:rsid w:val="00AC318F"/>
    <w:rsid w:val="00AC3724"/>
    <w:rsid w:val="00AC3EAD"/>
    <w:rsid w:val="00AC50C2"/>
    <w:rsid w:val="00AC5BC7"/>
    <w:rsid w:val="00AC6FB0"/>
    <w:rsid w:val="00AC7B0C"/>
    <w:rsid w:val="00AC7D22"/>
    <w:rsid w:val="00AC7E55"/>
    <w:rsid w:val="00AD0952"/>
    <w:rsid w:val="00AD0A78"/>
    <w:rsid w:val="00AD13FD"/>
    <w:rsid w:val="00AD1547"/>
    <w:rsid w:val="00AD18D9"/>
    <w:rsid w:val="00AD1FC5"/>
    <w:rsid w:val="00AD383E"/>
    <w:rsid w:val="00AD4269"/>
    <w:rsid w:val="00AD490A"/>
    <w:rsid w:val="00AD5A11"/>
    <w:rsid w:val="00AD6F1D"/>
    <w:rsid w:val="00AD7113"/>
    <w:rsid w:val="00AE0C80"/>
    <w:rsid w:val="00AE2CC7"/>
    <w:rsid w:val="00AE362A"/>
    <w:rsid w:val="00AE3855"/>
    <w:rsid w:val="00AE39A2"/>
    <w:rsid w:val="00AE4179"/>
    <w:rsid w:val="00AE5103"/>
    <w:rsid w:val="00AE557A"/>
    <w:rsid w:val="00AE57C5"/>
    <w:rsid w:val="00AE5B39"/>
    <w:rsid w:val="00AE6015"/>
    <w:rsid w:val="00AE60FC"/>
    <w:rsid w:val="00AF194D"/>
    <w:rsid w:val="00AF28A4"/>
    <w:rsid w:val="00AF3182"/>
    <w:rsid w:val="00AF3C40"/>
    <w:rsid w:val="00AF3CD3"/>
    <w:rsid w:val="00AF4922"/>
    <w:rsid w:val="00AF7519"/>
    <w:rsid w:val="00B001C2"/>
    <w:rsid w:val="00B00F60"/>
    <w:rsid w:val="00B01E95"/>
    <w:rsid w:val="00B0414B"/>
    <w:rsid w:val="00B04549"/>
    <w:rsid w:val="00B04E14"/>
    <w:rsid w:val="00B0514D"/>
    <w:rsid w:val="00B0599E"/>
    <w:rsid w:val="00B06327"/>
    <w:rsid w:val="00B06C86"/>
    <w:rsid w:val="00B0724E"/>
    <w:rsid w:val="00B103EF"/>
    <w:rsid w:val="00B104C4"/>
    <w:rsid w:val="00B11955"/>
    <w:rsid w:val="00B13754"/>
    <w:rsid w:val="00B1429D"/>
    <w:rsid w:val="00B144EF"/>
    <w:rsid w:val="00B14B13"/>
    <w:rsid w:val="00B15673"/>
    <w:rsid w:val="00B16E56"/>
    <w:rsid w:val="00B17169"/>
    <w:rsid w:val="00B17A0D"/>
    <w:rsid w:val="00B204D6"/>
    <w:rsid w:val="00B22255"/>
    <w:rsid w:val="00B223C8"/>
    <w:rsid w:val="00B23131"/>
    <w:rsid w:val="00B23D53"/>
    <w:rsid w:val="00B241EC"/>
    <w:rsid w:val="00B24B1C"/>
    <w:rsid w:val="00B25576"/>
    <w:rsid w:val="00B2627F"/>
    <w:rsid w:val="00B27E19"/>
    <w:rsid w:val="00B27E32"/>
    <w:rsid w:val="00B30100"/>
    <w:rsid w:val="00B303A0"/>
    <w:rsid w:val="00B30977"/>
    <w:rsid w:val="00B30F8A"/>
    <w:rsid w:val="00B3136B"/>
    <w:rsid w:val="00B3146C"/>
    <w:rsid w:val="00B32F1A"/>
    <w:rsid w:val="00B353DB"/>
    <w:rsid w:val="00B357F6"/>
    <w:rsid w:val="00B364E4"/>
    <w:rsid w:val="00B364F7"/>
    <w:rsid w:val="00B37F7D"/>
    <w:rsid w:val="00B40C10"/>
    <w:rsid w:val="00B416DC"/>
    <w:rsid w:val="00B41741"/>
    <w:rsid w:val="00B4455D"/>
    <w:rsid w:val="00B44EEE"/>
    <w:rsid w:val="00B45DD5"/>
    <w:rsid w:val="00B46E9C"/>
    <w:rsid w:val="00B475AF"/>
    <w:rsid w:val="00B477B5"/>
    <w:rsid w:val="00B47848"/>
    <w:rsid w:val="00B50467"/>
    <w:rsid w:val="00B50920"/>
    <w:rsid w:val="00B51F38"/>
    <w:rsid w:val="00B52345"/>
    <w:rsid w:val="00B52A75"/>
    <w:rsid w:val="00B52ABC"/>
    <w:rsid w:val="00B54008"/>
    <w:rsid w:val="00B54CF4"/>
    <w:rsid w:val="00B54E78"/>
    <w:rsid w:val="00B5630A"/>
    <w:rsid w:val="00B5773A"/>
    <w:rsid w:val="00B6051D"/>
    <w:rsid w:val="00B617A3"/>
    <w:rsid w:val="00B61AFE"/>
    <w:rsid w:val="00B61EAF"/>
    <w:rsid w:val="00B61FFE"/>
    <w:rsid w:val="00B62747"/>
    <w:rsid w:val="00B62B6C"/>
    <w:rsid w:val="00B62D3E"/>
    <w:rsid w:val="00B634F7"/>
    <w:rsid w:val="00B63C33"/>
    <w:rsid w:val="00B63D28"/>
    <w:rsid w:val="00B63D35"/>
    <w:rsid w:val="00B63FDA"/>
    <w:rsid w:val="00B64637"/>
    <w:rsid w:val="00B64B9E"/>
    <w:rsid w:val="00B65299"/>
    <w:rsid w:val="00B654E7"/>
    <w:rsid w:val="00B657B1"/>
    <w:rsid w:val="00B67519"/>
    <w:rsid w:val="00B7054A"/>
    <w:rsid w:val="00B70CFB"/>
    <w:rsid w:val="00B71185"/>
    <w:rsid w:val="00B71610"/>
    <w:rsid w:val="00B725F8"/>
    <w:rsid w:val="00B728CD"/>
    <w:rsid w:val="00B736E3"/>
    <w:rsid w:val="00B73C87"/>
    <w:rsid w:val="00B73F91"/>
    <w:rsid w:val="00B749D9"/>
    <w:rsid w:val="00B74ECD"/>
    <w:rsid w:val="00B75184"/>
    <w:rsid w:val="00B76449"/>
    <w:rsid w:val="00B767CC"/>
    <w:rsid w:val="00B76D5E"/>
    <w:rsid w:val="00B77036"/>
    <w:rsid w:val="00B772D7"/>
    <w:rsid w:val="00B77754"/>
    <w:rsid w:val="00B80ACF"/>
    <w:rsid w:val="00B80F7B"/>
    <w:rsid w:val="00B813D5"/>
    <w:rsid w:val="00B8144C"/>
    <w:rsid w:val="00B81805"/>
    <w:rsid w:val="00B81D5D"/>
    <w:rsid w:val="00B822E3"/>
    <w:rsid w:val="00B826B2"/>
    <w:rsid w:val="00B83143"/>
    <w:rsid w:val="00B834E5"/>
    <w:rsid w:val="00B854AC"/>
    <w:rsid w:val="00B86BA6"/>
    <w:rsid w:val="00B87685"/>
    <w:rsid w:val="00B90CEF"/>
    <w:rsid w:val="00B919ED"/>
    <w:rsid w:val="00B93D12"/>
    <w:rsid w:val="00B94F10"/>
    <w:rsid w:val="00B952C6"/>
    <w:rsid w:val="00B956BA"/>
    <w:rsid w:val="00B96626"/>
    <w:rsid w:val="00B9797E"/>
    <w:rsid w:val="00B97B5D"/>
    <w:rsid w:val="00BA0B57"/>
    <w:rsid w:val="00BA367A"/>
    <w:rsid w:val="00BA44AF"/>
    <w:rsid w:val="00BA4759"/>
    <w:rsid w:val="00BA53E0"/>
    <w:rsid w:val="00BA5A30"/>
    <w:rsid w:val="00BA72E3"/>
    <w:rsid w:val="00BA7BBB"/>
    <w:rsid w:val="00BB2A81"/>
    <w:rsid w:val="00BB2DC4"/>
    <w:rsid w:val="00BB303F"/>
    <w:rsid w:val="00BB3D00"/>
    <w:rsid w:val="00BB4144"/>
    <w:rsid w:val="00BB5FA0"/>
    <w:rsid w:val="00BB6BB6"/>
    <w:rsid w:val="00BC0D2F"/>
    <w:rsid w:val="00BC1124"/>
    <w:rsid w:val="00BC1169"/>
    <w:rsid w:val="00BC1903"/>
    <w:rsid w:val="00BC46BF"/>
    <w:rsid w:val="00BC4BAB"/>
    <w:rsid w:val="00BC4F8E"/>
    <w:rsid w:val="00BC559A"/>
    <w:rsid w:val="00BC57E5"/>
    <w:rsid w:val="00BC581A"/>
    <w:rsid w:val="00BC5E69"/>
    <w:rsid w:val="00BC77CC"/>
    <w:rsid w:val="00BC7F25"/>
    <w:rsid w:val="00BD0007"/>
    <w:rsid w:val="00BD092E"/>
    <w:rsid w:val="00BD17A3"/>
    <w:rsid w:val="00BD2497"/>
    <w:rsid w:val="00BD33E8"/>
    <w:rsid w:val="00BD3612"/>
    <w:rsid w:val="00BD67AB"/>
    <w:rsid w:val="00BD6B32"/>
    <w:rsid w:val="00BD7132"/>
    <w:rsid w:val="00BD755B"/>
    <w:rsid w:val="00BD76D1"/>
    <w:rsid w:val="00BD793F"/>
    <w:rsid w:val="00BD7A77"/>
    <w:rsid w:val="00BD7DF0"/>
    <w:rsid w:val="00BE0D01"/>
    <w:rsid w:val="00BE1302"/>
    <w:rsid w:val="00BE1CDD"/>
    <w:rsid w:val="00BE214A"/>
    <w:rsid w:val="00BE2C57"/>
    <w:rsid w:val="00BE3E6F"/>
    <w:rsid w:val="00BE4672"/>
    <w:rsid w:val="00BE4CE6"/>
    <w:rsid w:val="00BE56BD"/>
    <w:rsid w:val="00BE5784"/>
    <w:rsid w:val="00BE597A"/>
    <w:rsid w:val="00BE5BCE"/>
    <w:rsid w:val="00BE624E"/>
    <w:rsid w:val="00BE759A"/>
    <w:rsid w:val="00BE7975"/>
    <w:rsid w:val="00BF0035"/>
    <w:rsid w:val="00BF231E"/>
    <w:rsid w:val="00BF2E86"/>
    <w:rsid w:val="00BF33F9"/>
    <w:rsid w:val="00BF381D"/>
    <w:rsid w:val="00BF3B86"/>
    <w:rsid w:val="00BF55B3"/>
    <w:rsid w:val="00BF5860"/>
    <w:rsid w:val="00BF58B6"/>
    <w:rsid w:val="00BF5B45"/>
    <w:rsid w:val="00BF60D3"/>
    <w:rsid w:val="00BF636E"/>
    <w:rsid w:val="00BF75F8"/>
    <w:rsid w:val="00C01E5C"/>
    <w:rsid w:val="00C0214F"/>
    <w:rsid w:val="00C030E5"/>
    <w:rsid w:val="00C04007"/>
    <w:rsid w:val="00C0647D"/>
    <w:rsid w:val="00C06AFD"/>
    <w:rsid w:val="00C1100D"/>
    <w:rsid w:val="00C1146B"/>
    <w:rsid w:val="00C11D63"/>
    <w:rsid w:val="00C1248C"/>
    <w:rsid w:val="00C12B94"/>
    <w:rsid w:val="00C134ED"/>
    <w:rsid w:val="00C13EE6"/>
    <w:rsid w:val="00C17252"/>
    <w:rsid w:val="00C20744"/>
    <w:rsid w:val="00C21065"/>
    <w:rsid w:val="00C2235B"/>
    <w:rsid w:val="00C22F25"/>
    <w:rsid w:val="00C239D3"/>
    <w:rsid w:val="00C23AC5"/>
    <w:rsid w:val="00C240BF"/>
    <w:rsid w:val="00C25609"/>
    <w:rsid w:val="00C2645D"/>
    <w:rsid w:val="00C26A6C"/>
    <w:rsid w:val="00C26A71"/>
    <w:rsid w:val="00C302EE"/>
    <w:rsid w:val="00C30F41"/>
    <w:rsid w:val="00C31786"/>
    <w:rsid w:val="00C32318"/>
    <w:rsid w:val="00C34913"/>
    <w:rsid w:val="00C364B4"/>
    <w:rsid w:val="00C36A5F"/>
    <w:rsid w:val="00C36FE4"/>
    <w:rsid w:val="00C376C5"/>
    <w:rsid w:val="00C410FE"/>
    <w:rsid w:val="00C4139C"/>
    <w:rsid w:val="00C41BD3"/>
    <w:rsid w:val="00C41DF3"/>
    <w:rsid w:val="00C42399"/>
    <w:rsid w:val="00C42C1C"/>
    <w:rsid w:val="00C44562"/>
    <w:rsid w:val="00C45655"/>
    <w:rsid w:val="00C45929"/>
    <w:rsid w:val="00C45A50"/>
    <w:rsid w:val="00C4634A"/>
    <w:rsid w:val="00C47043"/>
    <w:rsid w:val="00C4730A"/>
    <w:rsid w:val="00C506BC"/>
    <w:rsid w:val="00C50B07"/>
    <w:rsid w:val="00C50C2C"/>
    <w:rsid w:val="00C519B2"/>
    <w:rsid w:val="00C51D6F"/>
    <w:rsid w:val="00C523C9"/>
    <w:rsid w:val="00C531FB"/>
    <w:rsid w:val="00C5348A"/>
    <w:rsid w:val="00C5351D"/>
    <w:rsid w:val="00C53895"/>
    <w:rsid w:val="00C54B3D"/>
    <w:rsid w:val="00C55377"/>
    <w:rsid w:val="00C56844"/>
    <w:rsid w:val="00C575E7"/>
    <w:rsid w:val="00C57B51"/>
    <w:rsid w:val="00C57D57"/>
    <w:rsid w:val="00C605DA"/>
    <w:rsid w:val="00C6221B"/>
    <w:rsid w:val="00C63F0C"/>
    <w:rsid w:val="00C64E2D"/>
    <w:rsid w:val="00C656C8"/>
    <w:rsid w:val="00C667A7"/>
    <w:rsid w:val="00C67637"/>
    <w:rsid w:val="00C67FFB"/>
    <w:rsid w:val="00C700C4"/>
    <w:rsid w:val="00C70A5B"/>
    <w:rsid w:val="00C70C5C"/>
    <w:rsid w:val="00C70DAA"/>
    <w:rsid w:val="00C7132C"/>
    <w:rsid w:val="00C716D8"/>
    <w:rsid w:val="00C717C3"/>
    <w:rsid w:val="00C72AB8"/>
    <w:rsid w:val="00C72AEF"/>
    <w:rsid w:val="00C73014"/>
    <w:rsid w:val="00C736A0"/>
    <w:rsid w:val="00C739B8"/>
    <w:rsid w:val="00C73EE8"/>
    <w:rsid w:val="00C748DD"/>
    <w:rsid w:val="00C75599"/>
    <w:rsid w:val="00C7575B"/>
    <w:rsid w:val="00C75CFF"/>
    <w:rsid w:val="00C764DC"/>
    <w:rsid w:val="00C77544"/>
    <w:rsid w:val="00C77A34"/>
    <w:rsid w:val="00C77B14"/>
    <w:rsid w:val="00C77B69"/>
    <w:rsid w:val="00C800C6"/>
    <w:rsid w:val="00C80A30"/>
    <w:rsid w:val="00C81CAF"/>
    <w:rsid w:val="00C82B1B"/>
    <w:rsid w:val="00C834E6"/>
    <w:rsid w:val="00C84295"/>
    <w:rsid w:val="00C8578F"/>
    <w:rsid w:val="00C9050D"/>
    <w:rsid w:val="00C91D53"/>
    <w:rsid w:val="00C9352F"/>
    <w:rsid w:val="00C94720"/>
    <w:rsid w:val="00C94B74"/>
    <w:rsid w:val="00C94CC2"/>
    <w:rsid w:val="00C95317"/>
    <w:rsid w:val="00C9594A"/>
    <w:rsid w:val="00C96589"/>
    <w:rsid w:val="00C973CB"/>
    <w:rsid w:val="00C97593"/>
    <w:rsid w:val="00C97D55"/>
    <w:rsid w:val="00CA00B0"/>
    <w:rsid w:val="00CA0258"/>
    <w:rsid w:val="00CA07EE"/>
    <w:rsid w:val="00CA28B3"/>
    <w:rsid w:val="00CA2C78"/>
    <w:rsid w:val="00CA30D5"/>
    <w:rsid w:val="00CA3D00"/>
    <w:rsid w:val="00CA3F07"/>
    <w:rsid w:val="00CA47C9"/>
    <w:rsid w:val="00CA4C8B"/>
    <w:rsid w:val="00CA5CD1"/>
    <w:rsid w:val="00CA61B6"/>
    <w:rsid w:val="00CA6346"/>
    <w:rsid w:val="00CA65C6"/>
    <w:rsid w:val="00CA7944"/>
    <w:rsid w:val="00CB0128"/>
    <w:rsid w:val="00CB097B"/>
    <w:rsid w:val="00CB1525"/>
    <w:rsid w:val="00CB1F4F"/>
    <w:rsid w:val="00CB2254"/>
    <w:rsid w:val="00CB2AD4"/>
    <w:rsid w:val="00CB3E47"/>
    <w:rsid w:val="00CB4AAE"/>
    <w:rsid w:val="00CB59E1"/>
    <w:rsid w:val="00CB5AB8"/>
    <w:rsid w:val="00CB5E6F"/>
    <w:rsid w:val="00CB6674"/>
    <w:rsid w:val="00CB6AD1"/>
    <w:rsid w:val="00CC0711"/>
    <w:rsid w:val="00CC15D6"/>
    <w:rsid w:val="00CC15FA"/>
    <w:rsid w:val="00CC1977"/>
    <w:rsid w:val="00CC27D6"/>
    <w:rsid w:val="00CC2F04"/>
    <w:rsid w:val="00CC379C"/>
    <w:rsid w:val="00CC46CD"/>
    <w:rsid w:val="00CD018E"/>
    <w:rsid w:val="00CD08EA"/>
    <w:rsid w:val="00CD179D"/>
    <w:rsid w:val="00CD275B"/>
    <w:rsid w:val="00CD34C2"/>
    <w:rsid w:val="00CD37E8"/>
    <w:rsid w:val="00CD3B37"/>
    <w:rsid w:val="00CD3E7C"/>
    <w:rsid w:val="00CD4764"/>
    <w:rsid w:val="00CD5D2C"/>
    <w:rsid w:val="00CD64C1"/>
    <w:rsid w:val="00CD6540"/>
    <w:rsid w:val="00CD6814"/>
    <w:rsid w:val="00CD6E41"/>
    <w:rsid w:val="00CD6E63"/>
    <w:rsid w:val="00CE0DF6"/>
    <w:rsid w:val="00CE0F8E"/>
    <w:rsid w:val="00CE1817"/>
    <w:rsid w:val="00CE1F84"/>
    <w:rsid w:val="00CE3CA8"/>
    <w:rsid w:val="00CE3F36"/>
    <w:rsid w:val="00CE41B0"/>
    <w:rsid w:val="00CE550C"/>
    <w:rsid w:val="00CE5B72"/>
    <w:rsid w:val="00CE64A3"/>
    <w:rsid w:val="00CE6FF2"/>
    <w:rsid w:val="00CE72D9"/>
    <w:rsid w:val="00CE76AB"/>
    <w:rsid w:val="00CF0559"/>
    <w:rsid w:val="00CF09CD"/>
    <w:rsid w:val="00CF1F1F"/>
    <w:rsid w:val="00CF2830"/>
    <w:rsid w:val="00CF28A1"/>
    <w:rsid w:val="00CF2E43"/>
    <w:rsid w:val="00CF35F3"/>
    <w:rsid w:val="00CF3DCB"/>
    <w:rsid w:val="00CF46BA"/>
    <w:rsid w:val="00CF47FC"/>
    <w:rsid w:val="00CF5695"/>
    <w:rsid w:val="00CF5802"/>
    <w:rsid w:val="00CF773C"/>
    <w:rsid w:val="00D00455"/>
    <w:rsid w:val="00D01801"/>
    <w:rsid w:val="00D01846"/>
    <w:rsid w:val="00D02C06"/>
    <w:rsid w:val="00D02C07"/>
    <w:rsid w:val="00D02D65"/>
    <w:rsid w:val="00D03828"/>
    <w:rsid w:val="00D03D57"/>
    <w:rsid w:val="00D046C1"/>
    <w:rsid w:val="00D049B9"/>
    <w:rsid w:val="00D04E22"/>
    <w:rsid w:val="00D06290"/>
    <w:rsid w:val="00D069C7"/>
    <w:rsid w:val="00D105B9"/>
    <w:rsid w:val="00D107C5"/>
    <w:rsid w:val="00D10C44"/>
    <w:rsid w:val="00D10C95"/>
    <w:rsid w:val="00D11C78"/>
    <w:rsid w:val="00D11E48"/>
    <w:rsid w:val="00D12479"/>
    <w:rsid w:val="00D13851"/>
    <w:rsid w:val="00D14493"/>
    <w:rsid w:val="00D145DF"/>
    <w:rsid w:val="00D148DC"/>
    <w:rsid w:val="00D14BE5"/>
    <w:rsid w:val="00D14D17"/>
    <w:rsid w:val="00D15261"/>
    <w:rsid w:val="00D152FB"/>
    <w:rsid w:val="00D16F50"/>
    <w:rsid w:val="00D204EA"/>
    <w:rsid w:val="00D21542"/>
    <w:rsid w:val="00D2169F"/>
    <w:rsid w:val="00D21717"/>
    <w:rsid w:val="00D22D30"/>
    <w:rsid w:val="00D233B2"/>
    <w:rsid w:val="00D23EA2"/>
    <w:rsid w:val="00D249CB"/>
    <w:rsid w:val="00D2616D"/>
    <w:rsid w:val="00D26235"/>
    <w:rsid w:val="00D276F9"/>
    <w:rsid w:val="00D302E1"/>
    <w:rsid w:val="00D317F3"/>
    <w:rsid w:val="00D31924"/>
    <w:rsid w:val="00D31B75"/>
    <w:rsid w:val="00D31C7C"/>
    <w:rsid w:val="00D31F94"/>
    <w:rsid w:val="00D32BBE"/>
    <w:rsid w:val="00D3331D"/>
    <w:rsid w:val="00D3344E"/>
    <w:rsid w:val="00D337EB"/>
    <w:rsid w:val="00D338B7"/>
    <w:rsid w:val="00D33DDF"/>
    <w:rsid w:val="00D37816"/>
    <w:rsid w:val="00D40753"/>
    <w:rsid w:val="00D40CE6"/>
    <w:rsid w:val="00D42551"/>
    <w:rsid w:val="00D42E05"/>
    <w:rsid w:val="00D43345"/>
    <w:rsid w:val="00D43568"/>
    <w:rsid w:val="00D43B2B"/>
    <w:rsid w:val="00D44EE5"/>
    <w:rsid w:val="00D4529E"/>
    <w:rsid w:val="00D4549C"/>
    <w:rsid w:val="00D45889"/>
    <w:rsid w:val="00D45EF1"/>
    <w:rsid w:val="00D46E36"/>
    <w:rsid w:val="00D47C1F"/>
    <w:rsid w:val="00D47EF9"/>
    <w:rsid w:val="00D508F6"/>
    <w:rsid w:val="00D50EAA"/>
    <w:rsid w:val="00D50FB2"/>
    <w:rsid w:val="00D5135E"/>
    <w:rsid w:val="00D5137B"/>
    <w:rsid w:val="00D519B9"/>
    <w:rsid w:val="00D522E3"/>
    <w:rsid w:val="00D526F1"/>
    <w:rsid w:val="00D529C3"/>
    <w:rsid w:val="00D52F78"/>
    <w:rsid w:val="00D5316E"/>
    <w:rsid w:val="00D53314"/>
    <w:rsid w:val="00D53482"/>
    <w:rsid w:val="00D53868"/>
    <w:rsid w:val="00D5410E"/>
    <w:rsid w:val="00D5480D"/>
    <w:rsid w:val="00D561C4"/>
    <w:rsid w:val="00D5715E"/>
    <w:rsid w:val="00D573F3"/>
    <w:rsid w:val="00D57B59"/>
    <w:rsid w:val="00D57E9B"/>
    <w:rsid w:val="00D606D1"/>
    <w:rsid w:val="00D60AB7"/>
    <w:rsid w:val="00D64ECD"/>
    <w:rsid w:val="00D66579"/>
    <w:rsid w:val="00D66848"/>
    <w:rsid w:val="00D675D5"/>
    <w:rsid w:val="00D676D3"/>
    <w:rsid w:val="00D67BFE"/>
    <w:rsid w:val="00D70042"/>
    <w:rsid w:val="00D706B5"/>
    <w:rsid w:val="00D70884"/>
    <w:rsid w:val="00D70B31"/>
    <w:rsid w:val="00D71A8A"/>
    <w:rsid w:val="00D734AA"/>
    <w:rsid w:val="00D73539"/>
    <w:rsid w:val="00D738E7"/>
    <w:rsid w:val="00D73A4C"/>
    <w:rsid w:val="00D74455"/>
    <w:rsid w:val="00D746BD"/>
    <w:rsid w:val="00D74E12"/>
    <w:rsid w:val="00D7774B"/>
    <w:rsid w:val="00D8007C"/>
    <w:rsid w:val="00D815A0"/>
    <w:rsid w:val="00D818FF"/>
    <w:rsid w:val="00D81927"/>
    <w:rsid w:val="00D82D2B"/>
    <w:rsid w:val="00D82F86"/>
    <w:rsid w:val="00D848D7"/>
    <w:rsid w:val="00D84BC4"/>
    <w:rsid w:val="00D85450"/>
    <w:rsid w:val="00D85616"/>
    <w:rsid w:val="00D856B4"/>
    <w:rsid w:val="00D85F0B"/>
    <w:rsid w:val="00D865AC"/>
    <w:rsid w:val="00D87E3D"/>
    <w:rsid w:val="00D90125"/>
    <w:rsid w:val="00D907C6"/>
    <w:rsid w:val="00D90E03"/>
    <w:rsid w:val="00D91052"/>
    <w:rsid w:val="00D9152B"/>
    <w:rsid w:val="00D92FAD"/>
    <w:rsid w:val="00D93132"/>
    <w:rsid w:val="00D933A2"/>
    <w:rsid w:val="00D94621"/>
    <w:rsid w:val="00D94732"/>
    <w:rsid w:val="00D94968"/>
    <w:rsid w:val="00D94A52"/>
    <w:rsid w:val="00D94C46"/>
    <w:rsid w:val="00D94F7E"/>
    <w:rsid w:val="00D95132"/>
    <w:rsid w:val="00D95774"/>
    <w:rsid w:val="00D9640A"/>
    <w:rsid w:val="00D96F72"/>
    <w:rsid w:val="00D974F5"/>
    <w:rsid w:val="00DA0FDA"/>
    <w:rsid w:val="00DA119F"/>
    <w:rsid w:val="00DA1391"/>
    <w:rsid w:val="00DA1F09"/>
    <w:rsid w:val="00DA20DD"/>
    <w:rsid w:val="00DA31D2"/>
    <w:rsid w:val="00DA420A"/>
    <w:rsid w:val="00DA632E"/>
    <w:rsid w:val="00DA6552"/>
    <w:rsid w:val="00DA7CA1"/>
    <w:rsid w:val="00DA7CB6"/>
    <w:rsid w:val="00DB00CD"/>
    <w:rsid w:val="00DB0B55"/>
    <w:rsid w:val="00DB1234"/>
    <w:rsid w:val="00DB13C9"/>
    <w:rsid w:val="00DB17BA"/>
    <w:rsid w:val="00DB235E"/>
    <w:rsid w:val="00DB3E1F"/>
    <w:rsid w:val="00DB4344"/>
    <w:rsid w:val="00DB46F3"/>
    <w:rsid w:val="00DB4955"/>
    <w:rsid w:val="00DB4DC5"/>
    <w:rsid w:val="00DB626F"/>
    <w:rsid w:val="00DB6DD3"/>
    <w:rsid w:val="00DB70B6"/>
    <w:rsid w:val="00DB744F"/>
    <w:rsid w:val="00DB74FD"/>
    <w:rsid w:val="00DC068D"/>
    <w:rsid w:val="00DC088A"/>
    <w:rsid w:val="00DC08A0"/>
    <w:rsid w:val="00DC114F"/>
    <w:rsid w:val="00DC188E"/>
    <w:rsid w:val="00DC1EA3"/>
    <w:rsid w:val="00DC2448"/>
    <w:rsid w:val="00DC26A7"/>
    <w:rsid w:val="00DC29B9"/>
    <w:rsid w:val="00DC33A4"/>
    <w:rsid w:val="00DC3996"/>
    <w:rsid w:val="00DC3BF8"/>
    <w:rsid w:val="00DC41CB"/>
    <w:rsid w:val="00DC67C5"/>
    <w:rsid w:val="00DC6F5F"/>
    <w:rsid w:val="00DC75F1"/>
    <w:rsid w:val="00DD041F"/>
    <w:rsid w:val="00DD1429"/>
    <w:rsid w:val="00DD14A4"/>
    <w:rsid w:val="00DD1760"/>
    <w:rsid w:val="00DD225D"/>
    <w:rsid w:val="00DD2A02"/>
    <w:rsid w:val="00DD307A"/>
    <w:rsid w:val="00DD499D"/>
    <w:rsid w:val="00DD5B7C"/>
    <w:rsid w:val="00DD6924"/>
    <w:rsid w:val="00DD6D03"/>
    <w:rsid w:val="00DE005A"/>
    <w:rsid w:val="00DE0195"/>
    <w:rsid w:val="00DE207D"/>
    <w:rsid w:val="00DE2084"/>
    <w:rsid w:val="00DE2467"/>
    <w:rsid w:val="00DE299D"/>
    <w:rsid w:val="00DE2ADF"/>
    <w:rsid w:val="00DE2B9E"/>
    <w:rsid w:val="00DE31A8"/>
    <w:rsid w:val="00DE413A"/>
    <w:rsid w:val="00DE47C5"/>
    <w:rsid w:val="00DE4C9B"/>
    <w:rsid w:val="00DE567B"/>
    <w:rsid w:val="00DE5927"/>
    <w:rsid w:val="00DE609B"/>
    <w:rsid w:val="00DE6199"/>
    <w:rsid w:val="00DE61BD"/>
    <w:rsid w:val="00DE6329"/>
    <w:rsid w:val="00DE71DA"/>
    <w:rsid w:val="00DE754D"/>
    <w:rsid w:val="00DE765A"/>
    <w:rsid w:val="00DE769D"/>
    <w:rsid w:val="00DE7D8B"/>
    <w:rsid w:val="00DF0C35"/>
    <w:rsid w:val="00DF0F83"/>
    <w:rsid w:val="00DF17CC"/>
    <w:rsid w:val="00DF314A"/>
    <w:rsid w:val="00DF4DCF"/>
    <w:rsid w:val="00DF5389"/>
    <w:rsid w:val="00DF5426"/>
    <w:rsid w:val="00DF5A87"/>
    <w:rsid w:val="00DF5C70"/>
    <w:rsid w:val="00DF5F04"/>
    <w:rsid w:val="00DF661A"/>
    <w:rsid w:val="00DF6ED9"/>
    <w:rsid w:val="00DF7FA9"/>
    <w:rsid w:val="00E00409"/>
    <w:rsid w:val="00E019C3"/>
    <w:rsid w:val="00E01B0C"/>
    <w:rsid w:val="00E01EE7"/>
    <w:rsid w:val="00E02ED0"/>
    <w:rsid w:val="00E03AEE"/>
    <w:rsid w:val="00E03D99"/>
    <w:rsid w:val="00E04D43"/>
    <w:rsid w:val="00E04D9D"/>
    <w:rsid w:val="00E0522A"/>
    <w:rsid w:val="00E0631C"/>
    <w:rsid w:val="00E063CD"/>
    <w:rsid w:val="00E069F0"/>
    <w:rsid w:val="00E10962"/>
    <w:rsid w:val="00E111B3"/>
    <w:rsid w:val="00E11717"/>
    <w:rsid w:val="00E11F6A"/>
    <w:rsid w:val="00E123B2"/>
    <w:rsid w:val="00E12A84"/>
    <w:rsid w:val="00E12FE0"/>
    <w:rsid w:val="00E13542"/>
    <w:rsid w:val="00E13748"/>
    <w:rsid w:val="00E13DEB"/>
    <w:rsid w:val="00E145D7"/>
    <w:rsid w:val="00E1532F"/>
    <w:rsid w:val="00E1542E"/>
    <w:rsid w:val="00E16CF0"/>
    <w:rsid w:val="00E20592"/>
    <w:rsid w:val="00E2072E"/>
    <w:rsid w:val="00E20819"/>
    <w:rsid w:val="00E209F1"/>
    <w:rsid w:val="00E22253"/>
    <w:rsid w:val="00E227FC"/>
    <w:rsid w:val="00E23223"/>
    <w:rsid w:val="00E232DF"/>
    <w:rsid w:val="00E23458"/>
    <w:rsid w:val="00E24387"/>
    <w:rsid w:val="00E244AD"/>
    <w:rsid w:val="00E247DF"/>
    <w:rsid w:val="00E26772"/>
    <w:rsid w:val="00E26C13"/>
    <w:rsid w:val="00E2786A"/>
    <w:rsid w:val="00E27CE0"/>
    <w:rsid w:val="00E30B24"/>
    <w:rsid w:val="00E31C58"/>
    <w:rsid w:val="00E3221B"/>
    <w:rsid w:val="00E32229"/>
    <w:rsid w:val="00E32D0D"/>
    <w:rsid w:val="00E34615"/>
    <w:rsid w:val="00E34639"/>
    <w:rsid w:val="00E34946"/>
    <w:rsid w:val="00E3534B"/>
    <w:rsid w:val="00E35658"/>
    <w:rsid w:val="00E35800"/>
    <w:rsid w:val="00E35C79"/>
    <w:rsid w:val="00E36C55"/>
    <w:rsid w:val="00E371BC"/>
    <w:rsid w:val="00E3729C"/>
    <w:rsid w:val="00E37D8F"/>
    <w:rsid w:val="00E401B0"/>
    <w:rsid w:val="00E412F4"/>
    <w:rsid w:val="00E41920"/>
    <w:rsid w:val="00E41956"/>
    <w:rsid w:val="00E41B81"/>
    <w:rsid w:val="00E421ED"/>
    <w:rsid w:val="00E43C0F"/>
    <w:rsid w:val="00E44382"/>
    <w:rsid w:val="00E4471F"/>
    <w:rsid w:val="00E44988"/>
    <w:rsid w:val="00E44C86"/>
    <w:rsid w:val="00E4506F"/>
    <w:rsid w:val="00E45420"/>
    <w:rsid w:val="00E4618A"/>
    <w:rsid w:val="00E46757"/>
    <w:rsid w:val="00E469E1"/>
    <w:rsid w:val="00E46AEB"/>
    <w:rsid w:val="00E509F9"/>
    <w:rsid w:val="00E52AE5"/>
    <w:rsid w:val="00E52D61"/>
    <w:rsid w:val="00E53036"/>
    <w:rsid w:val="00E5373C"/>
    <w:rsid w:val="00E53D81"/>
    <w:rsid w:val="00E53E7D"/>
    <w:rsid w:val="00E551A9"/>
    <w:rsid w:val="00E5551D"/>
    <w:rsid w:val="00E561D1"/>
    <w:rsid w:val="00E5633C"/>
    <w:rsid w:val="00E56DEB"/>
    <w:rsid w:val="00E56FA5"/>
    <w:rsid w:val="00E57021"/>
    <w:rsid w:val="00E60205"/>
    <w:rsid w:val="00E607B4"/>
    <w:rsid w:val="00E61D9B"/>
    <w:rsid w:val="00E61F89"/>
    <w:rsid w:val="00E62098"/>
    <w:rsid w:val="00E62871"/>
    <w:rsid w:val="00E6288F"/>
    <w:rsid w:val="00E6361F"/>
    <w:rsid w:val="00E64EA9"/>
    <w:rsid w:val="00E65367"/>
    <w:rsid w:val="00E65F50"/>
    <w:rsid w:val="00E66CFF"/>
    <w:rsid w:val="00E66E0C"/>
    <w:rsid w:val="00E677B8"/>
    <w:rsid w:val="00E67CC1"/>
    <w:rsid w:val="00E67EC9"/>
    <w:rsid w:val="00E70394"/>
    <w:rsid w:val="00E713A3"/>
    <w:rsid w:val="00E714D9"/>
    <w:rsid w:val="00E721D9"/>
    <w:rsid w:val="00E72327"/>
    <w:rsid w:val="00E72633"/>
    <w:rsid w:val="00E72E8C"/>
    <w:rsid w:val="00E74D7B"/>
    <w:rsid w:val="00E7553E"/>
    <w:rsid w:val="00E7578C"/>
    <w:rsid w:val="00E77473"/>
    <w:rsid w:val="00E7752D"/>
    <w:rsid w:val="00E77AFA"/>
    <w:rsid w:val="00E80473"/>
    <w:rsid w:val="00E816A1"/>
    <w:rsid w:val="00E82234"/>
    <w:rsid w:val="00E839CE"/>
    <w:rsid w:val="00E84132"/>
    <w:rsid w:val="00E84786"/>
    <w:rsid w:val="00E84AA6"/>
    <w:rsid w:val="00E84F1B"/>
    <w:rsid w:val="00E856EF"/>
    <w:rsid w:val="00E860C3"/>
    <w:rsid w:val="00E867FE"/>
    <w:rsid w:val="00E90507"/>
    <w:rsid w:val="00E90EBC"/>
    <w:rsid w:val="00E910CE"/>
    <w:rsid w:val="00E92209"/>
    <w:rsid w:val="00E92EA6"/>
    <w:rsid w:val="00E92ECE"/>
    <w:rsid w:val="00E931C0"/>
    <w:rsid w:val="00E9414A"/>
    <w:rsid w:val="00E94CF2"/>
    <w:rsid w:val="00E94ED4"/>
    <w:rsid w:val="00E95722"/>
    <w:rsid w:val="00E95A1B"/>
    <w:rsid w:val="00E95EF1"/>
    <w:rsid w:val="00E964CB"/>
    <w:rsid w:val="00E964D5"/>
    <w:rsid w:val="00E977A6"/>
    <w:rsid w:val="00EA0F0E"/>
    <w:rsid w:val="00EA187C"/>
    <w:rsid w:val="00EA2B42"/>
    <w:rsid w:val="00EA31CA"/>
    <w:rsid w:val="00EA3AAD"/>
    <w:rsid w:val="00EA5077"/>
    <w:rsid w:val="00EA56FE"/>
    <w:rsid w:val="00EA6990"/>
    <w:rsid w:val="00EA715A"/>
    <w:rsid w:val="00EA782B"/>
    <w:rsid w:val="00EB01DA"/>
    <w:rsid w:val="00EB02A9"/>
    <w:rsid w:val="00EB0472"/>
    <w:rsid w:val="00EB075A"/>
    <w:rsid w:val="00EB10D5"/>
    <w:rsid w:val="00EB1358"/>
    <w:rsid w:val="00EB1AB1"/>
    <w:rsid w:val="00EB2BB8"/>
    <w:rsid w:val="00EB37CC"/>
    <w:rsid w:val="00EB4AD5"/>
    <w:rsid w:val="00EB5543"/>
    <w:rsid w:val="00EB6F79"/>
    <w:rsid w:val="00EB7F96"/>
    <w:rsid w:val="00EC02E2"/>
    <w:rsid w:val="00EC083B"/>
    <w:rsid w:val="00EC2919"/>
    <w:rsid w:val="00EC343F"/>
    <w:rsid w:val="00EC422E"/>
    <w:rsid w:val="00EC45FD"/>
    <w:rsid w:val="00EC4D6D"/>
    <w:rsid w:val="00EC50D8"/>
    <w:rsid w:val="00EC529B"/>
    <w:rsid w:val="00EC64FA"/>
    <w:rsid w:val="00EC6917"/>
    <w:rsid w:val="00EC7278"/>
    <w:rsid w:val="00ED03C1"/>
    <w:rsid w:val="00ED0590"/>
    <w:rsid w:val="00ED12C1"/>
    <w:rsid w:val="00ED1912"/>
    <w:rsid w:val="00ED1D3C"/>
    <w:rsid w:val="00ED1DB6"/>
    <w:rsid w:val="00ED2172"/>
    <w:rsid w:val="00ED3E8D"/>
    <w:rsid w:val="00ED405B"/>
    <w:rsid w:val="00ED4731"/>
    <w:rsid w:val="00ED47A5"/>
    <w:rsid w:val="00ED484F"/>
    <w:rsid w:val="00ED4C9D"/>
    <w:rsid w:val="00ED4DCD"/>
    <w:rsid w:val="00ED5C5E"/>
    <w:rsid w:val="00ED69DB"/>
    <w:rsid w:val="00ED6F72"/>
    <w:rsid w:val="00ED7107"/>
    <w:rsid w:val="00ED7522"/>
    <w:rsid w:val="00ED7973"/>
    <w:rsid w:val="00ED79AA"/>
    <w:rsid w:val="00ED7E72"/>
    <w:rsid w:val="00EE2F76"/>
    <w:rsid w:val="00EE3817"/>
    <w:rsid w:val="00EE3C7C"/>
    <w:rsid w:val="00EE5E55"/>
    <w:rsid w:val="00EE5F15"/>
    <w:rsid w:val="00EE67BC"/>
    <w:rsid w:val="00EE7534"/>
    <w:rsid w:val="00EE78EC"/>
    <w:rsid w:val="00EF0B6D"/>
    <w:rsid w:val="00EF2A72"/>
    <w:rsid w:val="00EF3136"/>
    <w:rsid w:val="00EF3EFC"/>
    <w:rsid w:val="00EF462A"/>
    <w:rsid w:val="00EF4916"/>
    <w:rsid w:val="00EF633D"/>
    <w:rsid w:val="00EF6D88"/>
    <w:rsid w:val="00EF712C"/>
    <w:rsid w:val="00EF74F4"/>
    <w:rsid w:val="00EF7A03"/>
    <w:rsid w:val="00F00177"/>
    <w:rsid w:val="00F01C8F"/>
    <w:rsid w:val="00F02382"/>
    <w:rsid w:val="00F029EA"/>
    <w:rsid w:val="00F04580"/>
    <w:rsid w:val="00F04972"/>
    <w:rsid w:val="00F04C07"/>
    <w:rsid w:val="00F05224"/>
    <w:rsid w:val="00F05B2C"/>
    <w:rsid w:val="00F05DE6"/>
    <w:rsid w:val="00F063E2"/>
    <w:rsid w:val="00F10588"/>
    <w:rsid w:val="00F13463"/>
    <w:rsid w:val="00F1363D"/>
    <w:rsid w:val="00F144D4"/>
    <w:rsid w:val="00F15A81"/>
    <w:rsid w:val="00F15B2E"/>
    <w:rsid w:val="00F15D6C"/>
    <w:rsid w:val="00F16242"/>
    <w:rsid w:val="00F165C6"/>
    <w:rsid w:val="00F16B63"/>
    <w:rsid w:val="00F16FDB"/>
    <w:rsid w:val="00F175DC"/>
    <w:rsid w:val="00F17A5A"/>
    <w:rsid w:val="00F21F93"/>
    <w:rsid w:val="00F22E10"/>
    <w:rsid w:val="00F2398E"/>
    <w:rsid w:val="00F23EA9"/>
    <w:rsid w:val="00F25001"/>
    <w:rsid w:val="00F2557B"/>
    <w:rsid w:val="00F2641E"/>
    <w:rsid w:val="00F264AA"/>
    <w:rsid w:val="00F2714A"/>
    <w:rsid w:val="00F27412"/>
    <w:rsid w:val="00F27550"/>
    <w:rsid w:val="00F30A4D"/>
    <w:rsid w:val="00F30E9B"/>
    <w:rsid w:val="00F31C9D"/>
    <w:rsid w:val="00F324DD"/>
    <w:rsid w:val="00F32B6B"/>
    <w:rsid w:val="00F3378A"/>
    <w:rsid w:val="00F34E08"/>
    <w:rsid w:val="00F35582"/>
    <w:rsid w:val="00F357E5"/>
    <w:rsid w:val="00F359EC"/>
    <w:rsid w:val="00F36E12"/>
    <w:rsid w:val="00F37E89"/>
    <w:rsid w:val="00F40406"/>
    <w:rsid w:val="00F406AC"/>
    <w:rsid w:val="00F40E83"/>
    <w:rsid w:val="00F42395"/>
    <w:rsid w:val="00F42FFF"/>
    <w:rsid w:val="00F43271"/>
    <w:rsid w:val="00F438F1"/>
    <w:rsid w:val="00F44A9D"/>
    <w:rsid w:val="00F44C45"/>
    <w:rsid w:val="00F44C53"/>
    <w:rsid w:val="00F45287"/>
    <w:rsid w:val="00F46125"/>
    <w:rsid w:val="00F500C6"/>
    <w:rsid w:val="00F5078C"/>
    <w:rsid w:val="00F50E22"/>
    <w:rsid w:val="00F514BB"/>
    <w:rsid w:val="00F51E76"/>
    <w:rsid w:val="00F53127"/>
    <w:rsid w:val="00F53BD2"/>
    <w:rsid w:val="00F53C52"/>
    <w:rsid w:val="00F55762"/>
    <w:rsid w:val="00F55A14"/>
    <w:rsid w:val="00F55DA7"/>
    <w:rsid w:val="00F56227"/>
    <w:rsid w:val="00F56237"/>
    <w:rsid w:val="00F568DE"/>
    <w:rsid w:val="00F56FE6"/>
    <w:rsid w:val="00F57A73"/>
    <w:rsid w:val="00F60938"/>
    <w:rsid w:val="00F6186A"/>
    <w:rsid w:val="00F61897"/>
    <w:rsid w:val="00F61FC8"/>
    <w:rsid w:val="00F62541"/>
    <w:rsid w:val="00F62F10"/>
    <w:rsid w:val="00F63084"/>
    <w:rsid w:val="00F64173"/>
    <w:rsid w:val="00F64952"/>
    <w:rsid w:val="00F64BCA"/>
    <w:rsid w:val="00F64E96"/>
    <w:rsid w:val="00F652D6"/>
    <w:rsid w:val="00F65D71"/>
    <w:rsid w:val="00F65DBE"/>
    <w:rsid w:val="00F65DE5"/>
    <w:rsid w:val="00F65F38"/>
    <w:rsid w:val="00F70169"/>
    <w:rsid w:val="00F70359"/>
    <w:rsid w:val="00F731A1"/>
    <w:rsid w:val="00F7359F"/>
    <w:rsid w:val="00F73BD6"/>
    <w:rsid w:val="00F73E27"/>
    <w:rsid w:val="00F752DF"/>
    <w:rsid w:val="00F811F2"/>
    <w:rsid w:val="00F829FE"/>
    <w:rsid w:val="00F82AC9"/>
    <w:rsid w:val="00F82CD2"/>
    <w:rsid w:val="00F83A94"/>
    <w:rsid w:val="00F83CBF"/>
    <w:rsid w:val="00F85171"/>
    <w:rsid w:val="00F85488"/>
    <w:rsid w:val="00F856F8"/>
    <w:rsid w:val="00F861F5"/>
    <w:rsid w:val="00F864FD"/>
    <w:rsid w:val="00F869F5"/>
    <w:rsid w:val="00F871E3"/>
    <w:rsid w:val="00F87C02"/>
    <w:rsid w:val="00F900C3"/>
    <w:rsid w:val="00F91902"/>
    <w:rsid w:val="00F91FCD"/>
    <w:rsid w:val="00F92006"/>
    <w:rsid w:val="00F9483E"/>
    <w:rsid w:val="00F95730"/>
    <w:rsid w:val="00F964D7"/>
    <w:rsid w:val="00F97D40"/>
    <w:rsid w:val="00FA0748"/>
    <w:rsid w:val="00FA07DC"/>
    <w:rsid w:val="00FA0C8C"/>
    <w:rsid w:val="00FA0F21"/>
    <w:rsid w:val="00FA0FC8"/>
    <w:rsid w:val="00FA13A7"/>
    <w:rsid w:val="00FA1D6A"/>
    <w:rsid w:val="00FA1F00"/>
    <w:rsid w:val="00FA235F"/>
    <w:rsid w:val="00FA3074"/>
    <w:rsid w:val="00FA3A88"/>
    <w:rsid w:val="00FA482F"/>
    <w:rsid w:val="00FA542C"/>
    <w:rsid w:val="00FA7B3D"/>
    <w:rsid w:val="00FB1A41"/>
    <w:rsid w:val="00FB266B"/>
    <w:rsid w:val="00FB2837"/>
    <w:rsid w:val="00FB3112"/>
    <w:rsid w:val="00FB315D"/>
    <w:rsid w:val="00FB4532"/>
    <w:rsid w:val="00FB4DB4"/>
    <w:rsid w:val="00FB4E59"/>
    <w:rsid w:val="00FB50F7"/>
    <w:rsid w:val="00FB5F3B"/>
    <w:rsid w:val="00FC064E"/>
    <w:rsid w:val="00FC0F29"/>
    <w:rsid w:val="00FC1E5B"/>
    <w:rsid w:val="00FC3333"/>
    <w:rsid w:val="00FC3459"/>
    <w:rsid w:val="00FC3672"/>
    <w:rsid w:val="00FC392A"/>
    <w:rsid w:val="00FC3F0E"/>
    <w:rsid w:val="00FC48F3"/>
    <w:rsid w:val="00FC4FD8"/>
    <w:rsid w:val="00FC57C5"/>
    <w:rsid w:val="00FC6E56"/>
    <w:rsid w:val="00FC79F7"/>
    <w:rsid w:val="00FC7EE4"/>
    <w:rsid w:val="00FD01AF"/>
    <w:rsid w:val="00FD0A6B"/>
    <w:rsid w:val="00FD2DD5"/>
    <w:rsid w:val="00FD2EE9"/>
    <w:rsid w:val="00FD3B66"/>
    <w:rsid w:val="00FD4381"/>
    <w:rsid w:val="00FD4750"/>
    <w:rsid w:val="00FD521E"/>
    <w:rsid w:val="00FD53E5"/>
    <w:rsid w:val="00FD577E"/>
    <w:rsid w:val="00FD5EE6"/>
    <w:rsid w:val="00FD6265"/>
    <w:rsid w:val="00FD6FB9"/>
    <w:rsid w:val="00FD7867"/>
    <w:rsid w:val="00FE07B9"/>
    <w:rsid w:val="00FE1034"/>
    <w:rsid w:val="00FE115E"/>
    <w:rsid w:val="00FE2DFF"/>
    <w:rsid w:val="00FE3871"/>
    <w:rsid w:val="00FE3C8F"/>
    <w:rsid w:val="00FE6759"/>
    <w:rsid w:val="00FE7DC8"/>
    <w:rsid w:val="00FF1370"/>
    <w:rsid w:val="00FF28F7"/>
    <w:rsid w:val="00FF294F"/>
    <w:rsid w:val="00FF3060"/>
    <w:rsid w:val="00FF354D"/>
    <w:rsid w:val="00FF5D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1BCCC"/>
  <w15:docId w15:val="{B01A135D-0477-485E-A75C-6A33948B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8127FF"/>
    <w:pPr>
      <w:spacing w:after="240" w:line="360" w:lineRule="auto"/>
      <w:ind w:left="567"/>
      <w:jc w:val="both"/>
    </w:pPr>
    <w:rPr>
      <w:rFonts w:ascii="Arial" w:hAnsi="Arial"/>
      <w:kern w:val="0"/>
      <w:sz w:val="24"/>
      <w:lang w:val="en-GB"/>
    </w:rPr>
  </w:style>
  <w:style w:type="paragraph" w:styleId="Heading2">
    <w:name w:val="heading 2"/>
    <w:basedOn w:val="Normal"/>
    <w:next w:val="Normal"/>
    <w:link w:val="Heading2Char"/>
    <w:uiPriority w:val="9"/>
    <w:semiHidden/>
    <w:unhideWhenUsed/>
    <w:qFormat/>
    <w:rsid w:val="009604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04F3"/>
    <w:rPr>
      <w:rFonts w:asciiTheme="majorHAnsi" w:eastAsiaTheme="majorEastAsia" w:hAnsiTheme="majorHAnsi" w:cstheme="majorBidi"/>
      <w:color w:val="2F5496" w:themeColor="accent1" w:themeShade="BF"/>
      <w:kern w:val="0"/>
      <w:sz w:val="26"/>
      <w:szCs w:val="26"/>
      <w:lang w:val="en-GB"/>
    </w:rPr>
  </w:style>
  <w:style w:type="paragraph" w:customStyle="1" w:styleId="JudgmentNumbered">
    <w:name w:val="Judgment Numbered"/>
    <w:basedOn w:val="Normal"/>
    <w:link w:val="JudgmentNumberedChar"/>
    <w:qFormat/>
    <w:rsid w:val="008127FF"/>
    <w:pPr>
      <w:numPr>
        <w:numId w:val="1"/>
      </w:numPr>
    </w:pPr>
    <w:rPr>
      <w:rFonts w:cs="Arial"/>
    </w:rPr>
  </w:style>
  <w:style w:type="paragraph" w:customStyle="1" w:styleId="JudgmentHeading">
    <w:name w:val="Judgment Heading"/>
    <w:basedOn w:val="JudgmentNumbered"/>
    <w:next w:val="JudgmentNumbered"/>
    <w:link w:val="JudgmentHeadingChar"/>
    <w:qFormat/>
    <w:rsid w:val="008127FF"/>
    <w:pPr>
      <w:numPr>
        <w:numId w:val="0"/>
      </w:numPr>
    </w:pPr>
    <w:rPr>
      <w:i/>
    </w:rPr>
  </w:style>
  <w:style w:type="character" w:customStyle="1" w:styleId="JudgmentNumberedChar">
    <w:name w:val="Judgment Numbered Char"/>
    <w:basedOn w:val="DefaultParagraphFont"/>
    <w:link w:val="JudgmentNumbered"/>
    <w:rsid w:val="009604F3"/>
    <w:rPr>
      <w:rFonts w:ascii="Arial" w:hAnsi="Arial" w:cs="Arial"/>
      <w:kern w:val="0"/>
      <w:sz w:val="24"/>
      <w:lang w:val="en-GB"/>
    </w:rPr>
  </w:style>
  <w:style w:type="paragraph" w:customStyle="1" w:styleId="Normal1">
    <w:name w:val="Normal1"/>
    <w:basedOn w:val="Normal"/>
    <w:next w:val="JudgmentHeading"/>
    <w:link w:val="NORMALChar"/>
    <w:qFormat/>
    <w:rsid w:val="009604F3"/>
    <w:pPr>
      <w:spacing w:after="0" w:line="240" w:lineRule="auto"/>
      <w:ind w:left="0"/>
    </w:pPr>
  </w:style>
  <w:style w:type="character" w:customStyle="1" w:styleId="JudgmentHeadingChar">
    <w:name w:val="Judgment Heading Char"/>
    <w:basedOn w:val="JudgmentNumberedChar"/>
    <w:link w:val="JudgmentHeading"/>
    <w:rsid w:val="009604F3"/>
    <w:rPr>
      <w:rFonts w:ascii="Arial" w:hAnsi="Arial" w:cs="Arial"/>
      <w:i/>
      <w:kern w:val="0"/>
      <w:sz w:val="24"/>
      <w:lang w:val="en-GB"/>
    </w:rPr>
  </w:style>
  <w:style w:type="character" w:customStyle="1" w:styleId="NORMALChar">
    <w:name w:val="NORMAL Char"/>
    <w:basedOn w:val="DefaultParagraphFont"/>
    <w:link w:val="Normal1"/>
    <w:rsid w:val="009604F3"/>
    <w:rPr>
      <w:rFonts w:ascii="Arial" w:hAnsi="Arial"/>
      <w:kern w:val="0"/>
      <w:sz w:val="24"/>
      <w:lang w:val="en-GB"/>
    </w:rPr>
  </w:style>
  <w:style w:type="paragraph" w:styleId="Header">
    <w:name w:val="header"/>
    <w:basedOn w:val="Normal"/>
    <w:link w:val="HeaderChar"/>
    <w:uiPriority w:val="99"/>
    <w:unhideWhenUsed/>
    <w:rsid w:val="00960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F3"/>
    <w:rPr>
      <w:rFonts w:ascii="Arial" w:hAnsi="Arial"/>
      <w:kern w:val="0"/>
      <w:sz w:val="24"/>
      <w:lang w:val="en-GB"/>
    </w:rPr>
  </w:style>
  <w:style w:type="paragraph" w:styleId="Footer">
    <w:name w:val="footer"/>
    <w:basedOn w:val="Normal"/>
    <w:link w:val="FooterChar"/>
    <w:uiPriority w:val="99"/>
    <w:unhideWhenUsed/>
    <w:rsid w:val="00960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F3"/>
    <w:rPr>
      <w:rFonts w:ascii="Arial" w:hAnsi="Arial"/>
      <w:kern w:val="0"/>
      <w:sz w:val="24"/>
      <w:lang w:val="en-GB"/>
    </w:rPr>
  </w:style>
  <w:style w:type="paragraph" w:styleId="ListParagraph">
    <w:name w:val="List Paragraph"/>
    <w:basedOn w:val="Normal"/>
    <w:uiPriority w:val="34"/>
    <w:qFormat/>
    <w:rsid w:val="008127FF"/>
    <w:pPr>
      <w:spacing w:after="160" w:line="259" w:lineRule="auto"/>
      <w:ind w:left="720"/>
      <w:contextualSpacing/>
      <w:jc w:val="left"/>
    </w:pPr>
    <w:rPr>
      <w:rFonts w:asciiTheme="minorHAnsi" w:eastAsiaTheme="minorEastAsia" w:hAnsiTheme="minorHAnsi"/>
      <w:kern w:val="2"/>
      <w:sz w:val="22"/>
      <w:lang w:val="en-ZA" w:eastAsia="ja-JP"/>
    </w:rPr>
  </w:style>
  <w:style w:type="paragraph" w:styleId="FootnoteText">
    <w:name w:val="footnote text"/>
    <w:basedOn w:val="Normal"/>
    <w:link w:val="FootnoteTextChar"/>
    <w:uiPriority w:val="99"/>
    <w:unhideWhenUsed/>
    <w:rsid w:val="009604F3"/>
    <w:pPr>
      <w:spacing w:after="0" w:line="240" w:lineRule="auto"/>
    </w:pPr>
    <w:rPr>
      <w:sz w:val="20"/>
      <w:szCs w:val="20"/>
    </w:rPr>
  </w:style>
  <w:style w:type="character" w:customStyle="1" w:styleId="FootnoteTextChar">
    <w:name w:val="Footnote Text Char"/>
    <w:basedOn w:val="DefaultParagraphFont"/>
    <w:link w:val="FootnoteText"/>
    <w:uiPriority w:val="99"/>
    <w:rsid w:val="009604F3"/>
    <w:rPr>
      <w:rFonts w:ascii="Arial" w:hAnsi="Arial"/>
      <w:kern w:val="0"/>
      <w:sz w:val="20"/>
      <w:szCs w:val="20"/>
      <w:lang w:val="en-GB"/>
    </w:rPr>
  </w:style>
  <w:style w:type="character" w:styleId="FootnoteReference">
    <w:name w:val="footnote reference"/>
    <w:basedOn w:val="DefaultParagraphFont"/>
    <w:uiPriority w:val="99"/>
    <w:unhideWhenUsed/>
    <w:rsid w:val="009604F3"/>
    <w:rPr>
      <w:vertAlign w:val="superscript"/>
    </w:rPr>
  </w:style>
  <w:style w:type="paragraph" w:styleId="Revision">
    <w:name w:val="Revision"/>
    <w:hidden/>
    <w:uiPriority w:val="99"/>
    <w:semiHidden/>
    <w:rsid w:val="008127FF"/>
    <w:pPr>
      <w:spacing w:after="0" w:line="240" w:lineRule="auto"/>
    </w:pPr>
    <w:rPr>
      <w:rFonts w:ascii="Arial" w:hAnsi="Arial"/>
      <w:kern w:val="0"/>
      <w:sz w:val="24"/>
      <w:lang w:val="en-GB"/>
    </w:rPr>
  </w:style>
  <w:style w:type="character" w:styleId="CommentReference">
    <w:name w:val="annotation reference"/>
    <w:basedOn w:val="DefaultParagraphFont"/>
    <w:uiPriority w:val="99"/>
    <w:semiHidden/>
    <w:unhideWhenUsed/>
    <w:rsid w:val="009604F3"/>
    <w:rPr>
      <w:sz w:val="16"/>
      <w:szCs w:val="16"/>
    </w:rPr>
  </w:style>
  <w:style w:type="paragraph" w:styleId="CommentText">
    <w:name w:val="annotation text"/>
    <w:basedOn w:val="Normal"/>
    <w:link w:val="CommentTextChar"/>
    <w:uiPriority w:val="99"/>
    <w:unhideWhenUsed/>
    <w:rsid w:val="009604F3"/>
    <w:pPr>
      <w:spacing w:line="240" w:lineRule="auto"/>
    </w:pPr>
    <w:rPr>
      <w:sz w:val="20"/>
      <w:szCs w:val="20"/>
    </w:rPr>
  </w:style>
  <w:style w:type="character" w:customStyle="1" w:styleId="CommentTextChar">
    <w:name w:val="Comment Text Char"/>
    <w:basedOn w:val="DefaultParagraphFont"/>
    <w:link w:val="CommentText"/>
    <w:uiPriority w:val="99"/>
    <w:rsid w:val="009604F3"/>
    <w:rPr>
      <w:rFonts w:ascii="Arial" w:hAnsi="Arial"/>
      <w:kern w:val="0"/>
      <w:sz w:val="20"/>
      <w:szCs w:val="20"/>
      <w:lang w:val="en-GB"/>
    </w:rPr>
  </w:style>
  <w:style w:type="paragraph" w:styleId="CommentSubject">
    <w:name w:val="annotation subject"/>
    <w:basedOn w:val="CommentText"/>
    <w:next w:val="CommentText"/>
    <w:link w:val="CommentSubjectChar"/>
    <w:uiPriority w:val="99"/>
    <w:semiHidden/>
    <w:unhideWhenUsed/>
    <w:rsid w:val="009604F3"/>
    <w:rPr>
      <w:b/>
      <w:bCs/>
    </w:rPr>
  </w:style>
  <w:style w:type="character" w:customStyle="1" w:styleId="CommentSubjectChar">
    <w:name w:val="Comment Subject Char"/>
    <w:basedOn w:val="CommentTextChar"/>
    <w:link w:val="CommentSubject"/>
    <w:uiPriority w:val="99"/>
    <w:semiHidden/>
    <w:rsid w:val="009604F3"/>
    <w:rPr>
      <w:rFonts w:ascii="Arial" w:hAnsi="Arial"/>
      <w:b/>
      <w:bCs/>
      <w:kern w:val="0"/>
      <w:sz w:val="20"/>
      <w:szCs w:val="20"/>
      <w:lang w:val="en-GB"/>
    </w:rPr>
  </w:style>
  <w:style w:type="paragraph" w:styleId="EndnoteText">
    <w:name w:val="endnote text"/>
    <w:basedOn w:val="Normal"/>
    <w:link w:val="EndnoteTextChar"/>
    <w:uiPriority w:val="99"/>
    <w:semiHidden/>
    <w:unhideWhenUsed/>
    <w:rsid w:val="009604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04F3"/>
    <w:rPr>
      <w:rFonts w:ascii="Arial" w:hAnsi="Arial"/>
      <w:kern w:val="0"/>
      <w:sz w:val="20"/>
      <w:szCs w:val="20"/>
      <w:lang w:val="en-GB"/>
    </w:rPr>
  </w:style>
  <w:style w:type="character" w:styleId="EndnoteReference">
    <w:name w:val="endnote reference"/>
    <w:basedOn w:val="DefaultParagraphFont"/>
    <w:uiPriority w:val="99"/>
    <w:semiHidden/>
    <w:unhideWhenUsed/>
    <w:rsid w:val="009604F3"/>
    <w:rPr>
      <w:vertAlign w:val="superscript"/>
    </w:rPr>
  </w:style>
  <w:style w:type="paragraph" w:styleId="BalloonText">
    <w:name w:val="Balloon Text"/>
    <w:basedOn w:val="Normal"/>
    <w:link w:val="BalloonTextChar"/>
    <w:uiPriority w:val="99"/>
    <w:semiHidden/>
    <w:unhideWhenUsed/>
    <w:rsid w:val="00171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F3F"/>
    <w:rPr>
      <w:rFonts w:ascii="Segoe UI" w:hAnsi="Segoe UI" w:cs="Segoe UI"/>
      <w:kern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132">
      <w:bodyDiv w:val="1"/>
      <w:marLeft w:val="0"/>
      <w:marRight w:val="0"/>
      <w:marTop w:val="0"/>
      <w:marBottom w:val="0"/>
      <w:divBdr>
        <w:top w:val="none" w:sz="0" w:space="0" w:color="auto"/>
        <w:left w:val="none" w:sz="0" w:space="0" w:color="auto"/>
        <w:bottom w:val="none" w:sz="0" w:space="0" w:color="auto"/>
        <w:right w:val="none" w:sz="0" w:space="0" w:color="auto"/>
      </w:divBdr>
    </w:div>
    <w:div w:id="745037448">
      <w:bodyDiv w:val="1"/>
      <w:marLeft w:val="0"/>
      <w:marRight w:val="0"/>
      <w:marTop w:val="0"/>
      <w:marBottom w:val="0"/>
      <w:divBdr>
        <w:top w:val="none" w:sz="0" w:space="0" w:color="auto"/>
        <w:left w:val="none" w:sz="0" w:space="0" w:color="auto"/>
        <w:bottom w:val="none" w:sz="0" w:space="0" w:color="auto"/>
        <w:right w:val="none" w:sz="0" w:space="0" w:color="auto"/>
      </w:divBdr>
    </w:div>
    <w:div w:id="983433974">
      <w:bodyDiv w:val="1"/>
      <w:marLeft w:val="0"/>
      <w:marRight w:val="0"/>
      <w:marTop w:val="0"/>
      <w:marBottom w:val="0"/>
      <w:divBdr>
        <w:top w:val="none" w:sz="0" w:space="0" w:color="auto"/>
        <w:left w:val="none" w:sz="0" w:space="0" w:color="auto"/>
        <w:bottom w:val="none" w:sz="0" w:space="0" w:color="auto"/>
        <w:right w:val="none" w:sz="0" w:space="0" w:color="auto"/>
      </w:divBdr>
    </w:div>
    <w:div w:id="1366517435">
      <w:bodyDiv w:val="1"/>
      <w:marLeft w:val="0"/>
      <w:marRight w:val="0"/>
      <w:marTop w:val="0"/>
      <w:marBottom w:val="0"/>
      <w:divBdr>
        <w:top w:val="none" w:sz="0" w:space="0" w:color="auto"/>
        <w:left w:val="none" w:sz="0" w:space="0" w:color="auto"/>
        <w:bottom w:val="none" w:sz="0" w:space="0" w:color="auto"/>
        <w:right w:val="none" w:sz="0" w:space="0" w:color="auto"/>
      </w:divBdr>
    </w:div>
    <w:div w:id="1793548211">
      <w:bodyDiv w:val="1"/>
      <w:marLeft w:val="0"/>
      <w:marRight w:val="0"/>
      <w:marTop w:val="0"/>
      <w:marBottom w:val="0"/>
      <w:divBdr>
        <w:top w:val="none" w:sz="0" w:space="0" w:color="auto"/>
        <w:left w:val="none" w:sz="0" w:space="0" w:color="auto"/>
        <w:bottom w:val="none" w:sz="0" w:space="0" w:color="auto"/>
        <w:right w:val="none" w:sz="0" w:space="0" w:color="auto"/>
      </w:divBdr>
    </w:div>
    <w:div w:id="1817725318">
      <w:bodyDiv w:val="1"/>
      <w:marLeft w:val="0"/>
      <w:marRight w:val="0"/>
      <w:marTop w:val="0"/>
      <w:marBottom w:val="0"/>
      <w:divBdr>
        <w:top w:val="none" w:sz="0" w:space="0" w:color="auto"/>
        <w:left w:val="none" w:sz="0" w:space="0" w:color="auto"/>
        <w:bottom w:val="none" w:sz="0" w:space="0" w:color="auto"/>
        <w:right w:val="none" w:sz="0" w:space="0" w:color="auto"/>
      </w:divBdr>
    </w:div>
    <w:div w:id="1919168380">
      <w:bodyDiv w:val="1"/>
      <w:marLeft w:val="0"/>
      <w:marRight w:val="0"/>
      <w:marTop w:val="0"/>
      <w:marBottom w:val="0"/>
      <w:divBdr>
        <w:top w:val="none" w:sz="0" w:space="0" w:color="auto"/>
        <w:left w:val="none" w:sz="0" w:space="0" w:color="auto"/>
        <w:bottom w:val="none" w:sz="0" w:space="0" w:color="auto"/>
        <w:right w:val="none" w:sz="0" w:space="0" w:color="auto"/>
      </w:divBdr>
    </w:div>
    <w:div w:id="1922832525">
      <w:bodyDiv w:val="1"/>
      <w:marLeft w:val="0"/>
      <w:marRight w:val="0"/>
      <w:marTop w:val="0"/>
      <w:marBottom w:val="0"/>
      <w:divBdr>
        <w:top w:val="none" w:sz="0" w:space="0" w:color="auto"/>
        <w:left w:val="none" w:sz="0" w:space="0" w:color="auto"/>
        <w:bottom w:val="none" w:sz="0" w:space="0" w:color="auto"/>
        <w:right w:val="none" w:sz="0" w:space="0" w:color="auto"/>
      </w:divBdr>
    </w:div>
    <w:div w:id="2096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269C-3C14-45DE-AA90-00A2F995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7893</Words>
  <Characters>44993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Canham</dc:creator>
  <cp:keywords/>
  <dc:description/>
  <cp:lastModifiedBy>Mary Bruce</cp:lastModifiedBy>
  <cp:revision>3</cp:revision>
  <dcterms:created xsi:type="dcterms:W3CDTF">2023-10-24T20:19:00Z</dcterms:created>
  <dcterms:modified xsi:type="dcterms:W3CDTF">2023-10-26T13:06:00Z</dcterms:modified>
</cp:coreProperties>
</file>