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4E62E" w14:textId="7E55C092" w:rsidR="00A70B66" w:rsidRDefault="00A70B66" w:rsidP="00A70B66">
      <w:pPr>
        <w:pStyle w:val="FootnoteText"/>
        <w:spacing w:line="360" w:lineRule="auto"/>
        <w:jc w:val="both"/>
        <w:rPr>
          <w:rFonts w:ascii="Arial" w:hAnsi="Arial" w:cs="Arial"/>
          <w:sz w:val="24"/>
          <w:szCs w:val="24"/>
          <w:lang w:val="en-US"/>
        </w:rPr>
      </w:pPr>
      <w:bookmarkStart w:id="0" w:name="_GoBack"/>
      <w:bookmarkEnd w:id="0"/>
    </w:p>
    <w:p w14:paraId="5E88B000" w14:textId="3459A1C0" w:rsidR="00A70B66" w:rsidRDefault="00A70B66" w:rsidP="00A70B66">
      <w:pPr>
        <w:pStyle w:val="FootnoteText"/>
        <w:spacing w:line="360" w:lineRule="auto"/>
        <w:jc w:val="center"/>
        <w:rPr>
          <w:rFonts w:ascii="Arial" w:hAnsi="Arial" w:cs="Arial"/>
          <w:sz w:val="24"/>
          <w:szCs w:val="24"/>
          <w:lang w:val="en-US"/>
        </w:rPr>
      </w:pPr>
      <w:r>
        <w:rPr>
          <w:rFonts w:ascii="Arial" w:hAnsi="Arial" w:cs="Arial"/>
          <w:noProof/>
          <w:sz w:val="24"/>
          <w:szCs w:val="24"/>
          <w:lang w:eastAsia="en-ZA"/>
        </w:rPr>
        <w:drawing>
          <wp:inline distT="0" distB="0" distL="0" distR="0" wp14:anchorId="2B45E215" wp14:editId="0AFEEB34">
            <wp:extent cx="2011680" cy="1767840"/>
            <wp:effectExtent l="0" t="0" r="7620" b="3810"/>
            <wp:docPr id="843383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767840"/>
                    </a:xfrm>
                    <a:prstGeom prst="rect">
                      <a:avLst/>
                    </a:prstGeom>
                    <a:noFill/>
                  </pic:spPr>
                </pic:pic>
              </a:graphicData>
            </a:graphic>
          </wp:inline>
        </w:drawing>
      </w:r>
    </w:p>
    <w:p w14:paraId="03D7BCAB" w14:textId="14A5C7A4" w:rsidR="00A70B66" w:rsidRPr="00A70B66" w:rsidRDefault="00A70B66" w:rsidP="00A70B66">
      <w:pPr>
        <w:jc w:val="center"/>
        <w:rPr>
          <w:rFonts w:ascii="Arial" w:hAnsi="Arial" w:cs="Arial"/>
          <w:b/>
          <w:sz w:val="24"/>
          <w:szCs w:val="24"/>
          <w:lang w:eastAsia="en-GB"/>
        </w:rPr>
      </w:pPr>
      <w:bookmarkStart w:id="1" w:name="_Hlk148446490"/>
      <w:r w:rsidRPr="00A70B66">
        <w:rPr>
          <w:rFonts w:ascii="Arial" w:hAnsi="Arial" w:cs="Arial"/>
          <w:b/>
          <w:sz w:val="24"/>
          <w:szCs w:val="24"/>
          <w:lang w:eastAsia="en-GB"/>
        </w:rPr>
        <w:t>IN THE HIGH COURT OF SOUTH AFRICA</w:t>
      </w:r>
    </w:p>
    <w:p w14:paraId="066DB182" w14:textId="3D14E59C" w:rsidR="00A70B66" w:rsidRDefault="00A70B66" w:rsidP="006E2209">
      <w:pPr>
        <w:jc w:val="center"/>
        <w:rPr>
          <w:rFonts w:ascii="Arial" w:hAnsi="Arial" w:cs="Arial"/>
          <w:b/>
          <w:sz w:val="24"/>
          <w:szCs w:val="24"/>
          <w:lang w:eastAsia="en-GB"/>
        </w:rPr>
      </w:pPr>
      <w:r w:rsidRPr="00A70B66">
        <w:rPr>
          <w:rFonts w:ascii="Arial" w:hAnsi="Arial" w:cs="Arial"/>
          <w:b/>
          <w:sz w:val="24"/>
          <w:szCs w:val="24"/>
          <w:lang w:eastAsia="en-GB"/>
        </w:rPr>
        <w:t>(GAUTENG DIVISION, PRETORIA)</w:t>
      </w:r>
    </w:p>
    <w:bookmarkEnd w:id="1"/>
    <w:p w14:paraId="4D1EAE72" w14:textId="07604A55" w:rsidR="00A70B66" w:rsidRPr="00CB74AA" w:rsidRDefault="00A73FD5" w:rsidP="00CB74AA">
      <w:pPr>
        <w:jc w:val="both"/>
        <w:rPr>
          <w:rFonts w:ascii="Arial" w:hAnsi="Arial" w:cs="Arial"/>
          <w:b/>
          <w:sz w:val="24"/>
          <w:szCs w:val="24"/>
          <w:lang w:eastAsia="en-GB"/>
        </w:rPr>
      </w:pPr>
      <w:r>
        <w:rPr>
          <w:rFonts w:ascii="Arial" w:hAnsi="Arial" w:cs="Arial"/>
          <w:b/>
          <w:sz w:val="24"/>
          <w:szCs w:val="24"/>
          <w:lang w:eastAsia="en-GB"/>
        </w:rPr>
        <w:t xml:space="preserve">                                                                                                 CASE NO: 2021/61622</w:t>
      </w:r>
    </w:p>
    <w:p w14:paraId="6CC0777D" w14:textId="4A00A352" w:rsidR="00A70B66" w:rsidRDefault="000F618A" w:rsidP="006E2209">
      <w:pPr>
        <w:pStyle w:val="FootnoteText"/>
        <w:spacing w:line="360" w:lineRule="auto"/>
        <w:jc w:val="both"/>
        <w:rPr>
          <w:rFonts w:ascii="Arial" w:hAnsi="Arial" w:cs="Arial"/>
          <w:sz w:val="24"/>
          <w:szCs w:val="24"/>
          <w:lang w:val="en-US"/>
        </w:rPr>
      </w:pPr>
      <w:r w:rsidRPr="00984FCA">
        <w:rPr>
          <w:rFonts w:ascii="Times New Roman" w:hAnsi="Times New Roman" w:cs="Times New Roman"/>
          <w:noProof/>
          <w:color w:val="4472C4" w:themeColor="accent1"/>
          <w:lang w:eastAsia="en-ZA"/>
        </w:rPr>
        <mc:AlternateContent>
          <mc:Choice Requires="wps">
            <w:drawing>
              <wp:anchor distT="0" distB="0" distL="114300" distR="114300" simplePos="0" relativeHeight="251659264" behindDoc="0" locked="0" layoutInCell="1" allowOverlap="1" wp14:anchorId="36AADB3A" wp14:editId="28FDAC58">
                <wp:simplePos x="0" y="0"/>
                <wp:positionH relativeFrom="column">
                  <wp:posOffset>-15240</wp:posOffset>
                </wp:positionH>
                <wp:positionV relativeFrom="paragraph">
                  <wp:posOffset>31115</wp:posOffset>
                </wp:positionV>
                <wp:extent cx="2933700" cy="1158240"/>
                <wp:effectExtent l="0" t="0" r="19050" b="228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1158240"/>
                        </a:xfrm>
                        <a:prstGeom prst="rect">
                          <a:avLst/>
                        </a:prstGeom>
                        <a:solidFill>
                          <a:srgbClr val="FFFFFF"/>
                        </a:solidFill>
                        <a:ln w="9525">
                          <a:solidFill>
                            <a:srgbClr val="000000"/>
                          </a:solidFill>
                          <a:miter lim="800000"/>
                          <a:headEnd/>
                          <a:tailEnd/>
                        </a:ln>
                      </wps:spPr>
                      <wps:txbx>
                        <w:txbxContent>
                          <w:p w14:paraId="0DD93EE6" w14:textId="77777777" w:rsidR="00A73FD5" w:rsidRPr="00913F95" w:rsidRDefault="00A73FD5" w:rsidP="00A73FD5">
                            <w:pPr>
                              <w:jc w:val="center"/>
                              <w:rPr>
                                <w:rFonts w:ascii="Century Gothic" w:hAnsi="Century Gothic"/>
                                <w:b/>
                                <w:sz w:val="20"/>
                                <w:szCs w:val="20"/>
                              </w:rPr>
                            </w:pPr>
                          </w:p>
                          <w:p w14:paraId="624EB2C1" w14:textId="77777777" w:rsidR="00A73FD5" w:rsidRPr="00A73FD5" w:rsidRDefault="00A73FD5" w:rsidP="00A73FD5">
                            <w:pPr>
                              <w:widowControl w:val="0"/>
                              <w:tabs>
                                <w:tab w:val="center" w:pos="2419"/>
                                <w:tab w:val="right" w:pos="4838"/>
                              </w:tabs>
                              <w:autoSpaceDE w:val="0"/>
                              <w:autoSpaceDN w:val="0"/>
                              <w:adjustRightInd w:val="0"/>
                              <w:rPr>
                                <w:rFonts w:ascii="Calibri" w:hAnsi="Calibri" w:cs="Calibri"/>
                                <w:sz w:val="20"/>
                                <w:szCs w:val="20"/>
                              </w:rPr>
                            </w:pPr>
                            <w:r w:rsidRPr="00A73FD5">
                              <w:rPr>
                                <w:rFonts w:ascii="Calibri" w:hAnsi="Calibri" w:cs="Calibri"/>
                                <w:sz w:val="20"/>
                                <w:szCs w:val="20"/>
                              </w:rPr>
                              <w:t>DELETE WHICHEVER IS NOT APPLICABLE</w:t>
                            </w:r>
                          </w:p>
                          <w:p w14:paraId="002C6E9C" w14:textId="754A3D65" w:rsidR="00A73FD5" w:rsidRPr="00A73FD5" w:rsidRDefault="00A65CB3" w:rsidP="00A65CB3">
                            <w:pPr>
                              <w:widowControl w:val="0"/>
                              <w:autoSpaceDE w:val="0"/>
                              <w:autoSpaceDN w:val="0"/>
                              <w:adjustRightInd w:val="0"/>
                              <w:spacing w:after="0" w:line="240" w:lineRule="auto"/>
                              <w:ind w:left="238" w:hanging="238"/>
                              <w:contextualSpacing/>
                              <w:rPr>
                                <w:rFonts w:ascii="Calibri" w:hAnsi="Calibri" w:cs="Calibri"/>
                                <w:sz w:val="20"/>
                                <w:szCs w:val="20"/>
                                <w:lang w:val="af-ZA"/>
                              </w:rPr>
                            </w:pPr>
                            <w:r w:rsidRPr="00A73FD5">
                              <w:rPr>
                                <w:rFonts w:ascii="Calibri" w:eastAsia="Times New Roman" w:hAnsi="Calibri" w:cs="Times New Roman"/>
                                <w:sz w:val="20"/>
                                <w:szCs w:val="20"/>
                                <w:lang w:val="af-ZA"/>
                              </w:rPr>
                              <w:t>(1)</w:t>
                            </w:r>
                            <w:r w:rsidRPr="00A73FD5">
                              <w:rPr>
                                <w:rFonts w:ascii="Calibri" w:eastAsia="Times New Roman" w:hAnsi="Calibri" w:cs="Times New Roman"/>
                                <w:sz w:val="20"/>
                                <w:szCs w:val="20"/>
                                <w:lang w:val="af-ZA"/>
                              </w:rPr>
                              <w:tab/>
                            </w:r>
                            <w:r w:rsidR="00A73FD5" w:rsidRPr="00A73FD5">
                              <w:rPr>
                                <w:rFonts w:ascii="Calibri" w:hAnsi="Calibri" w:cs="Calibri"/>
                                <w:sz w:val="20"/>
                                <w:szCs w:val="20"/>
                                <w:lang w:val="af-ZA"/>
                              </w:rPr>
                              <w:t>REPORTABLE: YES</w:t>
                            </w:r>
                          </w:p>
                          <w:p w14:paraId="439BF7A4" w14:textId="2A03F7E8" w:rsidR="00A73FD5" w:rsidRPr="00A73FD5" w:rsidRDefault="00A65CB3" w:rsidP="00A65CB3">
                            <w:pPr>
                              <w:widowControl w:val="0"/>
                              <w:autoSpaceDE w:val="0"/>
                              <w:autoSpaceDN w:val="0"/>
                              <w:adjustRightInd w:val="0"/>
                              <w:spacing w:after="0" w:line="240" w:lineRule="auto"/>
                              <w:ind w:left="238" w:hanging="238"/>
                              <w:contextualSpacing/>
                              <w:rPr>
                                <w:rFonts w:ascii="Calibri" w:hAnsi="Calibri" w:cs="Calibri"/>
                                <w:sz w:val="20"/>
                                <w:szCs w:val="20"/>
                                <w:lang w:val="af-ZA"/>
                              </w:rPr>
                            </w:pPr>
                            <w:r w:rsidRPr="00A73FD5">
                              <w:rPr>
                                <w:rFonts w:ascii="Calibri" w:eastAsia="Times New Roman" w:hAnsi="Calibri" w:cs="Times New Roman"/>
                                <w:sz w:val="20"/>
                                <w:szCs w:val="20"/>
                                <w:lang w:val="af-ZA"/>
                              </w:rPr>
                              <w:t>(2)</w:t>
                            </w:r>
                            <w:r w:rsidRPr="00A73FD5">
                              <w:rPr>
                                <w:rFonts w:ascii="Calibri" w:eastAsia="Times New Roman" w:hAnsi="Calibri" w:cs="Times New Roman"/>
                                <w:sz w:val="20"/>
                                <w:szCs w:val="20"/>
                                <w:lang w:val="af-ZA"/>
                              </w:rPr>
                              <w:tab/>
                            </w:r>
                            <w:r w:rsidR="00A73FD5" w:rsidRPr="00A73FD5">
                              <w:rPr>
                                <w:rFonts w:ascii="Calibri" w:hAnsi="Calibri" w:cs="Calibri"/>
                                <w:sz w:val="20"/>
                                <w:szCs w:val="20"/>
                                <w:lang w:val="af-ZA"/>
                              </w:rPr>
                              <w:t>OF INTEREST TO OTHERS JUDGES: YES</w:t>
                            </w:r>
                          </w:p>
                          <w:p w14:paraId="5178256C" w14:textId="3DA2CFA0" w:rsidR="00A73FD5" w:rsidRPr="00A73FD5" w:rsidRDefault="00A65CB3" w:rsidP="00A65CB3">
                            <w:pPr>
                              <w:widowControl w:val="0"/>
                              <w:autoSpaceDE w:val="0"/>
                              <w:autoSpaceDN w:val="0"/>
                              <w:adjustRightInd w:val="0"/>
                              <w:spacing w:after="0" w:line="240" w:lineRule="auto"/>
                              <w:ind w:left="238" w:hanging="238"/>
                              <w:contextualSpacing/>
                              <w:rPr>
                                <w:rFonts w:ascii="Calibri" w:hAnsi="Calibri" w:cs="Calibri"/>
                                <w:sz w:val="20"/>
                                <w:szCs w:val="20"/>
                                <w:lang w:val="af-ZA"/>
                              </w:rPr>
                            </w:pPr>
                            <w:r w:rsidRPr="00A73FD5">
                              <w:rPr>
                                <w:rFonts w:ascii="Calibri" w:eastAsia="Times New Roman" w:hAnsi="Calibri" w:cs="Times New Roman"/>
                                <w:sz w:val="20"/>
                                <w:szCs w:val="20"/>
                                <w:lang w:val="af-ZA"/>
                              </w:rPr>
                              <w:t>(3)</w:t>
                            </w:r>
                            <w:r w:rsidRPr="00A73FD5">
                              <w:rPr>
                                <w:rFonts w:ascii="Calibri" w:eastAsia="Times New Roman" w:hAnsi="Calibri" w:cs="Times New Roman"/>
                                <w:sz w:val="20"/>
                                <w:szCs w:val="20"/>
                                <w:lang w:val="af-ZA"/>
                              </w:rPr>
                              <w:tab/>
                            </w:r>
                            <w:r w:rsidR="00A73FD5" w:rsidRPr="00A73FD5">
                              <w:rPr>
                                <w:rFonts w:ascii="Calibri" w:hAnsi="Calibri" w:cs="Calibri"/>
                                <w:sz w:val="20"/>
                                <w:szCs w:val="20"/>
                                <w:lang w:val="af-ZA"/>
                              </w:rPr>
                              <w:t>REVISED: NO</w:t>
                            </w:r>
                          </w:p>
                          <w:p w14:paraId="0940761B" w14:textId="77777777" w:rsidR="00A73FD5" w:rsidRPr="007C20F4" w:rsidRDefault="00A73FD5" w:rsidP="00A73FD5">
                            <w:pPr>
                              <w:tabs>
                                <w:tab w:val="center" w:pos="2419"/>
                                <w:tab w:val="right" w:pos="4838"/>
                              </w:tabs>
                              <w:spacing w:after="112" w:line="276" w:lineRule="auto"/>
                              <w:ind w:left="403"/>
                              <w:contextualSpacing/>
                              <w:rPr>
                                <w:sz w:val="20"/>
                                <w:szCs w:val="20"/>
                                <w:lang w:val="af-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ADB3A" id="_x0000_t202" coordsize="21600,21600" o:spt="202" path="m,l,21600r21600,l21600,xe">
                <v:stroke joinstyle="miter"/>
                <v:path gradientshapeok="t" o:connecttype="rect"/>
              </v:shapetype>
              <v:shape id="Text Box 5" o:spid="_x0000_s1026" type="#_x0000_t202" style="position:absolute;left:0;text-align:left;margin-left:-1.2pt;margin-top:2.45pt;width:23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">
                <v:path arrowok="t"/>
                <v:textbox>
                  <w:txbxContent>
                    <w:p w14:paraId="0DD93EE6" w14:textId="77777777" w:rsidR="00A73FD5" w:rsidRPr="00913F95" w:rsidRDefault="00A73FD5" w:rsidP="00A73FD5">
                      <w:pPr>
                        <w:jc w:val="center"/>
                        <w:rPr>
                          <w:rFonts w:ascii="Century Gothic" w:hAnsi="Century Gothic"/>
                          <w:b/>
                          <w:sz w:val="20"/>
                          <w:szCs w:val="20"/>
                        </w:rPr>
                      </w:pPr>
                    </w:p>
                    <w:p w14:paraId="624EB2C1" w14:textId="77777777" w:rsidR="00A73FD5" w:rsidRPr="00A73FD5" w:rsidRDefault="00A73FD5" w:rsidP="00A73FD5">
                      <w:pPr>
                        <w:widowControl w:val="0"/>
                        <w:tabs>
                          <w:tab w:val="center" w:pos="2419"/>
                          <w:tab w:val="right" w:pos="4838"/>
                        </w:tabs>
                        <w:autoSpaceDE w:val="0"/>
                        <w:autoSpaceDN w:val="0"/>
                        <w:adjustRightInd w:val="0"/>
                        <w:rPr>
                          <w:rFonts w:ascii="Calibri" w:hAnsi="Calibri" w:cs="Calibri"/>
                          <w:sz w:val="20"/>
                          <w:szCs w:val="20"/>
                        </w:rPr>
                      </w:pPr>
                      <w:r w:rsidRPr="00A73FD5">
                        <w:rPr>
                          <w:rFonts w:ascii="Calibri" w:hAnsi="Calibri" w:cs="Calibri"/>
                          <w:sz w:val="20"/>
                          <w:szCs w:val="20"/>
                        </w:rPr>
                        <w:t>DELETE WHICHEVER IS NOT APPLICABLE</w:t>
                      </w:r>
                    </w:p>
                    <w:p w14:paraId="002C6E9C" w14:textId="754A3D65" w:rsidR="00A73FD5" w:rsidRPr="00A73FD5" w:rsidRDefault="00A65CB3" w:rsidP="00A65CB3">
                      <w:pPr>
                        <w:widowControl w:val="0"/>
                        <w:autoSpaceDE w:val="0"/>
                        <w:autoSpaceDN w:val="0"/>
                        <w:adjustRightInd w:val="0"/>
                        <w:spacing w:after="0" w:line="240" w:lineRule="auto"/>
                        <w:ind w:left="238" w:hanging="238"/>
                        <w:contextualSpacing/>
                        <w:rPr>
                          <w:rFonts w:ascii="Calibri" w:hAnsi="Calibri" w:cs="Calibri"/>
                          <w:sz w:val="20"/>
                          <w:szCs w:val="20"/>
                          <w:lang w:val="af-ZA"/>
                        </w:rPr>
                      </w:pPr>
                      <w:r w:rsidRPr="00A73FD5">
                        <w:rPr>
                          <w:rFonts w:ascii="Calibri" w:eastAsia="Times New Roman" w:hAnsi="Calibri" w:cs="Times New Roman"/>
                          <w:sz w:val="20"/>
                          <w:szCs w:val="20"/>
                          <w:lang w:val="af-ZA"/>
                        </w:rPr>
                        <w:t>(1)</w:t>
                      </w:r>
                      <w:r w:rsidRPr="00A73FD5">
                        <w:rPr>
                          <w:rFonts w:ascii="Calibri" w:eastAsia="Times New Roman" w:hAnsi="Calibri" w:cs="Times New Roman"/>
                          <w:sz w:val="20"/>
                          <w:szCs w:val="20"/>
                          <w:lang w:val="af-ZA"/>
                        </w:rPr>
                        <w:tab/>
                      </w:r>
                      <w:r w:rsidR="00A73FD5" w:rsidRPr="00A73FD5">
                        <w:rPr>
                          <w:rFonts w:ascii="Calibri" w:hAnsi="Calibri" w:cs="Calibri"/>
                          <w:sz w:val="20"/>
                          <w:szCs w:val="20"/>
                          <w:lang w:val="af-ZA"/>
                        </w:rPr>
                        <w:t>REPORTABLE: YES</w:t>
                      </w:r>
                    </w:p>
                    <w:p w14:paraId="439BF7A4" w14:textId="2A03F7E8" w:rsidR="00A73FD5" w:rsidRPr="00A73FD5" w:rsidRDefault="00A65CB3" w:rsidP="00A65CB3">
                      <w:pPr>
                        <w:widowControl w:val="0"/>
                        <w:autoSpaceDE w:val="0"/>
                        <w:autoSpaceDN w:val="0"/>
                        <w:adjustRightInd w:val="0"/>
                        <w:spacing w:after="0" w:line="240" w:lineRule="auto"/>
                        <w:ind w:left="238" w:hanging="238"/>
                        <w:contextualSpacing/>
                        <w:rPr>
                          <w:rFonts w:ascii="Calibri" w:hAnsi="Calibri" w:cs="Calibri"/>
                          <w:sz w:val="20"/>
                          <w:szCs w:val="20"/>
                          <w:lang w:val="af-ZA"/>
                        </w:rPr>
                      </w:pPr>
                      <w:r w:rsidRPr="00A73FD5">
                        <w:rPr>
                          <w:rFonts w:ascii="Calibri" w:eastAsia="Times New Roman" w:hAnsi="Calibri" w:cs="Times New Roman"/>
                          <w:sz w:val="20"/>
                          <w:szCs w:val="20"/>
                          <w:lang w:val="af-ZA"/>
                        </w:rPr>
                        <w:t>(2)</w:t>
                      </w:r>
                      <w:r w:rsidRPr="00A73FD5">
                        <w:rPr>
                          <w:rFonts w:ascii="Calibri" w:eastAsia="Times New Roman" w:hAnsi="Calibri" w:cs="Times New Roman"/>
                          <w:sz w:val="20"/>
                          <w:szCs w:val="20"/>
                          <w:lang w:val="af-ZA"/>
                        </w:rPr>
                        <w:tab/>
                      </w:r>
                      <w:r w:rsidR="00A73FD5" w:rsidRPr="00A73FD5">
                        <w:rPr>
                          <w:rFonts w:ascii="Calibri" w:hAnsi="Calibri" w:cs="Calibri"/>
                          <w:sz w:val="20"/>
                          <w:szCs w:val="20"/>
                          <w:lang w:val="af-ZA"/>
                        </w:rPr>
                        <w:t>OF INTEREST TO OTHERS JUDGES: YES</w:t>
                      </w:r>
                    </w:p>
                    <w:p w14:paraId="5178256C" w14:textId="3DA2CFA0" w:rsidR="00A73FD5" w:rsidRPr="00A73FD5" w:rsidRDefault="00A65CB3" w:rsidP="00A65CB3">
                      <w:pPr>
                        <w:widowControl w:val="0"/>
                        <w:autoSpaceDE w:val="0"/>
                        <w:autoSpaceDN w:val="0"/>
                        <w:adjustRightInd w:val="0"/>
                        <w:spacing w:after="0" w:line="240" w:lineRule="auto"/>
                        <w:ind w:left="238" w:hanging="238"/>
                        <w:contextualSpacing/>
                        <w:rPr>
                          <w:rFonts w:ascii="Calibri" w:hAnsi="Calibri" w:cs="Calibri"/>
                          <w:sz w:val="20"/>
                          <w:szCs w:val="20"/>
                          <w:lang w:val="af-ZA"/>
                        </w:rPr>
                      </w:pPr>
                      <w:r w:rsidRPr="00A73FD5">
                        <w:rPr>
                          <w:rFonts w:ascii="Calibri" w:eastAsia="Times New Roman" w:hAnsi="Calibri" w:cs="Times New Roman"/>
                          <w:sz w:val="20"/>
                          <w:szCs w:val="20"/>
                          <w:lang w:val="af-ZA"/>
                        </w:rPr>
                        <w:t>(3)</w:t>
                      </w:r>
                      <w:r w:rsidRPr="00A73FD5">
                        <w:rPr>
                          <w:rFonts w:ascii="Calibri" w:eastAsia="Times New Roman" w:hAnsi="Calibri" w:cs="Times New Roman"/>
                          <w:sz w:val="20"/>
                          <w:szCs w:val="20"/>
                          <w:lang w:val="af-ZA"/>
                        </w:rPr>
                        <w:tab/>
                      </w:r>
                      <w:r w:rsidR="00A73FD5" w:rsidRPr="00A73FD5">
                        <w:rPr>
                          <w:rFonts w:ascii="Calibri" w:hAnsi="Calibri" w:cs="Calibri"/>
                          <w:sz w:val="20"/>
                          <w:szCs w:val="20"/>
                          <w:lang w:val="af-ZA"/>
                        </w:rPr>
                        <w:t>REVISED: NO</w:t>
                      </w:r>
                    </w:p>
                    <w:p w14:paraId="0940761B" w14:textId="77777777" w:rsidR="00A73FD5" w:rsidRPr="007C20F4" w:rsidRDefault="00A73FD5" w:rsidP="00A73FD5">
                      <w:pPr>
                        <w:tabs>
                          <w:tab w:val="center" w:pos="2419"/>
                          <w:tab w:val="right" w:pos="4838"/>
                        </w:tabs>
                        <w:spacing w:after="112" w:line="276" w:lineRule="auto"/>
                        <w:ind w:left="403"/>
                        <w:contextualSpacing/>
                        <w:rPr>
                          <w:sz w:val="20"/>
                          <w:szCs w:val="20"/>
                          <w:lang w:val="af-ZA"/>
                        </w:rPr>
                      </w:pPr>
                    </w:p>
                  </w:txbxContent>
                </v:textbox>
              </v:shape>
            </w:pict>
          </mc:Fallback>
        </mc:AlternateContent>
      </w:r>
    </w:p>
    <w:p w14:paraId="6D940BBB" w14:textId="77777777" w:rsidR="00A70B66" w:rsidRPr="00A73FD5" w:rsidRDefault="00A70B66" w:rsidP="006E2209">
      <w:pPr>
        <w:pStyle w:val="FootnoteText"/>
        <w:spacing w:line="360" w:lineRule="auto"/>
        <w:jc w:val="both"/>
        <w:rPr>
          <w:rFonts w:ascii="Arial" w:hAnsi="Arial" w:cs="Arial"/>
          <w:sz w:val="18"/>
          <w:szCs w:val="18"/>
          <w:lang w:val="en-US"/>
        </w:rPr>
      </w:pPr>
    </w:p>
    <w:p w14:paraId="17C35DB6" w14:textId="77777777" w:rsidR="00A70B66" w:rsidRDefault="00A70B66" w:rsidP="006E2209">
      <w:pPr>
        <w:pStyle w:val="FootnoteText"/>
        <w:spacing w:line="360" w:lineRule="auto"/>
        <w:jc w:val="both"/>
        <w:rPr>
          <w:rFonts w:ascii="Arial" w:hAnsi="Arial" w:cs="Arial"/>
          <w:sz w:val="24"/>
          <w:szCs w:val="24"/>
          <w:lang w:val="en-US"/>
        </w:rPr>
      </w:pPr>
    </w:p>
    <w:p w14:paraId="31A010E1" w14:textId="77777777" w:rsidR="00A70B66" w:rsidRDefault="00A70B66" w:rsidP="006E2209">
      <w:pPr>
        <w:pStyle w:val="FootnoteText"/>
        <w:spacing w:line="360" w:lineRule="auto"/>
        <w:jc w:val="both"/>
        <w:rPr>
          <w:rFonts w:ascii="Arial" w:hAnsi="Arial" w:cs="Arial"/>
          <w:sz w:val="24"/>
          <w:szCs w:val="24"/>
          <w:lang w:val="en-US"/>
        </w:rPr>
      </w:pPr>
    </w:p>
    <w:p w14:paraId="3CD658AB" w14:textId="77777777" w:rsidR="00A70B66" w:rsidRDefault="00A70B66" w:rsidP="006E2209">
      <w:pPr>
        <w:pStyle w:val="FootnoteText"/>
        <w:jc w:val="both"/>
        <w:rPr>
          <w:rFonts w:ascii="Arial" w:hAnsi="Arial" w:cs="Arial"/>
          <w:sz w:val="24"/>
          <w:szCs w:val="24"/>
          <w:lang w:val="en-US"/>
        </w:rPr>
      </w:pPr>
    </w:p>
    <w:p w14:paraId="19A10496" w14:textId="77777777" w:rsidR="006E2209" w:rsidRDefault="006E2209" w:rsidP="00703FC0">
      <w:pPr>
        <w:pStyle w:val="FootnoteText"/>
        <w:spacing w:line="360" w:lineRule="auto"/>
        <w:jc w:val="both"/>
        <w:rPr>
          <w:rFonts w:ascii="Arial" w:hAnsi="Arial" w:cs="Arial"/>
          <w:sz w:val="24"/>
          <w:szCs w:val="24"/>
          <w:lang w:val="en-US"/>
        </w:rPr>
      </w:pPr>
    </w:p>
    <w:p w14:paraId="55BE8612" w14:textId="26C9752D" w:rsidR="00A70B66" w:rsidRDefault="000F618A" w:rsidP="00703FC0">
      <w:pPr>
        <w:pStyle w:val="FootnoteText"/>
        <w:spacing w:line="360" w:lineRule="auto"/>
        <w:jc w:val="both"/>
        <w:rPr>
          <w:rFonts w:ascii="Arial" w:hAnsi="Arial" w:cs="Arial"/>
          <w:sz w:val="24"/>
          <w:szCs w:val="24"/>
          <w:lang w:val="en-US"/>
        </w:rPr>
      </w:pPr>
      <w:r>
        <w:rPr>
          <w:rFonts w:ascii="Arial" w:hAnsi="Arial" w:cs="Arial"/>
          <w:sz w:val="24"/>
          <w:szCs w:val="24"/>
          <w:lang w:val="en-US"/>
        </w:rPr>
        <w:t xml:space="preserve">In the matter between: </w:t>
      </w:r>
    </w:p>
    <w:p w14:paraId="4FDC629C" w14:textId="5184BB1C" w:rsidR="000F618A" w:rsidRPr="006E2209" w:rsidRDefault="000F618A" w:rsidP="00703FC0">
      <w:pPr>
        <w:pStyle w:val="FootnoteText"/>
        <w:spacing w:line="360" w:lineRule="auto"/>
        <w:jc w:val="both"/>
        <w:rPr>
          <w:rFonts w:ascii="Arial" w:hAnsi="Arial" w:cs="Arial"/>
          <w:b/>
          <w:bCs/>
          <w:sz w:val="24"/>
          <w:szCs w:val="24"/>
          <w:lang w:val="en-US"/>
        </w:rPr>
      </w:pPr>
      <w:r w:rsidRPr="006E2209">
        <w:rPr>
          <w:rFonts w:ascii="Arial" w:hAnsi="Arial" w:cs="Arial"/>
          <w:b/>
          <w:bCs/>
          <w:sz w:val="24"/>
          <w:szCs w:val="24"/>
          <w:lang w:val="en-US"/>
        </w:rPr>
        <w:t xml:space="preserve">SAND SHIFTERS AFRICA (PTY) LTD                                               </w:t>
      </w:r>
      <w:r w:rsidR="006E2209">
        <w:rPr>
          <w:rFonts w:ascii="Arial" w:hAnsi="Arial" w:cs="Arial"/>
          <w:b/>
          <w:bCs/>
          <w:sz w:val="24"/>
          <w:szCs w:val="24"/>
          <w:lang w:val="en-US"/>
        </w:rPr>
        <w:t xml:space="preserve"> </w:t>
      </w:r>
      <w:r w:rsidRPr="006E2209">
        <w:rPr>
          <w:rFonts w:ascii="Arial" w:hAnsi="Arial" w:cs="Arial"/>
          <w:b/>
          <w:bCs/>
          <w:sz w:val="24"/>
          <w:szCs w:val="24"/>
          <w:lang w:val="en-US"/>
        </w:rPr>
        <w:t xml:space="preserve"> FIRST APPLICANT</w:t>
      </w:r>
    </w:p>
    <w:p w14:paraId="337BD382" w14:textId="4D41B652" w:rsidR="00A70B66" w:rsidRDefault="006E2209" w:rsidP="00703FC0">
      <w:pPr>
        <w:pStyle w:val="FootnoteText"/>
        <w:spacing w:line="360" w:lineRule="auto"/>
        <w:jc w:val="both"/>
        <w:rPr>
          <w:rFonts w:ascii="Arial" w:hAnsi="Arial" w:cs="Arial"/>
          <w:b/>
          <w:bCs/>
          <w:sz w:val="24"/>
          <w:szCs w:val="24"/>
          <w:lang w:val="en-US"/>
        </w:rPr>
      </w:pPr>
      <w:r>
        <w:rPr>
          <w:rFonts w:ascii="Arial" w:hAnsi="Arial" w:cs="Arial"/>
          <w:b/>
          <w:bCs/>
          <w:sz w:val="24"/>
          <w:szCs w:val="24"/>
          <w:lang w:val="en-US"/>
        </w:rPr>
        <w:t xml:space="preserve">SAND SHIFTERS (PTY) LTD                                                         </w:t>
      </w:r>
      <w:r w:rsidR="00CB74AA">
        <w:rPr>
          <w:rFonts w:ascii="Arial" w:hAnsi="Arial" w:cs="Arial"/>
          <w:b/>
          <w:bCs/>
          <w:sz w:val="24"/>
          <w:szCs w:val="24"/>
          <w:lang w:val="en-US"/>
        </w:rPr>
        <w:t xml:space="preserve"> </w:t>
      </w:r>
      <w:r>
        <w:rPr>
          <w:rFonts w:ascii="Arial" w:hAnsi="Arial" w:cs="Arial"/>
          <w:b/>
          <w:bCs/>
          <w:sz w:val="24"/>
          <w:szCs w:val="24"/>
          <w:lang w:val="en-US"/>
        </w:rPr>
        <w:t>SECOND APPLICANT</w:t>
      </w:r>
    </w:p>
    <w:p w14:paraId="3F0E43D3" w14:textId="2932F310" w:rsidR="00CB74AA" w:rsidRDefault="00CB74AA" w:rsidP="00703FC0">
      <w:pPr>
        <w:pStyle w:val="FootnoteText"/>
        <w:spacing w:line="360" w:lineRule="auto"/>
        <w:jc w:val="both"/>
        <w:rPr>
          <w:rFonts w:ascii="Arial" w:hAnsi="Arial" w:cs="Arial"/>
          <w:b/>
          <w:bCs/>
          <w:sz w:val="24"/>
          <w:szCs w:val="24"/>
          <w:lang w:val="en-US"/>
        </w:rPr>
      </w:pPr>
      <w:r>
        <w:rPr>
          <w:rFonts w:ascii="Arial" w:hAnsi="Arial" w:cs="Arial"/>
          <w:b/>
          <w:bCs/>
          <w:sz w:val="24"/>
          <w:szCs w:val="24"/>
          <w:lang w:val="en-US"/>
        </w:rPr>
        <w:t>SAND SHIFTERS LOGISTICS HOLDINGS (PTY) LTD                      THIRD APPLICANT</w:t>
      </w:r>
    </w:p>
    <w:p w14:paraId="14B5BB38" w14:textId="0126255C" w:rsidR="00CB74AA" w:rsidRDefault="00CB74AA" w:rsidP="00703FC0">
      <w:pPr>
        <w:pStyle w:val="FootnoteText"/>
        <w:spacing w:line="360" w:lineRule="auto"/>
        <w:jc w:val="both"/>
        <w:rPr>
          <w:rFonts w:ascii="Arial" w:hAnsi="Arial" w:cs="Arial"/>
          <w:b/>
          <w:bCs/>
          <w:sz w:val="24"/>
          <w:szCs w:val="24"/>
          <w:lang w:val="en-US"/>
        </w:rPr>
      </w:pPr>
      <w:r>
        <w:rPr>
          <w:rFonts w:ascii="Arial" w:hAnsi="Arial" w:cs="Arial"/>
          <w:b/>
          <w:bCs/>
          <w:sz w:val="24"/>
          <w:szCs w:val="24"/>
          <w:lang w:val="en-US"/>
        </w:rPr>
        <w:t xml:space="preserve">MARISIMO BEE PROFESSIONAL </w:t>
      </w:r>
    </w:p>
    <w:p w14:paraId="0E3DD970" w14:textId="5B4ADA60" w:rsidR="00CB74AA" w:rsidRDefault="00CB74AA" w:rsidP="00703FC0">
      <w:pPr>
        <w:pStyle w:val="FootnoteText"/>
        <w:spacing w:line="360" w:lineRule="auto"/>
        <w:jc w:val="both"/>
        <w:rPr>
          <w:rFonts w:ascii="Arial" w:hAnsi="Arial" w:cs="Arial"/>
          <w:b/>
          <w:bCs/>
          <w:sz w:val="24"/>
          <w:szCs w:val="24"/>
          <w:lang w:val="en-US"/>
        </w:rPr>
      </w:pPr>
      <w:r>
        <w:rPr>
          <w:rFonts w:ascii="Arial" w:hAnsi="Arial" w:cs="Arial"/>
          <w:b/>
          <w:bCs/>
          <w:sz w:val="24"/>
          <w:szCs w:val="24"/>
          <w:lang w:val="en-US"/>
        </w:rPr>
        <w:t>SERVICES (PTY) LTD)                                                                    FOURTH APPLICANT</w:t>
      </w:r>
    </w:p>
    <w:p w14:paraId="534EF1F8" w14:textId="77777777" w:rsidR="00CB74AA" w:rsidRPr="006E2209" w:rsidRDefault="00CB74AA" w:rsidP="00703FC0">
      <w:pPr>
        <w:pStyle w:val="FootnoteText"/>
        <w:spacing w:line="360" w:lineRule="auto"/>
        <w:jc w:val="both"/>
        <w:rPr>
          <w:rFonts w:ascii="Arial" w:hAnsi="Arial" w:cs="Arial"/>
          <w:b/>
          <w:bCs/>
          <w:sz w:val="24"/>
          <w:szCs w:val="24"/>
          <w:lang w:val="en-US"/>
        </w:rPr>
      </w:pPr>
    </w:p>
    <w:p w14:paraId="3EE1E894" w14:textId="20828A48" w:rsidR="00A70B66" w:rsidRDefault="006E2209" w:rsidP="00703FC0">
      <w:pPr>
        <w:pStyle w:val="FootnoteText"/>
        <w:spacing w:line="360" w:lineRule="auto"/>
        <w:jc w:val="both"/>
        <w:rPr>
          <w:rFonts w:ascii="Arial" w:hAnsi="Arial" w:cs="Arial"/>
          <w:sz w:val="24"/>
          <w:szCs w:val="24"/>
          <w:lang w:val="en-US"/>
        </w:rPr>
      </w:pPr>
      <w:r w:rsidRPr="006E2209">
        <w:rPr>
          <w:rFonts w:ascii="Arial" w:hAnsi="Arial" w:cs="Arial"/>
          <w:sz w:val="24"/>
          <w:szCs w:val="24"/>
          <w:lang w:val="en-US"/>
        </w:rPr>
        <w:t>and</w:t>
      </w:r>
    </w:p>
    <w:p w14:paraId="6A458084" w14:textId="77777777" w:rsidR="00CB74AA" w:rsidRPr="006E2209" w:rsidRDefault="00CB74AA" w:rsidP="00703FC0">
      <w:pPr>
        <w:pStyle w:val="FootnoteText"/>
        <w:spacing w:line="360" w:lineRule="auto"/>
        <w:jc w:val="both"/>
        <w:rPr>
          <w:rFonts w:ascii="Arial" w:hAnsi="Arial" w:cs="Arial"/>
          <w:sz w:val="24"/>
          <w:szCs w:val="24"/>
          <w:lang w:val="en-US"/>
        </w:rPr>
      </w:pPr>
    </w:p>
    <w:p w14:paraId="7CE3BA67" w14:textId="77777777" w:rsidR="006E2209" w:rsidRDefault="006E2209" w:rsidP="00703FC0">
      <w:pPr>
        <w:pStyle w:val="FootnoteText"/>
        <w:spacing w:line="360" w:lineRule="auto"/>
        <w:jc w:val="both"/>
        <w:rPr>
          <w:rFonts w:ascii="Arial" w:hAnsi="Arial" w:cs="Arial"/>
          <w:b/>
          <w:bCs/>
          <w:sz w:val="24"/>
          <w:szCs w:val="24"/>
          <w:lang w:val="en-US"/>
        </w:rPr>
      </w:pPr>
      <w:r w:rsidRPr="006E2209">
        <w:rPr>
          <w:rFonts w:ascii="Arial" w:hAnsi="Arial" w:cs="Arial"/>
          <w:b/>
          <w:bCs/>
          <w:sz w:val="24"/>
          <w:szCs w:val="24"/>
          <w:lang w:val="en-US"/>
        </w:rPr>
        <w:t xml:space="preserve">COMMISSIONER: BROAD-BASED BLACK </w:t>
      </w:r>
    </w:p>
    <w:p w14:paraId="268CEA9A" w14:textId="1743124E" w:rsidR="006E2209" w:rsidRDefault="006E2209" w:rsidP="00703FC0">
      <w:pPr>
        <w:pStyle w:val="FootnoteText"/>
        <w:spacing w:line="360" w:lineRule="auto"/>
        <w:jc w:val="both"/>
        <w:rPr>
          <w:rFonts w:ascii="Arial" w:hAnsi="Arial" w:cs="Arial"/>
          <w:b/>
          <w:bCs/>
          <w:sz w:val="24"/>
          <w:szCs w:val="24"/>
          <w:lang w:val="en-US"/>
        </w:rPr>
      </w:pPr>
      <w:r w:rsidRPr="006E2209">
        <w:rPr>
          <w:rFonts w:ascii="Arial" w:hAnsi="Arial" w:cs="Arial"/>
          <w:b/>
          <w:bCs/>
          <w:sz w:val="24"/>
          <w:szCs w:val="24"/>
          <w:lang w:val="en-US"/>
        </w:rPr>
        <w:t>ECONOMIC</w:t>
      </w:r>
      <w:r>
        <w:rPr>
          <w:rFonts w:ascii="Arial" w:hAnsi="Arial" w:cs="Arial"/>
          <w:b/>
          <w:bCs/>
          <w:sz w:val="24"/>
          <w:szCs w:val="24"/>
          <w:lang w:val="en-US"/>
        </w:rPr>
        <w:t xml:space="preserve"> </w:t>
      </w:r>
      <w:r w:rsidRPr="006E2209">
        <w:rPr>
          <w:rFonts w:ascii="Arial" w:hAnsi="Arial" w:cs="Arial"/>
          <w:b/>
          <w:bCs/>
          <w:sz w:val="24"/>
          <w:szCs w:val="24"/>
          <w:lang w:val="en-US"/>
        </w:rPr>
        <w:t xml:space="preserve">EMPOERMENT COMMISSION                                  </w:t>
      </w:r>
      <w:r>
        <w:rPr>
          <w:rFonts w:ascii="Arial" w:hAnsi="Arial" w:cs="Arial"/>
          <w:b/>
          <w:bCs/>
          <w:sz w:val="24"/>
          <w:szCs w:val="24"/>
          <w:lang w:val="en-US"/>
        </w:rPr>
        <w:t xml:space="preserve"> </w:t>
      </w:r>
      <w:r w:rsidRPr="006E2209">
        <w:rPr>
          <w:rFonts w:ascii="Arial" w:hAnsi="Arial" w:cs="Arial"/>
          <w:b/>
          <w:bCs/>
          <w:sz w:val="24"/>
          <w:szCs w:val="24"/>
          <w:lang w:val="en-US"/>
        </w:rPr>
        <w:t>FIRST RESPONDENT</w:t>
      </w:r>
    </w:p>
    <w:p w14:paraId="650A53F7" w14:textId="5F84F6C1" w:rsidR="00CB74AA" w:rsidRDefault="00CB74AA" w:rsidP="00703FC0">
      <w:pPr>
        <w:pStyle w:val="FootnoteText"/>
        <w:spacing w:line="360" w:lineRule="auto"/>
        <w:jc w:val="both"/>
        <w:rPr>
          <w:rFonts w:ascii="Arial" w:hAnsi="Arial" w:cs="Arial"/>
          <w:b/>
          <w:bCs/>
          <w:sz w:val="24"/>
          <w:szCs w:val="24"/>
          <w:lang w:val="en-US"/>
        </w:rPr>
      </w:pPr>
      <w:r>
        <w:rPr>
          <w:rFonts w:ascii="Arial" w:hAnsi="Arial" w:cs="Arial"/>
          <w:b/>
          <w:bCs/>
          <w:sz w:val="24"/>
          <w:szCs w:val="24"/>
          <w:lang w:val="en-US"/>
        </w:rPr>
        <w:t>MINISTER OF TRADE AND INDUSTRY                                   SECOND RESPONDENT</w:t>
      </w:r>
    </w:p>
    <w:p w14:paraId="7E8191CB" w14:textId="77777777" w:rsidR="006E2209" w:rsidRDefault="006E2209" w:rsidP="00CB74AA">
      <w:pPr>
        <w:pStyle w:val="FootnoteText"/>
        <w:spacing w:line="360" w:lineRule="auto"/>
        <w:jc w:val="both"/>
        <w:rPr>
          <w:rFonts w:ascii="Arial" w:hAnsi="Arial" w:cs="Arial"/>
          <w:b/>
          <w:bCs/>
          <w:sz w:val="24"/>
          <w:szCs w:val="24"/>
          <w:lang w:val="en-US"/>
        </w:rPr>
      </w:pPr>
    </w:p>
    <w:p w14:paraId="7112AA00" w14:textId="4BC30312" w:rsidR="006E2209" w:rsidRDefault="006E2209" w:rsidP="00CB74AA">
      <w:pPr>
        <w:pStyle w:val="FootnoteText"/>
        <w:spacing w:line="360" w:lineRule="auto"/>
        <w:jc w:val="both"/>
        <w:rPr>
          <w:rFonts w:ascii="Arial" w:hAnsi="Arial" w:cs="Arial"/>
          <w:b/>
          <w:bCs/>
          <w:sz w:val="24"/>
          <w:szCs w:val="24"/>
          <w:lang w:val="en-US"/>
        </w:rPr>
      </w:pPr>
      <w:r>
        <w:rPr>
          <w:rFonts w:ascii="Arial" w:hAnsi="Arial" w:cs="Arial"/>
          <w:b/>
          <w:bCs/>
          <w:sz w:val="24"/>
          <w:szCs w:val="24"/>
          <w:lang w:val="en-US"/>
        </w:rPr>
        <w:t>—————————————————————————————————————</w:t>
      </w:r>
    </w:p>
    <w:p w14:paraId="070A612B" w14:textId="7E920EE6" w:rsidR="006E2209" w:rsidRPr="006E2209" w:rsidRDefault="006E2209" w:rsidP="00CB74AA">
      <w:pPr>
        <w:pStyle w:val="FootnoteText"/>
        <w:spacing w:line="360" w:lineRule="auto"/>
        <w:jc w:val="center"/>
        <w:rPr>
          <w:rFonts w:ascii="Arial" w:hAnsi="Arial" w:cs="Arial"/>
          <w:b/>
          <w:bCs/>
          <w:sz w:val="24"/>
          <w:szCs w:val="24"/>
          <w:lang w:val="en-US"/>
        </w:rPr>
      </w:pPr>
      <w:r w:rsidRPr="006E2209">
        <w:rPr>
          <w:rFonts w:ascii="Arial" w:hAnsi="Arial" w:cs="Arial"/>
          <w:b/>
          <w:bCs/>
          <w:sz w:val="24"/>
          <w:szCs w:val="24"/>
          <w:lang w:val="en-US"/>
        </w:rPr>
        <w:t xml:space="preserve">JUDGMENT </w:t>
      </w:r>
    </w:p>
    <w:p w14:paraId="25F52E44" w14:textId="674A0AD9" w:rsidR="006E2209" w:rsidRDefault="006E2209" w:rsidP="00CB74AA">
      <w:pPr>
        <w:pStyle w:val="FootnoteText"/>
        <w:spacing w:line="360" w:lineRule="auto"/>
        <w:jc w:val="both"/>
        <w:rPr>
          <w:rFonts w:ascii="Arial" w:hAnsi="Arial" w:cs="Arial"/>
          <w:sz w:val="24"/>
          <w:szCs w:val="24"/>
          <w:lang w:val="en-US"/>
        </w:rPr>
      </w:pPr>
      <w:r>
        <w:rPr>
          <w:rFonts w:ascii="Arial" w:hAnsi="Arial" w:cs="Arial"/>
          <w:sz w:val="24"/>
          <w:szCs w:val="24"/>
          <w:lang w:val="en-US"/>
        </w:rPr>
        <w:t>—————————————————————————————————————</w:t>
      </w:r>
    </w:p>
    <w:p w14:paraId="5F9399D4" w14:textId="3C8143E4" w:rsidR="00CB74AA" w:rsidRDefault="006E2209" w:rsidP="00CB74AA">
      <w:pPr>
        <w:pStyle w:val="FootnoteText"/>
        <w:spacing w:line="360" w:lineRule="auto"/>
        <w:jc w:val="both"/>
        <w:rPr>
          <w:rFonts w:ascii="Arial" w:hAnsi="Arial" w:cs="Arial"/>
          <w:b/>
          <w:bCs/>
          <w:sz w:val="24"/>
          <w:szCs w:val="24"/>
          <w:lang w:val="en-US"/>
        </w:rPr>
      </w:pPr>
      <w:r>
        <w:rPr>
          <w:rFonts w:ascii="Arial" w:hAnsi="Arial" w:cs="Arial"/>
          <w:b/>
          <w:bCs/>
          <w:sz w:val="24"/>
          <w:szCs w:val="24"/>
          <w:lang w:val="en-US"/>
        </w:rPr>
        <w:t>MOTHA J</w:t>
      </w:r>
    </w:p>
    <w:p w14:paraId="05D884DA" w14:textId="0CDDEB93" w:rsidR="009F207B" w:rsidRDefault="009F207B" w:rsidP="009F207B">
      <w:pPr>
        <w:pStyle w:val="FootnoteText"/>
        <w:spacing w:line="360" w:lineRule="auto"/>
        <w:jc w:val="both"/>
        <w:rPr>
          <w:rFonts w:ascii="Arial" w:hAnsi="Arial" w:cs="Arial"/>
          <w:i/>
          <w:iCs/>
          <w:sz w:val="24"/>
          <w:szCs w:val="24"/>
          <w:lang w:val="en-US"/>
        </w:rPr>
      </w:pPr>
      <w:r w:rsidRPr="009F207B">
        <w:rPr>
          <w:rFonts w:ascii="Arial" w:hAnsi="Arial" w:cs="Arial"/>
          <w:i/>
          <w:iCs/>
          <w:sz w:val="24"/>
          <w:szCs w:val="24"/>
          <w:lang w:val="en-US"/>
        </w:rPr>
        <w:lastRenderedPageBreak/>
        <w:t>Introduction</w:t>
      </w:r>
    </w:p>
    <w:p w14:paraId="454E05BB" w14:textId="1C49287C" w:rsidR="001473D3" w:rsidRDefault="00A65CB3" w:rsidP="00A65CB3">
      <w:pPr>
        <w:pStyle w:val="FootnoteText"/>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4E41EA">
        <w:rPr>
          <w:rFonts w:ascii="Arial" w:hAnsi="Arial" w:cs="Arial"/>
          <w:sz w:val="24"/>
          <w:szCs w:val="24"/>
          <w:lang w:val="en-US"/>
        </w:rPr>
        <w:t xml:space="preserve">Fronting is a weapon used by erstwhile oppressors to </w:t>
      </w:r>
      <w:r w:rsidR="008F1E6A">
        <w:rPr>
          <w:rFonts w:ascii="Arial" w:hAnsi="Arial" w:cs="Arial"/>
          <w:sz w:val="24"/>
          <w:szCs w:val="24"/>
          <w:lang w:val="en-US"/>
        </w:rPr>
        <w:t xml:space="preserve">stymie and </w:t>
      </w:r>
      <w:r w:rsidR="004E41EA">
        <w:rPr>
          <w:rFonts w:ascii="Arial" w:hAnsi="Arial" w:cs="Arial"/>
          <w:sz w:val="24"/>
          <w:szCs w:val="24"/>
          <w:lang w:val="en-US"/>
        </w:rPr>
        <w:t xml:space="preserve">reverse the gains of the democratic project. They know that a hungry stomach knows </w:t>
      </w:r>
      <w:r w:rsidR="00D56A39">
        <w:rPr>
          <w:rFonts w:ascii="Arial" w:hAnsi="Arial" w:cs="Arial"/>
          <w:sz w:val="24"/>
          <w:szCs w:val="24"/>
          <w:lang w:val="en-US"/>
        </w:rPr>
        <w:t>no</w:t>
      </w:r>
      <w:r w:rsidR="004E41EA">
        <w:rPr>
          <w:rFonts w:ascii="Arial" w:hAnsi="Arial" w:cs="Arial"/>
          <w:sz w:val="24"/>
          <w:szCs w:val="24"/>
          <w:lang w:val="en-US"/>
        </w:rPr>
        <w:t xml:space="preserve"> principle</w:t>
      </w:r>
      <w:r w:rsidR="00014331">
        <w:rPr>
          <w:rFonts w:ascii="Arial" w:hAnsi="Arial" w:cs="Arial"/>
          <w:sz w:val="24"/>
          <w:szCs w:val="24"/>
          <w:lang w:val="en-US"/>
        </w:rPr>
        <w:t>s</w:t>
      </w:r>
      <w:r w:rsidR="004E41EA">
        <w:rPr>
          <w:rFonts w:ascii="Arial" w:hAnsi="Arial" w:cs="Arial"/>
          <w:sz w:val="24"/>
          <w:szCs w:val="24"/>
          <w:lang w:val="en-US"/>
        </w:rPr>
        <w:t xml:space="preserve"> and greed knows </w:t>
      </w:r>
      <w:r w:rsidR="00D56A39">
        <w:rPr>
          <w:rFonts w:ascii="Arial" w:hAnsi="Arial" w:cs="Arial"/>
          <w:sz w:val="24"/>
          <w:szCs w:val="24"/>
          <w:lang w:val="en-US"/>
        </w:rPr>
        <w:t>no</w:t>
      </w:r>
      <w:r w:rsidR="004E41EA">
        <w:rPr>
          <w:rFonts w:ascii="Arial" w:hAnsi="Arial" w:cs="Arial"/>
          <w:sz w:val="24"/>
          <w:szCs w:val="24"/>
          <w:lang w:val="en-US"/>
        </w:rPr>
        <w:t xml:space="preserve"> bounds. </w:t>
      </w:r>
      <w:r w:rsidR="00A038C3">
        <w:rPr>
          <w:rFonts w:ascii="Arial" w:hAnsi="Arial" w:cs="Arial"/>
          <w:sz w:val="24"/>
          <w:szCs w:val="24"/>
          <w:lang w:val="en-US"/>
        </w:rPr>
        <w:t xml:space="preserve">From the Pied Piper of Hamelin, </w:t>
      </w:r>
      <w:r w:rsidR="008F1E6A">
        <w:rPr>
          <w:rFonts w:ascii="Arial" w:hAnsi="Arial" w:cs="Arial"/>
          <w:sz w:val="24"/>
          <w:szCs w:val="24"/>
          <w:lang w:val="en-US"/>
        </w:rPr>
        <w:t>one learns the lesson that</w:t>
      </w:r>
      <w:r w:rsidR="00186303">
        <w:rPr>
          <w:rFonts w:ascii="Arial" w:hAnsi="Arial" w:cs="Arial"/>
          <w:sz w:val="24"/>
          <w:szCs w:val="24"/>
          <w:lang w:val="en-US"/>
        </w:rPr>
        <w:t xml:space="preserve"> </w:t>
      </w:r>
      <w:r w:rsidR="00A038C3">
        <w:rPr>
          <w:rFonts w:ascii="Arial" w:hAnsi="Arial" w:cs="Arial"/>
          <w:sz w:val="24"/>
          <w:szCs w:val="24"/>
          <w:lang w:val="en-US"/>
        </w:rPr>
        <w:t xml:space="preserve">the one who pays the piper calls the tune. </w:t>
      </w:r>
    </w:p>
    <w:p w14:paraId="4A695E15" w14:textId="77777777" w:rsidR="001473D3" w:rsidRDefault="001473D3" w:rsidP="001473D3">
      <w:pPr>
        <w:pStyle w:val="FootnoteText"/>
        <w:spacing w:line="360" w:lineRule="auto"/>
        <w:jc w:val="both"/>
        <w:rPr>
          <w:rFonts w:ascii="Arial" w:hAnsi="Arial" w:cs="Arial"/>
          <w:sz w:val="24"/>
          <w:szCs w:val="24"/>
          <w:lang w:val="en-US"/>
        </w:rPr>
      </w:pPr>
    </w:p>
    <w:p w14:paraId="35B60218" w14:textId="5BA32181" w:rsidR="004E41EA" w:rsidRDefault="00A65CB3" w:rsidP="00A65CB3">
      <w:pPr>
        <w:pStyle w:val="FootnoteText"/>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1473D3" w:rsidRPr="001473D3">
        <w:rPr>
          <w:rFonts w:ascii="Arial" w:hAnsi="Arial" w:cs="Arial"/>
          <w:sz w:val="24"/>
          <w:szCs w:val="24"/>
          <w:lang w:val="en-US"/>
        </w:rPr>
        <w:t xml:space="preserve">This is a review application to set aside the findings made by the Commission of the Broad-Based Black Economic Empowerment Commission (“the Commission”) on 9 June 2021. The first to third applicants are private companies and part of the Sand Shifters Group companies specializing in supplying sand, filling, and bricks to the construction industry as well as </w:t>
      </w:r>
      <w:r w:rsidR="00977D69">
        <w:rPr>
          <w:rFonts w:ascii="Arial" w:hAnsi="Arial" w:cs="Arial"/>
          <w:sz w:val="24"/>
          <w:szCs w:val="24"/>
          <w:lang w:val="en-US"/>
        </w:rPr>
        <w:t>providing a</w:t>
      </w:r>
      <w:r w:rsidR="001473D3" w:rsidRPr="001473D3">
        <w:rPr>
          <w:rFonts w:ascii="Arial" w:hAnsi="Arial" w:cs="Arial"/>
          <w:sz w:val="24"/>
          <w:szCs w:val="24"/>
          <w:lang w:val="en-US"/>
        </w:rPr>
        <w:t xml:space="preserve">ggregates. The fourth </w:t>
      </w:r>
      <w:r w:rsidR="002C29FE">
        <w:rPr>
          <w:rFonts w:ascii="Arial" w:hAnsi="Arial" w:cs="Arial"/>
          <w:sz w:val="24"/>
          <w:szCs w:val="24"/>
          <w:lang w:val="en-US"/>
        </w:rPr>
        <w:t>a</w:t>
      </w:r>
      <w:r w:rsidR="001473D3" w:rsidRPr="001473D3">
        <w:rPr>
          <w:rFonts w:ascii="Arial" w:hAnsi="Arial" w:cs="Arial"/>
          <w:sz w:val="24"/>
          <w:szCs w:val="24"/>
          <w:lang w:val="en-US"/>
        </w:rPr>
        <w:t>pplicant was a B-BEE verification agency.  Ms</w:t>
      </w:r>
      <w:r w:rsidR="00861E7A">
        <w:rPr>
          <w:rFonts w:ascii="Arial" w:hAnsi="Arial" w:cs="Arial"/>
          <w:sz w:val="24"/>
          <w:szCs w:val="24"/>
          <w:lang w:val="en-US"/>
        </w:rPr>
        <w:t>.</w:t>
      </w:r>
      <w:r w:rsidR="001473D3" w:rsidRPr="001473D3">
        <w:rPr>
          <w:rFonts w:ascii="Arial" w:hAnsi="Arial" w:cs="Arial"/>
          <w:sz w:val="24"/>
          <w:szCs w:val="24"/>
          <w:lang w:val="en-US"/>
        </w:rPr>
        <w:t xml:space="preserve"> Colman is the sole director of the first, second and third applicants. </w:t>
      </w:r>
    </w:p>
    <w:p w14:paraId="67507E9B" w14:textId="77777777" w:rsidR="001473D3" w:rsidRPr="001473D3" w:rsidRDefault="001473D3" w:rsidP="001473D3">
      <w:pPr>
        <w:pStyle w:val="FootnoteText"/>
        <w:spacing w:line="360" w:lineRule="auto"/>
        <w:jc w:val="both"/>
        <w:rPr>
          <w:rFonts w:ascii="Arial" w:hAnsi="Arial" w:cs="Arial"/>
          <w:sz w:val="24"/>
          <w:szCs w:val="24"/>
          <w:lang w:val="en-US"/>
        </w:rPr>
      </w:pPr>
    </w:p>
    <w:p w14:paraId="20ADDCD4" w14:textId="36EA754F" w:rsidR="00374A8A"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[3]</w:t>
      </w:r>
      <w:r w:rsidRPr="00680D39">
        <w:rPr>
          <w:rFonts w:ascii="Arial" w:hAnsi="Arial" w:cs="Arial"/>
          <w:sz w:val="24"/>
          <w:szCs w:val="24"/>
          <w:lang w:val="en-US"/>
        </w:rPr>
        <w:tab/>
      </w:r>
      <w:r w:rsidR="00374A8A" w:rsidRPr="00680D39">
        <w:rPr>
          <w:rFonts w:ascii="Arial" w:hAnsi="Arial" w:cs="Arial"/>
          <w:sz w:val="24"/>
          <w:szCs w:val="24"/>
          <w:lang w:val="en-US"/>
        </w:rPr>
        <w:t xml:space="preserve">By agreement between the parties, this court's role has been truncated to </w:t>
      </w:r>
      <w:r w:rsidR="00C7149D" w:rsidRPr="00680D39">
        <w:rPr>
          <w:rFonts w:ascii="Arial" w:hAnsi="Arial" w:cs="Arial"/>
          <w:sz w:val="24"/>
          <w:szCs w:val="24"/>
          <w:lang w:val="en-US"/>
        </w:rPr>
        <w:t xml:space="preserve">solely </w:t>
      </w:r>
      <w:r w:rsidR="004E41EA">
        <w:rPr>
          <w:rFonts w:ascii="Arial" w:hAnsi="Arial" w:cs="Arial"/>
          <w:sz w:val="24"/>
          <w:szCs w:val="24"/>
          <w:lang w:val="en-US"/>
        </w:rPr>
        <w:t>adjudicate three issues</w:t>
      </w:r>
      <w:r w:rsidR="00374A8A" w:rsidRPr="00680D39">
        <w:rPr>
          <w:rFonts w:ascii="Arial" w:hAnsi="Arial" w:cs="Arial"/>
          <w:sz w:val="24"/>
          <w:szCs w:val="24"/>
          <w:lang w:val="en-US"/>
        </w:rPr>
        <w:t>, to wit:</w:t>
      </w:r>
    </w:p>
    <w:p w14:paraId="48FD732D" w14:textId="77777777" w:rsidR="00374A8A" w:rsidRPr="00680D39" w:rsidRDefault="00374A8A" w:rsidP="00861E7A">
      <w:pPr>
        <w:pStyle w:val="FootnoteText"/>
        <w:spacing w:line="360" w:lineRule="auto"/>
        <w:ind w:left="567"/>
        <w:jc w:val="both"/>
        <w:rPr>
          <w:rFonts w:ascii="Arial" w:hAnsi="Arial" w:cs="Arial"/>
          <w:sz w:val="24"/>
          <w:szCs w:val="24"/>
          <w:lang w:val="en-US"/>
        </w:rPr>
      </w:pPr>
    </w:p>
    <w:p w14:paraId="4C57A0DA" w14:textId="1A908FD4" w:rsidR="001473D3" w:rsidRDefault="00A65CB3" w:rsidP="00A65CB3">
      <w:pPr>
        <w:pStyle w:val="FootnoteText"/>
        <w:spacing w:line="360" w:lineRule="auto"/>
        <w:ind w:left="567"/>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1473D3">
        <w:rPr>
          <w:rFonts w:ascii="Arial" w:hAnsi="Arial" w:cs="Arial"/>
          <w:sz w:val="24"/>
          <w:szCs w:val="24"/>
          <w:lang w:val="en-US"/>
        </w:rPr>
        <w:t xml:space="preserve"> </w:t>
      </w:r>
      <w:r w:rsidR="0029583A" w:rsidRPr="00680D39">
        <w:rPr>
          <w:rFonts w:ascii="Arial" w:hAnsi="Arial" w:cs="Arial"/>
          <w:sz w:val="24"/>
          <w:szCs w:val="24"/>
          <w:lang w:val="en-US"/>
        </w:rPr>
        <w:t>Whether the</w:t>
      </w:r>
      <w:r w:rsidR="00374A8A" w:rsidRPr="00680D39">
        <w:rPr>
          <w:rFonts w:ascii="Arial" w:hAnsi="Arial" w:cs="Arial"/>
          <w:sz w:val="24"/>
          <w:szCs w:val="24"/>
          <w:lang w:val="en-US"/>
        </w:rPr>
        <w:t xml:space="preserve"> first respondent is entitled to challenge the authority of the applicants’ deponents, </w:t>
      </w:r>
      <w:r w:rsidR="009F207B" w:rsidRPr="00680D39">
        <w:rPr>
          <w:rFonts w:ascii="Arial" w:hAnsi="Arial" w:cs="Arial"/>
          <w:sz w:val="24"/>
          <w:szCs w:val="24"/>
          <w:lang w:val="en-US"/>
        </w:rPr>
        <w:t>Ms</w:t>
      </w:r>
      <w:r w:rsidR="00C72C3C">
        <w:rPr>
          <w:rFonts w:ascii="Arial" w:hAnsi="Arial" w:cs="Arial"/>
          <w:sz w:val="24"/>
          <w:szCs w:val="24"/>
          <w:lang w:val="en-US"/>
        </w:rPr>
        <w:t>.</w:t>
      </w:r>
      <w:r w:rsidR="009C6B9E" w:rsidRPr="00680D39">
        <w:rPr>
          <w:rFonts w:ascii="Arial" w:hAnsi="Arial" w:cs="Arial"/>
          <w:sz w:val="24"/>
          <w:szCs w:val="24"/>
          <w:lang w:val="en-US"/>
        </w:rPr>
        <w:t xml:space="preserve"> </w:t>
      </w:r>
      <w:r w:rsidR="00374A8A" w:rsidRPr="00680D39">
        <w:rPr>
          <w:rFonts w:ascii="Arial" w:hAnsi="Arial" w:cs="Arial"/>
          <w:sz w:val="24"/>
          <w:szCs w:val="24"/>
          <w:lang w:val="en-US"/>
        </w:rPr>
        <w:t>Colman</w:t>
      </w:r>
      <w:r w:rsidR="004E41EA">
        <w:rPr>
          <w:rFonts w:ascii="Arial" w:hAnsi="Arial" w:cs="Arial"/>
          <w:sz w:val="24"/>
          <w:szCs w:val="24"/>
          <w:lang w:val="en-US"/>
        </w:rPr>
        <w:t>,</w:t>
      </w:r>
      <w:r w:rsidR="00374A8A" w:rsidRPr="00680D39">
        <w:rPr>
          <w:rFonts w:ascii="Arial" w:hAnsi="Arial" w:cs="Arial"/>
          <w:sz w:val="24"/>
          <w:szCs w:val="24"/>
          <w:lang w:val="en-US"/>
        </w:rPr>
        <w:t xml:space="preserve"> in the absence of compliance with Rule 7(1) of the Uniform Rules of </w:t>
      </w:r>
      <w:r w:rsidR="009F207B" w:rsidRPr="00680D39">
        <w:rPr>
          <w:rFonts w:ascii="Arial" w:hAnsi="Arial" w:cs="Arial"/>
          <w:sz w:val="24"/>
          <w:szCs w:val="24"/>
          <w:lang w:val="en-US"/>
        </w:rPr>
        <w:t>Court</w:t>
      </w:r>
      <w:r w:rsidR="004E41EA">
        <w:rPr>
          <w:rFonts w:ascii="Arial" w:hAnsi="Arial" w:cs="Arial"/>
          <w:sz w:val="24"/>
          <w:szCs w:val="24"/>
          <w:lang w:val="en-US"/>
        </w:rPr>
        <w:t>;</w:t>
      </w:r>
      <w:r w:rsidR="00374A8A" w:rsidRPr="00680D39">
        <w:rPr>
          <w:rFonts w:ascii="Arial" w:hAnsi="Arial" w:cs="Arial"/>
          <w:sz w:val="24"/>
          <w:szCs w:val="24"/>
          <w:lang w:val="en-US"/>
        </w:rPr>
        <w:t xml:space="preserve"> </w:t>
      </w:r>
    </w:p>
    <w:p w14:paraId="02E97C79" w14:textId="5AF59637" w:rsidR="00861E7A" w:rsidRDefault="00A65CB3" w:rsidP="00A65CB3">
      <w:pPr>
        <w:pStyle w:val="FootnoteText"/>
        <w:spacing w:line="360" w:lineRule="auto"/>
        <w:ind w:left="567"/>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374A8A" w:rsidRPr="001473D3">
        <w:rPr>
          <w:rFonts w:ascii="Arial" w:hAnsi="Arial" w:cs="Arial"/>
          <w:sz w:val="24"/>
          <w:szCs w:val="24"/>
          <w:lang w:val="en-US"/>
        </w:rPr>
        <w:t>If the authority challenge is before court, whether there is sufficient evidence to satisfy the court that they are duly authorized; and</w:t>
      </w:r>
      <w:r w:rsidR="004E41EA" w:rsidRPr="001473D3">
        <w:rPr>
          <w:rFonts w:ascii="Arial" w:hAnsi="Arial" w:cs="Arial"/>
          <w:sz w:val="24"/>
          <w:szCs w:val="24"/>
          <w:lang w:val="en-US"/>
        </w:rPr>
        <w:t>;</w:t>
      </w:r>
    </w:p>
    <w:p w14:paraId="3FADBF64" w14:textId="407B72F2" w:rsidR="00374A8A" w:rsidRPr="00861E7A" w:rsidRDefault="00A65CB3" w:rsidP="00A65CB3">
      <w:pPr>
        <w:pStyle w:val="FootnoteText"/>
        <w:spacing w:line="360" w:lineRule="auto"/>
        <w:ind w:left="567"/>
        <w:jc w:val="both"/>
        <w:rPr>
          <w:rFonts w:ascii="Arial" w:hAnsi="Arial" w:cs="Arial"/>
          <w:sz w:val="24"/>
          <w:szCs w:val="24"/>
          <w:lang w:val="en-US"/>
        </w:rPr>
      </w:pPr>
      <w:r w:rsidRPr="00861E7A">
        <w:rPr>
          <w:rFonts w:ascii="Arial" w:hAnsi="Arial" w:cs="Arial"/>
          <w:sz w:val="24"/>
          <w:szCs w:val="24"/>
          <w:lang w:val="en-US"/>
        </w:rPr>
        <w:t>3.3</w:t>
      </w:r>
      <w:r w:rsidRPr="00861E7A">
        <w:rPr>
          <w:rFonts w:ascii="Arial" w:hAnsi="Arial" w:cs="Arial"/>
          <w:sz w:val="24"/>
          <w:szCs w:val="24"/>
          <w:lang w:val="en-US"/>
        </w:rPr>
        <w:tab/>
      </w:r>
      <w:r w:rsidR="00374A8A" w:rsidRPr="00861E7A">
        <w:rPr>
          <w:rFonts w:ascii="Arial" w:hAnsi="Arial" w:cs="Arial"/>
          <w:sz w:val="24"/>
          <w:szCs w:val="24"/>
          <w:lang w:val="en-US"/>
        </w:rPr>
        <w:t xml:space="preserve">Whether the first respondent is time-barred in terms of regulation 15(4)(g) of the Broad-Based Black Economic Empowerment Regulations published in </w:t>
      </w:r>
      <w:r w:rsidR="00374A8A" w:rsidRPr="00861E7A">
        <w:rPr>
          <w:rFonts w:ascii="Arial" w:hAnsi="Arial" w:cs="Arial"/>
          <w:i/>
          <w:iCs/>
          <w:sz w:val="24"/>
          <w:szCs w:val="24"/>
          <w:lang w:val="en-US"/>
        </w:rPr>
        <w:t>Government Gazette</w:t>
      </w:r>
      <w:r w:rsidR="00374A8A" w:rsidRPr="00861E7A">
        <w:rPr>
          <w:rFonts w:ascii="Arial" w:hAnsi="Arial" w:cs="Arial"/>
          <w:sz w:val="24"/>
          <w:szCs w:val="24"/>
          <w:lang w:val="en-US"/>
        </w:rPr>
        <w:t xml:space="preserve"> 40053, dated 6 June 2016.</w:t>
      </w:r>
      <w:r w:rsidR="005E4049" w:rsidRPr="00680D39">
        <w:rPr>
          <w:rStyle w:val="FootnoteReference"/>
          <w:rFonts w:ascii="Arial" w:hAnsi="Arial" w:cs="Arial"/>
          <w:sz w:val="24"/>
          <w:szCs w:val="24"/>
          <w:lang w:val="en-US"/>
        </w:rPr>
        <w:footnoteReference w:id="1"/>
      </w:r>
    </w:p>
    <w:p w14:paraId="079436B3" w14:textId="77777777" w:rsidR="00374A8A" w:rsidRPr="00680D39" w:rsidRDefault="00374A8A" w:rsidP="00861E7A">
      <w:pPr>
        <w:pStyle w:val="FootnoteText"/>
        <w:spacing w:line="360" w:lineRule="auto"/>
        <w:jc w:val="both"/>
        <w:rPr>
          <w:rFonts w:ascii="Arial" w:hAnsi="Arial" w:cs="Arial"/>
          <w:sz w:val="24"/>
          <w:szCs w:val="24"/>
          <w:lang w:val="en-US"/>
        </w:rPr>
      </w:pPr>
    </w:p>
    <w:p w14:paraId="39C281C3" w14:textId="0B6303A7" w:rsidR="00B048C7" w:rsidRPr="00680D39" w:rsidRDefault="009F207B" w:rsidP="00680D39">
      <w:pPr>
        <w:pStyle w:val="FootnoteText"/>
        <w:spacing w:line="360" w:lineRule="auto"/>
        <w:jc w:val="both"/>
        <w:rPr>
          <w:rFonts w:ascii="Arial" w:hAnsi="Arial" w:cs="Arial"/>
          <w:i/>
          <w:iCs/>
          <w:sz w:val="24"/>
          <w:szCs w:val="24"/>
          <w:lang w:val="en-GB"/>
        </w:rPr>
      </w:pPr>
      <w:r w:rsidRPr="00680D39">
        <w:rPr>
          <w:rFonts w:ascii="Arial" w:hAnsi="Arial" w:cs="Arial"/>
          <w:i/>
          <w:iCs/>
          <w:sz w:val="24"/>
          <w:szCs w:val="24"/>
          <w:lang w:val="en-GB"/>
        </w:rPr>
        <w:t>Parties</w:t>
      </w:r>
    </w:p>
    <w:p w14:paraId="15130FC9" w14:textId="1A3A0FC3" w:rsidR="009F207B" w:rsidRPr="003271ED" w:rsidRDefault="00A65CB3" w:rsidP="00A65CB3">
      <w:pPr>
        <w:pStyle w:val="FootnoteText"/>
        <w:spacing w:line="360" w:lineRule="auto"/>
        <w:jc w:val="both"/>
        <w:rPr>
          <w:rFonts w:ascii="Arial" w:hAnsi="Arial" w:cs="Arial"/>
          <w:sz w:val="24"/>
          <w:szCs w:val="24"/>
          <w:lang w:val="en-US"/>
        </w:rPr>
      </w:pPr>
      <w:r w:rsidRPr="003271ED">
        <w:rPr>
          <w:rFonts w:ascii="Arial" w:hAnsi="Arial" w:cs="Arial"/>
          <w:sz w:val="24"/>
          <w:szCs w:val="24"/>
          <w:lang w:val="en-US"/>
        </w:rPr>
        <w:t>[4]</w:t>
      </w:r>
      <w:r w:rsidRPr="003271ED">
        <w:rPr>
          <w:rFonts w:ascii="Arial" w:hAnsi="Arial" w:cs="Arial"/>
          <w:sz w:val="24"/>
          <w:szCs w:val="24"/>
          <w:lang w:val="en-US"/>
        </w:rPr>
        <w:tab/>
      </w:r>
      <w:r w:rsidR="0029583A" w:rsidRPr="00680D39">
        <w:rPr>
          <w:rFonts w:ascii="Arial" w:hAnsi="Arial" w:cs="Arial"/>
          <w:sz w:val="24"/>
          <w:szCs w:val="24"/>
          <w:lang w:val="en-US"/>
        </w:rPr>
        <w:t>I</w:t>
      </w:r>
      <w:r w:rsidR="00B048C7" w:rsidRPr="00680D39">
        <w:rPr>
          <w:rFonts w:ascii="Arial" w:hAnsi="Arial" w:cs="Arial"/>
          <w:sz w:val="24"/>
          <w:szCs w:val="24"/>
          <w:lang w:val="en-US"/>
        </w:rPr>
        <w:t>n describing the parties, it is</w:t>
      </w:r>
      <w:r w:rsidR="004E41EA">
        <w:rPr>
          <w:rFonts w:ascii="Arial" w:hAnsi="Arial" w:cs="Arial"/>
          <w:sz w:val="24"/>
          <w:szCs w:val="24"/>
          <w:lang w:val="en-US"/>
        </w:rPr>
        <w:t xml:space="preserve"> worth</w:t>
      </w:r>
      <w:r w:rsidR="001473D3">
        <w:rPr>
          <w:rFonts w:ascii="Arial" w:hAnsi="Arial" w:cs="Arial"/>
          <w:sz w:val="24"/>
          <w:szCs w:val="24"/>
          <w:lang w:val="en-US"/>
        </w:rPr>
        <w:t xml:space="preserve"> noting</w:t>
      </w:r>
      <w:r w:rsidR="004E41EA">
        <w:rPr>
          <w:rFonts w:ascii="Arial" w:hAnsi="Arial" w:cs="Arial"/>
          <w:sz w:val="24"/>
          <w:szCs w:val="24"/>
          <w:lang w:val="en-US"/>
        </w:rPr>
        <w:t xml:space="preserve"> that </w:t>
      </w:r>
      <w:r w:rsidR="00B048C7" w:rsidRPr="00680D39">
        <w:rPr>
          <w:rFonts w:ascii="Arial" w:hAnsi="Arial" w:cs="Arial"/>
          <w:sz w:val="24"/>
          <w:szCs w:val="24"/>
          <w:lang w:val="en-US"/>
        </w:rPr>
        <w:t xml:space="preserve">the dispute between the </w:t>
      </w:r>
      <w:r w:rsidR="004E41EA">
        <w:rPr>
          <w:rFonts w:ascii="Arial" w:hAnsi="Arial" w:cs="Arial"/>
          <w:sz w:val="24"/>
          <w:szCs w:val="24"/>
          <w:lang w:val="en-US"/>
        </w:rPr>
        <w:t xml:space="preserve">fourth </w:t>
      </w:r>
      <w:r w:rsidR="00B048C7" w:rsidRPr="00680D39">
        <w:rPr>
          <w:rFonts w:ascii="Arial" w:hAnsi="Arial" w:cs="Arial"/>
          <w:sz w:val="24"/>
          <w:szCs w:val="24"/>
          <w:lang w:val="en-US"/>
        </w:rPr>
        <w:t>applicant and the</w:t>
      </w:r>
      <w:r w:rsidR="004E41EA">
        <w:rPr>
          <w:rFonts w:ascii="Arial" w:hAnsi="Arial" w:cs="Arial"/>
          <w:sz w:val="24"/>
          <w:szCs w:val="24"/>
          <w:lang w:val="en-US"/>
        </w:rPr>
        <w:t xml:space="preserve"> </w:t>
      </w:r>
      <w:r w:rsidR="00B048C7" w:rsidRPr="00680D39">
        <w:rPr>
          <w:rFonts w:ascii="Arial" w:hAnsi="Arial" w:cs="Arial"/>
          <w:sz w:val="24"/>
          <w:szCs w:val="24"/>
          <w:lang w:val="en-US"/>
        </w:rPr>
        <w:t xml:space="preserve">respondents has been </w:t>
      </w:r>
      <w:r w:rsidR="003E1778" w:rsidRPr="00680D39">
        <w:rPr>
          <w:rFonts w:ascii="Arial" w:hAnsi="Arial" w:cs="Arial"/>
          <w:sz w:val="24"/>
          <w:szCs w:val="24"/>
          <w:lang w:val="en-US"/>
        </w:rPr>
        <w:t>de</w:t>
      </w:r>
      <w:r w:rsidR="009C6B9E" w:rsidRPr="00680D39">
        <w:rPr>
          <w:rFonts w:ascii="Arial" w:hAnsi="Arial" w:cs="Arial"/>
          <w:sz w:val="24"/>
          <w:szCs w:val="24"/>
          <w:lang w:val="en-US"/>
        </w:rPr>
        <w:t>a</w:t>
      </w:r>
      <w:r w:rsidR="003E1778" w:rsidRPr="00680D39">
        <w:rPr>
          <w:rFonts w:ascii="Arial" w:hAnsi="Arial" w:cs="Arial"/>
          <w:sz w:val="24"/>
          <w:szCs w:val="24"/>
          <w:lang w:val="en-US"/>
        </w:rPr>
        <w:t>lt with in terms of the order dated</w:t>
      </w:r>
      <w:r w:rsidR="002E4653">
        <w:rPr>
          <w:rFonts w:ascii="Arial" w:hAnsi="Arial" w:cs="Arial"/>
          <w:sz w:val="24"/>
          <w:szCs w:val="24"/>
          <w:lang w:val="en-US"/>
        </w:rPr>
        <w:t xml:space="preserve"> 27 July 2023.</w:t>
      </w:r>
      <w:r w:rsidR="003271ED" w:rsidRPr="003271ED">
        <w:rPr>
          <w:rFonts w:ascii="Arial" w:hAnsi="Arial" w:cs="Arial"/>
          <w:sz w:val="24"/>
          <w:szCs w:val="24"/>
          <w:lang w:val="en-US"/>
        </w:rPr>
        <w:t xml:space="preserve"> </w:t>
      </w:r>
      <w:r w:rsidR="003271ED" w:rsidRPr="00680D39">
        <w:rPr>
          <w:rFonts w:ascii="Arial" w:hAnsi="Arial" w:cs="Arial"/>
          <w:sz w:val="24"/>
          <w:szCs w:val="24"/>
          <w:lang w:val="en-US"/>
        </w:rPr>
        <w:t>Therefore, th</w:t>
      </w:r>
      <w:r w:rsidR="003271ED">
        <w:rPr>
          <w:rFonts w:ascii="Arial" w:hAnsi="Arial" w:cs="Arial"/>
          <w:sz w:val="24"/>
          <w:szCs w:val="24"/>
          <w:lang w:val="en-US"/>
        </w:rPr>
        <w:t xml:space="preserve">e only </w:t>
      </w:r>
      <w:r w:rsidR="001473D3" w:rsidRPr="00552FD9">
        <w:rPr>
          <w:rFonts w:ascii="Arial" w:hAnsi="Arial" w:cs="Arial"/>
          <w:i/>
          <w:iCs/>
          <w:sz w:val="24"/>
          <w:szCs w:val="24"/>
          <w:lang w:val="en-US"/>
        </w:rPr>
        <w:t>dramatis personae</w:t>
      </w:r>
      <w:r w:rsidR="001473D3">
        <w:rPr>
          <w:rFonts w:ascii="Arial" w:hAnsi="Arial" w:cs="Arial"/>
          <w:sz w:val="24"/>
          <w:szCs w:val="24"/>
          <w:lang w:val="en-US"/>
        </w:rPr>
        <w:t xml:space="preserve"> are</w:t>
      </w:r>
      <w:r w:rsidR="00582637">
        <w:rPr>
          <w:rFonts w:ascii="Arial" w:hAnsi="Arial" w:cs="Arial"/>
          <w:sz w:val="24"/>
          <w:szCs w:val="24"/>
          <w:lang w:val="en-US"/>
        </w:rPr>
        <w:t xml:space="preserve"> </w:t>
      </w:r>
      <w:r w:rsidR="003271ED" w:rsidRPr="00680D39">
        <w:rPr>
          <w:rFonts w:ascii="Arial" w:hAnsi="Arial" w:cs="Arial"/>
          <w:sz w:val="24"/>
          <w:szCs w:val="24"/>
          <w:lang w:val="en-US"/>
        </w:rPr>
        <w:t xml:space="preserve">the first, second and third </w:t>
      </w:r>
      <w:r w:rsidR="00582637">
        <w:rPr>
          <w:rFonts w:ascii="Arial" w:hAnsi="Arial" w:cs="Arial"/>
          <w:sz w:val="24"/>
          <w:szCs w:val="24"/>
          <w:lang w:val="en-US"/>
        </w:rPr>
        <w:t>applicants and the respondents</w:t>
      </w:r>
      <w:r w:rsidR="003271ED" w:rsidRPr="00680D39">
        <w:rPr>
          <w:rFonts w:ascii="Arial" w:hAnsi="Arial" w:cs="Arial"/>
          <w:sz w:val="24"/>
          <w:szCs w:val="24"/>
          <w:lang w:val="en-US"/>
        </w:rPr>
        <w:t>.</w:t>
      </w:r>
    </w:p>
    <w:p w14:paraId="52259247" w14:textId="77777777" w:rsidR="009F207B" w:rsidRPr="00680D39" w:rsidRDefault="009F207B" w:rsidP="00680D39">
      <w:pPr>
        <w:pStyle w:val="FootnoteText"/>
        <w:spacing w:line="360" w:lineRule="auto"/>
        <w:jc w:val="both"/>
        <w:rPr>
          <w:rFonts w:ascii="Arial" w:hAnsi="Arial" w:cs="Arial"/>
          <w:sz w:val="24"/>
          <w:szCs w:val="24"/>
          <w:lang w:val="en-US"/>
        </w:rPr>
      </w:pPr>
    </w:p>
    <w:p w14:paraId="17F8AC31" w14:textId="4823A33C" w:rsidR="009F207B"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lastRenderedPageBreak/>
        <w:t>[5]</w:t>
      </w:r>
      <w:r w:rsidRPr="00680D39">
        <w:rPr>
          <w:rFonts w:ascii="Arial" w:hAnsi="Arial" w:cs="Arial"/>
          <w:sz w:val="24"/>
          <w:szCs w:val="24"/>
          <w:lang w:val="en-US"/>
        </w:rPr>
        <w:tab/>
      </w:r>
      <w:r w:rsidR="00B048C7" w:rsidRPr="00680D39">
        <w:rPr>
          <w:rFonts w:ascii="Arial" w:hAnsi="Arial" w:cs="Arial"/>
          <w:sz w:val="24"/>
          <w:szCs w:val="24"/>
          <w:lang w:val="en-US"/>
        </w:rPr>
        <w:t xml:space="preserve">The </w:t>
      </w:r>
      <w:r w:rsidR="007F0434" w:rsidRPr="00680D39">
        <w:rPr>
          <w:rFonts w:ascii="Arial" w:hAnsi="Arial" w:cs="Arial"/>
          <w:sz w:val="24"/>
          <w:szCs w:val="24"/>
          <w:lang w:val="en-US"/>
        </w:rPr>
        <w:t>first a</w:t>
      </w:r>
      <w:r w:rsidR="00B048C7" w:rsidRPr="00680D39">
        <w:rPr>
          <w:rFonts w:ascii="Arial" w:hAnsi="Arial" w:cs="Arial"/>
          <w:sz w:val="24"/>
          <w:szCs w:val="24"/>
          <w:lang w:val="en-US"/>
        </w:rPr>
        <w:t xml:space="preserve">pplicant is </w:t>
      </w:r>
      <w:r w:rsidR="003E1778" w:rsidRPr="00680D39">
        <w:rPr>
          <w:rFonts w:ascii="Arial" w:hAnsi="Arial" w:cs="Arial"/>
          <w:sz w:val="24"/>
          <w:szCs w:val="24"/>
          <w:lang w:val="en-US"/>
        </w:rPr>
        <w:t>Sand S</w:t>
      </w:r>
      <w:r w:rsidR="00B048C7" w:rsidRPr="00680D39">
        <w:rPr>
          <w:rFonts w:ascii="Arial" w:hAnsi="Arial" w:cs="Arial"/>
          <w:sz w:val="24"/>
          <w:szCs w:val="24"/>
          <w:lang w:val="en-US"/>
        </w:rPr>
        <w:t xml:space="preserve">hifters Africa </w:t>
      </w:r>
      <w:r w:rsidR="003E1778" w:rsidRPr="00680D39">
        <w:rPr>
          <w:rFonts w:ascii="Arial" w:hAnsi="Arial" w:cs="Arial"/>
          <w:sz w:val="24"/>
          <w:szCs w:val="24"/>
          <w:lang w:val="en-US"/>
        </w:rPr>
        <w:t>(</w:t>
      </w:r>
      <w:r w:rsidR="00B048C7" w:rsidRPr="00680D39">
        <w:rPr>
          <w:rFonts w:ascii="Arial" w:hAnsi="Arial" w:cs="Arial"/>
          <w:sz w:val="24"/>
          <w:szCs w:val="24"/>
          <w:lang w:val="en-US"/>
        </w:rPr>
        <w:t>P</w:t>
      </w:r>
      <w:r w:rsidR="007F0434" w:rsidRPr="00680D39">
        <w:rPr>
          <w:rFonts w:ascii="Arial" w:hAnsi="Arial" w:cs="Arial"/>
          <w:sz w:val="24"/>
          <w:szCs w:val="24"/>
          <w:lang w:val="en-US"/>
        </w:rPr>
        <w:t>ty)</w:t>
      </w:r>
      <w:r w:rsidR="00B048C7" w:rsidRPr="00680D39">
        <w:rPr>
          <w:rFonts w:ascii="Arial" w:hAnsi="Arial" w:cs="Arial"/>
          <w:sz w:val="24"/>
          <w:szCs w:val="24"/>
          <w:lang w:val="en-US"/>
        </w:rPr>
        <w:t xml:space="preserve"> Ltd (</w:t>
      </w:r>
      <w:r w:rsidR="003E1778" w:rsidRPr="00680D39">
        <w:rPr>
          <w:rFonts w:ascii="Arial" w:hAnsi="Arial" w:cs="Arial"/>
          <w:sz w:val="24"/>
          <w:szCs w:val="24"/>
          <w:lang w:val="en-US"/>
        </w:rPr>
        <w:t>SS</w:t>
      </w:r>
      <w:r w:rsidR="00B048C7" w:rsidRPr="00680D39">
        <w:rPr>
          <w:rFonts w:ascii="Arial" w:hAnsi="Arial" w:cs="Arial"/>
          <w:sz w:val="24"/>
          <w:szCs w:val="24"/>
          <w:lang w:val="en-US"/>
        </w:rPr>
        <w:t xml:space="preserve"> Africa)</w:t>
      </w:r>
      <w:r w:rsidR="00100E0D" w:rsidRPr="00680D39">
        <w:rPr>
          <w:rFonts w:ascii="Arial" w:hAnsi="Arial" w:cs="Arial"/>
          <w:sz w:val="24"/>
          <w:szCs w:val="24"/>
          <w:lang w:val="en-US"/>
        </w:rPr>
        <w:t>,</w:t>
      </w:r>
      <w:r w:rsidR="00B048C7" w:rsidRPr="00680D39">
        <w:rPr>
          <w:rFonts w:ascii="Arial" w:hAnsi="Arial" w:cs="Arial"/>
          <w:sz w:val="24"/>
          <w:szCs w:val="24"/>
          <w:lang w:val="en-US"/>
        </w:rPr>
        <w:t xml:space="preserve"> a private company</w:t>
      </w:r>
      <w:r w:rsidR="00366510">
        <w:rPr>
          <w:rFonts w:ascii="Arial" w:hAnsi="Arial" w:cs="Arial"/>
          <w:sz w:val="24"/>
          <w:szCs w:val="24"/>
          <w:lang w:val="en-US"/>
        </w:rPr>
        <w:t xml:space="preserve"> established and</w:t>
      </w:r>
      <w:r w:rsidR="00B048C7" w:rsidRPr="00680D39">
        <w:rPr>
          <w:rFonts w:ascii="Arial" w:hAnsi="Arial" w:cs="Arial"/>
          <w:sz w:val="24"/>
          <w:szCs w:val="24"/>
          <w:lang w:val="en-US"/>
        </w:rPr>
        <w:t xml:space="preserve"> incorporated in terms of the company laws of the Republic of South Africa, with the registration number: 2017</w:t>
      </w:r>
      <w:r w:rsidR="0001094B" w:rsidRPr="00680D39">
        <w:rPr>
          <w:rFonts w:ascii="Arial" w:hAnsi="Arial" w:cs="Arial"/>
          <w:sz w:val="24"/>
          <w:szCs w:val="24"/>
          <w:lang w:val="en-US"/>
        </w:rPr>
        <w:t>/</w:t>
      </w:r>
      <w:r w:rsidR="00B048C7" w:rsidRPr="00680D39">
        <w:rPr>
          <w:rFonts w:ascii="Arial" w:hAnsi="Arial" w:cs="Arial"/>
          <w:sz w:val="24"/>
          <w:szCs w:val="24"/>
          <w:lang w:val="en-US"/>
        </w:rPr>
        <w:t>060197</w:t>
      </w:r>
      <w:r w:rsidR="0001094B" w:rsidRPr="00680D39">
        <w:rPr>
          <w:rFonts w:ascii="Arial" w:hAnsi="Arial" w:cs="Arial"/>
          <w:sz w:val="24"/>
          <w:szCs w:val="24"/>
          <w:lang w:val="en-US"/>
        </w:rPr>
        <w:t>/</w:t>
      </w:r>
      <w:r w:rsidR="00B048C7" w:rsidRPr="00680D39">
        <w:rPr>
          <w:rFonts w:ascii="Arial" w:hAnsi="Arial" w:cs="Arial"/>
          <w:sz w:val="24"/>
          <w:szCs w:val="24"/>
          <w:lang w:val="en-US"/>
        </w:rPr>
        <w:t>07</w:t>
      </w:r>
      <w:r w:rsidR="00100E0D" w:rsidRPr="00680D39">
        <w:rPr>
          <w:rFonts w:ascii="Arial" w:hAnsi="Arial" w:cs="Arial"/>
          <w:sz w:val="24"/>
          <w:szCs w:val="24"/>
          <w:lang w:val="en-US"/>
        </w:rPr>
        <w:t>.</w:t>
      </w:r>
    </w:p>
    <w:p w14:paraId="39F29703" w14:textId="77777777" w:rsidR="009F207B" w:rsidRPr="00680D39" w:rsidRDefault="009F207B" w:rsidP="00680D39">
      <w:pPr>
        <w:pStyle w:val="ListParagraph"/>
        <w:spacing w:after="0" w:line="360" w:lineRule="auto"/>
        <w:rPr>
          <w:rFonts w:ascii="Arial" w:hAnsi="Arial" w:cs="Arial"/>
          <w:sz w:val="24"/>
          <w:szCs w:val="24"/>
          <w:lang w:val="en-US"/>
        </w:rPr>
      </w:pPr>
    </w:p>
    <w:p w14:paraId="034B32B6" w14:textId="1BC0A26B" w:rsidR="009F207B"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[6]</w:t>
      </w:r>
      <w:r w:rsidRPr="00680D39">
        <w:rPr>
          <w:rFonts w:ascii="Arial" w:hAnsi="Arial" w:cs="Arial"/>
          <w:sz w:val="24"/>
          <w:szCs w:val="24"/>
          <w:lang w:val="en-US"/>
        </w:rPr>
        <w:tab/>
      </w:r>
      <w:r w:rsidR="00B048C7" w:rsidRPr="00680D39">
        <w:rPr>
          <w:rFonts w:ascii="Arial" w:hAnsi="Arial" w:cs="Arial"/>
          <w:sz w:val="24"/>
          <w:szCs w:val="24"/>
          <w:lang w:val="en-US"/>
        </w:rPr>
        <w:t xml:space="preserve">The second applicant is </w:t>
      </w:r>
      <w:r w:rsidR="003E1778" w:rsidRPr="00680D39">
        <w:rPr>
          <w:rFonts w:ascii="Arial" w:hAnsi="Arial" w:cs="Arial"/>
          <w:sz w:val="24"/>
          <w:szCs w:val="24"/>
          <w:lang w:val="en-US"/>
        </w:rPr>
        <w:t>S</w:t>
      </w:r>
      <w:r w:rsidR="00B048C7" w:rsidRPr="00680D39">
        <w:rPr>
          <w:rFonts w:ascii="Arial" w:hAnsi="Arial" w:cs="Arial"/>
          <w:sz w:val="24"/>
          <w:szCs w:val="24"/>
          <w:lang w:val="en-US"/>
        </w:rPr>
        <w:t xml:space="preserve">and </w:t>
      </w:r>
      <w:r w:rsidR="003E1778" w:rsidRPr="00680D39">
        <w:rPr>
          <w:rFonts w:ascii="Arial" w:hAnsi="Arial" w:cs="Arial"/>
          <w:sz w:val="24"/>
          <w:szCs w:val="24"/>
          <w:lang w:val="en-US"/>
        </w:rPr>
        <w:t>S</w:t>
      </w:r>
      <w:r w:rsidR="00B048C7" w:rsidRPr="00680D39">
        <w:rPr>
          <w:rFonts w:ascii="Arial" w:hAnsi="Arial" w:cs="Arial"/>
          <w:sz w:val="24"/>
          <w:szCs w:val="24"/>
          <w:lang w:val="en-US"/>
        </w:rPr>
        <w:t xml:space="preserve">hifters </w:t>
      </w:r>
      <w:r w:rsidR="003E1778" w:rsidRPr="00680D39">
        <w:rPr>
          <w:rFonts w:ascii="Arial" w:hAnsi="Arial" w:cs="Arial"/>
          <w:sz w:val="24"/>
          <w:szCs w:val="24"/>
          <w:lang w:val="en-US"/>
        </w:rPr>
        <w:t>(</w:t>
      </w:r>
      <w:r w:rsidR="00B048C7" w:rsidRPr="00680D39">
        <w:rPr>
          <w:rFonts w:ascii="Arial" w:hAnsi="Arial" w:cs="Arial"/>
          <w:sz w:val="24"/>
          <w:szCs w:val="24"/>
          <w:lang w:val="en-US"/>
        </w:rPr>
        <w:t>P</w:t>
      </w:r>
      <w:r w:rsidR="003E1778" w:rsidRPr="00680D39">
        <w:rPr>
          <w:rFonts w:ascii="Arial" w:hAnsi="Arial" w:cs="Arial"/>
          <w:sz w:val="24"/>
          <w:szCs w:val="24"/>
          <w:lang w:val="en-US"/>
        </w:rPr>
        <w:t>ty)</w:t>
      </w:r>
      <w:r w:rsidR="00B048C7" w:rsidRPr="00680D39">
        <w:rPr>
          <w:rFonts w:ascii="Arial" w:hAnsi="Arial" w:cs="Arial"/>
          <w:sz w:val="24"/>
          <w:szCs w:val="24"/>
          <w:lang w:val="en-US"/>
        </w:rPr>
        <w:t xml:space="preserve"> Ltd (</w:t>
      </w:r>
      <w:r w:rsidR="003E1778" w:rsidRPr="00680D39">
        <w:rPr>
          <w:rFonts w:ascii="Arial" w:hAnsi="Arial" w:cs="Arial"/>
          <w:sz w:val="24"/>
          <w:szCs w:val="24"/>
          <w:lang w:val="en-US"/>
        </w:rPr>
        <w:t>SS</w:t>
      </w:r>
      <w:r w:rsidR="0001094B" w:rsidRPr="00680D39">
        <w:rPr>
          <w:rFonts w:ascii="Arial" w:hAnsi="Arial" w:cs="Arial"/>
          <w:sz w:val="24"/>
          <w:szCs w:val="24"/>
          <w:lang w:val="en-US"/>
        </w:rPr>
        <w:t>)</w:t>
      </w:r>
      <w:r w:rsidR="00100E0D" w:rsidRPr="00680D39">
        <w:rPr>
          <w:rFonts w:ascii="Arial" w:hAnsi="Arial" w:cs="Arial"/>
          <w:sz w:val="24"/>
          <w:szCs w:val="24"/>
          <w:lang w:val="en-US"/>
        </w:rPr>
        <w:t>,</w:t>
      </w:r>
      <w:r w:rsidR="00B048C7" w:rsidRPr="00680D39">
        <w:rPr>
          <w:rFonts w:ascii="Arial" w:hAnsi="Arial" w:cs="Arial"/>
          <w:sz w:val="24"/>
          <w:szCs w:val="24"/>
          <w:lang w:val="en-US"/>
        </w:rPr>
        <w:t xml:space="preserve"> a private company establish</w:t>
      </w:r>
      <w:r w:rsidR="0001094B" w:rsidRPr="00680D39">
        <w:rPr>
          <w:rFonts w:ascii="Arial" w:hAnsi="Arial" w:cs="Arial"/>
          <w:sz w:val="24"/>
          <w:szCs w:val="24"/>
          <w:lang w:val="en-US"/>
        </w:rPr>
        <w:t>ed</w:t>
      </w:r>
      <w:r w:rsidR="00B048C7" w:rsidRPr="00680D39">
        <w:rPr>
          <w:rFonts w:ascii="Arial" w:hAnsi="Arial" w:cs="Arial"/>
          <w:sz w:val="24"/>
          <w:szCs w:val="24"/>
          <w:lang w:val="en-US"/>
        </w:rPr>
        <w:t xml:space="preserve"> an</w:t>
      </w:r>
      <w:r w:rsidR="0001094B" w:rsidRPr="00680D39">
        <w:rPr>
          <w:rFonts w:ascii="Arial" w:hAnsi="Arial" w:cs="Arial"/>
          <w:sz w:val="24"/>
          <w:szCs w:val="24"/>
          <w:lang w:val="en-US"/>
        </w:rPr>
        <w:t>d</w:t>
      </w:r>
      <w:r w:rsidR="00B048C7" w:rsidRPr="00680D39">
        <w:rPr>
          <w:rFonts w:ascii="Arial" w:hAnsi="Arial" w:cs="Arial"/>
          <w:sz w:val="24"/>
          <w:szCs w:val="24"/>
          <w:lang w:val="en-US"/>
        </w:rPr>
        <w:t xml:space="preserve"> incorporated in terms of company laws of the Republic of South Africa</w:t>
      </w:r>
      <w:r w:rsidR="00100E0D" w:rsidRPr="00680D39">
        <w:rPr>
          <w:rFonts w:ascii="Arial" w:hAnsi="Arial" w:cs="Arial"/>
          <w:sz w:val="24"/>
          <w:szCs w:val="24"/>
          <w:lang w:val="en-US"/>
        </w:rPr>
        <w:t>,</w:t>
      </w:r>
      <w:r w:rsidR="00B048C7" w:rsidRPr="00680D39">
        <w:rPr>
          <w:rFonts w:ascii="Arial" w:hAnsi="Arial" w:cs="Arial"/>
          <w:sz w:val="24"/>
          <w:szCs w:val="24"/>
          <w:lang w:val="en-US"/>
        </w:rPr>
        <w:t xml:space="preserve"> with the registration</w:t>
      </w:r>
      <w:r w:rsidR="007F0434" w:rsidRPr="00680D39">
        <w:rPr>
          <w:rFonts w:ascii="Arial" w:hAnsi="Arial" w:cs="Arial"/>
          <w:sz w:val="24"/>
          <w:szCs w:val="24"/>
          <w:lang w:val="en-US"/>
        </w:rPr>
        <w:t xml:space="preserve"> number</w:t>
      </w:r>
      <w:r w:rsidR="0001094B" w:rsidRPr="00680D39">
        <w:rPr>
          <w:rFonts w:ascii="Arial" w:hAnsi="Arial" w:cs="Arial"/>
          <w:sz w:val="24"/>
          <w:szCs w:val="24"/>
          <w:lang w:val="en-US"/>
        </w:rPr>
        <w:t xml:space="preserve">: </w:t>
      </w:r>
      <w:r w:rsidR="00B048C7" w:rsidRPr="00680D39">
        <w:rPr>
          <w:rFonts w:ascii="Arial" w:hAnsi="Arial" w:cs="Arial"/>
          <w:sz w:val="24"/>
          <w:szCs w:val="24"/>
          <w:lang w:val="en-US"/>
        </w:rPr>
        <w:t>2019</w:t>
      </w:r>
      <w:r w:rsidR="0001094B" w:rsidRPr="00680D39">
        <w:rPr>
          <w:rFonts w:ascii="Arial" w:hAnsi="Arial" w:cs="Arial"/>
          <w:sz w:val="24"/>
          <w:szCs w:val="24"/>
          <w:lang w:val="en-US"/>
        </w:rPr>
        <w:t>/</w:t>
      </w:r>
      <w:r w:rsidR="00B048C7" w:rsidRPr="00680D39">
        <w:rPr>
          <w:rFonts w:ascii="Arial" w:hAnsi="Arial" w:cs="Arial"/>
          <w:sz w:val="24"/>
          <w:szCs w:val="24"/>
          <w:lang w:val="en-US"/>
        </w:rPr>
        <w:t>487644</w:t>
      </w:r>
      <w:r w:rsidR="0001094B" w:rsidRPr="00680D39">
        <w:rPr>
          <w:rFonts w:ascii="Arial" w:hAnsi="Arial" w:cs="Arial"/>
          <w:sz w:val="24"/>
          <w:szCs w:val="24"/>
          <w:lang w:val="en-US"/>
        </w:rPr>
        <w:t>/</w:t>
      </w:r>
      <w:r w:rsidR="00B048C7" w:rsidRPr="00680D39">
        <w:rPr>
          <w:rFonts w:ascii="Arial" w:hAnsi="Arial" w:cs="Arial"/>
          <w:sz w:val="24"/>
          <w:szCs w:val="24"/>
          <w:lang w:val="en-US"/>
        </w:rPr>
        <w:t>07 (previously 2007</w:t>
      </w:r>
      <w:r w:rsidR="00100E0D" w:rsidRPr="00680D39">
        <w:rPr>
          <w:rFonts w:ascii="Arial" w:hAnsi="Arial" w:cs="Arial"/>
          <w:sz w:val="24"/>
          <w:szCs w:val="24"/>
          <w:lang w:val="en-US"/>
        </w:rPr>
        <w:t>/</w:t>
      </w:r>
      <w:r w:rsidR="00B048C7" w:rsidRPr="00680D39">
        <w:rPr>
          <w:rFonts w:ascii="Arial" w:hAnsi="Arial" w:cs="Arial"/>
          <w:sz w:val="24"/>
          <w:szCs w:val="24"/>
          <w:lang w:val="en-US"/>
        </w:rPr>
        <w:t>166133</w:t>
      </w:r>
      <w:r w:rsidR="00100E0D" w:rsidRPr="00680D39">
        <w:rPr>
          <w:rFonts w:ascii="Arial" w:hAnsi="Arial" w:cs="Arial"/>
          <w:sz w:val="24"/>
          <w:szCs w:val="24"/>
          <w:lang w:val="en-US"/>
        </w:rPr>
        <w:t>/</w:t>
      </w:r>
      <w:r w:rsidR="00B048C7" w:rsidRPr="00680D39">
        <w:rPr>
          <w:rFonts w:ascii="Arial" w:hAnsi="Arial" w:cs="Arial"/>
          <w:sz w:val="24"/>
          <w:szCs w:val="24"/>
          <w:lang w:val="en-US"/>
        </w:rPr>
        <w:t>23)</w:t>
      </w:r>
      <w:r w:rsidR="009F207B" w:rsidRPr="00680D39">
        <w:rPr>
          <w:rFonts w:ascii="Arial" w:hAnsi="Arial" w:cs="Arial"/>
          <w:sz w:val="24"/>
          <w:szCs w:val="24"/>
          <w:lang w:val="en-US"/>
        </w:rPr>
        <w:t>.</w:t>
      </w:r>
    </w:p>
    <w:p w14:paraId="2812FC27" w14:textId="77777777" w:rsidR="009F207B" w:rsidRPr="00680D39" w:rsidRDefault="009F207B" w:rsidP="00680D39">
      <w:pPr>
        <w:pStyle w:val="FootnoteText"/>
        <w:spacing w:line="360" w:lineRule="auto"/>
        <w:jc w:val="both"/>
        <w:rPr>
          <w:rFonts w:ascii="Arial" w:hAnsi="Arial" w:cs="Arial"/>
          <w:sz w:val="24"/>
          <w:szCs w:val="24"/>
          <w:lang w:val="en-US"/>
        </w:rPr>
      </w:pPr>
    </w:p>
    <w:p w14:paraId="41B2D20E" w14:textId="6B7251FF" w:rsidR="00100E0D"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[7]</w:t>
      </w:r>
      <w:r w:rsidRPr="00680D39">
        <w:rPr>
          <w:rFonts w:ascii="Arial" w:hAnsi="Arial" w:cs="Arial"/>
          <w:sz w:val="24"/>
          <w:szCs w:val="24"/>
          <w:lang w:val="en-US"/>
        </w:rPr>
        <w:tab/>
      </w:r>
      <w:r w:rsidR="00B048C7" w:rsidRPr="00680D39">
        <w:rPr>
          <w:rFonts w:ascii="Arial" w:hAnsi="Arial" w:cs="Arial"/>
          <w:sz w:val="24"/>
          <w:szCs w:val="24"/>
          <w:lang w:val="en-US"/>
        </w:rPr>
        <w:t xml:space="preserve">The third applicant is </w:t>
      </w:r>
      <w:r w:rsidR="003E1778" w:rsidRPr="00680D39">
        <w:rPr>
          <w:rFonts w:ascii="Arial" w:hAnsi="Arial" w:cs="Arial"/>
          <w:sz w:val="24"/>
          <w:szCs w:val="24"/>
          <w:lang w:val="en-US"/>
        </w:rPr>
        <w:t>S</w:t>
      </w:r>
      <w:r w:rsidR="00B048C7" w:rsidRPr="00680D39">
        <w:rPr>
          <w:rFonts w:ascii="Arial" w:hAnsi="Arial" w:cs="Arial"/>
          <w:sz w:val="24"/>
          <w:szCs w:val="24"/>
          <w:lang w:val="en-US"/>
        </w:rPr>
        <w:t xml:space="preserve">and </w:t>
      </w:r>
      <w:r w:rsidR="003E1778" w:rsidRPr="00680D39">
        <w:rPr>
          <w:rFonts w:ascii="Arial" w:hAnsi="Arial" w:cs="Arial"/>
          <w:sz w:val="24"/>
          <w:szCs w:val="24"/>
          <w:lang w:val="en-US"/>
        </w:rPr>
        <w:t>S</w:t>
      </w:r>
      <w:r w:rsidR="00B048C7" w:rsidRPr="00680D39">
        <w:rPr>
          <w:rFonts w:ascii="Arial" w:hAnsi="Arial" w:cs="Arial"/>
          <w:sz w:val="24"/>
          <w:szCs w:val="24"/>
          <w:lang w:val="en-US"/>
        </w:rPr>
        <w:t xml:space="preserve">hifters </w:t>
      </w:r>
      <w:r w:rsidR="003E1778" w:rsidRPr="00680D39">
        <w:rPr>
          <w:rFonts w:ascii="Arial" w:hAnsi="Arial" w:cs="Arial"/>
          <w:sz w:val="24"/>
          <w:szCs w:val="24"/>
          <w:lang w:val="en-US"/>
        </w:rPr>
        <w:t>L</w:t>
      </w:r>
      <w:r w:rsidR="00B048C7" w:rsidRPr="00680D39">
        <w:rPr>
          <w:rFonts w:ascii="Arial" w:hAnsi="Arial" w:cs="Arial"/>
          <w:sz w:val="24"/>
          <w:szCs w:val="24"/>
          <w:lang w:val="en-US"/>
        </w:rPr>
        <w:t xml:space="preserve">ogistics </w:t>
      </w:r>
      <w:r w:rsidR="003E1778" w:rsidRPr="00680D39">
        <w:rPr>
          <w:rFonts w:ascii="Arial" w:hAnsi="Arial" w:cs="Arial"/>
          <w:sz w:val="24"/>
          <w:szCs w:val="24"/>
          <w:lang w:val="en-US"/>
        </w:rPr>
        <w:t>H</w:t>
      </w:r>
      <w:r w:rsidR="00B048C7" w:rsidRPr="00680D39">
        <w:rPr>
          <w:rFonts w:ascii="Arial" w:hAnsi="Arial" w:cs="Arial"/>
          <w:sz w:val="24"/>
          <w:szCs w:val="24"/>
          <w:lang w:val="en-US"/>
        </w:rPr>
        <w:t xml:space="preserve">oldings </w:t>
      </w:r>
      <w:r w:rsidR="003E1778" w:rsidRPr="00680D39">
        <w:rPr>
          <w:rFonts w:ascii="Arial" w:hAnsi="Arial" w:cs="Arial"/>
          <w:sz w:val="24"/>
          <w:szCs w:val="24"/>
          <w:lang w:val="en-US"/>
        </w:rPr>
        <w:t>(</w:t>
      </w:r>
      <w:r w:rsidR="00B048C7" w:rsidRPr="00680D39">
        <w:rPr>
          <w:rFonts w:ascii="Arial" w:hAnsi="Arial" w:cs="Arial"/>
          <w:sz w:val="24"/>
          <w:szCs w:val="24"/>
          <w:lang w:val="en-US"/>
        </w:rPr>
        <w:t>P</w:t>
      </w:r>
      <w:r w:rsidR="003E1778" w:rsidRPr="00680D39">
        <w:rPr>
          <w:rFonts w:ascii="Arial" w:hAnsi="Arial" w:cs="Arial"/>
          <w:sz w:val="24"/>
          <w:szCs w:val="24"/>
          <w:lang w:val="en-US"/>
        </w:rPr>
        <w:t>ty)</w:t>
      </w:r>
      <w:r w:rsidR="00B048C7" w:rsidRPr="00680D39">
        <w:rPr>
          <w:rFonts w:ascii="Arial" w:hAnsi="Arial" w:cs="Arial"/>
          <w:sz w:val="24"/>
          <w:szCs w:val="24"/>
          <w:lang w:val="en-US"/>
        </w:rPr>
        <w:t xml:space="preserve"> Ltd (</w:t>
      </w:r>
      <w:r w:rsidR="003E1778" w:rsidRPr="00680D39">
        <w:rPr>
          <w:rFonts w:ascii="Arial" w:hAnsi="Arial" w:cs="Arial"/>
          <w:sz w:val="24"/>
          <w:szCs w:val="24"/>
          <w:lang w:val="en-US"/>
        </w:rPr>
        <w:t>SS</w:t>
      </w:r>
      <w:r w:rsidR="00B048C7" w:rsidRPr="00680D39">
        <w:rPr>
          <w:rFonts w:ascii="Arial" w:hAnsi="Arial" w:cs="Arial"/>
          <w:sz w:val="24"/>
          <w:szCs w:val="24"/>
          <w:lang w:val="en-US"/>
        </w:rPr>
        <w:t xml:space="preserve"> </w:t>
      </w:r>
      <w:r w:rsidR="003E1778" w:rsidRPr="00680D39">
        <w:rPr>
          <w:rFonts w:ascii="Arial" w:hAnsi="Arial" w:cs="Arial"/>
          <w:sz w:val="24"/>
          <w:szCs w:val="24"/>
          <w:lang w:val="en-US"/>
        </w:rPr>
        <w:t>L</w:t>
      </w:r>
      <w:r w:rsidR="00B048C7" w:rsidRPr="00680D39">
        <w:rPr>
          <w:rFonts w:ascii="Arial" w:hAnsi="Arial" w:cs="Arial"/>
          <w:sz w:val="24"/>
          <w:szCs w:val="24"/>
          <w:lang w:val="en-US"/>
        </w:rPr>
        <w:t>ogistics</w:t>
      </w:r>
      <w:r w:rsidR="00100E0D" w:rsidRPr="00680D39">
        <w:rPr>
          <w:rFonts w:ascii="Arial" w:hAnsi="Arial" w:cs="Arial"/>
          <w:sz w:val="24"/>
          <w:szCs w:val="24"/>
          <w:lang w:val="en-US"/>
        </w:rPr>
        <w:t>),</w:t>
      </w:r>
      <w:r w:rsidR="00B048C7" w:rsidRPr="00680D39">
        <w:rPr>
          <w:rFonts w:ascii="Arial" w:hAnsi="Arial" w:cs="Arial"/>
          <w:sz w:val="24"/>
          <w:szCs w:val="24"/>
          <w:lang w:val="en-US"/>
        </w:rPr>
        <w:t xml:space="preserve"> a private company established</w:t>
      </w:r>
      <w:r w:rsidR="003E1778" w:rsidRPr="00680D39">
        <w:rPr>
          <w:rFonts w:ascii="Arial" w:hAnsi="Arial" w:cs="Arial"/>
          <w:sz w:val="24"/>
          <w:szCs w:val="24"/>
          <w:lang w:val="en-US"/>
        </w:rPr>
        <w:t xml:space="preserve"> and</w:t>
      </w:r>
      <w:r w:rsidR="00B048C7" w:rsidRPr="00680D39">
        <w:rPr>
          <w:rFonts w:ascii="Arial" w:hAnsi="Arial" w:cs="Arial"/>
          <w:sz w:val="24"/>
          <w:szCs w:val="24"/>
          <w:lang w:val="en-US"/>
        </w:rPr>
        <w:t xml:space="preserve"> incorporated in terms of the company laws of the Republic of South </w:t>
      </w:r>
      <w:r w:rsidR="003E1778" w:rsidRPr="00680D39">
        <w:rPr>
          <w:rFonts w:ascii="Arial" w:hAnsi="Arial" w:cs="Arial"/>
          <w:sz w:val="24"/>
          <w:szCs w:val="24"/>
          <w:lang w:val="en-US"/>
        </w:rPr>
        <w:t>Africa,</w:t>
      </w:r>
      <w:r w:rsidR="00B048C7" w:rsidRPr="00680D39">
        <w:rPr>
          <w:rFonts w:ascii="Arial" w:hAnsi="Arial" w:cs="Arial"/>
          <w:sz w:val="24"/>
          <w:szCs w:val="24"/>
          <w:lang w:val="en-US"/>
        </w:rPr>
        <w:t xml:space="preserve"> with</w:t>
      </w:r>
      <w:r w:rsidR="00014331">
        <w:rPr>
          <w:rFonts w:ascii="Arial" w:hAnsi="Arial" w:cs="Arial"/>
          <w:sz w:val="24"/>
          <w:szCs w:val="24"/>
          <w:lang w:val="en-US"/>
        </w:rPr>
        <w:t xml:space="preserve"> the</w:t>
      </w:r>
      <w:r w:rsidR="00B048C7" w:rsidRPr="00680D39">
        <w:rPr>
          <w:rFonts w:ascii="Arial" w:hAnsi="Arial" w:cs="Arial"/>
          <w:sz w:val="24"/>
          <w:szCs w:val="24"/>
          <w:lang w:val="en-US"/>
        </w:rPr>
        <w:t xml:space="preserve"> registration number</w:t>
      </w:r>
      <w:r w:rsidR="004E41EA">
        <w:rPr>
          <w:rFonts w:ascii="Arial" w:hAnsi="Arial" w:cs="Arial"/>
          <w:sz w:val="24"/>
          <w:szCs w:val="24"/>
          <w:lang w:val="en-US"/>
        </w:rPr>
        <w:t>:</w:t>
      </w:r>
      <w:r w:rsidR="00B048C7" w:rsidRPr="00680D39">
        <w:rPr>
          <w:rFonts w:ascii="Arial" w:hAnsi="Arial" w:cs="Arial"/>
          <w:sz w:val="24"/>
          <w:szCs w:val="24"/>
          <w:lang w:val="en-US"/>
        </w:rPr>
        <w:t xml:space="preserve"> 201</w:t>
      </w:r>
      <w:r w:rsidR="00100E0D" w:rsidRPr="00680D39">
        <w:rPr>
          <w:rFonts w:ascii="Arial" w:hAnsi="Arial" w:cs="Arial"/>
          <w:sz w:val="24"/>
          <w:szCs w:val="24"/>
          <w:lang w:val="en-US"/>
        </w:rPr>
        <w:t>5/</w:t>
      </w:r>
      <w:r w:rsidR="00B048C7" w:rsidRPr="00680D39">
        <w:rPr>
          <w:rFonts w:ascii="Arial" w:hAnsi="Arial" w:cs="Arial"/>
          <w:sz w:val="24"/>
          <w:szCs w:val="24"/>
          <w:lang w:val="en-US"/>
        </w:rPr>
        <w:t>086505</w:t>
      </w:r>
      <w:r w:rsidR="00100E0D" w:rsidRPr="00680D39">
        <w:rPr>
          <w:rFonts w:ascii="Arial" w:hAnsi="Arial" w:cs="Arial"/>
          <w:sz w:val="24"/>
          <w:szCs w:val="24"/>
          <w:lang w:val="en-US"/>
        </w:rPr>
        <w:t>/</w:t>
      </w:r>
      <w:r w:rsidR="00B048C7" w:rsidRPr="00680D39">
        <w:rPr>
          <w:rFonts w:ascii="Arial" w:hAnsi="Arial" w:cs="Arial"/>
          <w:sz w:val="24"/>
          <w:szCs w:val="24"/>
          <w:lang w:val="en-US"/>
        </w:rPr>
        <w:t>07.</w:t>
      </w:r>
    </w:p>
    <w:p w14:paraId="04314B64" w14:textId="77777777" w:rsidR="00100E0D" w:rsidRPr="00680D39" w:rsidRDefault="00100E0D" w:rsidP="00680D39">
      <w:pPr>
        <w:pStyle w:val="ListParagraph"/>
        <w:spacing w:after="0" w:line="360" w:lineRule="auto"/>
        <w:rPr>
          <w:rFonts w:ascii="Arial" w:hAnsi="Arial" w:cs="Arial"/>
          <w:b/>
          <w:bCs/>
          <w:sz w:val="24"/>
          <w:szCs w:val="24"/>
          <w:lang w:val="en-US"/>
        </w:rPr>
      </w:pPr>
    </w:p>
    <w:p w14:paraId="3E22E517" w14:textId="4D9F1841" w:rsidR="007F0434"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[8]</w:t>
      </w:r>
      <w:r w:rsidRPr="00680D39">
        <w:rPr>
          <w:rFonts w:ascii="Arial" w:hAnsi="Arial" w:cs="Arial"/>
          <w:sz w:val="24"/>
          <w:szCs w:val="24"/>
          <w:lang w:val="en-US"/>
        </w:rPr>
        <w:tab/>
      </w:r>
      <w:r w:rsidR="00B048C7" w:rsidRPr="00680D39">
        <w:rPr>
          <w:rFonts w:ascii="Arial" w:hAnsi="Arial" w:cs="Arial"/>
          <w:sz w:val="24"/>
          <w:szCs w:val="24"/>
          <w:lang w:val="en-US"/>
        </w:rPr>
        <w:t xml:space="preserve">The </w:t>
      </w:r>
      <w:r w:rsidR="003E1778" w:rsidRPr="00680D39">
        <w:rPr>
          <w:rFonts w:ascii="Arial" w:hAnsi="Arial" w:cs="Arial"/>
          <w:sz w:val="24"/>
          <w:szCs w:val="24"/>
          <w:lang w:val="en-US"/>
        </w:rPr>
        <w:t>fourth</w:t>
      </w:r>
      <w:r w:rsidR="00B048C7" w:rsidRPr="00680D39">
        <w:rPr>
          <w:rFonts w:ascii="Arial" w:hAnsi="Arial" w:cs="Arial"/>
          <w:sz w:val="24"/>
          <w:szCs w:val="24"/>
          <w:lang w:val="en-US"/>
        </w:rPr>
        <w:t xml:space="preserve"> applicant is </w:t>
      </w:r>
      <w:r w:rsidR="003E1778" w:rsidRPr="00680D39">
        <w:rPr>
          <w:rFonts w:ascii="Arial" w:hAnsi="Arial" w:cs="Arial"/>
          <w:sz w:val="24"/>
          <w:szCs w:val="24"/>
          <w:lang w:val="en-US"/>
        </w:rPr>
        <w:t>Marisimo</w:t>
      </w:r>
      <w:r w:rsidR="00B048C7" w:rsidRPr="00680D39">
        <w:rPr>
          <w:rFonts w:ascii="Arial" w:hAnsi="Arial" w:cs="Arial"/>
          <w:sz w:val="24"/>
          <w:szCs w:val="24"/>
          <w:lang w:val="en-US"/>
        </w:rPr>
        <w:t xml:space="preserve"> BEE </w:t>
      </w:r>
      <w:r w:rsidR="003E1778" w:rsidRPr="00680D39">
        <w:rPr>
          <w:rFonts w:ascii="Arial" w:hAnsi="Arial" w:cs="Arial"/>
          <w:sz w:val="24"/>
          <w:szCs w:val="24"/>
          <w:lang w:val="en-US"/>
        </w:rPr>
        <w:t>P</w:t>
      </w:r>
      <w:r w:rsidR="00B048C7" w:rsidRPr="00680D39">
        <w:rPr>
          <w:rFonts w:ascii="Arial" w:hAnsi="Arial" w:cs="Arial"/>
          <w:sz w:val="24"/>
          <w:szCs w:val="24"/>
          <w:lang w:val="en-US"/>
        </w:rPr>
        <w:t xml:space="preserve">rofessional </w:t>
      </w:r>
      <w:r w:rsidR="003E1778" w:rsidRPr="00680D39">
        <w:rPr>
          <w:rFonts w:ascii="Arial" w:hAnsi="Arial" w:cs="Arial"/>
          <w:sz w:val="24"/>
          <w:szCs w:val="24"/>
          <w:lang w:val="en-US"/>
        </w:rPr>
        <w:t>S</w:t>
      </w:r>
      <w:r w:rsidR="00B048C7" w:rsidRPr="00680D39">
        <w:rPr>
          <w:rFonts w:ascii="Arial" w:hAnsi="Arial" w:cs="Arial"/>
          <w:sz w:val="24"/>
          <w:szCs w:val="24"/>
          <w:lang w:val="en-US"/>
        </w:rPr>
        <w:t xml:space="preserve">ervices </w:t>
      </w:r>
      <w:r w:rsidR="003E1778" w:rsidRPr="00680D39">
        <w:rPr>
          <w:rFonts w:ascii="Arial" w:hAnsi="Arial" w:cs="Arial"/>
          <w:sz w:val="24"/>
          <w:szCs w:val="24"/>
          <w:lang w:val="en-US"/>
        </w:rPr>
        <w:t>(</w:t>
      </w:r>
      <w:r w:rsidR="00B048C7" w:rsidRPr="00680D39">
        <w:rPr>
          <w:rFonts w:ascii="Arial" w:hAnsi="Arial" w:cs="Arial"/>
          <w:sz w:val="24"/>
          <w:szCs w:val="24"/>
          <w:lang w:val="en-US"/>
        </w:rPr>
        <w:t>P</w:t>
      </w:r>
      <w:r w:rsidR="003E1778" w:rsidRPr="00680D39">
        <w:rPr>
          <w:rFonts w:ascii="Arial" w:hAnsi="Arial" w:cs="Arial"/>
          <w:sz w:val="24"/>
          <w:szCs w:val="24"/>
          <w:lang w:val="en-US"/>
        </w:rPr>
        <w:t>ty)</w:t>
      </w:r>
      <w:r w:rsidR="00B048C7" w:rsidRPr="00680D39">
        <w:rPr>
          <w:rFonts w:ascii="Arial" w:hAnsi="Arial" w:cs="Arial"/>
          <w:sz w:val="24"/>
          <w:szCs w:val="24"/>
          <w:lang w:val="en-US"/>
        </w:rPr>
        <w:t xml:space="preserve"> Ltd</w:t>
      </w:r>
      <w:r w:rsidR="003E1778" w:rsidRPr="00680D39">
        <w:rPr>
          <w:rFonts w:ascii="Arial" w:hAnsi="Arial" w:cs="Arial"/>
          <w:sz w:val="24"/>
          <w:szCs w:val="24"/>
          <w:lang w:val="en-US"/>
        </w:rPr>
        <w:t>,</w:t>
      </w:r>
      <w:r w:rsidR="00B048C7" w:rsidRPr="00680D39">
        <w:rPr>
          <w:rFonts w:ascii="Arial" w:hAnsi="Arial" w:cs="Arial"/>
          <w:sz w:val="24"/>
          <w:szCs w:val="24"/>
          <w:lang w:val="en-US"/>
        </w:rPr>
        <w:t xml:space="preserve"> a private company </w:t>
      </w:r>
      <w:r w:rsidR="00366510">
        <w:rPr>
          <w:rFonts w:ascii="Arial" w:hAnsi="Arial" w:cs="Arial"/>
          <w:sz w:val="24"/>
          <w:szCs w:val="24"/>
          <w:lang w:val="en-US"/>
        </w:rPr>
        <w:t xml:space="preserve">established and </w:t>
      </w:r>
      <w:r w:rsidR="00B048C7" w:rsidRPr="00680D39">
        <w:rPr>
          <w:rFonts w:ascii="Arial" w:hAnsi="Arial" w:cs="Arial"/>
          <w:sz w:val="24"/>
          <w:szCs w:val="24"/>
          <w:lang w:val="en-US"/>
        </w:rPr>
        <w:t>incorporated in terms of the company laws of the Republic of South Africa</w:t>
      </w:r>
      <w:r w:rsidR="00366510">
        <w:rPr>
          <w:rFonts w:ascii="Arial" w:hAnsi="Arial" w:cs="Arial"/>
          <w:sz w:val="24"/>
          <w:szCs w:val="24"/>
          <w:lang w:val="en-US"/>
        </w:rPr>
        <w:t xml:space="preserve">, </w:t>
      </w:r>
      <w:r w:rsidR="00B048C7" w:rsidRPr="00680D39">
        <w:rPr>
          <w:rFonts w:ascii="Arial" w:hAnsi="Arial" w:cs="Arial"/>
          <w:sz w:val="24"/>
          <w:szCs w:val="24"/>
          <w:lang w:val="en-US"/>
        </w:rPr>
        <w:t xml:space="preserve">with </w:t>
      </w:r>
      <w:r w:rsidR="00014331">
        <w:rPr>
          <w:rFonts w:ascii="Arial" w:hAnsi="Arial" w:cs="Arial"/>
          <w:sz w:val="24"/>
          <w:szCs w:val="24"/>
          <w:lang w:val="en-US"/>
        </w:rPr>
        <w:t xml:space="preserve">the </w:t>
      </w:r>
      <w:r w:rsidR="00B048C7" w:rsidRPr="00680D39">
        <w:rPr>
          <w:rFonts w:ascii="Arial" w:hAnsi="Arial" w:cs="Arial"/>
          <w:sz w:val="24"/>
          <w:szCs w:val="24"/>
          <w:lang w:val="en-US"/>
        </w:rPr>
        <w:t>registration number</w:t>
      </w:r>
      <w:r w:rsidR="009913AD">
        <w:rPr>
          <w:rFonts w:ascii="Arial" w:hAnsi="Arial" w:cs="Arial"/>
          <w:sz w:val="24"/>
          <w:szCs w:val="24"/>
          <w:lang w:val="en-US"/>
        </w:rPr>
        <w:t>:</w:t>
      </w:r>
      <w:r w:rsidR="00B048C7" w:rsidRPr="00680D39">
        <w:rPr>
          <w:rFonts w:ascii="Arial" w:hAnsi="Arial" w:cs="Arial"/>
          <w:sz w:val="24"/>
          <w:szCs w:val="24"/>
          <w:lang w:val="en-US"/>
        </w:rPr>
        <w:t xml:space="preserve"> 2007</w:t>
      </w:r>
      <w:r w:rsidR="007F0434" w:rsidRPr="00680D39">
        <w:rPr>
          <w:rFonts w:ascii="Arial" w:hAnsi="Arial" w:cs="Arial"/>
          <w:sz w:val="24"/>
          <w:szCs w:val="24"/>
          <w:lang w:val="en-US"/>
        </w:rPr>
        <w:t>/</w:t>
      </w:r>
      <w:r w:rsidR="00B048C7" w:rsidRPr="00680D39">
        <w:rPr>
          <w:rFonts w:ascii="Arial" w:hAnsi="Arial" w:cs="Arial"/>
          <w:sz w:val="24"/>
          <w:szCs w:val="24"/>
          <w:lang w:val="en-US"/>
        </w:rPr>
        <w:t>019859</w:t>
      </w:r>
      <w:r w:rsidR="007F0434" w:rsidRPr="00680D39">
        <w:rPr>
          <w:rFonts w:ascii="Arial" w:hAnsi="Arial" w:cs="Arial"/>
          <w:sz w:val="24"/>
          <w:szCs w:val="24"/>
          <w:lang w:val="en-US"/>
        </w:rPr>
        <w:t>/</w:t>
      </w:r>
      <w:r w:rsidR="00B048C7" w:rsidRPr="00680D39">
        <w:rPr>
          <w:rFonts w:ascii="Arial" w:hAnsi="Arial" w:cs="Arial"/>
          <w:sz w:val="24"/>
          <w:szCs w:val="24"/>
          <w:lang w:val="en-US"/>
        </w:rPr>
        <w:t>0</w:t>
      </w:r>
      <w:r w:rsidR="007F0434" w:rsidRPr="00680D39">
        <w:rPr>
          <w:rFonts w:ascii="Arial" w:hAnsi="Arial" w:cs="Arial"/>
          <w:sz w:val="24"/>
          <w:szCs w:val="24"/>
          <w:lang w:val="en-US"/>
        </w:rPr>
        <w:t>7</w:t>
      </w:r>
      <w:r w:rsidR="00B048C7" w:rsidRPr="00680D39">
        <w:rPr>
          <w:rFonts w:ascii="Arial" w:hAnsi="Arial" w:cs="Arial"/>
          <w:sz w:val="24"/>
          <w:szCs w:val="24"/>
          <w:lang w:val="en-US"/>
        </w:rPr>
        <w:t>.</w:t>
      </w:r>
    </w:p>
    <w:p w14:paraId="5BBB813D" w14:textId="77777777" w:rsidR="007F0434" w:rsidRPr="00680D39" w:rsidRDefault="007F0434" w:rsidP="00680D39">
      <w:pPr>
        <w:pStyle w:val="ListParagraph"/>
        <w:spacing w:after="0" w:line="360" w:lineRule="auto"/>
        <w:rPr>
          <w:rFonts w:ascii="Arial" w:hAnsi="Arial" w:cs="Arial"/>
          <w:b/>
          <w:bCs/>
          <w:sz w:val="24"/>
          <w:szCs w:val="24"/>
          <w:lang w:val="en-US"/>
        </w:rPr>
      </w:pPr>
    </w:p>
    <w:p w14:paraId="2747A077" w14:textId="036ED2F1" w:rsidR="007F0434"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[9]</w:t>
      </w:r>
      <w:r w:rsidRPr="00680D39">
        <w:rPr>
          <w:rFonts w:ascii="Arial" w:hAnsi="Arial" w:cs="Arial"/>
          <w:sz w:val="24"/>
          <w:szCs w:val="24"/>
          <w:lang w:val="en-US"/>
        </w:rPr>
        <w:tab/>
      </w:r>
      <w:r w:rsidR="00B048C7" w:rsidRPr="00680D39">
        <w:rPr>
          <w:rFonts w:ascii="Arial" w:hAnsi="Arial" w:cs="Arial"/>
          <w:sz w:val="24"/>
          <w:szCs w:val="24"/>
          <w:lang w:val="en-US"/>
        </w:rPr>
        <w:t xml:space="preserve">The first </w:t>
      </w:r>
      <w:r w:rsidR="007F0434" w:rsidRPr="00680D39">
        <w:rPr>
          <w:rFonts w:ascii="Arial" w:hAnsi="Arial" w:cs="Arial"/>
          <w:sz w:val="24"/>
          <w:szCs w:val="24"/>
          <w:lang w:val="en-US"/>
        </w:rPr>
        <w:t>r</w:t>
      </w:r>
      <w:r w:rsidR="00B048C7" w:rsidRPr="00680D39">
        <w:rPr>
          <w:rFonts w:ascii="Arial" w:hAnsi="Arial" w:cs="Arial"/>
          <w:sz w:val="24"/>
          <w:szCs w:val="24"/>
          <w:lang w:val="en-US"/>
        </w:rPr>
        <w:t xml:space="preserve">espondent is </w:t>
      </w:r>
      <w:r w:rsidR="009E4AFC" w:rsidRPr="00680D39">
        <w:rPr>
          <w:rFonts w:ascii="Arial" w:hAnsi="Arial" w:cs="Arial"/>
          <w:sz w:val="24"/>
          <w:szCs w:val="24"/>
          <w:lang w:val="en-US"/>
        </w:rPr>
        <w:t>the</w:t>
      </w:r>
      <w:r w:rsidR="00B048C7" w:rsidRPr="00680D39">
        <w:rPr>
          <w:rFonts w:ascii="Arial" w:hAnsi="Arial" w:cs="Arial"/>
          <w:sz w:val="24"/>
          <w:szCs w:val="24"/>
          <w:lang w:val="en-US"/>
        </w:rPr>
        <w:t xml:space="preserve"> </w:t>
      </w:r>
      <w:r w:rsidR="003E1778" w:rsidRPr="00680D39">
        <w:rPr>
          <w:rFonts w:ascii="Arial" w:hAnsi="Arial" w:cs="Arial"/>
          <w:sz w:val="24"/>
          <w:szCs w:val="24"/>
          <w:lang w:val="en-US"/>
        </w:rPr>
        <w:t>B</w:t>
      </w:r>
      <w:r w:rsidR="00B048C7" w:rsidRPr="00680D39">
        <w:rPr>
          <w:rFonts w:ascii="Arial" w:hAnsi="Arial" w:cs="Arial"/>
          <w:sz w:val="24"/>
          <w:szCs w:val="24"/>
          <w:lang w:val="en-US"/>
        </w:rPr>
        <w:t>road</w:t>
      </w:r>
      <w:r w:rsidR="009913AD">
        <w:rPr>
          <w:rFonts w:ascii="Arial" w:hAnsi="Arial" w:cs="Arial"/>
          <w:sz w:val="24"/>
          <w:szCs w:val="24"/>
          <w:lang w:val="en-US"/>
        </w:rPr>
        <w:t>-</w:t>
      </w:r>
      <w:r w:rsidR="003E1778" w:rsidRPr="00680D39">
        <w:rPr>
          <w:rFonts w:ascii="Arial" w:hAnsi="Arial" w:cs="Arial"/>
          <w:sz w:val="24"/>
          <w:szCs w:val="24"/>
          <w:lang w:val="en-US"/>
        </w:rPr>
        <w:t>B</w:t>
      </w:r>
      <w:r w:rsidR="00B048C7" w:rsidRPr="00680D39">
        <w:rPr>
          <w:rFonts w:ascii="Arial" w:hAnsi="Arial" w:cs="Arial"/>
          <w:sz w:val="24"/>
          <w:szCs w:val="24"/>
          <w:lang w:val="en-US"/>
        </w:rPr>
        <w:t xml:space="preserve">ased </w:t>
      </w:r>
      <w:r w:rsidR="003E1778" w:rsidRPr="00680D39">
        <w:rPr>
          <w:rFonts w:ascii="Arial" w:hAnsi="Arial" w:cs="Arial"/>
          <w:sz w:val="24"/>
          <w:szCs w:val="24"/>
          <w:lang w:val="en-US"/>
        </w:rPr>
        <w:t>B</w:t>
      </w:r>
      <w:r w:rsidR="00B048C7" w:rsidRPr="00680D39">
        <w:rPr>
          <w:rFonts w:ascii="Arial" w:hAnsi="Arial" w:cs="Arial"/>
          <w:sz w:val="24"/>
          <w:szCs w:val="24"/>
          <w:lang w:val="en-US"/>
        </w:rPr>
        <w:t xml:space="preserve">lack </w:t>
      </w:r>
      <w:r w:rsidR="003E1778" w:rsidRPr="00680D39">
        <w:rPr>
          <w:rFonts w:ascii="Arial" w:hAnsi="Arial" w:cs="Arial"/>
          <w:sz w:val="24"/>
          <w:szCs w:val="24"/>
          <w:lang w:val="en-US"/>
        </w:rPr>
        <w:t>E</w:t>
      </w:r>
      <w:r w:rsidR="00B048C7" w:rsidRPr="00680D39">
        <w:rPr>
          <w:rFonts w:ascii="Arial" w:hAnsi="Arial" w:cs="Arial"/>
          <w:sz w:val="24"/>
          <w:szCs w:val="24"/>
          <w:lang w:val="en-US"/>
        </w:rPr>
        <w:t xml:space="preserve">conomic </w:t>
      </w:r>
      <w:r w:rsidR="003E1778" w:rsidRPr="00680D39">
        <w:rPr>
          <w:rFonts w:ascii="Arial" w:hAnsi="Arial" w:cs="Arial"/>
          <w:sz w:val="24"/>
          <w:szCs w:val="24"/>
          <w:lang w:val="en-US"/>
        </w:rPr>
        <w:t>E</w:t>
      </w:r>
      <w:r w:rsidR="00B048C7" w:rsidRPr="00680D39">
        <w:rPr>
          <w:rFonts w:ascii="Arial" w:hAnsi="Arial" w:cs="Arial"/>
          <w:sz w:val="24"/>
          <w:szCs w:val="24"/>
          <w:lang w:val="en-US"/>
        </w:rPr>
        <w:t xml:space="preserve">mpowerment </w:t>
      </w:r>
      <w:r w:rsidR="007F0434" w:rsidRPr="00680D39">
        <w:rPr>
          <w:rFonts w:ascii="Arial" w:hAnsi="Arial" w:cs="Arial"/>
          <w:sz w:val="24"/>
          <w:szCs w:val="24"/>
          <w:lang w:val="en-US"/>
        </w:rPr>
        <w:t>Commission,</w:t>
      </w:r>
      <w:r w:rsidR="00B048C7" w:rsidRPr="00680D39">
        <w:rPr>
          <w:rFonts w:ascii="Arial" w:hAnsi="Arial" w:cs="Arial"/>
          <w:sz w:val="24"/>
          <w:szCs w:val="24"/>
          <w:lang w:val="en-US"/>
        </w:rPr>
        <w:t xml:space="preserve"> an entity created by section 13B of the </w:t>
      </w:r>
      <w:r w:rsidR="003E1778" w:rsidRPr="00680D39">
        <w:rPr>
          <w:rFonts w:ascii="Arial" w:hAnsi="Arial" w:cs="Arial"/>
          <w:sz w:val="24"/>
          <w:szCs w:val="24"/>
          <w:lang w:val="en-US"/>
        </w:rPr>
        <w:t>B</w:t>
      </w:r>
      <w:r w:rsidR="00B048C7" w:rsidRPr="00680D39">
        <w:rPr>
          <w:rFonts w:ascii="Arial" w:hAnsi="Arial" w:cs="Arial"/>
          <w:sz w:val="24"/>
          <w:szCs w:val="24"/>
          <w:lang w:val="en-US"/>
        </w:rPr>
        <w:t>road</w:t>
      </w:r>
      <w:r w:rsidR="00A42411" w:rsidRPr="00680D39">
        <w:rPr>
          <w:rFonts w:ascii="Arial" w:hAnsi="Arial" w:cs="Arial"/>
          <w:sz w:val="24"/>
          <w:szCs w:val="24"/>
          <w:lang w:val="en-US"/>
        </w:rPr>
        <w:t>-</w:t>
      </w:r>
      <w:r w:rsidR="003E1778" w:rsidRPr="00680D39">
        <w:rPr>
          <w:rFonts w:ascii="Arial" w:hAnsi="Arial" w:cs="Arial"/>
          <w:sz w:val="24"/>
          <w:szCs w:val="24"/>
          <w:lang w:val="en-US"/>
        </w:rPr>
        <w:t>B</w:t>
      </w:r>
      <w:r w:rsidR="00B048C7" w:rsidRPr="00680D39">
        <w:rPr>
          <w:rFonts w:ascii="Arial" w:hAnsi="Arial" w:cs="Arial"/>
          <w:sz w:val="24"/>
          <w:szCs w:val="24"/>
          <w:lang w:val="en-US"/>
        </w:rPr>
        <w:t xml:space="preserve">ased </w:t>
      </w:r>
      <w:r w:rsidR="003E1778" w:rsidRPr="00680D39">
        <w:rPr>
          <w:rFonts w:ascii="Arial" w:hAnsi="Arial" w:cs="Arial"/>
          <w:sz w:val="24"/>
          <w:szCs w:val="24"/>
          <w:lang w:val="en-US"/>
        </w:rPr>
        <w:t>B</w:t>
      </w:r>
      <w:r w:rsidR="00B048C7" w:rsidRPr="00680D39">
        <w:rPr>
          <w:rFonts w:ascii="Arial" w:hAnsi="Arial" w:cs="Arial"/>
          <w:sz w:val="24"/>
          <w:szCs w:val="24"/>
          <w:lang w:val="en-US"/>
        </w:rPr>
        <w:t xml:space="preserve">lack </w:t>
      </w:r>
      <w:r w:rsidR="003E1778" w:rsidRPr="00680D39">
        <w:rPr>
          <w:rFonts w:ascii="Arial" w:hAnsi="Arial" w:cs="Arial"/>
          <w:sz w:val="24"/>
          <w:szCs w:val="24"/>
          <w:lang w:val="en-US"/>
        </w:rPr>
        <w:t>E</w:t>
      </w:r>
      <w:r w:rsidR="00B048C7" w:rsidRPr="00680D39">
        <w:rPr>
          <w:rFonts w:ascii="Arial" w:hAnsi="Arial" w:cs="Arial"/>
          <w:sz w:val="24"/>
          <w:szCs w:val="24"/>
          <w:lang w:val="en-US"/>
        </w:rPr>
        <w:t xml:space="preserve">conomic </w:t>
      </w:r>
      <w:r w:rsidR="003E1778" w:rsidRPr="00680D39">
        <w:rPr>
          <w:rFonts w:ascii="Arial" w:hAnsi="Arial" w:cs="Arial"/>
          <w:sz w:val="24"/>
          <w:szCs w:val="24"/>
          <w:lang w:val="en-US"/>
        </w:rPr>
        <w:t>E</w:t>
      </w:r>
      <w:r w:rsidR="00B048C7" w:rsidRPr="00680D39">
        <w:rPr>
          <w:rFonts w:ascii="Arial" w:hAnsi="Arial" w:cs="Arial"/>
          <w:sz w:val="24"/>
          <w:szCs w:val="24"/>
          <w:lang w:val="en-US"/>
        </w:rPr>
        <w:t>mpowerment</w:t>
      </w:r>
      <w:r w:rsidR="00A42411" w:rsidRPr="00680D39">
        <w:rPr>
          <w:rFonts w:ascii="Arial" w:hAnsi="Arial" w:cs="Arial"/>
          <w:sz w:val="24"/>
          <w:szCs w:val="24"/>
          <w:lang w:val="en-US"/>
        </w:rPr>
        <w:t xml:space="preserve"> Amendment</w:t>
      </w:r>
      <w:r w:rsidR="00B048C7" w:rsidRPr="00680D39">
        <w:rPr>
          <w:rFonts w:ascii="Arial" w:hAnsi="Arial" w:cs="Arial"/>
          <w:sz w:val="24"/>
          <w:szCs w:val="24"/>
          <w:lang w:val="en-US"/>
        </w:rPr>
        <w:t xml:space="preserve"> </w:t>
      </w:r>
      <w:r w:rsidR="003E1778" w:rsidRPr="00680D39">
        <w:rPr>
          <w:rFonts w:ascii="Arial" w:hAnsi="Arial" w:cs="Arial"/>
          <w:sz w:val="24"/>
          <w:szCs w:val="24"/>
          <w:lang w:val="en-US"/>
        </w:rPr>
        <w:t>A</w:t>
      </w:r>
      <w:r w:rsidR="00B048C7" w:rsidRPr="00680D39">
        <w:rPr>
          <w:rFonts w:ascii="Arial" w:hAnsi="Arial" w:cs="Arial"/>
          <w:sz w:val="24"/>
          <w:szCs w:val="24"/>
          <w:lang w:val="en-US"/>
        </w:rPr>
        <w:t>ct</w:t>
      </w:r>
      <w:r w:rsidR="007F0434" w:rsidRPr="00680D39">
        <w:rPr>
          <w:rFonts w:ascii="Arial" w:hAnsi="Arial" w:cs="Arial"/>
          <w:sz w:val="24"/>
          <w:szCs w:val="24"/>
          <w:lang w:val="en-US"/>
        </w:rPr>
        <w:t xml:space="preserve"> </w:t>
      </w:r>
      <w:r w:rsidR="001473D3">
        <w:rPr>
          <w:rFonts w:ascii="Arial" w:hAnsi="Arial" w:cs="Arial"/>
          <w:sz w:val="24"/>
          <w:szCs w:val="24"/>
          <w:lang w:val="en-US"/>
        </w:rPr>
        <w:t>46</w:t>
      </w:r>
      <w:r w:rsidR="007F0434" w:rsidRPr="00680D39">
        <w:rPr>
          <w:rFonts w:ascii="Arial" w:hAnsi="Arial" w:cs="Arial"/>
          <w:sz w:val="24"/>
          <w:szCs w:val="24"/>
          <w:lang w:val="en-US"/>
        </w:rPr>
        <w:t xml:space="preserve"> of </w:t>
      </w:r>
      <w:r w:rsidR="003E1778" w:rsidRPr="00680D39">
        <w:rPr>
          <w:rFonts w:ascii="Arial" w:hAnsi="Arial" w:cs="Arial"/>
          <w:sz w:val="24"/>
          <w:szCs w:val="24"/>
          <w:lang w:val="en-US"/>
        </w:rPr>
        <w:t>2</w:t>
      </w:r>
      <w:r w:rsidR="001473D3">
        <w:rPr>
          <w:rFonts w:ascii="Arial" w:hAnsi="Arial" w:cs="Arial"/>
          <w:sz w:val="24"/>
          <w:szCs w:val="24"/>
          <w:lang w:val="en-US"/>
        </w:rPr>
        <w:t>013</w:t>
      </w:r>
      <w:r w:rsidR="007F0434" w:rsidRPr="00680D39">
        <w:rPr>
          <w:rFonts w:ascii="Arial" w:hAnsi="Arial" w:cs="Arial"/>
          <w:sz w:val="24"/>
          <w:szCs w:val="24"/>
          <w:lang w:val="en-US"/>
        </w:rPr>
        <w:t xml:space="preserve"> (“the Act”)</w:t>
      </w:r>
      <w:r w:rsidR="009913AD">
        <w:rPr>
          <w:rFonts w:ascii="Arial" w:hAnsi="Arial" w:cs="Arial"/>
          <w:sz w:val="24"/>
          <w:szCs w:val="24"/>
          <w:lang w:val="en-US"/>
        </w:rPr>
        <w:t xml:space="preserve">. </w:t>
      </w:r>
    </w:p>
    <w:p w14:paraId="01E3C9D4" w14:textId="77777777" w:rsidR="007F0434" w:rsidRPr="00680D39" w:rsidRDefault="007F0434" w:rsidP="00680D39">
      <w:pPr>
        <w:pStyle w:val="ListParagraph"/>
        <w:spacing w:after="0" w:line="360" w:lineRule="auto"/>
        <w:rPr>
          <w:rFonts w:ascii="Arial" w:hAnsi="Arial" w:cs="Arial"/>
          <w:b/>
          <w:bCs/>
          <w:sz w:val="24"/>
          <w:szCs w:val="24"/>
          <w:lang w:val="en-US"/>
        </w:rPr>
      </w:pPr>
    </w:p>
    <w:p w14:paraId="157ECE10" w14:textId="6792BD23" w:rsidR="00933C20"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[10]</w:t>
      </w:r>
      <w:r w:rsidRPr="00680D39">
        <w:rPr>
          <w:rFonts w:ascii="Arial" w:hAnsi="Arial" w:cs="Arial"/>
          <w:sz w:val="24"/>
          <w:szCs w:val="24"/>
          <w:lang w:val="en-US"/>
        </w:rPr>
        <w:tab/>
      </w:r>
      <w:r w:rsidR="00B048C7" w:rsidRPr="00680D39">
        <w:rPr>
          <w:rFonts w:ascii="Arial" w:hAnsi="Arial" w:cs="Arial"/>
          <w:sz w:val="24"/>
          <w:szCs w:val="24"/>
          <w:lang w:val="en-US"/>
        </w:rPr>
        <w:t xml:space="preserve">The second respondent is the </w:t>
      </w:r>
      <w:r w:rsidR="003E1778" w:rsidRPr="00680D39">
        <w:rPr>
          <w:rFonts w:ascii="Arial" w:hAnsi="Arial" w:cs="Arial"/>
          <w:sz w:val="24"/>
          <w:szCs w:val="24"/>
          <w:lang w:val="en-US"/>
        </w:rPr>
        <w:t>M</w:t>
      </w:r>
      <w:r w:rsidR="00B048C7" w:rsidRPr="00680D39">
        <w:rPr>
          <w:rFonts w:ascii="Arial" w:hAnsi="Arial" w:cs="Arial"/>
          <w:sz w:val="24"/>
          <w:szCs w:val="24"/>
          <w:lang w:val="en-US"/>
        </w:rPr>
        <w:t xml:space="preserve">inister of Trade and Industry who is cited in his official capacity as </w:t>
      </w:r>
      <w:r w:rsidR="003E1778" w:rsidRPr="00680D39">
        <w:rPr>
          <w:rFonts w:ascii="Arial" w:hAnsi="Arial" w:cs="Arial"/>
          <w:sz w:val="24"/>
          <w:szCs w:val="24"/>
          <w:lang w:val="en-US"/>
        </w:rPr>
        <w:t>a</w:t>
      </w:r>
      <w:r w:rsidR="00B048C7" w:rsidRPr="00680D39">
        <w:rPr>
          <w:rFonts w:ascii="Arial" w:hAnsi="Arial" w:cs="Arial"/>
          <w:sz w:val="24"/>
          <w:szCs w:val="24"/>
          <w:lang w:val="en-US"/>
        </w:rPr>
        <w:t xml:space="preserve"> member of</w:t>
      </w:r>
      <w:r w:rsidR="00582637">
        <w:rPr>
          <w:rFonts w:ascii="Arial" w:hAnsi="Arial" w:cs="Arial"/>
          <w:sz w:val="24"/>
          <w:szCs w:val="24"/>
          <w:lang w:val="en-US"/>
        </w:rPr>
        <w:t xml:space="preserve"> the</w:t>
      </w:r>
      <w:r w:rsidR="00B048C7" w:rsidRPr="00680D39">
        <w:rPr>
          <w:rFonts w:ascii="Arial" w:hAnsi="Arial" w:cs="Arial"/>
          <w:sz w:val="24"/>
          <w:szCs w:val="24"/>
          <w:lang w:val="en-US"/>
        </w:rPr>
        <w:t xml:space="preserve"> cabinet vested with public authority and </w:t>
      </w:r>
      <w:r w:rsidR="003E1778" w:rsidRPr="00680D39">
        <w:rPr>
          <w:rFonts w:ascii="Arial" w:hAnsi="Arial" w:cs="Arial"/>
          <w:sz w:val="24"/>
          <w:szCs w:val="24"/>
          <w:lang w:val="en-US"/>
        </w:rPr>
        <w:t>duty</w:t>
      </w:r>
      <w:r w:rsidR="00B048C7" w:rsidRPr="00680D39">
        <w:rPr>
          <w:rFonts w:ascii="Arial" w:hAnsi="Arial" w:cs="Arial"/>
          <w:sz w:val="24"/>
          <w:szCs w:val="24"/>
          <w:lang w:val="en-US"/>
        </w:rPr>
        <w:t xml:space="preserve"> to overse</w:t>
      </w:r>
      <w:r w:rsidR="003E1778" w:rsidRPr="00680D39">
        <w:rPr>
          <w:rFonts w:ascii="Arial" w:hAnsi="Arial" w:cs="Arial"/>
          <w:sz w:val="24"/>
          <w:szCs w:val="24"/>
          <w:lang w:val="en-US"/>
        </w:rPr>
        <w:t>e</w:t>
      </w:r>
      <w:r w:rsidR="00B048C7" w:rsidRPr="00680D39">
        <w:rPr>
          <w:rFonts w:ascii="Arial" w:hAnsi="Arial" w:cs="Arial"/>
          <w:sz w:val="24"/>
          <w:szCs w:val="24"/>
          <w:lang w:val="en-US"/>
        </w:rPr>
        <w:t xml:space="preserve"> the implementation of the </w:t>
      </w:r>
      <w:r w:rsidR="003E1778" w:rsidRPr="00680D39">
        <w:rPr>
          <w:rFonts w:ascii="Arial" w:hAnsi="Arial" w:cs="Arial"/>
          <w:sz w:val="24"/>
          <w:szCs w:val="24"/>
          <w:lang w:val="en-US"/>
        </w:rPr>
        <w:t>A</w:t>
      </w:r>
      <w:r w:rsidR="00B048C7" w:rsidRPr="00680D39">
        <w:rPr>
          <w:rFonts w:ascii="Arial" w:hAnsi="Arial" w:cs="Arial"/>
          <w:sz w:val="24"/>
          <w:szCs w:val="24"/>
          <w:lang w:val="en-US"/>
        </w:rPr>
        <w:t>ct</w:t>
      </w:r>
      <w:r w:rsidR="003E1778" w:rsidRPr="00680D39">
        <w:rPr>
          <w:rFonts w:ascii="Arial" w:hAnsi="Arial" w:cs="Arial"/>
          <w:sz w:val="24"/>
          <w:szCs w:val="24"/>
          <w:lang w:val="en-US"/>
        </w:rPr>
        <w:t>.</w:t>
      </w:r>
    </w:p>
    <w:p w14:paraId="722F4311" w14:textId="77777777" w:rsidR="007F0434" w:rsidRPr="00680D39" w:rsidRDefault="007F0434" w:rsidP="00680D39">
      <w:pPr>
        <w:spacing w:after="0" w:line="360" w:lineRule="auto"/>
        <w:jc w:val="both"/>
        <w:rPr>
          <w:rFonts w:ascii="Arial" w:hAnsi="Arial" w:cs="Arial"/>
          <w:i/>
          <w:iCs/>
          <w:sz w:val="24"/>
          <w:szCs w:val="24"/>
          <w:lang w:val="en-US"/>
        </w:rPr>
      </w:pPr>
    </w:p>
    <w:p w14:paraId="7C606585" w14:textId="704DC298" w:rsidR="00B735D1" w:rsidRPr="00680D39" w:rsidRDefault="00B735D1" w:rsidP="00680D39">
      <w:pPr>
        <w:spacing w:after="0" w:line="360" w:lineRule="auto"/>
        <w:jc w:val="both"/>
        <w:rPr>
          <w:rFonts w:ascii="Arial" w:hAnsi="Arial" w:cs="Arial"/>
          <w:i/>
          <w:iCs/>
          <w:sz w:val="24"/>
          <w:szCs w:val="24"/>
          <w:lang w:val="en-US"/>
        </w:rPr>
      </w:pPr>
      <w:r w:rsidRPr="00680D39">
        <w:rPr>
          <w:rFonts w:ascii="Arial" w:hAnsi="Arial" w:cs="Arial"/>
          <w:i/>
          <w:iCs/>
          <w:sz w:val="24"/>
          <w:szCs w:val="24"/>
          <w:lang w:val="en-US"/>
        </w:rPr>
        <w:t>Facts in brief</w:t>
      </w:r>
    </w:p>
    <w:p w14:paraId="1259B032" w14:textId="6EDB2120" w:rsidR="007F0434" w:rsidRPr="00A65CB3" w:rsidRDefault="00A65CB3" w:rsidP="00A65CB3">
      <w:pPr>
        <w:spacing w:after="0" w:line="360" w:lineRule="auto"/>
        <w:jc w:val="both"/>
        <w:rPr>
          <w:rFonts w:ascii="Arial" w:hAnsi="Arial" w:cs="Arial"/>
          <w:sz w:val="24"/>
          <w:szCs w:val="24"/>
          <w:lang w:val="en-US"/>
        </w:rPr>
      </w:pPr>
      <w:r w:rsidRPr="00680D39">
        <w:rPr>
          <w:rFonts w:ascii="Arial" w:hAnsi="Arial" w:cs="Arial"/>
          <w:sz w:val="24"/>
          <w:szCs w:val="24"/>
          <w:lang w:val="en-US"/>
        </w:rPr>
        <w:t>[11]</w:t>
      </w:r>
      <w:r w:rsidRPr="00680D39">
        <w:rPr>
          <w:rFonts w:ascii="Arial" w:hAnsi="Arial" w:cs="Arial"/>
          <w:sz w:val="24"/>
          <w:szCs w:val="24"/>
          <w:lang w:val="en-US"/>
        </w:rPr>
        <w:tab/>
      </w:r>
      <w:r w:rsidR="00B735D1" w:rsidRPr="00A65CB3">
        <w:rPr>
          <w:rFonts w:ascii="Arial" w:hAnsi="Arial" w:cs="Arial"/>
          <w:sz w:val="24"/>
          <w:szCs w:val="24"/>
          <w:lang w:val="en-US"/>
        </w:rPr>
        <w:t xml:space="preserve">On 26 June 2019, Mr Sipho Lesly Mahlangu lodged a complaint </w:t>
      </w:r>
      <w:r w:rsidR="009913AD" w:rsidRPr="00A65CB3">
        <w:rPr>
          <w:rFonts w:ascii="Arial" w:hAnsi="Arial" w:cs="Arial"/>
          <w:sz w:val="24"/>
          <w:szCs w:val="24"/>
          <w:lang w:val="en-US"/>
        </w:rPr>
        <w:t>of fronting</w:t>
      </w:r>
      <w:r w:rsidR="00285E4E" w:rsidRPr="00A65CB3">
        <w:rPr>
          <w:rFonts w:ascii="Arial" w:hAnsi="Arial" w:cs="Arial"/>
          <w:sz w:val="24"/>
          <w:szCs w:val="24"/>
          <w:lang w:val="en-US"/>
        </w:rPr>
        <w:t>,</w:t>
      </w:r>
      <w:r w:rsidR="009913AD" w:rsidRPr="00A65CB3">
        <w:rPr>
          <w:rFonts w:ascii="Arial" w:hAnsi="Arial" w:cs="Arial"/>
          <w:sz w:val="24"/>
          <w:szCs w:val="24"/>
          <w:lang w:val="en-US"/>
        </w:rPr>
        <w:t xml:space="preserve"> </w:t>
      </w:r>
      <w:r w:rsidR="00B735D1" w:rsidRPr="00A65CB3">
        <w:rPr>
          <w:rFonts w:ascii="Arial" w:hAnsi="Arial" w:cs="Arial"/>
          <w:sz w:val="24"/>
          <w:szCs w:val="24"/>
          <w:lang w:val="en-US"/>
        </w:rPr>
        <w:t>on behalf of the “Ekurhuleni Business Forum”</w:t>
      </w:r>
      <w:r w:rsidR="00285E4E" w:rsidRPr="00A65CB3">
        <w:rPr>
          <w:rFonts w:ascii="Arial" w:hAnsi="Arial" w:cs="Arial"/>
          <w:sz w:val="24"/>
          <w:szCs w:val="24"/>
          <w:lang w:val="en-US"/>
        </w:rPr>
        <w:t>,</w:t>
      </w:r>
      <w:r w:rsidR="00B735D1" w:rsidRPr="00A65CB3">
        <w:rPr>
          <w:rFonts w:ascii="Arial" w:hAnsi="Arial" w:cs="Arial"/>
          <w:sz w:val="24"/>
          <w:szCs w:val="24"/>
          <w:lang w:val="en-US"/>
        </w:rPr>
        <w:t xml:space="preserve"> against the Sand Shifters (Pty) Ltd (the three </w:t>
      </w:r>
      <w:r w:rsidR="009913AD" w:rsidRPr="00A65CB3">
        <w:rPr>
          <w:rFonts w:ascii="Arial" w:hAnsi="Arial" w:cs="Arial"/>
          <w:sz w:val="24"/>
          <w:szCs w:val="24"/>
          <w:lang w:val="en-US"/>
        </w:rPr>
        <w:t>applicants</w:t>
      </w:r>
      <w:r w:rsidR="00B735D1" w:rsidRPr="00A65CB3">
        <w:rPr>
          <w:rFonts w:ascii="Arial" w:hAnsi="Arial" w:cs="Arial"/>
          <w:sz w:val="24"/>
          <w:szCs w:val="24"/>
          <w:lang w:val="en-US"/>
        </w:rPr>
        <w:t xml:space="preserve">). The complaint was received and acknowledged by the Commission on the same day, which </w:t>
      </w:r>
      <w:r w:rsidR="00285E4E" w:rsidRPr="00A65CB3">
        <w:rPr>
          <w:rFonts w:ascii="Arial" w:hAnsi="Arial" w:cs="Arial"/>
          <w:sz w:val="24"/>
          <w:szCs w:val="24"/>
          <w:lang w:val="en-US"/>
        </w:rPr>
        <w:t xml:space="preserve">day </w:t>
      </w:r>
      <w:r w:rsidR="00B735D1" w:rsidRPr="00A65CB3">
        <w:rPr>
          <w:rFonts w:ascii="Arial" w:hAnsi="Arial" w:cs="Arial"/>
          <w:sz w:val="24"/>
          <w:szCs w:val="24"/>
          <w:lang w:val="en-US"/>
        </w:rPr>
        <w:t>marked the beginning of the computation of time</w:t>
      </w:r>
      <w:r w:rsidR="0026311A" w:rsidRPr="00A65CB3">
        <w:rPr>
          <w:rFonts w:ascii="Arial" w:hAnsi="Arial" w:cs="Arial"/>
          <w:sz w:val="24"/>
          <w:szCs w:val="24"/>
          <w:lang w:val="en-US"/>
        </w:rPr>
        <w:t xml:space="preserve"> limit</w:t>
      </w:r>
      <w:r w:rsidR="00B735D1" w:rsidRPr="00A65CB3">
        <w:rPr>
          <w:rFonts w:ascii="Arial" w:hAnsi="Arial" w:cs="Arial"/>
          <w:sz w:val="24"/>
          <w:szCs w:val="24"/>
          <w:lang w:val="en-US"/>
        </w:rPr>
        <w:t xml:space="preserve"> in term</w:t>
      </w:r>
      <w:r w:rsidR="00285E4E" w:rsidRPr="00A65CB3">
        <w:rPr>
          <w:rFonts w:ascii="Arial" w:hAnsi="Arial" w:cs="Arial"/>
          <w:sz w:val="24"/>
          <w:szCs w:val="24"/>
          <w:lang w:val="en-US"/>
        </w:rPr>
        <w:t>s</w:t>
      </w:r>
      <w:r w:rsidR="00B735D1" w:rsidRPr="00A65CB3">
        <w:rPr>
          <w:rFonts w:ascii="Arial" w:hAnsi="Arial" w:cs="Arial"/>
          <w:sz w:val="24"/>
          <w:szCs w:val="24"/>
          <w:lang w:val="en-US"/>
        </w:rPr>
        <w:t xml:space="preserve"> of Regulation 15(4)</w:t>
      </w:r>
      <w:r w:rsidR="0026311A" w:rsidRPr="00A65CB3">
        <w:rPr>
          <w:rFonts w:ascii="Arial" w:hAnsi="Arial" w:cs="Arial"/>
          <w:sz w:val="24"/>
          <w:szCs w:val="24"/>
          <w:lang w:val="en-US"/>
        </w:rPr>
        <w:t>(g)</w:t>
      </w:r>
      <w:r w:rsidR="00B735D1" w:rsidRPr="00A65CB3">
        <w:rPr>
          <w:rFonts w:ascii="Arial" w:hAnsi="Arial" w:cs="Arial"/>
          <w:sz w:val="24"/>
          <w:szCs w:val="24"/>
          <w:lang w:val="en-US"/>
        </w:rPr>
        <w:t xml:space="preserve"> of the Broad-Based Black Economic Empowerment Regulations.</w:t>
      </w:r>
    </w:p>
    <w:p w14:paraId="5E6A55C7" w14:textId="77777777" w:rsidR="007F0434" w:rsidRPr="00680D39" w:rsidRDefault="007F0434" w:rsidP="00680D39">
      <w:pPr>
        <w:pStyle w:val="ListParagraph"/>
        <w:spacing w:after="0" w:line="360" w:lineRule="auto"/>
        <w:ind w:left="0"/>
        <w:jc w:val="both"/>
        <w:rPr>
          <w:rFonts w:ascii="Arial" w:hAnsi="Arial" w:cs="Arial"/>
          <w:sz w:val="24"/>
          <w:szCs w:val="24"/>
          <w:lang w:val="en-US"/>
        </w:rPr>
      </w:pPr>
    </w:p>
    <w:p w14:paraId="34DB9FAD" w14:textId="74B910AF" w:rsidR="00352C77"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B735D1" w:rsidRPr="00A65CB3">
        <w:rPr>
          <w:rFonts w:ascii="Arial" w:hAnsi="Arial" w:cs="Arial"/>
          <w:sz w:val="24"/>
          <w:szCs w:val="24"/>
          <w:lang w:val="en-US"/>
        </w:rPr>
        <w:t xml:space="preserve"> On 20 September 2019, the Commission informed Sand Shifters that a complaint had been lodged by Mr</w:t>
      </w:r>
      <w:r w:rsidR="00DF66B1" w:rsidRPr="00A65CB3">
        <w:rPr>
          <w:rFonts w:ascii="Arial" w:hAnsi="Arial" w:cs="Arial"/>
          <w:sz w:val="24"/>
          <w:szCs w:val="24"/>
          <w:lang w:val="en-US"/>
        </w:rPr>
        <w:t xml:space="preserve"> </w:t>
      </w:r>
      <w:r w:rsidR="00B735D1" w:rsidRPr="00A65CB3">
        <w:rPr>
          <w:rFonts w:ascii="Arial" w:hAnsi="Arial" w:cs="Arial"/>
          <w:sz w:val="24"/>
          <w:szCs w:val="24"/>
          <w:lang w:val="en-US"/>
        </w:rPr>
        <w:t xml:space="preserve">Mahlangu. On 9 October 2019, SS Africa provided </w:t>
      </w:r>
      <w:r w:rsidR="00B735D1" w:rsidRPr="00A65CB3">
        <w:rPr>
          <w:rFonts w:ascii="Arial" w:hAnsi="Arial" w:cs="Arial"/>
          <w:sz w:val="24"/>
          <w:szCs w:val="24"/>
          <w:lang w:val="en-US"/>
        </w:rPr>
        <w:lastRenderedPageBreak/>
        <w:t xml:space="preserve">documents requested by the Commission on 20 September 2019. </w:t>
      </w:r>
      <w:r w:rsidR="00285E4E" w:rsidRPr="00A65CB3">
        <w:rPr>
          <w:rFonts w:ascii="Arial" w:hAnsi="Arial" w:cs="Arial"/>
          <w:sz w:val="24"/>
          <w:szCs w:val="24"/>
          <w:lang w:val="en-US"/>
        </w:rPr>
        <w:t xml:space="preserve">Further documents were provided by SS Africa on </w:t>
      </w:r>
      <w:r w:rsidR="00B735D1" w:rsidRPr="00A65CB3">
        <w:rPr>
          <w:rFonts w:ascii="Arial" w:hAnsi="Arial" w:cs="Arial"/>
          <w:sz w:val="24"/>
          <w:szCs w:val="24"/>
          <w:lang w:val="en-US"/>
        </w:rPr>
        <w:t>17 October 2019</w:t>
      </w:r>
      <w:r w:rsidR="00285E4E" w:rsidRPr="00A65CB3">
        <w:rPr>
          <w:rFonts w:ascii="Arial" w:hAnsi="Arial" w:cs="Arial"/>
          <w:sz w:val="24"/>
          <w:szCs w:val="24"/>
          <w:lang w:val="en-US"/>
        </w:rPr>
        <w:t>.</w:t>
      </w:r>
      <w:r w:rsidR="00B735D1" w:rsidRPr="00A65CB3">
        <w:rPr>
          <w:rFonts w:ascii="Arial" w:hAnsi="Arial" w:cs="Arial"/>
          <w:sz w:val="24"/>
          <w:szCs w:val="24"/>
          <w:lang w:val="en-US"/>
        </w:rPr>
        <w:t xml:space="preserve"> </w:t>
      </w:r>
    </w:p>
    <w:p w14:paraId="5ADC359A" w14:textId="77777777" w:rsidR="00285E4E" w:rsidRPr="00285E4E" w:rsidRDefault="00285E4E" w:rsidP="00285E4E">
      <w:pPr>
        <w:pStyle w:val="ListParagraph"/>
        <w:spacing w:after="0" w:line="360" w:lineRule="auto"/>
        <w:ind w:left="0"/>
        <w:jc w:val="both"/>
        <w:rPr>
          <w:rFonts w:ascii="Arial" w:hAnsi="Arial" w:cs="Arial"/>
          <w:sz w:val="24"/>
          <w:szCs w:val="24"/>
          <w:lang w:val="en-US"/>
        </w:rPr>
      </w:pPr>
    </w:p>
    <w:p w14:paraId="7A7A3750" w14:textId="21FCB2D9" w:rsidR="00352C77" w:rsidRPr="00A65CB3" w:rsidRDefault="00A65CB3" w:rsidP="00A65CB3">
      <w:pPr>
        <w:spacing w:after="0" w:line="360" w:lineRule="auto"/>
        <w:jc w:val="both"/>
        <w:rPr>
          <w:rFonts w:ascii="Arial" w:hAnsi="Arial" w:cs="Arial"/>
          <w:sz w:val="24"/>
          <w:szCs w:val="24"/>
          <w:lang w:val="en-US"/>
        </w:rPr>
      </w:pPr>
      <w:r w:rsidRPr="00680D39">
        <w:rPr>
          <w:rFonts w:ascii="Arial" w:hAnsi="Arial" w:cs="Arial"/>
          <w:sz w:val="24"/>
          <w:szCs w:val="24"/>
          <w:lang w:val="en-US"/>
        </w:rPr>
        <w:t>[13]</w:t>
      </w:r>
      <w:r w:rsidRPr="00680D39">
        <w:rPr>
          <w:rFonts w:ascii="Arial" w:hAnsi="Arial" w:cs="Arial"/>
          <w:sz w:val="24"/>
          <w:szCs w:val="24"/>
          <w:lang w:val="en-US"/>
        </w:rPr>
        <w:tab/>
      </w:r>
      <w:r w:rsidR="000D4F2C" w:rsidRPr="00A65CB3">
        <w:rPr>
          <w:rFonts w:ascii="Arial" w:hAnsi="Arial" w:cs="Arial"/>
          <w:sz w:val="24"/>
          <w:szCs w:val="24"/>
          <w:lang w:val="en-US"/>
        </w:rPr>
        <w:t xml:space="preserve">The </w:t>
      </w:r>
      <w:r w:rsidR="00B735D1" w:rsidRPr="00A65CB3">
        <w:rPr>
          <w:rFonts w:ascii="Arial" w:hAnsi="Arial" w:cs="Arial"/>
          <w:sz w:val="24"/>
          <w:szCs w:val="24"/>
          <w:lang w:val="en-US"/>
        </w:rPr>
        <w:t>26</w:t>
      </w:r>
      <w:r w:rsidR="000D4F2C" w:rsidRPr="00A65CB3">
        <w:rPr>
          <w:rFonts w:ascii="Arial" w:hAnsi="Arial" w:cs="Arial"/>
          <w:sz w:val="24"/>
          <w:szCs w:val="24"/>
          <w:vertAlign w:val="superscript"/>
          <w:lang w:val="en-US"/>
        </w:rPr>
        <w:t>th</w:t>
      </w:r>
      <w:r w:rsidR="000D4F2C" w:rsidRPr="00A65CB3">
        <w:rPr>
          <w:rFonts w:ascii="Arial" w:hAnsi="Arial" w:cs="Arial"/>
          <w:sz w:val="24"/>
          <w:szCs w:val="24"/>
          <w:lang w:val="en-US"/>
        </w:rPr>
        <w:t xml:space="preserve"> of </w:t>
      </w:r>
      <w:r w:rsidR="00B735D1" w:rsidRPr="00A65CB3">
        <w:rPr>
          <w:rFonts w:ascii="Arial" w:hAnsi="Arial" w:cs="Arial"/>
          <w:sz w:val="24"/>
          <w:szCs w:val="24"/>
          <w:lang w:val="en-US"/>
        </w:rPr>
        <w:t xml:space="preserve">June 2020 marked the end of </w:t>
      </w:r>
      <w:r w:rsidR="000D4F2C" w:rsidRPr="00A65CB3">
        <w:rPr>
          <w:rFonts w:ascii="Arial" w:hAnsi="Arial" w:cs="Arial"/>
          <w:sz w:val="24"/>
          <w:szCs w:val="24"/>
          <w:lang w:val="en-US"/>
        </w:rPr>
        <w:t>one (</w:t>
      </w:r>
      <w:r w:rsidR="00B735D1" w:rsidRPr="00A65CB3">
        <w:rPr>
          <w:rFonts w:ascii="Arial" w:hAnsi="Arial" w:cs="Arial"/>
          <w:sz w:val="24"/>
          <w:szCs w:val="24"/>
          <w:lang w:val="en-US"/>
        </w:rPr>
        <w:t>1</w:t>
      </w:r>
      <w:r w:rsidR="000D4F2C" w:rsidRPr="00A65CB3">
        <w:rPr>
          <w:rFonts w:ascii="Arial" w:hAnsi="Arial" w:cs="Arial"/>
          <w:sz w:val="24"/>
          <w:szCs w:val="24"/>
          <w:lang w:val="en-US"/>
        </w:rPr>
        <w:t>)</w:t>
      </w:r>
      <w:r w:rsidR="00B735D1" w:rsidRPr="00A65CB3">
        <w:rPr>
          <w:rFonts w:ascii="Arial" w:hAnsi="Arial" w:cs="Arial"/>
          <w:sz w:val="24"/>
          <w:szCs w:val="24"/>
          <w:lang w:val="en-US"/>
        </w:rPr>
        <w:t xml:space="preserve"> year</w:t>
      </w:r>
      <w:r w:rsidR="0026311A" w:rsidRPr="00A65CB3">
        <w:rPr>
          <w:rFonts w:ascii="Arial" w:hAnsi="Arial" w:cs="Arial"/>
          <w:sz w:val="24"/>
          <w:szCs w:val="24"/>
          <w:lang w:val="en-US"/>
        </w:rPr>
        <w:t>,</w:t>
      </w:r>
      <w:r w:rsidR="00B735D1" w:rsidRPr="00A65CB3">
        <w:rPr>
          <w:rFonts w:ascii="Arial" w:hAnsi="Arial" w:cs="Arial"/>
          <w:sz w:val="24"/>
          <w:szCs w:val="24"/>
          <w:lang w:val="en-US"/>
        </w:rPr>
        <w:t xml:space="preserve"> </w:t>
      </w:r>
      <w:r w:rsidR="00285E4E" w:rsidRPr="00A65CB3">
        <w:rPr>
          <w:rFonts w:ascii="Arial" w:hAnsi="Arial" w:cs="Arial"/>
          <w:sz w:val="24"/>
          <w:szCs w:val="24"/>
          <w:lang w:val="en-US"/>
        </w:rPr>
        <w:t xml:space="preserve">as contemplated </w:t>
      </w:r>
      <w:r w:rsidR="0026311A" w:rsidRPr="00A65CB3">
        <w:rPr>
          <w:rFonts w:ascii="Arial" w:hAnsi="Arial" w:cs="Arial"/>
          <w:sz w:val="24"/>
          <w:szCs w:val="24"/>
          <w:lang w:val="en-US"/>
        </w:rPr>
        <w:t>in</w:t>
      </w:r>
      <w:r w:rsidR="00B735D1" w:rsidRPr="00A65CB3">
        <w:rPr>
          <w:rFonts w:ascii="Arial" w:hAnsi="Arial" w:cs="Arial"/>
          <w:sz w:val="24"/>
          <w:szCs w:val="24"/>
          <w:lang w:val="en-US"/>
        </w:rPr>
        <w:t xml:space="preserve"> regulation 15(4)(g). On 15 July 2020, the Commission advised that it had concluded its assessment of the matter and had </w:t>
      </w:r>
      <w:r w:rsidR="00285E4E" w:rsidRPr="00A65CB3">
        <w:rPr>
          <w:rFonts w:ascii="Arial" w:hAnsi="Arial" w:cs="Arial"/>
          <w:sz w:val="24"/>
          <w:szCs w:val="24"/>
          <w:lang w:val="en-US"/>
        </w:rPr>
        <w:t xml:space="preserve">reached a conclusion </w:t>
      </w:r>
      <w:r w:rsidR="00B735D1" w:rsidRPr="00A65CB3">
        <w:rPr>
          <w:rFonts w:ascii="Arial" w:hAnsi="Arial" w:cs="Arial"/>
          <w:sz w:val="24"/>
          <w:szCs w:val="24"/>
          <w:lang w:val="en-US"/>
        </w:rPr>
        <w:t>that there w</w:t>
      </w:r>
      <w:r w:rsidR="00285E4E" w:rsidRPr="00A65CB3">
        <w:rPr>
          <w:rFonts w:ascii="Arial" w:hAnsi="Arial" w:cs="Arial"/>
          <w:sz w:val="24"/>
          <w:szCs w:val="24"/>
          <w:lang w:val="en-US"/>
        </w:rPr>
        <w:t xml:space="preserve">ere </w:t>
      </w:r>
      <w:r w:rsidR="00B735D1" w:rsidRPr="00A65CB3">
        <w:rPr>
          <w:rFonts w:ascii="Arial" w:hAnsi="Arial" w:cs="Arial"/>
          <w:sz w:val="24"/>
          <w:szCs w:val="24"/>
          <w:lang w:val="en-US"/>
        </w:rPr>
        <w:t>merit</w:t>
      </w:r>
      <w:r w:rsidR="00285E4E" w:rsidRPr="00A65CB3">
        <w:rPr>
          <w:rFonts w:ascii="Arial" w:hAnsi="Arial" w:cs="Arial"/>
          <w:sz w:val="24"/>
          <w:szCs w:val="24"/>
          <w:lang w:val="en-US"/>
        </w:rPr>
        <w:t>s</w:t>
      </w:r>
      <w:r w:rsidR="00B735D1" w:rsidRPr="00A65CB3">
        <w:rPr>
          <w:rFonts w:ascii="Arial" w:hAnsi="Arial" w:cs="Arial"/>
          <w:sz w:val="24"/>
          <w:szCs w:val="24"/>
          <w:lang w:val="en-US"/>
        </w:rPr>
        <w:t xml:space="preserve"> in investigating SS Africa</w:t>
      </w:r>
      <w:r w:rsidR="00285E4E" w:rsidRPr="00A65CB3">
        <w:rPr>
          <w:rFonts w:ascii="Arial" w:hAnsi="Arial" w:cs="Arial"/>
          <w:sz w:val="24"/>
          <w:szCs w:val="24"/>
          <w:lang w:val="en-US"/>
        </w:rPr>
        <w:t>’</w:t>
      </w:r>
      <w:r w:rsidR="003C15A7" w:rsidRPr="00A65CB3">
        <w:rPr>
          <w:rFonts w:ascii="Arial" w:hAnsi="Arial" w:cs="Arial"/>
          <w:sz w:val="24"/>
          <w:szCs w:val="24"/>
          <w:lang w:val="en-US"/>
        </w:rPr>
        <w:t>s</w:t>
      </w:r>
      <w:r w:rsidR="00B735D1" w:rsidRPr="00A65CB3">
        <w:rPr>
          <w:rFonts w:ascii="Arial" w:hAnsi="Arial" w:cs="Arial"/>
          <w:sz w:val="24"/>
          <w:szCs w:val="24"/>
          <w:lang w:val="en-US"/>
        </w:rPr>
        <w:t>, SS</w:t>
      </w:r>
      <w:r w:rsidR="00285E4E" w:rsidRPr="00A65CB3">
        <w:rPr>
          <w:rFonts w:ascii="Arial" w:hAnsi="Arial" w:cs="Arial"/>
          <w:sz w:val="24"/>
          <w:szCs w:val="24"/>
          <w:lang w:val="en-US"/>
        </w:rPr>
        <w:t>’</w:t>
      </w:r>
      <w:r w:rsidR="00B735D1" w:rsidRPr="00A65CB3">
        <w:rPr>
          <w:rFonts w:ascii="Arial" w:hAnsi="Arial" w:cs="Arial"/>
          <w:sz w:val="24"/>
          <w:szCs w:val="24"/>
          <w:lang w:val="en-US"/>
        </w:rPr>
        <w:t xml:space="preserve"> and S</w:t>
      </w:r>
      <w:r w:rsidR="00352C77" w:rsidRPr="00A65CB3">
        <w:rPr>
          <w:rFonts w:ascii="Arial" w:hAnsi="Arial" w:cs="Arial"/>
          <w:sz w:val="24"/>
          <w:szCs w:val="24"/>
          <w:lang w:val="en-US"/>
        </w:rPr>
        <w:t>S</w:t>
      </w:r>
      <w:r w:rsidR="00285E4E" w:rsidRPr="00A65CB3">
        <w:rPr>
          <w:rFonts w:ascii="Arial" w:hAnsi="Arial" w:cs="Arial"/>
          <w:sz w:val="24"/>
          <w:szCs w:val="24"/>
          <w:lang w:val="en-US"/>
        </w:rPr>
        <w:t xml:space="preserve"> </w:t>
      </w:r>
      <w:r w:rsidR="00B735D1" w:rsidRPr="00A65CB3">
        <w:rPr>
          <w:rFonts w:ascii="Arial" w:hAnsi="Arial" w:cs="Arial"/>
          <w:sz w:val="24"/>
          <w:szCs w:val="24"/>
          <w:lang w:val="en-US"/>
        </w:rPr>
        <w:t>logistics’ alleged misrepresentation of the B-BBEE status and fronting practices including the creation of an opportunistic intermediary for B</w:t>
      </w:r>
      <w:r w:rsidR="00285E4E" w:rsidRPr="00A65CB3">
        <w:rPr>
          <w:rFonts w:ascii="Arial" w:hAnsi="Arial" w:cs="Arial"/>
          <w:sz w:val="24"/>
          <w:szCs w:val="24"/>
          <w:lang w:val="en-US"/>
        </w:rPr>
        <w:t>-</w:t>
      </w:r>
      <w:r w:rsidR="00B735D1" w:rsidRPr="00A65CB3">
        <w:rPr>
          <w:rFonts w:ascii="Arial" w:hAnsi="Arial" w:cs="Arial"/>
          <w:sz w:val="24"/>
          <w:szCs w:val="24"/>
          <w:lang w:val="en-US"/>
        </w:rPr>
        <w:t>BBEE compliance.</w:t>
      </w:r>
    </w:p>
    <w:p w14:paraId="3DA8EBD4" w14:textId="77777777" w:rsidR="00352C77" w:rsidRPr="00680D39" w:rsidRDefault="00352C77" w:rsidP="00680D39">
      <w:pPr>
        <w:pStyle w:val="ListParagraph"/>
        <w:spacing w:after="0" w:line="360" w:lineRule="auto"/>
        <w:rPr>
          <w:rFonts w:ascii="Arial" w:hAnsi="Arial" w:cs="Arial"/>
          <w:sz w:val="24"/>
          <w:szCs w:val="24"/>
          <w:lang w:val="en-US"/>
        </w:rPr>
      </w:pPr>
    </w:p>
    <w:p w14:paraId="7913BF76" w14:textId="58FD8A63" w:rsidR="00352C77" w:rsidRPr="00A65CB3" w:rsidRDefault="00A65CB3" w:rsidP="00A65CB3">
      <w:pPr>
        <w:spacing w:after="0" w:line="360" w:lineRule="auto"/>
        <w:jc w:val="both"/>
        <w:rPr>
          <w:rFonts w:ascii="Arial" w:hAnsi="Arial" w:cs="Arial"/>
          <w:i/>
          <w:iCs/>
          <w:sz w:val="24"/>
          <w:szCs w:val="24"/>
          <w:lang w:val="en-GB"/>
        </w:rPr>
      </w:pPr>
      <w:r w:rsidRPr="00D76284">
        <w:rPr>
          <w:rFonts w:ascii="Arial" w:hAnsi="Arial" w:cs="Arial"/>
          <w:sz w:val="24"/>
          <w:szCs w:val="24"/>
          <w:lang w:val="en-GB"/>
        </w:rPr>
        <w:t>[14]</w:t>
      </w:r>
      <w:r w:rsidRPr="00D76284">
        <w:rPr>
          <w:rFonts w:ascii="Arial" w:hAnsi="Arial" w:cs="Arial"/>
          <w:sz w:val="24"/>
          <w:szCs w:val="24"/>
          <w:lang w:val="en-GB"/>
        </w:rPr>
        <w:tab/>
      </w:r>
      <w:r w:rsidR="00285E4E" w:rsidRPr="00A65CB3">
        <w:rPr>
          <w:rFonts w:ascii="Arial" w:hAnsi="Arial" w:cs="Arial"/>
          <w:sz w:val="24"/>
          <w:szCs w:val="24"/>
          <w:lang w:val="en-US"/>
        </w:rPr>
        <w:t xml:space="preserve">Documents requested by the commission were emailed on </w:t>
      </w:r>
      <w:r w:rsidR="00B735D1" w:rsidRPr="00A65CB3">
        <w:rPr>
          <w:rFonts w:ascii="Arial" w:hAnsi="Arial" w:cs="Arial"/>
          <w:sz w:val="24"/>
          <w:szCs w:val="24"/>
          <w:lang w:val="en-US"/>
        </w:rPr>
        <w:t xml:space="preserve">28 July 2020. On 6 August 2020 the Commission requested further information and clarification from SS Africa. </w:t>
      </w:r>
      <w:r w:rsidR="00285E4E" w:rsidRPr="00A65CB3">
        <w:rPr>
          <w:rFonts w:ascii="Arial" w:hAnsi="Arial" w:cs="Arial"/>
          <w:sz w:val="24"/>
          <w:szCs w:val="24"/>
          <w:lang w:val="en-US"/>
        </w:rPr>
        <w:t xml:space="preserve">This information was provided on </w:t>
      </w:r>
      <w:r w:rsidR="00B735D1" w:rsidRPr="00A65CB3">
        <w:rPr>
          <w:rFonts w:ascii="Arial" w:hAnsi="Arial" w:cs="Arial"/>
          <w:sz w:val="24"/>
          <w:szCs w:val="24"/>
          <w:lang w:val="en-US"/>
        </w:rPr>
        <w:t>7 August 2020</w:t>
      </w:r>
      <w:r w:rsidR="00285E4E" w:rsidRPr="00A65CB3">
        <w:rPr>
          <w:rFonts w:ascii="Arial" w:hAnsi="Arial" w:cs="Arial"/>
          <w:sz w:val="24"/>
          <w:szCs w:val="24"/>
          <w:lang w:val="en-US"/>
        </w:rPr>
        <w:t xml:space="preserve">. </w:t>
      </w:r>
      <w:r w:rsidR="00B735D1" w:rsidRPr="00A65CB3">
        <w:rPr>
          <w:rFonts w:ascii="Arial" w:hAnsi="Arial" w:cs="Arial"/>
          <w:sz w:val="24"/>
          <w:szCs w:val="24"/>
          <w:lang w:val="en-US"/>
        </w:rPr>
        <w:t xml:space="preserve"> On 10 December 2020</w:t>
      </w:r>
      <w:r w:rsidR="0026311A" w:rsidRPr="00A65CB3">
        <w:rPr>
          <w:rFonts w:ascii="Arial" w:hAnsi="Arial" w:cs="Arial"/>
          <w:sz w:val="24"/>
          <w:szCs w:val="24"/>
          <w:lang w:val="en-US"/>
        </w:rPr>
        <w:t>,</w:t>
      </w:r>
      <w:r w:rsidR="00B735D1" w:rsidRPr="00A65CB3">
        <w:rPr>
          <w:rFonts w:ascii="Arial" w:hAnsi="Arial" w:cs="Arial"/>
          <w:sz w:val="24"/>
          <w:szCs w:val="24"/>
          <w:lang w:val="en-US"/>
        </w:rPr>
        <w:t xml:space="preserve"> the commissioner addressed a letter to “Mr. GG Volsoo” headed “Findings: Sipho Mahlangu// Sand Shifters Africa (Pty) Ltd and Others.”</w:t>
      </w:r>
      <w:r w:rsidR="00352C77" w:rsidRPr="00A65CB3">
        <w:rPr>
          <w:rFonts w:ascii="Arial" w:hAnsi="Arial" w:cs="Arial"/>
          <w:sz w:val="24"/>
          <w:szCs w:val="24"/>
          <w:lang w:val="en-US"/>
        </w:rPr>
        <w:t xml:space="preserve"> </w:t>
      </w:r>
      <w:r w:rsidR="003271ED" w:rsidRPr="00A65CB3">
        <w:rPr>
          <w:rFonts w:ascii="Arial" w:hAnsi="Arial" w:cs="Arial"/>
          <w:sz w:val="24"/>
          <w:szCs w:val="24"/>
          <w:lang w:val="en-US"/>
        </w:rPr>
        <w:t>Mr</w:t>
      </w:r>
      <w:r w:rsidR="00CB1D00" w:rsidRPr="00A65CB3">
        <w:rPr>
          <w:rFonts w:ascii="Arial" w:hAnsi="Arial" w:cs="Arial"/>
          <w:sz w:val="24"/>
          <w:szCs w:val="24"/>
          <w:lang w:val="en-US"/>
        </w:rPr>
        <w:t>.</w:t>
      </w:r>
      <w:r w:rsidR="003271ED" w:rsidRPr="00A65CB3">
        <w:rPr>
          <w:rFonts w:ascii="Arial" w:hAnsi="Arial" w:cs="Arial"/>
          <w:sz w:val="24"/>
          <w:szCs w:val="24"/>
          <w:lang w:val="en-US"/>
        </w:rPr>
        <w:t xml:space="preserve"> Vosloo responded to this letter o</w:t>
      </w:r>
      <w:r w:rsidR="00B735D1" w:rsidRPr="00A65CB3">
        <w:rPr>
          <w:rFonts w:ascii="Arial" w:hAnsi="Arial" w:cs="Arial"/>
          <w:sz w:val="24"/>
          <w:szCs w:val="24"/>
          <w:lang w:val="en-US"/>
        </w:rPr>
        <w:t>n 20 December 2020</w:t>
      </w:r>
      <w:r w:rsidR="003271ED" w:rsidRPr="00A65CB3">
        <w:rPr>
          <w:rFonts w:ascii="Arial" w:hAnsi="Arial" w:cs="Arial"/>
          <w:sz w:val="24"/>
          <w:szCs w:val="24"/>
          <w:lang w:val="en-US"/>
        </w:rPr>
        <w:t>.</w:t>
      </w:r>
      <w:r w:rsidR="00B735D1" w:rsidRPr="00A65CB3">
        <w:rPr>
          <w:rFonts w:ascii="Arial" w:hAnsi="Arial" w:cs="Arial"/>
          <w:sz w:val="24"/>
          <w:szCs w:val="24"/>
          <w:lang w:val="en-US"/>
        </w:rPr>
        <w:t xml:space="preserve"> On 29 January 2021, </w:t>
      </w:r>
      <w:r w:rsidR="003271ED" w:rsidRPr="00A65CB3">
        <w:rPr>
          <w:rFonts w:ascii="Arial" w:hAnsi="Arial" w:cs="Arial"/>
          <w:sz w:val="24"/>
          <w:szCs w:val="24"/>
          <w:lang w:val="en-US"/>
        </w:rPr>
        <w:t>t</w:t>
      </w:r>
      <w:r w:rsidR="00B735D1" w:rsidRPr="00A65CB3">
        <w:rPr>
          <w:rFonts w:ascii="Arial" w:hAnsi="Arial" w:cs="Arial"/>
          <w:sz w:val="24"/>
          <w:szCs w:val="24"/>
          <w:lang w:val="en-US"/>
        </w:rPr>
        <w:t xml:space="preserve">he SS applicants replied to the preliminary findings. </w:t>
      </w:r>
      <w:r w:rsidR="003271ED" w:rsidRPr="00A65CB3">
        <w:rPr>
          <w:rFonts w:ascii="Arial" w:hAnsi="Arial" w:cs="Arial"/>
          <w:sz w:val="24"/>
          <w:szCs w:val="24"/>
          <w:lang w:val="en-US"/>
        </w:rPr>
        <w:t>The final finding was issued to Sand Shifters on</w:t>
      </w:r>
      <w:r w:rsidR="00B735D1" w:rsidRPr="00A65CB3">
        <w:rPr>
          <w:rFonts w:ascii="Arial" w:hAnsi="Arial" w:cs="Arial"/>
          <w:sz w:val="24"/>
          <w:szCs w:val="24"/>
          <w:lang w:val="en-US"/>
        </w:rPr>
        <w:t xml:space="preserve"> 9 June 2021</w:t>
      </w:r>
      <w:r w:rsidR="003271ED" w:rsidRPr="00A65CB3">
        <w:rPr>
          <w:rFonts w:ascii="Arial" w:hAnsi="Arial" w:cs="Arial"/>
          <w:sz w:val="24"/>
          <w:szCs w:val="24"/>
          <w:lang w:val="en-US"/>
        </w:rPr>
        <w:t xml:space="preserve">. </w:t>
      </w:r>
    </w:p>
    <w:p w14:paraId="125F11F2" w14:textId="77777777" w:rsidR="003271ED" w:rsidRPr="003271ED" w:rsidRDefault="003271ED" w:rsidP="003271ED">
      <w:pPr>
        <w:pStyle w:val="ListParagraph"/>
        <w:spacing w:after="0" w:line="360" w:lineRule="auto"/>
        <w:ind w:left="0"/>
        <w:jc w:val="both"/>
        <w:rPr>
          <w:rFonts w:ascii="Arial" w:hAnsi="Arial" w:cs="Arial"/>
          <w:i/>
          <w:iCs/>
          <w:sz w:val="24"/>
          <w:szCs w:val="24"/>
          <w:lang w:val="en-GB"/>
        </w:rPr>
      </w:pPr>
    </w:p>
    <w:p w14:paraId="7E6B883D" w14:textId="2C301517" w:rsidR="00374A8A" w:rsidRPr="00680D39" w:rsidRDefault="00352C77" w:rsidP="00680D39">
      <w:pPr>
        <w:pStyle w:val="FootnoteText"/>
        <w:spacing w:line="360" w:lineRule="auto"/>
        <w:jc w:val="both"/>
        <w:rPr>
          <w:rFonts w:ascii="Arial" w:hAnsi="Arial" w:cs="Arial"/>
          <w:b/>
          <w:bCs/>
          <w:sz w:val="24"/>
          <w:szCs w:val="24"/>
          <w:lang w:val="en-US"/>
        </w:rPr>
      </w:pPr>
      <w:r w:rsidRPr="00680D39">
        <w:rPr>
          <w:rFonts w:ascii="Arial" w:hAnsi="Arial" w:cs="Arial"/>
          <w:i/>
          <w:iCs/>
          <w:sz w:val="24"/>
          <w:szCs w:val="24"/>
          <w:lang w:val="en-GB"/>
        </w:rPr>
        <w:t>Authority challenge</w:t>
      </w:r>
    </w:p>
    <w:p w14:paraId="7E569ABF" w14:textId="5C77CBC0" w:rsidR="00374A8A"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[15]</w:t>
      </w:r>
      <w:r w:rsidRPr="00680D39">
        <w:rPr>
          <w:rFonts w:ascii="Arial" w:hAnsi="Arial" w:cs="Arial"/>
          <w:sz w:val="24"/>
          <w:szCs w:val="24"/>
          <w:lang w:val="en-US"/>
        </w:rPr>
        <w:tab/>
      </w:r>
      <w:r w:rsidR="00CE624C" w:rsidRPr="00680D39">
        <w:rPr>
          <w:rFonts w:ascii="Arial" w:hAnsi="Arial" w:cs="Arial"/>
          <w:sz w:val="24"/>
          <w:szCs w:val="24"/>
          <w:lang w:val="en-US"/>
        </w:rPr>
        <w:t xml:space="preserve">In the </w:t>
      </w:r>
      <w:r w:rsidR="00374A8A" w:rsidRPr="00680D39">
        <w:rPr>
          <w:rFonts w:ascii="Arial" w:hAnsi="Arial" w:cs="Arial"/>
          <w:sz w:val="24"/>
          <w:szCs w:val="24"/>
          <w:lang w:val="en-US"/>
        </w:rPr>
        <w:t>answering affidavit, the respondent</w:t>
      </w:r>
      <w:r w:rsidR="00CE624C" w:rsidRPr="00680D39">
        <w:rPr>
          <w:rFonts w:ascii="Arial" w:hAnsi="Arial" w:cs="Arial"/>
          <w:sz w:val="24"/>
          <w:szCs w:val="24"/>
          <w:lang w:val="en-US"/>
        </w:rPr>
        <w:t>s</w:t>
      </w:r>
      <w:r w:rsidR="00374A8A" w:rsidRPr="00680D39">
        <w:rPr>
          <w:rFonts w:ascii="Arial" w:hAnsi="Arial" w:cs="Arial"/>
          <w:sz w:val="24"/>
          <w:szCs w:val="24"/>
          <w:lang w:val="en-US"/>
        </w:rPr>
        <w:t xml:space="preserve"> challenge</w:t>
      </w:r>
      <w:r w:rsidR="003E1778" w:rsidRPr="00680D39">
        <w:rPr>
          <w:rFonts w:ascii="Arial" w:hAnsi="Arial" w:cs="Arial"/>
          <w:sz w:val="24"/>
          <w:szCs w:val="24"/>
          <w:lang w:val="en-US"/>
        </w:rPr>
        <w:t xml:space="preserve"> the authority of </w:t>
      </w:r>
      <w:r w:rsidR="00352C77" w:rsidRPr="00680D39">
        <w:rPr>
          <w:rFonts w:ascii="Arial" w:hAnsi="Arial" w:cs="Arial"/>
          <w:sz w:val="24"/>
          <w:szCs w:val="24"/>
          <w:lang w:val="en-US"/>
        </w:rPr>
        <w:t>Ms.</w:t>
      </w:r>
      <w:r w:rsidR="003E1778" w:rsidRPr="00680D39">
        <w:rPr>
          <w:rFonts w:ascii="Arial" w:hAnsi="Arial" w:cs="Arial"/>
          <w:sz w:val="24"/>
          <w:szCs w:val="24"/>
          <w:lang w:val="en-US"/>
        </w:rPr>
        <w:t xml:space="preserve"> Colman,</w:t>
      </w:r>
      <w:r w:rsidR="00CE624C" w:rsidRPr="00680D39">
        <w:rPr>
          <w:rFonts w:ascii="Arial" w:hAnsi="Arial" w:cs="Arial"/>
          <w:sz w:val="24"/>
          <w:szCs w:val="24"/>
          <w:lang w:val="en-US"/>
        </w:rPr>
        <w:t xml:space="preserve"> </w:t>
      </w:r>
      <w:r w:rsidR="00B048C7" w:rsidRPr="00680D39">
        <w:rPr>
          <w:rFonts w:ascii="Arial" w:hAnsi="Arial" w:cs="Arial"/>
          <w:sz w:val="24"/>
          <w:szCs w:val="24"/>
          <w:lang w:val="en-US"/>
        </w:rPr>
        <w:t xml:space="preserve">the </w:t>
      </w:r>
      <w:r w:rsidR="003E1778" w:rsidRPr="00680D39">
        <w:rPr>
          <w:rFonts w:ascii="Arial" w:hAnsi="Arial" w:cs="Arial"/>
          <w:sz w:val="24"/>
          <w:szCs w:val="24"/>
          <w:lang w:val="en-US"/>
        </w:rPr>
        <w:t>deponent to the f</w:t>
      </w:r>
      <w:r w:rsidR="00B048C7" w:rsidRPr="00680D39">
        <w:rPr>
          <w:rFonts w:ascii="Arial" w:hAnsi="Arial" w:cs="Arial"/>
          <w:sz w:val="24"/>
          <w:szCs w:val="24"/>
          <w:lang w:val="en-US"/>
        </w:rPr>
        <w:t xml:space="preserve">ounding affidavit, </w:t>
      </w:r>
      <w:r w:rsidR="00CE624C" w:rsidRPr="00680D39">
        <w:rPr>
          <w:rFonts w:ascii="Arial" w:hAnsi="Arial" w:cs="Arial"/>
          <w:sz w:val="24"/>
          <w:szCs w:val="24"/>
          <w:lang w:val="en-US"/>
        </w:rPr>
        <w:t xml:space="preserve">to </w:t>
      </w:r>
      <w:r w:rsidR="00024CC0" w:rsidRPr="00680D39">
        <w:rPr>
          <w:rFonts w:ascii="Arial" w:hAnsi="Arial" w:cs="Arial"/>
          <w:sz w:val="24"/>
          <w:szCs w:val="24"/>
          <w:lang w:val="en-US"/>
        </w:rPr>
        <w:t>launch</w:t>
      </w:r>
      <w:r w:rsidR="00CE624C" w:rsidRPr="00680D39">
        <w:rPr>
          <w:rFonts w:ascii="Arial" w:hAnsi="Arial" w:cs="Arial"/>
          <w:sz w:val="24"/>
          <w:szCs w:val="24"/>
          <w:lang w:val="en-US"/>
        </w:rPr>
        <w:t xml:space="preserve"> this</w:t>
      </w:r>
      <w:r w:rsidR="00374A8A" w:rsidRPr="00680D39">
        <w:rPr>
          <w:rFonts w:ascii="Arial" w:hAnsi="Arial" w:cs="Arial"/>
          <w:sz w:val="24"/>
          <w:szCs w:val="24"/>
          <w:lang w:val="en-US"/>
        </w:rPr>
        <w:t xml:space="preserve"> application. The argument </w:t>
      </w:r>
      <w:r w:rsidR="00024CC0" w:rsidRPr="00680D39">
        <w:rPr>
          <w:rFonts w:ascii="Arial" w:hAnsi="Arial" w:cs="Arial"/>
          <w:sz w:val="24"/>
          <w:szCs w:val="24"/>
          <w:lang w:val="en-US"/>
        </w:rPr>
        <w:t xml:space="preserve">is </w:t>
      </w:r>
      <w:r w:rsidR="00455C7A" w:rsidRPr="00680D39">
        <w:rPr>
          <w:rFonts w:ascii="Arial" w:hAnsi="Arial" w:cs="Arial"/>
          <w:sz w:val="24"/>
          <w:szCs w:val="24"/>
          <w:lang w:val="en-US"/>
        </w:rPr>
        <w:t>articulated in</w:t>
      </w:r>
      <w:r w:rsidR="00024CC0" w:rsidRPr="00680D39">
        <w:rPr>
          <w:rFonts w:ascii="Arial" w:hAnsi="Arial" w:cs="Arial"/>
          <w:sz w:val="24"/>
          <w:szCs w:val="24"/>
          <w:lang w:val="en-US"/>
        </w:rPr>
        <w:t xml:space="preserve"> following</w:t>
      </w:r>
      <w:r w:rsidR="00455C7A" w:rsidRPr="00680D39">
        <w:rPr>
          <w:rFonts w:ascii="Arial" w:hAnsi="Arial" w:cs="Arial"/>
          <w:sz w:val="24"/>
          <w:szCs w:val="24"/>
          <w:lang w:val="en-US"/>
        </w:rPr>
        <w:t xml:space="preserve"> terms</w:t>
      </w:r>
      <w:r w:rsidR="00374A8A" w:rsidRPr="00680D39">
        <w:rPr>
          <w:rFonts w:ascii="Arial" w:hAnsi="Arial" w:cs="Arial"/>
          <w:sz w:val="24"/>
          <w:szCs w:val="24"/>
          <w:lang w:val="en-US"/>
        </w:rPr>
        <w:t>:</w:t>
      </w:r>
    </w:p>
    <w:p w14:paraId="5B7B84B3" w14:textId="77777777" w:rsidR="00374A8A" w:rsidRPr="00680D39" w:rsidRDefault="00374A8A" w:rsidP="00680D39">
      <w:pPr>
        <w:pStyle w:val="FootnoteText"/>
        <w:spacing w:line="360" w:lineRule="auto"/>
        <w:jc w:val="both"/>
        <w:rPr>
          <w:rFonts w:ascii="Arial" w:hAnsi="Arial" w:cs="Arial"/>
          <w:b/>
          <w:bCs/>
          <w:sz w:val="24"/>
          <w:szCs w:val="24"/>
          <w:lang w:val="en-US"/>
        </w:rPr>
      </w:pPr>
    </w:p>
    <w:p w14:paraId="2C9EB5D9" w14:textId="0D28FCAD" w:rsidR="00374A8A" w:rsidRPr="00680D39" w:rsidRDefault="00374A8A" w:rsidP="00680D39">
      <w:pPr>
        <w:pStyle w:val="FootnoteText"/>
        <w:spacing w:line="360" w:lineRule="auto"/>
        <w:ind w:left="567"/>
        <w:jc w:val="both"/>
        <w:rPr>
          <w:rFonts w:ascii="Arial" w:hAnsi="Arial" w:cs="Arial"/>
          <w:sz w:val="22"/>
          <w:szCs w:val="22"/>
          <w:lang w:val="en-US"/>
        </w:rPr>
      </w:pPr>
      <w:r w:rsidRPr="00680D39">
        <w:rPr>
          <w:rFonts w:ascii="Arial" w:hAnsi="Arial" w:cs="Arial"/>
          <w:sz w:val="24"/>
          <w:szCs w:val="24"/>
          <w:lang w:val="en-US"/>
        </w:rPr>
        <w:t>“</w:t>
      </w:r>
      <w:r w:rsidRPr="00680D39">
        <w:rPr>
          <w:rFonts w:ascii="Arial" w:hAnsi="Arial" w:cs="Arial"/>
          <w:sz w:val="22"/>
          <w:szCs w:val="22"/>
          <w:lang w:val="en-US"/>
        </w:rPr>
        <w:t>The current legal proceedings are purportedly instituted on behalf of Sand Shifters Africa (Pty) Ltd; Sand Shifters (Pty) Ltd; Sand Shifters Logistics Holdings (Pty) Ltd and Marisimo BEE Professional Services (Pty) Ltd. All four mentioned entities a</w:t>
      </w:r>
      <w:r w:rsidR="00B048C7" w:rsidRPr="00680D39">
        <w:rPr>
          <w:rFonts w:ascii="Arial" w:hAnsi="Arial" w:cs="Arial"/>
          <w:sz w:val="22"/>
          <w:szCs w:val="22"/>
          <w:lang w:val="en-US"/>
        </w:rPr>
        <w:t xml:space="preserve">re </w:t>
      </w:r>
      <w:r w:rsidRPr="00680D39">
        <w:rPr>
          <w:rFonts w:ascii="Arial" w:hAnsi="Arial" w:cs="Arial"/>
          <w:sz w:val="22"/>
          <w:szCs w:val="22"/>
          <w:lang w:val="en-US"/>
        </w:rPr>
        <w:t>juristic person</w:t>
      </w:r>
      <w:r w:rsidR="00B048C7" w:rsidRPr="00680D39">
        <w:rPr>
          <w:rFonts w:ascii="Arial" w:hAnsi="Arial" w:cs="Arial"/>
          <w:sz w:val="22"/>
          <w:szCs w:val="22"/>
          <w:lang w:val="en-US"/>
        </w:rPr>
        <w:t>s</w:t>
      </w:r>
      <w:r w:rsidRPr="00680D39">
        <w:rPr>
          <w:rFonts w:ascii="Arial" w:hAnsi="Arial" w:cs="Arial"/>
          <w:sz w:val="22"/>
          <w:szCs w:val="22"/>
          <w:lang w:val="en-US"/>
        </w:rPr>
        <w:t xml:space="preserve"> with separate legal </w:t>
      </w:r>
      <w:r w:rsidR="00B048C7" w:rsidRPr="00680D39">
        <w:rPr>
          <w:rFonts w:ascii="Arial" w:hAnsi="Arial" w:cs="Arial"/>
          <w:sz w:val="22"/>
          <w:szCs w:val="22"/>
          <w:lang w:val="en-US"/>
        </w:rPr>
        <w:t>identit</w:t>
      </w:r>
      <w:r w:rsidR="003E1778" w:rsidRPr="00680D39">
        <w:rPr>
          <w:rFonts w:ascii="Arial" w:hAnsi="Arial" w:cs="Arial"/>
          <w:sz w:val="22"/>
          <w:szCs w:val="22"/>
          <w:lang w:val="en-US"/>
        </w:rPr>
        <w:t>y</w:t>
      </w:r>
      <w:r w:rsidR="00B048C7" w:rsidRPr="00680D39">
        <w:rPr>
          <w:rFonts w:ascii="Arial" w:hAnsi="Arial" w:cs="Arial"/>
          <w:sz w:val="22"/>
          <w:szCs w:val="22"/>
          <w:lang w:val="en-US"/>
        </w:rPr>
        <w:t>.</w:t>
      </w:r>
    </w:p>
    <w:p w14:paraId="5FB3121C" w14:textId="77777777" w:rsidR="00374A8A" w:rsidRPr="00680D39" w:rsidRDefault="00374A8A" w:rsidP="00680D39">
      <w:pPr>
        <w:pStyle w:val="FootnoteText"/>
        <w:spacing w:line="360" w:lineRule="auto"/>
        <w:ind w:left="567"/>
        <w:jc w:val="both"/>
        <w:rPr>
          <w:rFonts w:ascii="Arial" w:hAnsi="Arial" w:cs="Arial"/>
          <w:sz w:val="22"/>
          <w:szCs w:val="22"/>
          <w:lang w:val="en-US"/>
        </w:rPr>
      </w:pPr>
    </w:p>
    <w:p w14:paraId="6D627BD5" w14:textId="52D353B1" w:rsidR="00033A9B" w:rsidRPr="003271ED" w:rsidRDefault="00374A8A" w:rsidP="003271ED">
      <w:pPr>
        <w:pStyle w:val="FootnoteText"/>
        <w:spacing w:line="360" w:lineRule="auto"/>
        <w:ind w:left="567"/>
        <w:jc w:val="both"/>
        <w:rPr>
          <w:rFonts w:ascii="Arial" w:hAnsi="Arial" w:cs="Arial"/>
          <w:sz w:val="22"/>
          <w:szCs w:val="22"/>
          <w:lang w:val="en-US"/>
        </w:rPr>
      </w:pPr>
      <w:r w:rsidRPr="00680D39">
        <w:rPr>
          <w:rFonts w:ascii="Arial" w:hAnsi="Arial" w:cs="Arial"/>
          <w:sz w:val="22"/>
          <w:szCs w:val="22"/>
          <w:lang w:val="en-US"/>
        </w:rPr>
        <w:t xml:space="preserve">Notwithstanding that the current proceedings are purported to be instituted on behalf of juristic persons, the deponent to the founding affidavit, </w:t>
      </w:r>
      <w:r w:rsidR="00352C77" w:rsidRPr="00680D39">
        <w:rPr>
          <w:rFonts w:ascii="Arial" w:hAnsi="Arial" w:cs="Arial"/>
          <w:sz w:val="22"/>
          <w:szCs w:val="22"/>
          <w:lang w:val="en-US"/>
        </w:rPr>
        <w:t>Ms.</w:t>
      </w:r>
      <w:r w:rsidRPr="00680D39">
        <w:rPr>
          <w:rFonts w:ascii="Arial" w:hAnsi="Arial" w:cs="Arial"/>
          <w:sz w:val="22"/>
          <w:szCs w:val="22"/>
          <w:lang w:val="en-US"/>
        </w:rPr>
        <w:t xml:space="preserve"> Colman, fails to allege that she is authorized to institute the proceedings on behalf of the four companies. In addition, she fails to annex company resolutions authorizing her to institute the current proceedings on behalf of the four entities.”</w:t>
      </w:r>
      <w:r w:rsidR="005E4049" w:rsidRPr="00680D39">
        <w:rPr>
          <w:rStyle w:val="FootnoteReference"/>
          <w:rFonts w:ascii="Arial" w:hAnsi="Arial" w:cs="Arial"/>
          <w:sz w:val="22"/>
          <w:szCs w:val="22"/>
          <w:lang w:val="en-US"/>
        </w:rPr>
        <w:footnoteReference w:id="2"/>
      </w:r>
      <w:r w:rsidRPr="00680D39">
        <w:rPr>
          <w:rFonts w:ascii="Arial" w:hAnsi="Arial" w:cs="Arial"/>
          <w:sz w:val="22"/>
          <w:szCs w:val="22"/>
          <w:lang w:val="en-US"/>
        </w:rPr>
        <w:t xml:space="preserve">  </w:t>
      </w:r>
    </w:p>
    <w:p w14:paraId="1ACAA3CE" w14:textId="0448B5A7" w:rsidR="00702CF1" w:rsidRPr="00680D39" w:rsidRDefault="00702CF1" w:rsidP="00680D39">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lastRenderedPageBreak/>
        <w:t xml:space="preserve">  </w:t>
      </w:r>
    </w:p>
    <w:p w14:paraId="51027746" w14:textId="5E4A1E43" w:rsidR="00123ABC"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[16]</w:t>
      </w:r>
      <w:r w:rsidRPr="00680D39">
        <w:rPr>
          <w:rFonts w:ascii="Arial" w:hAnsi="Arial" w:cs="Arial"/>
          <w:sz w:val="24"/>
          <w:szCs w:val="24"/>
          <w:lang w:val="en-US"/>
        </w:rPr>
        <w:tab/>
      </w:r>
      <w:r w:rsidR="00455C7A" w:rsidRPr="00680D39">
        <w:rPr>
          <w:rFonts w:ascii="Arial" w:hAnsi="Arial" w:cs="Arial"/>
          <w:sz w:val="24"/>
          <w:szCs w:val="24"/>
          <w:lang w:val="en-US"/>
        </w:rPr>
        <w:t>Responding to this challenge</w:t>
      </w:r>
      <w:r w:rsidR="00014331">
        <w:rPr>
          <w:rFonts w:ascii="Arial" w:hAnsi="Arial" w:cs="Arial"/>
          <w:sz w:val="24"/>
          <w:szCs w:val="24"/>
          <w:lang w:val="en-US"/>
        </w:rPr>
        <w:t xml:space="preserve"> </w:t>
      </w:r>
      <w:r w:rsidR="00455C7A" w:rsidRPr="00680D39">
        <w:rPr>
          <w:rFonts w:ascii="Arial" w:hAnsi="Arial" w:cs="Arial"/>
          <w:sz w:val="24"/>
          <w:szCs w:val="24"/>
          <w:lang w:val="en-US"/>
        </w:rPr>
        <w:t>i</w:t>
      </w:r>
      <w:r w:rsidR="00123ABC" w:rsidRPr="00680D39">
        <w:rPr>
          <w:rFonts w:ascii="Arial" w:hAnsi="Arial" w:cs="Arial"/>
          <w:sz w:val="24"/>
          <w:szCs w:val="24"/>
          <w:lang w:val="en-US"/>
        </w:rPr>
        <w:t xml:space="preserve">n </w:t>
      </w:r>
      <w:r w:rsidR="003271ED">
        <w:rPr>
          <w:rFonts w:ascii="Arial" w:hAnsi="Arial" w:cs="Arial"/>
          <w:sz w:val="24"/>
          <w:szCs w:val="24"/>
          <w:lang w:val="en-US"/>
        </w:rPr>
        <w:t>her</w:t>
      </w:r>
      <w:r w:rsidR="00216117" w:rsidRPr="00680D39">
        <w:rPr>
          <w:rFonts w:ascii="Arial" w:hAnsi="Arial" w:cs="Arial"/>
          <w:sz w:val="24"/>
          <w:szCs w:val="24"/>
          <w:lang w:val="en-US"/>
        </w:rPr>
        <w:t xml:space="preserve"> </w:t>
      </w:r>
      <w:r w:rsidR="00123ABC" w:rsidRPr="00680D39">
        <w:rPr>
          <w:rFonts w:ascii="Arial" w:hAnsi="Arial" w:cs="Arial"/>
          <w:sz w:val="24"/>
          <w:szCs w:val="24"/>
          <w:lang w:val="en-US"/>
        </w:rPr>
        <w:t>reply</w:t>
      </w:r>
      <w:r w:rsidR="00216117" w:rsidRPr="00680D39">
        <w:rPr>
          <w:rFonts w:ascii="Arial" w:hAnsi="Arial" w:cs="Arial"/>
          <w:sz w:val="24"/>
          <w:szCs w:val="24"/>
          <w:lang w:val="en-US"/>
        </w:rPr>
        <w:t>ing affidavit</w:t>
      </w:r>
      <w:r w:rsidR="00DF1D2F" w:rsidRPr="00680D39">
        <w:rPr>
          <w:rFonts w:ascii="Arial" w:hAnsi="Arial" w:cs="Arial"/>
          <w:sz w:val="24"/>
          <w:szCs w:val="24"/>
          <w:lang w:val="en-US"/>
        </w:rPr>
        <w:t>,</w:t>
      </w:r>
      <w:r w:rsidR="00014331">
        <w:rPr>
          <w:rFonts w:ascii="Arial" w:hAnsi="Arial" w:cs="Arial"/>
          <w:sz w:val="24"/>
          <w:szCs w:val="24"/>
          <w:lang w:val="en-US"/>
        </w:rPr>
        <w:t xml:space="preserve"> Ms Colman</w:t>
      </w:r>
      <w:r w:rsidR="00DF1D2F" w:rsidRPr="00680D39">
        <w:rPr>
          <w:rFonts w:ascii="Arial" w:hAnsi="Arial" w:cs="Arial"/>
          <w:sz w:val="24"/>
          <w:szCs w:val="24"/>
          <w:lang w:val="en-US"/>
        </w:rPr>
        <w:t xml:space="preserve"> </w:t>
      </w:r>
      <w:r w:rsidR="00123ABC" w:rsidRPr="00680D39">
        <w:rPr>
          <w:rFonts w:ascii="Arial" w:hAnsi="Arial" w:cs="Arial"/>
          <w:sz w:val="24"/>
          <w:szCs w:val="24"/>
          <w:lang w:val="en-US"/>
        </w:rPr>
        <w:t>aver</w:t>
      </w:r>
      <w:r w:rsidR="00A4425C">
        <w:rPr>
          <w:rFonts w:ascii="Arial" w:hAnsi="Arial" w:cs="Arial"/>
          <w:sz w:val="24"/>
          <w:szCs w:val="24"/>
          <w:lang w:val="en-US"/>
        </w:rPr>
        <w:t xml:space="preserve">s </w:t>
      </w:r>
      <w:r w:rsidR="00123ABC" w:rsidRPr="00680D39">
        <w:rPr>
          <w:rFonts w:ascii="Arial" w:hAnsi="Arial" w:cs="Arial"/>
          <w:sz w:val="24"/>
          <w:szCs w:val="24"/>
          <w:lang w:val="en-US"/>
        </w:rPr>
        <w:t>that:</w:t>
      </w:r>
    </w:p>
    <w:p w14:paraId="011991BD" w14:textId="77777777" w:rsidR="00216117" w:rsidRPr="00680D39" w:rsidRDefault="00216117" w:rsidP="00680D39">
      <w:pPr>
        <w:pStyle w:val="FootnoteText"/>
        <w:spacing w:line="360" w:lineRule="auto"/>
        <w:jc w:val="both"/>
        <w:rPr>
          <w:rFonts w:ascii="Arial" w:hAnsi="Arial" w:cs="Arial"/>
          <w:sz w:val="24"/>
          <w:szCs w:val="24"/>
          <w:lang w:val="en-US"/>
        </w:rPr>
      </w:pPr>
    </w:p>
    <w:p w14:paraId="79CDEDEB" w14:textId="243C3D3F" w:rsidR="00123ABC" w:rsidRPr="00680D39" w:rsidRDefault="00123ABC" w:rsidP="00680D39">
      <w:pPr>
        <w:pStyle w:val="FootnoteText"/>
        <w:spacing w:line="360" w:lineRule="auto"/>
        <w:ind w:left="567"/>
        <w:jc w:val="both"/>
        <w:rPr>
          <w:rFonts w:ascii="Arial" w:hAnsi="Arial" w:cs="Arial"/>
          <w:sz w:val="22"/>
          <w:szCs w:val="22"/>
          <w:lang w:val="en-US"/>
        </w:rPr>
      </w:pPr>
      <w:r w:rsidRPr="00680D39">
        <w:rPr>
          <w:rFonts w:ascii="Arial" w:hAnsi="Arial" w:cs="Arial"/>
          <w:sz w:val="22"/>
          <w:szCs w:val="22"/>
          <w:lang w:val="en-US"/>
        </w:rPr>
        <w:t>“</w:t>
      </w:r>
      <w:r w:rsidR="00FA633D" w:rsidRPr="00680D39">
        <w:rPr>
          <w:rFonts w:ascii="Arial" w:hAnsi="Arial" w:cs="Arial"/>
          <w:sz w:val="22"/>
          <w:szCs w:val="22"/>
          <w:lang w:val="en-US"/>
        </w:rPr>
        <w:t xml:space="preserve">I am </w:t>
      </w:r>
      <w:r w:rsidRPr="00680D39">
        <w:rPr>
          <w:rFonts w:ascii="Arial" w:hAnsi="Arial" w:cs="Arial"/>
          <w:sz w:val="22"/>
          <w:szCs w:val="22"/>
          <w:lang w:val="en-US"/>
        </w:rPr>
        <w:t>advise</w:t>
      </w:r>
      <w:r w:rsidR="00FA633D" w:rsidRPr="00680D39">
        <w:rPr>
          <w:rFonts w:ascii="Arial" w:hAnsi="Arial" w:cs="Arial"/>
          <w:sz w:val="22"/>
          <w:szCs w:val="22"/>
          <w:lang w:val="en-US"/>
        </w:rPr>
        <w:t>d</w:t>
      </w:r>
      <w:r w:rsidRPr="00680D39">
        <w:rPr>
          <w:rFonts w:ascii="Arial" w:hAnsi="Arial" w:cs="Arial"/>
          <w:sz w:val="22"/>
          <w:szCs w:val="22"/>
          <w:lang w:val="en-US"/>
        </w:rPr>
        <w:t xml:space="preserve"> that the appropriate way to challenge my authority is by way of notice in terms of </w:t>
      </w:r>
      <w:r w:rsidR="003E1778" w:rsidRPr="00680D39">
        <w:rPr>
          <w:rFonts w:ascii="Arial" w:hAnsi="Arial" w:cs="Arial"/>
          <w:sz w:val="22"/>
          <w:szCs w:val="22"/>
          <w:lang w:val="en-US"/>
        </w:rPr>
        <w:t>R</w:t>
      </w:r>
      <w:r w:rsidRPr="00680D39">
        <w:rPr>
          <w:rFonts w:ascii="Arial" w:hAnsi="Arial" w:cs="Arial"/>
          <w:sz w:val="22"/>
          <w:szCs w:val="22"/>
          <w:lang w:val="en-US"/>
        </w:rPr>
        <w:t xml:space="preserve">ule </w:t>
      </w:r>
      <w:r w:rsidR="00FA633D" w:rsidRPr="00680D39">
        <w:rPr>
          <w:rFonts w:ascii="Arial" w:hAnsi="Arial" w:cs="Arial"/>
          <w:sz w:val="22"/>
          <w:szCs w:val="22"/>
          <w:lang w:val="en-US"/>
        </w:rPr>
        <w:t>7</w:t>
      </w:r>
      <w:r w:rsidRPr="00680D39">
        <w:rPr>
          <w:rFonts w:ascii="Arial" w:hAnsi="Arial" w:cs="Arial"/>
          <w:sz w:val="22"/>
          <w:szCs w:val="22"/>
          <w:lang w:val="en-US"/>
        </w:rPr>
        <w:t xml:space="preserve"> of the </w:t>
      </w:r>
      <w:r w:rsidR="00FA633D" w:rsidRPr="00680D39">
        <w:rPr>
          <w:rFonts w:ascii="Arial" w:hAnsi="Arial" w:cs="Arial"/>
          <w:sz w:val="22"/>
          <w:szCs w:val="22"/>
          <w:lang w:val="en-US"/>
        </w:rPr>
        <w:t>U</w:t>
      </w:r>
      <w:r w:rsidRPr="00680D39">
        <w:rPr>
          <w:rFonts w:ascii="Arial" w:hAnsi="Arial" w:cs="Arial"/>
          <w:sz w:val="22"/>
          <w:szCs w:val="22"/>
          <w:lang w:val="en-US"/>
        </w:rPr>
        <w:t xml:space="preserve">niform </w:t>
      </w:r>
      <w:r w:rsidR="00FA633D" w:rsidRPr="00680D39">
        <w:rPr>
          <w:rFonts w:ascii="Arial" w:hAnsi="Arial" w:cs="Arial"/>
          <w:sz w:val="22"/>
          <w:szCs w:val="22"/>
          <w:lang w:val="en-US"/>
        </w:rPr>
        <w:t>R</w:t>
      </w:r>
      <w:r w:rsidRPr="00680D39">
        <w:rPr>
          <w:rFonts w:ascii="Arial" w:hAnsi="Arial" w:cs="Arial"/>
          <w:sz w:val="22"/>
          <w:szCs w:val="22"/>
          <w:lang w:val="en-US"/>
        </w:rPr>
        <w:t xml:space="preserve">ules of </w:t>
      </w:r>
      <w:r w:rsidR="00FA633D" w:rsidRPr="00680D39">
        <w:rPr>
          <w:rFonts w:ascii="Arial" w:hAnsi="Arial" w:cs="Arial"/>
          <w:sz w:val="22"/>
          <w:szCs w:val="22"/>
          <w:lang w:val="en-US"/>
        </w:rPr>
        <w:t>C</w:t>
      </w:r>
      <w:r w:rsidRPr="00680D39">
        <w:rPr>
          <w:rFonts w:ascii="Arial" w:hAnsi="Arial" w:cs="Arial"/>
          <w:sz w:val="22"/>
          <w:szCs w:val="22"/>
          <w:lang w:val="en-US"/>
        </w:rPr>
        <w:t>ourt, which the first and second respondents elected not to do. The point is accordingly badly taken and without merit and should be rejected on this basis alone.</w:t>
      </w:r>
    </w:p>
    <w:p w14:paraId="1EEF4661" w14:textId="77777777" w:rsidR="00123ABC" w:rsidRPr="00680D39" w:rsidRDefault="00123ABC" w:rsidP="003C15A7">
      <w:pPr>
        <w:pStyle w:val="FootnoteText"/>
        <w:spacing w:line="360" w:lineRule="auto"/>
        <w:jc w:val="both"/>
        <w:rPr>
          <w:rFonts w:ascii="Arial" w:hAnsi="Arial" w:cs="Arial"/>
          <w:sz w:val="22"/>
          <w:szCs w:val="22"/>
          <w:lang w:val="en-US"/>
        </w:rPr>
      </w:pPr>
    </w:p>
    <w:p w14:paraId="65641DB5" w14:textId="2B87AAEF" w:rsidR="00352C77" w:rsidRDefault="00123ABC" w:rsidP="00680D39">
      <w:pPr>
        <w:pStyle w:val="FootnoteText"/>
        <w:spacing w:line="360" w:lineRule="auto"/>
        <w:ind w:left="567"/>
        <w:jc w:val="both"/>
        <w:rPr>
          <w:rFonts w:ascii="Arial" w:hAnsi="Arial" w:cs="Arial"/>
          <w:sz w:val="22"/>
          <w:szCs w:val="22"/>
          <w:lang w:val="en-US"/>
        </w:rPr>
      </w:pPr>
      <w:r w:rsidRPr="00680D39">
        <w:rPr>
          <w:rFonts w:ascii="Arial" w:hAnsi="Arial" w:cs="Arial"/>
          <w:sz w:val="22"/>
          <w:szCs w:val="22"/>
          <w:lang w:val="en-US"/>
        </w:rPr>
        <w:t>As indicated in the founding papers</w:t>
      </w:r>
      <w:r w:rsidR="00FA633D" w:rsidRPr="00680D39">
        <w:rPr>
          <w:rFonts w:ascii="Arial" w:hAnsi="Arial" w:cs="Arial"/>
          <w:sz w:val="22"/>
          <w:szCs w:val="22"/>
          <w:lang w:val="en-US"/>
        </w:rPr>
        <w:t>,</w:t>
      </w:r>
      <w:r w:rsidRPr="00680D39">
        <w:rPr>
          <w:rFonts w:ascii="Arial" w:hAnsi="Arial" w:cs="Arial"/>
          <w:sz w:val="22"/>
          <w:szCs w:val="22"/>
          <w:lang w:val="en-US"/>
        </w:rPr>
        <w:t xml:space="preserve"> I</w:t>
      </w:r>
      <w:r w:rsidR="00FA633D" w:rsidRPr="00680D39">
        <w:rPr>
          <w:rFonts w:ascii="Arial" w:hAnsi="Arial" w:cs="Arial"/>
          <w:sz w:val="22"/>
          <w:szCs w:val="22"/>
          <w:lang w:val="en-US"/>
        </w:rPr>
        <w:t xml:space="preserve"> a</w:t>
      </w:r>
      <w:r w:rsidRPr="00680D39">
        <w:rPr>
          <w:rFonts w:ascii="Arial" w:hAnsi="Arial" w:cs="Arial"/>
          <w:sz w:val="22"/>
          <w:szCs w:val="22"/>
          <w:lang w:val="en-US"/>
        </w:rPr>
        <w:t xml:space="preserve">m the sole director of the first to </w:t>
      </w:r>
      <w:r w:rsidR="00FA633D" w:rsidRPr="00680D39">
        <w:rPr>
          <w:rFonts w:ascii="Arial" w:hAnsi="Arial" w:cs="Arial"/>
          <w:sz w:val="22"/>
          <w:szCs w:val="22"/>
          <w:lang w:val="en-US"/>
        </w:rPr>
        <w:t>third applicants</w:t>
      </w:r>
      <w:r w:rsidRPr="00680D39">
        <w:rPr>
          <w:rFonts w:ascii="Arial" w:hAnsi="Arial" w:cs="Arial"/>
          <w:sz w:val="22"/>
          <w:szCs w:val="22"/>
          <w:lang w:val="en-US"/>
        </w:rPr>
        <w:t>.</w:t>
      </w:r>
      <w:r w:rsidR="009D3100" w:rsidRPr="00680D39">
        <w:rPr>
          <w:rFonts w:ascii="Arial" w:hAnsi="Arial" w:cs="Arial"/>
          <w:sz w:val="22"/>
          <w:szCs w:val="22"/>
          <w:lang w:val="en-US"/>
        </w:rPr>
        <w:t xml:space="preserve"> However, Mr. Ma</w:t>
      </w:r>
      <w:r w:rsidR="00FA633D" w:rsidRPr="00680D39">
        <w:rPr>
          <w:rFonts w:ascii="Arial" w:hAnsi="Arial" w:cs="Arial"/>
          <w:sz w:val="22"/>
          <w:szCs w:val="22"/>
          <w:lang w:val="en-US"/>
        </w:rPr>
        <w:t>ton</w:t>
      </w:r>
      <w:r w:rsidR="009D3100" w:rsidRPr="00680D39">
        <w:rPr>
          <w:rFonts w:ascii="Arial" w:hAnsi="Arial" w:cs="Arial"/>
          <w:sz w:val="22"/>
          <w:szCs w:val="22"/>
          <w:lang w:val="en-US"/>
        </w:rPr>
        <w:t xml:space="preserve">a could argue that I am not representing the </w:t>
      </w:r>
      <w:r w:rsidR="00FA633D" w:rsidRPr="00680D39">
        <w:rPr>
          <w:rFonts w:ascii="Arial" w:hAnsi="Arial" w:cs="Arial"/>
          <w:sz w:val="22"/>
          <w:szCs w:val="22"/>
          <w:lang w:val="en-US"/>
        </w:rPr>
        <w:t>first</w:t>
      </w:r>
      <w:r w:rsidR="009D3100" w:rsidRPr="00680D39">
        <w:rPr>
          <w:rFonts w:ascii="Arial" w:hAnsi="Arial" w:cs="Arial"/>
          <w:sz w:val="22"/>
          <w:szCs w:val="22"/>
          <w:lang w:val="en-US"/>
        </w:rPr>
        <w:t xml:space="preserve"> to </w:t>
      </w:r>
      <w:r w:rsidR="00FA633D" w:rsidRPr="00680D39">
        <w:rPr>
          <w:rFonts w:ascii="Arial" w:hAnsi="Arial" w:cs="Arial"/>
          <w:sz w:val="22"/>
          <w:szCs w:val="22"/>
          <w:lang w:val="en-US"/>
        </w:rPr>
        <w:t>third</w:t>
      </w:r>
      <w:r w:rsidR="009D3100" w:rsidRPr="00680D39">
        <w:rPr>
          <w:rFonts w:ascii="Arial" w:hAnsi="Arial" w:cs="Arial"/>
          <w:sz w:val="22"/>
          <w:szCs w:val="22"/>
          <w:lang w:val="en-US"/>
        </w:rPr>
        <w:t xml:space="preserve"> applicants is also not clear. As a matter of </w:t>
      </w:r>
      <w:r w:rsidR="00BC57FD" w:rsidRPr="00680D39">
        <w:rPr>
          <w:rFonts w:ascii="Arial" w:hAnsi="Arial" w:cs="Arial"/>
          <w:sz w:val="22"/>
          <w:szCs w:val="22"/>
          <w:lang w:val="en-US"/>
        </w:rPr>
        <w:t>fact,</w:t>
      </w:r>
      <w:r w:rsidR="009D3100" w:rsidRPr="00680D39">
        <w:rPr>
          <w:rFonts w:ascii="Arial" w:hAnsi="Arial" w:cs="Arial"/>
          <w:sz w:val="22"/>
          <w:szCs w:val="22"/>
          <w:lang w:val="en-US"/>
        </w:rPr>
        <w:t xml:space="preserve"> I</w:t>
      </w:r>
      <w:r w:rsidR="00FA633D" w:rsidRPr="00680D39">
        <w:rPr>
          <w:rFonts w:ascii="Arial" w:hAnsi="Arial" w:cs="Arial"/>
          <w:sz w:val="22"/>
          <w:szCs w:val="22"/>
          <w:lang w:val="en-US"/>
        </w:rPr>
        <w:t xml:space="preserve"> am</w:t>
      </w:r>
      <w:r w:rsidR="009D3100" w:rsidRPr="00680D39">
        <w:rPr>
          <w:rFonts w:ascii="Arial" w:hAnsi="Arial" w:cs="Arial"/>
          <w:sz w:val="22"/>
          <w:szCs w:val="22"/>
          <w:lang w:val="en-US"/>
        </w:rPr>
        <w:t xml:space="preserve"> duly authorized to depose to both the founding and </w:t>
      </w:r>
      <w:r w:rsidR="00FA633D" w:rsidRPr="00680D39">
        <w:rPr>
          <w:rFonts w:ascii="Arial" w:hAnsi="Arial" w:cs="Arial"/>
          <w:sz w:val="22"/>
          <w:szCs w:val="22"/>
          <w:lang w:val="en-US"/>
        </w:rPr>
        <w:t>rep</w:t>
      </w:r>
      <w:r w:rsidR="009D3100" w:rsidRPr="00680D39">
        <w:rPr>
          <w:rFonts w:ascii="Arial" w:hAnsi="Arial" w:cs="Arial"/>
          <w:sz w:val="22"/>
          <w:szCs w:val="22"/>
          <w:lang w:val="en-US"/>
        </w:rPr>
        <w:t>lying affidavits.”</w:t>
      </w:r>
      <w:r w:rsidR="009D3100" w:rsidRPr="00680D39">
        <w:rPr>
          <w:rStyle w:val="FootnoteReference"/>
          <w:rFonts w:ascii="Arial" w:hAnsi="Arial" w:cs="Arial"/>
          <w:sz w:val="22"/>
          <w:szCs w:val="22"/>
          <w:lang w:val="en-US"/>
        </w:rPr>
        <w:footnoteReference w:id="3"/>
      </w:r>
    </w:p>
    <w:p w14:paraId="691EB6C2" w14:textId="77777777" w:rsidR="00FB1CDD" w:rsidRPr="00680D39" w:rsidRDefault="00FB1CDD" w:rsidP="00680D39">
      <w:pPr>
        <w:pStyle w:val="FootnoteText"/>
        <w:spacing w:line="360" w:lineRule="auto"/>
        <w:ind w:left="567"/>
        <w:jc w:val="both"/>
        <w:rPr>
          <w:rFonts w:ascii="Arial" w:hAnsi="Arial" w:cs="Arial"/>
          <w:sz w:val="22"/>
          <w:szCs w:val="22"/>
          <w:lang w:val="en-US"/>
        </w:rPr>
      </w:pPr>
    </w:p>
    <w:p w14:paraId="3FFFC491" w14:textId="3FEC10B7" w:rsidR="00FB1CDD" w:rsidRDefault="00A65CB3" w:rsidP="00A65CB3">
      <w:pPr>
        <w:pStyle w:val="Heading2"/>
        <w:shd w:val="clear" w:color="auto" w:fill="FFFFFF"/>
        <w:spacing w:before="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[17]</w:t>
      </w:r>
      <w:r>
        <w:rPr>
          <w:rFonts w:ascii="Arial" w:hAnsi="Arial" w:cs="Arial"/>
          <w:color w:val="000000" w:themeColor="text1"/>
          <w:sz w:val="24"/>
          <w:szCs w:val="24"/>
          <w:lang w:val="en-US"/>
        </w:rPr>
        <w:tab/>
      </w:r>
      <w:r w:rsidR="00FB1CDD" w:rsidRPr="00680D39">
        <w:rPr>
          <w:rFonts w:ascii="Arial" w:hAnsi="Arial" w:cs="Arial"/>
          <w:color w:val="000000" w:themeColor="text1"/>
          <w:sz w:val="24"/>
          <w:szCs w:val="24"/>
          <w:lang w:val="en-US"/>
        </w:rPr>
        <w:t xml:space="preserve">On the one hand, the applicants </w:t>
      </w:r>
      <w:r w:rsidR="00FB1CDD">
        <w:rPr>
          <w:rFonts w:ascii="Arial" w:hAnsi="Arial" w:cs="Arial"/>
          <w:color w:val="000000" w:themeColor="text1"/>
          <w:sz w:val="24"/>
          <w:szCs w:val="24"/>
          <w:lang w:val="en-US"/>
        </w:rPr>
        <w:t>contend</w:t>
      </w:r>
      <w:r w:rsidR="00FB1CDD" w:rsidRPr="00680D39">
        <w:rPr>
          <w:rFonts w:ascii="Arial" w:hAnsi="Arial" w:cs="Arial"/>
          <w:color w:val="000000" w:themeColor="text1"/>
          <w:sz w:val="24"/>
          <w:szCs w:val="24"/>
          <w:lang w:val="en-US"/>
        </w:rPr>
        <w:t xml:space="preserve"> that the respondent</w:t>
      </w:r>
      <w:r w:rsidR="001269BA">
        <w:rPr>
          <w:rFonts w:ascii="Arial" w:hAnsi="Arial" w:cs="Arial"/>
          <w:color w:val="000000" w:themeColor="text1"/>
          <w:sz w:val="24"/>
          <w:szCs w:val="24"/>
          <w:lang w:val="en-US"/>
        </w:rPr>
        <w:t xml:space="preserve">s </w:t>
      </w:r>
      <w:r w:rsidR="00FB1CDD" w:rsidRPr="00680D39">
        <w:rPr>
          <w:rFonts w:ascii="Arial" w:hAnsi="Arial" w:cs="Arial"/>
          <w:color w:val="000000" w:themeColor="text1"/>
          <w:sz w:val="24"/>
          <w:szCs w:val="24"/>
          <w:lang w:val="en-US"/>
        </w:rPr>
        <w:t xml:space="preserve">failed to bring this challenge in terms of Rule 7. Therefore, the matter is not properly before this court. On the other hand, the respondents submit that Rule 7 </w:t>
      </w:r>
      <w:r w:rsidR="00014331">
        <w:rPr>
          <w:rFonts w:ascii="Arial" w:hAnsi="Arial" w:cs="Arial"/>
          <w:color w:val="000000" w:themeColor="text1"/>
          <w:sz w:val="24"/>
          <w:szCs w:val="24"/>
          <w:lang w:val="en-US"/>
        </w:rPr>
        <w:t>only applies</w:t>
      </w:r>
      <w:r w:rsidR="00FB1CDD" w:rsidRPr="00680D39">
        <w:rPr>
          <w:rFonts w:ascii="Arial" w:hAnsi="Arial" w:cs="Arial"/>
          <w:color w:val="000000" w:themeColor="text1"/>
          <w:sz w:val="24"/>
          <w:szCs w:val="24"/>
          <w:lang w:val="en-US"/>
        </w:rPr>
        <w:t xml:space="preserve"> to </w:t>
      </w:r>
      <w:r w:rsidR="00014331">
        <w:rPr>
          <w:rFonts w:ascii="Arial" w:hAnsi="Arial" w:cs="Arial"/>
          <w:color w:val="000000" w:themeColor="text1"/>
          <w:sz w:val="24"/>
          <w:szCs w:val="24"/>
          <w:lang w:val="en-US"/>
        </w:rPr>
        <w:t xml:space="preserve">the </w:t>
      </w:r>
      <w:r w:rsidR="00FB1CDD" w:rsidRPr="00680D39">
        <w:rPr>
          <w:rFonts w:ascii="Arial" w:hAnsi="Arial" w:cs="Arial"/>
          <w:color w:val="000000" w:themeColor="text1"/>
          <w:sz w:val="24"/>
          <w:szCs w:val="24"/>
          <w:lang w:val="en-US"/>
        </w:rPr>
        <w:t>Power of attorney</w:t>
      </w:r>
      <w:r w:rsidR="00F079C9">
        <w:rPr>
          <w:rFonts w:ascii="Arial" w:hAnsi="Arial" w:cs="Arial"/>
          <w:color w:val="000000" w:themeColor="text1"/>
          <w:sz w:val="24"/>
          <w:szCs w:val="24"/>
          <w:lang w:val="en-US"/>
        </w:rPr>
        <w:t xml:space="preserve"> challenge</w:t>
      </w:r>
      <w:r w:rsidR="00FB1CDD" w:rsidRPr="00680D39">
        <w:rPr>
          <w:rFonts w:ascii="Arial" w:hAnsi="Arial" w:cs="Arial"/>
          <w:color w:val="000000" w:themeColor="text1"/>
          <w:sz w:val="24"/>
          <w:szCs w:val="24"/>
          <w:lang w:val="en-US"/>
        </w:rPr>
        <w:t>. The</w:t>
      </w:r>
      <w:r w:rsidR="00FB1CDD">
        <w:rPr>
          <w:rFonts w:ascii="Arial" w:hAnsi="Arial" w:cs="Arial"/>
          <w:color w:val="000000" w:themeColor="text1"/>
          <w:sz w:val="24"/>
          <w:szCs w:val="24"/>
          <w:lang w:val="en-US"/>
        </w:rPr>
        <w:t xml:space="preserve">refore, </w:t>
      </w:r>
      <w:r w:rsidR="00014331">
        <w:rPr>
          <w:rFonts w:ascii="Arial" w:hAnsi="Arial" w:cs="Arial"/>
          <w:color w:val="000000" w:themeColor="text1"/>
          <w:sz w:val="24"/>
          <w:szCs w:val="24"/>
          <w:lang w:val="en-US"/>
        </w:rPr>
        <w:t>it</w:t>
      </w:r>
      <w:r w:rsidR="00FB1CDD" w:rsidRPr="00680D39">
        <w:rPr>
          <w:rFonts w:ascii="Arial" w:hAnsi="Arial" w:cs="Arial"/>
          <w:color w:val="000000" w:themeColor="text1"/>
          <w:sz w:val="24"/>
          <w:szCs w:val="24"/>
          <w:lang w:val="en-US"/>
        </w:rPr>
        <w:t xml:space="preserve"> does not extend to</w:t>
      </w:r>
      <w:r w:rsidR="00B0649D">
        <w:rPr>
          <w:rFonts w:ascii="Arial" w:hAnsi="Arial" w:cs="Arial"/>
          <w:color w:val="000000" w:themeColor="text1"/>
          <w:sz w:val="24"/>
          <w:szCs w:val="24"/>
          <w:lang w:val="en-US"/>
        </w:rPr>
        <w:t xml:space="preserve"> a challenge to the authority to act on behalf of a</w:t>
      </w:r>
      <w:r w:rsidR="00FB1CDD" w:rsidRPr="00680D39">
        <w:rPr>
          <w:rFonts w:ascii="Arial" w:hAnsi="Arial" w:cs="Arial"/>
          <w:color w:val="000000" w:themeColor="text1"/>
          <w:sz w:val="24"/>
          <w:szCs w:val="24"/>
          <w:lang w:val="en-US"/>
        </w:rPr>
        <w:t xml:space="preserve"> juristic person. </w:t>
      </w:r>
    </w:p>
    <w:p w14:paraId="174F97CF" w14:textId="77777777" w:rsidR="0097795D" w:rsidRPr="0097795D" w:rsidRDefault="0097795D" w:rsidP="0097795D">
      <w:pPr>
        <w:rPr>
          <w:lang w:val="en-US"/>
        </w:rPr>
      </w:pPr>
    </w:p>
    <w:p w14:paraId="261B236C" w14:textId="5F183D14" w:rsidR="0097795D" w:rsidRPr="00680D39" w:rsidRDefault="00A65CB3" w:rsidP="00A65CB3">
      <w:pPr>
        <w:pStyle w:val="FootnoteText"/>
        <w:spacing w:line="360" w:lineRule="auto"/>
        <w:jc w:val="both"/>
        <w:rPr>
          <w:rFonts w:ascii="Arial" w:hAnsi="Arial" w:cs="Arial"/>
          <w:sz w:val="24"/>
          <w:szCs w:val="24"/>
          <w:lang w:val="en-US"/>
        </w:rPr>
      </w:pPr>
      <w:r w:rsidRPr="00680D39">
        <w:rPr>
          <w:rFonts w:ascii="Arial" w:hAnsi="Arial" w:cs="Arial"/>
          <w:sz w:val="24"/>
          <w:szCs w:val="24"/>
          <w:lang w:val="en-US"/>
        </w:rPr>
        <w:t>[18]</w:t>
      </w:r>
      <w:r w:rsidRPr="00680D39">
        <w:rPr>
          <w:rFonts w:ascii="Arial" w:hAnsi="Arial" w:cs="Arial"/>
          <w:sz w:val="24"/>
          <w:szCs w:val="24"/>
          <w:lang w:val="en-US"/>
        </w:rPr>
        <w:tab/>
      </w:r>
      <w:r w:rsidR="0097795D" w:rsidRPr="00680D39">
        <w:rPr>
          <w:rFonts w:ascii="Arial" w:hAnsi="Arial" w:cs="Arial"/>
          <w:sz w:val="24"/>
          <w:szCs w:val="24"/>
          <w:lang w:val="en-US"/>
        </w:rPr>
        <w:t>Following the amendment in 1987, Rule 7(1) now reads:</w:t>
      </w:r>
    </w:p>
    <w:p w14:paraId="7A2AB20F" w14:textId="77777777" w:rsidR="0097795D" w:rsidRPr="00680D39" w:rsidRDefault="0097795D" w:rsidP="0097795D">
      <w:pPr>
        <w:pStyle w:val="FootnoteText"/>
        <w:spacing w:line="360" w:lineRule="auto"/>
        <w:jc w:val="both"/>
        <w:rPr>
          <w:rFonts w:ascii="Arial" w:hAnsi="Arial" w:cs="Arial"/>
          <w:sz w:val="24"/>
          <w:szCs w:val="24"/>
          <w:lang w:val="en-US"/>
        </w:rPr>
      </w:pPr>
    </w:p>
    <w:p w14:paraId="52FDE2C2" w14:textId="77777777" w:rsidR="0097795D" w:rsidRPr="00680D39" w:rsidRDefault="0097795D" w:rsidP="0097795D">
      <w:pPr>
        <w:pStyle w:val="FootnoteText"/>
        <w:spacing w:line="360" w:lineRule="auto"/>
        <w:ind w:left="567"/>
        <w:jc w:val="both"/>
        <w:rPr>
          <w:rFonts w:ascii="Arial" w:hAnsi="Arial" w:cs="Arial"/>
          <w:sz w:val="22"/>
          <w:szCs w:val="22"/>
          <w:lang w:val="en-US"/>
        </w:rPr>
      </w:pPr>
      <w:r w:rsidRPr="00680D39">
        <w:rPr>
          <w:rFonts w:ascii="Arial" w:hAnsi="Arial" w:cs="Arial"/>
          <w:sz w:val="22"/>
          <w:szCs w:val="22"/>
          <w:lang w:val="en-US"/>
        </w:rPr>
        <w:t>“Power of attorney</w:t>
      </w:r>
    </w:p>
    <w:p w14:paraId="70F1094F" w14:textId="77777777" w:rsidR="0097795D" w:rsidRDefault="0097795D" w:rsidP="0097795D">
      <w:pPr>
        <w:pStyle w:val="FootnoteText"/>
        <w:spacing w:line="360" w:lineRule="auto"/>
        <w:ind w:left="567"/>
        <w:jc w:val="both"/>
        <w:rPr>
          <w:rFonts w:ascii="Arial" w:hAnsi="Arial" w:cs="Arial"/>
          <w:sz w:val="22"/>
          <w:szCs w:val="22"/>
          <w:lang w:val="en-US"/>
        </w:rPr>
      </w:pPr>
      <w:r w:rsidRPr="00680D39">
        <w:rPr>
          <w:rFonts w:ascii="Arial" w:hAnsi="Arial" w:cs="Arial"/>
          <w:sz w:val="22"/>
          <w:szCs w:val="22"/>
          <w:lang w:val="en-US"/>
        </w:rPr>
        <w:t>Subject to the provisions of subrules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authorized so to act, and to enable him to do so the court may postpone the hearing of the action or application.”</w:t>
      </w:r>
    </w:p>
    <w:p w14:paraId="69FF1DEC" w14:textId="77777777" w:rsidR="0097795D" w:rsidRPr="00680D39" w:rsidRDefault="0097795D" w:rsidP="0097795D">
      <w:pPr>
        <w:pStyle w:val="FootnoteText"/>
        <w:spacing w:line="360" w:lineRule="auto"/>
        <w:ind w:left="567"/>
        <w:jc w:val="both"/>
        <w:rPr>
          <w:rFonts w:ascii="Arial" w:hAnsi="Arial" w:cs="Arial"/>
          <w:sz w:val="22"/>
          <w:szCs w:val="22"/>
          <w:lang w:val="en-US"/>
        </w:rPr>
      </w:pPr>
    </w:p>
    <w:p w14:paraId="7B2BDB3F" w14:textId="34FCBE2B" w:rsidR="0097795D" w:rsidRPr="00680D39" w:rsidRDefault="00A65CB3" w:rsidP="00A65CB3">
      <w:pPr>
        <w:pStyle w:val="Heading2"/>
        <w:shd w:val="clear" w:color="auto" w:fill="FFFFFF"/>
        <w:spacing w:before="0" w:line="360" w:lineRule="auto"/>
        <w:jc w:val="both"/>
        <w:rPr>
          <w:rFonts w:ascii="Arial" w:eastAsia="Times New Roman" w:hAnsi="Arial" w:cs="Arial"/>
          <w:color w:val="000000" w:themeColor="text1"/>
          <w:kern w:val="0"/>
          <w:sz w:val="24"/>
          <w:szCs w:val="24"/>
          <w:lang w:eastAsia="en-ZA"/>
          <w14:ligatures w14:val="none"/>
        </w:rPr>
      </w:pPr>
      <w:r w:rsidRPr="00680D39">
        <w:rPr>
          <w:rFonts w:ascii="Arial" w:eastAsia="Times New Roman" w:hAnsi="Arial" w:cs="Arial"/>
          <w:color w:val="000000" w:themeColor="text1"/>
          <w:kern w:val="0"/>
          <w:sz w:val="24"/>
          <w:szCs w:val="24"/>
          <w:lang w:eastAsia="en-ZA"/>
          <w14:ligatures w14:val="none"/>
        </w:rPr>
        <w:lastRenderedPageBreak/>
        <w:t>[19]</w:t>
      </w:r>
      <w:r w:rsidRPr="00680D39">
        <w:rPr>
          <w:rFonts w:ascii="Arial" w:eastAsia="Times New Roman" w:hAnsi="Arial" w:cs="Arial"/>
          <w:color w:val="000000" w:themeColor="text1"/>
          <w:kern w:val="0"/>
          <w:sz w:val="24"/>
          <w:szCs w:val="24"/>
          <w:lang w:eastAsia="en-ZA"/>
          <w14:ligatures w14:val="none"/>
        </w:rPr>
        <w:tab/>
      </w:r>
      <w:r w:rsidR="00014331">
        <w:rPr>
          <w:rFonts w:ascii="Arial" w:hAnsi="Arial" w:cs="Arial"/>
          <w:color w:val="000000" w:themeColor="text1"/>
          <w:sz w:val="24"/>
          <w:szCs w:val="24"/>
          <w:lang w:val="en-US"/>
        </w:rPr>
        <w:t>This</w:t>
      </w:r>
      <w:r w:rsidR="0097795D" w:rsidRPr="00680D39">
        <w:rPr>
          <w:rFonts w:ascii="Arial" w:hAnsi="Arial" w:cs="Arial"/>
          <w:color w:val="000000" w:themeColor="text1"/>
          <w:sz w:val="24"/>
          <w:szCs w:val="24"/>
          <w:lang w:val="en-US"/>
        </w:rPr>
        <w:t xml:space="preserve"> Rule</w:t>
      </w:r>
      <w:r w:rsidR="0097795D">
        <w:rPr>
          <w:rFonts w:ascii="Arial" w:hAnsi="Arial" w:cs="Arial"/>
          <w:color w:val="000000" w:themeColor="text1"/>
          <w:sz w:val="24"/>
          <w:szCs w:val="24"/>
          <w:lang w:val="en-US"/>
        </w:rPr>
        <w:t xml:space="preserve"> applies</w:t>
      </w:r>
      <w:r w:rsidR="0097795D" w:rsidRPr="00680D39">
        <w:rPr>
          <w:rFonts w:ascii="Arial" w:hAnsi="Arial" w:cs="Arial"/>
          <w:color w:val="000000" w:themeColor="text1"/>
          <w:sz w:val="24"/>
          <w:szCs w:val="24"/>
          <w:lang w:val="en-US"/>
        </w:rPr>
        <w:t xml:space="preserve"> to both action and application proceedings. </w:t>
      </w:r>
      <w:r w:rsidR="0097795D">
        <w:rPr>
          <w:rFonts w:ascii="Arial" w:hAnsi="Arial" w:cs="Arial"/>
          <w:color w:val="000000" w:themeColor="text1"/>
          <w:sz w:val="24"/>
          <w:szCs w:val="24"/>
          <w:lang w:val="en-US"/>
        </w:rPr>
        <w:t>The Supreme Court of Appeal</w:t>
      </w:r>
      <w:r w:rsidR="0097795D" w:rsidRPr="00680D39">
        <w:rPr>
          <w:rFonts w:ascii="Arial" w:hAnsi="Arial" w:cs="Arial"/>
          <w:color w:val="000000" w:themeColor="text1"/>
          <w:sz w:val="24"/>
          <w:szCs w:val="24"/>
          <w:lang w:val="en-US"/>
        </w:rPr>
        <w:t xml:space="preserve">, in the matter of </w:t>
      </w:r>
      <w:r w:rsidR="0097795D" w:rsidRPr="00680D39">
        <w:rPr>
          <w:rFonts w:ascii="Arial" w:eastAsia="Times New Roman" w:hAnsi="Arial" w:cs="Arial"/>
          <w:i/>
          <w:iCs/>
          <w:color w:val="000000" w:themeColor="text1"/>
          <w:kern w:val="0"/>
          <w:sz w:val="24"/>
          <w:szCs w:val="24"/>
          <w:lang w:eastAsia="en-ZA"/>
          <w14:ligatures w14:val="none"/>
        </w:rPr>
        <w:t>Limpopo Provincial Council of the South African Legal Practice Council v Chueu Incorporated Attorneys and Others</w:t>
      </w:r>
      <w:r w:rsidR="0097795D" w:rsidRPr="00680D39">
        <w:rPr>
          <w:rStyle w:val="FootnoteReference"/>
          <w:rFonts w:ascii="Arial" w:eastAsia="Times New Roman" w:hAnsi="Arial" w:cs="Arial"/>
          <w:color w:val="000000" w:themeColor="text1"/>
          <w:kern w:val="0"/>
          <w:sz w:val="24"/>
          <w:szCs w:val="24"/>
          <w:lang w:eastAsia="en-ZA"/>
          <w14:ligatures w14:val="none"/>
        </w:rPr>
        <w:footnoteReference w:id="4"/>
      </w:r>
      <w:r w:rsidR="0097795D">
        <w:rPr>
          <w:rFonts w:ascii="Arial" w:eastAsia="Times New Roman" w:hAnsi="Arial" w:cs="Arial"/>
          <w:i/>
          <w:iCs/>
          <w:color w:val="000000" w:themeColor="text1"/>
          <w:kern w:val="0"/>
          <w:sz w:val="24"/>
          <w:szCs w:val="24"/>
          <w:lang w:eastAsia="en-ZA"/>
          <w14:ligatures w14:val="none"/>
        </w:rPr>
        <w:t>,</w:t>
      </w:r>
      <w:r w:rsidR="0097795D" w:rsidRPr="00680D39">
        <w:rPr>
          <w:rFonts w:ascii="Arial" w:eastAsia="Times New Roman" w:hAnsi="Arial" w:cs="Arial"/>
          <w:i/>
          <w:iCs/>
          <w:color w:val="000000" w:themeColor="text1"/>
          <w:kern w:val="0"/>
          <w:sz w:val="24"/>
          <w:szCs w:val="24"/>
          <w:lang w:eastAsia="en-ZA"/>
          <w14:ligatures w14:val="none"/>
        </w:rPr>
        <w:t xml:space="preserve"> </w:t>
      </w:r>
      <w:r w:rsidR="0097795D" w:rsidRPr="00680D39">
        <w:rPr>
          <w:rFonts w:ascii="Arial" w:eastAsia="Times New Roman" w:hAnsi="Arial" w:cs="Arial"/>
          <w:color w:val="000000" w:themeColor="text1"/>
          <w:kern w:val="0"/>
          <w:sz w:val="24"/>
          <w:szCs w:val="24"/>
          <w:lang w:eastAsia="en-ZA"/>
          <w14:ligatures w14:val="none"/>
        </w:rPr>
        <w:t>held</w:t>
      </w:r>
      <w:r w:rsidR="0097795D">
        <w:rPr>
          <w:rFonts w:ascii="Arial" w:eastAsia="Times New Roman" w:hAnsi="Arial" w:cs="Arial"/>
          <w:color w:val="000000" w:themeColor="text1"/>
          <w:kern w:val="0"/>
          <w:sz w:val="24"/>
          <w:szCs w:val="24"/>
          <w:lang w:eastAsia="en-ZA"/>
          <w14:ligatures w14:val="none"/>
        </w:rPr>
        <w:t xml:space="preserve"> the following</w:t>
      </w:r>
      <w:r w:rsidR="0097795D" w:rsidRPr="00680D39">
        <w:rPr>
          <w:rFonts w:ascii="Arial" w:eastAsia="Times New Roman" w:hAnsi="Arial" w:cs="Arial"/>
          <w:color w:val="000000" w:themeColor="text1"/>
          <w:kern w:val="0"/>
          <w:sz w:val="24"/>
          <w:szCs w:val="24"/>
          <w:lang w:eastAsia="en-ZA"/>
          <w14:ligatures w14:val="none"/>
        </w:rPr>
        <w:t>:</w:t>
      </w:r>
    </w:p>
    <w:p w14:paraId="3EF38885" w14:textId="77777777" w:rsidR="0097795D" w:rsidRPr="00680D39" w:rsidRDefault="0097795D" w:rsidP="0097795D">
      <w:pPr>
        <w:pStyle w:val="FootnoteText"/>
        <w:spacing w:line="360" w:lineRule="auto"/>
        <w:jc w:val="both"/>
        <w:rPr>
          <w:rFonts w:ascii="Arial" w:hAnsi="Arial" w:cs="Arial"/>
          <w:sz w:val="22"/>
          <w:szCs w:val="22"/>
          <w:lang w:val="en-US"/>
        </w:rPr>
      </w:pPr>
    </w:p>
    <w:p w14:paraId="019FFEDC" w14:textId="65ADA83D" w:rsidR="0097795D" w:rsidRPr="0097795D" w:rsidRDefault="0097795D" w:rsidP="0097795D">
      <w:pPr>
        <w:pStyle w:val="FootnoteText"/>
        <w:spacing w:line="360" w:lineRule="auto"/>
        <w:ind w:left="567"/>
        <w:jc w:val="both"/>
        <w:rPr>
          <w:rFonts w:ascii="Arial" w:hAnsi="Arial" w:cs="Arial"/>
          <w:sz w:val="24"/>
          <w:szCs w:val="24"/>
          <w:lang w:val="en-US"/>
        </w:rPr>
      </w:pPr>
      <w:r>
        <w:rPr>
          <w:rFonts w:ascii="Arial" w:hAnsi="Arial" w:cs="Arial"/>
          <w:color w:val="242121"/>
          <w:sz w:val="22"/>
          <w:szCs w:val="22"/>
          <w:shd w:val="clear" w:color="auto" w:fill="FFFFFF"/>
          <w:lang w:val="en-GB"/>
        </w:rPr>
        <w:t>“</w:t>
      </w:r>
      <w:r w:rsidRPr="00680D39">
        <w:rPr>
          <w:rFonts w:ascii="Arial" w:hAnsi="Arial" w:cs="Arial"/>
          <w:color w:val="242121"/>
          <w:sz w:val="22"/>
          <w:szCs w:val="22"/>
          <w:shd w:val="clear" w:color="auto" w:fill="FFFFFF"/>
          <w:lang w:val="en-GB"/>
        </w:rPr>
        <w:t>[21]  Since then, the issue of authority has been dealt with in a number of decisions of this Court. The position is now established that the manner to challenge the authority of a litigant is to utilise rule 7(1) of the Uniform Rules of Court. The original understanding of</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rule</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7(1)</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was</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that</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it</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only</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applied</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to</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the</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mandate provided to attorneys. However, thisCourt in </w:t>
      </w:r>
      <w:r w:rsidRPr="00680D39">
        <w:rPr>
          <w:rFonts w:ascii="Arial" w:hAnsi="Arial" w:cs="Arial"/>
          <w:color w:val="000000"/>
          <w:sz w:val="22"/>
          <w:szCs w:val="22"/>
          <w:shd w:val="clear" w:color="auto" w:fill="FFFFFF"/>
          <w:lang w:val="en-GB"/>
        </w:rPr>
        <w:t>Unlawful Occupiers, School Site v City of Johannesburg (Unlawful Occupiers)</w:t>
      </w:r>
      <w:r w:rsidRPr="00680D39">
        <w:rPr>
          <w:rFonts w:ascii="Arial" w:hAnsi="Arial" w:cs="Arial"/>
          <w:color w:val="242121"/>
          <w:sz w:val="22"/>
          <w:szCs w:val="22"/>
          <w:shd w:val="clear" w:color="auto" w:fill="FFFFFF"/>
          <w:lang w:val="en-GB"/>
        </w:rPr>
        <w:t>,citing Eskom v</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Soweto</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City</w:t>
      </w:r>
      <w:r>
        <w:rPr>
          <w:rFonts w:ascii="Arial" w:hAnsi="Arial" w:cs="Arial"/>
          <w:color w:val="242121"/>
          <w:sz w:val="22"/>
          <w:szCs w:val="22"/>
          <w:shd w:val="clear" w:color="auto" w:fill="FFFFFF"/>
          <w:lang w:val="en-GB"/>
        </w:rPr>
        <w:t> </w:t>
      </w:r>
      <w:r w:rsidRPr="00680D39">
        <w:rPr>
          <w:rFonts w:ascii="Arial" w:hAnsi="Arial" w:cs="Arial"/>
          <w:color w:val="242121"/>
          <w:sz w:val="22"/>
          <w:szCs w:val="22"/>
          <w:shd w:val="clear" w:color="auto" w:fill="FFFFFF"/>
          <w:lang w:val="en-GB"/>
        </w:rPr>
        <w:t>Council</w:t>
      </w:r>
      <w:r>
        <w:rPr>
          <w:rFonts w:ascii="Arial" w:hAnsi="Arial" w:cs="Arial"/>
          <w:color w:val="242121"/>
          <w:sz w:val="22"/>
          <w:szCs w:val="22"/>
          <w:shd w:val="clear" w:color="auto" w:fill="FFFFFF"/>
          <w:lang w:val="en-GB"/>
        </w:rPr>
        <w:t xml:space="preserve"> </w:t>
      </w:r>
      <w:r w:rsidRPr="00680D39">
        <w:rPr>
          <w:rFonts w:ascii="Arial" w:hAnsi="Arial" w:cs="Arial"/>
          <w:color w:val="242121"/>
          <w:sz w:val="22"/>
          <w:szCs w:val="22"/>
          <w:shd w:val="clear" w:color="auto" w:fill="FFFFFF"/>
          <w:lang w:val="en-GB"/>
        </w:rPr>
        <w:t>and </w:t>
      </w:r>
      <w:r w:rsidRPr="00680D39">
        <w:rPr>
          <w:rFonts w:ascii="Arial" w:hAnsi="Arial" w:cs="Arial"/>
          <w:color w:val="242121"/>
          <w:sz w:val="22"/>
          <w:szCs w:val="22"/>
          <w:shd w:val="clear" w:color="auto" w:fill="FFFFFF"/>
          <w:lang w:val="en-US"/>
        </w:rPr>
        <w:t>Ganes and Another v Telecom Namibia Ltd,</w:t>
      </w:r>
      <w:r w:rsidRPr="00680D39">
        <w:rPr>
          <w:rFonts w:ascii="Arial" w:hAnsi="Arial" w:cs="Arial"/>
          <w:color w:val="242121"/>
          <w:sz w:val="22"/>
          <w:szCs w:val="22"/>
          <w:shd w:val="clear" w:color="auto" w:fill="FFFFFF"/>
          <w:lang w:val="en-GB"/>
        </w:rPr>
        <w:t xml:space="preserve"> held that the remedy for a respondent who wishes to challenge the authority of a person allegedly acting on behalf of the purported applicant is provided for in rule 7(1).”</w:t>
      </w:r>
      <w:r w:rsidR="00CB1D00">
        <w:rPr>
          <w:rStyle w:val="FootnoteReference"/>
          <w:rFonts w:ascii="Arial" w:hAnsi="Arial" w:cs="Arial"/>
          <w:color w:val="242121"/>
          <w:sz w:val="22"/>
          <w:szCs w:val="22"/>
          <w:shd w:val="clear" w:color="auto" w:fill="FFFFFF"/>
          <w:lang w:val="en-GB"/>
        </w:rPr>
        <w:footnoteReference w:id="5"/>
      </w:r>
    </w:p>
    <w:p w14:paraId="7200DC31" w14:textId="77777777" w:rsidR="0097795D" w:rsidRPr="00680D39" w:rsidRDefault="0097795D" w:rsidP="0097795D">
      <w:pPr>
        <w:pStyle w:val="FootnoteText"/>
        <w:spacing w:line="360" w:lineRule="auto"/>
        <w:jc w:val="both"/>
        <w:rPr>
          <w:rFonts w:ascii="Arial" w:hAnsi="Arial" w:cs="Arial"/>
          <w:b/>
          <w:bCs/>
          <w:sz w:val="24"/>
          <w:szCs w:val="24"/>
          <w:lang w:val="en-US"/>
        </w:rPr>
      </w:pPr>
    </w:p>
    <w:p w14:paraId="260C2C54" w14:textId="70D1A03A" w:rsidR="0097795D" w:rsidRPr="00A65CB3" w:rsidRDefault="00A65CB3" w:rsidP="00A65CB3">
      <w:pPr>
        <w:spacing w:after="0" w:line="360" w:lineRule="auto"/>
        <w:jc w:val="both"/>
        <w:rPr>
          <w:rFonts w:ascii="Arial" w:hAnsi="Arial" w:cs="Arial"/>
          <w:lang w:val="en-US"/>
        </w:rPr>
      </w:pPr>
      <w:r w:rsidRPr="00680D39">
        <w:rPr>
          <w:rFonts w:ascii="Arial" w:hAnsi="Arial" w:cs="Arial"/>
          <w:sz w:val="24"/>
          <w:szCs w:val="24"/>
          <w:lang w:val="en-US"/>
        </w:rPr>
        <w:t>[20]</w:t>
      </w:r>
      <w:r w:rsidRPr="00680D39">
        <w:rPr>
          <w:rFonts w:ascii="Arial" w:hAnsi="Arial" w:cs="Arial"/>
          <w:sz w:val="24"/>
          <w:szCs w:val="24"/>
          <w:lang w:val="en-US"/>
        </w:rPr>
        <w:tab/>
      </w:r>
      <w:r w:rsidR="0097795D" w:rsidRPr="00A65CB3">
        <w:rPr>
          <w:rFonts w:ascii="Arial" w:hAnsi="Arial" w:cs="Arial"/>
          <w:sz w:val="24"/>
          <w:szCs w:val="24"/>
        </w:rPr>
        <w:t>Indeed, the correct approach to challenge the issue of authority is by way of Rule 7(1). However, as stated in Erasmus: “</w:t>
      </w:r>
      <w:r w:rsidR="0097795D" w:rsidRPr="00A65CB3">
        <w:rPr>
          <w:rFonts w:ascii="Arial" w:hAnsi="Arial" w:cs="Arial"/>
        </w:rPr>
        <w:t>T</w:t>
      </w:r>
      <w:r w:rsidR="0097795D" w:rsidRPr="00A65CB3">
        <w:rPr>
          <w:rFonts w:ascii="Arial" w:hAnsi="Arial" w:cs="Arial"/>
          <w:lang w:val="en-US"/>
        </w:rPr>
        <w:t xml:space="preserve">his sub-rule does not lay down the procedure to be followed by the party challenging the authority of a person acting for a party. It would seem that the challenge, which may be brought at any time before judgment, may be raised in a variety of ways: </w:t>
      </w:r>
    </w:p>
    <w:p w14:paraId="3C0D6084" w14:textId="460C04FD" w:rsidR="0097795D" w:rsidRPr="00A65CB3" w:rsidRDefault="00A65CB3" w:rsidP="00A65CB3">
      <w:pPr>
        <w:spacing w:after="0" w:line="360" w:lineRule="auto"/>
        <w:ind w:left="567"/>
        <w:jc w:val="both"/>
        <w:rPr>
          <w:rFonts w:ascii="Arial" w:hAnsi="Arial" w:cs="Arial"/>
          <w:lang w:val="en-US"/>
        </w:rPr>
      </w:pPr>
      <w:r w:rsidRPr="00680D39">
        <w:rPr>
          <w:rFonts w:ascii="Arial" w:hAnsi="Arial" w:cs="Arial"/>
          <w:lang w:val="en-US"/>
        </w:rPr>
        <w:t>(a)</w:t>
      </w:r>
      <w:r w:rsidRPr="00680D39">
        <w:rPr>
          <w:rFonts w:ascii="Arial" w:hAnsi="Arial" w:cs="Arial"/>
          <w:lang w:val="en-US"/>
        </w:rPr>
        <w:tab/>
      </w:r>
      <w:r w:rsidR="00E46C50" w:rsidRPr="00A65CB3">
        <w:rPr>
          <w:rFonts w:ascii="Arial" w:hAnsi="Arial" w:cs="Arial"/>
          <w:lang w:val="en-US"/>
        </w:rPr>
        <w:t>I</w:t>
      </w:r>
      <w:r w:rsidR="0097795D" w:rsidRPr="00A65CB3">
        <w:rPr>
          <w:rFonts w:ascii="Arial" w:hAnsi="Arial" w:cs="Arial"/>
          <w:lang w:val="en-US"/>
        </w:rPr>
        <w:t>n</w:t>
      </w:r>
      <w:r w:rsidR="002160F9" w:rsidRPr="00A65CB3">
        <w:rPr>
          <w:rFonts w:ascii="Arial" w:hAnsi="Arial" w:cs="Arial"/>
          <w:lang w:val="en-US"/>
        </w:rPr>
        <w:t xml:space="preserve"> </w:t>
      </w:r>
      <w:r w:rsidR="0097795D" w:rsidRPr="00A65CB3">
        <w:rPr>
          <w:rFonts w:ascii="Arial" w:hAnsi="Arial" w:cs="Arial"/>
          <w:lang w:val="en-US"/>
        </w:rPr>
        <w:t>appropriate circumstances, by notice, with or without supporting evidence;</w:t>
      </w:r>
    </w:p>
    <w:p w14:paraId="683C8529" w14:textId="7752A141" w:rsidR="0097795D" w:rsidRPr="00A65CB3" w:rsidRDefault="00A65CB3" w:rsidP="00A65CB3">
      <w:pPr>
        <w:spacing w:after="0" w:line="360" w:lineRule="auto"/>
        <w:ind w:left="567"/>
        <w:jc w:val="both"/>
        <w:rPr>
          <w:rFonts w:ascii="Arial" w:hAnsi="Arial" w:cs="Arial"/>
          <w:lang w:val="en-US"/>
        </w:rPr>
      </w:pPr>
      <w:r w:rsidRPr="00680D39">
        <w:rPr>
          <w:rFonts w:ascii="Arial" w:hAnsi="Arial" w:cs="Arial"/>
          <w:lang w:val="en-US"/>
        </w:rPr>
        <w:t>(b)</w:t>
      </w:r>
      <w:r w:rsidRPr="00680D39">
        <w:rPr>
          <w:rFonts w:ascii="Arial" w:hAnsi="Arial" w:cs="Arial"/>
          <w:lang w:val="en-US"/>
        </w:rPr>
        <w:tab/>
      </w:r>
      <w:r w:rsidR="0097795D" w:rsidRPr="00A65CB3">
        <w:rPr>
          <w:rFonts w:ascii="Arial" w:hAnsi="Arial" w:cs="Arial"/>
          <w:lang w:val="en-US"/>
        </w:rPr>
        <w:t>in the defendant’s plea or special plea;</w:t>
      </w:r>
    </w:p>
    <w:p w14:paraId="74CD7498" w14:textId="77474A40" w:rsidR="0097795D" w:rsidRPr="00A65CB3" w:rsidRDefault="00A65CB3" w:rsidP="00A65CB3">
      <w:pPr>
        <w:spacing w:after="0" w:line="360" w:lineRule="auto"/>
        <w:ind w:left="567"/>
        <w:jc w:val="both"/>
        <w:rPr>
          <w:rFonts w:ascii="Arial" w:hAnsi="Arial" w:cs="Arial"/>
          <w:lang w:val="en-US"/>
        </w:rPr>
      </w:pPr>
      <w:r w:rsidRPr="00680D39">
        <w:rPr>
          <w:rFonts w:ascii="Arial" w:hAnsi="Arial" w:cs="Arial"/>
          <w:lang w:val="en-US"/>
        </w:rPr>
        <w:t>(c)</w:t>
      </w:r>
      <w:r w:rsidRPr="00680D39">
        <w:rPr>
          <w:rFonts w:ascii="Arial" w:hAnsi="Arial" w:cs="Arial"/>
          <w:lang w:val="en-US"/>
        </w:rPr>
        <w:tab/>
      </w:r>
      <w:r w:rsidR="0097795D" w:rsidRPr="00A65CB3">
        <w:rPr>
          <w:rFonts w:ascii="Arial" w:hAnsi="Arial" w:cs="Arial"/>
          <w:lang w:val="en-US"/>
        </w:rPr>
        <w:t>in an answering affidavit;</w:t>
      </w:r>
    </w:p>
    <w:p w14:paraId="08FEF158" w14:textId="1DBF265C" w:rsidR="0097795D" w:rsidRPr="00A65CB3" w:rsidRDefault="00A65CB3" w:rsidP="00A65CB3">
      <w:pPr>
        <w:spacing w:after="0" w:line="360" w:lineRule="auto"/>
        <w:ind w:left="567"/>
        <w:jc w:val="both"/>
        <w:rPr>
          <w:rFonts w:ascii="Arial" w:hAnsi="Arial" w:cs="Arial"/>
          <w:lang w:val="en-US"/>
        </w:rPr>
      </w:pPr>
      <w:r w:rsidRPr="00680D39">
        <w:rPr>
          <w:rFonts w:ascii="Arial" w:hAnsi="Arial" w:cs="Arial"/>
          <w:lang w:val="en-US"/>
        </w:rPr>
        <w:t>(d)</w:t>
      </w:r>
      <w:r w:rsidRPr="00680D39">
        <w:rPr>
          <w:rFonts w:ascii="Arial" w:hAnsi="Arial" w:cs="Arial"/>
          <w:lang w:val="en-US"/>
        </w:rPr>
        <w:tab/>
      </w:r>
      <w:r w:rsidR="0097795D" w:rsidRPr="00A65CB3">
        <w:rPr>
          <w:rFonts w:ascii="Arial" w:hAnsi="Arial" w:cs="Arial"/>
          <w:lang w:val="en-US"/>
        </w:rPr>
        <w:t>orally at the trial.”</w:t>
      </w:r>
      <w:r w:rsidR="0097795D" w:rsidRPr="00680D39">
        <w:rPr>
          <w:rStyle w:val="FootnoteReference"/>
          <w:rFonts w:ascii="Arial" w:hAnsi="Arial" w:cs="Arial"/>
          <w:lang w:val="en-US"/>
        </w:rPr>
        <w:footnoteReference w:id="6"/>
      </w:r>
      <w:r w:rsidR="00E46C50" w:rsidRPr="00A65CB3">
        <w:rPr>
          <w:rFonts w:ascii="Arial" w:hAnsi="Arial" w:cs="Arial"/>
          <w:lang w:val="en-US"/>
        </w:rPr>
        <w:t xml:space="preserve"> </w:t>
      </w:r>
    </w:p>
    <w:p w14:paraId="377D75D7" w14:textId="77777777" w:rsidR="0097795D" w:rsidRPr="00680D39" w:rsidRDefault="0097795D" w:rsidP="0097795D">
      <w:pPr>
        <w:pStyle w:val="ListParagraph"/>
        <w:spacing w:after="0" w:line="360" w:lineRule="auto"/>
        <w:ind w:left="567"/>
        <w:jc w:val="both"/>
        <w:rPr>
          <w:rFonts w:ascii="Arial" w:hAnsi="Arial" w:cs="Arial"/>
          <w:lang w:val="en-US"/>
        </w:rPr>
      </w:pPr>
    </w:p>
    <w:p w14:paraId="33796B34" w14:textId="7611C0BF" w:rsidR="002160F9" w:rsidRPr="00A65CB3" w:rsidRDefault="00A65CB3" w:rsidP="00A65CB3">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[21]</w:t>
      </w:r>
      <w:r>
        <w:rPr>
          <w:rFonts w:ascii="Arial" w:hAnsi="Arial" w:cs="Arial"/>
          <w:color w:val="000000" w:themeColor="text1"/>
          <w:sz w:val="24"/>
          <w:szCs w:val="24"/>
          <w:lang w:val="en-US"/>
        </w:rPr>
        <w:tab/>
      </w:r>
      <w:r w:rsidR="0097795D" w:rsidRPr="00A65CB3">
        <w:rPr>
          <w:rFonts w:ascii="Arial" w:hAnsi="Arial" w:cs="Arial"/>
          <w:sz w:val="24"/>
          <w:szCs w:val="24"/>
          <w:lang w:val="en-US"/>
        </w:rPr>
        <w:t xml:space="preserve">The </w:t>
      </w:r>
      <w:r w:rsidR="00C3027A" w:rsidRPr="00A65CB3">
        <w:rPr>
          <w:rFonts w:ascii="Arial" w:hAnsi="Arial" w:cs="Arial"/>
          <w:sz w:val="24"/>
          <w:szCs w:val="24"/>
          <w:lang w:val="en-US"/>
        </w:rPr>
        <w:t>r</w:t>
      </w:r>
      <w:r w:rsidR="0097795D" w:rsidRPr="00A65CB3">
        <w:rPr>
          <w:rFonts w:ascii="Arial" w:hAnsi="Arial" w:cs="Arial"/>
          <w:sz w:val="24"/>
          <w:szCs w:val="24"/>
          <w:lang w:val="en-US"/>
        </w:rPr>
        <w:t xml:space="preserve">espondents raise the challenge in the answering affidavit. They </w:t>
      </w:r>
      <w:r w:rsidR="00A4425C" w:rsidRPr="00A65CB3">
        <w:rPr>
          <w:rFonts w:ascii="Arial" w:hAnsi="Arial" w:cs="Arial"/>
          <w:sz w:val="24"/>
          <w:szCs w:val="24"/>
          <w:lang w:val="en-US"/>
        </w:rPr>
        <w:t>are</w:t>
      </w:r>
      <w:r w:rsidR="0097795D" w:rsidRPr="00A65CB3">
        <w:rPr>
          <w:rFonts w:ascii="Arial" w:hAnsi="Arial" w:cs="Arial"/>
          <w:sz w:val="24"/>
          <w:szCs w:val="24"/>
          <w:lang w:val="en-US"/>
        </w:rPr>
        <w:t xml:space="preserve"> perfectly within their rights to raise the point</w:t>
      </w:r>
      <w:r w:rsidR="002160F9" w:rsidRPr="00A65CB3">
        <w:rPr>
          <w:rFonts w:ascii="Arial" w:hAnsi="Arial" w:cs="Arial"/>
          <w:sz w:val="24"/>
          <w:szCs w:val="24"/>
          <w:lang w:val="en-US"/>
        </w:rPr>
        <w:t xml:space="preserve"> in the manner they d</w:t>
      </w:r>
      <w:r w:rsidR="00A4425C" w:rsidRPr="00A65CB3">
        <w:rPr>
          <w:rFonts w:ascii="Arial" w:hAnsi="Arial" w:cs="Arial"/>
          <w:sz w:val="24"/>
          <w:szCs w:val="24"/>
          <w:lang w:val="en-US"/>
        </w:rPr>
        <w:t>o</w:t>
      </w:r>
      <w:r w:rsidR="002160F9" w:rsidRPr="00A65CB3">
        <w:rPr>
          <w:rFonts w:ascii="Arial" w:hAnsi="Arial" w:cs="Arial"/>
          <w:sz w:val="24"/>
          <w:szCs w:val="24"/>
          <w:lang w:val="en-US"/>
        </w:rPr>
        <w:t xml:space="preserve">. To insist that they should have mentioned </w:t>
      </w:r>
      <w:r w:rsidR="00547ABE" w:rsidRPr="00A65CB3">
        <w:rPr>
          <w:rFonts w:ascii="Arial" w:hAnsi="Arial" w:cs="Arial"/>
          <w:sz w:val="24"/>
          <w:szCs w:val="24"/>
          <w:lang w:val="en-US"/>
        </w:rPr>
        <w:t>R</w:t>
      </w:r>
      <w:r w:rsidR="002160F9" w:rsidRPr="00A65CB3">
        <w:rPr>
          <w:rFonts w:ascii="Arial" w:hAnsi="Arial" w:cs="Arial"/>
          <w:sz w:val="24"/>
          <w:szCs w:val="24"/>
          <w:lang w:val="en-US"/>
        </w:rPr>
        <w:t>ule 7 is tantamount to elevating form over substance. Having said that, this court is of the view that</w:t>
      </w:r>
      <w:r w:rsidR="00F079C9" w:rsidRPr="00A65CB3">
        <w:rPr>
          <w:rFonts w:ascii="Arial" w:hAnsi="Arial" w:cs="Arial"/>
          <w:sz w:val="24"/>
          <w:szCs w:val="24"/>
          <w:lang w:val="en-US"/>
        </w:rPr>
        <w:t xml:space="preserve"> the respondents’</w:t>
      </w:r>
      <w:r w:rsidR="002160F9" w:rsidRPr="00A65CB3">
        <w:rPr>
          <w:rFonts w:ascii="Arial" w:hAnsi="Arial" w:cs="Arial"/>
          <w:sz w:val="24"/>
          <w:szCs w:val="24"/>
          <w:lang w:val="en-US"/>
        </w:rPr>
        <w:t xml:space="preserve"> point is </w:t>
      </w:r>
      <w:r w:rsidR="001269BA" w:rsidRPr="00A65CB3">
        <w:rPr>
          <w:rFonts w:ascii="Arial" w:hAnsi="Arial" w:cs="Arial"/>
          <w:sz w:val="24"/>
          <w:szCs w:val="24"/>
          <w:lang w:val="en-US"/>
        </w:rPr>
        <w:t>unmeritorious</w:t>
      </w:r>
      <w:r w:rsidR="002160F9" w:rsidRPr="00A65CB3">
        <w:rPr>
          <w:rFonts w:ascii="Arial" w:hAnsi="Arial" w:cs="Arial"/>
          <w:sz w:val="24"/>
          <w:szCs w:val="24"/>
          <w:lang w:val="en-US"/>
        </w:rPr>
        <w:t xml:space="preserve">. </w:t>
      </w:r>
      <w:r w:rsidR="009B4443" w:rsidRPr="00A65CB3">
        <w:rPr>
          <w:rFonts w:ascii="Arial" w:hAnsi="Arial" w:cs="Arial"/>
          <w:color w:val="000000" w:themeColor="text1"/>
          <w:sz w:val="24"/>
          <w:szCs w:val="24"/>
          <w:lang w:val="en-US"/>
        </w:rPr>
        <w:t xml:space="preserve">Firstly, </w:t>
      </w:r>
      <w:r w:rsidR="00352C77" w:rsidRPr="00A65CB3">
        <w:rPr>
          <w:rFonts w:ascii="Arial" w:hAnsi="Arial" w:cs="Arial"/>
          <w:color w:val="000000" w:themeColor="text1"/>
          <w:sz w:val="24"/>
          <w:szCs w:val="24"/>
          <w:lang w:val="en-US"/>
        </w:rPr>
        <w:t>Ms.</w:t>
      </w:r>
      <w:r w:rsidR="00702CF1" w:rsidRPr="00A65CB3">
        <w:rPr>
          <w:rFonts w:ascii="Arial" w:hAnsi="Arial" w:cs="Arial"/>
          <w:color w:val="000000" w:themeColor="text1"/>
          <w:sz w:val="24"/>
          <w:szCs w:val="24"/>
          <w:lang w:val="en-US"/>
        </w:rPr>
        <w:t xml:space="preserve"> Colman is the sole director</w:t>
      </w:r>
      <w:r w:rsidR="00D127B8" w:rsidRPr="00A65CB3">
        <w:rPr>
          <w:rFonts w:ascii="Arial" w:hAnsi="Arial" w:cs="Arial"/>
          <w:color w:val="000000" w:themeColor="text1"/>
          <w:sz w:val="24"/>
          <w:szCs w:val="24"/>
          <w:lang w:val="en-US"/>
        </w:rPr>
        <w:t xml:space="preserve"> </w:t>
      </w:r>
      <w:r w:rsidR="00DF1D2F" w:rsidRPr="00A65CB3">
        <w:rPr>
          <w:rFonts w:ascii="Arial" w:hAnsi="Arial" w:cs="Arial"/>
          <w:color w:val="000000" w:themeColor="text1"/>
          <w:sz w:val="24"/>
          <w:szCs w:val="24"/>
          <w:lang w:val="en-US"/>
        </w:rPr>
        <w:t>of</w:t>
      </w:r>
      <w:r w:rsidR="00702CF1" w:rsidRPr="00A65CB3">
        <w:rPr>
          <w:rFonts w:ascii="Arial" w:hAnsi="Arial" w:cs="Arial"/>
          <w:color w:val="000000" w:themeColor="text1"/>
          <w:sz w:val="24"/>
          <w:szCs w:val="24"/>
          <w:lang w:val="en-US"/>
        </w:rPr>
        <w:t xml:space="preserve"> the first</w:t>
      </w:r>
      <w:r w:rsidR="00DF1D2F" w:rsidRPr="00A65CB3">
        <w:rPr>
          <w:rFonts w:ascii="Arial" w:hAnsi="Arial" w:cs="Arial"/>
          <w:color w:val="000000" w:themeColor="text1"/>
          <w:sz w:val="24"/>
          <w:szCs w:val="24"/>
          <w:lang w:val="en-US"/>
        </w:rPr>
        <w:t>,</w:t>
      </w:r>
      <w:r w:rsidR="00D127B8" w:rsidRPr="00A65CB3">
        <w:rPr>
          <w:rFonts w:ascii="Arial" w:hAnsi="Arial" w:cs="Arial"/>
          <w:color w:val="000000" w:themeColor="text1"/>
          <w:sz w:val="24"/>
          <w:szCs w:val="24"/>
          <w:lang w:val="en-US"/>
        </w:rPr>
        <w:t xml:space="preserve"> second and</w:t>
      </w:r>
      <w:r w:rsidR="00702CF1" w:rsidRPr="00A65CB3">
        <w:rPr>
          <w:rFonts w:ascii="Arial" w:hAnsi="Arial" w:cs="Arial"/>
          <w:color w:val="000000" w:themeColor="text1"/>
          <w:sz w:val="24"/>
          <w:szCs w:val="24"/>
          <w:lang w:val="en-US"/>
        </w:rPr>
        <w:t xml:space="preserve"> third </w:t>
      </w:r>
      <w:r w:rsidR="00F079C9" w:rsidRPr="00A65CB3">
        <w:rPr>
          <w:rFonts w:ascii="Arial" w:hAnsi="Arial" w:cs="Arial"/>
          <w:color w:val="000000" w:themeColor="text1"/>
          <w:sz w:val="24"/>
          <w:szCs w:val="24"/>
          <w:lang w:val="en-US"/>
        </w:rPr>
        <w:t>applicants</w:t>
      </w:r>
      <w:r w:rsidR="00702CF1" w:rsidRPr="00A65CB3">
        <w:rPr>
          <w:rFonts w:ascii="Arial" w:hAnsi="Arial" w:cs="Arial"/>
          <w:color w:val="000000" w:themeColor="text1"/>
          <w:sz w:val="24"/>
          <w:szCs w:val="24"/>
          <w:lang w:val="en-US"/>
        </w:rPr>
        <w:t>.</w:t>
      </w:r>
      <w:r w:rsidR="00372FAE" w:rsidRPr="00A65CB3">
        <w:rPr>
          <w:rFonts w:ascii="Arial" w:hAnsi="Arial" w:cs="Arial"/>
          <w:color w:val="000000" w:themeColor="text1"/>
          <w:sz w:val="24"/>
          <w:szCs w:val="24"/>
          <w:lang w:val="en-US"/>
        </w:rPr>
        <w:t xml:space="preserve"> As such</w:t>
      </w:r>
      <w:r w:rsidR="003955CC" w:rsidRPr="00A65CB3">
        <w:rPr>
          <w:rFonts w:ascii="Arial" w:hAnsi="Arial" w:cs="Arial"/>
          <w:color w:val="000000" w:themeColor="text1"/>
          <w:sz w:val="24"/>
          <w:szCs w:val="24"/>
          <w:lang w:val="en-US"/>
        </w:rPr>
        <w:t xml:space="preserve">, she alone makes up </w:t>
      </w:r>
      <w:r w:rsidR="007E6976" w:rsidRPr="00A65CB3">
        <w:rPr>
          <w:rFonts w:ascii="Arial" w:hAnsi="Arial" w:cs="Arial"/>
          <w:color w:val="000000" w:themeColor="text1"/>
          <w:sz w:val="24"/>
          <w:szCs w:val="24"/>
          <w:lang w:val="en-US"/>
        </w:rPr>
        <w:t>“</w:t>
      </w:r>
      <w:r w:rsidR="003955CC" w:rsidRPr="00A65CB3">
        <w:rPr>
          <w:rFonts w:ascii="Arial" w:hAnsi="Arial" w:cs="Arial"/>
          <w:color w:val="000000" w:themeColor="text1"/>
          <w:sz w:val="24"/>
          <w:szCs w:val="24"/>
          <w:lang w:val="en-US"/>
        </w:rPr>
        <w:t>the board of directors</w:t>
      </w:r>
      <w:r w:rsidR="007E6976" w:rsidRPr="00A65CB3">
        <w:rPr>
          <w:rFonts w:ascii="Arial" w:hAnsi="Arial" w:cs="Arial"/>
          <w:color w:val="000000" w:themeColor="text1"/>
          <w:sz w:val="24"/>
          <w:szCs w:val="24"/>
          <w:lang w:val="en-US"/>
        </w:rPr>
        <w:t>”</w:t>
      </w:r>
      <w:r w:rsidR="003955CC" w:rsidRPr="00A65CB3">
        <w:rPr>
          <w:rFonts w:ascii="Arial" w:hAnsi="Arial" w:cs="Arial"/>
          <w:color w:val="000000" w:themeColor="text1"/>
          <w:sz w:val="24"/>
          <w:szCs w:val="24"/>
          <w:lang w:val="en-US"/>
        </w:rPr>
        <w:t xml:space="preserve">. </w:t>
      </w:r>
    </w:p>
    <w:p w14:paraId="6620856C" w14:textId="77777777" w:rsidR="002160F9" w:rsidRDefault="002160F9" w:rsidP="002160F9">
      <w:pPr>
        <w:pStyle w:val="ListParagraph"/>
        <w:spacing w:after="0" w:line="360" w:lineRule="auto"/>
        <w:ind w:left="0"/>
        <w:jc w:val="both"/>
        <w:rPr>
          <w:rFonts w:ascii="Arial" w:hAnsi="Arial" w:cs="Arial"/>
          <w:color w:val="000000" w:themeColor="text1"/>
          <w:sz w:val="24"/>
          <w:szCs w:val="24"/>
          <w:lang w:val="en-US"/>
        </w:rPr>
      </w:pPr>
    </w:p>
    <w:p w14:paraId="65DA74E3" w14:textId="3B7301D0" w:rsidR="00352C77" w:rsidRPr="00A65CB3" w:rsidRDefault="00A65CB3" w:rsidP="00A65CB3">
      <w:pPr>
        <w:spacing w:after="0" w:line="360" w:lineRule="auto"/>
        <w:jc w:val="both"/>
        <w:rPr>
          <w:rFonts w:ascii="Arial" w:hAnsi="Arial" w:cs="Arial"/>
          <w:color w:val="000000" w:themeColor="text1"/>
          <w:sz w:val="24"/>
          <w:szCs w:val="24"/>
          <w:lang w:val="en-US"/>
        </w:rPr>
      </w:pPr>
      <w:r w:rsidRPr="002160F9">
        <w:rPr>
          <w:rFonts w:ascii="Arial" w:hAnsi="Arial" w:cs="Arial"/>
          <w:color w:val="000000" w:themeColor="text1"/>
          <w:sz w:val="24"/>
          <w:szCs w:val="24"/>
          <w:lang w:val="en-US"/>
        </w:rPr>
        <w:t>[22]</w:t>
      </w:r>
      <w:r w:rsidRPr="002160F9">
        <w:rPr>
          <w:rFonts w:ascii="Arial" w:hAnsi="Arial" w:cs="Arial"/>
          <w:color w:val="000000" w:themeColor="text1"/>
          <w:sz w:val="24"/>
          <w:szCs w:val="24"/>
          <w:lang w:val="en-US"/>
        </w:rPr>
        <w:tab/>
      </w:r>
      <w:r w:rsidR="003955CC" w:rsidRPr="00A65CB3">
        <w:rPr>
          <w:rFonts w:ascii="Arial" w:hAnsi="Arial" w:cs="Arial"/>
          <w:color w:val="000000" w:themeColor="text1"/>
          <w:sz w:val="24"/>
          <w:szCs w:val="24"/>
          <w:lang w:val="en-US"/>
        </w:rPr>
        <w:t xml:space="preserve">If </w:t>
      </w:r>
      <w:r w:rsidR="005F3CAE" w:rsidRPr="00A65CB3">
        <w:rPr>
          <w:rFonts w:ascii="Arial" w:hAnsi="Arial" w:cs="Arial"/>
          <w:color w:val="000000" w:themeColor="text1"/>
          <w:sz w:val="24"/>
          <w:szCs w:val="24"/>
          <w:lang w:val="en-US"/>
        </w:rPr>
        <w:t xml:space="preserve">she </w:t>
      </w:r>
      <w:r w:rsidR="003955CC" w:rsidRPr="00A65CB3">
        <w:rPr>
          <w:rFonts w:ascii="Arial" w:hAnsi="Arial" w:cs="Arial"/>
          <w:color w:val="000000" w:themeColor="text1"/>
          <w:sz w:val="24"/>
          <w:szCs w:val="24"/>
          <w:lang w:val="en-US"/>
        </w:rPr>
        <w:t>avers</w:t>
      </w:r>
      <w:r w:rsidR="002160F9" w:rsidRPr="00A65CB3">
        <w:rPr>
          <w:rFonts w:ascii="Arial" w:hAnsi="Arial" w:cs="Arial"/>
          <w:color w:val="000000" w:themeColor="text1"/>
          <w:sz w:val="24"/>
          <w:szCs w:val="24"/>
          <w:lang w:val="en-US"/>
        </w:rPr>
        <w:t>,</w:t>
      </w:r>
      <w:r w:rsidR="00B63F2C" w:rsidRPr="00A65CB3">
        <w:rPr>
          <w:rFonts w:ascii="Arial" w:hAnsi="Arial" w:cs="Arial"/>
          <w:color w:val="000000" w:themeColor="text1"/>
          <w:sz w:val="24"/>
          <w:szCs w:val="24"/>
          <w:lang w:val="en-US"/>
        </w:rPr>
        <w:t xml:space="preserve"> </w:t>
      </w:r>
      <w:r w:rsidR="002160F9" w:rsidRPr="00A65CB3">
        <w:rPr>
          <w:rFonts w:ascii="Arial" w:hAnsi="Arial" w:cs="Arial"/>
          <w:color w:val="000000" w:themeColor="text1"/>
          <w:sz w:val="24"/>
          <w:szCs w:val="24"/>
          <w:lang w:val="en-US"/>
        </w:rPr>
        <w:t>as she does</w:t>
      </w:r>
      <w:r w:rsidR="00B63F2C" w:rsidRPr="00A65CB3">
        <w:rPr>
          <w:rFonts w:ascii="Arial" w:hAnsi="Arial" w:cs="Arial"/>
          <w:color w:val="000000" w:themeColor="text1"/>
          <w:sz w:val="24"/>
          <w:szCs w:val="24"/>
          <w:lang w:val="en-US"/>
        </w:rPr>
        <w:t>,</w:t>
      </w:r>
      <w:r w:rsidR="002160F9" w:rsidRPr="00A65CB3">
        <w:rPr>
          <w:rFonts w:ascii="Arial" w:hAnsi="Arial" w:cs="Arial"/>
          <w:color w:val="000000" w:themeColor="text1"/>
          <w:sz w:val="24"/>
          <w:szCs w:val="24"/>
          <w:lang w:val="en-US"/>
        </w:rPr>
        <w:t xml:space="preserve"> </w:t>
      </w:r>
      <w:r w:rsidR="005F3CAE" w:rsidRPr="00A65CB3">
        <w:rPr>
          <w:rFonts w:ascii="Arial" w:hAnsi="Arial" w:cs="Arial"/>
          <w:color w:val="000000" w:themeColor="text1"/>
          <w:sz w:val="24"/>
          <w:szCs w:val="24"/>
          <w:lang w:val="en-US"/>
        </w:rPr>
        <w:t xml:space="preserve">under oath </w:t>
      </w:r>
      <w:r w:rsidR="003955CC" w:rsidRPr="00A65CB3">
        <w:rPr>
          <w:rFonts w:ascii="Arial" w:hAnsi="Arial" w:cs="Arial"/>
          <w:color w:val="000000" w:themeColor="text1"/>
          <w:sz w:val="24"/>
          <w:szCs w:val="24"/>
          <w:lang w:val="en-US"/>
        </w:rPr>
        <w:t xml:space="preserve">that she is authorized to act, </w:t>
      </w:r>
      <w:r w:rsidR="008F7F5A" w:rsidRPr="00A65CB3">
        <w:rPr>
          <w:rFonts w:ascii="Arial" w:hAnsi="Arial" w:cs="Arial"/>
          <w:color w:val="000000" w:themeColor="text1"/>
          <w:sz w:val="24"/>
          <w:szCs w:val="24"/>
          <w:lang w:val="en-US"/>
        </w:rPr>
        <w:t xml:space="preserve">there can be no persuasive justification for rejecting </w:t>
      </w:r>
      <w:r w:rsidR="000A41AF" w:rsidRPr="00A65CB3">
        <w:rPr>
          <w:rFonts w:ascii="Arial" w:hAnsi="Arial" w:cs="Arial"/>
          <w:color w:val="000000" w:themeColor="text1"/>
          <w:sz w:val="24"/>
          <w:szCs w:val="24"/>
          <w:lang w:val="en-US"/>
        </w:rPr>
        <w:t>that a</w:t>
      </w:r>
      <w:r w:rsidR="002160F9" w:rsidRPr="00A65CB3">
        <w:rPr>
          <w:rFonts w:ascii="Arial" w:hAnsi="Arial" w:cs="Arial"/>
          <w:color w:val="000000" w:themeColor="text1"/>
          <w:sz w:val="24"/>
          <w:szCs w:val="24"/>
          <w:lang w:val="en-US"/>
        </w:rPr>
        <w:t>verment</w:t>
      </w:r>
      <w:r w:rsidR="008F7F5A" w:rsidRPr="00A65CB3">
        <w:rPr>
          <w:rFonts w:ascii="Arial" w:hAnsi="Arial" w:cs="Arial"/>
          <w:color w:val="000000" w:themeColor="text1"/>
          <w:sz w:val="24"/>
          <w:szCs w:val="24"/>
          <w:lang w:val="en-US"/>
        </w:rPr>
        <w:t>. Therefore, it</w:t>
      </w:r>
      <w:r w:rsidR="003955CC" w:rsidRPr="00A65CB3">
        <w:rPr>
          <w:rFonts w:ascii="Arial" w:hAnsi="Arial" w:cs="Arial"/>
          <w:color w:val="000000" w:themeColor="text1"/>
          <w:sz w:val="24"/>
          <w:szCs w:val="24"/>
          <w:lang w:val="en-US"/>
        </w:rPr>
        <w:t xml:space="preserve"> is rather </w:t>
      </w:r>
      <w:r w:rsidR="006B64F7" w:rsidRPr="00A65CB3">
        <w:rPr>
          <w:rFonts w:ascii="Arial" w:hAnsi="Arial" w:cs="Arial"/>
          <w:color w:val="000000" w:themeColor="text1"/>
          <w:sz w:val="24"/>
          <w:szCs w:val="24"/>
          <w:lang w:val="en-US"/>
        </w:rPr>
        <w:t xml:space="preserve">an </w:t>
      </w:r>
      <w:r w:rsidR="006B64F7" w:rsidRPr="00A65CB3">
        <w:rPr>
          <w:rFonts w:ascii="Arial" w:hAnsi="Arial" w:cs="Arial"/>
          <w:color w:val="000000" w:themeColor="text1"/>
          <w:sz w:val="24"/>
          <w:szCs w:val="24"/>
          <w:lang w:val="en-US"/>
        </w:rPr>
        <w:lastRenderedPageBreak/>
        <w:t>unavailing</w:t>
      </w:r>
      <w:r w:rsidR="00605D3D" w:rsidRPr="00A65CB3">
        <w:rPr>
          <w:rFonts w:ascii="Arial" w:hAnsi="Arial" w:cs="Arial"/>
          <w:color w:val="000000" w:themeColor="text1"/>
          <w:sz w:val="24"/>
          <w:szCs w:val="24"/>
          <w:lang w:val="en-US"/>
        </w:rPr>
        <w:t xml:space="preserve"> attempt</w:t>
      </w:r>
      <w:r w:rsidR="006B64F7" w:rsidRPr="00A65CB3">
        <w:rPr>
          <w:rFonts w:ascii="Arial" w:hAnsi="Arial" w:cs="Arial"/>
          <w:color w:val="000000" w:themeColor="text1"/>
          <w:sz w:val="24"/>
          <w:szCs w:val="24"/>
          <w:lang w:val="en-US"/>
        </w:rPr>
        <w:t xml:space="preserve"> to ask for proof</w:t>
      </w:r>
      <w:r w:rsidR="00B63F2C" w:rsidRPr="00A65CB3">
        <w:rPr>
          <w:rFonts w:ascii="Arial" w:hAnsi="Arial" w:cs="Arial"/>
          <w:color w:val="000000" w:themeColor="text1"/>
          <w:sz w:val="24"/>
          <w:szCs w:val="24"/>
          <w:lang w:val="en-US"/>
        </w:rPr>
        <w:t>. When all is said and done, this is a factual question</w:t>
      </w:r>
      <w:r w:rsidR="006B64F7" w:rsidRPr="00A65CB3">
        <w:rPr>
          <w:rFonts w:ascii="Arial" w:hAnsi="Arial" w:cs="Arial"/>
          <w:color w:val="000000" w:themeColor="text1"/>
          <w:sz w:val="24"/>
          <w:szCs w:val="24"/>
          <w:lang w:val="en-US"/>
        </w:rPr>
        <w:t>.</w:t>
      </w:r>
      <w:r w:rsidR="00605D3D" w:rsidRPr="00A65CB3">
        <w:rPr>
          <w:rFonts w:ascii="Arial" w:hAnsi="Arial" w:cs="Arial"/>
          <w:color w:val="000000" w:themeColor="text1"/>
          <w:sz w:val="24"/>
          <w:szCs w:val="24"/>
          <w:lang w:val="en-US"/>
        </w:rPr>
        <w:t xml:space="preserve"> </w:t>
      </w:r>
      <w:r w:rsidR="000A41AF" w:rsidRPr="00A65CB3">
        <w:rPr>
          <w:rFonts w:ascii="Arial" w:hAnsi="Arial" w:cs="Arial"/>
          <w:color w:val="000000" w:themeColor="text1"/>
          <w:sz w:val="24"/>
          <w:szCs w:val="24"/>
          <w:lang w:val="en-US"/>
        </w:rPr>
        <w:t>With that said</w:t>
      </w:r>
      <w:r w:rsidR="00605D3D" w:rsidRPr="00A65CB3">
        <w:rPr>
          <w:rFonts w:ascii="Arial" w:hAnsi="Arial" w:cs="Arial"/>
          <w:color w:val="000000" w:themeColor="text1"/>
          <w:sz w:val="24"/>
          <w:szCs w:val="24"/>
          <w:lang w:val="en-US"/>
        </w:rPr>
        <w:t xml:space="preserve">, </w:t>
      </w:r>
      <w:r w:rsidR="00451351" w:rsidRPr="00A65CB3">
        <w:rPr>
          <w:rFonts w:ascii="Arial" w:hAnsi="Arial" w:cs="Arial"/>
          <w:color w:val="000000" w:themeColor="text1"/>
          <w:sz w:val="24"/>
          <w:szCs w:val="24"/>
          <w:lang w:val="en-US"/>
        </w:rPr>
        <w:t>t</w:t>
      </w:r>
      <w:r w:rsidR="009F7521" w:rsidRPr="00A65CB3">
        <w:rPr>
          <w:rFonts w:ascii="Arial" w:hAnsi="Arial" w:cs="Arial"/>
          <w:color w:val="000000" w:themeColor="text1"/>
          <w:sz w:val="24"/>
          <w:szCs w:val="24"/>
          <w:lang w:val="en-US"/>
        </w:rPr>
        <w:t>he jury is out on whether</w:t>
      </w:r>
      <w:r w:rsidR="001269BA" w:rsidRPr="00A65CB3">
        <w:rPr>
          <w:rFonts w:ascii="Arial" w:hAnsi="Arial" w:cs="Arial"/>
          <w:color w:val="000000" w:themeColor="text1"/>
          <w:sz w:val="24"/>
          <w:szCs w:val="24"/>
          <w:lang w:val="en-US"/>
        </w:rPr>
        <w:t xml:space="preserve"> or not</w:t>
      </w:r>
      <w:r w:rsidR="009F7521" w:rsidRPr="00A65CB3">
        <w:rPr>
          <w:rFonts w:ascii="Arial" w:hAnsi="Arial" w:cs="Arial"/>
          <w:color w:val="000000" w:themeColor="text1"/>
          <w:sz w:val="24"/>
          <w:szCs w:val="24"/>
          <w:lang w:val="en-US"/>
        </w:rPr>
        <w:t xml:space="preserve"> this</w:t>
      </w:r>
      <w:r w:rsidR="001269BA" w:rsidRPr="00A65CB3">
        <w:rPr>
          <w:rFonts w:ascii="Arial" w:hAnsi="Arial" w:cs="Arial"/>
          <w:color w:val="000000" w:themeColor="text1"/>
          <w:sz w:val="24"/>
          <w:szCs w:val="24"/>
          <w:lang w:val="en-US"/>
        </w:rPr>
        <w:t xml:space="preserve"> argument</w:t>
      </w:r>
      <w:r w:rsidR="009F7521" w:rsidRPr="00A65CB3">
        <w:rPr>
          <w:rFonts w:ascii="Arial" w:hAnsi="Arial" w:cs="Arial"/>
          <w:color w:val="000000" w:themeColor="text1"/>
          <w:sz w:val="24"/>
          <w:szCs w:val="24"/>
          <w:lang w:val="en-US"/>
        </w:rPr>
        <w:t xml:space="preserve"> serve</w:t>
      </w:r>
      <w:r w:rsidR="001269BA" w:rsidRPr="00A65CB3">
        <w:rPr>
          <w:rFonts w:ascii="Arial" w:hAnsi="Arial" w:cs="Arial"/>
          <w:color w:val="000000" w:themeColor="text1"/>
          <w:sz w:val="24"/>
          <w:szCs w:val="24"/>
          <w:lang w:val="en-US"/>
        </w:rPr>
        <w:t>s</w:t>
      </w:r>
      <w:r w:rsidR="009F7521" w:rsidRPr="00A65CB3">
        <w:rPr>
          <w:rFonts w:ascii="Arial" w:hAnsi="Arial" w:cs="Arial"/>
          <w:color w:val="000000" w:themeColor="text1"/>
          <w:sz w:val="24"/>
          <w:szCs w:val="24"/>
          <w:lang w:val="en-US"/>
        </w:rPr>
        <w:t xml:space="preserve"> to fortify the respondents’ case of </w:t>
      </w:r>
      <w:r w:rsidR="007E6976" w:rsidRPr="00A65CB3">
        <w:rPr>
          <w:rFonts w:ascii="Arial" w:hAnsi="Arial" w:cs="Arial"/>
          <w:color w:val="000000" w:themeColor="text1"/>
          <w:sz w:val="24"/>
          <w:szCs w:val="24"/>
          <w:lang w:val="en-US"/>
        </w:rPr>
        <w:t>alleged misrepresentation of the B-BBEE status and fronting practices</w:t>
      </w:r>
      <w:r w:rsidR="009F7521" w:rsidRPr="00A65CB3">
        <w:rPr>
          <w:rFonts w:ascii="Arial" w:hAnsi="Arial" w:cs="Arial"/>
          <w:b/>
          <w:bCs/>
          <w:color w:val="000000" w:themeColor="text1"/>
          <w:sz w:val="24"/>
          <w:szCs w:val="24"/>
          <w:lang w:val="en-US"/>
        </w:rPr>
        <w:t>.</w:t>
      </w:r>
    </w:p>
    <w:p w14:paraId="3EC2FEE9" w14:textId="77777777" w:rsidR="00352C77" w:rsidRPr="00680D39" w:rsidRDefault="00352C77" w:rsidP="00680D39">
      <w:pPr>
        <w:pStyle w:val="FootnoteText"/>
        <w:spacing w:line="360" w:lineRule="auto"/>
        <w:jc w:val="both"/>
        <w:rPr>
          <w:rFonts w:ascii="Arial" w:hAnsi="Arial" w:cs="Arial"/>
          <w:sz w:val="22"/>
          <w:szCs w:val="22"/>
          <w:lang w:val="en-US"/>
        </w:rPr>
      </w:pPr>
    </w:p>
    <w:p w14:paraId="36ACD3B3" w14:textId="7CA78533" w:rsidR="00B048C7" w:rsidRPr="00680D39" w:rsidRDefault="00A65CB3" w:rsidP="00A65CB3">
      <w:pPr>
        <w:pStyle w:val="FootnoteText"/>
        <w:spacing w:line="360" w:lineRule="auto"/>
        <w:jc w:val="both"/>
        <w:rPr>
          <w:rFonts w:ascii="Arial" w:hAnsi="Arial" w:cs="Arial"/>
          <w:sz w:val="22"/>
          <w:szCs w:val="22"/>
          <w:lang w:val="en-US"/>
        </w:rPr>
      </w:pPr>
      <w:r w:rsidRPr="00680D39">
        <w:rPr>
          <w:rFonts w:ascii="Arial" w:hAnsi="Arial" w:cs="Arial"/>
          <w:sz w:val="24"/>
          <w:szCs w:val="24"/>
          <w:lang w:val="en-US"/>
        </w:rPr>
        <w:t>[23]</w:t>
      </w:r>
      <w:r w:rsidRPr="00680D39">
        <w:rPr>
          <w:rFonts w:ascii="Arial" w:hAnsi="Arial" w:cs="Arial"/>
          <w:sz w:val="24"/>
          <w:szCs w:val="24"/>
          <w:lang w:val="en-US"/>
        </w:rPr>
        <w:tab/>
      </w:r>
      <w:r w:rsidR="009F7521" w:rsidRPr="00680D39">
        <w:rPr>
          <w:rFonts w:ascii="Arial" w:hAnsi="Arial" w:cs="Arial"/>
          <w:color w:val="000000" w:themeColor="text1"/>
          <w:sz w:val="24"/>
          <w:szCs w:val="24"/>
          <w:lang w:val="en-US"/>
        </w:rPr>
        <w:t xml:space="preserve">Focusing on the </w:t>
      </w:r>
      <w:r w:rsidR="004A68AC" w:rsidRPr="00680D39">
        <w:rPr>
          <w:rFonts w:ascii="Arial" w:hAnsi="Arial" w:cs="Arial"/>
          <w:color w:val="000000" w:themeColor="text1"/>
          <w:sz w:val="24"/>
          <w:szCs w:val="24"/>
          <w:lang w:val="en-US"/>
        </w:rPr>
        <w:t>issue of authority, the court i</w:t>
      </w:r>
      <w:r w:rsidR="00B048C7" w:rsidRPr="00680D39">
        <w:rPr>
          <w:rFonts w:ascii="Arial" w:hAnsi="Arial" w:cs="Arial"/>
          <w:color w:val="000000" w:themeColor="text1"/>
          <w:sz w:val="24"/>
          <w:szCs w:val="24"/>
          <w:lang w:val="en-US"/>
        </w:rPr>
        <w:t xml:space="preserve">n the matter of </w:t>
      </w:r>
      <w:r w:rsidR="0078162B" w:rsidRPr="00680D39">
        <w:rPr>
          <w:rFonts w:ascii="Arial" w:hAnsi="Arial" w:cs="Arial"/>
          <w:i/>
          <w:iCs/>
          <w:color w:val="000000" w:themeColor="text1"/>
          <w:sz w:val="24"/>
          <w:szCs w:val="24"/>
          <w:lang w:val="en-US"/>
        </w:rPr>
        <w:t>E</w:t>
      </w:r>
      <w:r w:rsidR="00B048C7" w:rsidRPr="00680D39">
        <w:rPr>
          <w:rFonts w:ascii="Arial" w:hAnsi="Arial" w:cs="Arial"/>
          <w:i/>
          <w:iCs/>
          <w:color w:val="000000" w:themeColor="text1"/>
          <w:sz w:val="24"/>
          <w:szCs w:val="24"/>
          <w:lang w:val="en-US"/>
        </w:rPr>
        <w:t>s</w:t>
      </w:r>
      <w:r w:rsidR="0078162B" w:rsidRPr="00680D39">
        <w:rPr>
          <w:rFonts w:ascii="Arial" w:hAnsi="Arial" w:cs="Arial"/>
          <w:i/>
          <w:iCs/>
          <w:color w:val="000000" w:themeColor="text1"/>
          <w:sz w:val="24"/>
          <w:szCs w:val="24"/>
          <w:lang w:val="en-US"/>
        </w:rPr>
        <w:t>k</w:t>
      </w:r>
      <w:r w:rsidR="00B048C7" w:rsidRPr="00680D39">
        <w:rPr>
          <w:rFonts w:ascii="Arial" w:hAnsi="Arial" w:cs="Arial"/>
          <w:i/>
          <w:iCs/>
          <w:color w:val="000000" w:themeColor="text1"/>
          <w:sz w:val="24"/>
          <w:szCs w:val="24"/>
          <w:lang w:val="en-US"/>
        </w:rPr>
        <w:t xml:space="preserve">om v Soweto </w:t>
      </w:r>
      <w:r w:rsidR="0078162B" w:rsidRPr="00680D39">
        <w:rPr>
          <w:rFonts w:ascii="Arial" w:hAnsi="Arial" w:cs="Arial"/>
          <w:i/>
          <w:iCs/>
          <w:color w:val="000000" w:themeColor="text1"/>
          <w:sz w:val="24"/>
          <w:szCs w:val="24"/>
          <w:lang w:val="en-US"/>
        </w:rPr>
        <w:t>C</w:t>
      </w:r>
      <w:r w:rsidR="00B048C7" w:rsidRPr="00680D39">
        <w:rPr>
          <w:rFonts w:ascii="Arial" w:hAnsi="Arial" w:cs="Arial"/>
          <w:i/>
          <w:iCs/>
          <w:color w:val="000000" w:themeColor="text1"/>
          <w:sz w:val="24"/>
          <w:szCs w:val="24"/>
          <w:lang w:val="en-US"/>
        </w:rPr>
        <w:t xml:space="preserve">ity </w:t>
      </w:r>
      <w:r w:rsidR="009A72AC" w:rsidRPr="00680D39">
        <w:rPr>
          <w:rFonts w:ascii="Arial" w:hAnsi="Arial" w:cs="Arial"/>
          <w:i/>
          <w:iCs/>
          <w:color w:val="000000" w:themeColor="text1"/>
          <w:sz w:val="24"/>
          <w:szCs w:val="24"/>
          <w:lang w:val="en-US"/>
        </w:rPr>
        <w:t>Council</w:t>
      </w:r>
      <w:r w:rsidR="00210FFE" w:rsidRPr="00680D39">
        <w:rPr>
          <w:rStyle w:val="FootnoteReference"/>
          <w:rFonts w:ascii="Arial" w:hAnsi="Arial" w:cs="Arial"/>
          <w:color w:val="000000" w:themeColor="text1"/>
          <w:sz w:val="24"/>
          <w:szCs w:val="24"/>
          <w:lang w:val="en-US"/>
        </w:rPr>
        <w:footnoteReference w:id="7"/>
      </w:r>
      <w:r w:rsidR="00352C77" w:rsidRPr="00680D39">
        <w:rPr>
          <w:rFonts w:ascii="Arial" w:hAnsi="Arial" w:cs="Arial"/>
          <w:color w:val="000000" w:themeColor="text1"/>
          <w:sz w:val="24"/>
          <w:szCs w:val="24"/>
          <w:lang w:val="en-US"/>
        </w:rPr>
        <w:t xml:space="preserve"> </w:t>
      </w:r>
      <w:r w:rsidR="004A68AC" w:rsidRPr="00680D39">
        <w:rPr>
          <w:rFonts w:ascii="Arial" w:hAnsi="Arial" w:cs="Arial"/>
          <w:color w:val="000000" w:themeColor="text1"/>
          <w:sz w:val="24"/>
          <w:szCs w:val="24"/>
          <w:lang w:val="en-US"/>
        </w:rPr>
        <w:t>held:</w:t>
      </w:r>
      <w:r w:rsidR="009A72AC" w:rsidRPr="00680D39">
        <w:rPr>
          <w:rFonts w:ascii="Arial" w:hAnsi="Arial" w:cs="Arial"/>
          <w:color w:val="000000" w:themeColor="text1"/>
          <w:sz w:val="24"/>
          <w:szCs w:val="24"/>
          <w:lang w:val="en-US"/>
        </w:rPr>
        <w:t xml:space="preserve"> </w:t>
      </w:r>
    </w:p>
    <w:p w14:paraId="5025B4BF" w14:textId="77777777" w:rsidR="00352C77" w:rsidRPr="00680D39" w:rsidRDefault="00352C77" w:rsidP="00680D39">
      <w:pPr>
        <w:pStyle w:val="FootnoteText"/>
        <w:spacing w:line="360" w:lineRule="auto"/>
        <w:jc w:val="both"/>
        <w:rPr>
          <w:rFonts w:ascii="Arial" w:hAnsi="Arial" w:cs="Arial"/>
          <w:sz w:val="22"/>
          <w:szCs w:val="22"/>
          <w:lang w:val="en-US"/>
        </w:rPr>
      </w:pPr>
    </w:p>
    <w:p w14:paraId="214174FE" w14:textId="50BC6C03" w:rsidR="00352C77" w:rsidRDefault="00FC434F" w:rsidP="003D0DDF">
      <w:pPr>
        <w:spacing w:after="0" w:line="360" w:lineRule="auto"/>
        <w:ind w:left="567"/>
        <w:jc w:val="both"/>
        <w:rPr>
          <w:rFonts w:ascii="Arial" w:hAnsi="Arial" w:cs="Arial"/>
          <w:color w:val="000000"/>
        </w:rPr>
      </w:pPr>
      <w:r w:rsidRPr="00680D39">
        <w:rPr>
          <w:rFonts w:ascii="Arial" w:hAnsi="Arial" w:cs="Arial"/>
          <w:lang w:val="en-US"/>
        </w:rPr>
        <w:t>“</w:t>
      </w:r>
      <w:r w:rsidR="00B048C7" w:rsidRPr="00680D39">
        <w:rPr>
          <w:rFonts w:ascii="Arial" w:hAnsi="Arial" w:cs="Arial"/>
          <w:lang w:val="en-US"/>
        </w:rPr>
        <w:t>However,</w:t>
      </w:r>
      <w:r w:rsidRPr="00680D39">
        <w:rPr>
          <w:rFonts w:ascii="Arial" w:hAnsi="Arial" w:cs="Arial"/>
          <w:color w:val="000000"/>
        </w:rPr>
        <w:t xml:space="preserve"> even if the authority of Rossouw is to be assessed, respondent is on safe ground. In the absence of a prescribed mode of proof, it is a factual question whether a particular person holds a specific authority. It may be proved in the same way as any other fact. Adjudication involves consideration of what the credible evidence means and the extent </w:t>
      </w:r>
      <w:r w:rsidR="00CB1D00" w:rsidRPr="00680D39">
        <w:rPr>
          <w:rFonts w:ascii="Arial" w:hAnsi="Arial" w:cs="Arial"/>
          <w:color w:val="000000"/>
        </w:rPr>
        <w:t>of</w:t>
      </w:r>
      <w:r w:rsidRPr="00680D39">
        <w:rPr>
          <w:rFonts w:ascii="Arial" w:hAnsi="Arial" w:cs="Arial"/>
          <w:color w:val="000000"/>
        </w:rPr>
        <w:t xml:space="preserve"> quality of and sometimes the absence of contradiction or other reason to remain unconvinced. There are several decisions wherein this approach is evident.”</w:t>
      </w:r>
      <w:r w:rsidR="00210FFE" w:rsidRPr="00680D39">
        <w:rPr>
          <w:rStyle w:val="FootnoteReference"/>
          <w:rFonts w:ascii="Arial" w:hAnsi="Arial" w:cs="Arial"/>
          <w:color w:val="000000"/>
        </w:rPr>
        <w:footnoteReference w:id="8"/>
      </w:r>
      <w:r w:rsidR="00210FFE" w:rsidRPr="00680D39">
        <w:rPr>
          <w:rFonts w:ascii="Arial" w:hAnsi="Arial" w:cs="Arial"/>
          <w:color w:val="000000"/>
        </w:rPr>
        <w:t xml:space="preserve"> </w:t>
      </w:r>
    </w:p>
    <w:p w14:paraId="75B8855D" w14:textId="77777777" w:rsidR="005A20D2" w:rsidRPr="00680D39" w:rsidRDefault="005A20D2" w:rsidP="00680D39">
      <w:pPr>
        <w:spacing w:after="0" w:line="360" w:lineRule="auto"/>
        <w:ind w:left="720"/>
        <w:jc w:val="both"/>
        <w:rPr>
          <w:rFonts w:ascii="Arial" w:hAnsi="Arial" w:cs="Arial"/>
          <w:color w:val="000000"/>
        </w:rPr>
      </w:pPr>
    </w:p>
    <w:p w14:paraId="01DFA353" w14:textId="357FA346" w:rsidR="00C17FAD" w:rsidRPr="00A65CB3" w:rsidRDefault="00A65CB3" w:rsidP="00A65CB3">
      <w:pPr>
        <w:spacing w:after="0" w:line="360" w:lineRule="auto"/>
        <w:jc w:val="both"/>
        <w:rPr>
          <w:rFonts w:ascii="Arial" w:hAnsi="Arial" w:cs="Arial"/>
          <w:lang w:val="en-US"/>
        </w:rPr>
      </w:pPr>
      <w:r w:rsidRPr="005A20D2">
        <w:rPr>
          <w:rFonts w:ascii="Arial" w:hAnsi="Arial" w:cs="Arial"/>
          <w:sz w:val="24"/>
          <w:szCs w:val="24"/>
          <w:lang w:val="en-US"/>
        </w:rPr>
        <w:t>[24]</w:t>
      </w:r>
      <w:r w:rsidRPr="005A20D2">
        <w:rPr>
          <w:rFonts w:ascii="Arial" w:hAnsi="Arial" w:cs="Arial"/>
          <w:sz w:val="24"/>
          <w:szCs w:val="24"/>
          <w:lang w:val="en-US"/>
        </w:rPr>
        <w:tab/>
      </w:r>
      <w:r w:rsidR="00D746DB" w:rsidRPr="00A65CB3">
        <w:rPr>
          <w:rFonts w:ascii="Arial" w:hAnsi="Arial" w:cs="Arial"/>
          <w:color w:val="000000" w:themeColor="text1"/>
          <w:sz w:val="24"/>
          <w:szCs w:val="24"/>
          <w:lang w:val="en-US"/>
        </w:rPr>
        <w:t xml:space="preserve">Secondly, </w:t>
      </w:r>
      <w:r w:rsidR="00352C77" w:rsidRPr="00A65CB3">
        <w:rPr>
          <w:rFonts w:ascii="Arial" w:hAnsi="Arial" w:cs="Arial"/>
          <w:color w:val="000000" w:themeColor="text1"/>
          <w:sz w:val="24"/>
          <w:szCs w:val="24"/>
          <w:lang w:val="en-US"/>
        </w:rPr>
        <w:t>Ms.</w:t>
      </w:r>
      <w:r w:rsidR="00C01B69" w:rsidRPr="00A65CB3">
        <w:rPr>
          <w:rFonts w:ascii="Arial" w:hAnsi="Arial" w:cs="Arial"/>
          <w:color w:val="000000" w:themeColor="text1"/>
          <w:sz w:val="24"/>
          <w:szCs w:val="24"/>
          <w:lang w:val="en-US"/>
        </w:rPr>
        <w:t xml:space="preserve"> Colman’s evidence remains uncontroverted, since the respondent</w:t>
      </w:r>
      <w:r w:rsidR="00D746DB" w:rsidRPr="00A65CB3">
        <w:rPr>
          <w:rFonts w:ascii="Arial" w:hAnsi="Arial" w:cs="Arial"/>
          <w:color w:val="000000" w:themeColor="text1"/>
          <w:sz w:val="24"/>
          <w:szCs w:val="24"/>
          <w:lang w:val="en-US"/>
        </w:rPr>
        <w:t>s</w:t>
      </w:r>
      <w:r w:rsidR="00C01B69" w:rsidRPr="00A65CB3">
        <w:rPr>
          <w:rFonts w:ascii="Arial" w:hAnsi="Arial" w:cs="Arial"/>
          <w:color w:val="000000" w:themeColor="text1"/>
          <w:sz w:val="24"/>
          <w:szCs w:val="24"/>
          <w:lang w:val="en-US"/>
        </w:rPr>
        <w:t xml:space="preserve"> ha</w:t>
      </w:r>
      <w:r w:rsidR="00D746DB" w:rsidRPr="00A65CB3">
        <w:rPr>
          <w:rFonts w:ascii="Arial" w:hAnsi="Arial" w:cs="Arial"/>
          <w:color w:val="000000" w:themeColor="text1"/>
          <w:sz w:val="24"/>
          <w:szCs w:val="24"/>
          <w:lang w:val="en-US"/>
        </w:rPr>
        <w:t>ve</w:t>
      </w:r>
      <w:r w:rsidR="00C01B69" w:rsidRPr="00A65CB3">
        <w:rPr>
          <w:rFonts w:ascii="Arial" w:hAnsi="Arial" w:cs="Arial"/>
          <w:color w:val="000000" w:themeColor="text1"/>
          <w:sz w:val="24"/>
          <w:szCs w:val="24"/>
          <w:lang w:val="en-US"/>
        </w:rPr>
        <w:t xml:space="preserve"> not put forward any evidence</w:t>
      </w:r>
      <w:r w:rsidR="00A65B66" w:rsidRPr="00A65CB3">
        <w:rPr>
          <w:rFonts w:ascii="Arial" w:hAnsi="Arial" w:cs="Arial"/>
          <w:color w:val="000000" w:themeColor="text1"/>
          <w:sz w:val="24"/>
          <w:szCs w:val="24"/>
          <w:lang w:val="en-US"/>
        </w:rPr>
        <w:t xml:space="preserve"> suggesting otherwise</w:t>
      </w:r>
      <w:r w:rsidR="005F3CAE" w:rsidRPr="00A65CB3">
        <w:rPr>
          <w:rFonts w:ascii="Arial" w:hAnsi="Arial" w:cs="Arial"/>
          <w:color w:val="000000" w:themeColor="text1"/>
          <w:sz w:val="24"/>
          <w:szCs w:val="24"/>
          <w:lang w:val="en-US"/>
        </w:rPr>
        <w:t>.</w:t>
      </w:r>
      <w:r w:rsidR="00AC45FD" w:rsidRPr="00A65CB3">
        <w:rPr>
          <w:rFonts w:ascii="Arial" w:hAnsi="Arial" w:cs="Arial"/>
          <w:color w:val="000000" w:themeColor="text1"/>
          <w:sz w:val="24"/>
          <w:szCs w:val="24"/>
          <w:lang w:val="en-US"/>
        </w:rPr>
        <w:t xml:space="preserve"> </w:t>
      </w:r>
      <w:r w:rsidR="00A65B66" w:rsidRPr="00A65CB3">
        <w:rPr>
          <w:rFonts w:ascii="Arial" w:hAnsi="Arial" w:cs="Arial"/>
          <w:color w:val="000000" w:themeColor="text1"/>
          <w:sz w:val="24"/>
          <w:szCs w:val="24"/>
          <w:lang w:val="en-US"/>
        </w:rPr>
        <w:t xml:space="preserve">This view finds resonance </w:t>
      </w:r>
      <w:r w:rsidR="00FB1CDD" w:rsidRPr="00A65CB3">
        <w:rPr>
          <w:rFonts w:ascii="Arial" w:hAnsi="Arial" w:cs="Arial"/>
          <w:color w:val="000000" w:themeColor="text1"/>
          <w:sz w:val="24"/>
          <w:szCs w:val="24"/>
          <w:lang w:val="en-US"/>
        </w:rPr>
        <w:t xml:space="preserve">with the court in </w:t>
      </w:r>
      <w:r w:rsidR="00A65B66" w:rsidRPr="00A65CB3">
        <w:rPr>
          <w:rFonts w:ascii="Arial" w:hAnsi="Arial" w:cs="Arial"/>
          <w:color w:val="000000" w:themeColor="text1"/>
          <w:sz w:val="24"/>
          <w:szCs w:val="24"/>
          <w:lang w:val="en-US"/>
        </w:rPr>
        <w:t xml:space="preserve">the matter of </w:t>
      </w:r>
      <w:r w:rsidR="00A65B66" w:rsidRPr="00A65CB3">
        <w:rPr>
          <w:rFonts w:ascii="Arial" w:hAnsi="Arial" w:cs="Arial"/>
          <w:i/>
          <w:iCs/>
          <w:color w:val="000000" w:themeColor="text1"/>
          <w:sz w:val="24"/>
          <w:szCs w:val="24"/>
          <w:lang w:val="en-US"/>
        </w:rPr>
        <w:t>Mall (Cape) (Pty) Ltd v Merino Ko-ope</w:t>
      </w:r>
      <w:r w:rsidR="00BA37BB" w:rsidRPr="00A65CB3">
        <w:rPr>
          <w:rFonts w:ascii="Arial" w:hAnsi="Arial" w:cs="Arial"/>
          <w:i/>
          <w:iCs/>
          <w:color w:val="000000" w:themeColor="text1"/>
          <w:sz w:val="24"/>
          <w:szCs w:val="24"/>
          <w:lang w:val="en-US"/>
        </w:rPr>
        <w:t>rasie Bpk</w:t>
      </w:r>
      <w:r w:rsidR="00BA37BB" w:rsidRPr="00680D39">
        <w:rPr>
          <w:rStyle w:val="FootnoteReference"/>
          <w:rFonts w:ascii="Arial" w:hAnsi="Arial" w:cs="Arial"/>
          <w:color w:val="000000" w:themeColor="text1"/>
          <w:sz w:val="24"/>
          <w:szCs w:val="24"/>
          <w:lang w:val="en-US"/>
        </w:rPr>
        <w:footnoteReference w:id="9"/>
      </w:r>
      <w:r w:rsidR="00FB1CDD" w:rsidRPr="00A65CB3">
        <w:rPr>
          <w:rFonts w:ascii="Arial" w:hAnsi="Arial" w:cs="Arial"/>
          <w:color w:val="000000" w:themeColor="text1"/>
          <w:sz w:val="24"/>
          <w:szCs w:val="24"/>
          <w:lang w:val="en-US"/>
        </w:rPr>
        <w:t>, in which it held:</w:t>
      </w:r>
    </w:p>
    <w:p w14:paraId="577B5097" w14:textId="77777777" w:rsidR="005A20D2" w:rsidRPr="00680D39" w:rsidRDefault="005A20D2" w:rsidP="005A20D2">
      <w:pPr>
        <w:pStyle w:val="ListParagraph"/>
        <w:spacing w:after="0" w:line="360" w:lineRule="auto"/>
        <w:ind w:left="0"/>
        <w:jc w:val="both"/>
        <w:rPr>
          <w:rFonts w:ascii="Arial" w:hAnsi="Arial" w:cs="Arial"/>
          <w:lang w:val="en-US"/>
        </w:rPr>
      </w:pPr>
    </w:p>
    <w:p w14:paraId="3C41C071" w14:textId="4A7E769E" w:rsidR="005F3CAE" w:rsidRDefault="00C17FAD" w:rsidP="00680D39">
      <w:pPr>
        <w:pStyle w:val="Heading2"/>
        <w:shd w:val="clear" w:color="auto" w:fill="FFFFFF"/>
        <w:spacing w:before="0" w:line="360" w:lineRule="auto"/>
        <w:ind w:left="567"/>
        <w:jc w:val="both"/>
        <w:rPr>
          <w:rFonts w:ascii="Arial" w:hAnsi="Arial" w:cs="Arial"/>
          <w:color w:val="000000" w:themeColor="text1"/>
          <w:sz w:val="22"/>
          <w:szCs w:val="22"/>
          <w:lang w:val="en-US"/>
        </w:rPr>
      </w:pPr>
      <w:r w:rsidRPr="00680D39">
        <w:rPr>
          <w:rFonts w:ascii="Arial" w:hAnsi="Arial" w:cs="Arial"/>
          <w:i/>
          <w:iCs/>
          <w:color w:val="000000" w:themeColor="text1"/>
          <w:sz w:val="22"/>
          <w:szCs w:val="22"/>
          <w:lang w:val="en-US"/>
        </w:rPr>
        <w:t>“</w:t>
      </w:r>
      <w:r w:rsidR="00703FC0">
        <w:rPr>
          <w:rFonts w:ascii="Arial" w:hAnsi="Arial" w:cs="Arial"/>
          <w:color w:val="000000" w:themeColor="text1"/>
          <w:sz w:val="22"/>
          <w:szCs w:val="22"/>
          <w:lang w:val="en-US"/>
        </w:rPr>
        <w:t>T</w:t>
      </w:r>
      <w:r w:rsidRPr="00680D39">
        <w:rPr>
          <w:rFonts w:ascii="Arial" w:hAnsi="Arial" w:cs="Arial"/>
          <w:color w:val="000000" w:themeColor="text1"/>
          <w:sz w:val="22"/>
          <w:szCs w:val="22"/>
          <w:lang w:val="en-US"/>
        </w:rPr>
        <w:t xml:space="preserve">hat being so, there is no reason to think that the applicant did not pass a proper resolution authorizing the institution of proceedings against the respondent and that the present proceedings are those of the applicant. The respondent has put before the court no evidence whatsoever to suggest that this is not the case, and in the </w:t>
      </w:r>
      <w:r w:rsidR="00CB1D00" w:rsidRPr="00680D39">
        <w:rPr>
          <w:rFonts w:ascii="Arial" w:hAnsi="Arial" w:cs="Arial"/>
          <w:color w:val="000000" w:themeColor="text1"/>
          <w:sz w:val="22"/>
          <w:szCs w:val="22"/>
          <w:lang w:val="en-US"/>
        </w:rPr>
        <w:t>circumstances,</w:t>
      </w:r>
      <w:r w:rsidRPr="00680D39">
        <w:rPr>
          <w:rFonts w:ascii="Arial" w:hAnsi="Arial" w:cs="Arial"/>
          <w:color w:val="000000" w:themeColor="text1"/>
          <w:sz w:val="22"/>
          <w:szCs w:val="22"/>
          <w:lang w:val="en-US"/>
        </w:rPr>
        <w:t xml:space="preserve"> I am prepared to hold that the applicant has put sufficient before the court</w:t>
      </w:r>
      <w:r w:rsidR="00990E3A" w:rsidRPr="00680D39">
        <w:rPr>
          <w:rFonts w:ascii="Arial" w:hAnsi="Arial" w:cs="Arial"/>
          <w:color w:val="000000" w:themeColor="text1"/>
          <w:sz w:val="22"/>
          <w:szCs w:val="22"/>
          <w:lang w:val="en-US"/>
        </w:rPr>
        <w:t>.</w:t>
      </w:r>
      <w:r w:rsidRPr="00680D39">
        <w:rPr>
          <w:rFonts w:ascii="Arial" w:hAnsi="Arial" w:cs="Arial"/>
          <w:color w:val="000000" w:themeColor="text1"/>
          <w:sz w:val="22"/>
          <w:szCs w:val="22"/>
          <w:lang w:val="en-US"/>
        </w:rPr>
        <w:t>”</w:t>
      </w:r>
      <w:r w:rsidRPr="00680D39">
        <w:rPr>
          <w:rStyle w:val="FootnoteReference"/>
          <w:rFonts w:ascii="Arial" w:hAnsi="Arial" w:cs="Arial"/>
          <w:color w:val="000000" w:themeColor="text1"/>
          <w:sz w:val="22"/>
          <w:szCs w:val="22"/>
          <w:lang w:val="en-US"/>
        </w:rPr>
        <w:footnoteReference w:id="10"/>
      </w:r>
    </w:p>
    <w:p w14:paraId="2436C9C7" w14:textId="77777777" w:rsidR="005A20D2" w:rsidRPr="005A20D2" w:rsidRDefault="005A20D2" w:rsidP="005A20D2">
      <w:pPr>
        <w:rPr>
          <w:lang w:val="en-US"/>
        </w:rPr>
      </w:pPr>
    </w:p>
    <w:p w14:paraId="604D2DCB" w14:textId="39B90D0B" w:rsidR="00680D39" w:rsidRPr="00680D39" w:rsidRDefault="00A65CB3" w:rsidP="00A65CB3">
      <w:pPr>
        <w:pStyle w:val="Heading2"/>
        <w:shd w:val="clear" w:color="auto" w:fill="FFFFFF"/>
        <w:spacing w:before="0" w:line="360" w:lineRule="auto"/>
        <w:jc w:val="both"/>
        <w:rPr>
          <w:rFonts w:ascii="Arial" w:hAnsi="Arial" w:cs="Arial"/>
          <w:color w:val="000000" w:themeColor="text1"/>
          <w:sz w:val="24"/>
          <w:szCs w:val="24"/>
          <w:lang w:val="en-US"/>
        </w:rPr>
      </w:pPr>
      <w:r w:rsidRPr="00680D39">
        <w:rPr>
          <w:rFonts w:ascii="Arial" w:hAnsi="Arial" w:cs="Arial"/>
          <w:color w:val="000000" w:themeColor="text1"/>
          <w:sz w:val="24"/>
          <w:szCs w:val="24"/>
          <w:lang w:val="en-US"/>
        </w:rPr>
        <w:t>[25]</w:t>
      </w:r>
      <w:r w:rsidRPr="00680D39">
        <w:rPr>
          <w:rFonts w:ascii="Arial" w:hAnsi="Arial" w:cs="Arial"/>
          <w:color w:val="000000" w:themeColor="text1"/>
          <w:sz w:val="24"/>
          <w:szCs w:val="24"/>
          <w:lang w:val="en-US"/>
        </w:rPr>
        <w:tab/>
      </w:r>
      <w:r w:rsidR="00A25924">
        <w:rPr>
          <w:rFonts w:ascii="Arial" w:hAnsi="Arial" w:cs="Arial"/>
          <w:color w:val="000000" w:themeColor="text1"/>
          <w:sz w:val="24"/>
          <w:szCs w:val="24"/>
          <w:lang w:val="en-US"/>
        </w:rPr>
        <w:t>For the a</w:t>
      </w:r>
      <w:r w:rsidR="00F079C9">
        <w:rPr>
          <w:rFonts w:ascii="Arial" w:hAnsi="Arial" w:cs="Arial"/>
          <w:color w:val="000000" w:themeColor="text1"/>
          <w:sz w:val="24"/>
          <w:szCs w:val="24"/>
          <w:lang w:val="en-US"/>
        </w:rPr>
        <w:t>fore</w:t>
      </w:r>
      <w:r w:rsidR="00A25924">
        <w:rPr>
          <w:rFonts w:ascii="Arial" w:hAnsi="Arial" w:cs="Arial"/>
          <w:color w:val="000000" w:themeColor="text1"/>
          <w:sz w:val="24"/>
          <w:szCs w:val="24"/>
          <w:lang w:val="en-US"/>
        </w:rPr>
        <w:t xml:space="preserve">mentioned reasons, the respondents’ application stands to be dismissed.  </w:t>
      </w:r>
    </w:p>
    <w:p w14:paraId="5D7AE2AF" w14:textId="77777777" w:rsidR="00575859" w:rsidRPr="00680D39" w:rsidRDefault="00575859" w:rsidP="00680D39">
      <w:pPr>
        <w:pStyle w:val="ListParagraph"/>
        <w:spacing w:after="0" w:line="360" w:lineRule="auto"/>
        <w:ind w:left="0"/>
        <w:jc w:val="both"/>
        <w:rPr>
          <w:rFonts w:ascii="Arial" w:hAnsi="Arial" w:cs="Arial"/>
          <w:sz w:val="24"/>
          <w:szCs w:val="24"/>
          <w:lang w:val="en-US"/>
        </w:rPr>
      </w:pPr>
    </w:p>
    <w:p w14:paraId="05D43AE0" w14:textId="442AFDE6" w:rsidR="00575859" w:rsidRPr="00680D39" w:rsidRDefault="001716A7" w:rsidP="00680D39">
      <w:pPr>
        <w:spacing w:after="0" w:line="360" w:lineRule="auto"/>
        <w:jc w:val="both"/>
        <w:rPr>
          <w:rFonts w:ascii="Arial" w:hAnsi="Arial" w:cs="Arial"/>
          <w:i/>
          <w:iCs/>
          <w:sz w:val="24"/>
          <w:szCs w:val="24"/>
          <w:lang w:val="en-US"/>
        </w:rPr>
      </w:pPr>
      <w:r w:rsidRPr="00680D39">
        <w:rPr>
          <w:rFonts w:ascii="Arial" w:hAnsi="Arial" w:cs="Arial"/>
          <w:i/>
          <w:iCs/>
          <w:sz w:val="24"/>
          <w:szCs w:val="24"/>
          <w:lang w:val="en-US"/>
        </w:rPr>
        <w:t>The</w:t>
      </w:r>
      <w:r w:rsidR="00033A9B" w:rsidRPr="00680D39">
        <w:rPr>
          <w:rFonts w:ascii="Arial" w:hAnsi="Arial" w:cs="Arial"/>
          <w:i/>
          <w:iCs/>
          <w:sz w:val="24"/>
          <w:szCs w:val="24"/>
          <w:lang w:val="en-US"/>
        </w:rPr>
        <w:t xml:space="preserve"> Time</w:t>
      </w:r>
      <w:r w:rsidR="00DF240B" w:rsidRPr="00680D39">
        <w:rPr>
          <w:rFonts w:ascii="Arial" w:hAnsi="Arial" w:cs="Arial"/>
          <w:i/>
          <w:iCs/>
          <w:sz w:val="24"/>
          <w:szCs w:val="24"/>
          <w:lang w:val="en-US"/>
        </w:rPr>
        <w:t>-</w:t>
      </w:r>
      <w:r w:rsidR="00033A9B" w:rsidRPr="00680D39">
        <w:rPr>
          <w:rFonts w:ascii="Arial" w:hAnsi="Arial" w:cs="Arial"/>
          <w:i/>
          <w:iCs/>
          <w:sz w:val="24"/>
          <w:szCs w:val="24"/>
          <w:lang w:val="en-US"/>
        </w:rPr>
        <w:t xml:space="preserve">barring </w:t>
      </w:r>
      <w:r w:rsidR="00DF240B" w:rsidRPr="00680D39">
        <w:rPr>
          <w:rFonts w:ascii="Arial" w:hAnsi="Arial" w:cs="Arial"/>
          <w:i/>
          <w:iCs/>
          <w:sz w:val="24"/>
          <w:szCs w:val="24"/>
          <w:lang w:val="en-US"/>
        </w:rPr>
        <w:t>challenge</w:t>
      </w:r>
    </w:p>
    <w:p w14:paraId="44F24C9B" w14:textId="6C8B5E99" w:rsidR="00534319"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DB197B" w:rsidRPr="00A65CB3">
        <w:rPr>
          <w:rFonts w:ascii="Arial" w:hAnsi="Arial" w:cs="Arial"/>
          <w:sz w:val="24"/>
          <w:szCs w:val="24"/>
          <w:lang w:val="en-US"/>
        </w:rPr>
        <w:t xml:space="preserve">To fully </w:t>
      </w:r>
      <w:r w:rsidR="00F079C9" w:rsidRPr="00A65CB3">
        <w:rPr>
          <w:rFonts w:ascii="Arial" w:hAnsi="Arial" w:cs="Arial"/>
          <w:sz w:val="24"/>
          <w:szCs w:val="24"/>
          <w:lang w:val="en-US"/>
        </w:rPr>
        <w:t>appreciate</w:t>
      </w:r>
      <w:r w:rsidR="00DB197B" w:rsidRPr="00A65CB3">
        <w:rPr>
          <w:rFonts w:ascii="Arial" w:hAnsi="Arial" w:cs="Arial"/>
          <w:sz w:val="24"/>
          <w:szCs w:val="24"/>
          <w:lang w:val="en-US"/>
        </w:rPr>
        <w:t xml:space="preserve"> </w:t>
      </w:r>
      <w:r w:rsidR="00DF240B" w:rsidRPr="00A65CB3">
        <w:rPr>
          <w:rFonts w:ascii="Arial" w:hAnsi="Arial" w:cs="Arial"/>
          <w:sz w:val="24"/>
          <w:szCs w:val="24"/>
          <w:lang w:val="en-US"/>
        </w:rPr>
        <w:t xml:space="preserve">this </w:t>
      </w:r>
      <w:r w:rsidR="002B4AC0" w:rsidRPr="00A65CB3">
        <w:rPr>
          <w:rFonts w:ascii="Arial" w:hAnsi="Arial" w:cs="Arial"/>
          <w:sz w:val="24"/>
          <w:szCs w:val="24"/>
          <w:lang w:val="en-US"/>
        </w:rPr>
        <w:t xml:space="preserve">submission, it is </w:t>
      </w:r>
      <w:r w:rsidR="00F079C9" w:rsidRPr="00A65CB3">
        <w:rPr>
          <w:rFonts w:ascii="Arial" w:hAnsi="Arial" w:cs="Arial"/>
          <w:sz w:val="24"/>
          <w:szCs w:val="24"/>
          <w:lang w:val="en-US"/>
        </w:rPr>
        <w:t>important</w:t>
      </w:r>
      <w:r w:rsidR="00DF240B" w:rsidRPr="00A65CB3">
        <w:rPr>
          <w:rFonts w:ascii="Arial" w:hAnsi="Arial" w:cs="Arial"/>
          <w:sz w:val="24"/>
          <w:szCs w:val="24"/>
          <w:lang w:val="en-US"/>
        </w:rPr>
        <w:t xml:space="preserve"> to sketch out </w:t>
      </w:r>
      <w:r w:rsidR="00DA4C3D" w:rsidRPr="00A65CB3">
        <w:rPr>
          <w:rFonts w:ascii="Arial" w:hAnsi="Arial" w:cs="Arial"/>
          <w:sz w:val="24"/>
          <w:szCs w:val="24"/>
          <w:lang w:val="en-US"/>
        </w:rPr>
        <w:t>the regulatory framework</w:t>
      </w:r>
      <w:r w:rsidR="00A25924" w:rsidRPr="00A65CB3">
        <w:rPr>
          <w:rFonts w:ascii="Arial" w:hAnsi="Arial" w:cs="Arial"/>
          <w:sz w:val="24"/>
          <w:szCs w:val="24"/>
          <w:lang w:val="en-US"/>
        </w:rPr>
        <w:t>.</w:t>
      </w:r>
      <w:r w:rsidR="002B4AC0" w:rsidRPr="00A65CB3">
        <w:rPr>
          <w:rFonts w:ascii="Arial" w:hAnsi="Arial" w:cs="Arial"/>
          <w:sz w:val="24"/>
          <w:szCs w:val="24"/>
          <w:lang w:val="en-US"/>
        </w:rPr>
        <w:t xml:space="preserve"> The point of departure is r</w:t>
      </w:r>
      <w:r w:rsidR="00DA4C3D" w:rsidRPr="00A65CB3">
        <w:rPr>
          <w:rFonts w:ascii="Arial" w:hAnsi="Arial" w:cs="Arial"/>
          <w:sz w:val="24"/>
          <w:szCs w:val="24"/>
          <w:lang w:val="en-US"/>
        </w:rPr>
        <w:t>egulation</w:t>
      </w:r>
      <w:r w:rsidR="00682AC4" w:rsidRPr="00A65CB3">
        <w:rPr>
          <w:rFonts w:ascii="Arial" w:hAnsi="Arial" w:cs="Arial"/>
          <w:sz w:val="24"/>
          <w:szCs w:val="24"/>
          <w:lang w:val="en-US"/>
        </w:rPr>
        <w:t>s 4</w:t>
      </w:r>
      <w:r w:rsidR="002B4AC0" w:rsidRPr="00A65CB3">
        <w:rPr>
          <w:rFonts w:ascii="Arial" w:hAnsi="Arial" w:cs="Arial"/>
          <w:sz w:val="24"/>
          <w:szCs w:val="24"/>
          <w:lang w:val="en-US"/>
        </w:rPr>
        <w:t xml:space="preserve">, which </w:t>
      </w:r>
      <w:r w:rsidR="00682AC4" w:rsidRPr="00A65CB3">
        <w:rPr>
          <w:rFonts w:ascii="Arial" w:hAnsi="Arial" w:cs="Arial"/>
          <w:sz w:val="24"/>
          <w:szCs w:val="24"/>
          <w:lang w:val="en-US"/>
        </w:rPr>
        <w:t>reads:</w:t>
      </w:r>
    </w:p>
    <w:p w14:paraId="473DC924" w14:textId="2B455087" w:rsidR="00A25924" w:rsidRPr="00A25924" w:rsidRDefault="00A25924" w:rsidP="00A25924">
      <w:pPr>
        <w:pStyle w:val="ListParagraph"/>
        <w:spacing w:after="0" w:line="360" w:lineRule="auto"/>
        <w:ind w:left="0"/>
        <w:jc w:val="both"/>
        <w:rPr>
          <w:rFonts w:ascii="Arial" w:hAnsi="Arial" w:cs="Arial"/>
          <w:sz w:val="24"/>
          <w:szCs w:val="24"/>
          <w:lang w:val="en-US"/>
        </w:rPr>
      </w:pPr>
    </w:p>
    <w:p w14:paraId="653013D5" w14:textId="5B71C925" w:rsidR="00F433F3" w:rsidRPr="00680D39" w:rsidRDefault="00682AC4" w:rsidP="00680D39">
      <w:pPr>
        <w:spacing w:after="0" w:line="360" w:lineRule="auto"/>
        <w:ind w:left="567"/>
        <w:jc w:val="both"/>
        <w:rPr>
          <w:rFonts w:ascii="Arial" w:hAnsi="Arial" w:cs="Arial"/>
          <w:lang w:val="en-US"/>
        </w:rPr>
      </w:pPr>
      <w:r w:rsidRPr="00680D39">
        <w:rPr>
          <w:rFonts w:ascii="Arial" w:hAnsi="Arial" w:cs="Arial"/>
          <w:lang w:val="en-US"/>
        </w:rPr>
        <w:t>“</w:t>
      </w:r>
      <w:r w:rsidR="00534319" w:rsidRPr="00B0649D">
        <w:rPr>
          <w:rFonts w:ascii="Arial" w:hAnsi="Arial" w:cs="Arial"/>
          <w:b/>
          <w:bCs/>
          <w:lang w:val="en-US"/>
        </w:rPr>
        <w:t>Condonation of time limits</w:t>
      </w:r>
      <w:r w:rsidR="004624AE" w:rsidRPr="00680D39">
        <w:rPr>
          <w:rFonts w:ascii="Arial" w:hAnsi="Arial" w:cs="Arial"/>
          <w:lang w:val="en-US"/>
        </w:rPr>
        <w:t xml:space="preserve">. – (1) </w:t>
      </w:r>
      <w:r w:rsidR="00534319" w:rsidRPr="00680D39">
        <w:rPr>
          <w:rFonts w:ascii="Arial" w:hAnsi="Arial" w:cs="Arial"/>
          <w:lang w:val="en-US"/>
        </w:rPr>
        <w:t>On good cause shown</w:t>
      </w:r>
      <w:r w:rsidR="002B4AC0" w:rsidRPr="00680D39">
        <w:rPr>
          <w:rFonts w:ascii="Arial" w:hAnsi="Arial" w:cs="Arial"/>
          <w:lang w:val="en-US"/>
        </w:rPr>
        <w:t>,</w:t>
      </w:r>
      <w:r w:rsidR="00534319" w:rsidRPr="00680D39">
        <w:rPr>
          <w:rFonts w:ascii="Arial" w:hAnsi="Arial" w:cs="Arial"/>
          <w:lang w:val="en-US"/>
        </w:rPr>
        <w:t xml:space="preserve"> the commissioner may condone late performance of an act or conduct in respect of which these </w:t>
      </w:r>
      <w:r w:rsidR="0041298C">
        <w:rPr>
          <w:rFonts w:ascii="Arial" w:hAnsi="Arial" w:cs="Arial"/>
          <w:lang w:val="en-US"/>
        </w:rPr>
        <w:t>R</w:t>
      </w:r>
      <w:r w:rsidR="00534319" w:rsidRPr="00680D39">
        <w:rPr>
          <w:rFonts w:ascii="Arial" w:hAnsi="Arial" w:cs="Arial"/>
          <w:lang w:val="en-US"/>
        </w:rPr>
        <w:t>egulations prescribe a time limit, other than a time limit that is binding on the Commission itself.</w:t>
      </w:r>
      <w:r w:rsidR="004624AE" w:rsidRPr="00680D39">
        <w:rPr>
          <w:rFonts w:ascii="Arial" w:hAnsi="Arial" w:cs="Arial"/>
          <w:lang w:val="en-US"/>
        </w:rPr>
        <w:t>”</w:t>
      </w:r>
    </w:p>
    <w:p w14:paraId="4E5CA935" w14:textId="77777777" w:rsidR="002B4AC0" w:rsidRPr="00680D39" w:rsidRDefault="002B4AC0" w:rsidP="00680D39">
      <w:pPr>
        <w:spacing w:after="0" w:line="360" w:lineRule="auto"/>
        <w:jc w:val="both"/>
        <w:rPr>
          <w:rFonts w:ascii="Arial" w:hAnsi="Arial" w:cs="Arial"/>
          <w:sz w:val="24"/>
          <w:szCs w:val="24"/>
          <w:lang w:val="en-US"/>
        </w:rPr>
      </w:pPr>
    </w:p>
    <w:p w14:paraId="0ECA1472" w14:textId="2FFFD5B9" w:rsidR="002B4AC0" w:rsidRPr="00A65CB3" w:rsidRDefault="00A65CB3" w:rsidP="00A65CB3">
      <w:pPr>
        <w:spacing w:after="0" w:line="360" w:lineRule="auto"/>
        <w:jc w:val="both"/>
        <w:rPr>
          <w:rFonts w:ascii="Arial" w:hAnsi="Arial" w:cs="Arial"/>
          <w:sz w:val="24"/>
          <w:szCs w:val="24"/>
          <w:lang w:val="en-US"/>
        </w:rPr>
      </w:pPr>
      <w:r w:rsidRPr="00680D39">
        <w:rPr>
          <w:rFonts w:ascii="Arial" w:hAnsi="Arial" w:cs="Arial"/>
          <w:sz w:val="24"/>
          <w:szCs w:val="24"/>
          <w:lang w:val="en-US"/>
        </w:rPr>
        <w:t>[27]</w:t>
      </w:r>
      <w:r w:rsidRPr="00680D39">
        <w:rPr>
          <w:rFonts w:ascii="Arial" w:hAnsi="Arial" w:cs="Arial"/>
          <w:sz w:val="24"/>
          <w:szCs w:val="24"/>
          <w:lang w:val="en-US"/>
        </w:rPr>
        <w:tab/>
      </w:r>
      <w:r w:rsidR="002B4AC0" w:rsidRPr="00A65CB3">
        <w:rPr>
          <w:rFonts w:ascii="Arial" w:hAnsi="Arial" w:cs="Arial"/>
          <w:sz w:val="24"/>
          <w:szCs w:val="24"/>
          <w:lang w:val="en-US"/>
        </w:rPr>
        <w:t>Thereafter, a proper reflection should be accorded to r</w:t>
      </w:r>
      <w:r w:rsidR="00402F6C" w:rsidRPr="00A65CB3">
        <w:rPr>
          <w:rFonts w:ascii="Arial" w:hAnsi="Arial" w:cs="Arial"/>
          <w:sz w:val="24"/>
          <w:szCs w:val="24"/>
          <w:lang w:val="en-US"/>
        </w:rPr>
        <w:t>egulation 15</w:t>
      </w:r>
      <w:r w:rsidR="004624AE" w:rsidRPr="00A65CB3">
        <w:rPr>
          <w:rFonts w:ascii="Arial" w:hAnsi="Arial" w:cs="Arial"/>
          <w:sz w:val="24"/>
          <w:szCs w:val="24"/>
          <w:lang w:val="en-US"/>
        </w:rPr>
        <w:t>(</w:t>
      </w:r>
      <w:r w:rsidR="00402F6C" w:rsidRPr="00A65CB3">
        <w:rPr>
          <w:rFonts w:ascii="Arial" w:hAnsi="Arial" w:cs="Arial"/>
          <w:sz w:val="24"/>
          <w:szCs w:val="24"/>
          <w:lang w:val="en-US"/>
        </w:rPr>
        <w:t>4</w:t>
      </w:r>
      <w:r w:rsidR="004624AE" w:rsidRPr="00A65CB3">
        <w:rPr>
          <w:rFonts w:ascii="Arial" w:hAnsi="Arial" w:cs="Arial"/>
          <w:sz w:val="24"/>
          <w:szCs w:val="24"/>
          <w:lang w:val="en-US"/>
        </w:rPr>
        <w:t>)</w:t>
      </w:r>
      <w:r w:rsidR="0041298C" w:rsidRPr="00A65CB3">
        <w:rPr>
          <w:rFonts w:ascii="Arial" w:hAnsi="Arial" w:cs="Arial"/>
          <w:sz w:val="24"/>
          <w:szCs w:val="24"/>
          <w:lang w:val="en-US"/>
        </w:rPr>
        <w:t xml:space="preserve">(g) </w:t>
      </w:r>
      <w:r w:rsidR="002B4AC0" w:rsidRPr="00A65CB3">
        <w:rPr>
          <w:rFonts w:ascii="Arial" w:hAnsi="Arial" w:cs="Arial"/>
          <w:sz w:val="24"/>
          <w:szCs w:val="24"/>
          <w:lang w:val="en-US"/>
        </w:rPr>
        <w:t xml:space="preserve">and sub-regulations (8) and (15) which </w:t>
      </w:r>
      <w:r w:rsidR="00C40516" w:rsidRPr="00A65CB3">
        <w:rPr>
          <w:rFonts w:ascii="Arial" w:hAnsi="Arial" w:cs="Arial"/>
          <w:sz w:val="24"/>
          <w:szCs w:val="24"/>
          <w:lang w:val="en-US"/>
        </w:rPr>
        <w:t>read:</w:t>
      </w:r>
    </w:p>
    <w:p w14:paraId="1A635566" w14:textId="77777777" w:rsidR="002B4AC0" w:rsidRPr="00680D39" w:rsidRDefault="002B4AC0" w:rsidP="00680D39">
      <w:pPr>
        <w:spacing w:after="0" w:line="360" w:lineRule="auto"/>
        <w:jc w:val="both"/>
        <w:rPr>
          <w:rFonts w:ascii="Arial" w:hAnsi="Arial" w:cs="Arial"/>
          <w:sz w:val="24"/>
          <w:szCs w:val="24"/>
          <w:lang w:val="en-US"/>
        </w:rPr>
      </w:pPr>
    </w:p>
    <w:p w14:paraId="743ED254" w14:textId="5FEC19C1" w:rsidR="002A76DB" w:rsidRDefault="00C40516" w:rsidP="00680D39">
      <w:pPr>
        <w:spacing w:after="0" w:line="360" w:lineRule="auto"/>
        <w:ind w:left="567"/>
        <w:jc w:val="both"/>
        <w:rPr>
          <w:rFonts w:ascii="Arial" w:hAnsi="Arial" w:cs="Arial"/>
          <w:lang w:val="en-US"/>
        </w:rPr>
      </w:pPr>
      <w:r w:rsidRPr="00680D39">
        <w:rPr>
          <w:rFonts w:ascii="Arial" w:hAnsi="Arial" w:cs="Arial"/>
          <w:lang w:val="en-US"/>
        </w:rPr>
        <w:t xml:space="preserve"> “</w:t>
      </w:r>
      <w:r w:rsidR="0041298C">
        <w:rPr>
          <w:rFonts w:ascii="Arial" w:hAnsi="Arial" w:cs="Arial"/>
          <w:lang w:val="en-US"/>
        </w:rPr>
        <w:t xml:space="preserve">(4) </w:t>
      </w:r>
      <w:r w:rsidR="00402F6C" w:rsidRPr="00680D39">
        <w:rPr>
          <w:rFonts w:ascii="Arial" w:hAnsi="Arial" w:cs="Arial"/>
          <w:lang w:val="en-US"/>
        </w:rPr>
        <w:t>The Commission must within one</w:t>
      </w:r>
      <w:r w:rsidRPr="00680D39">
        <w:rPr>
          <w:rFonts w:ascii="Arial" w:hAnsi="Arial" w:cs="Arial"/>
          <w:lang w:val="en-US"/>
        </w:rPr>
        <w:t xml:space="preserve"> (1)</w:t>
      </w:r>
      <w:r w:rsidR="00402F6C" w:rsidRPr="00680D39">
        <w:rPr>
          <w:rFonts w:ascii="Arial" w:hAnsi="Arial" w:cs="Arial"/>
          <w:lang w:val="en-US"/>
        </w:rPr>
        <w:t xml:space="preserve"> year of receipt of the complaint</w:t>
      </w:r>
      <w:r w:rsidRPr="00680D39">
        <w:rPr>
          <w:rFonts w:ascii="Arial" w:hAnsi="Arial" w:cs="Arial"/>
          <w:lang w:val="en-US"/>
        </w:rPr>
        <w:t xml:space="preserve"> </w:t>
      </w:r>
      <w:r w:rsidR="002A76DB" w:rsidRPr="00680D39">
        <w:rPr>
          <w:rFonts w:ascii="Arial" w:hAnsi="Arial" w:cs="Arial"/>
          <w:lang w:val="en-US"/>
        </w:rPr>
        <w:t>–</w:t>
      </w:r>
    </w:p>
    <w:p w14:paraId="44E54655" w14:textId="0BB17050" w:rsidR="00DD2FB1" w:rsidRPr="00680D39" w:rsidRDefault="00DD2FB1" w:rsidP="00680D39">
      <w:pPr>
        <w:spacing w:after="0" w:line="360" w:lineRule="auto"/>
        <w:ind w:left="567"/>
        <w:jc w:val="both"/>
        <w:rPr>
          <w:rFonts w:ascii="Arial" w:hAnsi="Arial" w:cs="Arial"/>
          <w:lang w:val="en-US"/>
        </w:rPr>
      </w:pPr>
      <w:r>
        <w:rPr>
          <w:rFonts w:ascii="Arial" w:hAnsi="Arial" w:cs="Arial"/>
          <w:lang w:val="en-US"/>
        </w:rPr>
        <w:t>…</w:t>
      </w:r>
    </w:p>
    <w:p w14:paraId="00C013D9" w14:textId="5325851A" w:rsidR="00362427" w:rsidRDefault="00C40516" w:rsidP="00680D39">
      <w:pPr>
        <w:spacing w:after="0" w:line="360" w:lineRule="auto"/>
        <w:ind w:left="567"/>
        <w:jc w:val="both"/>
        <w:rPr>
          <w:rFonts w:ascii="Arial" w:hAnsi="Arial" w:cs="Arial"/>
          <w:lang w:val="en-US"/>
        </w:rPr>
      </w:pPr>
      <w:r w:rsidRPr="00680D39">
        <w:rPr>
          <w:rFonts w:ascii="Arial" w:hAnsi="Arial" w:cs="Arial"/>
          <w:lang w:val="en-US"/>
        </w:rPr>
        <w:t>(g)</w:t>
      </w:r>
      <w:r w:rsidR="00402F6C" w:rsidRPr="00680D39">
        <w:rPr>
          <w:rFonts w:ascii="Arial" w:hAnsi="Arial" w:cs="Arial"/>
          <w:lang w:val="en-US"/>
        </w:rPr>
        <w:t xml:space="preserve"> make a finding, with or without recommendations.</w:t>
      </w:r>
    </w:p>
    <w:p w14:paraId="5A37AB71" w14:textId="023107D3" w:rsidR="00DD2FB1" w:rsidRPr="00680D39" w:rsidRDefault="00DD2FB1" w:rsidP="00680D39">
      <w:pPr>
        <w:spacing w:after="0" w:line="360" w:lineRule="auto"/>
        <w:ind w:left="567"/>
        <w:jc w:val="both"/>
        <w:rPr>
          <w:rFonts w:ascii="Arial" w:hAnsi="Arial" w:cs="Arial"/>
          <w:lang w:val="en-US"/>
        </w:rPr>
      </w:pPr>
      <w:r>
        <w:rPr>
          <w:rFonts w:ascii="Arial" w:hAnsi="Arial" w:cs="Arial"/>
          <w:lang w:val="en-US"/>
        </w:rPr>
        <w:t>…</w:t>
      </w:r>
    </w:p>
    <w:p w14:paraId="6EA3924C" w14:textId="43059B27" w:rsidR="00445435" w:rsidRDefault="00362427" w:rsidP="00680D39">
      <w:pPr>
        <w:spacing w:after="0" w:line="360" w:lineRule="auto"/>
        <w:ind w:left="567"/>
        <w:jc w:val="both"/>
        <w:rPr>
          <w:rFonts w:ascii="Arial" w:hAnsi="Arial" w:cs="Arial"/>
          <w:lang w:val="en-US"/>
        </w:rPr>
      </w:pPr>
      <w:r w:rsidRPr="00680D39">
        <w:rPr>
          <w:rFonts w:ascii="Arial" w:hAnsi="Arial" w:cs="Arial"/>
          <w:lang w:val="en-US"/>
        </w:rPr>
        <w:t xml:space="preserve">(8)  Where the Commission initiates an investigation on its own, the Commission shall initiate an investigation by issuing a notice to investigate in the prescribed </w:t>
      </w:r>
      <w:r w:rsidR="004269CD" w:rsidRPr="00680D39">
        <w:rPr>
          <w:rFonts w:ascii="Arial" w:hAnsi="Arial" w:cs="Arial"/>
          <w:lang w:val="en-US"/>
        </w:rPr>
        <w:t>F</w:t>
      </w:r>
      <w:r w:rsidRPr="00680D39">
        <w:rPr>
          <w:rFonts w:ascii="Arial" w:hAnsi="Arial" w:cs="Arial"/>
          <w:lang w:val="en-US"/>
        </w:rPr>
        <w:t>orm B</w:t>
      </w:r>
      <w:r w:rsidR="004269CD" w:rsidRPr="00680D39">
        <w:rPr>
          <w:rFonts w:ascii="Arial" w:hAnsi="Arial" w:cs="Arial"/>
          <w:lang w:val="en-US"/>
        </w:rPr>
        <w:t>-</w:t>
      </w:r>
      <w:r w:rsidRPr="00680D39">
        <w:rPr>
          <w:rFonts w:ascii="Arial" w:hAnsi="Arial" w:cs="Arial"/>
          <w:lang w:val="en-US"/>
        </w:rPr>
        <w:t>BBEE 10 and follow the process in sub</w:t>
      </w:r>
      <w:r w:rsidR="00445435" w:rsidRPr="00680D39">
        <w:rPr>
          <w:rFonts w:ascii="Arial" w:hAnsi="Arial" w:cs="Arial"/>
          <w:lang w:val="en-US"/>
        </w:rPr>
        <w:t>-</w:t>
      </w:r>
      <w:r w:rsidRPr="00680D39">
        <w:rPr>
          <w:rFonts w:ascii="Arial" w:hAnsi="Arial" w:cs="Arial"/>
          <w:lang w:val="en-US"/>
        </w:rPr>
        <w:t>regulation 4</w:t>
      </w:r>
      <w:r w:rsidR="00445435" w:rsidRPr="00680D39">
        <w:rPr>
          <w:rFonts w:ascii="Arial" w:hAnsi="Arial" w:cs="Arial"/>
          <w:lang w:val="en-US"/>
        </w:rPr>
        <w:t xml:space="preserve">(d)-(f) </w:t>
      </w:r>
      <w:r w:rsidRPr="00680D39">
        <w:rPr>
          <w:rFonts w:ascii="Arial" w:hAnsi="Arial" w:cs="Arial"/>
          <w:lang w:val="en-US"/>
        </w:rPr>
        <w:t>above.</w:t>
      </w:r>
    </w:p>
    <w:p w14:paraId="32FB216A" w14:textId="63250430" w:rsidR="00DD2FB1" w:rsidRPr="00680D39" w:rsidRDefault="00DD2FB1" w:rsidP="00680D39">
      <w:pPr>
        <w:spacing w:after="0" w:line="360" w:lineRule="auto"/>
        <w:ind w:left="567"/>
        <w:jc w:val="both"/>
        <w:rPr>
          <w:rFonts w:ascii="Arial" w:hAnsi="Arial" w:cs="Arial"/>
          <w:lang w:val="en-US"/>
        </w:rPr>
      </w:pPr>
      <w:r>
        <w:rPr>
          <w:rFonts w:ascii="Arial" w:hAnsi="Arial" w:cs="Arial"/>
          <w:lang w:val="en-US"/>
        </w:rPr>
        <w:t>…</w:t>
      </w:r>
    </w:p>
    <w:p w14:paraId="50926A69" w14:textId="22DF5F9D" w:rsidR="002B4AC0" w:rsidRDefault="00445435" w:rsidP="00680D39">
      <w:pPr>
        <w:spacing w:after="0" w:line="360" w:lineRule="auto"/>
        <w:ind w:left="567"/>
        <w:jc w:val="both"/>
        <w:rPr>
          <w:rFonts w:ascii="Arial" w:hAnsi="Arial" w:cs="Arial"/>
          <w:lang w:val="en-US"/>
        </w:rPr>
      </w:pPr>
      <w:r w:rsidRPr="00680D39">
        <w:rPr>
          <w:rFonts w:ascii="Arial" w:hAnsi="Arial" w:cs="Arial"/>
          <w:lang w:val="en-US"/>
        </w:rPr>
        <w:t>(</w:t>
      </w:r>
      <w:r w:rsidR="007363BE" w:rsidRPr="00680D39">
        <w:rPr>
          <w:rFonts w:ascii="Arial" w:hAnsi="Arial" w:cs="Arial"/>
          <w:lang w:val="en-US"/>
        </w:rPr>
        <w:t>15</w:t>
      </w:r>
      <w:r w:rsidRPr="00680D39">
        <w:rPr>
          <w:rFonts w:ascii="Arial" w:hAnsi="Arial" w:cs="Arial"/>
          <w:lang w:val="en-US"/>
        </w:rPr>
        <w:t>)</w:t>
      </w:r>
      <w:r w:rsidR="007363BE" w:rsidRPr="00680D39">
        <w:rPr>
          <w:rFonts w:ascii="Arial" w:hAnsi="Arial" w:cs="Arial"/>
          <w:lang w:val="en-US"/>
        </w:rPr>
        <w:t xml:space="preserve"> </w:t>
      </w:r>
      <w:r w:rsidRPr="00680D39">
        <w:rPr>
          <w:rFonts w:ascii="Arial" w:hAnsi="Arial" w:cs="Arial"/>
          <w:lang w:val="en-US"/>
        </w:rPr>
        <w:t>I</w:t>
      </w:r>
      <w:r w:rsidR="007363BE" w:rsidRPr="00680D39">
        <w:rPr>
          <w:rFonts w:ascii="Arial" w:hAnsi="Arial" w:cs="Arial"/>
          <w:lang w:val="en-US"/>
        </w:rPr>
        <w:t>f the Commission is of the view that more time is warranted to conclude its process in respect of an investigation as contemplated in sub</w:t>
      </w:r>
      <w:r w:rsidRPr="00680D39">
        <w:rPr>
          <w:rFonts w:ascii="Arial" w:hAnsi="Arial" w:cs="Arial"/>
          <w:lang w:val="en-US"/>
        </w:rPr>
        <w:t>-</w:t>
      </w:r>
      <w:r w:rsidR="007363BE" w:rsidRPr="00680D39">
        <w:rPr>
          <w:rFonts w:ascii="Arial" w:hAnsi="Arial" w:cs="Arial"/>
          <w:lang w:val="en-US"/>
        </w:rPr>
        <w:t xml:space="preserve">regulation </w:t>
      </w:r>
      <w:r w:rsidR="00DB08F4" w:rsidRPr="00680D39">
        <w:rPr>
          <w:rFonts w:ascii="Arial" w:hAnsi="Arial" w:cs="Arial"/>
          <w:lang w:val="en-US"/>
        </w:rPr>
        <w:t>(</w:t>
      </w:r>
      <w:r w:rsidR="007363BE" w:rsidRPr="00680D39">
        <w:rPr>
          <w:rFonts w:ascii="Arial" w:hAnsi="Arial" w:cs="Arial"/>
          <w:lang w:val="en-US"/>
        </w:rPr>
        <w:t>8</w:t>
      </w:r>
      <w:r w:rsidR="00DB08F4" w:rsidRPr="00680D39">
        <w:rPr>
          <w:rFonts w:ascii="Arial" w:hAnsi="Arial" w:cs="Arial"/>
          <w:lang w:val="en-US"/>
        </w:rPr>
        <w:t>)</w:t>
      </w:r>
      <w:r w:rsidR="007363BE" w:rsidRPr="00680D39">
        <w:rPr>
          <w:rFonts w:ascii="Arial" w:hAnsi="Arial" w:cs="Arial"/>
          <w:lang w:val="en-US"/>
        </w:rPr>
        <w:t>, the Commission must inform the complainant of the need to extend the time, the circumstances warranting a longer period, and the exact</w:t>
      </w:r>
      <w:r w:rsidR="00DB08F4" w:rsidRPr="00680D39">
        <w:rPr>
          <w:rFonts w:ascii="Arial" w:hAnsi="Arial" w:cs="Arial"/>
          <w:lang w:val="en-US"/>
        </w:rPr>
        <w:t xml:space="preserve"> period r</w:t>
      </w:r>
      <w:r w:rsidR="007363BE" w:rsidRPr="00680D39">
        <w:rPr>
          <w:rFonts w:ascii="Arial" w:hAnsi="Arial" w:cs="Arial"/>
          <w:lang w:val="en-US"/>
        </w:rPr>
        <w:t xml:space="preserve">equired </w:t>
      </w:r>
      <w:r w:rsidR="00DB08F4" w:rsidRPr="00680D39">
        <w:rPr>
          <w:rFonts w:ascii="Arial" w:hAnsi="Arial" w:cs="Arial"/>
          <w:lang w:val="en-US"/>
        </w:rPr>
        <w:t>a</w:t>
      </w:r>
      <w:r w:rsidR="007363BE" w:rsidRPr="00680D39">
        <w:rPr>
          <w:rFonts w:ascii="Arial" w:hAnsi="Arial" w:cs="Arial"/>
          <w:lang w:val="en-US"/>
        </w:rPr>
        <w:t>s an extension.</w:t>
      </w:r>
      <w:r w:rsidR="00DB08F4" w:rsidRPr="00680D39">
        <w:rPr>
          <w:rFonts w:ascii="Arial" w:hAnsi="Arial" w:cs="Arial"/>
          <w:lang w:val="en-US"/>
        </w:rPr>
        <w:t>”</w:t>
      </w:r>
    </w:p>
    <w:p w14:paraId="492CFFA0" w14:textId="77777777" w:rsidR="005A20D2" w:rsidRPr="00680D39" w:rsidRDefault="005A20D2" w:rsidP="00680D39">
      <w:pPr>
        <w:spacing w:after="0" w:line="360" w:lineRule="auto"/>
        <w:ind w:left="567"/>
        <w:jc w:val="both"/>
        <w:rPr>
          <w:rFonts w:ascii="Arial" w:hAnsi="Arial" w:cs="Arial"/>
          <w:lang w:val="en-US"/>
        </w:rPr>
      </w:pPr>
    </w:p>
    <w:p w14:paraId="2C7960CB" w14:textId="04251B46" w:rsidR="00A41BC3"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1C7CD2" w:rsidRPr="00A65CB3">
        <w:rPr>
          <w:rFonts w:ascii="Arial" w:hAnsi="Arial" w:cs="Arial"/>
          <w:sz w:val="24"/>
          <w:szCs w:val="24"/>
          <w:lang w:val="en-US"/>
        </w:rPr>
        <w:t xml:space="preserve">It is common cause that the Commissioner made its final findings </w:t>
      </w:r>
      <w:r w:rsidR="009006FE" w:rsidRPr="00A65CB3">
        <w:rPr>
          <w:rFonts w:ascii="Arial" w:hAnsi="Arial" w:cs="Arial"/>
          <w:sz w:val="24"/>
          <w:szCs w:val="24"/>
          <w:lang w:val="en-US"/>
        </w:rPr>
        <w:t>outside the prescribed time</w:t>
      </w:r>
      <w:r w:rsidR="00F079C9" w:rsidRPr="00A65CB3">
        <w:rPr>
          <w:rFonts w:ascii="Arial" w:hAnsi="Arial" w:cs="Arial"/>
          <w:sz w:val="24"/>
          <w:szCs w:val="24"/>
          <w:lang w:val="en-US"/>
        </w:rPr>
        <w:t xml:space="preserve"> limit</w:t>
      </w:r>
      <w:r w:rsidR="001C7CD2" w:rsidRPr="00A65CB3">
        <w:rPr>
          <w:rFonts w:ascii="Arial" w:hAnsi="Arial" w:cs="Arial"/>
          <w:sz w:val="24"/>
          <w:szCs w:val="24"/>
          <w:lang w:val="en-US"/>
        </w:rPr>
        <w:t>.</w:t>
      </w:r>
      <w:r w:rsidR="009006FE" w:rsidRPr="00A65CB3">
        <w:rPr>
          <w:rFonts w:ascii="Arial" w:hAnsi="Arial" w:cs="Arial"/>
          <w:sz w:val="24"/>
          <w:szCs w:val="24"/>
          <w:lang w:val="en-US"/>
        </w:rPr>
        <w:t xml:space="preserve"> </w:t>
      </w:r>
      <w:r w:rsidR="00DD2FB1" w:rsidRPr="00A65CB3">
        <w:rPr>
          <w:rFonts w:ascii="Arial" w:hAnsi="Arial" w:cs="Arial"/>
          <w:sz w:val="24"/>
          <w:szCs w:val="24"/>
          <w:lang w:val="en-US"/>
        </w:rPr>
        <w:t>I pause to recap,</w:t>
      </w:r>
      <w:r w:rsidR="009006FE" w:rsidRPr="00A65CB3">
        <w:rPr>
          <w:rFonts w:ascii="Arial" w:hAnsi="Arial" w:cs="Arial"/>
          <w:sz w:val="24"/>
          <w:szCs w:val="24"/>
          <w:lang w:val="en-US"/>
        </w:rPr>
        <w:t xml:space="preserve"> the complaint was lodged on</w:t>
      </w:r>
      <w:r w:rsidR="001C7CD2" w:rsidRPr="00A65CB3">
        <w:rPr>
          <w:rFonts w:ascii="Arial" w:hAnsi="Arial" w:cs="Arial"/>
          <w:sz w:val="24"/>
          <w:szCs w:val="24"/>
          <w:lang w:val="en-US"/>
        </w:rPr>
        <w:t xml:space="preserve"> 26 June 2019 and the finding was due on 26 June 2020. The eventual finding was made on 9 June 2021.</w:t>
      </w:r>
      <w:r w:rsidR="002B4AC0" w:rsidRPr="00A65CB3">
        <w:rPr>
          <w:rFonts w:ascii="Arial" w:hAnsi="Arial" w:cs="Arial"/>
          <w:sz w:val="24"/>
          <w:szCs w:val="24"/>
          <w:lang w:val="en-US"/>
        </w:rPr>
        <w:t xml:space="preserve"> The </w:t>
      </w:r>
      <w:r w:rsidR="0020225D" w:rsidRPr="00A65CB3">
        <w:rPr>
          <w:rFonts w:ascii="Arial" w:hAnsi="Arial" w:cs="Arial"/>
          <w:sz w:val="24"/>
          <w:szCs w:val="24"/>
          <w:lang w:val="en-US"/>
        </w:rPr>
        <w:t>C</w:t>
      </w:r>
      <w:r w:rsidR="002B4AC0" w:rsidRPr="00A65CB3">
        <w:rPr>
          <w:rFonts w:ascii="Arial" w:hAnsi="Arial" w:cs="Arial"/>
          <w:sz w:val="24"/>
          <w:szCs w:val="24"/>
          <w:lang w:val="en-US"/>
        </w:rPr>
        <w:t xml:space="preserve">ommission failed to </w:t>
      </w:r>
      <w:r w:rsidR="00A41BC3" w:rsidRPr="00A65CB3">
        <w:rPr>
          <w:rFonts w:ascii="Arial" w:hAnsi="Arial" w:cs="Arial"/>
          <w:sz w:val="24"/>
          <w:szCs w:val="24"/>
          <w:lang w:val="en-US"/>
        </w:rPr>
        <w:t xml:space="preserve">ask for an extension of time as contemplated in </w:t>
      </w:r>
      <w:r w:rsidR="00DD2FB1" w:rsidRPr="00A65CB3">
        <w:rPr>
          <w:rFonts w:ascii="Arial" w:hAnsi="Arial" w:cs="Arial"/>
          <w:sz w:val="24"/>
          <w:szCs w:val="24"/>
          <w:lang w:val="en-US"/>
        </w:rPr>
        <w:t xml:space="preserve">regulation </w:t>
      </w:r>
      <w:r w:rsidR="00A41BC3" w:rsidRPr="00A65CB3">
        <w:rPr>
          <w:rFonts w:ascii="Arial" w:hAnsi="Arial" w:cs="Arial"/>
          <w:sz w:val="24"/>
          <w:szCs w:val="24"/>
          <w:lang w:val="en-US"/>
        </w:rPr>
        <w:t>15(15).</w:t>
      </w:r>
      <w:r w:rsidR="00DD2FB1" w:rsidRPr="00A65CB3">
        <w:rPr>
          <w:rFonts w:ascii="Arial" w:hAnsi="Arial" w:cs="Arial"/>
          <w:sz w:val="24"/>
          <w:szCs w:val="24"/>
          <w:lang w:val="en-US"/>
        </w:rPr>
        <w:t xml:space="preserve"> The applicants are bringing a review challenge in terms of section 6(2)(b) of the Promotion of Administrative Justice Act 3 of 2000</w:t>
      </w:r>
      <w:r w:rsidR="009B4443" w:rsidRPr="00A65CB3">
        <w:rPr>
          <w:rFonts w:ascii="Arial" w:hAnsi="Arial" w:cs="Arial"/>
          <w:sz w:val="24"/>
          <w:szCs w:val="24"/>
          <w:lang w:val="en-US"/>
        </w:rPr>
        <w:t xml:space="preserve"> (PAJA)</w:t>
      </w:r>
      <w:r w:rsidR="00DD2FB1" w:rsidRPr="00A65CB3">
        <w:rPr>
          <w:rFonts w:ascii="Arial" w:hAnsi="Arial" w:cs="Arial"/>
          <w:sz w:val="24"/>
          <w:szCs w:val="24"/>
          <w:lang w:val="en-US"/>
        </w:rPr>
        <w:t xml:space="preserve">. </w:t>
      </w:r>
      <w:r w:rsidR="003B1BBF" w:rsidRPr="00A65CB3">
        <w:rPr>
          <w:rFonts w:ascii="Arial" w:hAnsi="Arial" w:cs="Arial"/>
          <w:sz w:val="24"/>
          <w:szCs w:val="24"/>
          <w:lang w:val="en-US"/>
        </w:rPr>
        <w:t xml:space="preserve">The kernel of the attack is that the Commission failed to comply with the empowering provision which required the findings to be made within a year. </w:t>
      </w:r>
    </w:p>
    <w:p w14:paraId="02C67768" w14:textId="77777777" w:rsidR="00177D19" w:rsidRPr="00680D39" w:rsidRDefault="00177D19" w:rsidP="00680D39">
      <w:pPr>
        <w:pStyle w:val="ListParagraph"/>
        <w:spacing w:after="0" w:line="360" w:lineRule="auto"/>
        <w:ind w:left="0"/>
        <w:jc w:val="both"/>
        <w:rPr>
          <w:rFonts w:ascii="Arial" w:hAnsi="Arial" w:cs="Arial"/>
          <w:sz w:val="24"/>
          <w:szCs w:val="24"/>
          <w:lang w:val="en-US"/>
        </w:rPr>
      </w:pPr>
    </w:p>
    <w:p w14:paraId="0F8DF01C" w14:textId="4375A99C" w:rsidR="001C7CD2"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DD2FB1" w:rsidRPr="00A65CB3">
        <w:rPr>
          <w:rFonts w:ascii="Arial" w:hAnsi="Arial" w:cs="Arial"/>
          <w:sz w:val="24"/>
          <w:szCs w:val="24"/>
          <w:lang w:val="en-US"/>
        </w:rPr>
        <w:t xml:space="preserve">The time-bar </w:t>
      </w:r>
      <w:r w:rsidR="007A21EE" w:rsidRPr="00A65CB3">
        <w:rPr>
          <w:rFonts w:ascii="Arial" w:hAnsi="Arial" w:cs="Arial"/>
          <w:sz w:val="24"/>
          <w:szCs w:val="24"/>
          <w:lang w:val="en-US"/>
        </w:rPr>
        <w:t xml:space="preserve">attack </w:t>
      </w:r>
      <w:r w:rsidR="00DD2FB1" w:rsidRPr="00A65CB3">
        <w:rPr>
          <w:rFonts w:ascii="Arial" w:hAnsi="Arial" w:cs="Arial"/>
          <w:sz w:val="24"/>
          <w:szCs w:val="24"/>
          <w:lang w:val="en-US"/>
        </w:rPr>
        <w:t>is</w:t>
      </w:r>
      <w:r w:rsidR="0041298C" w:rsidRPr="00A65CB3">
        <w:rPr>
          <w:rFonts w:ascii="Arial" w:hAnsi="Arial" w:cs="Arial"/>
          <w:sz w:val="24"/>
          <w:szCs w:val="24"/>
          <w:lang w:val="en-US"/>
        </w:rPr>
        <w:t xml:space="preserve"> launched</w:t>
      </w:r>
      <w:r w:rsidR="007A21EE" w:rsidRPr="00A65CB3">
        <w:rPr>
          <w:rFonts w:ascii="Arial" w:hAnsi="Arial" w:cs="Arial"/>
          <w:sz w:val="24"/>
          <w:szCs w:val="24"/>
          <w:lang w:val="en-US"/>
        </w:rPr>
        <w:t xml:space="preserve"> in t</w:t>
      </w:r>
      <w:r w:rsidR="00CB6C35" w:rsidRPr="00A65CB3">
        <w:rPr>
          <w:rFonts w:ascii="Arial" w:hAnsi="Arial" w:cs="Arial"/>
          <w:sz w:val="24"/>
          <w:szCs w:val="24"/>
          <w:lang w:val="en-US"/>
        </w:rPr>
        <w:t xml:space="preserve">he </w:t>
      </w:r>
      <w:r w:rsidR="007A21EE" w:rsidRPr="00A65CB3">
        <w:rPr>
          <w:rFonts w:ascii="Arial" w:hAnsi="Arial" w:cs="Arial"/>
          <w:sz w:val="24"/>
          <w:szCs w:val="24"/>
          <w:lang w:val="en-US"/>
        </w:rPr>
        <w:t xml:space="preserve">founding affidavit. </w:t>
      </w:r>
      <w:r w:rsidR="003E5455" w:rsidRPr="00A65CB3">
        <w:rPr>
          <w:rFonts w:ascii="Arial" w:hAnsi="Arial" w:cs="Arial"/>
          <w:sz w:val="24"/>
          <w:szCs w:val="24"/>
          <w:lang w:val="en-US"/>
        </w:rPr>
        <w:t>At paragraph 90</w:t>
      </w:r>
      <w:r w:rsidR="0020225D" w:rsidRPr="00A65CB3">
        <w:rPr>
          <w:rFonts w:ascii="Arial" w:hAnsi="Arial" w:cs="Arial"/>
          <w:sz w:val="24"/>
          <w:szCs w:val="24"/>
          <w:lang w:val="en-US"/>
        </w:rPr>
        <w:t>,</w:t>
      </w:r>
      <w:r w:rsidR="003E5455" w:rsidRPr="00A65CB3">
        <w:rPr>
          <w:rFonts w:ascii="Arial" w:hAnsi="Arial" w:cs="Arial"/>
          <w:sz w:val="24"/>
          <w:szCs w:val="24"/>
          <w:lang w:val="en-US"/>
        </w:rPr>
        <w:t xml:space="preserve"> t</w:t>
      </w:r>
      <w:r w:rsidR="007A21EE" w:rsidRPr="00A65CB3">
        <w:rPr>
          <w:rFonts w:ascii="Arial" w:hAnsi="Arial" w:cs="Arial"/>
          <w:sz w:val="24"/>
          <w:szCs w:val="24"/>
          <w:lang w:val="en-US"/>
        </w:rPr>
        <w:t>he applicants state</w:t>
      </w:r>
      <w:r w:rsidR="003E5455" w:rsidRPr="00A65CB3">
        <w:rPr>
          <w:rFonts w:ascii="Arial" w:hAnsi="Arial" w:cs="Arial"/>
          <w:sz w:val="24"/>
          <w:szCs w:val="24"/>
          <w:lang w:val="en-US"/>
        </w:rPr>
        <w:t xml:space="preserve"> </w:t>
      </w:r>
      <w:r w:rsidR="005508C8" w:rsidRPr="00A65CB3">
        <w:rPr>
          <w:rFonts w:ascii="Arial" w:hAnsi="Arial" w:cs="Arial"/>
          <w:sz w:val="24"/>
          <w:szCs w:val="24"/>
          <w:lang w:val="en-US"/>
        </w:rPr>
        <w:t>the following</w:t>
      </w:r>
      <w:r w:rsidR="003E5455" w:rsidRPr="00A65CB3">
        <w:rPr>
          <w:rFonts w:ascii="Arial" w:hAnsi="Arial" w:cs="Arial"/>
          <w:sz w:val="24"/>
          <w:szCs w:val="24"/>
          <w:lang w:val="en-US"/>
        </w:rPr>
        <w:t>:</w:t>
      </w:r>
      <w:r w:rsidR="007A21EE" w:rsidRPr="00A65CB3">
        <w:rPr>
          <w:rFonts w:ascii="Arial" w:hAnsi="Arial" w:cs="Arial"/>
          <w:sz w:val="24"/>
          <w:szCs w:val="24"/>
          <w:lang w:val="en-US"/>
        </w:rPr>
        <w:t xml:space="preserve"> </w:t>
      </w:r>
    </w:p>
    <w:p w14:paraId="5A4E0C7E" w14:textId="77777777" w:rsidR="005A20D2" w:rsidRPr="00680D39" w:rsidRDefault="005A20D2" w:rsidP="005A20D2">
      <w:pPr>
        <w:pStyle w:val="ListParagraph"/>
        <w:spacing w:after="0" w:line="360" w:lineRule="auto"/>
        <w:ind w:left="0"/>
        <w:jc w:val="both"/>
        <w:rPr>
          <w:rFonts w:ascii="Arial" w:hAnsi="Arial" w:cs="Arial"/>
          <w:sz w:val="24"/>
          <w:szCs w:val="24"/>
          <w:lang w:val="en-US"/>
        </w:rPr>
      </w:pPr>
    </w:p>
    <w:p w14:paraId="19CBC02B" w14:textId="63C2FD17" w:rsidR="004A2485" w:rsidRPr="00680D39" w:rsidRDefault="004A2485" w:rsidP="00680D39">
      <w:pPr>
        <w:spacing w:after="0" w:line="360" w:lineRule="auto"/>
        <w:ind w:left="567"/>
        <w:jc w:val="both"/>
        <w:rPr>
          <w:rFonts w:ascii="Arial" w:hAnsi="Arial" w:cs="Arial"/>
          <w:lang w:val="en-US"/>
        </w:rPr>
      </w:pPr>
      <w:r w:rsidRPr="00680D39">
        <w:rPr>
          <w:rFonts w:ascii="Arial" w:hAnsi="Arial" w:cs="Arial"/>
          <w:lang w:val="en-US"/>
        </w:rPr>
        <w:t>“The Regulations also further regulate the manner in which the Commission conducts its investigatory functions. Part 4, regulation 15 provides that:</w:t>
      </w:r>
    </w:p>
    <w:p w14:paraId="03DD5FF6" w14:textId="6930B5E6" w:rsidR="004A2485" w:rsidRPr="00680D39" w:rsidRDefault="00CB6C35" w:rsidP="00680D39">
      <w:pPr>
        <w:spacing w:after="0" w:line="360" w:lineRule="auto"/>
        <w:ind w:left="567"/>
        <w:jc w:val="both"/>
        <w:rPr>
          <w:rFonts w:ascii="Arial" w:hAnsi="Arial" w:cs="Arial"/>
          <w:lang w:val="en-US"/>
        </w:rPr>
      </w:pPr>
      <w:r w:rsidRPr="00680D39">
        <w:rPr>
          <w:rFonts w:ascii="Arial" w:hAnsi="Arial" w:cs="Arial"/>
          <w:lang w:val="en-US"/>
        </w:rPr>
        <w:lastRenderedPageBreak/>
        <w:t xml:space="preserve">90.1 </w:t>
      </w:r>
      <w:r w:rsidR="005508C8" w:rsidRPr="00680D39">
        <w:rPr>
          <w:rFonts w:ascii="Arial" w:hAnsi="Arial" w:cs="Arial"/>
          <w:lang w:val="en-US"/>
        </w:rPr>
        <w:t xml:space="preserve"> </w:t>
      </w:r>
      <w:r w:rsidR="004A2485" w:rsidRPr="00680D39">
        <w:rPr>
          <w:rFonts w:ascii="Arial" w:hAnsi="Arial" w:cs="Arial"/>
          <w:lang w:val="en-US"/>
        </w:rPr>
        <w:t xml:space="preserve">within </w:t>
      </w:r>
      <w:r w:rsidRPr="00680D39">
        <w:rPr>
          <w:rFonts w:ascii="Arial" w:hAnsi="Arial" w:cs="Arial"/>
          <w:lang w:val="en-US"/>
        </w:rPr>
        <w:t>1</w:t>
      </w:r>
      <w:r w:rsidR="004A2485" w:rsidRPr="00680D39">
        <w:rPr>
          <w:rFonts w:ascii="Arial" w:hAnsi="Arial" w:cs="Arial"/>
          <w:lang w:val="en-US"/>
        </w:rPr>
        <w:t xml:space="preserve"> year of receiving the complaint, including self</w:t>
      </w:r>
      <w:r w:rsidRPr="00680D39">
        <w:rPr>
          <w:rFonts w:ascii="Arial" w:hAnsi="Arial" w:cs="Arial"/>
          <w:lang w:val="en-US"/>
        </w:rPr>
        <w:t>-</w:t>
      </w:r>
      <w:r w:rsidR="004A2485" w:rsidRPr="00680D39">
        <w:rPr>
          <w:rFonts w:ascii="Arial" w:hAnsi="Arial" w:cs="Arial"/>
          <w:lang w:val="en-US"/>
        </w:rPr>
        <w:t>initiated complaint, investigate the complaint, notify the respondent of the complaint, hold a formal hearing in terms of section 13J</w:t>
      </w:r>
      <w:r w:rsidRPr="00680D39">
        <w:rPr>
          <w:rFonts w:ascii="Arial" w:hAnsi="Arial" w:cs="Arial"/>
          <w:lang w:val="en-US"/>
        </w:rPr>
        <w:t>(</w:t>
      </w:r>
      <w:r w:rsidR="004A2485" w:rsidRPr="00680D39">
        <w:rPr>
          <w:rFonts w:ascii="Arial" w:hAnsi="Arial" w:cs="Arial"/>
          <w:lang w:val="en-US"/>
        </w:rPr>
        <w:t>2</w:t>
      </w:r>
      <w:r w:rsidRPr="00680D39">
        <w:rPr>
          <w:rFonts w:ascii="Arial" w:hAnsi="Arial" w:cs="Arial"/>
          <w:lang w:val="en-US"/>
        </w:rPr>
        <w:t>)</w:t>
      </w:r>
      <w:r w:rsidR="004A2485" w:rsidRPr="00680D39">
        <w:rPr>
          <w:rFonts w:ascii="Arial" w:hAnsi="Arial" w:cs="Arial"/>
          <w:lang w:val="en-US"/>
        </w:rPr>
        <w:t xml:space="preserve"> of the act, as may be necessary, in accordance with the procedures of the Commission and make </w:t>
      </w:r>
      <w:r w:rsidRPr="00680D39">
        <w:rPr>
          <w:rFonts w:ascii="Arial" w:hAnsi="Arial" w:cs="Arial"/>
          <w:lang w:val="en-US"/>
        </w:rPr>
        <w:t>a</w:t>
      </w:r>
      <w:r w:rsidR="004A2485" w:rsidRPr="00680D39">
        <w:rPr>
          <w:rFonts w:ascii="Arial" w:hAnsi="Arial" w:cs="Arial"/>
          <w:lang w:val="en-US"/>
        </w:rPr>
        <w:t xml:space="preserve"> finding, with or without recommendation;”</w:t>
      </w:r>
    </w:p>
    <w:p w14:paraId="599B527F" w14:textId="77777777" w:rsidR="00DD2FB1" w:rsidRDefault="00DD2FB1" w:rsidP="00680D39">
      <w:pPr>
        <w:spacing w:after="0" w:line="360" w:lineRule="auto"/>
        <w:ind w:left="567"/>
        <w:jc w:val="both"/>
        <w:rPr>
          <w:rFonts w:ascii="Arial" w:hAnsi="Arial" w:cs="Arial"/>
          <w:lang w:val="en-US"/>
        </w:rPr>
      </w:pPr>
    </w:p>
    <w:p w14:paraId="2CA73A35" w14:textId="422C93CF" w:rsidR="00193263"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2C42E0" w:rsidRPr="00A65CB3">
        <w:rPr>
          <w:rFonts w:ascii="Arial" w:hAnsi="Arial" w:cs="Arial"/>
          <w:sz w:val="24"/>
          <w:szCs w:val="24"/>
          <w:lang w:val="en-US"/>
        </w:rPr>
        <w:t xml:space="preserve">Responding to </w:t>
      </w:r>
      <w:r w:rsidR="00AE7761" w:rsidRPr="00A65CB3">
        <w:rPr>
          <w:rFonts w:ascii="Arial" w:hAnsi="Arial" w:cs="Arial"/>
          <w:sz w:val="24"/>
          <w:szCs w:val="24"/>
          <w:lang w:val="en-US"/>
        </w:rPr>
        <w:t>the</w:t>
      </w:r>
      <w:r w:rsidR="002C42E0" w:rsidRPr="00A65CB3">
        <w:rPr>
          <w:rFonts w:ascii="Arial" w:hAnsi="Arial" w:cs="Arial"/>
          <w:sz w:val="24"/>
          <w:szCs w:val="24"/>
          <w:lang w:val="en-US"/>
        </w:rPr>
        <w:t xml:space="preserve"> </w:t>
      </w:r>
      <w:r w:rsidR="005508C8" w:rsidRPr="00A65CB3">
        <w:rPr>
          <w:rFonts w:ascii="Arial" w:hAnsi="Arial" w:cs="Arial"/>
          <w:sz w:val="24"/>
          <w:szCs w:val="24"/>
          <w:lang w:val="en-US"/>
        </w:rPr>
        <w:t>challenge</w:t>
      </w:r>
      <w:r w:rsidR="008A3D31" w:rsidRPr="00A65CB3">
        <w:rPr>
          <w:rFonts w:ascii="Arial" w:hAnsi="Arial" w:cs="Arial"/>
          <w:sz w:val="24"/>
          <w:szCs w:val="24"/>
          <w:lang w:val="en-US"/>
        </w:rPr>
        <w:t xml:space="preserve"> </w:t>
      </w:r>
      <w:r w:rsidR="002C42E0" w:rsidRPr="00A65CB3">
        <w:rPr>
          <w:rFonts w:ascii="Arial" w:hAnsi="Arial" w:cs="Arial"/>
          <w:sz w:val="24"/>
          <w:szCs w:val="24"/>
          <w:lang w:val="en-US"/>
        </w:rPr>
        <w:t>at paragraph</w:t>
      </w:r>
      <w:r w:rsidR="00193263" w:rsidRPr="00A65CB3">
        <w:rPr>
          <w:rFonts w:ascii="Arial" w:hAnsi="Arial" w:cs="Arial"/>
          <w:sz w:val="24"/>
          <w:szCs w:val="24"/>
          <w:lang w:val="en-US"/>
        </w:rPr>
        <w:t xml:space="preserve"> 88 of the answering affidavit</w:t>
      </w:r>
      <w:r w:rsidR="008A3D31" w:rsidRPr="00A65CB3">
        <w:rPr>
          <w:rFonts w:ascii="Arial" w:hAnsi="Arial" w:cs="Arial"/>
          <w:sz w:val="24"/>
          <w:szCs w:val="24"/>
          <w:lang w:val="en-US"/>
        </w:rPr>
        <w:t>,</w:t>
      </w:r>
      <w:r w:rsidR="00193263" w:rsidRPr="00A65CB3">
        <w:rPr>
          <w:rFonts w:ascii="Arial" w:hAnsi="Arial" w:cs="Arial"/>
          <w:sz w:val="24"/>
          <w:szCs w:val="24"/>
          <w:lang w:val="en-US"/>
        </w:rPr>
        <w:t xml:space="preserve"> </w:t>
      </w:r>
      <w:r w:rsidR="001269BA" w:rsidRPr="00A65CB3">
        <w:rPr>
          <w:rFonts w:ascii="Arial" w:hAnsi="Arial" w:cs="Arial"/>
          <w:sz w:val="24"/>
          <w:szCs w:val="24"/>
          <w:lang w:val="en-US"/>
        </w:rPr>
        <w:t xml:space="preserve">the respondents </w:t>
      </w:r>
      <w:r w:rsidR="00193263" w:rsidRPr="00A65CB3">
        <w:rPr>
          <w:rFonts w:ascii="Arial" w:hAnsi="Arial" w:cs="Arial"/>
          <w:sz w:val="24"/>
          <w:szCs w:val="24"/>
          <w:lang w:val="en-US"/>
        </w:rPr>
        <w:t>state:</w:t>
      </w:r>
    </w:p>
    <w:p w14:paraId="317BFFC2" w14:textId="77777777" w:rsidR="00022BF0" w:rsidRPr="00DD2FB1" w:rsidRDefault="00022BF0" w:rsidP="00022BF0">
      <w:pPr>
        <w:pStyle w:val="ListParagraph"/>
        <w:spacing w:after="0" w:line="360" w:lineRule="auto"/>
        <w:ind w:left="0"/>
        <w:jc w:val="both"/>
        <w:rPr>
          <w:rFonts w:ascii="Arial" w:hAnsi="Arial" w:cs="Arial"/>
          <w:sz w:val="24"/>
          <w:szCs w:val="24"/>
          <w:lang w:val="en-US"/>
        </w:rPr>
      </w:pPr>
    </w:p>
    <w:p w14:paraId="25C236A3" w14:textId="00E17436" w:rsidR="00E24F3F" w:rsidRPr="00680D39" w:rsidRDefault="00193263" w:rsidP="00E24F3F">
      <w:pPr>
        <w:spacing w:after="0" w:line="360" w:lineRule="auto"/>
        <w:ind w:left="567"/>
        <w:jc w:val="both"/>
        <w:rPr>
          <w:rFonts w:ascii="Arial" w:hAnsi="Arial" w:cs="Arial"/>
          <w:lang w:val="en-US"/>
        </w:rPr>
      </w:pPr>
      <w:r w:rsidRPr="00680D39">
        <w:rPr>
          <w:rFonts w:ascii="Arial" w:hAnsi="Arial" w:cs="Arial"/>
          <w:lang w:val="en-US"/>
        </w:rPr>
        <w:t>“88.1</w:t>
      </w:r>
      <w:r w:rsidR="008A3D31" w:rsidRPr="00680D39">
        <w:rPr>
          <w:rFonts w:ascii="Arial" w:hAnsi="Arial" w:cs="Arial"/>
          <w:lang w:val="en-US"/>
        </w:rPr>
        <w:t xml:space="preserve"> </w:t>
      </w:r>
      <w:r w:rsidRPr="00680D39">
        <w:rPr>
          <w:rFonts w:ascii="Arial" w:hAnsi="Arial" w:cs="Arial"/>
          <w:lang w:val="en-US"/>
        </w:rPr>
        <w:t xml:space="preserve"> I admit the allegations set out in this paragraph. The completion of the investigation within </w:t>
      </w:r>
      <w:r w:rsidR="0053262D" w:rsidRPr="00680D39">
        <w:rPr>
          <w:rFonts w:ascii="Arial" w:hAnsi="Arial" w:cs="Arial"/>
          <w:lang w:val="en-US"/>
        </w:rPr>
        <w:t>1</w:t>
      </w:r>
      <w:r w:rsidR="001269BA">
        <w:rPr>
          <w:rFonts w:ascii="Arial" w:hAnsi="Arial" w:cs="Arial"/>
          <w:lang w:val="en-US"/>
        </w:rPr>
        <w:t xml:space="preserve"> </w:t>
      </w:r>
      <w:r w:rsidR="0053262D" w:rsidRPr="00680D39">
        <w:rPr>
          <w:rFonts w:ascii="Arial" w:hAnsi="Arial" w:cs="Arial"/>
          <w:lang w:val="en-US"/>
        </w:rPr>
        <w:t>period w</w:t>
      </w:r>
      <w:r w:rsidRPr="00680D39">
        <w:rPr>
          <w:rFonts w:ascii="Arial" w:hAnsi="Arial" w:cs="Arial"/>
          <w:lang w:val="en-US"/>
        </w:rPr>
        <w:t>as hindered by C</w:t>
      </w:r>
      <w:r w:rsidR="0053262D" w:rsidRPr="00680D39">
        <w:rPr>
          <w:rFonts w:ascii="Arial" w:hAnsi="Arial" w:cs="Arial"/>
          <w:lang w:val="en-US"/>
        </w:rPr>
        <w:t>ovid</w:t>
      </w:r>
      <w:r w:rsidRPr="00680D39">
        <w:rPr>
          <w:rFonts w:ascii="Arial" w:hAnsi="Arial" w:cs="Arial"/>
          <w:lang w:val="en-US"/>
        </w:rPr>
        <w:t xml:space="preserve">-19 pandemic </w:t>
      </w:r>
      <w:r w:rsidR="0053262D" w:rsidRPr="00680D39">
        <w:rPr>
          <w:rFonts w:ascii="Arial" w:hAnsi="Arial" w:cs="Arial"/>
          <w:lang w:val="en-US"/>
        </w:rPr>
        <w:t>a</w:t>
      </w:r>
      <w:r w:rsidRPr="00680D39">
        <w:rPr>
          <w:rFonts w:ascii="Arial" w:hAnsi="Arial" w:cs="Arial"/>
          <w:lang w:val="en-US"/>
        </w:rPr>
        <w:t>nd lockdown</w:t>
      </w:r>
      <w:r w:rsidR="00DF2DC2" w:rsidRPr="00680D39">
        <w:rPr>
          <w:rFonts w:ascii="Arial" w:hAnsi="Arial" w:cs="Arial"/>
          <w:lang w:val="en-US"/>
        </w:rPr>
        <w:t xml:space="preserve">. As soon as the lockdown regulations were relaxed, the Commission proceeded to investigate the matter, including communicating with </w:t>
      </w:r>
      <w:r w:rsidR="0053262D" w:rsidRPr="00680D39">
        <w:rPr>
          <w:rFonts w:ascii="Arial" w:hAnsi="Arial" w:cs="Arial"/>
          <w:lang w:val="en-US"/>
        </w:rPr>
        <w:t>S</w:t>
      </w:r>
      <w:r w:rsidR="00DF2DC2" w:rsidRPr="00680D39">
        <w:rPr>
          <w:rFonts w:ascii="Arial" w:hAnsi="Arial" w:cs="Arial"/>
          <w:lang w:val="en-US"/>
        </w:rPr>
        <w:t xml:space="preserve">and </w:t>
      </w:r>
      <w:r w:rsidR="0053262D" w:rsidRPr="00680D39">
        <w:rPr>
          <w:rFonts w:ascii="Arial" w:hAnsi="Arial" w:cs="Arial"/>
          <w:lang w:val="en-US"/>
        </w:rPr>
        <w:t>S</w:t>
      </w:r>
      <w:r w:rsidR="00DF2DC2" w:rsidRPr="00680D39">
        <w:rPr>
          <w:rFonts w:ascii="Arial" w:hAnsi="Arial" w:cs="Arial"/>
          <w:lang w:val="en-US"/>
        </w:rPr>
        <w:t>hifters. S</w:t>
      </w:r>
      <w:r w:rsidR="009B3781" w:rsidRPr="00680D39">
        <w:rPr>
          <w:rFonts w:ascii="Arial" w:hAnsi="Arial" w:cs="Arial"/>
          <w:lang w:val="en-US"/>
        </w:rPr>
        <w:t>and S</w:t>
      </w:r>
      <w:r w:rsidR="00DF2DC2" w:rsidRPr="00680D39">
        <w:rPr>
          <w:rFonts w:ascii="Arial" w:hAnsi="Arial" w:cs="Arial"/>
          <w:lang w:val="en-US"/>
        </w:rPr>
        <w:t>hifters cooperated with the Commission outside of 1 year and did not at no stage object to the continuation of the investigation until they received the preliminary findings on or about December 2020.</w:t>
      </w:r>
    </w:p>
    <w:p w14:paraId="61F195DB" w14:textId="49A9627E" w:rsidR="00DF2DC2" w:rsidRPr="00680D39" w:rsidRDefault="00DF2DC2" w:rsidP="00680D39">
      <w:pPr>
        <w:spacing w:after="0" w:line="360" w:lineRule="auto"/>
        <w:ind w:left="567"/>
        <w:jc w:val="both"/>
        <w:rPr>
          <w:rFonts w:ascii="Arial" w:hAnsi="Arial" w:cs="Arial"/>
          <w:lang w:val="en-US"/>
        </w:rPr>
      </w:pPr>
      <w:r w:rsidRPr="00680D39">
        <w:rPr>
          <w:rFonts w:ascii="Arial" w:hAnsi="Arial" w:cs="Arial"/>
          <w:lang w:val="en-US"/>
        </w:rPr>
        <w:t>88.2</w:t>
      </w:r>
      <w:r w:rsidR="008A3D31" w:rsidRPr="00680D39">
        <w:rPr>
          <w:rFonts w:ascii="Arial" w:hAnsi="Arial" w:cs="Arial"/>
          <w:lang w:val="en-US"/>
        </w:rPr>
        <w:t xml:space="preserve"> </w:t>
      </w:r>
      <w:r w:rsidRPr="00680D39">
        <w:rPr>
          <w:rFonts w:ascii="Arial" w:hAnsi="Arial" w:cs="Arial"/>
          <w:lang w:val="en-US"/>
        </w:rPr>
        <w:t xml:space="preserve"> I wish further to point out that it was an oversight on the part of the Commission not to inform the applicant of the need to extend the investigation period.</w:t>
      </w:r>
    </w:p>
    <w:p w14:paraId="0A86B2FF" w14:textId="465C1A55" w:rsidR="00DA6762" w:rsidRPr="00680D39" w:rsidRDefault="00DA6762" w:rsidP="00680D39">
      <w:pPr>
        <w:spacing w:after="0" w:line="360" w:lineRule="auto"/>
        <w:ind w:left="567"/>
        <w:jc w:val="both"/>
        <w:rPr>
          <w:rFonts w:ascii="Arial" w:hAnsi="Arial" w:cs="Arial"/>
          <w:lang w:val="en-US"/>
        </w:rPr>
      </w:pPr>
      <w:r w:rsidRPr="00680D39">
        <w:rPr>
          <w:rFonts w:ascii="Arial" w:hAnsi="Arial" w:cs="Arial"/>
          <w:lang w:val="en-US"/>
        </w:rPr>
        <w:t>……</w:t>
      </w:r>
    </w:p>
    <w:p w14:paraId="50ECEF65" w14:textId="2629D3FB" w:rsidR="00F470E9" w:rsidRPr="00680D39" w:rsidRDefault="00DF2DC2" w:rsidP="00680D39">
      <w:pPr>
        <w:spacing w:after="0" w:line="360" w:lineRule="auto"/>
        <w:ind w:left="567"/>
        <w:jc w:val="both"/>
        <w:rPr>
          <w:rFonts w:ascii="Arial" w:hAnsi="Arial" w:cs="Arial"/>
          <w:lang w:val="en-US"/>
        </w:rPr>
      </w:pPr>
      <w:r w:rsidRPr="00680D39">
        <w:rPr>
          <w:rFonts w:ascii="Arial" w:hAnsi="Arial" w:cs="Arial"/>
          <w:lang w:val="en-US"/>
        </w:rPr>
        <w:t>90.1</w:t>
      </w:r>
      <w:r w:rsidR="008A3D31" w:rsidRPr="00680D39">
        <w:rPr>
          <w:rFonts w:ascii="Arial" w:hAnsi="Arial" w:cs="Arial"/>
          <w:lang w:val="en-US"/>
        </w:rPr>
        <w:t xml:space="preserve"> </w:t>
      </w:r>
      <w:r w:rsidR="00DA6762" w:rsidRPr="00680D39">
        <w:rPr>
          <w:rFonts w:ascii="Arial" w:hAnsi="Arial" w:cs="Arial"/>
          <w:lang w:val="en-US"/>
        </w:rPr>
        <w:t xml:space="preserve"> </w:t>
      </w:r>
      <w:r w:rsidRPr="00680D39">
        <w:rPr>
          <w:rFonts w:ascii="Arial" w:hAnsi="Arial" w:cs="Arial"/>
          <w:lang w:val="en-US"/>
        </w:rPr>
        <w:t xml:space="preserve"> I admit the </w:t>
      </w:r>
      <w:r w:rsidR="00CB1D00" w:rsidRPr="00680D39">
        <w:rPr>
          <w:rFonts w:ascii="Arial" w:hAnsi="Arial" w:cs="Arial"/>
          <w:lang w:val="en-US"/>
        </w:rPr>
        <w:t>allegation,</w:t>
      </w:r>
      <w:r w:rsidRPr="00680D39">
        <w:rPr>
          <w:rFonts w:ascii="Arial" w:hAnsi="Arial" w:cs="Arial"/>
          <w:lang w:val="en-US"/>
        </w:rPr>
        <w:t xml:space="preserve"> however I confirm that the investigation was completed within a reasonable time</w:t>
      </w:r>
      <w:r w:rsidR="009B3781" w:rsidRPr="00680D39">
        <w:rPr>
          <w:rFonts w:ascii="Arial" w:hAnsi="Arial" w:cs="Arial"/>
          <w:lang w:val="en-US"/>
        </w:rPr>
        <w:t>.</w:t>
      </w:r>
    </w:p>
    <w:p w14:paraId="2AA06A8E" w14:textId="38B1A189" w:rsidR="00E24F3F" w:rsidRDefault="00F470E9" w:rsidP="00022BF0">
      <w:pPr>
        <w:spacing w:after="0" w:line="360" w:lineRule="auto"/>
        <w:ind w:left="567"/>
        <w:jc w:val="both"/>
        <w:rPr>
          <w:rFonts w:ascii="Arial" w:hAnsi="Arial" w:cs="Arial"/>
          <w:lang w:val="en-US"/>
        </w:rPr>
      </w:pPr>
      <w:r w:rsidRPr="00680D39">
        <w:rPr>
          <w:rFonts w:ascii="Arial" w:hAnsi="Arial" w:cs="Arial"/>
          <w:lang w:val="en-US"/>
        </w:rPr>
        <w:t xml:space="preserve">90.2 </w:t>
      </w:r>
      <w:r w:rsidR="009B3781" w:rsidRPr="00680D39">
        <w:rPr>
          <w:rFonts w:ascii="Arial" w:hAnsi="Arial" w:cs="Arial"/>
          <w:lang w:val="en-US"/>
        </w:rPr>
        <w:t>T</w:t>
      </w:r>
      <w:r w:rsidRPr="00680D39">
        <w:rPr>
          <w:rFonts w:ascii="Arial" w:hAnsi="Arial" w:cs="Arial"/>
          <w:lang w:val="en-US"/>
        </w:rPr>
        <w:t xml:space="preserve">he investigation was affected by COVID-19 restrictions which resulted in </w:t>
      </w:r>
      <w:r w:rsidR="00177D19" w:rsidRPr="00680D39">
        <w:rPr>
          <w:rFonts w:ascii="Arial" w:hAnsi="Arial" w:cs="Arial"/>
          <w:lang w:val="en-US"/>
        </w:rPr>
        <w:t>halting</w:t>
      </w:r>
      <w:r w:rsidRPr="00680D39">
        <w:rPr>
          <w:rFonts w:ascii="Arial" w:hAnsi="Arial" w:cs="Arial"/>
          <w:lang w:val="en-US"/>
        </w:rPr>
        <w:t xml:space="preserve"> operations and later remote operation. Furthermore</w:t>
      </w:r>
      <w:r w:rsidR="009B3781" w:rsidRPr="00680D39">
        <w:rPr>
          <w:rFonts w:ascii="Arial" w:hAnsi="Arial" w:cs="Arial"/>
          <w:lang w:val="en-US"/>
        </w:rPr>
        <w:t>,</w:t>
      </w:r>
      <w:r w:rsidRPr="00680D39">
        <w:rPr>
          <w:rFonts w:ascii="Arial" w:hAnsi="Arial" w:cs="Arial"/>
          <w:lang w:val="en-US"/>
        </w:rPr>
        <w:t xml:space="preserve"> it was in this </w:t>
      </w:r>
      <w:r w:rsidR="00D1733B" w:rsidRPr="00680D39">
        <w:rPr>
          <w:rFonts w:ascii="Arial" w:hAnsi="Arial" w:cs="Arial"/>
          <w:lang w:val="en-US"/>
        </w:rPr>
        <w:t>period t</w:t>
      </w:r>
      <w:r w:rsidRPr="00680D39">
        <w:rPr>
          <w:rFonts w:ascii="Arial" w:hAnsi="Arial" w:cs="Arial"/>
          <w:lang w:val="en-US"/>
        </w:rPr>
        <w:t>hat the Commission also relocated offices from 4</w:t>
      </w:r>
      <w:r w:rsidR="00D1733B" w:rsidRPr="00680D39">
        <w:rPr>
          <w:rFonts w:ascii="Arial" w:hAnsi="Arial" w:cs="Arial"/>
          <w:lang w:val="en-US"/>
        </w:rPr>
        <w:t>2</w:t>
      </w:r>
      <w:r w:rsidRPr="00680D39">
        <w:rPr>
          <w:rFonts w:ascii="Arial" w:hAnsi="Arial" w:cs="Arial"/>
          <w:lang w:val="en-US"/>
        </w:rPr>
        <w:t xml:space="preserve">0 </w:t>
      </w:r>
      <w:r w:rsidR="00D1733B" w:rsidRPr="00680D39">
        <w:rPr>
          <w:rFonts w:ascii="Arial" w:hAnsi="Arial" w:cs="Arial"/>
          <w:lang w:val="en-US"/>
        </w:rPr>
        <w:t>W</w:t>
      </w:r>
      <w:r w:rsidRPr="00680D39">
        <w:rPr>
          <w:rFonts w:ascii="Arial" w:hAnsi="Arial" w:cs="Arial"/>
          <w:lang w:val="en-US"/>
        </w:rPr>
        <w:t>itch</w:t>
      </w:r>
      <w:r w:rsidR="00D1733B" w:rsidRPr="00680D39">
        <w:rPr>
          <w:rFonts w:ascii="Arial" w:hAnsi="Arial" w:cs="Arial"/>
          <w:lang w:val="en-US"/>
        </w:rPr>
        <w:t>-</w:t>
      </w:r>
      <w:r w:rsidRPr="00680D39">
        <w:rPr>
          <w:rFonts w:ascii="Arial" w:hAnsi="Arial" w:cs="Arial"/>
          <w:lang w:val="en-US"/>
        </w:rPr>
        <w:t>Hazel Ave</w:t>
      </w:r>
      <w:r w:rsidR="00D1733B" w:rsidRPr="00680D39">
        <w:rPr>
          <w:rFonts w:ascii="Arial" w:hAnsi="Arial" w:cs="Arial"/>
          <w:lang w:val="en-US"/>
        </w:rPr>
        <w:t>nue</w:t>
      </w:r>
      <w:r w:rsidRPr="00680D39">
        <w:rPr>
          <w:rFonts w:ascii="Arial" w:hAnsi="Arial" w:cs="Arial"/>
          <w:lang w:val="en-US"/>
        </w:rPr>
        <w:t xml:space="preserve">, </w:t>
      </w:r>
      <w:r w:rsidR="00D1733B" w:rsidRPr="00680D39">
        <w:rPr>
          <w:rFonts w:ascii="Arial" w:hAnsi="Arial" w:cs="Arial"/>
          <w:lang w:val="en-US"/>
        </w:rPr>
        <w:t>Eco-P</w:t>
      </w:r>
      <w:r w:rsidRPr="00680D39">
        <w:rPr>
          <w:rFonts w:ascii="Arial" w:hAnsi="Arial" w:cs="Arial"/>
          <w:lang w:val="en-US"/>
        </w:rPr>
        <w:t xml:space="preserve">ark, </w:t>
      </w:r>
      <w:r w:rsidR="00D1733B" w:rsidRPr="00680D39">
        <w:rPr>
          <w:rFonts w:ascii="Arial" w:hAnsi="Arial" w:cs="Arial"/>
          <w:lang w:val="en-US"/>
        </w:rPr>
        <w:t>C</w:t>
      </w:r>
      <w:r w:rsidRPr="00680D39">
        <w:rPr>
          <w:rFonts w:ascii="Arial" w:hAnsi="Arial" w:cs="Arial"/>
          <w:lang w:val="en-US"/>
        </w:rPr>
        <w:t xml:space="preserve">enturion to 77 </w:t>
      </w:r>
      <w:r w:rsidR="00D1733B" w:rsidRPr="00680D39">
        <w:rPr>
          <w:rFonts w:ascii="Arial" w:hAnsi="Arial" w:cs="Arial"/>
          <w:lang w:val="en-US"/>
        </w:rPr>
        <w:t>Mentjies</w:t>
      </w:r>
      <w:r w:rsidRPr="00680D39">
        <w:rPr>
          <w:rFonts w:ascii="Arial" w:hAnsi="Arial" w:cs="Arial"/>
          <w:lang w:val="en-US"/>
        </w:rPr>
        <w:t>, the DTIC campus</w:t>
      </w:r>
      <w:r w:rsidR="00D1733B" w:rsidRPr="00680D39">
        <w:rPr>
          <w:rFonts w:ascii="Arial" w:hAnsi="Arial" w:cs="Arial"/>
          <w:lang w:val="en-US"/>
        </w:rPr>
        <w:t>,</w:t>
      </w:r>
      <w:r w:rsidRPr="00680D39">
        <w:rPr>
          <w:rFonts w:ascii="Arial" w:hAnsi="Arial" w:cs="Arial"/>
          <w:lang w:val="en-US"/>
        </w:rPr>
        <w:t xml:space="preserve"> Sunnyside</w:t>
      </w:r>
      <w:r w:rsidR="0080239D" w:rsidRPr="00680D39">
        <w:rPr>
          <w:rFonts w:ascii="Arial" w:hAnsi="Arial" w:cs="Arial"/>
          <w:lang w:val="en-US"/>
        </w:rPr>
        <w:t>,</w:t>
      </w:r>
      <w:r w:rsidRPr="00680D39">
        <w:rPr>
          <w:rFonts w:ascii="Arial" w:hAnsi="Arial" w:cs="Arial"/>
          <w:lang w:val="en-US"/>
        </w:rPr>
        <w:t xml:space="preserve"> Pretoria in August 2020.”</w:t>
      </w:r>
    </w:p>
    <w:p w14:paraId="2F6C6A73" w14:textId="77777777" w:rsidR="00022BF0" w:rsidRDefault="00022BF0" w:rsidP="00022BF0">
      <w:pPr>
        <w:spacing w:after="0" w:line="360" w:lineRule="auto"/>
        <w:ind w:left="567"/>
        <w:jc w:val="both"/>
        <w:rPr>
          <w:rFonts w:ascii="Arial" w:hAnsi="Arial" w:cs="Arial"/>
          <w:lang w:val="en-US"/>
        </w:rPr>
      </w:pPr>
    </w:p>
    <w:p w14:paraId="719326A7" w14:textId="7AFFE0AF" w:rsidR="0041298C" w:rsidRPr="00E8256B" w:rsidRDefault="00022BF0" w:rsidP="00680D39">
      <w:pPr>
        <w:spacing w:after="0" w:line="360" w:lineRule="auto"/>
        <w:jc w:val="both"/>
        <w:rPr>
          <w:rFonts w:ascii="Arial" w:hAnsi="Arial" w:cs="Arial"/>
          <w:i/>
          <w:iCs/>
          <w:sz w:val="24"/>
          <w:szCs w:val="24"/>
          <w:lang w:val="en-US"/>
        </w:rPr>
      </w:pPr>
      <w:r w:rsidRPr="00022BF0">
        <w:rPr>
          <w:rFonts w:ascii="Arial" w:hAnsi="Arial" w:cs="Arial"/>
          <w:i/>
          <w:iCs/>
          <w:sz w:val="24"/>
          <w:szCs w:val="24"/>
          <w:lang w:val="en-US"/>
        </w:rPr>
        <w:t xml:space="preserve">Submissions </w:t>
      </w:r>
    </w:p>
    <w:p w14:paraId="7402259B" w14:textId="5AAAF2C3" w:rsidR="00A24AA6" w:rsidRPr="00A65CB3" w:rsidRDefault="00A65CB3" w:rsidP="00A65CB3">
      <w:pPr>
        <w:spacing w:after="0" w:line="360" w:lineRule="auto"/>
        <w:jc w:val="both"/>
        <w:rPr>
          <w:rFonts w:ascii="Arial" w:hAnsi="Arial" w:cs="Arial"/>
          <w:sz w:val="24"/>
          <w:szCs w:val="24"/>
          <w:lang w:val="en-US"/>
        </w:rPr>
      </w:pPr>
      <w:r w:rsidRPr="00AD0508">
        <w:rPr>
          <w:rFonts w:ascii="Arial" w:hAnsi="Arial" w:cs="Arial"/>
          <w:sz w:val="24"/>
          <w:szCs w:val="24"/>
          <w:lang w:val="en-US"/>
        </w:rPr>
        <w:t>[31]</w:t>
      </w:r>
      <w:r w:rsidRPr="00AD0508">
        <w:rPr>
          <w:rFonts w:ascii="Arial" w:hAnsi="Arial" w:cs="Arial"/>
          <w:sz w:val="24"/>
          <w:szCs w:val="24"/>
          <w:lang w:val="en-US"/>
        </w:rPr>
        <w:tab/>
      </w:r>
      <w:r w:rsidR="00022BF0" w:rsidRPr="00A65CB3">
        <w:rPr>
          <w:rFonts w:ascii="Arial" w:hAnsi="Arial" w:cs="Arial"/>
          <w:sz w:val="24"/>
          <w:szCs w:val="24"/>
          <w:lang w:val="en-US"/>
        </w:rPr>
        <w:t xml:space="preserve"> </w:t>
      </w:r>
      <w:r w:rsidR="00BE650D" w:rsidRPr="00A65CB3">
        <w:rPr>
          <w:rFonts w:ascii="Arial" w:hAnsi="Arial" w:cs="Arial"/>
          <w:sz w:val="24"/>
          <w:szCs w:val="24"/>
          <w:lang w:val="en-US"/>
        </w:rPr>
        <w:t>Since the</w:t>
      </w:r>
      <w:r w:rsidR="00C17637" w:rsidRPr="00A65CB3">
        <w:rPr>
          <w:rFonts w:ascii="Arial" w:hAnsi="Arial" w:cs="Arial"/>
          <w:sz w:val="24"/>
          <w:szCs w:val="24"/>
          <w:lang w:val="en-US"/>
        </w:rPr>
        <w:t xml:space="preserve"> sub-r</w:t>
      </w:r>
      <w:r w:rsidR="00BE650D" w:rsidRPr="00A65CB3">
        <w:rPr>
          <w:rFonts w:ascii="Arial" w:hAnsi="Arial" w:cs="Arial"/>
          <w:sz w:val="24"/>
          <w:szCs w:val="24"/>
          <w:lang w:val="en-US"/>
        </w:rPr>
        <w:t xml:space="preserve">egulation (15) deals with </w:t>
      </w:r>
      <w:r w:rsidR="002A4F4A" w:rsidRPr="00A65CB3">
        <w:rPr>
          <w:rFonts w:ascii="Arial" w:hAnsi="Arial" w:cs="Arial"/>
          <w:sz w:val="24"/>
          <w:szCs w:val="24"/>
          <w:lang w:val="en-US"/>
        </w:rPr>
        <w:t xml:space="preserve">a </w:t>
      </w:r>
      <w:r w:rsidR="005C415B" w:rsidRPr="00A65CB3">
        <w:rPr>
          <w:rFonts w:ascii="Arial" w:hAnsi="Arial" w:cs="Arial"/>
          <w:sz w:val="24"/>
          <w:szCs w:val="24"/>
          <w:lang w:val="en-US"/>
        </w:rPr>
        <w:t>complainant-initiated</w:t>
      </w:r>
      <w:r w:rsidR="00F26277" w:rsidRPr="00A65CB3">
        <w:rPr>
          <w:rFonts w:ascii="Arial" w:hAnsi="Arial" w:cs="Arial"/>
          <w:sz w:val="24"/>
          <w:szCs w:val="24"/>
          <w:lang w:val="en-US"/>
        </w:rPr>
        <w:t xml:space="preserve"> </w:t>
      </w:r>
      <w:r w:rsidR="005C415B" w:rsidRPr="00A65CB3">
        <w:rPr>
          <w:rFonts w:ascii="Arial" w:hAnsi="Arial" w:cs="Arial"/>
          <w:sz w:val="24"/>
          <w:szCs w:val="24"/>
          <w:lang w:val="en-US"/>
        </w:rPr>
        <w:t>investigation</w:t>
      </w:r>
      <w:r w:rsidR="002A4F4A" w:rsidRPr="00A65CB3">
        <w:rPr>
          <w:rFonts w:ascii="Arial" w:hAnsi="Arial" w:cs="Arial"/>
          <w:sz w:val="24"/>
          <w:szCs w:val="24"/>
          <w:lang w:val="en-US"/>
        </w:rPr>
        <w:t>, t</w:t>
      </w:r>
      <w:r w:rsidR="00AE7761" w:rsidRPr="00A65CB3">
        <w:rPr>
          <w:rFonts w:ascii="Arial" w:hAnsi="Arial" w:cs="Arial"/>
          <w:sz w:val="24"/>
          <w:szCs w:val="24"/>
          <w:lang w:val="en-US"/>
        </w:rPr>
        <w:t>he respondents’ counsel submit</w:t>
      </w:r>
      <w:r w:rsidR="000C5C40" w:rsidRPr="00A65CB3">
        <w:rPr>
          <w:rFonts w:ascii="Arial" w:hAnsi="Arial" w:cs="Arial"/>
          <w:sz w:val="24"/>
          <w:szCs w:val="24"/>
          <w:lang w:val="en-US"/>
        </w:rPr>
        <w:t>s</w:t>
      </w:r>
      <w:r w:rsidR="00AE7761" w:rsidRPr="00A65CB3">
        <w:rPr>
          <w:rFonts w:ascii="Arial" w:hAnsi="Arial" w:cs="Arial"/>
          <w:sz w:val="24"/>
          <w:szCs w:val="24"/>
          <w:lang w:val="en-US"/>
        </w:rPr>
        <w:t xml:space="preserve"> that the </w:t>
      </w:r>
      <w:r w:rsidR="009F33A3" w:rsidRPr="00A65CB3">
        <w:rPr>
          <w:rFonts w:ascii="Arial" w:hAnsi="Arial" w:cs="Arial"/>
          <w:sz w:val="24"/>
          <w:szCs w:val="24"/>
          <w:lang w:val="en-US"/>
        </w:rPr>
        <w:t xml:space="preserve">regulation </w:t>
      </w:r>
      <w:r w:rsidR="000C5C40" w:rsidRPr="00A65CB3">
        <w:rPr>
          <w:rFonts w:ascii="Arial" w:hAnsi="Arial" w:cs="Arial"/>
          <w:sz w:val="24"/>
          <w:szCs w:val="24"/>
          <w:lang w:val="en-US"/>
        </w:rPr>
        <w:t>is</w:t>
      </w:r>
      <w:r w:rsidR="009F33A3" w:rsidRPr="00A65CB3">
        <w:rPr>
          <w:rFonts w:ascii="Arial" w:hAnsi="Arial" w:cs="Arial"/>
          <w:sz w:val="24"/>
          <w:szCs w:val="24"/>
          <w:lang w:val="en-US"/>
        </w:rPr>
        <w:t xml:space="preserve"> contradictory</w:t>
      </w:r>
      <w:r w:rsidR="002A4F4A" w:rsidRPr="00A65CB3">
        <w:rPr>
          <w:rFonts w:ascii="Arial" w:hAnsi="Arial" w:cs="Arial"/>
          <w:sz w:val="24"/>
          <w:szCs w:val="24"/>
          <w:lang w:val="en-US"/>
        </w:rPr>
        <w:t xml:space="preserve"> to the </w:t>
      </w:r>
      <w:r w:rsidR="005C415B" w:rsidRPr="00A65CB3">
        <w:rPr>
          <w:rFonts w:ascii="Arial" w:hAnsi="Arial" w:cs="Arial"/>
          <w:sz w:val="24"/>
          <w:szCs w:val="24"/>
          <w:lang w:val="en-US"/>
        </w:rPr>
        <w:t>extent</w:t>
      </w:r>
      <w:r w:rsidR="002A4F4A" w:rsidRPr="00A65CB3">
        <w:rPr>
          <w:rFonts w:ascii="Arial" w:hAnsi="Arial" w:cs="Arial"/>
          <w:sz w:val="24"/>
          <w:szCs w:val="24"/>
          <w:lang w:val="en-US"/>
        </w:rPr>
        <w:t xml:space="preserve"> it </w:t>
      </w:r>
      <w:r w:rsidR="00A24AA6" w:rsidRPr="00A65CB3">
        <w:rPr>
          <w:rFonts w:ascii="Arial" w:hAnsi="Arial" w:cs="Arial"/>
          <w:sz w:val="24"/>
          <w:szCs w:val="24"/>
          <w:lang w:val="en-US"/>
        </w:rPr>
        <w:t>refer</w:t>
      </w:r>
      <w:r w:rsidR="000C5C40" w:rsidRPr="00A65CB3">
        <w:rPr>
          <w:rFonts w:ascii="Arial" w:hAnsi="Arial" w:cs="Arial"/>
          <w:sz w:val="24"/>
          <w:szCs w:val="24"/>
          <w:lang w:val="en-US"/>
        </w:rPr>
        <w:t>s</w:t>
      </w:r>
      <w:r w:rsidR="002A4F4A" w:rsidRPr="00A65CB3">
        <w:rPr>
          <w:rFonts w:ascii="Arial" w:hAnsi="Arial" w:cs="Arial"/>
          <w:sz w:val="24"/>
          <w:szCs w:val="24"/>
          <w:lang w:val="en-US"/>
        </w:rPr>
        <w:t xml:space="preserve"> to </w:t>
      </w:r>
      <w:r w:rsidR="00195CF7" w:rsidRPr="00A65CB3">
        <w:rPr>
          <w:rFonts w:ascii="Arial" w:hAnsi="Arial" w:cs="Arial"/>
          <w:sz w:val="24"/>
          <w:szCs w:val="24"/>
          <w:lang w:val="en-US"/>
        </w:rPr>
        <w:t>sub-regulation (8)</w:t>
      </w:r>
      <w:r w:rsidR="00A24AA6" w:rsidRPr="00A65CB3">
        <w:rPr>
          <w:rFonts w:ascii="Arial" w:hAnsi="Arial" w:cs="Arial"/>
          <w:sz w:val="24"/>
          <w:szCs w:val="24"/>
          <w:lang w:val="en-US"/>
        </w:rPr>
        <w:t>,</w:t>
      </w:r>
      <w:r w:rsidR="00195CF7" w:rsidRPr="00A65CB3">
        <w:rPr>
          <w:rFonts w:ascii="Arial" w:hAnsi="Arial" w:cs="Arial"/>
          <w:sz w:val="24"/>
          <w:szCs w:val="24"/>
          <w:lang w:val="en-US"/>
        </w:rPr>
        <w:t xml:space="preserve"> which deals with a </w:t>
      </w:r>
      <w:r w:rsidR="00A070BD" w:rsidRPr="00A65CB3">
        <w:rPr>
          <w:rFonts w:ascii="Arial" w:hAnsi="Arial" w:cs="Arial"/>
          <w:sz w:val="24"/>
          <w:szCs w:val="24"/>
          <w:lang w:val="en-US"/>
        </w:rPr>
        <w:t xml:space="preserve">self-initiated </w:t>
      </w:r>
      <w:r w:rsidR="00195CF7" w:rsidRPr="00A65CB3">
        <w:rPr>
          <w:rFonts w:ascii="Arial" w:hAnsi="Arial" w:cs="Arial"/>
          <w:sz w:val="24"/>
          <w:szCs w:val="24"/>
          <w:lang w:val="en-US"/>
        </w:rPr>
        <w:t>investigation</w:t>
      </w:r>
      <w:r w:rsidR="00A070BD" w:rsidRPr="00A65CB3">
        <w:rPr>
          <w:rFonts w:ascii="Arial" w:hAnsi="Arial" w:cs="Arial"/>
          <w:sz w:val="24"/>
          <w:szCs w:val="24"/>
          <w:lang w:val="en-US"/>
        </w:rPr>
        <w:t>.</w:t>
      </w:r>
    </w:p>
    <w:p w14:paraId="3EA9022D" w14:textId="77777777" w:rsidR="005375C7" w:rsidRPr="00680D39" w:rsidRDefault="005375C7" w:rsidP="00680D39">
      <w:pPr>
        <w:pStyle w:val="ListParagraph"/>
        <w:spacing w:after="0" w:line="360" w:lineRule="auto"/>
        <w:ind w:left="0"/>
        <w:jc w:val="both"/>
        <w:rPr>
          <w:rFonts w:ascii="Arial" w:hAnsi="Arial" w:cs="Arial"/>
          <w:sz w:val="24"/>
          <w:szCs w:val="24"/>
          <w:lang w:val="en-US"/>
        </w:rPr>
      </w:pPr>
    </w:p>
    <w:p w14:paraId="301E0C0F" w14:textId="6D6D1BC4" w:rsidR="004114C9" w:rsidRPr="00A65CB3" w:rsidRDefault="00A65CB3" w:rsidP="00A65CB3">
      <w:pPr>
        <w:spacing w:after="0" w:line="360" w:lineRule="auto"/>
        <w:jc w:val="both"/>
        <w:rPr>
          <w:rFonts w:ascii="Arial" w:hAnsi="Arial" w:cs="Arial"/>
          <w:i/>
          <w:iCs/>
          <w:sz w:val="24"/>
          <w:szCs w:val="24"/>
          <w:lang w:val="en-US"/>
        </w:rPr>
      </w:pPr>
      <w:r>
        <w:rPr>
          <w:rFonts w:ascii="Arial" w:hAnsi="Arial" w:cs="Arial"/>
          <w:sz w:val="24"/>
          <w:szCs w:val="24"/>
          <w:lang w:val="en-US"/>
        </w:rPr>
        <w:t>[32]</w:t>
      </w:r>
      <w:r>
        <w:rPr>
          <w:rFonts w:ascii="Arial" w:hAnsi="Arial" w:cs="Arial"/>
          <w:sz w:val="24"/>
          <w:szCs w:val="24"/>
          <w:lang w:val="en-US"/>
        </w:rPr>
        <w:tab/>
      </w:r>
      <w:r w:rsidR="00CD2327" w:rsidRPr="00A65CB3">
        <w:rPr>
          <w:rFonts w:ascii="Arial" w:hAnsi="Arial" w:cs="Arial"/>
          <w:sz w:val="24"/>
          <w:szCs w:val="24"/>
          <w:lang w:val="en-US"/>
        </w:rPr>
        <w:t>D</w:t>
      </w:r>
      <w:r w:rsidR="00A070BD" w:rsidRPr="00A65CB3">
        <w:rPr>
          <w:rFonts w:ascii="Arial" w:hAnsi="Arial" w:cs="Arial"/>
          <w:sz w:val="24"/>
          <w:szCs w:val="24"/>
          <w:lang w:val="en-US"/>
        </w:rPr>
        <w:t xml:space="preserve">ue to this contradiction, the argument goes, </w:t>
      </w:r>
      <w:r w:rsidR="00032B1D" w:rsidRPr="00A65CB3">
        <w:rPr>
          <w:rFonts w:ascii="Arial" w:hAnsi="Arial" w:cs="Arial"/>
          <w:sz w:val="24"/>
          <w:szCs w:val="24"/>
          <w:lang w:val="en-US"/>
        </w:rPr>
        <w:t>the court</w:t>
      </w:r>
      <w:r w:rsidR="00A070BD" w:rsidRPr="00A65CB3">
        <w:rPr>
          <w:rFonts w:ascii="Arial" w:hAnsi="Arial" w:cs="Arial"/>
          <w:sz w:val="24"/>
          <w:szCs w:val="24"/>
          <w:lang w:val="en-US"/>
        </w:rPr>
        <w:t xml:space="preserve"> must resort to the case of </w:t>
      </w:r>
      <w:r w:rsidR="00D342E2" w:rsidRPr="00A65CB3">
        <w:rPr>
          <w:rFonts w:ascii="Arial" w:hAnsi="Arial" w:cs="Arial"/>
          <w:i/>
          <w:iCs/>
          <w:sz w:val="24"/>
          <w:szCs w:val="24"/>
          <w:lang w:val="en-US"/>
        </w:rPr>
        <w:t>Competition Commission of South Africa v Pickfords Removals SA (Pty) Ltd</w:t>
      </w:r>
      <w:r w:rsidR="00AD0508" w:rsidRPr="00A65CB3">
        <w:rPr>
          <w:rFonts w:ascii="Arial" w:hAnsi="Arial" w:cs="Arial"/>
          <w:i/>
          <w:iCs/>
          <w:sz w:val="24"/>
          <w:szCs w:val="24"/>
          <w:lang w:val="en-US"/>
        </w:rPr>
        <w:t>.</w:t>
      </w:r>
      <w:r w:rsidR="00A80388" w:rsidRPr="00680D39">
        <w:rPr>
          <w:rStyle w:val="FootnoteReference"/>
          <w:rFonts w:ascii="Arial" w:hAnsi="Arial" w:cs="Arial"/>
          <w:i/>
          <w:iCs/>
          <w:sz w:val="24"/>
          <w:szCs w:val="24"/>
          <w:lang w:val="en-US"/>
        </w:rPr>
        <w:footnoteReference w:id="11"/>
      </w:r>
      <w:r w:rsidR="004114C9" w:rsidRPr="00A65CB3">
        <w:rPr>
          <w:rFonts w:ascii="Arial" w:hAnsi="Arial" w:cs="Arial"/>
          <w:i/>
          <w:iCs/>
          <w:sz w:val="24"/>
          <w:szCs w:val="24"/>
          <w:lang w:val="en-US"/>
        </w:rPr>
        <w:t xml:space="preserve"> </w:t>
      </w:r>
      <w:r w:rsidR="004114C9" w:rsidRPr="00A65CB3">
        <w:rPr>
          <w:rFonts w:ascii="Arial" w:hAnsi="Arial" w:cs="Arial"/>
          <w:sz w:val="24"/>
          <w:szCs w:val="24"/>
          <w:lang w:val="en-US"/>
        </w:rPr>
        <w:t xml:space="preserve">I am uncertain whether this submission offers any aid to the respondents’ cause. Since, whether an investigation ensues following a complaint or is self-initiated, the </w:t>
      </w:r>
      <w:r w:rsidR="004114C9" w:rsidRPr="00A65CB3">
        <w:rPr>
          <w:rFonts w:ascii="Arial" w:hAnsi="Arial" w:cs="Arial"/>
          <w:sz w:val="24"/>
          <w:szCs w:val="24"/>
          <w:lang w:val="en-US"/>
        </w:rPr>
        <w:lastRenderedPageBreak/>
        <w:t>Commission is enjoined to make a finding within one (1) year, save where</w:t>
      </w:r>
      <w:r w:rsidR="00547ABE" w:rsidRPr="00A65CB3">
        <w:rPr>
          <w:rFonts w:ascii="Arial" w:hAnsi="Arial" w:cs="Arial"/>
          <w:sz w:val="24"/>
          <w:szCs w:val="24"/>
          <w:lang w:val="en-US"/>
        </w:rPr>
        <w:t xml:space="preserve"> </w:t>
      </w:r>
      <w:r w:rsidR="006E3D41" w:rsidRPr="00A65CB3">
        <w:rPr>
          <w:rFonts w:ascii="Arial" w:hAnsi="Arial" w:cs="Arial"/>
          <w:sz w:val="24"/>
          <w:szCs w:val="24"/>
          <w:lang w:val="en-US"/>
        </w:rPr>
        <w:t>regulation</w:t>
      </w:r>
      <w:r w:rsidR="00B63F2C" w:rsidRPr="00A65CB3">
        <w:rPr>
          <w:rFonts w:ascii="Arial" w:hAnsi="Arial" w:cs="Arial"/>
          <w:sz w:val="24"/>
          <w:szCs w:val="24"/>
          <w:lang w:val="en-US"/>
        </w:rPr>
        <w:t xml:space="preserve"> </w:t>
      </w:r>
      <w:r w:rsidR="004114C9" w:rsidRPr="00A65CB3">
        <w:rPr>
          <w:rFonts w:ascii="Arial" w:hAnsi="Arial" w:cs="Arial"/>
          <w:sz w:val="24"/>
          <w:szCs w:val="24"/>
          <w:lang w:val="en-US"/>
        </w:rPr>
        <w:t xml:space="preserve">15(15) is complied with. </w:t>
      </w:r>
    </w:p>
    <w:p w14:paraId="0BC17644" w14:textId="77777777" w:rsidR="004114C9" w:rsidRPr="004114C9" w:rsidRDefault="004114C9" w:rsidP="004114C9">
      <w:pPr>
        <w:pStyle w:val="ListParagraph"/>
        <w:rPr>
          <w:rFonts w:ascii="Arial" w:hAnsi="Arial" w:cs="Arial"/>
          <w:i/>
          <w:iCs/>
          <w:sz w:val="24"/>
          <w:szCs w:val="24"/>
          <w:lang w:val="en-US"/>
        </w:rPr>
      </w:pPr>
    </w:p>
    <w:p w14:paraId="376A4E31" w14:textId="105A560D" w:rsidR="00032B1D" w:rsidRPr="00A65CB3" w:rsidRDefault="00A65CB3" w:rsidP="00A65CB3">
      <w:pPr>
        <w:spacing w:after="0" w:line="360" w:lineRule="auto"/>
        <w:jc w:val="both"/>
        <w:rPr>
          <w:rFonts w:ascii="Arial" w:hAnsi="Arial" w:cs="Arial"/>
          <w:i/>
          <w:iCs/>
          <w:sz w:val="24"/>
          <w:szCs w:val="24"/>
          <w:lang w:val="en-US"/>
        </w:rPr>
      </w:pPr>
      <w:r w:rsidRPr="005A20D2">
        <w:rPr>
          <w:rFonts w:ascii="Arial" w:hAnsi="Arial" w:cs="Arial"/>
          <w:sz w:val="24"/>
          <w:szCs w:val="24"/>
          <w:lang w:val="en-US"/>
        </w:rPr>
        <w:t>[33]</w:t>
      </w:r>
      <w:r w:rsidRPr="005A20D2">
        <w:rPr>
          <w:rFonts w:ascii="Arial" w:hAnsi="Arial" w:cs="Arial"/>
          <w:sz w:val="24"/>
          <w:szCs w:val="24"/>
          <w:lang w:val="en-US"/>
        </w:rPr>
        <w:tab/>
      </w:r>
      <w:r w:rsidR="00D342E2" w:rsidRPr="00A65CB3">
        <w:rPr>
          <w:rFonts w:ascii="Arial" w:hAnsi="Arial" w:cs="Arial"/>
          <w:i/>
          <w:iCs/>
          <w:sz w:val="24"/>
          <w:szCs w:val="24"/>
          <w:lang w:val="en-US"/>
        </w:rPr>
        <w:t xml:space="preserve"> </w:t>
      </w:r>
      <w:r w:rsidR="004114C9" w:rsidRPr="00A65CB3">
        <w:rPr>
          <w:rFonts w:ascii="Arial" w:hAnsi="Arial" w:cs="Arial"/>
          <w:sz w:val="24"/>
          <w:szCs w:val="24"/>
          <w:lang w:val="en-US"/>
        </w:rPr>
        <w:t xml:space="preserve">In </w:t>
      </w:r>
      <w:r w:rsidR="004114C9" w:rsidRPr="00A65CB3">
        <w:rPr>
          <w:rFonts w:ascii="Arial" w:hAnsi="Arial" w:cs="Arial"/>
          <w:i/>
          <w:iCs/>
          <w:sz w:val="24"/>
          <w:szCs w:val="24"/>
          <w:lang w:val="en-US"/>
        </w:rPr>
        <w:t>Pickfords</w:t>
      </w:r>
      <w:r w:rsidR="007B28A5" w:rsidRPr="00A65CB3">
        <w:rPr>
          <w:rFonts w:ascii="Arial" w:hAnsi="Arial" w:cs="Arial"/>
          <w:i/>
          <w:iCs/>
          <w:sz w:val="24"/>
          <w:szCs w:val="24"/>
          <w:lang w:val="en-US"/>
        </w:rPr>
        <w:t xml:space="preserve"> Removals</w:t>
      </w:r>
      <w:r w:rsidR="004114C9" w:rsidRPr="00A65CB3">
        <w:rPr>
          <w:rFonts w:ascii="Arial" w:hAnsi="Arial" w:cs="Arial"/>
          <w:sz w:val="24"/>
          <w:szCs w:val="24"/>
          <w:lang w:val="en-US"/>
        </w:rPr>
        <w:t>, the court dealt with</w:t>
      </w:r>
      <w:r w:rsidR="00032B1D" w:rsidRPr="00A65CB3">
        <w:rPr>
          <w:rFonts w:ascii="Arial" w:hAnsi="Arial" w:cs="Arial"/>
          <w:sz w:val="24"/>
          <w:szCs w:val="24"/>
          <w:lang w:val="en-US"/>
        </w:rPr>
        <w:t xml:space="preserve"> </w:t>
      </w:r>
      <w:r w:rsidR="00A632DD" w:rsidRPr="00A65CB3">
        <w:rPr>
          <w:rFonts w:ascii="Arial" w:hAnsi="Arial" w:cs="Arial"/>
          <w:sz w:val="24"/>
          <w:szCs w:val="24"/>
          <w:lang w:val="en-US"/>
        </w:rPr>
        <w:t>section 67(1) of the Competition Act</w:t>
      </w:r>
      <w:r w:rsidR="00D01B97" w:rsidRPr="00A65CB3">
        <w:rPr>
          <w:rFonts w:ascii="Arial" w:hAnsi="Arial" w:cs="Arial"/>
          <w:sz w:val="24"/>
          <w:szCs w:val="24"/>
          <w:lang w:val="en-US"/>
        </w:rPr>
        <w:t xml:space="preserve"> 89 of 1998 (the Competition Act)</w:t>
      </w:r>
      <w:r w:rsidR="004114C9" w:rsidRPr="00A65CB3">
        <w:rPr>
          <w:rFonts w:ascii="Arial" w:hAnsi="Arial" w:cs="Arial"/>
          <w:sz w:val="24"/>
          <w:szCs w:val="24"/>
          <w:lang w:val="en-US"/>
        </w:rPr>
        <w:t xml:space="preserve">, </w:t>
      </w:r>
      <w:r w:rsidR="00D6092F" w:rsidRPr="00A65CB3">
        <w:rPr>
          <w:rFonts w:ascii="Arial" w:hAnsi="Arial" w:cs="Arial"/>
          <w:sz w:val="24"/>
          <w:szCs w:val="24"/>
          <w:lang w:val="en-US"/>
        </w:rPr>
        <w:t xml:space="preserve">which </w:t>
      </w:r>
      <w:r w:rsidR="00AD0508" w:rsidRPr="00A65CB3">
        <w:rPr>
          <w:rFonts w:ascii="Arial" w:hAnsi="Arial" w:cs="Arial"/>
          <w:sz w:val="24"/>
          <w:szCs w:val="24"/>
          <w:lang w:val="en-US"/>
        </w:rPr>
        <w:t>reads</w:t>
      </w:r>
      <w:r w:rsidR="00D6092F" w:rsidRPr="00A65CB3">
        <w:rPr>
          <w:rFonts w:ascii="Arial" w:hAnsi="Arial" w:cs="Arial"/>
          <w:sz w:val="24"/>
          <w:szCs w:val="24"/>
          <w:lang w:val="en-US"/>
        </w:rPr>
        <w:t>:</w:t>
      </w:r>
      <w:r w:rsidR="00E34E3E" w:rsidRPr="00A65CB3">
        <w:rPr>
          <w:rFonts w:ascii="Arial" w:hAnsi="Arial" w:cs="Arial"/>
          <w:sz w:val="24"/>
          <w:szCs w:val="24"/>
          <w:lang w:val="en-US"/>
        </w:rPr>
        <w:t xml:space="preserve"> “A </w:t>
      </w:r>
      <w:r w:rsidR="00D6092F" w:rsidRPr="00A65CB3">
        <w:rPr>
          <w:rFonts w:ascii="Arial" w:hAnsi="Arial" w:cs="Arial"/>
          <w:sz w:val="24"/>
          <w:szCs w:val="24"/>
          <w:lang w:val="en-US"/>
        </w:rPr>
        <w:t>complaint in respect of a prohibited practice may not be initiated more than three years after the practice has ceased</w:t>
      </w:r>
      <w:r w:rsidR="004114C9" w:rsidRPr="00A65CB3">
        <w:rPr>
          <w:rFonts w:ascii="Arial" w:hAnsi="Arial" w:cs="Arial"/>
          <w:sz w:val="24"/>
          <w:szCs w:val="24"/>
          <w:lang w:val="en-US"/>
        </w:rPr>
        <w:t>.</w:t>
      </w:r>
      <w:r w:rsidR="00D6092F" w:rsidRPr="00A65CB3">
        <w:rPr>
          <w:rFonts w:ascii="Arial" w:hAnsi="Arial" w:cs="Arial"/>
          <w:sz w:val="24"/>
          <w:szCs w:val="24"/>
          <w:lang w:val="en-US"/>
        </w:rPr>
        <w:t>”</w:t>
      </w:r>
      <w:r w:rsidR="00AD0508" w:rsidRPr="00A65CB3">
        <w:rPr>
          <w:rFonts w:ascii="Arial" w:hAnsi="Arial" w:cs="Arial"/>
          <w:sz w:val="24"/>
          <w:szCs w:val="24"/>
          <w:lang w:val="en-US"/>
        </w:rPr>
        <w:t xml:space="preserve"> </w:t>
      </w:r>
      <w:r w:rsidR="004114C9" w:rsidRPr="00A65CB3">
        <w:rPr>
          <w:rFonts w:ascii="Arial" w:hAnsi="Arial" w:cs="Arial"/>
          <w:sz w:val="24"/>
          <w:szCs w:val="24"/>
          <w:lang w:val="en-US"/>
        </w:rPr>
        <w:t>T</w:t>
      </w:r>
      <w:r w:rsidR="00D6092F" w:rsidRPr="00A65CB3">
        <w:rPr>
          <w:rFonts w:ascii="Arial" w:hAnsi="Arial" w:cs="Arial"/>
          <w:sz w:val="24"/>
          <w:szCs w:val="24"/>
          <w:lang w:val="en-US"/>
        </w:rPr>
        <w:t>h</w:t>
      </w:r>
      <w:r w:rsidR="00AD0508" w:rsidRPr="00A65CB3">
        <w:rPr>
          <w:rFonts w:ascii="Arial" w:hAnsi="Arial" w:cs="Arial"/>
          <w:sz w:val="24"/>
          <w:szCs w:val="24"/>
          <w:lang w:val="en-US"/>
        </w:rPr>
        <w:t>e</w:t>
      </w:r>
      <w:r w:rsidR="00D6092F" w:rsidRPr="00A65CB3">
        <w:rPr>
          <w:rFonts w:ascii="Arial" w:hAnsi="Arial" w:cs="Arial"/>
          <w:sz w:val="24"/>
          <w:szCs w:val="24"/>
          <w:lang w:val="en-US"/>
        </w:rPr>
        <w:t xml:space="preserve"> court</w:t>
      </w:r>
      <w:r w:rsidR="00AD0508" w:rsidRPr="00A65CB3">
        <w:rPr>
          <w:rFonts w:ascii="Arial" w:hAnsi="Arial" w:cs="Arial"/>
          <w:sz w:val="24"/>
          <w:szCs w:val="24"/>
          <w:lang w:val="en-US"/>
        </w:rPr>
        <w:t xml:space="preserve"> </w:t>
      </w:r>
      <w:r w:rsidR="00A80388" w:rsidRPr="00A65CB3">
        <w:rPr>
          <w:rFonts w:ascii="Arial" w:hAnsi="Arial" w:cs="Arial"/>
          <w:sz w:val="24"/>
          <w:szCs w:val="24"/>
          <w:lang w:val="en-US"/>
        </w:rPr>
        <w:t>held:</w:t>
      </w:r>
      <w:r w:rsidR="00402500" w:rsidRPr="00A65CB3">
        <w:rPr>
          <w:rFonts w:ascii="Arial" w:hAnsi="Arial" w:cs="Arial"/>
          <w:sz w:val="24"/>
          <w:szCs w:val="24"/>
          <w:lang w:val="en-US"/>
        </w:rPr>
        <w:t xml:space="preserve"> </w:t>
      </w:r>
    </w:p>
    <w:p w14:paraId="668EA4DD" w14:textId="77777777" w:rsidR="005A20D2" w:rsidRPr="00680D39" w:rsidRDefault="005A20D2" w:rsidP="005A20D2">
      <w:pPr>
        <w:pStyle w:val="ListParagraph"/>
        <w:spacing w:after="0" w:line="360" w:lineRule="auto"/>
        <w:ind w:left="0"/>
        <w:jc w:val="both"/>
        <w:rPr>
          <w:rFonts w:ascii="Arial" w:hAnsi="Arial" w:cs="Arial"/>
          <w:i/>
          <w:iCs/>
          <w:sz w:val="24"/>
          <w:szCs w:val="24"/>
          <w:lang w:val="en-US"/>
        </w:rPr>
      </w:pPr>
    </w:p>
    <w:p w14:paraId="27FB03DC" w14:textId="31BAF0EC" w:rsidR="00A80388" w:rsidRPr="00680D39" w:rsidRDefault="00A80388" w:rsidP="00680D39">
      <w:pPr>
        <w:pStyle w:val="NormalWeb"/>
        <w:shd w:val="clear" w:color="auto" w:fill="FFFFFF"/>
        <w:spacing w:before="0" w:beforeAutospacing="0" w:after="0" w:afterAutospacing="0" w:line="360" w:lineRule="auto"/>
        <w:ind w:left="567"/>
        <w:jc w:val="both"/>
        <w:rPr>
          <w:rFonts w:ascii="Arial" w:hAnsi="Arial" w:cs="Arial"/>
          <w:sz w:val="22"/>
          <w:szCs w:val="22"/>
        </w:rPr>
      </w:pPr>
      <w:r w:rsidRPr="00680D39">
        <w:rPr>
          <w:rFonts w:ascii="Arial" w:hAnsi="Arial" w:cs="Arial"/>
          <w:sz w:val="22"/>
          <w:szCs w:val="22"/>
          <w:lang w:val="en-US"/>
        </w:rPr>
        <w:t>“</w:t>
      </w:r>
      <w:r w:rsidRPr="00680D39">
        <w:rPr>
          <w:rFonts w:ascii="Arial" w:hAnsi="Arial" w:cs="Arial"/>
          <w:sz w:val="22"/>
          <w:szCs w:val="22"/>
        </w:rPr>
        <w:t>[32] As I have said, this aspect is interlinked with the question of condonation, but I find it convenient to discuss these aspects separately.  In this Court, the Commission abandoned its argument that the knowledge requirement in section 12(3) of the Prescription Act should be read into </w:t>
      </w:r>
      <w:hyperlink r:id="rId9" w:anchor="s67" w:history="1">
        <w:r w:rsidRPr="00680D39">
          <w:rPr>
            <w:rStyle w:val="Hyperlink"/>
            <w:rFonts w:ascii="Arial" w:hAnsi="Arial" w:cs="Arial"/>
            <w:color w:val="auto"/>
            <w:sz w:val="22"/>
            <w:szCs w:val="22"/>
            <w:u w:val="none"/>
          </w:rPr>
          <w:t>section 67(1)</w:t>
        </w:r>
      </w:hyperlink>
      <w:r w:rsidRPr="00680D39">
        <w:rPr>
          <w:rFonts w:ascii="Arial" w:hAnsi="Arial" w:cs="Arial"/>
          <w:sz w:val="22"/>
          <w:szCs w:val="22"/>
        </w:rPr>
        <w:t> of the </w:t>
      </w:r>
      <w:hyperlink r:id="rId10" w:history="1">
        <w:r w:rsidRPr="00680D39">
          <w:rPr>
            <w:rStyle w:val="Hyperlink"/>
            <w:rFonts w:ascii="Arial" w:hAnsi="Arial" w:cs="Arial"/>
            <w:color w:val="auto"/>
            <w:sz w:val="22"/>
            <w:szCs w:val="22"/>
            <w:u w:val="none"/>
          </w:rPr>
          <w:t>Competition Act.  It</w:t>
        </w:r>
      </w:hyperlink>
      <w:r w:rsidRPr="00680D39">
        <w:rPr>
          <w:rFonts w:ascii="Arial" w:hAnsi="Arial" w:cs="Arial"/>
          <w:sz w:val="22"/>
          <w:szCs w:val="22"/>
        </w:rPr>
        <w:t> argued instead, that the provision merely provides a useful comparison.  It further argued that </w:t>
      </w:r>
      <w:hyperlink r:id="rId11" w:anchor="s67" w:history="1">
        <w:r w:rsidRPr="00680D39">
          <w:rPr>
            <w:rStyle w:val="Hyperlink"/>
            <w:rFonts w:ascii="Arial" w:hAnsi="Arial" w:cs="Arial"/>
            <w:color w:val="auto"/>
            <w:sz w:val="22"/>
            <w:szCs w:val="22"/>
            <w:u w:val="none"/>
          </w:rPr>
          <w:t>section 67(1)</w:t>
        </w:r>
      </w:hyperlink>
      <w:r w:rsidRPr="00680D39">
        <w:rPr>
          <w:rFonts w:ascii="Arial" w:hAnsi="Arial" w:cs="Arial"/>
          <w:sz w:val="22"/>
          <w:szCs w:val="22"/>
        </w:rPr>
        <w:t> of the </w:t>
      </w:r>
      <w:hyperlink r:id="rId12" w:history="1">
        <w:r w:rsidRPr="00680D39">
          <w:rPr>
            <w:rStyle w:val="Hyperlink"/>
            <w:rFonts w:ascii="Arial" w:hAnsi="Arial" w:cs="Arial"/>
            <w:color w:val="auto"/>
            <w:sz w:val="22"/>
            <w:szCs w:val="22"/>
            <w:u w:val="none"/>
          </w:rPr>
          <w:t>Competition Act is</w:t>
        </w:r>
      </w:hyperlink>
      <w:r w:rsidRPr="00680D39">
        <w:rPr>
          <w:rFonts w:ascii="Arial" w:hAnsi="Arial" w:cs="Arial"/>
          <w:sz w:val="22"/>
          <w:szCs w:val="22"/>
        </w:rPr>
        <w:t> open to two possible interpretations:</w:t>
      </w:r>
    </w:p>
    <w:p w14:paraId="63CFDCB2" w14:textId="01B188C5" w:rsidR="00A80388" w:rsidRPr="00680D39" w:rsidRDefault="00A80388" w:rsidP="00680D39">
      <w:pPr>
        <w:pStyle w:val="NormalWeb"/>
        <w:shd w:val="clear" w:color="auto" w:fill="FFFFFF"/>
        <w:spacing w:before="0" w:beforeAutospacing="0" w:after="0" w:afterAutospacing="0" w:line="360" w:lineRule="auto"/>
        <w:ind w:left="567"/>
        <w:jc w:val="both"/>
        <w:rPr>
          <w:rFonts w:ascii="Arial" w:hAnsi="Arial" w:cs="Arial"/>
          <w:sz w:val="22"/>
          <w:szCs w:val="22"/>
        </w:rPr>
      </w:pPr>
      <w:r w:rsidRPr="00680D39">
        <w:rPr>
          <w:rFonts w:ascii="Arial" w:hAnsi="Arial" w:cs="Arial"/>
          <w:sz w:val="22"/>
          <w:szCs w:val="22"/>
        </w:rPr>
        <w:t xml:space="preserve">(a) first, it is a substantive time-bar, </w:t>
      </w:r>
      <w:r w:rsidR="005375C7" w:rsidRPr="00680D39">
        <w:rPr>
          <w:rFonts w:ascii="Arial" w:hAnsi="Arial" w:cs="Arial"/>
          <w:sz w:val="22"/>
          <w:szCs w:val="22"/>
        </w:rPr>
        <w:t>i.e.,</w:t>
      </w:r>
      <w:r w:rsidRPr="00680D39">
        <w:rPr>
          <w:rFonts w:ascii="Arial" w:hAnsi="Arial" w:cs="Arial"/>
          <w:sz w:val="22"/>
          <w:szCs w:val="22"/>
        </w:rPr>
        <w:t xml:space="preserve"> a prescription provision proper, which places an absolute prohibition on the initiation of a complaint in respect of a prohibited practice more than three years after the cessation of that practice; or</w:t>
      </w:r>
    </w:p>
    <w:p w14:paraId="38528755" w14:textId="6A900AED" w:rsidR="00A80388" w:rsidRPr="00680D39" w:rsidRDefault="00A80388" w:rsidP="00680D39">
      <w:pPr>
        <w:pStyle w:val="NormalWeb"/>
        <w:shd w:val="clear" w:color="auto" w:fill="FFFFFF"/>
        <w:spacing w:before="0" w:beforeAutospacing="0" w:after="0" w:afterAutospacing="0" w:line="360" w:lineRule="auto"/>
        <w:ind w:left="567"/>
        <w:jc w:val="both"/>
        <w:rPr>
          <w:rFonts w:ascii="Arial" w:hAnsi="Arial" w:cs="Arial"/>
          <w:sz w:val="22"/>
          <w:szCs w:val="22"/>
        </w:rPr>
      </w:pPr>
      <w:r w:rsidRPr="00680D39">
        <w:rPr>
          <w:rFonts w:ascii="Arial" w:hAnsi="Arial" w:cs="Arial"/>
          <w:sz w:val="22"/>
          <w:szCs w:val="22"/>
        </w:rPr>
        <w:t>(b) second, it is merely a procedural time-bar, which can be condoned by the Tribunal in terms of its powers in </w:t>
      </w:r>
      <w:hyperlink r:id="rId13" w:anchor="s58" w:history="1">
        <w:r w:rsidRPr="00680D39">
          <w:rPr>
            <w:rStyle w:val="Hyperlink"/>
            <w:rFonts w:ascii="Arial" w:hAnsi="Arial" w:cs="Arial"/>
            <w:color w:val="auto"/>
            <w:sz w:val="22"/>
            <w:szCs w:val="22"/>
            <w:u w:val="none"/>
          </w:rPr>
          <w:t>section 58(1)(c)(ii)</w:t>
        </w:r>
      </w:hyperlink>
      <w:r w:rsidRPr="00680D39">
        <w:rPr>
          <w:rFonts w:ascii="Arial" w:hAnsi="Arial" w:cs="Arial"/>
          <w:sz w:val="22"/>
          <w:szCs w:val="22"/>
        </w:rPr>
        <w:t> of the </w:t>
      </w:r>
      <w:hyperlink r:id="rId14" w:history="1">
        <w:r w:rsidRPr="00680D39">
          <w:rPr>
            <w:rStyle w:val="Hyperlink"/>
            <w:rFonts w:ascii="Arial" w:hAnsi="Arial" w:cs="Arial"/>
            <w:color w:val="auto"/>
            <w:sz w:val="22"/>
            <w:szCs w:val="22"/>
            <w:u w:val="none"/>
          </w:rPr>
          <w:t>Competition Act, </w:t>
        </w:r>
      </w:hyperlink>
      <w:hyperlink r:id="rId15" w:history="1">
        <w:r w:rsidRPr="00680D39">
          <w:rPr>
            <w:rStyle w:val="Hyperlink"/>
            <w:rFonts w:ascii="Arial" w:hAnsi="Arial" w:cs="Arial"/>
            <w:color w:val="auto"/>
            <w:sz w:val="22"/>
            <w:szCs w:val="22"/>
            <w:u w:val="none"/>
          </w:rPr>
          <w:t>provi</w:t>
        </w:r>
      </w:hyperlink>
      <w:r w:rsidRPr="00680D39">
        <w:rPr>
          <w:rFonts w:ascii="Arial" w:hAnsi="Arial" w:cs="Arial"/>
          <w:sz w:val="22"/>
          <w:szCs w:val="22"/>
        </w:rPr>
        <w:t>ded that good cause is shown.</w:t>
      </w:r>
      <w:r w:rsidR="00AD0508">
        <w:rPr>
          <w:rFonts w:ascii="Arial" w:hAnsi="Arial" w:cs="Arial"/>
          <w:sz w:val="22"/>
          <w:szCs w:val="22"/>
        </w:rPr>
        <w:t>”</w:t>
      </w:r>
      <w:r w:rsidRPr="00680D39">
        <w:rPr>
          <w:rStyle w:val="FootnoteReference"/>
          <w:rFonts w:ascii="Arial" w:hAnsi="Arial" w:cs="Arial"/>
          <w:sz w:val="22"/>
          <w:szCs w:val="22"/>
        </w:rPr>
        <w:footnoteReference w:id="12"/>
      </w:r>
    </w:p>
    <w:p w14:paraId="5A6942E3" w14:textId="3A3800EA" w:rsidR="00A80388" w:rsidRPr="00680D39" w:rsidRDefault="00A80388" w:rsidP="00680D39">
      <w:pPr>
        <w:spacing w:after="0" w:line="360" w:lineRule="auto"/>
        <w:ind w:left="567"/>
        <w:jc w:val="both"/>
        <w:rPr>
          <w:rFonts w:ascii="Arial" w:hAnsi="Arial" w:cs="Arial"/>
          <w:i/>
          <w:iCs/>
          <w:lang w:val="en-US"/>
        </w:rPr>
      </w:pPr>
    </w:p>
    <w:p w14:paraId="7BEA5197" w14:textId="3AA56757" w:rsidR="005375C7" w:rsidRPr="00A65CB3" w:rsidRDefault="00A65CB3" w:rsidP="00A65CB3">
      <w:pPr>
        <w:spacing w:after="0" w:line="360" w:lineRule="auto"/>
        <w:jc w:val="both"/>
        <w:rPr>
          <w:rFonts w:ascii="Arial" w:hAnsi="Arial" w:cs="Arial"/>
          <w:sz w:val="24"/>
          <w:szCs w:val="24"/>
          <w:lang w:val="en-US"/>
        </w:rPr>
      </w:pPr>
      <w:r w:rsidRPr="00AD0508">
        <w:rPr>
          <w:rFonts w:ascii="Arial" w:hAnsi="Arial" w:cs="Arial"/>
          <w:sz w:val="24"/>
          <w:szCs w:val="24"/>
          <w:lang w:val="en-US"/>
        </w:rPr>
        <w:t>[34]</w:t>
      </w:r>
      <w:r w:rsidRPr="00AD0508">
        <w:rPr>
          <w:rFonts w:ascii="Arial" w:hAnsi="Arial" w:cs="Arial"/>
          <w:sz w:val="24"/>
          <w:szCs w:val="24"/>
          <w:lang w:val="en-US"/>
        </w:rPr>
        <w:tab/>
      </w:r>
      <w:r w:rsidR="00952F45" w:rsidRPr="00A65CB3">
        <w:rPr>
          <w:rFonts w:ascii="Arial" w:hAnsi="Arial" w:cs="Arial"/>
          <w:sz w:val="24"/>
          <w:szCs w:val="24"/>
          <w:lang w:val="en-US"/>
        </w:rPr>
        <w:t>Counsel submit</w:t>
      </w:r>
      <w:r w:rsidR="00D15214" w:rsidRPr="00A65CB3">
        <w:rPr>
          <w:rFonts w:ascii="Arial" w:hAnsi="Arial" w:cs="Arial"/>
          <w:sz w:val="24"/>
          <w:szCs w:val="24"/>
          <w:lang w:val="en-US"/>
        </w:rPr>
        <w:t>s</w:t>
      </w:r>
      <w:r w:rsidR="00873053" w:rsidRPr="00A65CB3">
        <w:rPr>
          <w:rFonts w:ascii="Arial" w:hAnsi="Arial" w:cs="Arial"/>
          <w:sz w:val="24"/>
          <w:szCs w:val="24"/>
          <w:lang w:val="en-US"/>
        </w:rPr>
        <w:t xml:space="preserve"> that regulation 15(4) should be viewed as a procedural time</w:t>
      </w:r>
      <w:r w:rsidR="00AD0508" w:rsidRPr="00A65CB3">
        <w:rPr>
          <w:rFonts w:ascii="Arial" w:hAnsi="Arial" w:cs="Arial"/>
          <w:sz w:val="24"/>
          <w:szCs w:val="24"/>
          <w:lang w:val="en-US"/>
        </w:rPr>
        <w:t>-</w:t>
      </w:r>
      <w:r w:rsidR="00873053" w:rsidRPr="00A65CB3">
        <w:rPr>
          <w:rFonts w:ascii="Arial" w:hAnsi="Arial" w:cs="Arial"/>
          <w:sz w:val="24"/>
          <w:szCs w:val="24"/>
          <w:lang w:val="en-US"/>
        </w:rPr>
        <w:t>bar, which can be cond</w:t>
      </w:r>
      <w:r w:rsidR="000A6C7B" w:rsidRPr="00A65CB3">
        <w:rPr>
          <w:rFonts w:ascii="Arial" w:hAnsi="Arial" w:cs="Arial"/>
          <w:sz w:val="24"/>
          <w:szCs w:val="24"/>
          <w:lang w:val="en-US"/>
        </w:rPr>
        <w:t xml:space="preserve">oned by the </w:t>
      </w:r>
      <w:r w:rsidR="008634C7" w:rsidRPr="00A65CB3">
        <w:rPr>
          <w:rFonts w:ascii="Arial" w:hAnsi="Arial" w:cs="Arial"/>
          <w:sz w:val="24"/>
          <w:szCs w:val="24"/>
          <w:lang w:val="en-US"/>
        </w:rPr>
        <w:t>C</w:t>
      </w:r>
      <w:r w:rsidR="000A6C7B" w:rsidRPr="00A65CB3">
        <w:rPr>
          <w:rFonts w:ascii="Arial" w:hAnsi="Arial" w:cs="Arial"/>
          <w:sz w:val="24"/>
          <w:szCs w:val="24"/>
          <w:lang w:val="en-US"/>
        </w:rPr>
        <w:t>ommission.</w:t>
      </w:r>
      <w:r w:rsidR="00954DDA" w:rsidRPr="00A65CB3">
        <w:rPr>
          <w:rFonts w:ascii="Arial" w:hAnsi="Arial" w:cs="Arial"/>
          <w:sz w:val="24"/>
          <w:szCs w:val="24"/>
          <w:lang w:val="en-US"/>
        </w:rPr>
        <w:t xml:space="preserve"> C</w:t>
      </w:r>
      <w:r w:rsidR="00464251" w:rsidRPr="00A65CB3">
        <w:rPr>
          <w:rFonts w:ascii="Arial" w:hAnsi="Arial" w:cs="Arial"/>
          <w:sz w:val="24"/>
          <w:szCs w:val="24"/>
          <w:lang w:val="en-US"/>
        </w:rPr>
        <w:t>ontr</w:t>
      </w:r>
      <w:r w:rsidR="00204FEC" w:rsidRPr="00A65CB3">
        <w:rPr>
          <w:rFonts w:ascii="Arial" w:hAnsi="Arial" w:cs="Arial"/>
          <w:sz w:val="24"/>
          <w:szCs w:val="24"/>
          <w:lang w:val="en-US"/>
        </w:rPr>
        <w:t>ary</w:t>
      </w:r>
      <w:r w:rsidR="00464251" w:rsidRPr="00A65CB3">
        <w:rPr>
          <w:rFonts w:ascii="Arial" w:hAnsi="Arial" w:cs="Arial"/>
          <w:sz w:val="24"/>
          <w:szCs w:val="24"/>
          <w:lang w:val="en-US"/>
        </w:rPr>
        <w:t xml:space="preserve"> to the Competition Act which </w:t>
      </w:r>
      <w:r w:rsidR="00204FEC" w:rsidRPr="00A65CB3">
        <w:rPr>
          <w:rFonts w:ascii="Arial" w:hAnsi="Arial" w:cs="Arial"/>
          <w:sz w:val="24"/>
          <w:szCs w:val="24"/>
          <w:lang w:val="en-US"/>
        </w:rPr>
        <w:t xml:space="preserve">contains </w:t>
      </w:r>
      <w:r w:rsidR="00464251" w:rsidRPr="00A65CB3">
        <w:rPr>
          <w:rFonts w:ascii="Arial" w:hAnsi="Arial" w:cs="Arial"/>
          <w:sz w:val="24"/>
          <w:szCs w:val="24"/>
          <w:lang w:val="en-US"/>
        </w:rPr>
        <w:t>section 58</w:t>
      </w:r>
      <w:r w:rsidR="00954DDA" w:rsidRPr="00A65CB3">
        <w:rPr>
          <w:rFonts w:ascii="Arial" w:hAnsi="Arial" w:cs="Arial"/>
          <w:sz w:val="24"/>
          <w:szCs w:val="24"/>
          <w:lang w:val="en-US"/>
        </w:rPr>
        <w:t>(1)(c)(ii),</w:t>
      </w:r>
      <w:r w:rsidR="00464251" w:rsidRPr="00A65CB3">
        <w:rPr>
          <w:rFonts w:ascii="Arial" w:hAnsi="Arial" w:cs="Arial"/>
          <w:sz w:val="24"/>
          <w:szCs w:val="24"/>
          <w:lang w:val="en-US"/>
        </w:rPr>
        <w:t xml:space="preserve"> </w:t>
      </w:r>
      <w:r w:rsidR="0073581D" w:rsidRPr="00A65CB3">
        <w:rPr>
          <w:rFonts w:ascii="Arial" w:hAnsi="Arial" w:cs="Arial"/>
          <w:sz w:val="24"/>
          <w:szCs w:val="24"/>
          <w:lang w:val="en-US"/>
        </w:rPr>
        <w:t>the B-BBEE</w:t>
      </w:r>
      <w:r w:rsidR="00204FEC" w:rsidRPr="00A65CB3">
        <w:rPr>
          <w:rFonts w:ascii="Arial" w:hAnsi="Arial" w:cs="Arial"/>
          <w:sz w:val="24"/>
          <w:szCs w:val="24"/>
          <w:lang w:val="en-US"/>
        </w:rPr>
        <w:t xml:space="preserve">’s </w:t>
      </w:r>
      <w:r w:rsidR="004B2CCA" w:rsidRPr="00A65CB3">
        <w:rPr>
          <w:rFonts w:ascii="Arial" w:hAnsi="Arial" w:cs="Arial"/>
          <w:sz w:val="24"/>
          <w:szCs w:val="24"/>
          <w:lang w:val="en-US"/>
        </w:rPr>
        <w:t>regulation 4</w:t>
      </w:r>
      <w:r w:rsidR="00177D19" w:rsidRPr="00A65CB3">
        <w:rPr>
          <w:rFonts w:ascii="Arial" w:hAnsi="Arial" w:cs="Arial"/>
          <w:sz w:val="24"/>
          <w:szCs w:val="24"/>
          <w:lang w:val="en-US"/>
        </w:rPr>
        <w:t xml:space="preserve"> </w:t>
      </w:r>
      <w:r w:rsidR="004B2CCA" w:rsidRPr="00A65CB3">
        <w:rPr>
          <w:rFonts w:ascii="Arial" w:hAnsi="Arial" w:cs="Arial"/>
          <w:sz w:val="24"/>
          <w:szCs w:val="24"/>
          <w:lang w:val="en-US"/>
        </w:rPr>
        <w:t>contemplates condonation</w:t>
      </w:r>
      <w:r w:rsidR="00AD0508" w:rsidRPr="00A65CB3">
        <w:rPr>
          <w:rFonts w:ascii="Arial" w:hAnsi="Arial" w:cs="Arial"/>
          <w:sz w:val="24"/>
          <w:szCs w:val="24"/>
          <w:lang w:val="en-US"/>
        </w:rPr>
        <w:t xml:space="preserve"> of time limit</w:t>
      </w:r>
      <w:r w:rsidR="00204FEC" w:rsidRPr="00A65CB3">
        <w:rPr>
          <w:rFonts w:ascii="Arial" w:hAnsi="Arial" w:cs="Arial"/>
          <w:sz w:val="24"/>
          <w:szCs w:val="24"/>
          <w:lang w:val="en-US"/>
        </w:rPr>
        <w:t xml:space="preserve">s </w:t>
      </w:r>
      <w:r w:rsidR="00AD0508" w:rsidRPr="00A65CB3">
        <w:rPr>
          <w:rFonts w:ascii="Arial" w:hAnsi="Arial" w:cs="Arial"/>
          <w:sz w:val="24"/>
          <w:szCs w:val="24"/>
          <w:lang w:val="en-US"/>
        </w:rPr>
        <w:t>on good cause shown,</w:t>
      </w:r>
      <w:r w:rsidR="004B2CCA" w:rsidRPr="00A65CB3">
        <w:rPr>
          <w:rFonts w:ascii="Arial" w:hAnsi="Arial" w:cs="Arial"/>
          <w:sz w:val="24"/>
          <w:szCs w:val="24"/>
          <w:lang w:val="en-US"/>
        </w:rPr>
        <w:t xml:space="preserve"> </w:t>
      </w:r>
      <w:r w:rsidR="00204FEC" w:rsidRPr="00A65CB3">
        <w:rPr>
          <w:rFonts w:ascii="Arial" w:hAnsi="Arial" w:cs="Arial"/>
          <w:sz w:val="24"/>
          <w:szCs w:val="24"/>
          <w:lang w:val="en-US"/>
        </w:rPr>
        <w:t>save</w:t>
      </w:r>
      <w:r w:rsidR="00AD0508" w:rsidRPr="00A65CB3">
        <w:rPr>
          <w:rFonts w:ascii="Arial" w:hAnsi="Arial" w:cs="Arial"/>
          <w:sz w:val="24"/>
          <w:szCs w:val="24"/>
          <w:lang w:val="en-US"/>
        </w:rPr>
        <w:t xml:space="preserve"> where the</w:t>
      </w:r>
      <w:r w:rsidR="004B2CCA" w:rsidRPr="00A65CB3">
        <w:rPr>
          <w:rFonts w:ascii="Arial" w:hAnsi="Arial" w:cs="Arial"/>
          <w:sz w:val="24"/>
          <w:szCs w:val="24"/>
          <w:lang w:val="en-US"/>
        </w:rPr>
        <w:t xml:space="preserve"> time limit </w:t>
      </w:r>
      <w:r w:rsidR="00AD0508" w:rsidRPr="00A65CB3">
        <w:rPr>
          <w:rFonts w:ascii="Arial" w:hAnsi="Arial" w:cs="Arial"/>
          <w:sz w:val="24"/>
          <w:szCs w:val="24"/>
          <w:lang w:val="en-US"/>
        </w:rPr>
        <w:t>is binding on the</w:t>
      </w:r>
      <w:r w:rsidR="004B2CCA" w:rsidRPr="00A65CB3">
        <w:rPr>
          <w:rFonts w:ascii="Arial" w:hAnsi="Arial" w:cs="Arial"/>
          <w:sz w:val="24"/>
          <w:szCs w:val="24"/>
          <w:lang w:val="en-US"/>
        </w:rPr>
        <w:t xml:space="preserve"> </w:t>
      </w:r>
      <w:r w:rsidR="00AA3301" w:rsidRPr="00A65CB3">
        <w:rPr>
          <w:rFonts w:ascii="Arial" w:hAnsi="Arial" w:cs="Arial"/>
          <w:sz w:val="24"/>
          <w:szCs w:val="24"/>
          <w:lang w:val="en-US"/>
        </w:rPr>
        <w:t>C</w:t>
      </w:r>
      <w:r w:rsidR="004B2CCA" w:rsidRPr="00A65CB3">
        <w:rPr>
          <w:rFonts w:ascii="Arial" w:hAnsi="Arial" w:cs="Arial"/>
          <w:sz w:val="24"/>
          <w:szCs w:val="24"/>
          <w:lang w:val="en-US"/>
        </w:rPr>
        <w:t>ommission itself</w:t>
      </w:r>
      <w:r w:rsidR="00701025" w:rsidRPr="00A65CB3">
        <w:rPr>
          <w:rFonts w:ascii="Arial" w:hAnsi="Arial" w:cs="Arial"/>
          <w:sz w:val="24"/>
          <w:szCs w:val="24"/>
          <w:lang w:val="en-US"/>
        </w:rPr>
        <w:t>.</w:t>
      </w:r>
    </w:p>
    <w:p w14:paraId="27A88BEF" w14:textId="080D28FE" w:rsidR="005375C7" w:rsidRPr="00680D39" w:rsidRDefault="004770D0" w:rsidP="00680D39">
      <w:pPr>
        <w:pStyle w:val="ListParagraph"/>
        <w:spacing w:after="0" w:line="360" w:lineRule="auto"/>
        <w:ind w:left="0"/>
        <w:jc w:val="both"/>
        <w:rPr>
          <w:rFonts w:ascii="Arial" w:hAnsi="Arial" w:cs="Arial"/>
          <w:sz w:val="24"/>
          <w:szCs w:val="24"/>
          <w:lang w:val="en-US"/>
        </w:rPr>
      </w:pPr>
      <w:r w:rsidRPr="00680D39">
        <w:rPr>
          <w:rFonts w:ascii="Arial" w:hAnsi="Arial" w:cs="Arial"/>
          <w:sz w:val="24"/>
          <w:szCs w:val="24"/>
          <w:lang w:val="en-US"/>
        </w:rPr>
        <w:t xml:space="preserve"> </w:t>
      </w:r>
    </w:p>
    <w:p w14:paraId="31F96EEB" w14:textId="36F6CC4C" w:rsidR="0003169C"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0953BF" w:rsidRPr="00A65CB3">
        <w:rPr>
          <w:rFonts w:ascii="Arial" w:hAnsi="Arial" w:cs="Arial"/>
          <w:sz w:val="24"/>
          <w:szCs w:val="24"/>
          <w:lang w:val="en-US"/>
        </w:rPr>
        <w:t>In rebuttal,  c</w:t>
      </w:r>
      <w:r w:rsidR="0066761A" w:rsidRPr="00A65CB3">
        <w:rPr>
          <w:rFonts w:ascii="Arial" w:hAnsi="Arial" w:cs="Arial"/>
          <w:sz w:val="24"/>
          <w:szCs w:val="24"/>
          <w:lang w:val="en-US"/>
        </w:rPr>
        <w:t>ounsel for the applicant</w:t>
      </w:r>
      <w:r w:rsidR="00C17637" w:rsidRPr="00A65CB3">
        <w:rPr>
          <w:rFonts w:ascii="Arial" w:hAnsi="Arial" w:cs="Arial"/>
          <w:sz w:val="24"/>
          <w:szCs w:val="24"/>
          <w:lang w:val="en-US"/>
        </w:rPr>
        <w:t>s</w:t>
      </w:r>
      <w:r w:rsidR="0066761A" w:rsidRPr="00A65CB3">
        <w:rPr>
          <w:rFonts w:ascii="Arial" w:hAnsi="Arial" w:cs="Arial"/>
          <w:sz w:val="24"/>
          <w:szCs w:val="24"/>
          <w:lang w:val="en-US"/>
        </w:rPr>
        <w:t xml:space="preserve"> refer</w:t>
      </w:r>
      <w:r w:rsidR="00D15214" w:rsidRPr="00A65CB3">
        <w:rPr>
          <w:rFonts w:ascii="Arial" w:hAnsi="Arial" w:cs="Arial"/>
          <w:sz w:val="24"/>
          <w:szCs w:val="24"/>
          <w:lang w:val="en-US"/>
        </w:rPr>
        <w:t>s</w:t>
      </w:r>
      <w:r w:rsidR="0066761A" w:rsidRPr="00A65CB3">
        <w:rPr>
          <w:rFonts w:ascii="Arial" w:hAnsi="Arial" w:cs="Arial"/>
          <w:sz w:val="24"/>
          <w:szCs w:val="24"/>
          <w:lang w:val="en-US"/>
        </w:rPr>
        <w:t xml:space="preserve"> to the matter of </w:t>
      </w:r>
      <w:r w:rsidR="001148A3" w:rsidRPr="00A65CB3">
        <w:rPr>
          <w:rFonts w:ascii="Arial" w:hAnsi="Arial" w:cs="Arial"/>
          <w:i/>
          <w:iCs/>
          <w:sz w:val="24"/>
          <w:szCs w:val="24"/>
          <w:lang w:val="en-US"/>
        </w:rPr>
        <w:t>Sasol Oil Limited v The B-BEE Commission and others</w:t>
      </w:r>
      <w:r w:rsidR="004114C9" w:rsidRPr="00A65CB3">
        <w:rPr>
          <w:rFonts w:ascii="Arial" w:hAnsi="Arial" w:cs="Arial"/>
          <w:i/>
          <w:iCs/>
          <w:sz w:val="24"/>
          <w:szCs w:val="24"/>
          <w:lang w:val="en-US"/>
        </w:rPr>
        <w:t>.</w:t>
      </w:r>
      <w:r w:rsidR="001148A3" w:rsidRPr="00680D39">
        <w:rPr>
          <w:rStyle w:val="FootnoteReference"/>
          <w:rFonts w:ascii="Arial" w:hAnsi="Arial" w:cs="Arial"/>
          <w:i/>
          <w:iCs/>
          <w:sz w:val="24"/>
          <w:szCs w:val="24"/>
          <w:lang w:val="en-US"/>
        </w:rPr>
        <w:footnoteReference w:id="13"/>
      </w:r>
      <w:r w:rsidR="00464251" w:rsidRPr="00A65CB3">
        <w:rPr>
          <w:rFonts w:ascii="Arial" w:hAnsi="Arial" w:cs="Arial"/>
          <w:sz w:val="24"/>
          <w:szCs w:val="24"/>
          <w:lang w:val="en-US"/>
        </w:rPr>
        <w:t xml:space="preserve"> </w:t>
      </w:r>
      <w:r w:rsidR="00F00174" w:rsidRPr="00A65CB3">
        <w:rPr>
          <w:rFonts w:ascii="Arial" w:hAnsi="Arial" w:cs="Arial"/>
          <w:sz w:val="24"/>
          <w:szCs w:val="24"/>
          <w:lang w:val="en-US"/>
        </w:rPr>
        <w:t>My brother Baqwa J was confronted with</w:t>
      </w:r>
      <w:r w:rsidR="00406A41" w:rsidRPr="00A65CB3">
        <w:rPr>
          <w:rFonts w:ascii="Arial" w:hAnsi="Arial" w:cs="Arial"/>
          <w:sz w:val="24"/>
          <w:szCs w:val="24"/>
          <w:lang w:val="en-US"/>
        </w:rPr>
        <w:t xml:space="preserve"> the </w:t>
      </w:r>
      <w:r w:rsidR="00384643" w:rsidRPr="00A65CB3">
        <w:rPr>
          <w:rFonts w:ascii="Arial" w:hAnsi="Arial" w:cs="Arial"/>
          <w:sz w:val="24"/>
          <w:szCs w:val="24"/>
          <w:lang w:val="en-US"/>
        </w:rPr>
        <w:t xml:space="preserve">same </w:t>
      </w:r>
      <w:r w:rsidR="00406A41" w:rsidRPr="00A65CB3">
        <w:rPr>
          <w:rFonts w:ascii="Arial" w:hAnsi="Arial" w:cs="Arial"/>
          <w:sz w:val="24"/>
          <w:szCs w:val="24"/>
          <w:lang w:val="en-US"/>
        </w:rPr>
        <w:t xml:space="preserve">time-barring challenge. </w:t>
      </w:r>
      <w:r w:rsidR="0003169C" w:rsidRPr="00A65CB3">
        <w:rPr>
          <w:rFonts w:ascii="Arial" w:hAnsi="Arial" w:cs="Arial"/>
          <w:sz w:val="24"/>
          <w:szCs w:val="24"/>
          <w:lang w:val="en-US"/>
        </w:rPr>
        <w:t>Notwithstanding that the Commission</w:t>
      </w:r>
      <w:r w:rsidR="00F079C9" w:rsidRPr="00A65CB3">
        <w:rPr>
          <w:rFonts w:ascii="Arial" w:hAnsi="Arial" w:cs="Arial"/>
          <w:sz w:val="24"/>
          <w:szCs w:val="24"/>
          <w:lang w:val="en-US"/>
        </w:rPr>
        <w:t xml:space="preserve"> had</w:t>
      </w:r>
      <w:r w:rsidR="0003169C" w:rsidRPr="00A65CB3">
        <w:rPr>
          <w:rFonts w:ascii="Arial" w:hAnsi="Arial" w:cs="Arial"/>
          <w:sz w:val="24"/>
          <w:szCs w:val="24"/>
          <w:lang w:val="en-US"/>
        </w:rPr>
        <w:t xml:space="preserve"> notified the complainant of the need for more time, unlike in this case</w:t>
      </w:r>
      <w:r w:rsidR="00C17637" w:rsidRPr="00A65CB3">
        <w:rPr>
          <w:rFonts w:ascii="Arial" w:hAnsi="Arial" w:cs="Arial"/>
          <w:sz w:val="24"/>
          <w:szCs w:val="24"/>
          <w:lang w:val="en-US"/>
        </w:rPr>
        <w:t>, the court held</w:t>
      </w:r>
      <w:r w:rsidR="0003169C" w:rsidRPr="00A65CB3">
        <w:rPr>
          <w:rFonts w:ascii="Arial" w:hAnsi="Arial" w:cs="Arial"/>
          <w:sz w:val="24"/>
          <w:szCs w:val="24"/>
          <w:lang w:val="en-US"/>
        </w:rPr>
        <w:t>: “…t</w:t>
      </w:r>
      <w:r w:rsidR="0003169C" w:rsidRPr="00A65CB3">
        <w:rPr>
          <w:rFonts w:ascii="Arial" w:hAnsi="Arial" w:cs="Arial"/>
          <w:sz w:val="24"/>
          <w:szCs w:val="24"/>
        </w:rPr>
        <w:t xml:space="preserve">he Commission’s findings are reviewable in terms of section 6(2) of PAJA in that a mandatory and material condition prescribed by the empowering provision was not </w:t>
      </w:r>
      <w:r w:rsidR="0003169C" w:rsidRPr="00A65CB3">
        <w:rPr>
          <w:rFonts w:ascii="Arial" w:hAnsi="Arial" w:cs="Arial"/>
          <w:sz w:val="24"/>
          <w:szCs w:val="24"/>
        </w:rPr>
        <w:lastRenderedPageBreak/>
        <w:t>complied with within the meaning of section 6(2)(b) and that the findings themselves contravened regulation 15(4) of the BEE Regulations within the meaning of section 6(2)(f)(i).”</w:t>
      </w:r>
      <w:r w:rsidR="0003169C" w:rsidRPr="00A65CB3">
        <w:rPr>
          <w:rFonts w:ascii="Arial" w:hAnsi="Arial" w:cs="Arial"/>
          <w:sz w:val="24"/>
          <w:szCs w:val="24"/>
          <w:lang w:val="en-US"/>
        </w:rPr>
        <w:t xml:space="preserve"> </w:t>
      </w:r>
    </w:p>
    <w:p w14:paraId="4920FD3F" w14:textId="77777777" w:rsidR="0003169C" w:rsidRPr="0003169C" w:rsidRDefault="0003169C" w:rsidP="0003169C">
      <w:pPr>
        <w:pStyle w:val="ListParagraph"/>
        <w:rPr>
          <w:rFonts w:ascii="Arial" w:hAnsi="Arial" w:cs="Arial"/>
          <w:sz w:val="24"/>
          <w:szCs w:val="24"/>
          <w:lang w:val="en-US"/>
        </w:rPr>
      </w:pPr>
    </w:p>
    <w:p w14:paraId="0B6F60CD" w14:textId="07AC18BD" w:rsidR="00032447"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384643" w:rsidRPr="00A65CB3">
        <w:rPr>
          <w:rFonts w:ascii="Arial" w:hAnsi="Arial" w:cs="Arial"/>
          <w:sz w:val="24"/>
          <w:szCs w:val="24"/>
          <w:lang w:val="en-US"/>
        </w:rPr>
        <w:t>The court upheld the time</w:t>
      </w:r>
      <w:r w:rsidR="0003169C" w:rsidRPr="00A65CB3">
        <w:rPr>
          <w:rFonts w:ascii="Arial" w:hAnsi="Arial" w:cs="Arial"/>
          <w:sz w:val="24"/>
          <w:szCs w:val="24"/>
          <w:lang w:val="en-US"/>
        </w:rPr>
        <w:t>-</w:t>
      </w:r>
      <w:r w:rsidR="00384643" w:rsidRPr="00A65CB3">
        <w:rPr>
          <w:rFonts w:ascii="Arial" w:hAnsi="Arial" w:cs="Arial"/>
          <w:sz w:val="24"/>
          <w:szCs w:val="24"/>
          <w:lang w:val="en-US"/>
        </w:rPr>
        <w:t>barring point because</w:t>
      </w:r>
      <w:r w:rsidR="0003169C" w:rsidRPr="00A65CB3">
        <w:rPr>
          <w:rFonts w:ascii="Arial" w:hAnsi="Arial" w:cs="Arial"/>
          <w:sz w:val="24"/>
          <w:szCs w:val="24"/>
          <w:lang w:val="en-US"/>
        </w:rPr>
        <w:t>,</w:t>
      </w:r>
      <w:r w:rsidR="00384643" w:rsidRPr="00A65CB3">
        <w:rPr>
          <w:rFonts w:ascii="Arial" w:hAnsi="Arial" w:cs="Arial"/>
          <w:sz w:val="24"/>
          <w:szCs w:val="24"/>
          <w:lang w:val="en-US"/>
        </w:rPr>
        <w:t xml:space="preserve"> </w:t>
      </w:r>
      <w:r w:rsidR="00384643" w:rsidRPr="00A65CB3">
        <w:rPr>
          <w:rFonts w:ascii="Arial" w:hAnsi="Arial" w:cs="Arial"/>
          <w:i/>
          <w:iCs/>
          <w:sz w:val="24"/>
          <w:szCs w:val="24"/>
          <w:lang w:val="en-US"/>
        </w:rPr>
        <w:t>inter alia</w:t>
      </w:r>
      <w:r w:rsidR="0003169C" w:rsidRPr="00A65CB3">
        <w:rPr>
          <w:rFonts w:ascii="Arial" w:hAnsi="Arial" w:cs="Arial"/>
          <w:i/>
          <w:iCs/>
          <w:sz w:val="24"/>
          <w:szCs w:val="24"/>
          <w:lang w:val="en-US"/>
        </w:rPr>
        <w:t>,</w:t>
      </w:r>
      <w:r w:rsidR="00384643" w:rsidRPr="00A65CB3">
        <w:rPr>
          <w:rFonts w:ascii="Arial" w:hAnsi="Arial" w:cs="Arial"/>
          <w:sz w:val="24"/>
          <w:szCs w:val="24"/>
          <w:lang w:val="en-US"/>
        </w:rPr>
        <w:t xml:space="preserve"> the Commission failed to provide the circumstances warranting a longer period</w:t>
      </w:r>
      <w:r w:rsidR="003D1C9F" w:rsidRPr="00A65CB3">
        <w:rPr>
          <w:rFonts w:ascii="Arial" w:hAnsi="Arial" w:cs="Arial"/>
          <w:sz w:val="24"/>
          <w:szCs w:val="24"/>
          <w:lang w:val="en-US"/>
        </w:rPr>
        <w:t>. Secondly, it</w:t>
      </w:r>
      <w:r w:rsidR="0003169C" w:rsidRPr="00A65CB3">
        <w:rPr>
          <w:rFonts w:ascii="Arial" w:hAnsi="Arial" w:cs="Arial"/>
          <w:sz w:val="24"/>
          <w:szCs w:val="24"/>
          <w:lang w:val="en-US"/>
        </w:rPr>
        <w:t xml:space="preserve"> sought a two months extension to September 2018</w:t>
      </w:r>
      <w:r w:rsidR="00C17637" w:rsidRPr="00A65CB3">
        <w:rPr>
          <w:rFonts w:ascii="Arial" w:hAnsi="Arial" w:cs="Arial"/>
          <w:sz w:val="24"/>
          <w:szCs w:val="24"/>
          <w:lang w:val="en-US"/>
        </w:rPr>
        <w:t>,</w:t>
      </w:r>
      <w:r w:rsidR="0003169C" w:rsidRPr="00A65CB3">
        <w:rPr>
          <w:rFonts w:ascii="Arial" w:hAnsi="Arial" w:cs="Arial"/>
          <w:sz w:val="24"/>
          <w:szCs w:val="24"/>
          <w:lang w:val="en-US"/>
        </w:rPr>
        <w:t xml:space="preserve"> </w:t>
      </w:r>
      <w:r w:rsidR="00B63F2C" w:rsidRPr="00A65CB3">
        <w:rPr>
          <w:rFonts w:ascii="Arial" w:hAnsi="Arial" w:cs="Arial"/>
          <w:sz w:val="24"/>
          <w:szCs w:val="24"/>
          <w:lang w:val="en-US"/>
        </w:rPr>
        <w:t>yet</w:t>
      </w:r>
      <w:r w:rsidR="0003169C" w:rsidRPr="00A65CB3">
        <w:rPr>
          <w:rFonts w:ascii="Arial" w:hAnsi="Arial" w:cs="Arial"/>
          <w:sz w:val="24"/>
          <w:szCs w:val="24"/>
          <w:lang w:val="en-US"/>
        </w:rPr>
        <w:t xml:space="preserve"> </w:t>
      </w:r>
      <w:r w:rsidR="00C17637" w:rsidRPr="00A65CB3">
        <w:rPr>
          <w:rFonts w:ascii="Arial" w:hAnsi="Arial" w:cs="Arial"/>
          <w:sz w:val="24"/>
          <w:szCs w:val="24"/>
          <w:lang w:val="en-US"/>
        </w:rPr>
        <w:t xml:space="preserve">it </w:t>
      </w:r>
      <w:r w:rsidR="0003169C" w:rsidRPr="00A65CB3">
        <w:rPr>
          <w:rFonts w:ascii="Arial" w:hAnsi="Arial" w:cs="Arial"/>
          <w:sz w:val="24"/>
          <w:szCs w:val="24"/>
          <w:lang w:val="en-US"/>
        </w:rPr>
        <w:t>made its final findings in October 2019.</w:t>
      </w:r>
      <w:r w:rsidR="0003169C">
        <w:rPr>
          <w:rStyle w:val="FootnoteReference"/>
          <w:rFonts w:ascii="Arial" w:hAnsi="Arial" w:cs="Arial"/>
          <w:sz w:val="24"/>
          <w:szCs w:val="24"/>
          <w:lang w:val="en-US"/>
        </w:rPr>
        <w:footnoteReference w:id="14"/>
      </w:r>
      <w:r w:rsidR="0003169C" w:rsidRPr="00A65CB3">
        <w:rPr>
          <w:rFonts w:ascii="Arial" w:hAnsi="Arial" w:cs="Arial"/>
          <w:sz w:val="24"/>
          <w:szCs w:val="24"/>
          <w:lang w:val="en-US"/>
        </w:rPr>
        <w:t xml:space="preserve"> </w:t>
      </w:r>
      <w:r w:rsidR="00C17637" w:rsidRPr="00A65CB3">
        <w:rPr>
          <w:rFonts w:ascii="Arial" w:hAnsi="Arial" w:cs="Arial"/>
          <w:sz w:val="24"/>
          <w:szCs w:val="24"/>
          <w:lang w:val="en-US"/>
        </w:rPr>
        <w:t xml:space="preserve">In </w:t>
      </w:r>
      <w:r w:rsidR="00C17637" w:rsidRPr="00A65CB3">
        <w:rPr>
          <w:rFonts w:ascii="Arial" w:hAnsi="Arial" w:cs="Arial"/>
          <w:i/>
          <w:iCs/>
          <w:sz w:val="24"/>
          <w:szCs w:val="24"/>
          <w:lang w:val="en-US"/>
        </w:rPr>
        <w:t xml:space="preserve">casu, </w:t>
      </w:r>
      <w:r w:rsidR="00C17637" w:rsidRPr="00A65CB3">
        <w:rPr>
          <w:rFonts w:ascii="Arial" w:hAnsi="Arial" w:cs="Arial"/>
          <w:sz w:val="24"/>
          <w:szCs w:val="24"/>
          <w:lang w:val="en-US"/>
        </w:rPr>
        <w:t xml:space="preserve">the Commission </w:t>
      </w:r>
      <w:r w:rsidR="000953BF" w:rsidRPr="00A65CB3">
        <w:rPr>
          <w:rFonts w:ascii="Arial" w:hAnsi="Arial" w:cs="Arial"/>
          <w:sz w:val="24"/>
          <w:szCs w:val="24"/>
          <w:lang w:val="en-US"/>
        </w:rPr>
        <w:t>failed to</w:t>
      </w:r>
      <w:r w:rsidR="00C17637" w:rsidRPr="00A65CB3">
        <w:rPr>
          <w:rFonts w:ascii="Arial" w:hAnsi="Arial" w:cs="Arial"/>
          <w:sz w:val="24"/>
          <w:szCs w:val="24"/>
          <w:lang w:val="en-US"/>
        </w:rPr>
        <w:t xml:space="preserve"> communicate </w:t>
      </w:r>
      <w:r w:rsidR="000953BF" w:rsidRPr="00A65CB3">
        <w:rPr>
          <w:rFonts w:ascii="Arial" w:hAnsi="Arial" w:cs="Arial"/>
          <w:sz w:val="24"/>
          <w:szCs w:val="24"/>
          <w:lang w:val="en-US"/>
        </w:rPr>
        <w:t xml:space="preserve">to the complainant </w:t>
      </w:r>
      <w:r w:rsidR="00C17637" w:rsidRPr="00A65CB3">
        <w:rPr>
          <w:rFonts w:ascii="Arial" w:hAnsi="Arial" w:cs="Arial"/>
          <w:sz w:val="24"/>
          <w:szCs w:val="24"/>
          <w:lang w:val="en-US"/>
        </w:rPr>
        <w:t xml:space="preserve">the need for </w:t>
      </w:r>
      <w:r w:rsidR="00D66153" w:rsidRPr="00A65CB3">
        <w:rPr>
          <w:rFonts w:ascii="Arial" w:hAnsi="Arial" w:cs="Arial"/>
          <w:sz w:val="24"/>
          <w:szCs w:val="24"/>
          <w:lang w:val="en-US"/>
        </w:rPr>
        <w:t>an</w:t>
      </w:r>
      <w:r w:rsidR="00C17637" w:rsidRPr="00A65CB3">
        <w:rPr>
          <w:rFonts w:ascii="Arial" w:hAnsi="Arial" w:cs="Arial"/>
          <w:sz w:val="24"/>
          <w:szCs w:val="24"/>
          <w:lang w:val="en-US"/>
        </w:rPr>
        <w:t xml:space="preserve"> extension</w:t>
      </w:r>
      <w:r w:rsidR="000953BF" w:rsidRPr="00A65CB3">
        <w:rPr>
          <w:rFonts w:ascii="Arial" w:hAnsi="Arial" w:cs="Arial"/>
          <w:sz w:val="24"/>
          <w:szCs w:val="24"/>
          <w:lang w:val="en-US"/>
        </w:rPr>
        <w:t xml:space="preserve"> of time,</w:t>
      </w:r>
      <w:r w:rsidR="00C17637" w:rsidRPr="00A65CB3">
        <w:rPr>
          <w:rFonts w:ascii="Arial" w:hAnsi="Arial" w:cs="Arial"/>
          <w:sz w:val="24"/>
          <w:szCs w:val="24"/>
          <w:lang w:val="en-US"/>
        </w:rPr>
        <w:t xml:space="preserve"> nor g</w:t>
      </w:r>
      <w:r w:rsidR="003B1BBF" w:rsidRPr="00A65CB3">
        <w:rPr>
          <w:rFonts w:ascii="Arial" w:hAnsi="Arial" w:cs="Arial"/>
          <w:sz w:val="24"/>
          <w:szCs w:val="24"/>
          <w:lang w:val="en-US"/>
        </w:rPr>
        <w:t>ive</w:t>
      </w:r>
      <w:r w:rsidR="00C17637" w:rsidRPr="00A65CB3">
        <w:rPr>
          <w:rFonts w:ascii="Arial" w:hAnsi="Arial" w:cs="Arial"/>
          <w:sz w:val="24"/>
          <w:szCs w:val="24"/>
          <w:lang w:val="en-US"/>
        </w:rPr>
        <w:t xml:space="preserve"> the circumstances warranting a longer extension period</w:t>
      </w:r>
      <w:r w:rsidR="000953BF" w:rsidRPr="00A65CB3">
        <w:rPr>
          <w:rFonts w:ascii="Arial" w:hAnsi="Arial" w:cs="Arial"/>
          <w:sz w:val="24"/>
          <w:szCs w:val="24"/>
          <w:lang w:val="en-US"/>
        </w:rPr>
        <w:t>.</w:t>
      </w:r>
      <w:r w:rsidR="00C17637" w:rsidRPr="00A65CB3">
        <w:rPr>
          <w:rFonts w:ascii="Arial" w:hAnsi="Arial" w:cs="Arial"/>
          <w:sz w:val="24"/>
          <w:szCs w:val="24"/>
          <w:lang w:val="en-US"/>
        </w:rPr>
        <w:t xml:space="preserve"> </w:t>
      </w:r>
      <w:r w:rsidR="003D1C9F" w:rsidRPr="00A65CB3">
        <w:rPr>
          <w:rFonts w:ascii="Arial" w:hAnsi="Arial" w:cs="Arial"/>
          <w:sz w:val="24"/>
          <w:szCs w:val="24"/>
          <w:lang w:val="en-US"/>
        </w:rPr>
        <w:t>It</w:t>
      </w:r>
      <w:r w:rsidR="000953BF" w:rsidRPr="00A65CB3">
        <w:rPr>
          <w:rFonts w:ascii="Arial" w:hAnsi="Arial" w:cs="Arial"/>
          <w:sz w:val="24"/>
          <w:szCs w:val="24"/>
          <w:lang w:val="en-US"/>
        </w:rPr>
        <w:t xml:space="preserve"> also </w:t>
      </w:r>
      <w:r w:rsidR="00C17637" w:rsidRPr="00A65CB3">
        <w:rPr>
          <w:rFonts w:ascii="Arial" w:hAnsi="Arial" w:cs="Arial"/>
          <w:sz w:val="24"/>
          <w:szCs w:val="24"/>
          <w:lang w:val="en-US"/>
        </w:rPr>
        <w:t>failed to state the exact extension period required</w:t>
      </w:r>
      <w:r w:rsidR="000953BF" w:rsidRPr="00A65CB3">
        <w:rPr>
          <w:rFonts w:ascii="Arial" w:hAnsi="Arial" w:cs="Arial"/>
          <w:sz w:val="24"/>
          <w:szCs w:val="24"/>
          <w:lang w:val="en-US"/>
        </w:rPr>
        <w:t>.</w:t>
      </w:r>
    </w:p>
    <w:p w14:paraId="6DCBDB21" w14:textId="77777777" w:rsidR="00C14CB6" w:rsidRDefault="00C14CB6" w:rsidP="00680D39">
      <w:pPr>
        <w:spacing w:after="0" w:line="360" w:lineRule="auto"/>
        <w:jc w:val="both"/>
        <w:rPr>
          <w:rFonts w:ascii="Arial" w:hAnsi="Arial" w:cs="Arial"/>
          <w:i/>
          <w:iCs/>
          <w:sz w:val="24"/>
          <w:szCs w:val="24"/>
          <w:lang w:val="en-US"/>
        </w:rPr>
      </w:pPr>
    </w:p>
    <w:p w14:paraId="2D7235CD" w14:textId="455B8120" w:rsidR="00DB7F66" w:rsidRPr="00680D39" w:rsidRDefault="00DB7F66" w:rsidP="00680D39">
      <w:pPr>
        <w:spacing w:after="0" w:line="360" w:lineRule="auto"/>
        <w:jc w:val="both"/>
        <w:rPr>
          <w:rFonts w:ascii="Arial" w:hAnsi="Arial" w:cs="Arial"/>
          <w:i/>
          <w:iCs/>
          <w:sz w:val="24"/>
          <w:szCs w:val="24"/>
          <w:lang w:val="en-US"/>
        </w:rPr>
      </w:pPr>
      <w:r w:rsidRPr="00680D39">
        <w:rPr>
          <w:rFonts w:ascii="Arial" w:hAnsi="Arial" w:cs="Arial"/>
          <w:i/>
          <w:iCs/>
          <w:sz w:val="24"/>
          <w:szCs w:val="24"/>
          <w:lang w:val="en-US"/>
        </w:rPr>
        <w:t xml:space="preserve">Discussion </w:t>
      </w:r>
    </w:p>
    <w:p w14:paraId="5A50F92D" w14:textId="4A0BD458" w:rsidR="00380157" w:rsidRPr="00A65CB3" w:rsidRDefault="00A65CB3" w:rsidP="00A65CB3">
      <w:pPr>
        <w:spacing w:after="0" w:line="360" w:lineRule="auto"/>
        <w:jc w:val="both"/>
        <w:rPr>
          <w:rFonts w:ascii="Arial" w:hAnsi="Arial" w:cs="Arial"/>
          <w:sz w:val="24"/>
          <w:szCs w:val="24"/>
          <w:lang w:val="en-US"/>
        </w:rPr>
      </w:pPr>
      <w:r w:rsidRPr="005A20D2">
        <w:rPr>
          <w:rFonts w:ascii="Arial" w:hAnsi="Arial" w:cs="Arial"/>
          <w:sz w:val="24"/>
          <w:szCs w:val="24"/>
          <w:lang w:val="en-US"/>
        </w:rPr>
        <w:t>[37]</w:t>
      </w:r>
      <w:r w:rsidRPr="005A20D2">
        <w:rPr>
          <w:rFonts w:ascii="Arial" w:hAnsi="Arial" w:cs="Arial"/>
          <w:sz w:val="24"/>
          <w:szCs w:val="24"/>
          <w:lang w:val="en-US"/>
        </w:rPr>
        <w:tab/>
      </w:r>
      <w:r w:rsidR="00DB7F66" w:rsidRPr="00A65CB3">
        <w:rPr>
          <w:rFonts w:ascii="Arial" w:hAnsi="Arial" w:cs="Arial"/>
          <w:sz w:val="24"/>
          <w:szCs w:val="24"/>
          <w:lang w:val="en-US"/>
        </w:rPr>
        <w:t xml:space="preserve">In interpreting regulation 15(4) of the </w:t>
      </w:r>
      <w:r w:rsidR="00AA3301" w:rsidRPr="00A65CB3">
        <w:rPr>
          <w:rFonts w:ascii="Arial" w:hAnsi="Arial" w:cs="Arial"/>
          <w:sz w:val="24"/>
          <w:szCs w:val="24"/>
          <w:lang w:val="en-US"/>
        </w:rPr>
        <w:t>B-</w:t>
      </w:r>
      <w:r w:rsidR="00DB7F66" w:rsidRPr="00A65CB3">
        <w:rPr>
          <w:rFonts w:ascii="Arial" w:hAnsi="Arial" w:cs="Arial"/>
          <w:sz w:val="24"/>
          <w:szCs w:val="24"/>
          <w:lang w:val="en-US"/>
        </w:rPr>
        <w:t>BBEE A</w:t>
      </w:r>
      <w:r w:rsidR="00177D19" w:rsidRPr="00A65CB3">
        <w:rPr>
          <w:rFonts w:ascii="Arial" w:hAnsi="Arial" w:cs="Arial"/>
          <w:sz w:val="24"/>
          <w:szCs w:val="24"/>
          <w:lang w:val="en-US"/>
        </w:rPr>
        <w:t>ct</w:t>
      </w:r>
      <w:r w:rsidR="00DB7F66" w:rsidRPr="00A65CB3">
        <w:rPr>
          <w:rFonts w:ascii="Arial" w:hAnsi="Arial" w:cs="Arial"/>
          <w:sz w:val="24"/>
          <w:szCs w:val="24"/>
          <w:lang w:val="en-US"/>
        </w:rPr>
        <w:t>, this court</w:t>
      </w:r>
      <w:r w:rsidR="001B0E21" w:rsidRPr="00A65CB3">
        <w:rPr>
          <w:rFonts w:ascii="Arial" w:hAnsi="Arial" w:cs="Arial"/>
          <w:sz w:val="24"/>
          <w:szCs w:val="24"/>
          <w:lang w:val="en-US"/>
        </w:rPr>
        <w:t>’s</w:t>
      </w:r>
      <w:r w:rsidR="00DB7F66" w:rsidRPr="00A65CB3">
        <w:rPr>
          <w:rFonts w:ascii="Arial" w:hAnsi="Arial" w:cs="Arial"/>
          <w:sz w:val="24"/>
          <w:szCs w:val="24"/>
          <w:lang w:val="en-US"/>
        </w:rPr>
        <w:t xml:space="preserve"> </w:t>
      </w:r>
      <w:r w:rsidR="00E41D0B" w:rsidRPr="00A65CB3">
        <w:rPr>
          <w:rFonts w:ascii="Arial" w:hAnsi="Arial" w:cs="Arial"/>
          <w:sz w:val="24"/>
          <w:szCs w:val="24"/>
          <w:lang w:val="en-US"/>
        </w:rPr>
        <w:t>first port of call</w:t>
      </w:r>
      <w:r w:rsidR="001B0E21" w:rsidRPr="00A65CB3">
        <w:rPr>
          <w:rFonts w:ascii="Arial" w:hAnsi="Arial" w:cs="Arial"/>
          <w:sz w:val="24"/>
          <w:szCs w:val="24"/>
          <w:lang w:val="en-US"/>
        </w:rPr>
        <w:t xml:space="preserve"> is the matter</w:t>
      </w:r>
      <w:r w:rsidR="00DB7F66" w:rsidRPr="00A65CB3">
        <w:rPr>
          <w:rFonts w:ascii="Arial" w:hAnsi="Arial" w:cs="Arial"/>
          <w:sz w:val="24"/>
          <w:szCs w:val="24"/>
          <w:lang w:val="en-US"/>
        </w:rPr>
        <w:t xml:space="preserve"> of </w:t>
      </w:r>
      <w:r w:rsidR="00380157" w:rsidRPr="00A65CB3">
        <w:rPr>
          <w:rFonts w:ascii="Arial" w:hAnsi="Arial" w:cs="Arial"/>
          <w:i/>
          <w:iCs/>
          <w:color w:val="000000"/>
          <w:sz w:val="24"/>
          <w:szCs w:val="24"/>
        </w:rPr>
        <w:t>N</w:t>
      </w:r>
      <w:r w:rsidR="005375C7" w:rsidRPr="00A65CB3">
        <w:rPr>
          <w:rFonts w:ascii="Arial" w:hAnsi="Arial" w:cs="Arial"/>
          <w:i/>
          <w:iCs/>
          <w:color w:val="000000"/>
          <w:sz w:val="24"/>
          <w:szCs w:val="24"/>
        </w:rPr>
        <w:t>atal</w:t>
      </w:r>
      <w:r w:rsidR="00380157" w:rsidRPr="00A65CB3">
        <w:rPr>
          <w:rFonts w:ascii="Arial" w:hAnsi="Arial" w:cs="Arial"/>
          <w:i/>
          <w:iCs/>
          <w:color w:val="000000"/>
          <w:sz w:val="24"/>
          <w:szCs w:val="24"/>
        </w:rPr>
        <w:t xml:space="preserve"> J</w:t>
      </w:r>
      <w:r w:rsidR="005375C7" w:rsidRPr="00A65CB3">
        <w:rPr>
          <w:rFonts w:ascii="Arial" w:hAnsi="Arial" w:cs="Arial"/>
          <w:i/>
          <w:iCs/>
          <w:color w:val="000000"/>
          <w:sz w:val="24"/>
          <w:szCs w:val="24"/>
        </w:rPr>
        <w:t>oint</w:t>
      </w:r>
      <w:r w:rsidR="00380157" w:rsidRPr="00A65CB3">
        <w:rPr>
          <w:rFonts w:ascii="Arial" w:hAnsi="Arial" w:cs="Arial"/>
          <w:i/>
          <w:iCs/>
          <w:color w:val="000000"/>
          <w:sz w:val="24"/>
          <w:szCs w:val="24"/>
        </w:rPr>
        <w:t xml:space="preserve"> M</w:t>
      </w:r>
      <w:r w:rsidR="005375C7" w:rsidRPr="00A65CB3">
        <w:rPr>
          <w:rFonts w:ascii="Arial" w:hAnsi="Arial" w:cs="Arial"/>
          <w:i/>
          <w:iCs/>
          <w:color w:val="000000"/>
          <w:sz w:val="24"/>
          <w:szCs w:val="24"/>
        </w:rPr>
        <w:t>unicipal</w:t>
      </w:r>
      <w:r w:rsidR="00380157" w:rsidRPr="00A65CB3">
        <w:rPr>
          <w:rFonts w:ascii="Arial" w:hAnsi="Arial" w:cs="Arial"/>
          <w:i/>
          <w:iCs/>
          <w:color w:val="000000"/>
          <w:sz w:val="24"/>
          <w:szCs w:val="24"/>
        </w:rPr>
        <w:t xml:space="preserve"> P</w:t>
      </w:r>
      <w:r w:rsidR="005375C7" w:rsidRPr="00A65CB3">
        <w:rPr>
          <w:rFonts w:ascii="Arial" w:hAnsi="Arial" w:cs="Arial"/>
          <w:i/>
          <w:iCs/>
          <w:color w:val="000000"/>
          <w:sz w:val="24"/>
          <w:szCs w:val="24"/>
        </w:rPr>
        <w:t xml:space="preserve">ension </w:t>
      </w:r>
      <w:r w:rsidR="00380157" w:rsidRPr="00A65CB3">
        <w:rPr>
          <w:rFonts w:ascii="Arial" w:hAnsi="Arial" w:cs="Arial"/>
          <w:i/>
          <w:iCs/>
          <w:color w:val="000000"/>
          <w:sz w:val="24"/>
          <w:szCs w:val="24"/>
        </w:rPr>
        <w:t>F</w:t>
      </w:r>
      <w:r w:rsidR="005375C7" w:rsidRPr="00A65CB3">
        <w:rPr>
          <w:rFonts w:ascii="Arial" w:hAnsi="Arial" w:cs="Arial"/>
          <w:i/>
          <w:iCs/>
          <w:color w:val="000000"/>
          <w:sz w:val="24"/>
          <w:szCs w:val="24"/>
        </w:rPr>
        <w:t>und</w:t>
      </w:r>
      <w:r w:rsidR="00380157" w:rsidRPr="00A65CB3">
        <w:rPr>
          <w:rFonts w:ascii="Arial" w:hAnsi="Arial" w:cs="Arial"/>
          <w:i/>
          <w:iCs/>
          <w:color w:val="000000"/>
          <w:sz w:val="24"/>
          <w:szCs w:val="24"/>
        </w:rPr>
        <w:t xml:space="preserve"> v </w:t>
      </w:r>
      <w:r w:rsidR="005375C7" w:rsidRPr="00A65CB3">
        <w:rPr>
          <w:rFonts w:ascii="Arial" w:hAnsi="Arial" w:cs="Arial"/>
          <w:i/>
          <w:iCs/>
          <w:color w:val="000000"/>
          <w:sz w:val="24"/>
          <w:szCs w:val="24"/>
        </w:rPr>
        <w:t>Endumeni</w:t>
      </w:r>
      <w:r w:rsidR="00380157" w:rsidRPr="00A65CB3">
        <w:rPr>
          <w:rFonts w:ascii="Arial" w:hAnsi="Arial" w:cs="Arial"/>
          <w:i/>
          <w:iCs/>
          <w:color w:val="000000"/>
          <w:sz w:val="24"/>
          <w:szCs w:val="24"/>
        </w:rPr>
        <w:t xml:space="preserve"> </w:t>
      </w:r>
      <w:r w:rsidR="005375C7" w:rsidRPr="00A65CB3">
        <w:rPr>
          <w:rFonts w:ascii="Arial" w:hAnsi="Arial" w:cs="Arial"/>
          <w:i/>
          <w:iCs/>
          <w:color w:val="000000"/>
          <w:sz w:val="24"/>
          <w:szCs w:val="24"/>
        </w:rPr>
        <w:t>Municipality</w:t>
      </w:r>
      <w:r w:rsidR="00380157" w:rsidRPr="00A65CB3">
        <w:rPr>
          <w:rFonts w:ascii="Arial" w:hAnsi="Arial" w:cs="Arial"/>
          <w:color w:val="000000"/>
          <w:sz w:val="24"/>
          <w:szCs w:val="24"/>
        </w:rPr>
        <w:t>.</w:t>
      </w:r>
      <w:r w:rsidR="00380157" w:rsidRPr="00680D39">
        <w:rPr>
          <w:rStyle w:val="FootnoteReference"/>
          <w:rFonts w:ascii="Arial" w:hAnsi="Arial" w:cs="Arial"/>
          <w:color w:val="000000"/>
          <w:sz w:val="24"/>
          <w:szCs w:val="24"/>
        </w:rPr>
        <w:footnoteReference w:id="15"/>
      </w:r>
      <w:r w:rsidR="00380157" w:rsidRPr="00A65CB3">
        <w:rPr>
          <w:rFonts w:ascii="Arial" w:hAnsi="Arial" w:cs="Arial"/>
          <w:b/>
          <w:bCs/>
          <w:color w:val="000000"/>
          <w:sz w:val="24"/>
          <w:szCs w:val="24"/>
        </w:rPr>
        <w:t xml:space="preserve"> </w:t>
      </w:r>
      <w:r w:rsidR="00380157" w:rsidRPr="00A65CB3">
        <w:rPr>
          <w:rFonts w:ascii="Arial" w:hAnsi="Arial" w:cs="Arial"/>
          <w:color w:val="000000"/>
          <w:sz w:val="24"/>
          <w:szCs w:val="24"/>
        </w:rPr>
        <w:t xml:space="preserve">In dealing with the issue of interpretation, the court held:   </w:t>
      </w:r>
    </w:p>
    <w:p w14:paraId="16ED942E" w14:textId="77777777" w:rsidR="005A20D2" w:rsidRPr="00680D39" w:rsidRDefault="005A20D2" w:rsidP="005A20D2">
      <w:pPr>
        <w:pStyle w:val="ListParagraph"/>
        <w:spacing w:after="0" w:line="360" w:lineRule="auto"/>
        <w:ind w:left="0"/>
        <w:jc w:val="both"/>
        <w:rPr>
          <w:rFonts w:ascii="Arial" w:hAnsi="Arial" w:cs="Arial"/>
          <w:sz w:val="24"/>
          <w:szCs w:val="24"/>
          <w:lang w:val="en-US"/>
        </w:rPr>
      </w:pPr>
    </w:p>
    <w:p w14:paraId="51A5A73D" w14:textId="6D799D64" w:rsidR="00380157" w:rsidRDefault="00177D19" w:rsidP="00680D39">
      <w:pPr>
        <w:spacing w:after="0" w:line="360" w:lineRule="auto"/>
        <w:ind w:left="567"/>
        <w:jc w:val="both"/>
        <w:rPr>
          <w:rFonts w:ascii="Arial" w:hAnsi="Arial" w:cs="Arial"/>
          <w:color w:val="000000"/>
        </w:rPr>
      </w:pPr>
      <w:r w:rsidRPr="00680D39">
        <w:rPr>
          <w:rFonts w:ascii="Arial" w:hAnsi="Arial" w:cs="Arial"/>
          <w:color w:val="000000"/>
        </w:rPr>
        <w:t>“T</w:t>
      </w:r>
      <w:r w:rsidR="00380157" w:rsidRPr="00680D39">
        <w:rPr>
          <w:rFonts w:ascii="Arial" w:hAnsi="Arial" w:cs="Arial"/>
          <w:color w:val="000000"/>
        </w:rPr>
        <w: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w:t>
      </w:r>
      <w:r w:rsidR="005375C7" w:rsidRPr="00680D39">
        <w:rPr>
          <w:rFonts w:ascii="Arial" w:hAnsi="Arial" w:cs="Arial"/>
          <w:color w:val="000000"/>
        </w:rPr>
        <w:t xml:space="preserve">e </w:t>
      </w:r>
      <w:r w:rsidR="00380157" w:rsidRPr="00680D39">
        <w:rPr>
          <w:rFonts w:ascii="Arial" w:hAnsi="Arial" w:cs="Arial"/>
          <w:color w:val="000000"/>
        </w:rPr>
        <w:t>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2" w:name="0-0-0-68175"/>
      <w:bookmarkEnd w:id="2"/>
      <w:r w:rsidR="00380157" w:rsidRPr="00680D39">
        <w:rPr>
          <w:rFonts w:ascii="Arial" w:hAnsi="Arial" w:cs="Arial"/>
          <w:color w:val="000000"/>
        </w:rPr>
        <w:t xml:space="preserve">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w:t>
      </w:r>
      <w:r w:rsidR="005375C7" w:rsidRPr="00680D39">
        <w:rPr>
          <w:rFonts w:ascii="Arial" w:hAnsi="Arial" w:cs="Arial"/>
          <w:color w:val="000000"/>
        </w:rPr>
        <w:t>sensible,</w:t>
      </w:r>
      <w:r w:rsidR="00380157" w:rsidRPr="00680D39">
        <w:rPr>
          <w:rFonts w:ascii="Arial" w:hAnsi="Arial" w:cs="Arial"/>
          <w:color w:val="000000"/>
        </w:rPr>
        <w:t xml:space="preserve"> or businesslike for the words actually used.”</w:t>
      </w:r>
      <w:r w:rsidR="00380157" w:rsidRPr="00680D39">
        <w:rPr>
          <w:rStyle w:val="FootnoteReference"/>
          <w:rFonts w:ascii="Arial" w:hAnsi="Arial" w:cs="Arial"/>
          <w:color w:val="000000"/>
        </w:rPr>
        <w:footnoteReference w:id="16"/>
      </w:r>
    </w:p>
    <w:p w14:paraId="2CF6EA75" w14:textId="77777777" w:rsidR="005A20D2" w:rsidRPr="00680D39" w:rsidRDefault="005A20D2" w:rsidP="00680D39">
      <w:pPr>
        <w:spacing w:after="0" w:line="360" w:lineRule="auto"/>
        <w:ind w:left="567"/>
        <w:jc w:val="both"/>
        <w:rPr>
          <w:rFonts w:ascii="Arial" w:hAnsi="Arial" w:cs="Arial"/>
          <w:color w:val="000000"/>
        </w:rPr>
      </w:pPr>
    </w:p>
    <w:p w14:paraId="5544186A" w14:textId="4F7B1E7C" w:rsidR="00380157"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lastRenderedPageBreak/>
        <w:t>[38]</w:t>
      </w:r>
      <w:r>
        <w:rPr>
          <w:rFonts w:ascii="Arial" w:hAnsi="Arial" w:cs="Arial"/>
          <w:sz w:val="24"/>
          <w:szCs w:val="24"/>
          <w:lang w:val="en-US"/>
        </w:rPr>
        <w:tab/>
      </w:r>
      <w:r w:rsidR="00380157" w:rsidRPr="00A65CB3">
        <w:rPr>
          <w:rFonts w:ascii="Arial" w:hAnsi="Arial" w:cs="Arial"/>
          <w:sz w:val="24"/>
          <w:szCs w:val="24"/>
          <w:lang w:val="en-US"/>
        </w:rPr>
        <w:t xml:space="preserve">Furthermore, in </w:t>
      </w:r>
      <w:r w:rsidR="00380157" w:rsidRPr="00A65CB3">
        <w:rPr>
          <w:rFonts w:ascii="Arial" w:hAnsi="Arial" w:cs="Arial"/>
          <w:i/>
          <w:iCs/>
          <w:color w:val="000000"/>
          <w:sz w:val="24"/>
          <w:szCs w:val="24"/>
        </w:rPr>
        <w:t>K</w:t>
      </w:r>
      <w:r w:rsidR="005375C7" w:rsidRPr="00A65CB3">
        <w:rPr>
          <w:rFonts w:ascii="Arial" w:hAnsi="Arial" w:cs="Arial"/>
          <w:i/>
          <w:iCs/>
          <w:color w:val="000000"/>
          <w:sz w:val="24"/>
          <w:szCs w:val="24"/>
        </w:rPr>
        <w:t>ubyana</w:t>
      </w:r>
      <w:r w:rsidR="00380157" w:rsidRPr="00A65CB3">
        <w:rPr>
          <w:rFonts w:ascii="Arial" w:hAnsi="Arial" w:cs="Arial"/>
          <w:i/>
          <w:iCs/>
          <w:color w:val="000000"/>
          <w:sz w:val="24"/>
          <w:szCs w:val="24"/>
        </w:rPr>
        <w:t xml:space="preserve"> v S</w:t>
      </w:r>
      <w:r w:rsidR="005375C7" w:rsidRPr="00A65CB3">
        <w:rPr>
          <w:rFonts w:ascii="Arial" w:hAnsi="Arial" w:cs="Arial"/>
          <w:i/>
          <w:iCs/>
          <w:color w:val="000000"/>
          <w:sz w:val="24"/>
          <w:szCs w:val="24"/>
        </w:rPr>
        <w:t>tandard</w:t>
      </w:r>
      <w:r w:rsidR="00380157" w:rsidRPr="00A65CB3">
        <w:rPr>
          <w:rFonts w:ascii="Arial" w:hAnsi="Arial" w:cs="Arial"/>
          <w:i/>
          <w:iCs/>
          <w:color w:val="000000"/>
          <w:sz w:val="24"/>
          <w:szCs w:val="24"/>
        </w:rPr>
        <w:t xml:space="preserve"> B</w:t>
      </w:r>
      <w:r w:rsidR="005375C7" w:rsidRPr="00A65CB3">
        <w:rPr>
          <w:rFonts w:ascii="Arial" w:hAnsi="Arial" w:cs="Arial"/>
          <w:i/>
          <w:iCs/>
          <w:color w:val="000000"/>
          <w:sz w:val="24"/>
          <w:szCs w:val="24"/>
        </w:rPr>
        <w:t>ank</w:t>
      </w:r>
      <w:r w:rsidR="00380157" w:rsidRPr="00A65CB3">
        <w:rPr>
          <w:rFonts w:ascii="Arial" w:hAnsi="Arial" w:cs="Arial"/>
          <w:i/>
          <w:iCs/>
          <w:color w:val="000000"/>
          <w:sz w:val="24"/>
          <w:szCs w:val="24"/>
        </w:rPr>
        <w:t xml:space="preserve"> </w:t>
      </w:r>
      <w:r w:rsidR="00D727E8" w:rsidRPr="00A65CB3">
        <w:rPr>
          <w:rFonts w:ascii="Arial" w:hAnsi="Arial" w:cs="Arial"/>
          <w:i/>
          <w:iCs/>
          <w:color w:val="000000"/>
          <w:sz w:val="24"/>
          <w:szCs w:val="24"/>
        </w:rPr>
        <w:t>of</w:t>
      </w:r>
      <w:r w:rsidR="00380157" w:rsidRPr="00A65CB3">
        <w:rPr>
          <w:rFonts w:ascii="Arial" w:hAnsi="Arial" w:cs="Arial"/>
          <w:i/>
          <w:iCs/>
          <w:color w:val="000000"/>
          <w:sz w:val="24"/>
          <w:szCs w:val="24"/>
        </w:rPr>
        <w:t xml:space="preserve"> S</w:t>
      </w:r>
      <w:r w:rsidR="00D727E8" w:rsidRPr="00A65CB3">
        <w:rPr>
          <w:rFonts w:ascii="Arial" w:hAnsi="Arial" w:cs="Arial"/>
          <w:i/>
          <w:iCs/>
          <w:color w:val="000000"/>
          <w:sz w:val="24"/>
          <w:szCs w:val="24"/>
        </w:rPr>
        <w:t>outh</w:t>
      </w:r>
      <w:r w:rsidR="00380157" w:rsidRPr="00A65CB3">
        <w:rPr>
          <w:rFonts w:ascii="Arial" w:hAnsi="Arial" w:cs="Arial"/>
          <w:i/>
          <w:iCs/>
          <w:color w:val="000000"/>
          <w:sz w:val="24"/>
          <w:szCs w:val="24"/>
        </w:rPr>
        <w:t xml:space="preserve"> A</w:t>
      </w:r>
      <w:r w:rsidR="00D727E8" w:rsidRPr="00A65CB3">
        <w:rPr>
          <w:rFonts w:ascii="Arial" w:hAnsi="Arial" w:cs="Arial"/>
          <w:i/>
          <w:iCs/>
          <w:color w:val="000000"/>
          <w:sz w:val="24"/>
          <w:szCs w:val="24"/>
        </w:rPr>
        <w:t>frica</w:t>
      </w:r>
      <w:r w:rsidR="00380157" w:rsidRPr="00A65CB3">
        <w:rPr>
          <w:rFonts w:ascii="Arial" w:hAnsi="Arial" w:cs="Arial"/>
          <w:i/>
          <w:iCs/>
          <w:color w:val="000000"/>
          <w:sz w:val="24"/>
          <w:szCs w:val="24"/>
        </w:rPr>
        <w:t xml:space="preserve"> L</w:t>
      </w:r>
      <w:r w:rsidR="00D727E8" w:rsidRPr="00A65CB3">
        <w:rPr>
          <w:rFonts w:ascii="Arial" w:hAnsi="Arial" w:cs="Arial"/>
          <w:i/>
          <w:iCs/>
          <w:color w:val="000000"/>
          <w:sz w:val="24"/>
          <w:szCs w:val="24"/>
        </w:rPr>
        <w:t>td</w:t>
      </w:r>
      <w:r w:rsidR="00380157" w:rsidRPr="00A65CB3">
        <w:rPr>
          <w:rFonts w:ascii="Arial" w:hAnsi="Arial" w:cs="Arial"/>
          <w:b/>
          <w:bCs/>
          <w:color w:val="000000"/>
          <w:sz w:val="24"/>
          <w:szCs w:val="24"/>
        </w:rPr>
        <w:t xml:space="preserve"> </w:t>
      </w:r>
      <w:r w:rsidR="00380157" w:rsidRPr="00680D39">
        <w:rPr>
          <w:rStyle w:val="FootnoteReference"/>
          <w:rFonts w:ascii="Arial" w:hAnsi="Arial" w:cs="Arial"/>
          <w:b/>
          <w:bCs/>
          <w:color w:val="000000"/>
          <w:sz w:val="24"/>
          <w:szCs w:val="24"/>
        </w:rPr>
        <w:footnoteReference w:id="17"/>
      </w:r>
      <w:r w:rsidR="00D727E8" w:rsidRPr="00A65CB3">
        <w:rPr>
          <w:rFonts w:ascii="Arial" w:hAnsi="Arial" w:cs="Arial"/>
          <w:b/>
          <w:bCs/>
          <w:color w:val="000000"/>
          <w:sz w:val="24"/>
          <w:szCs w:val="24"/>
        </w:rPr>
        <w:t xml:space="preserve"> </w:t>
      </w:r>
      <w:r w:rsidR="00380157" w:rsidRPr="00A65CB3">
        <w:rPr>
          <w:rFonts w:ascii="Arial" w:hAnsi="Arial" w:cs="Arial"/>
          <w:sz w:val="24"/>
          <w:szCs w:val="24"/>
          <w:lang w:val="en-US"/>
        </w:rPr>
        <w:t>the court held the following:</w:t>
      </w:r>
    </w:p>
    <w:p w14:paraId="2141CFD7" w14:textId="77777777" w:rsidR="005A20D2" w:rsidRPr="00680D39" w:rsidRDefault="005A20D2" w:rsidP="005A20D2">
      <w:pPr>
        <w:pStyle w:val="ListParagraph"/>
        <w:spacing w:after="0" w:line="360" w:lineRule="auto"/>
        <w:ind w:left="0"/>
        <w:jc w:val="both"/>
        <w:rPr>
          <w:rFonts w:ascii="Arial" w:hAnsi="Arial" w:cs="Arial"/>
          <w:sz w:val="24"/>
          <w:szCs w:val="24"/>
          <w:lang w:val="en-US"/>
        </w:rPr>
      </w:pPr>
    </w:p>
    <w:p w14:paraId="4A531A78" w14:textId="14072C3D" w:rsidR="00380157" w:rsidRPr="00680D39" w:rsidRDefault="00380157" w:rsidP="003D0DDF">
      <w:pPr>
        <w:spacing w:after="0" w:line="360" w:lineRule="auto"/>
        <w:ind w:left="567"/>
        <w:jc w:val="both"/>
        <w:rPr>
          <w:rFonts w:ascii="Arial" w:hAnsi="Arial" w:cs="Arial"/>
          <w:color w:val="000000"/>
        </w:rPr>
      </w:pPr>
      <w:r w:rsidRPr="00680D39">
        <w:rPr>
          <w:rFonts w:ascii="Arial" w:hAnsi="Arial" w:cs="Arial"/>
          <w:color w:val="000000"/>
        </w:rPr>
        <w:t>“It is well established that statutes must be interpreted with due regard to their purpose and within their context.</w:t>
      </w:r>
      <w:bookmarkStart w:id="3" w:name="0-0-0-233221"/>
      <w:bookmarkEnd w:id="3"/>
      <w:r w:rsidR="00D727E8" w:rsidRPr="00680D39">
        <w:rPr>
          <w:rFonts w:ascii="Arial" w:hAnsi="Arial" w:cs="Arial"/>
          <w:color w:val="000000"/>
        </w:rPr>
        <w:t xml:space="preserve"> </w:t>
      </w:r>
      <w:r w:rsidRPr="00680D39">
        <w:rPr>
          <w:rFonts w:ascii="Arial" w:hAnsi="Arial" w:cs="Arial"/>
          <w:color w:val="000000"/>
        </w:rPr>
        <w:t>This general principle is buttressed by s 2(1) of the Act, which expressly requires a purposive approach to the statute's construction.</w:t>
      </w:r>
      <w:bookmarkStart w:id="4" w:name="0-0-0-233225"/>
      <w:bookmarkEnd w:id="4"/>
      <w:r w:rsidR="00D727E8" w:rsidRPr="00680D39">
        <w:rPr>
          <w:rFonts w:ascii="Arial" w:hAnsi="Arial" w:cs="Arial"/>
          <w:color w:val="000000"/>
        </w:rPr>
        <w:t xml:space="preserve"> </w:t>
      </w:r>
      <w:r w:rsidRPr="00680D39">
        <w:rPr>
          <w:rFonts w:ascii="Arial" w:hAnsi="Arial" w:cs="Arial"/>
          <w:color w:val="000000"/>
        </w:rPr>
        <w:t>Furthermore, legislation must be understood holistically and, it goes without saying, interpreted within the relevant framework of constitutional rights and norms. </w:t>
      </w:r>
      <w:bookmarkStart w:id="5" w:name="0-0-0-233229"/>
      <w:bookmarkEnd w:id="5"/>
      <w:r w:rsidR="00D727E8" w:rsidRPr="00680D39">
        <w:rPr>
          <w:rFonts w:ascii="Arial" w:hAnsi="Arial" w:cs="Arial"/>
          <w:color w:val="000000"/>
        </w:rPr>
        <w:t xml:space="preserve"> </w:t>
      </w:r>
      <w:r w:rsidRPr="00680D39">
        <w:rPr>
          <w:rFonts w:ascii="Arial" w:hAnsi="Arial" w:cs="Arial"/>
          <w:color w:val="000000"/>
        </w:rPr>
        <w:t>However, that does not mean that ordinary meaning and clear language may</w:t>
      </w:r>
      <w:r w:rsidR="003037D0">
        <w:rPr>
          <w:rFonts w:ascii="Arial" w:hAnsi="Arial" w:cs="Arial"/>
          <w:color w:val="000000"/>
        </w:rPr>
        <w:t xml:space="preserve"> be </w:t>
      </w:r>
      <w:r w:rsidRPr="0084438F">
        <w:rPr>
          <w:rFonts w:ascii="Arial" w:hAnsi="Arial" w:cs="Arial"/>
          <w:color w:val="000000"/>
        </w:rPr>
        <w:t>discarded</w:t>
      </w:r>
      <w:r w:rsidRPr="00680D39">
        <w:rPr>
          <w:rFonts w:ascii="Arial" w:hAnsi="Arial" w:cs="Arial"/>
          <w:color w:val="000000"/>
        </w:rPr>
        <w:t>, for interpretation is not divination and courts must respect the separation of powers when construing Acts of Parliament.”</w:t>
      </w:r>
      <w:r w:rsidRPr="00680D39">
        <w:rPr>
          <w:rStyle w:val="FootnoteReference"/>
          <w:rFonts w:ascii="Arial" w:hAnsi="Arial" w:cs="Arial"/>
          <w:color w:val="000000"/>
        </w:rPr>
        <w:footnoteReference w:id="18"/>
      </w:r>
    </w:p>
    <w:p w14:paraId="79930018" w14:textId="77777777" w:rsidR="00680D39" w:rsidRPr="00680D39" w:rsidRDefault="00680D39" w:rsidP="00680D39">
      <w:pPr>
        <w:spacing w:after="0" w:line="360" w:lineRule="auto"/>
        <w:ind w:left="720"/>
        <w:jc w:val="both"/>
        <w:rPr>
          <w:rFonts w:ascii="Arial" w:hAnsi="Arial" w:cs="Arial"/>
          <w:color w:val="000000"/>
        </w:rPr>
      </w:pPr>
    </w:p>
    <w:p w14:paraId="084AA839" w14:textId="0B06BC1A" w:rsidR="00D727E8" w:rsidRPr="00A65CB3" w:rsidRDefault="00A65CB3" w:rsidP="00A65CB3">
      <w:pPr>
        <w:spacing w:after="0" w:line="360" w:lineRule="auto"/>
        <w:jc w:val="both"/>
        <w:rPr>
          <w:rFonts w:ascii="Arial" w:hAnsi="Arial" w:cs="Arial"/>
          <w:sz w:val="24"/>
          <w:szCs w:val="24"/>
          <w:lang w:val="en-US"/>
        </w:rPr>
      </w:pPr>
      <w:r w:rsidRPr="006E09F2">
        <w:rPr>
          <w:rFonts w:ascii="Arial" w:hAnsi="Arial" w:cs="Arial"/>
          <w:sz w:val="24"/>
          <w:szCs w:val="24"/>
          <w:lang w:val="en-US"/>
        </w:rPr>
        <w:t>[39]</w:t>
      </w:r>
      <w:r w:rsidRPr="006E09F2">
        <w:rPr>
          <w:rFonts w:ascii="Arial" w:hAnsi="Arial" w:cs="Arial"/>
          <w:sz w:val="24"/>
          <w:szCs w:val="24"/>
          <w:lang w:val="en-US"/>
        </w:rPr>
        <w:tab/>
      </w:r>
      <w:r w:rsidR="006E09F2" w:rsidRPr="00A65CB3">
        <w:rPr>
          <w:rFonts w:ascii="Arial" w:hAnsi="Arial" w:cs="Arial"/>
          <w:sz w:val="24"/>
          <w:szCs w:val="24"/>
          <w:lang w:val="en-US"/>
        </w:rPr>
        <w:t xml:space="preserve">When interpreting any legislation, this court </w:t>
      </w:r>
      <w:r w:rsidR="00073CE0" w:rsidRPr="00A65CB3">
        <w:rPr>
          <w:rFonts w:ascii="Arial" w:hAnsi="Arial" w:cs="Arial"/>
          <w:sz w:val="24"/>
          <w:szCs w:val="24"/>
          <w:lang w:val="en-US"/>
        </w:rPr>
        <w:t>must be</w:t>
      </w:r>
      <w:r w:rsidR="006E09F2" w:rsidRPr="00A65CB3">
        <w:rPr>
          <w:rFonts w:ascii="Arial" w:hAnsi="Arial" w:cs="Arial"/>
          <w:sz w:val="24"/>
          <w:szCs w:val="24"/>
          <w:lang w:val="en-US"/>
        </w:rPr>
        <w:t xml:space="preserve"> mindful </w:t>
      </w:r>
      <w:r w:rsidR="00073CE0" w:rsidRPr="00A65CB3">
        <w:rPr>
          <w:rFonts w:ascii="Arial" w:hAnsi="Arial" w:cs="Arial"/>
          <w:sz w:val="24"/>
          <w:szCs w:val="24"/>
          <w:lang w:val="en-US"/>
        </w:rPr>
        <w:t>of</w:t>
      </w:r>
      <w:r w:rsidR="006E09F2" w:rsidRPr="00A65CB3">
        <w:rPr>
          <w:rFonts w:ascii="Arial" w:hAnsi="Arial" w:cs="Arial"/>
          <w:sz w:val="24"/>
          <w:szCs w:val="24"/>
          <w:lang w:val="en-US"/>
        </w:rPr>
        <w:t xml:space="preserve"> s</w:t>
      </w:r>
      <w:r w:rsidR="007B28A5" w:rsidRPr="00A65CB3">
        <w:rPr>
          <w:rFonts w:ascii="Arial" w:hAnsi="Arial" w:cs="Arial"/>
          <w:sz w:val="24"/>
          <w:szCs w:val="24"/>
          <w:lang w:val="en-US"/>
        </w:rPr>
        <w:t>ection 39(2) of the Constitution</w:t>
      </w:r>
      <w:r w:rsidR="006E09F2" w:rsidRPr="00A65CB3">
        <w:rPr>
          <w:rFonts w:ascii="Arial" w:hAnsi="Arial" w:cs="Arial"/>
          <w:sz w:val="24"/>
          <w:szCs w:val="24"/>
          <w:lang w:val="en-US"/>
        </w:rPr>
        <w:t>.</w:t>
      </w:r>
      <w:r w:rsidR="007B28A5" w:rsidRPr="00A65CB3">
        <w:rPr>
          <w:rFonts w:ascii="Arial" w:hAnsi="Arial" w:cs="Arial"/>
          <w:sz w:val="24"/>
          <w:szCs w:val="24"/>
          <w:lang w:val="en-US"/>
        </w:rPr>
        <w:t xml:space="preserve"> </w:t>
      </w:r>
      <w:r w:rsidR="006E09F2" w:rsidRPr="00A65CB3">
        <w:rPr>
          <w:rFonts w:ascii="Arial" w:hAnsi="Arial" w:cs="Arial"/>
          <w:sz w:val="24"/>
          <w:szCs w:val="24"/>
          <w:lang w:val="en-US"/>
        </w:rPr>
        <w:t>This section provides that</w:t>
      </w:r>
      <w:r w:rsidR="003D1C9F" w:rsidRPr="00A65CB3">
        <w:rPr>
          <w:rFonts w:ascii="Arial" w:hAnsi="Arial" w:cs="Arial"/>
          <w:sz w:val="24"/>
          <w:szCs w:val="24"/>
          <w:lang w:val="en-US"/>
        </w:rPr>
        <w:t>:</w:t>
      </w:r>
      <w:r w:rsidR="006E09F2" w:rsidRPr="00A65CB3">
        <w:rPr>
          <w:rFonts w:ascii="Arial" w:hAnsi="Arial" w:cs="Arial"/>
          <w:sz w:val="24"/>
          <w:szCs w:val="24"/>
          <w:lang w:val="en-US"/>
        </w:rPr>
        <w:t xml:space="preserve"> </w:t>
      </w:r>
      <w:r w:rsidR="00073CE0" w:rsidRPr="00A65CB3">
        <w:rPr>
          <w:rFonts w:ascii="Arial" w:hAnsi="Arial" w:cs="Arial"/>
          <w:sz w:val="24"/>
          <w:szCs w:val="24"/>
          <w:lang w:val="en-US"/>
        </w:rPr>
        <w:t>“</w:t>
      </w:r>
      <w:r w:rsidR="006E09F2" w:rsidRPr="00A65CB3">
        <w:rPr>
          <w:rFonts w:ascii="Arial" w:hAnsi="Arial" w:cs="Arial"/>
          <w:sz w:val="24"/>
          <w:szCs w:val="24"/>
          <w:lang w:val="en-US"/>
        </w:rPr>
        <w:t>when interpreting any legislation and when developing common law or customary law, every court, tribunal o</w:t>
      </w:r>
      <w:r w:rsidR="00073CE0" w:rsidRPr="00A65CB3">
        <w:rPr>
          <w:rFonts w:ascii="Arial" w:hAnsi="Arial" w:cs="Arial"/>
          <w:sz w:val="24"/>
          <w:szCs w:val="24"/>
          <w:lang w:val="en-US"/>
        </w:rPr>
        <w:t>r</w:t>
      </w:r>
      <w:r w:rsidR="006E09F2" w:rsidRPr="00A65CB3">
        <w:rPr>
          <w:rFonts w:ascii="Arial" w:hAnsi="Arial" w:cs="Arial"/>
          <w:sz w:val="24"/>
          <w:szCs w:val="24"/>
          <w:lang w:val="en-US"/>
        </w:rPr>
        <w:t xml:space="preserve"> forum must promote the spirit, purport and object</w:t>
      </w:r>
      <w:r w:rsidR="00073CE0" w:rsidRPr="00A65CB3">
        <w:rPr>
          <w:rFonts w:ascii="Arial" w:hAnsi="Arial" w:cs="Arial"/>
          <w:sz w:val="24"/>
          <w:szCs w:val="24"/>
          <w:lang w:val="en-US"/>
        </w:rPr>
        <w:t>s</w:t>
      </w:r>
      <w:r w:rsidR="006E09F2" w:rsidRPr="00A65CB3">
        <w:rPr>
          <w:rFonts w:ascii="Arial" w:hAnsi="Arial" w:cs="Arial"/>
          <w:sz w:val="24"/>
          <w:szCs w:val="24"/>
          <w:lang w:val="en-US"/>
        </w:rPr>
        <w:t xml:space="preserve"> of the Bill of Rights.</w:t>
      </w:r>
      <w:r w:rsidR="00073CE0" w:rsidRPr="00A65CB3">
        <w:rPr>
          <w:rFonts w:ascii="Arial" w:hAnsi="Arial" w:cs="Arial"/>
          <w:sz w:val="24"/>
          <w:szCs w:val="24"/>
          <w:lang w:val="en-US"/>
        </w:rPr>
        <w:t>”</w:t>
      </w:r>
      <w:r w:rsidR="006E09F2" w:rsidRPr="00A65CB3">
        <w:rPr>
          <w:rFonts w:ascii="Arial" w:hAnsi="Arial" w:cs="Arial"/>
          <w:sz w:val="24"/>
          <w:szCs w:val="24"/>
          <w:lang w:val="en-US"/>
        </w:rPr>
        <w:t xml:space="preserve"> Therefore, this court is bound to follow </w:t>
      </w:r>
      <w:r w:rsidR="006E09F2" w:rsidRPr="00A65CB3">
        <w:rPr>
          <w:rFonts w:ascii="Arial" w:hAnsi="Arial" w:cs="Arial"/>
          <w:i/>
          <w:iCs/>
          <w:sz w:val="24"/>
          <w:szCs w:val="24"/>
          <w:lang w:val="en-US"/>
        </w:rPr>
        <w:t>Pickfords Removals</w:t>
      </w:r>
      <w:r w:rsidR="006E09F2" w:rsidRPr="00A65CB3">
        <w:rPr>
          <w:rFonts w:ascii="Arial" w:hAnsi="Arial" w:cs="Arial"/>
          <w:sz w:val="24"/>
          <w:szCs w:val="24"/>
          <w:lang w:val="en-US"/>
        </w:rPr>
        <w:t xml:space="preserve"> and conclude that regulation 15(4) is a procedural time-bar.</w:t>
      </w:r>
      <w:r w:rsidR="00421717" w:rsidRPr="00A65CB3">
        <w:rPr>
          <w:rFonts w:ascii="Arial" w:hAnsi="Arial" w:cs="Arial"/>
          <w:sz w:val="24"/>
          <w:szCs w:val="24"/>
          <w:lang w:val="en-US"/>
        </w:rPr>
        <w:t xml:space="preserve"> However, i</w:t>
      </w:r>
      <w:r w:rsidR="00962C8C" w:rsidRPr="00A65CB3">
        <w:rPr>
          <w:rFonts w:ascii="Arial" w:hAnsi="Arial" w:cs="Arial"/>
          <w:sz w:val="24"/>
          <w:szCs w:val="24"/>
          <w:lang w:val="en-US"/>
        </w:rPr>
        <w:t>n the absence of compliance with regulation 15(15) can this court</w:t>
      </w:r>
      <w:r w:rsidR="003D1C9F" w:rsidRPr="00A65CB3">
        <w:rPr>
          <w:rFonts w:ascii="Arial" w:hAnsi="Arial" w:cs="Arial"/>
          <w:sz w:val="24"/>
          <w:szCs w:val="24"/>
          <w:lang w:val="en-US"/>
        </w:rPr>
        <w:t xml:space="preserve"> condone </w:t>
      </w:r>
      <w:r w:rsidR="00962C8C" w:rsidRPr="00A65CB3">
        <w:rPr>
          <w:rFonts w:ascii="Arial" w:hAnsi="Arial" w:cs="Arial"/>
          <w:sz w:val="24"/>
          <w:szCs w:val="24"/>
          <w:lang w:val="en-US"/>
        </w:rPr>
        <w:t xml:space="preserve">the Commissioner’s delay using regulation </w:t>
      </w:r>
      <w:r w:rsidR="003D1C9F" w:rsidRPr="00A65CB3">
        <w:rPr>
          <w:rFonts w:ascii="Arial" w:hAnsi="Arial" w:cs="Arial"/>
          <w:sz w:val="24"/>
          <w:szCs w:val="24"/>
          <w:lang w:val="en-US"/>
        </w:rPr>
        <w:t>4?</w:t>
      </w:r>
    </w:p>
    <w:p w14:paraId="33243E64" w14:textId="77777777" w:rsidR="00D727E8" w:rsidRPr="00680D39" w:rsidRDefault="00D727E8" w:rsidP="00680D39">
      <w:pPr>
        <w:pStyle w:val="ListParagraph"/>
        <w:spacing w:after="0" w:line="360" w:lineRule="auto"/>
        <w:rPr>
          <w:rFonts w:ascii="Arial" w:hAnsi="Arial" w:cs="Arial"/>
          <w:sz w:val="24"/>
          <w:szCs w:val="24"/>
          <w:lang w:val="en-US"/>
        </w:rPr>
      </w:pPr>
    </w:p>
    <w:p w14:paraId="10F6F2EA" w14:textId="7CB155EC" w:rsidR="005D7D82"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521234" w:rsidRPr="00A65CB3">
        <w:rPr>
          <w:rFonts w:ascii="Arial" w:hAnsi="Arial" w:cs="Arial"/>
          <w:sz w:val="24"/>
          <w:szCs w:val="24"/>
          <w:lang w:val="en-US"/>
        </w:rPr>
        <w:t xml:space="preserve">For condonation to be granted in terms of regulation </w:t>
      </w:r>
      <w:r w:rsidR="00AC6E8F" w:rsidRPr="00A65CB3">
        <w:rPr>
          <w:rFonts w:ascii="Arial" w:hAnsi="Arial" w:cs="Arial"/>
          <w:sz w:val="24"/>
          <w:szCs w:val="24"/>
          <w:lang w:val="en-US"/>
        </w:rPr>
        <w:t>4, the Commission stands and falls on good</w:t>
      </w:r>
      <w:r w:rsidR="00521234" w:rsidRPr="00A65CB3">
        <w:rPr>
          <w:rFonts w:ascii="Arial" w:hAnsi="Arial" w:cs="Arial"/>
          <w:sz w:val="24"/>
          <w:szCs w:val="24"/>
          <w:lang w:val="en-US"/>
        </w:rPr>
        <w:t xml:space="preserve"> cause shown. Therefore, condonation is not there for the taking nor is it a mere formality. It can hardly be said that moving offices is </w:t>
      </w:r>
      <w:r w:rsidR="00CA361C" w:rsidRPr="00A65CB3">
        <w:rPr>
          <w:rFonts w:ascii="Arial" w:hAnsi="Arial" w:cs="Arial"/>
          <w:sz w:val="24"/>
          <w:szCs w:val="24"/>
          <w:lang w:val="en-US"/>
        </w:rPr>
        <w:t>a reason</w:t>
      </w:r>
      <w:r w:rsidR="00843BD6" w:rsidRPr="00A65CB3">
        <w:rPr>
          <w:rFonts w:ascii="Arial" w:hAnsi="Arial" w:cs="Arial"/>
          <w:sz w:val="24"/>
          <w:szCs w:val="24"/>
          <w:lang w:val="en-US"/>
        </w:rPr>
        <w:t xml:space="preserve"> worthy of </w:t>
      </w:r>
      <w:r w:rsidR="00421717" w:rsidRPr="00A65CB3">
        <w:rPr>
          <w:rFonts w:ascii="Arial" w:hAnsi="Arial" w:cs="Arial"/>
          <w:sz w:val="24"/>
          <w:szCs w:val="24"/>
          <w:lang w:val="en-US"/>
        </w:rPr>
        <w:t xml:space="preserve">the </w:t>
      </w:r>
      <w:r w:rsidR="00843BD6" w:rsidRPr="00A65CB3">
        <w:rPr>
          <w:rFonts w:ascii="Arial" w:hAnsi="Arial" w:cs="Arial"/>
          <w:sz w:val="24"/>
          <w:szCs w:val="24"/>
          <w:lang w:val="en-US"/>
        </w:rPr>
        <w:t>court’s consideration when examining condonation for a delay of almost a year</w:t>
      </w:r>
      <w:r w:rsidR="00521234" w:rsidRPr="00A65CB3">
        <w:rPr>
          <w:rFonts w:ascii="Arial" w:hAnsi="Arial" w:cs="Arial"/>
          <w:sz w:val="24"/>
          <w:szCs w:val="24"/>
          <w:lang w:val="en-US"/>
        </w:rPr>
        <w:t xml:space="preserve">. </w:t>
      </w:r>
      <w:r w:rsidR="00853D47" w:rsidRPr="00A65CB3">
        <w:rPr>
          <w:rFonts w:ascii="Arial" w:hAnsi="Arial" w:cs="Arial"/>
          <w:sz w:val="24"/>
          <w:szCs w:val="24"/>
          <w:lang w:val="en-US"/>
        </w:rPr>
        <w:t>With reasons such as th</w:t>
      </w:r>
      <w:r w:rsidR="00B63F2C" w:rsidRPr="00A65CB3">
        <w:rPr>
          <w:rFonts w:ascii="Arial" w:hAnsi="Arial" w:cs="Arial"/>
          <w:sz w:val="24"/>
          <w:szCs w:val="24"/>
          <w:lang w:val="en-US"/>
        </w:rPr>
        <w:t>ese</w:t>
      </w:r>
      <w:r w:rsidR="00853D47" w:rsidRPr="00A65CB3">
        <w:rPr>
          <w:rFonts w:ascii="Arial" w:hAnsi="Arial" w:cs="Arial"/>
          <w:sz w:val="24"/>
          <w:szCs w:val="24"/>
          <w:lang w:val="en-US"/>
        </w:rPr>
        <w:t xml:space="preserve"> and statements such as</w:t>
      </w:r>
      <w:r w:rsidR="00E86500" w:rsidRPr="00A65CB3">
        <w:rPr>
          <w:rFonts w:ascii="Arial" w:hAnsi="Arial" w:cs="Arial"/>
          <w:sz w:val="24"/>
          <w:szCs w:val="24"/>
          <w:lang w:val="en-US"/>
        </w:rPr>
        <w:t xml:space="preserve"> </w:t>
      </w:r>
      <w:r w:rsidR="00B63F2C" w:rsidRPr="00A65CB3">
        <w:rPr>
          <w:rFonts w:ascii="Arial" w:hAnsi="Arial" w:cs="Arial"/>
          <w:sz w:val="24"/>
          <w:szCs w:val="24"/>
          <w:lang w:val="en-US"/>
        </w:rPr>
        <w:t>“</w:t>
      </w:r>
      <w:r w:rsidR="00E86500" w:rsidRPr="00A65CB3">
        <w:rPr>
          <w:rFonts w:ascii="Arial" w:hAnsi="Arial" w:cs="Arial"/>
          <w:sz w:val="24"/>
          <w:szCs w:val="24"/>
          <w:lang w:val="en-US"/>
        </w:rPr>
        <w:t>it was an oversight on the part of the Commission not to inform the applicant of the need to extend the investigation period</w:t>
      </w:r>
      <w:r w:rsidR="00853D47" w:rsidRPr="00A65CB3">
        <w:rPr>
          <w:rFonts w:ascii="Arial" w:hAnsi="Arial" w:cs="Arial"/>
          <w:sz w:val="24"/>
          <w:szCs w:val="24"/>
          <w:lang w:val="en-US"/>
        </w:rPr>
        <w:t>,</w:t>
      </w:r>
      <w:r w:rsidR="00B63F2C" w:rsidRPr="00A65CB3">
        <w:rPr>
          <w:rFonts w:ascii="Arial" w:hAnsi="Arial" w:cs="Arial"/>
          <w:sz w:val="24"/>
          <w:szCs w:val="24"/>
          <w:lang w:val="en-US"/>
        </w:rPr>
        <w:t>”</w:t>
      </w:r>
      <w:r w:rsidR="00853D47" w:rsidRPr="00A65CB3">
        <w:rPr>
          <w:rFonts w:ascii="Arial" w:hAnsi="Arial" w:cs="Arial"/>
          <w:sz w:val="24"/>
          <w:szCs w:val="24"/>
          <w:lang w:val="en-US"/>
        </w:rPr>
        <w:t xml:space="preserve"> this court cannot help </w:t>
      </w:r>
      <w:r w:rsidR="00E86500" w:rsidRPr="00A65CB3">
        <w:rPr>
          <w:rFonts w:ascii="Arial" w:hAnsi="Arial" w:cs="Arial"/>
          <w:sz w:val="24"/>
          <w:szCs w:val="24"/>
          <w:lang w:val="en-US"/>
        </w:rPr>
        <w:t>but w</w:t>
      </w:r>
      <w:r w:rsidR="00CB0D2F" w:rsidRPr="00A65CB3">
        <w:rPr>
          <w:rFonts w:ascii="Arial" w:hAnsi="Arial" w:cs="Arial"/>
          <w:sz w:val="24"/>
          <w:szCs w:val="24"/>
          <w:lang w:val="en-US"/>
        </w:rPr>
        <w:t xml:space="preserve">onder </w:t>
      </w:r>
      <w:r w:rsidR="003D1C9F" w:rsidRPr="00A65CB3">
        <w:rPr>
          <w:rFonts w:ascii="Arial" w:hAnsi="Arial" w:cs="Arial"/>
          <w:sz w:val="24"/>
          <w:szCs w:val="24"/>
          <w:lang w:val="en-US"/>
        </w:rPr>
        <w:t>whether</w:t>
      </w:r>
      <w:r w:rsidR="00853D47" w:rsidRPr="00A65CB3">
        <w:rPr>
          <w:rFonts w:ascii="Arial" w:hAnsi="Arial" w:cs="Arial"/>
          <w:sz w:val="24"/>
          <w:szCs w:val="24"/>
          <w:lang w:val="en-US"/>
        </w:rPr>
        <w:t xml:space="preserve"> this is</w:t>
      </w:r>
      <w:r w:rsidR="00E86500" w:rsidRPr="00A65CB3">
        <w:rPr>
          <w:rFonts w:ascii="Arial" w:hAnsi="Arial" w:cs="Arial"/>
          <w:sz w:val="24"/>
          <w:szCs w:val="24"/>
          <w:lang w:val="en-US"/>
        </w:rPr>
        <w:t xml:space="preserve"> due to</w:t>
      </w:r>
      <w:r w:rsidR="00853D47" w:rsidRPr="00A65CB3">
        <w:rPr>
          <w:rFonts w:ascii="Arial" w:hAnsi="Arial" w:cs="Arial"/>
          <w:sz w:val="24"/>
          <w:szCs w:val="24"/>
          <w:lang w:val="en-US"/>
        </w:rPr>
        <w:t xml:space="preserve"> negligence combined with incompetence or </w:t>
      </w:r>
      <w:r w:rsidR="00E86500" w:rsidRPr="00A65CB3">
        <w:rPr>
          <w:rFonts w:ascii="Arial" w:hAnsi="Arial" w:cs="Arial"/>
          <w:sz w:val="24"/>
          <w:szCs w:val="24"/>
          <w:lang w:val="en-US"/>
        </w:rPr>
        <w:t>a</w:t>
      </w:r>
      <w:r w:rsidR="00D66153" w:rsidRPr="00A65CB3">
        <w:rPr>
          <w:rFonts w:ascii="Arial" w:hAnsi="Arial" w:cs="Arial"/>
          <w:sz w:val="24"/>
          <w:szCs w:val="24"/>
          <w:lang w:val="en-US"/>
        </w:rPr>
        <w:t xml:space="preserve"> well-orchestrated stratagem </w:t>
      </w:r>
      <w:r w:rsidR="00853D47" w:rsidRPr="00A65CB3">
        <w:rPr>
          <w:rFonts w:ascii="Arial" w:hAnsi="Arial" w:cs="Arial"/>
          <w:sz w:val="24"/>
          <w:szCs w:val="24"/>
          <w:lang w:val="en-US"/>
        </w:rPr>
        <w:t>to frustrate the mandate</w:t>
      </w:r>
      <w:r w:rsidR="00E86500" w:rsidRPr="00A65CB3">
        <w:rPr>
          <w:rFonts w:ascii="Arial" w:hAnsi="Arial" w:cs="Arial"/>
          <w:sz w:val="24"/>
          <w:szCs w:val="24"/>
          <w:lang w:val="en-US"/>
        </w:rPr>
        <w:t xml:space="preserve"> of the Act</w:t>
      </w:r>
      <w:r w:rsidR="00853D47" w:rsidRPr="00A65CB3">
        <w:rPr>
          <w:rFonts w:ascii="Arial" w:hAnsi="Arial" w:cs="Arial"/>
          <w:sz w:val="24"/>
          <w:szCs w:val="24"/>
          <w:lang w:val="en-US"/>
        </w:rPr>
        <w:t xml:space="preserve">. </w:t>
      </w:r>
      <w:r w:rsidR="00E86500" w:rsidRPr="00A65CB3">
        <w:rPr>
          <w:rFonts w:ascii="Arial" w:hAnsi="Arial" w:cs="Arial"/>
          <w:sz w:val="24"/>
          <w:szCs w:val="24"/>
          <w:lang w:val="en-US"/>
        </w:rPr>
        <w:t>Regardless of the reason</w:t>
      </w:r>
      <w:r w:rsidR="003D1C9F" w:rsidRPr="00A65CB3">
        <w:rPr>
          <w:rFonts w:ascii="Arial" w:hAnsi="Arial" w:cs="Arial"/>
          <w:sz w:val="24"/>
          <w:szCs w:val="24"/>
          <w:lang w:val="en-US"/>
        </w:rPr>
        <w:t>s</w:t>
      </w:r>
      <w:r w:rsidR="00E86500" w:rsidRPr="00A65CB3">
        <w:rPr>
          <w:rFonts w:ascii="Arial" w:hAnsi="Arial" w:cs="Arial"/>
          <w:sz w:val="24"/>
          <w:szCs w:val="24"/>
          <w:lang w:val="en-US"/>
        </w:rPr>
        <w:t>, this is tantamount to</w:t>
      </w:r>
      <w:r w:rsidR="001050EC" w:rsidRPr="00A65CB3">
        <w:rPr>
          <w:rFonts w:ascii="Arial" w:hAnsi="Arial" w:cs="Arial"/>
          <w:sz w:val="24"/>
          <w:szCs w:val="24"/>
          <w:lang w:val="en-US"/>
        </w:rPr>
        <w:t xml:space="preserve"> disregarding the enormous sacrifice</w:t>
      </w:r>
      <w:r w:rsidR="00E86500" w:rsidRPr="00A65CB3">
        <w:rPr>
          <w:rFonts w:ascii="Arial" w:hAnsi="Arial" w:cs="Arial"/>
          <w:sz w:val="24"/>
          <w:szCs w:val="24"/>
          <w:lang w:val="en-US"/>
        </w:rPr>
        <w:t xml:space="preserve"> of South Africans who paid the ultimate price for this constitutional democracy</w:t>
      </w:r>
      <w:r w:rsidR="005D7D82" w:rsidRPr="00A65CB3">
        <w:rPr>
          <w:rFonts w:ascii="Arial" w:hAnsi="Arial" w:cs="Arial"/>
          <w:sz w:val="24"/>
          <w:szCs w:val="24"/>
          <w:lang w:val="en-US"/>
        </w:rPr>
        <w:t>.</w:t>
      </w:r>
    </w:p>
    <w:p w14:paraId="5C39645D" w14:textId="77777777" w:rsidR="005D7D82" w:rsidRPr="005D7D82" w:rsidRDefault="005D7D82" w:rsidP="005D7D82">
      <w:pPr>
        <w:pStyle w:val="ListParagraph"/>
        <w:spacing w:after="0" w:line="360" w:lineRule="auto"/>
        <w:ind w:left="0"/>
        <w:jc w:val="both"/>
        <w:rPr>
          <w:rFonts w:ascii="Arial" w:hAnsi="Arial" w:cs="Arial"/>
          <w:sz w:val="24"/>
          <w:szCs w:val="24"/>
          <w:lang w:val="en-US"/>
        </w:rPr>
      </w:pPr>
    </w:p>
    <w:p w14:paraId="45FFF653" w14:textId="5D5C3F64" w:rsidR="00677F0B" w:rsidRPr="00A65CB3" w:rsidRDefault="00A65CB3" w:rsidP="00A65CB3">
      <w:pPr>
        <w:spacing w:after="0" w:line="360" w:lineRule="auto"/>
        <w:jc w:val="both"/>
        <w:rPr>
          <w:rFonts w:ascii="Arial" w:hAnsi="Arial" w:cs="Arial"/>
          <w:sz w:val="24"/>
          <w:szCs w:val="24"/>
          <w:lang w:val="en-US"/>
        </w:rPr>
      </w:pPr>
      <w:r w:rsidRPr="00680D39">
        <w:rPr>
          <w:rFonts w:ascii="Arial" w:hAnsi="Arial" w:cs="Arial"/>
          <w:sz w:val="24"/>
          <w:szCs w:val="24"/>
          <w:lang w:val="en-US"/>
        </w:rPr>
        <w:lastRenderedPageBreak/>
        <w:t>[41]</w:t>
      </w:r>
      <w:r w:rsidRPr="00680D39">
        <w:rPr>
          <w:rFonts w:ascii="Arial" w:hAnsi="Arial" w:cs="Arial"/>
          <w:sz w:val="24"/>
          <w:szCs w:val="24"/>
          <w:lang w:val="en-US"/>
        </w:rPr>
        <w:tab/>
      </w:r>
      <w:r w:rsidR="00677F0B" w:rsidRPr="00A65CB3">
        <w:rPr>
          <w:rFonts w:ascii="Arial" w:hAnsi="Arial" w:cs="Arial"/>
          <w:sz w:val="24"/>
          <w:szCs w:val="24"/>
          <w:lang w:val="en-US"/>
        </w:rPr>
        <w:t>Under apartheid a dark complexion was an anathema. Hence, black South Africans were hated, prevented from accessing the means of production and deprived of possession of advance</w:t>
      </w:r>
      <w:r w:rsidR="001D60EA" w:rsidRPr="00A65CB3">
        <w:rPr>
          <w:rFonts w:ascii="Arial" w:hAnsi="Arial" w:cs="Arial"/>
          <w:sz w:val="24"/>
          <w:szCs w:val="24"/>
          <w:lang w:val="en-US"/>
        </w:rPr>
        <w:t>d</w:t>
      </w:r>
      <w:r w:rsidR="00677F0B" w:rsidRPr="00A65CB3">
        <w:rPr>
          <w:rFonts w:ascii="Arial" w:hAnsi="Arial" w:cs="Arial"/>
          <w:sz w:val="24"/>
          <w:szCs w:val="24"/>
          <w:lang w:val="en-US"/>
        </w:rPr>
        <w:t xml:space="preserve"> skills. In fact, it is a misnomer to label black people as the previously disadvantaged, as is</w:t>
      </w:r>
      <w:r w:rsidR="00073CE0" w:rsidRPr="00A65CB3">
        <w:rPr>
          <w:rFonts w:ascii="Arial" w:hAnsi="Arial" w:cs="Arial"/>
          <w:sz w:val="24"/>
          <w:szCs w:val="24"/>
          <w:lang w:val="en-US"/>
        </w:rPr>
        <w:t xml:space="preserve"> a</w:t>
      </w:r>
      <w:r w:rsidR="00677F0B" w:rsidRPr="00A65CB3">
        <w:rPr>
          <w:rFonts w:ascii="Arial" w:hAnsi="Arial" w:cs="Arial"/>
          <w:sz w:val="24"/>
          <w:szCs w:val="24"/>
          <w:lang w:val="en-US"/>
        </w:rPr>
        <w:t xml:space="preserve"> common </w:t>
      </w:r>
      <w:r w:rsidR="00073CE0" w:rsidRPr="00A65CB3">
        <w:rPr>
          <w:rFonts w:ascii="Arial" w:hAnsi="Arial" w:cs="Arial"/>
          <w:sz w:val="24"/>
          <w:szCs w:val="24"/>
          <w:lang w:val="en-US"/>
        </w:rPr>
        <w:t xml:space="preserve">parlance of the </w:t>
      </w:r>
      <w:r w:rsidR="00677F0B" w:rsidRPr="00A65CB3">
        <w:rPr>
          <w:rFonts w:ascii="Arial" w:hAnsi="Arial" w:cs="Arial"/>
          <w:sz w:val="24"/>
          <w:szCs w:val="24"/>
          <w:lang w:val="en-US"/>
        </w:rPr>
        <w:t xml:space="preserve">government and business. Nothing could be further from the truth, black people are the previously discriminated against and presently disadvantaged. It is not by chance that black people are landless, poverty-stricken, unemployed </w:t>
      </w:r>
      <w:r w:rsidR="00677F0B" w:rsidRPr="00A65CB3">
        <w:rPr>
          <w:rFonts w:ascii="Arial" w:hAnsi="Arial" w:cs="Arial"/>
          <w:i/>
          <w:iCs/>
          <w:sz w:val="24"/>
          <w:szCs w:val="24"/>
          <w:lang w:val="en-US"/>
        </w:rPr>
        <w:t xml:space="preserve">en mass, </w:t>
      </w:r>
      <w:r w:rsidR="00677F0B" w:rsidRPr="00A65CB3">
        <w:rPr>
          <w:rFonts w:ascii="Arial" w:hAnsi="Arial" w:cs="Arial"/>
          <w:sz w:val="24"/>
          <w:szCs w:val="24"/>
          <w:lang w:val="en-US"/>
        </w:rPr>
        <w:t>and visited by all kind</w:t>
      </w:r>
      <w:r w:rsidR="00073CE0" w:rsidRPr="00A65CB3">
        <w:rPr>
          <w:rFonts w:ascii="Arial" w:hAnsi="Arial" w:cs="Arial"/>
          <w:sz w:val="24"/>
          <w:szCs w:val="24"/>
          <w:lang w:val="en-US"/>
        </w:rPr>
        <w:t>s</w:t>
      </w:r>
      <w:r w:rsidR="00677F0B" w:rsidRPr="00A65CB3">
        <w:rPr>
          <w:rFonts w:ascii="Arial" w:hAnsi="Arial" w:cs="Arial"/>
          <w:sz w:val="24"/>
          <w:szCs w:val="24"/>
          <w:lang w:val="en-US"/>
        </w:rPr>
        <w:t xml:space="preserve"> of social and economic ills. </w:t>
      </w:r>
    </w:p>
    <w:p w14:paraId="0799BAA7" w14:textId="77777777" w:rsidR="00677F0B" w:rsidRPr="00680D39" w:rsidRDefault="00677F0B" w:rsidP="00677F0B">
      <w:pPr>
        <w:pStyle w:val="ListParagraph"/>
        <w:spacing w:after="0" w:line="360" w:lineRule="auto"/>
        <w:ind w:left="0"/>
        <w:jc w:val="both"/>
        <w:rPr>
          <w:rFonts w:ascii="Arial" w:hAnsi="Arial" w:cs="Arial"/>
          <w:sz w:val="24"/>
          <w:szCs w:val="24"/>
          <w:lang w:val="en-US"/>
        </w:rPr>
      </w:pPr>
    </w:p>
    <w:p w14:paraId="2F9A4CBF" w14:textId="2E48ABFC" w:rsidR="00677F0B" w:rsidRPr="00A65CB3" w:rsidRDefault="00A65CB3" w:rsidP="00A65CB3">
      <w:pPr>
        <w:spacing w:after="0" w:line="360" w:lineRule="auto"/>
        <w:jc w:val="both"/>
        <w:rPr>
          <w:rFonts w:ascii="Arial" w:hAnsi="Arial" w:cs="Arial"/>
          <w:sz w:val="24"/>
          <w:szCs w:val="24"/>
          <w:lang w:val="en-US"/>
        </w:rPr>
      </w:pPr>
      <w:r w:rsidRPr="00680D39">
        <w:rPr>
          <w:rFonts w:ascii="Arial" w:hAnsi="Arial" w:cs="Arial"/>
          <w:sz w:val="24"/>
          <w:szCs w:val="24"/>
          <w:lang w:val="en-US"/>
        </w:rPr>
        <w:t>[42]</w:t>
      </w:r>
      <w:r w:rsidRPr="00680D39">
        <w:rPr>
          <w:rFonts w:ascii="Arial" w:hAnsi="Arial" w:cs="Arial"/>
          <w:sz w:val="24"/>
          <w:szCs w:val="24"/>
          <w:lang w:val="en-US"/>
        </w:rPr>
        <w:tab/>
      </w:r>
      <w:r w:rsidR="00677F0B" w:rsidRPr="00A65CB3">
        <w:rPr>
          <w:rFonts w:ascii="Arial" w:hAnsi="Arial" w:cs="Arial"/>
          <w:sz w:val="24"/>
          <w:szCs w:val="24"/>
          <w:lang w:val="en-US"/>
        </w:rPr>
        <w:t>The Commission was enacted with this background in mind; and to establish a legislative framework for the promotion of black economic empowerment</w:t>
      </w:r>
      <w:r w:rsidR="001D60EA" w:rsidRPr="00A65CB3">
        <w:rPr>
          <w:rFonts w:ascii="Arial" w:hAnsi="Arial" w:cs="Arial"/>
          <w:sz w:val="24"/>
          <w:szCs w:val="24"/>
          <w:lang w:val="en-US"/>
        </w:rPr>
        <w:t>,</w:t>
      </w:r>
      <w:r w:rsidR="00677F0B" w:rsidRPr="00A65CB3">
        <w:rPr>
          <w:rFonts w:ascii="Arial" w:hAnsi="Arial" w:cs="Arial"/>
          <w:sz w:val="24"/>
          <w:szCs w:val="24"/>
          <w:lang w:val="en-US"/>
        </w:rPr>
        <w:t xml:space="preserve"> </w:t>
      </w:r>
      <w:r w:rsidR="001D60EA" w:rsidRPr="00A65CB3">
        <w:rPr>
          <w:rFonts w:ascii="Arial" w:hAnsi="Arial" w:cs="Arial"/>
          <w:sz w:val="24"/>
          <w:szCs w:val="24"/>
          <w:lang w:val="en-US"/>
        </w:rPr>
        <w:t>t</w:t>
      </w:r>
      <w:r w:rsidR="00677F0B" w:rsidRPr="00A65CB3">
        <w:rPr>
          <w:rFonts w:ascii="Arial" w:hAnsi="Arial" w:cs="Arial"/>
          <w:sz w:val="24"/>
          <w:szCs w:val="24"/>
          <w:lang w:val="en-US"/>
        </w:rPr>
        <w:t>o transform the economic landscape and to promote</w:t>
      </w:r>
      <w:r w:rsidR="005D7D82" w:rsidRPr="00A65CB3">
        <w:rPr>
          <w:rFonts w:ascii="Arial" w:hAnsi="Arial" w:cs="Arial"/>
          <w:sz w:val="24"/>
          <w:szCs w:val="24"/>
          <w:lang w:val="en-US"/>
        </w:rPr>
        <w:t xml:space="preserve"> the</w:t>
      </w:r>
      <w:r w:rsidR="00677F0B" w:rsidRPr="00A65CB3">
        <w:rPr>
          <w:rFonts w:ascii="Arial" w:hAnsi="Arial" w:cs="Arial"/>
          <w:sz w:val="24"/>
          <w:szCs w:val="24"/>
          <w:lang w:val="en-US"/>
        </w:rPr>
        <w:t xml:space="preserve"> economic unity of the nation by promoting equal opportunity and equal access to government services.</w:t>
      </w:r>
    </w:p>
    <w:p w14:paraId="4D7EF814" w14:textId="77777777" w:rsidR="00677F0B" w:rsidRPr="00680D39" w:rsidRDefault="00677F0B" w:rsidP="00677F0B">
      <w:pPr>
        <w:pStyle w:val="ListParagraph"/>
        <w:spacing w:after="0" w:line="360" w:lineRule="auto"/>
        <w:rPr>
          <w:rFonts w:ascii="Arial" w:hAnsi="Arial" w:cs="Arial"/>
          <w:sz w:val="24"/>
          <w:szCs w:val="24"/>
          <w:lang w:val="en-US"/>
        </w:rPr>
      </w:pPr>
    </w:p>
    <w:p w14:paraId="400D2558" w14:textId="4146E2FF" w:rsidR="00962C8C"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677F0B" w:rsidRPr="00A65CB3">
        <w:rPr>
          <w:rFonts w:ascii="Arial" w:hAnsi="Arial" w:cs="Arial"/>
          <w:sz w:val="24"/>
          <w:szCs w:val="24"/>
          <w:lang w:val="en-US"/>
        </w:rPr>
        <w:t xml:space="preserve">Therefore, the work of the Commission is of paramount importance. It is truly </w:t>
      </w:r>
      <w:r w:rsidR="00073CE0" w:rsidRPr="00A65CB3">
        <w:rPr>
          <w:rFonts w:ascii="Arial" w:hAnsi="Arial" w:cs="Arial"/>
          <w:sz w:val="24"/>
          <w:szCs w:val="24"/>
          <w:lang w:val="en-US"/>
        </w:rPr>
        <w:t>disheartening</w:t>
      </w:r>
      <w:r w:rsidR="00677F0B" w:rsidRPr="00A65CB3">
        <w:rPr>
          <w:rFonts w:ascii="Arial" w:hAnsi="Arial" w:cs="Arial"/>
          <w:sz w:val="24"/>
          <w:szCs w:val="24"/>
          <w:lang w:val="en-US"/>
        </w:rPr>
        <w:t xml:space="preserve"> when its work is dealt with lackadaisically, as is the case in this instance. With access to </w:t>
      </w:r>
      <w:r w:rsidR="00421717" w:rsidRPr="00A65CB3">
        <w:rPr>
          <w:rFonts w:ascii="Arial" w:hAnsi="Arial" w:cs="Arial"/>
          <w:sz w:val="24"/>
          <w:szCs w:val="24"/>
          <w:lang w:val="en-US"/>
        </w:rPr>
        <w:t>S</w:t>
      </w:r>
      <w:r w:rsidR="00677F0B" w:rsidRPr="00A65CB3">
        <w:rPr>
          <w:rFonts w:ascii="Arial" w:hAnsi="Arial" w:cs="Arial"/>
          <w:sz w:val="24"/>
          <w:szCs w:val="24"/>
          <w:lang w:val="en-US"/>
        </w:rPr>
        <w:t xml:space="preserve">tate coffers and top lawyers, the Commission should not put a foot wrong in enforcing its own legislation. Regulation 15(4) is etched in peremptory terms, which cannot be escaped without invoking the provisions of regulation 15(15). How could a conscientious Commissioner, who </w:t>
      </w:r>
      <w:r w:rsidR="00073CE0" w:rsidRPr="00A65CB3">
        <w:rPr>
          <w:rFonts w:ascii="Arial" w:hAnsi="Arial" w:cs="Arial"/>
          <w:sz w:val="24"/>
          <w:szCs w:val="24"/>
          <w:lang w:val="en-US"/>
        </w:rPr>
        <w:t>comprehends how pernicious and poisonous apartheid was to black people</w:t>
      </w:r>
      <w:r w:rsidR="00677F0B" w:rsidRPr="00A65CB3">
        <w:rPr>
          <w:rFonts w:ascii="Arial" w:hAnsi="Arial" w:cs="Arial"/>
          <w:sz w:val="24"/>
          <w:szCs w:val="24"/>
          <w:lang w:val="en-US"/>
        </w:rPr>
        <w:t>, fall foul of regulation 15 (15)?</w:t>
      </w:r>
    </w:p>
    <w:p w14:paraId="535E7842" w14:textId="77777777" w:rsidR="00962C8C" w:rsidRPr="00962C8C" w:rsidRDefault="00962C8C" w:rsidP="00962C8C">
      <w:pPr>
        <w:pStyle w:val="ListParagraph"/>
        <w:rPr>
          <w:rFonts w:ascii="Arial" w:hAnsi="Arial" w:cs="Arial"/>
          <w:sz w:val="24"/>
          <w:szCs w:val="24"/>
          <w:lang w:val="en-US"/>
        </w:rPr>
      </w:pPr>
    </w:p>
    <w:p w14:paraId="21038C07" w14:textId="5EB5E358" w:rsidR="00E92537" w:rsidRPr="00A65CB3" w:rsidRDefault="00A65CB3" w:rsidP="00A65CB3">
      <w:pPr>
        <w:spacing w:after="0" w:line="360" w:lineRule="auto"/>
        <w:jc w:val="both"/>
        <w:rPr>
          <w:rFonts w:ascii="Arial" w:hAnsi="Arial" w:cs="Arial"/>
          <w:sz w:val="24"/>
          <w:szCs w:val="24"/>
          <w:lang w:val="en-US"/>
        </w:rPr>
      </w:pPr>
      <w:r w:rsidRPr="00421717">
        <w:rPr>
          <w:rFonts w:ascii="Arial" w:hAnsi="Arial" w:cs="Arial"/>
          <w:sz w:val="24"/>
          <w:szCs w:val="24"/>
          <w:lang w:val="en-US"/>
        </w:rPr>
        <w:t>[44]</w:t>
      </w:r>
      <w:r w:rsidRPr="00421717">
        <w:rPr>
          <w:rFonts w:ascii="Arial" w:hAnsi="Arial" w:cs="Arial"/>
          <w:sz w:val="24"/>
          <w:szCs w:val="24"/>
          <w:lang w:val="en-US"/>
        </w:rPr>
        <w:tab/>
      </w:r>
      <w:r w:rsidR="00677F0B" w:rsidRPr="00A65CB3">
        <w:rPr>
          <w:rFonts w:ascii="Arial" w:hAnsi="Arial" w:cs="Arial"/>
          <w:sz w:val="24"/>
          <w:szCs w:val="24"/>
          <w:lang w:val="en-US"/>
        </w:rPr>
        <w:t xml:space="preserve"> </w:t>
      </w:r>
      <w:r w:rsidR="00962C8C" w:rsidRPr="00A65CB3">
        <w:rPr>
          <w:rFonts w:ascii="Arial" w:hAnsi="Arial" w:cs="Arial"/>
          <w:sz w:val="24"/>
          <w:szCs w:val="24"/>
          <w:lang w:val="en-US"/>
        </w:rPr>
        <w:t xml:space="preserve">In the absence of compliance with regulation 15(15) the Commission cannot be saved by regulation 4.  As stated in </w:t>
      </w:r>
      <w:r w:rsidR="00962C8C" w:rsidRPr="00A65CB3">
        <w:rPr>
          <w:rFonts w:ascii="Arial" w:hAnsi="Arial" w:cs="Arial"/>
          <w:i/>
          <w:iCs/>
          <w:sz w:val="24"/>
          <w:szCs w:val="24"/>
          <w:lang w:val="en-US"/>
        </w:rPr>
        <w:t>Pickfords Removals</w:t>
      </w:r>
      <w:r w:rsidR="00962C8C" w:rsidRPr="00A65CB3">
        <w:rPr>
          <w:rFonts w:ascii="Arial" w:hAnsi="Arial" w:cs="Arial"/>
          <w:sz w:val="24"/>
          <w:szCs w:val="24"/>
          <w:lang w:val="en-US"/>
        </w:rPr>
        <w:t xml:space="preserve"> “</w:t>
      </w:r>
      <w:r w:rsidR="00962C8C" w:rsidRPr="00A65CB3">
        <w:rPr>
          <w:rFonts w:ascii="Arial" w:hAnsi="Arial" w:cs="Arial"/>
          <w:sz w:val="24"/>
          <w:szCs w:val="24"/>
        </w:rPr>
        <w:t>Condonation is not a mere formality – good cause must be shown.  The concept of “good cause” is well-known in our law.”</w:t>
      </w:r>
    </w:p>
    <w:p w14:paraId="6ED609F9" w14:textId="77777777" w:rsidR="00421717" w:rsidRPr="00421717" w:rsidRDefault="00421717" w:rsidP="00421717">
      <w:pPr>
        <w:pStyle w:val="ListParagraph"/>
        <w:rPr>
          <w:rFonts w:ascii="Arial" w:hAnsi="Arial" w:cs="Arial"/>
          <w:sz w:val="24"/>
          <w:szCs w:val="24"/>
          <w:lang w:val="en-US"/>
        </w:rPr>
      </w:pPr>
    </w:p>
    <w:p w14:paraId="64536852" w14:textId="6496721E" w:rsidR="00421717" w:rsidRPr="00A65CB3" w:rsidRDefault="00A65CB3" w:rsidP="00A65CB3">
      <w:pPr>
        <w:spacing w:after="0" w:line="360" w:lineRule="auto"/>
        <w:jc w:val="both"/>
        <w:rPr>
          <w:rFonts w:ascii="Arial" w:hAnsi="Arial" w:cs="Arial"/>
          <w:sz w:val="24"/>
          <w:szCs w:val="24"/>
        </w:rPr>
      </w:pPr>
      <w:r w:rsidRPr="0006551F">
        <w:rPr>
          <w:rFonts w:ascii="Arial" w:hAnsi="Arial" w:cs="Arial"/>
          <w:sz w:val="24"/>
          <w:szCs w:val="24"/>
        </w:rPr>
        <w:t>[45]</w:t>
      </w:r>
      <w:r w:rsidRPr="0006551F">
        <w:rPr>
          <w:rFonts w:ascii="Arial" w:hAnsi="Arial" w:cs="Arial"/>
          <w:sz w:val="24"/>
          <w:szCs w:val="24"/>
        </w:rPr>
        <w:tab/>
      </w:r>
      <w:r w:rsidR="00421717" w:rsidRPr="00A65CB3">
        <w:rPr>
          <w:rFonts w:ascii="Arial" w:hAnsi="Arial" w:cs="Arial"/>
          <w:sz w:val="24"/>
          <w:szCs w:val="24"/>
          <w:lang w:val="en-US"/>
        </w:rPr>
        <w:t xml:space="preserve">In the matter of </w:t>
      </w:r>
      <w:r w:rsidR="0006551F" w:rsidRPr="00A65CB3">
        <w:rPr>
          <w:rFonts w:ascii="Arial" w:hAnsi="Arial" w:cs="Arial"/>
          <w:i/>
          <w:iCs/>
          <w:sz w:val="24"/>
          <w:szCs w:val="24"/>
        </w:rPr>
        <w:t>eTV (Pty) Ltd and Others v Judicial Service Commission and Others</w:t>
      </w:r>
      <w:r w:rsidR="0006551F">
        <w:rPr>
          <w:rStyle w:val="FootnoteReference"/>
          <w:rFonts w:ascii="Arial" w:hAnsi="Arial" w:cs="Arial"/>
          <w:i/>
          <w:iCs/>
          <w:sz w:val="24"/>
          <w:szCs w:val="24"/>
        </w:rPr>
        <w:footnoteReference w:id="19"/>
      </w:r>
      <w:r w:rsidR="0006551F" w:rsidRPr="00A65CB3">
        <w:rPr>
          <w:rFonts w:ascii="Arial" w:hAnsi="Arial" w:cs="Arial"/>
          <w:i/>
          <w:iCs/>
          <w:sz w:val="24"/>
          <w:szCs w:val="24"/>
        </w:rPr>
        <w:t xml:space="preserve"> </w:t>
      </w:r>
      <w:r w:rsidR="0006551F" w:rsidRPr="00A65CB3">
        <w:rPr>
          <w:rFonts w:ascii="Arial" w:hAnsi="Arial" w:cs="Arial"/>
          <w:sz w:val="24"/>
          <w:szCs w:val="24"/>
        </w:rPr>
        <w:t>the court held:</w:t>
      </w:r>
    </w:p>
    <w:p w14:paraId="5518C7AC" w14:textId="77777777" w:rsidR="00421717" w:rsidRPr="00421717" w:rsidRDefault="00421717" w:rsidP="00421717">
      <w:pPr>
        <w:pStyle w:val="ListParagraph"/>
        <w:rPr>
          <w:rFonts w:ascii="Arial" w:hAnsi="Arial" w:cs="Arial"/>
          <w:sz w:val="24"/>
          <w:szCs w:val="24"/>
          <w:lang w:val="en-US"/>
        </w:rPr>
      </w:pPr>
    </w:p>
    <w:p w14:paraId="0036E5C1" w14:textId="1A2228F4" w:rsidR="00421717" w:rsidRPr="00421717" w:rsidRDefault="00421717" w:rsidP="00421717">
      <w:pPr>
        <w:pStyle w:val="ListParagraph"/>
        <w:spacing w:after="0" w:line="360" w:lineRule="auto"/>
        <w:ind w:left="567"/>
        <w:jc w:val="both"/>
        <w:rPr>
          <w:rFonts w:ascii="Arial" w:hAnsi="Arial" w:cs="Arial"/>
          <w:lang w:val="en-US"/>
        </w:rPr>
      </w:pPr>
      <w:r>
        <w:rPr>
          <w:rFonts w:ascii="Arial" w:hAnsi="Arial" w:cs="Arial"/>
        </w:rPr>
        <w:t>“</w:t>
      </w:r>
      <w:r w:rsidRPr="00421717">
        <w:rPr>
          <w:rFonts w:ascii="Arial" w:hAnsi="Arial" w:cs="Arial"/>
        </w:rPr>
        <w:t xml:space="preserve">it was accepted that the test had to be objective. In other words, it is not sufficient that “good cause” should exist purely in the mind of the decision-maker: the decision must, in addition, be objectively justifiable or survive objective scrutiny. Put differently, “good </w:t>
      </w:r>
      <w:r w:rsidRPr="00421717">
        <w:rPr>
          <w:rFonts w:ascii="Arial" w:hAnsi="Arial" w:cs="Arial"/>
        </w:rPr>
        <w:lastRenderedPageBreak/>
        <w:t>cause” in the mind of the decision-maker alone is simply not “good” enough. If questions such as the one in issue were to be interpreted purely against a subjective test, we might as well begin to put out the lights for any role for the courts as protectors and defenders of our constitutional order. “Justifiable” is not, however, synonymous with “agreeable to the court</w:t>
      </w:r>
      <w:r w:rsidR="00552FD9" w:rsidRPr="00421717">
        <w:rPr>
          <w:rFonts w:ascii="Arial" w:hAnsi="Arial" w:cs="Arial"/>
        </w:rPr>
        <w:t>.”</w:t>
      </w:r>
      <w:r w:rsidR="0006551F">
        <w:rPr>
          <w:rStyle w:val="FootnoteReference"/>
          <w:rFonts w:ascii="Arial" w:hAnsi="Arial" w:cs="Arial"/>
        </w:rPr>
        <w:footnoteReference w:id="20"/>
      </w:r>
    </w:p>
    <w:p w14:paraId="27CD3D1D" w14:textId="77777777" w:rsidR="00073CE0" w:rsidRPr="00073CE0" w:rsidRDefault="00073CE0" w:rsidP="00073CE0">
      <w:pPr>
        <w:pStyle w:val="ListParagraph"/>
        <w:spacing w:after="0" w:line="360" w:lineRule="auto"/>
        <w:ind w:left="0"/>
        <w:jc w:val="both"/>
        <w:rPr>
          <w:rFonts w:ascii="Arial" w:hAnsi="Arial" w:cs="Arial"/>
          <w:sz w:val="24"/>
          <w:szCs w:val="24"/>
          <w:lang w:val="en-US"/>
        </w:rPr>
      </w:pPr>
    </w:p>
    <w:p w14:paraId="283FDF96" w14:textId="6C22EB2A" w:rsidR="00023896" w:rsidRPr="00A65CB3" w:rsidRDefault="00A65CB3" w:rsidP="00A65CB3">
      <w:pPr>
        <w:spacing w:after="0" w:line="360" w:lineRule="auto"/>
        <w:jc w:val="both"/>
        <w:rPr>
          <w:rFonts w:ascii="Arial" w:hAnsi="Arial" w:cs="Arial"/>
          <w:sz w:val="24"/>
          <w:szCs w:val="24"/>
          <w:lang w:val="en-GB"/>
        </w:rPr>
      </w:pPr>
      <w:r w:rsidRPr="00023896">
        <w:rPr>
          <w:rFonts w:ascii="Arial" w:hAnsi="Arial" w:cs="Arial"/>
          <w:sz w:val="24"/>
          <w:szCs w:val="24"/>
          <w:lang w:val="en-GB"/>
        </w:rPr>
        <w:t>[46]</w:t>
      </w:r>
      <w:r w:rsidRPr="00023896">
        <w:rPr>
          <w:rFonts w:ascii="Arial" w:hAnsi="Arial" w:cs="Arial"/>
          <w:sz w:val="24"/>
          <w:szCs w:val="24"/>
          <w:lang w:val="en-GB"/>
        </w:rPr>
        <w:tab/>
      </w:r>
      <w:r w:rsidR="00E86500" w:rsidRPr="00A65CB3">
        <w:rPr>
          <w:rFonts w:ascii="Arial" w:hAnsi="Arial" w:cs="Arial"/>
          <w:sz w:val="24"/>
          <w:szCs w:val="24"/>
          <w:lang w:val="en-US"/>
        </w:rPr>
        <w:t>The reason that t</w:t>
      </w:r>
      <w:r w:rsidR="00E92537" w:rsidRPr="00A65CB3">
        <w:rPr>
          <w:rFonts w:ascii="Arial" w:hAnsi="Arial" w:cs="Arial"/>
          <w:sz w:val="24"/>
          <w:szCs w:val="24"/>
          <w:lang w:val="en-US"/>
        </w:rPr>
        <w:t xml:space="preserve">he work of the Commission was affected by </w:t>
      </w:r>
      <w:r w:rsidR="00521234" w:rsidRPr="00A65CB3">
        <w:rPr>
          <w:rFonts w:ascii="Arial" w:hAnsi="Arial" w:cs="Arial"/>
          <w:sz w:val="24"/>
          <w:szCs w:val="24"/>
          <w:lang w:val="en-US"/>
        </w:rPr>
        <w:t>Covid-19 lockdown is the closest</w:t>
      </w:r>
      <w:r w:rsidR="00E92537" w:rsidRPr="00A65CB3">
        <w:rPr>
          <w:rFonts w:ascii="Arial" w:hAnsi="Arial" w:cs="Arial"/>
          <w:sz w:val="24"/>
          <w:szCs w:val="24"/>
          <w:lang w:val="en-US"/>
        </w:rPr>
        <w:t xml:space="preserve"> it comes</w:t>
      </w:r>
      <w:r w:rsidR="00521234" w:rsidRPr="00A65CB3">
        <w:rPr>
          <w:rFonts w:ascii="Arial" w:hAnsi="Arial" w:cs="Arial"/>
          <w:sz w:val="24"/>
          <w:szCs w:val="24"/>
          <w:lang w:val="en-US"/>
        </w:rPr>
        <w:t xml:space="preserve"> to a</w:t>
      </w:r>
      <w:r w:rsidR="00977D69" w:rsidRPr="00A65CB3">
        <w:rPr>
          <w:rFonts w:ascii="Arial" w:hAnsi="Arial" w:cs="Arial"/>
          <w:sz w:val="24"/>
          <w:szCs w:val="24"/>
          <w:lang w:val="en-US"/>
        </w:rPr>
        <w:t xml:space="preserve"> reason worthy of </w:t>
      </w:r>
      <w:r w:rsidR="00906763" w:rsidRPr="00A65CB3">
        <w:rPr>
          <w:rFonts w:ascii="Arial" w:hAnsi="Arial" w:cs="Arial"/>
          <w:sz w:val="24"/>
          <w:szCs w:val="24"/>
          <w:lang w:val="en-US"/>
        </w:rPr>
        <w:t xml:space="preserve">the </w:t>
      </w:r>
      <w:r w:rsidR="00977D69" w:rsidRPr="00A65CB3">
        <w:rPr>
          <w:rFonts w:ascii="Arial" w:hAnsi="Arial" w:cs="Arial"/>
          <w:sz w:val="24"/>
          <w:szCs w:val="24"/>
          <w:lang w:val="en-US"/>
        </w:rPr>
        <w:t>court’s consideration</w:t>
      </w:r>
      <w:r w:rsidR="00521234" w:rsidRPr="00A65CB3">
        <w:rPr>
          <w:rFonts w:ascii="Arial" w:hAnsi="Arial" w:cs="Arial"/>
          <w:sz w:val="24"/>
          <w:szCs w:val="24"/>
          <w:lang w:val="en-US"/>
        </w:rPr>
        <w:t xml:space="preserve">. </w:t>
      </w:r>
      <w:r w:rsidR="00D76284" w:rsidRPr="00A65CB3">
        <w:rPr>
          <w:rFonts w:ascii="Arial" w:hAnsi="Arial" w:cs="Arial"/>
          <w:sz w:val="24"/>
          <w:szCs w:val="24"/>
          <w:lang w:val="en-US"/>
        </w:rPr>
        <w:t>However,</w:t>
      </w:r>
      <w:r w:rsidR="00D76951" w:rsidRPr="00A65CB3">
        <w:rPr>
          <w:rFonts w:ascii="Arial" w:hAnsi="Arial" w:cs="Arial"/>
          <w:sz w:val="24"/>
          <w:szCs w:val="24"/>
          <w:lang w:val="en-US"/>
        </w:rPr>
        <w:t xml:space="preserve"> Covid 19 lockdown cannot account for </w:t>
      </w:r>
      <w:r w:rsidR="00FC710D" w:rsidRPr="00A65CB3">
        <w:rPr>
          <w:rFonts w:ascii="Arial" w:hAnsi="Arial" w:cs="Arial"/>
          <w:sz w:val="24"/>
          <w:szCs w:val="24"/>
          <w:lang w:val="en-US"/>
        </w:rPr>
        <w:t>the</w:t>
      </w:r>
      <w:r w:rsidR="00D76951" w:rsidRPr="00A65CB3">
        <w:rPr>
          <w:rFonts w:ascii="Arial" w:hAnsi="Arial" w:cs="Arial"/>
          <w:sz w:val="24"/>
          <w:szCs w:val="24"/>
          <w:lang w:val="en-US"/>
        </w:rPr>
        <w:t xml:space="preserve"> delay of almost a year</w:t>
      </w:r>
      <w:r w:rsidR="00CC1F8E" w:rsidRPr="00A65CB3">
        <w:rPr>
          <w:rFonts w:ascii="Arial" w:hAnsi="Arial" w:cs="Arial"/>
          <w:sz w:val="24"/>
          <w:szCs w:val="24"/>
          <w:lang w:val="en-US"/>
        </w:rPr>
        <w:t>. In its answering affidavit, the Commission states th</w:t>
      </w:r>
      <w:r w:rsidR="003775CD" w:rsidRPr="00A65CB3">
        <w:rPr>
          <w:rFonts w:ascii="Arial" w:hAnsi="Arial" w:cs="Arial"/>
          <w:sz w:val="24"/>
          <w:szCs w:val="24"/>
          <w:lang w:val="en-US"/>
        </w:rPr>
        <w:t>at</w:t>
      </w:r>
      <w:r w:rsidR="00CC1F8E" w:rsidRPr="00A65CB3">
        <w:rPr>
          <w:rFonts w:ascii="Arial" w:hAnsi="Arial" w:cs="Arial"/>
          <w:sz w:val="24"/>
          <w:szCs w:val="24"/>
          <w:lang w:val="en-US"/>
        </w:rPr>
        <w:t>: “As soon as the lockdown regulations were relaxed, the Commission proceeded to investigate the matter including communicating with Sand Shifters.”</w:t>
      </w:r>
      <w:r w:rsidR="00CC1F8E">
        <w:rPr>
          <w:rStyle w:val="FootnoteReference"/>
          <w:rFonts w:ascii="Arial" w:hAnsi="Arial" w:cs="Arial"/>
          <w:sz w:val="24"/>
          <w:szCs w:val="24"/>
          <w:lang w:val="en-US"/>
        </w:rPr>
        <w:footnoteReference w:id="21"/>
      </w:r>
      <w:r w:rsidR="00CC1F8E" w:rsidRPr="00A65CB3">
        <w:rPr>
          <w:rFonts w:ascii="Arial" w:hAnsi="Arial" w:cs="Arial"/>
          <w:sz w:val="24"/>
          <w:szCs w:val="24"/>
          <w:lang w:val="en-US"/>
        </w:rPr>
        <w:t xml:space="preserve"> Indeed, o</w:t>
      </w:r>
      <w:r w:rsidR="00CC1F8E" w:rsidRPr="00A65CB3">
        <w:rPr>
          <w:rFonts w:ascii="Arial" w:hAnsi="Arial" w:cs="Arial"/>
          <w:sz w:val="24"/>
          <w:szCs w:val="24"/>
          <w:lang w:val="en-GB"/>
        </w:rPr>
        <w:t>n</w:t>
      </w:r>
      <w:r w:rsidR="00D76951" w:rsidRPr="00A65CB3">
        <w:rPr>
          <w:rFonts w:ascii="Arial" w:hAnsi="Arial" w:cs="Arial"/>
          <w:sz w:val="24"/>
          <w:szCs w:val="24"/>
          <w:lang w:val="en-US"/>
        </w:rPr>
        <w:t xml:space="preserve"> </w:t>
      </w:r>
      <w:r w:rsidR="00E260AA" w:rsidRPr="00A65CB3">
        <w:rPr>
          <w:rFonts w:ascii="Arial" w:hAnsi="Arial" w:cs="Arial"/>
          <w:sz w:val="24"/>
          <w:szCs w:val="24"/>
          <w:lang w:val="en-US"/>
        </w:rPr>
        <w:t>15 July 2020,</w:t>
      </w:r>
      <w:r w:rsidR="00D76951" w:rsidRPr="00A65CB3">
        <w:rPr>
          <w:rFonts w:ascii="Arial" w:hAnsi="Arial" w:cs="Arial"/>
          <w:sz w:val="24"/>
          <w:szCs w:val="24"/>
          <w:lang w:val="en-US"/>
        </w:rPr>
        <w:t xml:space="preserve"> </w:t>
      </w:r>
      <w:r w:rsidR="00CC1F8E" w:rsidRPr="00A65CB3">
        <w:rPr>
          <w:rFonts w:ascii="Arial" w:hAnsi="Arial" w:cs="Arial"/>
          <w:sz w:val="24"/>
          <w:szCs w:val="24"/>
          <w:lang w:val="en-US"/>
        </w:rPr>
        <w:t>the Commission advised</w:t>
      </w:r>
      <w:r w:rsidR="00E260AA" w:rsidRPr="00A65CB3">
        <w:rPr>
          <w:rFonts w:ascii="Arial" w:hAnsi="Arial" w:cs="Arial"/>
          <w:sz w:val="24"/>
          <w:szCs w:val="24"/>
          <w:lang w:val="en-US"/>
        </w:rPr>
        <w:t xml:space="preserve"> SS Africa, SS and SS Logistics that they were merits in investigating them. Again, on 6 August 2020, the </w:t>
      </w:r>
      <w:r w:rsidR="00023896" w:rsidRPr="00A65CB3">
        <w:rPr>
          <w:rFonts w:ascii="Arial" w:hAnsi="Arial" w:cs="Arial"/>
          <w:sz w:val="24"/>
          <w:szCs w:val="24"/>
          <w:lang w:val="en-US"/>
        </w:rPr>
        <w:t>C</w:t>
      </w:r>
      <w:r w:rsidR="00E260AA" w:rsidRPr="00A65CB3">
        <w:rPr>
          <w:rFonts w:ascii="Arial" w:hAnsi="Arial" w:cs="Arial"/>
          <w:sz w:val="24"/>
          <w:szCs w:val="24"/>
          <w:lang w:val="en-US"/>
        </w:rPr>
        <w:t>ommission requested further information and clarification from SS Africa, which was provided on 7 August 2020.</w:t>
      </w:r>
      <w:r w:rsidR="00BC6DFF" w:rsidRPr="00A65CB3">
        <w:rPr>
          <w:rFonts w:ascii="Arial" w:hAnsi="Arial" w:cs="Arial"/>
          <w:sz w:val="24"/>
          <w:szCs w:val="24"/>
          <w:lang w:val="en-US"/>
        </w:rPr>
        <w:t xml:space="preserve"> </w:t>
      </w:r>
    </w:p>
    <w:p w14:paraId="5328637D" w14:textId="77777777" w:rsidR="00023896" w:rsidRPr="00023896" w:rsidRDefault="00023896" w:rsidP="00023896">
      <w:pPr>
        <w:pStyle w:val="ListParagraph"/>
        <w:spacing w:after="0" w:line="360" w:lineRule="auto"/>
        <w:ind w:left="0"/>
        <w:jc w:val="both"/>
        <w:rPr>
          <w:rFonts w:ascii="Arial" w:hAnsi="Arial" w:cs="Arial"/>
          <w:sz w:val="24"/>
          <w:szCs w:val="24"/>
          <w:lang w:val="en-GB"/>
        </w:rPr>
      </w:pPr>
    </w:p>
    <w:p w14:paraId="7F20AE93" w14:textId="05C58C1F" w:rsidR="00FC710D" w:rsidRPr="00A65CB3" w:rsidRDefault="00A65CB3" w:rsidP="00A65CB3">
      <w:pPr>
        <w:spacing w:after="0" w:line="360" w:lineRule="auto"/>
        <w:jc w:val="both"/>
        <w:rPr>
          <w:rFonts w:ascii="Arial" w:hAnsi="Arial" w:cs="Arial"/>
          <w:sz w:val="24"/>
          <w:szCs w:val="24"/>
          <w:lang w:val="en-GB"/>
        </w:rPr>
      </w:pPr>
      <w:r w:rsidRPr="00FC710D">
        <w:rPr>
          <w:rFonts w:ascii="Arial" w:hAnsi="Arial" w:cs="Arial"/>
          <w:sz w:val="24"/>
          <w:szCs w:val="24"/>
          <w:lang w:val="en-GB"/>
        </w:rPr>
        <w:t>[47]</w:t>
      </w:r>
      <w:r w:rsidRPr="00FC710D">
        <w:rPr>
          <w:rFonts w:ascii="Arial" w:hAnsi="Arial" w:cs="Arial"/>
          <w:sz w:val="24"/>
          <w:szCs w:val="24"/>
          <w:lang w:val="en-GB"/>
        </w:rPr>
        <w:tab/>
      </w:r>
      <w:r w:rsidR="00023896" w:rsidRPr="00A65CB3">
        <w:rPr>
          <w:rFonts w:ascii="Arial" w:hAnsi="Arial" w:cs="Arial"/>
          <w:sz w:val="24"/>
          <w:szCs w:val="24"/>
          <w:lang w:val="en-US"/>
        </w:rPr>
        <w:t>Furthermore, t</w:t>
      </w:r>
      <w:r w:rsidR="00A80BD1" w:rsidRPr="00A65CB3">
        <w:rPr>
          <w:rFonts w:ascii="Arial" w:hAnsi="Arial" w:cs="Arial"/>
          <w:sz w:val="24"/>
          <w:szCs w:val="24"/>
          <w:lang w:val="en-US"/>
        </w:rPr>
        <w:t>he respondents submit</w:t>
      </w:r>
      <w:r w:rsidR="00023896" w:rsidRPr="00A65CB3">
        <w:rPr>
          <w:rFonts w:ascii="Arial" w:hAnsi="Arial" w:cs="Arial"/>
          <w:sz w:val="24"/>
          <w:szCs w:val="24"/>
          <w:lang w:val="en-US"/>
        </w:rPr>
        <w:t xml:space="preserve"> </w:t>
      </w:r>
      <w:r w:rsidR="00A80BD1" w:rsidRPr="00A65CB3">
        <w:rPr>
          <w:rFonts w:ascii="Arial" w:hAnsi="Arial" w:cs="Arial"/>
          <w:sz w:val="24"/>
          <w:szCs w:val="24"/>
          <w:lang w:val="en-US"/>
        </w:rPr>
        <w:t xml:space="preserve">that the applicants cannot be heard to be crying </w:t>
      </w:r>
      <w:r w:rsidR="00867E67" w:rsidRPr="00A65CB3">
        <w:rPr>
          <w:rFonts w:ascii="Arial" w:hAnsi="Arial" w:cs="Arial"/>
          <w:sz w:val="24"/>
          <w:szCs w:val="24"/>
          <w:lang w:val="en-US"/>
        </w:rPr>
        <w:t>foul</w:t>
      </w:r>
      <w:r w:rsidR="00A80BD1" w:rsidRPr="00A65CB3">
        <w:rPr>
          <w:rFonts w:ascii="Arial" w:hAnsi="Arial" w:cs="Arial"/>
          <w:sz w:val="24"/>
          <w:szCs w:val="24"/>
          <w:lang w:val="en-US"/>
        </w:rPr>
        <w:t xml:space="preserve"> when they never sounded an alarm </w:t>
      </w:r>
      <w:r w:rsidR="004D1B8A" w:rsidRPr="00A65CB3">
        <w:rPr>
          <w:rFonts w:ascii="Arial" w:hAnsi="Arial" w:cs="Arial"/>
          <w:sz w:val="24"/>
          <w:szCs w:val="24"/>
          <w:lang w:val="en-US"/>
        </w:rPr>
        <w:t xml:space="preserve">but “cooperated with the Commission outside of </w:t>
      </w:r>
      <w:r w:rsidR="00867E67" w:rsidRPr="00A65CB3">
        <w:rPr>
          <w:rFonts w:ascii="Arial" w:hAnsi="Arial" w:cs="Arial"/>
          <w:sz w:val="24"/>
          <w:szCs w:val="24"/>
          <w:lang w:val="en-US"/>
        </w:rPr>
        <w:t>one (</w:t>
      </w:r>
      <w:r w:rsidR="004D1B8A" w:rsidRPr="00A65CB3">
        <w:rPr>
          <w:rFonts w:ascii="Arial" w:hAnsi="Arial" w:cs="Arial"/>
          <w:sz w:val="24"/>
          <w:szCs w:val="24"/>
          <w:lang w:val="en-US"/>
        </w:rPr>
        <w:t>1</w:t>
      </w:r>
      <w:r w:rsidR="00867E67" w:rsidRPr="00A65CB3">
        <w:rPr>
          <w:rFonts w:ascii="Arial" w:hAnsi="Arial" w:cs="Arial"/>
          <w:sz w:val="24"/>
          <w:szCs w:val="24"/>
          <w:lang w:val="en-US"/>
        </w:rPr>
        <w:t>)</w:t>
      </w:r>
      <w:r w:rsidR="004D1B8A" w:rsidRPr="00A65CB3">
        <w:rPr>
          <w:rFonts w:ascii="Arial" w:hAnsi="Arial" w:cs="Arial"/>
          <w:sz w:val="24"/>
          <w:szCs w:val="24"/>
          <w:lang w:val="en-US"/>
        </w:rPr>
        <w:t xml:space="preserve"> year and did not at no stage object to the continuation of the investigation until they received the preliminary findings on or about December 2020.”</w:t>
      </w:r>
      <w:r w:rsidR="004D1B8A">
        <w:rPr>
          <w:rStyle w:val="FootnoteReference"/>
          <w:rFonts w:ascii="Arial" w:hAnsi="Arial" w:cs="Arial"/>
          <w:sz w:val="24"/>
          <w:szCs w:val="24"/>
          <w:lang w:val="en-US"/>
        </w:rPr>
        <w:footnoteReference w:id="22"/>
      </w:r>
      <w:r w:rsidR="004D1B8A" w:rsidRPr="00A65CB3">
        <w:rPr>
          <w:rFonts w:ascii="Arial" w:hAnsi="Arial" w:cs="Arial"/>
          <w:sz w:val="24"/>
          <w:szCs w:val="24"/>
          <w:lang w:val="en-US"/>
        </w:rPr>
        <w:t xml:space="preserve"> </w:t>
      </w:r>
      <w:r w:rsidR="00A80BD1" w:rsidRPr="00A65CB3">
        <w:rPr>
          <w:rFonts w:ascii="Arial" w:hAnsi="Arial" w:cs="Arial"/>
          <w:sz w:val="24"/>
          <w:szCs w:val="24"/>
          <w:lang w:val="en-US"/>
        </w:rPr>
        <w:t>This submission is fallacious because it is the commission that is required to comply with regulation 15(4)(g), not the applicants.</w:t>
      </w:r>
      <w:r w:rsidR="00023896" w:rsidRPr="00A65CB3">
        <w:rPr>
          <w:rFonts w:ascii="Arial" w:hAnsi="Arial" w:cs="Arial"/>
          <w:sz w:val="24"/>
          <w:szCs w:val="24"/>
          <w:lang w:val="en-US"/>
        </w:rPr>
        <w:t xml:space="preserve"> The applicants could not have known that the respondents had sought an extension form the complainant, Mr Mahlangu.</w:t>
      </w:r>
      <w:r w:rsidR="00A80BD1" w:rsidRPr="00A65CB3">
        <w:rPr>
          <w:rFonts w:ascii="Arial" w:hAnsi="Arial" w:cs="Arial"/>
          <w:sz w:val="24"/>
          <w:szCs w:val="24"/>
          <w:lang w:val="en-US"/>
        </w:rPr>
        <w:t xml:space="preserve"> </w:t>
      </w:r>
      <w:r w:rsidR="00023896" w:rsidRPr="00A65CB3">
        <w:rPr>
          <w:rFonts w:ascii="Arial" w:hAnsi="Arial" w:cs="Arial"/>
          <w:sz w:val="24"/>
          <w:szCs w:val="24"/>
          <w:lang w:val="en-US"/>
        </w:rPr>
        <w:t>Therefore, it was prudent for the applicants to wait for the completion of the investigation</w:t>
      </w:r>
      <w:r w:rsidR="004D1B8A" w:rsidRPr="00A65CB3">
        <w:rPr>
          <w:rFonts w:ascii="Arial" w:hAnsi="Arial" w:cs="Arial"/>
          <w:sz w:val="24"/>
          <w:szCs w:val="24"/>
          <w:lang w:val="en-US"/>
        </w:rPr>
        <w:t xml:space="preserve"> before </w:t>
      </w:r>
      <w:r w:rsidR="00A477CD" w:rsidRPr="00A65CB3">
        <w:rPr>
          <w:rFonts w:ascii="Arial" w:hAnsi="Arial" w:cs="Arial"/>
          <w:sz w:val="24"/>
          <w:szCs w:val="24"/>
          <w:lang w:val="en-US"/>
        </w:rPr>
        <w:t>objecting</w:t>
      </w:r>
      <w:r w:rsidR="004D1B8A" w:rsidRPr="00A65CB3">
        <w:rPr>
          <w:rFonts w:ascii="Arial" w:hAnsi="Arial" w:cs="Arial"/>
          <w:sz w:val="24"/>
          <w:szCs w:val="24"/>
          <w:lang w:val="en-US"/>
        </w:rPr>
        <w:t>.</w:t>
      </w:r>
    </w:p>
    <w:p w14:paraId="23D642ED" w14:textId="77777777" w:rsidR="00FC710D" w:rsidRPr="00FC710D" w:rsidRDefault="00FC710D" w:rsidP="00FC710D">
      <w:pPr>
        <w:pStyle w:val="ListParagraph"/>
        <w:rPr>
          <w:rFonts w:ascii="Arial" w:hAnsi="Arial" w:cs="Arial"/>
          <w:sz w:val="24"/>
          <w:szCs w:val="24"/>
          <w:lang w:val="en-US"/>
        </w:rPr>
      </w:pPr>
    </w:p>
    <w:p w14:paraId="61891EDA" w14:textId="09656673" w:rsidR="00B93B7D" w:rsidRPr="00A65CB3" w:rsidRDefault="00A65CB3" w:rsidP="00A65CB3">
      <w:pPr>
        <w:spacing w:after="0" w:line="360" w:lineRule="auto"/>
        <w:jc w:val="both"/>
        <w:rPr>
          <w:rFonts w:ascii="Arial" w:hAnsi="Arial" w:cs="Arial"/>
          <w:sz w:val="24"/>
          <w:szCs w:val="24"/>
          <w:lang w:val="en-GB"/>
        </w:rPr>
      </w:pPr>
      <w:r w:rsidRPr="00B93B7D">
        <w:rPr>
          <w:rFonts w:ascii="Arial" w:hAnsi="Arial" w:cs="Arial"/>
          <w:sz w:val="24"/>
          <w:szCs w:val="24"/>
          <w:lang w:val="en-GB"/>
        </w:rPr>
        <w:t>[48]</w:t>
      </w:r>
      <w:r w:rsidRPr="00B93B7D">
        <w:rPr>
          <w:rFonts w:ascii="Arial" w:hAnsi="Arial" w:cs="Arial"/>
          <w:sz w:val="24"/>
          <w:szCs w:val="24"/>
          <w:lang w:val="en-GB"/>
        </w:rPr>
        <w:tab/>
      </w:r>
      <w:r w:rsidR="00521234" w:rsidRPr="00A65CB3">
        <w:rPr>
          <w:rFonts w:ascii="Arial" w:hAnsi="Arial" w:cs="Arial"/>
          <w:sz w:val="24"/>
          <w:szCs w:val="24"/>
          <w:lang w:val="en-US"/>
        </w:rPr>
        <w:t xml:space="preserve">Ultimately, this court must ask itself if it is in the interest of justice to </w:t>
      </w:r>
      <w:r w:rsidR="00977D69" w:rsidRPr="00A65CB3">
        <w:rPr>
          <w:rFonts w:ascii="Arial" w:hAnsi="Arial" w:cs="Arial"/>
          <w:sz w:val="24"/>
          <w:szCs w:val="24"/>
          <w:lang w:val="en-US"/>
        </w:rPr>
        <w:t>grant condonation</w:t>
      </w:r>
      <w:r w:rsidR="00E92537" w:rsidRPr="00A65CB3">
        <w:rPr>
          <w:rFonts w:ascii="Arial" w:hAnsi="Arial" w:cs="Arial"/>
          <w:sz w:val="24"/>
          <w:szCs w:val="24"/>
          <w:lang w:val="en-US"/>
        </w:rPr>
        <w:t xml:space="preserve">, </w:t>
      </w:r>
      <w:r w:rsidR="00521234" w:rsidRPr="00A65CB3">
        <w:rPr>
          <w:rFonts w:ascii="Arial" w:hAnsi="Arial" w:cs="Arial"/>
          <w:sz w:val="24"/>
          <w:szCs w:val="24"/>
          <w:lang w:val="en-US"/>
        </w:rPr>
        <w:t xml:space="preserve">notwithstanding </w:t>
      </w:r>
      <w:r w:rsidR="00FC710D" w:rsidRPr="00A65CB3">
        <w:rPr>
          <w:rFonts w:ascii="Arial" w:hAnsi="Arial" w:cs="Arial"/>
          <w:sz w:val="24"/>
          <w:szCs w:val="24"/>
          <w:lang w:val="en-US"/>
        </w:rPr>
        <w:t>the delay of almost a year</w:t>
      </w:r>
      <w:r w:rsidR="0006551F" w:rsidRPr="00A65CB3">
        <w:rPr>
          <w:rFonts w:ascii="Arial" w:hAnsi="Arial" w:cs="Arial"/>
          <w:sz w:val="24"/>
          <w:szCs w:val="24"/>
          <w:lang w:val="en-US"/>
        </w:rPr>
        <w:t xml:space="preserve"> and paucity of reasons</w:t>
      </w:r>
      <w:r w:rsidR="00521234" w:rsidRPr="00A65CB3">
        <w:rPr>
          <w:rFonts w:ascii="Arial" w:hAnsi="Arial" w:cs="Arial"/>
          <w:sz w:val="24"/>
          <w:szCs w:val="24"/>
          <w:lang w:val="en-US"/>
        </w:rPr>
        <w:t>.</w:t>
      </w:r>
      <w:r w:rsidR="00FC710D" w:rsidRPr="00A65CB3">
        <w:rPr>
          <w:rFonts w:ascii="Arial" w:hAnsi="Arial" w:cs="Arial"/>
          <w:sz w:val="24"/>
          <w:szCs w:val="24"/>
          <w:lang w:val="en-US"/>
        </w:rPr>
        <w:t xml:space="preserve"> </w:t>
      </w:r>
      <w:r w:rsidR="004D1B8A" w:rsidRPr="00A65CB3">
        <w:rPr>
          <w:rFonts w:ascii="Arial" w:hAnsi="Arial" w:cs="Arial"/>
          <w:sz w:val="24"/>
          <w:szCs w:val="24"/>
          <w:lang w:val="en-US"/>
        </w:rPr>
        <w:t>Let me hasten to mention that before this court there is no application for condonation.</w:t>
      </w:r>
    </w:p>
    <w:p w14:paraId="6471802A" w14:textId="77777777" w:rsidR="00B93B7D" w:rsidRPr="00B93B7D" w:rsidRDefault="00B93B7D" w:rsidP="00B93B7D">
      <w:pPr>
        <w:pStyle w:val="ListParagraph"/>
        <w:rPr>
          <w:rFonts w:ascii="Arial" w:hAnsi="Arial" w:cs="Arial"/>
          <w:sz w:val="24"/>
          <w:szCs w:val="24"/>
          <w:lang w:val="en-US"/>
        </w:rPr>
      </w:pPr>
    </w:p>
    <w:p w14:paraId="4234D98E" w14:textId="12339FE0" w:rsidR="00521234" w:rsidRPr="00FC710D" w:rsidRDefault="00FC710D" w:rsidP="00B93B7D">
      <w:pPr>
        <w:pStyle w:val="ListParagraph"/>
        <w:spacing w:after="0" w:line="360" w:lineRule="auto"/>
        <w:ind w:left="0"/>
        <w:jc w:val="both"/>
        <w:rPr>
          <w:rFonts w:ascii="Arial" w:hAnsi="Arial" w:cs="Arial"/>
          <w:sz w:val="24"/>
          <w:szCs w:val="24"/>
          <w:lang w:val="en-GB"/>
        </w:rPr>
      </w:pPr>
      <w:r>
        <w:rPr>
          <w:rFonts w:ascii="Arial" w:hAnsi="Arial" w:cs="Arial"/>
          <w:sz w:val="24"/>
          <w:szCs w:val="24"/>
          <w:lang w:val="en-US"/>
        </w:rPr>
        <w:t xml:space="preserve">Dealing with the issue of condonation, Mokgoro J in </w:t>
      </w:r>
      <w:r w:rsidR="00521234" w:rsidRPr="00FC710D">
        <w:rPr>
          <w:rFonts w:ascii="Arial" w:hAnsi="Arial" w:cs="Arial"/>
          <w:i/>
          <w:iCs/>
          <w:sz w:val="24"/>
          <w:szCs w:val="24"/>
          <w:lang w:val="en-US"/>
        </w:rPr>
        <w:t xml:space="preserve">Bertie Van Zyl v </w:t>
      </w:r>
      <w:r w:rsidR="009E0C23" w:rsidRPr="00FC710D">
        <w:rPr>
          <w:rFonts w:ascii="Arial" w:hAnsi="Arial" w:cs="Arial"/>
          <w:i/>
          <w:iCs/>
          <w:sz w:val="24"/>
          <w:szCs w:val="24"/>
          <w:lang w:val="en-US"/>
        </w:rPr>
        <w:t>M</w:t>
      </w:r>
      <w:r w:rsidR="00521234" w:rsidRPr="00FC710D">
        <w:rPr>
          <w:rFonts w:ascii="Arial" w:hAnsi="Arial" w:cs="Arial"/>
          <w:i/>
          <w:iCs/>
          <w:sz w:val="24"/>
          <w:szCs w:val="24"/>
          <w:lang w:val="en-US"/>
        </w:rPr>
        <w:t xml:space="preserve">inister </w:t>
      </w:r>
      <w:r w:rsidR="00D727E8" w:rsidRPr="00FC710D">
        <w:rPr>
          <w:rFonts w:ascii="Arial" w:hAnsi="Arial" w:cs="Arial"/>
          <w:i/>
          <w:iCs/>
          <w:sz w:val="24"/>
          <w:szCs w:val="24"/>
          <w:lang w:val="en-US"/>
        </w:rPr>
        <w:t>for</w:t>
      </w:r>
      <w:r w:rsidR="00521234" w:rsidRPr="00FC710D">
        <w:rPr>
          <w:rFonts w:ascii="Arial" w:hAnsi="Arial" w:cs="Arial"/>
          <w:i/>
          <w:iCs/>
          <w:sz w:val="24"/>
          <w:szCs w:val="24"/>
          <w:lang w:val="en-US"/>
        </w:rPr>
        <w:t xml:space="preserve"> </w:t>
      </w:r>
      <w:r w:rsidR="009E0C23" w:rsidRPr="00FC710D">
        <w:rPr>
          <w:rFonts w:ascii="Arial" w:hAnsi="Arial" w:cs="Arial"/>
          <w:i/>
          <w:iCs/>
          <w:sz w:val="24"/>
          <w:szCs w:val="24"/>
          <w:lang w:val="en-US"/>
        </w:rPr>
        <w:t>S</w:t>
      </w:r>
      <w:r w:rsidR="00521234" w:rsidRPr="00FC710D">
        <w:rPr>
          <w:rFonts w:ascii="Arial" w:hAnsi="Arial" w:cs="Arial"/>
          <w:i/>
          <w:iCs/>
          <w:sz w:val="24"/>
          <w:szCs w:val="24"/>
          <w:lang w:val="en-US"/>
        </w:rPr>
        <w:t xml:space="preserve">afety and </w:t>
      </w:r>
      <w:r w:rsidR="009E0C23" w:rsidRPr="00FC710D">
        <w:rPr>
          <w:rFonts w:ascii="Arial" w:hAnsi="Arial" w:cs="Arial"/>
          <w:i/>
          <w:iCs/>
          <w:sz w:val="24"/>
          <w:szCs w:val="24"/>
          <w:lang w:val="en-US"/>
        </w:rPr>
        <w:t>S</w:t>
      </w:r>
      <w:r w:rsidR="00521234" w:rsidRPr="00FC710D">
        <w:rPr>
          <w:rFonts w:ascii="Arial" w:hAnsi="Arial" w:cs="Arial"/>
          <w:i/>
          <w:iCs/>
          <w:sz w:val="24"/>
          <w:szCs w:val="24"/>
          <w:lang w:val="en-US"/>
        </w:rPr>
        <w:t>ecurity</w:t>
      </w:r>
      <w:r w:rsidR="00055B96" w:rsidRPr="00FC710D">
        <w:rPr>
          <w:rFonts w:ascii="Arial" w:hAnsi="Arial" w:cs="Arial"/>
          <w:i/>
          <w:iCs/>
          <w:sz w:val="24"/>
          <w:szCs w:val="24"/>
          <w:lang w:val="en-US"/>
        </w:rPr>
        <w:t>,</w:t>
      </w:r>
      <w:r w:rsidR="0001084E" w:rsidRPr="00680D39">
        <w:rPr>
          <w:rStyle w:val="FootnoteReference"/>
          <w:rFonts w:ascii="Arial" w:hAnsi="Arial" w:cs="Arial"/>
          <w:i/>
          <w:iCs/>
          <w:sz w:val="24"/>
          <w:szCs w:val="24"/>
          <w:lang w:val="en-US"/>
        </w:rPr>
        <w:footnoteReference w:id="23"/>
      </w:r>
      <w:r w:rsidR="00521234" w:rsidRPr="00FC710D">
        <w:rPr>
          <w:rFonts w:ascii="Arial" w:hAnsi="Arial" w:cs="Arial"/>
          <w:sz w:val="24"/>
          <w:szCs w:val="24"/>
          <w:lang w:val="en-US"/>
        </w:rPr>
        <w:t xml:space="preserve"> </w:t>
      </w:r>
      <w:r w:rsidR="00CA249B" w:rsidRPr="00FC710D">
        <w:rPr>
          <w:rFonts w:ascii="Arial" w:hAnsi="Arial" w:cs="Arial"/>
          <w:sz w:val="24"/>
          <w:szCs w:val="24"/>
          <w:lang w:val="en-US"/>
        </w:rPr>
        <w:t>held</w:t>
      </w:r>
      <w:r w:rsidR="00521234" w:rsidRPr="00FC710D">
        <w:rPr>
          <w:rFonts w:ascii="Arial" w:hAnsi="Arial" w:cs="Arial"/>
          <w:sz w:val="24"/>
          <w:szCs w:val="24"/>
          <w:lang w:val="en-US"/>
        </w:rPr>
        <w:t xml:space="preserve"> the following</w:t>
      </w:r>
      <w:r w:rsidR="0071656F" w:rsidRPr="00FC710D">
        <w:rPr>
          <w:rFonts w:ascii="Arial" w:hAnsi="Arial" w:cs="Arial"/>
          <w:sz w:val="24"/>
          <w:szCs w:val="24"/>
          <w:lang w:val="en-US"/>
        </w:rPr>
        <w:t>:</w:t>
      </w:r>
    </w:p>
    <w:p w14:paraId="4AB7F613" w14:textId="77777777" w:rsidR="005A20D2" w:rsidRPr="00680D39" w:rsidRDefault="005A20D2" w:rsidP="005A20D2">
      <w:pPr>
        <w:pStyle w:val="ListParagraph"/>
        <w:spacing w:after="0" w:line="360" w:lineRule="auto"/>
        <w:ind w:left="0"/>
        <w:jc w:val="both"/>
        <w:rPr>
          <w:rFonts w:ascii="Arial" w:hAnsi="Arial" w:cs="Arial"/>
          <w:sz w:val="24"/>
          <w:szCs w:val="24"/>
          <w:lang w:val="en-US"/>
        </w:rPr>
      </w:pPr>
    </w:p>
    <w:p w14:paraId="72DC329E" w14:textId="1AE1CC86" w:rsidR="00521234" w:rsidRDefault="00521234" w:rsidP="00680D39">
      <w:pPr>
        <w:spacing w:after="0" w:line="360" w:lineRule="auto"/>
        <w:ind w:left="567"/>
        <w:jc w:val="both"/>
        <w:rPr>
          <w:rFonts w:ascii="Arial" w:hAnsi="Arial" w:cs="Arial"/>
          <w:lang w:val="en-US"/>
        </w:rPr>
      </w:pPr>
      <w:r w:rsidRPr="00680D39">
        <w:rPr>
          <w:rFonts w:ascii="Arial" w:hAnsi="Arial" w:cs="Arial"/>
          <w:lang w:val="en-US"/>
        </w:rPr>
        <w:t>“However, in determining whether condonation may be granted, lateness is not the only consideration. The test for cond</w:t>
      </w:r>
      <w:r w:rsidR="000C6A98" w:rsidRPr="00680D39">
        <w:rPr>
          <w:rFonts w:ascii="Arial" w:hAnsi="Arial" w:cs="Arial"/>
          <w:lang w:val="en-US"/>
        </w:rPr>
        <w:t>onation</w:t>
      </w:r>
      <w:r w:rsidRPr="00680D39">
        <w:rPr>
          <w:rFonts w:ascii="Arial" w:hAnsi="Arial" w:cs="Arial"/>
          <w:lang w:val="en-US"/>
        </w:rPr>
        <w:t xml:space="preserve"> is whether it is in the interest of justice to grant condonation.”</w:t>
      </w:r>
      <w:r w:rsidR="0001084E" w:rsidRPr="00680D39">
        <w:rPr>
          <w:rStyle w:val="FootnoteReference"/>
          <w:rFonts w:ascii="Arial" w:hAnsi="Arial" w:cs="Arial"/>
          <w:lang w:val="en-US"/>
        </w:rPr>
        <w:footnoteReference w:id="24"/>
      </w:r>
      <w:r w:rsidRPr="00680D39">
        <w:rPr>
          <w:rFonts w:ascii="Arial" w:hAnsi="Arial" w:cs="Arial"/>
          <w:lang w:val="en-US"/>
        </w:rPr>
        <w:t xml:space="preserve"> </w:t>
      </w:r>
    </w:p>
    <w:p w14:paraId="297EF424" w14:textId="77777777" w:rsidR="005A20D2" w:rsidRPr="00680D39" w:rsidRDefault="005A20D2" w:rsidP="00FC710D">
      <w:pPr>
        <w:spacing w:after="0" w:line="360" w:lineRule="auto"/>
        <w:jc w:val="both"/>
        <w:rPr>
          <w:rFonts w:ascii="Arial" w:hAnsi="Arial" w:cs="Arial"/>
          <w:lang w:val="en-US"/>
        </w:rPr>
      </w:pPr>
    </w:p>
    <w:p w14:paraId="3CDADC5B" w14:textId="74D8B066" w:rsidR="00D727E8"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A12383" w:rsidRPr="00A65CB3">
        <w:rPr>
          <w:rFonts w:ascii="Arial" w:hAnsi="Arial" w:cs="Arial"/>
          <w:sz w:val="24"/>
          <w:szCs w:val="24"/>
          <w:lang w:val="en-US"/>
        </w:rPr>
        <w:t>B</w:t>
      </w:r>
      <w:r w:rsidR="00521234" w:rsidRPr="00A65CB3">
        <w:rPr>
          <w:rFonts w:ascii="Arial" w:hAnsi="Arial" w:cs="Arial"/>
          <w:sz w:val="24"/>
          <w:szCs w:val="24"/>
          <w:lang w:val="en-US"/>
        </w:rPr>
        <w:t xml:space="preserve">esides </w:t>
      </w:r>
      <w:r w:rsidR="00BC6DFF" w:rsidRPr="00A65CB3">
        <w:rPr>
          <w:rFonts w:ascii="Arial" w:hAnsi="Arial" w:cs="Arial"/>
          <w:sz w:val="24"/>
          <w:szCs w:val="24"/>
          <w:lang w:val="en-US"/>
        </w:rPr>
        <w:t xml:space="preserve">the issue of </w:t>
      </w:r>
      <w:r w:rsidR="00521234" w:rsidRPr="00A65CB3">
        <w:rPr>
          <w:rFonts w:ascii="Arial" w:hAnsi="Arial" w:cs="Arial"/>
          <w:sz w:val="24"/>
          <w:szCs w:val="24"/>
          <w:lang w:val="en-US"/>
        </w:rPr>
        <w:t>lateness</w:t>
      </w:r>
      <w:r w:rsidR="00A12383" w:rsidRPr="00A65CB3">
        <w:rPr>
          <w:rFonts w:ascii="Arial" w:hAnsi="Arial" w:cs="Arial"/>
          <w:sz w:val="24"/>
          <w:szCs w:val="24"/>
          <w:lang w:val="en-US"/>
        </w:rPr>
        <w:t>, indeed,</w:t>
      </w:r>
      <w:r w:rsidR="00521234" w:rsidRPr="00A65CB3">
        <w:rPr>
          <w:rFonts w:ascii="Arial" w:hAnsi="Arial" w:cs="Arial"/>
          <w:sz w:val="24"/>
          <w:szCs w:val="24"/>
          <w:lang w:val="en-US"/>
        </w:rPr>
        <w:t xml:space="preserve"> the</w:t>
      </w:r>
      <w:r w:rsidR="00A12383" w:rsidRPr="00A65CB3">
        <w:rPr>
          <w:rFonts w:ascii="Arial" w:hAnsi="Arial" w:cs="Arial"/>
          <w:sz w:val="24"/>
          <w:szCs w:val="24"/>
          <w:lang w:val="en-US"/>
        </w:rPr>
        <w:t>re</w:t>
      </w:r>
      <w:r w:rsidR="00521234" w:rsidRPr="00A65CB3">
        <w:rPr>
          <w:rFonts w:ascii="Arial" w:hAnsi="Arial" w:cs="Arial"/>
          <w:sz w:val="24"/>
          <w:szCs w:val="24"/>
          <w:lang w:val="en-US"/>
        </w:rPr>
        <w:t xml:space="preserve"> are other germane factors to consider, such as the cause of the delay, the effect of the delay on the administration of justice and other litigants, the reasonableness of the explanation for the delay, the issues to be raised in the matter</w:t>
      </w:r>
      <w:r w:rsidR="00D76284" w:rsidRPr="00A65CB3">
        <w:rPr>
          <w:rFonts w:ascii="Arial" w:hAnsi="Arial" w:cs="Arial"/>
          <w:sz w:val="24"/>
          <w:szCs w:val="24"/>
          <w:lang w:val="en-US"/>
        </w:rPr>
        <w:t>,</w:t>
      </w:r>
      <w:r w:rsidR="00521234" w:rsidRPr="00A65CB3">
        <w:rPr>
          <w:rFonts w:ascii="Arial" w:hAnsi="Arial" w:cs="Arial"/>
          <w:sz w:val="24"/>
          <w:szCs w:val="24"/>
          <w:lang w:val="en-US"/>
        </w:rPr>
        <w:t xml:space="preserve"> and</w:t>
      </w:r>
      <w:r w:rsidR="00A12383" w:rsidRPr="00A65CB3">
        <w:rPr>
          <w:rFonts w:ascii="Arial" w:hAnsi="Arial" w:cs="Arial"/>
          <w:sz w:val="24"/>
          <w:szCs w:val="24"/>
          <w:lang w:val="en-US"/>
        </w:rPr>
        <w:t xml:space="preserve"> </w:t>
      </w:r>
      <w:r w:rsidR="00521234" w:rsidRPr="00A65CB3">
        <w:rPr>
          <w:rFonts w:ascii="Arial" w:hAnsi="Arial" w:cs="Arial"/>
          <w:sz w:val="24"/>
          <w:szCs w:val="24"/>
          <w:lang w:val="en-US"/>
        </w:rPr>
        <w:t>the prospects of success.</w:t>
      </w:r>
      <w:r w:rsidR="00A12383" w:rsidRPr="00680D39">
        <w:rPr>
          <w:rStyle w:val="FootnoteReference"/>
          <w:rFonts w:ascii="Arial" w:hAnsi="Arial" w:cs="Arial"/>
          <w:sz w:val="24"/>
          <w:szCs w:val="24"/>
          <w:lang w:val="en-US"/>
        </w:rPr>
        <w:footnoteReference w:id="25"/>
      </w:r>
      <w:r w:rsidR="00D727E8" w:rsidRPr="00A65CB3">
        <w:rPr>
          <w:rFonts w:ascii="Arial" w:hAnsi="Arial" w:cs="Arial"/>
          <w:sz w:val="24"/>
          <w:szCs w:val="24"/>
          <w:lang w:val="en-US"/>
        </w:rPr>
        <w:t xml:space="preserve"> </w:t>
      </w:r>
      <w:r w:rsidR="00A12383" w:rsidRPr="00A65CB3">
        <w:rPr>
          <w:rFonts w:ascii="Arial" w:hAnsi="Arial" w:cs="Arial"/>
          <w:sz w:val="24"/>
          <w:szCs w:val="24"/>
          <w:lang w:val="en-US"/>
        </w:rPr>
        <w:t xml:space="preserve">Certainly, this </w:t>
      </w:r>
      <w:r w:rsidR="00073CE0" w:rsidRPr="00A65CB3">
        <w:rPr>
          <w:rFonts w:ascii="Arial" w:hAnsi="Arial" w:cs="Arial"/>
          <w:sz w:val="24"/>
          <w:szCs w:val="24"/>
          <w:lang w:val="en-US"/>
        </w:rPr>
        <w:t xml:space="preserve">list </w:t>
      </w:r>
      <w:r w:rsidR="00A12383" w:rsidRPr="00A65CB3">
        <w:rPr>
          <w:rFonts w:ascii="Arial" w:hAnsi="Arial" w:cs="Arial"/>
          <w:sz w:val="24"/>
          <w:szCs w:val="24"/>
          <w:lang w:val="en-US"/>
        </w:rPr>
        <w:t xml:space="preserve">is not a </w:t>
      </w:r>
      <w:r w:rsidR="00A12383" w:rsidRPr="00A65CB3">
        <w:rPr>
          <w:rFonts w:ascii="Arial" w:hAnsi="Arial" w:cs="Arial"/>
          <w:i/>
          <w:iCs/>
          <w:sz w:val="24"/>
          <w:szCs w:val="24"/>
          <w:lang w:val="en-US"/>
        </w:rPr>
        <w:t>numerus clausus</w:t>
      </w:r>
      <w:r w:rsidR="00A12383" w:rsidRPr="00A65CB3">
        <w:rPr>
          <w:rFonts w:ascii="Arial" w:hAnsi="Arial" w:cs="Arial"/>
          <w:sz w:val="24"/>
          <w:szCs w:val="24"/>
          <w:lang w:val="en-US"/>
        </w:rPr>
        <w:t xml:space="preserve">.  </w:t>
      </w:r>
    </w:p>
    <w:p w14:paraId="6FD077E6" w14:textId="77777777" w:rsidR="00344DB7" w:rsidRDefault="00344DB7" w:rsidP="00344DB7">
      <w:pPr>
        <w:pStyle w:val="ListParagraph"/>
        <w:spacing w:after="0" w:line="360" w:lineRule="auto"/>
        <w:ind w:left="0"/>
        <w:jc w:val="both"/>
        <w:rPr>
          <w:rFonts w:ascii="Arial" w:hAnsi="Arial" w:cs="Arial"/>
          <w:sz w:val="24"/>
          <w:szCs w:val="24"/>
          <w:lang w:val="en-US"/>
        </w:rPr>
      </w:pPr>
    </w:p>
    <w:p w14:paraId="2B94B096" w14:textId="1D27C690" w:rsidR="00344DB7"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344DB7" w:rsidRPr="00A65CB3">
        <w:rPr>
          <w:rFonts w:ascii="Arial" w:hAnsi="Arial" w:cs="Arial"/>
          <w:sz w:val="24"/>
          <w:szCs w:val="24"/>
          <w:lang w:val="en-US"/>
        </w:rPr>
        <w:t xml:space="preserve">Still on condonation, Moseneke ACJ in </w:t>
      </w:r>
      <w:r w:rsidR="00344DB7" w:rsidRPr="00A65CB3">
        <w:rPr>
          <w:rFonts w:ascii="Arial" w:hAnsi="Arial" w:cs="Arial"/>
          <w:i/>
          <w:iCs/>
          <w:sz w:val="24"/>
          <w:szCs w:val="24"/>
          <w:lang w:val="en-US"/>
        </w:rPr>
        <w:t>Ferris v Firstrand Bank</w:t>
      </w:r>
      <w:r w:rsidR="00344DB7" w:rsidRPr="00680D39">
        <w:rPr>
          <w:rStyle w:val="FootnoteReference"/>
          <w:rFonts w:ascii="Arial" w:hAnsi="Arial" w:cs="Arial"/>
          <w:i/>
          <w:iCs/>
          <w:sz w:val="24"/>
          <w:szCs w:val="24"/>
          <w:lang w:val="en-US"/>
        </w:rPr>
        <w:footnoteReference w:id="26"/>
      </w:r>
      <w:r w:rsidR="00344DB7" w:rsidRPr="00A65CB3">
        <w:rPr>
          <w:rFonts w:ascii="Arial" w:hAnsi="Arial" w:cs="Arial"/>
          <w:sz w:val="24"/>
          <w:szCs w:val="24"/>
          <w:lang w:val="en-US"/>
        </w:rPr>
        <w:t xml:space="preserve"> held the following: </w:t>
      </w:r>
    </w:p>
    <w:p w14:paraId="0247320E" w14:textId="77777777" w:rsidR="00344DB7" w:rsidRPr="00680D39" w:rsidRDefault="00344DB7" w:rsidP="00344DB7">
      <w:pPr>
        <w:pStyle w:val="ListParagraph"/>
        <w:spacing w:after="0" w:line="360" w:lineRule="auto"/>
        <w:ind w:left="0"/>
        <w:jc w:val="both"/>
        <w:rPr>
          <w:rFonts w:ascii="Arial" w:hAnsi="Arial" w:cs="Arial"/>
          <w:sz w:val="24"/>
          <w:szCs w:val="24"/>
          <w:lang w:val="en-US"/>
        </w:rPr>
      </w:pPr>
    </w:p>
    <w:p w14:paraId="55722A80" w14:textId="084646BC" w:rsidR="00344DB7" w:rsidRPr="00344DB7" w:rsidRDefault="00344DB7" w:rsidP="00344DB7">
      <w:pPr>
        <w:spacing w:after="0" w:line="360" w:lineRule="auto"/>
        <w:ind w:left="567"/>
        <w:jc w:val="both"/>
        <w:rPr>
          <w:rFonts w:ascii="Arial" w:hAnsi="Arial" w:cs="Arial"/>
          <w:lang w:val="en-US"/>
        </w:rPr>
      </w:pPr>
      <w:r w:rsidRPr="00680D39">
        <w:rPr>
          <w:rFonts w:ascii="Arial" w:hAnsi="Arial" w:cs="Arial"/>
          <w:lang w:val="en-US"/>
        </w:rPr>
        <w:t>“As the interest of justice test is a requirement for condonation and granting leave to appeal, there's an overlap between these enquiries. For both inquiries, an applicant's prospects of success and the importance of the issue to be determined are relevant factors.”</w:t>
      </w:r>
      <w:r w:rsidRPr="00680D39">
        <w:rPr>
          <w:rStyle w:val="FootnoteReference"/>
          <w:rFonts w:ascii="Arial" w:hAnsi="Arial" w:cs="Arial"/>
          <w:lang w:val="en-US"/>
        </w:rPr>
        <w:footnoteReference w:id="27"/>
      </w:r>
    </w:p>
    <w:p w14:paraId="1322F018" w14:textId="3E617BE5" w:rsidR="00D727E8" w:rsidRPr="00680D39" w:rsidRDefault="00A12383" w:rsidP="00680D39">
      <w:pPr>
        <w:pStyle w:val="ListParagraph"/>
        <w:spacing w:after="0" w:line="360" w:lineRule="auto"/>
        <w:ind w:left="0"/>
        <w:jc w:val="both"/>
        <w:rPr>
          <w:rFonts w:ascii="Arial" w:hAnsi="Arial" w:cs="Arial"/>
          <w:sz w:val="24"/>
          <w:szCs w:val="24"/>
          <w:lang w:val="en-US"/>
        </w:rPr>
      </w:pPr>
      <w:r w:rsidRPr="00680D39">
        <w:rPr>
          <w:rFonts w:ascii="Arial" w:hAnsi="Arial" w:cs="Arial"/>
          <w:sz w:val="24"/>
          <w:szCs w:val="24"/>
          <w:lang w:val="en-US"/>
        </w:rPr>
        <w:t xml:space="preserve">  </w:t>
      </w:r>
    </w:p>
    <w:p w14:paraId="1D7E5E17" w14:textId="31A50059" w:rsidR="00BF020F"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344DB7" w:rsidRPr="00A65CB3">
        <w:rPr>
          <w:rFonts w:ascii="Arial" w:hAnsi="Arial" w:cs="Arial"/>
          <w:sz w:val="24"/>
          <w:szCs w:val="24"/>
          <w:lang w:val="en-US"/>
        </w:rPr>
        <w:t>At a risk of repeating myself, s</w:t>
      </w:r>
      <w:r w:rsidR="00A12383" w:rsidRPr="00A65CB3">
        <w:rPr>
          <w:rFonts w:ascii="Arial" w:hAnsi="Arial" w:cs="Arial"/>
          <w:sz w:val="24"/>
          <w:szCs w:val="24"/>
          <w:lang w:val="en-US"/>
        </w:rPr>
        <w:t xml:space="preserve">ave for the </w:t>
      </w:r>
      <w:r w:rsidR="00BC6DFF" w:rsidRPr="00A65CB3">
        <w:rPr>
          <w:rFonts w:ascii="Arial" w:hAnsi="Arial" w:cs="Arial"/>
          <w:sz w:val="24"/>
          <w:szCs w:val="24"/>
          <w:lang w:val="en-US"/>
        </w:rPr>
        <w:t>C</w:t>
      </w:r>
      <w:r w:rsidR="00A12383" w:rsidRPr="00A65CB3">
        <w:rPr>
          <w:rFonts w:ascii="Arial" w:hAnsi="Arial" w:cs="Arial"/>
          <w:sz w:val="24"/>
          <w:szCs w:val="24"/>
          <w:lang w:val="en-US"/>
        </w:rPr>
        <w:t>ovid 19 lockdown, this court is not favored with reasons for the delay</w:t>
      </w:r>
      <w:r w:rsidR="00BC6DFF" w:rsidRPr="00A65CB3">
        <w:rPr>
          <w:rFonts w:ascii="Arial" w:hAnsi="Arial" w:cs="Arial"/>
          <w:sz w:val="24"/>
          <w:szCs w:val="24"/>
          <w:lang w:val="en-US"/>
        </w:rPr>
        <w:t>, much less with reasonable explanation thereof.</w:t>
      </w:r>
      <w:r w:rsidR="0088683E" w:rsidRPr="00A65CB3">
        <w:rPr>
          <w:rFonts w:ascii="Arial" w:hAnsi="Arial" w:cs="Arial"/>
          <w:sz w:val="24"/>
          <w:szCs w:val="24"/>
          <w:lang w:val="en-US"/>
        </w:rPr>
        <w:t xml:space="preserve"> </w:t>
      </w:r>
      <w:r w:rsidR="00A12383" w:rsidRPr="00A65CB3">
        <w:rPr>
          <w:rFonts w:ascii="Arial" w:hAnsi="Arial" w:cs="Arial"/>
          <w:sz w:val="24"/>
          <w:szCs w:val="24"/>
          <w:lang w:val="en-US"/>
        </w:rPr>
        <w:t>To my mind the delay of one year is not only unreasonable but</w:t>
      </w:r>
      <w:r w:rsidR="00D96F2B" w:rsidRPr="00A65CB3">
        <w:rPr>
          <w:rFonts w:ascii="Arial" w:hAnsi="Arial" w:cs="Arial"/>
          <w:sz w:val="24"/>
          <w:szCs w:val="24"/>
          <w:lang w:val="en-US"/>
        </w:rPr>
        <w:t xml:space="preserve"> </w:t>
      </w:r>
      <w:r w:rsidR="00AB291A" w:rsidRPr="00A65CB3">
        <w:rPr>
          <w:rFonts w:ascii="Arial" w:hAnsi="Arial" w:cs="Arial"/>
          <w:sz w:val="24"/>
          <w:szCs w:val="24"/>
          <w:lang w:val="en-US"/>
        </w:rPr>
        <w:t xml:space="preserve">also borders </w:t>
      </w:r>
      <w:r w:rsidR="00A12383" w:rsidRPr="00A65CB3">
        <w:rPr>
          <w:rFonts w:ascii="Arial" w:hAnsi="Arial" w:cs="Arial"/>
          <w:sz w:val="24"/>
          <w:szCs w:val="24"/>
          <w:lang w:val="en-US"/>
        </w:rPr>
        <w:t>on the dereliction of duty. Most certainly there are weighty issues to be raised.</w:t>
      </w:r>
      <w:r w:rsidR="00A660BE" w:rsidRPr="00A65CB3">
        <w:rPr>
          <w:rFonts w:ascii="Arial" w:hAnsi="Arial" w:cs="Arial"/>
          <w:sz w:val="24"/>
          <w:szCs w:val="24"/>
          <w:lang w:val="en-US"/>
        </w:rPr>
        <w:t xml:space="preserve"> Since the parties did not ventilate the merits, this court is not in a position to make a sound comment on the prospects of success.</w:t>
      </w:r>
      <w:r w:rsidR="003775CD" w:rsidRPr="00A65CB3">
        <w:rPr>
          <w:rFonts w:ascii="Arial" w:hAnsi="Arial" w:cs="Arial"/>
          <w:sz w:val="24"/>
          <w:szCs w:val="24"/>
          <w:lang w:val="en-US"/>
        </w:rPr>
        <w:t xml:space="preserve"> </w:t>
      </w:r>
    </w:p>
    <w:p w14:paraId="6C6DAD4E" w14:textId="77777777" w:rsidR="00BF020F" w:rsidRDefault="00BF020F" w:rsidP="00BF020F">
      <w:pPr>
        <w:pStyle w:val="ListParagraph"/>
        <w:spacing w:after="0" w:line="360" w:lineRule="auto"/>
        <w:ind w:left="0"/>
        <w:jc w:val="both"/>
        <w:rPr>
          <w:rFonts w:ascii="Arial" w:hAnsi="Arial" w:cs="Arial"/>
          <w:sz w:val="24"/>
          <w:szCs w:val="24"/>
          <w:lang w:val="en-US"/>
        </w:rPr>
      </w:pPr>
    </w:p>
    <w:p w14:paraId="67A9DBED" w14:textId="568A62A4" w:rsidR="00D727E8"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BF020F" w:rsidRPr="00A65CB3">
        <w:rPr>
          <w:rFonts w:ascii="Arial" w:hAnsi="Arial" w:cs="Arial"/>
          <w:sz w:val="24"/>
          <w:szCs w:val="24"/>
          <w:lang w:val="en-US"/>
        </w:rPr>
        <w:t xml:space="preserve">When all is said and done, the Commissioner failed to comply with the empowering provisions. </w:t>
      </w:r>
      <w:r w:rsidR="00440A20" w:rsidRPr="00A65CB3">
        <w:rPr>
          <w:rFonts w:ascii="Arial" w:hAnsi="Arial" w:cs="Arial"/>
          <w:sz w:val="24"/>
          <w:szCs w:val="24"/>
          <w:lang w:val="en-US"/>
        </w:rPr>
        <w:t xml:space="preserve">In determining the interest of justice </w:t>
      </w:r>
      <w:r w:rsidR="00440A20" w:rsidRPr="00A65CB3">
        <w:rPr>
          <w:rFonts w:ascii="Arial" w:hAnsi="Arial" w:cs="Arial"/>
          <w:sz w:val="24"/>
          <w:szCs w:val="24"/>
        </w:rPr>
        <w:t>a court must have regard to, and carefully weigh, all relevant circumstances and factors.</w:t>
      </w:r>
      <w:r w:rsidR="00440A20">
        <w:rPr>
          <w:rStyle w:val="FootnoteReference"/>
          <w:rFonts w:ascii="Arial" w:hAnsi="Arial" w:cs="Arial"/>
          <w:sz w:val="24"/>
          <w:szCs w:val="24"/>
        </w:rPr>
        <w:footnoteReference w:id="28"/>
      </w:r>
      <w:r w:rsidR="00440A20" w:rsidRPr="00A65CB3">
        <w:rPr>
          <w:rFonts w:ascii="Arial" w:hAnsi="Arial" w:cs="Arial"/>
          <w:sz w:val="24"/>
          <w:szCs w:val="24"/>
        </w:rPr>
        <w:t> </w:t>
      </w:r>
      <w:r w:rsidR="001D60EA" w:rsidRPr="00A65CB3">
        <w:rPr>
          <w:rFonts w:ascii="Arial" w:hAnsi="Arial" w:cs="Arial"/>
          <w:sz w:val="24"/>
          <w:szCs w:val="24"/>
          <w:lang w:val="en-US"/>
        </w:rPr>
        <w:t>Having examined the reasons for the del</w:t>
      </w:r>
      <w:r w:rsidR="00A80BD1" w:rsidRPr="00A65CB3">
        <w:rPr>
          <w:rFonts w:ascii="Arial" w:hAnsi="Arial" w:cs="Arial"/>
          <w:sz w:val="24"/>
          <w:szCs w:val="24"/>
          <w:lang w:val="en-US"/>
        </w:rPr>
        <w:t>ay</w:t>
      </w:r>
      <w:r w:rsidR="00440A20" w:rsidRPr="00A65CB3">
        <w:rPr>
          <w:rFonts w:ascii="Arial" w:hAnsi="Arial" w:cs="Arial"/>
          <w:sz w:val="24"/>
          <w:szCs w:val="24"/>
          <w:lang w:val="en-US"/>
        </w:rPr>
        <w:t xml:space="preserve"> and all relevant factors, </w:t>
      </w:r>
      <w:r w:rsidR="00A80BD1" w:rsidRPr="00A65CB3">
        <w:rPr>
          <w:rFonts w:ascii="Arial" w:hAnsi="Arial" w:cs="Arial"/>
          <w:sz w:val="24"/>
          <w:szCs w:val="24"/>
          <w:lang w:val="en-US"/>
        </w:rPr>
        <w:t xml:space="preserve">l do not think it is in the interest of justice </w:t>
      </w:r>
      <w:r w:rsidR="00A80BD1" w:rsidRPr="00A65CB3">
        <w:rPr>
          <w:rFonts w:ascii="Arial" w:hAnsi="Arial" w:cs="Arial"/>
          <w:sz w:val="24"/>
          <w:szCs w:val="24"/>
          <w:lang w:val="en-US"/>
        </w:rPr>
        <w:lastRenderedPageBreak/>
        <w:t xml:space="preserve">to grant condonation. </w:t>
      </w:r>
      <w:r w:rsidR="003775CD" w:rsidRPr="00A65CB3">
        <w:rPr>
          <w:rFonts w:ascii="Arial" w:hAnsi="Arial" w:cs="Arial"/>
          <w:sz w:val="24"/>
          <w:szCs w:val="24"/>
          <w:lang w:val="en-US"/>
        </w:rPr>
        <w:t xml:space="preserve">Therefore, </w:t>
      </w:r>
      <w:r w:rsidR="00A660BE" w:rsidRPr="00A65CB3">
        <w:rPr>
          <w:rFonts w:ascii="Arial" w:hAnsi="Arial" w:cs="Arial"/>
          <w:sz w:val="24"/>
          <w:szCs w:val="24"/>
          <w:lang w:val="en-US"/>
        </w:rPr>
        <w:t xml:space="preserve">the Commission </w:t>
      </w:r>
      <w:r w:rsidR="003775CD" w:rsidRPr="00A65CB3">
        <w:rPr>
          <w:rFonts w:ascii="Arial" w:hAnsi="Arial" w:cs="Arial"/>
          <w:sz w:val="24"/>
          <w:szCs w:val="24"/>
          <w:lang w:val="en-US"/>
        </w:rPr>
        <w:t>is time-barre</w:t>
      </w:r>
      <w:r w:rsidR="00906763" w:rsidRPr="00A65CB3">
        <w:rPr>
          <w:rFonts w:ascii="Arial" w:hAnsi="Arial" w:cs="Arial"/>
          <w:sz w:val="24"/>
          <w:szCs w:val="24"/>
          <w:lang w:val="en-US"/>
        </w:rPr>
        <w:t>d</w:t>
      </w:r>
      <w:r w:rsidR="003775CD" w:rsidRPr="00A65CB3">
        <w:rPr>
          <w:rFonts w:ascii="Arial" w:hAnsi="Arial" w:cs="Arial"/>
          <w:sz w:val="24"/>
          <w:szCs w:val="24"/>
          <w:lang w:val="en-US"/>
        </w:rPr>
        <w:t>.</w:t>
      </w:r>
      <w:r w:rsidR="00A12383" w:rsidRPr="00A65CB3">
        <w:rPr>
          <w:rFonts w:ascii="Arial" w:hAnsi="Arial" w:cs="Arial"/>
          <w:sz w:val="24"/>
          <w:szCs w:val="24"/>
          <w:lang w:val="en-US"/>
        </w:rPr>
        <w:t xml:space="preserve"> </w:t>
      </w:r>
      <w:r w:rsidR="009C6EDF" w:rsidRPr="00A65CB3">
        <w:rPr>
          <w:rFonts w:ascii="Arial" w:hAnsi="Arial" w:cs="Arial"/>
          <w:sz w:val="24"/>
          <w:szCs w:val="24"/>
          <w:lang w:val="en-US"/>
        </w:rPr>
        <w:t>As it was stated in</w:t>
      </w:r>
      <w:r w:rsidR="009C6EDF" w:rsidRPr="00A65CB3">
        <w:rPr>
          <w:rFonts w:ascii="Arial" w:hAnsi="Arial" w:cs="Arial"/>
          <w:i/>
          <w:iCs/>
          <w:sz w:val="24"/>
          <w:szCs w:val="24"/>
          <w:lang w:val="en-US"/>
        </w:rPr>
        <w:t xml:space="preserve"> Pickfords Removals</w:t>
      </w:r>
      <w:r w:rsidR="009C6EDF" w:rsidRPr="00A65CB3">
        <w:rPr>
          <w:rFonts w:ascii="Arial" w:hAnsi="Arial" w:cs="Arial"/>
          <w:sz w:val="24"/>
          <w:szCs w:val="24"/>
          <w:lang w:val="en-US"/>
        </w:rPr>
        <w:t>, prescription is aimed at penalizing negligent inaction not the inability to ac</w:t>
      </w:r>
      <w:r w:rsidR="003775CD" w:rsidRPr="00A65CB3">
        <w:rPr>
          <w:rFonts w:ascii="Arial" w:hAnsi="Arial" w:cs="Arial"/>
          <w:sz w:val="24"/>
          <w:szCs w:val="24"/>
          <w:lang w:val="en-US"/>
        </w:rPr>
        <w:t>t.</w:t>
      </w:r>
    </w:p>
    <w:p w14:paraId="24B88575" w14:textId="77777777" w:rsidR="003775CD" w:rsidRPr="003775CD" w:rsidRDefault="003775CD" w:rsidP="003775CD">
      <w:pPr>
        <w:spacing w:after="0" w:line="360" w:lineRule="auto"/>
        <w:jc w:val="both"/>
        <w:rPr>
          <w:rFonts w:ascii="Arial" w:hAnsi="Arial" w:cs="Arial"/>
          <w:sz w:val="24"/>
          <w:szCs w:val="24"/>
          <w:lang w:val="en-US"/>
        </w:rPr>
      </w:pPr>
    </w:p>
    <w:p w14:paraId="72569EAB" w14:textId="7B36AD33" w:rsidR="00943CB6"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A12383" w:rsidRPr="00A65CB3">
        <w:rPr>
          <w:rFonts w:ascii="Arial" w:hAnsi="Arial" w:cs="Arial"/>
          <w:sz w:val="24"/>
          <w:szCs w:val="24"/>
          <w:lang w:val="en-US"/>
        </w:rPr>
        <w:t>I am also mindful</w:t>
      </w:r>
      <w:r w:rsidR="0088683E" w:rsidRPr="00A65CB3">
        <w:rPr>
          <w:rFonts w:ascii="Arial" w:hAnsi="Arial" w:cs="Arial"/>
          <w:sz w:val="24"/>
          <w:szCs w:val="24"/>
          <w:lang w:val="en-US"/>
        </w:rPr>
        <w:t xml:space="preserve"> </w:t>
      </w:r>
      <w:r w:rsidR="00A12383" w:rsidRPr="00A65CB3">
        <w:rPr>
          <w:rFonts w:ascii="Arial" w:hAnsi="Arial" w:cs="Arial"/>
          <w:sz w:val="24"/>
          <w:szCs w:val="24"/>
          <w:lang w:val="en-US"/>
        </w:rPr>
        <w:t xml:space="preserve">of </w:t>
      </w:r>
      <w:r w:rsidR="0088683E" w:rsidRPr="00A65CB3">
        <w:rPr>
          <w:rFonts w:ascii="Arial" w:hAnsi="Arial" w:cs="Arial"/>
          <w:sz w:val="24"/>
          <w:szCs w:val="24"/>
          <w:lang w:val="en-US"/>
        </w:rPr>
        <w:t>the</w:t>
      </w:r>
      <w:r w:rsidR="00943CB6" w:rsidRPr="00A65CB3">
        <w:rPr>
          <w:rFonts w:ascii="Arial" w:hAnsi="Arial" w:cs="Arial"/>
          <w:sz w:val="24"/>
          <w:szCs w:val="24"/>
          <w:lang w:val="en-US"/>
        </w:rPr>
        <w:t xml:space="preserve"> need to tread carefully around the </w:t>
      </w:r>
      <w:r w:rsidR="0088683E" w:rsidRPr="00A65CB3">
        <w:rPr>
          <w:rFonts w:ascii="Arial" w:hAnsi="Arial" w:cs="Arial"/>
          <w:sz w:val="24"/>
          <w:szCs w:val="24"/>
          <w:lang w:val="en-US"/>
        </w:rPr>
        <w:t>principle of</w:t>
      </w:r>
      <w:r w:rsidR="00A12383" w:rsidRPr="00A65CB3">
        <w:rPr>
          <w:rFonts w:ascii="Arial" w:hAnsi="Arial" w:cs="Arial"/>
          <w:sz w:val="24"/>
          <w:szCs w:val="24"/>
          <w:lang w:val="en-US"/>
        </w:rPr>
        <w:t xml:space="preserve"> separation of powers</w:t>
      </w:r>
      <w:r w:rsidR="00943CB6" w:rsidRPr="00A65CB3">
        <w:rPr>
          <w:rFonts w:ascii="Arial" w:hAnsi="Arial" w:cs="Arial"/>
          <w:sz w:val="24"/>
          <w:szCs w:val="24"/>
          <w:lang w:val="en-US"/>
        </w:rPr>
        <w:t>. T</w:t>
      </w:r>
      <w:r w:rsidR="00A12383" w:rsidRPr="00A65CB3">
        <w:rPr>
          <w:rFonts w:ascii="Arial" w:hAnsi="Arial" w:cs="Arial"/>
          <w:sz w:val="24"/>
          <w:szCs w:val="24"/>
          <w:lang w:val="en-US"/>
        </w:rPr>
        <w:t xml:space="preserve">he legislature deemed it meet to include the proviso “other than a time limit that is binding on the Commission itself” in regulation 4. </w:t>
      </w:r>
      <w:r w:rsidR="00440A20" w:rsidRPr="00A65CB3">
        <w:rPr>
          <w:rFonts w:ascii="Arial" w:hAnsi="Arial" w:cs="Arial"/>
          <w:sz w:val="24"/>
          <w:szCs w:val="24"/>
          <w:lang w:val="en-US"/>
        </w:rPr>
        <w:t>The c</w:t>
      </w:r>
      <w:r w:rsidR="00A12383" w:rsidRPr="00A65CB3">
        <w:rPr>
          <w:rFonts w:ascii="Arial" w:hAnsi="Arial" w:cs="Arial"/>
          <w:sz w:val="24"/>
          <w:szCs w:val="24"/>
          <w:lang w:val="en-US"/>
        </w:rPr>
        <w:t xml:space="preserve">omity of the separation of powers is sacrosanct. </w:t>
      </w:r>
      <w:r w:rsidR="00943CB6" w:rsidRPr="00A65CB3">
        <w:rPr>
          <w:rFonts w:ascii="Arial" w:hAnsi="Arial" w:cs="Arial"/>
          <w:sz w:val="24"/>
          <w:szCs w:val="24"/>
          <w:lang w:val="en-US"/>
        </w:rPr>
        <w:t xml:space="preserve">Mogoeng CJ’s words reverberates in this court’s </w:t>
      </w:r>
      <w:r w:rsidR="00A660BE" w:rsidRPr="00A65CB3">
        <w:rPr>
          <w:rFonts w:ascii="Arial" w:hAnsi="Arial" w:cs="Arial"/>
          <w:sz w:val="24"/>
          <w:szCs w:val="24"/>
          <w:lang w:val="en-US"/>
        </w:rPr>
        <w:t>mind</w:t>
      </w:r>
      <w:r w:rsidR="00943CB6" w:rsidRPr="00A65CB3">
        <w:rPr>
          <w:rFonts w:ascii="Arial" w:hAnsi="Arial" w:cs="Arial"/>
          <w:sz w:val="24"/>
          <w:szCs w:val="24"/>
          <w:lang w:val="en-US"/>
        </w:rPr>
        <w:t xml:space="preserve">: </w:t>
      </w:r>
    </w:p>
    <w:p w14:paraId="00120DE5" w14:textId="77777777" w:rsidR="00943CB6" w:rsidRPr="00943CB6" w:rsidRDefault="00943CB6" w:rsidP="00943CB6">
      <w:pPr>
        <w:pStyle w:val="ListParagraph"/>
        <w:rPr>
          <w:rFonts w:ascii="Arial" w:hAnsi="Arial" w:cs="Arial"/>
          <w:sz w:val="24"/>
          <w:szCs w:val="24"/>
          <w:lang w:val="en-US"/>
        </w:rPr>
      </w:pPr>
    </w:p>
    <w:p w14:paraId="7F2C902A" w14:textId="4BB18C2E" w:rsidR="00A12383" w:rsidRDefault="00943CB6" w:rsidP="00943CB6">
      <w:pPr>
        <w:pStyle w:val="ListParagraph"/>
        <w:spacing w:after="0" w:line="360" w:lineRule="auto"/>
        <w:ind w:left="567"/>
        <w:jc w:val="both"/>
        <w:rPr>
          <w:rFonts w:ascii="Arial" w:hAnsi="Arial" w:cs="Arial"/>
          <w:lang w:val="en-US"/>
        </w:rPr>
      </w:pPr>
      <w:r w:rsidRPr="00943CB6">
        <w:rPr>
          <w:rFonts w:ascii="Arial" w:hAnsi="Arial" w:cs="Arial"/>
          <w:lang w:val="en-US"/>
        </w:rPr>
        <w:t>“Ours is a constitutional democracy, not a judiciocracy.  And in consonance with the principle of separation of powers, the national legislative authority of the Republic is vested in Parliament[1] whereas the judicial and the executive authority of the Republic repose in the Judiciary[2] and the Executive[3] respectively.  Each arm enjoys functional independence in the exercise of its powers.  Alive to this arrangement, all three must always caution themselves against intruding into the constitutionally-assigned operational space of the others, save where the encroachment is unavoidable and constitutionally permissible.”</w:t>
      </w:r>
      <w:r>
        <w:rPr>
          <w:rStyle w:val="FootnoteReference"/>
          <w:rFonts w:ascii="Arial" w:hAnsi="Arial" w:cs="Arial"/>
          <w:lang w:val="en-US"/>
        </w:rPr>
        <w:footnoteReference w:id="29"/>
      </w:r>
    </w:p>
    <w:p w14:paraId="489A7314" w14:textId="77777777" w:rsidR="003775CD" w:rsidRDefault="003775CD" w:rsidP="00943CB6">
      <w:pPr>
        <w:pStyle w:val="ListParagraph"/>
        <w:spacing w:after="0" w:line="360" w:lineRule="auto"/>
        <w:ind w:left="567"/>
        <w:jc w:val="both"/>
        <w:rPr>
          <w:rFonts w:ascii="Arial" w:hAnsi="Arial" w:cs="Arial"/>
          <w:lang w:val="en-US"/>
        </w:rPr>
      </w:pPr>
    </w:p>
    <w:p w14:paraId="150D6566" w14:textId="51184CCA" w:rsidR="00D76284" w:rsidRPr="00A65CB3" w:rsidRDefault="00A65CB3" w:rsidP="00A65CB3">
      <w:pPr>
        <w:spacing w:after="0" w:line="360" w:lineRule="auto"/>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7D09F9" w:rsidRPr="00A65CB3">
        <w:rPr>
          <w:rFonts w:ascii="Arial" w:hAnsi="Arial" w:cs="Arial"/>
          <w:sz w:val="24"/>
          <w:szCs w:val="24"/>
          <w:lang w:val="en-US"/>
        </w:rPr>
        <w:t xml:space="preserve">For all the reasons mentioned above, </w:t>
      </w:r>
      <w:r w:rsidR="003775CD" w:rsidRPr="00A65CB3">
        <w:rPr>
          <w:rFonts w:ascii="Arial" w:hAnsi="Arial" w:cs="Arial"/>
          <w:sz w:val="24"/>
          <w:szCs w:val="24"/>
          <w:lang w:val="en-US"/>
        </w:rPr>
        <w:t xml:space="preserve">the </w:t>
      </w:r>
      <w:r w:rsidR="007D09F9" w:rsidRPr="00A65CB3">
        <w:rPr>
          <w:rFonts w:ascii="Arial" w:hAnsi="Arial" w:cs="Arial"/>
          <w:sz w:val="24"/>
          <w:szCs w:val="24"/>
          <w:lang w:val="en-US"/>
        </w:rPr>
        <w:t>C</w:t>
      </w:r>
      <w:r w:rsidR="003775CD" w:rsidRPr="00A65CB3">
        <w:rPr>
          <w:rFonts w:ascii="Arial" w:hAnsi="Arial" w:cs="Arial"/>
          <w:sz w:val="24"/>
          <w:szCs w:val="24"/>
          <w:lang w:val="en-US"/>
        </w:rPr>
        <w:t xml:space="preserve">ommission </w:t>
      </w:r>
      <w:r w:rsidR="007D09F9" w:rsidRPr="00A65CB3">
        <w:rPr>
          <w:rFonts w:ascii="Arial" w:hAnsi="Arial" w:cs="Arial"/>
          <w:sz w:val="24"/>
          <w:szCs w:val="24"/>
          <w:lang w:val="en-US"/>
        </w:rPr>
        <w:t xml:space="preserve">contravened </w:t>
      </w:r>
      <w:r w:rsidR="003775CD" w:rsidRPr="00A65CB3">
        <w:rPr>
          <w:rFonts w:ascii="Arial" w:hAnsi="Arial" w:cs="Arial"/>
          <w:sz w:val="24"/>
          <w:szCs w:val="24"/>
          <w:lang w:val="en-US"/>
        </w:rPr>
        <w:t>regu</w:t>
      </w:r>
      <w:r w:rsidR="00161EB9" w:rsidRPr="00A65CB3">
        <w:rPr>
          <w:rFonts w:ascii="Arial" w:hAnsi="Arial" w:cs="Arial"/>
          <w:sz w:val="24"/>
          <w:szCs w:val="24"/>
          <w:lang w:val="en-US"/>
        </w:rPr>
        <w:t xml:space="preserve">lation </w:t>
      </w:r>
      <w:r w:rsidR="007D09F9" w:rsidRPr="00A65CB3">
        <w:rPr>
          <w:rFonts w:ascii="Arial" w:hAnsi="Arial" w:cs="Arial"/>
          <w:sz w:val="24"/>
          <w:szCs w:val="24"/>
        </w:rPr>
        <w:t>15(4)(g) of the B-BBEE</w:t>
      </w:r>
      <w:r w:rsidR="00161EB9" w:rsidRPr="00A65CB3">
        <w:rPr>
          <w:rFonts w:ascii="Arial" w:hAnsi="Arial" w:cs="Arial"/>
          <w:sz w:val="24"/>
          <w:szCs w:val="24"/>
          <w:lang w:val="en-US"/>
        </w:rPr>
        <w:t xml:space="preserve">. </w:t>
      </w:r>
      <w:r w:rsidR="007D09F9" w:rsidRPr="00A65CB3">
        <w:rPr>
          <w:rFonts w:ascii="Arial" w:hAnsi="Arial" w:cs="Arial"/>
          <w:sz w:val="24"/>
          <w:szCs w:val="24"/>
          <w:lang w:val="en-US"/>
        </w:rPr>
        <w:t>Therefore has fallen foul of section 6(2) of PAJA.</w:t>
      </w:r>
      <w:r w:rsidR="00EA6C67" w:rsidRPr="00A65CB3">
        <w:rPr>
          <w:rFonts w:ascii="Arial" w:hAnsi="Arial" w:cs="Arial"/>
          <w:sz w:val="24"/>
          <w:szCs w:val="24"/>
          <w:lang w:val="en-US"/>
        </w:rPr>
        <w:t xml:space="preserve"> In terms of section </w:t>
      </w:r>
      <w:r w:rsidR="00701025" w:rsidRPr="00A65CB3">
        <w:rPr>
          <w:rFonts w:ascii="Arial" w:hAnsi="Arial" w:cs="Arial"/>
          <w:sz w:val="24"/>
          <w:szCs w:val="24"/>
          <w:lang w:val="en-US"/>
        </w:rPr>
        <w:t xml:space="preserve">8(1) the court must grant a just and equitable order. </w:t>
      </w:r>
    </w:p>
    <w:p w14:paraId="221ABA39" w14:textId="77777777" w:rsidR="007D09F9" w:rsidRPr="007D09F9" w:rsidRDefault="007D09F9" w:rsidP="007D09F9">
      <w:pPr>
        <w:pStyle w:val="ListParagraph"/>
        <w:spacing w:after="0" w:line="360" w:lineRule="auto"/>
        <w:ind w:left="0"/>
        <w:jc w:val="both"/>
        <w:rPr>
          <w:rFonts w:ascii="Arial" w:hAnsi="Arial" w:cs="Arial"/>
          <w:sz w:val="24"/>
          <w:szCs w:val="24"/>
          <w:lang w:val="en-US"/>
        </w:rPr>
      </w:pPr>
    </w:p>
    <w:p w14:paraId="7F2B08A0" w14:textId="3327A5F5" w:rsidR="00A12383" w:rsidRPr="00680D39" w:rsidRDefault="00A12383" w:rsidP="00680D39">
      <w:pPr>
        <w:spacing w:after="0" w:line="360" w:lineRule="auto"/>
        <w:jc w:val="both"/>
        <w:rPr>
          <w:rFonts w:ascii="Arial" w:hAnsi="Arial" w:cs="Arial"/>
          <w:i/>
          <w:iCs/>
          <w:sz w:val="24"/>
          <w:szCs w:val="24"/>
          <w:lang w:val="en-US"/>
        </w:rPr>
      </w:pPr>
      <w:r w:rsidRPr="00680D39">
        <w:rPr>
          <w:rFonts w:ascii="Arial" w:hAnsi="Arial" w:cs="Arial"/>
          <w:i/>
          <w:iCs/>
          <w:sz w:val="24"/>
          <w:szCs w:val="24"/>
          <w:lang w:val="en-US"/>
        </w:rPr>
        <w:t>PAJA Analysis</w:t>
      </w:r>
    </w:p>
    <w:p w14:paraId="654E5C59" w14:textId="192820A2" w:rsidR="006D7353" w:rsidRPr="00A65CB3" w:rsidRDefault="00A65CB3" w:rsidP="00A65CB3">
      <w:pPr>
        <w:spacing w:after="0" w:line="360" w:lineRule="auto"/>
        <w:jc w:val="both"/>
        <w:rPr>
          <w:rFonts w:ascii="Arial" w:hAnsi="Arial" w:cs="Arial"/>
          <w:sz w:val="24"/>
          <w:szCs w:val="24"/>
        </w:rPr>
      </w:pPr>
      <w:r w:rsidRPr="0097089F">
        <w:rPr>
          <w:rFonts w:ascii="Arial" w:hAnsi="Arial" w:cs="Arial"/>
          <w:sz w:val="24"/>
          <w:szCs w:val="24"/>
        </w:rPr>
        <w:t>[55]</w:t>
      </w:r>
      <w:r w:rsidRPr="0097089F">
        <w:rPr>
          <w:rFonts w:ascii="Arial" w:hAnsi="Arial" w:cs="Arial"/>
          <w:sz w:val="24"/>
          <w:szCs w:val="24"/>
        </w:rPr>
        <w:tab/>
      </w:r>
      <w:r w:rsidR="00A12383" w:rsidRPr="00A65CB3">
        <w:rPr>
          <w:rFonts w:ascii="Arial" w:hAnsi="Arial" w:cs="Arial"/>
          <w:sz w:val="24"/>
          <w:szCs w:val="24"/>
          <w:lang w:val="en-US"/>
        </w:rPr>
        <w:t>In</w:t>
      </w:r>
      <w:r w:rsidR="00270397" w:rsidRPr="00A65CB3">
        <w:rPr>
          <w:rFonts w:ascii="Arial" w:hAnsi="Arial" w:cs="Arial"/>
          <w:sz w:val="24"/>
          <w:szCs w:val="24"/>
          <w:lang w:val="en-US"/>
        </w:rPr>
        <w:t xml:space="preserve"> summarizing </w:t>
      </w:r>
      <w:r w:rsidR="00270397" w:rsidRPr="00A65CB3">
        <w:rPr>
          <w:rFonts w:ascii="Arial" w:hAnsi="Arial" w:cs="Arial"/>
          <w:sz w:val="24"/>
          <w:szCs w:val="24"/>
        </w:rPr>
        <w:t>what constitutes an administrative action, Nugent JA, in the</w:t>
      </w:r>
      <w:r w:rsidR="00270397" w:rsidRPr="00A65CB3">
        <w:rPr>
          <w:rFonts w:ascii="Arial" w:hAnsi="Arial" w:cs="Arial"/>
          <w:sz w:val="24"/>
          <w:szCs w:val="24"/>
          <w:lang w:val="en-US"/>
        </w:rPr>
        <w:t xml:space="preserve"> </w:t>
      </w:r>
      <w:r w:rsidR="00A12383" w:rsidRPr="00A65CB3">
        <w:rPr>
          <w:rFonts w:ascii="Arial" w:hAnsi="Arial" w:cs="Arial"/>
          <w:sz w:val="24"/>
          <w:szCs w:val="24"/>
          <w:lang w:val="en-US"/>
        </w:rPr>
        <w:t>matter of</w:t>
      </w:r>
      <w:r w:rsidR="00270397" w:rsidRPr="00A65CB3">
        <w:rPr>
          <w:rFonts w:ascii="Arial" w:hAnsi="Arial" w:cs="Arial"/>
          <w:sz w:val="24"/>
          <w:szCs w:val="24"/>
        </w:rPr>
        <w:t xml:space="preserve"> </w:t>
      </w:r>
      <w:r w:rsidR="006D7353" w:rsidRPr="00A65CB3">
        <w:rPr>
          <w:rFonts w:ascii="Arial" w:hAnsi="Arial" w:cs="Arial"/>
          <w:i/>
          <w:iCs/>
          <w:sz w:val="24"/>
          <w:szCs w:val="24"/>
        </w:rPr>
        <w:t>Greys Marine Hout Bay (Pty) Ltd and Others v Minister of Public Works and Others</w:t>
      </w:r>
      <w:r w:rsidR="00270397" w:rsidRPr="00A65CB3">
        <w:rPr>
          <w:rFonts w:ascii="Arial" w:hAnsi="Arial" w:cs="Arial"/>
          <w:i/>
          <w:iCs/>
          <w:sz w:val="24"/>
          <w:szCs w:val="24"/>
        </w:rPr>
        <w:t>,</w:t>
      </w:r>
      <w:r w:rsidR="006D7353" w:rsidRPr="0097089F">
        <w:rPr>
          <w:rStyle w:val="FootnoteReference"/>
          <w:rFonts w:ascii="Arial" w:hAnsi="Arial" w:cs="Arial"/>
          <w:i/>
          <w:iCs/>
          <w:sz w:val="24"/>
          <w:szCs w:val="24"/>
        </w:rPr>
        <w:footnoteReference w:id="30"/>
      </w:r>
      <w:r w:rsidR="00270397" w:rsidRPr="00A65CB3">
        <w:rPr>
          <w:rFonts w:ascii="Arial" w:hAnsi="Arial" w:cs="Arial"/>
          <w:sz w:val="24"/>
          <w:szCs w:val="24"/>
        </w:rPr>
        <w:t xml:space="preserve"> held</w:t>
      </w:r>
      <w:r w:rsidR="006D7353" w:rsidRPr="00A65CB3">
        <w:rPr>
          <w:rFonts w:ascii="Arial" w:hAnsi="Arial" w:cs="Arial"/>
          <w:sz w:val="24"/>
          <w:szCs w:val="24"/>
        </w:rPr>
        <w:t>:</w:t>
      </w:r>
    </w:p>
    <w:p w14:paraId="382F7E3B" w14:textId="77777777" w:rsidR="006D7353" w:rsidRPr="006342F0" w:rsidRDefault="006D7353" w:rsidP="006D7353">
      <w:pPr>
        <w:pStyle w:val="ListParagraph"/>
        <w:spacing w:after="0" w:line="360" w:lineRule="auto"/>
        <w:ind w:left="0"/>
        <w:jc w:val="both"/>
        <w:rPr>
          <w:rFonts w:ascii="Arial" w:hAnsi="Arial" w:cs="Arial"/>
          <w:sz w:val="24"/>
          <w:szCs w:val="24"/>
        </w:rPr>
      </w:pPr>
    </w:p>
    <w:p w14:paraId="0A39ACF5" w14:textId="0A6267D8" w:rsidR="006D7353" w:rsidRPr="006342F0" w:rsidRDefault="006D7353" w:rsidP="006D7353">
      <w:pPr>
        <w:pStyle w:val="ListParagraph"/>
        <w:spacing w:after="0" w:line="360" w:lineRule="auto"/>
        <w:ind w:left="567"/>
        <w:jc w:val="both"/>
        <w:rPr>
          <w:rFonts w:ascii="Arial" w:hAnsi="Arial" w:cs="Arial"/>
        </w:rPr>
      </w:pPr>
      <w:r w:rsidRPr="006342F0">
        <w:rPr>
          <w:rFonts w:ascii="Arial" w:hAnsi="Arial" w:cs="Arial"/>
        </w:rPr>
        <w:t xml:space="preserve">“Administrative action means any decision of an administrative nature made…under an empowering provision [and] taken… by an organ of </w:t>
      </w:r>
      <w:r w:rsidR="00A660BE">
        <w:rPr>
          <w:rFonts w:ascii="Arial" w:hAnsi="Arial" w:cs="Arial"/>
        </w:rPr>
        <w:t>s</w:t>
      </w:r>
      <w:r w:rsidRPr="006342F0">
        <w:rPr>
          <w:rFonts w:ascii="Arial" w:hAnsi="Arial" w:cs="Arial"/>
        </w:rPr>
        <w:t xml:space="preserve">tate, when exercising a power in terms of the Constitution or a provincial constitution, or exercising a public power or performing a public function in terms of any legislation, or [taken by] a natural or juristic person, other than an organ of state, when exercising a public power or performing a </w:t>
      </w:r>
      <w:r w:rsidRPr="006342F0">
        <w:rPr>
          <w:rFonts w:ascii="Arial" w:hAnsi="Arial" w:cs="Arial"/>
        </w:rPr>
        <w:lastRenderedPageBreak/>
        <w:t>public function in terms of an empowering provision, which adversely effects the rights of any person and which has a direct external legal effect”.</w:t>
      </w:r>
      <w:r w:rsidR="0029634C" w:rsidRPr="006342F0">
        <w:rPr>
          <w:rStyle w:val="FootnoteReference"/>
          <w:rFonts w:ascii="Arial" w:hAnsi="Arial" w:cs="Arial"/>
        </w:rPr>
        <w:footnoteReference w:id="31"/>
      </w:r>
    </w:p>
    <w:p w14:paraId="519F1375" w14:textId="77777777" w:rsidR="00EB39B8" w:rsidRDefault="00EB39B8" w:rsidP="006D7353">
      <w:pPr>
        <w:pStyle w:val="ListParagraph"/>
        <w:spacing w:after="0" w:line="360" w:lineRule="auto"/>
        <w:ind w:left="567"/>
        <w:jc w:val="both"/>
        <w:rPr>
          <w:rFonts w:ascii="Arial" w:hAnsi="Arial" w:cs="Arial"/>
          <w:i/>
          <w:iCs/>
        </w:rPr>
      </w:pPr>
    </w:p>
    <w:p w14:paraId="504375C4" w14:textId="37C18A39" w:rsidR="0071656F" w:rsidRPr="00A65CB3" w:rsidRDefault="00A65CB3" w:rsidP="00A65CB3">
      <w:pPr>
        <w:spacing w:after="0" w:line="360" w:lineRule="auto"/>
        <w:jc w:val="both"/>
        <w:rPr>
          <w:rFonts w:ascii="Arial" w:hAnsi="Arial" w:cs="Arial"/>
          <w:sz w:val="24"/>
          <w:szCs w:val="24"/>
        </w:rPr>
      </w:pPr>
      <w:r w:rsidRPr="0071656F">
        <w:rPr>
          <w:rFonts w:ascii="Arial" w:hAnsi="Arial" w:cs="Arial"/>
          <w:sz w:val="24"/>
          <w:szCs w:val="24"/>
        </w:rPr>
        <w:t>[56]</w:t>
      </w:r>
      <w:r w:rsidRPr="0071656F">
        <w:rPr>
          <w:rFonts w:ascii="Arial" w:hAnsi="Arial" w:cs="Arial"/>
          <w:sz w:val="24"/>
          <w:szCs w:val="24"/>
        </w:rPr>
        <w:tab/>
      </w:r>
      <w:r w:rsidR="0029634C" w:rsidRPr="00A65CB3">
        <w:rPr>
          <w:rFonts w:ascii="Arial" w:hAnsi="Arial" w:cs="Arial"/>
          <w:sz w:val="24"/>
          <w:szCs w:val="24"/>
        </w:rPr>
        <w:t xml:space="preserve">In the matter of </w:t>
      </w:r>
      <w:r w:rsidR="0029634C" w:rsidRPr="00A65CB3">
        <w:rPr>
          <w:rFonts w:ascii="Arial" w:hAnsi="Arial" w:cs="Arial"/>
          <w:i/>
          <w:iCs/>
          <w:sz w:val="24"/>
          <w:szCs w:val="24"/>
        </w:rPr>
        <w:t>Minister of Defence and Military Veterans v Motau and Others</w:t>
      </w:r>
      <w:r w:rsidR="0029634C" w:rsidRPr="0029634C">
        <w:rPr>
          <w:rStyle w:val="FootnoteReference"/>
          <w:rFonts w:ascii="Arial" w:hAnsi="Arial" w:cs="Arial"/>
          <w:i/>
          <w:iCs/>
          <w:sz w:val="24"/>
          <w:szCs w:val="24"/>
        </w:rPr>
        <w:footnoteReference w:id="32"/>
      </w:r>
      <w:r w:rsidR="0071656F" w:rsidRPr="00A65CB3">
        <w:rPr>
          <w:rFonts w:ascii="Arial" w:hAnsi="Arial" w:cs="Arial"/>
          <w:i/>
          <w:iCs/>
          <w:sz w:val="24"/>
          <w:szCs w:val="24"/>
        </w:rPr>
        <w:t xml:space="preserve"> </w:t>
      </w:r>
      <w:r w:rsidR="0071656F" w:rsidRPr="00A65CB3">
        <w:rPr>
          <w:rFonts w:ascii="Arial" w:hAnsi="Arial" w:cs="Arial"/>
          <w:sz w:val="24"/>
          <w:szCs w:val="24"/>
        </w:rPr>
        <w:t>the court held:</w:t>
      </w:r>
    </w:p>
    <w:p w14:paraId="02C0A019" w14:textId="77777777" w:rsidR="0029634C" w:rsidRDefault="0029634C" w:rsidP="0029634C">
      <w:pPr>
        <w:pStyle w:val="ListParagraph"/>
        <w:spacing w:after="0" w:line="360" w:lineRule="auto"/>
        <w:ind w:left="0"/>
        <w:jc w:val="both"/>
        <w:rPr>
          <w:rFonts w:ascii="Arial" w:hAnsi="Arial" w:cs="Arial"/>
          <w:i/>
          <w:iCs/>
          <w:sz w:val="24"/>
          <w:szCs w:val="24"/>
        </w:rPr>
      </w:pPr>
    </w:p>
    <w:p w14:paraId="20EC638C" w14:textId="72492258" w:rsidR="0029634C" w:rsidRDefault="0029634C" w:rsidP="0029634C">
      <w:pPr>
        <w:pStyle w:val="ListParagraph"/>
        <w:spacing w:after="0" w:line="360" w:lineRule="auto"/>
        <w:ind w:left="567"/>
        <w:jc w:val="both"/>
        <w:rPr>
          <w:rFonts w:ascii="Arial" w:hAnsi="Arial" w:cs="Arial"/>
        </w:rPr>
      </w:pPr>
      <w:r>
        <w:rPr>
          <w:rFonts w:ascii="Arial" w:hAnsi="Arial" w:cs="Arial"/>
        </w:rPr>
        <w:t>“</w:t>
      </w:r>
      <w:r w:rsidRPr="0029634C">
        <w:rPr>
          <w:rFonts w:ascii="Arial" w:hAnsi="Arial" w:cs="Arial"/>
        </w:rPr>
        <w:t>[33] The concept of “administrative action”, as defined in section 1(i) of PAJA, is the threshold for engaging in administrative-law review. The rather unwieldy definition can be distilled into seven elements: there must be (a) a decision of an administrative nature; (b) by an organ of state or a natural or juristic person; (c) exercising a public power or performing a public function; (d) in terms of any legislation or an empowering provision; (e) that adversely affects rights; (f) that has a direct, external legal effect; and (g) that does not fall under any of the listed exclusions.[37]  In the present matter there are two elements in dispute: whether the Minister’s decision under section 8(c) of the Armscor Act is of an administrative nature (element (a)) and whether it falls under any of the listed exclusions (element (g)). Both can be answered by interrogating the nature of the power.</w:t>
      </w:r>
      <w:r>
        <w:rPr>
          <w:rFonts w:ascii="Arial" w:hAnsi="Arial" w:cs="Arial"/>
        </w:rPr>
        <w:t>”</w:t>
      </w:r>
      <w:r w:rsidR="00837A55">
        <w:rPr>
          <w:rFonts w:ascii="Arial" w:hAnsi="Arial" w:cs="Arial"/>
        </w:rPr>
        <w:t xml:space="preserve"> </w:t>
      </w:r>
    </w:p>
    <w:p w14:paraId="6B70CC02" w14:textId="77777777" w:rsidR="00837A55" w:rsidRDefault="00837A55" w:rsidP="00837A55">
      <w:pPr>
        <w:spacing w:after="0" w:line="360" w:lineRule="auto"/>
        <w:jc w:val="both"/>
        <w:rPr>
          <w:rFonts w:ascii="Arial" w:hAnsi="Arial" w:cs="Arial"/>
        </w:rPr>
      </w:pPr>
    </w:p>
    <w:p w14:paraId="197B052C" w14:textId="1933CD04" w:rsidR="0029634C" w:rsidRPr="00A65CB3" w:rsidRDefault="00A65CB3" w:rsidP="00A65CB3">
      <w:pPr>
        <w:spacing w:after="0" w:line="360" w:lineRule="auto"/>
        <w:jc w:val="both"/>
        <w:rPr>
          <w:rFonts w:ascii="Arial" w:hAnsi="Arial" w:cs="Arial"/>
        </w:rPr>
      </w:pPr>
      <w:r w:rsidRPr="009D6C16">
        <w:rPr>
          <w:rFonts w:ascii="Arial" w:hAnsi="Arial" w:cs="Arial"/>
          <w:sz w:val="24"/>
          <w:szCs w:val="24"/>
        </w:rPr>
        <w:t>[57]</w:t>
      </w:r>
      <w:r w:rsidRPr="009D6C16">
        <w:rPr>
          <w:rFonts w:ascii="Arial" w:hAnsi="Arial" w:cs="Arial"/>
          <w:sz w:val="24"/>
          <w:szCs w:val="24"/>
        </w:rPr>
        <w:tab/>
      </w:r>
      <w:r w:rsidR="00837A55" w:rsidRPr="00A65CB3">
        <w:rPr>
          <w:rFonts w:ascii="Arial" w:hAnsi="Arial" w:cs="Arial"/>
          <w:sz w:val="24"/>
          <w:szCs w:val="24"/>
        </w:rPr>
        <w:t>All the criteria for an administrative action are fulfilled in that</w:t>
      </w:r>
      <w:r w:rsidR="00B124BC" w:rsidRPr="00A65CB3">
        <w:rPr>
          <w:rFonts w:ascii="Arial" w:hAnsi="Arial" w:cs="Arial"/>
          <w:sz w:val="24"/>
          <w:szCs w:val="24"/>
        </w:rPr>
        <w:t xml:space="preserve"> t</w:t>
      </w:r>
      <w:r w:rsidR="00837A55" w:rsidRPr="00A65CB3">
        <w:rPr>
          <w:rFonts w:ascii="Arial" w:hAnsi="Arial" w:cs="Arial"/>
          <w:sz w:val="24"/>
          <w:szCs w:val="24"/>
        </w:rPr>
        <w:t>he first respondent</w:t>
      </w:r>
      <w:r w:rsidR="00270397" w:rsidRPr="00A65CB3">
        <w:rPr>
          <w:rFonts w:ascii="Arial" w:hAnsi="Arial" w:cs="Arial"/>
          <w:sz w:val="24"/>
          <w:szCs w:val="24"/>
        </w:rPr>
        <w:t xml:space="preserve">, </w:t>
      </w:r>
      <w:r w:rsidR="00837A55" w:rsidRPr="00A65CB3">
        <w:rPr>
          <w:rFonts w:ascii="Arial" w:hAnsi="Arial" w:cs="Arial"/>
          <w:sz w:val="24"/>
          <w:szCs w:val="24"/>
        </w:rPr>
        <w:t>being an organ of state</w:t>
      </w:r>
      <w:r w:rsidR="00270397" w:rsidRPr="00A65CB3">
        <w:rPr>
          <w:rFonts w:ascii="Arial" w:hAnsi="Arial" w:cs="Arial"/>
          <w:sz w:val="24"/>
          <w:szCs w:val="24"/>
        </w:rPr>
        <w:t>,</w:t>
      </w:r>
      <w:r w:rsidR="00837A55" w:rsidRPr="00A65CB3">
        <w:rPr>
          <w:rFonts w:ascii="Arial" w:hAnsi="Arial" w:cs="Arial"/>
          <w:sz w:val="24"/>
          <w:szCs w:val="24"/>
        </w:rPr>
        <w:t xml:space="preserve"> took an administrative</w:t>
      </w:r>
      <w:r w:rsidR="00B124BC" w:rsidRPr="00A65CB3">
        <w:rPr>
          <w:rFonts w:ascii="Arial" w:hAnsi="Arial" w:cs="Arial"/>
          <w:sz w:val="24"/>
          <w:szCs w:val="24"/>
        </w:rPr>
        <w:t xml:space="preserve"> decision</w:t>
      </w:r>
      <w:r w:rsidR="00270397" w:rsidRPr="00A65CB3">
        <w:rPr>
          <w:rFonts w:ascii="Arial" w:hAnsi="Arial" w:cs="Arial"/>
          <w:sz w:val="24"/>
          <w:szCs w:val="24"/>
        </w:rPr>
        <w:t xml:space="preserve"> under an empowering provision which is not specifically excluded by PAJA, which decision adversely affected the rights of the applicants and has a direct and external effect</w:t>
      </w:r>
      <w:r w:rsidR="00701025" w:rsidRPr="00A65CB3">
        <w:rPr>
          <w:rFonts w:ascii="Arial" w:hAnsi="Arial" w:cs="Arial"/>
          <w:sz w:val="24"/>
          <w:szCs w:val="24"/>
        </w:rPr>
        <w:t>.</w:t>
      </w:r>
    </w:p>
    <w:p w14:paraId="69CF8705" w14:textId="77777777" w:rsidR="009D6C16" w:rsidRPr="009D6C16" w:rsidRDefault="009D6C16" w:rsidP="009D6C16">
      <w:pPr>
        <w:pStyle w:val="ListParagraph"/>
        <w:spacing w:after="0" w:line="360" w:lineRule="auto"/>
        <w:ind w:left="0"/>
        <w:jc w:val="both"/>
        <w:rPr>
          <w:rFonts w:ascii="Arial" w:hAnsi="Arial" w:cs="Arial"/>
        </w:rPr>
      </w:pPr>
    </w:p>
    <w:p w14:paraId="23BB9159" w14:textId="6DC3BCCD" w:rsidR="00701025" w:rsidRPr="00701025" w:rsidRDefault="0029634C" w:rsidP="00701025">
      <w:pPr>
        <w:pStyle w:val="ListParagraph"/>
        <w:spacing w:after="0" w:line="360" w:lineRule="auto"/>
        <w:ind w:left="0"/>
        <w:jc w:val="both"/>
        <w:rPr>
          <w:rFonts w:ascii="Arial" w:hAnsi="Arial" w:cs="Arial"/>
          <w:i/>
          <w:iCs/>
          <w:sz w:val="24"/>
          <w:szCs w:val="24"/>
        </w:rPr>
      </w:pPr>
      <w:r w:rsidRPr="0029634C">
        <w:rPr>
          <w:rFonts w:ascii="Arial" w:hAnsi="Arial" w:cs="Arial"/>
          <w:i/>
          <w:iCs/>
          <w:sz w:val="24"/>
          <w:szCs w:val="24"/>
        </w:rPr>
        <w:t xml:space="preserve">Costs </w:t>
      </w:r>
    </w:p>
    <w:p w14:paraId="67100713" w14:textId="1C4DBC6B" w:rsidR="00480DB3" w:rsidRPr="00A65CB3" w:rsidRDefault="00A65CB3" w:rsidP="00A65CB3">
      <w:pPr>
        <w:spacing w:after="0" w:line="360" w:lineRule="auto"/>
        <w:jc w:val="both"/>
        <w:rPr>
          <w:rFonts w:ascii="Arial" w:hAnsi="Arial" w:cs="Arial"/>
          <w:color w:val="242121"/>
          <w:sz w:val="24"/>
          <w:szCs w:val="24"/>
          <w:shd w:val="clear" w:color="auto" w:fill="FFFFFF"/>
        </w:rPr>
      </w:pPr>
      <w:r w:rsidRPr="00480DB3">
        <w:rPr>
          <w:rFonts w:ascii="Arial" w:hAnsi="Arial" w:cs="Arial"/>
          <w:color w:val="242121"/>
          <w:sz w:val="24"/>
          <w:szCs w:val="24"/>
        </w:rPr>
        <w:t>[58]</w:t>
      </w:r>
      <w:r w:rsidRPr="00480DB3">
        <w:rPr>
          <w:rFonts w:ascii="Arial" w:hAnsi="Arial" w:cs="Arial"/>
          <w:color w:val="242121"/>
          <w:sz w:val="24"/>
          <w:szCs w:val="24"/>
        </w:rPr>
        <w:tab/>
      </w:r>
      <w:r w:rsidR="0029634C" w:rsidRPr="00A65CB3">
        <w:rPr>
          <w:rFonts w:ascii="Arial" w:hAnsi="Arial" w:cs="Arial"/>
          <w:sz w:val="24"/>
          <w:szCs w:val="24"/>
          <w:lang w:val="en-US"/>
        </w:rPr>
        <w:t xml:space="preserve">It is trite that costs follow the action. Indeed, it would not be in keeping with the values of </w:t>
      </w:r>
      <w:r w:rsidR="0029634C" w:rsidRPr="00A65CB3">
        <w:rPr>
          <w:rFonts w:ascii="Arial" w:hAnsi="Arial" w:cs="Arial"/>
          <w:i/>
          <w:iCs/>
          <w:sz w:val="24"/>
          <w:szCs w:val="24"/>
          <w:lang w:val="en-US"/>
        </w:rPr>
        <w:t>ubuntu</w:t>
      </w:r>
      <w:r w:rsidR="00983931">
        <w:rPr>
          <w:rStyle w:val="FootnoteReference"/>
          <w:rFonts w:ascii="Arial" w:hAnsi="Arial" w:cs="Arial"/>
          <w:i/>
          <w:iCs/>
          <w:sz w:val="24"/>
          <w:szCs w:val="24"/>
          <w:lang w:val="en-US"/>
        </w:rPr>
        <w:footnoteReference w:id="33"/>
      </w:r>
      <w:r w:rsidR="00983931" w:rsidRPr="00A65CB3">
        <w:rPr>
          <w:rFonts w:ascii="Arial" w:hAnsi="Arial" w:cs="Arial"/>
          <w:i/>
          <w:iCs/>
          <w:sz w:val="24"/>
          <w:szCs w:val="24"/>
          <w:lang w:val="en-US"/>
        </w:rPr>
        <w:t xml:space="preserve"> </w:t>
      </w:r>
      <w:r w:rsidR="00983931" w:rsidRPr="00A65CB3">
        <w:rPr>
          <w:rFonts w:ascii="Arial" w:hAnsi="Arial" w:cs="Arial"/>
          <w:sz w:val="24"/>
          <w:szCs w:val="24"/>
          <w:lang w:val="en-US"/>
        </w:rPr>
        <w:t>to decide otherwise.</w:t>
      </w:r>
      <w:r w:rsidR="005B03AE" w:rsidRPr="00A65CB3">
        <w:rPr>
          <w:rFonts w:ascii="Arial" w:hAnsi="Arial" w:cs="Arial"/>
          <w:color w:val="242121"/>
          <w:sz w:val="24"/>
          <w:szCs w:val="24"/>
          <w:shd w:val="clear" w:color="auto" w:fill="FFFFFF"/>
        </w:rPr>
        <w:t xml:space="preserve"> </w:t>
      </w:r>
      <w:r w:rsidR="00480DB3" w:rsidRPr="00A65CB3">
        <w:rPr>
          <w:rFonts w:ascii="Arial" w:hAnsi="Arial" w:cs="Arial"/>
          <w:color w:val="242121"/>
          <w:sz w:val="24"/>
          <w:szCs w:val="24"/>
          <w:shd w:val="clear" w:color="auto" w:fill="FFFFFF"/>
        </w:rPr>
        <w:t>Referring to this important African legal concept, the court in</w:t>
      </w:r>
      <w:r w:rsidR="005B03AE" w:rsidRPr="00A65CB3">
        <w:rPr>
          <w:rFonts w:ascii="Arial" w:hAnsi="Arial" w:cs="Arial"/>
          <w:color w:val="242121"/>
          <w:sz w:val="24"/>
          <w:szCs w:val="24"/>
          <w:shd w:val="clear" w:color="auto" w:fill="FFFFFF"/>
        </w:rPr>
        <w:t xml:space="preserve"> </w:t>
      </w:r>
      <w:r w:rsidR="005B03AE" w:rsidRPr="00A65CB3">
        <w:rPr>
          <w:rFonts w:ascii="Arial" w:hAnsi="Arial" w:cs="Arial"/>
          <w:i/>
          <w:iCs/>
          <w:color w:val="242121"/>
          <w:sz w:val="24"/>
          <w:szCs w:val="24"/>
          <w:shd w:val="clear" w:color="auto" w:fill="FFFFFF"/>
        </w:rPr>
        <w:t>S v Makwanyane and Another</w:t>
      </w:r>
      <w:r w:rsidR="005B03AE" w:rsidRPr="00480DB3">
        <w:rPr>
          <w:rStyle w:val="FootnoteReference"/>
          <w:rFonts w:ascii="Arial" w:hAnsi="Arial" w:cs="Arial"/>
          <w:color w:val="242121"/>
          <w:sz w:val="24"/>
          <w:szCs w:val="24"/>
          <w:shd w:val="clear" w:color="auto" w:fill="FFFFFF"/>
        </w:rPr>
        <w:footnoteReference w:id="34"/>
      </w:r>
      <w:r w:rsidR="00480DB3" w:rsidRPr="00A65CB3">
        <w:rPr>
          <w:rFonts w:ascii="Arial" w:hAnsi="Arial" w:cs="Arial"/>
          <w:i/>
          <w:iCs/>
          <w:color w:val="242121"/>
          <w:sz w:val="24"/>
          <w:szCs w:val="24"/>
          <w:shd w:val="clear" w:color="auto" w:fill="FFFFFF"/>
        </w:rPr>
        <w:t xml:space="preserve"> </w:t>
      </w:r>
      <w:r w:rsidR="00480DB3" w:rsidRPr="00A65CB3">
        <w:rPr>
          <w:rFonts w:ascii="Arial" w:hAnsi="Arial" w:cs="Arial"/>
          <w:color w:val="242121"/>
          <w:sz w:val="24"/>
          <w:szCs w:val="24"/>
          <w:shd w:val="clear" w:color="auto" w:fill="FFFFFF"/>
        </w:rPr>
        <w:t>held:</w:t>
      </w:r>
      <w:r w:rsidR="00480DB3" w:rsidRPr="00A65CB3">
        <w:rPr>
          <w:rFonts w:ascii="Arial" w:hAnsi="Arial" w:cs="Arial"/>
          <w:i/>
          <w:iCs/>
          <w:color w:val="242121"/>
          <w:sz w:val="24"/>
          <w:szCs w:val="24"/>
          <w:shd w:val="clear" w:color="auto" w:fill="FFFFFF"/>
        </w:rPr>
        <w:t xml:space="preserve"> </w:t>
      </w:r>
    </w:p>
    <w:p w14:paraId="45210A7C" w14:textId="77777777" w:rsidR="00480DB3" w:rsidRPr="00480DB3" w:rsidRDefault="00480DB3" w:rsidP="00480DB3">
      <w:pPr>
        <w:pStyle w:val="ListParagraph"/>
        <w:spacing w:after="0" w:line="360" w:lineRule="auto"/>
        <w:ind w:left="0"/>
        <w:jc w:val="both"/>
        <w:rPr>
          <w:rFonts w:ascii="Arial" w:hAnsi="Arial" w:cs="Arial"/>
          <w:color w:val="242121"/>
          <w:sz w:val="24"/>
          <w:szCs w:val="24"/>
          <w:shd w:val="clear" w:color="auto" w:fill="FFFFFF"/>
        </w:rPr>
      </w:pPr>
    </w:p>
    <w:p w14:paraId="39AE216C" w14:textId="702E369C" w:rsidR="00480DB3" w:rsidRPr="00480DB3" w:rsidRDefault="00480DB3" w:rsidP="00480DB3">
      <w:pPr>
        <w:pStyle w:val="ListParagraph"/>
        <w:spacing w:after="0" w:line="360" w:lineRule="auto"/>
        <w:ind w:left="567"/>
        <w:jc w:val="both"/>
        <w:rPr>
          <w:rFonts w:ascii="Arial" w:hAnsi="Arial" w:cs="Arial"/>
          <w:color w:val="242121"/>
          <w:shd w:val="clear" w:color="auto" w:fill="FFFFFF"/>
        </w:rPr>
      </w:pPr>
      <w:r w:rsidRPr="00480DB3">
        <w:rPr>
          <w:rFonts w:ascii="Arial" w:hAnsi="Arial" w:cs="Arial"/>
          <w:color w:val="242121"/>
          <w:shd w:val="clear" w:color="auto" w:fill="FFFFFF"/>
        </w:rPr>
        <w:t>“</w:t>
      </w:r>
      <w:r w:rsidR="0071656F">
        <w:rPr>
          <w:rFonts w:ascii="Arial" w:hAnsi="Arial" w:cs="Arial"/>
        </w:rPr>
        <w:t>T</w:t>
      </w:r>
      <w:r w:rsidR="005B03AE" w:rsidRPr="00480DB3">
        <w:rPr>
          <w:rFonts w:ascii="Arial" w:hAnsi="Arial" w:cs="Arial"/>
        </w:rPr>
        <w:t>he concept carries in it the ideas of humaneness, social justice and fairness.</w:t>
      </w:r>
      <w:r w:rsidR="005B03AE" w:rsidRPr="00480DB3">
        <w:rPr>
          <w:rFonts w:ascii="Arial" w:hAnsi="Arial" w:cs="Arial"/>
          <w:color w:val="242121"/>
          <w:shd w:val="clear" w:color="auto" w:fill="FFFFFF"/>
        </w:rPr>
        <w:t>”</w:t>
      </w:r>
      <w:r>
        <w:rPr>
          <w:rStyle w:val="FootnoteReference"/>
          <w:rFonts w:ascii="Arial" w:hAnsi="Arial" w:cs="Arial"/>
          <w:color w:val="242121"/>
          <w:shd w:val="clear" w:color="auto" w:fill="FFFFFF"/>
        </w:rPr>
        <w:footnoteReference w:id="35"/>
      </w:r>
    </w:p>
    <w:p w14:paraId="3780412F" w14:textId="77777777" w:rsidR="00480DB3" w:rsidRDefault="00480DB3" w:rsidP="00480DB3">
      <w:pPr>
        <w:pStyle w:val="ListParagraph"/>
        <w:spacing w:after="0" w:line="360" w:lineRule="auto"/>
        <w:ind w:left="0"/>
        <w:jc w:val="both"/>
        <w:rPr>
          <w:rFonts w:ascii="Arial" w:hAnsi="Arial" w:cs="Arial"/>
          <w:color w:val="242121"/>
          <w:sz w:val="24"/>
          <w:szCs w:val="24"/>
          <w:shd w:val="clear" w:color="auto" w:fill="FFFFFF"/>
        </w:rPr>
      </w:pPr>
    </w:p>
    <w:p w14:paraId="197AE9AC" w14:textId="7DBDA5A4" w:rsidR="00FC75D1" w:rsidRPr="00A65CB3" w:rsidRDefault="00A65CB3" w:rsidP="00A65CB3">
      <w:pPr>
        <w:spacing w:after="0" w:line="360" w:lineRule="auto"/>
        <w:jc w:val="both"/>
        <w:rPr>
          <w:rFonts w:ascii="Arial" w:hAnsi="Arial" w:cs="Arial"/>
          <w:sz w:val="28"/>
          <w:szCs w:val="28"/>
          <w:lang w:val="en-US"/>
        </w:rPr>
      </w:pPr>
      <w:r w:rsidRPr="00FC75D1">
        <w:rPr>
          <w:rFonts w:ascii="Arial" w:hAnsi="Arial" w:cs="Arial"/>
          <w:sz w:val="24"/>
          <w:szCs w:val="24"/>
          <w:lang w:val="en-US"/>
        </w:rPr>
        <w:t>[59]</w:t>
      </w:r>
      <w:r w:rsidRPr="00FC75D1">
        <w:rPr>
          <w:rFonts w:ascii="Arial" w:hAnsi="Arial" w:cs="Arial"/>
          <w:sz w:val="24"/>
          <w:szCs w:val="24"/>
          <w:lang w:val="en-US"/>
        </w:rPr>
        <w:tab/>
      </w:r>
      <w:r w:rsidR="00983931" w:rsidRPr="00A65CB3">
        <w:rPr>
          <w:rFonts w:ascii="Arial" w:hAnsi="Arial" w:cs="Arial"/>
          <w:sz w:val="24"/>
          <w:szCs w:val="24"/>
          <w:lang w:val="en-US"/>
        </w:rPr>
        <w:t>Cha</w:t>
      </w:r>
      <w:r w:rsidR="009D6C16" w:rsidRPr="00A65CB3">
        <w:rPr>
          <w:rFonts w:ascii="Arial" w:hAnsi="Arial" w:cs="Arial"/>
          <w:sz w:val="24"/>
          <w:szCs w:val="24"/>
          <w:lang w:val="en-US"/>
        </w:rPr>
        <w:t>s</w:t>
      </w:r>
      <w:r w:rsidR="00983931" w:rsidRPr="00A65CB3">
        <w:rPr>
          <w:rFonts w:ascii="Arial" w:hAnsi="Arial" w:cs="Arial"/>
          <w:sz w:val="24"/>
          <w:szCs w:val="24"/>
          <w:lang w:val="en-US"/>
        </w:rPr>
        <w:t xml:space="preserve">kalson CJ had the presence of mind to recognize the role this African legal concept plays, albeit in a different setting. This court is of the view that </w:t>
      </w:r>
      <w:r w:rsidR="00EF0D10" w:rsidRPr="00A65CB3">
        <w:rPr>
          <w:rFonts w:ascii="Arial" w:hAnsi="Arial" w:cs="Arial"/>
          <w:sz w:val="24"/>
          <w:szCs w:val="24"/>
          <w:lang w:val="en-US"/>
        </w:rPr>
        <w:t>one of the</w:t>
      </w:r>
      <w:r w:rsidR="00983931" w:rsidRPr="00A65CB3">
        <w:rPr>
          <w:rFonts w:ascii="Arial" w:hAnsi="Arial" w:cs="Arial"/>
          <w:sz w:val="24"/>
          <w:szCs w:val="24"/>
          <w:lang w:val="en-US"/>
        </w:rPr>
        <w:t xml:space="preserve"> values of </w:t>
      </w:r>
      <w:r w:rsidR="00FC75D1" w:rsidRPr="00A65CB3">
        <w:rPr>
          <w:rFonts w:ascii="Arial" w:hAnsi="Arial" w:cs="Arial"/>
          <w:i/>
          <w:iCs/>
          <w:sz w:val="24"/>
          <w:szCs w:val="24"/>
          <w:lang w:val="en-US"/>
        </w:rPr>
        <w:t>U</w:t>
      </w:r>
      <w:r w:rsidR="00983931" w:rsidRPr="00A65CB3">
        <w:rPr>
          <w:rFonts w:ascii="Arial" w:hAnsi="Arial" w:cs="Arial"/>
          <w:i/>
          <w:iCs/>
          <w:sz w:val="24"/>
          <w:szCs w:val="24"/>
          <w:lang w:val="en-US"/>
        </w:rPr>
        <w:t>buntu</w:t>
      </w:r>
      <w:r w:rsidR="00983931" w:rsidRPr="00A65CB3">
        <w:rPr>
          <w:rFonts w:ascii="Arial" w:hAnsi="Arial" w:cs="Arial"/>
          <w:sz w:val="24"/>
          <w:szCs w:val="24"/>
          <w:lang w:val="en-US"/>
        </w:rPr>
        <w:t xml:space="preserve"> </w:t>
      </w:r>
      <w:r w:rsidR="00EF0D10" w:rsidRPr="00A65CB3">
        <w:rPr>
          <w:rFonts w:ascii="Arial" w:hAnsi="Arial" w:cs="Arial"/>
          <w:sz w:val="24"/>
          <w:szCs w:val="24"/>
          <w:lang w:val="en-US"/>
        </w:rPr>
        <w:t xml:space="preserve">implicates </w:t>
      </w:r>
      <w:r w:rsidR="00983931" w:rsidRPr="00A65CB3">
        <w:rPr>
          <w:rFonts w:ascii="Arial" w:hAnsi="Arial" w:cs="Arial"/>
          <w:sz w:val="24"/>
          <w:szCs w:val="24"/>
          <w:lang w:val="en-US"/>
        </w:rPr>
        <w:t>the issues of costs</w:t>
      </w:r>
      <w:r w:rsidR="00EF0D10" w:rsidRPr="00A65CB3">
        <w:rPr>
          <w:rFonts w:ascii="Arial" w:hAnsi="Arial" w:cs="Arial"/>
          <w:sz w:val="24"/>
          <w:szCs w:val="24"/>
          <w:lang w:val="en-US"/>
        </w:rPr>
        <w:t>.</w:t>
      </w:r>
      <w:r w:rsidR="001C78AC" w:rsidRPr="00A65CB3">
        <w:rPr>
          <w:rFonts w:ascii="Arial" w:hAnsi="Arial" w:cs="Arial"/>
          <w:sz w:val="24"/>
          <w:szCs w:val="24"/>
          <w:lang w:val="en-US"/>
        </w:rPr>
        <w:t xml:space="preserve"> Costs are a matter of fairness</w:t>
      </w:r>
      <w:r w:rsidR="008066EF" w:rsidRPr="00A65CB3">
        <w:rPr>
          <w:rFonts w:ascii="Arial" w:hAnsi="Arial" w:cs="Arial"/>
          <w:sz w:val="24"/>
          <w:szCs w:val="24"/>
          <w:lang w:val="en-US"/>
        </w:rPr>
        <w:t xml:space="preserve"> to both sides</w:t>
      </w:r>
      <w:r w:rsidR="001C78AC" w:rsidRPr="00A65CB3">
        <w:rPr>
          <w:rFonts w:ascii="Arial" w:hAnsi="Arial" w:cs="Arial"/>
          <w:sz w:val="24"/>
          <w:szCs w:val="24"/>
          <w:lang w:val="en-US"/>
        </w:rPr>
        <w:t>.</w:t>
      </w:r>
      <w:r w:rsidR="001C78AC">
        <w:rPr>
          <w:rStyle w:val="FootnoteReference"/>
          <w:rFonts w:ascii="Arial" w:hAnsi="Arial" w:cs="Arial"/>
          <w:sz w:val="24"/>
          <w:szCs w:val="24"/>
          <w:lang w:val="en-US"/>
        </w:rPr>
        <w:footnoteReference w:id="36"/>
      </w:r>
      <w:r w:rsidR="00EF0D10" w:rsidRPr="00A65CB3">
        <w:rPr>
          <w:rFonts w:ascii="Arial" w:hAnsi="Arial" w:cs="Arial"/>
          <w:sz w:val="24"/>
          <w:szCs w:val="24"/>
          <w:lang w:val="en-US"/>
        </w:rPr>
        <w:t xml:space="preserve"> </w:t>
      </w:r>
      <w:r w:rsidR="001C78AC" w:rsidRPr="00A65CB3">
        <w:rPr>
          <w:rFonts w:ascii="Arial" w:hAnsi="Arial" w:cs="Arial"/>
          <w:i/>
          <w:iCs/>
          <w:sz w:val="24"/>
          <w:szCs w:val="24"/>
          <w:lang w:val="en-US"/>
        </w:rPr>
        <w:t>Ubuntu</w:t>
      </w:r>
      <w:r w:rsidR="00CE4293" w:rsidRPr="00A65CB3">
        <w:rPr>
          <w:rFonts w:ascii="Arial" w:hAnsi="Arial" w:cs="Arial"/>
          <w:i/>
          <w:iCs/>
          <w:sz w:val="24"/>
          <w:szCs w:val="24"/>
          <w:lang w:val="en-US"/>
        </w:rPr>
        <w:t>’s</w:t>
      </w:r>
      <w:r w:rsidR="00983931" w:rsidRPr="00A65CB3">
        <w:rPr>
          <w:rFonts w:ascii="Arial" w:hAnsi="Arial" w:cs="Arial"/>
          <w:sz w:val="24"/>
          <w:szCs w:val="24"/>
          <w:lang w:val="en-US"/>
        </w:rPr>
        <w:t xml:space="preserve"> role need</w:t>
      </w:r>
      <w:r w:rsidR="00EF0D10" w:rsidRPr="00A65CB3">
        <w:rPr>
          <w:rFonts w:ascii="Arial" w:hAnsi="Arial" w:cs="Arial"/>
          <w:sz w:val="24"/>
          <w:szCs w:val="24"/>
          <w:lang w:val="en-US"/>
        </w:rPr>
        <w:t xml:space="preserve">s </w:t>
      </w:r>
      <w:r w:rsidR="00983931" w:rsidRPr="00A65CB3">
        <w:rPr>
          <w:rFonts w:ascii="Arial" w:hAnsi="Arial" w:cs="Arial"/>
          <w:sz w:val="24"/>
          <w:szCs w:val="24"/>
          <w:lang w:val="en-US"/>
        </w:rPr>
        <w:t xml:space="preserve">to be </w:t>
      </w:r>
      <w:r w:rsidR="00CE4293" w:rsidRPr="00A65CB3">
        <w:rPr>
          <w:rFonts w:ascii="Arial" w:hAnsi="Arial" w:cs="Arial"/>
          <w:sz w:val="24"/>
          <w:szCs w:val="24"/>
          <w:lang w:val="en-US"/>
        </w:rPr>
        <w:t xml:space="preserve">dusted off, </w:t>
      </w:r>
      <w:r w:rsidR="00983931" w:rsidRPr="00A65CB3">
        <w:rPr>
          <w:rFonts w:ascii="Arial" w:hAnsi="Arial" w:cs="Arial"/>
          <w:sz w:val="24"/>
          <w:szCs w:val="24"/>
          <w:lang w:val="en-US"/>
        </w:rPr>
        <w:t>magnified and elevated</w:t>
      </w:r>
      <w:r w:rsidR="001058B3" w:rsidRPr="00A65CB3">
        <w:rPr>
          <w:rFonts w:ascii="Arial" w:hAnsi="Arial" w:cs="Arial"/>
          <w:sz w:val="24"/>
          <w:szCs w:val="24"/>
          <w:lang w:val="en-US"/>
        </w:rPr>
        <w:t xml:space="preserve"> to</w:t>
      </w:r>
      <w:r w:rsidR="00983931" w:rsidRPr="00A65CB3">
        <w:rPr>
          <w:rFonts w:ascii="Arial" w:hAnsi="Arial" w:cs="Arial"/>
          <w:sz w:val="24"/>
          <w:szCs w:val="24"/>
          <w:lang w:val="en-US"/>
        </w:rPr>
        <w:t xml:space="preserve"> </w:t>
      </w:r>
      <w:r w:rsidR="00EF0D10" w:rsidRPr="00A65CB3">
        <w:rPr>
          <w:rFonts w:ascii="Arial" w:hAnsi="Arial" w:cs="Arial"/>
          <w:sz w:val="24"/>
          <w:szCs w:val="24"/>
          <w:lang w:val="en-US"/>
        </w:rPr>
        <w:t>its</w:t>
      </w:r>
      <w:r w:rsidR="00983931" w:rsidRPr="00A65CB3">
        <w:rPr>
          <w:rFonts w:ascii="Arial" w:hAnsi="Arial" w:cs="Arial"/>
          <w:sz w:val="24"/>
          <w:szCs w:val="24"/>
          <w:lang w:val="en-US"/>
        </w:rPr>
        <w:t xml:space="preserve"> rightful place</w:t>
      </w:r>
      <w:r w:rsidR="00EF0D10" w:rsidRPr="00A65CB3">
        <w:rPr>
          <w:rFonts w:ascii="Arial" w:hAnsi="Arial" w:cs="Arial"/>
          <w:sz w:val="24"/>
          <w:szCs w:val="24"/>
          <w:lang w:val="en-US"/>
        </w:rPr>
        <w:t xml:space="preserve"> in our jurisprudence</w:t>
      </w:r>
      <w:r w:rsidR="00983931" w:rsidRPr="00A65CB3">
        <w:rPr>
          <w:rFonts w:ascii="Arial" w:hAnsi="Arial" w:cs="Arial"/>
          <w:sz w:val="24"/>
          <w:szCs w:val="24"/>
          <w:lang w:val="en-US"/>
        </w:rPr>
        <w:t xml:space="preserve">. </w:t>
      </w:r>
      <w:r w:rsidR="00EF0D10" w:rsidRPr="00A65CB3">
        <w:rPr>
          <w:rFonts w:ascii="Arial" w:hAnsi="Arial" w:cs="Arial"/>
          <w:i/>
          <w:iCs/>
          <w:sz w:val="24"/>
          <w:szCs w:val="24"/>
          <w:lang w:val="en-US"/>
        </w:rPr>
        <w:t>U</w:t>
      </w:r>
      <w:r w:rsidR="00983931" w:rsidRPr="00A65CB3">
        <w:rPr>
          <w:rFonts w:ascii="Arial" w:hAnsi="Arial" w:cs="Arial"/>
          <w:i/>
          <w:iCs/>
          <w:sz w:val="24"/>
          <w:szCs w:val="24"/>
          <w:lang w:val="en-US"/>
        </w:rPr>
        <w:t>muntu ngumuntu ngabantu or m</w:t>
      </w:r>
      <w:r w:rsidR="00C14CB6" w:rsidRPr="00A65CB3">
        <w:rPr>
          <w:rFonts w:ascii="Arial" w:hAnsi="Arial" w:cs="Arial"/>
          <w:i/>
          <w:iCs/>
          <w:sz w:val="24"/>
          <w:szCs w:val="24"/>
          <w:lang w:val="en-US"/>
        </w:rPr>
        <w:t>otho</w:t>
      </w:r>
      <w:r w:rsidR="00983931" w:rsidRPr="00A65CB3">
        <w:rPr>
          <w:rFonts w:ascii="Arial" w:hAnsi="Arial" w:cs="Arial"/>
          <w:i/>
          <w:iCs/>
          <w:sz w:val="24"/>
          <w:szCs w:val="24"/>
          <w:lang w:val="en-US"/>
        </w:rPr>
        <w:t xml:space="preserve"> </w:t>
      </w:r>
      <w:r w:rsidR="00C14CB6" w:rsidRPr="00A65CB3">
        <w:rPr>
          <w:rFonts w:ascii="Arial" w:hAnsi="Arial" w:cs="Arial"/>
          <w:i/>
          <w:iCs/>
          <w:sz w:val="24"/>
          <w:szCs w:val="24"/>
          <w:lang w:val="en-US"/>
        </w:rPr>
        <w:t>ke</w:t>
      </w:r>
      <w:r w:rsidR="00983931" w:rsidRPr="00A65CB3">
        <w:rPr>
          <w:rFonts w:ascii="Arial" w:hAnsi="Arial" w:cs="Arial"/>
          <w:i/>
          <w:iCs/>
          <w:sz w:val="24"/>
          <w:szCs w:val="24"/>
          <w:lang w:val="en-US"/>
        </w:rPr>
        <w:t xml:space="preserve"> m</w:t>
      </w:r>
      <w:r w:rsidR="00C14CB6" w:rsidRPr="00A65CB3">
        <w:rPr>
          <w:rFonts w:ascii="Arial" w:hAnsi="Arial" w:cs="Arial"/>
          <w:i/>
          <w:iCs/>
          <w:sz w:val="24"/>
          <w:szCs w:val="24"/>
          <w:lang w:val="en-US"/>
        </w:rPr>
        <w:t xml:space="preserve">otho </w:t>
      </w:r>
      <w:r w:rsidR="00983931" w:rsidRPr="00A65CB3">
        <w:rPr>
          <w:rFonts w:ascii="Arial" w:hAnsi="Arial" w:cs="Arial"/>
          <w:i/>
          <w:iCs/>
          <w:sz w:val="24"/>
          <w:szCs w:val="24"/>
          <w:lang w:val="en-US"/>
        </w:rPr>
        <w:t>ka bath</w:t>
      </w:r>
      <w:r w:rsidR="00C14CB6" w:rsidRPr="00A65CB3">
        <w:rPr>
          <w:rFonts w:ascii="Arial" w:hAnsi="Arial" w:cs="Arial"/>
          <w:i/>
          <w:iCs/>
          <w:sz w:val="24"/>
          <w:szCs w:val="24"/>
          <w:lang w:val="en-US"/>
        </w:rPr>
        <w:t>o</w:t>
      </w:r>
      <w:r w:rsidR="00983931" w:rsidRPr="00A65CB3">
        <w:rPr>
          <w:rFonts w:ascii="Arial" w:hAnsi="Arial" w:cs="Arial"/>
          <w:i/>
          <w:iCs/>
          <w:sz w:val="24"/>
          <w:szCs w:val="24"/>
          <w:lang w:val="en-US"/>
        </w:rPr>
        <w:t xml:space="preserve"> or</w:t>
      </w:r>
      <w:r w:rsidR="00014331" w:rsidRPr="00A65CB3">
        <w:rPr>
          <w:rFonts w:ascii="Arial" w:hAnsi="Arial" w:cs="Arial"/>
          <w:i/>
          <w:iCs/>
          <w:color w:val="202122"/>
          <w:sz w:val="21"/>
          <w:szCs w:val="21"/>
          <w:shd w:val="clear" w:color="auto" w:fill="FFFFFF"/>
        </w:rPr>
        <w:t xml:space="preserve"> </w:t>
      </w:r>
      <w:r w:rsidR="00014331" w:rsidRPr="00A65CB3">
        <w:rPr>
          <w:rFonts w:ascii="Arial" w:hAnsi="Arial" w:cs="Arial"/>
          <w:i/>
          <w:iCs/>
          <w:sz w:val="24"/>
          <w:szCs w:val="24"/>
        </w:rPr>
        <w:t>munhu i munhu hivanwani vanhu</w:t>
      </w:r>
      <w:r w:rsidR="00EF0D10" w:rsidRPr="00A65CB3">
        <w:rPr>
          <w:rFonts w:ascii="Arial" w:hAnsi="Arial" w:cs="Arial"/>
          <w:i/>
          <w:iCs/>
          <w:sz w:val="24"/>
          <w:szCs w:val="24"/>
        </w:rPr>
        <w:t xml:space="preserve"> </w:t>
      </w:r>
      <w:r w:rsidR="00EF0D10" w:rsidRPr="00A65CB3">
        <w:rPr>
          <w:rFonts w:ascii="Arial" w:hAnsi="Arial" w:cs="Arial"/>
          <w:sz w:val="24"/>
          <w:szCs w:val="24"/>
        </w:rPr>
        <w:t xml:space="preserve">is one of the many values </w:t>
      </w:r>
      <w:r w:rsidR="001058B3" w:rsidRPr="00A65CB3">
        <w:rPr>
          <w:rFonts w:ascii="Arial" w:hAnsi="Arial" w:cs="Arial"/>
          <w:sz w:val="24"/>
          <w:szCs w:val="24"/>
        </w:rPr>
        <w:t>engraved</w:t>
      </w:r>
      <w:r w:rsidR="00EF0D10" w:rsidRPr="00A65CB3">
        <w:rPr>
          <w:rFonts w:ascii="Arial" w:hAnsi="Arial" w:cs="Arial"/>
          <w:sz w:val="24"/>
          <w:szCs w:val="24"/>
        </w:rPr>
        <w:t xml:space="preserve"> </w:t>
      </w:r>
      <w:r w:rsidR="001058B3" w:rsidRPr="00A65CB3">
        <w:rPr>
          <w:rFonts w:ascii="Arial" w:hAnsi="Arial" w:cs="Arial"/>
          <w:sz w:val="24"/>
          <w:szCs w:val="24"/>
        </w:rPr>
        <w:t xml:space="preserve">in </w:t>
      </w:r>
      <w:r w:rsidR="00FC75D1" w:rsidRPr="00A65CB3">
        <w:rPr>
          <w:rFonts w:ascii="Arial" w:hAnsi="Arial" w:cs="Arial"/>
          <w:i/>
          <w:iCs/>
          <w:sz w:val="24"/>
          <w:szCs w:val="24"/>
        </w:rPr>
        <w:t>U</w:t>
      </w:r>
      <w:r w:rsidR="00EF0D10" w:rsidRPr="00A65CB3">
        <w:rPr>
          <w:rFonts w:ascii="Arial" w:hAnsi="Arial" w:cs="Arial"/>
          <w:i/>
          <w:iCs/>
          <w:sz w:val="24"/>
          <w:szCs w:val="24"/>
        </w:rPr>
        <w:t>buntu</w:t>
      </w:r>
      <w:r w:rsidR="00C15D0B" w:rsidRPr="00A65CB3">
        <w:rPr>
          <w:rFonts w:ascii="Arial" w:hAnsi="Arial" w:cs="Arial"/>
          <w:sz w:val="24"/>
          <w:szCs w:val="24"/>
        </w:rPr>
        <w:t xml:space="preserve">, besides humanity, social justice and fairness mentioned </w:t>
      </w:r>
      <w:r w:rsidR="00C15D0B" w:rsidRPr="00A65CB3">
        <w:rPr>
          <w:rFonts w:ascii="Arial" w:hAnsi="Arial" w:cs="Arial"/>
          <w:i/>
          <w:iCs/>
          <w:sz w:val="24"/>
          <w:szCs w:val="24"/>
        </w:rPr>
        <w:t>supra</w:t>
      </w:r>
      <w:r w:rsidR="00014331" w:rsidRPr="00A65CB3">
        <w:rPr>
          <w:rFonts w:ascii="Arial" w:hAnsi="Arial" w:cs="Arial"/>
          <w:i/>
          <w:iCs/>
          <w:sz w:val="24"/>
          <w:szCs w:val="24"/>
        </w:rPr>
        <w:t>.</w:t>
      </w:r>
      <w:r w:rsidR="00983931" w:rsidRPr="00A65CB3">
        <w:rPr>
          <w:rFonts w:ascii="Arial" w:hAnsi="Arial" w:cs="Arial"/>
          <w:i/>
          <w:iCs/>
          <w:sz w:val="24"/>
          <w:szCs w:val="24"/>
          <w:lang w:val="en-US"/>
        </w:rPr>
        <w:t xml:space="preserve"> </w:t>
      </w:r>
      <w:r w:rsidR="00983931" w:rsidRPr="00A65CB3">
        <w:rPr>
          <w:rFonts w:ascii="Arial" w:hAnsi="Arial" w:cs="Arial"/>
          <w:sz w:val="24"/>
          <w:szCs w:val="24"/>
          <w:lang w:val="en-US"/>
        </w:rPr>
        <w:t xml:space="preserve">In my limited understanding of the English language, </w:t>
      </w:r>
      <w:r w:rsidR="00C15D0B" w:rsidRPr="00A65CB3">
        <w:rPr>
          <w:rFonts w:ascii="Arial" w:hAnsi="Arial" w:cs="Arial"/>
          <w:sz w:val="24"/>
          <w:szCs w:val="24"/>
          <w:lang w:val="en-US"/>
        </w:rPr>
        <w:t>this means:</w:t>
      </w:r>
      <w:r w:rsidR="00983931" w:rsidRPr="00A65CB3">
        <w:rPr>
          <w:rFonts w:ascii="Arial" w:hAnsi="Arial" w:cs="Arial"/>
          <w:sz w:val="24"/>
          <w:szCs w:val="24"/>
          <w:lang w:val="en-US"/>
        </w:rPr>
        <w:t xml:space="preserve"> “you are because we are”. Unfortunately, a lot is lost in that translation. </w:t>
      </w:r>
    </w:p>
    <w:p w14:paraId="48286CB0" w14:textId="77777777" w:rsidR="00FC75D1" w:rsidRPr="00FC75D1" w:rsidRDefault="00FC75D1" w:rsidP="00FC75D1">
      <w:pPr>
        <w:pStyle w:val="ListParagraph"/>
        <w:spacing w:after="0" w:line="360" w:lineRule="auto"/>
        <w:ind w:left="0"/>
        <w:jc w:val="both"/>
        <w:rPr>
          <w:rFonts w:ascii="Arial" w:hAnsi="Arial" w:cs="Arial"/>
          <w:sz w:val="28"/>
          <w:szCs w:val="28"/>
          <w:lang w:val="en-US"/>
        </w:rPr>
      </w:pPr>
    </w:p>
    <w:p w14:paraId="5DBF4235" w14:textId="6CF771FB" w:rsidR="00A609BA" w:rsidRPr="00A65CB3" w:rsidRDefault="00A65CB3" w:rsidP="00A65CB3">
      <w:pPr>
        <w:spacing w:after="0" w:line="360" w:lineRule="auto"/>
        <w:jc w:val="both"/>
        <w:rPr>
          <w:rFonts w:ascii="Arial" w:hAnsi="Arial" w:cs="Arial"/>
          <w:sz w:val="28"/>
          <w:szCs w:val="28"/>
          <w:lang w:val="en-US"/>
        </w:rPr>
      </w:pPr>
      <w:r w:rsidRPr="00A609BA">
        <w:rPr>
          <w:rFonts w:ascii="Arial" w:hAnsi="Arial" w:cs="Arial"/>
          <w:sz w:val="24"/>
          <w:szCs w:val="24"/>
          <w:lang w:val="en-US"/>
        </w:rPr>
        <w:t>[60]</w:t>
      </w:r>
      <w:r w:rsidRPr="00A609BA">
        <w:rPr>
          <w:rFonts w:ascii="Arial" w:hAnsi="Arial" w:cs="Arial"/>
          <w:sz w:val="24"/>
          <w:szCs w:val="24"/>
          <w:lang w:val="en-US"/>
        </w:rPr>
        <w:tab/>
      </w:r>
      <w:r w:rsidR="00983931" w:rsidRPr="00A65CB3">
        <w:rPr>
          <w:rFonts w:ascii="Arial" w:hAnsi="Arial" w:cs="Arial"/>
          <w:sz w:val="24"/>
          <w:szCs w:val="24"/>
          <w:lang w:val="en-US"/>
        </w:rPr>
        <w:t>Deeply embedded in that concept is</w:t>
      </w:r>
      <w:r w:rsidR="008066EF" w:rsidRPr="00A65CB3">
        <w:rPr>
          <w:rFonts w:ascii="Arial" w:hAnsi="Arial" w:cs="Arial"/>
          <w:sz w:val="24"/>
          <w:szCs w:val="24"/>
          <w:lang w:val="en-US"/>
        </w:rPr>
        <w:t xml:space="preserve"> fairness</w:t>
      </w:r>
      <w:r w:rsidR="00983931" w:rsidRPr="00A65CB3">
        <w:rPr>
          <w:rFonts w:ascii="Arial" w:hAnsi="Arial" w:cs="Arial"/>
          <w:sz w:val="24"/>
          <w:szCs w:val="24"/>
          <w:lang w:val="en-US"/>
        </w:rPr>
        <w:t>, t</w:t>
      </w:r>
      <w:r w:rsidR="00C15D0B" w:rsidRPr="00A65CB3">
        <w:rPr>
          <w:rFonts w:ascii="Arial" w:hAnsi="Arial" w:cs="Arial"/>
          <w:sz w:val="24"/>
          <w:szCs w:val="24"/>
          <w:lang w:val="en-US"/>
        </w:rPr>
        <w:t>he assertion that</w:t>
      </w:r>
      <w:r w:rsidR="008066EF" w:rsidRPr="00A65CB3">
        <w:rPr>
          <w:rFonts w:ascii="Arial" w:hAnsi="Arial" w:cs="Arial"/>
          <w:sz w:val="24"/>
          <w:szCs w:val="24"/>
          <w:lang w:val="en-US"/>
        </w:rPr>
        <w:t xml:space="preserve"> one</w:t>
      </w:r>
      <w:r w:rsidR="00C15D0B" w:rsidRPr="00A65CB3">
        <w:rPr>
          <w:rFonts w:ascii="Arial" w:hAnsi="Arial" w:cs="Arial"/>
          <w:sz w:val="24"/>
          <w:szCs w:val="24"/>
          <w:lang w:val="en-US"/>
        </w:rPr>
        <w:t xml:space="preserve"> (</w:t>
      </w:r>
      <w:r w:rsidR="00983931" w:rsidRPr="00A65CB3">
        <w:rPr>
          <w:rFonts w:ascii="Arial" w:hAnsi="Arial" w:cs="Arial"/>
          <w:sz w:val="24"/>
          <w:szCs w:val="24"/>
          <w:lang w:val="en-US"/>
        </w:rPr>
        <w:t>the applicant</w:t>
      </w:r>
      <w:r w:rsidR="00C15D0B" w:rsidRPr="00A65CB3">
        <w:rPr>
          <w:rFonts w:ascii="Arial" w:hAnsi="Arial" w:cs="Arial"/>
          <w:sz w:val="24"/>
          <w:szCs w:val="24"/>
          <w:lang w:val="en-US"/>
        </w:rPr>
        <w:t>s)</w:t>
      </w:r>
      <w:r w:rsidR="00983931" w:rsidRPr="00A65CB3">
        <w:rPr>
          <w:rFonts w:ascii="Arial" w:hAnsi="Arial" w:cs="Arial"/>
          <w:sz w:val="24"/>
          <w:szCs w:val="24"/>
          <w:lang w:val="en-US"/>
        </w:rPr>
        <w:t xml:space="preserve"> should</w:t>
      </w:r>
      <w:r w:rsidR="008066EF" w:rsidRPr="00A65CB3">
        <w:rPr>
          <w:rFonts w:ascii="Arial" w:hAnsi="Arial" w:cs="Arial"/>
          <w:sz w:val="24"/>
          <w:szCs w:val="24"/>
          <w:lang w:val="en-US"/>
        </w:rPr>
        <w:t xml:space="preserve"> not</w:t>
      </w:r>
      <w:r w:rsidR="00983931" w:rsidRPr="00A65CB3">
        <w:rPr>
          <w:rFonts w:ascii="Arial" w:hAnsi="Arial" w:cs="Arial"/>
          <w:sz w:val="24"/>
          <w:szCs w:val="24"/>
          <w:lang w:val="en-US"/>
        </w:rPr>
        <w:t xml:space="preserve"> be out of pocket</w:t>
      </w:r>
      <w:r w:rsidR="00C15D0B" w:rsidRPr="00A65CB3">
        <w:rPr>
          <w:rFonts w:ascii="Arial" w:hAnsi="Arial" w:cs="Arial"/>
          <w:sz w:val="24"/>
          <w:szCs w:val="24"/>
          <w:lang w:val="en-US"/>
        </w:rPr>
        <w:t xml:space="preserve"> as a result of another person’s </w:t>
      </w:r>
      <w:r w:rsidR="008066EF" w:rsidRPr="00A65CB3">
        <w:rPr>
          <w:rFonts w:ascii="Arial" w:hAnsi="Arial" w:cs="Arial"/>
          <w:sz w:val="24"/>
          <w:szCs w:val="24"/>
          <w:lang w:val="en-US"/>
        </w:rPr>
        <w:t xml:space="preserve">(respondents’) </w:t>
      </w:r>
      <w:r w:rsidR="00C15D0B" w:rsidRPr="00A65CB3">
        <w:rPr>
          <w:rFonts w:ascii="Arial" w:hAnsi="Arial" w:cs="Arial"/>
          <w:sz w:val="24"/>
          <w:szCs w:val="24"/>
          <w:lang w:val="en-US"/>
        </w:rPr>
        <w:t xml:space="preserve">conduct or for merely enforcing </w:t>
      </w:r>
      <w:r w:rsidR="008066EF" w:rsidRPr="00A65CB3">
        <w:rPr>
          <w:rFonts w:ascii="Arial" w:hAnsi="Arial" w:cs="Arial"/>
          <w:sz w:val="24"/>
          <w:szCs w:val="24"/>
          <w:lang w:val="en-US"/>
        </w:rPr>
        <w:t>one’s</w:t>
      </w:r>
      <w:r w:rsidR="00C15D0B" w:rsidRPr="00A65CB3">
        <w:rPr>
          <w:rFonts w:ascii="Arial" w:hAnsi="Arial" w:cs="Arial"/>
          <w:sz w:val="24"/>
          <w:szCs w:val="24"/>
          <w:lang w:val="en-US"/>
        </w:rPr>
        <w:t xml:space="preserve"> rights</w:t>
      </w:r>
      <w:r w:rsidR="00CE4293" w:rsidRPr="00A65CB3">
        <w:rPr>
          <w:rFonts w:ascii="Arial" w:hAnsi="Arial" w:cs="Arial"/>
          <w:sz w:val="24"/>
          <w:szCs w:val="24"/>
          <w:lang w:val="en-US"/>
        </w:rPr>
        <w:t xml:space="preserve">. </w:t>
      </w:r>
      <w:r w:rsidR="00FC75D1" w:rsidRPr="00A65CB3">
        <w:rPr>
          <w:rFonts w:ascii="Arial" w:hAnsi="Arial" w:cs="Arial"/>
          <w:sz w:val="24"/>
          <w:szCs w:val="24"/>
          <w:lang w:val="en-US"/>
        </w:rPr>
        <w:t xml:space="preserve">Therefore, </w:t>
      </w:r>
      <w:r w:rsidR="00FC75D1" w:rsidRPr="00A65CB3">
        <w:rPr>
          <w:rFonts w:ascii="Arial" w:hAnsi="Arial" w:cs="Arial"/>
          <w:i/>
          <w:iCs/>
          <w:sz w:val="24"/>
          <w:szCs w:val="24"/>
          <w:lang w:val="en-US"/>
        </w:rPr>
        <w:t>Ubuntu</w:t>
      </w:r>
      <w:r w:rsidR="00FC75D1" w:rsidRPr="00A65CB3">
        <w:rPr>
          <w:rFonts w:ascii="Arial" w:hAnsi="Arial" w:cs="Arial"/>
          <w:sz w:val="24"/>
          <w:szCs w:val="24"/>
          <w:lang w:val="en-US"/>
        </w:rPr>
        <w:t xml:space="preserve"> is also an instrument to address </w:t>
      </w:r>
      <w:r w:rsidR="005801E2" w:rsidRPr="00A65CB3">
        <w:rPr>
          <w:rFonts w:ascii="Arial" w:hAnsi="Arial" w:cs="Arial"/>
          <w:sz w:val="24"/>
          <w:szCs w:val="24"/>
          <w:lang w:val="en-US"/>
        </w:rPr>
        <w:t>and redress the wrongs in order to protect the vulnerable</w:t>
      </w:r>
      <w:r w:rsidR="00FC75D1" w:rsidRPr="00A65CB3">
        <w:rPr>
          <w:rFonts w:ascii="Arial" w:hAnsi="Arial" w:cs="Arial"/>
          <w:sz w:val="24"/>
          <w:szCs w:val="24"/>
          <w:lang w:val="en-US"/>
        </w:rPr>
        <w:t xml:space="preserve">. Consequently, </w:t>
      </w:r>
      <w:r w:rsidR="00FC75D1" w:rsidRPr="00A65CB3">
        <w:rPr>
          <w:rFonts w:ascii="Arial" w:hAnsi="Arial" w:cs="Arial"/>
          <w:i/>
          <w:iCs/>
          <w:sz w:val="24"/>
          <w:szCs w:val="24"/>
          <w:lang w:val="en-US"/>
        </w:rPr>
        <w:t>Ubuntu</w:t>
      </w:r>
      <w:r w:rsidR="00FC75D1" w:rsidRPr="00A65CB3">
        <w:rPr>
          <w:rFonts w:ascii="Arial" w:hAnsi="Arial" w:cs="Arial"/>
          <w:sz w:val="24"/>
          <w:szCs w:val="24"/>
          <w:lang w:val="en-US"/>
        </w:rPr>
        <w:t xml:space="preserve"> fits snugly in the issues of costs as well. </w:t>
      </w:r>
      <w:r w:rsidR="00FC75D1" w:rsidRPr="00A65CB3">
        <w:rPr>
          <w:rFonts w:ascii="Arial" w:hAnsi="Arial" w:cs="Arial"/>
          <w:i/>
          <w:iCs/>
          <w:sz w:val="24"/>
          <w:szCs w:val="24"/>
          <w:lang w:val="en-US"/>
        </w:rPr>
        <w:t>Ubuntu</w:t>
      </w:r>
      <w:r w:rsidR="00FC75D1" w:rsidRPr="00A65CB3">
        <w:rPr>
          <w:rFonts w:ascii="Arial" w:hAnsi="Arial" w:cs="Arial"/>
          <w:sz w:val="24"/>
          <w:szCs w:val="24"/>
          <w:lang w:val="en-US"/>
        </w:rPr>
        <w:t xml:space="preserve"> is not a feeble philosophy, it is firm albeit empathetic. </w:t>
      </w:r>
      <w:r w:rsidR="00A609BA" w:rsidRPr="00A65CB3">
        <w:rPr>
          <w:rFonts w:ascii="Arial" w:hAnsi="Arial" w:cs="Arial"/>
          <w:sz w:val="24"/>
          <w:szCs w:val="24"/>
          <w:lang w:val="en-US"/>
        </w:rPr>
        <w:t>In exercising my judicial discretion on costs,</w:t>
      </w:r>
      <w:r w:rsidR="00FC75D1" w:rsidRPr="00A65CB3">
        <w:rPr>
          <w:rFonts w:ascii="Arial" w:hAnsi="Arial" w:cs="Arial"/>
          <w:sz w:val="24"/>
          <w:szCs w:val="24"/>
          <w:lang w:val="en-US"/>
        </w:rPr>
        <w:t xml:space="preserve"> l </w:t>
      </w:r>
      <w:r w:rsidR="00A609BA" w:rsidRPr="00A65CB3">
        <w:rPr>
          <w:rFonts w:ascii="Arial" w:hAnsi="Arial" w:cs="Arial"/>
          <w:sz w:val="24"/>
          <w:szCs w:val="24"/>
          <w:lang w:val="en-US"/>
        </w:rPr>
        <w:t xml:space="preserve">view the facts through the prism of </w:t>
      </w:r>
      <w:r w:rsidR="00FC75D1" w:rsidRPr="00A65CB3">
        <w:rPr>
          <w:rFonts w:ascii="Arial" w:hAnsi="Arial" w:cs="Arial"/>
          <w:i/>
          <w:iCs/>
          <w:sz w:val="24"/>
          <w:szCs w:val="24"/>
          <w:lang w:val="en-US"/>
        </w:rPr>
        <w:t>U</w:t>
      </w:r>
      <w:r w:rsidR="00A609BA" w:rsidRPr="00A65CB3">
        <w:rPr>
          <w:rFonts w:ascii="Arial" w:hAnsi="Arial" w:cs="Arial"/>
          <w:i/>
          <w:iCs/>
          <w:sz w:val="24"/>
          <w:szCs w:val="24"/>
          <w:lang w:val="en-US"/>
        </w:rPr>
        <w:t>buntu</w:t>
      </w:r>
      <w:r w:rsidR="00A609BA" w:rsidRPr="00A65CB3">
        <w:rPr>
          <w:rFonts w:ascii="Arial" w:hAnsi="Arial" w:cs="Arial"/>
          <w:sz w:val="24"/>
          <w:szCs w:val="24"/>
          <w:lang w:val="en-US"/>
        </w:rPr>
        <w:t xml:space="preserve">, especially the </w:t>
      </w:r>
      <w:r w:rsidR="00A609BA" w:rsidRPr="00A65CB3">
        <w:rPr>
          <w:rFonts w:ascii="Arial" w:hAnsi="Arial" w:cs="Arial"/>
          <w:i/>
          <w:iCs/>
          <w:sz w:val="24"/>
          <w:szCs w:val="24"/>
          <w:lang w:val="en-US"/>
        </w:rPr>
        <w:t>umuntu</w:t>
      </w:r>
      <w:r w:rsidR="006E40B8" w:rsidRPr="00A65CB3">
        <w:rPr>
          <w:rFonts w:ascii="Arial" w:hAnsi="Arial" w:cs="Arial"/>
          <w:i/>
          <w:iCs/>
          <w:sz w:val="24"/>
          <w:szCs w:val="24"/>
          <w:lang w:val="en-US"/>
        </w:rPr>
        <w:t xml:space="preserve"> ngumuntu ngabantu</w:t>
      </w:r>
      <w:r w:rsidR="00A609BA" w:rsidRPr="00A65CB3">
        <w:rPr>
          <w:rFonts w:ascii="Arial" w:hAnsi="Arial" w:cs="Arial"/>
          <w:sz w:val="24"/>
          <w:szCs w:val="24"/>
          <w:lang w:val="en-US"/>
        </w:rPr>
        <w:t xml:space="preserve"> value. I </w:t>
      </w:r>
      <w:r w:rsidR="008F1E6A" w:rsidRPr="00A65CB3">
        <w:rPr>
          <w:rFonts w:ascii="Arial" w:hAnsi="Arial" w:cs="Arial"/>
          <w:sz w:val="24"/>
          <w:szCs w:val="24"/>
          <w:lang w:val="en-US"/>
        </w:rPr>
        <w:t>conclude</w:t>
      </w:r>
      <w:r w:rsidR="00A609BA" w:rsidRPr="00A65CB3">
        <w:rPr>
          <w:rFonts w:ascii="Arial" w:hAnsi="Arial" w:cs="Arial"/>
          <w:sz w:val="24"/>
          <w:szCs w:val="24"/>
          <w:lang w:val="en-US"/>
        </w:rPr>
        <w:t xml:space="preserve"> that the applicants are entitled to the cost of this action. </w:t>
      </w:r>
    </w:p>
    <w:p w14:paraId="059FFE3B" w14:textId="77777777" w:rsidR="00E24AAD" w:rsidRDefault="00E24AAD" w:rsidP="00E24AAD">
      <w:pPr>
        <w:pStyle w:val="ListParagraph"/>
        <w:spacing w:after="0" w:line="360" w:lineRule="auto"/>
        <w:ind w:left="0"/>
        <w:jc w:val="both"/>
        <w:rPr>
          <w:rFonts w:ascii="Arial" w:hAnsi="Arial" w:cs="Arial"/>
          <w:sz w:val="24"/>
          <w:szCs w:val="24"/>
          <w:lang w:val="en-US"/>
        </w:rPr>
      </w:pPr>
    </w:p>
    <w:p w14:paraId="3274CBDB" w14:textId="2BB225C5" w:rsidR="00E24AAD" w:rsidRDefault="00E24AAD" w:rsidP="00E24AAD">
      <w:pPr>
        <w:pStyle w:val="ListParagraph"/>
        <w:spacing w:after="0" w:line="360" w:lineRule="auto"/>
        <w:ind w:left="0"/>
        <w:jc w:val="both"/>
        <w:rPr>
          <w:rFonts w:ascii="Arial" w:hAnsi="Arial" w:cs="Arial"/>
          <w:i/>
          <w:iCs/>
          <w:sz w:val="24"/>
          <w:szCs w:val="24"/>
          <w:lang w:val="en-US"/>
        </w:rPr>
      </w:pPr>
      <w:r w:rsidRPr="00E24AAD">
        <w:rPr>
          <w:rFonts w:ascii="Arial" w:hAnsi="Arial" w:cs="Arial"/>
          <w:i/>
          <w:iCs/>
          <w:sz w:val="24"/>
          <w:szCs w:val="24"/>
          <w:lang w:val="en-US"/>
        </w:rPr>
        <w:t>Order</w:t>
      </w:r>
    </w:p>
    <w:p w14:paraId="30D10E37" w14:textId="4F7770B7" w:rsidR="00E24AAD" w:rsidRDefault="00E24AAD" w:rsidP="00E24AAD">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In the result, l make the following order:</w:t>
      </w:r>
    </w:p>
    <w:p w14:paraId="7AC7FDA5" w14:textId="77777777" w:rsidR="00A4425C" w:rsidRDefault="00A4425C" w:rsidP="00E24AAD">
      <w:pPr>
        <w:pStyle w:val="ListParagraph"/>
        <w:spacing w:after="0" w:line="360" w:lineRule="auto"/>
        <w:ind w:left="0"/>
        <w:jc w:val="both"/>
        <w:rPr>
          <w:rFonts w:ascii="Arial" w:hAnsi="Arial" w:cs="Arial"/>
          <w:sz w:val="24"/>
          <w:szCs w:val="24"/>
          <w:lang w:val="en-US"/>
        </w:rPr>
      </w:pPr>
    </w:p>
    <w:p w14:paraId="5ED8B5E3" w14:textId="6C537806" w:rsidR="00A4425C" w:rsidRPr="00A65CB3" w:rsidRDefault="00A65CB3" w:rsidP="00A65CB3">
      <w:pPr>
        <w:spacing w:after="0" w:line="360" w:lineRule="auto"/>
        <w:ind w:left="1356"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A4425C" w:rsidRPr="00A65CB3">
        <w:rPr>
          <w:rFonts w:ascii="Arial" w:hAnsi="Arial" w:cs="Arial"/>
          <w:sz w:val="24"/>
          <w:szCs w:val="24"/>
          <w:lang w:val="en-US"/>
        </w:rPr>
        <w:t>The respondents’ application is dismissed</w:t>
      </w:r>
    </w:p>
    <w:p w14:paraId="0701F2C4" w14:textId="05FD41C9" w:rsidR="00E24AAD" w:rsidRPr="00A65CB3" w:rsidRDefault="00A65CB3" w:rsidP="00A65CB3">
      <w:pPr>
        <w:spacing w:after="0" w:line="360" w:lineRule="auto"/>
        <w:ind w:left="1356"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257DD0" w:rsidRPr="00A65CB3">
        <w:rPr>
          <w:rFonts w:ascii="Arial" w:hAnsi="Arial" w:cs="Arial"/>
          <w:sz w:val="24"/>
          <w:szCs w:val="24"/>
          <w:lang w:val="en-US"/>
        </w:rPr>
        <w:t>The final findings issued against the first, second and third applicants on 9 June 2021 are hereby reviewed and set aside.</w:t>
      </w:r>
    </w:p>
    <w:p w14:paraId="6B9E8F4A" w14:textId="29000212" w:rsidR="00257DD0" w:rsidRPr="00A65CB3" w:rsidRDefault="00A65CB3" w:rsidP="00A65CB3">
      <w:pPr>
        <w:spacing w:after="0" w:line="360" w:lineRule="auto"/>
        <w:ind w:left="1356"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257DD0" w:rsidRPr="00A65CB3">
        <w:rPr>
          <w:rFonts w:ascii="Arial" w:hAnsi="Arial" w:cs="Arial"/>
          <w:sz w:val="24"/>
          <w:szCs w:val="24"/>
          <w:lang w:val="en-US"/>
        </w:rPr>
        <w:t>The first respondent is ordered to pay the costs of this application.</w:t>
      </w:r>
    </w:p>
    <w:p w14:paraId="7BE7FC3A" w14:textId="77777777" w:rsidR="00867E67" w:rsidRDefault="00867E67" w:rsidP="00867E67">
      <w:pPr>
        <w:pStyle w:val="ListParagraph"/>
        <w:spacing w:after="0" w:line="360" w:lineRule="auto"/>
        <w:ind w:left="1356"/>
        <w:jc w:val="both"/>
        <w:rPr>
          <w:rFonts w:ascii="Arial" w:hAnsi="Arial" w:cs="Arial"/>
          <w:sz w:val="24"/>
          <w:szCs w:val="24"/>
          <w:lang w:val="en-US"/>
        </w:rPr>
      </w:pPr>
    </w:p>
    <w:p w14:paraId="3A9DCD21" w14:textId="77777777" w:rsidR="00867E67" w:rsidRDefault="00867E67" w:rsidP="00867E67">
      <w:pPr>
        <w:pStyle w:val="ListParagraph"/>
        <w:spacing w:after="0" w:line="360" w:lineRule="auto"/>
        <w:ind w:left="1356"/>
        <w:jc w:val="both"/>
        <w:rPr>
          <w:rFonts w:ascii="Arial" w:hAnsi="Arial" w:cs="Arial"/>
          <w:sz w:val="24"/>
          <w:szCs w:val="24"/>
          <w:lang w:val="en-US"/>
        </w:rPr>
      </w:pPr>
    </w:p>
    <w:p w14:paraId="453EE9A6" w14:textId="77777777" w:rsidR="003D0DDF" w:rsidRDefault="003D0DDF" w:rsidP="00257DD0">
      <w:pPr>
        <w:spacing w:after="0" w:line="360" w:lineRule="auto"/>
        <w:jc w:val="both"/>
        <w:rPr>
          <w:rFonts w:ascii="Arial" w:hAnsi="Arial" w:cs="Arial"/>
          <w:sz w:val="24"/>
          <w:szCs w:val="24"/>
          <w:lang w:val="en-US"/>
        </w:rPr>
      </w:pPr>
    </w:p>
    <w:p w14:paraId="67FE3513" w14:textId="77777777" w:rsidR="00D13888" w:rsidRDefault="003D0DDF" w:rsidP="00257DD0">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7D0A6C5D" w14:textId="77777777" w:rsidR="00CC1C33"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lastRenderedPageBreak/>
        <w:t xml:space="preserve">                                                                                                   ——————————</w:t>
      </w:r>
    </w:p>
    <w:p w14:paraId="13EC3009" w14:textId="77777777" w:rsidR="00CC1C33" w:rsidRDefault="00CC1C33" w:rsidP="00CC1C33">
      <w:pPr>
        <w:spacing w:after="0" w:line="360" w:lineRule="auto"/>
        <w:jc w:val="both"/>
        <w:rPr>
          <w:rFonts w:ascii="Arial" w:hAnsi="Arial" w:cs="Arial"/>
          <w:b/>
          <w:bCs/>
          <w:sz w:val="24"/>
          <w:szCs w:val="24"/>
          <w:lang w:val="en-US"/>
        </w:rPr>
      </w:pPr>
      <w:r>
        <w:rPr>
          <w:rFonts w:ascii="Arial" w:hAnsi="Arial" w:cs="Arial"/>
          <w:sz w:val="24"/>
          <w:szCs w:val="24"/>
          <w:lang w:val="en-US"/>
        </w:rPr>
        <w:t xml:space="preserve">                                                                                                     </w:t>
      </w:r>
      <w:r w:rsidRPr="003D0DDF">
        <w:rPr>
          <w:rFonts w:ascii="Arial" w:hAnsi="Arial" w:cs="Arial"/>
          <w:b/>
          <w:bCs/>
          <w:sz w:val="24"/>
          <w:szCs w:val="24"/>
          <w:lang w:val="en-US"/>
        </w:rPr>
        <w:t>M.P</w:t>
      </w:r>
      <w:r>
        <w:rPr>
          <w:rFonts w:ascii="Arial" w:hAnsi="Arial" w:cs="Arial"/>
          <w:b/>
          <w:bCs/>
          <w:sz w:val="24"/>
          <w:szCs w:val="24"/>
          <w:lang w:val="en-US"/>
        </w:rPr>
        <w:t>.</w:t>
      </w:r>
      <w:r w:rsidRPr="003D0DDF">
        <w:rPr>
          <w:rFonts w:ascii="Arial" w:hAnsi="Arial" w:cs="Arial"/>
          <w:b/>
          <w:bCs/>
          <w:sz w:val="24"/>
          <w:szCs w:val="24"/>
          <w:lang w:val="en-US"/>
        </w:rPr>
        <w:t xml:space="preserve"> </w:t>
      </w:r>
      <w:r>
        <w:rPr>
          <w:rFonts w:ascii="Arial" w:hAnsi="Arial" w:cs="Arial"/>
          <w:b/>
          <w:bCs/>
          <w:sz w:val="24"/>
          <w:szCs w:val="24"/>
          <w:lang w:val="en-US"/>
        </w:rPr>
        <w:t>JUDGE MOTHA</w:t>
      </w:r>
    </w:p>
    <w:p w14:paraId="66FB93AC" w14:textId="77777777" w:rsidR="00CC1C33" w:rsidRDefault="00CC1C33" w:rsidP="00CC1C33">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JUDGE OF THE HIGH COURT, PRETORIA</w:t>
      </w:r>
      <w:r w:rsidRPr="003D0DDF">
        <w:rPr>
          <w:rFonts w:ascii="Arial" w:hAnsi="Arial" w:cs="Arial"/>
          <w:b/>
          <w:bCs/>
          <w:sz w:val="24"/>
          <w:szCs w:val="24"/>
          <w:lang w:val="en-US"/>
        </w:rPr>
        <w:t xml:space="preserve"> </w:t>
      </w:r>
    </w:p>
    <w:p w14:paraId="5C5D157C" w14:textId="77777777" w:rsidR="00CC1C33" w:rsidRDefault="00CC1C33" w:rsidP="00CC1C33">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w:t>
      </w:r>
      <w:r>
        <w:rPr>
          <w:rFonts w:ascii="Arial" w:hAnsi="Arial" w:cs="Arial"/>
          <w:b/>
          <w:bCs/>
          <w:sz w:val="24"/>
          <w:szCs w:val="24"/>
          <w:lang w:val="en-US"/>
        </w:rPr>
        <w:tab/>
      </w:r>
      <w:r>
        <w:rPr>
          <w:rFonts w:ascii="Arial" w:hAnsi="Arial" w:cs="Arial"/>
          <w:b/>
          <w:bCs/>
          <w:sz w:val="24"/>
          <w:szCs w:val="24"/>
          <w:lang w:val="en-US"/>
        </w:rPr>
        <w:tab/>
      </w:r>
    </w:p>
    <w:p w14:paraId="7A0E1461" w14:textId="77777777" w:rsidR="00CC1C33"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t>Date of hearing: 27 July 2023</w:t>
      </w:r>
    </w:p>
    <w:p w14:paraId="0930C161" w14:textId="77777777" w:rsidR="00CC1C33"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2E776EB2" w14:textId="77777777" w:rsidR="00CC1C33" w:rsidRPr="003D0DDF"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t>Date of judgement: 24 October 2023</w:t>
      </w:r>
    </w:p>
    <w:p w14:paraId="36DE6EF1" w14:textId="77777777" w:rsidR="00CC1C33"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0E52E9F2" w14:textId="77777777" w:rsidR="00CC1C33" w:rsidRPr="003D0DDF" w:rsidRDefault="00CC1C33" w:rsidP="00CC1C33">
      <w:pPr>
        <w:spacing w:after="0" w:line="360" w:lineRule="auto"/>
        <w:jc w:val="both"/>
        <w:rPr>
          <w:rFonts w:ascii="Arial" w:hAnsi="Arial" w:cs="Arial"/>
          <w:b/>
          <w:bCs/>
          <w:sz w:val="24"/>
          <w:szCs w:val="24"/>
          <w:lang w:val="en-US"/>
        </w:rPr>
      </w:pPr>
      <w:r w:rsidRPr="003D0DDF">
        <w:rPr>
          <w:rFonts w:ascii="Arial" w:hAnsi="Arial" w:cs="Arial"/>
          <w:b/>
          <w:bCs/>
          <w:sz w:val="24"/>
          <w:szCs w:val="24"/>
          <w:lang w:val="en-US"/>
        </w:rPr>
        <w:t>APPEAR</w:t>
      </w:r>
      <w:r>
        <w:rPr>
          <w:rFonts w:ascii="Arial" w:hAnsi="Arial" w:cs="Arial"/>
          <w:b/>
          <w:bCs/>
          <w:sz w:val="24"/>
          <w:szCs w:val="24"/>
          <w:lang w:val="en-US"/>
        </w:rPr>
        <w:t>A</w:t>
      </w:r>
      <w:r w:rsidRPr="003D0DDF">
        <w:rPr>
          <w:rFonts w:ascii="Arial" w:hAnsi="Arial" w:cs="Arial"/>
          <w:b/>
          <w:bCs/>
          <w:sz w:val="24"/>
          <w:szCs w:val="24"/>
          <w:lang w:val="en-US"/>
        </w:rPr>
        <w:t xml:space="preserve">NCES </w:t>
      </w:r>
    </w:p>
    <w:p w14:paraId="1DE5ACF4" w14:textId="77777777" w:rsidR="00CC1C33"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t>Counsel for the Applicants:</w:t>
      </w:r>
      <w:r>
        <w:rPr>
          <w:rFonts w:ascii="Arial" w:hAnsi="Arial" w:cs="Arial"/>
          <w:sz w:val="24"/>
          <w:szCs w:val="24"/>
          <w:lang w:val="en-US"/>
        </w:rPr>
        <w:tab/>
      </w:r>
      <w:r>
        <w:rPr>
          <w:rFonts w:ascii="Arial" w:hAnsi="Arial" w:cs="Arial"/>
          <w:sz w:val="24"/>
          <w:szCs w:val="24"/>
          <w:lang w:val="en-US"/>
        </w:rPr>
        <w:tab/>
        <w:t xml:space="preserve">Adv D Van Zyl: </w:t>
      </w:r>
    </w:p>
    <w:p w14:paraId="0F28BD6C" w14:textId="77777777" w:rsidR="00CC1C33" w:rsidRDefault="00CC1C33" w:rsidP="00CC1C33">
      <w:pPr>
        <w:spacing w:after="0" w:line="360" w:lineRule="auto"/>
        <w:ind w:left="2880" w:firstLine="720"/>
        <w:jc w:val="both"/>
        <w:rPr>
          <w:rFonts w:ascii="Arial" w:hAnsi="Arial" w:cs="Arial"/>
          <w:sz w:val="24"/>
          <w:szCs w:val="24"/>
          <w:lang w:val="en-US"/>
        </w:rPr>
      </w:pPr>
      <w:r>
        <w:rPr>
          <w:rFonts w:ascii="Arial" w:hAnsi="Arial" w:cs="Arial"/>
          <w:sz w:val="24"/>
          <w:szCs w:val="24"/>
          <w:lang w:val="en-US"/>
        </w:rPr>
        <w:t xml:space="preserve">Adv A Ngidi: </w:t>
      </w:r>
    </w:p>
    <w:p w14:paraId="28F7953A" w14:textId="77777777" w:rsidR="00CC1C33"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t xml:space="preserve">Instructed by: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Moeti Kanyane Attorneys, Pretoria</w:t>
      </w:r>
    </w:p>
    <w:p w14:paraId="3D24A65D" w14:textId="77777777" w:rsidR="00CC1C33" w:rsidRDefault="00CC1C33" w:rsidP="00CC1C33">
      <w:pPr>
        <w:spacing w:after="0" w:line="360" w:lineRule="auto"/>
        <w:jc w:val="both"/>
        <w:rPr>
          <w:rFonts w:ascii="Arial" w:hAnsi="Arial" w:cs="Arial"/>
          <w:sz w:val="24"/>
          <w:szCs w:val="24"/>
          <w:lang w:val="en-US"/>
        </w:rPr>
      </w:pPr>
    </w:p>
    <w:p w14:paraId="420F24E3" w14:textId="77777777" w:rsidR="00CC1C33" w:rsidRDefault="00CC1C33" w:rsidP="00CC1C33">
      <w:pPr>
        <w:spacing w:after="0" w:line="360" w:lineRule="auto"/>
        <w:jc w:val="both"/>
        <w:rPr>
          <w:rFonts w:ascii="Arial" w:hAnsi="Arial" w:cs="Arial"/>
          <w:sz w:val="24"/>
          <w:szCs w:val="24"/>
          <w:lang w:val="en-US"/>
        </w:rPr>
      </w:pPr>
      <w:r>
        <w:rPr>
          <w:rFonts w:ascii="Arial" w:hAnsi="Arial" w:cs="Arial"/>
          <w:sz w:val="24"/>
          <w:szCs w:val="24"/>
          <w:lang w:val="en-US"/>
        </w:rPr>
        <w:t xml:space="preserve">Counsel for the Respondents: </w:t>
      </w:r>
      <w:r>
        <w:rPr>
          <w:rFonts w:ascii="Arial" w:hAnsi="Arial" w:cs="Arial"/>
          <w:sz w:val="24"/>
          <w:szCs w:val="24"/>
          <w:lang w:val="en-US"/>
        </w:rPr>
        <w:tab/>
        <w:t>Adv H. A Mpshe</w:t>
      </w:r>
    </w:p>
    <w:p w14:paraId="1544FD16" w14:textId="5A06EFE8" w:rsidR="00E24AAD" w:rsidRPr="00E24AAD" w:rsidRDefault="00CC1C33" w:rsidP="00CC1C33">
      <w:pPr>
        <w:spacing w:after="0" w:line="360" w:lineRule="auto"/>
        <w:jc w:val="both"/>
        <w:rPr>
          <w:rFonts w:ascii="Arial" w:hAnsi="Arial" w:cs="Arial"/>
          <w:sz w:val="28"/>
          <w:szCs w:val="28"/>
          <w:lang w:val="en-US"/>
        </w:rPr>
      </w:pPr>
      <w:r>
        <w:rPr>
          <w:rFonts w:ascii="Arial" w:hAnsi="Arial" w:cs="Arial"/>
          <w:sz w:val="24"/>
          <w:szCs w:val="24"/>
          <w:lang w:val="en-US"/>
        </w:rPr>
        <w:t xml:space="preserve">Instructed by: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The Office of the State Attorney, Pretoria</w:t>
      </w:r>
    </w:p>
    <w:sectPr w:rsidR="00E24AAD" w:rsidRPr="00E24AA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2DF7" w14:textId="77777777" w:rsidR="00693E59" w:rsidRDefault="00693E59" w:rsidP="004D4439">
      <w:pPr>
        <w:spacing w:after="0" w:line="240" w:lineRule="auto"/>
      </w:pPr>
      <w:r>
        <w:separator/>
      </w:r>
    </w:p>
  </w:endnote>
  <w:endnote w:type="continuationSeparator" w:id="0">
    <w:p w14:paraId="59ABF899" w14:textId="77777777" w:rsidR="00693E59" w:rsidRDefault="00693E59" w:rsidP="004D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650260"/>
      <w:docPartObj>
        <w:docPartGallery w:val="Page Numbers (Bottom of Page)"/>
        <w:docPartUnique/>
      </w:docPartObj>
    </w:sdtPr>
    <w:sdtEndPr>
      <w:rPr>
        <w:noProof/>
      </w:rPr>
    </w:sdtEndPr>
    <w:sdtContent>
      <w:p w14:paraId="76E040C9" w14:textId="1661E5D4" w:rsidR="00C14CB6" w:rsidRDefault="00C14CB6">
        <w:pPr>
          <w:pStyle w:val="Footer"/>
          <w:jc w:val="center"/>
        </w:pPr>
        <w:r>
          <w:fldChar w:fldCharType="begin"/>
        </w:r>
        <w:r>
          <w:instrText xml:space="preserve"> PAGE   \* MERGEFORMAT </w:instrText>
        </w:r>
        <w:r>
          <w:fldChar w:fldCharType="separate"/>
        </w:r>
        <w:r w:rsidR="00A65CB3">
          <w:rPr>
            <w:noProof/>
          </w:rPr>
          <w:t>2</w:t>
        </w:r>
        <w:r>
          <w:rPr>
            <w:noProof/>
          </w:rPr>
          <w:fldChar w:fldCharType="end"/>
        </w:r>
      </w:p>
    </w:sdtContent>
  </w:sdt>
  <w:p w14:paraId="4CF471D7" w14:textId="77777777" w:rsidR="00C14CB6" w:rsidRDefault="00C14C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0DAE" w14:textId="77777777" w:rsidR="00693E59" w:rsidRDefault="00693E59" w:rsidP="004D4439">
      <w:pPr>
        <w:spacing w:after="0" w:line="240" w:lineRule="auto"/>
      </w:pPr>
      <w:r>
        <w:separator/>
      </w:r>
    </w:p>
  </w:footnote>
  <w:footnote w:type="continuationSeparator" w:id="0">
    <w:p w14:paraId="6A254948" w14:textId="77777777" w:rsidR="00693E59" w:rsidRDefault="00693E59" w:rsidP="004D4439">
      <w:pPr>
        <w:spacing w:after="0" w:line="240" w:lineRule="auto"/>
      </w:pPr>
      <w:r>
        <w:continuationSeparator/>
      </w:r>
    </w:p>
  </w:footnote>
  <w:footnote w:id="1">
    <w:p w14:paraId="59AEC8E9" w14:textId="5EF19DDB" w:rsidR="005E4049" w:rsidRPr="00D13888" w:rsidRDefault="005E4049">
      <w:pPr>
        <w:pStyle w:val="FootnoteText"/>
        <w:rPr>
          <w:rFonts w:ascii="Arial" w:hAnsi="Arial" w:cs="Arial"/>
          <w:sz w:val="18"/>
          <w:szCs w:val="18"/>
          <w:lang w:val="en-GB"/>
        </w:rPr>
      </w:pPr>
      <w:r w:rsidRPr="00BC57FD">
        <w:rPr>
          <w:rStyle w:val="FootnoteReference"/>
          <w:rFonts w:ascii="Arial" w:hAnsi="Arial" w:cs="Arial"/>
          <w:sz w:val="18"/>
          <w:szCs w:val="18"/>
        </w:rPr>
        <w:footnoteRef/>
      </w:r>
      <w:r w:rsidRPr="00BC57FD">
        <w:rPr>
          <w:rFonts w:ascii="Arial" w:hAnsi="Arial" w:cs="Arial"/>
          <w:sz w:val="18"/>
          <w:szCs w:val="18"/>
        </w:rPr>
        <w:t xml:space="preserve"> </w:t>
      </w:r>
      <w:r w:rsidR="00100E0D" w:rsidRPr="00D13888">
        <w:rPr>
          <w:rFonts w:ascii="Arial" w:hAnsi="Arial" w:cs="Arial"/>
          <w:sz w:val="18"/>
          <w:szCs w:val="18"/>
          <w:lang w:val="en-US"/>
        </w:rPr>
        <w:t>O</w:t>
      </w:r>
      <w:r w:rsidRPr="00D13888">
        <w:rPr>
          <w:rFonts w:ascii="Arial" w:hAnsi="Arial" w:cs="Arial"/>
          <w:sz w:val="18"/>
          <w:szCs w:val="18"/>
          <w:lang w:val="en-US"/>
        </w:rPr>
        <w:t>rder dated 27/07/2023</w:t>
      </w:r>
      <w:r w:rsidR="002C29FE" w:rsidRPr="00D13888">
        <w:rPr>
          <w:rFonts w:ascii="Arial" w:hAnsi="Arial" w:cs="Arial"/>
          <w:sz w:val="18"/>
          <w:szCs w:val="18"/>
          <w:lang w:val="en-US"/>
        </w:rPr>
        <w:t>.</w:t>
      </w:r>
    </w:p>
  </w:footnote>
  <w:footnote w:id="2">
    <w:p w14:paraId="26FEDB17" w14:textId="34D78D4A" w:rsidR="005E4049" w:rsidRPr="00D13888" w:rsidRDefault="005E4049">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US"/>
        </w:rPr>
        <w:t xml:space="preserve">Answering affidavit at para 8 to </w:t>
      </w:r>
      <w:r w:rsidR="00C3027A" w:rsidRPr="00D13888">
        <w:rPr>
          <w:rFonts w:ascii="Arial" w:hAnsi="Arial" w:cs="Arial"/>
          <w:sz w:val="18"/>
          <w:szCs w:val="18"/>
          <w:lang w:val="en-US"/>
        </w:rPr>
        <w:t>9</w:t>
      </w:r>
      <w:r w:rsidR="00C72C3C" w:rsidRPr="00D13888">
        <w:rPr>
          <w:rFonts w:ascii="Arial" w:hAnsi="Arial" w:cs="Arial"/>
          <w:sz w:val="18"/>
          <w:szCs w:val="18"/>
          <w:lang w:val="en-US"/>
        </w:rPr>
        <w:t>.</w:t>
      </w:r>
    </w:p>
  </w:footnote>
  <w:footnote w:id="3">
    <w:p w14:paraId="06B90331" w14:textId="54F41939" w:rsidR="009D3100" w:rsidRPr="00D13888" w:rsidRDefault="009D3100">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002C29FE" w:rsidRPr="00D13888">
        <w:rPr>
          <w:rFonts w:ascii="Arial" w:hAnsi="Arial" w:cs="Arial"/>
          <w:sz w:val="18"/>
          <w:szCs w:val="18"/>
          <w:lang w:val="en-US"/>
        </w:rPr>
        <w:t>R</w:t>
      </w:r>
      <w:r w:rsidRPr="00D13888">
        <w:rPr>
          <w:rFonts w:ascii="Arial" w:hAnsi="Arial" w:cs="Arial"/>
          <w:sz w:val="18"/>
          <w:szCs w:val="18"/>
          <w:lang w:val="en-US"/>
        </w:rPr>
        <w:t>eplying affidavit paragraphs 27 to 28</w:t>
      </w:r>
      <w:r w:rsidR="00C01C90" w:rsidRPr="00D13888">
        <w:rPr>
          <w:rFonts w:ascii="Arial" w:hAnsi="Arial" w:cs="Arial"/>
          <w:sz w:val="18"/>
          <w:szCs w:val="18"/>
          <w:lang w:val="en-US"/>
        </w:rPr>
        <w:t>.</w:t>
      </w:r>
    </w:p>
  </w:footnote>
  <w:footnote w:id="4">
    <w:p w14:paraId="2631C883" w14:textId="7D777809" w:rsidR="0097795D" w:rsidRPr="00D13888" w:rsidRDefault="0097795D" w:rsidP="0097795D">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eastAsia="Times New Roman" w:hAnsi="Arial" w:cs="Arial"/>
          <w:color w:val="000000" w:themeColor="text1"/>
          <w:kern w:val="0"/>
          <w:sz w:val="18"/>
          <w:szCs w:val="18"/>
          <w:lang w:eastAsia="en-ZA"/>
          <w14:ligatures w14:val="none"/>
        </w:rPr>
        <w:t>[2023] ZASCA 112 (26 July 2023)</w:t>
      </w:r>
      <w:r w:rsidR="00CB1D00" w:rsidRPr="00D13888">
        <w:rPr>
          <w:rFonts w:ascii="Arial" w:eastAsia="Times New Roman" w:hAnsi="Arial" w:cs="Arial"/>
          <w:color w:val="000000" w:themeColor="text1"/>
          <w:kern w:val="0"/>
          <w:sz w:val="18"/>
          <w:szCs w:val="18"/>
          <w:lang w:eastAsia="en-ZA"/>
          <w14:ligatures w14:val="none"/>
        </w:rPr>
        <w:t>.</w:t>
      </w:r>
    </w:p>
  </w:footnote>
  <w:footnote w:id="5">
    <w:p w14:paraId="521C1FC6" w14:textId="7B2CB70D" w:rsidR="00CB1D00" w:rsidRPr="00D13888" w:rsidRDefault="00CB1D00">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Supra para 21.</w:t>
      </w:r>
    </w:p>
  </w:footnote>
  <w:footnote w:id="6">
    <w:p w14:paraId="5EE60C6D" w14:textId="1DAE28D0" w:rsidR="0097795D" w:rsidRPr="00D13888" w:rsidRDefault="0097795D" w:rsidP="0097795D">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US"/>
        </w:rPr>
        <w:t>Erasmus</w:t>
      </w:r>
      <w:r w:rsidR="00600FE1" w:rsidRPr="00D13888">
        <w:rPr>
          <w:rFonts w:ascii="Arial" w:hAnsi="Arial" w:cs="Arial"/>
          <w:sz w:val="18"/>
          <w:szCs w:val="18"/>
          <w:lang w:val="en-US"/>
        </w:rPr>
        <w:t xml:space="preserve"> volume </w:t>
      </w:r>
      <w:r w:rsidR="003C15A7" w:rsidRPr="00D13888">
        <w:rPr>
          <w:rFonts w:ascii="Arial" w:hAnsi="Arial" w:cs="Arial"/>
          <w:sz w:val="18"/>
          <w:szCs w:val="18"/>
          <w:lang w:val="en-US"/>
        </w:rPr>
        <w:t>2</w:t>
      </w:r>
      <w:r w:rsidR="00054361" w:rsidRPr="00D13888">
        <w:rPr>
          <w:rFonts w:ascii="Arial" w:hAnsi="Arial" w:cs="Arial"/>
          <w:sz w:val="18"/>
          <w:szCs w:val="18"/>
          <w:lang w:val="en-US"/>
        </w:rPr>
        <w:t xml:space="preserve"> at</w:t>
      </w:r>
      <w:r w:rsidRPr="00D13888">
        <w:rPr>
          <w:rFonts w:ascii="Arial" w:hAnsi="Arial" w:cs="Arial"/>
          <w:sz w:val="18"/>
          <w:szCs w:val="18"/>
          <w:lang w:val="en-US"/>
        </w:rPr>
        <w:t xml:space="preserve"> D1-96</w:t>
      </w:r>
      <w:r w:rsidR="00600FE1" w:rsidRPr="00D13888">
        <w:rPr>
          <w:rFonts w:ascii="Arial" w:hAnsi="Arial" w:cs="Arial"/>
          <w:sz w:val="18"/>
          <w:szCs w:val="18"/>
          <w:lang w:val="en-US"/>
        </w:rPr>
        <w:t>A.</w:t>
      </w:r>
    </w:p>
  </w:footnote>
  <w:footnote w:id="7">
    <w:p w14:paraId="61596734" w14:textId="277A7543" w:rsidR="00210FFE" w:rsidRPr="00D13888" w:rsidRDefault="00210FFE">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color w:val="000000" w:themeColor="text1"/>
          <w:sz w:val="18"/>
          <w:szCs w:val="18"/>
          <w:lang w:val="en-US"/>
        </w:rPr>
        <w:t>1992 (2) SA 703 (W)</w:t>
      </w:r>
      <w:r w:rsidR="00600FE1" w:rsidRPr="00D13888">
        <w:rPr>
          <w:rFonts w:ascii="Arial" w:hAnsi="Arial" w:cs="Arial"/>
          <w:color w:val="000000" w:themeColor="text1"/>
          <w:sz w:val="18"/>
          <w:szCs w:val="18"/>
          <w:lang w:val="en-US"/>
        </w:rPr>
        <w:t>.</w:t>
      </w:r>
    </w:p>
  </w:footnote>
  <w:footnote w:id="8">
    <w:p w14:paraId="4A019FE9" w14:textId="1C99BE81" w:rsidR="00210FFE" w:rsidRPr="00D13888" w:rsidRDefault="00210FFE">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GB"/>
        </w:rPr>
        <w:t xml:space="preserve">Supra </w:t>
      </w:r>
      <w:r w:rsidR="00054361" w:rsidRPr="00D13888">
        <w:rPr>
          <w:rFonts w:ascii="Arial" w:hAnsi="Arial" w:cs="Arial"/>
          <w:sz w:val="18"/>
          <w:szCs w:val="18"/>
          <w:lang w:val="en-GB"/>
        </w:rPr>
        <w:t>at</w:t>
      </w:r>
      <w:r w:rsidRPr="00D13888">
        <w:rPr>
          <w:rFonts w:ascii="Arial" w:hAnsi="Arial" w:cs="Arial"/>
          <w:sz w:val="18"/>
          <w:szCs w:val="18"/>
          <w:lang w:val="en-GB"/>
        </w:rPr>
        <w:t xml:space="preserve"> 706</w:t>
      </w:r>
      <w:r w:rsidR="00257DD0" w:rsidRPr="00D13888">
        <w:rPr>
          <w:rFonts w:ascii="Arial" w:hAnsi="Arial" w:cs="Arial"/>
          <w:sz w:val="18"/>
          <w:szCs w:val="18"/>
          <w:lang w:val="en-GB"/>
        </w:rPr>
        <w:t>.</w:t>
      </w:r>
    </w:p>
  </w:footnote>
  <w:footnote w:id="9">
    <w:p w14:paraId="13A274AF" w14:textId="62D3DB9B" w:rsidR="00BA37BB" w:rsidRPr="00D13888" w:rsidRDefault="00BA37BB">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GB"/>
        </w:rPr>
        <w:t>1957 (2) [C.P.D]</w:t>
      </w:r>
      <w:r w:rsidR="00257DD0" w:rsidRPr="00D13888">
        <w:rPr>
          <w:rFonts w:ascii="Arial" w:hAnsi="Arial" w:cs="Arial"/>
          <w:sz w:val="18"/>
          <w:szCs w:val="18"/>
          <w:lang w:val="en-GB"/>
        </w:rPr>
        <w:t>.</w:t>
      </w:r>
    </w:p>
  </w:footnote>
  <w:footnote w:id="10">
    <w:p w14:paraId="4E8EF052" w14:textId="4CA965FB" w:rsidR="00C17FAD" w:rsidRPr="00D13888" w:rsidRDefault="00C17FAD">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00990E3A" w:rsidRPr="00D13888">
        <w:rPr>
          <w:rFonts w:ascii="Arial" w:hAnsi="Arial" w:cs="Arial"/>
          <w:sz w:val="18"/>
          <w:szCs w:val="18"/>
          <w:lang w:val="en-GB"/>
        </w:rPr>
        <w:t xml:space="preserve">Supra </w:t>
      </w:r>
      <w:r w:rsidR="00054361" w:rsidRPr="00D13888">
        <w:rPr>
          <w:rFonts w:ascii="Arial" w:hAnsi="Arial" w:cs="Arial"/>
          <w:sz w:val="18"/>
          <w:szCs w:val="18"/>
          <w:lang w:val="en-GB"/>
        </w:rPr>
        <w:t>at</w:t>
      </w:r>
      <w:r w:rsidR="00990E3A" w:rsidRPr="00D13888">
        <w:rPr>
          <w:rFonts w:ascii="Arial" w:hAnsi="Arial" w:cs="Arial"/>
          <w:sz w:val="18"/>
          <w:szCs w:val="18"/>
          <w:lang w:val="en-GB"/>
        </w:rPr>
        <w:t xml:space="preserve"> 352 para H</w:t>
      </w:r>
      <w:r w:rsidR="00257DD0" w:rsidRPr="00D13888">
        <w:rPr>
          <w:rFonts w:ascii="Arial" w:hAnsi="Arial" w:cs="Arial"/>
          <w:sz w:val="18"/>
          <w:szCs w:val="18"/>
          <w:lang w:val="en-GB"/>
        </w:rPr>
        <w:t>.</w:t>
      </w:r>
    </w:p>
  </w:footnote>
  <w:footnote w:id="11">
    <w:p w14:paraId="7B88E0BF" w14:textId="52B05B57" w:rsidR="00A80388" w:rsidRPr="00D13888" w:rsidRDefault="00A80388">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US"/>
        </w:rPr>
        <w:t>2021 (3) SA (1) (CC</w:t>
      </w:r>
      <w:r w:rsidRPr="00D13888">
        <w:rPr>
          <w:rFonts w:ascii="Arial" w:hAnsi="Arial" w:cs="Arial"/>
          <w:i/>
          <w:iCs/>
          <w:sz w:val="18"/>
          <w:szCs w:val="18"/>
          <w:lang w:val="en-US"/>
        </w:rPr>
        <w:t>).</w:t>
      </w:r>
    </w:p>
  </w:footnote>
  <w:footnote w:id="12">
    <w:p w14:paraId="3E7D357A" w14:textId="5ADDAE14" w:rsidR="00A80388" w:rsidRPr="00D13888" w:rsidRDefault="00A80388">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Supra </w:t>
      </w:r>
      <w:r w:rsidR="00EB39B8" w:rsidRPr="00D13888">
        <w:rPr>
          <w:rFonts w:ascii="Arial" w:hAnsi="Arial" w:cs="Arial"/>
          <w:sz w:val="18"/>
          <w:szCs w:val="18"/>
        </w:rPr>
        <w:t xml:space="preserve">para </w:t>
      </w:r>
      <w:r w:rsidRPr="00D13888">
        <w:rPr>
          <w:rFonts w:ascii="Arial" w:hAnsi="Arial" w:cs="Arial"/>
          <w:sz w:val="18"/>
          <w:szCs w:val="18"/>
        </w:rPr>
        <w:t>32</w:t>
      </w:r>
      <w:r w:rsidR="00C72C3C" w:rsidRPr="00D13888">
        <w:rPr>
          <w:rFonts w:ascii="Arial" w:hAnsi="Arial" w:cs="Arial"/>
          <w:sz w:val="18"/>
          <w:szCs w:val="18"/>
        </w:rPr>
        <w:t>.</w:t>
      </w:r>
    </w:p>
  </w:footnote>
  <w:footnote w:id="13">
    <w:p w14:paraId="61E4D9BA" w14:textId="0EAA65B3" w:rsidR="001148A3" w:rsidRPr="00D13888" w:rsidRDefault="001148A3">
      <w:pPr>
        <w:pStyle w:val="FootnoteText"/>
        <w:rPr>
          <w:rFonts w:ascii="Arial" w:hAnsi="Arial" w:cs="Arial"/>
          <w:sz w:val="18"/>
          <w:szCs w:val="18"/>
          <w:highlight w:val="yellow"/>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00796A05" w:rsidRPr="00D13888">
        <w:rPr>
          <w:rFonts w:ascii="Arial" w:hAnsi="Arial" w:cs="Arial"/>
          <w:sz w:val="18"/>
          <w:szCs w:val="18"/>
        </w:rPr>
        <w:t>[2022] ZAGPPHC 431.</w:t>
      </w:r>
    </w:p>
  </w:footnote>
  <w:footnote w:id="14">
    <w:p w14:paraId="71653E89" w14:textId="45080D4B" w:rsidR="0003169C" w:rsidRPr="00D13888" w:rsidRDefault="0003169C">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Supra paras 60 and 61</w:t>
      </w:r>
      <w:r w:rsidR="00EB39B8" w:rsidRPr="00D13888">
        <w:rPr>
          <w:rFonts w:ascii="Arial" w:hAnsi="Arial" w:cs="Arial"/>
          <w:sz w:val="18"/>
          <w:szCs w:val="18"/>
        </w:rPr>
        <w:t xml:space="preserve">. </w:t>
      </w:r>
    </w:p>
  </w:footnote>
  <w:footnote w:id="15">
    <w:p w14:paraId="1421A1D4" w14:textId="3ED60FBE" w:rsidR="00380157" w:rsidRPr="00D13888" w:rsidRDefault="00380157">
      <w:pPr>
        <w:pStyle w:val="FootnoteText"/>
        <w:rPr>
          <w:rFonts w:ascii="Arial" w:hAnsi="Arial" w:cs="Arial"/>
          <w:sz w:val="18"/>
          <w:szCs w:val="18"/>
          <w:lang w:val="en-GB"/>
        </w:rPr>
      </w:pPr>
      <w:r w:rsidRPr="00D13888">
        <w:rPr>
          <w:rStyle w:val="FootnoteReference"/>
          <w:rFonts w:ascii="Arial" w:hAnsi="Arial" w:cs="Arial"/>
          <w:sz w:val="18"/>
          <w:szCs w:val="18"/>
        </w:rPr>
        <w:footnoteRef/>
      </w:r>
      <w:r w:rsidR="000B1645" w:rsidRPr="00D13888">
        <w:rPr>
          <w:rFonts w:ascii="Arial" w:hAnsi="Arial" w:cs="Arial"/>
          <w:color w:val="000000"/>
          <w:sz w:val="18"/>
          <w:szCs w:val="18"/>
        </w:rPr>
        <w:t xml:space="preserve"> </w:t>
      </w:r>
      <w:r w:rsidRPr="00D13888">
        <w:rPr>
          <w:rFonts w:ascii="Arial" w:hAnsi="Arial" w:cs="Arial"/>
          <w:color w:val="000000"/>
          <w:sz w:val="18"/>
          <w:szCs w:val="18"/>
        </w:rPr>
        <w:t>2012 (4) SA 593 (SCA)</w:t>
      </w:r>
      <w:r w:rsidR="00C72C3C" w:rsidRPr="00D13888">
        <w:rPr>
          <w:rFonts w:ascii="Arial" w:hAnsi="Arial" w:cs="Arial"/>
          <w:color w:val="000000"/>
          <w:sz w:val="18"/>
          <w:szCs w:val="18"/>
        </w:rPr>
        <w:t>.</w:t>
      </w:r>
      <w:r w:rsidRPr="00D13888">
        <w:rPr>
          <w:rFonts w:ascii="Arial" w:hAnsi="Arial" w:cs="Arial"/>
          <w:sz w:val="18"/>
          <w:szCs w:val="18"/>
        </w:rPr>
        <w:t xml:space="preserve"> </w:t>
      </w:r>
    </w:p>
  </w:footnote>
  <w:footnote w:id="16">
    <w:p w14:paraId="254074E9" w14:textId="3BCAC77A" w:rsidR="00380157" w:rsidRPr="00D13888" w:rsidRDefault="00380157">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GB"/>
        </w:rPr>
        <w:t>Supra para</w:t>
      </w:r>
      <w:r w:rsidR="00796A05" w:rsidRPr="00D13888">
        <w:rPr>
          <w:rFonts w:ascii="Arial" w:hAnsi="Arial" w:cs="Arial"/>
          <w:sz w:val="18"/>
          <w:szCs w:val="18"/>
          <w:lang w:val="en-GB"/>
        </w:rPr>
        <w:t xml:space="preserve"> </w:t>
      </w:r>
      <w:r w:rsidRPr="00D13888">
        <w:rPr>
          <w:rFonts w:ascii="Arial" w:hAnsi="Arial" w:cs="Arial"/>
          <w:sz w:val="18"/>
          <w:szCs w:val="18"/>
          <w:lang w:val="en-GB"/>
        </w:rPr>
        <w:t>18</w:t>
      </w:r>
      <w:r w:rsidR="00C72C3C" w:rsidRPr="00D13888">
        <w:rPr>
          <w:rFonts w:ascii="Arial" w:hAnsi="Arial" w:cs="Arial"/>
          <w:sz w:val="18"/>
          <w:szCs w:val="18"/>
          <w:lang w:val="en-GB"/>
        </w:rPr>
        <w:t>.</w:t>
      </w:r>
    </w:p>
  </w:footnote>
  <w:footnote w:id="17">
    <w:p w14:paraId="510FA7D0" w14:textId="7C80F530" w:rsidR="00380157" w:rsidRPr="00D13888" w:rsidRDefault="00380157">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color w:val="000000"/>
          <w:sz w:val="18"/>
          <w:szCs w:val="18"/>
        </w:rPr>
        <w:t>2014 (3) SA 56 (CC)</w:t>
      </w:r>
      <w:r w:rsidR="00C72C3C" w:rsidRPr="00D13888">
        <w:rPr>
          <w:rFonts w:ascii="Arial" w:hAnsi="Arial" w:cs="Arial"/>
          <w:color w:val="000000"/>
          <w:sz w:val="18"/>
          <w:szCs w:val="18"/>
        </w:rPr>
        <w:t>.</w:t>
      </w:r>
    </w:p>
  </w:footnote>
  <w:footnote w:id="18">
    <w:p w14:paraId="1FE5027B" w14:textId="7A4B3316" w:rsidR="00380157" w:rsidRPr="00D13888" w:rsidRDefault="00380157">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GB"/>
        </w:rPr>
        <w:t>Supra para 18</w:t>
      </w:r>
      <w:r w:rsidR="00C72C3C" w:rsidRPr="00D13888">
        <w:rPr>
          <w:rFonts w:ascii="Arial" w:hAnsi="Arial" w:cs="Arial"/>
          <w:sz w:val="18"/>
          <w:szCs w:val="18"/>
          <w:lang w:val="en-GB"/>
        </w:rPr>
        <w:t>.</w:t>
      </w:r>
    </w:p>
  </w:footnote>
  <w:footnote w:id="19">
    <w:p w14:paraId="0C5B7300" w14:textId="63CC0261" w:rsidR="0006551F" w:rsidRPr="00D13888" w:rsidRDefault="0006551F" w:rsidP="0006551F">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2010 (1) SA 537 (GSJ).</w:t>
      </w:r>
    </w:p>
    <w:p w14:paraId="3CC8ECDC" w14:textId="2B5771B6" w:rsidR="0006551F" w:rsidRPr="00D13888" w:rsidRDefault="0006551F">
      <w:pPr>
        <w:pStyle w:val="FootnoteText"/>
        <w:rPr>
          <w:rFonts w:ascii="Arial" w:hAnsi="Arial" w:cs="Arial"/>
          <w:sz w:val="18"/>
          <w:szCs w:val="18"/>
        </w:rPr>
      </w:pPr>
    </w:p>
  </w:footnote>
  <w:footnote w:id="20">
    <w:p w14:paraId="00C5DB9B" w14:textId="5803DC1D" w:rsidR="0006551F" w:rsidRPr="00D13888" w:rsidRDefault="0006551F">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Supra para 544H-I.</w:t>
      </w:r>
    </w:p>
  </w:footnote>
  <w:footnote w:id="21">
    <w:p w14:paraId="59CE4C12" w14:textId="3DD8C6BD" w:rsidR="00CC1F8E" w:rsidRPr="00D13888" w:rsidRDefault="00CC1F8E">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Answering affidavit para 88. </w:t>
      </w:r>
    </w:p>
  </w:footnote>
  <w:footnote w:id="22">
    <w:p w14:paraId="049AB020" w14:textId="2775FC3B" w:rsidR="004D1B8A" w:rsidRPr="00D13888" w:rsidRDefault="004D1B8A">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Supra.</w:t>
      </w:r>
    </w:p>
  </w:footnote>
  <w:footnote w:id="23">
    <w:p w14:paraId="4BAF5D60" w14:textId="5493316A" w:rsidR="0001084E" w:rsidRPr="00D13888" w:rsidRDefault="0001084E">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US"/>
        </w:rPr>
        <w:t>2010 (2) SA 181</w:t>
      </w:r>
      <w:r w:rsidR="00796A05" w:rsidRPr="00D13888">
        <w:rPr>
          <w:rFonts w:ascii="Arial" w:hAnsi="Arial" w:cs="Arial"/>
          <w:sz w:val="18"/>
          <w:szCs w:val="18"/>
          <w:lang w:val="en-US"/>
        </w:rPr>
        <w:t xml:space="preserve"> (CC)</w:t>
      </w:r>
      <w:r w:rsidR="00C72C3C" w:rsidRPr="00D13888">
        <w:rPr>
          <w:rFonts w:ascii="Arial" w:hAnsi="Arial" w:cs="Arial"/>
          <w:sz w:val="18"/>
          <w:szCs w:val="18"/>
          <w:lang w:val="en-US"/>
        </w:rPr>
        <w:t>.</w:t>
      </w:r>
    </w:p>
  </w:footnote>
  <w:footnote w:id="24">
    <w:p w14:paraId="1A4A6CC2" w14:textId="7147BEED" w:rsidR="0001084E" w:rsidRPr="00D13888" w:rsidRDefault="0001084E">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GB"/>
        </w:rPr>
        <w:t>Supra para 14</w:t>
      </w:r>
      <w:r w:rsidR="00C72C3C" w:rsidRPr="00D13888">
        <w:rPr>
          <w:rFonts w:ascii="Arial" w:hAnsi="Arial" w:cs="Arial"/>
          <w:sz w:val="18"/>
          <w:szCs w:val="18"/>
          <w:lang w:val="en-GB"/>
        </w:rPr>
        <w:t>.</w:t>
      </w:r>
    </w:p>
  </w:footnote>
  <w:footnote w:id="25">
    <w:p w14:paraId="136BA464" w14:textId="667A6910" w:rsidR="00A12383" w:rsidRPr="00D13888" w:rsidRDefault="00A12383">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i/>
          <w:iCs/>
          <w:sz w:val="18"/>
          <w:szCs w:val="18"/>
          <w:lang w:val="en-GB"/>
        </w:rPr>
        <w:t xml:space="preserve">Pickfords </w:t>
      </w:r>
      <w:r w:rsidR="007B633E" w:rsidRPr="00D13888">
        <w:rPr>
          <w:rFonts w:ascii="Arial" w:hAnsi="Arial" w:cs="Arial"/>
          <w:i/>
          <w:iCs/>
          <w:sz w:val="18"/>
          <w:szCs w:val="18"/>
          <w:lang w:val="en-GB"/>
        </w:rPr>
        <w:t>R</w:t>
      </w:r>
      <w:r w:rsidRPr="00D13888">
        <w:rPr>
          <w:rFonts w:ascii="Arial" w:hAnsi="Arial" w:cs="Arial"/>
          <w:i/>
          <w:iCs/>
          <w:sz w:val="18"/>
          <w:szCs w:val="18"/>
          <w:lang w:val="en-GB"/>
        </w:rPr>
        <w:t>emoval</w:t>
      </w:r>
      <w:r w:rsidR="007B633E" w:rsidRPr="00D13888">
        <w:rPr>
          <w:rFonts w:ascii="Arial" w:hAnsi="Arial" w:cs="Arial"/>
          <w:i/>
          <w:iCs/>
          <w:sz w:val="18"/>
          <w:szCs w:val="18"/>
          <w:lang w:val="en-GB"/>
        </w:rPr>
        <w:t>s</w:t>
      </w:r>
      <w:r w:rsidR="007B633E" w:rsidRPr="00D13888">
        <w:rPr>
          <w:rFonts w:ascii="Arial" w:hAnsi="Arial" w:cs="Arial"/>
          <w:sz w:val="18"/>
          <w:szCs w:val="18"/>
          <w:lang w:val="en-GB"/>
        </w:rPr>
        <w:t xml:space="preserve"> at</w:t>
      </w:r>
      <w:r w:rsidRPr="00D13888">
        <w:rPr>
          <w:rFonts w:ascii="Arial" w:hAnsi="Arial" w:cs="Arial"/>
          <w:sz w:val="18"/>
          <w:szCs w:val="18"/>
          <w:lang w:val="en-GB"/>
        </w:rPr>
        <w:t xml:space="preserve"> 37 para</w:t>
      </w:r>
      <w:r w:rsidR="00C72C3C" w:rsidRPr="00D13888">
        <w:rPr>
          <w:rFonts w:ascii="Arial" w:hAnsi="Arial" w:cs="Arial"/>
          <w:sz w:val="18"/>
          <w:szCs w:val="18"/>
          <w:lang w:val="en-GB"/>
        </w:rPr>
        <w:t xml:space="preserve"> </w:t>
      </w:r>
      <w:r w:rsidRPr="00D13888">
        <w:rPr>
          <w:rFonts w:ascii="Arial" w:hAnsi="Arial" w:cs="Arial"/>
          <w:sz w:val="18"/>
          <w:szCs w:val="18"/>
          <w:lang w:val="en-GB"/>
        </w:rPr>
        <w:t>54</w:t>
      </w:r>
      <w:r w:rsidR="00C72C3C" w:rsidRPr="00D13888">
        <w:rPr>
          <w:rFonts w:ascii="Arial" w:hAnsi="Arial" w:cs="Arial"/>
          <w:sz w:val="18"/>
          <w:szCs w:val="18"/>
          <w:lang w:val="en-GB"/>
        </w:rPr>
        <w:t>.</w:t>
      </w:r>
    </w:p>
  </w:footnote>
  <w:footnote w:id="26">
    <w:p w14:paraId="468A074B" w14:textId="77777777" w:rsidR="00344DB7" w:rsidRPr="00D13888" w:rsidRDefault="00344DB7" w:rsidP="00344DB7">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US"/>
        </w:rPr>
        <w:t>2014 (3) SA 39 (CC).</w:t>
      </w:r>
    </w:p>
  </w:footnote>
  <w:footnote w:id="27">
    <w:p w14:paraId="38469EC9" w14:textId="77777777" w:rsidR="00344DB7" w:rsidRPr="00D13888" w:rsidRDefault="00344DB7" w:rsidP="00344DB7">
      <w:pPr>
        <w:pStyle w:val="FootnoteText"/>
        <w:rPr>
          <w:rFonts w:ascii="Arial" w:hAnsi="Arial" w:cs="Arial"/>
          <w:sz w:val="18"/>
          <w:szCs w:val="18"/>
          <w:lang w:val="en-GB"/>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sz w:val="18"/>
          <w:szCs w:val="18"/>
          <w:lang w:val="en-GB"/>
        </w:rPr>
        <w:t>Supra para 10.</w:t>
      </w:r>
    </w:p>
  </w:footnote>
  <w:footnote w:id="28">
    <w:p w14:paraId="6A499D7A" w14:textId="77777777" w:rsidR="00440A20" w:rsidRPr="00D13888" w:rsidRDefault="00440A20" w:rsidP="00440A20">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Pr="00D13888">
        <w:rPr>
          <w:rFonts w:ascii="Arial" w:hAnsi="Arial" w:cs="Arial"/>
          <w:i/>
          <w:iCs/>
          <w:sz w:val="18"/>
          <w:szCs w:val="18"/>
        </w:rPr>
        <w:t>Economic Freedom Fighters v Gordhan and Others; Public Protector and Another v Gordhan and Others</w:t>
      </w:r>
    </w:p>
    <w:p w14:paraId="2BB0222A" w14:textId="525D3309" w:rsidR="00440A20" w:rsidRPr="00D13888" w:rsidRDefault="00440A20">
      <w:pPr>
        <w:pStyle w:val="FootnoteText"/>
        <w:rPr>
          <w:rFonts w:ascii="Arial" w:hAnsi="Arial" w:cs="Arial"/>
          <w:sz w:val="18"/>
          <w:szCs w:val="18"/>
        </w:rPr>
      </w:pPr>
      <w:r w:rsidRPr="00D13888">
        <w:rPr>
          <w:rFonts w:ascii="Arial" w:hAnsi="Arial" w:cs="Arial"/>
          <w:sz w:val="18"/>
          <w:szCs w:val="18"/>
        </w:rPr>
        <w:t>2020 (6) SA 325 (CC) para 51.</w:t>
      </w:r>
    </w:p>
  </w:footnote>
  <w:footnote w:id="29">
    <w:p w14:paraId="755BA3C3" w14:textId="3F4E18F0" w:rsidR="00943CB6" w:rsidRPr="00D13888" w:rsidRDefault="00943CB6">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006D7353" w:rsidRPr="00D13888">
        <w:rPr>
          <w:rFonts w:ascii="Arial" w:hAnsi="Arial" w:cs="Arial"/>
          <w:i/>
          <w:iCs/>
          <w:sz w:val="18"/>
          <w:szCs w:val="18"/>
        </w:rPr>
        <w:t>Electronic Media Network Limited and Others v e.tv (Pty) Limited and Others</w:t>
      </w:r>
      <w:r w:rsidR="006D7353" w:rsidRPr="00D13888">
        <w:rPr>
          <w:rFonts w:ascii="Arial" w:hAnsi="Arial" w:cs="Arial"/>
          <w:sz w:val="18"/>
          <w:szCs w:val="18"/>
        </w:rPr>
        <w:t xml:space="preserve"> 2017 (9) BCLR 1108 (CC).</w:t>
      </w:r>
    </w:p>
  </w:footnote>
  <w:footnote w:id="30">
    <w:p w14:paraId="59924002" w14:textId="30E21BC4" w:rsidR="006D7353" w:rsidRPr="00D13888" w:rsidRDefault="006D7353">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00CF55F7" w:rsidRPr="00D13888">
        <w:rPr>
          <w:rFonts w:ascii="Arial" w:hAnsi="Arial" w:cs="Arial"/>
          <w:sz w:val="18"/>
          <w:szCs w:val="18"/>
        </w:rPr>
        <w:t xml:space="preserve">(2005) 3 ALL SA 33 (SCA). </w:t>
      </w:r>
    </w:p>
  </w:footnote>
  <w:footnote w:id="31">
    <w:p w14:paraId="7A2DC2F2" w14:textId="2E22268C" w:rsidR="0029634C" w:rsidRPr="00D13888" w:rsidRDefault="0029634C">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Supra para 21.</w:t>
      </w:r>
    </w:p>
  </w:footnote>
  <w:footnote w:id="32">
    <w:p w14:paraId="1A969031" w14:textId="4AF1BD7F" w:rsidR="0029634C" w:rsidRPr="00D13888" w:rsidRDefault="0029634C">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2014 (5) SA 69 (CC).</w:t>
      </w:r>
    </w:p>
  </w:footnote>
  <w:footnote w:id="33">
    <w:p w14:paraId="1002C3F6" w14:textId="715B9515" w:rsidR="00983931" w:rsidRPr="00D13888" w:rsidRDefault="00983931" w:rsidP="00EF0D10">
      <w:pPr>
        <w:pStyle w:val="FootnoteText"/>
        <w:jc w:val="both"/>
        <w:rPr>
          <w:rFonts w:ascii="Arial" w:hAnsi="Arial" w:cs="Arial"/>
          <w:sz w:val="18"/>
          <w:szCs w:val="18"/>
        </w:rPr>
      </w:pPr>
      <w:r w:rsidRPr="00D13888">
        <w:rPr>
          <w:rStyle w:val="FootnoteReference"/>
          <w:rFonts w:ascii="Arial" w:hAnsi="Arial" w:cs="Arial"/>
          <w:sz w:val="18"/>
          <w:szCs w:val="18"/>
        </w:rPr>
        <w:footnoteRef/>
      </w:r>
      <w:r w:rsidR="00C15D0B" w:rsidRPr="00D13888">
        <w:rPr>
          <w:rFonts w:ascii="Arial" w:hAnsi="Arial" w:cs="Arial"/>
          <w:sz w:val="18"/>
          <w:szCs w:val="18"/>
          <w:lang w:val="en-US"/>
        </w:rPr>
        <w:t xml:space="preserve"> </w:t>
      </w:r>
      <w:r w:rsidR="00054361" w:rsidRPr="00D13888">
        <w:rPr>
          <w:rFonts w:ascii="Arial" w:hAnsi="Arial" w:cs="Arial"/>
          <w:sz w:val="18"/>
          <w:szCs w:val="18"/>
          <w:lang w:val="en-US"/>
        </w:rPr>
        <w:t>I</w:t>
      </w:r>
      <w:r w:rsidR="00A609BA" w:rsidRPr="00D13888">
        <w:rPr>
          <w:rFonts w:ascii="Arial" w:hAnsi="Arial" w:cs="Arial"/>
          <w:sz w:val="18"/>
          <w:szCs w:val="18"/>
          <w:lang w:val="en-US"/>
        </w:rPr>
        <w:t xml:space="preserve">t </w:t>
      </w:r>
      <w:r w:rsidR="00EF0D10" w:rsidRPr="00D13888">
        <w:rPr>
          <w:rFonts w:ascii="Arial" w:hAnsi="Arial" w:cs="Arial"/>
          <w:sz w:val="18"/>
          <w:szCs w:val="18"/>
          <w:lang w:val="en-US"/>
        </w:rPr>
        <w:t>promotes restorative justice and it's a community centric ethos. The essence of Ubuntu is I am because we are. Kenyan writer or scholar James Ogude, a professor of African literature and cultures, believes Ubuntu might serve is a counterweight to the rampant individualism that's so pervasive in the contemporary world. “Ubuntu is rooted in what I call a relational form of personhood, basically meaning that you are because of the others. He was speaking at Addis Ababa in Ethiopia.</w:t>
      </w:r>
    </w:p>
  </w:footnote>
  <w:footnote w:id="34">
    <w:p w14:paraId="2865E430" w14:textId="14861706" w:rsidR="005B03AE" w:rsidRPr="00D13888" w:rsidRDefault="005B03AE" w:rsidP="00EF0D10">
      <w:pPr>
        <w:pStyle w:val="FootnoteText"/>
        <w:jc w:val="both"/>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1995 (3) SA 391</w:t>
      </w:r>
      <w:r w:rsidR="00480DB3" w:rsidRPr="00D13888">
        <w:rPr>
          <w:rFonts w:ascii="Arial" w:hAnsi="Arial" w:cs="Arial"/>
          <w:sz w:val="18"/>
          <w:szCs w:val="18"/>
        </w:rPr>
        <w:t>.</w:t>
      </w:r>
    </w:p>
  </w:footnote>
  <w:footnote w:id="35">
    <w:p w14:paraId="40CDAB4F" w14:textId="168A9FB9" w:rsidR="00480DB3" w:rsidRPr="00D13888" w:rsidRDefault="00480DB3" w:rsidP="00EF0D10">
      <w:pPr>
        <w:pStyle w:val="FootnoteText"/>
        <w:jc w:val="both"/>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Supra para 237.</w:t>
      </w:r>
    </w:p>
  </w:footnote>
  <w:footnote w:id="36">
    <w:p w14:paraId="2288C33D" w14:textId="7F6A7823" w:rsidR="008066EF" w:rsidRPr="00D13888" w:rsidRDefault="001C78AC" w:rsidP="008066EF">
      <w:pPr>
        <w:pStyle w:val="FootnoteText"/>
        <w:rPr>
          <w:rFonts w:ascii="Arial" w:hAnsi="Arial" w:cs="Arial"/>
          <w:sz w:val="18"/>
          <w:szCs w:val="18"/>
        </w:rPr>
      </w:pPr>
      <w:r w:rsidRPr="00D13888">
        <w:rPr>
          <w:rStyle w:val="FootnoteReference"/>
          <w:rFonts w:ascii="Arial" w:hAnsi="Arial" w:cs="Arial"/>
          <w:sz w:val="18"/>
          <w:szCs w:val="18"/>
        </w:rPr>
        <w:footnoteRef/>
      </w:r>
      <w:r w:rsidRPr="00D13888">
        <w:rPr>
          <w:rFonts w:ascii="Arial" w:hAnsi="Arial" w:cs="Arial"/>
          <w:sz w:val="18"/>
          <w:szCs w:val="18"/>
        </w:rPr>
        <w:t xml:space="preserve"> </w:t>
      </w:r>
      <w:r w:rsidR="008066EF" w:rsidRPr="00D13888">
        <w:rPr>
          <w:rFonts w:ascii="Arial" w:hAnsi="Arial" w:cs="Arial"/>
          <w:i/>
          <w:iCs/>
          <w:sz w:val="18"/>
          <w:szCs w:val="18"/>
        </w:rPr>
        <w:t>Geerdts v Multichoice Africa (Pty) Ltd</w:t>
      </w:r>
      <w:r w:rsidR="008066EF" w:rsidRPr="00D13888">
        <w:rPr>
          <w:rFonts w:ascii="Arial" w:hAnsi="Arial" w:cs="Arial"/>
          <w:sz w:val="18"/>
          <w:szCs w:val="18"/>
        </w:rPr>
        <w:t xml:space="preserve"> (JA88/97) [1998] ZALAC 10 (29 June 1998) para 48.</w:t>
      </w:r>
    </w:p>
    <w:p w14:paraId="0EC581DF" w14:textId="73B6C26A" w:rsidR="001C78AC" w:rsidRPr="00D13888" w:rsidRDefault="001C78AC">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3B9"/>
    <w:multiLevelType w:val="hybridMultilevel"/>
    <w:tmpl w:val="52D04982"/>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6112F"/>
    <w:multiLevelType w:val="hybridMultilevel"/>
    <w:tmpl w:val="F7901AFA"/>
    <w:lvl w:ilvl="0" w:tplc="5032EE9E">
      <w:start w:val="1"/>
      <w:numFmt w:val="decimal"/>
      <w:lvlText w:val="3.%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15:restartNumberingAfterBreak="0">
    <w:nsid w:val="12C96CC5"/>
    <w:multiLevelType w:val="hybridMultilevel"/>
    <w:tmpl w:val="37B233E6"/>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8A60F5"/>
    <w:multiLevelType w:val="hybridMultilevel"/>
    <w:tmpl w:val="50C87D4C"/>
    <w:lvl w:ilvl="0" w:tplc="96FEF73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17247BC0"/>
    <w:multiLevelType w:val="hybridMultilevel"/>
    <w:tmpl w:val="A2808236"/>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181381"/>
    <w:multiLevelType w:val="hybridMultilevel"/>
    <w:tmpl w:val="1A8E0A22"/>
    <w:lvl w:ilvl="0" w:tplc="EEF859F8">
      <w:start w:val="1"/>
      <w:numFmt w:val="decimal"/>
      <w:lvlText w:val="%1."/>
      <w:lvlJc w:val="lef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6" w15:restartNumberingAfterBreak="0">
    <w:nsid w:val="1BC80423"/>
    <w:multiLevelType w:val="hybridMultilevel"/>
    <w:tmpl w:val="BA70E106"/>
    <w:lvl w:ilvl="0" w:tplc="E62A5EB0">
      <w:start w:val="1"/>
      <w:numFmt w:val="decimal"/>
      <w:lvlText w:val="5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26AC7"/>
    <w:multiLevelType w:val="hybridMultilevel"/>
    <w:tmpl w:val="4142FA70"/>
    <w:lvl w:ilvl="0" w:tplc="BDFC1A56">
      <w:start w:val="1"/>
      <w:numFmt w:val="decimal"/>
      <w:lvlText w:val="[%1]"/>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541116"/>
    <w:multiLevelType w:val="hybridMultilevel"/>
    <w:tmpl w:val="6ECE6D24"/>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C1017F"/>
    <w:multiLevelType w:val="hybridMultilevel"/>
    <w:tmpl w:val="1F64A304"/>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31816DD1"/>
    <w:multiLevelType w:val="hybridMultilevel"/>
    <w:tmpl w:val="2DAEB526"/>
    <w:lvl w:ilvl="0" w:tplc="F67C9F28">
      <w:start w:val="1"/>
      <w:numFmt w:val="decimal"/>
      <w:lvlText w:val="[%1]"/>
      <w:lvlJc w:val="left"/>
      <w:pPr>
        <w:ind w:left="644" w:hanging="360"/>
      </w:pPr>
      <w:rPr>
        <w:rFonts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9138AF"/>
    <w:multiLevelType w:val="hybridMultilevel"/>
    <w:tmpl w:val="8200E348"/>
    <w:lvl w:ilvl="0" w:tplc="0B6C74BC">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6E0D51"/>
    <w:multiLevelType w:val="hybridMultilevel"/>
    <w:tmpl w:val="365E297C"/>
    <w:lvl w:ilvl="0" w:tplc="440E5F2A">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61540D"/>
    <w:multiLevelType w:val="hybridMultilevel"/>
    <w:tmpl w:val="93EEB968"/>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A260FE"/>
    <w:multiLevelType w:val="hybridMultilevel"/>
    <w:tmpl w:val="71100E4C"/>
    <w:lvl w:ilvl="0" w:tplc="83E45D84">
      <w:start w:val="50"/>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0B34BFB"/>
    <w:multiLevelType w:val="hybridMultilevel"/>
    <w:tmpl w:val="15860AEC"/>
    <w:lvl w:ilvl="0" w:tplc="82A688FA">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F983C81"/>
    <w:multiLevelType w:val="hybridMultilevel"/>
    <w:tmpl w:val="D4CE958A"/>
    <w:lvl w:ilvl="0" w:tplc="BDFC1A56">
      <w:start w:val="1"/>
      <w:numFmt w:val="decimal"/>
      <w:lvlText w:val="[%1]"/>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8704E5"/>
    <w:multiLevelType w:val="hybridMultilevel"/>
    <w:tmpl w:val="CD00F9F0"/>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C9C1295"/>
    <w:multiLevelType w:val="hybridMultilevel"/>
    <w:tmpl w:val="2EDE6AC0"/>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DA30FCB"/>
    <w:multiLevelType w:val="hybridMultilevel"/>
    <w:tmpl w:val="4410A3CA"/>
    <w:lvl w:ilvl="0" w:tplc="E62A5EB0">
      <w:start w:val="1"/>
      <w:numFmt w:val="decimal"/>
      <w:lvlText w:val="51.%1"/>
      <w:lvlJc w:val="left"/>
      <w:pPr>
        <w:ind w:left="1584" w:hanging="360"/>
      </w:pPr>
      <w:rPr>
        <w:rFonts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1" w15:restartNumberingAfterBreak="0">
    <w:nsid w:val="5F0C0BB9"/>
    <w:multiLevelType w:val="hybridMultilevel"/>
    <w:tmpl w:val="E9E0C756"/>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5F835FB"/>
    <w:multiLevelType w:val="hybridMultilevel"/>
    <w:tmpl w:val="45B0BC28"/>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6657024"/>
    <w:multiLevelType w:val="hybridMultilevel"/>
    <w:tmpl w:val="EA0419A2"/>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5D2448"/>
    <w:multiLevelType w:val="hybridMultilevel"/>
    <w:tmpl w:val="32065858"/>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E803C9D"/>
    <w:multiLevelType w:val="hybridMultilevel"/>
    <w:tmpl w:val="4CE69F9E"/>
    <w:lvl w:ilvl="0" w:tplc="CA0CC2C8">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11"/>
  </w:num>
  <w:num w:numId="5">
    <w:abstractNumId w:val="13"/>
  </w:num>
  <w:num w:numId="6">
    <w:abstractNumId w:val="0"/>
  </w:num>
  <w:num w:numId="7">
    <w:abstractNumId w:val="4"/>
  </w:num>
  <w:num w:numId="8">
    <w:abstractNumId w:val="12"/>
  </w:num>
  <w:num w:numId="9">
    <w:abstractNumId w:val="14"/>
  </w:num>
  <w:num w:numId="10">
    <w:abstractNumId w:val="25"/>
  </w:num>
  <w:num w:numId="11">
    <w:abstractNumId w:val="22"/>
  </w:num>
  <w:num w:numId="12">
    <w:abstractNumId w:val="2"/>
  </w:num>
  <w:num w:numId="13">
    <w:abstractNumId w:val="24"/>
  </w:num>
  <w:num w:numId="14">
    <w:abstractNumId w:val="7"/>
  </w:num>
  <w:num w:numId="15">
    <w:abstractNumId w:val="21"/>
  </w:num>
  <w:num w:numId="16">
    <w:abstractNumId w:val="17"/>
  </w:num>
  <w:num w:numId="17">
    <w:abstractNumId w:val="23"/>
  </w:num>
  <w:num w:numId="18">
    <w:abstractNumId w:val="18"/>
  </w:num>
  <w:num w:numId="19">
    <w:abstractNumId w:val="8"/>
  </w:num>
  <w:num w:numId="20">
    <w:abstractNumId w:val="15"/>
  </w:num>
  <w:num w:numId="21">
    <w:abstractNumId w:val="20"/>
  </w:num>
  <w:num w:numId="22">
    <w:abstractNumId w:val="6"/>
  </w:num>
  <w:num w:numId="23">
    <w:abstractNumId w:val="19"/>
  </w:num>
  <w:num w:numId="24">
    <w:abstractNumId w:val="5"/>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39"/>
    <w:rsid w:val="0001084E"/>
    <w:rsid w:val="0001094B"/>
    <w:rsid w:val="00013B5F"/>
    <w:rsid w:val="00014331"/>
    <w:rsid w:val="00022BF0"/>
    <w:rsid w:val="00023205"/>
    <w:rsid w:val="00023896"/>
    <w:rsid w:val="00024CC0"/>
    <w:rsid w:val="0003169C"/>
    <w:rsid w:val="00032447"/>
    <w:rsid w:val="00032B1D"/>
    <w:rsid w:val="00033A9B"/>
    <w:rsid w:val="000502C7"/>
    <w:rsid w:val="00054361"/>
    <w:rsid w:val="00055B96"/>
    <w:rsid w:val="00056BA7"/>
    <w:rsid w:val="0006551F"/>
    <w:rsid w:val="00073CE0"/>
    <w:rsid w:val="00076F90"/>
    <w:rsid w:val="00082BC7"/>
    <w:rsid w:val="00086167"/>
    <w:rsid w:val="000953BF"/>
    <w:rsid w:val="000A41AF"/>
    <w:rsid w:val="000A6C7B"/>
    <w:rsid w:val="000B1645"/>
    <w:rsid w:val="000C5C40"/>
    <w:rsid w:val="000C6A98"/>
    <w:rsid w:val="000D4AF7"/>
    <w:rsid w:val="000D4F2C"/>
    <w:rsid w:val="000E0BB0"/>
    <w:rsid w:val="000F618A"/>
    <w:rsid w:val="00100E0D"/>
    <w:rsid w:val="001050EC"/>
    <w:rsid w:val="001058B3"/>
    <w:rsid w:val="001148A3"/>
    <w:rsid w:val="00115013"/>
    <w:rsid w:val="00123ABC"/>
    <w:rsid w:val="001269BA"/>
    <w:rsid w:val="00130FFE"/>
    <w:rsid w:val="001473D3"/>
    <w:rsid w:val="00161EB9"/>
    <w:rsid w:val="001716A7"/>
    <w:rsid w:val="00177D19"/>
    <w:rsid w:val="00186303"/>
    <w:rsid w:val="00193263"/>
    <w:rsid w:val="00193313"/>
    <w:rsid w:val="00195CF7"/>
    <w:rsid w:val="001A4010"/>
    <w:rsid w:val="001B0E21"/>
    <w:rsid w:val="001C0C9C"/>
    <w:rsid w:val="001C78AC"/>
    <w:rsid w:val="001C7CD2"/>
    <w:rsid w:val="001D60EA"/>
    <w:rsid w:val="001D670D"/>
    <w:rsid w:val="001E55FC"/>
    <w:rsid w:val="0020225D"/>
    <w:rsid w:val="00204FEC"/>
    <w:rsid w:val="00205FE8"/>
    <w:rsid w:val="00210FFE"/>
    <w:rsid w:val="002160F9"/>
    <w:rsid w:val="00216117"/>
    <w:rsid w:val="00223F6B"/>
    <w:rsid w:val="002401FB"/>
    <w:rsid w:val="0025199D"/>
    <w:rsid w:val="00257DD0"/>
    <w:rsid w:val="0026311A"/>
    <w:rsid w:val="00270397"/>
    <w:rsid w:val="00275B86"/>
    <w:rsid w:val="0028063E"/>
    <w:rsid w:val="00285E4E"/>
    <w:rsid w:val="00294703"/>
    <w:rsid w:val="0029583A"/>
    <w:rsid w:val="0029634C"/>
    <w:rsid w:val="002A2769"/>
    <w:rsid w:val="002A4F4A"/>
    <w:rsid w:val="002A76DB"/>
    <w:rsid w:val="002B4AC0"/>
    <w:rsid w:val="002C29FE"/>
    <w:rsid w:val="002C42E0"/>
    <w:rsid w:val="002E3F14"/>
    <w:rsid w:val="002E4653"/>
    <w:rsid w:val="003037D0"/>
    <w:rsid w:val="00311234"/>
    <w:rsid w:val="0031627D"/>
    <w:rsid w:val="003271ED"/>
    <w:rsid w:val="003436DF"/>
    <w:rsid w:val="00344DB7"/>
    <w:rsid w:val="00350037"/>
    <w:rsid w:val="00352C77"/>
    <w:rsid w:val="00362427"/>
    <w:rsid w:val="00366510"/>
    <w:rsid w:val="00372FAE"/>
    <w:rsid w:val="00374A8A"/>
    <w:rsid w:val="003775CD"/>
    <w:rsid w:val="00380157"/>
    <w:rsid w:val="00384643"/>
    <w:rsid w:val="00392271"/>
    <w:rsid w:val="003955CC"/>
    <w:rsid w:val="003B1BBF"/>
    <w:rsid w:val="003B5B22"/>
    <w:rsid w:val="003C15A7"/>
    <w:rsid w:val="003C1BBE"/>
    <w:rsid w:val="003D0DDF"/>
    <w:rsid w:val="003D1C9F"/>
    <w:rsid w:val="003D559E"/>
    <w:rsid w:val="003E1778"/>
    <w:rsid w:val="003E5455"/>
    <w:rsid w:val="00402500"/>
    <w:rsid w:val="00402F6C"/>
    <w:rsid w:val="00406A41"/>
    <w:rsid w:val="004114C9"/>
    <w:rsid w:val="0041298C"/>
    <w:rsid w:val="00421717"/>
    <w:rsid w:val="00422547"/>
    <w:rsid w:val="004269CD"/>
    <w:rsid w:val="00440A20"/>
    <w:rsid w:val="004429A5"/>
    <w:rsid w:val="00445435"/>
    <w:rsid w:val="00451351"/>
    <w:rsid w:val="00455C7A"/>
    <w:rsid w:val="00455E66"/>
    <w:rsid w:val="004624AE"/>
    <w:rsid w:val="00464251"/>
    <w:rsid w:val="004770D0"/>
    <w:rsid w:val="00480DB3"/>
    <w:rsid w:val="004A2485"/>
    <w:rsid w:val="004A68AC"/>
    <w:rsid w:val="004B07C0"/>
    <w:rsid w:val="004B2CCA"/>
    <w:rsid w:val="004C08E7"/>
    <w:rsid w:val="004D1B8A"/>
    <w:rsid w:val="004D4439"/>
    <w:rsid w:val="004E41EA"/>
    <w:rsid w:val="004F416D"/>
    <w:rsid w:val="00521234"/>
    <w:rsid w:val="0053262D"/>
    <w:rsid w:val="00534319"/>
    <w:rsid w:val="0053469A"/>
    <w:rsid w:val="005375C7"/>
    <w:rsid w:val="00547ABE"/>
    <w:rsid w:val="005508C8"/>
    <w:rsid w:val="00552E31"/>
    <w:rsid w:val="00552FD9"/>
    <w:rsid w:val="00573952"/>
    <w:rsid w:val="00575859"/>
    <w:rsid w:val="005772BC"/>
    <w:rsid w:val="005801E2"/>
    <w:rsid w:val="00582637"/>
    <w:rsid w:val="005A20D2"/>
    <w:rsid w:val="005A256E"/>
    <w:rsid w:val="005A2577"/>
    <w:rsid w:val="005B03AE"/>
    <w:rsid w:val="005C415B"/>
    <w:rsid w:val="005D7D82"/>
    <w:rsid w:val="005E4049"/>
    <w:rsid w:val="005F3CAE"/>
    <w:rsid w:val="00600715"/>
    <w:rsid w:val="00600FE1"/>
    <w:rsid w:val="00605D3D"/>
    <w:rsid w:val="00620564"/>
    <w:rsid w:val="006307DD"/>
    <w:rsid w:val="006342F0"/>
    <w:rsid w:val="00646C99"/>
    <w:rsid w:val="0065096B"/>
    <w:rsid w:val="00656B00"/>
    <w:rsid w:val="0066761A"/>
    <w:rsid w:val="00677F0B"/>
    <w:rsid w:val="00680D39"/>
    <w:rsid w:val="00682AC4"/>
    <w:rsid w:val="006850E4"/>
    <w:rsid w:val="00693E59"/>
    <w:rsid w:val="00697A33"/>
    <w:rsid w:val="006B01B1"/>
    <w:rsid w:val="006B0F34"/>
    <w:rsid w:val="006B64F7"/>
    <w:rsid w:val="006C219A"/>
    <w:rsid w:val="006D7118"/>
    <w:rsid w:val="006D7353"/>
    <w:rsid w:val="006E09F2"/>
    <w:rsid w:val="006E2209"/>
    <w:rsid w:val="006E3D41"/>
    <w:rsid w:val="006E40B8"/>
    <w:rsid w:val="0070002B"/>
    <w:rsid w:val="00701025"/>
    <w:rsid w:val="00702CF1"/>
    <w:rsid w:val="007038AD"/>
    <w:rsid w:val="00703FC0"/>
    <w:rsid w:val="0071656F"/>
    <w:rsid w:val="0073581D"/>
    <w:rsid w:val="007363BE"/>
    <w:rsid w:val="0076783C"/>
    <w:rsid w:val="00771E6D"/>
    <w:rsid w:val="0078162B"/>
    <w:rsid w:val="00792659"/>
    <w:rsid w:val="00796A05"/>
    <w:rsid w:val="007A13E0"/>
    <w:rsid w:val="007A21EE"/>
    <w:rsid w:val="007A2A6B"/>
    <w:rsid w:val="007B28A5"/>
    <w:rsid w:val="007B633E"/>
    <w:rsid w:val="007D09F9"/>
    <w:rsid w:val="007D264F"/>
    <w:rsid w:val="007E16CA"/>
    <w:rsid w:val="007E5676"/>
    <w:rsid w:val="007E6976"/>
    <w:rsid w:val="007F0434"/>
    <w:rsid w:val="0080239D"/>
    <w:rsid w:val="008066EF"/>
    <w:rsid w:val="0081411B"/>
    <w:rsid w:val="00823A4A"/>
    <w:rsid w:val="00824731"/>
    <w:rsid w:val="00837A55"/>
    <w:rsid w:val="00843BD6"/>
    <w:rsid w:val="0084438F"/>
    <w:rsid w:val="00853D47"/>
    <w:rsid w:val="00861147"/>
    <w:rsid w:val="00861E7A"/>
    <w:rsid w:val="008634C7"/>
    <w:rsid w:val="00867E67"/>
    <w:rsid w:val="00873053"/>
    <w:rsid w:val="0087778E"/>
    <w:rsid w:val="0088683E"/>
    <w:rsid w:val="008A3D31"/>
    <w:rsid w:val="008F1E6A"/>
    <w:rsid w:val="008F66E7"/>
    <w:rsid w:val="008F7F5A"/>
    <w:rsid w:val="009006FE"/>
    <w:rsid w:val="009029F4"/>
    <w:rsid w:val="00906763"/>
    <w:rsid w:val="00916E67"/>
    <w:rsid w:val="00925A78"/>
    <w:rsid w:val="00933C20"/>
    <w:rsid w:val="0093632D"/>
    <w:rsid w:val="0093747F"/>
    <w:rsid w:val="00943CB6"/>
    <w:rsid w:val="00952F45"/>
    <w:rsid w:val="00954DDA"/>
    <w:rsid w:val="00962C8C"/>
    <w:rsid w:val="0097089F"/>
    <w:rsid w:val="0097795D"/>
    <w:rsid w:val="00977D69"/>
    <w:rsid w:val="00983931"/>
    <w:rsid w:val="00990E3A"/>
    <w:rsid w:val="009913AD"/>
    <w:rsid w:val="009A72AC"/>
    <w:rsid w:val="009B3781"/>
    <w:rsid w:val="009B4443"/>
    <w:rsid w:val="009C12B6"/>
    <w:rsid w:val="009C6B9E"/>
    <w:rsid w:val="009C6EDF"/>
    <w:rsid w:val="009D3100"/>
    <w:rsid w:val="009D6C16"/>
    <w:rsid w:val="009E0C23"/>
    <w:rsid w:val="009E4AFC"/>
    <w:rsid w:val="009F207B"/>
    <w:rsid w:val="009F33A3"/>
    <w:rsid w:val="009F7521"/>
    <w:rsid w:val="00A038C3"/>
    <w:rsid w:val="00A070BD"/>
    <w:rsid w:val="00A12383"/>
    <w:rsid w:val="00A24AA6"/>
    <w:rsid w:val="00A25924"/>
    <w:rsid w:val="00A26E72"/>
    <w:rsid w:val="00A326BF"/>
    <w:rsid w:val="00A406A7"/>
    <w:rsid w:val="00A41BC3"/>
    <w:rsid w:val="00A42411"/>
    <w:rsid w:val="00A43239"/>
    <w:rsid w:val="00A4425C"/>
    <w:rsid w:val="00A477CD"/>
    <w:rsid w:val="00A51D5F"/>
    <w:rsid w:val="00A609BA"/>
    <w:rsid w:val="00A632DD"/>
    <w:rsid w:val="00A65B66"/>
    <w:rsid w:val="00A65CB3"/>
    <w:rsid w:val="00A660BE"/>
    <w:rsid w:val="00A70B66"/>
    <w:rsid w:val="00A73FD5"/>
    <w:rsid w:val="00A80388"/>
    <w:rsid w:val="00A80BD1"/>
    <w:rsid w:val="00AA3301"/>
    <w:rsid w:val="00AA543D"/>
    <w:rsid w:val="00AB17BC"/>
    <w:rsid w:val="00AB291A"/>
    <w:rsid w:val="00AC45FD"/>
    <w:rsid w:val="00AC6DC6"/>
    <w:rsid w:val="00AC6E8F"/>
    <w:rsid w:val="00AD0508"/>
    <w:rsid w:val="00AD6892"/>
    <w:rsid w:val="00AE314F"/>
    <w:rsid w:val="00AE7761"/>
    <w:rsid w:val="00B015F8"/>
    <w:rsid w:val="00B048C7"/>
    <w:rsid w:val="00B0576B"/>
    <w:rsid w:val="00B0649D"/>
    <w:rsid w:val="00B07839"/>
    <w:rsid w:val="00B1139E"/>
    <w:rsid w:val="00B124BC"/>
    <w:rsid w:val="00B13F8D"/>
    <w:rsid w:val="00B1779F"/>
    <w:rsid w:val="00B26D1C"/>
    <w:rsid w:val="00B53980"/>
    <w:rsid w:val="00B63F2C"/>
    <w:rsid w:val="00B735D1"/>
    <w:rsid w:val="00B8122E"/>
    <w:rsid w:val="00B93B7D"/>
    <w:rsid w:val="00BA37BB"/>
    <w:rsid w:val="00BC57FD"/>
    <w:rsid w:val="00BC6DFF"/>
    <w:rsid w:val="00BD0047"/>
    <w:rsid w:val="00BD044E"/>
    <w:rsid w:val="00BE650D"/>
    <w:rsid w:val="00BF020F"/>
    <w:rsid w:val="00C01B69"/>
    <w:rsid w:val="00C01C90"/>
    <w:rsid w:val="00C0653B"/>
    <w:rsid w:val="00C14CB6"/>
    <w:rsid w:val="00C15D0B"/>
    <w:rsid w:val="00C17637"/>
    <w:rsid w:val="00C17FAD"/>
    <w:rsid w:val="00C3027A"/>
    <w:rsid w:val="00C40516"/>
    <w:rsid w:val="00C42A0C"/>
    <w:rsid w:val="00C4755B"/>
    <w:rsid w:val="00C617BD"/>
    <w:rsid w:val="00C7149D"/>
    <w:rsid w:val="00C72C3C"/>
    <w:rsid w:val="00C77183"/>
    <w:rsid w:val="00CA249B"/>
    <w:rsid w:val="00CA361C"/>
    <w:rsid w:val="00CB0D2F"/>
    <w:rsid w:val="00CB1D00"/>
    <w:rsid w:val="00CB5839"/>
    <w:rsid w:val="00CB6C35"/>
    <w:rsid w:val="00CB74AA"/>
    <w:rsid w:val="00CC1C33"/>
    <w:rsid w:val="00CC1F8E"/>
    <w:rsid w:val="00CC4F5E"/>
    <w:rsid w:val="00CD2327"/>
    <w:rsid w:val="00CD7D9F"/>
    <w:rsid w:val="00CE4293"/>
    <w:rsid w:val="00CE624C"/>
    <w:rsid w:val="00CF2FC6"/>
    <w:rsid w:val="00CF55F7"/>
    <w:rsid w:val="00D01B97"/>
    <w:rsid w:val="00D127B8"/>
    <w:rsid w:val="00D13888"/>
    <w:rsid w:val="00D15214"/>
    <w:rsid w:val="00D1733B"/>
    <w:rsid w:val="00D342E2"/>
    <w:rsid w:val="00D56A39"/>
    <w:rsid w:val="00D6092F"/>
    <w:rsid w:val="00D63B70"/>
    <w:rsid w:val="00D66153"/>
    <w:rsid w:val="00D70930"/>
    <w:rsid w:val="00D727E8"/>
    <w:rsid w:val="00D746DB"/>
    <w:rsid w:val="00D76284"/>
    <w:rsid w:val="00D76951"/>
    <w:rsid w:val="00D76CD8"/>
    <w:rsid w:val="00D93556"/>
    <w:rsid w:val="00D96F2B"/>
    <w:rsid w:val="00DA4C3D"/>
    <w:rsid w:val="00DA6762"/>
    <w:rsid w:val="00DB08F4"/>
    <w:rsid w:val="00DB197B"/>
    <w:rsid w:val="00DB7F66"/>
    <w:rsid w:val="00DD02FC"/>
    <w:rsid w:val="00DD2FB1"/>
    <w:rsid w:val="00DF0C42"/>
    <w:rsid w:val="00DF1D2F"/>
    <w:rsid w:val="00DF240B"/>
    <w:rsid w:val="00DF2DC2"/>
    <w:rsid w:val="00DF66B1"/>
    <w:rsid w:val="00E03317"/>
    <w:rsid w:val="00E17758"/>
    <w:rsid w:val="00E24AAD"/>
    <w:rsid w:val="00E24F3F"/>
    <w:rsid w:val="00E260AA"/>
    <w:rsid w:val="00E306B9"/>
    <w:rsid w:val="00E34E3E"/>
    <w:rsid w:val="00E41D0B"/>
    <w:rsid w:val="00E46C50"/>
    <w:rsid w:val="00E569E2"/>
    <w:rsid w:val="00E655D0"/>
    <w:rsid w:val="00E7137B"/>
    <w:rsid w:val="00E8256B"/>
    <w:rsid w:val="00E86500"/>
    <w:rsid w:val="00E92537"/>
    <w:rsid w:val="00EA6C67"/>
    <w:rsid w:val="00EB39B8"/>
    <w:rsid w:val="00EF0D10"/>
    <w:rsid w:val="00EF1ED2"/>
    <w:rsid w:val="00F00174"/>
    <w:rsid w:val="00F079C9"/>
    <w:rsid w:val="00F26277"/>
    <w:rsid w:val="00F26C8A"/>
    <w:rsid w:val="00F433F3"/>
    <w:rsid w:val="00F470E9"/>
    <w:rsid w:val="00F577F2"/>
    <w:rsid w:val="00FA633D"/>
    <w:rsid w:val="00FB1CDD"/>
    <w:rsid w:val="00FB463A"/>
    <w:rsid w:val="00FC1BEF"/>
    <w:rsid w:val="00FC434F"/>
    <w:rsid w:val="00FC710D"/>
    <w:rsid w:val="00FC75D1"/>
    <w:rsid w:val="00FF4688"/>
    <w:rsid w:val="00FF48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E6F4"/>
  <w15:chartTrackingRefBased/>
  <w15:docId w15:val="{D21B01F6-0E6F-4DDB-BDBF-5F4F614A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58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439"/>
  </w:style>
  <w:style w:type="paragraph" w:styleId="Footer">
    <w:name w:val="footer"/>
    <w:basedOn w:val="Normal"/>
    <w:link w:val="FooterChar"/>
    <w:uiPriority w:val="99"/>
    <w:unhideWhenUsed/>
    <w:rsid w:val="004D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439"/>
  </w:style>
  <w:style w:type="paragraph" w:styleId="FootnoteText">
    <w:name w:val="footnote text"/>
    <w:basedOn w:val="Normal"/>
    <w:link w:val="FootnoteTextChar"/>
    <w:uiPriority w:val="99"/>
    <w:unhideWhenUsed/>
    <w:rsid w:val="00374A8A"/>
    <w:pPr>
      <w:spacing w:after="0" w:line="240" w:lineRule="auto"/>
    </w:pPr>
    <w:rPr>
      <w:sz w:val="20"/>
      <w:szCs w:val="20"/>
    </w:rPr>
  </w:style>
  <w:style w:type="character" w:customStyle="1" w:styleId="FootnoteTextChar">
    <w:name w:val="Footnote Text Char"/>
    <w:basedOn w:val="DefaultParagraphFont"/>
    <w:link w:val="FootnoteText"/>
    <w:uiPriority w:val="99"/>
    <w:rsid w:val="00374A8A"/>
    <w:rPr>
      <w:sz w:val="20"/>
      <w:szCs w:val="20"/>
    </w:rPr>
  </w:style>
  <w:style w:type="character" w:styleId="FootnoteReference">
    <w:name w:val="footnote reference"/>
    <w:basedOn w:val="DefaultParagraphFont"/>
    <w:uiPriority w:val="99"/>
    <w:semiHidden/>
    <w:unhideWhenUsed/>
    <w:rsid w:val="005E4049"/>
    <w:rPr>
      <w:vertAlign w:val="superscript"/>
    </w:rPr>
  </w:style>
  <w:style w:type="character" w:styleId="Hyperlink">
    <w:name w:val="Hyperlink"/>
    <w:basedOn w:val="DefaultParagraphFont"/>
    <w:uiPriority w:val="99"/>
    <w:unhideWhenUsed/>
    <w:rsid w:val="00CB5839"/>
    <w:rPr>
      <w:color w:val="0000FF"/>
      <w:u w:val="single"/>
    </w:rPr>
  </w:style>
  <w:style w:type="character" w:customStyle="1" w:styleId="Heading2Char">
    <w:name w:val="Heading 2 Char"/>
    <w:basedOn w:val="DefaultParagraphFont"/>
    <w:link w:val="Heading2"/>
    <w:uiPriority w:val="9"/>
    <w:rsid w:val="00CB58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69E2"/>
    <w:pPr>
      <w:ind w:left="720"/>
      <w:contextualSpacing/>
    </w:pPr>
  </w:style>
  <w:style w:type="character" w:customStyle="1" w:styleId="mc">
    <w:name w:val="mc"/>
    <w:basedOn w:val="DefaultParagraphFont"/>
    <w:rsid w:val="00FC434F"/>
  </w:style>
  <w:style w:type="paragraph" w:styleId="NormalWeb">
    <w:name w:val="Normal (Web)"/>
    <w:basedOn w:val="Normal"/>
    <w:uiPriority w:val="99"/>
    <w:semiHidden/>
    <w:unhideWhenUsed/>
    <w:rsid w:val="00A80388"/>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g1">
    <w:name w:val="g1"/>
    <w:basedOn w:val="DefaultParagraphFont"/>
    <w:rsid w:val="00380157"/>
  </w:style>
  <w:style w:type="paragraph" w:styleId="CommentText">
    <w:name w:val="annotation text"/>
    <w:basedOn w:val="Normal"/>
    <w:link w:val="CommentTextChar"/>
    <w:uiPriority w:val="99"/>
    <w:unhideWhenUsed/>
    <w:rsid w:val="00A70B66"/>
    <w:pPr>
      <w:spacing w:after="0"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A70B66"/>
    <w:rPr>
      <w:rFonts w:ascii="Calibri" w:eastAsia="Calibri" w:hAnsi="Calibri" w:cs="Times New Roman"/>
      <w:kern w:val="0"/>
      <w:sz w:val="20"/>
      <w:szCs w:val="20"/>
      <w14:ligatures w14:val="none"/>
    </w:rPr>
  </w:style>
  <w:style w:type="character" w:styleId="CommentReference">
    <w:name w:val="annotation reference"/>
    <w:basedOn w:val="DefaultParagraphFont"/>
    <w:uiPriority w:val="99"/>
    <w:semiHidden/>
    <w:unhideWhenUsed/>
    <w:rsid w:val="00A70B66"/>
    <w:rPr>
      <w:sz w:val="16"/>
      <w:szCs w:val="16"/>
    </w:rPr>
  </w:style>
  <w:style w:type="paragraph" w:styleId="CommentSubject">
    <w:name w:val="annotation subject"/>
    <w:basedOn w:val="CommentText"/>
    <w:next w:val="CommentText"/>
    <w:link w:val="CommentSubjectChar"/>
    <w:uiPriority w:val="99"/>
    <w:semiHidden/>
    <w:unhideWhenUsed/>
    <w:rsid w:val="005375C7"/>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5375C7"/>
    <w:rPr>
      <w:rFonts w:ascii="Calibri" w:eastAsia="Calibri" w:hAnsi="Calibri" w:cs="Times New Roman"/>
      <w:b/>
      <w:bCs/>
      <w:kern w:val="0"/>
      <w:sz w:val="20"/>
      <w:szCs w:val="20"/>
      <w14:ligatures w14:val="none"/>
    </w:rPr>
  </w:style>
  <w:style w:type="paragraph" w:styleId="Revision">
    <w:name w:val="Revision"/>
    <w:hidden/>
    <w:uiPriority w:val="99"/>
    <w:semiHidden/>
    <w:rsid w:val="00680D39"/>
    <w:pPr>
      <w:spacing w:after="0" w:line="240" w:lineRule="auto"/>
    </w:pPr>
  </w:style>
  <w:style w:type="character" w:customStyle="1" w:styleId="UnresolvedMention">
    <w:name w:val="Unresolved Mention"/>
    <w:basedOn w:val="DefaultParagraphFont"/>
    <w:uiPriority w:val="99"/>
    <w:semiHidden/>
    <w:unhideWhenUsed/>
    <w:rsid w:val="006D7353"/>
    <w:rPr>
      <w:color w:val="605E5C"/>
      <w:shd w:val="clear" w:color="auto" w:fill="E1DFDD"/>
    </w:rPr>
  </w:style>
  <w:style w:type="paragraph" w:styleId="EndnoteText">
    <w:name w:val="endnote text"/>
    <w:basedOn w:val="Normal"/>
    <w:link w:val="EndnoteTextChar"/>
    <w:uiPriority w:val="99"/>
    <w:semiHidden/>
    <w:unhideWhenUsed/>
    <w:rsid w:val="005B03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3AE"/>
    <w:rPr>
      <w:sz w:val="20"/>
      <w:szCs w:val="20"/>
    </w:rPr>
  </w:style>
  <w:style w:type="character" w:styleId="EndnoteReference">
    <w:name w:val="endnote reference"/>
    <w:basedOn w:val="DefaultParagraphFont"/>
    <w:uiPriority w:val="99"/>
    <w:semiHidden/>
    <w:unhideWhenUsed/>
    <w:rsid w:val="005B0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22">
      <w:bodyDiv w:val="1"/>
      <w:marLeft w:val="0"/>
      <w:marRight w:val="0"/>
      <w:marTop w:val="0"/>
      <w:marBottom w:val="0"/>
      <w:divBdr>
        <w:top w:val="none" w:sz="0" w:space="0" w:color="auto"/>
        <w:left w:val="none" w:sz="0" w:space="0" w:color="auto"/>
        <w:bottom w:val="none" w:sz="0" w:space="0" w:color="auto"/>
        <w:right w:val="none" w:sz="0" w:space="0" w:color="auto"/>
      </w:divBdr>
    </w:div>
    <w:div w:id="151681871">
      <w:bodyDiv w:val="1"/>
      <w:marLeft w:val="0"/>
      <w:marRight w:val="0"/>
      <w:marTop w:val="0"/>
      <w:marBottom w:val="0"/>
      <w:divBdr>
        <w:top w:val="none" w:sz="0" w:space="0" w:color="auto"/>
        <w:left w:val="none" w:sz="0" w:space="0" w:color="auto"/>
        <w:bottom w:val="none" w:sz="0" w:space="0" w:color="auto"/>
        <w:right w:val="none" w:sz="0" w:space="0" w:color="auto"/>
      </w:divBdr>
    </w:div>
    <w:div w:id="209652271">
      <w:bodyDiv w:val="1"/>
      <w:marLeft w:val="0"/>
      <w:marRight w:val="0"/>
      <w:marTop w:val="0"/>
      <w:marBottom w:val="0"/>
      <w:divBdr>
        <w:top w:val="none" w:sz="0" w:space="0" w:color="auto"/>
        <w:left w:val="none" w:sz="0" w:space="0" w:color="auto"/>
        <w:bottom w:val="none" w:sz="0" w:space="0" w:color="auto"/>
        <w:right w:val="none" w:sz="0" w:space="0" w:color="auto"/>
      </w:divBdr>
    </w:div>
    <w:div w:id="331757816">
      <w:bodyDiv w:val="1"/>
      <w:marLeft w:val="0"/>
      <w:marRight w:val="0"/>
      <w:marTop w:val="0"/>
      <w:marBottom w:val="0"/>
      <w:divBdr>
        <w:top w:val="none" w:sz="0" w:space="0" w:color="auto"/>
        <w:left w:val="none" w:sz="0" w:space="0" w:color="auto"/>
        <w:bottom w:val="none" w:sz="0" w:space="0" w:color="auto"/>
        <w:right w:val="none" w:sz="0" w:space="0" w:color="auto"/>
      </w:divBdr>
    </w:div>
    <w:div w:id="431633341">
      <w:bodyDiv w:val="1"/>
      <w:marLeft w:val="0"/>
      <w:marRight w:val="0"/>
      <w:marTop w:val="0"/>
      <w:marBottom w:val="0"/>
      <w:divBdr>
        <w:top w:val="none" w:sz="0" w:space="0" w:color="auto"/>
        <w:left w:val="none" w:sz="0" w:space="0" w:color="auto"/>
        <w:bottom w:val="none" w:sz="0" w:space="0" w:color="auto"/>
        <w:right w:val="none" w:sz="0" w:space="0" w:color="auto"/>
      </w:divBdr>
    </w:div>
    <w:div w:id="443694665">
      <w:bodyDiv w:val="1"/>
      <w:marLeft w:val="0"/>
      <w:marRight w:val="0"/>
      <w:marTop w:val="0"/>
      <w:marBottom w:val="0"/>
      <w:divBdr>
        <w:top w:val="none" w:sz="0" w:space="0" w:color="auto"/>
        <w:left w:val="none" w:sz="0" w:space="0" w:color="auto"/>
        <w:bottom w:val="none" w:sz="0" w:space="0" w:color="auto"/>
        <w:right w:val="none" w:sz="0" w:space="0" w:color="auto"/>
      </w:divBdr>
    </w:div>
    <w:div w:id="526066619">
      <w:bodyDiv w:val="1"/>
      <w:marLeft w:val="0"/>
      <w:marRight w:val="0"/>
      <w:marTop w:val="0"/>
      <w:marBottom w:val="0"/>
      <w:divBdr>
        <w:top w:val="none" w:sz="0" w:space="0" w:color="auto"/>
        <w:left w:val="none" w:sz="0" w:space="0" w:color="auto"/>
        <w:bottom w:val="none" w:sz="0" w:space="0" w:color="auto"/>
        <w:right w:val="none" w:sz="0" w:space="0" w:color="auto"/>
      </w:divBdr>
    </w:div>
    <w:div w:id="1037706956">
      <w:bodyDiv w:val="1"/>
      <w:marLeft w:val="0"/>
      <w:marRight w:val="0"/>
      <w:marTop w:val="0"/>
      <w:marBottom w:val="0"/>
      <w:divBdr>
        <w:top w:val="none" w:sz="0" w:space="0" w:color="auto"/>
        <w:left w:val="none" w:sz="0" w:space="0" w:color="auto"/>
        <w:bottom w:val="none" w:sz="0" w:space="0" w:color="auto"/>
        <w:right w:val="none" w:sz="0" w:space="0" w:color="auto"/>
      </w:divBdr>
    </w:div>
    <w:div w:id="1164585710">
      <w:bodyDiv w:val="1"/>
      <w:marLeft w:val="0"/>
      <w:marRight w:val="0"/>
      <w:marTop w:val="0"/>
      <w:marBottom w:val="0"/>
      <w:divBdr>
        <w:top w:val="none" w:sz="0" w:space="0" w:color="auto"/>
        <w:left w:val="none" w:sz="0" w:space="0" w:color="auto"/>
        <w:bottom w:val="none" w:sz="0" w:space="0" w:color="auto"/>
        <w:right w:val="none" w:sz="0" w:space="0" w:color="auto"/>
      </w:divBdr>
    </w:div>
    <w:div w:id="1277982137">
      <w:bodyDiv w:val="1"/>
      <w:marLeft w:val="0"/>
      <w:marRight w:val="0"/>
      <w:marTop w:val="0"/>
      <w:marBottom w:val="0"/>
      <w:divBdr>
        <w:top w:val="none" w:sz="0" w:space="0" w:color="auto"/>
        <w:left w:val="none" w:sz="0" w:space="0" w:color="auto"/>
        <w:bottom w:val="none" w:sz="0" w:space="0" w:color="auto"/>
        <w:right w:val="none" w:sz="0" w:space="0" w:color="auto"/>
      </w:divBdr>
    </w:div>
    <w:div w:id="1391423861">
      <w:bodyDiv w:val="1"/>
      <w:marLeft w:val="0"/>
      <w:marRight w:val="0"/>
      <w:marTop w:val="0"/>
      <w:marBottom w:val="0"/>
      <w:divBdr>
        <w:top w:val="none" w:sz="0" w:space="0" w:color="auto"/>
        <w:left w:val="none" w:sz="0" w:space="0" w:color="auto"/>
        <w:bottom w:val="none" w:sz="0" w:space="0" w:color="auto"/>
        <w:right w:val="none" w:sz="0" w:space="0" w:color="auto"/>
      </w:divBdr>
    </w:div>
    <w:div w:id="1509829940">
      <w:bodyDiv w:val="1"/>
      <w:marLeft w:val="0"/>
      <w:marRight w:val="0"/>
      <w:marTop w:val="0"/>
      <w:marBottom w:val="0"/>
      <w:divBdr>
        <w:top w:val="none" w:sz="0" w:space="0" w:color="auto"/>
        <w:left w:val="none" w:sz="0" w:space="0" w:color="auto"/>
        <w:bottom w:val="none" w:sz="0" w:space="0" w:color="auto"/>
        <w:right w:val="none" w:sz="0" w:space="0" w:color="auto"/>
      </w:divBdr>
    </w:div>
    <w:div w:id="1576435216">
      <w:bodyDiv w:val="1"/>
      <w:marLeft w:val="0"/>
      <w:marRight w:val="0"/>
      <w:marTop w:val="0"/>
      <w:marBottom w:val="0"/>
      <w:divBdr>
        <w:top w:val="none" w:sz="0" w:space="0" w:color="auto"/>
        <w:left w:val="none" w:sz="0" w:space="0" w:color="auto"/>
        <w:bottom w:val="none" w:sz="0" w:space="0" w:color="auto"/>
        <w:right w:val="none" w:sz="0" w:space="0" w:color="auto"/>
      </w:divBdr>
    </w:div>
    <w:div w:id="1582527104">
      <w:bodyDiv w:val="1"/>
      <w:marLeft w:val="0"/>
      <w:marRight w:val="0"/>
      <w:marTop w:val="0"/>
      <w:marBottom w:val="0"/>
      <w:divBdr>
        <w:top w:val="none" w:sz="0" w:space="0" w:color="auto"/>
        <w:left w:val="none" w:sz="0" w:space="0" w:color="auto"/>
        <w:bottom w:val="none" w:sz="0" w:space="0" w:color="auto"/>
        <w:right w:val="none" w:sz="0" w:space="0" w:color="auto"/>
      </w:divBdr>
    </w:div>
    <w:div w:id="1911230406">
      <w:bodyDiv w:val="1"/>
      <w:marLeft w:val="0"/>
      <w:marRight w:val="0"/>
      <w:marTop w:val="0"/>
      <w:marBottom w:val="0"/>
      <w:divBdr>
        <w:top w:val="none" w:sz="0" w:space="0" w:color="auto"/>
        <w:left w:val="none" w:sz="0" w:space="0" w:color="auto"/>
        <w:bottom w:val="none" w:sz="0" w:space="0" w:color="auto"/>
        <w:right w:val="none" w:sz="0" w:space="0" w:color="auto"/>
      </w:divBdr>
      <w:divsChild>
        <w:div w:id="257294581">
          <w:marLeft w:val="0"/>
          <w:marRight w:val="0"/>
          <w:marTop w:val="120"/>
          <w:marBottom w:val="0"/>
          <w:divBdr>
            <w:top w:val="none" w:sz="0" w:space="0" w:color="auto"/>
            <w:left w:val="none" w:sz="0" w:space="0" w:color="auto"/>
            <w:bottom w:val="none" w:sz="0" w:space="0" w:color="auto"/>
            <w:right w:val="none" w:sz="0" w:space="0" w:color="auto"/>
          </w:divBdr>
        </w:div>
        <w:div w:id="846140474">
          <w:marLeft w:val="0"/>
          <w:marRight w:val="0"/>
          <w:marTop w:val="240"/>
          <w:marBottom w:val="24"/>
          <w:divBdr>
            <w:top w:val="single" w:sz="8" w:space="2" w:color="808080"/>
            <w:left w:val="none" w:sz="0" w:space="0" w:color="auto"/>
            <w:bottom w:val="none" w:sz="0" w:space="0" w:color="auto"/>
            <w:right w:val="none" w:sz="0" w:space="0" w:color="auto"/>
          </w:divBdr>
        </w:div>
        <w:div w:id="287860606">
          <w:marLeft w:val="0"/>
          <w:marRight w:val="0"/>
          <w:marTop w:val="120"/>
          <w:marBottom w:val="0"/>
          <w:divBdr>
            <w:top w:val="none" w:sz="0" w:space="0" w:color="auto"/>
            <w:left w:val="none" w:sz="0" w:space="0" w:color="auto"/>
            <w:bottom w:val="none" w:sz="0" w:space="0" w:color="auto"/>
            <w:right w:val="none" w:sz="0" w:space="0" w:color="auto"/>
          </w:divBdr>
        </w:div>
        <w:div w:id="1938711458">
          <w:marLeft w:val="0"/>
          <w:marRight w:val="0"/>
          <w:marTop w:val="120"/>
          <w:marBottom w:val="0"/>
          <w:divBdr>
            <w:top w:val="none" w:sz="0" w:space="0" w:color="auto"/>
            <w:left w:val="none" w:sz="0" w:space="0" w:color="auto"/>
            <w:bottom w:val="none" w:sz="0" w:space="0" w:color="auto"/>
            <w:right w:val="none" w:sz="0" w:space="0" w:color="auto"/>
          </w:divBdr>
        </w:div>
      </w:divsChild>
    </w:div>
    <w:div w:id="1952668783">
      <w:bodyDiv w:val="1"/>
      <w:marLeft w:val="0"/>
      <w:marRight w:val="0"/>
      <w:marTop w:val="0"/>
      <w:marBottom w:val="0"/>
      <w:divBdr>
        <w:top w:val="none" w:sz="0" w:space="0" w:color="auto"/>
        <w:left w:val="none" w:sz="0" w:space="0" w:color="auto"/>
        <w:bottom w:val="none" w:sz="0" w:space="0" w:color="auto"/>
        <w:right w:val="none" w:sz="0" w:space="0" w:color="auto"/>
      </w:divBdr>
    </w:div>
    <w:div w:id="21241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ca1998149/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ca19981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a1998149/index.html" TargetMode="External"/><Relationship Id="rId5" Type="http://schemas.openxmlformats.org/officeDocument/2006/relationships/webSettings" Target="webSettings.xml"/><Relationship Id="rId15" Type="http://schemas.openxmlformats.org/officeDocument/2006/relationships/hyperlink" Target="http://www.saflii.org/za/legis/consol_act/ca1998149/" TargetMode="External"/><Relationship Id="rId10" Type="http://schemas.openxmlformats.org/officeDocument/2006/relationships/hyperlink" Target="http://www.saflii.org/za/legis/consol_act/ca1998149/" TargetMode="External"/><Relationship Id="rId4" Type="http://schemas.openxmlformats.org/officeDocument/2006/relationships/settings" Target="settings.xml"/><Relationship Id="rId9" Type="http://schemas.openxmlformats.org/officeDocument/2006/relationships/hyperlink" Target="http://www.saflii.org/za/legis/consol_act/ca1998149/index.html" TargetMode="External"/><Relationship Id="rId14" Type="http://schemas.openxmlformats.org/officeDocument/2006/relationships/hyperlink" Target="http://www.saflii.org/za/legis/consol_act/ca1998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5EC9-4042-46DB-B5A2-8053356D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5368</Words>
  <Characters>30599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Mary Bruce</cp:lastModifiedBy>
  <cp:revision>4</cp:revision>
  <cp:lastPrinted>2023-10-24T12:18:00Z</cp:lastPrinted>
  <dcterms:created xsi:type="dcterms:W3CDTF">2023-10-24T12:36:00Z</dcterms:created>
  <dcterms:modified xsi:type="dcterms:W3CDTF">2023-10-26T15:19:00Z</dcterms:modified>
</cp:coreProperties>
</file>