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3D5B4" w14:textId="77777777" w:rsidR="00F56ABE" w:rsidRPr="00E759D0" w:rsidRDefault="00F56ABE" w:rsidP="00E759D0">
      <w:pPr>
        <w:spacing w:before="120" w:after="120" w:line="360" w:lineRule="auto"/>
        <w:ind w:left="566" w:hangingChars="236" w:hanging="566"/>
        <w:jc w:val="center"/>
        <w:rPr>
          <w:rFonts w:ascii="Arial" w:eastAsia="Times New Roman" w:hAnsi="Arial" w:cs="Arial"/>
          <w:sz w:val="24"/>
          <w:szCs w:val="24"/>
          <w:lang w:eastAsia="en-GB"/>
        </w:rPr>
      </w:pPr>
      <w:bookmarkStart w:id="0" w:name="_GoBack"/>
      <w:bookmarkEnd w:id="0"/>
      <w:r w:rsidRPr="00E759D0">
        <w:rPr>
          <w:rFonts w:ascii="Arial" w:hAnsi="Arial" w:cs="Arial"/>
          <w:b/>
          <w:noProof/>
          <w:sz w:val="24"/>
          <w:szCs w:val="24"/>
          <w:lang w:eastAsia="en-ZA"/>
        </w:rPr>
        <w:drawing>
          <wp:inline distT="0" distB="0" distL="0" distR="0" wp14:anchorId="383352CE" wp14:editId="23FC873F">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324A26BE" w14:textId="77777777" w:rsidR="00F56ABE" w:rsidRPr="00E759D0" w:rsidRDefault="00F56ABE" w:rsidP="00E759D0">
      <w:pPr>
        <w:spacing w:before="120" w:after="120" w:line="360" w:lineRule="auto"/>
        <w:ind w:left="566" w:hangingChars="236" w:hanging="566"/>
        <w:jc w:val="center"/>
        <w:rPr>
          <w:rFonts w:ascii="Arial" w:eastAsia="Times New Roman" w:hAnsi="Arial" w:cs="Arial"/>
          <w:b/>
          <w:sz w:val="24"/>
          <w:szCs w:val="24"/>
          <w:lang w:eastAsia="en-GB"/>
        </w:rPr>
      </w:pPr>
      <w:r w:rsidRPr="00E759D0">
        <w:rPr>
          <w:rFonts w:ascii="Arial" w:eastAsia="Times New Roman" w:hAnsi="Arial" w:cs="Arial"/>
          <w:b/>
          <w:sz w:val="24"/>
          <w:szCs w:val="24"/>
          <w:lang w:eastAsia="en-GB"/>
        </w:rPr>
        <w:t>IN THE HIGH COURT OF SOUTH AFRICA</w:t>
      </w:r>
    </w:p>
    <w:p w14:paraId="61BD2462" w14:textId="77777777" w:rsidR="00F56ABE" w:rsidRPr="00E759D0" w:rsidRDefault="00F56ABE" w:rsidP="00E759D0">
      <w:pPr>
        <w:spacing w:before="120" w:after="120" w:line="360" w:lineRule="auto"/>
        <w:ind w:left="566" w:hangingChars="236" w:hanging="566"/>
        <w:jc w:val="center"/>
        <w:rPr>
          <w:rFonts w:ascii="Arial" w:eastAsia="Times New Roman" w:hAnsi="Arial" w:cs="Arial"/>
          <w:b/>
          <w:sz w:val="24"/>
          <w:szCs w:val="24"/>
          <w:lang w:eastAsia="en-GB"/>
        </w:rPr>
      </w:pPr>
      <w:r w:rsidRPr="00E759D0">
        <w:rPr>
          <w:rFonts w:ascii="Arial" w:eastAsia="Times New Roman" w:hAnsi="Arial" w:cs="Arial"/>
          <w:b/>
          <w:sz w:val="24"/>
          <w:szCs w:val="24"/>
          <w:lang w:eastAsia="en-GB"/>
        </w:rPr>
        <w:t>(GAUTENG DIVISION, PRETORIA)</w:t>
      </w:r>
    </w:p>
    <w:p w14:paraId="3029A9E1" w14:textId="77777777" w:rsidR="00F56ABE" w:rsidRPr="00E759D0" w:rsidRDefault="00F56ABE" w:rsidP="00E759D0">
      <w:pPr>
        <w:spacing w:line="360" w:lineRule="auto"/>
        <w:jc w:val="right"/>
        <w:rPr>
          <w:rFonts w:ascii="Arial" w:hAnsi="Arial" w:cs="Arial"/>
          <w:b/>
          <w:sz w:val="24"/>
          <w:szCs w:val="24"/>
          <w:lang w:eastAsia="en-GB"/>
        </w:rPr>
      </w:pPr>
    </w:p>
    <w:p w14:paraId="4966F441" w14:textId="77777777" w:rsidR="00F56ABE" w:rsidRPr="00E759D0" w:rsidRDefault="00F56ABE" w:rsidP="00E759D0">
      <w:pPr>
        <w:spacing w:line="360" w:lineRule="auto"/>
        <w:jc w:val="right"/>
        <w:rPr>
          <w:rFonts w:ascii="Arial" w:hAnsi="Arial" w:cs="Arial"/>
          <w:sz w:val="24"/>
          <w:szCs w:val="24"/>
        </w:rPr>
      </w:pPr>
      <w:r w:rsidRPr="00E759D0">
        <w:rPr>
          <w:rFonts w:ascii="Arial" w:hAnsi="Arial" w:cs="Arial"/>
          <w:b/>
          <w:sz w:val="24"/>
          <w:szCs w:val="24"/>
          <w:lang w:eastAsia="en-GB"/>
        </w:rPr>
        <w:t>CASE NO:</w:t>
      </w:r>
      <w:r w:rsidRPr="00E759D0">
        <w:rPr>
          <w:rFonts w:ascii="Arial" w:hAnsi="Arial" w:cs="Arial"/>
          <w:sz w:val="24"/>
          <w:szCs w:val="24"/>
        </w:rPr>
        <w:t xml:space="preserve"> B38737/2022</w:t>
      </w:r>
    </w:p>
    <w:p w14:paraId="0DB54173" w14:textId="77777777" w:rsidR="00F56ABE" w:rsidRPr="00E759D0" w:rsidRDefault="00F56ABE" w:rsidP="00E759D0">
      <w:pPr>
        <w:pStyle w:val="NormalWeb"/>
        <w:spacing w:line="360" w:lineRule="auto"/>
        <w:ind w:left="4321" w:firstLine="720"/>
        <w:jc w:val="right"/>
        <w:rPr>
          <w:rFonts w:ascii="Arial" w:hAnsi="Arial" w:cs="Arial"/>
          <w:b/>
          <w:lang w:eastAsia="en-GB"/>
        </w:rPr>
      </w:pPr>
    </w:p>
    <w:p w14:paraId="7D9C9877" w14:textId="77777777" w:rsidR="00F56ABE" w:rsidRPr="00E759D0" w:rsidRDefault="00F56ABE" w:rsidP="00E759D0">
      <w:pPr>
        <w:spacing w:after="0" w:line="360" w:lineRule="auto"/>
        <w:ind w:left="566" w:hangingChars="236" w:hanging="566"/>
        <w:jc w:val="right"/>
        <w:rPr>
          <w:rFonts w:ascii="Arial" w:eastAsia="Times New Roman" w:hAnsi="Arial" w:cs="Arial"/>
          <w:sz w:val="24"/>
          <w:szCs w:val="24"/>
          <w:lang w:eastAsia="en-GB"/>
        </w:rPr>
      </w:pPr>
      <w:r w:rsidRPr="00E759D0">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29DD50A2" wp14:editId="2A6B1B0A">
                <wp:simplePos x="0" y="0"/>
                <wp:positionH relativeFrom="margin">
                  <wp:align>left</wp:align>
                </wp:positionH>
                <wp:positionV relativeFrom="paragraph">
                  <wp:posOffset>6350</wp:posOffset>
                </wp:positionV>
                <wp:extent cx="3232785" cy="1036320"/>
                <wp:effectExtent l="0" t="0" r="2476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036320"/>
                        </a:xfrm>
                        <a:prstGeom prst="rect">
                          <a:avLst/>
                        </a:prstGeom>
                        <a:solidFill>
                          <a:srgbClr val="FFFFFF"/>
                        </a:solidFill>
                        <a:ln w="9525">
                          <a:solidFill>
                            <a:srgbClr val="000000"/>
                          </a:solidFill>
                          <a:miter lim="800000"/>
                          <a:headEnd/>
                          <a:tailEnd/>
                        </a:ln>
                      </wps:spPr>
                      <wps:txbx>
                        <w:txbxContent>
                          <w:p w14:paraId="1A428997" w14:textId="709E8CBB" w:rsidR="004D4B2E" w:rsidRPr="00010B2A" w:rsidRDefault="004D4B2E" w:rsidP="00F56ABE">
                            <w:pPr>
                              <w:numPr>
                                <w:ilvl w:val="0"/>
                                <w:numId w:val="11"/>
                              </w:numPr>
                              <w:spacing w:after="0" w:line="240" w:lineRule="auto"/>
                              <w:rPr>
                                <w:rFonts w:cstheme="minorHAnsi"/>
                                <w:sz w:val="20"/>
                                <w:szCs w:val="20"/>
                              </w:rPr>
                            </w:pPr>
                            <w:r>
                              <w:rPr>
                                <w:rFonts w:cstheme="minorHAnsi"/>
                                <w:sz w:val="20"/>
                                <w:szCs w:val="20"/>
                              </w:rPr>
                              <w:t>REPORTABLE: YES</w:t>
                            </w:r>
                          </w:p>
                          <w:p w14:paraId="05A51F54" w14:textId="77777777" w:rsidR="004D4B2E" w:rsidRPr="00010B2A" w:rsidRDefault="004D4B2E" w:rsidP="00F56ABE">
                            <w:pPr>
                              <w:numPr>
                                <w:ilvl w:val="0"/>
                                <w:numId w:val="11"/>
                              </w:numPr>
                              <w:spacing w:after="0" w:line="240" w:lineRule="auto"/>
                              <w:rPr>
                                <w:rFonts w:cstheme="minorHAnsi"/>
                                <w:sz w:val="20"/>
                                <w:szCs w:val="20"/>
                              </w:rPr>
                            </w:pPr>
                            <w:r w:rsidRPr="00010B2A">
                              <w:rPr>
                                <w:rFonts w:cstheme="minorHAnsi"/>
                                <w:sz w:val="20"/>
                                <w:szCs w:val="20"/>
                              </w:rPr>
                              <w:t>OF INTEREST TO OTHER JUDGES: NO</w:t>
                            </w:r>
                          </w:p>
                          <w:p w14:paraId="2AAF9935" w14:textId="77777777" w:rsidR="004D4B2E" w:rsidRPr="00010B2A" w:rsidRDefault="004D4B2E" w:rsidP="00F56ABE">
                            <w:pPr>
                              <w:numPr>
                                <w:ilvl w:val="0"/>
                                <w:numId w:val="11"/>
                              </w:numPr>
                              <w:spacing w:after="0" w:line="240" w:lineRule="auto"/>
                              <w:rPr>
                                <w:rFonts w:cstheme="minorHAnsi"/>
                                <w:sz w:val="20"/>
                                <w:szCs w:val="20"/>
                              </w:rPr>
                            </w:pPr>
                            <w:r w:rsidRPr="00010B2A">
                              <w:rPr>
                                <w:rFonts w:cstheme="minorHAnsi"/>
                                <w:sz w:val="20"/>
                                <w:szCs w:val="20"/>
                              </w:rPr>
                              <w:t>REVISED</w:t>
                            </w:r>
                          </w:p>
                          <w:p w14:paraId="2D9548DE" w14:textId="77777777" w:rsidR="004D4B2E" w:rsidRPr="00010B2A" w:rsidRDefault="004D4B2E" w:rsidP="00F56ABE">
                            <w:pPr>
                              <w:spacing w:after="0" w:line="240" w:lineRule="auto"/>
                              <w:ind w:firstLine="180"/>
                              <w:rPr>
                                <w:rFonts w:cstheme="minorHAnsi"/>
                                <w:sz w:val="20"/>
                                <w:szCs w:val="20"/>
                              </w:rPr>
                            </w:pPr>
                            <w:r w:rsidRPr="00010B2A">
                              <w:rPr>
                                <w:rFonts w:cstheme="minorHAnsi"/>
                                <w:sz w:val="20"/>
                                <w:szCs w:val="20"/>
                              </w:rPr>
                              <w:t xml:space="preserve"> </w:t>
                            </w:r>
                          </w:p>
                          <w:p w14:paraId="5319327B" w14:textId="77777777" w:rsidR="004D4B2E" w:rsidRPr="00010B2A" w:rsidRDefault="004D4B2E" w:rsidP="00F56ABE">
                            <w:pPr>
                              <w:spacing w:after="0" w:line="240" w:lineRule="auto"/>
                              <w:ind w:firstLine="180"/>
                              <w:rPr>
                                <w:rFonts w:cstheme="minorHAnsi"/>
                                <w:sz w:val="20"/>
                                <w:szCs w:val="20"/>
                              </w:rPr>
                            </w:pPr>
                            <w:r w:rsidRPr="00010B2A">
                              <w:rPr>
                                <w:rFonts w:cstheme="minorHAnsi"/>
                                <w:sz w:val="20"/>
                                <w:szCs w:val="20"/>
                              </w:rPr>
                              <w:t>________________                   ___________________</w:t>
                            </w:r>
                          </w:p>
                          <w:p w14:paraId="08B27D9E" w14:textId="77777777" w:rsidR="004D4B2E" w:rsidRPr="00010B2A" w:rsidRDefault="004D4B2E" w:rsidP="00F56ABE">
                            <w:pPr>
                              <w:spacing w:after="0" w:line="240" w:lineRule="auto"/>
                              <w:ind w:firstLine="180"/>
                              <w:rPr>
                                <w:rFonts w:cstheme="minorHAnsi"/>
                                <w:sz w:val="20"/>
                                <w:szCs w:val="20"/>
                              </w:rPr>
                            </w:pPr>
                            <w:r w:rsidRPr="00010B2A">
                              <w:rPr>
                                <w:rFonts w:cstheme="minorHAnsi"/>
                                <w:sz w:val="20"/>
                                <w:szCs w:val="20"/>
                              </w:rPr>
                              <w:t xml:space="preserve">Date   </w:t>
                            </w:r>
                            <w:r w:rsidRPr="00010B2A">
                              <w:rPr>
                                <w:rFonts w:eastAsia="Times New Roman" w:cstheme="minorHAnsi"/>
                                <w:sz w:val="24"/>
                                <w:szCs w:val="24"/>
                                <w:lang w:eastAsia="en-GB"/>
                              </w:rPr>
                              <w:tab/>
                            </w:r>
                            <w:r w:rsidRPr="00010B2A">
                              <w:rPr>
                                <w:rFonts w:eastAsia="Times New Roman" w:cstheme="minorHAnsi"/>
                                <w:sz w:val="24"/>
                                <w:szCs w:val="24"/>
                                <w:lang w:eastAsia="en-GB"/>
                              </w:rPr>
                              <w:tab/>
                            </w:r>
                            <w:r w:rsidRPr="00010B2A">
                              <w:rPr>
                                <w:rFonts w:eastAsia="Times New Roman" w:cstheme="minorHAnsi"/>
                                <w:sz w:val="24"/>
                                <w:szCs w:val="24"/>
                                <w:lang w:eastAsia="en-GB"/>
                              </w:rPr>
                              <w:tab/>
                            </w:r>
                            <w:r w:rsidRPr="00010B2A">
                              <w:rPr>
                                <w:rFonts w:cstheme="minorHAnsi"/>
                                <w:sz w:val="20"/>
                                <w:szCs w:val="20"/>
                              </w:rPr>
                              <w:t>Signature</w:t>
                            </w:r>
                            <w:r w:rsidRPr="00010B2A">
                              <w:rPr>
                                <w:rFonts w:cstheme="minorHAnsi"/>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9DD50A2" id="_x0000_t202" coordsize="21600,21600" o:spt="202" path="m,l,21600r21600,l21600,xe">
                <v:stroke joinstyle="miter"/>
                <v:path gradientshapeok="t" o:connecttype="rect"/>
              </v:shapetype>
              <v:shape id="Text Box 2" o:spid="_x0000_s1026" type="#_x0000_t202" style="position:absolute;left:0;text-align:left;margin-left:0;margin-top:.5pt;width:254.55pt;height:81.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">
                <v:textbox>
                  <w:txbxContent>
                    <w:p w14:paraId="1A428997" w14:textId="709E8CBB" w:rsidR="004D4B2E" w:rsidRPr="00010B2A" w:rsidRDefault="004D4B2E" w:rsidP="00F56ABE">
                      <w:pPr>
                        <w:numPr>
                          <w:ilvl w:val="0"/>
                          <w:numId w:val="11"/>
                        </w:numPr>
                        <w:spacing w:after="0" w:line="240" w:lineRule="auto"/>
                        <w:rPr>
                          <w:rFonts w:cstheme="minorHAnsi"/>
                          <w:sz w:val="20"/>
                          <w:szCs w:val="20"/>
                        </w:rPr>
                      </w:pPr>
                      <w:r>
                        <w:rPr>
                          <w:rFonts w:cstheme="minorHAnsi"/>
                          <w:sz w:val="20"/>
                          <w:szCs w:val="20"/>
                        </w:rPr>
                        <w:t>REPORTABLE: YES</w:t>
                      </w:r>
                      <w:bookmarkStart w:id="1" w:name="_GoBack"/>
                      <w:bookmarkEnd w:id="1"/>
                    </w:p>
                    <w:p w14:paraId="05A51F54" w14:textId="77777777" w:rsidR="004D4B2E" w:rsidRPr="00010B2A" w:rsidRDefault="004D4B2E" w:rsidP="00F56ABE">
                      <w:pPr>
                        <w:numPr>
                          <w:ilvl w:val="0"/>
                          <w:numId w:val="11"/>
                        </w:numPr>
                        <w:spacing w:after="0" w:line="240" w:lineRule="auto"/>
                        <w:rPr>
                          <w:rFonts w:cstheme="minorHAnsi"/>
                          <w:sz w:val="20"/>
                          <w:szCs w:val="20"/>
                        </w:rPr>
                      </w:pPr>
                      <w:r w:rsidRPr="00010B2A">
                        <w:rPr>
                          <w:rFonts w:cstheme="minorHAnsi"/>
                          <w:sz w:val="20"/>
                          <w:szCs w:val="20"/>
                        </w:rPr>
                        <w:t>OF INTEREST TO OTHER JUDGES: NO</w:t>
                      </w:r>
                    </w:p>
                    <w:p w14:paraId="2AAF9935" w14:textId="77777777" w:rsidR="004D4B2E" w:rsidRPr="00010B2A" w:rsidRDefault="004D4B2E" w:rsidP="00F56ABE">
                      <w:pPr>
                        <w:numPr>
                          <w:ilvl w:val="0"/>
                          <w:numId w:val="11"/>
                        </w:numPr>
                        <w:spacing w:after="0" w:line="240" w:lineRule="auto"/>
                        <w:rPr>
                          <w:rFonts w:cstheme="minorHAnsi"/>
                          <w:sz w:val="20"/>
                          <w:szCs w:val="20"/>
                        </w:rPr>
                      </w:pPr>
                      <w:r w:rsidRPr="00010B2A">
                        <w:rPr>
                          <w:rFonts w:cstheme="minorHAnsi"/>
                          <w:sz w:val="20"/>
                          <w:szCs w:val="20"/>
                        </w:rPr>
                        <w:t>REVISED</w:t>
                      </w:r>
                    </w:p>
                    <w:p w14:paraId="2D9548DE" w14:textId="77777777" w:rsidR="004D4B2E" w:rsidRPr="00010B2A" w:rsidRDefault="004D4B2E" w:rsidP="00F56ABE">
                      <w:pPr>
                        <w:spacing w:after="0" w:line="240" w:lineRule="auto"/>
                        <w:ind w:firstLine="180"/>
                        <w:rPr>
                          <w:rFonts w:cstheme="minorHAnsi"/>
                          <w:sz w:val="20"/>
                          <w:szCs w:val="20"/>
                        </w:rPr>
                      </w:pPr>
                      <w:r w:rsidRPr="00010B2A">
                        <w:rPr>
                          <w:rFonts w:cstheme="minorHAnsi"/>
                          <w:sz w:val="20"/>
                          <w:szCs w:val="20"/>
                        </w:rPr>
                        <w:t xml:space="preserve"> </w:t>
                      </w:r>
                    </w:p>
                    <w:p w14:paraId="5319327B" w14:textId="77777777" w:rsidR="004D4B2E" w:rsidRPr="00010B2A" w:rsidRDefault="004D4B2E" w:rsidP="00F56ABE">
                      <w:pPr>
                        <w:spacing w:after="0" w:line="240" w:lineRule="auto"/>
                        <w:ind w:firstLine="180"/>
                        <w:rPr>
                          <w:rFonts w:cstheme="minorHAnsi"/>
                          <w:sz w:val="20"/>
                          <w:szCs w:val="20"/>
                        </w:rPr>
                      </w:pPr>
                      <w:r w:rsidRPr="00010B2A">
                        <w:rPr>
                          <w:rFonts w:cstheme="minorHAnsi"/>
                          <w:sz w:val="20"/>
                          <w:szCs w:val="20"/>
                        </w:rPr>
                        <w:t>________________                   ___________________</w:t>
                      </w:r>
                    </w:p>
                    <w:p w14:paraId="08B27D9E" w14:textId="77777777" w:rsidR="004D4B2E" w:rsidRPr="00010B2A" w:rsidRDefault="004D4B2E" w:rsidP="00F56ABE">
                      <w:pPr>
                        <w:spacing w:after="0" w:line="240" w:lineRule="auto"/>
                        <w:ind w:firstLine="180"/>
                        <w:rPr>
                          <w:rFonts w:cstheme="minorHAnsi"/>
                          <w:sz w:val="20"/>
                          <w:szCs w:val="20"/>
                        </w:rPr>
                      </w:pPr>
                      <w:r w:rsidRPr="00010B2A">
                        <w:rPr>
                          <w:rFonts w:cstheme="minorHAnsi"/>
                          <w:sz w:val="20"/>
                          <w:szCs w:val="20"/>
                        </w:rPr>
                        <w:t xml:space="preserve">Date   </w:t>
                      </w:r>
                      <w:r w:rsidRPr="00010B2A">
                        <w:rPr>
                          <w:rFonts w:eastAsia="Times New Roman" w:cstheme="minorHAnsi"/>
                          <w:sz w:val="24"/>
                          <w:szCs w:val="24"/>
                          <w:lang w:eastAsia="en-GB"/>
                        </w:rPr>
                        <w:tab/>
                      </w:r>
                      <w:r w:rsidRPr="00010B2A">
                        <w:rPr>
                          <w:rFonts w:eastAsia="Times New Roman" w:cstheme="minorHAnsi"/>
                          <w:sz w:val="24"/>
                          <w:szCs w:val="24"/>
                          <w:lang w:eastAsia="en-GB"/>
                        </w:rPr>
                        <w:tab/>
                      </w:r>
                      <w:r w:rsidRPr="00010B2A">
                        <w:rPr>
                          <w:rFonts w:eastAsia="Times New Roman" w:cstheme="minorHAnsi"/>
                          <w:sz w:val="24"/>
                          <w:szCs w:val="24"/>
                          <w:lang w:eastAsia="en-GB"/>
                        </w:rPr>
                        <w:tab/>
                      </w:r>
                      <w:r w:rsidRPr="00010B2A">
                        <w:rPr>
                          <w:rFonts w:cstheme="minorHAnsi"/>
                          <w:sz w:val="20"/>
                          <w:szCs w:val="20"/>
                        </w:rPr>
                        <w:t>Signature</w:t>
                      </w:r>
                      <w:r w:rsidRPr="00010B2A">
                        <w:rPr>
                          <w:rFonts w:cstheme="minorHAnsi"/>
                          <w:b/>
                          <w:sz w:val="18"/>
                          <w:szCs w:val="18"/>
                        </w:rPr>
                        <w:t xml:space="preserve">    </w:t>
                      </w:r>
                    </w:p>
                  </w:txbxContent>
                </v:textbox>
                <w10:wrap anchorx="margin"/>
              </v:shape>
            </w:pict>
          </mc:Fallback>
        </mc:AlternateContent>
      </w:r>
    </w:p>
    <w:p w14:paraId="7B91F634" w14:textId="77777777" w:rsidR="00F56ABE" w:rsidRPr="00E759D0" w:rsidRDefault="00F56ABE" w:rsidP="00E759D0">
      <w:pPr>
        <w:spacing w:after="0" w:line="360" w:lineRule="auto"/>
        <w:ind w:left="566" w:hangingChars="236" w:hanging="566"/>
        <w:jc w:val="center"/>
        <w:rPr>
          <w:rFonts w:ascii="Arial" w:eastAsia="Times New Roman" w:hAnsi="Arial" w:cs="Arial"/>
          <w:sz w:val="24"/>
          <w:szCs w:val="24"/>
          <w:lang w:eastAsia="en-GB"/>
        </w:rPr>
      </w:pPr>
    </w:p>
    <w:p w14:paraId="299F152A" w14:textId="77777777" w:rsidR="00F56ABE" w:rsidRPr="00E759D0" w:rsidRDefault="00F56ABE" w:rsidP="00E759D0">
      <w:pPr>
        <w:spacing w:before="120" w:after="120" w:line="360" w:lineRule="auto"/>
        <w:jc w:val="center"/>
        <w:rPr>
          <w:rFonts w:ascii="Arial" w:hAnsi="Arial" w:cs="Arial"/>
          <w:sz w:val="24"/>
          <w:szCs w:val="24"/>
        </w:rPr>
      </w:pPr>
    </w:p>
    <w:p w14:paraId="56FBB1DD" w14:textId="77777777" w:rsidR="00F56ABE" w:rsidRPr="00E759D0" w:rsidRDefault="00F56ABE" w:rsidP="00E759D0">
      <w:pPr>
        <w:tabs>
          <w:tab w:val="left" w:pos="4917"/>
        </w:tabs>
        <w:spacing w:after="0" w:line="360" w:lineRule="auto"/>
        <w:rPr>
          <w:rFonts w:ascii="Arial" w:hAnsi="Arial" w:cs="Arial"/>
          <w:sz w:val="24"/>
          <w:szCs w:val="24"/>
        </w:rPr>
      </w:pPr>
    </w:p>
    <w:p w14:paraId="10E361AD" w14:textId="77777777" w:rsidR="00F56ABE" w:rsidRPr="00E759D0" w:rsidRDefault="00F56ABE" w:rsidP="00E759D0">
      <w:pPr>
        <w:tabs>
          <w:tab w:val="left" w:pos="4917"/>
        </w:tabs>
        <w:spacing w:after="0" w:line="360" w:lineRule="auto"/>
        <w:jc w:val="both"/>
        <w:rPr>
          <w:rFonts w:ascii="Arial" w:hAnsi="Arial" w:cs="Arial"/>
          <w:sz w:val="24"/>
          <w:szCs w:val="24"/>
        </w:rPr>
      </w:pPr>
    </w:p>
    <w:p w14:paraId="7E26DD05" w14:textId="77777777" w:rsidR="00F56ABE" w:rsidRPr="00E759D0" w:rsidRDefault="00F56ABE" w:rsidP="00E759D0">
      <w:pPr>
        <w:tabs>
          <w:tab w:val="left" w:pos="4917"/>
        </w:tabs>
        <w:spacing w:after="0" w:line="360" w:lineRule="auto"/>
        <w:rPr>
          <w:rFonts w:ascii="Arial" w:hAnsi="Arial" w:cs="Arial"/>
          <w:sz w:val="24"/>
          <w:szCs w:val="24"/>
        </w:rPr>
      </w:pPr>
      <w:r w:rsidRPr="00E759D0">
        <w:rPr>
          <w:rFonts w:ascii="Arial" w:hAnsi="Arial" w:cs="Arial"/>
          <w:sz w:val="24"/>
          <w:szCs w:val="24"/>
        </w:rPr>
        <w:t>In the matter between:</w:t>
      </w:r>
    </w:p>
    <w:p w14:paraId="33FA0B58" w14:textId="77777777" w:rsidR="00F56ABE" w:rsidRPr="00E759D0" w:rsidRDefault="00F56ABE" w:rsidP="00E759D0">
      <w:pPr>
        <w:tabs>
          <w:tab w:val="left" w:pos="4917"/>
        </w:tabs>
        <w:spacing w:after="0" w:line="360" w:lineRule="auto"/>
        <w:jc w:val="both"/>
        <w:rPr>
          <w:rFonts w:ascii="Arial" w:hAnsi="Arial" w:cs="Arial"/>
          <w:sz w:val="24"/>
          <w:szCs w:val="24"/>
        </w:rPr>
      </w:pPr>
    </w:p>
    <w:p w14:paraId="1A91F2A2" w14:textId="26DC2ECA" w:rsidR="00F56ABE" w:rsidRPr="00E759D0" w:rsidRDefault="00F56ABE" w:rsidP="00E759D0">
      <w:pPr>
        <w:tabs>
          <w:tab w:val="left" w:pos="4917"/>
        </w:tabs>
        <w:spacing w:after="0" w:line="360" w:lineRule="auto"/>
        <w:rPr>
          <w:rFonts w:ascii="Arial" w:hAnsi="Arial" w:cs="Arial"/>
          <w:b/>
          <w:sz w:val="24"/>
          <w:szCs w:val="24"/>
        </w:rPr>
      </w:pPr>
      <w:r w:rsidRPr="00E759D0">
        <w:rPr>
          <w:rFonts w:ascii="Arial" w:hAnsi="Arial" w:cs="Arial"/>
          <w:b/>
          <w:sz w:val="24"/>
          <w:szCs w:val="24"/>
        </w:rPr>
        <w:t xml:space="preserve">THULANI SILENCE DLOMO </w:t>
      </w:r>
      <w:r w:rsidRPr="00E759D0">
        <w:rPr>
          <w:rFonts w:ascii="Arial" w:hAnsi="Arial" w:cs="Arial"/>
          <w:b/>
          <w:sz w:val="24"/>
          <w:szCs w:val="24"/>
        </w:rPr>
        <w:tab/>
      </w:r>
      <w:r w:rsidRPr="00E759D0">
        <w:rPr>
          <w:rFonts w:ascii="Arial" w:hAnsi="Arial" w:cs="Arial"/>
          <w:b/>
          <w:sz w:val="24"/>
          <w:szCs w:val="24"/>
        </w:rPr>
        <w:tab/>
      </w:r>
      <w:r w:rsidRPr="00E759D0">
        <w:rPr>
          <w:rFonts w:ascii="Arial" w:hAnsi="Arial" w:cs="Arial"/>
          <w:b/>
          <w:sz w:val="24"/>
          <w:szCs w:val="24"/>
        </w:rPr>
        <w:tab/>
        <w:t xml:space="preserve">             </w:t>
      </w:r>
      <w:r w:rsidR="005C76D6" w:rsidRPr="00E759D0">
        <w:rPr>
          <w:rFonts w:ascii="Arial" w:hAnsi="Arial" w:cs="Arial"/>
          <w:b/>
          <w:sz w:val="24"/>
          <w:szCs w:val="24"/>
        </w:rPr>
        <w:tab/>
      </w:r>
      <w:r w:rsidR="00BE0F3F" w:rsidRPr="00E759D0">
        <w:rPr>
          <w:rFonts w:ascii="Arial" w:hAnsi="Arial" w:cs="Arial"/>
          <w:b/>
          <w:sz w:val="24"/>
          <w:szCs w:val="24"/>
        </w:rPr>
        <w:t xml:space="preserve">      </w:t>
      </w:r>
      <w:r w:rsidRPr="00E759D0">
        <w:rPr>
          <w:rFonts w:ascii="Arial" w:hAnsi="Arial" w:cs="Arial"/>
          <w:b/>
          <w:sz w:val="24"/>
          <w:szCs w:val="24"/>
        </w:rPr>
        <w:t>APPLICANT</w:t>
      </w:r>
    </w:p>
    <w:p w14:paraId="6C15E526" w14:textId="77777777" w:rsidR="00F56ABE" w:rsidRPr="00E759D0" w:rsidRDefault="00F56ABE" w:rsidP="00E759D0">
      <w:pPr>
        <w:tabs>
          <w:tab w:val="left" w:pos="4917"/>
        </w:tabs>
        <w:spacing w:after="0" w:line="360" w:lineRule="auto"/>
        <w:rPr>
          <w:rFonts w:ascii="Arial" w:hAnsi="Arial" w:cs="Arial"/>
          <w:b/>
          <w:sz w:val="24"/>
          <w:szCs w:val="24"/>
        </w:rPr>
      </w:pPr>
    </w:p>
    <w:p w14:paraId="1F04DAC4" w14:textId="77777777" w:rsidR="00F56ABE" w:rsidRPr="00E759D0" w:rsidRDefault="00F56ABE" w:rsidP="00E759D0">
      <w:pPr>
        <w:tabs>
          <w:tab w:val="left" w:pos="4917"/>
        </w:tabs>
        <w:spacing w:after="0" w:line="360" w:lineRule="auto"/>
        <w:rPr>
          <w:rFonts w:ascii="Arial" w:hAnsi="Arial" w:cs="Arial"/>
          <w:sz w:val="24"/>
          <w:szCs w:val="24"/>
        </w:rPr>
      </w:pPr>
      <w:r w:rsidRPr="00E759D0">
        <w:rPr>
          <w:rFonts w:ascii="Arial" w:hAnsi="Arial" w:cs="Arial"/>
          <w:sz w:val="24"/>
          <w:szCs w:val="24"/>
        </w:rPr>
        <w:t>and</w:t>
      </w:r>
    </w:p>
    <w:p w14:paraId="184963B4" w14:textId="77777777" w:rsidR="00F56ABE" w:rsidRPr="00E759D0" w:rsidRDefault="00F56ABE" w:rsidP="00E759D0">
      <w:pPr>
        <w:spacing w:after="0" w:line="360" w:lineRule="auto"/>
        <w:jc w:val="both"/>
        <w:rPr>
          <w:rFonts w:ascii="Arial" w:hAnsi="Arial" w:cs="Arial"/>
          <w:b/>
          <w:sz w:val="24"/>
          <w:szCs w:val="24"/>
        </w:rPr>
      </w:pPr>
    </w:p>
    <w:p w14:paraId="5282A357" w14:textId="77777777" w:rsidR="00F56ABE" w:rsidRPr="00E759D0" w:rsidRDefault="00F56ABE" w:rsidP="00E759D0">
      <w:pPr>
        <w:spacing w:after="0" w:line="360" w:lineRule="auto"/>
        <w:jc w:val="both"/>
        <w:rPr>
          <w:rFonts w:ascii="Arial" w:hAnsi="Arial" w:cs="Arial"/>
          <w:b/>
          <w:sz w:val="24"/>
          <w:szCs w:val="24"/>
        </w:rPr>
      </w:pPr>
      <w:r w:rsidRPr="00E759D0">
        <w:rPr>
          <w:rFonts w:ascii="Arial" w:hAnsi="Arial" w:cs="Arial"/>
          <w:b/>
          <w:sz w:val="24"/>
          <w:szCs w:val="24"/>
        </w:rPr>
        <w:t>THE DIRECTOR-GENERAL:</w:t>
      </w:r>
    </w:p>
    <w:p w14:paraId="78C12E39" w14:textId="77777777" w:rsidR="00F56ABE" w:rsidRPr="00E759D0" w:rsidRDefault="00F56ABE" w:rsidP="00E759D0">
      <w:pPr>
        <w:spacing w:after="0" w:line="360" w:lineRule="auto"/>
        <w:jc w:val="both"/>
        <w:rPr>
          <w:rFonts w:ascii="Arial" w:hAnsi="Arial" w:cs="Arial"/>
          <w:b/>
          <w:sz w:val="24"/>
          <w:szCs w:val="24"/>
        </w:rPr>
      </w:pPr>
      <w:r w:rsidRPr="00E759D0">
        <w:rPr>
          <w:rFonts w:ascii="Arial" w:hAnsi="Arial" w:cs="Arial"/>
          <w:b/>
          <w:sz w:val="24"/>
          <w:szCs w:val="24"/>
        </w:rPr>
        <w:t>STATE SECURITY AGENCY</w:t>
      </w:r>
      <w:r w:rsidRPr="00E759D0">
        <w:rPr>
          <w:rFonts w:ascii="Arial" w:hAnsi="Arial" w:cs="Arial"/>
          <w:b/>
          <w:sz w:val="24"/>
          <w:szCs w:val="24"/>
        </w:rPr>
        <w:tab/>
      </w:r>
      <w:r w:rsidRPr="00E759D0">
        <w:rPr>
          <w:rFonts w:ascii="Arial" w:hAnsi="Arial" w:cs="Arial"/>
          <w:b/>
          <w:sz w:val="24"/>
          <w:szCs w:val="24"/>
        </w:rPr>
        <w:tab/>
      </w:r>
      <w:r w:rsidRPr="00E759D0">
        <w:rPr>
          <w:rFonts w:ascii="Arial" w:hAnsi="Arial" w:cs="Arial"/>
          <w:b/>
          <w:sz w:val="24"/>
          <w:szCs w:val="24"/>
        </w:rPr>
        <w:tab/>
      </w:r>
      <w:r w:rsidRPr="00E759D0">
        <w:rPr>
          <w:rFonts w:ascii="Arial" w:hAnsi="Arial" w:cs="Arial"/>
          <w:b/>
          <w:sz w:val="24"/>
          <w:szCs w:val="24"/>
        </w:rPr>
        <w:tab/>
        <w:t xml:space="preserve">            FIRST RESPONDENT</w:t>
      </w:r>
    </w:p>
    <w:p w14:paraId="261736F2" w14:textId="77777777" w:rsidR="00F56ABE" w:rsidRPr="00E759D0" w:rsidRDefault="00F56ABE" w:rsidP="00E759D0">
      <w:pPr>
        <w:spacing w:after="0" w:line="360" w:lineRule="auto"/>
        <w:jc w:val="both"/>
        <w:rPr>
          <w:rFonts w:ascii="Arial" w:hAnsi="Arial" w:cs="Arial"/>
          <w:b/>
          <w:sz w:val="24"/>
          <w:szCs w:val="24"/>
        </w:rPr>
      </w:pPr>
    </w:p>
    <w:p w14:paraId="63A3ADAA" w14:textId="77777777" w:rsidR="00F56ABE" w:rsidRPr="00E759D0" w:rsidRDefault="00F56ABE" w:rsidP="00E759D0">
      <w:pPr>
        <w:spacing w:after="0" w:line="360" w:lineRule="auto"/>
        <w:jc w:val="both"/>
        <w:rPr>
          <w:rFonts w:ascii="Arial" w:hAnsi="Arial" w:cs="Arial"/>
          <w:b/>
          <w:sz w:val="24"/>
          <w:szCs w:val="24"/>
        </w:rPr>
      </w:pPr>
    </w:p>
    <w:p w14:paraId="194A451A" w14:textId="77777777" w:rsidR="00F56ABE" w:rsidRPr="00E759D0" w:rsidRDefault="00F56ABE" w:rsidP="00E759D0">
      <w:pPr>
        <w:spacing w:after="0" w:line="360" w:lineRule="auto"/>
        <w:jc w:val="both"/>
        <w:rPr>
          <w:rFonts w:ascii="Arial" w:hAnsi="Arial" w:cs="Arial"/>
          <w:b/>
          <w:sz w:val="24"/>
          <w:szCs w:val="24"/>
        </w:rPr>
      </w:pPr>
      <w:r w:rsidRPr="00E759D0">
        <w:rPr>
          <w:rFonts w:ascii="Arial" w:hAnsi="Arial" w:cs="Arial"/>
          <w:b/>
          <w:sz w:val="24"/>
          <w:szCs w:val="24"/>
        </w:rPr>
        <w:t>THE MINISTER OF STATE SECURITY</w:t>
      </w:r>
      <w:r w:rsidRPr="00E759D0">
        <w:rPr>
          <w:rFonts w:ascii="Arial" w:hAnsi="Arial" w:cs="Arial"/>
          <w:b/>
          <w:sz w:val="24"/>
          <w:szCs w:val="24"/>
        </w:rPr>
        <w:tab/>
      </w:r>
      <w:r w:rsidRPr="00E759D0">
        <w:rPr>
          <w:rFonts w:ascii="Arial" w:hAnsi="Arial" w:cs="Arial"/>
          <w:b/>
          <w:sz w:val="24"/>
          <w:szCs w:val="24"/>
        </w:rPr>
        <w:tab/>
      </w:r>
      <w:r w:rsidRPr="00E759D0">
        <w:rPr>
          <w:rFonts w:ascii="Arial" w:hAnsi="Arial" w:cs="Arial"/>
          <w:b/>
          <w:sz w:val="24"/>
          <w:szCs w:val="24"/>
        </w:rPr>
        <w:tab/>
        <w:t xml:space="preserve">       SECOND RESPONDENT</w:t>
      </w:r>
    </w:p>
    <w:p w14:paraId="5149B0F7" w14:textId="77777777" w:rsidR="00F56ABE" w:rsidRPr="00E759D0" w:rsidRDefault="00F56ABE" w:rsidP="00E759D0">
      <w:pPr>
        <w:spacing w:after="0" w:line="360" w:lineRule="auto"/>
        <w:jc w:val="both"/>
        <w:rPr>
          <w:rFonts w:ascii="Arial" w:hAnsi="Arial" w:cs="Arial"/>
          <w:b/>
          <w:sz w:val="24"/>
          <w:szCs w:val="24"/>
        </w:rPr>
      </w:pPr>
    </w:p>
    <w:p w14:paraId="1316C841" w14:textId="77777777" w:rsidR="00F56ABE" w:rsidRPr="00E759D0" w:rsidRDefault="00F56ABE" w:rsidP="00E759D0">
      <w:pPr>
        <w:pBdr>
          <w:top w:val="single" w:sz="12" w:space="1" w:color="auto"/>
          <w:bottom w:val="single" w:sz="12" w:space="1" w:color="auto"/>
        </w:pBdr>
        <w:tabs>
          <w:tab w:val="left" w:pos="4917"/>
        </w:tabs>
        <w:spacing w:after="0" w:line="360" w:lineRule="auto"/>
        <w:contextualSpacing/>
        <w:jc w:val="center"/>
        <w:rPr>
          <w:rFonts w:ascii="Arial" w:hAnsi="Arial" w:cs="Arial"/>
          <w:b/>
          <w:bCs/>
          <w:sz w:val="24"/>
          <w:szCs w:val="24"/>
        </w:rPr>
      </w:pPr>
    </w:p>
    <w:p w14:paraId="6C0D14E4" w14:textId="77777777" w:rsidR="00F56ABE" w:rsidRPr="00E759D0" w:rsidRDefault="00F56ABE" w:rsidP="00E759D0">
      <w:pPr>
        <w:pBdr>
          <w:top w:val="single" w:sz="12" w:space="1" w:color="auto"/>
          <w:bottom w:val="single" w:sz="12" w:space="1" w:color="auto"/>
        </w:pBdr>
        <w:tabs>
          <w:tab w:val="left" w:pos="4917"/>
        </w:tabs>
        <w:spacing w:before="120" w:after="120" w:line="360" w:lineRule="auto"/>
        <w:jc w:val="center"/>
        <w:rPr>
          <w:rFonts w:ascii="Arial" w:hAnsi="Arial" w:cs="Arial"/>
          <w:b/>
          <w:bCs/>
          <w:sz w:val="24"/>
          <w:szCs w:val="24"/>
        </w:rPr>
      </w:pPr>
      <w:r w:rsidRPr="00E759D0">
        <w:rPr>
          <w:rFonts w:ascii="Arial" w:hAnsi="Arial" w:cs="Arial"/>
          <w:b/>
          <w:bCs/>
          <w:sz w:val="24"/>
          <w:szCs w:val="24"/>
        </w:rPr>
        <w:t>JUDGMENT</w:t>
      </w:r>
    </w:p>
    <w:p w14:paraId="4CE76045" w14:textId="77777777" w:rsidR="00F56ABE" w:rsidRPr="00E759D0" w:rsidRDefault="00F56ABE" w:rsidP="00E759D0">
      <w:pPr>
        <w:pBdr>
          <w:top w:val="single" w:sz="12" w:space="1" w:color="auto"/>
          <w:bottom w:val="single" w:sz="12" w:space="1" w:color="auto"/>
        </w:pBdr>
        <w:tabs>
          <w:tab w:val="left" w:pos="4917"/>
        </w:tabs>
        <w:spacing w:before="120" w:after="120" w:line="360" w:lineRule="auto"/>
        <w:jc w:val="center"/>
        <w:rPr>
          <w:rFonts w:ascii="Arial" w:hAnsi="Arial" w:cs="Arial"/>
          <w:b/>
          <w:sz w:val="24"/>
          <w:szCs w:val="24"/>
        </w:rPr>
      </w:pPr>
    </w:p>
    <w:p w14:paraId="63651134" w14:textId="77777777" w:rsidR="00F56ABE" w:rsidRPr="00E759D0" w:rsidRDefault="00F56ABE" w:rsidP="00E759D0">
      <w:pPr>
        <w:tabs>
          <w:tab w:val="left" w:pos="7230"/>
        </w:tabs>
        <w:spacing w:after="0" w:line="360" w:lineRule="auto"/>
        <w:rPr>
          <w:rFonts w:ascii="Arial" w:hAnsi="Arial" w:cs="Arial"/>
          <w:b/>
          <w:sz w:val="24"/>
          <w:szCs w:val="24"/>
        </w:rPr>
      </w:pPr>
    </w:p>
    <w:p w14:paraId="3751E570" w14:textId="77777777" w:rsidR="00F56ABE" w:rsidRPr="00E759D0" w:rsidRDefault="00F56ABE" w:rsidP="00E759D0">
      <w:pPr>
        <w:tabs>
          <w:tab w:val="left" w:pos="7230"/>
        </w:tabs>
        <w:spacing w:after="0" w:line="360" w:lineRule="auto"/>
        <w:rPr>
          <w:rFonts w:ascii="Arial" w:hAnsi="Arial" w:cs="Arial"/>
          <w:b/>
          <w:sz w:val="24"/>
          <w:szCs w:val="24"/>
        </w:rPr>
      </w:pPr>
      <w:r w:rsidRPr="00E759D0">
        <w:rPr>
          <w:rFonts w:ascii="Arial" w:hAnsi="Arial" w:cs="Arial"/>
          <w:b/>
          <w:sz w:val="24"/>
          <w:szCs w:val="24"/>
        </w:rPr>
        <w:t>BASSON, J</w:t>
      </w:r>
    </w:p>
    <w:p w14:paraId="5BDBC297" w14:textId="77777777" w:rsidR="00F56ABE" w:rsidRPr="00E759D0" w:rsidRDefault="00F56ABE" w:rsidP="00E759D0">
      <w:pPr>
        <w:spacing w:line="360" w:lineRule="auto"/>
        <w:rPr>
          <w:rFonts w:ascii="Arial" w:hAnsi="Arial" w:cs="Arial"/>
          <w:sz w:val="24"/>
          <w:szCs w:val="24"/>
        </w:rPr>
      </w:pPr>
    </w:p>
    <w:p w14:paraId="18C510F2" w14:textId="219DA3B9" w:rsidR="00D6520D" w:rsidRPr="00E759D0" w:rsidRDefault="00D6520D" w:rsidP="00E759D0">
      <w:pPr>
        <w:pStyle w:val="ListParagraph"/>
        <w:numPr>
          <w:ilvl w:val="0"/>
          <w:numId w:val="1"/>
        </w:numPr>
        <w:spacing w:line="360" w:lineRule="auto"/>
        <w:jc w:val="both"/>
        <w:rPr>
          <w:rFonts w:ascii="Arial" w:hAnsi="Arial" w:cs="Arial"/>
          <w:sz w:val="24"/>
          <w:szCs w:val="24"/>
        </w:rPr>
      </w:pPr>
      <w:r w:rsidRPr="00E759D0">
        <w:rPr>
          <w:rFonts w:ascii="Arial" w:hAnsi="Arial" w:cs="Arial"/>
          <w:sz w:val="24"/>
          <w:szCs w:val="24"/>
        </w:rPr>
        <w:t>The applicant, Mr</w:t>
      </w:r>
      <w:r w:rsidR="00A54D60" w:rsidRPr="00E759D0">
        <w:rPr>
          <w:rFonts w:ascii="Arial" w:hAnsi="Arial" w:cs="Arial"/>
          <w:sz w:val="24"/>
          <w:szCs w:val="24"/>
        </w:rPr>
        <w:t>.</w:t>
      </w:r>
      <w:r w:rsidR="00F56ABE" w:rsidRPr="00E759D0">
        <w:rPr>
          <w:rFonts w:ascii="Arial" w:hAnsi="Arial" w:cs="Arial"/>
          <w:sz w:val="24"/>
          <w:szCs w:val="24"/>
        </w:rPr>
        <w:t xml:space="preserve"> </w:t>
      </w:r>
      <w:proofErr w:type="spellStart"/>
      <w:r w:rsidR="00F56ABE" w:rsidRPr="00E759D0">
        <w:rPr>
          <w:rFonts w:ascii="Arial" w:hAnsi="Arial" w:cs="Arial"/>
          <w:sz w:val="24"/>
          <w:szCs w:val="24"/>
        </w:rPr>
        <w:t>Dlomo</w:t>
      </w:r>
      <w:proofErr w:type="spellEnd"/>
      <w:r w:rsidR="00F56ABE" w:rsidRPr="00E759D0">
        <w:rPr>
          <w:rFonts w:ascii="Arial" w:hAnsi="Arial" w:cs="Arial"/>
          <w:sz w:val="24"/>
          <w:szCs w:val="24"/>
        </w:rPr>
        <w:t>, approached</w:t>
      </w:r>
      <w:r w:rsidRPr="00E759D0">
        <w:rPr>
          <w:rFonts w:ascii="Arial" w:hAnsi="Arial" w:cs="Arial"/>
          <w:sz w:val="24"/>
          <w:szCs w:val="24"/>
        </w:rPr>
        <w:t xml:space="preserve"> this court </w:t>
      </w:r>
      <w:r w:rsidR="00BC4A08" w:rsidRPr="00E759D0">
        <w:rPr>
          <w:rFonts w:ascii="Arial" w:hAnsi="Arial" w:cs="Arial"/>
          <w:sz w:val="24"/>
          <w:szCs w:val="24"/>
        </w:rPr>
        <w:t xml:space="preserve">seeking </w:t>
      </w:r>
      <w:r w:rsidRPr="00E759D0">
        <w:rPr>
          <w:rFonts w:ascii="Arial" w:hAnsi="Arial" w:cs="Arial"/>
          <w:sz w:val="24"/>
          <w:szCs w:val="24"/>
        </w:rPr>
        <w:t xml:space="preserve">an order </w:t>
      </w:r>
      <w:r w:rsidR="00594541" w:rsidRPr="00E759D0">
        <w:rPr>
          <w:rFonts w:ascii="Arial" w:hAnsi="Arial" w:cs="Arial"/>
          <w:sz w:val="24"/>
          <w:szCs w:val="24"/>
        </w:rPr>
        <w:t xml:space="preserve">declaring </w:t>
      </w:r>
      <w:r w:rsidRPr="00E759D0">
        <w:rPr>
          <w:rFonts w:ascii="Arial" w:hAnsi="Arial" w:cs="Arial"/>
          <w:sz w:val="24"/>
          <w:szCs w:val="24"/>
        </w:rPr>
        <w:t xml:space="preserve">his dismissal </w:t>
      </w:r>
      <w:r w:rsidR="009064BE" w:rsidRPr="00E759D0">
        <w:rPr>
          <w:rFonts w:ascii="Arial" w:hAnsi="Arial" w:cs="Arial"/>
          <w:sz w:val="24"/>
          <w:szCs w:val="24"/>
        </w:rPr>
        <w:t xml:space="preserve">by his </w:t>
      </w:r>
      <w:r w:rsidRPr="00E759D0">
        <w:rPr>
          <w:rFonts w:ascii="Arial" w:hAnsi="Arial" w:cs="Arial"/>
          <w:sz w:val="24"/>
          <w:szCs w:val="24"/>
        </w:rPr>
        <w:t>erstwhile employer, the State Security Agency (the first respondent)</w:t>
      </w:r>
      <w:r w:rsidR="00F56ABE" w:rsidRPr="00E759D0">
        <w:rPr>
          <w:rFonts w:ascii="Arial" w:hAnsi="Arial" w:cs="Arial"/>
          <w:sz w:val="24"/>
          <w:szCs w:val="24"/>
        </w:rPr>
        <w:t>,</w:t>
      </w:r>
      <w:r w:rsidRPr="00E759D0">
        <w:rPr>
          <w:rFonts w:ascii="Arial" w:hAnsi="Arial" w:cs="Arial"/>
          <w:sz w:val="24"/>
          <w:szCs w:val="24"/>
        </w:rPr>
        <w:t xml:space="preserve"> </w:t>
      </w:r>
      <w:r w:rsidR="00BC4A08" w:rsidRPr="00E759D0">
        <w:rPr>
          <w:rFonts w:ascii="Arial" w:hAnsi="Arial" w:cs="Arial"/>
          <w:sz w:val="24"/>
          <w:szCs w:val="24"/>
        </w:rPr>
        <w:t xml:space="preserve">to have been </w:t>
      </w:r>
      <w:r w:rsidRPr="00E759D0">
        <w:rPr>
          <w:rFonts w:ascii="Arial" w:hAnsi="Arial" w:cs="Arial"/>
          <w:sz w:val="24"/>
          <w:szCs w:val="24"/>
        </w:rPr>
        <w:t xml:space="preserve">procedurally and </w:t>
      </w:r>
      <w:r w:rsidR="00A54D60" w:rsidRPr="00E759D0">
        <w:rPr>
          <w:rFonts w:ascii="Arial" w:hAnsi="Arial" w:cs="Arial"/>
          <w:sz w:val="24"/>
          <w:szCs w:val="24"/>
        </w:rPr>
        <w:t>substantively</w:t>
      </w:r>
      <w:r w:rsidRPr="00E759D0">
        <w:rPr>
          <w:rFonts w:ascii="Arial" w:hAnsi="Arial" w:cs="Arial"/>
          <w:sz w:val="24"/>
          <w:szCs w:val="24"/>
        </w:rPr>
        <w:t xml:space="preserve"> unfair. He claims </w:t>
      </w:r>
      <w:r w:rsidR="004D78EE" w:rsidRPr="00E759D0">
        <w:rPr>
          <w:rFonts w:ascii="Arial" w:hAnsi="Arial" w:cs="Arial"/>
          <w:sz w:val="24"/>
          <w:szCs w:val="24"/>
        </w:rPr>
        <w:t xml:space="preserve">reinstatement </w:t>
      </w:r>
      <w:r w:rsidR="009064BE" w:rsidRPr="00E759D0">
        <w:rPr>
          <w:rFonts w:ascii="Arial" w:hAnsi="Arial" w:cs="Arial"/>
          <w:sz w:val="24"/>
          <w:szCs w:val="24"/>
        </w:rPr>
        <w:t xml:space="preserve">to his former position and </w:t>
      </w:r>
      <w:r w:rsidR="00594541" w:rsidRPr="00E759D0">
        <w:rPr>
          <w:rFonts w:ascii="Arial" w:hAnsi="Arial" w:cs="Arial"/>
          <w:sz w:val="24"/>
          <w:szCs w:val="24"/>
        </w:rPr>
        <w:t xml:space="preserve">claims </w:t>
      </w:r>
      <w:r w:rsidR="007D055E" w:rsidRPr="00E759D0">
        <w:rPr>
          <w:rFonts w:ascii="Arial" w:hAnsi="Arial" w:cs="Arial"/>
          <w:sz w:val="24"/>
          <w:szCs w:val="24"/>
        </w:rPr>
        <w:t xml:space="preserve">that he be </w:t>
      </w:r>
      <w:r w:rsidRPr="00E759D0">
        <w:rPr>
          <w:rFonts w:ascii="Arial" w:hAnsi="Arial" w:cs="Arial"/>
          <w:sz w:val="24"/>
          <w:szCs w:val="24"/>
        </w:rPr>
        <w:t xml:space="preserve">compensated </w:t>
      </w:r>
      <w:r w:rsidR="00827D7F" w:rsidRPr="00E759D0">
        <w:rPr>
          <w:rFonts w:ascii="Arial" w:hAnsi="Arial" w:cs="Arial"/>
          <w:sz w:val="24"/>
          <w:szCs w:val="24"/>
        </w:rPr>
        <w:t>retrospectively</w:t>
      </w:r>
      <w:r w:rsidR="007D055E" w:rsidRPr="00E759D0">
        <w:rPr>
          <w:rFonts w:ascii="Arial" w:hAnsi="Arial" w:cs="Arial"/>
          <w:sz w:val="24"/>
          <w:szCs w:val="24"/>
        </w:rPr>
        <w:t xml:space="preserve"> for the damages suffered “for the years” that he had been home “due to the unlawful and unfair conduct of the Respondents”. </w:t>
      </w:r>
      <w:r w:rsidRPr="00E759D0">
        <w:rPr>
          <w:rFonts w:ascii="Arial" w:hAnsi="Arial" w:cs="Arial"/>
          <w:sz w:val="24"/>
          <w:szCs w:val="24"/>
        </w:rPr>
        <w:t>The second respondent is the Minister of State Security</w:t>
      </w:r>
      <w:r w:rsidR="00BC4A08" w:rsidRPr="00E759D0">
        <w:rPr>
          <w:rFonts w:ascii="Arial" w:hAnsi="Arial" w:cs="Arial"/>
          <w:sz w:val="24"/>
          <w:szCs w:val="24"/>
        </w:rPr>
        <w:t xml:space="preserve">. I will </w:t>
      </w:r>
      <w:r w:rsidR="00DD4CCA" w:rsidRPr="00E759D0">
        <w:rPr>
          <w:rFonts w:ascii="Arial" w:hAnsi="Arial" w:cs="Arial"/>
          <w:sz w:val="24"/>
          <w:szCs w:val="24"/>
        </w:rPr>
        <w:t xml:space="preserve">refer to </w:t>
      </w:r>
      <w:r w:rsidR="00BC4A08" w:rsidRPr="00E759D0">
        <w:rPr>
          <w:rFonts w:ascii="Arial" w:hAnsi="Arial" w:cs="Arial"/>
          <w:sz w:val="24"/>
          <w:szCs w:val="24"/>
        </w:rPr>
        <w:t xml:space="preserve">both </w:t>
      </w:r>
      <w:r w:rsidR="00DD4CCA" w:rsidRPr="00E759D0">
        <w:rPr>
          <w:rFonts w:ascii="Arial" w:hAnsi="Arial" w:cs="Arial"/>
          <w:sz w:val="24"/>
          <w:szCs w:val="24"/>
        </w:rPr>
        <w:t xml:space="preserve">respondents </w:t>
      </w:r>
      <w:r w:rsidR="00BC4A08" w:rsidRPr="00E759D0">
        <w:rPr>
          <w:rFonts w:ascii="Arial" w:hAnsi="Arial" w:cs="Arial"/>
          <w:sz w:val="24"/>
          <w:szCs w:val="24"/>
        </w:rPr>
        <w:t xml:space="preserve">collectively </w:t>
      </w:r>
      <w:r w:rsidR="00DD4CCA" w:rsidRPr="00E759D0">
        <w:rPr>
          <w:rFonts w:ascii="Arial" w:hAnsi="Arial" w:cs="Arial"/>
          <w:sz w:val="24"/>
          <w:szCs w:val="24"/>
        </w:rPr>
        <w:t xml:space="preserve">as </w:t>
      </w:r>
      <w:r w:rsidR="00BC4A08" w:rsidRPr="00E759D0">
        <w:rPr>
          <w:rFonts w:ascii="Arial" w:hAnsi="Arial" w:cs="Arial"/>
          <w:sz w:val="24"/>
          <w:szCs w:val="24"/>
        </w:rPr>
        <w:t>“</w:t>
      </w:r>
      <w:r w:rsidR="00DD4CCA" w:rsidRPr="00E759D0">
        <w:rPr>
          <w:rFonts w:ascii="Arial" w:hAnsi="Arial" w:cs="Arial"/>
          <w:sz w:val="24"/>
          <w:szCs w:val="24"/>
        </w:rPr>
        <w:t>the respondents</w:t>
      </w:r>
      <w:r w:rsidR="00BC4A08" w:rsidRPr="00E759D0">
        <w:rPr>
          <w:rFonts w:ascii="Arial" w:hAnsi="Arial" w:cs="Arial"/>
          <w:sz w:val="24"/>
          <w:szCs w:val="24"/>
        </w:rPr>
        <w:t>”</w:t>
      </w:r>
      <w:r w:rsidR="00DD4CCA" w:rsidRPr="00E759D0">
        <w:rPr>
          <w:rFonts w:ascii="Arial" w:hAnsi="Arial" w:cs="Arial"/>
          <w:sz w:val="24"/>
          <w:szCs w:val="24"/>
        </w:rPr>
        <w:t xml:space="preserve"> unless the context requires otherwise. </w:t>
      </w:r>
    </w:p>
    <w:p w14:paraId="5B27D194" w14:textId="77777777" w:rsidR="00111E32" w:rsidRPr="00E759D0" w:rsidRDefault="00111E32" w:rsidP="00E759D0">
      <w:pPr>
        <w:spacing w:line="360" w:lineRule="auto"/>
        <w:jc w:val="both"/>
        <w:rPr>
          <w:rFonts w:ascii="Arial" w:hAnsi="Arial" w:cs="Arial"/>
          <w:sz w:val="24"/>
          <w:szCs w:val="24"/>
        </w:rPr>
      </w:pPr>
    </w:p>
    <w:p w14:paraId="21A0076A" w14:textId="0E6233AF" w:rsidR="00783C04" w:rsidRPr="00E759D0" w:rsidRDefault="00BC4A08" w:rsidP="00E759D0">
      <w:pPr>
        <w:pStyle w:val="ListParagraph"/>
        <w:numPr>
          <w:ilvl w:val="0"/>
          <w:numId w:val="1"/>
        </w:numPr>
        <w:spacing w:line="360" w:lineRule="auto"/>
        <w:jc w:val="both"/>
        <w:rPr>
          <w:rFonts w:ascii="Arial" w:hAnsi="Arial" w:cs="Arial"/>
          <w:sz w:val="24"/>
          <w:szCs w:val="24"/>
        </w:rPr>
      </w:pPr>
      <w:r w:rsidRPr="00E759D0">
        <w:rPr>
          <w:rFonts w:ascii="Arial" w:eastAsia="Times New Roman" w:hAnsi="Arial" w:cs="Arial"/>
          <w:color w:val="000000"/>
          <w:sz w:val="24"/>
          <w:szCs w:val="24"/>
          <w:lang w:eastAsia="en-ZA"/>
        </w:rPr>
        <w:t xml:space="preserve">Although there are </w:t>
      </w:r>
      <w:r w:rsidR="00EB66C0" w:rsidRPr="00E759D0">
        <w:rPr>
          <w:rFonts w:ascii="Arial" w:eastAsia="Times New Roman" w:hAnsi="Arial" w:cs="Arial"/>
          <w:color w:val="000000"/>
          <w:sz w:val="24"/>
          <w:szCs w:val="24"/>
          <w:lang w:eastAsia="en-ZA"/>
        </w:rPr>
        <w:t xml:space="preserve">disputes of </w:t>
      </w:r>
      <w:r w:rsidR="007D055E" w:rsidRPr="00E759D0">
        <w:rPr>
          <w:rFonts w:ascii="Arial" w:eastAsia="Times New Roman" w:hAnsi="Arial" w:cs="Arial"/>
          <w:color w:val="000000"/>
          <w:sz w:val="24"/>
          <w:szCs w:val="24"/>
          <w:lang w:eastAsia="en-ZA"/>
        </w:rPr>
        <w:t>fact</w:t>
      </w:r>
      <w:r w:rsidR="00EB66C0" w:rsidRPr="00E759D0">
        <w:rPr>
          <w:rFonts w:ascii="Arial" w:eastAsia="Times New Roman" w:hAnsi="Arial" w:cs="Arial"/>
          <w:color w:val="000000"/>
          <w:sz w:val="24"/>
          <w:szCs w:val="24"/>
          <w:lang w:eastAsia="en-ZA"/>
        </w:rPr>
        <w:t xml:space="preserve"> on the papers</w:t>
      </w:r>
      <w:r w:rsidR="007D055E" w:rsidRPr="00E759D0">
        <w:rPr>
          <w:rFonts w:ascii="Arial" w:eastAsia="Times New Roman" w:hAnsi="Arial" w:cs="Arial"/>
          <w:color w:val="000000"/>
          <w:sz w:val="24"/>
          <w:szCs w:val="24"/>
          <w:lang w:eastAsia="en-ZA"/>
        </w:rPr>
        <w:t xml:space="preserve">, the </w:t>
      </w:r>
      <w:r w:rsidR="009064BE" w:rsidRPr="00E759D0">
        <w:rPr>
          <w:rFonts w:ascii="Arial" w:eastAsia="Times New Roman" w:hAnsi="Arial" w:cs="Arial"/>
          <w:color w:val="000000"/>
          <w:sz w:val="24"/>
          <w:szCs w:val="24"/>
          <w:lang w:eastAsia="en-ZA"/>
        </w:rPr>
        <w:t xml:space="preserve">applicant </w:t>
      </w:r>
      <w:r w:rsidRPr="00E759D0">
        <w:rPr>
          <w:rFonts w:ascii="Arial" w:eastAsia="Times New Roman" w:hAnsi="Arial" w:cs="Arial"/>
          <w:color w:val="000000"/>
          <w:sz w:val="24"/>
          <w:szCs w:val="24"/>
          <w:lang w:eastAsia="en-ZA"/>
        </w:rPr>
        <w:t xml:space="preserve">chose </w:t>
      </w:r>
      <w:r w:rsidR="007D055E" w:rsidRPr="00E759D0">
        <w:rPr>
          <w:rFonts w:ascii="Arial" w:eastAsia="Times New Roman" w:hAnsi="Arial" w:cs="Arial"/>
          <w:color w:val="000000"/>
          <w:sz w:val="24"/>
          <w:szCs w:val="24"/>
          <w:lang w:eastAsia="en-ZA"/>
        </w:rPr>
        <w:t xml:space="preserve">to proceed </w:t>
      </w:r>
      <w:r w:rsidRPr="00E759D0">
        <w:rPr>
          <w:rFonts w:ascii="Arial" w:eastAsia="Times New Roman" w:hAnsi="Arial" w:cs="Arial"/>
          <w:color w:val="000000"/>
          <w:sz w:val="24"/>
          <w:szCs w:val="24"/>
          <w:lang w:eastAsia="en-ZA"/>
        </w:rPr>
        <w:t xml:space="preserve">via </w:t>
      </w:r>
      <w:r w:rsidR="00E378E8" w:rsidRPr="00E759D0">
        <w:rPr>
          <w:rFonts w:ascii="Arial" w:eastAsia="Times New Roman" w:hAnsi="Arial" w:cs="Arial"/>
          <w:color w:val="000000"/>
          <w:sz w:val="24"/>
          <w:szCs w:val="24"/>
          <w:lang w:eastAsia="en-ZA"/>
        </w:rPr>
        <w:t xml:space="preserve">motion proceedings </w:t>
      </w:r>
      <w:r w:rsidRPr="00E759D0">
        <w:rPr>
          <w:rFonts w:ascii="Arial" w:eastAsia="Times New Roman" w:hAnsi="Arial" w:cs="Arial"/>
          <w:color w:val="000000"/>
          <w:sz w:val="24"/>
          <w:szCs w:val="24"/>
          <w:lang w:eastAsia="en-ZA"/>
        </w:rPr>
        <w:t xml:space="preserve">instead of via </w:t>
      </w:r>
      <w:r w:rsidR="009064BE" w:rsidRPr="00E759D0">
        <w:rPr>
          <w:rFonts w:ascii="Arial" w:eastAsia="Times New Roman" w:hAnsi="Arial" w:cs="Arial"/>
          <w:color w:val="000000"/>
          <w:sz w:val="24"/>
          <w:szCs w:val="24"/>
          <w:lang w:eastAsia="en-ZA"/>
        </w:rPr>
        <w:t>action. Thi</w:t>
      </w:r>
      <w:r w:rsidR="007D055E" w:rsidRPr="00E759D0">
        <w:rPr>
          <w:rFonts w:ascii="Arial" w:eastAsia="Times New Roman" w:hAnsi="Arial" w:cs="Arial"/>
          <w:color w:val="000000"/>
          <w:sz w:val="24"/>
          <w:szCs w:val="24"/>
          <w:lang w:eastAsia="en-ZA"/>
        </w:rPr>
        <w:t xml:space="preserve">s turned out to be problematic for the applicant, </w:t>
      </w:r>
      <w:r w:rsidRPr="00E759D0">
        <w:rPr>
          <w:rFonts w:ascii="Arial" w:eastAsia="Times New Roman" w:hAnsi="Arial" w:cs="Arial"/>
          <w:color w:val="000000"/>
          <w:sz w:val="24"/>
          <w:szCs w:val="24"/>
          <w:lang w:eastAsia="en-ZA"/>
        </w:rPr>
        <w:t xml:space="preserve">especially regarding </w:t>
      </w:r>
      <w:r w:rsidR="007D055E" w:rsidRPr="00E759D0">
        <w:rPr>
          <w:rFonts w:ascii="Arial" w:eastAsia="Times New Roman" w:hAnsi="Arial" w:cs="Arial"/>
          <w:color w:val="000000"/>
          <w:sz w:val="24"/>
          <w:szCs w:val="24"/>
          <w:lang w:eastAsia="en-ZA"/>
        </w:rPr>
        <w:t xml:space="preserve">the dispute </w:t>
      </w:r>
      <w:r w:rsidRPr="00E759D0">
        <w:rPr>
          <w:rFonts w:ascii="Arial" w:eastAsia="Times New Roman" w:hAnsi="Arial" w:cs="Arial"/>
          <w:color w:val="000000"/>
          <w:sz w:val="24"/>
          <w:szCs w:val="24"/>
          <w:lang w:eastAsia="en-ZA"/>
        </w:rPr>
        <w:t xml:space="preserve">concerning </w:t>
      </w:r>
      <w:r w:rsidR="0084286B" w:rsidRPr="00E759D0">
        <w:rPr>
          <w:rFonts w:ascii="Arial" w:eastAsia="Times New Roman" w:hAnsi="Arial" w:cs="Arial"/>
          <w:color w:val="000000"/>
          <w:sz w:val="24"/>
          <w:szCs w:val="24"/>
          <w:lang w:eastAsia="en-ZA"/>
        </w:rPr>
        <w:t xml:space="preserve">whether </w:t>
      </w:r>
      <w:r w:rsidR="007D055E" w:rsidRPr="00E759D0">
        <w:rPr>
          <w:rFonts w:ascii="Arial" w:eastAsia="Times New Roman" w:hAnsi="Arial" w:cs="Arial"/>
          <w:color w:val="000000"/>
          <w:sz w:val="24"/>
          <w:szCs w:val="24"/>
          <w:lang w:eastAsia="en-ZA"/>
        </w:rPr>
        <w:t xml:space="preserve">the Minister of State Security had </w:t>
      </w:r>
      <w:r w:rsidRPr="00E759D0">
        <w:rPr>
          <w:rFonts w:ascii="Arial" w:eastAsia="Times New Roman" w:hAnsi="Arial" w:cs="Arial"/>
          <w:color w:val="000000"/>
          <w:sz w:val="24"/>
          <w:szCs w:val="24"/>
          <w:lang w:eastAsia="en-ZA"/>
        </w:rPr>
        <w:t xml:space="preserve">indeed </w:t>
      </w:r>
      <w:r w:rsidR="007D055E" w:rsidRPr="00E759D0">
        <w:rPr>
          <w:rFonts w:ascii="Arial" w:eastAsia="Times New Roman" w:hAnsi="Arial" w:cs="Arial"/>
          <w:color w:val="000000"/>
          <w:sz w:val="24"/>
          <w:szCs w:val="24"/>
          <w:lang w:eastAsia="en-ZA"/>
        </w:rPr>
        <w:t xml:space="preserve">granted the applicant permission </w:t>
      </w:r>
      <w:r w:rsidRPr="00E759D0">
        <w:rPr>
          <w:rFonts w:ascii="Arial" w:eastAsia="Times New Roman" w:hAnsi="Arial" w:cs="Arial"/>
          <w:color w:val="000000"/>
          <w:sz w:val="24"/>
          <w:szCs w:val="24"/>
          <w:lang w:eastAsia="en-ZA"/>
        </w:rPr>
        <w:t xml:space="preserve">for </w:t>
      </w:r>
      <w:r w:rsidR="007D055E" w:rsidRPr="00E759D0">
        <w:rPr>
          <w:rFonts w:ascii="Arial" w:eastAsia="Times New Roman" w:hAnsi="Arial" w:cs="Arial"/>
          <w:color w:val="000000"/>
          <w:sz w:val="24"/>
          <w:szCs w:val="24"/>
          <w:lang w:eastAsia="en-ZA"/>
        </w:rPr>
        <w:t>extended sick leave</w:t>
      </w:r>
      <w:r w:rsidR="00EB66C0" w:rsidRPr="00E759D0">
        <w:rPr>
          <w:rFonts w:ascii="Arial" w:eastAsia="Times New Roman" w:hAnsi="Arial" w:cs="Arial"/>
          <w:color w:val="000000"/>
          <w:sz w:val="24"/>
          <w:szCs w:val="24"/>
          <w:lang w:eastAsia="en-ZA"/>
        </w:rPr>
        <w:t xml:space="preserve"> </w:t>
      </w:r>
      <w:r w:rsidRPr="00E759D0">
        <w:rPr>
          <w:rFonts w:ascii="Arial" w:eastAsia="Times New Roman" w:hAnsi="Arial" w:cs="Arial"/>
          <w:color w:val="000000"/>
          <w:sz w:val="24"/>
          <w:szCs w:val="24"/>
          <w:lang w:eastAsia="en-ZA"/>
        </w:rPr>
        <w:t xml:space="preserve">– a claim vehemently disputed by </w:t>
      </w:r>
      <w:r w:rsidR="007D055E" w:rsidRPr="00E759D0">
        <w:rPr>
          <w:rFonts w:ascii="Arial" w:eastAsia="Times New Roman" w:hAnsi="Arial" w:cs="Arial"/>
          <w:color w:val="000000"/>
          <w:sz w:val="24"/>
          <w:szCs w:val="24"/>
          <w:lang w:eastAsia="en-ZA"/>
        </w:rPr>
        <w:t xml:space="preserve">the respondent. I will return to this dispute in more detail. The matter must therefore </w:t>
      </w:r>
      <w:r w:rsidR="00111E32" w:rsidRPr="00E759D0">
        <w:rPr>
          <w:rFonts w:ascii="Arial" w:eastAsia="Times New Roman" w:hAnsi="Arial" w:cs="Arial"/>
          <w:color w:val="000000"/>
          <w:sz w:val="24"/>
          <w:szCs w:val="24"/>
          <w:lang w:eastAsia="en-ZA"/>
        </w:rPr>
        <w:t xml:space="preserve">be </w:t>
      </w:r>
      <w:r w:rsidRPr="00E759D0">
        <w:rPr>
          <w:rFonts w:ascii="Arial" w:eastAsia="Times New Roman" w:hAnsi="Arial" w:cs="Arial"/>
          <w:color w:val="000000"/>
          <w:sz w:val="24"/>
          <w:szCs w:val="24"/>
          <w:lang w:eastAsia="en-ZA"/>
        </w:rPr>
        <w:t xml:space="preserve">determined based </w:t>
      </w:r>
      <w:r w:rsidR="00111E32" w:rsidRPr="00E759D0">
        <w:rPr>
          <w:rFonts w:ascii="Arial" w:eastAsia="Times New Roman" w:hAnsi="Arial" w:cs="Arial"/>
          <w:color w:val="000000"/>
          <w:sz w:val="24"/>
          <w:szCs w:val="24"/>
          <w:lang w:eastAsia="en-ZA"/>
        </w:rPr>
        <w:t>on the respondents' version</w:t>
      </w:r>
      <w:r w:rsidRPr="00E759D0">
        <w:rPr>
          <w:rFonts w:ascii="Arial" w:eastAsia="Times New Roman" w:hAnsi="Arial" w:cs="Arial"/>
          <w:color w:val="000000"/>
          <w:sz w:val="24"/>
          <w:szCs w:val="24"/>
          <w:lang w:eastAsia="en-ZA"/>
        </w:rPr>
        <w:t>,</w:t>
      </w:r>
      <w:r w:rsidR="00111E32" w:rsidRPr="00E759D0">
        <w:rPr>
          <w:rFonts w:ascii="Arial" w:eastAsia="Times New Roman" w:hAnsi="Arial" w:cs="Arial"/>
          <w:color w:val="000000"/>
          <w:sz w:val="24"/>
          <w:szCs w:val="24"/>
          <w:lang w:eastAsia="en-ZA"/>
        </w:rPr>
        <w:t xml:space="preserve"> unless </w:t>
      </w:r>
      <w:r w:rsidRPr="00E759D0">
        <w:rPr>
          <w:rFonts w:ascii="Arial" w:eastAsia="Times New Roman" w:hAnsi="Arial" w:cs="Arial"/>
          <w:color w:val="000000"/>
          <w:sz w:val="24"/>
          <w:szCs w:val="24"/>
          <w:lang w:eastAsia="en-ZA"/>
        </w:rPr>
        <w:t xml:space="preserve">their account is so </w:t>
      </w:r>
      <w:r w:rsidR="00111E32" w:rsidRPr="00E759D0">
        <w:rPr>
          <w:rFonts w:ascii="Arial" w:eastAsia="Times New Roman" w:hAnsi="Arial" w:cs="Arial"/>
          <w:color w:val="000000"/>
          <w:sz w:val="24"/>
          <w:szCs w:val="24"/>
          <w:lang w:eastAsia="en-ZA"/>
        </w:rPr>
        <w:t xml:space="preserve">far-fetched </w:t>
      </w:r>
      <w:r w:rsidRPr="00E759D0">
        <w:rPr>
          <w:rFonts w:ascii="Arial" w:eastAsia="Times New Roman" w:hAnsi="Arial" w:cs="Arial"/>
          <w:color w:val="000000"/>
          <w:sz w:val="24"/>
          <w:szCs w:val="24"/>
          <w:lang w:eastAsia="en-ZA"/>
        </w:rPr>
        <w:t xml:space="preserve">that it can be rejected </w:t>
      </w:r>
      <w:r w:rsidR="00111E32" w:rsidRPr="00E759D0">
        <w:rPr>
          <w:rFonts w:ascii="Arial" w:eastAsia="Times New Roman" w:hAnsi="Arial" w:cs="Arial"/>
          <w:color w:val="000000"/>
          <w:sz w:val="24"/>
          <w:szCs w:val="24"/>
          <w:lang w:eastAsia="en-ZA"/>
        </w:rPr>
        <w:t>merely on the papers.</w:t>
      </w:r>
      <w:r w:rsidR="00111E32" w:rsidRPr="00E759D0">
        <w:rPr>
          <w:rStyle w:val="FootnoteReference"/>
          <w:rFonts w:ascii="Arial" w:eastAsia="Times New Roman" w:hAnsi="Arial" w:cs="Arial"/>
          <w:color w:val="000000"/>
          <w:sz w:val="24"/>
          <w:szCs w:val="24"/>
          <w:lang w:eastAsia="en-ZA"/>
        </w:rPr>
        <w:footnoteReference w:id="1"/>
      </w:r>
      <w:r w:rsidR="0024091E" w:rsidRPr="00E759D0">
        <w:rPr>
          <w:rFonts w:ascii="Arial" w:eastAsia="Times New Roman" w:hAnsi="Arial" w:cs="Arial"/>
          <w:color w:val="000000"/>
          <w:sz w:val="24"/>
          <w:szCs w:val="24"/>
          <w:lang w:eastAsia="en-ZA"/>
        </w:rPr>
        <w:t xml:space="preserve"> </w:t>
      </w:r>
    </w:p>
    <w:p w14:paraId="13492F86" w14:textId="77777777" w:rsidR="00C25BB2" w:rsidRPr="00E759D0" w:rsidRDefault="00C25BB2" w:rsidP="00E759D0">
      <w:pPr>
        <w:pStyle w:val="ListParagraph"/>
        <w:spacing w:line="360" w:lineRule="auto"/>
        <w:rPr>
          <w:rFonts w:ascii="Arial" w:hAnsi="Arial" w:cs="Arial"/>
          <w:sz w:val="24"/>
          <w:szCs w:val="24"/>
        </w:rPr>
      </w:pPr>
    </w:p>
    <w:p w14:paraId="79B0DC20" w14:textId="77777777" w:rsidR="00C25BB2" w:rsidRPr="00E759D0" w:rsidRDefault="00C25BB2" w:rsidP="00E759D0">
      <w:pPr>
        <w:pStyle w:val="ListParagraph"/>
        <w:spacing w:line="360" w:lineRule="auto"/>
        <w:ind w:left="0"/>
        <w:jc w:val="both"/>
        <w:rPr>
          <w:rFonts w:ascii="Arial" w:hAnsi="Arial" w:cs="Arial"/>
          <w:sz w:val="24"/>
          <w:szCs w:val="24"/>
        </w:rPr>
      </w:pPr>
    </w:p>
    <w:p w14:paraId="10F9BD86" w14:textId="77777777" w:rsidR="00783C04" w:rsidRPr="00E759D0" w:rsidRDefault="00783C04" w:rsidP="00E759D0">
      <w:pPr>
        <w:pStyle w:val="ListParagraph"/>
        <w:spacing w:line="360" w:lineRule="auto"/>
        <w:ind w:left="0"/>
        <w:jc w:val="both"/>
        <w:rPr>
          <w:rFonts w:ascii="Arial" w:hAnsi="Arial" w:cs="Arial"/>
          <w:i/>
          <w:sz w:val="24"/>
          <w:szCs w:val="24"/>
        </w:rPr>
      </w:pPr>
      <w:r w:rsidRPr="00E759D0">
        <w:rPr>
          <w:rFonts w:ascii="Arial" w:hAnsi="Arial" w:cs="Arial"/>
          <w:i/>
          <w:sz w:val="24"/>
          <w:szCs w:val="24"/>
        </w:rPr>
        <w:t>Interlocutory applications</w:t>
      </w:r>
    </w:p>
    <w:p w14:paraId="0EB3B5E4" w14:textId="578F667C" w:rsidR="00A974E0" w:rsidRPr="00E759D0" w:rsidRDefault="0052413F" w:rsidP="00E759D0">
      <w:pPr>
        <w:pStyle w:val="ListParagraph"/>
        <w:numPr>
          <w:ilvl w:val="0"/>
          <w:numId w:val="1"/>
        </w:numPr>
        <w:spacing w:line="360" w:lineRule="auto"/>
        <w:jc w:val="both"/>
        <w:rPr>
          <w:rFonts w:ascii="Arial" w:hAnsi="Arial" w:cs="Arial"/>
          <w:sz w:val="24"/>
          <w:szCs w:val="24"/>
        </w:rPr>
      </w:pPr>
      <w:r w:rsidRPr="00E759D0">
        <w:rPr>
          <w:rFonts w:ascii="Arial" w:hAnsi="Arial" w:cs="Arial"/>
          <w:sz w:val="24"/>
          <w:szCs w:val="24"/>
        </w:rPr>
        <w:t xml:space="preserve">Two </w:t>
      </w:r>
      <w:r w:rsidR="00C2174C" w:rsidRPr="00E759D0">
        <w:rPr>
          <w:rFonts w:ascii="Arial" w:hAnsi="Arial" w:cs="Arial"/>
          <w:sz w:val="24"/>
          <w:szCs w:val="24"/>
        </w:rPr>
        <w:t>interlocutory applications</w:t>
      </w:r>
      <w:r w:rsidR="000F2595" w:rsidRPr="00E759D0">
        <w:rPr>
          <w:rFonts w:ascii="Arial" w:hAnsi="Arial" w:cs="Arial"/>
          <w:sz w:val="24"/>
          <w:szCs w:val="24"/>
        </w:rPr>
        <w:t xml:space="preserve"> served before court</w:t>
      </w:r>
      <w:r w:rsidR="00BC4A08" w:rsidRPr="00E759D0">
        <w:rPr>
          <w:rFonts w:ascii="Arial" w:hAnsi="Arial" w:cs="Arial"/>
          <w:sz w:val="24"/>
          <w:szCs w:val="24"/>
        </w:rPr>
        <w:t>. The first i</w:t>
      </w:r>
      <w:r w:rsidR="00C2174C" w:rsidRPr="00E759D0">
        <w:rPr>
          <w:rFonts w:ascii="Arial" w:hAnsi="Arial" w:cs="Arial"/>
          <w:sz w:val="24"/>
          <w:szCs w:val="24"/>
        </w:rPr>
        <w:t xml:space="preserve">s an </w:t>
      </w:r>
      <w:r w:rsidR="00D800B7" w:rsidRPr="00E759D0">
        <w:rPr>
          <w:rFonts w:ascii="Arial" w:hAnsi="Arial" w:cs="Arial"/>
          <w:sz w:val="24"/>
          <w:szCs w:val="24"/>
        </w:rPr>
        <w:t xml:space="preserve">application </w:t>
      </w:r>
      <w:r w:rsidR="000F2595" w:rsidRPr="00E759D0">
        <w:rPr>
          <w:rFonts w:ascii="Arial" w:hAnsi="Arial" w:cs="Arial"/>
          <w:sz w:val="24"/>
          <w:szCs w:val="24"/>
        </w:rPr>
        <w:t xml:space="preserve">brought by the respondents for </w:t>
      </w:r>
      <w:r w:rsidR="00D800B7" w:rsidRPr="00E759D0">
        <w:rPr>
          <w:rFonts w:ascii="Arial" w:hAnsi="Arial" w:cs="Arial"/>
          <w:sz w:val="24"/>
          <w:szCs w:val="24"/>
        </w:rPr>
        <w:t xml:space="preserve">leave to file a further </w:t>
      </w:r>
      <w:r w:rsidR="00EB66C0" w:rsidRPr="00E759D0">
        <w:rPr>
          <w:rFonts w:ascii="Arial" w:hAnsi="Arial" w:cs="Arial"/>
          <w:sz w:val="24"/>
          <w:szCs w:val="24"/>
        </w:rPr>
        <w:t xml:space="preserve">supplementary </w:t>
      </w:r>
      <w:r w:rsidR="00D800B7" w:rsidRPr="00E759D0">
        <w:rPr>
          <w:rFonts w:ascii="Arial" w:hAnsi="Arial" w:cs="Arial"/>
          <w:sz w:val="24"/>
          <w:szCs w:val="24"/>
        </w:rPr>
        <w:t xml:space="preserve">affidavit </w:t>
      </w:r>
      <w:r w:rsidR="00585B07" w:rsidRPr="00E759D0">
        <w:rPr>
          <w:rFonts w:ascii="Arial" w:hAnsi="Arial" w:cs="Arial"/>
          <w:sz w:val="24"/>
          <w:szCs w:val="24"/>
        </w:rPr>
        <w:t xml:space="preserve">deposed to </w:t>
      </w:r>
      <w:r w:rsidR="00EB66C0" w:rsidRPr="00E759D0">
        <w:rPr>
          <w:rFonts w:ascii="Arial" w:hAnsi="Arial" w:cs="Arial"/>
          <w:sz w:val="24"/>
          <w:szCs w:val="24"/>
        </w:rPr>
        <w:t xml:space="preserve">by </w:t>
      </w:r>
      <w:r w:rsidR="00585B07" w:rsidRPr="00E759D0">
        <w:rPr>
          <w:rFonts w:ascii="Arial" w:hAnsi="Arial" w:cs="Arial"/>
          <w:sz w:val="24"/>
          <w:szCs w:val="24"/>
        </w:rPr>
        <w:t xml:space="preserve">the (current) </w:t>
      </w:r>
      <w:r w:rsidR="004C4016" w:rsidRPr="00E759D0">
        <w:rPr>
          <w:rFonts w:ascii="Arial" w:hAnsi="Arial" w:cs="Arial"/>
          <w:sz w:val="24"/>
          <w:szCs w:val="24"/>
        </w:rPr>
        <w:t xml:space="preserve">Director-General </w:t>
      </w:r>
      <w:r w:rsidR="00E378E8" w:rsidRPr="00E759D0">
        <w:rPr>
          <w:rFonts w:ascii="Arial" w:hAnsi="Arial" w:cs="Arial"/>
          <w:sz w:val="24"/>
          <w:szCs w:val="24"/>
        </w:rPr>
        <w:t xml:space="preserve">of </w:t>
      </w:r>
      <w:r w:rsidR="004C4016" w:rsidRPr="00E759D0">
        <w:rPr>
          <w:rFonts w:ascii="Arial" w:hAnsi="Arial" w:cs="Arial"/>
          <w:sz w:val="24"/>
          <w:szCs w:val="24"/>
        </w:rPr>
        <w:t xml:space="preserve">State Security Agency </w:t>
      </w:r>
      <w:r w:rsidR="000F2595" w:rsidRPr="00E759D0">
        <w:rPr>
          <w:rFonts w:ascii="Arial" w:hAnsi="Arial" w:cs="Arial"/>
          <w:sz w:val="24"/>
          <w:szCs w:val="24"/>
        </w:rPr>
        <w:t>(</w:t>
      </w:r>
      <w:r w:rsidR="004C4016" w:rsidRPr="00E759D0">
        <w:rPr>
          <w:rFonts w:ascii="Arial" w:hAnsi="Arial" w:cs="Arial"/>
          <w:sz w:val="24"/>
          <w:szCs w:val="24"/>
        </w:rPr>
        <w:t>Ambas</w:t>
      </w:r>
      <w:r w:rsidR="00D800B7" w:rsidRPr="00E759D0">
        <w:rPr>
          <w:rFonts w:ascii="Arial" w:hAnsi="Arial" w:cs="Arial"/>
          <w:sz w:val="24"/>
          <w:szCs w:val="24"/>
        </w:rPr>
        <w:t xml:space="preserve">sador </w:t>
      </w:r>
      <w:proofErr w:type="spellStart"/>
      <w:r w:rsidR="00D800B7" w:rsidRPr="00E759D0">
        <w:rPr>
          <w:rFonts w:ascii="Arial" w:hAnsi="Arial" w:cs="Arial"/>
          <w:sz w:val="24"/>
          <w:szCs w:val="24"/>
        </w:rPr>
        <w:t>Thembisile</w:t>
      </w:r>
      <w:proofErr w:type="spellEnd"/>
      <w:r w:rsidR="00D800B7" w:rsidRPr="00E759D0">
        <w:rPr>
          <w:rFonts w:ascii="Arial" w:hAnsi="Arial" w:cs="Arial"/>
          <w:sz w:val="24"/>
          <w:szCs w:val="24"/>
        </w:rPr>
        <w:t xml:space="preserve"> Cheryl </w:t>
      </w:r>
      <w:proofErr w:type="spellStart"/>
      <w:r w:rsidR="00D800B7" w:rsidRPr="00E759D0">
        <w:rPr>
          <w:rFonts w:ascii="Arial" w:hAnsi="Arial" w:cs="Arial"/>
          <w:sz w:val="24"/>
          <w:szCs w:val="24"/>
        </w:rPr>
        <w:t>Majola</w:t>
      </w:r>
      <w:proofErr w:type="spellEnd"/>
      <w:r w:rsidR="000F2595" w:rsidRPr="00E759D0">
        <w:rPr>
          <w:rFonts w:ascii="Arial" w:hAnsi="Arial" w:cs="Arial"/>
          <w:sz w:val="24"/>
          <w:szCs w:val="24"/>
        </w:rPr>
        <w:t>)</w:t>
      </w:r>
      <w:r w:rsidR="00E448AA" w:rsidRPr="00E759D0">
        <w:rPr>
          <w:rFonts w:ascii="Arial" w:hAnsi="Arial" w:cs="Arial"/>
          <w:sz w:val="24"/>
          <w:szCs w:val="24"/>
        </w:rPr>
        <w:t xml:space="preserve">. Attached to this affidavit is a </w:t>
      </w:r>
      <w:r w:rsidR="00D800B7" w:rsidRPr="00E759D0">
        <w:rPr>
          <w:rFonts w:ascii="Arial" w:hAnsi="Arial" w:cs="Arial"/>
          <w:sz w:val="24"/>
          <w:szCs w:val="24"/>
        </w:rPr>
        <w:t xml:space="preserve">confirmatory affidavit </w:t>
      </w:r>
      <w:r w:rsidR="000F2595" w:rsidRPr="00E759D0">
        <w:rPr>
          <w:rFonts w:ascii="Arial" w:hAnsi="Arial" w:cs="Arial"/>
          <w:sz w:val="24"/>
          <w:szCs w:val="24"/>
        </w:rPr>
        <w:t xml:space="preserve">by the </w:t>
      </w:r>
      <w:r w:rsidR="00D800B7" w:rsidRPr="00E759D0">
        <w:rPr>
          <w:rFonts w:ascii="Arial" w:hAnsi="Arial" w:cs="Arial"/>
          <w:sz w:val="24"/>
          <w:szCs w:val="24"/>
        </w:rPr>
        <w:t>former Acting Dir</w:t>
      </w:r>
      <w:r w:rsidR="00585B07" w:rsidRPr="00E759D0">
        <w:rPr>
          <w:rFonts w:ascii="Arial" w:hAnsi="Arial" w:cs="Arial"/>
          <w:sz w:val="24"/>
          <w:szCs w:val="24"/>
        </w:rPr>
        <w:t>ector-</w:t>
      </w:r>
      <w:r w:rsidR="00D800B7" w:rsidRPr="00E759D0">
        <w:rPr>
          <w:rFonts w:ascii="Arial" w:hAnsi="Arial" w:cs="Arial"/>
          <w:sz w:val="24"/>
          <w:szCs w:val="24"/>
        </w:rPr>
        <w:t xml:space="preserve">General </w:t>
      </w:r>
      <w:r w:rsidR="000F2595" w:rsidRPr="00E759D0">
        <w:rPr>
          <w:rFonts w:ascii="Arial" w:hAnsi="Arial" w:cs="Arial"/>
          <w:sz w:val="24"/>
          <w:szCs w:val="24"/>
        </w:rPr>
        <w:t>(</w:t>
      </w:r>
      <w:r w:rsidR="00D800B7" w:rsidRPr="00E759D0">
        <w:rPr>
          <w:rFonts w:ascii="Arial" w:hAnsi="Arial" w:cs="Arial"/>
          <w:sz w:val="24"/>
          <w:szCs w:val="24"/>
        </w:rPr>
        <w:t xml:space="preserve">Mr </w:t>
      </w:r>
      <w:proofErr w:type="spellStart"/>
      <w:r w:rsidR="00D800B7" w:rsidRPr="00E759D0">
        <w:rPr>
          <w:rFonts w:ascii="Arial" w:hAnsi="Arial" w:cs="Arial"/>
          <w:sz w:val="24"/>
          <w:szCs w:val="24"/>
        </w:rPr>
        <w:t>Loyiso</w:t>
      </w:r>
      <w:proofErr w:type="spellEnd"/>
      <w:r w:rsidR="00D800B7" w:rsidRPr="00E759D0">
        <w:rPr>
          <w:rFonts w:ascii="Arial" w:hAnsi="Arial" w:cs="Arial"/>
          <w:sz w:val="24"/>
          <w:szCs w:val="24"/>
        </w:rPr>
        <w:t xml:space="preserve"> </w:t>
      </w:r>
      <w:proofErr w:type="spellStart"/>
      <w:r w:rsidR="00D800B7" w:rsidRPr="00E759D0">
        <w:rPr>
          <w:rFonts w:ascii="Arial" w:hAnsi="Arial" w:cs="Arial"/>
          <w:sz w:val="24"/>
          <w:szCs w:val="24"/>
        </w:rPr>
        <w:t>Jafta</w:t>
      </w:r>
      <w:proofErr w:type="spellEnd"/>
      <w:r w:rsidR="00594541" w:rsidRPr="00E759D0">
        <w:rPr>
          <w:rFonts w:ascii="Arial" w:hAnsi="Arial" w:cs="Arial"/>
          <w:sz w:val="24"/>
          <w:szCs w:val="24"/>
        </w:rPr>
        <w:t xml:space="preserve"> (“</w:t>
      </w:r>
      <w:proofErr w:type="spellStart"/>
      <w:r w:rsidR="00594541" w:rsidRPr="00E759D0">
        <w:rPr>
          <w:rFonts w:ascii="Arial" w:hAnsi="Arial" w:cs="Arial"/>
          <w:sz w:val="24"/>
          <w:szCs w:val="24"/>
        </w:rPr>
        <w:t>Jafta</w:t>
      </w:r>
      <w:proofErr w:type="spellEnd"/>
      <w:r w:rsidR="00594541" w:rsidRPr="00E759D0">
        <w:rPr>
          <w:rFonts w:ascii="Arial" w:hAnsi="Arial" w:cs="Arial"/>
          <w:sz w:val="24"/>
          <w:szCs w:val="24"/>
        </w:rPr>
        <w:t>”)</w:t>
      </w:r>
      <w:r w:rsidR="00EB66C0" w:rsidRPr="00E759D0">
        <w:rPr>
          <w:rFonts w:ascii="Arial" w:hAnsi="Arial" w:cs="Arial"/>
          <w:sz w:val="24"/>
          <w:szCs w:val="24"/>
        </w:rPr>
        <w:t>.</w:t>
      </w:r>
      <w:r w:rsidR="003D320A" w:rsidRPr="00E759D0">
        <w:rPr>
          <w:rFonts w:ascii="Arial" w:hAnsi="Arial" w:cs="Arial"/>
          <w:sz w:val="24"/>
          <w:szCs w:val="24"/>
        </w:rPr>
        <w:t xml:space="preserve"> </w:t>
      </w:r>
      <w:r w:rsidR="004C4016" w:rsidRPr="00E759D0">
        <w:rPr>
          <w:rFonts w:ascii="Arial" w:hAnsi="Arial" w:cs="Arial"/>
          <w:sz w:val="24"/>
          <w:szCs w:val="24"/>
        </w:rPr>
        <w:t>The respondents explain that the c</w:t>
      </w:r>
      <w:r w:rsidR="000F2595" w:rsidRPr="00E759D0">
        <w:rPr>
          <w:rFonts w:ascii="Arial" w:hAnsi="Arial" w:cs="Arial"/>
          <w:sz w:val="24"/>
          <w:szCs w:val="24"/>
        </w:rPr>
        <w:t>o</w:t>
      </w:r>
      <w:r w:rsidR="00585B07" w:rsidRPr="00E759D0">
        <w:rPr>
          <w:rFonts w:ascii="Arial" w:hAnsi="Arial" w:cs="Arial"/>
          <w:sz w:val="24"/>
          <w:szCs w:val="24"/>
        </w:rPr>
        <w:t xml:space="preserve">nfirmatory affidavit by </w:t>
      </w:r>
      <w:proofErr w:type="spellStart"/>
      <w:r w:rsidR="00585B07" w:rsidRPr="00E759D0">
        <w:rPr>
          <w:rFonts w:ascii="Arial" w:hAnsi="Arial" w:cs="Arial"/>
          <w:sz w:val="24"/>
          <w:szCs w:val="24"/>
        </w:rPr>
        <w:t>Jafta</w:t>
      </w:r>
      <w:proofErr w:type="spellEnd"/>
      <w:r w:rsidR="00585B07" w:rsidRPr="00E759D0">
        <w:rPr>
          <w:rFonts w:ascii="Arial" w:hAnsi="Arial" w:cs="Arial"/>
          <w:sz w:val="24"/>
          <w:szCs w:val="24"/>
        </w:rPr>
        <w:t xml:space="preserve"> i</w:t>
      </w:r>
      <w:r w:rsidR="004C4016" w:rsidRPr="00E759D0">
        <w:rPr>
          <w:rFonts w:ascii="Arial" w:hAnsi="Arial" w:cs="Arial"/>
          <w:sz w:val="24"/>
          <w:szCs w:val="24"/>
        </w:rPr>
        <w:t xml:space="preserve">s necessary </w:t>
      </w:r>
      <w:r w:rsidR="00E448AA" w:rsidRPr="00E759D0">
        <w:rPr>
          <w:rFonts w:ascii="Arial" w:hAnsi="Arial" w:cs="Arial"/>
          <w:sz w:val="24"/>
          <w:szCs w:val="24"/>
        </w:rPr>
        <w:t xml:space="preserve">to support the facts set out in the </w:t>
      </w:r>
      <w:r w:rsidR="004C4016" w:rsidRPr="00E759D0">
        <w:rPr>
          <w:rFonts w:ascii="Arial" w:hAnsi="Arial" w:cs="Arial"/>
          <w:sz w:val="24"/>
          <w:szCs w:val="24"/>
        </w:rPr>
        <w:t xml:space="preserve">answering affidavit which will remain unsubstantiated without the confirmatory </w:t>
      </w:r>
      <w:r w:rsidR="00594541" w:rsidRPr="00E759D0">
        <w:rPr>
          <w:rFonts w:ascii="Arial" w:hAnsi="Arial" w:cs="Arial"/>
          <w:sz w:val="24"/>
          <w:szCs w:val="24"/>
        </w:rPr>
        <w:t>affidavit.</w:t>
      </w:r>
      <w:r w:rsidR="004C4016" w:rsidRPr="00E759D0">
        <w:rPr>
          <w:rFonts w:ascii="Arial" w:hAnsi="Arial" w:cs="Arial"/>
          <w:sz w:val="24"/>
          <w:szCs w:val="24"/>
        </w:rPr>
        <w:t xml:space="preserve"> </w:t>
      </w:r>
      <w:r w:rsidR="00E448AA" w:rsidRPr="00E759D0">
        <w:rPr>
          <w:rFonts w:ascii="Arial" w:hAnsi="Arial" w:cs="Arial"/>
          <w:sz w:val="24"/>
          <w:szCs w:val="24"/>
        </w:rPr>
        <w:t xml:space="preserve">They </w:t>
      </w:r>
      <w:r w:rsidR="00594541" w:rsidRPr="00E759D0">
        <w:rPr>
          <w:rFonts w:ascii="Arial" w:hAnsi="Arial" w:cs="Arial"/>
          <w:sz w:val="24"/>
          <w:szCs w:val="24"/>
        </w:rPr>
        <w:lastRenderedPageBreak/>
        <w:t xml:space="preserve">further </w:t>
      </w:r>
      <w:r w:rsidR="00E448AA" w:rsidRPr="00E759D0">
        <w:rPr>
          <w:rFonts w:ascii="Arial" w:hAnsi="Arial" w:cs="Arial"/>
          <w:sz w:val="24"/>
          <w:szCs w:val="24"/>
        </w:rPr>
        <w:t xml:space="preserve">explain </w:t>
      </w:r>
      <w:r w:rsidR="00030CCB" w:rsidRPr="00E759D0">
        <w:rPr>
          <w:rFonts w:ascii="Arial" w:hAnsi="Arial" w:cs="Arial"/>
          <w:sz w:val="24"/>
          <w:szCs w:val="24"/>
        </w:rPr>
        <w:t xml:space="preserve">that </w:t>
      </w:r>
      <w:proofErr w:type="spellStart"/>
      <w:r w:rsidR="00030CCB" w:rsidRPr="00E759D0">
        <w:rPr>
          <w:rFonts w:ascii="Arial" w:hAnsi="Arial" w:cs="Arial"/>
          <w:sz w:val="24"/>
          <w:szCs w:val="24"/>
        </w:rPr>
        <w:t>Jafta</w:t>
      </w:r>
      <w:proofErr w:type="spellEnd"/>
      <w:r w:rsidR="00030CCB" w:rsidRPr="00E759D0">
        <w:rPr>
          <w:rFonts w:ascii="Arial" w:hAnsi="Arial" w:cs="Arial"/>
          <w:sz w:val="24"/>
          <w:szCs w:val="24"/>
        </w:rPr>
        <w:t xml:space="preserve"> was, due to his w</w:t>
      </w:r>
      <w:r w:rsidR="00585B07" w:rsidRPr="00E759D0">
        <w:rPr>
          <w:rFonts w:ascii="Arial" w:hAnsi="Arial" w:cs="Arial"/>
          <w:sz w:val="24"/>
          <w:szCs w:val="24"/>
        </w:rPr>
        <w:t>ork commitments, unable to sign</w:t>
      </w:r>
      <w:r w:rsidR="00030CCB" w:rsidRPr="00E759D0">
        <w:rPr>
          <w:rFonts w:ascii="Arial" w:hAnsi="Arial" w:cs="Arial"/>
          <w:sz w:val="24"/>
          <w:szCs w:val="24"/>
        </w:rPr>
        <w:t xml:space="preserve"> the confirmatory affidavit at the time</w:t>
      </w:r>
      <w:r w:rsidR="00594541" w:rsidRPr="00E759D0">
        <w:rPr>
          <w:rFonts w:ascii="Arial" w:hAnsi="Arial" w:cs="Arial"/>
          <w:sz w:val="24"/>
          <w:szCs w:val="24"/>
        </w:rPr>
        <w:t>.</w:t>
      </w:r>
      <w:r w:rsidR="00E448AA" w:rsidRPr="00E759D0">
        <w:rPr>
          <w:rFonts w:ascii="Arial" w:hAnsi="Arial" w:cs="Arial"/>
          <w:sz w:val="24"/>
          <w:szCs w:val="24"/>
        </w:rPr>
        <w:t xml:space="preserve"> </w:t>
      </w:r>
      <w:r w:rsidR="00030CCB" w:rsidRPr="00E759D0">
        <w:rPr>
          <w:rFonts w:ascii="Arial" w:hAnsi="Arial" w:cs="Arial"/>
          <w:sz w:val="24"/>
          <w:szCs w:val="24"/>
        </w:rPr>
        <w:t xml:space="preserve">He was only able to </w:t>
      </w:r>
      <w:r w:rsidR="00594541" w:rsidRPr="00E759D0">
        <w:rPr>
          <w:rFonts w:ascii="Arial" w:hAnsi="Arial" w:cs="Arial"/>
          <w:sz w:val="24"/>
          <w:szCs w:val="24"/>
        </w:rPr>
        <w:t xml:space="preserve">do so </w:t>
      </w:r>
      <w:r w:rsidR="00030CCB" w:rsidRPr="00E759D0">
        <w:rPr>
          <w:rFonts w:ascii="Arial" w:hAnsi="Arial" w:cs="Arial"/>
          <w:sz w:val="24"/>
          <w:szCs w:val="24"/>
        </w:rPr>
        <w:t xml:space="preserve">after he had </w:t>
      </w:r>
      <w:r w:rsidR="00585B07" w:rsidRPr="00E759D0">
        <w:rPr>
          <w:rFonts w:ascii="Arial" w:hAnsi="Arial" w:cs="Arial"/>
          <w:sz w:val="24"/>
          <w:szCs w:val="24"/>
        </w:rPr>
        <w:t>returned</w:t>
      </w:r>
      <w:r w:rsidR="00030CCB" w:rsidRPr="00E759D0">
        <w:rPr>
          <w:rFonts w:ascii="Arial" w:hAnsi="Arial" w:cs="Arial"/>
          <w:sz w:val="24"/>
          <w:szCs w:val="24"/>
        </w:rPr>
        <w:t xml:space="preserve"> to his office. </w:t>
      </w:r>
      <w:r w:rsidR="00BC4A08" w:rsidRPr="00E759D0">
        <w:rPr>
          <w:rFonts w:ascii="Arial" w:hAnsi="Arial" w:cs="Arial"/>
          <w:sz w:val="24"/>
          <w:szCs w:val="24"/>
        </w:rPr>
        <w:t>I</w:t>
      </w:r>
      <w:r w:rsidR="0084286B" w:rsidRPr="00E759D0">
        <w:rPr>
          <w:rFonts w:ascii="Arial" w:hAnsi="Arial" w:cs="Arial"/>
          <w:sz w:val="24"/>
          <w:szCs w:val="24"/>
        </w:rPr>
        <w:t>t</w:t>
      </w:r>
      <w:r w:rsidR="00BC4A08" w:rsidRPr="00E759D0">
        <w:rPr>
          <w:rFonts w:ascii="Arial" w:hAnsi="Arial" w:cs="Arial"/>
          <w:sz w:val="24"/>
          <w:szCs w:val="24"/>
        </w:rPr>
        <w:t xml:space="preserve"> </w:t>
      </w:r>
      <w:r w:rsidR="00594541" w:rsidRPr="00E759D0">
        <w:rPr>
          <w:rFonts w:ascii="Arial" w:hAnsi="Arial" w:cs="Arial"/>
          <w:sz w:val="24"/>
          <w:szCs w:val="24"/>
        </w:rPr>
        <w:t xml:space="preserve">is </w:t>
      </w:r>
      <w:r w:rsidR="00E448AA" w:rsidRPr="00E759D0">
        <w:rPr>
          <w:rFonts w:ascii="Arial" w:hAnsi="Arial" w:cs="Arial"/>
          <w:sz w:val="24"/>
          <w:szCs w:val="24"/>
        </w:rPr>
        <w:t xml:space="preserve">noted that </w:t>
      </w:r>
      <w:proofErr w:type="spellStart"/>
      <w:r w:rsidR="00E448AA" w:rsidRPr="00E759D0">
        <w:rPr>
          <w:rFonts w:ascii="Arial" w:hAnsi="Arial" w:cs="Arial"/>
          <w:sz w:val="24"/>
          <w:szCs w:val="24"/>
        </w:rPr>
        <w:t>Jafta’s</w:t>
      </w:r>
      <w:proofErr w:type="spellEnd"/>
      <w:r w:rsidR="00E448AA" w:rsidRPr="00E759D0">
        <w:rPr>
          <w:rFonts w:ascii="Arial" w:hAnsi="Arial" w:cs="Arial"/>
          <w:sz w:val="24"/>
          <w:szCs w:val="24"/>
        </w:rPr>
        <w:t xml:space="preserve"> </w:t>
      </w:r>
      <w:r w:rsidR="00BC4A08" w:rsidRPr="00E759D0">
        <w:rPr>
          <w:rFonts w:ascii="Arial" w:hAnsi="Arial" w:cs="Arial"/>
          <w:sz w:val="24"/>
          <w:szCs w:val="24"/>
        </w:rPr>
        <w:t xml:space="preserve">affidavit does not </w:t>
      </w:r>
      <w:r w:rsidR="00E448AA" w:rsidRPr="00E759D0">
        <w:rPr>
          <w:rFonts w:ascii="Arial" w:hAnsi="Arial" w:cs="Arial"/>
          <w:sz w:val="24"/>
          <w:szCs w:val="24"/>
        </w:rPr>
        <w:t>introduce any new or additional fact</w:t>
      </w:r>
      <w:r w:rsidR="00594541" w:rsidRPr="00E759D0">
        <w:rPr>
          <w:rFonts w:ascii="Arial" w:hAnsi="Arial" w:cs="Arial"/>
          <w:sz w:val="24"/>
          <w:szCs w:val="24"/>
        </w:rPr>
        <w:t>s</w:t>
      </w:r>
      <w:r w:rsidR="00E448AA" w:rsidRPr="00E759D0">
        <w:rPr>
          <w:rFonts w:ascii="Arial" w:hAnsi="Arial" w:cs="Arial"/>
          <w:sz w:val="24"/>
          <w:szCs w:val="24"/>
        </w:rPr>
        <w:t xml:space="preserve">; it </w:t>
      </w:r>
      <w:r w:rsidR="00BC4A08" w:rsidRPr="00E759D0">
        <w:rPr>
          <w:rFonts w:ascii="Arial" w:hAnsi="Arial" w:cs="Arial"/>
          <w:sz w:val="24"/>
          <w:szCs w:val="24"/>
        </w:rPr>
        <w:t xml:space="preserve">merely confirms the facts </w:t>
      </w:r>
      <w:r w:rsidR="00E448AA" w:rsidRPr="00E759D0">
        <w:rPr>
          <w:rFonts w:ascii="Arial" w:hAnsi="Arial" w:cs="Arial"/>
          <w:sz w:val="24"/>
          <w:szCs w:val="24"/>
        </w:rPr>
        <w:t>pertaining to him as set out in the answering affidavit.</w:t>
      </w:r>
      <w:r w:rsidR="00BC4A08" w:rsidRPr="00E759D0">
        <w:rPr>
          <w:rFonts w:ascii="Arial" w:hAnsi="Arial" w:cs="Arial"/>
          <w:sz w:val="24"/>
          <w:szCs w:val="24"/>
        </w:rPr>
        <w:t xml:space="preserve"> </w:t>
      </w:r>
      <w:r w:rsidR="00CA0955" w:rsidRPr="00E759D0">
        <w:rPr>
          <w:rFonts w:ascii="Arial" w:hAnsi="Arial" w:cs="Arial"/>
          <w:sz w:val="24"/>
          <w:szCs w:val="24"/>
        </w:rPr>
        <w:t>I have considered the application and can find no reason to refuse the application</w:t>
      </w:r>
      <w:r w:rsidR="003D320A" w:rsidRPr="00E759D0">
        <w:rPr>
          <w:rFonts w:ascii="Arial" w:hAnsi="Arial" w:cs="Arial"/>
          <w:sz w:val="24"/>
          <w:szCs w:val="24"/>
        </w:rPr>
        <w:t xml:space="preserve">. </w:t>
      </w:r>
    </w:p>
    <w:p w14:paraId="1F55AC0B" w14:textId="77777777" w:rsidR="00A974E0" w:rsidRPr="00E759D0" w:rsidRDefault="00A974E0" w:rsidP="00E759D0">
      <w:pPr>
        <w:pStyle w:val="ListParagraph"/>
        <w:spacing w:line="360" w:lineRule="auto"/>
        <w:ind w:left="0"/>
        <w:jc w:val="both"/>
        <w:rPr>
          <w:rFonts w:ascii="Arial" w:hAnsi="Arial" w:cs="Arial"/>
          <w:sz w:val="24"/>
          <w:szCs w:val="24"/>
        </w:rPr>
      </w:pPr>
    </w:p>
    <w:p w14:paraId="34B5EF06" w14:textId="1C2BA00E" w:rsidR="00D800B7" w:rsidRPr="00E759D0" w:rsidRDefault="00030CCB" w:rsidP="00E759D0">
      <w:pPr>
        <w:pStyle w:val="ListParagraph"/>
        <w:numPr>
          <w:ilvl w:val="0"/>
          <w:numId w:val="1"/>
        </w:numPr>
        <w:spacing w:line="360" w:lineRule="auto"/>
        <w:jc w:val="both"/>
        <w:rPr>
          <w:rFonts w:ascii="Arial" w:hAnsi="Arial" w:cs="Arial"/>
          <w:sz w:val="24"/>
          <w:szCs w:val="24"/>
        </w:rPr>
      </w:pPr>
      <w:r w:rsidRPr="00E759D0">
        <w:rPr>
          <w:rFonts w:ascii="Arial" w:hAnsi="Arial" w:cs="Arial"/>
          <w:sz w:val="24"/>
          <w:szCs w:val="24"/>
        </w:rPr>
        <w:t>The second application i</w:t>
      </w:r>
      <w:r w:rsidR="00C2174C" w:rsidRPr="00E759D0">
        <w:rPr>
          <w:rFonts w:ascii="Arial" w:hAnsi="Arial" w:cs="Arial"/>
          <w:sz w:val="24"/>
          <w:szCs w:val="24"/>
        </w:rPr>
        <w:t xml:space="preserve">s an application for </w:t>
      </w:r>
      <w:r w:rsidR="00AD7B0F" w:rsidRPr="00E759D0">
        <w:rPr>
          <w:rFonts w:ascii="Arial" w:hAnsi="Arial" w:cs="Arial"/>
          <w:sz w:val="24"/>
          <w:szCs w:val="24"/>
        </w:rPr>
        <w:t>condon</w:t>
      </w:r>
      <w:r w:rsidR="00585B07" w:rsidRPr="00E759D0">
        <w:rPr>
          <w:rFonts w:ascii="Arial" w:hAnsi="Arial" w:cs="Arial"/>
          <w:sz w:val="24"/>
          <w:szCs w:val="24"/>
        </w:rPr>
        <w:t xml:space="preserve">ation for the late filing of the </w:t>
      </w:r>
      <w:r w:rsidR="00AD7B0F" w:rsidRPr="00E759D0">
        <w:rPr>
          <w:rFonts w:ascii="Arial" w:hAnsi="Arial" w:cs="Arial"/>
          <w:sz w:val="24"/>
          <w:szCs w:val="24"/>
        </w:rPr>
        <w:t xml:space="preserve">answering affidavit. </w:t>
      </w:r>
      <w:r w:rsidR="00A974E0" w:rsidRPr="00E759D0">
        <w:rPr>
          <w:rFonts w:ascii="Arial" w:hAnsi="Arial" w:cs="Arial"/>
          <w:sz w:val="24"/>
          <w:szCs w:val="24"/>
        </w:rPr>
        <w:t xml:space="preserve">The </w:t>
      </w:r>
      <w:r w:rsidR="00C2174C" w:rsidRPr="00E759D0">
        <w:rPr>
          <w:rFonts w:ascii="Arial" w:hAnsi="Arial" w:cs="Arial"/>
          <w:sz w:val="24"/>
          <w:szCs w:val="24"/>
        </w:rPr>
        <w:t xml:space="preserve">affidavit is comprehensive and </w:t>
      </w:r>
      <w:r w:rsidR="00A974E0" w:rsidRPr="00E759D0">
        <w:rPr>
          <w:rFonts w:ascii="Arial" w:hAnsi="Arial" w:cs="Arial"/>
          <w:sz w:val="24"/>
          <w:szCs w:val="24"/>
        </w:rPr>
        <w:t xml:space="preserve">sets out in detail </w:t>
      </w:r>
      <w:r w:rsidR="00E448AA" w:rsidRPr="00E759D0">
        <w:rPr>
          <w:rFonts w:ascii="Arial" w:hAnsi="Arial" w:cs="Arial"/>
          <w:sz w:val="24"/>
          <w:szCs w:val="24"/>
        </w:rPr>
        <w:t xml:space="preserve">the reason for it lateness. Primarily, </w:t>
      </w:r>
      <w:r w:rsidR="00A974E0" w:rsidRPr="00E759D0">
        <w:rPr>
          <w:rFonts w:ascii="Arial" w:hAnsi="Arial" w:cs="Arial"/>
          <w:sz w:val="24"/>
          <w:szCs w:val="24"/>
        </w:rPr>
        <w:t xml:space="preserve">the </w:t>
      </w:r>
      <w:r w:rsidR="00FF240F" w:rsidRPr="00E759D0">
        <w:rPr>
          <w:rFonts w:ascii="Arial" w:hAnsi="Arial" w:cs="Arial"/>
          <w:sz w:val="24"/>
          <w:szCs w:val="24"/>
        </w:rPr>
        <w:t xml:space="preserve">delay </w:t>
      </w:r>
      <w:r w:rsidR="00E448AA" w:rsidRPr="00E759D0">
        <w:rPr>
          <w:rFonts w:ascii="Arial" w:hAnsi="Arial" w:cs="Arial"/>
          <w:sz w:val="24"/>
          <w:szCs w:val="24"/>
        </w:rPr>
        <w:t xml:space="preserve">arose from </w:t>
      </w:r>
      <w:r w:rsidR="00FF240F" w:rsidRPr="00E759D0">
        <w:rPr>
          <w:rFonts w:ascii="Arial" w:hAnsi="Arial" w:cs="Arial"/>
          <w:sz w:val="24"/>
          <w:szCs w:val="24"/>
        </w:rPr>
        <w:t xml:space="preserve">the fact that all the relevant officials who were involved in the events </w:t>
      </w:r>
      <w:r w:rsidR="00E448AA" w:rsidRPr="00E759D0">
        <w:rPr>
          <w:rFonts w:ascii="Arial" w:hAnsi="Arial" w:cs="Arial"/>
          <w:sz w:val="24"/>
          <w:szCs w:val="24"/>
        </w:rPr>
        <w:t xml:space="preserve">leading to </w:t>
      </w:r>
      <w:r w:rsidR="00FF240F" w:rsidRPr="00E759D0">
        <w:rPr>
          <w:rFonts w:ascii="Arial" w:hAnsi="Arial" w:cs="Arial"/>
          <w:sz w:val="24"/>
          <w:szCs w:val="24"/>
        </w:rPr>
        <w:t>the dispute are no longer in the employ of the State Security Agency.</w:t>
      </w:r>
      <w:r w:rsidR="003D320A" w:rsidRPr="00E759D0">
        <w:rPr>
          <w:rFonts w:ascii="Arial" w:hAnsi="Arial" w:cs="Arial"/>
          <w:sz w:val="24"/>
          <w:szCs w:val="24"/>
        </w:rPr>
        <w:t xml:space="preserve"> </w:t>
      </w:r>
      <w:r w:rsidR="00C2174C" w:rsidRPr="00E759D0">
        <w:rPr>
          <w:rFonts w:ascii="Arial" w:hAnsi="Arial" w:cs="Arial"/>
          <w:sz w:val="24"/>
          <w:szCs w:val="24"/>
        </w:rPr>
        <w:t>I have considered the application taking into account</w:t>
      </w:r>
      <w:r w:rsidR="00510845" w:rsidRPr="00E759D0">
        <w:rPr>
          <w:rFonts w:ascii="Arial" w:hAnsi="Arial" w:cs="Arial"/>
          <w:sz w:val="24"/>
          <w:szCs w:val="24"/>
        </w:rPr>
        <w:t xml:space="preserve">, </w:t>
      </w:r>
      <w:r w:rsidR="00510845" w:rsidRPr="00E759D0">
        <w:rPr>
          <w:rFonts w:ascii="Arial" w:hAnsi="Arial" w:cs="Arial"/>
          <w:i/>
          <w:sz w:val="24"/>
          <w:szCs w:val="24"/>
        </w:rPr>
        <w:t>inter alia</w:t>
      </w:r>
      <w:r w:rsidR="00C2174C" w:rsidRPr="00E759D0">
        <w:rPr>
          <w:rFonts w:ascii="Arial" w:hAnsi="Arial" w:cs="Arial"/>
          <w:sz w:val="24"/>
          <w:szCs w:val="24"/>
        </w:rPr>
        <w:t xml:space="preserve"> the length of the delay, the explanation for the delay, </w:t>
      </w:r>
      <w:r w:rsidR="00510845" w:rsidRPr="00E759D0">
        <w:rPr>
          <w:rFonts w:ascii="Arial" w:eastAsia="Times New Roman" w:hAnsi="Arial" w:cs="Arial"/>
          <w:color w:val="000000"/>
          <w:sz w:val="24"/>
          <w:szCs w:val="24"/>
          <w:lang w:eastAsia="en-ZA"/>
        </w:rPr>
        <w:t>the prospects of success</w:t>
      </w:r>
      <w:r w:rsidR="006154D6" w:rsidRPr="00E759D0">
        <w:rPr>
          <w:rFonts w:ascii="Arial" w:eastAsia="Times New Roman" w:hAnsi="Arial" w:cs="Arial"/>
          <w:color w:val="000000"/>
          <w:sz w:val="24"/>
          <w:szCs w:val="24"/>
          <w:lang w:eastAsia="en-ZA"/>
        </w:rPr>
        <w:t xml:space="preserve"> (which are good)</w:t>
      </w:r>
      <w:r w:rsidR="00A54D60" w:rsidRPr="00E759D0">
        <w:rPr>
          <w:rFonts w:ascii="Arial" w:eastAsia="Times New Roman" w:hAnsi="Arial" w:cs="Arial"/>
          <w:color w:val="000000"/>
          <w:sz w:val="24"/>
          <w:szCs w:val="24"/>
          <w:lang w:eastAsia="en-ZA"/>
        </w:rPr>
        <w:t>,</w:t>
      </w:r>
      <w:r w:rsidR="00510845" w:rsidRPr="00E759D0">
        <w:rPr>
          <w:rFonts w:ascii="Arial" w:eastAsia="Times New Roman" w:hAnsi="Arial" w:cs="Arial"/>
          <w:color w:val="000000"/>
          <w:sz w:val="24"/>
          <w:szCs w:val="24"/>
          <w:lang w:eastAsia="en-ZA"/>
        </w:rPr>
        <w:t xml:space="preserve"> and ultimately whether it is in the interests of justice to grant </w:t>
      </w:r>
      <w:r w:rsidR="00A54D60" w:rsidRPr="00E759D0">
        <w:rPr>
          <w:rFonts w:ascii="Arial" w:eastAsia="Times New Roman" w:hAnsi="Arial" w:cs="Arial"/>
          <w:color w:val="000000"/>
          <w:sz w:val="24"/>
          <w:szCs w:val="24"/>
          <w:lang w:eastAsia="en-ZA"/>
        </w:rPr>
        <w:t xml:space="preserve">the application for condonation. </w:t>
      </w:r>
      <w:r w:rsidR="00B85352" w:rsidRPr="00E759D0">
        <w:rPr>
          <w:rFonts w:ascii="Arial" w:eastAsia="Times New Roman" w:hAnsi="Arial" w:cs="Arial"/>
          <w:color w:val="000000"/>
          <w:sz w:val="24"/>
          <w:szCs w:val="24"/>
          <w:lang w:eastAsia="en-ZA"/>
        </w:rPr>
        <w:t xml:space="preserve">Apart from all the other considerations, it is manifestly in the interest of justice to grant condonation. </w:t>
      </w:r>
      <w:r w:rsidR="00510845" w:rsidRPr="00E759D0">
        <w:rPr>
          <w:rFonts w:ascii="Arial" w:eastAsia="Times New Roman" w:hAnsi="Arial" w:cs="Arial"/>
          <w:color w:val="000000"/>
          <w:sz w:val="24"/>
          <w:szCs w:val="24"/>
          <w:lang w:eastAsia="en-ZA"/>
        </w:rPr>
        <w:t xml:space="preserve">I </w:t>
      </w:r>
      <w:r w:rsidR="00585B07" w:rsidRPr="00E759D0">
        <w:rPr>
          <w:rFonts w:ascii="Arial" w:eastAsia="Times New Roman" w:hAnsi="Arial" w:cs="Arial"/>
          <w:color w:val="000000"/>
          <w:sz w:val="24"/>
          <w:szCs w:val="24"/>
          <w:lang w:eastAsia="en-ZA"/>
        </w:rPr>
        <w:t xml:space="preserve">am </w:t>
      </w:r>
      <w:r w:rsidR="00B85352" w:rsidRPr="00E759D0">
        <w:rPr>
          <w:rFonts w:ascii="Arial" w:eastAsia="Times New Roman" w:hAnsi="Arial" w:cs="Arial"/>
          <w:color w:val="000000"/>
          <w:sz w:val="24"/>
          <w:szCs w:val="24"/>
          <w:lang w:eastAsia="en-ZA"/>
        </w:rPr>
        <w:t xml:space="preserve">therefore </w:t>
      </w:r>
      <w:r w:rsidR="00585B07" w:rsidRPr="00E759D0">
        <w:rPr>
          <w:rFonts w:ascii="Arial" w:eastAsia="Times New Roman" w:hAnsi="Arial" w:cs="Arial"/>
          <w:color w:val="000000"/>
          <w:sz w:val="24"/>
          <w:szCs w:val="24"/>
          <w:lang w:eastAsia="en-ZA"/>
        </w:rPr>
        <w:t>satisfied that a proper case has been made out for the granting of condonation</w:t>
      </w:r>
      <w:r w:rsidR="006154D6" w:rsidRPr="00E759D0">
        <w:rPr>
          <w:rFonts w:ascii="Arial" w:eastAsia="Times New Roman" w:hAnsi="Arial" w:cs="Arial"/>
          <w:color w:val="000000"/>
          <w:sz w:val="24"/>
          <w:szCs w:val="24"/>
          <w:lang w:eastAsia="en-ZA"/>
        </w:rPr>
        <w:t xml:space="preserve">. Condonation </w:t>
      </w:r>
      <w:r w:rsidR="00585B07" w:rsidRPr="00E759D0">
        <w:rPr>
          <w:rFonts w:ascii="Arial" w:eastAsia="Times New Roman" w:hAnsi="Arial" w:cs="Arial"/>
          <w:color w:val="000000"/>
          <w:sz w:val="24"/>
          <w:szCs w:val="24"/>
          <w:lang w:eastAsia="en-ZA"/>
        </w:rPr>
        <w:t>is therefore granted for the late filing of the answering affidavit.</w:t>
      </w:r>
      <w:r w:rsidR="00A974E0" w:rsidRPr="00E759D0">
        <w:rPr>
          <w:rStyle w:val="FootnoteReference"/>
          <w:rFonts w:ascii="Arial" w:hAnsi="Arial" w:cs="Arial"/>
          <w:sz w:val="24"/>
          <w:szCs w:val="24"/>
        </w:rPr>
        <w:footnoteReference w:id="2"/>
      </w:r>
      <w:r w:rsidR="00C2174C" w:rsidRPr="00E759D0">
        <w:rPr>
          <w:rFonts w:ascii="Arial" w:hAnsi="Arial" w:cs="Arial"/>
          <w:sz w:val="24"/>
          <w:szCs w:val="24"/>
        </w:rPr>
        <w:t xml:space="preserve"> </w:t>
      </w:r>
    </w:p>
    <w:p w14:paraId="429F8887" w14:textId="77777777" w:rsidR="00D6520D" w:rsidRPr="00E759D0" w:rsidRDefault="00D6520D" w:rsidP="00E759D0">
      <w:pPr>
        <w:spacing w:line="360" w:lineRule="auto"/>
        <w:jc w:val="both"/>
        <w:rPr>
          <w:rFonts w:ascii="Arial" w:hAnsi="Arial" w:cs="Arial"/>
          <w:sz w:val="24"/>
          <w:szCs w:val="24"/>
        </w:rPr>
      </w:pPr>
    </w:p>
    <w:p w14:paraId="7D458A97" w14:textId="77777777" w:rsidR="00C2174C" w:rsidRPr="00E759D0" w:rsidRDefault="00C2174C" w:rsidP="00E759D0">
      <w:pPr>
        <w:spacing w:line="360" w:lineRule="auto"/>
        <w:jc w:val="both"/>
        <w:rPr>
          <w:rFonts w:ascii="Arial" w:hAnsi="Arial" w:cs="Arial"/>
          <w:i/>
          <w:sz w:val="24"/>
          <w:szCs w:val="24"/>
        </w:rPr>
      </w:pPr>
      <w:r w:rsidRPr="00E759D0">
        <w:rPr>
          <w:rFonts w:ascii="Arial" w:hAnsi="Arial" w:cs="Arial"/>
          <w:i/>
          <w:sz w:val="24"/>
          <w:szCs w:val="24"/>
        </w:rPr>
        <w:t>The applicant’s cause of action</w:t>
      </w:r>
    </w:p>
    <w:p w14:paraId="6FE2C41B" w14:textId="0C32AA9B" w:rsidR="003A7DA0" w:rsidRPr="00E759D0" w:rsidRDefault="00585B07" w:rsidP="00E759D0">
      <w:pPr>
        <w:pStyle w:val="ListParagraph"/>
        <w:numPr>
          <w:ilvl w:val="0"/>
          <w:numId w:val="1"/>
        </w:numPr>
        <w:spacing w:line="360" w:lineRule="auto"/>
        <w:jc w:val="both"/>
        <w:rPr>
          <w:rFonts w:ascii="Arial" w:hAnsi="Arial" w:cs="Arial"/>
          <w:sz w:val="24"/>
          <w:szCs w:val="24"/>
        </w:rPr>
      </w:pPr>
      <w:r w:rsidRPr="00E759D0">
        <w:rPr>
          <w:rFonts w:ascii="Arial" w:hAnsi="Arial" w:cs="Arial"/>
          <w:sz w:val="24"/>
          <w:szCs w:val="24"/>
        </w:rPr>
        <w:t xml:space="preserve">The </w:t>
      </w:r>
      <w:r w:rsidR="00E94125" w:rsidRPr="00E759D0">
        <w:rPr>
          <w:rFonts w:ascii="Arial" w:hAnsi="Arial" w:cs="Arial"/>
          <w:sz w:val="24"/>
          <w:szCs w:val="24"/>
        </w:rPr>
        <w:t>applicant’s</w:t>
      </w:r>
      <w:r w:rsidR="00C2174C" w:rsidRPr="00E759D0">
        <w:rPr>
          <w:rFonts w:ascii="Arial" w:hAnsi="Arial" w:cs="Arial"/>
          <w:sz w:val="24"/>
          <w:szCs w:val="24"/>
        </w:rPr>
        <w:t xml:space="preserve"> case </w:t>
      </w:r>
      <w:r w:rsidRPr="00E759D0">
        <w:rPr>
          <w:rFonts w:ascii="Arial" w:hAnsi="Arial" w:cs="Arial"/>
          <w:sz w:val="24"/>
          <w:szCs w:val="24"/>
        </w:rPr>
        <w:t xml:space="preserve">appears to be </w:t>
      </w:r>
      <w:r w:rsidR="00C2174C" w:rsidRPr="00E759D0">
        <w:rPr>
          <w:rFonts w:ascii="Arial" w:hAnsi="Arial" w:cs="Arial"/>
          <w:sz w:val="24"/>
          <w:szCs w:val="24"/>
        </w:rPr>
        <w:t xml:space="preserve">premised on a claim for </w:t>
      </w:r>
      <w:r w:rsidR="009B0186" w:rsidRPr="00E759D0">
        <w:rPr>
          <w:rFonts w:ascii="Arial" w:hAnsi="Arial" w:cs="Arial"/>
          <w:sz w:val="24"/>
          <w:szCs w:val="24"/>
        </w:rPr>
        <w:t>“</w:t>
      </w:r>
      <w:r w:rsidR="00C2174C" w:rsidRPr="00E759D0">
        <w:rPr>
          <w:rFonts w:ascii="Arial" w:hAnsi="Arial" w:cs="Arial"/>
          <w:sz w:val="24"/>
          <w:szCs w:val="24"/>
        </w:rPr>
        <w:t>unfair dismissal</w:t>
      </w:r>
      <w:r w:rsidR="009B0186" w:rsidRPr="00E759D0">
        <w:rPr>
          <w:rFonts w:ascii="Arial" w:hAnsi="Arial" w:cs="Arial"/>
          <w:sz w:val="24"/>
          <w:szCs w:val="24"/>
        </w:rPr>
        <w:t xml:space="preserve">” </w:t>
      </w:r>
      <w:r w:rsidRPr="00E759D0">
        <w:rPr>
          <w:rFonts w:ascii="Arial" w:hAnsi="Arial" w:cs="Arial"/>
          <w:sz w:val="24"/>
          <w:szCs w:val="24"/>
        </w:rPr>
        <w:t xml:space="preserve">in that he claims that </w:t>
      </w:r>
      <w:r w:rsidR="009B0186" w:rsidRPr="00E759D0">
        <w:rPr>
          <w:rFonts w:ascii="Arial" w:hAnsi="Arial" w:cs="Arial"/>
          <w:sz w:val="24"/>
          <w:szCs w:val="24"/>
        </w:rPr>
        <w:t xml:space="preserve">his </w:t>
      </w:r>
      <w:r w:rsidR="00E94125" w:rsidRPr="00E759D0">
        <w:rPr>
          <w:rFonts w:ascii="Arial" w:hAnsi="Arial" w:cs="Arial"/>
          <w:sz w:val="24"/>
          <w:szCs w:val="24"/>
        </w:rPr>
        <w:t xml:space="preserve">dismissal was </w:t>
      </w:r>
      <w:r w:rsidR="009B0186" w:rsidRPr="00E759D0">
        <w:rPr>
          <w:rFonts w:ascii="Arial" w:hAnsi="Arial" w:cs="Arial"/>
          <w:sz w:val="24"/>
          <w:szCs w:val="24"/>
        </w:rPr>
        <w:t>“</w:t>
      </w:r>
      <w:r w:rsidR="00E94125" w:rsidRPr="00E759D0">
        <w:rPr>
          <w:rFonts w:ascii="Arial" w:hAnsi="Arial" w:cs="Arial"/>
          <w:sz w:val="24"/>
          <w:szCs w:val="24"/>
        </w:rPr>
        <w:t>substantively</w:t>
      </w:r>
      <w:r w:rsidR="009B0186" w:rsidRPr="00E759D0">
        <w:rPr>
          <w:rFonts w:ascii="Arial" w:hAnsi="Arial" w:cs="Arial"/>
          <w:sz w:val="24"/>
          <w:szCs w:val="24"/>
        </w:rPr>
        <w:t>”</w:t>
      </w:r>
      <w:r w:rsidR="00E94125" w:rsidRPr="00E759D0">
        <w:rPr>
          <w:rFonts w:ascii="Arial" w:hAnsi="Arial" w:cs="Arial"/>
          <w:sz w:val="24"/>
          <w:szCs w:val="24"/>
        </w:rPr>
        <w:t xml:space="preserve"> and </w:t>
      </w:r>
      <w:r w:rsidR="009B0186" w:rsidRPr="00E759D0">
        <w:rPr>
          <w:rFonts w:ascii="Arial" w:hAnsi="Arial" w:cs="Arial"/>
          <w:sz w:val="24"/>
          <w:szCs w:val="24"/>
        </w:rPr>
        <w:t>“</w:t>
      </w:r>
      <w:r w:rsidR="00E94125" w:rsidRPr="00E759D0">
        <w:rPr>
          <w:rFonts w:ascii="Arial" w:hAnsi="Arial" w:cs="Arial"/>
          <w:sz w:val="24"/>
          <w:szCs w:val="24"/>
        </w:rPr>
        <w:t>procedurally</w:t>
      </w:r>
      <w:r w:rsidR="009B0186" w:rsidRPr="00E759D0">
        <w:rPr>
          <w:rFonts w:ascii="Arial" w:hAnsi="Arial" w:cs="Arial"/>
          <w:sz w:val="24"/>
          <w:szCs w:val="24"/>
        </w:rPr>
        <w:t>”</w:t>
      </w:r>
      <w:r w:rsidR="00E94125" w:rsidRPr="00E759D0">
        <w:rPr>
          <w:rFonts w:ascii="Arial" w:hAnsi="Arial" w:cs="Arial"/>
          <w:sz w:val="24"/>
          <w:szCs w:val="24"/>
        </w:rPr>
        <w:t xml:space="preserve"> unfair</w:t>
      </w:r>
      <w:r w:rsidR="009B0186" w:rsidRPr="00E759D0">
        <w:rPr>
          <w:rFonts w:ascii="Arial" w:hAnsi="Arial" w:cs="Arial"/>
          <w:sz w:val="24"/>
          <w:szCs w:val="24"/>
        </w:rPr>
        <w:t xml:space="preserve"> and unlawful</w:t>
      </w:r>
      <w:r w:rsidR="00E94125" w:rsidRPr="00E759D0">
        <w:rPr>
          <w:rFonts w:ascii="Arial" w:hAnsi="Arial" w:cs="Arial"/>
          <w:sz w:val="24"/>
          <w:szCs w:val="24"/>
        </w:rPr>
        <w:t>.</w:t>
      </w:r>
      <w:r w:rsidR="00783C04" w:rsidRPr="00E759D0">
        <w:rPr>
          <w:rFonts w:ascii="Arial" w:hAnsi="Arial" w:cs="Arial"/>
          <w:sz w:val="24"/>
          <w:szCs w:val="24"/>
        </w:rPr>
        <w:t xml:space="preserve"> </w:t>
      </w:r>
      <w:r w:rsidR="006C61F5" w:rsidRPr="00E759D0">
        <w:rPr>
          <w:rFonts w:ascii="Arial" w:hAnsi="Arial" w:cs="Arial"/>
          <w:sz w:val="24"/>
          <w:szCs w:val="24"/>
        </w:rPr>
        <w:t>I</w:t>
      </w:r>
      <w:r w:rsidR="009B0186" w:rsidRPr="00E759D0">
        <w:rPr>
          <w:rFonts w:ascii="Arial" w:hAnsi="Arial" w:cs="Arial"/>
          <w:sz w:val="24"/>
          <w:szCs w:val="24"/>
        </w:rPr>
        <w:t>n particular</w:t>
      </w:r>
      <w:r w:rsidR="00C33938" w:rsidRPr="00E759D0">
        <w:rPr>
          <w:rFonts w:ascii="Arial" w:hAnsi="Arial" w:cs="Arial"/>
          <w:sz w:val="24"/>
          <w:szCs w:val="24"/>
        </w:rPr>
        <w:t>,</w:t>
      </w:r>
      <w:r w:rsidR="009B0186" w:rsidRPr="00E759D0">
        <w:rPr>
          <w:rFonts w:ascii="Arial" w:hAnsi="Arial" w:cs="Arial"/>
          <w:sz w:val="24"/>
          <w:szCs w:val="24"/>
        </w:rPr>
        <w:t xml:space="preserve"> the </w:t>
      </w:r>
      <w:r w:rsidR="00783C04" w:rsidRPr="00E759D0">
        <w:rPr>
          <w:rFonts w:ascii="Arial" w:hAnsi="Arial" w:cs="Arial"/>
          <w:sz w:val="24"/>
          <w:szCs w:val="24"/>
        </w:rPr>
        <w:t xml:space="preserve">applicant takes issue with the fact that his employment was terminated by operation of law and </w:t>
      </w:r>
      <w:r w:rsidR="00E378E8" w:rsidRPr="00E759D0">
        <w:rPr>
          <w:rFonts w:ascii="Arial" w:hAnsi="Arial" w:cs="Arial"/>
          <w:sz w:val="24"/>
          <w:szCs w:val="24"/>
        </w:rPr>
        <w:t xml:space="preserve">submitted </w:t>
      </w:r>
      <w:r w:rsidR="00783C04" w:rsidRPr="00E759D0">
        <w:rPr>
          <w:rFonts w:ascii="Arial" w:hAnsi="Arial" w:cs="Arial"/>
          <w:sz w:val="24"/>
          <w:szCs w:val="24"/>
        </w:rPr>
        <w:t xml:space="preserve">that he ought to have been dismissed for “misconduct”. </w:t>
      </w:r>
      <w:r w:rsidR="009B0186" w:rsidRPr="00E759D0">
        <w:rPr>
          <w:rFonts w:ascii="Arial" w:hAnsi="Arial" w:cs="Arial"/>
          <w:sz w:val="24"/>
          <w:szCs w:val="24"/>
        </w:rPr>
        <w:t xml:space="preserve">He further claims that the State Security Agency acted procedurally </w:t>
      </w:r>
      <w:r w:rsidR="00C33938" w:rsidRPr="00E759D0">
        <w:rPr>
          <w:rFonts w:ascii="Arial" w:hAnsi="Arial" w:cs="Arial"/>
          <w:sz w:val="24"/>
          <w:szCs w:val="24"/>
        </w:rPr>
        <w:lastRenderedPageBreak/>
        <w:t>unfairly</w:t>
      </w:r>
      <w:r w:rsidR="009B0186" w:rsidRPr="00E759D0">
        <w:rPr>
          <w:rFonts w:ascii="Arial" w:hAnsi="Arial" w:cs="Arial"/>
          <w:sz w:val="24"/>
          <w:szCs w:val="24"/>
        </w:rPr>
        <w:t xml:space="preserve"> and </w:t>
      </w:r>
      <w:r w:rsidR="000137BF" w:rsidRPr="00E759D0">
        <w:rPr>
          <w:rFonts w:ascii="Arial" w:hAnsi="Arial" w:cs="Arial"/>
          <w:sz w:val="24"/>
          <w:szCs w:val="24"/>
        </w:rPr>
        <w:t>unlawfully</w:t>
      </w:r>
      <w:r w:rsidR="009B0186" w:rsidRPr="00E759D0">
        <w:rPr>
          <w:rFonts w:ascii="Arial" w:hAnsi="Arial" w:cs="Arial"/>
          <w:sz w:val="24"/>
          <w:szCs w:val="24"/>
        </w:rPr>
        <w:t xml:space="preserve"> by failing to call him to an internal disciplinary </w:t>
      </w:r>
      <w:r w:rsidR="003A7DA0" w:rsidRPr="00E759D0">
        <w:rPr>
          <w:rFonts w:ascii="Arial" w:hAnsi="Arial" w:cs="Arial"/>
          <w:sz w:val="24"/>
          <w:szCs w:val="24"/>
        </w:rPr>
        <w:t>hearing in</w:t>
      </w:r>
      <w:r w:rsidR="000137BF" w:rsidRPr="00E759D0">
        <w:rPr>
          <w:rFonts w:ascii="Arial" w:hAnsi="Arial" w:cs="Arial"/>
          <w:sz w:val="24"/>
          <w:szCs w:val="24"/>
        </w:rPr>
        <w:t xml:space="preserve"> order to be heard prior to his dismissal.</w:t>
      </w:r>
      <w:r w:rsidRPr="00E759D0">
        <w:rPr>
          <w:rFonts w:ascii="Arial" w:hAnsi="Arial" w:cs="Arial"/>
          <w:sz w:val="24"/>
          <w:szCs w:val="24"/>
        </w:rPr>
        <w:t xml:space="preserve"> </w:t>
      </w:r>
      <w:r w:rsidR="009B0186" w:rsidRPr="00E759D0">
        <w:rPr>
          <w:rFonts w:ascii="Arial" w:hAnsi="Arial" w:cs="Arial"/>
          <w:sz w:val="24"/>
          <w:szCs w:val="24"/>
        </w:rPr>
        <w:t xml:space="preserve">In argument, counsel for the applicant submitted that this court should “review” </w:t>
      </w:r>
      <w:r w:rsidR="003A7DA0" w:rsidRPr="00E759D0">
        <w:rPr>
          <w:rFonts w:ascii="Arial" w:hAnsi="Arial" w:cs="Arial"/>
          <w:sz w:val="24"/>
          <w:szCs w:val="24"/>
        </w:rPr>
        <w:t>the “decision” to terminate his employmen</w:t>
      </w:r>
      <w:r w:rsidR="003918D9" w:rsidRPr="00E759D0">
        <w:rPr>
          <w:rFonts w:ascii="Arial" w:hAnsi="Arial" w:cs="Arial"/>
          <w:sz w:val="24"/>
          <w:szCs w:val="24"/>
        </w:rPr>
        <w:t>t in terms of the Constitution and “declare” that the State Security Agency’s conduct was “both procedurally and substantively unlawful and unfair”.</w:t>
      </w:r>
    </w:p>
    <w:p w14:paraId="698A2662" w14:textId="77777777" w:rsidR="003918D9" w:rsidRPr="00E759D0" w:rsidRDefault="003918D9" w:rsidP="00E759D0">
      <w:pPr>
        <w:pStyle w:val="ListParagraph"/>
        <w:spacing w:line="360" w:lineRule="auto"/>
        <w:rPr>
          <w:rFonts w:ascii="Arial" w:hAnsi="Arial" w:cs="Arial"/>
          <w:sz w:val="24"/>
          <w:szCs w:val="24"/>
        </w:rPr>
      </w:pPr>
    </w:p>
    <w:p w14:paraId="73EF7110" w14:textId="77777777" w:rsidR="00C33938" w:rsidRPr="00E759D0" w:rsidRDefault="00613824" w:rsidP="00E759D0">
      <w:pPr>
        <w:spacing w:line="360" w:lineRule="auto"/>
        <w:rPr>
          <w:rFonts w:ascii="Arial" w:hAnsi="Arial" w:cs="Arial"/>
          <w:i/>
          <w:sz w:val="24"/>
          <w:szCs w:val="24"/>
        </w:rPr>
      </w:pPr>
      <w:r w:rsidRPr="00E759D0">
        <w:rPr>
          <w:rFonts w:ascii="Arial" w:hAnsi="Arial" w:cs="Arial"/>
          <w:i/>
          <w:sz w:val="24"/>
          <w:szCs w:val="24"/>
        </w:rPr>
        <w:t xml:space="preserve">The case before </w:t>
      </w:r>
      <w:r w:rsidR="00030CCB" w:rsidRPr="00E759D0">
        <w:rPr>
          <w:rFonts w:ascii="Arial" w:hAnsi="Arial" w:cs="Arial"/>
          <w:i/>
          <w:sz w:val="24"/>
          <w:szCs w:val="24"/>
        </w:rPr>
        <w:t xml:space="preserve">the </w:t>
      </w:r>
      <w:r w:rsidRPr="00E759D0">
        <w:rPr>
          <w:rFonts w:ascii="Arial" w:hAnsi="Arial" w:cs="Arial"/>
          <w:i/>
          <w:sz w:val="24"/>
          <w:szCs w:val="24"/>
        </w:rPr>
        <w:t>court</w:t>
      </w:r>
    </w:p>
    <w:p w14:paraId="43D16F7E" w14:textId="2699E4BE" w:rsidR="00901B3A" w:rsidRPr="00E759D0" w:rsidRDefault="00417B33" w:rsidP="00E759D0">
      <w:pPr>
        <w:pStyle w:val="ListParagraph"/>
        <w:numPr>
          <w:ilvl w:val="0"/>
          <w:numId w:val="1"/>
        </w:numPr>
        <w:spacing w:after="0" w:line="360" w:lineRule="auto"/>
        <w:jc w:val="both"/>
        <w:rPr>
          <w:rFonts w:ascii="Arial" w:eastAsia="Times New Roman" w:hAnsi="Arial" w:cs="Arial"/>
          <w:color w:val="000000"/>
          <w:sz w:val="24"/>
          <w:szCs w:val="24"/>
          <w:lang w:eastAsia="en-ZA"/>
        </w:rPr>
      </w:pPr>
      <w:r w:rsidRPr="00E759D0">
        <w:rPr>
          <w:rFonts w:ascii="Arial" w:hAnsi="Arial" w:cs="Arial"/>
          <w:sz w:val="24"/>
          <w:szCs w:val="24"/>
        </w:rPr>
        <w:t>It is difficult to discern from the papers exactly what the applicant’s cause of action is. On the one hand</w:t>
      </w:r>
      <w:r w:rsidR="006A0863" w:rsidRPr="00E759D0">
        <w:rPr>
          <w:rFonts w:ascii="Arial" w:hAnsi="Arial" w:cs="Arial"/>
          <w:sz w:val="24"/>
          <w:szCs w:val="24"/>
        </w:rPr>
        <w:t>,</w:t>
      </w:r>
      <w:r w:rsidRPr="00E759D0">
        <w:rPr>
          <w:rFonts w:ascii="Arial" w:hAnsi="Arial" w:cs="Arial"/>
          <w:sz w:val="24"/>
          <w:szCs w:val="24"/>
        </w:rPr>
        <w:t xml:space="preserve"> the applicant seems to base his claim on the unfair dismissal remedies </w:t>
      </w:r>
      <w:r w:rsidR="006A0863" w:rsidRPr="00E759D0">
        <w:rPr>
          <w:rFonts w:ascii="Arial" w:hAnsi="Arial" w:cs="Arial"/>
          <w:sz w:val="24"/>
          <w:szCs w:val="24"/>
        </w:rPr>
        <w:t xml:space="preserve">as </w:t>
      </w:r>
      <w:r w:rsidR="00C06602" w:rsidRPr="00E759D0">
        <w:rPr>
          <w:rFonts w:ascii="Arial" w:hAnsi="Arial" w:cs="Arial"/>
          <w:sz w:val="24"/>
          <w:szCs w:val="24"/>
        </w:rPr>
        <w:t xml:space="preserve">typically </w:t>
      </w:r>
      <w:r w:rsidRPr="00E759D0">
        <w:rPr>
          <w:rFonts w:ascii="Arial" w:hAnsi="Arial" w:cs="Arial"/>
          <w:sz w:val="24"/>
          <w:szCs w:val="24"/>
        </w:rPr>
        <w:t>provided for in the L</w:t>
      </w:r>
      <w:r w:rsidR="006154D6" w:rsidRPr="00E759D0">
        <w:rPr>
          <w:rFonts w:ascii="Arial" w:hAnsi="Arial" w:cs="Arial"/>
          <w:sz w:val="24"/>
          <w:szCs w:val="24"/>
        </w:rPr>
        <w:t xml:space="preserve">abour </w:t>
      </w:r>
      <w:r w:rsidRPr="00E759D0">
        <w:rPr>
          <w:rFonts w:ascii="Arial" w:hAnsi="Arial" w:cs="Arial"/>
          <w:sz w:val="24"/>
          <w:szCs w:val="24"/>
        </w:rPr>
        <w:t>R</w:t>
      </w:r>
      <w:r w:rsidR="006154D6" w:rsidRPr="00E759D0">
        <w:rPr>
          <w:rFonts w:ascii="Arial" w:hAnsi="Arial" w:cs="Arial"/>
          <w:sz w:val="24"/>
          <w:szCs w:val="24"/>
        </w:rPr>
        <w:t xml:space="preserve">elations </w:t>
      </w:r>
      <w:r w:rsidRPr="00E759D0">
        <w:rPr>
          <w:rFonts w:ascii="Arial" w:hAnsi="Arial" w:cs="Arial"/>
          <w:sz w:val="24"/>
          <w:szCs w:val="24"/>
        </w:rPr>
        <w:t>A</w:t>
      </w:r>
      <w:r w:rsidR="006154D6" w:rsidRPr="00E759D0">
        <w:rPr>
          <w:rFonts w:ascii="Arial" w:hAnsi="Arial" w:cs="Arial"/>
          <w:sz w:val="24"/>
          <w:szCs w:val="24"/>
        </w:rPr>
        <w:t>ct</w:t>
      </w:r>
      <w:r w:rsidR="006154D6" w:rsidRPr="00E759D0">
        <w:rPr>
          <w:rStyle w:val="FootnoteReference"/>
          <w:rFonts w:ascii="Arial" w:hAnsi="Arial" w:cs="Arial"/>
          <w:sz w:val="24"/>
          <w:szCs w:val="24"/>
        </w:rPr>
        <w:footnoteReference w:id="3"/>
      </w:r>
      <w:r w:rsidR="006154D6" w:rsidRPr="00E759D0">
        <w:rPr>
          <w:rFonts w:ascii="Arial" w:hAnsi="Arial" w:cs="Arial"/>
          <w:sz w:val="24"/>
          <w:szCs w:val="24"/>
        </w:rPr>
        <w:t xml:space="preserve"> (the “LRA”)</w:t>
      </w:r>
      <w:r w:rsidR="001D3227" w:rsidRPr="00E759D0">
        <w:rPr>
          <w:rFonts w:ascii="Arial" w:hAnsi="Arial" w:cs="Arial"/>
          <w:sz w:val="24"/>
          <w:szCs w:val="24"/>
        </w:rPr>
        <w:t>,</w:t>
      </w:r>
      <w:r w:rsidRPr="00E759D0">
        <w:rPr>
          <w:rFonts w:ascii="Arial" w:hAnsi="Arial" w:cs="Arial"/>
          <w:sz w:val="24"/>
          <w:szCs w:val="24"/>
        </w:rPr>
        <w:t xml:space="preserve"> seeking </w:t>
      </w:r>
      <w:r w:rsidR="006A0863" w:rsidRPr="00E759D0">
        <w:rPr>
          <w:rFonts w:ascii="Arial" w:hAnsi="Arial" w:cs="Arial"/>
          <w:sz w:val="24"/>
          <w:szCs w:val="24"/>
        </w:rPr>
        <w:t xml:space="preserve">retrospective </w:t>
      </w:r>
      <w:r w:rsidRPr="00E759D0">
        <w:rPr>
          <w:rFonts w:ascii="Arial" w:hAnsi="Arial" w:cs="Arial"/>
          <w:sz w:val="24"/>
          <w:szCs w:val="24"/>
        </w:rPr>
        <w:t>reinstatement from the date of his dismissal.</w:t>
      </w:r>
      <w:r w:rsidR="00953830" w:rsidRPr="00E759D0">
        <w:rPr>
          <w:rFonts w:ascii="Arial" w:hAnsi="Arial" w:cs="Arial"/>
          <w:sz w:val="24"/>
          <w:szCs w:val="24"/>
        </w:rPr>
        <w:t xml:space="preserve"> </w:t>
      </w:r>
      <w:r w:rsidR="006154D6" w:rsidRPr="00E759D0">
        <w:rPr>
          <w:rFonts w:ascii="Arial" w:hAnsi="Arial" w:cs="Arial"/>
          <w:sz w:val="24"/>
          <w:szCs w:val="24"/>
        </w:rPr>
        <w:t>More in</w:t>
      </w:r>
      <w:r w:rsidR="00953830" w:rsidRPr="00E759D0">
        <w:rPr>
          <w:rFonts w:ascii="Arial" w:hAnsi="Arial" w:cs="Arial"/>
          <w:sz w:val="24"/>
          <w:szCs w:val="24"/>
        </w:rPr>
        <w:t xml:space="preserve"> particular, the applicant</w:t>
      </w:r>
      <w:r w:rsidR="00C06602" w:rsidRPr="00E759D0">
        <w:rPr>
          <w:rFonts w:ascii="Arial" w:hAnsi="Arial" w:cs="Arial"/>
          <w:sz w:val="24"/>
          <w:szCs w:val="24"/>
        </w:rPr>
        <w:t xml:space="preserve"> </w:t>
      </w:r>
      <w:r w:rsidR="00613824" w:rsidRPr="00E759D0">
        <w:rPr>
          <w:rFonts w:ascii="Arial" w:hAnsi="Arial" w:cs="Arial"/>
          <w:sz w:val="24"/>
          <w:szCs w:val="24"/>
        </w:rPr>
        <w:t xml:space="preserve">seeks an </w:t>
      </w:r>
      <w:r w:rsidR="006A0863" w:rsidRPr="00E759D0">
        <w:rPr>
          <w:rFonts w:ascii="Arial" w:hAnsi="Arial" w:cs="Arial"/>
          <w:sz w:val="24"/>
          <w:szCs w:val="24"/>
        </w:rPr>
        <w:t>order declaring that the “conduct” of the respondents was “both procedurally and substantively unlawful and unfair”. On the other hand</w:t>
      </w:r>
      <w:r w:rsidR="00613824" w:rsidRPr="00E759D0">
        <w:rPr>
          <w:rFonts w:ascii="Arial" w:hAnsi="Arial" w:cs="Arial"/>
          <w:sz w:val="24"/>
          <w:szCs w:val="24"/>
        </w:rPr>
        <w:t>,</w:t>
      </w:r>
      <w:r w:rsidR="006A0863" w:rsidRPr="00E759D0">
        <w:rPr>
          <w:rFonts w:ascii="Arial" w:hAnsi="Arial" w:cs="Arial"/>
          <w:sz w:val="24"/>
          <w:szCs w:val="24"/>
        </w:rPr>
        <w:t xml:space="preserve"> the applicant seeks compensation for the finan</w:t>
      </w:r>
      <w:r w:rsidR="00585B07" w:rsidRPr="00E759D0">
        <w:rPr>
          <w:rFonts w:ascii="Arial" w:hAnsi="Arial" w:cs="Arial"/>
          <w:sz w:val="24"/>
          <w:szCs w:val="24"/>
        </w:rPr>
        <w:t>cial damages suffered “for the y</w:t>
      </w:r>
      <w:r w:rsidR="006A0863" w:rsidRPr="00E759D0">
        <w:rPr>
          <w:rFonts w:ascii="Arial" w:hAnsi="Arial" w:cs="Arial"/>
          <w:sz w:val="24"/>
          <w:szCs w:val="24"/>
        </w:rPr>
        <w:t>ears that [he] has been home</w:t>
      </w:r>
      <w:r w:rsidR="00901B3A" w:rsidRPr="00E759D0">
        <w:rPr>
          <w:rFonts w:ascii="Arial" w:hAnsi="Arial" w:cs="Arial"/>
          <w:sz w:val="24"/>
          <w:szCs w:val="24"/>
        </w:rPr>
        <w:t xml:space="preserve">” without </w:t>
      </w:r>
      <w:r w:rsidR="001D3227" w:rsidRPr="00E759D0">
        <w:rPr>
          <w:rFonts w:ascii="Arial" w:hAnsi="Arial" w:cs="Arial"/>
          <w:sz w:val="24"/>
          <w:szCs w:val="24"/>
        </w:rPr>
        <w:t xml:space="preserve">providing </w:t>
      </w:r>
      <w:r w:rsidR="00901B3A" w:rsidRPr="00E759D0">
        <w:rPr>
          <w:rFonts w:ascii="Arial" w:hAnsi="Arial" w:cs="Arial"/>
          <w:sz w:val="24"/>
          <w:szCs w:val="24"/>
        </w:rPr>
        <w:t xml:space="preserve">any foundation whatsoever in the papers </w:t>
      </w:r>
      <w:r w:rsidR="001D3227" w:rsidRPr="00E759D0">
        <w:rPr>
          <w:rFonts w:ascii="Arial" w:hAnsi="Arial" w:cs="Arial"/>
          <w:sz w:val="24"/>
          <w:szCs w:val="24"/>
        </w:rPr>
        <w:t xml:space="preserve">to explain the </w:t>
      </w:r>
      <w:r w:rsidR="00901B3A" w:rsidRPr="00E759D0">
        <w:rPr>
          <w:rFonts w:ascii="Arial" w:hAnsi="Arial" w:cs="Arial"/>
          <w:sz w:val="24"/>
          <w:szCs w:val="24"/>
        </w:rPr>
        <w:t xml:space="preserve">extent </w:t>
      </w:r>
      <w:r w:rsidR="001D3227" w:rsidRPr="00E759D0">
        <w:rPr>
          <w:rFonts w:ascii="Arial" w:hAnsi="Arial" w:cs="Arial"/>
          <w:sz w:val="24"/>
          <w:szCs w:val="24"/>
        </w:rPr>
        <w:t xml:space="preserve">of </w:t>
      </w:r>
      <w:r w:rsidR="00901B3A" w:rsidRPr="00E759D0">
        <w:rPr>
          <w:rFonts w:ascii="Arial" w:hAnsi="Arial" w:cs="Arial"/>
          <w:sz w:val="24"/>
          <w:szCs w:val="24"/>
        </w:rPr>
        <w:t>such damage.</w:t>
      </w:r>
      <w:r w:rsidR="006A0863" w:rsidRPr="00E759D0">
        <w:rPr>
          <w:rFonts w:ascii="Arial" w:hAnsi="Arial" w:cs="Arial"/>
          <w:sz w:val="24"/>
          <w:szCs w:val="24"/>
        </w:rPr>
        <w:t xml:space="preserve"> To </w:t>
      </w:r>
      <w:r w:rsidR="001D3227" w:rsidRPr="00E759D0">
        <w:rPr>
          <w:rFonts w:ascii="Arial" w:hAnsi="Arial" w:cs="Arial"/>
          <w:sz w:val="24"/>
          <w:szCs w:val="24"/>
        </w:rPr>
        <w:t xml:space="preserve">further complicate </w:t>
      </w:r>
      <w:r w:rsidR="006A0863" w:rsidRPr="00E759D0">
        <w:rPr>
          <w:rFonts w:ascii="Arial" w:hAnsi="Arial" w:cs="Arial"/>
          <w:sz w:val="24"/>
          <w:szCs w:val="24"/>
        </w:rPr>
        <w:t xml:space="preserve">matters, the applicant claims that it was “substantively unfair” </w:t>
      </w:r>
      <w:r w:rsidR="00613824" w:rsidRPr="00E759D0">
        <w:rPr>
          <w:rFonts w:ascii="Arial" w:hAnsi="Arial" w:cs="Arial"/>
          <w:sz w:val="24"/>
          <w:szCs w:val="24"/>
        </w:rPr>
        <w:t xml:space="preserve">to </w:t>
      </w:r>
      <w:r w:rsidR="001D3227" w:rsidRPr="00E759D0">
        <w:rPr>
          <w:rFonts w:ascii="Arial" w:hAnsi="Arial" w:cs="Arial"/>
          <w:sz w:val="24"/>
          <w:szCs w:val="24"/>
        </w:rPr>
        <w:t xml:space="preserve">terminate his employment </w:t>
      </w:r>
      <w:r w:rsidR="006A0863" w:rsidRPr="00E759D0">
        <w:rPr>
          <w:rFonts w:ascii="Arial" w:hAnsi="Arial" w:cs="Arial"/>
          <w:sz w:val="24"/>
          <w:szCs w:val="24"/>
        </w:rPr>
        <w:t xml:space="preserve">on the basis of “operation of </w:t>
      </w:r>
      <w:r w:rsidR="00613824" w:rsidRPr="00E759D0">
        <w:rPr>
          <w:rFonts w:ascii="Arial" w:hAnsi="Arial" w:cs="Arial"/>
          <w:sz w:val="24"/>
          <w:szCs w:val="24"/>
        </w:rPr>
        <w:t>l</w:t>
      </w:r>
      <w:r w:rsidR="006A0863" w:rsidRPr="00E759D0">
        <w:rPr>
          <w:rFonts w:ascii="Arial" w:hAnsi="Arial" w:cs="Arial"/>
          <w:sz w:val="24"/>
          <w:szCs w:val="24"/>
        </w:rPr>
        <w:t>aw</w:t>
      </w:r>
      <w:r w:rsidR="00287F5A" w:rsidRPr="00E759D0">
        <w:rPr>
          <w:rFonts w:ascii="Arial" w:hAnsi="Arial" w:cs="Arial"/>
          <w:sz w:val="24"/>
          <w:szCs w:val="24"/>
        </w:rPr>
        <w:t xml:space="preserve">” </w:t>
      </w:r>
      <w:r w:rsidR="006A0863" w:rsidRPr="00E759D0">
        <w:rPr>
          <w:rFonts w:ascii="Arial" w:hAnsi="Arial" w:cs="Arial"/>
          <w:sz w:val="24"/>
          <w:szCs w:val="24"/>
        </w:rPr>
        <w:t xml:space="preserve">instead of </w:t>
      </w:r>
      <w:r w:rsidR="00287F5A" w:rsidRPr="00E759D0">
        <w:rPr>
          <w:rFonts w:ascii="Arial" w:hAnsi="Arial" w:cs="Arial"/>
          <w:sz w:val="24"/>
          <w:szCs w:val="24"/>
        </w:rPr>
        <w:t>“</w:t>
      </w:r>
      <w:r w:rsidR="006A0863" w:rsidRPr="00E759D0">
        <w:rPr>
          <w:rFonts w:ascii="Arial" w:hAnsi="Arial" w:cs="Arial"/>
          <w:sz w:val="24"/>
          <w:szCs w:val="24"/>
        </w:rPr>
        <w:t>misconduct</w:t>
      </w:r>
      <w:r w:rsidR="00C06602" w:rsidRPr="00E759D0">
        <w:rPr>
          <w:rFonts w:ascii="Arial" w:hAnsi="Arial" w:cs="Arial"/>
          <w:sz w:val="24"/>
          <w:szCs w:val="24"/>
        </w:rPr>
        <w:t>”</w:t>
      </w:r>
      <w:r w:rsidR="001D3227" w:rsidRPr="00E759D0">
        <w:rPr>
          <w:rFonts w:ascii="Arial" w:hAnsi="Arial" w:cs="Arial"/>
          <w:sz w:val="24"/>
          <w:szCs w:val="24"/>
        </w:rPr>
        <w:t xml:space="preserve">. He contends </w:t>
      </w:r>
      <w:r w:rsidR="00C06602" w:rsidRPr="00E759D0">
        <w:rPr>
          <w:rFonts w:ascii="Arial" w:hAnsi="Arial" w:cs="Arial"/>
          <w:sz w:val="24"/>
          <w:szCs w:val="24"/>
        </w:rPr>
        <w:t xml:space="preserve">that the respondents were misguided in </w:t>
      </w:r>
      <w:r w:rsidR="00613824" w:rsidRPr="00E759D0">
        <w:rPr>
          <w:rFonts w:ascii="Arial" w:hAnsi="Arial" w:cs="Arial"/>
          <w:sz w:val="24"/>
          <w:szCs w:val="24"/>
        </w:rPr>
        <w:t xml:space="preserve">believing that </w:t>
      </w:r>
      <w:r w:rsidR="00287F5A" w:rsidRPr="00E759D0">
        <w:rPr>
          <w:rFonts w:ascii="Arial" w:hAnsi="Arial" w:cs="Arial"/>
          <w:sz w:val="24"/>
          <w:szCs w:val="24"/>
        </w:rPr>
        <w:t>the</w:t>
      </w:r>
      <w:r w:rsidR="00613824" w:rsidRPr="00E759D0">
        <w:rPr>
          <w:rFonts w:ascii="Arial" w:hAnsi="Arial" w:cs="Arial"/>
          <w:sz w:val="24"/>
          <w:szCs w:val="24"/>
        </w:rPr>
        <w:t xml:space="preserve"> termination of </w:t>
      </w:r>
      <w:r w:rsidR="00024DE8" w:rsidRPr="00E759D0">
        <w:rPr>
          <w:rFonts w:ascii="Arial" w:hAnsi="Arial" w:cs="Arial"/>
          <w:sz w:val="24"/>
          <w:szCs w:val="24"/>
        </w:rPr>
        <w:t xml:space="preserve">his </w:t>
      </w:r>
      <w:r w:rsidR="00613824" w:rsidRPr="00E759D0">
        <w:rPr>
          <w:rFonts w:ascii="Arial" w:hAnsi="Arial" w:cs="Arial"/>
          <w:sz w:val="24"/>
          <w:szCs w:val="24"/>
        </w:rPr>
        <w:t xml:space="preserve">employment was on the grounds of “operation of law” and </w:t>
      </w:r>
      <w:r w:rsidR="00C06602" w:rsidRPr="00E759D0">
        <w:rPr>
          <w:rFonts w:ascii="Arial" w:hAnsi="Arial" w:cs="Arial"/>
          <w:sz w:val="24"/>
          <w:szCs w:val="24"/>
        </w:rPr>
        <w:t xml:space="preserve">not </w:t>
      </w:r>
      <w:r w:rsidR="00B85352" w:rsidRPr="00E759D0">
        <w:rPr>
          <w:rFonts w:ascii="Arial" w:hAnsi="Arial" w:cs="Arial"/>
          <w:sz w:val="24"/>
          <w:szCs w:val="24"/>
        </w:rPr>
        <w:t>misconduct which</w:t>
      </w:r>
      <w:r w:rsidR="00613824" w:rsidRPr="00E759D0">
        <w:rPr>
          <w:rFonts w:ascii="Arial" w:hAnsi="Arial" w:cs="Arial"/>
          <w:sz w:val="24"/>
          <w:szCs w:val="24"/>
        </w:rPr>
        <w:t xml:space="preserve"> </w:t>
      </w:r>
      <w:r w:rsidR="00B85352" w:rsidRPr="00E759D0">
        <w:rPr>
          <w:rFonts w:ascii="Arial" w:hAnsi="Arial" w:cs="Arial"/>
          <w:sz w:val="24"/>
          <w:szCs w:val="24"/>
        </w:rPr>
        <w:t>(</w:t>
      </w:r>
      <w:r w:rsidR="00613824" w:rsidRPr="00E759D0">
        <w:rPr>
          <w:rFonts w:ascii="Arial" w:hAnsi="Arial" w:cs="Arial"/>
          <w:sz w:val="24"/>
          <w:szCs w:val="24"/>
        </w:rPr>
        <w:t>according to the pape</w:t>
      </w:r>
      <w:r w:rsidR="00C06602" w:rsidRPr="00E759D0">
        <w:rPr>
          <w:rFonts w:ascii="Arial" w:hAnsi="Arial" w:cs="Arial"/>
          <w:sz w:val="24"/>
          <w:szCs w:val="24"/>
        </w:rPr>
        <w:t>rs)</w:t>
      </w:r>
      <w:r w:rsidR="00613824" w:rsidRPr="00E759D0">
        <w:rPr>
          <w:rFonts w:ascii="Arial" w:hAnsi="Arial" w:cs="Arial"/>
          <w:sz w:val="24"/>
          <w:szCs w:val="24"/>
        </w:rPr>
        <w:t xml:space="preserve"> is </w:t>
      </w:r>
      <w:r w:rsidR="00C06602" w:rsidRPr="00E759D0">
        <w:rPr>
          <w:rFonts w:ascii="Arial" w:hAnsi="Arial" w:cs="Arial"/>
          <w:sz w:val="24"/>
          <w:szCs w:val="24"/>
        </w:rPr>
        <w:t xml:space="preserve">included </w:t>
      </w:r>
      <w:r w:rsidR="00613824" w:rsidRPr="00E759D0">
        <w:rPr>
          <w:rFonts w:ascii="Arial" w:hAnsi="Arial" w:cs="Arial"/>
          <w:sz w:val="24"/>
          <w:szCs w:val="24"/>
        </w:rPr>
        <w:t xml:space="preserve">in s 15 of the </w:t>
      </w:r>
      <w:r w:rsidR="00613824" w:rsidRPr="00E759D0">
        <w:rPr>
          <w:rFonts w:ascii="Arial" w:eastAsia="Times New Roman" w:hAnsi="Arial" w:cs="Arial"/>
          <w:color w:val="000000"/>
          <w:sz w:val="24"/>
          <w:szCs w:val="24"/>
          <w:lang w:eastAsia="en-ZA"/>
        </w:rPr>
        <w:t xml:space="preserve">Intelligence </w:t>
      </w:r>
      <w:r w:rsidR="00EA2474" w:rsidRPr="00E759D0">
        <w:rPr>
          <w:rFonts w:ascii="Arial" w:eastAsia="Times New Roman" w:hAnsi="Arial" w:cs="Arial"/>
          <w:color w:val="000000"/>
          <w:sz w:val="24"/>
          <w:szCs w:val="24"/>
          <w:lang w:eastAsia="en-ZA"/>
        </w:rPr>
        <w:t xml:space="preserve">Services </w:t>
      </w:r>
      <w:r w:rsidR="00613824" w:rsidRPr="00E759D0">
        <w:rPr>
          <w:rFonts w:ascii="Arial" w:eastAsia="Times New Roman" w:hAnsi="Arial" w:cs="Arial"/>
          <w:color w:val="000000"/>
          <w:sz w:val="24"/>
          <w:szCs w:val="24"/>
          <w:lang w:eastAsia="en-ZA"/>
        </w:rPr>
        <w:t>Act</w:t>
      </w:r>
      <w:r w:rsidR="00613824" w:rsidRPr="00E759D0">
        <w:rPr>
          <w:rStyle w:val="FootnoteReference"/>
          <w:rFonts w:ascii="Arial" w:eastAsia="Times New Roman" w:hAnsi="Arial" w:cs="Arial"/>
          <w:color w:val="000000"/>
          <w:sz w:val="24"/>
          <w:szCs w:val="24"/>
          <w:lang w:eastAsia="en-ZA"/>
        </w:rPr>
        <w:footnoteReference w:id="4"/>
      </w:r>
      <w:r w:rsidR="00613824" w:rsidRPr="00E759D0">
        <w:rPr>
          <w:rFonts w:ascii="Arial" w:eastAsia="Times New Roman" w:hAnsi="Arial" w:cs="Arial"/>
          <w:color w:val="000000"/>
          <w:sz w:val="24"/>
          <w:szCs w:val="24"/>
          <w:lang w:eastAsia="en-ZA"/>
        </w:rPr>
        <w:t xml:space="preserve">. </w:t>
      </w:r>
      <w:r w:rsidR="00287F5A" w:rsidRPr="00E759D0">
        <w:rPr>
          <w:rFonts w:ascii="Arial" w:eastAsia="Times New Roman" w:hAnsi="Arial" w:cs="Arial"/>
          <w:color w:val="000000"/>
          <w:sz w:val="24"/>
          <w:szCs w:val="24"/>
          <w:lang w:eastAsia="en-ZA"/>
        </w:rPr>
        <w:t>Muddying</w:t>
      </w:r>
      <w:r w:rsidR="00C06602" w:rsidRPr="00E759D0">
        <w:rPr>
          <w:rFonts w:ascii="Arial" w:eastAsia="Times New Roman" w:hAnsi="Arial" w:cs="Arial"/>
          <w:color w:val="000000"/>
          <w:sz w:val="24"/>
          <w:szCs w:val="24"/>
          <w:lang w:eastAsia="en-ZA"/>
        </w:rPr>
        <w:t xml:space="preserve"> the waters</w:t>
      </w:r>
      <w:r w:rsidR="00901B3A" w:rsidRPr="00E759D0">
        <w:rPr>
          <w:rFonts w:ascii="Arial" w:eastAsia="Times New Roman" w:hAnsi="Arial" w:cs="Arial"/>
          <w:color w:val="000000"/>
          <w:sz w:val="24"/>
          <w:szCs w:val="24"/>
          <w:lang w:eastAsia="en-ZA"/>
        </w:rPr>
        <w:t xml:space="preserve"> even further, the applicant </w:t>
      </w:r>
      <w:r w:rsidR="00585B07" w:rsidRPr="00E759D0">
        <w:rPr>
          <w:rFonts w:ascii="Arial" w:eastAsia="Times New Roman" w:hAnsi="Arial" w:cs="Arial"/>
          <w:color w:val="000000"/>
          <w:sz w:val="24"/>
          <w:szCs w:val="24"/>
          <w:lang w:eastAsia="en-ZA"/>
        </w:rPr>
        <w:t xml:space="preserve">now </w:t>
      </w:r>
      <w:r w:rsidR="00901B3A" w:rsidRPr="00E759D0">
        <w:rPr>
          <w:rFonts w:ascii="Arial" w:eastAsia="Times New Roman" w:hAnsi="Arial" w:cs="Arial"/>
          <w:color w:val="000000"/>
          <w:sz w:val="24"/>
          <w:szCs w:val="24"/>
          <w:lang w:eastAsia="en-ZA"/>
        </w:rPr>
        <w:t xml:space="preserve">claims </w:t>
      </w:r>
      <w:r w:rsidR="00585B07" w:rsidRPr="00E759D0">
        <w:rPr>
          <w:rFonts w:ascii="Arial" w:eastAsia="Times New Roman" w:hAnsi="Arial" w:cs="Arial"/>
          <w:color w:val="000000"/>
          <w:sz w:val="24"/>
          <w:szCs w:val="24"/>
          <w:lang w:eastAsia="en-ZA"/>
        </w:rPr>
        <w:t xml:space="preserve">in argument </w:t>
      </w:r>
      <w:r w:rsidR="00901B3A" w:rsidRPr="00E759D0">
        <w:rPr>
          <w:rFonts w:ascii="Arial" w:eastAsia="Times New Roman" w:hAnsi="Arial" w:cs="Arial"/>
          <w:color w:val="000000"/>
          <w:sz w:val="24"/>
          <w:szCs w:val="24"/>
          <w:lang w:eastAsia="en-ZA"/>
        </w:rPr>
        <w:t>that the respondents have “taken an administrative action” and that he has the right to be given reasons “as to why the decision to dismiss me was taken as per PAJA requirements”.</w:t>
      </w:r>
    </w:p>
    <w:p w14:paraId="54AF1834" w14:textId="77777777" w:rsidR="00901B3A" w:rsidRPr="00E759D0" w:rsidRDefault="00901B3A" w:rsidP="00E759D0">
      <w:pPr>
        <w:spacing w:after="0" w:line="360" w:lineRule="auto"/>
        <w:jc w:val="both"/>
        <w:rPr>
          <w:rFonts w:ascii="Arial" w:eastAsia="Times New Roman" w:hAnsi="Arial" w:cs="Arial"/>
          <w:color w:val="000000"/>
          <w:sz w:val="24"/>
          <w:szCs w:val="24"/>
          <w:lang w:eastAsia="en-ZA"/>
        </w:rPr>
      </w:pPr>
    </w:p>
    <w:p w14:paraId="5C405E27" w14:textId="77777777" w:rsidR="00901B3A" w:rsidRPr="00E759D0" w:rsidRDefault="00901B3A" w:rsidP="00E759D0">
      <w:pPr>
        <w:spacing w:after="0" w:line="360" w:lineRule="auto"/>
        <w:jc w:val="both"/>
        <w:rPr>
          <w:rFonts w:ascii="Arial" w:eastAsia="Times New Roman" w:hAnsi="Arial" w:cs="Arial"/>
          <w:i/>
          <w:color w:val="000000"/>
          <w:sz w:val="24"/>
          <w:szCs w:val="24"/>
          <w:lang w:eastAsia="en-ZA"/>
        </w:rPr>
      </w:pPr>
      <w:r w:rsidRPr="00E759D0">
        <w:rPr>
          <w:rFonts w:ascii="Arial" w:eastAsia="Times New Roman" w:hAnsi="Arial" w:cs="Arial"/>
          <w:i/>
          <w:color w:val="000000"/>
          <w:sz w:val="24"/>
          <w:szCs w:val="24"/>
          <w:lang w:eastAsia="en-ZA"/>
        </w:rPr>
        <w:t>Substantively and procedurally unfair dismissal</w:t>
      </w:r>
    </w:p>
    <w:p w14:paraId="4E92469F" w14:textId="2B6FF380" w:rsidR="00E1055B" w:rsidRPr="00E759D0" w:rsidRDefault="00E1055B" w:rsidP="00E759D0">
      <w:pPr>
        <w:pStyle w:val="ListParagraph"/>
        <w:numPr>
          <w:ilvl w:val="0"/>
          <w:numId w:val="1"/>
        </w:numPr>
        <w:spacing w:after="0" w:line="360" w:lineRule="auto"/>
        <w:jc w:val="both"/>
        <w:rPr>
          <w:rFonts w:ascii="Arial" w:eastAsia="Times New Roman" w:hAnsi="Arial" w:cs="Arial"/>
          <w:color w:val="000000"/>
          <w:sz w:val="24"/>
          <w:szCs w:val="24"/>
          <w:lang w:eastAsia="en-ZA"/>
        </w:rPr>
      </w:pPr>
      <w:r w:rsidRPr="00E759D0">
        <w:rPr>
          <w:rFonts w:ascii="Arial" w:eastAsia="Times New Roman" w:hAnsi="Arial" w:cs="Arial"/>
          <w:color w:val="000000"/>
          <w:sz w:val="24"/>
          <w:szCs w:val="24"/>
          <w:lang w:eastAsia="en-ZA"/>
        </w:rPr>
        <w:t xml:space="preserve">Although the applicant does not </w:t>
      </w:r>
      <w:r w:rsidR="001D3227" w:rsidRPr="00E759D0">
        <w:rPr>
          <w:rFonts w:ascii="Arial" w:eastAsia="Times New Roman" w:hAnsi="Arial" w:cs="Arial"/>
          <w:color w:val="000000"/>
          <w:sz w:val="24"/>
          <w:szCs w:val="24"/>
          <w:lang w:eastAsia="en-ZA"/>
        </w:rPr>
        <w:t xml:space="preserve">explicitly </w:t>
      </w:r>
      <w:r w:rsidRPr="00E759D0">
        <w:rPr>
          <w:rFonts w:ascii="Arial" w:eastAsia="Times New Roman" w:hAnsi="Arial" w:cs="Arial"/>
          <w:color w:val="000000"/>
          <w:sz w:val="24"/>
          <w:szCs w:val="24"/>
          <w:lang w:eastAsia="en-ZA"/>
        </w:rPr>
        <w:t xml:space="preserve">refer in his papers to the </w:t>
      </w:r>
      <w:r w:rsidR="006154D6" w:rsidRPr="00E759D0">
        <w:rPr>
          <w:rFonts w:ascii="Arial" w:eastAsia="Times New Roman" w:hAnsi="Arial" w:cs="Arial"/>
          <w:color w:val="000000"/>
          <w:sz w:val="24"/>
          <w:szCs w:val="24"/>
          <w:lang w:eastAsia="en-ZA"/>
        </w:rPr>
        <w:t>LRA</w:t>
      </w:r>
      <w:r w:rsidRPr="00E759D0">
        <w:rPr>
          <w:rFonts w:ascii="Arial" w:eastAsia="Times New Roman" w:hAnsi="Arial" w:cs="Arial"/>
          <w:color w:val="000000"/>
          <w:sz w:val="24"/>
          <w:szCs w:val="24"/>
          <w:lang w:eastAsia="en-ZA"/>
        </w:rPr>
        <w:t xml:space="preserve">, </w:t>
      </w:r>
      <w:r w:rsidR="001D3227" w:rsidRPr="00E759D0">
        <w:rPr>
          <w:rFonts w:ascii="Arial" w:eastAsia="Times New Roman" w:hAnsi="Arial" w:cs="Arial"/>
          <w:color w:val="000000"/>
          <w:sz w:val="24"/>
          <w:szCs w:val="24"/>
          <w:lang w:eastAsia="en-ZA"/>
        </w:rPr>
        <w:t xml:space="preserve">it is evident that </w:t>
      </w:r>
      <w:r w:rsidRPr="00E759D0">
        <w:rPr>
          <w:rFonts w:ascii="Arial" w:eastAsia="Times New Roman" w:hAnsi="Arial" w:cs="Arial"/>
          <w:color w:val="000000"/>
          <w:sz w:val="24"/>
          <w:szCs w:val="24"/>
          <w:lang w:eastAsia="en-ZA"/>
        </w:rPr>
        <w:t xml:space="preserve">the applicant </w:t>
      </w:r>
      <w:r w:rsidR="001D3227" w:rsidRPr="00E759D0">
        <w:rPr>
          <w:rFonts w:ascii="Arial" w:eastAsia="Times New Roman" w:hAnsi="Arial" w:cs="Arial"/>
          <w:color w:val="000000"/>
          <w:sz w:val="24"/>
          <w:szCs w:val="24"/>
          <w:lang w:eastAsia="en-ZA"/>
        </w:rPr>
        <w:t xml:space="preserve">has </w:t>
      </w:r>
      <w:r w:rsidRPr="00E759D0">
        <w:rPr>
          <w:rFonts w:ascii="Arial" w:eastAsia="Times New Roman" w:hAnsi="Arial" w:cs="Arial"/>
          <w:color w:val="000000"/>
          <w:sz w:val="24"/>
          <w:szCs w:val="24"/>
          <w:lang w:eastAsia="en-ZA"/>
        </w:rPr>
        <w:t xml:space="preserve">framed his dispute </w:t>
      </w:r>
      <w:r w:rsidR="001D3227" w:rsidRPr="00E759D0">
        <w:rPr>
          <w:rFonts w:ascii="Arial" w:eastAsia="Times New Roman" w:hAnsi="Arial" w:cs="Arial"/>
          <w:color w:val="000000"/>
          <w:sz w:val="24"/>
          <w:szCs w:val="24"/>
          <w:lang w:eastAsia="en-ZA"/>
        </w:rPr>
        <w:t>in a manner consistent with</w:t>
      </w:r>
      <w:r w:rsidR="006154D6" w:rsidRPr="00E759D0">
        <w:rPr>
          <w:rFonts w:ascii="Arial" w:eastAsia="Times New Roman" w:hAnsi="Arial" w:cs="Arial"/>
          <w:color w:val="000000"/>
          <w:sz w:val="24"/>
          <w:szCs w:val="24"/>
          <w:lang w:eastAsia="en-ZA"/>
        </w:rPr>
        <w:t xml:space="preserve">, </w:t>
      </w:r>
      <w:r w:rsidR="006154D6" w:rsidRPr="00E759D0">
        <w:rPr>
          <w:rFonts w:ascii="Arial" w:eastAsia="Times New Roman" w:hAnsi="Arial" w:cs="Arial"/>
          <w:i/>
          <w:color w:val="000000"/>
          <w:sz w:val="24"/>
          <w:szCs w:val="24"/>
          <w:lang w:eastAsia="en-ZA"/>
        </w:rPr>
        <w:t>inter alia,</w:t>
      </w:r>
      <w:r w:rsidR="006154D6" w:rsidRPr="00E759D0">
        <w:rPr>
          <w:rFonts w:ascii="Arial" w:eastAsia="Times New Roman" w:hAnsi="Arial" w:cs="Arial"/>
          <w:color w:val="000000"/>
          <w:sz w:val="24"/>
          <w:szCs w:val="24"/>
          <w:lang w:eastAsia="en-ZA"/>
        </w:rPr>
        <w:t xml:space="preserve"> the provisions of s 188</w:t>
      </w:r>
      <w:r w:rsidR="001D3227" w:rsidRPr="00E759D0">
        <w:rPr>
          <w:rFonts w:ascii="Arial" w:eastAsia="Times New Roman" w:hAnsi="Arial" w:cs="Arial"/>
          <w:color w:val="000000"/>
          <w:sz w:val="24"/>
          <w:szCs w:val="24"/>
          <w:lang w:eastAsia="en-ZA"/>
        </w:rPr>
        <w:t xml:space="preserve"> and s 191 of </w:t>
      </w:r>
      <w:r w:rsidR="006154D6" w:rsidRPr="00E759D0">
        <w:rPr>
          <w:rFonts w:ascii="Arial" w:eastAsia="Times New Roman" w:hAnsi="Arial" w:cs="Arial"/>
          <w:color w:val="000000"/>
          <w:sz w:val="24"/>
          <w:szCs w:val="24"/>
          <w:lang w:eastAsia="en-ZA"/>
        </w:rPr>
        <w:t>the LRA</w:t>
      </w:r>
      <w:r w:rsidR="001D3227" w:rsidRPr="00E759D0">
        <w:rPr>
          <w:rFonts w:ascii="Arial" w:eastAsia="Times New Roman" w:hAnsi="Arial" w:cs="Arial"/>
          <w:color w:val="000000"/>
          <w:sz w:val="24"/>
          <w:szCs w:val="24"/>
          <w:lang w:eastAsia="en-ZA"/>
        </w:rPr>
        <w:t>. These sections provide</w:t>
      </w:r>
      <w:r w:rsidRPr="00E759D0">
        <w:rPr>
          <w:rFonts w:ascii="Arial" w:eastAsia="Times New Roman" w:hAnsi="Arial" w:cs="Arial"/>
          <w:color w:val="000000"/>
          <w:sz w:val="24"/>
          <w:szCs w:val="24"/>
          <w:lang w:eastAsia="en-ZA"/>
        </w:rPr>
        <w:t xml:space="preserve"> for the resolution of unfair dismissal dispute</w:t>
      </w:r>
      <w:r w:rsidR="001D3227" w:rsidRPr="00E759D0">
        <w:rPr>
          <w:rFonts w:ascii="Arial" w:eastAsia="Times New Roman" w:hAnsi="Arial" w:cs="Arial"/>
          <w:color w:val="000000"/>
          <w:sz w:val="24"/>
          <w:szCs w:val="24"/>
          <w:lang w:eastAsia="en-ZA"/>
        </w:rPr>
        <w:t>s</w:t>
      </w:r>
      <w:r w:rsidRPr="00E759D0">
        <w:rPr>
          <w:rFonts w:ascii="Arial" w:eastAsia="Times New Roman" w:hAnsi="Arial" w:cs="Arial"/>
          <w:color w:val="000000"/>
          <w:sz w:val="24"/>
          <w:szCs w:val="24"/>
          <w:lang w:eastAsia="en-ZA"/>
        </w:rPr>
        <w:t xml:space="preserve"> </w:t>
      </w:r>
      <w:r w:rsidR="001D3227" w:rsidRPr="00E759D0">
        <w:rPr>
          <w:rFonts w:ascii="Arial" w:eastAsia="Times New Roman" w:hAnsi="Arial" w:cs="Arial"/>
          <w:color w:val="000000"/>
          <w:sz w:val="24"/>
          <w:szCs w:val="24"/>
          <w:lang w:eastAsia="en-ZA"/>
        </w:rPr>
        <w:t xml:space="preserve">based on the grounds </w:t>
      </w:r>
      <w:r w:rsidRPr="00E759D0">
        <w:rPr>
          <w:rFonts w:ascii="Arial" w:eastAsia="Times New Roman" w:hAnsi="Arial" w:cs="Arial"/>
          <w:color w:val="000000"/>
          <w:sz w:val="24"/>
          <w:szCs w:val="24"/>
          <w:lang w:eastAsia="en-ZA"/>
        </w:rPr>
        <w:t xml:space="preserve">that the dismissal was substantively and procedurally unfair. </w:t>
      </w:r>
      <w:r w:rsidR="00901B3A" w:rsidRPr="00E759D0">
        <w:rPr>
          <w:rFonts w:ascii="Arial" w:hAnsi="Arial" w:cs="Arial"/>
          <w:sz w:val="24"/>
          <w:szCs w:val="24"/>
        </w:rPr>
        <w:t xml:space="preserve">Employees who have been dismissed </w:t>
      </w:r>
      <w:r w:rsidR="001D3227" w:rsidRPr="00E759D0">
        <w:rPr>
          <w:rFonts w:ascii="Arial" w:hAnsi="Arial" w:cs="Arial"/>
          <w:sz w:val="24"/>
          <w:szCs w:val="24"/>
        </w:rPr>
        <w:t xml:space="preserve">due to </w:t>
      </w:r>
      <w:r w:rsidR="00A25E1B" w:rsidRPr="00E759D0">
        <w:rPr>
          <w:rFonts w:ascii="Arial" w:hAnsi="Arial" w:cs="Arial"/>
          <w:sz w:val="24"/>
          <w:szCs w:val="24"/>
        </w:rPr>
        <w:lastRenderedPageBreak/>
        <w:t>misconduct would typically</w:t>
      </w:r>
      <w:r w:rsidR="00901B3A" w:rsidRPr="00E759D0">
        <w:rPr>
          <w:rFonts w:ascii="Arial" w:hAnsi="Arial" w:cs="Arial"/>
          <w:sz w:val="24"/>
          <w:szCs w:val="24"/>
        </w:rPr>
        <w:t xml:space="preserve"> </w:t>
      </w:r>
      <w:r w:rsidR="00A25E1B" w:rsidRPr="00E759D0">
        <w:rPr>
          <w:rFonts w:ascii="Arial" w:hAnsi="Arial" w:cs="Arial"/>
          <w:sz w:val="24"/>
          <w:szCs w:val="24"/>
        </w:rPr>
        <w:t>refer their unfair dismissal dispute</w:t>
      </w:r>
      <w:r w:rsidR="001D3227" w:rsidRPr="00E759D0">
        <w:rPr>
          <w:rFonts w:ascii="Arial" w:hAnsi="Arial" w:cs="Arial"/>
          <w:sz w:val="24"/>
          <w:szCs w:val="24"/>
        </w:rPr>
        <w:t>s</w:t>
      </w:r>
      <w:r w:rsidR="00A25E1B" w:rsidRPr="00E759D0">
        <w:rPr>
          <w:rFonts w:ascii="Arial" w:hAnsi="Arial" w:cs="Arial"/>
          <w:sz w:val="24"/>
          <w:szCs w:val="24"/>
        </w:rPr>
        <w:t xml:space="preserve"> to the </w:t>
      </w:r>
      <w:r w:rsidR="00901B3A" w:rsidRPr="00E759D0">
        <w:rPr>
          <w:rFonts w:ascii="Arial" w:hAnsi="Arial" w:cs="Arial"/>
          <w:sz w:val="24"/>
          <w:szCs w:val="24"/>
        </w:rPr>
        <w:t xml:space="preserve">Commission for </w:t>
      </w:r>
      <w:r w:rsidR="00A25E1B" w:rsidRPr="00E759D0">
        <w:rPr>
          <w:rFonts w:ascii="Arial" w:hAnsi="Arial" w:cs="Arial"/>
          <w:sz w:val="24"/>
          <w:szCs w:val="24"/>
        </w:rPr>
        <w:t>Conciliation</w:t>
      </w:r>
      <w:r w:rsidR="00130C4C" w:rsidRPr="00E759D0">
        <w:rPr>
          <w:rFonts w:ascii="Arial" w:hAnsi="Arial" w:cs="Arial"/>
          <w:sz w:val="24"/>
          <w:szCs w:val="24"/>
        </w:rPr>
        <w:t>, Mediation and Arbitration</w:t>
      </w:r>
      <w:r w:rsidR="006154D6" w:rsidRPr="00E759D0">
        <w:rPr>
          <w:rFonts w:ascii="Arial" w:hAnsi="Arial" w:cs="Arial"/>
          <w:sz w:val="24"/>
          <w:szCs w:val="24"/>
        </w:rPr>
        <w:t xml:space="preserve"> (the “CCMA”)</w:t>
      </w:r>
      <w:r w:rsidR="00901B3A" w:rsidRPr="00E759D0">
        <w:rPr>
          <w:rFonts w:ascii="Arial" w:hAnsi="Arial" w:cs="Arial"/>
          <w:sz w:val="24"/>
          <w:szCs w:val="24"/>
        </w:rPr>
        <w:t xml:space="preserve"> and</w:t>
      </w:r>
      <w:r w:rsidR="00A25E1B" w:rsidRPr="00E759D0">
        <w:rPr>
          <w:rFonts w:ascii="Arial" w:hAnsi="Arial" w:cs="Arial"/>
          <w:sz w:val="24"/>
          <w:szCs w:val="24"/>
        </w:rPr>
        <w:t xml:space="preserve">, if not settled, to arbitration. Unfair dismissal disputes fall within the exclusive </w:t>
      </w:r>
      <w:r w:rsidR="00E40B8B" w:rsidRPr="00E759D0">
        <w:rPr>
          <w:rFonts w:ascii="Arial" w:hAnsi="Arial" w:cs="Arial"/>
          <w:sz w:val="24"/>
          <w:szCs w:val="24"/>
        </w:rPr>
        <w:t xml:space="preserve">jurisdictional confines of the </w:t>
      </w:r>
      <w:r w:rsidR="006154D6" w:rsidRPr="00E759D0">
        <w:rPr>
          <w:rFonts w:ascii="Arial" w:hAnsi="Arial" w:cs="Arial"/>
          <w:sz w:val="24"/>
          <w:szCs w:val="24"/>
        </w:rPr>
        <w:t xml:space="preserve">CCMA and the </w:t>
      </w:r>
      <w:r w:rsidR="00E40B8B" w:rsidRPr="00E759D0">
        <w:rPr>
          <w:rFonts w:ascii="Arial" w:hAnsi="Arial" w:cs="Arial"/>
          <w:sz w:val="24"/>
          <w:szCs w:val="24"/>
        </w:rPr>
        <w:t>L</w:t>
      </w:r>
      <w:r w:rsidR="004C02D8" w:rsidRPr="00E759D0">
        <w:rPr>
          <w:rFonts w:ascii="Arial" w:hAnsi="Arial" w:cs="Arial"/>
          <w:sz w:val="24"/>
          <w:szCs w:val="24"/>
        </w:rPr>
        <w:t>abour Court</w:t>
      </w:r>
      <w:r w:rsidR="00E40B8B" w:rsidRPr="00E759D0">
        <w:rPr>
          <w:rFonts w:ascii="Arial" w:hAnsi="Arial" w:cs="Arial"/>
          <w:sz w:val="24"/>
          <w:szCs w:val="24"/>
        </w:rPr>
        <w:t>.</w:t>
      </w:r>
      <w:r w:rsidR="00F22063" w:rsidRPr="00E759D0">
        <w:rPr>
          <w:rFonts w:ascii="Arial" w:hAnsi="Arial" w:cs="Arial"/>
          <w:sz w:val="24"/>
          <w:szCs w:val="24"/>
        </w:rPr>
        <w:t xml:space="preserve"> </w:t>
      </w:r>
      <w:r w:rsidR="001D3227" w:rsidRPr="00E759D0">
        <w:rPr>
          <w:rFonts w:ascii="Arial" w:hAnsi="Arial" w:cs="Arial"/>
          <w:sz w:val="24"/>
          <w:szCs w:val="24"/>
        </w:rPr>
        <w:t xml:space="preserve">In as </w:t>
      </w:r>
      <w:r w:rsidRPr="00E759D0">
        <w:rPr>
          <w:rFonts w:ascii="Arial" w:hAnsi="Arial" w:cs="Arial"/>
          <w:sz w:val="24"/>
          <w:szCs w:val="24"/>
        </w:rPr>
        <w:t>far as the LRA provides for specific remedies, the High Court’s jurisdiction is ousted.</w:t>
      </w:r>
      <w:r w:rsidRPr="00E759D0">
        <w:rPr>
          <w:rStyle w:val="FootnoteReference"/>
          <w:rFonts w:ascii="Arial" w:hAnsi="Arial" w:cs="Arial"/>
          <w:sz w:val="24"/>
          <w:szCs w:val="24"/>
        </w:rPr>
        <w:footnoteReference w:id="5"/>
      </w:r>
      <w:r w:rsidRPr="00E759D0">
        <w:rPr>
          <w:rFonts w:ascii="Arial" w:hAnsi="Arial" w:cs="Arial"/>
          <w:sz w:val="24"/>
          <w:szCs w:val="24"/>
        </w:rPr>
        <w:t xml:space="preserve"> </w:t>
      </w:r>
    </w:p>
    <w:p w14:paraId="00DD4441" w14:textId="77777777" w:rsidR="006154D6" w:rsidRPr="00E759D0" w:rsidRDefault="006154D6" w:rsidP="00E759D0">
      <w:pPr>
        <w:pStyle w:val="ListParagraph"/>
        <w:spacing w:after="0" w:line="360" w:lineRule="auto"/>
        <w:ind w:left="0"/>
        <w:jc w:val="both"/>
        <w:rPr>
          <w:rFonts w:ascii="Arial" w:eastAsia="Times New Roman" w:hAnsi="Arial" w:cs="Arial"/>
          <w:color w:val="000000"/>
          <w:sz w:val="24"/>
          <w:szCs w:val="24"/>
          <w:lang w:eastAsia="en-ZA"/>
        </w:rPr>
      </w:pPr>
    </w:p>
    <w:p w14:paraId="5CAC171B" w14:textId="5EF55A82" w:rsidR="009B6EA6" w:rsidRPr="00E759D0" w:rsidRDefault="006154D6" w:rsidP="00E759D0">
      <w:pPr>
        <w:pStyle w:val="ListParagraph"/>
        <w:numPr>
          <w:ilvl w:val="0"/>
          <w:numId w:val="1"/>
        </w:numPr>
        <w:spacing w:after="0" w:line="360" w:lineRule="auto"/>
        <w:jc w:val="both"/>
        <w:rPr>
          <w:rFonts w:ascii="Arial" w:eastAsia="Times New Roman" w:hAnsi="Arial" w:cs="Arial"/>
          <w:color w:val="000000"/>
          <w:sz w:val="24"/>
          <w:szCs w:val="24"/>
          <w:lang w:eastAsia="en-ZA"/>
        </w:rPr>
      </w:pPr>
      <w:r w:rsidRPr="00E759D0">
        <w:rPr>
          <w:rFonts w:ascii="Arial" w:eastAsia="Times New Roman" w:hAnsi="Arial" w:cs="Arial"/>
          <w:color w:val="000000"/>
          <w:sz w:val="24"/>
          <w:szCs w:val="24"/>
          <w:lang w:eastAsia="en-ZA"/>
        </w:rPr>
        <w:t>Moreover</w:t>
      </w:r>
      <w:r w:rsidR="00E1055B" w:rsidRPr="00E759D0">
        <w:rPr>
          <w:rFonts w:ascii="Arial" w:eastAsia="Times New Roman" w:hAnsi="Arial" w:cs="Arial"/>
          <w:color w:val="000000"/>
          <w:sz w:val="24"/>
          <w:szCs w:val="24"/>
          <w:lang w:eastAsia="en-ZA"/>
        </w:rPr>
        <w:t xml:space="preserve">, </w:t>
      </w:r>
      <w:r w:rsidRPr="00E759D0">
        <w:rPr>
          <w:rFonts w:ascii="Arial" w:eastAsia="Times New Roman" w:hAnsi="Arial" w:cs="Arial"/>
          <w:color w:val="000000"/>
          <w:sz w:val="24"/>
          <w:szCs w:val="24"/>
          <w:lang w:eastAsia="en-ZA"/>
        </w:rPr>
        <w:t>although</w:t>
      </w:r>
      <w:r w:rsidR="0037524E" w:rsidRPr="00E759D0">
        <w:rPr>
          <w:rFonts w:ascii="Arial" w:eastAsia="Times New Roman" w:hAnsi="Arial" w:cs="Arial"/>
          <w:color w:val="000000"/>
          <w:sz w:val="24"/>
          <w:szCs w:val="24"/>
          <w:lang w:eastAsia="en-ZA"/>
        </w:rPr>
        <w:t xml:space="preserve"> </w:t>
      </w:r>
      <w:r w:rsidR="00E1055B" w:rsidRPr="00E759D0">
        <w:rPr>
          <w:rFonts w:ascii="Arial" w:eastAsia="Times New Roman" w:hAnsi="Arial" w:cs="Arial"/>
          <w:color w:val="000000"/>
          <w:sz w:val="24"/>
          <w:szCs w:val="24"/>
          <w:lang w:eastAsia="en-ZA"/>
        </w:rPr>
        <w:t xml:space="preserve">the </w:t>
      </w:r>
      <w:r w:rsidR="001B2F2D" w:rsidRPr="00E759D0">
        <w:rPr>
          <w:rFonts w:ascii="Arial" w:hAnsi="Arial" w:cs="Arial"/>
          <w:sz w:val="24"/>
          <w:szCs w:val="24"/>
        </w:rPr>
        <w:t xml:space="preserve">LRA does not </w:t>
      </w:r>
      <w:r w:rsidR="003918D9" w:rsidRPr="00E759D0">
        <w:rPr>
          <w:rFonts w:ascii="Arial" w:eastAsia="Times New Roman" w:hAnsi="Arial" w:cs="Arial"/>
          <w:color w:val="000000"/>
          <w:sz w:val="24"/>
          <w:szCs w:val="24"/>
          <w:lang w:eastAsia="en-ZA"/>
        </w:rPr>
        <w:t xml:space="preserve">differentiate between the state </w:t>
      </w:r>
      <w:r w:rsidR="00A25E1B" w:rsidRPr="00E759D0">
        <w:rPr>
          <w:rFonts w:ascii="Arial" w:eastAsia="Times New Roman" w:hAnsi="Arial" w:cs="Arial"/>
          <w:color w:val="000000"/>
          <w:sz w:val="24"/>
          <w:szCs w:val="24"/>
          <w:lang w:eastAsia="en-ZA"/>
        </w:rPr>
        <w:t>(</w:t>
      </w:r>
      <w:r w:rsidR="003918D9" w:rsidRPr="00E759D0">
        <w:rPr>
          <w:rFonts w:ascii="Arial" w:eastAsia="Times New Roman" w:hAnsi="Arial" w:cs="Arial"/>
          <w:color w:val="000000"/>
          <w:sz w:val="24"/>
          <w:szCs w:val="24"/>
          <w:lang w:eastAsia="en-ZA"/>
        </w:rPr>
        <w:t>and its organs</w:t>
      </w:r>
      <w:r w:rsidR="00A25E1B" w:rsidRPr="00E759D0">
        <w:rPr>
          <w:rFonts w:ascii="Arial" w:eastAsia="Times New Roman" w:hAnsi="Arial" w:cs="Arial"/>
          <w:color w:val="000000"/>
          <w:sz w:val="24"/>
          <w:szCs w:val="24"/>
          <w:lang w:eastAsia="en-ZA"/>
        </w:rPr>
        <w:t>)</w:t>
      </w:r>
      <w:r w:rsidR="003918D9" w:rsidRPr="00E759D0">
        <w:rPr>
          <w:rFonts w:ascii="Arial" w:eastAsia="Times New Roman" w:hAnsi="Arial" w:cs="Arial"/>
          <w:color w:val="000000"/>
          <w:sz w:val="24"/>
          <w:szCs w:val="24"/>
          <w:lang w:eastAsia="en-ZA"/>
        </w:rPr>
        <w:t xml:space="preserve"> as an employer</w:t>
      </w:r>
      <w:r w:rsidR="00E40B8B" w:rsidRPr="00E759D0">
        <w:rPr>
          <w:rFonts w:ascii="Arial" w:eastAsia="Times New Roman" w:hAnsi="Arial" w:cs="Arial"/>
          <w:color w:val="000000"/>
          <w:sz w:val="24"/>
          <w:szCs w:val="24"/>
          <w:lang w:eastAsia="en-ZA"/>
        </w:rPr>
        <w:t>,</w:t>
      </w:r>
      <w:r w:rsidR="003918D9" w:rsidRPr="00E759D0">
        <w:rPr>
          <w:rFonts w:ascii="Arial" w:eastAsia="Times New Roman" w:hAnsi="Arial" w:cs="Arial"/>
          <w:color w:val="000000"/>
          <w:sz w:val="24"/>
          <w:szCs w:val="24"/>
          <w:lang w:eastAsia="en-ZA"/>
        </w:rPr>
        <w:t xml:space="preserve"> and any other employer in the private </w:t>
      </w:r>
      <w:r w:rsidR="00960C0A" w:rsidRPr="00E759D0">
        <w:rPr>
          <w:rFonts w:ascii="Arial" w:eastAsia="Times New Roman" w:hAnsi="Arial" w:cs="Arial"/>
          <w:color w:val="000000"/>
          <w:sz w:val="24"/>
          <w:szCs w:val="24"/>
          <w:lang w:eastAsia="en-ZA"/>
        </w:rPr>
        <w:t>sector</w:t>
      </w:r>
      <w:r w:rsidR="00A62609" w:rsidRPr="00E759D0">
        <w:rPr>
          <w:rFonts w:ascii="Arial" w:eastAsia="Times New Roman" w:hAnsi="Arial" w:cs="Arial"/>
          <w:color w:val="000000"/>
          <w:sz w:val="24"/>
          <w:szCs w:val="24"/>
          <w:lang w:eastAsia="en-ZA"/>
        </w:rPr>
        <w:t xml:space="preserve">, </w:t>
      </w:r>
      <w:r w:rsidR="0037524E" w:rsidRPr="00E759D0">
        <w:rPr>
          <w:rFonts w:ascii="Arial" w:eastAsia="Times New Roman" w:hAnsi="Arial" w:cs="Arial"/>
          <w:color w:val="000000"/>
          <w:sz w:val="24"/>
          <w:szCs w:val="24"/>
          <w:lang w:eastAsia="en-ZA"/>
        </w:rPr>
        <w:t xml:space="preserve">certain </w:t>
      </w:r>
      <w:r w:rsidR="003918D9" w:rsidRPr="00E759D0">
        <w:rPr>
          <w:rFonts w:ascii="Arial" w:eastAsia="Times New Roman" w:hAnsi="Arial" w:cs="Arial"/>
          <w:color w:val="000000"/>
          <w:sz w:val="24"/>
          <w:szCs w:val="24"/>
          <w:lang w:eastAsia="en-ZA"/>
        </w:rPr>
        <w:t>categories</w:t>
      </w:r>
      <w:r w:rsidR="00EB0B10" w:rsidRPr="00E759D0">
        <w:rPr>
          <w:rFonts w:ascii="Arial" w:eastAsia="Times New Roman" w:hAnsi="Arial" w:cs="Arial"/>
          <w:color w:val="000000"/>
          <w:sz w:val="24"/>
          <w:szCs w:val="24"/>
          <w:lang w:eastAsia="en-ZA"/>
        </w:rPr>
        <w:t xml:space="preserve"> of employers </w:t>
      </w:r>
      <w:r w:rsidR="00A25E1B" w:rsidRPr="00E759D0">
        <w:rPr>
          <w:rFonts w:ascii="Arial" w:eastAsia="Times New Roman" w:hAnsi="Arial" w:cs="Arial"/>
          <w:color w:val="000000"/>
          <w:sz w:val="24"/>
          <w:szCs w:val="24"/>
          <w:lang w:eastAsia="en-ZA"/>
        </w:rPr>
        <w:t xml:space="preserve">(and their employees) - </w:t>
      </w:r>
      <w:r w:rsidR="00EB0B10" w:rsidRPr="00E759D0">
        <w:rPr>
          <w:rFonts w:ascii="Arial" w:eastAsia="Times New Roman" w:hAnsi="Arial" w:cs="Arial"/>
          <w:color w:val="000000"/>
          <w:sz w:val="24"/>
          <w:szCs w:val="24"/>
          <w:lang w:eastAsia="en-ZA"/>
        </w:rPr>
        <w:t xml:space="preserve"> </w:t>
      </w:r>
      <w:r w:rsidR="00E40B8B" w:rsidRPr="00E759D0">
        <w:rPr>
          <w:rFonts w:ascii="Arial" w:eastAsia="Times New Roman" w:hAnsi="Arial" w:cs="Arial"/>
          <w:color w:val="000000"/>
          <w:sz w:val="24"/>
          <w:szCs w:val="24"/>
          <w:lang w:eastAsia="en-ZA"/>
        </w:rPr>
        <w:t xml:space="preserve">all </w:t>
      </w:r>
      <w:r w:rsidR="00DD273A" w:rsidRPr="00E759D0">
        <w:rPr>
          <w:rFonts w:ascii="Arial" w:eastAsia="Times New Roman" w:hAnsi="Arial" w:cs="Arial"/>
          <w:color w:val="000000"/>
          <w:sz w:val="24"/>
          <w:szCs w:val="24"/>
          <w:lang w:eastAsia="en-ZA"/>
        </w:rPr>
        <w:t xml:space="preserve">public service employees </w:t>
      </w:r>
      <w:r w:rsidR="0096772B" w:rsidRPr="00E759D0">
        <w:rPr>
          <w:rFonts w:ascii="Arial" w:eastAsia="Times New Roman" w:hAnsi="Arial" w:cs="Arial"/>
          <w:color w:val="000000"/>
          <w:sz w:val="24"/>
          <w:szCs w:val="24"/>
          <w:lang w:eastAsia="en-ZA"/>
        </w:rPr>
        <w:t xml:space="preserve">- </w:t>
      </w:r>
      <w:r w:rsidR="001B2F2D" w:rsidRPr="00E759D0">
        <w:rPr>
          <w:rFonts w:ascii="Arial" w:eastAsia="Times New Roman" w:hAnsi="Arial" w:cs="Arial"/>
          <w:color w:val="000000"/>
          <w:sz w:val="24"/>
          <w:szCs w:val="24"/>
          <w:lang w:eastAsia="en-ZA"/>
        </w:rPr>
        <w:t xml:space="preserve">are, </w:t>
      </w:r>
      <w:r w:rsidR="0096772B" w:rsidRPr="00E759D0">
        <w:rPr>
          <w:rFonts w:ascii="Arial" w:eastAsia="Times New Roman" w:hAnsi="Arial" w:cs="Arial"/>
          <w:color w:val="000000"/>
          <w:sz w:val="24"/>
          <w:szCs w:val="24"/>
          <w:lang w:eastAsia="en-ZA"/>
        </w:rPr>
        <w:t>excluded</w:t>
      </w:r>
      <w:r w:rsidR="001B2F2D" w:rsidRPr="00E759D0">
        <w:rPr>
          <w:rFonts w:ascii="Arial" w:eastAsia="Times New Roman" w:hAnsi="Arial" w:cs="Arial"/>
          <w:color w:val="000000"/>
          <w:sz w:val="24"/>
          <w:szCs w:val="24"/>
          <w:lang w:eastAsia="en-ZA"/>
        </w:rPr>
        <w:t xml:space="preserve"> from the </w:t>
      </w:r>
      <w:r w:rsidR="00EB0B10" w:rsidRPr="00E759D0">
        <w:rPr>
          <w:rFonts w:ascii="Arial" w:eastAsia="Times New Roman" w:hAnsi="Arial" w:cs="Arial"/>
          <w:color w:val="000000"/>
          <w:sz w:val="24"/>
          <w:szCs w:val="24"/>
          <w:lang w:eastAsia="en-ZA"/>
        </w:rPr>
        <w:t xml:space="preserve">ambit of the </w:t>
      </w:r>
      <w:r w:rsidR="003918D9" w:rsidRPr="00E759D0">
        <w:rPr>
          <w:rFonts w:ascii="Arial" w:eastAsia="Times New Roman" w:hAnsi="Arial" w:cs="Arial"/>
          <w:color w:val="000000"/>
          <w:sz w:val="24"/>
          <w:szCs w:val="24"/>
          <w:lang w:eastAsia="en-ZA"/>
        </w:rPr>
        <w:t xml:space="preserve">extensive </w:t>
      </w:r>
      <w:r w:rsidR="009C322D" w:rsidRPr="00E759D0">
        <w:rPr>
          <w:rFonts w:ascii="Arial" w:eastAsia="Times New Roman" w:hAnsi="Arial" w:cs="Arial"/>
          <w:color w:val="000000"/>
          <w:sz w:val="24"/>
          <w:szCs w:val="24"/>
          <w:lang w:eastAsia="en-ZA"/>
        </w:rPr>
        <w:t xml:space="preserve">dispute-resolution </w:t>
      </w:r>
      <w:r w:rsidR="00A25E1B" w:rsidRPr="00E759D0">
        <w:rPr>
          <w:rFonts w:ascii="Arial" w:eastAsia="Times New Roman" w:hAnsi="Arial" w:cs="Arial"/>
          <w:color w:val="000000"/>
          <w:sz w:val="24"/>
          <w:szCs w:val="24"/>
          <w:lang w:eastAsia="en-ZA"/>
        </w:rPr>
        <w:t xml:space="preserve">procedures </w:t>
      </w:r>
      <w:r w:rsidR="003918D9" w:rsidRPr="00E759D0">
        <w:rPr>
          <w:rFonts w:ascii="Arial" w:eastAsia="Times New Roman" w:hAnsi="Arial" w:cs="Arial"/>
          <w:color w:val="000000"/>
          <w:sz w:val="24"/>
          <w:szCs w:val="24"/>
          <w:lang w:eastAsia="en-ZA"/>
        </w:rPr>
        <w:t xml:space="preserve">provided </w:t>
      </w:r>
      <w:r w:rsidR="009C322D" w:rsidRPr="00E759D0">
        <w:rPr>
          <w:rFonts w:ascii="Arial" w:eastAsia="Times New Roman" w:hAnsi="Arial" w:cs="Arial"/>
          <w:color w:val="000000"/>
          <w:sz w:val="24"/>
          <w:szCs w:val="24"/>
          <w:lang w:eastAsia="en-ZA"/>
        </w:rPr>
        <w:t xml:space="preserve">for </w:t>
      </w:r>
      <w:r w:rsidR="003918D9" w:rsidRPr="00E759D0">
        <w:rPr>
          <w:rFonts w:ascii="Arial" w:eastAsia="Times New Roman" w:hAnsi="Arial" w:cs="Arial"/>
          <w:color w:val="000000"/>
          <w:sz w:val="24"/>
          <w:szCs w:val="24"/>
          <w:lang w:eastAsia="en-ZA"/>
        </w:rPr>
        <w:t>in the LRA.</w:t>
      </w:r>
      <w:r w:rsidR="00A25E1B" w:rsidRPr="00E759D0">
        <w:rPr>
          <w:rStyle w:val="FootnoteReference"/>
          <w:rFonts w:ascii="Arial" w:eastAsia="Times New Roman" w:hAnsi="Arial" w:cs="Arial"/>
          <w:color w:val="000000"/>
          <w:sz w:val="24"/>
          <w:szCs w:val="24"/>
          <w:lang w:eastAsia="en-ZA"/>
        </w:rPr>
        <w:footnoteReference w:id="6"/>
      </w:r>
      <w:r w:rsidR="003918D9" w:rsidRPr="00E759D0">
        <w:rPr>
          <w:rFonts w:ascii="Arial" w:eastAsia="Times New Roman" w:hAnsi="Arial" w:cs="Arial"/>
          <w:color w:val="000000"/>
          <w:sz w:val="24"/>
          <w:szCs w:val="24"/>
          <w:lang w:eastAsia="en-ZA"/>
        </w:rPr>
        <w:t xml:space="preserve"> </w:t>
      </w:r>
      <w:r w:rsidR="00A25E1B" w:rsidRPr="00E759D0">
        <w:rPr>
          <w:rFonts w:ascii="Arial" w:eastAsia="Times New Roman" w:hAnsi="Arial" w:cs="Arial"/>
          <w:color w:val="000000"/>
          <w:sz w:val="24"/>
          <w:szCs w:val="24"/>
          <w:lang w:eastAsia="en-ZA"/>
        </w:rPr>
        <w:t xml:space="preserve">One such category is the State Security Agency. </w:t>
      </w:r>
      <w:r w:rsidR="0037524E" w:rsidRPr="00E759D0">
        <w:rPr>
          <w:rFonts w:ascii="Arial" w:eastAsia="Times New Roman" w:hAnsi="Arial" w:cs="Arial"/>
          <w:color w:val="000000"/>
          <w:sz w:val="24"/>
          <w:szCs w:val="24"/>
          <w:lang w:eastAsia="en-ZA"/>
        </w:rPr>
        <w:t xml:space="preserve">Consequently, because </w:t>
      </w:r>
      <w:r w:rsidR="00DD273A" w:rsidRPr="00E759D0">
        <w:rPr>
          <w:rFonts w:ascii="Arial" w:eastAsia="Times New Roman" w:hAnsi="Arial" w:cs="Arial"/>
          <w:color w:val="000000"/>
          <w:sz w:val="24"/>
          <w:szCs w:val="24"/>
          <w:lang w:eastAsia="en-ZA"/>
        </w:rPr>
        <w:t xml:space="preserve">the applicant in the present matter </w:t>
      </w:r>
      <w:r w:rsidR="003261FC" w:rsidRPr="00E759D0">
        <w:rPr>
          <w:rFonts w:ascii="Arial" w:eastAsia="Times New Roman" w:hAnsi="Arial" w:cs="Arial"/>
          <w:color w:val="000000"/>
          <w:sz w:val="24"/>
          <w:szCs w:val="24"/>
          <w:lang w:eastAsia="en-ZA"/>
        </w:rPr>
        <w:t xml:space="preserve">was employed by the </w:t>
      </w:r>
      <w:r w:rsidRPr="00E759D0">
        <w:rPr>
          <w:rFonts w:ascii="Arial" w:eastAsia="Times New Roman" w:hAnsi="Arial" w:cs="Arial"/>
          <w:color w:val="000000"/>
          <w:sz w:val="24"/>
          <w:szCs w:val="24"/>
          <w:lang w:eastAsia="en-ZA"/>
        </w:rPr>
        <w:t>State Security Ag</w:t>
      </w:r>
      <w:r w:rsidR="001B2F2D" w:rsidRPr="00E759D0">
        <w:rPr>
          <w:rFonts w:ascii="Arial" w:eastAsia="Times New Roman" w:hAnsi="Arial" w:cs="Arial"/>
          <w:color w:val="000000"/>
          <w:sz w:val="24"/>
          <w:szCs w:val="24"/>
          <w:lang w:eastAsia="en-ZA"/>
        </w:rPr>
        <w:t>ency</w:t>
      </w:r>
      <w:r w:rsidR="00DD273A" w:rsidRPr="00E759D0">
        <w:rPr>
          <w:rFonts w:ascii="Arial" w:eastAsia="Times New Roman" w:hAnsi="Arial" w:cs="Arial"/>
          <w:color w:val="000000"/>
          <w:sz w:val="24"/>
          <w:szCs w:val="24"/>
          <w:lang w:eastAsia="en-ZA"/>
        </w:rPr>
        <w:t>, he is</w:t>
      </w:r>
      <w:r w:rsidR="0037524E" w:rsidRPr="00E759D0">
        <w:rPr>
          <w:rFonts w:ascii="Arial" w:eastAsia="Times New Roman" w:hAnsi="Arial" w:cs="Arial"/>
          <w:color w:val="000000"/>
          <w:sz w:val="24"/>
          <w:szCs w:val="24"/>
          <w:lang w:eastAsia="en-ZA"/>
        </w:rPr>
        <w:t>,</w:t>
      </w:r>
      <w:r w:rsidR="003261FC" w:rsidRPr="00E759D0">
        <w:rPr>
          <w:rFonts w:ascii="Arial" w:eastAsia="Times New Roman" w:hAnsi="Arial" w:cs="Arial"/>
          <w:color w:val="000000"/>
          <w:sz w:val="24"/>
          <w:szCs w:val="24"/>
          <w:lang w:eastAsia="en-ZA"/>
        </w:rPr>
        <w:t xml:space="preserve"> </w:t>
      </w:r>
      <w:r w:rsidR="00E1055B" w:rsidRPr="00E759D0">
        <w:rPr>
          <w:rFonts w:ascii="Arial" w:eastAsia="Times New Roman" w:hAnsi="Arial" w:cs="Arial"/>
          <w:color w:val="000000"/>
          <w:sz w:val="24"/>
          <w:szCs w:val="24"/>
          <w:lang w:eastAsia="en-ZA"/>
        </w:rPr>
        <w:t>in any event</w:t>
      </w:r>
      <w:r w:rsidR="0037524E" w:rsidRPr="00E759D0">
        <w:rPr>
          <w:rFonts w:ascii="Arial" w:eastAsia="Times New Roman" w:hAnsi="Arial" w:cs="Arial"/>
          <w:color w:val="000000"/>
          <w:sz w:val="24"/>
          <w:szCs w:val="24"/>
          <w:lang w:eastAsia="en-ZA"/>
        </w:rPr>
        <w:t>,</w:t>
      </w:r>
      <w:r w:rsidR="00E1055B" w:rsidRPr="00E759D0">
        <w:rPr>
          <w:rFonts w:ascii="Arial" w:eastAsia="Times New Roman" w:hAnsi="Arial" w:cs="Arial"/>
          <w:color w:val="000000"/>
          <w:sz w:val="24"/>
          <w:szCs w:val="24"/>
          <w:lang w:eastAsia="en-ZA"/>
        </w:rPr>
        <w:t xml:space="preserve"> </w:t>
      </w:r>
      <w:r w:rsidR="003261FC" w:rsidRPr="00E759D0">
        <w:rPr>
          <w:rFonts w:ascii="Arial" w:eastAsia="Times New Roman" w:hAnsi="Arial" w:cs="Arial"/>
          <w:color w:val="000000"/>
          <w:sz w:val="24"/>
          <w:szCs w:val="24"/>
          <w:lang w:eastAsia="en-ZA"/>
        </w:rPr>
        <w:t xml:space="preserve">excluded from pursuing his claim for </w:t>
      </w:r>
      <w:r w:rsidR="009C322D" w:rsidRPr="00E759D0">
        <w:rPr>
          <w:rFonts w:ascii="Arial" w:eastAsia="Times New Roman" w:hAnsi="Arial" w:cs="Arial"/>
          <w:color w:val="000000"/>
          <w:sz w:val="24"/>
          <w:szCs w:val="24"/>
          <w:lang w:eastAsia="en-ZA"/>
        </w:rPr>
        <w:t xml:space="preserve">unfair dismissal </w:t>
      </w:r>
      <w:r w:rsidR="0037524E" w:rsidRPr="00E759D0">
        <w:rPr>
          <w:rFonts w:ascii="Arial" w:eastAsia="Times New Roman" w:hAnsi="Arial" w:cs="Arial"/>
          <w:color w:val="000000"/>
          <w:sz w:val="24"/>
          <w:szCs w:val="24"/>
          <w:lang w:eastAsia="en-ZA"/>
        </w:rPr>
        <w:t xml:space="preserve">through the </w:t>
      </w:r>
      <w:r w:rsidR="000F68C3" w:rsidRPr="00E759D0">
        <w:rPr>
          <w:rFonts w:ascii="Arial" w:eastAsia="Times New Roman" w:hAnsi="Arial" w:cs="Arial"/>
          <w:color w:val="000000"/>
          <w:sz w:val="24"/>
          <w:szCs w:val="24"/>
          <w:lang w:eastAsia="en-ZA"/>
        </w:rPr>
        <w:t xml:space="preserve">dispute resolution mechanisms provided for in the LRA. </w:t>
      </w:r>
    </w:p>
    <w:p w14:paraId="071D4789" w14:textId="77777777" w:rsidR="006154D6" w:rsidRPr="00E759D0" w:rsidRDefault="006154D6" w:rsidP="00E759D0">
      <w:pPr>
        <w:pStyle w:val="ListParagraph"/>
        <w:spacing w:line="360" w:lineRule="auto"/>
        <w:rPr>
          <w:rFonts w:ascii="Arial" w:eastAsia="Times New Roman" w:hAnsi="Arial" w:cs="Arial"/>
          <w:color w:val="000000"/>
          <w:sz w:val="24"/>
          <w:szCs w:val="24"/>
          <w:lang w:eastAsia="en-ZA"/>
        </w:rPr>
      </w:pPr>
    </w:p>
    <w:p w14:paraId="21E3A46B" w14:textId="5AE9108D" w:rsidR="006154D6" w:rsidRPr="00E759D0" w:rsidRDefault="006154D6" w:rsidP="00E759D0">
      <w:pPr>
        <w:pStyle w:val="ListParagraph"/>
        <w:numPr>
          <w:ilvl w:val="0"/>
          <w:numId w:val="1"/>
        </w:numPr>
        <w:spacing w:after="0" w:line="360" w:lineRule="auto"/>
        <w:jc w:val="both"/>
        <w:rPr>
          <w:rFonts w:ascii="Arial" w:eastAsia="Times New Roman" w:hAnsi="Arial" w:cs="Arial"/>
          <w:color w:val="000000"/>
          <w:sz w:val="24"/>
          <w:szCs w:val="24"/>
          <w:lang w:eastAsia="en-ZA"/>
        </w:rPr>
      </w:pPr>
      <w:r w:rsidRPr="00E759D0">
        <w:rPr>
          <w:rFonts w:ascii="Arial" w:hAnsi="Arial" w:cs="Arial"/>
          <w:sz w:val="24"/>
          <w:szCs w:val="24"/>
        </w:rPr>
        <w:t>In as far as the applicant’s cause of action is based on an allegation of unfair dismissal, the application should, because the High Court does not have concurrent jurisdiction be dismissed on this basis alone.</w:t>
      </w:r>
      <w:r w:rsidRPr="00E759D0">
        <w:rPr>
          <w:rStyle w:val="FootnoteReference"/>
          <w:rFonts w:ascii="Arial" w:hAnsi="Arial" w:cs="Arial"/>
          <w:sz w:val="24"/>
          <w:szCs w:val="24"/>
        </w:rPr>
        <w:footnoteReference w:id="7"/>
      </w:r>
      <w:r w:rsidRPr="00E759D0">
        <w:rPr>
          <w:rFonts w:ascii="Arial" w:hAnsi="Arial" w:cs="Arial"/>
          <w:sz w:val="24"/>
          <w:szCs w:val="24"/>
        </w:rPr>
        <w:t xml:space="preserve"> </w:t>
      </w:r>
    </w:p>
    <w:p w14:paraId="0DF38615" w14:textId="77777777" w:rsidR="006154D6" w:rsidRPr="00E759D0" w:rsidRDefault="006154D6" w:rsidP="00E759D0">
      <w:pPr>
        <w:pStyle w:val="ListParagraph"/>
        <w:spacing w:line="360" w:lineRule="auto"/>
        <w:rPr>
          <w:rFonts w:ascii="Arial" w:eastAsia="Times New Roman" w:hAnsi="Arial" w:cs="Arial"/>
          <w:color w:val="000000"/>
          <w:sz w:val="24"/>
          <w:szCs w:val="24"/>
          <w:lang w:eastAsia="en-ZA"/>
        </w:rPr>
      </w:pPr>
    </w:p>
    <w:p w14:paraId="4D254971" w14:textId="1A794AD1" w:rsidR="00DF18C2" w:rsidRPr="00E759D0" w:rsidRDefault="00096A15" w:rsidP="00E759D0">
      <w:pPr>
        <w:pStyle w:val="ListParagraph"/>
        <w:spacing w:after="0" w:line="360" w:lineRule="auto"/>
        <w:ind w:left="0"/>
        <w:jc w:val="both"/>
        <w:rPr>
          <w:rFonts w:ascii="Arial" w:eastAsia="Times New Roman" w:hAnsi="Arial" w:cs="Arial"/>
          <w:i/>
          <w:color w:val="000000"/>
          <w:sz w:val="24"/>
          <w:szCs w:val="24"/>
          <w:lang w:eastAsia="en-ZA"/>
        </w:rPr>
      </w:pPr>
      <w:r w:rsidRPr="00E759D0">
        <w:rPr>
          <w:rFonts w:ascii="Arial" w:eastAsia="Times New Roman" w:hAnsi="Arial" w:cs="Arial"/>
          <w:i/>
          <w:color w:val="000000"/>
          <w:sz w:val="24"/>
          <w:szCs w:val="24"/>
          <w:lang w:eastAsia="en-ZA"/>
        </w:rPr>
        <w:t xml:space="preserve">Section 15 of the Intelligence </w:t>
      </w:r>
      <w:r w:rsidR="004C02D8" w:rsidRPr="00E759D0">
        <w:rPr>
          <w:rFonts w:ascii="Arial" w:eastAsia="Times New Roman" w:hAnsi="Arial" w:cs="Arial"/>
          <w:i/>
          <w:color w:val="000000"/>
          <w:sz w:val="24"/>
          <w:szCs w:val="24"/>
          <w:lang w:eastAsia="en-ZA"/>
        </w:rPr>
        <w:t xml:space="preserve">Services </w:t>
      </w:r>
      <w:r w:rsidRPr="00E759D0">
        <w:rPr>
          <w:rFonts w:ascii="Arial" w:eastAsia="Times New Roman" w:hAnsi="Arial" w:cs="Arial"/>
          <w:i/>
          <w:color w:val="000000"/>
          <w:sz w:val="24"/>
          <w:szCs w:val="24"/>
          <w:lang w:eastAsia="en-ZA"/>
        </w:rPr>
        <w:t>Act</w:t>
      </w:r>
      <w:r w:rsidRPr="00E759D0">
        <w:rPr>
          <w:rStyle w:val="FootnoteReference"/>
          <w:rFonts w:ascii="Arial" w:eastAsia="Times New Roman" w:hAnsi="Arial" w:cs="Arial"/>
          <w:i/>
          <w:color w:val="000000"/>
          <w:sz w:val="24"/>
          <w:szCs w:val="24"/>
          <w:lang w:eastAsia="en-ZA"/>
        </w:rPr>
        <w:footnoteReference w:id="8"/>
      </w:r>
    </w:p>
    <w:p w14:paraId="2A7F5349" w14:textId="5F96E0BD" w:rsidR="00783C04" w:rsidRPr="00E759D0" w:rsidRDefault="00B856C1" w:rsidP="00E759D0">
      <w:pPr>
        <w:pStyle w:val="ListParagraph"/>
        <w:numPr>
          <w:ilvl w:val="0"/>
          <w:numId w:val="1"/>
        </w:numPr>
        <w:spacing w:after="0" w:line="360" w:lineRule="auto"/>
        <w:jc w:val="both"/>
        <w:rPr>
          <w:rFonts w:ascii="Arial" w:hAnsi="Arial" w:cs="Arial"/>
          <w:sz w:val="24"/>
          <w:szCs w:val="24"/>
        </w:rPr>
      </w:pPr>
      <w:r w:rsidRPr="00E759D0">
        <w:rPr>
          <w:rFonts w:ascii="Arial" w:eastAsia="Times New Roman" w:hAnsi="Arial" w:cs="Arial"/>
          <w:color w:val="000000"/>
          <w:sz w:val="24"/>
          <w:szCs w:val="24"/>
          <w:lang w:eastAsia="en-ZA"/>
        </w:rPr>
        <w:t xml:space="preserve">To the extent that it can be deduced from the applicant’s papers that he was </w:t>
      </w:r>
      <w:r w:rsidR="00E1055B" w:rsidRPr="00E759D0">
        <w:rPr>
          <w:rFonts w:ascii="Arial" w:eastAsia="Times New Roman" w:hAnsi="Arial" w:cs="Arial"/>
          <w:color w:val="000000"/>
          <w:sz w:val="24"/>
          <w:szCs w:val="24"/>
          <w:lang w:eastAsia="en-ZA"/>
        </w:rPr>
        <w:t xml:space="preserve">deemed </w:t>
      </w:r>
      <w:r w:rsidR="00096A15" w:rsidRPr="00E759D0">
        <w:rPr>
          <w:rFonts w:ascii="Arial" w:eastAsia="Times New Roman" w:hAnsi="Arial" w:cs="Arial"/>
          <w:color w:val="000000"/>
          <w:sz w:val="24"/>
          <w:szCs w:val="24"/>
          <w:lang w:eastAsia="en-ZA"/>
        </w:rPr>
        <w:t xml:space="preserve">discharged </w:t>
      </w:r>
      <w:r w:rsidRPr="00E759D0">
        <w:rPr>
          <w:rFonts w:ascii="Arial" w:eastAsia="Times New Roman" w:hAnsi="Arial" w:cs="Arial"/>
          <w:color w:val="000000"/>
          <w:sz w:val="24"/>
          <w:szCs w:val="24"/>
          <w:lang w:eastAsia="en-ZA"/>
        </w:rPr>
        <w:t xml:space="preserve">based on </w:t>
      </w:r>
      <w:r w:rsidR="00096A15" w:rsidRPr="00E759D0">
        <w:rPr>
          <w:rFonts w:ascii="Arial" w:eastAsia="Times New Roman" w:hAnsi="Arial" w:cs="Arial"/>
          <w:color w:val="000000"/>
          <w:sz w:val="24"/>
          <w:szCs w:val="24"/>
          <w:lang w:eastAsia="en-ZA"/>
        </w:rPr>
        <w:t>account of</w:t>
      </w:r>
      <w:r w:rsidR="007834E0" w:rsidRPr="00E759D0">
        <w:rPr>
          <w:rFonts w:ascii="Arial" w:eastAsia="Times New Roman" w:hAnsi="Arial" w:cs="Arial"/>
          <w:color w:val="000000"/>
          <w:sz w:val="24"/>
          <w:szCs w:val="24"/>
          <w:lang w:eastAsia="en-ZA"/>
        </w:rPr>
        <w:t xml:space="preserve"> a</w:t>
      </w:r>
      <w:r w:rsidR="00096A15" w:rsidRPr="00E759D0">
        <w:rPr>
          <w:rFonts w:ascii="Arial" w:eastAsia="Times New Roman" w:hAnsi="Arial" w:cs="Arial"/>
          <w:color w:val="000000"/>
          <w:sz w:val="24"/>
          <w:szCs w:val="24"/>
          <w:lang w:eastAsia="en-ZA"/>
        </w:rPr>
        <w:t xml:space="preserve"> long absence without leave as provided </w:t>
      </w:r>
      <w:r w:rsidR="00096A15" w:rsidRPr="00E759D0">
        <w:rPr>
          <w:rFonts w:ascii="Arial" w:eastAsia="Times New Roman" w:hAnsi="Arial" w:cs="Arial"/>
          <w:color w:val="000000"/>
          <w:sz w:val="24"/>
          <w:szCs w:val="24"/>
          <w:lang w:eastAsia="en-ZA"/>
        </w:rPr>
        <w:lastRenderedPageBreak/>
        <w:t xml:space="preserve">for in s 15 of the Intelligence </w:t>
      </w:r>
      <w:r w:rsidR="00C3586C" w:rsidRPr="00E759D0">
        <w:rPr>
          <w:rFonts w:ascii="Arial" w:eastAsia="Times New Roman" w:hAnsi="Arial" w:cs="Arial"/>
          <w:color w:val="000000"/>
          <w:sz w:val="24"/>
          <w:szCs w:val="24"/>
          <w:lang w:eastAsia="en-ZA"/>
        </w:rPr>
        <w:t xml:space="preserve">Services </w:t>
      </w:r>
      <w:r w:rsidR="00096A15" w:rsidRPr="00E759D0">
        <w:rPr>
          <w:rFonts w:ascii="Arial" w:eastAsia="Times New Roman" w:hAnsi="Arial" w:cs="Arial"/>
          <w:color w:val="000000"/>
          <w:sz w:val="24"/>
          <w:szCs w:val="24"/>
          <w:lang w:eastAsia="en-ZA"/>
        </w:rPr>
        <w:t>Act, I am</w:t>
      </w:r>
      <w:r w:rsidR="007834E0" w:rsidRPr="00E759D0">
        <w:rPr>
          <w:rFonts w:ascii="Arial" w:eastAsia="Times New Roman" w:hAnsi="Arial" w:cs="Arial"/>
          <w:color w:val="000000"/>
          <w:sz w:val="24"/>
          <w:szCs w:val="24"/>
          <w:lang w:eastAsia="en-ZA"/>
        </w:rPr>
        <w:t xml:space="preserve"> inclined</w:t>
      </w:r>
      <w:r w:rsidRPr="00E759D0">
        <w:rPr>
          <w:rFonts w:ascii="Arial" w:eastAsia="Times New Roman" w:hAnsi="Arial" w:cs="Arial"/>
          <w:color w:val="000000"/>
          <w:sz w:val="24"/>
          <w:szCs w:val="24"/>
          <w:lang w:eastAsia="en-ZA"/>
        </w:rPr>
        <w:t xml:space="preserve">, notwithstanding the deficiencies in the applicant’s founding papers, to assess whether </w:t>
      </w:r>
      <w:r w:rsidR="003D4083" w:rsidRPr="00E759D0">
        <w:rPr>
          <w:rFonts w:ascii="Arial" w:eastAsia="Times New Roman" w:hAnsi="Arial" w:cs="Arial"/>
          <w:color w:val="000000"/>
          <w:sz w:val="24"/>
          <w:szCs w:val="24"/>
          <w:lang w:eastAsia="en-ZA"/>
        </w:rPr>
        <w:t>the jurisdictional requirements for such a</w:t>
      </w:r>
      <w:r w:rsidR="00096A15" w:rsidRPr="00E759D0">
        <w:rPr>
          <w:rFonts w:ascii="Arial" w:eastAsia="Times New Roman" w:hAnsi="Arial" w:cs="Arial"/>
          <w:color w:val="000000"/>
          <w:sz w:val="24"/>
          <w:szCs w:val="24"/>
          <w:lang w:eastAsia="en-ZA"/>
        </w:rPr>
        <w:t xml:space="preserve"> deemed</w:t>
      </w:r>
      <w:r w:rsidR="003D4083" w:rsidRPr="00E759D0">
        <w:rPr>
          <w:rFonts w:ascii="Arial" w:eastAsia="Times New Roman" w:hAnsi="Arial" w:cs="Arial"/>
          <w:color w:val="000000"/>
          <w:sz w:val="24"/>
          <w:szCs w:val="24"/>
          <w:lang w:eastAsia="en-ZA"/>
        </w:rPr>
        <w:t xml:space="preserve"> discharge </w:t>
      </w:r>
      <w:r w:rsidRPr="00E759D0">
        <w:rPr>
          <w:rFonts w:ascii="Arial" w:eastAsia="Times New Roman" w:hAnsi="Arial" w:cs="Arial"/>
          <w:color w:val="000000"/>
          <w:sz w:val="24"/>
          <w:szCs w:val="24"/>
          <w:lang w:eastAsia="en-ZA"/>
        </w:rPr>
        <w:t xml:space="preserve">have been satisfied. </w:t>
      </w:r>
    </w:p>
    <w:p w14:paraId="71AAEC30" w14:textId="77777777" w:rsidR="00B92393" w:rsidRPr="00E759D0" w:rsidRDefault="00B92393" w:rsidP="00E759D0">
      <w:pPr>
        <w:pStyle w:val="ListParagraph"/>
        <w:spacing w:after="0" w:line="360" w:lineRule="auto"/>
        <w:ind w:left="0"/>
        <w:jc w:val="both"/>
        <w:rPr>
          <w:rFonts w:ascii="Arial" w:hAnsi="Arial" w:cs="Arial"/>
          <w:sz w:val="24"/>
          <w:szCs w:val="24"/>
        </w:rPr>
      </w:pPr>
    </w:p>
    <w:p w14:paraId="4533D104" w14:textId="6F50861D" w:rsidR="00D6520D" w:rsidRPr="00E759D0" w:rsidRDefault="00D6520D" w:rsidP="00E759D0">
      <w:pPr>
        <w:spacing w:line="360" w:lineRule="auto"/>
        <w:jc w:val="both"/>
        <w:rPr>
          <w:rFonts w:ascii="Arial" w:hAnsi="Arial" w:cs="Arial"/>
          <w:i/>
          <w:sz w:val="24"/>
          <w:szCs w:val="24"/>
        </w:rPr>
      </w:pPr>
      <w:r w:rsidRPr="00E759D0">
        <w:rPr>
          <w:rFonts w:ascii="Arial" w:hAnsi="Arial" w:cs="Arial"/>
          <w:i/>
          <w:sz w:val="24"/>
          <w:szCs w:val="24"/>
        </w:rPr>
        <w:t>Background facts</w:t>
      </w:r>
    </w:p>
    <w:p w14:paraId="6FE66FBA" w14:textId="59583FCD" w:rsidR="007578C4" w:rsidRPr="00E759D0" w:rsidRDefault="007578C4" w:rsidP="00E759D0">
      <w:pPr>
        <w:pStyle w:val="ListParagraph"/>
        <w:numPr>
          <w:ilvl w:val="0"/>
          <w:numId w:val="1"/>
        </w:numPr>
        <w:spacing w:line="360" w:lineRule="auto"/>
        <w:jc w:val="both"/>
        <w:rPr>
          <w:rFonts w:ascii="Arial" w:hAnsi="Arial" w:cs="Arial"/>
          <w:sz w:val="24"/>
          <w:szCs w:val="24"/>
        </w:rPr>
      </w:pPr>
      <w:r w:rsidRPr="00E759D0">
        <w:rPr>
          <w:rFonts w:ascii="Arial" w:hAnsi="Arial" w:cs="Arial"/>
          <w:sz w:val="24"/>
          <w:szCs w:val="24"/>
        </w:rPr>
        <w:t>The applicant was employed by the State Security Agency until 27 September 2019, which is the date on which the applicant’s employment with the State Security Agency was</w:t>
      </w:r>
      <w:r w:rsidR="007834E0" w:rsidRPr="00E759D0">
        <w:rPr>
          <w:rFonts w:ascii="Arial" w:hAnsi="Arial" w:cs="Arial"/>
          <w:sz w:val="24"/>
          <w:szCs w:val="24"/>
        </w:rPr>
        <w:t xml:space="preserve"> formally</w:t>
      </w:r>
      <w:r w:rsidRPr="00E759D0">
        <w:rPr>
          <w:rFonts w:ascii="Arial" w:hAnsi="Arial" w:cs="Arial"/>
          <w:sz w:val="24"/>
          <w:szCs w:val="24"/>
        </w:rPr>
        <w:t xml:space="preserve"> terminated. </w:t>
      </w:r>
    </w:p>
    <w:p w14:paraId="76591446" w14:textId="77777777" w:rsidR="007578C4" w:rsidRPr="00E759D0" w:rsidRDefault="007578C4" w:rsidP="00E759D0">
      <w:pPr>
        <w:pStyle w:val="ListParagraph"/>
        <w:spacing w:line="360" w:lineRule="auto"/>
        <w:ind w:left="0"/>
        <w:jc w:val="both"/>
        <w:rPr>
          <w:rFonts w:ascii="Arial" w:hAnsi="Arial" w:cs="Arial"/>
          <w:sz w:val="24"/>
          <w:szCs w:val="24"/>
        </w:rPr>
      </w:pPr>
    </w:p>
    <w:p w14:paraId="526BBC3D" w14:textId="52461952" w:rsidR="007578C4" w:rsidRPr="00E759D0" w:rsidRDefault="00E1055B" w:rsidP="00E759D0">
      <w:pPr>
        <w:pStyle w:val="ListParagraph"/>
        <w:numPr>
          <w:ilvl w:val="0"/>
          <w:numId w:val="1"/>
        </w:numPr>
        <w:spacing w:line="360" w:lineRule="auto"/>
        <w:jc w:val="both"/>
        <w:rPr>
          <w:rFonts w:ascii="Arial" w:hAnsi="Arial" w:cs="Arial"/>
          <w:sz w:val="24"/>
          <w:szCs w:val="24"/>
        </w:rPr>
      </w:pPr>
      <w:r w:rsidRPr="00E759D0">
        <w:rPr>
          <w:rFonts w:ascii="Arial" w:hAnsi="Arial" w:cs="Arial"/>
          <w:sz w:val="24"/>
          <w:szCs w:val="24"/>
        </w:rPr>
        <w:t xml:space="preserve">Although the applicant was </w:t>
      </w:r>
      <w:r w:rsidR="00394FD7" w:rsidRPr="00E759D0">
        <w:rPr>
          <w:rFonts w:ascii="Arial" w:hAnsi="Arial" w:cs="Arial"/>
          <w:sz w:val="24"/>
          <w:szCs w:val="24"/>
        </w:rPr>
        <w:t>employed by</w:t>
      </w:r>
      <w:r w:rsidRPr="00E759D0">
        <w:rPr>
          <w:rFonts w:ascii="Arial" w:hAnsi="Arial" w:cs="Arial"/>
          <w:sz w:val="24"/>
          <w:szCs w:val="24"/>
        </w:rPr>
        <w:t xml:space="preserve"> the State Security Agency, he was deployed to the Department of International Relations and Cooperation (DIRCO) as ambassador of South Africa to Japan. </w:t>
      </w:r>
      <w:r w:rsidR="007578C4" w:rsidRPr="00E759D0">
        <w:rPr>
          <w:rFonts w:ascii="Arial" w:hAnsi="Arial" w:cs="Arial"/>
          <w:sz w:val="24"/>
          <w:szCs w:val="24"/>
        </w:rPr>
        <w:t xml:space="preserve">On 31 January 2019, the </w:t>
      </w:r>
      <w:r w:rsidR="00B92393" w:rsidRPr="00E759D0">
        <w:rPr>
          <w:rFonts w:ascii="Arial" w:hAnsi="Arial" w:cs="Arial"/>
          <w:sz w:val="24"/>
          <w:szCs w:val="24"/>
        </w:rPr>
        <w:t>applicant's</w:t>
      </w:r>
      <w:r w:rsidR="007578C4" w:rsidRPr="00E759D0">
        <w:rPr>
          <w:rFonts w:ascii="Arial" w:hAnsi="Arial" w:cs="Arial"/>
          <w:sz w:val="24"/>
          <w:szCs w:val="24"/>
        </w:rPr>
        <w:t xml:space="preserve"> </w:t>
      </w:r>
      <w:r w:rsidR="00626EBA" w:rsidRPr="00E759D0">
        <w:rPr>
          <w:rFonts w:ascii="Arial" w:hAnsi="Arial" w:cs="Arial"/>
          <w:sz w:val="24"/>
          <w:szCs w:val="24"/>
        </w:rPr>
        <w:t>deployment</w:t>
      </w:r>
      <w:r w:rsidR="00845FEF" w:rsidRPr="00E759D0">
        <w:rPr>
          <w:rFonts w:ascii="Arial" w:hAnsi="Arial" w:cs="Arial"/>
          <w:sz w:val="24"/>
          <w:szCs w:val="24"/>
        </w:rPr>
        <w:t xml:space="preserve"> </w:t>
      </w:r>
      <w:r w:rsidR="007578C4" w:rsidRPr="00E759D0">
        <w:rPr>
          <w:rFonts w:ascii="Arial" w:hAnsi="Arial" w:cs="Arial"/>
          <w:sz w:val="24"/>
          <w:szCs w:val="24"/>
        </w:rPr>
        <w:t>as an ambassador of S</w:t>
      </w:r>
      <w:r w:rsidR="00B92393" w:rsidRPr="00E759D0">
        <w:rPr>
          <w:rFonts w:ascii="Arial" w:hAnsi="Arial" w:cs="Arial"/>
          <w:sz w:val="24"/>
          <w:szCs w:val="24"/>
        </w:rPr>
        <w:t>outh Africa in Tokyo Japan, was terminated</w:t>
      </w:r>
      <w:r w:rsidR="00EC758E" w:rsidRPr="00E759D0">
        <w:rPr>
          <w:rFonts w:ascii="Arial" w:hAnsi="Arial" w:cs="Arial"/>
          <w:sz w:val="24"/>
          <w:szCs w:val="24"/>
        </w:rPr>
        <w:t>.</w:t>
      </w:r>
      <w:r w:rsidR="00845FEF" w:rsidRPr="00E759D0">
        <w:rPr>
          <w:rFonts w:ascii="Arial" w:hAnsi="Arial" w:cs="Arial"/>
          <w:sz w:val="24"/>
          <w:szCs w:val="24"/>
        </w:rPr>
        <w:t xml:space="preserve"> </w:t>
      </w:r>
      <w:r w:rsidR="00B92393" w:rsidRPr="00E759D0">
        <w:rPr>
          <w:rFonts w:ascii="Arial" w:hAnsi="Arial" w:cs="Arial"/>
          <w:sz w:val="24"/>
          <w:szCs w:val="24"/>
        </w:rPr>
        <w:t xml:space="preserve">In a letter dated 15 January 2019, the former </w:t>
      </w:r>
      <w:r w:rsidR="00EE00C2" w:rsidRPr="00E759D0">
        <w:rPr>
          <w:rFonts w:ascii="Arial" w:hAnsi="Arial" w:cs="Arial"/>
          <w:sz w:val="24"/>
          <w:szCs w:val="24"/>
        </w:rPr>
        <w:t xml:space="preserve">Minister </w:t>
      </w:r>
      <w:r w:rsidR="00B92393" w:rsidRPr="00E759D0">
        <w:rPr>
          <w:rFonts w:ascii="Arial" w:hAnsi="Arial" w:cs="Arial"/>
          <w:sz w:val="24"/>
          <w:szCs w:val="24"/>
        </w:rPr>
        <w:t xml:space="preserve">of </w:t>
      </w:r>
      <w:r w:rsidR="00EE00C2" w:rsidRPr="00E759D0">
        <w:rPr>
          <w:rFonts w:ascii="Arial" w:hAnsi="Arial" w:cs="Arial"/>
          <w:sz w:val="24"/>
          <w:szCs w:val="24"/>
        </w:rPr>
        <w:t xml:space="preserve">State Security </w:t>
      </w:r>
      <w:r w:rsidR="00B92393" w:rsidRPr="00E759D0">
        <w:rPr>
          <w:rFonts w:ascii="Arial" w:hAnsi="Arial" w:cs="Arial"/>
          <w:sz w:val="24"/>
          <w:szCs w:val="24"/>
        </w:rPr>
        <w:t xml:space="preserve">Minister </w:t>
      </w:r>
      <w:proofErr w:type="spellStart"/>
      <w:r w:rsidR="00B92393" w:rsidRPr="00E759D0">
        <w:rPr>
          <w:rFonts w:ascii="Arial" w:hAnsi="Arial" w:cs="Arial"/>
          <w:sz w:val="24"/>
          <w:szCs w:val="24"/>
        </w:rPr>
        <w:t>Letsatisi-Duba</w:t>
      </w:r>
      <w:proofErr w:type="spellEnd"/>
      <w:r w:rsidR="00B92393" w:rsidRPr="00E759D0">
        <w:rPr>
          <w:rFonts w:ascii="Arial" w:hAnsi="Arial" w:cs="Arial"/>
          <w:sz w:val="24"/>
          <w:szCs w:val="24"/>
        </w:rPr>
        <w:t xml:space="preserve"> (“</w:t>
      </w:r>
      <w:proofErr w:type="spellStart"/>
      <w:r w:rsidR="00B92393" w:rsidRPr="00E759D0">
        <w:rPr>
          <w:rFonts w:ascii="Arial" w:hAnsi="Arial" w:cs="Arial"/>
          <w:sz w:val="24"/>
          <w:szCs w:val="24"/>
        </w:rPr>
        <w:t>Duba</w:t>
      </w:r>
      <w:proofErr w:type="spellEnd"/>
      <w:r w:rsidR="00B92393" w:rsidRPr="00E759D0">
        <w:rPr>
          <w:rFonts w:ascii="Arial" w:hAnsi="Arial" w:cs="Arial"/>
          <w:sz w:val="24"/>
          <w:szCs w:val="24"/>
        </w:rPr>
        <w:t xml:space="preserve">”) </w:t>
      </w:r>
      <w:r w:rsidR="00394FD7" w:rsidRPr="00E759D0">
        <w:rPr>
          <w:rFonts w:ascii="Arial" w:hAnsi="Arial" w:cs="Arial"/>
          <w:sz w:val="24"/>
          <w:szCs w:val="24"/>
        </w:rPr>
        <w:t xml:space="preserve">instructed </w:t>
      </w:r>
      <w:r w:rsidR="00B92393" w:rsidRPr="00E759D0">
        <w:rPr>
          <w:rFonts w:ascii="Arial" w:hAnsi="Arial" w:cs="Arial"/>
          <w:sz w:val="24"/>
          <w:szCs w:val="24"/>
        </w:rPr>
        <w:t>the applicant to report to the</w:t>
      </w:r>
      <w:r w:rsidR="007834E0" w:rsidRPr="00E759D0">
        <w:rPr>
          <w:rFonts w:ascii="Arial" w:hAnsi="Arial" w:cs="Arial"/>
          <w:sz w:val="24"/>
          <w:szCs w:val="24"/>
        </w:rPr>
        <w:t xml:space="preserve"> State Security A</w:t>
      </w:r>
      <w:r w:rsidR="00B92393" w:rsidRPr="00E759D0">
        <w:rPr>
          <w:rFonts w:ascii="Arial" w:hAnsi="Arial" w:cs="Arial"/>
          <w:sz w:val="24"/>
          <w:szCs w:val="24"/>
        </w:rPr>
        <w:t xml:space="preserve">gency </w:t>
      </w:r>
      <w:r w:rsidR="006730C8" w:rsidRPr="00E759D0">
        <w:rPr>
          <w:rFonts w:ascii="Arial" w:hAnsi="Arial" w:cs="Arial"/>
          <w:sz w:val="24"/>
          <w:szCs w:val="24"/>
        </w:rPr>
        <w:t xml:space="preserve">on 25 January 2019 </w:t>
      </w:r>
      <w:r w:rsidR="00B92393" w:rsidRPr="00E759D0">
        <w:rPr>
          <w:rFonts w:ascii="Arial" w:hAnsi="Arial" w:cs="Arial"/>
          <w:sz w:val="24"/>
          <w:szCs w:val="24"/>
        </w:rPr>
        <w:t xml:space="preserve">upon his return. </w:t>
      </w:r>
    </w:p>
    <w:p w14:paraId="387746D0" w14:textId="77777777" w:rsidR="00626EBA" w:rsidRPr="00E759D0" w:rsidRDefault="00626EBA" w:rsidP="00E759D0">
      <w:pPr>
        <w:pStyle w:val="ListParagraph"/>
        <w:spacing w:line="360" w:lineRule="auto"/>
        <w:ind w:left="0"/>
        <w:jc w:val="both"/>
        <w:rPr>
          <w:rFonts w:ascii="Arial" w:hAnsi="Arial" w:cs="Arial"/>
          <w:sz w:val="24"/>
          <w:szCs w:val="24"/>
        </w:rPr>
      </w:pPr>
    </w:p>
    <w:p w14:paraId="52E46F0E" w14:textId="34293A21" w:rsidR="00626EBA" w:rsidRPr="00E759D0" w:rsidRDefault="00845FEF" w:rsidP="00E759D0">
      <w:pPr>
        <w:pStyle w:val="ListParagraph"/>
        <w:numPr>
          <w:ilvl w:val="0"/>
          <w:numId w:val="1"/>
        </w:numPr>
        <w:spacing w:line="360" w:lineRule="auto"/>
        <w:jc w:val="both"/>
        <w:rPr>
          <w:rFonts w:ascii="Arial" w:hAnsi="Arial" w:cs="Arial"/>
          <w:sz w:val="24"/>
          <w:szCs w:val="24"/>
        </w:rPr>
      </w:pPr>
      <w:r w:rsidRPr="00E759D0">
        <w:rPr>
          <w:rFonts w:ascii="Arial" w:hAnsi="Arial" w:cs="Arial"/>
          <w:sz w:val="24"/>
          <w:szCs w:val="24"/>
        </w:rPr>
        <w:t>On 25 January 2019</w:t>
      </w:r>
      <w:r w:rsidR="00EC758E" w:rsidRPr="00E759D0">
        <w:rPr>
          <w:rFonts w:ascii="Arial" w:hAnsi="Arial" w:cs="Arial"/>
          <w:sz w:val="24"/>
          <w:szCs w:val="24"/>
        </w:rPr>
        <w:t>,</w:t>
      </w:r>
      <w:r w:rsidRPr="00E759D0">
        <w:rPr>
          <w:rFonts w:ascii="Arial" w:hAnsi="Arial" w:cs="Arial"/>
          <w:sz w:val="24"/>
          <w:szCs w:val="24"/>
        </w:rPr>
        <w:t xml:space="preserve"> the applicant </w:t>
      </w:r>
      <w:r w:rsidR="00EE00C2" w:rsidRPr="00E759D0">
        <w:rPr>
          <w:rFonts w:ascii="Arial" w:hAnsi="Arial" w:cs="Arial"/>
          <w:sz w:val="24"/>
          <w:szCs w:val="24"/>
        </w:rPr>
        <w:t xml:space="preserve">responded in a </w:t>
      </w:r>
      <w:r w:rsidRPr="00E759D0">
        <w:rPr>
          <w:rFonts w:ascii="Arial" w:hAnsi="Arial" w:cs="Arial"/>
          <w:sz w:val="24"/>
          <w:szCs w:val="24"/>
        </w:rPr>
        <w:t xml:space="preserve">letter to </w:t>
      </w:r>
      <w:proofErr w:type="spellStart"/>
      <w:r w:rsidRPr="00E759D0">
        <w:rPr>
          <w:rFonts w:ascii="Arial" w:hAnsi="Arial" w:cs="Arial"/>
          <w:sz w:val="24"/>
          <w:szCs w:val="24"/>
        </w:rPr>
        <w:t>Duba</w:t>
      </w:r>
      <w:proofErr w:type="spellEnd"/>
      <w:r w:rsidRPr="00E759D0">
        <w:rPr>
          <w:rFonts w:ascii="Arial" w:hAnsi="Arial" w:cs="Arial"/>
          <w:sz w:val="24"/>
          <w:szCs w:val="24"/>
        </w:rPr>
        <w:t xml:space="preserve"> </w:t>
      </w:r>
      <w:r w:rsidR="00626EBA" w:rsidRPr="00E759D0">
        <w:rPr>
          <w:rFonts w:ascii="Arial" w:hAnsi="Arial" w:cs="Arial"/>
          <w:sz w:val="24"/>
          <w:szCs w:val="24"/>
        </w:rPr>
        <w:t>requesting</w:t>
      </w:r>
      <w:r w:rsidRPr="00E759D0">
        <w:rPr>
          <w:rFonts w:ascii="Arial" w:hAnsi="Arial" w:cs="Arial"/>
          <w:sz w:val="24"/>
          <w:szCs w:val="24"/>
        </w:rPr>
        <w:t xml:space="preserve"> special leave for </w:t>
      </w:r>
      <w:r w:rsidR="00EE00C2" w:rsidRPr="00E759D0">
        <w:rPr>
          <w:rFonts w:ascii="Arial" w:hAnsi="Arial" w:cs="Arial"/>
          <w:sz w:val="24"/>
          <w:szCs w:val="24"/>
        </w:rPr>
        <w:t xml:space="preserve">a </w:t>
      </w:r>
      <w:r w:rsidRPr="00E759D0">
        <w:rPr>
          <w:rFonts w:ascii="Arial" w:hAnsi="Arial" w:cs="Arial"/>
          <w:sz w:val="24"/>
          <w:szCs w:val="24"/>
        </w:rPr>
        <w:t>period of 21 days from 1 February 20</w:t>
      </w:r>
      <w:r w:rsidR="00287F5A" w:rsidRPr="00E759D0">
        <w:rPr>
          <w:rFonts w:ascii="Arial" w:hAnsi="Arial" w:cs="Arial"/>
          <w:sz w:val="24"/>
          <w:szCs w:val="24"/>
        </w:rPr>
        <w:t>19</w:t>
      </w:r>
      <w:r w:rsidR="007834E0" w:rsidRPr="00E759D0">
        <w:rPr>
          <w:rFonts w:ascii="Arial" w:hAnsi="Arial" w:cs="Arial"/>
          <w:sz w:val="24"/>
          <w:szCs w:val="24"/>
        </w:rPr>
        <w:t xml:space="preserve"> </w:t>
      </w:r>
      <w:r w:rsidRPr="00E759D0">
        <w:rPr>
          <w:rFonts w:ascii="Arial" w:hAnsi="Arial" w:cs="Arial"/>
          <w:sz w:val="24"/>
          <w:szCs w:val="24"/>
        </w:rPr>
        <w:t>in orde</w:t>
      </w:r>
      <w:r w:rsidR="00EE00C2" w:rsidRPr="00E759D0">
        <w:rPr>
          <w:rFonts w:ascii="Arial" w:hAnsi="Arial" w:cs="Arial"/>
          <w:sz w:val="24"/>
          <w:szCs w:val="24"/>
        </w:rPr>
        <w:t xml:space="preserve">r to deal with family matters. </w:t>
      </w:r>
      <w:r w:rsidR="00626EBA" w:rsidRPr="00E759D0">
        <w:rPr>
          <w:rFonts w:ascii="Arial" w:hAnsi="Arial" w:cs="Arial"/>
          <w:sz w:val="24"/>
          <w:szCs w:val="24"/>
        </w:rPr>
        <w:t>In this letter</w:t>
      </w:r>
      <w:r w:rsidR="00B92393" w:rsidRPr="00E759D0">
        <w:rPr>
          <w:rFonts w:ascii="Arial" w:hAnsi="Arial" w:cs="Arial"/>
          <w:sz w:val="24"/>
          <w:szCs w:val="24"/>
        </w:rPr>
        <w:t>,</w:t>
      </w:r>
      <w:r w:rsidR="00626EBA" w:rsidRPr="00E759D0">
        <w:rPr>
          <w:rFonts w:ascii="Arial" w:hAnsi="Arial" w:cs="Arial"/>
          <w:sz w:val="24"/>
          <w:szCs w:val="24"/>
        </w:rPr>
        <w:t xml:space="preserve"> the applicant also </w:t>
      </w:r>
      <w:r w:rsidR="00394FD7" w:rsidRPr="00E759D0">
        <w:rPr>
          <w:rFonts w:ascii="Arial" w:hAnsi="Arial" w:cs="Arial"/>
          <w:sz w:val="24"/>
          <w:szCs w:val="24"/>
        </w:rPr>
        <w:t xml:space="preserve">expressed his </w:t>
      </w:r>
      <w:r w:rsidR="00626EBA" w:rsidRPr="00E759D0">
        <w:rPr>
          <w:rFonts w:ascii="Arial" w:hAnsi="Arial" w:cs="Arial"/>
          <w:sz w:val="24"/>
          <w:szCs w:val="24"/>
        </w:rPr>
        <w:t xml:space="preserve">dissatisfaction with the termination of his secondment </w:t>
      </w:r>
      <w:r w:rsidR="00394FD7" w:rsidRPr="00E759D0">
        <w:rPr>
          <w:rFonts w:ascii="Arial" w:hAnsi="Arial" w:cs="Arial"/>
          <w:sz w:val="24"/>
          <w:szCs w:val="24"/>
        </w:rPr>
        <w:t xml:space="preserve">deeming it </w:t>
      </w:r>
      <w:r w:rsidR="00626EBA" w:rsidRPr="00E759D0">
        <w:rPr>
          <w:rFonts w:ascii="Arial" w:hAnsi="Arial" w:cs="Arial"/>
          <w:sz w:val="24"/>
          <w:szCs w:val="24"/>
        </w:rPr>
        <w:t xml:space="preserve">“clearly unfair and </w:t>
      </w:r>
      <w:r w:rsidR="007834E0" w:rsidRPr="00E759D0">
        <w:rPr>
          <w:rFonts w:ascii="Arial" w:hAnsi="Arial" w:cs="Arial"/>
          <w:sz w:val="24"/>
          <w:szCs w:val="24"/>
        </w:rPr>
        <w:t>discriminatory “</w:t>
      </w:r>
      <w:r w:rsidR="00626EBA" w:rsidRPr="00E759D0">
        <w:rPr>
          <w:rFonts w:ascii="Arial" w:hAnsi="Arial" w:cs="Arial"/>
          <w:sz w:val="24"/>
          <w:szCs w:val="24"/>
        </w:rPr>
        <w:t xml:space="preserve">. He also expressed </w:t>
      </w:r>
      <w:r w:rsidR="00394FD7" w:rsidRPr="00E759D0">
        <w:rPr>
          <w:rFonts w:ascii="Arial" w:hAnsi="Arial" w:cs="Arial"/>
          <w:sz w:val="24"/>
          <w:szCs w:val="24"/>
        </w:rPr>
        <w:t xml:space="preserve">his </w:t>
      </w:r>
      <w:r w:rsidR="00626EBA" w:rsidRPr="00E759D0">
        <w:rPr>
          <w:rFonts w:ascii="Arial" w:hAnsi="Arial" w:cs="Arial"/>
          <w:sz w:val="24"/>
          <w:szCs w:val="24"/>
        </w:rPr>
        <w:t>intention to consult his lawyers.</w:t>
      </w:r>
    </w:p>
    <w:p w14:paraId="20854F98" w14:textId="77777777" w:rsidR="00EC758E" w:rsidRPr="00E759D0" w:rsidRDefault="00EC758E" w:rsidP="00E759D0">
      <w:pPr>
        <w:spacing w:line="360" w:lineRule="auto"/>
        <w:jc w:val="both"/>
        <w:rPr>
          <w:rFonts w:ascii="Arial" w:hAnsi="Arial" w:cs="Arial"/>
          <w:sz w:val="24"/>
          <w:szCs w:val="24"/>
        </w:rPr>
      </w:pPr>
    </w:p>
    <w:p w14:paraId="354B3616" w14:textId="63BB5DDF" w:rsidR="00845FEF" w:rsidRPr="00E759D0" w:rsidRDefault="00EE00C2" w:rsidP="00E759D0">
      <w:pPr>
        <w:pStyle w:val="ListParagraph"/>
        <w:numPr>
          <w:ilvl w:val="0"/>
          <w:numId w:val="1"/>
        </w:numPr>
        <w:spacing w:line="360" w:lineRule="auto"/>
        <w:jc w:val="both"/>
        <w:rPr>
          <w:rFonts w:ascii="Arial" w:hAnsi="Arial" w:cs="Arial"/>
          <w:sz w:val="24"/>
          <w:szCs w:val="24"/>
        </w:rPr>
      </w:pPr>
      <w:r w:rsidRPr="00E759D0">
        <w:rPr>
          <w:rFonts w:ascii="Arial" w:hAnsi="Arial" w:cs="Arial"/>
          <w:sz w:val="24"/>
          <w:szCs w:val="24"/>
        </w:rPr>
        <w:t xml:space="preserve">On 31 January 2019, </w:t>
      </w:r>
      <w:proofErr w:type="spellStart"/>
      <w:r w:rsidR="00394FD7" w:rsidRPr="00E759D0">
        <w:rPr>
          <w:rFonts w:ascii="Arial" w:hAnsi="Arial" w:cs="Arial"/>
          <w:sz w:val="24"/>
          <w:szCs w:val="24"/>
        </w:rPr>
        <w:t>Duba</w:t>
      </w:r>
      <w:proofErr w:type="spellEnd"/>
      <w:r w:rsidR="00394FD7" w:rsidRPr="00E759D0">
        <w:rPr>
          <w:rFonts w:ascii="Arial" w:hAnsi="Arial" w:cs="Arial"/>
          <w:sz w:val="24"/>
          <w:szCs w:val="24"/>
        </w:rPr>
        <w:t xml:space="preserve"> replied </w:t>
      </w:r>
      <w:r w:rsidR="00EC758E" w:rsidRPr="00E759D0">
        <w:rPr>
          <w:rFonts w:ascii="Arial" w:hAnsi="Arial" w:cs="Arial"/>
          <w:sz w:val="24"/>
          <w:szCs w:val="24"/>
        </w:rPr>
        <w:t xml:space="preserve">to this letter </w:t>
      </w:r>
      <w:r w:rsidR="00394FD7" w:rsidRPr="00E759D0">
        <w:rPr>
          <w:rFonts w:ascii="Arial" w:hAnsi="Arial" w:cs="Arial"/>
          <w:sz w:val="24"/>
          <w:szCs w:val="24"/>
        </w:rPr>
        <w:t xml:space="preserve">informing </w:t>
      </w:r>
      <w:r w:rsidR="00EC758E" w:rsidRPr="00E759D0">
        <w:rPr>
          <w:rFonts w:ascii="Arial" w:hAnsi="Arial" w:cs="Arial"/>
          <w:sz w:val="24"/>
          <w:szCs w:val="24"/>
        </w:rPr>
        <w:t xml:space="preserve">the applicant that the request for special leave </w:t>
      </w:r>
      <w:r w:rsidR="00394FD7" w:rsidRPr="00E759D0">
        <w:rPr>
          <w:rFonts w:ascii="Arial" w:hAnsi="Arial" w:cs="Arial"/>
          <w:sz w:val="24"/>
          <w:szCs w:val="24"/>
        </w:rPr>
        <w:t xml:space="preserve">had been forwarded to </w:t>
      </w:r>
      <w:r w:rsidR="00EC758E" w:rsidRPr="00E759D0">
        <w:rPr>
          <w:rFonts w:ascii="Arial" w:hAnsi="Arial" w:cs="Arial"/>
          <w:sz w:val="24"/>
          <w:szCs w:val="24"/>
        </w:rPr>
        <w:t>Acting Director (</w:t>
      </w:r>
      <w:proofErr w:type="spellStart"/>
      <w:r w:rsidR="00EC758E" w:rsidRPr="00E759D0">
        <w:rPr>
          <w:rFonts w:ascii="Arial" w:hAnsi="Arial" w:cs="Arial"/>
          <w:sz w:val="24"/>
          <w:szCs w:val="24"/>
        </w:rPr>
        <w:t>Jafta</w:t>
      </w:r>
      <w:proofErr w:type="spellEnd"/>
      <w:r w:rsidR="00EC758E" w:rsidRPr="00E759D0">
        <w:rPr>
          <w:rFonts w:ascii="Arial" w:hAnsi="Arial" w:cs="Arial"/>
          <w:sz w:val="24"/>
          <w:szCs w:val="24"/>
        </w:rPr>
        <w:t xml:space="preserve">) for “their handling”. The letter </w:t>
      </w:r>
      <w:r w:rsidR="004B7669" w:rsidRPr="00E759D0">
        <w:rPr>
          <w:rFonts w:ascii="Arial" w:hAnsi="Arial" w:cs="Arial"/>
          <w:sz w:val="24"/>
          <w:szCs w:val="24"/>
        </w:rPr>
        <w:t xml:space="preserve">also recorded that the </w:t>
      </w:r>
      <w:r w:rsidR="00EC758E" w:rsidRPr="00E759D0">
        <w:rPr>
          <w:rFonts w:ascii="Arial" w:hAnsi="Arial" w:cs="Arial"/>
          <w:sz w:val="24"/>
          <w:szCs w:val="24"/>
        </w:rPr>
        <w:t xml:space="preserve">Acting Director-General will communicate the decision </w:t>
      </w:r>
      <w:r w:rsidRPr="00E759D0">
        <w:rPr>
          <w:rFonts w:ascii="Arial" w:hAnsi="Arial" w:cs="Arial"/>
          <w:sz w:val="24"/>
          <w:szCs w:val="24"/>
        </w:rPr>
        <w:t xml:space="preserve">regarding his request for leave </w:t>
      </w:r>
      <w:r w:rsidR="00EC758E" w:rsidRPr="00E759D0">
        <w:rPr>
          <w:rFonts w:ascii="Arial" w:hAnsi="Arial" w:cs="Arial"/>
          <w:sz w:val="24"/>
          <w:szCs w:val="24"/>
        </w:rPr>
        <w:t xml:space="preserve">to the applicant. The </w:t>
      </w:r>
      <w:r w:rsidR="0064493C" w:rsidRPr="00E759D0">
        <w:rPr>
          <w:rFonts w:ascii="Arial" w:hAnsi="Arial" w:cs="Arial"/>
          <w:sz w:val="24"/>
          <w:szCs w:val="24"/>
        </w:rPr>
        <w:t>respondents</w:t>
      </w:r>
      <w:r w:rsidR="00EC758E" w:rsidRPr="00E759D0">
        <w:rPr>
          <w:rFonts w:ascii="Arial" w:hAnsi="Arial" w:cs="Arial"/>
          <w:sz w:val="24"/>
          <w:szCs w:val="24"/>
        </w:rPr>
        <w:t xml:space="preserve"> submitted that the request was referred to </w:t>
      </w:r>
      <w:r w:rsidR="002D25C7" w:rsidRPr="00E759D0">
        <w:rPr>
          <w:rFonts w:ascii="Arial" w:hAnsi="Arial" w:cs="Arial"/>
          <w:sz w:val="24"/>
          <w:szCs w:val="24"/>
        </w:rPr>
        <w:t xml:space="preserve">the Acting Director-General </w:t>
      </w:r>
      <w:r w:rsidR="004B7669" w:rsidRPr="00E759D0">
        <w:rPr>
          <w:rFonts w:ascii="Arial" w:hAnsi="Arial" w:cs="Arial"/>
          <w:sz w:val="24"/>
          <w:szCs w:val="24"/>
        </w:rPr>
        <w:t>(</w:t>
      </w:r>
      <w:proofErr w:type="spellStart"/>
      <w:r w:rsidR="004B7669" w:rsidRPr="00E759D0">
        <w:rPr>
          <w:rFonts w:ascii="Arial" w:hAnsi="Arial" w:cs="Arial"/>
          <w:sz w:val="24"/>
          <w:szCs w:val="24"/>
        </w:rPr>
        <w:t>Jafta</w:t>
      </w:r>
      <w:proofErr w:type="spellEnd"/>
      <w:r w:rsidR="004B7669" w:rsidRPr="00E759D0">
        <w:rPr>
          <w:rFonts w:ascii="Arial" w:hAnsi="Arial" w:cs="Arial"/>
          <w:sz w:val="24"/>
          <w:szCs w:val="24"/>
        </w:rPr>
        <w:t xml:space="preserve">) as </w:t>
      </w:r>
      <w:r w:rsidR="00EC758E" w:rsidRPr="00E759D0">
        <w:rPr>
          <w:rFonts w:ascii="Arial" w:hAnsi="Arial" w:cs="Arial"/>
          <w:sz w:val="24"/>
          <w:szCs w:val="24"/>
        </w:rPr>
        <w:t xml:space="preserve">the </w:t>
      </w:r>
      <w:r w:rsidR="002D25C7" w:rsidRPr="00E759D0">
        <w:rPr>
          <w:rFonts w:ascii="Arial" w:hAnsi="Arial" w:cs="Arial"/>
          <w:sz w:val="24"/>
          <w:szCs w:val="24"/>
        </w:rPr>
        <w:t xml:space="preserve">direct supervisor of the applicant </w:t>
      </w:r>
      <w:r w:rsidR="00EC758E" w:rsidRPr="00E759D0">
        <w:rPr>
          <w:rFonts w:ascii="Arial" w:hAnsi="Arial" w:cs="Arial"/>
          <w:sz w:val="24"/>
          <w:szCs w:val="24"/>
        </w:rPr>
        <w:t xml:space="preserve">and the </w:t>
      </w:r>
      <w:r w:rsidR="002D25C7" w:rsidRPr="00E759D0">
        <w:rPr>
          <w:rFonts w:ascii="Arial" w:hAnsi="Arial" w:cs="Arial"/>
          <w:sz w:val="24"/>
          <w:szCs w:val="24"/>
        </w:rPr>
        <w:t>head of the institution</w:t>
      </w:r>
      <w:r w:rsidR="004B7669" w:rsidRPr="00E759D0">
        <w:rPr>
          <w:rFonts w:ascii="Arial" w:hAnsi="Arial" w:cs="Arial"/>
          <w:sz w:val="24"/>
          <w:szCs w:val="24"/>
        </w:rPr>
        <w:t>, The Acting Director-Gene</w:t>
      </w:r>
      <w:r w:rsidR="007834E0" w:rsidRPr="00E759D0">
        <w:rPr>
          <w:rFonts w:ascii="Arial" w:hAnsi="Arial" w:cs="Arial"/>
          <w:sz w:val="24"/>
          <w:szCs w:val="24"/>
        </w:rPr>
        <w:t>ral, and not the Minister who i</w:t>
      </w:r>
      <w:r w:rsidR="004B7669" w:rsidRPr="00E759D0">
        <w:rPr>
          <w:rFonts w:ascii="Arial" w:hAnsi="Arial" w:cs="Arial"/>
          <w:sz w:val="24"/>
          <w:szCs w:val="24"/>
        </w:rPr>
        <w:t xml:space="preserve">s the political head of the State Security Agency, has jurisdiction </w:t>
      </w:r>
      <w:r w:rsidR="007834E0" w:rsidRPr="00E759D0">
        <w:rPr>
          <w:rFonts w:ascii="Arial" w:hAnsi="Arial" w:cs="Arial"/>
          <w:sz w:val="24"/>
          <w:szCs w:val="24"/>
        </w:rPr>
        <w:t xml:space="preserve">over internal matters such as </w:t>
      </w:r>
      <w:r w:rsidR="004B7669" w:rsidRPr="00E759D0">
        <w:rPr>
          <w:rFonts w:ascii="Arial" w:hAnsi="Arial" w:cs="Arial"/>
          <w:sz w:val="24"/>
          <w:szCs w:val="24"/>
        </w:rPr>
        <w:t>leave requests</w:t>
      </w:r>
      <w:r w:rsidR="002D25C7" w:rsidRPr="00E759D0">
        <w:rPr>
          <w:rFonts w:ascii="Arial" w:hAnsi="Arial" w:cs="Arial"/>
          <w:sz w:val="24"/>
          <w:szCs w:val="24"/>
        </w:rPr>
        <w:t xml:space="preserve">. </w:t>
      </w:r>
      <w:r w:rsidR="0064493C" w:rsidRPr="00E759D0">
        <w:rPr>
          <w:rFonts w:ascii="Arial" w:hAnsi="Arial" w:cs="Arial"/>
          <w:sz w:val="24"/>
          <w:szCs w:val="24"/>
        </w:rPr>
        <w:t>Internal</w:t>
      </w:r>
      <w:r w:rsidR="00EC758E" w:rsidRPr="00E759D0">
        <w:rPr>
          <w:rFonts w:ascii="Arial" w:hAnsi="Arial" w:cs="Arial"/>
          <w:sz w:val="24"/>
          <w:szCs w:val="24"/>
        </w:rPr>
        <w:t xml:space="preserve"> matters </w:t>
      </w:r>
      <w:r w:rsidR="004B7669" w:rsidRPr="00E759D0">
        <w:rPr>
          <w:rFonts w:ascii="Arial" w:hAnsi="Arial" w:cs="Arial"/>
          <w:sz w:val="24"/>
          <w:szCs w:val="24"/>
        </w:rPr>
        <w:t xml:space="preserve">therefore do not fall </w:t>
      </w:r>
      <w:r w:rsidR="00EC758E" w:rsidRPr="00E759D0">
        <w:rPr>
          <w:rFonts w:ascii="Arial" w:hAnsi="Arial" w:cs="Arial"/>
          <w:sz w:val="24"/>
          <w:szCs w:val="24"/>
        </w:rPr>
        <w:t xml:space="preserve">under </w:t>
      </w:r>
      <w:r w:rsidR="006068DE" w:rsidRPr="00E759D0">
        <w:rPr>
          <w:rFonts w:ascii="Arial" w:hAnsi="Arial" w:cs="Arial"/>
          <w:sz w:val="24"/>
          <w:szCs w:val="24"/>
        </w:rPr>
        <w:t>the</w:t>
      </w:r>
      <w:r w:rsidR="00EC758E" w:rsidRPr="00E759D0">
        <w:rPr>
          <w:rFonts w:ascii="Arial" w:hAnsi="Arial" w:cs="Arial"/>
          <w:sz w:val="24"/>
          <w:szCs w:val="24"/>
        </w:rPr>
        <w:t xml:space="preserve"> </w:t>
      </w:r>
      <w:r w:rsidRPr="00E759D0">
        <w:rPr>
          <w:rFonts w:ascii="Arial" w:hAnsi="Arial" w:cs="Arial"/>
          <w:sz w:val="24"/>
          <w:szCs w:val="24"/>
        </w:rPr>
        <w:t>jurisdiction</w:t>
      </w:r>
      <w:r w:rsidR="0064493C" w:rsidRPr="00E759D0">
        <w:rPr>
          <w:rFonts w:ascii="Arial" w:hAnsi="Arial" w:cs="Arial"/>
          <w:sz w:val="24"/>
          <w:szCs w:val="24"/>
        </w:rPr>
        <w:t xml:space="preserve"> </w:t>
      </w:r>
      <w:r w:rsidR="004B7669" w:rsidRPr="00E759D0">
        <w:rPr>
          <w:rFonts w:ascii="Arial" w:hAnsi="Arial" w:cs="Arial"/>
          <w:sz w:val="24"/>
          <w:szCs w:val="24"/>
        </w:rPr>
        <w:t xml:space="preserve">of the Minister. </w:t>
      </w:r>
      <w:r w:rsidRPr="00E759D0">
        <w:rPr>
          <w:rFonts w:ascii="Arial" w:hAnsi="Arial" w:cs="Arial"/>
          <w:sz w:val="24"/>
          <w:szCs w:val="24"/>
        </w:rPr>
        <w:t xml:space="preserve">The respondents </w:t>
      </w:r>
      <w:r w:rsidR="006068DE" w:rsidRPr="00E759D0">
        <w:rPr>
          <w:rFonts w:ascii="Arial" w:hAnsi="Arial" w:cs="Arial"/>
          <w:sz w:val="24"/>
          <w:szCs w:val="24"/>
        </w:rPr>
        <w:t xml:space="preserve">contended that, </w:t>
      </w:r>
      <w:r w:rsidR="0064493C" w:rsidRPr="00E759D0">
        <w:rPr>
          <w:rFonts w:ascii="Arial" w:hAnsi="Arial" w:cs="Arial"/>
          <w:sz w:val="24"/>
          <w:szCs w:val="24"/>
        </w:rPr>
        <w:t xml:space="preserve">in </w:t>
      </w:r>
      <w:r w:rsidR="0064493C" w:rsidRPr="00E759D0">
        <w:rPr>
          <w:rFonts w:ascii="Arial" w:hAnsi="Arial" w:cs="Arial"/>
          <w:sz w:val="24"/>
          <w:szCs w:val="24"/>
        </w:rPr>
        <w:lastRenderedPageBreak/>
        <w:t>light of this letter,</w:t>
      </w:r>
      <w:r w:rsidR="002D25C7" w:rsidRPr="00E759D0">
        <w:rPr>
          <w:rFonts w:ascii="Arial" w:hAnsi="Arial" w:cs="Arial"/>
          <w:sz w:val="24"/>
          <w:szCs w:val="24"/>
        </w:rPr>
        <w:t xml:space="preserve"> the applicant knew</w:t>
      </w:r>
      <w:r w:rsidR="007834E0" w:rsidRPr="00E759D0">
        <w:rPr>
          <w:rFonts w:ascii="Arial" w:hAnsi="Arial" w:cs="Arial"/>
          <w:sz w:val="24"/>
          <w:szCs w:val="24"/>
        </w:rPr>
        <w:t xml:space="preserve"> already in January 2019</w:t>
      </w:r>
      <w:r w:rsidR="002D25C7" w:rsidRPr="00E759D0">
        <w:rPr>
          <w:rFonts w:ascii="Arial" w:hAnsi="Arial" w:cs="Arial"/>
          <w:sz w:val="24"/>
          <w:szCs w:val="24"/>
        </w:rPr>
        <w:t xml:space="preserve">, alternatively, ought to have known that the only person responsible for the management of </w:t>
      </w:r>
      <w:r w:rsidR="0064493C" w:rsidRPr="00E759D0">
        <w:rPr>
          <w:rFonts w:ascii="Arial" w:hAnsi="Arial" w:cs="Arial"/>
          <w:sz w:val="24"/>
          <w:szCs w:val="24"/>
        </w:rPr>
        <w:t xml:space="preserve">his </w:t>
      </w:r>
      <w:r w:rsidR="002D25C7" w:rsidRPr="00E759D0">
        <w:rPr>
          <w:rFonts w:ascii="Arial" w:hAnsi="Arial" w:cs="Arial"/>
          <w:sz w:val="24"/>
          <w:szCs w:val="24"/>
        </w:rPr>
        <w:t xml:space="preserve">leave </w:t>
      </w:r>
      <w:r w:rsidR="0064493C" w:rsidRPr="00E759D0">
        <w:rPr>
          <w:rFonts w:ascii="Arial" w:hAnsi="Arial" w:cs="Arial"/>
          <w:sz w:val="24"/>
          <w:szCs w:val="24"/>
        </w:rPr>
        <w:t xml:space="preserve">requests </w:t>
      </w:r>
      <w:r w:rsidR="002D25C7" w:rsidRPr="00E759D0">
        <w:rPr>
          <w:rFonts w:ascii="Arial" w:hAnsi="Arial" w:cs="Arial"/>
          <w:sz w:val="24"/>
          <w:szCs w:val="24"/>
        </w:rPr>
        <w:t xml:space="preserve">at the </w:t>
      </w:r>
      <w:r w:rsidR="007834E0" w:rsidRPr="00E759D0">
        <w:rPr>
          <w:rFonts w:ascii="Arial" w:hAnsi="Arial" w:cs="Arial"/>
          <w:sz w:val="24"/>
          <w:szCs w:val="24"/>
        </w:rPr>
        <w:t>State Security A</w:t>
      </w:r>
      <w:r w:rsidR="002D25C7" w:rsidRPr="00E759D0">
        <w:rPr>
          <w:rFonts w:ascii="Arial" w:hAnsi="Arial" w:cs="Arial"/>
          <w:sz w:val="24"/>
          <w:szCs w:val="24"/>
        </w:rPr>
        <w:t xml:space="preserve">gency is the Acting Director-General. </w:t>
      </w:r>
      <w:r w:rsidRPr="00E759D0">
        <w:rPr>
          <w:rFonts w:ascii="Arial" w:hAnsi="Arial" w:cs="Arial"/>
          <w:sz w:val="24"/>
          <w:szCs w:val="24"/>
        </w:rPr>
        <w:t>Despite this, t</w:t>
      </w:r>
      <w:r w:rsidR="002D25C7" w:rsidRPr="00E759D0">
        <w:rPr>
          <w:rFonts w:ascii="Arial" w:hAnsi="Arial" w:cs="Arial"/>
          <w:sz w:val="24"/>
          <w:szCs w:val="24"/>
        </w:rPr>
        <w:t xml:space="preserve">here is no evidence on the papers that the applicant ever submitted his </w:t>
      </w:r>
      <w:r w:rsidR="006068DE" w:rsidRPr="00E759D0">
        <w:rPr>
          <w:rFonts w:ascii="Arial" w:hAnsi="Arial" w:cs="Arial"/>
          <w:sz w:val="24"/>
          <w:szCs w:val="24"/>
        </w:rPr>
        <w:t xml:space="preserve">leave </w:t>
      </w:r>
      <w:r w:rsidR="002D25C7" w:rsidRPr="00E759D0">
        <w:rPr>
          <w:rFonts w:ascii="Arial" w:hAnsi="Arial" w:cs="Arial"/>
          <w:sz w:val="24"/>
          <w:szCs w:val="24"/>
        </w:rPr>
        <w:t>requests to the Actin</w:t>
      </w:r>
      <w:r w:rsidRPr="00E759D0">
        <w:rPr>
          <w:rFonts w:ascii="Arial" w:hAnsi="Arial" w:cs="Arial"/>
          <w:sz w:val="24"/>
          <w:szCs w:val="24"/>
        </w:rPr>
        <w:t>g</w:t>
      </w:r>
      <w:r w:rsidR="002D25C7" w:rsidRPr="00E759D0">
        <w:rPr>
          <w:rFonts w:ascii="Arial" w:hAnsi="Arial" w:cs="Arial"/>
          <w:sz w:val="24"/>
          <w:szCs w:val="24"/>
        </w:rPr>
        <w:t xml:space="preserve"> Director-General.</w:t>
      </w:r>
    </w:p>
    <w:p w14:paraId="2166C8DB" w14:textId="77777777" w:rsidR="0064493C" w:rsidRPr="00E759D0" w:rsidRDefault="0064493C" w:rsidP="00E759D0">
      <w:pPr>
        <w:pStyle w:val="ListParagraph"/>
        <w:spacing w:line="360" w:lineRule="auto"/>
        <w:rPr>
          <w:rFonts w:ascii="Arial" w:hAnsi="Arial" w:cs="Arial"/>
          <w:sz w:val="24"/>
          <w:szCs w:val="24"/>
        </w:rPr>
      </w:pPr>
    </w:p>
    <w:p w14:paraId="7F342B62" w14:textId="60CDFFB4" w:rsidR="0064493C" w:rsidRPr="00E759D0" w:rsidRDefault="0064493C" w:rsidP="00E759D0">
      <w:pPr>
        <w:pStyle w:val="ListParagraph"/>
        <w:numPr>
          <w:ilvl w:val="0"/>
          <w:numId w:val="1"/>
        </w:numPr>
        <w:spacing w:line="360" w:lineRule="auto"/>
        <w:jc w:val="both"/>
        <w:rPr>
          <w:rFonts w:ascii="Arial" w:hAnsi="Arial" w:cs="Arial"/>
          <w:sz w:val="24"/>
          <w:szCs w:val="24"/>
        </w:rPr>
      </w:pPr>
      <w:r w:rsidRPr="00E759D0">
        <w:rPr>
          <w:rFonts w:ascii="Arial" w:hAnsi="Arial" w:cs="Arial"/>
          <w:sz w:val="24"/>
          <w:szCs w:val="24"/>
        </w:rPr>
        <w:t xml:space="preserve">That </w:t>
      </w:r>
      <w:r w:rsidR="006068DE" w:rsidRPr="00E759D0">
        <w:rPr>
          <w:rFonts w:ascii="Arial" w:hAnsi="Arial" w:cs="Arial"/>
          <w:sz w:val="24"/>
          <w:szCs w:val="24"/>
        </w:rPr>
        <w:t>the Acting Director-General (</w:t>
      </w:r>
      <w:proofErr w:type="spellStart"/>
      <w:r w:rsidRPr="00E759D0">
        <w:rPr>
          <w:rFonts w:ascii="Arial" w:hAnsi="Arial" w:cs="Arial"/>
          <w:sz w:val="24"/>
          <w:szCs w:val="24"/>
        </w:rPr>
        <w:t>Jafta</w:t>
      </w:r>
      <w:proofErr w:type="spellEnd"/>
      <w:r w:rsidR="006068DE" w:rsidRPr="00E759D0">
        <w:rPr>
          <w:rFonts w:ascii="Arial" w:hAnsi="Arial" w:cs="Arial"/>
          <w:sz w:val="24"/>
          <w:szCs w:val="24"/>
        </w:rPr>
        <w:t>)</w:t>
      </w:r>
      <w:r w:rsidRPr="00E759D0">
        <w:rPr>
          <w:rFonts w:ascii="Arial" w:hAnsi="Arial" w:cs="Arial"/>
          <w:sz w:val="24"/>
          <w:szCs w:val="24"/>
        </w:rPr>
        <w:t xml:space="preserve"> and not </w:t>
      </w:r>
      <w:r w:rsidR="006068DE" w:rsidRPr="00E759D0">
        <w:rPr>
          <w:rFonts w:ascii="Arial" w:hAnsi="Arial" w:cs="Arial"/>
          <w:sz w:val="24"/>
          <w:szCs w:val="24"/>
        </w:rPr>
        <w:t>the Minister (</w:t>
      </w:r>
      <w:proofErr w:type="spellStart"/>
      <w:r w:rsidRPr="00E759D0">
        <w:rPr>
          <w:rFonts w:ascii="Arial" w:hAnsi="Arial" w:cs="Arial"/>
          <w:sz w:val="24"/>
          <w:szCs w:val="24"/>
        </w:rPr>
        <w:t>Duba</w:t>
      </w:r>
      <w:proofErr w:type="spellEnd"/>
      <w:r w:rsidR="006068DE" w:rsidRPr="00E759D0">
        <w:rPr>
          <w:rFonts w:ascii="Arial" w:hAnsi="Arial" w:cs="Arial"/>
          <w:sz w:val="24"/>
          <w:szCs w:val="24"/>
        </w:rPr>
        <w:t>)</w:t>
      </w:r>
      <w:r w:rsidR="00356221" w:rsidRPr="00E759D0">
        <w:rPr>
          <w:rFonts w:ascii="Arial" w:hAnsi="Arial" w:cs="Arial"/>
          <w:sz w:val="24"/>
          <w:szCs w:val="24"/>
        </w:rPr>
        <w:t xml:space="preserve"> is responsible for </w:t>
      </w:r>
      <w:r w:rsidRPr="00E759D0">
        <w:rPr>
          <w:rFonts w:ascii="Arial" w:hAnsi="Arial" w:cs="Arial"/>
          <w:sz w:val="24"/>
          <w:szCs w:val="24"/>
        </w:rPr>
        <w:t xml:space="preserve">leave requests is underscored by </w:t>
      </w:r>
      <w:r w:rsidR="00356221" w:rsidRPr="00E759D0">
        <w:rPr>
          <w:rFonts w:ascii="Arial" w:hAnsi="Arial" w:cs="Arial"/>
          <w:sz w:val="24"/>
          <w:szCs w:val="24"/>
        </w:rPr>
        <w:t xml:space="preserve">a further </w:t>
      </w:r>
      <w:r w:rsidRPr="00E759D0">
        <w:rPr>
          <w:rFonts w:ascii="Arial" w:hAnsi="Arial" w:cs="Arial"/>
          <w:sz w:val="24"/>
          <w:szCs w:val="24"/>
        </w:rPr>
        <w:t xml:space="preserve">letter written by </w:t>
      </w:r>
      <w:proofErr w:type="spellStart"/>
      <w:r w:rsidRPr="00E759D0">
        <w:rPr>
          <w:rFonts w:ascii="Arial" w:hAnsi="Arial" w:cs="Arial"/>
          <w:sz w:val="24"/>
          <w:szCs w:val="24"/>
        </w:rPr>
        <w:t>Duba</w:t>
      </w:r>
      <w:proofErr w:type="spellEnd"/>
      <w:r w:rsidRPr="00E759D0">
        <w:rPr>
          <w:rFonts w:ascii="Arial" w:hAnsi="Arial" w:cs="Arial"/>
          <w:sz w:val="24"/>
          <w:szCs w:val="24"/>
        </w:rPr>
        <w:t xml:space="preserve"> to </w:t>
      </w:r>
      <w:proofErr w:type="spellStart"/>
      <w:r w:rsidRPr="00E759D0">
        <w:rPr>
          <w:rFonts w:ascii="Arial" w:hAnsi="Arial" w:cs="Arial"/>
          <w:sz w:val="24"/>
          <w:szCs w:val="24"/>
        </w:rPr>
        <w:t>Jafta</w:t>
      </w:r>
      <w:proofErr w:type="spellEnd"/>
      <w:r w:rsidRPr="00E759D0">
        <w:rPr>
          <w:rFonts w:ascii="Arial" w:hAnsi="Arial" w:cs="Arial"/>
          <w:sz w:val="24"/>
          <w:szCs w:val="24"/>
        </w:rPr>
        <w:t xml:space="preserve"> </w:t>
      </w:r>
      <w:r w:rsidR="00EE00C2" w:rsidRPr="00E759D0">
        <w:rPr>
          <w:rFonts w:ascii="Arial" w:hAnsi="Arial" w:cs="Arial"/>
          <w:sz w:val="24"/>
          <w:szCs w:val="24"/>
        </w:rPr>
        <w:t xml:space="preserve">in April 2019 </w:t>
      </w:r>
      <w:r w:rsidRPr="00E759D0">
        <w:rPr>
          <w:rFonts w:ascii="Arial" w:hAnsi="Arial" w:cs="Arial"/>
          <w:sz w:val="24"/>
          <w:szCs w:val="24"/>
        </w:rPr>
        <w:t xml:space="preserve">enquiring whether the applicant had reported for duty and whether any leave was granted to him since his return from Japan. </w:t>
      </w:r>
      <w:proofErr w:type="spellStart"/>
      <w:r w:rsidR="00EE00C2" w:rsidRPr="00E759D0">
        <w:rPr>
          <w:rFonts w:ascii="Arial" w:hAnsi="Arial" w:cs="Arial"/>
          <w:sz w:val="24"/>
          <w:szCs w:val="24"/>
        </w:rPr>
        <w:t>Duba</w:t>
      </w:r>
      <w:proofErr w:type="spellEnd"/>
      <w:r w:rsidR="00EE00C2" w:rsidRPr="00E759D0">
        <w:rPr>
          <w:rFonts w:ascii="Arial" w:hAnsi="Arial" w:cs="Arial"/>
          <w:sz w:val="24"/>
          <w:szCs w:val="24"/>
        </w:rPr>
        <w:t xml:space="preserve"> then instructed </w:t>
      </w:r>
      <w:proofErr w:type="spellStart"/>
      <w:r w:rsidR="00EE00C2" w:rsidRPr="00E759D0">
        <w:rPr>
          <w:rFonts w:ascii="Arial" w:hAnsi="Arial" w:cs="Arial"/>
          <w:sz w:val="24"/>
          <w:szCs w:val="24"/>
        </w:rPr>
        <w:t>Jafta</w:t>
      </w:r>
      <w:proofErr w:type="spellEnd"/>
      <w:r w:rsidR="00EE00C2" w:rsidRPr="00E759D0">
        <w:rPr>
          <w:rFonts w:ascii="Arial" w:hAnsi="Arial" w:cs="Arial"/>
          <w:sz w:val="24"/>
          <w:szCs w:val="24"/>
        </w:rPr>
        <w:t xml:space="preserve">, in the event </w:t>
      </w:r>
      <w:r w:rsidRPr="00E759D0">
        <w:rPr>
          <w:rFonts w:ascii="Arial" w:hAnsi="Arial" w:cs="Arial"/>
          <w:sz w:val="24"/>
          <w:szCs w:val="24"/>
        </w:rPr>
        <w:t xml:space="preserve">no such “requisite approval” </w:t>
      </w:r>
      <w:r w:rsidR="00EE00C2" w:rsidRPr="00E759D0">
        <w:rPr>
          <w:rFonts w:ascii="Arial" w:hAnsi="Arial" w:cs="Arial"/>
          <w:sz w:val="24"/>
          <w:szCs w:val="24"/>
        </w:rPr>
        <w:t>had</w:t>
      </w:r>
      <w:r w:rsidRPr="00E759D0">
        <w:rPr>
          <w:rFonts w:ascii="Arial" w:hAnsi="Arial" w:cs="Arial"/>
          <w:sz w:val="24"/>
          <w:szCs w:val="24"/>
        </w:rPr>
        <w:t xml:space="preserve"> been granted, </w:t>
      </w:r>
      <w:r w:rsidR="00EE00C2" w:rsidRPr="00E759D0">
        <w:rPr>
          <w:rFonts w:ascii="Arial" w:hAnsi="Arial" w:cs="Arial"/>
          <w:sz w:val="24"/>
          <w:szCs w:val="24"/>
        </w:rPr>
        <w:t xml:space="preserve">to immediately invoke the provision of </w:t>
      </w:r>
      <w:r w:rsidRPr="00E759D0">
        <w:rPr>
          <w:rFonts w:ascii="Arial" w:hAnsi="Arial" w:cs="Arial"/>
          <w:sz w:val="24"/>
          <w:szCs w:val="24"/>
        </w:rPr>
        <w:t>s 15 of the Intelligence Services Ac</w:t>
      </w:r>
      <w:r w:rsidR="00EE00C2" w:rsidRPr="00E759D0">
        <w:rPr>
          <w:rFonts w:ascii="Arial" w:hAnsi="Arial" w:cs="Arial"/>
          <w:sz w:val="24"/>
          <w:szCs w:val="24"/>
        </w:rPr>
        <w:t>t.</w:t>
      </w:r>
      <w:r w:rsidRPr="00E759D0">
        <w:rPr>
          <w:rFonts w:ascii="Arial" w:hAnsi="Arial" w:cs="Arial"/>
          <w:sz w:val="24"/>
          <w:szCs w:val="24"/>
        </w:rPr>
        <w:t xml:space="preserve"> </w:t>
      </w:r>
    </w:p>
    <w:p w14:paraId="0F7146CA" w14:textId="77777777" w:rsidR="00845FEF" w:rsidRPr="00E759D0" w:rsidRDefault="00845FEF" w:rsidP="00E759D0">
      <w:pPr>
        <w:pStyle w:val="ListParagraph"/>
        <w:spacing w:line="360" w:lineRule="auto"/>
        <w:ind w:left="0"/>
        <w:jc w:val="both"/>
        <w:rPr>
          <w:rFonts w:ascii="Arial" w:hAnsi="Arial" w:cs="Arial"/>
          <w:sz w:val="24"/>
          <w:szCs w:val="24"/>
        </w:rPr>
      </w:pPr>
      <w:r w:rsidRPr="00E759D0">
        <w:rPr>
          <w:rFonts w:ascii="Arial" w:hAnsi="Arial" w:cs="Arial"/>
          <w:sz w:val="24"/>
          <w:szCs w:val="24"/>
        </w:rPr>
        <w:t xml:space="preserve">  </w:t>
      </w:r>
    </w:p>
    <w:p w14:paraId="07B57459" w14:textId="0152B52D" w:rsidR="00EC758E" w:rsidRPr="00E759D0" w:rsidRDefault="0064493C" w:rsidP="00E759D0">
      <w:pPr>
        <w:pStyle w:val="ListParagraph"/>
        <w:numPr>
          <w:ilvl w:val="0"/>
          <w:numId w:val="1"/>
        </w:numPr>
        <w:spacing w:line="360" w:lineRule="auto"/>
        <w:jc w:val="both"/>
        <w:rPr>
          <w:rFonts w:ascii="Arial" w:hAnsi="Arial" w:cs="Arial"/>
          <w:sz w:val="24"/>
          <w:szCs w:val="24"/>
        </w:rPr>
      </w:pPr>
      <w:r w:rsidRPr="00E759D0">
        <w:rPr>
          <w:rFonts w:ascii="Arial" w:hAnsi="Arial" w:cs="Arial"/>
          <w:sz w:val="24"/>
          <w:szCs w:val="24"/>
        </w:rPr>
        <w:t xml:space="preserve">Despite having received the letter from </w:t>
      </w:r>
      <w:proofErr w:type="spellStart"/>
      <w:r w:rsidRPr="00E759D0">
        <w:rPr>
          <w:rFonts w:ascii="Arial" w:hAnsi="Arial" w:cs="Arial"/>
          <w:sz w:val="24"/>
          <w:szCs w:val="24"/>
        </w:rPr>
        <w:t>Duba</w:t>
      </w:r>
      <w:proofErr w:type="spellEnd"/>
      <w:r w:rsidRPr="00E759D0">
        <w:rPr>
          <w:rFonts w:ascii="Arial" w:hAnsi="Arial" w:cs="Arial"/>
          <w:sz w:val="24"/>
          <w:szCs w:val="24"/>
        </w:rPr>
        <w:t xml:space="preserve"> on 31 January 2019 </w:t>
      </w:r>
      <w:r w:rsidR="006068DE" w:rsidRPr="00E759D0">
        <w:rPr>
          <w:rFonts w:ascii="Arial" w:hAnsi="Arial" w:cs="Arial"/>
          <w:sz w:val="24"/>
          <w:szCs w:val="24"/>
        </w:rPr>
        <w:t xml:space="preserve">which informed him that </w:t>
      </w:r>
      <w:r w:rsidRPr="00E759D0">
        <w:rPr>
          <w:rFonts w:ascii="Arial" w:hAnsi="Arial" w:cs="Arial"/>
          <w:sz w:val="24"/>
          <w:szCs w:val="24"/>
        </w:rPr>
        <w:t xml:space="preserve">his request was referred to </w:t>
      </w:r>
      <w:proofErr w:type="spellStart"/>
      <w:r w:rsidRPr="00E759D0">
        <w:rPr>
          <w:rFonts w:ascii="Arial" w:hAnsi="Arial" w:cs="Arial"/>
          <w:sz w:val="24"/>
          <w:szCs w:val="24"/>
        </w:rPr>
        <w:t>Jafta</w:t>
      </w:r>
      <w:proofErr w:type="spellEnd"/>
      <w:r w:rsidRPr="00E759D0">
        <w:rPr>
          <w:rFonts w:ascii="Arial" w:hAnsi="Arial" w:cs="Arial"/>
          <w:sz w:val="24"/>
          <w:szCs w:val="24"/>
        </w:rPr>
        <w:t xml:space="preserve"> for </w:t>
      </w:r>
      <w:r w:rsidR="00856DCE" w:rsidRPr="00E759D0">
        <w:rPr>
          <w:rFonts w:ascii="Arial" w:hAnsi="Arial" w:cs="Arial"/>
          <w:sz w:val="24"/>
          <w:szCs w:val="24"/>
        </w:rPr>
        <w:t xml:space="preserve">approval, the applicant persisted </w:t>
      </w:r>
      <w:r w:rsidR="00D563AF" w:rsidRPr="00E759D0">
        <w:rPr>
          <w:rFonts w:ascii="Arial" w:hAnsi="Arial" w:cs="Arial"/>
          <w:sz w:val="24"/>
          <w:szCs w:val="24"/>
        </w:rPr>
        <w:t xml:space="preserve">in this court </w:t>
      </w:r>
      <w:r w:rsidRPr="00E759D0">
        <w:rPr>
          <w:rFonts w:ascii="Arial" w:hAnsi="Arial" w:cs="Arial"/>
          <w:sz w:val="24"/>
          <w:szCs w:val="24"/>
        </w:rPr>
        <w:t xml:space="preserve">that he had sent his sick notes to </w:t>
      </w:r>
      <w:proofErr w:type="spellStart"/>
      <w:r w:rsidRPr="00E759D0">
        <w:rPr>
          <w:rFonts w:ascii="Arial" w:hAnsi="Arial" w:cs="Arial"/>
          <w:sz w:val="24"/>
          <w:szCs w:val="24"/>
        </w:rPr>
        <w:t>Duba</w:t>
      </w:r>
      <w:proofErr w:type="spellEnd"/>
      <w:r w:rsidRPr="00E759D0">
        <w:rPr>
          <w:rFonts w:ascii="Arial" w:hAnsi="Arial" w:cs="Arial"/>
          <w:sz w:val="24"/>
          <w:szCs w:val="24"/>
        </w:rPr>
        <w:t xml:space="preserve"> and that she </w:t>
      </w:r>
      <w:r w:rsidR="00EE00C2" w:rsidRPr="00E759D0">
        <w:rPr>
          <w:rFonts w:ascii="Arial" w:hAnsi="Arial" w:cs="Arial"/>
          <w:sz w:val="24"/>
          <w:szCs w:val="24"/>
        </w:rPr>
        <w:t xml:space="preserve">(as the Minister) </w:t>
      </w:r>
      <w:r w:rsidRPr="00E759D0">
        <w:rPr>
          <w:rFonts w:ascii="Arial" w:hAnsi="Arial" w:cs="Arial"/>
          <w:sz w:val="24"/>
          <w:szCs w:val="24"/>
        </w:rPr>
        <w:t xml:space="preserve">was aware of his condition. </w:t>
      </w:r>
      <w:r w:rsidR="00EE00C2" w:rsidRPr="00E759D0">
        <w:rPr>
          <w:rFonts w:ascii="Arial" w:hAnsi="Arial" w:cs="Arial"/>
          <w:sz w:val="24"/>
          <w:szCs w:val="24"/>
        </w:rPr>
        <w:t xml:space="preserve">However, </w:t>
      </w:r>
      <w:r w:rsidR="00856DCE" w:rsidRPr="00E759D0">
        <w:rPr>
          <w:rFonts w:ascii="Arial" w:hAnsi="Arial" w:cs="Arial"/>
          <w:sz w:val="24"/>
          <w:szCs w:val="24"/>
        </w:rPr>
        <w:t xml:space="preserve">notably </w:t>
      </w:r>
      <w:r w:rsidRPr="00E759D0">
        <w:rPr>
          <w:rFonts w:ascii="Arial" w:hAnsi="Arial" w:cs="Arial"/>
          <w:sz w:val="24"/>
          <w:szCs w:val="24"/>
        </w:rPr>
        <w:t>absent from the papers is any paper trail indicating that he had submitted his lea</w:t>
      </w:r>
      <w:r w:rsidR="00856DCE" w:rsidRPr="00E759D0">
        <w:rPr>
          <w:rFonts w:ascii="Arial" w:hAnsi="Arial" w:cs="Arial"/>
          <w:sz w:val="24"/>
          <w:szCs w:val="24"/>
        </w:rPr>
        <w:t xml:space="preserve">ve requests to </w:t>
      </w:r>
      <w:proofErr w:type="spellStart"/>
      <w:r w:rsidR="00856DCE" w:rsidRPr="00E759D0">
        <w:rPr>
          <w:rFonts w:ascii="Arial" w:hAnsi="Arial" w:cs="Arial"/>
          <w:sz w:val="24"/>
          <w:szCs w:val="24"/>
        </w:rPr>
        <w:t>Jafta</w:t>
      </w:r>
      <w:proofErr w:type="spellEnd"/>
      <w:r w:rsidR="00856DCE" w:rsidRPr="00E759D0">
        <w:rPr>
          <w:rFonts w:ascii="Arial" w:hAnsi="Arial" w:cs="Arial"/>
          <w:sz w:val="24"/>
          <w:szCs w:val="24"/>
        </w:rPr>
        <w:t xml:space="preserve"> and/or to the Human R</w:t>
      </w:r>
      <w:r w:rsidRPr="00E759D0">
        <w:rPr>
          <w:rFonts w:ascii="Arial" w:hAnsi="Arial" w:cs="Arial"/>
          <w:sz w:val="24"/>
          <w:szCs w:val="24"/>
        </w:rPr>
        <w:t>esources</w:t>
      </w:r>
      <w:r w:rsidR="00856DCE" w:rsidRPr="00E759D0">
        <w:rPr>
          <w:rFonts w:ascii="Arial" w:hAnsi="Arial" w:cs="Arial"/>
          <w:sz w:val="24"/>
          <w:szCs w:val="24"/>
        </w:rPr>
        <w:t xml:space="preserve"> Department</w:t>
      </w:r>
      <w:r w:rsidRPr="00E759D0">
        <w:rPr>
          <w:rFonts w:ascii="Arial" w:hAnsi="Arial" w:cs="Arial"/>
          <w:sz w:val="24"/>
          <w:szCs w:val="24"/>
        </w:rPr>
        <w:t>. Also conspicuously absent from the papers is</w:t>
      </w:r>
      <w:r w:rsidR="004B0436" w:rsidRPr="00E759D0">
        <w:rPr>
          <w:rFonts w:ascii="Arial" w:hAnsi="Arial" w:cs="Arial"/>
          <w:sz w:val="24"/>
          <w:szCs w:val="24"/>
        </w:rPr>
        <w:t xml:space="preserve"> </w:t>
      </w:r>
      <w:r w:rsidR="00EE00C2" w:rsidRPr="00E759D0">
        <w:rPr>
          <w:rFonts w:ascii="Arial" w:hAnsi="Arial" w:cs="Arial"/>
          <w:sz w:val="24"/>
          <w:szCs w:val="24"/>
        </w:rPr>
        <w:t xml:space="preserve">a </w:t>
      </w:r>
      <w:r w:rsidR="004B0436" w:rsidRPr="00E759D0">
        <w:rPr>
          <w:rFonts w:ascii="Arial" w:hAnsi="Arial" w:cs="Arial"/>
          <w:sz w:val="24"/>
          <w:szCs w:val="24"/>
        </w:rPr>
        <w:t xml:space="preserve">letter or documentation from the first respondent </w:t>
      </w:r>
      <w:r w:rsidR="00856DCE" w:rsidRPr="00E759D0">
        <w:rPr>
          <w:rFonts w:ascii="Arial" w:hAnsi="Arial" w:cs="Arial"/>
          <w:sz w:val="24"/>
          <w:szCs w:val="24"/>
        </w:rPr>
        <w:t xml:space="preserve">confirming </w:t>
      </w:r>
      <w:r w:rsidR="00D563AF" w:rsidRPr="00E759D0">
        <w:rPr>
          <w:rFonts w:ascii="Arial" w:hAnsi="Arial" w:cs="Arial"/>
          <w:sz w:val="24"/>
          <w:szCs w:val="24"/>
        </w:rPr>
        <w:t>that the applicant’s</w:t>
      </w:r>
      <w:r w:rsidR="004B0436" w:rsidRPr="00E759D0">
        <w:rPr>
          <w:rFonts w:ascii="Arial" w:hAnsi="Arial" w:cs="Arial"/>
          <w:sz w:val="24"/>
          <w:szCs w:val="24"/>
        </w:rPr>
        <w:t xml:space="preserve"> </w:t>
      </w:r>
      <w:r w:rsidR="00EE00C2" w:rsidRPr="00E759D0">
        <w:rPr>
          <w:rFonts w:ascii="Arial" w:hAnsi="Arial" w:cs="Arial"/>
          <w:sz w:val="24"/>
          <w:szCs w:val="24"/>
        </w:rPr>
        <w:t xml:space="preserve">applications for </w:t>
      </w:r>
      <w:r w:rsidR="004B0436" w:rsidRPr="00E759D0">
        <w:rPr>
          <w:rFonts w:ascii="Arial" w:hAnsi="Arial" w:cs="Arial"/>
          <w:sz w:val="24"/>
          <w:szCs w:val="24"/>
        </w:rPr>
        <w:t xml:space="preserve">sick leave </w:t>
      </w:r>
      <w:r w:rsidR="00EE00C2" w:rsidRPr="00E759D0">
        <w:rPr>
          <w:rFonts w:ascii="Arial" w:hAnsi="Arial" w:cs="Arial"/>
          <w:sz w:val="24"/>
          <w:szCs w:val="24"/>
        </w:rPr>
        <w:t xml:space="preserve">had </w:t>
      </w:r>
      <w:r w:rsidR="004B0436" w:rsidRPr="00E759D0">
        <w:rPr>
          <w:rFonts w:ascii="Arial" w:hAnsi="Arial" w:cs="Arial"/>
          <w:sz w:val="24"/>
          <w:szCs w:val="24"/>
        </w:rPr>
        <w:t xml:space="preserve">been </w:t>
      </w:r>
      <w:r w:rsidR="00856DCE" w:rsidRPr="00E759D0">
        <w:rPr>
          <w:rFonts w:ascii="Arial" w:hAnsi="Arial" w:cs="Arial"/>
          <w:sz w:val="24"/>
          <w:szCs w:val="24"/>
        </w:rPr>
        <w:t xml:space="preserve">received and </w:t>
      </w:r>
      <w:r w:rsidR="004B0436" w:rsidRPr="00E759D0">
        <w:rPr>
          <w:rFonts w:ascii="Arial" w:hAnsi="Arial" w:cs="Arial"/>
          <w:sz w:val="24"/>
          <w:szCs w:val="24"/>
        </w:rPr>
        <w:t>considered and the outcome of the</w:t>
      </w:r>
      <w:r w:rsidR="00856DCE" w:rsidRPr="00E759D0">
        <w:rPr>
          <w:rFonts w:ascii="Arial" w:hAnsi="Arial" w:cs="Arial"/>
          <w:sz w:val="24"/>
          <w:szCs w:val="24"/>
        </w:rPr>
        <w:t>se</w:t>
      </w:r>
      <w:r w:rsidR="004B0436" w:rsidRPr="00E759D0">
        <w:rPr>
          <w:rFonts w:ascii="Arial" w:hAnsi="Arial" w:cs="Arial"/>
          <w:sz w:val="24"/>
          <w:szCs w:val="24"/>
        </w:rPr>
        <w:t xml:space="preserve"> request. </w:t>
      </w:r>
      <w:r w:rsidR="00856DCE" w:rsidRPr="00E759D0">
        <w:rPr>
          <w:rFonts w:ascii="Arial" w:hAnsi="Arial" w:cs="Arial"/>
          <w:sz w:val="24"/>
          <w:szCs w:val="24"/>
        </w:rPr>
        <w:t xml:space="preserve">It is, in fact, </w:t>
      </w:r>
      <w:r w:rsidR="00EE00C2" w:rsidRPr="00E759D0">
        <w:rPr>
          <w:rFonts w:ascii="Arial" w:hAnsi="Arial" w:cs="Arial"/>
          <w:sz w:val="24"/>
          <w:szCs w:val="24"/>
        </w:rPr>
        <w:t xml:space="preserve">common cause that the applicant had never submitted any requests for sick leave to </w:t>
      </w:r>
      <w:proofErr w:type="spellStart"/>
      <w:r w:rsidR="00EE00C2" w:rsidRPr="00E759D0">
        <w:rPr>
          <w:rFonts w:ascii="Arial" w:hAnsi="Arial" w:cs="Arial"/>
          <w:sz w:val="24"/>
          <w:szCs w:val="24"/>
        </w:rPr>
        <w:t>Jafta</w:t>
      </w:r>
      <w:proofErr w:type="spellEnd"/>
      <w:r w:rsidR="00EE00C2" w:rsidRPr="00E759D0">
        <w:rPr>
          <w:rFonts w:ascii="Arial" w:hAnsi="Arial" w:cs="Arial"/>
          <w:sz w:val="24"/>
          <w:szCs w:val="24"/>
        </w:rPr>
        <w:t xml:space="preserve">. In respect of the initial request for special leave, the respondents </w:t>
      </w:r>
      <w:r w:rsidR="00856DCE" w:rsidRPr="00E759D0">
        <w:rPr>
          <w:rFonts w:ascii="Arial" w:hAnsi="Arial" w:cs="Arial"/>
          <w:sz w:val="24"/>
          <w:szCs w:val="24"/>
        </w:rPr>
        <w:t xml:space="preserve">during </w:t>
      </w:r>
      <w:r w:rsidR="00EE00C2" w:rsidRPr="00E759D0">
        <w:rPr>
          <w:rFonts w:ascii="Arial" w:hAnsi="Arial" w:cs="Arial"/>
          <w:sz w:val="24"/>
          <w:szCs w:val="24"/>
        </w:rPr>
        <w:t xml:space="preserve">argument </w:t>
      </w:r>
      <w:r w:rsidR="00856DCE" w:rsidRPr="00E759D0">
        <w:rPr>
          <w:rFonts w:ascii="Arial" w:hAnsi="Arial" w:cs="Arial"/>
          <w:sz w:val="24"/>
          <w:szCs w:val="24"/>
        </w:rPr>
        <w:t xml:space="preserve">conceded </w:t>
      </w:r>
      <w:r w:rsidR="00EE00C2" w:rsidRPr="00E759D0">
        <w:rPr>
          <w:rFonts w:ascii="Arial" w:hAnsi="Arial" w:cs="Arial"/>
          <w:sz w:val="24"/>
          <w:szCs w:val="24"/>
        </w:rPr>
        <w:t xml:space="preserve">that such leave was granted because no documents </w:t>
      </w:r>
      <w:r w:rsidR="00EC758E" w:rsidRPr="00E759D0">
        <w:rPr>
          <w:rFonts w:ascii="Arial" w:hAnsi="Arial" w:cs="Arial"/>
          <w:sz w:val="24"/>
          <w:szCs w:val="24"/>
        </w:rPr>
        <w:t>pertaining to the initial request for special leave coul</w:t>
      </w:r>
      <w:r w:rsidR="00EE00C2" w:rsidRPr="00E759D0">
        <w:rPr>
          <w:rFonts w:ascii="Arial" w:hAnsi="Arial" w:cs="Arial"/>
          <w:sz w:val="24"/>
          <w:szCs w:val="24"/>
        </w:rPr>
        <w:t xml:space="preserve">d be found. </w:t>
      </w:r>
    </w:p>
    <w:p w14:paraId="573D4050" w14:textId="77777777" w:rsidR="00626EBA" w:rsidRPr="00E759D0" w:rsidRDefault="00626EBA" w:rsidP="00E759D0">
      <w:pPr>
        <w:pStyle w:val="ListParagraph"/>
        <w:spacing w:line="360" w:lineRule="auto"/>
        <w:rPr>
          <w:rFonts w:ascii="Arial" w:hAnsi="Arial" w:cs="Arial"/>
          <w:sz w:val="24"/>
          <w:szCs w:val="24"/>
        </w:rPr>
      </w:pPr>
    </w:p>
    <w:p w14:paraId="63D92FED" w14:textId="627C6E88" w:rsidR="00884457" w:rsidRPr="00E759D0" w:rsidRDefault="00FA1EC8" w:rsidP="00E759D0">
      <w:pPr>
        <w:pStyle w:val="ListParagraph"/>
        <w:numPr>
          <w:ilvl w:val="0"/>
          <w:numId w:val="1"/>
        </w:numPr>
        <w:spacing w:line="360" w:lineRule="auto"/>
        <w:jc w:val="both"/>
        <w:rPr>
          <w:rFonts w:ascii="Arial" w:hAnsi="Arial" w:cs="Arial"/>
          <w:sz w:val="24"/>
          <w:szCs w:val="24"/>
        </w:rPr>
      </w:pPr>
      <w:r w:rsidRPr="00E759D0">
        <w:rPr>
          <w:rFonts w:ascii="Arial" w:hAnsi="Arial" w:cs="Arial"/>
          <w:sz w:val="24"/>
          <w:szCs w:val="24"/>
        </w:rPr>
        <w:t xml:space="preserve">Complicating matters further for the applicant, </w:t>
      </w:r>
      <w:proofErr w:type="spellStart"/>
      <w:r w:rsidRPr="00E759D0">
        <w:rPr>
          <w:rFonts w:ascii="Arial" w:hAnsi="Arial" w:cs="Arial"/>
          <w:sz w:val="24"/>
          <w:szCs w:val="24"/>
        </w:rPr>
        <w:t>Jafta</w:t>
      </w:r>
      <w:proofErr w:type="spellEnd"/>
      <w:r w:rsidRPr="00E759D0">
        <w:rPr>
          <w:rFonts w:ascii="Arial" w:hAnsi="Arial" w:cs="Arial"/>
          <w:sz w:val="24"/>
          <w:szCs w:val="24"/>
        </w:rPr>
        <w:t>, i</w:t>
      </w:r>
      <w:r w:rsidR="004B0436" w:rsidRPr="00E759D0">
        <w:rPr>
          <w:rFonts w:ascii="Arial" w:hAnsi="Arial" w:cs="Arial"/>
          <w:sz w:val="24"/>
          <w:szCs w:val="24"/>
        </w:rPr>
        <w:t xml:space="preserve">n a letter dated </w:t>
      </w:r>
      <w:r w:rsidR="00884457" w:rsidRPr="00E759D0">
        <w:rPr>
          <w:rFonts w:ascii="Arial" w:hAnsi="Arial" w:cs="Arial"/>
          <w:sz w:val="24"/>
          <w:szCs w:val="24"/>
        </w:rPr>
        <w:t>30 April 2019</w:t>
      </w:r>
      <w:r w:rsidR="004B0436" w:rsidRPr="00E759D0">
        <w:rPr>
          <w:rFonts w:ascii="Arial" w:hAnsi="Arial" w:cs="Arial"/>
          <w:sz w:val="24"/>
          <w:szCs w:val="24"/>
        </w:rPr>
        <w:t xml:space="preserve">, </w:t>
      </w:r>
      <w:r w:rsidRPr="00E759D0">
        <w:rPr>
          <w:rFonts w:ascii="Arial" w:hAnsi="Arial" w:cs="Arial"/>
          <w:sz w:val="24"/>
          <w:szCs w:val="24"/>
        </w:rPr>
        <w:t xml:space="preserve">expressly </w:t>
      </w:r>
      <w:r w:rsidR="004B0436" w:rsidRPr="00E759D0">
        <w:rPr>
          <w:rFonts w:ascii="Arial" w:hAnsi="Arial" w:cs="Arial"/>
          <w:sz w:val="24"/>
          <w:szCs w:val="24"/>
        </w:rPr>
        <w:t>instructed the applicant to report to the Acting Director-General of the State Security Agency on the first w</w:t>
      </w:r>
      <w:r w:rsidRPr="00E759D0">
        <w:rPr>
          <w:rFonts w:ascii="Arial" w:hAnsi="Arial" w:cs="Arial"/>
          <w:sz w:val="24"/>
          <w:szCs w:val="24"/>
        </w:rPr>
        <w:t>orking day following receipt of</w:t>
      </w:r>
      <w:r w:rsidR="004B0436" w:rsidRPr="00E759D0">
        <w:rPr>
          <w:rFonts w:ascii="Arial" w:hAnsi="Arial" w:cs="Arial"/>
          <w:sz w:val="24"/>
          <w:szCs w:val="24"/>
        </w:rPr>
        <w:t xml:space="preserve"> the letter. The letter further records that the applicant has not reported for work since his return from Japan and that all efforts to en</w:t>
      </w:r>
      <w:r w:rsidRPr="00E759D0">
        <w:rPr>
          <w:rFonts w:ascii="Arial" w:hAnsi="Arial" w:cs="Arial"/>
          <w:sz w:val="24"/>
          <w:szCs w:val="24"/>
        </w:rPr>
        <w:t>gage with him have been ignored.</w:t>
      </w:r>
      <w:r w:rsidR="004B0436" w:rsidRPr="00E759D0">
        <w:rPr>
          <w:rFonts w:ascii="Arial" w:hAnsi="Arial" w:cs="Arial"/>
          <w:sz w:val="24"/>
          <w:szCs w:val="24"/>
        </w:rPr>
        <w:t xml:space="preserve"> The letter further </w:t>
      </w:r>
      <w:r w:rsidR="00884457" w:rsidRPr="00E759D0">
        <w:rPr>
          <w:rFonts w:ascii="Arial" w:hAnsi="Arial" w:cs="Arial"/>
          <w:sz w:val="24"/>
          <w:szCs w:val="24"/>
        </w:rPr>
        <w:t>informed the applicant of the consequences of his con</w:t>
      </w:r>
      <w:r w:rsidR="009E174A" w:rsidRPr="00E759D0">
        <w:rPr>
          <w:rFonts w:ascii="Arial" w:hAnsi="Arial" w:cs="Arial"/>
          <w:sz w:val="24"/>
          <w:szCs w:val="24"/>
        </w:rPr>
        <w:t>tinued absence from work</w:t>
      </w:r>
      <w:r w:rsidR="00884457" w:rsidRPr="00E759D0">
        <w:rPr>
          <w:rFonts w:ascii="Arial" w:hAnsi="Arial" w:cs="Arial"/>
          <w:sz w:val="24"/>
          <w:szCs w:val="24"/>
        </w:rPr>
        <w:t xml:space="preserve">. </w:t>
      </w:r>
      <w:r w:rsidR="004B0436" w:rsidRPr="00E759D0">
        <w:rPr>
          <w:rFonts w:ascii="Arial" w:hAnsi="Arial" w:cs="Arial"/>
          <w:sz w:val="24"/>
          <w:szCs w:val="24"/>
        </w:rPr>
        <w:t xml:space="preserve">Despite </w:t>
      </w:r>
      <w:r w:rsidRPr="00E759D0">
        <w:rPr>
          <w:rFonts w:ascii="Arial" w:hAnsi="Arial" w:cs="Arial"/>
          <w:sz w:val="24"/>
          <w:szCs w:val="24"/>
        </w:rPr>
        <w:t xml:space="preserve">this </w:t>
      </w:r>
      <w:r w:rsidR="004B0436" w:rsidRPr="00E759D0">
        <w:rPr>
          <w:rFonts w:ascii="Arial" w:hAnsi="Arial" w:cs="Arial"/>
          <w:sz w:val="24"/>
          <w:szCs w:val="24"/>
        </w:rPr>
        <w:t xml:space="preserve">clear instruction to report from work, the </w:t>
      </w:r>
      <w:r w:rsidR="00884457" w:rsidRPr="00E759D0">
        <w:rPr>
          <w:rFonts w:ascii="Arial" w:hAnsi="Arial" w:cs="Arial"/>
          <w:sz w:val="24"/>
          <w:szCs w:val="24"/>
        </w:rPr>
        <w:t>applicant simply ignored the letter</w:t>
      </w:r>
      <w:r w:rsidRPr="00E759D0">
        <w:rPr>
          <w:rFonts w:ascii="Arial" w:hAnsi="Arial" w:cs="Arial"/>
          <w:sz w:val="24"/>
          <w:szCs w:val="24"/>
        </w:rPr>
        <w:t xml:space="preserve"> and did not report for work as instructed</w:t>
      </w:r>
      <w:r w:rsidR="00884457" w:rsidRPr="00E759D0">
        <w:rPr>
          <w:rFonts w:ascii="Arial" w:hAnsi="Arial" w:cs="Arial"/>
          <w:sz w:val="24"/>
          <w:szCs w:val="24"/>
        </w:rPr>
        <w:t>.</w:t>
      </w:r>
      <w:r w:rsidR="004B0436" w:rsidRPr="00E759D0">
        <w:rPr>
          <w:rFonts w:ascii="Arial" w:hAnsi="Arial" w:cs="Arial"/>
          <w:sz w:val="24"/>
          <w:szCs w:val="24"/>
        </w:rPr>
        <w:t xml:space="preserve"> </w:t>
      </w:r>
      <w:r w:rsidRPr="00E759D0">
        <w:rPr>
          <w:rFonts w:ascii="Arial" w:hAnsi="Arial" w:cs="Arial"/>
          <w:sz w:val="24"/>
          <w:szCs w:val="24"/>
        </w:rPr>
        <w:t xml:space="preserve">With reference to this letter, the </w:t>
      </w:r>
      <w:r w:rsidR="004B0436" w:rsidRPr="00E759D0">
        <w:rPr>
          <w:rFonts w:ascii="Arial" w:hAnsi="Arial" w:cs="Arial"/>
          <w:sz w:val="24"/>
          <w:szCs w:val="24"/>
        </w:rPr>
        <w:t xml:space="preserve">respondents submitted </w:t>
      </w:r>
      <w:r w:rsidR="004B0436" w:rsidRPr="00E759D0">
        <w:rPr>
          <w:rFonts w:ascii="Arial" w:hAnsi="Arial" w:cs="Arial"/>
          <w:sz w:val="24"/>
          <w:szCs w:val="24"/>
        </w:rPr>
        <w:lastRenderedPageBreak/>
        <w:t xml:space="preserve">that the applicant </w:t>
      </w:r>
      <w:r w:rsidRPr="00E759D0">
        <w:rPr>
          <w:rFonts w:ascii="Arial" w:hAnsi="Arial" w:cs="Arial"/>
          <w:sz w:val="24"/>
          <w:szCs w:val="24"/>
        </w:rPr>
        <w:t xml:space="preserve">therefore </w:t>
      </w:r>
      <w:r w:rsidR="004B0436" w:rsidRPr="00E759D0">
        <w:rPr>
          <w:rFonts w:ascii="Arial" w:hAnsi="Arial" w:cs="Arial"/>
          <w:sz w:val="24"/>
          <w:szCs w:val="24"/>
        </w:rPr>
        <w:t xml:space="preserve">had been granted an opportunity to provide an explanation for his absence to the Acting Director-General, but that he had </w:t>
      </w:r>
      <w:r w:rsidR="00D563AF" w:rsidRPr="00E759D0">
        <w:rPr>
          <w:rFonts w:ascii="Arial" w:hAnsi="Arial" w:cs="Arial"/>
          <w:sz w:val="24"/>
          <w:szCs w:val="24"/>
        </w:rPr>
        <w:t xml:space="preserve">simply refused or </w:t>
      </w:r>
      <w:r w:rsidR="004B0436" w:rsidRPr="00E759D0">
        <w:rPr>
          <w:rFonts w:ascii="Arial" w:hAnsi="Arial" w:cs="Arial"/>
          <w:sz w:val="24"/>
          <w:szCs w:val="24"/>
        </w:rPr>
        <w:t>declined to do so. The respondents further submitted that by this time, there could not have been any doubt in the mind of the ap</w:t>
      </w:r>
      <w:r w:rsidRPr="00E759D0">
        <w:rPr>
          <w:rFonts w:ascii="Arial" w:hAnsi="Arial" w:cs="Arial"/>
          <w:sz w:val="24"/>
          <w:szCs w:val="24"/>
        </w:rPr>
        <w:t>plicant that the person he had t</w:t>
      </w:r>
      <w:r w:rsidR="004B0436" w:rsidRPr="00E759D0">
        <w:rPr>
          <w:rFonts w:ascii="Arial" w:hAnsi="Arial" w:cs="Arial"/>
          <w:sz w:val="24"/>
          <w:szCs w:val="24"/>
        </w:rPr>
        <w:t xml:space="preserve">o communicate with regarding his sick leave requests, was the Acting Director-General. </w:t>
      </w:r>
      <w:r w:rsidRPr="00E759D0">
        <w:rPr>
          <w:rFonts w:ascii="Arial" w:hAnsi="Arial" w:cs="Arial"/>
          <w:sz w:val="24"/>
          <w:szCs w:val="24"/>
        </w:rPr>
        <w:t>Yet the applicant failed to do so. The respondents further submitted that</w:t>
      </w:r>
      <w:r w:rsidR="00D563AF" w:rsidRPr="00E759D0">
        <w:rPr>
          <w:rFonts w:ascii="Arial" w:hAnsi="Arial" w:cs="Arial"/>
          <w:sz w:val="24"/>
          <w:szCs w:val="24"/>
        </w:rPr>
        <w:t>,</w:t>
      </w:r>
      <w:r w:rsidR="004B0436" w:rsidRPr="00E759D0">
        <w:rPr>
          <w:rFonts w:ascii="Arial" w:hAnsi="Arial" w:cs="Arial"/>
          <w:sz w:val="24"/>
          <w:szCs w:val="24"/>
        </w:rPr>
        <w:t xml:space="preserve"> </w:t>
      </w:r>
      <w:r w:rsidRPr="00E759D0">
        <w:rPr>
          <w:rFonts w:ascii="Arial" w:hAnsi="Arial" w:cs="Arial"/>
          <w:sz w:val="24"/>
          <w:szCs w:val="24"/>
        </w:rPr>
        <w:t xml:space="preserve">having regard to the contents of </w:t>
      </w:r>
      <w:r w:rsidR="004B0436" w:rsidRPr="00E759D0">
        <w:rPr>
          <w:rFonts w:ascii="Arial" w:hAnsi="Arial" w:cs="Arial"/>
          <w:sz w:val="24"/>
          <w:szCs w:val="24"/>
        </w:rPr>
        <w:t>this letter, the applicant ought</w:t>
      </w:r>
      <w:r w:rsidRPr="00E759D0">
        <w:rPr>
          <w:rFonts w:ascii="Arial" w:hAnsi="Arial" w:cs="Arial"/>
          <w:sz w:val="24"/>
          <w:szCs w:val="24"/>
        </w:rPr>
        <w:t xml:space="preserve"> </w:t>
      </w:r>
      <w:r w:rsidR="004B0436" w:rsidRPr="00E759D0">
        <w:rPr>
          <w:rFonts w:ascii="Arial" w:hAnsi="Arial" w:cs="Arial"/>
          <w:sz w:val="24"/>
          <w:szCs w:val="24"/>
        </w:rPr>
        <w:t xml:space="preserve">to have been aware that </w:t>
      </w:r>
      <w:proofErr w:type="spellStart"/>
      <w:r w:rsidR="004B0436" w:rsidRPr="00E759D0">
        <w:rPr>
          <w:rFonts w:ascii="Arial" w:hAnsi="Arial" w:cs="Arial"/>
          <w:sz w:val="24"/>
          <w:szCs w:val="24"/>
        </w:rPr>
        <w:t>Jafta</w:t>
      </w:r>
      <w:proofErr w:type="spellEnd"/>
      <w:r w:rsidR="004B0436" w:rsidRPr="00E759D0">
        <w:rPr>
          <w:rFonts w:ascii="Arial" w:hAnsi="Arial" w:cs="Arial"/>
          <w:sz w:val="24"/>
          <w:szCs w:val="24"/>
        </w:rPr>
        <w:t xml:space="preserve">, as his immediate supervisor, was </w:t>
      </w:r>
      <w:r w:rsidRPr="00E759D0">
        <w:rPr>
          <w:rFonts w:ascii="Arial" w:hAnsi="Arial" w:cs="Arial"/>
          <w:sz w:val="24"/>
          <w:szCs w:val="24"/>
        </w:rPr>
        <w:t xml:space="preserve">unaware of </w:t>
      </w:r>
      <w:r w:rsidR="004B0436" w:rsidRPr="00E759D0">
        <w:rPr>
          <w:rFonts w:ascii="Arial" w:hAnsi="Arial" w:cs="Arial"/>
          <w:sz w:val="24"/>
          <w:szCs w:val="24"/>
        </w:rPr>
        <w:t xml:space="preserve">any arrangements with </w:t>
      </w:r>
      <w:proofErr w:type="spellStart"/>
      <w:r w:rsidR="004B0436" w:rsidRPr="00E759D0">
        <w:rPr>
          <w:rFonts w:ascii="Arial" w:hAnsi="Arial" w:cs="Arial"/>
          <w:sz w:val="24"/>
          <w:szCs w:val="24"/>
        </w:rPr>
        <w:t>Duba</w:t>
      </w:r>
      <w:proofErr w:type="spellEnd"/>
      <w:r w:rsidR="004B0436" w:rsidRPr="00E759D0">
        <w:rPr>
          <w:rFonts w:ascii="Arial" w:hAnsi="Arial" w:cs="Arial"/>
          <w:sz w:val="24"/>
          <w:szCs w:val="24"/>
        </w:rPr>
        <w:t>.</w:t>
      </w:r>
      <w:r w:rsidRPr="00E759D0">
        <w:rPr>
          <w:rFonts w:ascii="Arial" w:hAnsi="Arial" w:cs="Arial"/>
          <w:sz w:val="24"/>
          <w:szCs w:val="24"/>
        </w:rPr>
        <w:t xml:space="preserve"> The applicant still did not communicate with </w:t>
      </w:r>
      <w:proofErr w:type="spellStart"/>
      <w:r w:rsidRPr="00E759D0">
        <w:rPr>
          <w:rFonts w:ascii="Arial" w:hAnsi="Arial" w:cs="Arial"/>
          <w:sz w:val="24"/>
          <w:szCs w:val="24"/>
        </w:rPr>
        <w:t>Jafta</w:t>
      </w:r>
      <w:proofErr w:type="spellEnd"/>
      <w:r w:rsidRPr="00E759D0">
        <w:rPr>
          <w:rFonts w:ascii="Arial" w:hAnsi="Arial" w:cs="Arial"/>
          <w:sz w:val="24"/>
          <w:szCs w:val="24"/>
        </w:rPr>
        <w:t xml:space="preserve"> and did not, at any stage, submit any of his medical certificates to his immediate supervisor.</w:t>
      </w:r>
    </w:p>
    <w:p w14:paraId="1E108266" w14:textId="77777777" w:rsidR="00884457" w:rsidRPr="00E759D0" w:rsidRDefault="00884457" w:rsidP="00E759D0">
      <w:pPr>
        <w:pStyle w:val="ListParagraph"/>
        <w:spacing w:line="360" w:lineRule="auto"/>
        <w:rPr>
          <w:rFonts w:ascii="Arial" w:hAnsi="Arial" w:cs="Arial"/>
          <w:sz w:val="24"/>
          <w:szCs w:val="24"/>
        </w:rPr>
      </w:pPr>
    </w:p>
    <w:p w14:paraId="7A673AB9" w14:textId="4E67F014" w:rsidR="00884457" w:rsidRPr="00E759D0" w:rsidRDefault="00FA1EC8" w:rsidP="00E759D0">
      <w:pPr>
        <w:pStyle w:val="ListParagraph"/>
        <w:numPr>
          <w:ilvl w:val="0"/>
          <w:numId w:val="1"/>
        </w:numPr>
        <w:spacing w:line="360" w:lineRule="auto"/>
        <w:jc w:val="both"/>
        <w:rPr>
          <w:rFonts w:ascii="Arial" w:hAnsi="Arial" w:cs="Arial"/>
          <w:sz w:val="24"/>
          <w:szCs w:val="24"/>
        </w:rPr>
      </w:pPr>
      <w:r w:rsidRPr="00E759D0">
        <w:rPr>
          <w:rFonts w:ascii="Arial" w:hAnsi="Arial" w:cs="Arial"/>
          <w:sz w:val="24"/>
          <w:szCs w:val="24"/>
        </w:rPr>
        <w:t xml:space="preserve">On 27 September 2019, </w:t>
      </w:r>
      <w:proofErr w:type="spellStart"/>
      <w:r w:rsidRPr="00E759D0">
        <w:rPr>
          <w:rFonts w:ascii="Arial" w:hAnsi="Arial" w:cs="Arial"/>
          <w:sz w:val="24"/>
          <w:szCs w:val="24"/>
        </w:rPr>
        <w:t>Jafta</w:t>
      </w:r>
      <w:proofErr w:type="spellEnd"/>
      <w:r w:rsidR="00884457" w:rsidRPr="00E759D0">
        <w:rPr>
          <w:rFonts w:ascii="Arial" w:hAnsi="Arial" w:cs="Arial"/>
          <w:sz w:val="24"/>
          <w:szCs w:val="24"/>
        </w:rPr>
        <w:t xml:space="preserve"> </w:t>
      </w:r>
      <w:r w:rsidRPr="00E759D0">
        <w:rPr>
          <w:rFonts w:ascii="Arial" w:hAnsi="Arial" w:cs="Arial"/>
          <w:sz w:val="24"/>
          <w:szCs w:val="24"/>
        </w:rPr>
        <w:t xml:space="preserve">invoked the provisions of </w:t>
      </w:r>
      <w:r w:rsidR="00884457" w:rsidRPr="00E759D0">
        <w:rPr>
          <w:rFonts w:ascii="Arial" w:hAnsi="Arial" w:cs="Arial"/>
          <w:sz w:val="24"/>
          <w:szCs w:val="24"/>
        </w:rPr>
        <w:t xml:space="preserve">s 15 of the Intelligence </w:t>
      </w:r>
      <w:r w:rsidR="00AE7EDB" w:rsidRPr="00E759D0">
        <w:rPr>
          <w:rFonts w:ascii="Arial" w:hAnsi="Arial" w:cs="Arial"/>
          <w:sz w:val="24"/>
          <w:szCs w:val="24"/>
        </w:rPr>
        <w:t xml:space="preserve">Services </w:t>
      </w:r>
      <w:r w:rsidR="00884457" w:rsidRPr="00E759D0">
        <w:rPr>
          <w:rFonts w:ascii="Arial" w:hAnsi="Arial" w:cs="Arial"/>
          <w:sz w:val="24"/>
          <w:szCs w:val="24"/>
        </w:rPr>
        <w:t>Act which provides that a member would be deemed to have been dismissed for misconduct if he or she is absent without permission of the Director-General for a period l</w:t>
      </w:r>
      <w:r w:rsidR="00D563AF" w:rsidRPr="00E759D0">
        <w:rPr>
          <w:rFonts w:ascii="Arial" w:hAnsi="Arial" w:cs="Arial"/>
          <w:sz w:val="24"/>
          <w:szCs w:val="24"/>
        </w:rPr>
        <w:t xml:space="preserve">onger than 10 (ten) consecutive days and </w:t>
      </w:r>
      <w:r w:rsidR="00884457" w:rsidRPr="00E759D0">
        <w:rPr>
          <w:rFonts w:ascii="Arial" w:hAnsi="Arial" w:cs="Arial"/>
          <w:sz w:val="24"/>
          <w:szCs w:val="24"/>
        </w:rPr>
        <w:t>discharged the applicant.</w:t>
      </w:r>
      <w:r w:rsidR="009E174A" w:rsidRPr="00E759D0">
        <w:rPr>
          <w:rFonts w:ascii="Arial" w:hAnsi="Arial" w:cs="Arial"/>
          <w:sz w:val="24"/>
          <w:szCs w:val="24"/>
        </w:rPr>
        <w:t xml:space="preserve"> In this letter, it is recorded that several unsuccessful attempts were made by the Actin</w:t>
      </w:r>
      <w:r w:rsidR="004B0436" w:rsidRPr="00E759D0">
        <w:rPr>
          <w:rFonts w:ascii="Arial" w:hAnsi="Arial" w:cs="Arial"/>
          <w:sz w:val="24"/>
          <w:szCs w:val="24"/>
        </w:rPr>
        <w:t>g</w:t>
      </w:r>
      <w:r w:rsidR="009E174A" w:rsidRPr="00E759D0">
        <w:rPr>
          <w:rFonts w:ascii="Arial" w:hAnsi="Arial" w:cs="Arial"/>
          <w:sz w:val="24"/>
          <w:szCs w:val="24"/>
        </w:rPr>
        <w:t xml:space="preserve"> Director-General to contact the applicant telephonically</w:t>
      </w:r>
      <w:r w:rsidR="002B0DB3" w:rsidRPr="00E759D0">
        <w:rPr>
          <w:rFonts w:ascii="Arial" w:hAnsi="Arial" w:cs="Arial"/>
          <w:sz w:val="24"/>
          <w:szCs w:val="24"/>
        </w:rPr>
        <w:t>, but to no avail</w:t>
      </w:r>
      <w:r w:rsidR="009E174A" w:rsidRPr="00E759D0">
        <w:rPr>
          <w:rFonts w:ascii="Arial" w:hAnsi="Arial" w:cs="Arial"/>
          <w:sz w:val="24"/>
          <w:szCs w:val="24"/>
        </w:rPr>
        <w:t>. The General Manager: Internal Security was then tasked to locate the applicant. The letter further records that on 13 June 2019</w:t>
      </w:r>
      <w:r w:rsidR="004B0436" w:rsidRPr="00E759D0">
        <w:rPr>
          <w:rFonts w:ascii="Arial" w:hAnsi="Arial" w:cs="Arial"/>
          <w:sz w:val="24"/>
          <w:szCs w:val="24"/>
        </w:rPr>
        <w:t>,</w:t>
      </w:r>
      <w:r w:rsidR="009E174A" w:rsidRPr="00E759D0">
        <w:rPr>
          <w:rFonts w:ascii="Arial" w:hAnsi="Arial" w:cs="Arial"/>
          <w:sz w:val="24"/>
          <w:szCs w:val="24"/>
        </w:rPr>
        <w:t xml:space="preserve"> a meeting took place between the General Manager: Internal Security and the applicant during which a letter was delivered to the applicant informing him that his absence was unauthorised. Despite the fact that the applicant had acknowledged receipt of the letter, he still did not respond. </w:t>
      </w:r>
      <w:r w:rsidR="007544C3" w:rsidRPr="00E759D0">
        <w:rPr>
          <w:rFonts w:ascii="Arial" w:hAnsi="Arial" w:cs="Arial"/>
          <w:sz w:val="24"/>
          <w:szCs w:val="24"/>
        </w:rPr>
        <w:t>The</w:t>
      </w:r>
      <w:r w:rsidR="009E174A" w:rsidRPr="00E759D0">
        <w:rPr>
          <w:rFonts w:ascii="Arial" w:hAnsi="Arial" w:cs="Arial"/>
          <w:sz w:val="24"/>
          <w:szCs w:val="24"/>
        </w:rPr>
        <w:t xml:space="preserve"> applicant was informed that </w:t>
      </w:r>
      <w:r w:rsidR="007544C3" w:rsidRPr="00E759D0">
        <w:rPr>
          <w:rFonts w:ascii="Arial" w:hAnsi="Arial" w:cs="Arial"/>
          <w:sz w:val="24"/>
          <w:szCs w:val="24"/>
        </w:rPr>
        <w:t>he</w:t>
      </w:r>
      <w:r w:rsidR="009E174A" w:rsidRPr="00E759D0">
        <w:rPr>
          <w:rFonts w:ascii="Arial" w:hAnsi="Arial" w:cs="Arial"/>
          <w:sz w:val="24"/>
          <w:szCs w:val="24"/>
        </w:rPr>
        <w:t xml:space="preserve"> was discharged by operation of law and that he was also deemed to be no longer a member with effect from 8 July 2019. His salary and benefits were also terminated with immediate effect. </w:t>
      </w:r>
      <w:r w:rsidR="002B0DB3" w:rsidRPr="00E759D0">
        <w:rPr>
          <w:rFonts w:ascii="Arial" w:hAnsi="Arial" w:cs="Arial"/>
          <w:sz w:val="24"/>
          <w:szCs w:val="24"/>
        </w:rPr>
        <w:t xml:space="preserve">Despite this letter, the applicant </w:t>
      </w:r>
      <w:r w:rsidR="00D563AF" w:rsidRPr="00E759D0">
        <w:rPr>
          <w:rFonts w:ascii="Arial" w:hAnsi="Arial" w:cs="Arial"/>
          <w:sz w:val="24"/>
          <w:szCs w:val="24"/>
        </w:rPr>
        <w:t xml:space="preserve">inexplicably </w:t>
      </w:r>
      <w:r w:rsidR="002B0DB3" w:rsidRPr="00E759D0">
        <w:rPr>
          <w:rFonts w:ascii="Arial" w:hAnsi="Arial" w:cs="Arial"/>
          <w:sz w:val="24"/>
          <w:szCs w:val="24"/>
        </w:rPr>
        <w:t xml:space="preserve">still did not communicate with his immediate supervisor. </w:t>
      </w:r>
    </w:p>
    <w:p w14:paraId="6544C9D5" w14:textId="77777777" w:rsidR="009E174A" w:rsidRPr="00E759D0" w:rsidRDefault="009E174A" w:rsidP="00E759D0">
      <w:pPr>
        <w:pStyle w:val="ListParagraph"/>
        <w:spacing w:line="360" w:lineRule="auto"/>
        <w:rPr>
          <w:rFonts w:ascii="Arial" w:hAnsi="Arial" w:cs="Arial"/>
          <w:sz w:val="24"/>
          <w:szCs w:val="24"/>
        </w:rPr>
      </w:pPr>
    </w:p>
    <w:p w14:paraId="1AFFEFAF" w14:textId="77777777" w:rsidR="009E174A" w:rsidRPr="00E759D0" w:rsidRDefault="009E174A" w:rsidP="00E759D0">
      <w:pPr>
        <w:pStyle w:val="ListParagraph"/>
        <w:numPr>
          <w:ilvl w:val="0"/>
          <w:numId w:val="1"/>
        </w:numPr>
        <w:spacing w:line="360" w:lineRule="auto"/>
        <w:jc w:val="both"/>
        <w:rPr>
          <w:rFonts w:ascii="Arial" w:hAnsi="Arial" w:cs="Arial"/>
          <w:sz w:val="24"/>
          <w:szCs w:val="24"/>
        </w:rPr>
      </w:pPr>
      <w:r w:rsidRPr="00E759D0">
        <w:rPr>
          <w:rFonts w:ascii="Arial" w:hAnsi="Arial" w:cs="Arial"/>
          <w:sz w:val="24"/>
          <w:szCs w:val="24"/>
        </w:rPr>
        <w:t xml:space="preserve">In a </w:t>
      </w:r>
      <w:r w:rsidR="00E755B0" w:rsidRPr="00E759D0">
        <w:rPr>
          <w:rFonts w:ascii="Arial" w:hAnsi="Arial" w:cs="Arial"/>
          <w:sz w:val="24"/>
          <w:szCs w:val="24"/>
        </w:rPr>
        <w:t>further</w:t>
      </w:r>
      <w:r w:rsidRPr="00E759D0">
        <w:rPr>
          <w:rFonts w:ascii="Arial" w:hAnsi="Arial" w:cs="Arial"/>
          <w:sz w:val="24"/>
          <w:szCs w:val="24"/>
        </w:rPr>
        <w:t xml:space="preserve"> letter to the applicant’s attorneys dated 21 October 2019, </w:t>
      </w:r>
      <w:proofErr w:type="spellStart"/>
      <w:r w:rsidRPr="00E759D0">
        <w:rPr>
          <w:rFonts w:ascii="Arial" w:hAnsi="Arial" w:cs="Arial"/>
          <w:sz w:val="24"/>
          <w:szCs w:val="24"/>
        </w:rPr>
        <w:t>Jafta</w:t>
      </w:r>
      <w:proofErr w:type="spellEnd"/>
      <w:r w:rsidRPr="00E759D0">
        <w:rPr>
          <w:rFonts w:ascii="Arial" w:hAnsi="Arial" w:cs="Arial"/>
          <w:sz w:val="24"/>
          <w:szCs w:val="24"/>
        </w:rPr>
        <w:t xml:space="preserve"> recorded that has been trying for more than two weeks to reach the applicant without success: “All attempts to </w:t>
      </w:r>
      <w:r w:rsidR="00E755B0" w:rsidRPr="00E759D0">
        <w:rPr>
          <w:rFonts w:ascii="Arial" w:hAnsi="Arial" w:cs="Arial"/>
          <w:sz w:val="24"/>
          <w:szCs w:val="24"/>
        </w:rPr>
        <w:t>contact</w:t>
      </w:r>
      <w:r w:rsidRPr="00E759D0">
        <w:rPr>
          <w:rFonts w:ascii="Arial" w:hAnsi="Arial" w:cs="Arial"/>
          <w:sz w:val="24"/>
          <w:szCs w:val="24"/>
        </w:rPr>
        <w:t xml:space="preserve"> him were frustrated by </w:t>
      </w:r>
      <w:r w:rsidR="00E755B0" w:rsidRPr="00E759D0">
        <w:rPr>
          <w:rFonts w:ascii="Arial" w:hAnsi="Arial" w:cs="Arial"/>
          <w:sz w:val="24"/>
          <w:szCs w:val="24"/>
        </w:rPr>
        <w:t>him</w:t>
      </w:r>
      <w:r w:rsidRPr="00E759D0">
        <w:rPr>
          <w:rFonts w:ascii="Arial" w:hAnsi="Arial" w:cs="Arial"/>
          <w:sz w:val="24"/>
          <w:szCs w:val="24"/>
        </w:rPr>
        <w:t xml:space="preserve"> and he has refused to cooperate </w:t>
      </w:r>
      <w:r w:rsidR="007544C3" w:rsidRPr="00E759D0">
        <w:rPr>
          <w:rFonts w:ascii="Arial" w:hAnsi="Arial" w:cs="Arial"/>
          <w:sz w:val="24"/>
          <w:szCs w:val="24"/>
        </w:rPr>
        <w:t>in this regard</w:t>
      </w:r>
      <w:r w:rsidRPr="00E759D0">
        <w:rPr>
          <w:rFonts w:ascii="Arial" w:hAnsi="Arial" w:cs="Arial"/>
          <w:sz w:val="24"/>
          <w:szCs w:val="24"/>
        </w:rPr>
        <w:t xml:space="preserve">”. The letter reiterates that the applicant was discharged by operation of law. </w:t>
      </w:r>
    </w:p>
    <w:p w14:paraId="679AD75A" w14:textId="77777777" w:rsidR="00884457" w:rsidRPr="00E759D0" w:rsidRDefault="00884457" w:rsidP="00E759D0">
      <w:pPr>
        <w:pStyle w:val="ListParagraph"/>
        <w:spacing w:line="360" w:lineRule="auto"/>
        <w:ind w:left="0"/>
        <w:jc w:val="both"/>
        <w:rPr>
          <w:rFonts w:ascii="Arial" w:hAnsi="Arial" w:cs="Arial"/>
          <w:sz w:val="24"/>
          <w:szCs w:val="24"/>
        </w:rPr>
      </w:pPr>
    </w:p>
    <w:p w14:paraId="3A447C2D" w14:textId="7421A611" w:rsidR="00D57139" w:rsidRPr="00E759D0" w:rsidRDefault="00D563AF" w:rsidP="00E759D0">
      <w:pPr>
        <w:pStyle w:val="ListParagraph"/>
        <w:numPr>
          <w:ilvl w:val="0"/>
          <w:numId w:val="1"/>
        </w:numPr>
        <w:spacing w:line="360" w:lineRule="auto"/>
        <w:jc w:val="both"/>
        <w:rPr>
          <w:rFonts w:ascii="Arial" w:hAnsi="Arial" w:cs="Arial"/>
          <w:sz w:val="24"/>
          <w:szCs w:val="24"/>
        </w:rPr>
      </w:pPr>
      <w:r w:rsidRPr="00E759D0">
        <w:rPr>
          <w:rFonts w:ascii="Arial" w:hAnsi="Arial" w:cs="Arial"/>
          <w:sz w:val="24"/>
          <w:szCs w:val="24"/>
        </w:rPr>
        <w:lastRenderedPageBreak/>
        <w:t xml:space="preserve">Only on </w:t>
      </w:r>
      <w:r w:rsidR="00E755B0" w:rsidRPr="00E759D0">
        <w:rPr>
          <w:rFonts w:ascii="Arial" w:hAnsi="Arial" w:cs="Arial"/>
          <w:sz w:val="24"/>
          <w:szCs w:val="24"/>
        </w:rPr>
        <w:t xml:space="preserve">6 December 2019, the </w:t>
      </w:r>
      <w:r w:rsidR="009064BE" w:rsidRPr="00E759D0">
        <w:rPr>
          <w:rFonts w:ascii="Arial" w:hAnsi="Arial" w:cs="Arial"/>
          <w:sz w:val="24"/>
          <w:szCs w:val="24"/>
        </w:rPr>
        <w:t xml:space="preserve">applicant </w:t>
      </w:r>
      <w:r w:rsidR="00E755B0" w:rsidRPr="00E759D0">
        <w:rPr>
          <w:rFonts w:ascii="Arial" w:hAnsi="Arial" w:cs="Arial"/>
          <w:sz w:val="24"/>
          <w:szCs w:val="24"/>
        </w:rPr>
        <w:t>addressed a letter to the Actin</w:t>
      </w:r>
      <w:r w:rsidR="007544C3" w:rsidRPr="00E759D0">
        <w:rPr>
          <w:rFonts w:ascii="Arial" w:hAnsi="Arial" w:cs="Arial"/>
          <w:sz w:val="24"/>
          <w:szCs w:val="24"/>
        </w:rPr>
        <w:t>g</w:t>
      </w:r>
      <w:r w:rsidR="00E755B0" w:rsidRPr="00E759D0">
        <w:rPr>
          <w:rFonts w:ascii="Arial" w:hAnsi="Arial" w:cs="Arial"/>
          <w:sz w:val="24"/>
          <w:szCs w:val="24"/>
        </w:rPr>
        <w:t xml:space="preserve"> Director-General in which he made rep</w:t>
      </w:r>
      <w:r w:rsidRPr="00E759D0">
        <w:rPr>
          <w:rFonts w:ascii="Arial" w:hAnsi="Arial" w:cs="Arial"/>
          <w:sz w:val="24"/>
          <w:szCs w:val="24"/>
        </w:rPr>
        <w:t>resentations in terms of s</w:t>
      </w:r>
      <w:r w:rsidR="00E755B0" w:rsidRPr="00E759D0">
        <w:rPr>
          <w:rFonts w:ascii="Arial" w:hAnsi="Arial" w:cs="Arial"/>
          <w:sz w:val="24"/>
          <w:szCs w:val="24"/>
        </w:rPr>
        <w:t xml:space="preserve"> 15 of the Intelligence Services Act. In brief</w:t>
      </w:r>
      <w:r w:rsidR="007541D2" w:rsidRPr="00E759D0">
        <w:rPr>
          <w:rFonts w:ascii="Arial" w:hAnsi="Arial" w:cs="Arial"/>
          <w:sz w:val="24"/>
          <w:szCs w:val="24"/>
        </w:rPr>
        <w:t>,</w:t>
      </w:r>
      <w:r w:rsidR="00E755B0" w:rsidRPr="00E759D0">
        <w:rPr>
          <w:rFonts w:ascii="Arial" w:hAnsi="Arial" w:cs="Arial"/>
          <w:sz w:val="24"/>
          <w:szCs w:val="24"/>
        </w:rPr>
        <w:t xml:space="preserve"> he </w:t>
      </w:r>
      <w:r w:rsidR="00922FFC" w:rsidRPr="00E759D0">
        <w:rPr>
          <w:rFonts w:ascii="Arial" w:hAnsi="Arial" w:cs="Arial"/>
          <w:sz w:val="24"/>
          <w:szCs w:val="24"/>
        </w:rPr>
        <w:t xml:space="preserve">persisted with the version </w:t>
      </w:r>
      <w:r w:rsidR="00E755B0" w:rsidRPr="00E759D0">
        <w:rPr>
          <w:rFonts w:ascii="Arial" w:hAnsi="Arial" w:cs="Arial"/>
          <w:sz w:val="24"/>
          <w:szCs w:val="24"/>
        </w:rPr>
        <w:t xml:space="preserve">that he had communicated with </w:t>
      </w:r>
      <w:proofErr w:type="spellStart"/>
      <w:r w:rsidR="00E755B0" w:rsidRPr="00E759D0">
        <w:rPr>
          <w:rFonts w:ascii="Arial" w:hAnsi="Arial" w:cs="Arial"/>
          <w:sz w:val="24"/>
          <w:szCs w:val="24"/>
        </w:rPr>
        <w:t>Dube</w:t>
      </w:r>
      <w:proofErr w:type="spellEnd"/>
      <w:r w:rsidR="00E755B0" w:rsidRPr="00E759D0">
        <w:rPr>
          <w:rFonts w:ascii="Arial" w:hAnsi="Arial" w:cs="Arial"/>
          <w:sz w:val="24"/>
          <w:szCs w:val="24"/>
        </w:rPr>
        <w:t xml:space="preserve"> and </w:t>
      </w:r>
      <w:r w:rsidRPr="00E759D0">
        <w:rPr>
          <w:rFonts w:ascii="Arial" w:hAnsi="Arial" w:cs="Arial"/>
          <w:sz w:val="24"/>
          <w:szCs w:val="24"/>
        </w:rPr>
        <w:t xml:space="preserve">that he had </w:t>
      </w:r>
      <w:r w:rsidR="00E755B0" w:rsidRPr="00E759D0">
        <w:rPr>
          <w:rFonts w:ascii="Arial" w:hAnsi="Arial" w:cs="Arial"/>
          <w:sz w:val="24"/>
          <w:szCs w:val="24"/>
        </w:rPr>
        <w:t xml:space="preserve">submitted his medical </w:t>
      </w:r>
      <w:r w:rsidR="007541D2" w:rsidRPr="00E759D0">
        <w:rPr>
          <w:rFonts w:ascii="Arial" w:hAnsi="Arial" w:cs="Arial"/>
          <w:sz w:val="24"/>
          <w:szCs w:val="24"/>
        </w:rPr>
        <w:t>certificates</w:t>
      </w:r>
      <w:r w:rsidR="00E755B0" w:rsidRPr="00E759D0">
        <w:rPr>
          <w:rFonts w:ascii="Arial" w:hAnsi="Arial" w:cs="Arial"/>
          <w:sz w:val="24"/>
          <w:szCs w:val="24"/>
        </w:rPr>
        <w:t xml:space="preserve"> to her. </w:t>
      </w:r>
      <w:r w:rsidR="00D57139" w:rsidRPr="00E759D0">
        <w:rPr>
          <w:rFonts w:ascii="Arial" w:hAnsi="Arial" w:cs="Arial"/>
          <w:sz w:val="24"/>
          <w:szCs w:val="24"/>
        </w:rPr>
        <w:t xml:space="preserve">He also states that he had a meeting with the Deputy Minister in </w:t>
      </w:r>
      <w:proofErr w:type="spellStart"/>
      <w:r w:rsidR="007541D2" w:rsidRPr="00E759D0">
        <w:rPr>
          <w:rFonts w:ascii="Arial" w:hAnsi="Arial" w:cs="Arial"/>
          <w:sz w:val="24"/>
          <w:szCs w:val="24"/>
        </w:rPr>
        <w:t>KwaZulu</w:t>
      </w:r>
      <w:proofErr w:type="spellEnd"/>
      <w:r w:rsidR="00D57139" w:rsidRPr="00E759D0">
        <w:rPr>
          <w:rFonts w:ascii="Arial" w:hAnsi="Arial" w:cs="Arial"/>
          <w:sz w:val="24"/>
          <w:szCs w:val="24"/>
        </w:rPr>
        <w:t xml:space="preserve"> Natal and avers that the Minister and the Deputy Minister were aware of his medical condition. In this letter</w:t>
      </w:r>
      <w:r w:rsidR="007541D2" w:rsidRPr="00E759D0">
        <w:rPr>
          <w:rFonts w:ascii="Arial" w:hAnsi="Arial" w:cs="Arial"/>
          <w:sz w:val="24"/>
          <w:szCs w:val="24"/>
        </w:rPr>
        <w:t>,</w:t>
      </w:r>
      <w:r w:rsidR="00D57139" w:rsidRPr="00E759D0">
        <w:rPr>
          <w:rFonts w:ascii="Arial" w:hAnsi="Arial" w:cs="Arial"/>
          <w:sz w:val="24"/>
          <w:szCs w:val="24"/>
        </w:rPr>
        <w:t xml:space="preserve"> he seeks his reinstatement failing which he “reserves my right to pursue the matter </w:t>
      </w:r>
      <w:r w:rsidR="007541D2" w:rsidRPr="00E759D0">
        <w:rPr>
          <w:rFonts w:ascii="Arial" w:hAnsi="Arial" w:cs="Arial"/>
          <w:sz w:val="24"/>
          <w:szCs w:val="24"/>
        </w:rPr>
        <w:t>with</w:t>
      </w:r>
      <w:r w:rsidR="00D57139" w:rsidRPr="00E759D0">
        <w:rPr>
          <w:rFonts w:ascii="Arial" w:hAnsi="Arial" w:cs="Arial"/>
          <w:sz w:val="24"/>
          <w:szCs w:val="24"/>
        </w:rPr>
        <w:t xml:space="preserve"> </w:t>
      </w:r>
      <w:r w:rsidRPr="00E759D0">
        <w:rPr>
          <w:rFonts w:ascii="Arial" w:hAnsi="Arial" w:cs="Arial"/>
          <w:sz w:val="24"/>
          <w:szCs w:val="24"/>
        </w:rPr>
        <w:t>the minister in terms of s</w:t>
      </w:r>
      <w:r w:rsidR="00D57139" w:rsidRPr="00E759D0">
        <w:rPr>
          <w:rFonts w:ascii="Arial" w:hAnsi="Arial" w:cs="Arial"/>
          <w:sz w:val="24"/>
          <w:szCs w:val="24"/>
        </w:rPr>
        <w:t xml:space="preserve"> 15</w:t>
      </w:r>
      <w:r w:rsidR="007544C3" w:rsidRPr="00E759D0">
        <w:rPr>
          <w:rFonts w:ascii="Arial" w:hAnsi="Arial" w:cs="Arial"/>
          <w:sz w:val="24"/>
          <w:szCs w:val="24"/>
        </w:rPr>
        <w:t>(c)</w:t>
      </w:r>
      <w:r w:rsidR="00D57139" w:rsidRPr="00E759D0">
        <w:rPr>
          <w:rFonts w:ascii="Arial" w:hAnsi="Arial" w:cs="Arial"/>
          <w:sz w:val="24"/>
          <w:szCs w:val="24"/>
        </w:rPr>
        <w:t xml:space="preserve"> of the Act”.</w:t>
      </w:r>
    </w:p>
    <w:p w14:paraId="705C9413" w14:textId="77777777" w:rsidR="00D57139" w:rsidRPr="00E759D0" w:rsidRDefault="00D57139" w:rsidP="00E759D0">
      <w:pPr>
        <w:pStyle w:val="ListParagraph"/>
        <w:spacing w:line="360" w:lineRule="auto"/>
        <w:rPr>
          <w:rFonts w:ascii="Arial" w:hAnsi="Arial" w:cs="Arial"/>
          <w:sz w:val="24"/>
          <w:szCs w:val="24"/>
        </w:rPr>
      </w:pPr>
    </w:p>
    <w:p w14:paraId="2AA992EB" w14:textId="2703E4A6" w:rsidR="009064BE" w:rsidRPr="00E759D0" w:rsidRDefault="009064BE" w:rsidP="00E759D0">
      <w:pPr>
        <w:pStyle w:val="ListParagraph"/>
        <w:numPr>
          <w:ilvl w:val="0"/>
          <w:numId w:val="1"/>
        </w:numPr>
        <w:spacing w:line="360" w:lineRule="auto"/>
        <w:jc w:val="both"/>
        <w:rPr>
          <w:rFonts w:ascii="Arial" w:hAnsi="Arial" w:cs="Arial"/>
          <w:sz w:val="24"/>
          <w:szCs w:val="24"/>
        </w:rPr>
      </w:pPr>
      <w:r w:rsidRPr="00E759D0">
        <w:rPr>
          <w:rFonts w:ascii="Arial" w:hAnsi="Arial" w:cs="Arial"/>
          <w:sz w:val="24"/>
          <w:szCs w:val="24"/>
        </w:rPr>
        <w:t xml:space="preserve">On 4 June 2020, </w:t>
      </w:r>
      <w:proofErr w:type="spellStart"/>
      <w:r w:rsidR="007541D2" w:rsidRPr="00E759D0">
        <w:rPr>
          <w:rFonts w:ascii="Arial" w:hAnsi="Arial" w:cs="Arial"/>
          <w:sz w:val="24"/>
          <w:szCs w:val="24"/>
        </w:rPr>
        <w:t>Jafta</w:t>
      </w:r>
      <w:proofErr w:type="spellEnd"/>
      <w:r w:rsidR="007541D2" w:rsidRPr="00E759D0">
        <w:rPr>
          <w:rFonts w:ascii="Arial" w:hAnsi="Arial" w:cs="Arial"/>
          <w:sz w:val="24"/>
          <w:szCs w:val="24"/>
        </w:rPr>
        <w:t xml:space="preserve"> informed </w:t>
      </w:r>
      <w:r w:rsidR="007544C3" w:rsidRPr="00E759D0">
        <w:rPr>
          <w:rFonts w:ascii="Arial" w:hAnsi="Arial" w:cs="Arial"/>
          <w:sz w:val="24"/>
          <w:szCs w:val="24"/>
        </w:rPr>
        <w:t>the applicant</w:t>
      </w:r>
      <w:r w:rsidR="00D57139" w:rsidRPr="00E759D0">
        <w:rPr>
          <w:rFonts w:ascii="Arial" w:hAnsi="Arial" w:cs="Arial"/>
          <w:sz w:val="24"/>
          <w:szCs w:val="24"/>
        </w:rPr>
        <w:t xml:space="preserve"> that his appeal was </w:t>
      </w:r>
      <w:r w:rsidRPr="00E759D0">
        <w:rPr>
          <w:rFonts w:ascii="Arial" w:hAnsi="Arial" w:cs="Arial"/>
          <w:sz w:val="24"/>
          <w:szCs w:val="24"/>
        </w:rPr>
        <w:t>dismissed</w:t>
      </w:r>
      <w:r w:rsidR="007541D2" w:rsidRPr="00E759D0">
        <w:rPr>
          <w:rFonts w:ascii="Arial" w:hAnsi="Arial" w:cs="Arial"/>
          <w:sz w:val="24"/>
          <w:szCs w:val="24"/>
        </w:rPr>
        <w:t xml:space="preserve"> on the basis that he </w:t>
      </w:r>
      <w:r w:rsidR="007544C3" w:rsidRPr="00E759D0">
        <w:rPr>
          <w:rFonts w:ascii="Arial" w:hAnsi="Arial" w:cs="Arial"/>
          <w:sz w:val="24"/>
          <w:szCs w:val="24"/>
        </w:rPr>
        <w:t>had</w:t>
      </w:r>
      <w:r w:rsidR="007541D2" w:rsidRPr="00E759D0">
        <w:rPr>
          <w:rFonts w:ascii="Arial" w:hAnsi="Arial" w:cs="Arial"/>
          <w:sz w:val="24"/>
          <w:szCs w:val="24"/>
        </w:rPr>
        <w:t xml:space="preserve"> not </w:t>
      </w:r>
      <w:r w:rsidR="00922FFC" w:rsidRPr="00E759D0">
        <w:rPr>
          <w:rFonts w:ascii="Arial" w:hAnsi="Arial" w:cs="Arial"/>
          <w:sz w:val="24"/>
          <w:szCs w:val="24"/>
        </w:rPr>
        <w:t>reported</w:t>
      </w:r>
      <w:r w:rsidR="007541D2" w:rsidRPr="00E759D0">
        <w:rPr>
          <w:rFonts w:ascii="Arial" w:hAnsi="Arial" w:cs="Arial"/>
          <w:sz w:val="24"/>
          <w:szCs w:val="24"/>
        </w:rPr>
        <w:t xml:space="preserve"> to the Head Office at </w:t>
      </w:r>
      <w:proofErr w:type="spellStart"/>
      <w:r w:rsidR="007541D2" w:rsidRPr="00E759D0">
        <w:rPr>
          <w:rFonts w:ascii="Arial" w:hAnsi="Arial" w:cs="Arial"/>
          <w:sz w:val="24"/>
          <w:szCs w:val="24"/>
        </w:rPr>
        <w:t>Musanda</w:t>
      </w:r>
      <w:proofErr w:type="spellEnd"/>
      <w:r w:rsidR="007541D2" w:rsidRPr="00E759D0">
        <w:rPr>
          <w:rFonts w:ascii="Arial" w:hAnsi="Arial" w:cs="Arial"/>
          <w:sz w:val="24"/>
          <w:szCs w:val="24"/>
        </w:rPr>
        <w:t xml:space="preserve"> since his </w:t>
      </w:r>
      <w:r w:rsidR="007544C3" w:rsidRPr="00E759D0">
        <w:rPr>
          <w:rFonts w:ascii="Arial" w:hAnsi="Arial" w:cs="Arial"/>
          <w:sz w:val="24"/>
          <w:szCs w:val="24"/>
        </w:rPr>
        <w:t>return</w:t>
      </w:r>
      <w:r w:rsidR="007541D2" w:rsidRPr="00E759D0">
        <w:rPr>
          <w:rFonts w:ascii="Arial" w:hAnsi="Arial" w:cs="Arial"/>
          <w:sz w:val="24"/>
          <w:szCs w:val="24"/>
        </w:rPr>
        <w:t xml:space="preserve"> from Japan and that all </w:t>
      </w:r>
      <w:r w:rsidR="007544C3" w:rsidRPr="00E759D0">
        <w:rPr>
          <w:rFonts w:ascii="Arial" w:hAnsi="Arial" w:cs="Arial"/>
          <w:sz w:val="24"/>
          <w:szCs w:val="24"/>
        </w:rPr>
        <w:t>efforts</w:t>
      </w:r>
      <w:r w:rsidR="007541D2" w:rsidRPr="00E759D0">
        <w:rPr>
          <w:rFonts w:ascii="Arial" w:hAnsi="Arial" w:cs="Arial"/>
          <w:sz w:val="24"/>
          <w:szCs w:val="24"/>
        </w:rPr>
        <w:t xml:space="preserve"> to engage with him had been ignored</w:t>
      </w:r>
      <w:r w:rsidR="00EB0E87" w:rsidRPr="00E759D0">
        <w:rPr>
          <w:rFonts w:ascii="Arial" w:hAnsi="Arial" w:cs="Arial"/>
          <w:sz w:val="24"/>
          <w:szCs w:val="24"/>
        </w:rPr>
        <w:t>.</w:t>
      </w:r>
    </w:p>
    <w:p w14:paraId="4675F825" w14:textId="77777777" w:rsidR="00656698" w:rsidRPr="00E759D0" w:rsidRDefault="00656698" w:rsidP="00E759D0">
      <w:pPr>
        <w:pStyle w:val="ListParagraph"/>
        <w:spacing w:line="360" w:lineRule="auto"/>
        <w:rPr>
          <w:rFonts w:ascii="Arial" w:hAnsi="Arial" w:cs="Arial"/>
          <w:sz w:val="24"/>
          <w:szCs w:val="24"/>
        </w:rPr>
      </w:pPr>
    </w:p>
    <w:p w14:paraId="36BD74D0" w14:textId="77777777" w:rsidR="007568FC" w:rsidRPr="00E759D0" w:rsidRDefault="00D57139" w:rsidP="00E759D0">
      <w:pPr>
        <w:spacing w:line="360" w:lineRule="auto"/>
        <w:rPr>
          <w:rFonts w:ascii="Arial" w:hAnsi="Arial" w:cs="Arial"/>
          <w:i/>
          <w:sz w:val="24"/>
          <w:szCs w:val="24"/>
        </w:rPr>
      </w:pPr>
      <w:r w:rsidRPr="00E759D0">
        <w:rPr>
          <w:rFonts w:ascii="Arial" w:hAnsi="Arial" w:cs="Arial"/>
          <w:i/>
          <w:sz w:val="24"/>
          <w:szCs w:val="24"/>
        </w:rPr>
        <w:t xml:space="preserve">Section 15 of the </w:t>
      </w:r>
      <w:r w:rsidR="007544C3" w:rsidRPr="00E759D0">
        <w:rPr>
          <w:rFonts w:ascii="Arial" w:hAnsi="Arial" w:cs="Arial"/>
          <w:i/>
          <w:sz w:val="24"/>
          <w:szCs w:val="24"/>
        </w:rPr>
        <w:t>Intelligence Services Act</w:t>
      </w:r>
    </w:p>
    <w:p w14:paraId="1D373372" w14:textId="522EE4A5" w:rsidR="001646C8" w:rsidRPr="00E759D0" w:rsidRDefault="00E505FD" w:rsidP="00E759D0">
      <w:pPr>
        <w:pStyle w:val="ListParagraph"/>
        <w:numPr>
          <w:ilvl w:val="0"/>
          <w:numId w:val="1"/>
        </w:numPr>
        <w:spacing w:line="360" w:lineRule="auto"/>
        <w:jc w:val="both"/>
        <w:rPr>
          <w:rFonts w:ascii="Arial" w:hAnsi="Arial" w:cs="Arial"/>
          <w:sz w:val="24"/>
          <w:szCs w:val="24"/>
        </w:rPr>
      </w:pPr>
      <w:r w:rsidRPr="00E759D0">
        <w:rPr>
          <w:rFonts w:ascii="Arial" w:hAnsi="Arial" w:cs="Arial"/>
          <w:sz w:val="24"/>
          <w:szCs w:val="24"/>
        </w:rPr>
        <w:t>Discharge of members of the State Security A</w:t>
      </w:r>
      <w:r w:rsidR="00EE27C8" w:rsidRPr="00E759D0">
        <w:rPr>
          <w:rFonts w:ascii="Arial" w:hAnsi="Arial" w:cs="Arial"/>
          <w:sz w:val="24"/>
          <w:szCs w:val="24"/>
        </w:rPr>
        <w:t>gency may take place on the following</w:t>
      </w:r>
      <w:r w:rsidRPr="00E759D0">
        <w:rPr>
          <w:rFonts w:ascii="Arial" w:hAnsi="Arial" w:cs="Arial"/>
          <w:sz w:val="24"/>
          <w:szCs w:val="24"/>
        </w:rPr>
        <w:t xml:space="preserve"> circumstances: (</w:t>
      </w:r>
      <w:proofErr w:type="spellStart"/>
      <w:r w:rsidRPr="00E759D0">
        <w:rPr>
          <w:rFonts w:ascii="Arial" w:hAnsi="Arial" w:cs="Arial"/>
          <w:sz w:val="24"/>
          <w:szCs w:val="24"/>
        </w:rPr>
        <w:t>i</w:t>
      </w:r>
      <w:proofErr w:type="spellEnd"/>
      <w:r w:rsidRPr="00E759D0">
        <w:rPr>
          <w:rFonts w:ascii="Arial" w:hAnsi="Arial" w:cs="Arial"/>
          <w:sz w:val="24"/>
          <w:szCs w:val="24"/>
        </w:rPr>
        <w:t>) discharge on account of long absence without leave;</w:t>
      </w:r>
      <w:r w:rsidRPr="00E759D0">
        <w:rPr>
          <w:rStyle w:val="FootnoteReference"/>
          <w:rFonts w:ascii="Arial" w:hAnsi="Arial" w:cs="Arial"/>
          <w:sz w:val="24"/>
          <w:szCs w:val="24"/>
        </w:rPr>
        <w:footnoteReference w:id="9"/>
      </w:r>
      <w:r w:rsidRPr="00E759D0">
        <w:rPr>
          <w:rFonts w:ascii="Arial" w:hAnsi="Arial" w:cs="Arial"/>
          <w:sz w:val="24"/>
          <w:szCs w:val="24"/>
        </w:rPr>
        <w:t xml:space="preserve"> (ii) discharge on account of ill health;</w:t>
      </w:r>
      <w:r w:rsidRPr="00E759D0">
        <w:rPr>
          <w:rStyle w:val="FootnoteReference"/>
          <w:rFonts w:ascii="Arial" w:hAnsi="Arial" w:cs="Arial"/>
          <w:sz w:val="24"/>
          <w:szCs w:val="24"/>
        </w:rPr>
        <w:footnoteReference w:id="10"/>
      </w:r>
      <w:r w:rsidRPr="00E759D0">
        <w:rPr>
          <w:rFonts w:ascii="Arial" w:hAnsi="Arial" w:cs="Arial"/>
          <w:sz w:val="24"/>
          <w:szCs w:val="24"/>
        </w:rPr>
        <w:t xml:space="preserve"> (iii) discharge or demotion on account of poor</w:t>
      </w:r>
      <w:r w:rsidR="004E7B0B" w:rsidRPr="00E759D0">
        <w:rPr>
          <w:rFonts w:ascii="Arial" w:hAnsi="Arial" w:cs="Arial"/>
          <w:sz w:val="24"/>
          <w:szCs w:val="24"/>
        </w:rPr>
        <w:t xml:space="preserve"> </w:t>
      </w:r>
      <w:r w:rsidRPr="00E759D0">
        <w:rPr>
          <w:rFonts w:ascii="Arial" w:hAnsi="Arial" w:cs="Arial"/>
          <w:sz w:val="24"/>
          <w:szCs w:val="24"/>
        </w:rPr>
        <w:t>performance;</w:t>
      </w:r>
      <w:r w:rsidR="004E7B0B" w:rsidRPr="00E759D0">
        <w:rPr>
          <w:rFonts w:ascii="Arial" w:hAnsi="Arial" w:cs="Arial"/>
          <w:sz w:val="24"/>
          <w:szCs w:val="24"/>
        </w:rPr>
        <w:t xml:space="preserve"> </w:t>
      </w:r>
      <w:r w:rsidRPr="00E759D0">
        <w:rPr>
          <w:rStyle w:val="FootnoteReference"/>
          <w:rFonts w:ascii="Arial" w:hAnsi="Arial" w:cs="Arial"/>
          <w:sz w:val="24"/>
          <w:szCs w:val="24"/>
        </w:rPr>
        <w:footnoteReference w:id="11"/>
      </w:r>
      <w:r w:rsidRPr="00E759D0">
        <w:rPr>
          <w:rFonts w:ascii="Arial" w:hAnsi="Arial" w:cs="Arial"/>
          <w:sz w:val="24"/>
          <w:szCs w:val="24"/>
        </w:rPr>
        <w:t>and (iv) discharge or demotion on account of misconduct.</w:t>
      </w:r>
      <w:r w:rsidRPr="00E759D0">
        <w:rPr>
          <w:rStyle w:val="FootnoteReference"/>
          <w:rFonts w:ascii="Arial" w:hAnsi="Arial" w:cs="Arial"/>
          <w:sz w:val="24"/>
          <w:szCs w:val="24"/>
        </w:rPr>
        <w:footnoteReference w:id="12"/>
      </w:r>
      <w:r w:rsidRPr="00E759D0">
        <w:rPr>
          <w:rFonts w:ascii="Arial" w:hAnsi="Arial" w:cs="Arial"/>
          <w:sz w:val="24"/>
          <w:szCs w:val="24"/>
        </w:rPr>
        <w:t xml:space="preserve"> Section 15</w:t>
      </w:r>
      <w:r w:rsidR="00930273" w:rsidRPr="00E759D0">
        <w:rPr>
          <w:rFonts w:ascii="Arial" w:hAnsi="Arial" w:cs="Arial"/>
          <w:sz w:val="24"/>
          <w:szCs w:val="24"/>
        </w:rPr>
        <w:t xml:space="preserve"> provides for a discharge of a member who </w:t>
      </w:r>
      <w:r w:rsidR="00922FFC" w:rsidRPr="00E759D0">
        <w:rPr>
          <w:rFonts w:ascii="Arial" w:hAnsi="Arial" w:cs="Arial"/>
          <w:sz w:val="24"/>
          <w:szCs w:val="24"/>
        </w:rPr>
        <w:t xml:space="preserve">absents </w:t>
      </w:r>
      <w:r w:rsidR="00930273" w:rsidRPr="00E759D0">
        <w:rPr>
          <w:rFonts w:ascii="Arial" w:hAnsi="Arial" w:cs="Arial"/>
          <w:sz w:val="24"/>
          <w:szCs w:val="24"/>
        </w:rPr>
        <w:t xml:space="preserve">himself or herself, either voluntarily </w:t>
      </w:r>
      <w:r w:rsidR="00922FFC" w:rsidRPr="00E759D0">
        <w:rPr>
          <w:rFonts w:ascii="Arial" w:hAnsi="Arial" w:cs="Arial"/>
          <w:sz w:val="24"/>
          <w:szCs w:val="24"/>
        </w:rPr>
        <w:t>or in</w:t>
      </w:r>
      <w:r w:rsidR="00930273" w:rsidRPr="00E759D0">
        <w:rPr>
          <w:rFonts w:ascii="Arial" w:hAnsi="Arial" w:cs="Arial"/>
          <w:sz w:val="24"/>
          <w:szCs w:val="24"/>
        </w:rPr>
        <w:t xml:space="preserve">voluntary, from his or her official duties without the permission of the director-general for a period exceeding 10 consecutive working days without any form of </w:t>
      </w:r>
      <w:r w:rsidR="006E711A" w:rsidRPr="00E759D0">
        <w:rPr>
          <w:rFonts w:ascii="Arial" w:hAnsi="Arial" w:cs="Arial"/>
          <w:sz w:val="24"/>
          <w:szCs w:val="24"/>
        </w:rPr>
        <w:t>inquiry</w:t>
      </w:r>
      <w:r w:rsidR="00930273" w:rsidRPr="00E759D0">
        <w:rPr>
          <w:rFonts w:ascii="Arial" w:hAnsi="Arial" w:cs="Arial"/>
          <w:sz w:val="24"/>
          <w:szCs w:val="24"/>
        </w:rPr>
        <w:t>. This section reads as follows</w:t>
      </w:r>
      <w:r w:rsidR="00EB0E87" w:rsidRPr="00E759D0">
        <w:rPr>
          <w:rFonts w:ascii="Arial" w:hAnsi="Arial" w:cs="Arial"/>
          <w:sz w:val="24"/>
          <w:szCs w:val="24"/>
        </w:rPr>
        <w:t>:</w:t>
      </w:r>
    </w:p>
    <w:p w14:paraId="69BD54C2" w14:textId="77777777" w:rsidR="00930273" w:rsidRPr="00E759D0" w:rsidRDefault="00930273" w:rsidP="00E759D0">
      <w:pPr>
        <w:pStyle w:val="ListParagraph"/>
        <w:spacing w:line="360" w:lineRule="auto"/>
        <w:ind w:left="0"/>
        <w:jc w:val="both"/>
        <w:rPr>
          <w:rFonts w:ascii="Arial" w:hAnsi="Arial" w:cs="Arial"/>
          <w:sz w:val="24"/>
          <w:szCs w:val="24"/>
        </w:rPr>
      </w:pPr>
    </w:p>
    <w:p w14:paraId="1F698719" w14:textId="77777777" w:rsidR="001646C8" w:rsidRPr="00E759D0" w:rsidRDefault="00D33B6B" w:rsidP="00E759D0">
      <w:pPr>
        <w:spacing w:after="0" w:line="360" w:lineRule="auto"/>
        <w:ind w:left="720"/>
        <w:jc w:val="both"/>
        <w:rPr>
          <w:rFonts w:ascii="Arial" w:eastAsia="Times New Roman" w:hAnsi="Arial" w:cs="Arial"/>
          <w:b/>
          <w:bCs/>
          <w:color w:val="000000"/>
          <w:lang w:eastAsia="en-ZA"/>
        </w:rPr>
      </w:pPr>
      <w:r w:rsidRPr="00E759D0">
        <w:rPr>
          <w:rFonts w:ascii="Arial" w:eastAsia="Times New Roman" w:hAnsi="Arial" w:cs="Arial"/>
          <w:bCs/>
          <w:color w:val="000000"/>
          <w:lang w:eastAsia="en-ZA"/>
        </w:rPr>
        <w:t>“</w:t>
      </w:r>
      <w:r w:rsidRPr="00E759D0">
        <w:rPr>
          <w:rFonts w:ascii="Arial" w:eastAsia="Times New Roman" w:hAnsi="Arial" w:cs="Arial"/>
          <w:b/>
          <w:bCs/>
          <w:color w:val="000000"/>
          <w:lang w:eastAsia="en-ZA"/>
        </w:rPr>
        <w:t>15 Discharge</w:t>
      </w:r>
      <w:r w:rsidR="001646C8" w:rsidRPr="00E759D0">
        <w:rPr>
          <w:rFonts w:ascii="Arial" w:eastAsia="Times New Roman" w:hAnsi="Arial" w:cs="Arial"/>
          <w:b/>
          <w:bCs/>
          <w:color w:val="000000"/>
          <w:lang w:eastAsia="en-ZA"/>
        </w:rPr>
        <w:t xml:space="preserve"> of members on account of long absence without leave</w:t>
      </w:r>
    </w:p>
    <w:p w14:paraId="2E707DC9" w14:textId="26BEC9A2" w:rsidR="001646C8" w:rsidRPr="00E759D0" w:rsidRDefault="001646C8" w:rsidP="00E759D0">
      <w:pPr>
        <w:spacing w:after="0" w:line="360" w:lineRule="auto"/>
        <w:ind w:left="720"/>
        <w:jc w:val="both"/>
        <w:rPr>
          <w:rFonts w:ascii="Arial" w:eastAsia="Times New Roman" w:hAnsi="Arial" w:cs="Arial"/>
          <w:color w:val="000000"/>
          <w:lang w:eastAsia="en-ZA"/>
        </w:rPr>
      </w:pPr>
      <w:bookmarkStart w:id="8" w:name="0-0-0-572891"/>
      <w:bookmarkEnd w:id="8"/>
      <w:r w:rsidRPr="00E759D0">
        <w:rPr>
          <w:rFonts w:ascii="Arial" w:eastAsia="Times New Roman" w:hAnsi="Arial" w:cs="Arial"/>
          <w:color w:val="000000"/>
          <w:lang w:eastAsia="en-ZA"/>
        </w:rPr>
        <w:t xml:space="preserve">(1) </w:t>
      </w:r>
      <w:r w:rsidR="00B94CB2" w:rsidRPr="00E759D0">
        <w:rPr>
          <w:rFonts w:ascii="Arial" w:eastAsia="Times New Roman" w:hAnsi="Arial" w:cs="Arial"/>
          <w:color w:val="000000"/>
          <w:lang w:eastAsia="en-ZA"/>
        </w:rPr>
        <w:tab/>
      </w:r>
      <w:r w:rsidRPr="00E759D0">
        <w:rPr>
          <w:rFonts w:ascii="Arial" w:eastAsia="Times New Roman" w:hAnsi="Arial" w:cs="Arial"/>
          <w:color w:val="000000"/>
          <w:lang w:eastAsia="en-ZA"/>
        </w:rPr>
        <w:t>Any member who absents himself or herself, whether voluntarily or</w:t>
      </w:r>
      <w:r w:rsidR="004C02D8" w:rsidRPr="00E759D0">
        <w:rPr>
          <w:rFonts w:ascii="Arial" w:eastAsia="Times New Roman" w:hAnsi="Arial" w:cs="Arial"/>
          <w:color w:val="000000"/>
          <w:lang w:eastAsia="en-ZA"/>
        </w:rPr>
        <w:t xml:space="preserve"> </w:t>
      </w:r>
      <w:r w:rsidRPr="00E759D0">
        <w:rPr>
          <w:rFonts w:ascii="Arial" w:eastAsia="Times New Roman" w:hAnsi="Arial" w:cs="Arial"/>
          <w:color w:val="000000"/>
          <w:lang w:eastAsia="en-ZA"/>
        </w:rPr>
        <w:t>involuntarily, from his or her official duties without the permission of the Director-General for a period exceeding 10 consecutive working days, is deemed to have been discharged from the Agency on account of misconduct, with effect from the date immediately following upon the last day on which he or she was present at his or her place of duty: Provided that if-</w:t>
      </w:r>
    </w:p>
    <w:p w14:paraId="2C96483C" w14:textId="004A13C9" w:rsidR="001646C8" w:rsidRPr="00E759D0" w:rsidRDefault="001646C8" w:rsidP="00E759D0">
      <w:pPr>
        <w:spacing w:after="0" w:line="360" w:lineRule="auto"/>
        <w:ind w:left="2160" w:hanging="720"/>
        <w:jc w:val="both"/>
        <w:rPr>
          <w:rFonts w:ascii="Arial" w:eastAsia="Times New Roman" w:hAnsi="Arial" w:cs="Arial"/>
          <w:color w:val="000000"/>
          <w:lang w:eastAsia="en-ZA"/>
        </w:rPr>
      </w:pPr>
      <w:bookmarkStart w:id="9" w:name="0-0-0-572893"/>
      <w:bookmarkEnd w:id="9"/>
      <w:r w:rsidRPr="00E759D0">
        <w:rPr>
          <w:rFonts w:ascii="Arial" w:eastAsia="Times New Roman" w:hAnsi="Arial" w:cs="Arial"/>
          <w:i/>
          <w:iCs/>
          <w:color w:val="000000"/>
          <w:lang w:eastAsia="en-ZA"/>
        </w:rPr>
        <w:lastRenderedPageBreak/>
        <w:t>(a)</w:t>
      </w:r>
      <w:r w:rsidRPr="00E759D0">
        <w:rPr>
          <w:rFonts w:ascii="Arial" w:eastAsia="Times New Roman" w:hAnsi="Arial" w:cs="Arial"/>
          <w:color w:val="000000"/>
          <w:lang w:eastAsia="en-ZA"/>
        </w:rPr>
        <w:t>   </w:t>
      </w:r>
      <w:r w:rsidR="00B94CB2" w:rsidRPr="00E759D0">
        <w:rPr>
          <w:rFonts w:ascii="Arial" w:eastAsia="Times New Roman" w:hAnsi="Arial" w:cs="Arial"/>
          <w:color w:val="000000"/>
          <w:lang w:eastAsia="en-ZA"/>
        </w:rPr>
        <w:tab/>
      </w:r>
      <w:r w:rsidRPr="00E759D0">
        <w:rPr>
          <w:rFonts w:ascii="Arial" w:eastAsia="Times New Roman" w:hAnsi="Arial" w:cs="Arial"/>
          <w:color w:val="000000"/>
          <w:lang w:eastAsia="en-ZA"/>
        </w:rPr>
        <w:t>any member absents himself or herself from his or her official duties without such permission and accepts other employment, he or she is deemed to have been discharged even if he or she has not yet absented himself or herself for a period of 10 consecutive working days;</w:t>
      </w:r>
    </w:p>
    <w:p w14:paraId="1C5DF2D3" w14:textId="34E5C7E2" w:rsidR="001646C8" w:rsidRPr="00E759D0" w:rsidRDefault="001646C8" w:rsidP="00E759D0">
      <w:pPr>
        <w:spacing w:after="0" w:line="360" w:lineRule="auto"/>
        <w:ind w:left="2160" w:hanging="720"/>
        <w:jc w:val="both"/>
        <w:rPr>
          <w:rFonts w:ascii="Arial" w:eastAsia="Times New Roman" w:hAnsi="Arial" w:cs="Arial"/>
          <w:color w:val="000000"/>
          <w:lang w:eastAsia="en-ZA"/>
        </w:rPr>
      </w:pPr>
      <w:bookmarkStart w:id="10" w:name="0-0-0-572895"/>
      <w:bookmarkEnd w:id="10"/>
      <w:r w:rsidRPr="00E759D0">
        <w:rPr>
          <w:rFonts w:ascii="Arial" w:eastAsia="Times New Roman" w:hAnsi="Arial" w:cs="Arial"/>
          <w:i/>
          <w:iCs/>
          <w:color w:val="000000"/>
          <w:lang w:eastAsia="en-ZA"/>
        </w:rPr>
        <w:t>(b)</w:t>
      </w:r>
      <w:r w:rsidRPr="00E759D0">
        <w:rPr>
          <w:rFonts w:ascii="Arial" w:eastAsia="Times New Roman" w:hAnsi="Arial" w:cs="Arial"/>
          <w:color w:val="000000"/>
          <w:lang w:eastAsia="en-ZA"/>
        </w:rPr>
        <w:t>   </w:t>
      </w:r>
      <w:r w:rsidR="00B94CB2" w:rsidRPr="00E759D0">
        <w:rPr>
          <w:rFonts w:ascii="Arial" w:eastAsia="Times New Roman" w:hAnsi="Arial" w:cs="Arial"/>
          <w:color w:val="000000"/>
          <w:lang w:eastAsia="en-ZA"/>
        </w:rPr>
        <w:tab/>
      </w:r>
      <w:r w:rsidRPr="00E759D0">
        <w:rPr>
          <w:rFonts w:ascii="Arial" w:eastAsia="Times New Roman" w:hAnsi="Arial" w:cs="Arial"/>
          <w:color w:val="000000"/>
          <w:lang w:eastAsia="en-ZA"/>
        </w:rPr>
        <w:t>a member deemed to have been so discharged again reports for duty, the Director-General may, on good cause shown and notwithstanding anything to the contrary contained in any law but subject to the approval of the Minister, reinstate the member in his or her former post or appoint him or her to any other post in the Agency, on such conditions as the Director-General may deem fit and in that event the period of his or her absence from his or her official duties is deemed to have been absent on vacation leave without pay, or leave on such other conditions as the Director-General may determine;</w:t>
      </w:r>
    </w:p>
    <w:p w14:paraId="5B395800" w14:textId="6E31F5FA" w:rsidR="001646C8" w:rsidRPr="00E759D0" w:rsidRDefault="001646C8" w:rsidP="00E759D0">
      <w:pPr>
        <w:spacing w:after="0" w:line="360" w:lineRule="auto"/>
        <w:ind w:left="2160" w:hanging="720"/>
        <w:jc w:val="both"/>
        <w:rPr>
          <w:rFonts w:ascii="Arial" w:eastAsia="Times New Roman" w:hAnsi="Arial" w:cs="Arial"/>
          <w:color w:val="000000"/>
          <w:lang w:eastAsia="en-ZA"/>
        </w:rPr>
      </w:pPr>
      <w:bookmarkStart w:id="11" w:name="0-0-0-572897"/>
      <w:bookmarkEnd w:id="11"/>
      <w:r w:rsidRPr="00E759D0">
        <w:rPr>
          <w:rFonts w:ascii="Arial" w:eastAsia="Times New Roman" w:hAnsi="Arial" w:cs="Arial"/>
          <w:i/>
          <w:iCs/>
          <w:color w:val="000000"/>
          <w:lang w:eastAsia="en-ZA"/>
        </w:rPr>
        <w:t>(c)</w:t>
      </w:r>
      <w:r w:rsidRPr="00E759D0">
        <w:rPr>
          <w:rFonts w:ascii="Arial" w:eastAsia="Times New Roman" w:hAnsi="Arial" w:cs="Arial"/>
          <w:color w:val="000000"/>
          <w:lang w:eastAsia="en-ZA"/>
        </w:rPr>
        <w:t>   </w:t>
      </w:r>
      <w:r w:rsidR="00B94CB2" w:rsidRPr="00E759D0">
        <w:rPr>
          <w:rFonts w:ascii="Arial" w:eastAsia="Times New Roman" w:hAnsi="Arial" w:cs="Arial"/>
          <w:color w:val="000000"/>
          <w:lang w:eastAsia="en-ZA"/>
        </w:rPr>
        <w:tab/>
      </w:r>
      <w:r w:rsidRPr="00E759D0">
        <w:rPr>
          <w:rFonts w:ascii="Arial" w:eastAsia="Times New Roman" w:hAnsi="Arial" w:cs="Arial"/>
          <w:color w:val="000000"/>
          <w:lang w:eastAsia="en-ZA"/>
        </w:rPr>
        <w:t>the Director-General refuses to reinstate the member, the latter may appeal to the Minister, stating the reasons why he or she should be reinstated.</w:t>
      </w:r>
    </w:p>
    <w:p w14:paraId="41F1DF8D" w14:textId="62C6B091" w:rsidR="001646C8" w:rsidRPr="00E759D0" w:rsidRDefault="001646C8" w:rsidP="00E759D0">
      <w:pPr>
        <w:spacing w:after="0" w:line="360" w:lineRule="auto"/>
        <w:ind w:left="720"/>
        <w:jc w:val="both"/>
        <w:rPr>
          <w:rFonts w:ascii="Arial" w:eastAsia="Times New Roman" w:hAnsi="Arial" w:cs="Arial"/>
          <w:color w:val="000000"/>
          <w:lang w:eastAsia="en-ZA"/>
        </w:rPr>
      </w:pPr>
      <w:bookmarkStart w:id="12" w:name="0-0-0-572899"/>
      <w:bookmarkEnd w:id="12"/>
      <w:r w:rsidRPr="00E759D0">
        <w:rPr>
          <w:rFonts w:ascii="Arial" w:eastAsia="Times New Roman" w:hAnsi="Arial" w:cs="Arial"/>
          <w:color w:val="000000"/>
          <w:lang w:eastAsia="en-ZA"/>
        </w:rPr>
        <w:t xml:space="preserve">(2) </w:t>
      </w:r>
      <w:r w:rsidR="00B94CB2" w:rsidRPr="00E759D0">
        <w:rPr>
          <w:rFonts w:ascii="Arial" w:eastAsia="Times New Roman" w:hAnsi="Arial" w:cs="Arial"/>
          <w:color w:val="000000"/>
          <w:lang w:eastAsia="en-ZA"/>
        </w:rPr>
        <w:tab/>
      </w:r>
      <w:r w:rsidRPr="00E759D0">
        <w:rPr>
          <w:rFonts w:ascii="Arial" w:eastAsia="Times New Roman" w:hAnsi="Arial" w:cs="Arial"/>
          <w:color w:val="000000"/>
          <w:lang w:eastAsia="en-ZA"/>
        </w:rPr>
        <w:t>The Minister may in the prescribed manner, for the purposes of any appeal lodged in terms of subsection (1) </w:t>
      </w:r>
      <w:r w:rsidRPr="00E759D0">
        <w:rPr>
          <w:rFonts w:ascii="Arial" w:eastAsia="Times New Roman" w:hAnsi="Arial" w:cs="Arial"/>
          <w:i/>
          <w:iCs/>
          <w:color w:val="000000"/>
          <w:lang w:eastAsia="en-ZA"/>
        </w:rPr>
        <w:t>(c)</w:t>
      </w:r>
      <w:r w:rsidRPr="00E759D0">
        <w:rPr>
          <w:rFonts w:ascii="Arial" w:eastAsia="Times New Roman" w:hAnsi="Arial" w:cs="Arial"/>
          <w:color w:val="000000"/>
          <w:lang w:eastAsia="en-ZA"/>
        </w:rPr>
        <w:t>, establish an advisory panel to assist him or her in considering the appeal.</w:t>
      </w:r>
      <w:r w:rsidR="00D33B6B" w:rsidRPr="00E759D0">
        <w:rPr>
          <w:rFonts w:ascii="Arial" w:eastAsia="Times New Roman" w:hAnsi="Arial" w:cs="Arial"/>
          <w:color w:val="000000"/>
          <w:lang w:eastAsia="en-ZA"/>
        </w:rPr>
        <w:t>”</w:t>
      </w:r>
    </w:p>
    <w:p w14:paraId="7719FF1C" w14:textId="77777777" w:rsidR="0003719D" w:rsidRPr="00E759D0" w:rsidRDefault="0003719D" w:rsidP="00E759D0">
      <w:pPr>
        <w:pStyle w:val="ListParagraph"/>
        <w:spacing w:line="360" w:lineRule="auto"/>
        <w:jc w:val="both"/>
        <w:rPr>
          <w:rFonts w:ascii="Arial" w:hAnsi="Arial" w:cs="Arial"/>
          <w:sz w:val="24"/>
          <w:szCs w:val="24"/>
        </w:rPr>
      </w:pPr>
    </w:p>
    <w:p w14:paraId="3B5CBBAD" w14:textId="73F33D9B" w:rsidR="00D21F12" w:rsidRPr="00E759D0" w:rsidRDefault="00EE27C8" w:rsidP="00E759D0">
      <w:pPr>
        <w:pStyle w:val="ListParagraph"/>
        <w:numPr>
          <w:ilvl w:val="0"/>
          <w:numId w:val="1"/>
        </w:numPr>
        <w:spacing w:after="0" w:line="360" w:lineRule="auto"/>
        <w:jc w:val="both"/>
        <w:rPr>
          <w:rFonts w:ascii="Arial" w:hAnsi="Arial" w:cs="Arial"/>
          <w:sz w:val="24"/>
          <w:szCs w:val="24"/>
        </w:rPr>
      </w:pPr>
      <w:r w:rsidRPr="00E759D0">
        <w:rPr>
          <w:rFonts w:ascii="Arial" w:hAnsi="Arial" w:cs="Arial"/>
          <w:sz w:val="24"/>
          <w:szCs w:val="24"/>
        </w:rPr>
        <w:t xml:space="preserve">This </w:t>
      </w:r>
      <w:r w:rsidR="00E505FD" w:rsidRPr="00E759D0">
        <w:rPr>
          <w:rFonts w:ascii="Arial" w:hAnsi="Arial" w:cs="Arial"/>
          <w:sz w:val="24"/>
          <w:szCs w:val="24"/>
        </w:rPr>
        <w:t>section pro</w:t>
      </w:r>
      <w:r w:rsidR="00922FFC" w:rsidRPr="00E759D0">
        <w:rPr>
          <w:rFonts w:ascii="Arial" w:hAnsi="Arial" w:cs="Arial"/>
          <w:sz w:val="24"/>
          <w:szCs w:val="24"/>
        </w:rPr>
        <w:t>vides for a “deemed dismissal</w:t>
      </w:r>
      <w:r w:rsidR="00424316" w:rsidRPr="00E759D0">
        <w:rPr>
          <w:rFonts w:ascii="Arial" w:hAnsi="Arial" w:cs="Arial"/>
          <w:sz w:val="24"/>
          <w:szCs w:val="24"/>
        </w:rPr>
        <w:t>”</w:t>
      </w:r>
      <w:r w:rsidR="00922FFC" w:rsidRPr="00E759D0">
        <w:rPr>
          <w:rFonts w:ascii="Arial" w:hAnsi="Arial" w:cs="Arial"/>
          <w:sz w:val="24"/>
          <w:szCs w:val="24"/>
        </w:rPr>
        <w:t xml:space="preserve"> in circumstances where the</w:t>
      </w:r>
      <w:r w:rsidR="00424316" w:rsidRPr="00E759D0">
        <w:rPr>
          <w:rFonts w:ascii="Arial" w:hAnsi="Arial" w:cs="Arial"/>
          <w:sz w:val="24"/>
          <w:szCs w:val="24"/>
        </w:rPr>
        <w:t xml:space="preserve"> employee absents himself or herself </w:t>
      </w:r>
      <w:r w:rsidR="00424316" w:rsidRPr="00E759D0">
        <w:rPr>
          <w:rFonts w:ascii="Arial" w:hAnsi="Arial" w:cs="Arial"/>
          <w:i/>
          <w:sz w:val="24"/>
          <w:szCs w:val="24"/>
        </w:rPr>
        <w:t>without the permission of the Director-</w:t>
      </w:r>
      <w:r w:rsidR="00466B9E" w:rsidRPr="00E759D0">
        <w:rPr>
          <w:rFonts w:ascii="Arial" w:hAnsi="Arial" w:cs="Arial"/>
          <w:i/>
          <w:sz w:val="24"/>
          <w:szCs w:val="24"/>
        </w:rPr>
        <w:t>General</w:t>
      </w:r>
      <w:r w:rsidR="00466B9E" w:rsidRPr="00E759D0">
        <w:rPr>
          <w:rFonts w:ascii="Arial" w:hAnsi="Arial" w:cs="Arial"/>
          <w:sz w:val="24"/>
          <w:szCs w:val="24"/>
        </w:rPr>
        <w:t>. Consequently</w:t>
      </w:r>
      <w:r w:rsidR="00287F5A" w:rsidRPr="00E759D0">
        <w:rPr>
          <w:rFonts w:ascii="Arial" w:hAnsi="Arial" w:cs="Arial"/>
          <w:sz w:val="24"/>
          <w:szCs w:val="24"/>
        </w:rPr>
        <w:t>,</w:t>
      </w:r>
      <w:r w:rsidR="00466B9E" w:rsidRPr="00E759D0">
        <w:rPr>
          <w:rFonts w:ascii="Arial" w:hAnsi="Arial" w:cs="Arial"/>
          <w:sz w:val="24"/>
          <w:szCs w:val="24"/>
        </w:rPr>
        <w:t xml:space="preserve"> it </w:t>
      </w:r>
      <w:r w:rsidR="00424316" w:rsidRPr="00E759D0">
        <w:rPr>
          <w:rFonts w:ascii="Arial" w:hAnsi="Arial" w:cs="Arial"/>
          <w:sz w:val="24"/>
          <w:szCs w:val="24"/>
        </w:rPr>
        <w:t xml:space="preserve">logically follows that where an employee absents himself or herself </w:t>
      </w:r>
      <w:r w:rsidR="00424316" w:rsidRPr="00E759D0">
        <w:rPr>
          <w:rFonts w:ascii="Arial" w:hAnsi="Arial" w:cs="Arial"/>
          <w:i/>
          <w:sz w:val="24"/>
          <w:szCs w:val="24"/>
        </w:rPr>
        <w:t>with the permission of the Director-General</w:t>
      </w:r>
      <w:r w:rsidR="00424316" w:rsidRPr="00E759D0">
        <w:rPr>
          <w:rFonts w:ascii="Arial" w:hAnsi="Arial" w:cs="Arial"/>
          <w:sz w:val="24"/>
          <w:szCs w:val="24"/>
        </w:rPr>
        <w:t>, the provisions of s 15 of the Intelligence</w:t>
      </w:r>
      <w:r w:rsidR="00C3586C" w:rsidRPr="00E759D0">
        <w:rPr>
          <w:rFonts w:ascii="Arial" w:hAnsi="Arial" w:cs="Arial"/>
          <w:sz w:val="24"/>
          <w:szCs w:val="24"/>
        </w:rPr>
        <w:t xml:space="preserve"> Services</w:t>
      </w:r>
      <w:r w:rsidR="00424316" w:rsidRPr="00E759D0">
        <w:rPr>
          <w:rFonts w:ascii="Arial" w:hAnsi="Arial" w:cs="Arial"/>
          <w:sz w:val="24"/>
          <w:szCs w:val="24"/>
        </w:rPr>
        <w:t xml:space="preserve"> Act cannot be invoked to discharge an employee by operation of law.</w:t>
      </w:r>
      <w:r w:rsidR="00424316" w:rsidRPr="00E759D0">
        <w:rPr>
          <w:rStyle w:val="FootnoteReference"/>
          <w:rFonts w:ascii="Arial" w:hAnsi="Arial" w:cs="Arial"/>
          <w:sz w:val="24"/>
          <w:szCs w:val="24"/>
        </w:rPr>
        <w:footnoteReference w:id="13"/>
      </w:r>
      <w:r w:rsidR="00424316" w:rsidRPr="00E759D0">
        <w:rPr>
          <w:rFonts w:ascii="Arial" w:hAnsi="Arial" w:cs="Arial"/>
          <w:sz w:val="24"/>
          <w:szCs w:val="24"/>
        </w:rPr>
        <w:t xml:space="preserve"> Provided therefore that the </w:t>
      </w:r>
      <w:r w:rsidR="00424316" w:rsidRPr="00E759D0">
        <w:rPr>
          <w:rFonts w:ascii="Arial" w:eastAsia="Times New Roman" w:hAnsi="Arial" w:cs="Arial"/>
          <w:color w:val="000000"/>
          <w:sz w:val="24"/>
          <w:szCs w:val="24"/>
          <w:lang w:eastAsia="en-ZA"/>
        </w:rPr>
        <w:t>esse</w:t>
      </w:r>
      <w:r w:rsidR="00466B9E" w:rsidRPr="00E759D0">
        <w:rPr>
          <w:rFonts w:ascii="Arial" w:eastAsia="Times New Roman" w:hAnsi="Arial" w:cs="Arial"/>
          <w:color w:val="000000"/>
          <w:sz w:val="24"/>
          <w:szCs w:val="24"/>
          <w:lang w:eastAsia="en-ZA"/>
        </w:rPr>
        <w:t>ntial requirements of s 15</w:t>
      </w:r>
      <w:r w:rsidR="00424316" w:rsidRPr="00E759D0">
        <w:rPr>
          <w:rFonts w:ascii="Arial" w:eastAsia="Times New Roman" w:hAnsi="Arial" w:cs="Arial"/>
          <w:color w:val="000000"/>
          <w:sz w:val="24"/>
          <w:szCs w:val="24"/>
          <w:lang w:eastAsia="en-ZA"/>
        </w:rPr>
        <w:t xml:space="preserve"> have been met, namely that the employee had absented himself or herself without the permission of the Director-General, the discharge will be by operation in l</w:t>
      </w:r>
      <w:r w:rsidR="006E711A" w:rsidRPr="00E759D0">
        <w:rPr>
          <w:rFonts w:ascii="Arial" w:eastAsia="Times New Roman" w:hAnsi="Arial" w:cs="Arial"/>
          <w:color w:val="000000"/>
          <w:sz w:val="24"/>
          <w:szCs w:val="24"/>
          <w:lang w:eastAsia="en-ZA"/>
        </w:rPr>
        <w:t>aw.</w:t>
      </w:r>
      <w:r w:rsidR="006E711A" w:rsidRPr="00E759D0">
        <w:rPr>
          <w:rFonts w:ascii="Arial" w:hAnsi="Arial" w:cs="Arial"/>
          <w:sz w:val="24"/>
          <w:szCs w:val="24"/>
        </w:rPr>
        <w:t xml:space="preserve"> </w:t>
      </w:r>
      <w:r w:rsidR="00466B9E" w:rsidRPr="00E759D0">
        <w:rPr>
          <w:rFonts w:ascii="Arial" w:hAnsi="Arial" w:cs="Arial"/>
          <w:sz w:val="24"/>
          <w:szCs w:val="24"/>
        </w:rPr>
        <w:t xml:space="preserve">Given that </w:t>
      </w:r>
      <w:r w:rsidR="00D21F12" w:rsidRPr="00E759D0">
        <w:rPr>
          <w:rFonts w:ascii="Arial" w:hAnsi="Arial" w:cs="Arial"/>
          <w:sz w:val="24"/>
          <w:szCs w:val="24"/>
        </w:rPr>
        <w:t xml:space="preserve">the discharge is deemed to be by operation of law, it </w:t>
      </w:r>
      <w:r w:rsidR="00466B9E" w:rsidRPr="00E759D0">
        <w:rPr>
          <w:rFonts w:ascii="Arial" w:hAnsi="Arial" w:cs="Arial"/>
          <w:sz w:val="24"/>
          <w:szCs w:val="24"/>
        </w:rPr>
        <w:t xml:space="preserve">follows </w:t>
      </w:r>
      <w:r w:rsidR="006E711A" w:rsidRPr="00E759D0">
        <w:rPr>
          <w:rFonts w:ascii="Arial" w:hAnsi="Arial" w:cs="Arial"/>
          <w:sz w:val="24"/>
          <w:szCs w:val="24"/>
        </w:rPr>
        <w:t xml:space="preserve">that no “decision” </w:t>
      </w:r>
      <w:r w:rsidR="00D21F12" w:rsidRPr="00E759D0">
        <w:rPr>
          <w:rFonts w:ascii="Arial" w:hAnsi="Arial" w:cs="Arial"/>
          <w:sz w:val="24"/>
          <w:szCs w:val="24"/>
        </w:rPr>
        <w:t xml:space="preserve">to discharge </w:t>
      </w:r>
      <w:r w:rsidR="006E711A" w:rsidRPr="00E759D0">
        <w:rPr>
          <w:rFonts w:ascii="Arial" w:hAnsi="Arial" w:cs="Arial"/>
          <w:sz w:val="24"/>
          <w:szCs w:val="24"/>
        </w:rPr>
        <w:t xml:space="preserve">has </w:t>
      </w:r>
      <w:r w:rsidR="00D21F12" w:rsidRPr="00E759D0">
        <w:rPr>
          <w:rFonts w:ascii="Arial" w:hAnsi="Arial" w:cs="Arial"/>
          <w:sz w:val="24"/>
          <w:szCs w:val="24"/>
        </w:rPr>
        <w:t xml:space="preserve">therefore </w:t>
      </w:r>
      <w:r w:rsidR="006E711A" w:rsidRPr="00E759D0">
        <w:rPr>
          <w:rFonts w:ascii="Arial" w:hAnsi="Arial" w:cs="Arial"/>
          <w:sz w:val="24"/>
          <w:szCs w:val="24"/>
        </w:rPr>
        <w:t>been taken that may be the subject of administrative review.</w:t>
      </w:r>
      <w:r w:rsidR="006E711A" w:rsidRPr="00E759D0">
        <w:rPr>
          <w:rStyle w:val="FootnoteReference"/>
          <w:rFonts w:ascii="Arial" w:hAnsi="Arial" w:cs="Arial"/>
          <w:sz w:val="24"/>
          <w:szCs w:val="24"/>
        </w:rPr>
        <w:footnoteReference w:id="14"/>
      </w:r>
      <w:r w:rsidR="006E711A" w:rsidRPr="00E759D0">
        <w:rPr>
          <w:rFonts w:ascii="Arial" w:hAnsi="Arial" w:cs="Arial"/>
          <w:sz w:val="24"/>
          <w:szCs w:val="24"/>
        </w:rPr>
        <w:t xml:space="preserve"> </w:t>
      </w:r>
    </w:p>
    <w:p w14:paraId="6F98A1E7" w14:textId="77777777" w:rsidR="00D21F12" w:rsidRPr="00E759D0" w:rsidRDefault="00D21F12" w:rsidP="00E759D0">
      <w:pPr>
        <w:pStyle w:val="ListParagraph"/>
        <w:spacing w:after="0" w:line="360" w:lineRule="auto"/>
        <w:ind w:left="0"/>
        <w:jc w:val="both"/>
        <w:rPr>
          <w:rFonts w:ascii="Arial" w:hAnsi="Arial" w:cs="Arial"/>
          <w:sz w:val="24"/>
          <w:szCs w:val="24"/>
        </w:rPr>
      </w:pPr>
    </w:p>
    <w:p w14:paraId="4D8814C0" w14:textId="747B9A7A" w:rsidR="00930273" w:rsidRPr="00E759D0" w:rsidRDefault="00E505FD" w:rsidP="00E759D0">
      <w:pPr>
        <w:pStyle w:val="ListParagraph"/>
        <w:numPr>
          <w:ilvl w:val="0"/>
          <w:numId w:val="1"/>
        </w:numPr>
        <w:spacing w:after="0" w:line="360" w:lineRule="auto"/>
        <w:jc w:val="both"/>
        <w:rPr>
          <w:rFonts w:ascii="Arial" w:hAnsi="Arial" w:cs="Arial"/>
          <w:sz w:val="24"/>
          <w:szCs w:val="24"/>
        </w:rPr>
      </w:pPr>
      <w:r w:rsidRPr="00E759D0">
        <w:rPr>
          <w:rFonts w:ascii="Arial" w:hAnsi="Arial" w:cs="Arial"/>
          <w:sz w:val="24"/>
          <w:szCs w:val="24"/>
        </w:rPr>
        <w:lastRenderedPageBreak/>
        <w:t>Similar provi</w:t>
      </w:r>
      <w:r w:rsidR="004E7B0B" w:rsidRPr="00E759D0">
        <w:rPr>
          <w:rFonts w:ascii="Arial" w:hAnsi="Arial" w:cs="Arial"/>
          <w:sz w:val="24"/>
          <w:szCs w:val="24"/>
        </w:rPr>
        <w:t>sions are to be found in s</w:t>
      </w:r>
      <w:r w:rsidRPr="00E759D0">
        <w:rPr>
          <w:rFonts w:ascii="Arial" w:hAnsi="Arial" w:cs="Arial"/>
          <w:sz w:val="24"/>
          <w:szCs w:val="24"/>
        </w:rPr>
        <w:t xml:space="preserve"> 17(3)(a)(</w:t>
      </w:r>
      <w:proofErr w:type="spellStart"/>
      <w:r w:rsidRPr="00E759D0">
        <w:rPr>
          <w:rFonts w:ascii="Arial" w:hAnsi="Arial" w:cs="Arial"/>
          <w:sz w:val="24"/>
          <w:szCs w:val="24"/>
        </w:rPr>
        <w:t>i</w:t>
      </w:r>
      <w:proofErr w:type="spellEnd"/>
      <w:r w:rsidRPr="00E759D0">
        <w:rPr>
          <w:rFonts w:ascii="Arial" w:hAnsi="Arial" w:cs="Arial"/>
          <w:sz w:val="24"/>
          <w:szCs w:val="24"/>
        </w:rPr>
        <w:t>) of the Public Services Act</w:t>
      </w:r>
      <w:r w:rsidRPr="00E759D0">
        <w:rPr>
          <w:rStyle w:val="FootnoteReference"/>
          <w:rFonts w:ascii="Arial" w:hAnsi="Arial" w:cs="Arial"/>
          <w:sz w:val="24"/>
          <w:szCs w:val="24"/>
        </w:rPr>
        <w:footnoteReference w:id="15"/>
      </w:r>
      <w:r w:rsidR="004E7B0B" w:rsidRPr="00E759D0">
        <w:rPr>
          <w:rFonts w:ascii="Arial" w:hAnsi="Arial" w:cs="Arial"/>
          <w:sz w:val="24"/>
          <w:szCs w:val="24"/>
        </w:rPr>
        <w:t xml:space="preserve"> (the PSA) and s</w:t>
      </w:r>
      <w:r w:rsidRPr="00E759D0">
        <w:rPr>
          <w:rFonts w:ascii="Arial" w:hAnsi="Arial" w:cs="Arial"/>
          <w:sz w:val="24"/>
          <w:szCs w:val="24"/>
        </w:rPr>
        <w:t xml:space="preserve"> 14 of the Employment of Educators Act</w:t>
      </w:r>
      <w:r w:rsidRPr="00E759D0">
        <w:rPr>
          <w:rStyle w:val="FootnoteReference"/>
          <w:rFonts w:ascii="Arial" w:hAnsi="Arial" w:cs="Arial"/>
          <w:sz w:val="24"/>
          <w:szCs w:val="24"/>
        </w:rPr>
        <w:footnoteReference w:id="16"/>
      </w:r>
      <w:r w:rsidRPr="00E759D0">
        <w:rPr>
          <w:rFonts w:ascii="Arial" w:hAnsi="Arial" w:cs="Arial"/>
          <w:sz w:val="24"/>
          <w:szCs w:val="24"/>
        </w:rPr>
        <w:t xml:space="preserve"> (EEA). </w:t>
      </w:r>
      <w:r w:rsidR="00D21F12" w:rsidRPr="00E759D0">
        <w:rPr>
          <w:rFonts w:ascii="Arial" w:hAnsi="Arial" w:cs="Arial"/>
          <w:sz w:val="24"/>
          <w:szCs w:val="24"/>
        </w:rPr>
        <w:t xml:space="preserve">All of these provisions have in common that </w:t>
      </w:r>
      <w:r w:rsidR="00716E87" w:rsidRPr="00E759D0">
        <w:rPr>
          <w:rFonts w:ascii="Arial" w:hAnsi="Arial" w:cs="Arial"/>
          <w:sz w:val="24"/>
          <w:szCs w:val="24"/>
        </w:rPr>
        <w:t xml:space="preserve">they provide </w:t>
      </w:r>
      <w:r w:rsidR="00D21F12" w:rsidRPr="00E759D0">
        <w:rPr>
          <w:rFonts w:ascii="Arial" w:hAnsi="Arial" w:cs="Arial"/>
          <w:sz w:val="24"/>
          <w:szCs w:val="24"/>
        </w:rPr>
        <w:t xml:space="preserve">that </w:t>
      </w:r>
      <w:r w:rsidR="00716E87" w:rsidRPr="00E759D0">
        <w:rPr>
          <w:rFonts w:ascii="Arial" w:hAnsi="Arial" w:cs="Arial"/>
          <w:sz w:val="24"/>
          <w:szCs w:val="24"/>
        </w:rPr>
        <w:t>an employee who absents himself or herself from official duties with</w:t>
      </w:r>
      <w:r w:rsidR="00D21F12" w:rsidRPr="00E759D0">
        <w:rPr>
          <w:rFonts w:ascii="Arial" w:hAnsi="Arial" w:cs="Arial"/>
          <w:sz w:val="24"/>
          <w:szCs w:val="24"/>
        </w:rPr>
        <w:t>out the necessary permission from his or her H</w:t>
      </w:r>
      <w:r w:rsidR="00716E87" w:rsidRPr="00E759D0">
        <w:rPr>
          <w:rFonts w:ascii="Arial" w:hAnsi="Arial" w:cs="Arial"/>
          <w:sz w:val="24"/>
          <w:szCs w:val="24"/>
        </w:rPr>
        <w:t>ead of Department</w:t>
      </w:r>
      <w:r w:rsidR="00D21F12" w:rsidRPr="00E759D0">
        <w:rPr>
          <w:rFonts w:ascii="Arial" w:hAnsi="Arial" w:cs="Arial"/>
          <w:sz w:val="24"/>
          <w:szCs w:val="24"/>
        </w:rPr>
        <w:t>,</w:t>
      </w:r>
      <w:r w:rsidR="00716E87" w:rsidRPr="00E759D0">
        <w:rPr>
          <w:rFonts w:ascii="Arial" w:hAnsi="Arial" w:cs="Arial"/>
          <w:sz w:val="24"/>
          <w:szCs w:val="24"/>
        </w:rPr>
        <w:t xml:space="preserve"> shall be </w:t>
      </w:r>
      <w:r w:rsidR="00D21F12" w:rsidRPr="00E759D0">
        <w:rPr>
          <w:rFonts w:ascii="Arial" w:hAnsi="Arial" w:cs="Arial"/>
          <w:sz w:val="24"/>
          <w:szCs w:val="24"/>
        </w:rPr>
        <w:t>“</w:t>
      </w:r>
      <w:r w:rsidR="00716E87" w:rsidRPr="00E759D0">
        <w:rPr>
          <w:rFonts w:ascii="Arial" w:hAnsi="Arial" w:cs="Arial"/>
          <w:sz w:val="24"/>
          <w:szCs w:val="24"/>
        </w:rPr>
        <w:t>deemed</w:t>
      </w:r>
      <w:r w:rsidR="00D21F12" w:rsidRPr="00E759D0">
        <w:rPr>
          <w:rFonts w:ascii="Arial" w:hAnsi="Arial" w:cs="Arial"/>
          <w:sz w:val="24"/>
          <w:szCs w:val="24"/>
        </w:rPr>
        <w:t>”</w:t>
      </w:r>
      <w:r w:rsidR="00716E87" w:rsidRPr="00E759D0">
        <w:rPr>
          <w:rFonts w:ascii="Arial" w:hAnsi="Arial" w:cs="Arial"/>
          <w:sz w:val="24"/>
          <w:szCs w:val="24"/>
        </w:rPr>
        <w:t xml:space="preserve"> to have been discharged from his or her employment on account of misconduct.</w:t>
      </w:r>
    </w:p>
    <w:p w14:paraId="7890F113" w14:textId="77777777" w:rsidR="00922FFC" w:rsidRPr="00E759D0" w:rsidRDefault="00922FFC" w:rsidP="00E759D0">
      <w:pPr>
        <w:pStyle w:val="ListParagraph"/>
        <w:spacing w:line="360" w:lineRule="auto"/>
        <w:rPr>
          <w:rFonts w:ascii="Arial" w:hAnsi="Arial" w:cs="Arial"/>
          <w:sz w:val="24"/>
          <w:szCs w:val="24"/>
        </w:rPr>
      </w:pPr>
    </w:p>
    <w:p w14:paraId="41C92DE7" w14:textId="1B1D329F" w:rsidR="00716E87" w:rsidRPr="00E759D0" w:rsidRDefault="00D21F12" w:rsidP="00E759D0">
      <w:pPr>
        <w:pStyle w:val="ListParagraph"/>
        <w:numPr>
          <w:ilvl w:val="0"/>
          <w:numId w:val="1"/>
        </w:numPr>
        <w:spacing w:after="0" w:line="360" w:lineRule="auto"/>
        <w:jc w:val="both"/>
        <w:rPr>
          <w:rFonts w:ascii="Arial" w:eastAsia="Times New Roman" w:hAnsi="Arial" w:cs="Arial"/>
          <w:bCs/>
          <w:color w:val="000000"/>
          <w:sz w:val="24"/>
          <w:szCs w:val="24"/>
          <w:lang w:eastAsia="en-ZA"/>
        </w:rPr>
      </w:pPr>
      <w:r w:rsidRPr="00E759D0">
        <w:rPr>
          <w:rFonts w:ascii="Arial" w:hAnsi="Arial" w:cs="Arial"/>
          <w:sz w:val="24"/>
          <w:szCs w:val="24"/>
        </w:rPr>
        <w:t xml:space="preserve">The Constitutional Court in </w:t>
      </w:r>
      <w:proofErr w:type="spellStart"/>
      <w:r w:rsidR="00716E87" w:rsidRPr="00E759D0">
        <w:rPr>
          <w:rFonts w:ascii="Arial" w:eastAsia="Times New Roman" w:hAnsi="Arial" w:cs="Arial"/>
          <w:bCs/>
          <w:i/>
          <w:color w:val="000000"/>
          <w:sz w:val="24"/>
          <w:szCs w:val="24"/>
          <w:lang w:eastAsia="en-ZA"/>
        </w:rPr>
        <w:t>Grootboom</w:t>
      </w:r>
      <w:proofErr w:type="spellEnd"/>
      <w:r w:rsidR="00716E87" w:rsidRPr="00E759D0">
        <w:rPr>
          <w:rFonts w:ascii="Arial" w:eastAsia="Times New Roman" w:hAnsi="Arial" w:cs="Arial"/>
          <w:bCs/>
          <w:i/>
          <w:color w:val="000000"/>
          <w:sz w:val="24"/>
          <w:szCs w:val="24"/>
          <w:lang w:eastAsia="en-ZA"/>
        </w:rPr>
        <w:t> v National Prosecuting Authority &amp; another</w:t>
      </w:r>
      <w:r w:rsidR="003549A6" w:rsidRPr="00E759D0">
        <w:rPr>
          <w:rFonts w:ascii="Arial" w:eastAsia="Times New Roman" w:hAnsi="Arial" w:cs="Arial"/>
          <w:bCs/>
          <w:color w:val="000000"/>
          <w:sz w:val="24"/>
          <w:szCs w:val="24"/>
          <w:lang w:eastAsia="en-ZA"/>
        </w:rPr>
        <w:t>,</w:t>
      </w:r>
      <w:r w:rsidR="00716E87" w:rsidRPr="00E759D0">
        <w:rPr>
          <w:rStyle w:val="FootnoteReference"/>
          <w:rFonts w:ascii="Arial" w:eastAsia="Times New Roman" w:hAnsi="Arial" w:cs="Arial"/>
          <w:bCs/>
          <w:i/>
          <w:color w:val="000000"/>
          <w:sz w:val="24"/>
          <w:szCs w:val="24"/>
          <w:lang w:eastAsia="en-ZA"/>
        </w:rPr>
        <w:footnoteReference w:id="17"/>
      </w:r>
      <w:r w:rsidR="00511BF6" w:rsidRPr="00E759D0">
        <w:rPr>
          <w:rFonts w:ascii="Arial" w:eastAsia="Times New Roman" w:hAnsi="Arial" w:cs="Arial"/>
          <w:bCs/>
          <w:i/>
          <w:color w:val="000000"/>
          <w:sz w:val="24"/>
          <w:szCs w:val="24"/>
          <w:lang w:eastAsia="en-ZA"/>
        </w:rPr>
        <w:t xml:space="preserve"> </w:t>
      </w:r>
      <w:r w:rsidRPr="00E759D0">
        <w:rPr>
          <w:rFonts w:ascii="Arial" w:eastAsia="Times New Roman" w:hAnsi="Arial" w:cs="Arial"/>
          <w:bCs/>
          <w:color w:val="000000"/>
          <w:sz w:val="24"/>
          <w:szCs w:val="24"/>
          <w:lang w:eastAsia="en-ZA"/>
        </w:rPr>
        <w:t>confirmed</w:t>
      </w:r>
      <w:r w:rsidRPr="00E759D0">
        <w:rPr>
          <w:rFonts w:ascii="Arial" w:eastAsia="Times New Roman" w:hAnsi="Arial" w:cs="Arial"/>
          <w:bCs/>
          <w:i/>
          <w:color w:val="000000"/>
          <w:sz w:val="24"/>
          <w:szCs w:val="24"/>
          <w:lang w:eastAsia="en-ZA"/>
        </w:rPr>
        <w:t xml:space="preserve"> </w:t>
      </w:r>
      <w:r w:rsidR="00712745" w:rsidRPr="00E759D0">
        <w:rPr>
          <w:rFonts w:ascii="Arial" w:eastAsia="Times New Roman" w:hAnsi="Arial" w:cs="Arial"/>
          <w:bCs/>
          <w:color w:val="000000"/>
          <w:sz w:val="24"/>
          <w:szCs w:val="24"/>
          <w:lang w:eastAsia="en-ZA"/>
        </w:rPr>
        <w:t>in the context of s 17(5)(a)(</w:t>
      </w:r>
      <w:proofErr w:type="spellStart"/>
      <w:r w:rsidR="00716E87" w:rsidRPr="00E759D0">
        <w:rPr>
          <w:rFonts w:ascii="Arial" w:eastAsia="Times New Roman" w:hAnsi="Arial" w:cs="Arial"/>
          <w:bCs/>
          <w:color w:val="000000"/>
          <w:sz w:val="24"/>
          <w:szCs w:val="24"/>
          <w:lang w:eastAsia="en-ZA"/>
        </w:rPr>
        <w:t>i</w:t>
      </w:r>
      <w:proofErr w:type="spellEnd"/>
      <w:r w:rsidR="00716E87" w:rsidRPr="00E759D0">
        <w:rPr>
          <w:rFonts w:ascii="Arial" w:eastAsia="Times New Roman" w:hAnsi="Arial" w:cs="Arial"/>
          <w:bCs/>
          <w:color w:val="000000"/>
          <w:sz w:val="24"/>
          <w:szCs w:val="24"/>
          <w:lang w:eastAsia="en-ZA"/>
        </w:rPr>
        <w:t>) of the PSA, that a discharge by operation of law does not constitute administrat</w:t>
      </w:r>
      <w:r w:rsidR="00EB0E87" w:rsidRPr="00E759D0">
        <w:rPr>
          <w:rFonts w:ascii="Arial" w:eastAsia="Times New Roman" w:hAnsi="Arial" w:cs="Arial"/>
          <w:bCs/>
          <w:color w:val="000000"/>
          <w:sz w:val="24"/>
          <w:szCs w:val="24"/>
          <w:lang w:eastAsia="en-ZA"/>
        </w:rPr>
        <w:t>ive</w:t>
      </w:r>
      <w:r w:rsidR="00716E87" w:rsidRPr="00E759D0">
        <w:rPr>
          <w:rFonts w:ascii="Arial" w:eastAsia="Times New Roman" w:hAnsi="Arial" w:cs="Arial"/>
          <w:bCs/>
          <w:color w:val="000000"/>
          <w:sz w:val="24"/>
          <w:szCs w:val="24"/>
          <w:lang w:eastAsia="en-ZA"/>
        </w:rPr>
        <w:t xml:space="preserve"> action capable of being reviewed</w:t>
      </w:r>
      <w:r w:rsidR="00712745" w:rsidRPr="00E759D0">
        <w:rPr>
          <w:rFonts w:ascii="Arial" w:eastAsia="Times New Roman" w:hAnsi="Arial" w:cs="Arial"/>
          <w:bCs/>
          <w:color w:val="000000"/>
          <w:sz w:val="24"/>
          <w:szCs w:val="24"/>
          <w:lang w:eastAsia="en-ZA"/>
        </w:rPr>
        <w:t>.</w:t>
      </w:r>
      <w:r w:rsidR="00DB748F" w:rsidRPr="00E759D0">
        <w:rPr>
          <w:rStyle w:val="FootnoteReference"/>
          <w:rFonts w:ascii="Arial" w:eastAsia="Times New Roman" w:hAnsi="Arial" w:cs="Arial"/>
          <w:bCs/>
          <w:color w:val="000000"/>
          <w:sz w:val="24"/>
          <w:szCs w:val="24"/>
          <w:lang w:eastAsia="en-ZA"/>
        </w:rPr>
        <w:footnoteReference w:id="18"/>
      </w:r>
      <w:r w:rsidR="00A65E5B" w:rsidRPr="00E759D0">
        <w:rPr>
          <w:rFonts w:ascii="Arial" w:eastAsia="Times New Roman" w:hAnsi="Arial" w:cs="Arial"/>
          <w:bCs/>
          <w:color w:val="000000"/>
          <w:sz w:val="24"/>
          <w:szCs w:val="24"/>
          <w:lang w:eastAsia="en-ZA"/>
        </w:rPr>
        <w:t xml:space="preserve"> Similarly</w:t>
      </w:r>
      <w:r w:rsidR="003549A6" w:rsidRPr="00E759D0">
        <w:rPr>
          <w:rFonts w:ascii="Arial" w:eastAsia="Times New Roman" w:hAnsi="Arial" w:cs="Arial"/>
          <w:bCs/>
          <w:color w:val="000000"/>
          <w:sz w:val="24"/>
          <w:szCs w:val="24"/>
          <w:lang w:eastAsia="en-ZA"/>
        </w:rPr>
        <w:t>,</w:t>
      </w:r>
      <w:r w:rsidR="00A65E5B" w:rsidRPr="00E759D0">
        <w:rPr>
          <w:rFonts w:ascii="Arial" w:eastAsia="Times New Roman" w:hAnsi="Arial" w:cs="Arial"/>
          <w:bCs/>
          <w:color w:val="000000"/>
          <w:sz w:val="24"/>
          <w:szCs w:val="24"/>
          <w:lang w:eastAsia="en-ZA"/>
        </w:rPr>
        <w:t xml:space="preserve"> in </w:t>
      </w:r>
      <w:r w:rsidR="00511BF6" w:rsidRPr="00E759D0">
        <w:rPr>
          <w:rFonts w:ascii="Arial" w:eastAsia="Times New Roman" w:hAnsi="Arial" w:cs="Arial"/>
          <w:i/>
          <w:sz w:val="24"/>
          <w:szCs w:val="24"/>
          <w:lang w:val="en-GB"/>
        </w:rPr>
        <w:t>Public Servants Association of SA</w:t>
      </w:r>
      <w:r w:rsidR="00A65E5B" w:rsidRPr="00E759D0">
        <w:rPr>
          <w:rFonts w:ascii="Arial" w:eastAsia="Times New Roman" w:hAnsi="Arial" w:cs="Arial"/>
          <w:i/>
          <w:sz w:val="24"/>
          <w:szCs w:val="24"/>
          <w:lang w:val="en-GB"/>
        </w:rPr>
        <w:t xml:space="preserve"> </w:t>
      </w:r>
      <w:r w:rsidR="00511BF6" w:rsidRPr="00E759D0">
        <w:rPr>
          <w:rFonts w:ascii="Arial" w:eastAsia="Times New Roman" w:hAnsi="Arial" w:cs="Arial"/>
          <w:i/>
          <w:snapToGrid w:val="0"/>
          <w:sz w:val="24"/>
          <w:szCs w:val="24"/>
          <w:lang w:val="en-GB"/>
        </w:rPr>
        <w:t xml:space="preserve">obo Ms L Van Der Walt v </w:t>
      </w:r>
      <w:r w:rsidR="00511BF6" w:rsidRPr="00E759D0">
        <w:rPr>
          <w:rFonts w:ascii="Arial" w:eastAsia="Times New Roman" w:hAnsi="Arial" w:cs="Arial"/>
          <w:i/>
          <w:sz w:val="24"/>
          <w:szCs w:val="24"/>
          <w:lang w:val="en-GB"/>
        </w:rPr>
        <w:t>The Minister of Public Enterprise  &amp;  another</w:t>
      </w:r>
      <w:r w:rsidR="00511BF6" w:rsidRPr="00E759D0">
        <w:rPr>
          <w:rStyle w:val="FootnoteReference"/>
          <w:rFonts w:ascii="Arial" w:eastAsia="Times New Roman" w:hAnsi="Arial" w:cs="Arial"/>
          <w:sz w:val="24"/>
          <w:szCs w:val="24"/>
          <w:lang w:val="en-GB"/>
        </w:rPr>
        <w:footnoteReference w:id="19"/>
      </w:r>
      <w:r w:rsidR="00A65E5B" w:rsidRPr="00E759D0">
        <w:rPr>
          <w:rFonts w:ascii="Arial" w:eastAsia="Times New Roman" w:hAnsi="Arial" w:cs="Arial"/>
          <w:sz w:val="24"/>
          <w:szCs w:val="24"/>
          <w:lang w:val="en-GB"/>
        </w:rPr>
        <w:t xml:space="preserve"> the court pointed out that</w:t>
      </w:r>
      <w:r w:rsidRPr="00E759D0">
        <w:rPr>
          <w:rFonts w:ascii="Arial" w:eastAsia="Times New Roman" w:hAnsi="Arial" w:cs="Arial"/>
          <w:sz w:val="24"/>
          <w:szCs w:val="24"/>
          <w:lang w:val="en-GB"/>
        </w:rPr>
        <w:t>,</w:t>
      </w:r>
      <w:r w:rsidR="00A65E5B" w:rsidRPr="00E759D0">
        <w:rPr>
          <w:rFonts w:ascii="Arial" w:eastAsia="Times New Roman" w:hAnsi="Arial" w:cs="Arial"/>
          <w:sz w:val="24"/>
          <w:szCs w:val="24"/>
          <w:lang w:val="en-GB"/>
        </w:rPr>
        <w:t xml:space="preserve"> once the requirements of section 17(5)(a)(</w:t>
      </w:r>
      <w:proofErr w:type="spellStart"/>
      <w:r w:rsidR="00A65E5B" w:rsidRPr="00E759D0">
        <w:rPr>
          <w:rFonts w:ascii="Arial" w:eastAsia="Times New Roman" w:hAnsi="Arial" w:cs="Arial"/>
          <w:sz w:val="24"/>
          <w:szCs w:val="24"/>
          <w:lang w:val="en-GB"/>
        </w:rPr>
        <w:t>i</w:t>
      </w:r>
      <w:proofErr w:type="spellEnd"/>
      <w:r w:rsidR="00A65E5B" w:rsidRPr="00E759D0">
        <w:rPr>
          <w:rFonts w:ascii="Arial" w:eastAsia="Times New Roman" w:hAnsi="Arial" w:cs="Arial"/>
          <w:sz w:val="24"/>
          <w:szCs w:val="24"/>
          <w:lang w:val="en-GB"/>
        </w:rPr>
        <w:t xml:space="preserve">) of the PSA has been shown to exist, the applicant cannot challenge her discharge on review since it is by operation of law. </w:t>
      </w:r>
      <w:r w:rsidR="00511BF6" w:rsidRPr="00E759D0">
        <w:rPr>
          <w:rFonts w:ascii="Arial" w:eastAsia="Times New Roman" w:hAnsi="Arial" w:cs="Arial"/>
          <w:sz w:val="24"/>
          <w:szCs w:val="24"/>
          <w:lang w:val="en-GB"/>
        </w:rPr>
        <w:t xml:space="preserve"> </w:t>
      </w:r>
      <w:r w:rsidR="00F21E20" w:rsidRPr="00E759D0">
        <w:rPr>
          <w:rFonts w:ascii="Arial" w:eastAsia="Times New Roman" w:hAnsi="Arial" w:cs="Arial"/>
          <w:sz w:val="24"/>
          <w:szCs w:val="24"/>
          <w:lang w:val="en-GB"/>
        </w:rPr>
        <w:t xml:space="preserve">And finally, in </w:t>
      </w:r>
      <w:proofErr w:type="spellStart"/>
      <w:r w:rsidR="00F21E20" w:rsidRPr="00E759D0">
        <w:rPr>
          <w:rFonts w:ascii="Arial" w:eastAsia="Times New Roman" w:hAnsi="Arial" w:cs="Arial"/>
          <w:bCs/>
          <w:i/>
          <w:color w:val="000000"/>
          <w:sz w:val="24"/>
          <w:szCs w:val="24"/>
          <w:lang w:eastAsia="en-ZA"/>
        </w:rPr>
        <w:t>Phenithi</w:t>
      </w:r>
      <w:proofErr w:type="spellEnd"/>
      <w:r w:rsidR="00F21E20" w:rsidRPr="00E759D0">
        <w:rPr>
          <w:rFonts w:ascii="Arial" w:eastAsia="Times New Roman" w:hAnsi="Arial" w:cs="Arial"/>
          <w:bCs/>
          <w:i/>
          <w:color w:val="000000"/>
          <w:sz w:val="24"/>
          <w:szCs w:val="24"/>
          <w:lang w:eastAsia="en-ZA"/>
        </w:rPr>
        <w:t xml:space="preserve"> v Minister of Education &amp; others</w:t>
      </w:r>
      <w:r w:rsidR="00F21E20" w:rsidRPr="00E759D0">
        <w:rPr>
          <w:rStyle w:val="FootnoteReference"/>
          <w:rFonts w:ascii="Arial" w:eastAsia="Times New Roman" w:hAnsi="Arial" w:cs="Arial"/>
          <w:bCs/>
          <w:i/>
          <w:color w:val="000000"/>
          <w:sz w:val="24"/>
          <w:szCs w:val="24"/>
          <w:lang w:eastAsia="en-ZA"/>
        </w:rPr>
        <w:footnoteReference w:id="20"/>
      </w:r>
      <w:r w:rsidR="00E759D0" w:rsidRPr="00E759D0">
        <w:rPr>
          <w:rFonts w:ascii="Arial" w:eastAsia="Times New Roman" w:hAnsi="Arial" w:cs="Arial"/>
          <w:bCs/>
          <w:color w:val="000000"/>
          <w:sz w:val="24"/>
          <w:szCs w:val="24"/>
          <w:lang w:eastAsia="en-ZA"/>
        </w:rPr>
        <w:t xml:space="preserve"> (in the context of s</w:t>
      </w:r>
      <w:r w:rsidR="00F21E20" w:rsidRPr="00E759D0">
        <w:rPr>
          <w:rFonts w:ascii="Arial" w:eastAsia="Times New Roman" w:hAnsi="Arial" w:cs="Arial"/>
          <w:bCs/>
          <w:color w:val="000000"/>
          <w:sz w:val="24"/>
          <w:szCs w:val="24"/>
          <w:lang w:eastAsia="en-ZA"/>
        </w:rPr>
        <w:t xml:space="preserve"> 14(a) of the EEA</w:t>
      </w:r>
      <w:r w:rsidR="003549A6" w:rsidRPr="00E759D0">
        <w:rPr>
          <w:rFonts w:ascii="Arial" w:eastAsia="Times New Roman" w:hAnsi="Arial" w:cs="Arial"/>
          <w:bCs/>
          <w:color w:val="000000"/>
          <w:sz w:val="24"/>
          <w:szCs w:val="24"/>
          <w:lang w:eastAsia="en-ZA"/>
        </w:rPr>
        <w:t>)</w:t>
      </w:r>
      <w:r w:rsidR="00F21E20" w:rsidRPr="00E759D0">
        <w:rPr>
          <w:rFonts w:ascii="Arial" w:eastAsia="Times New Roman" w:hAnsi="Arial" w:cs="Arial"/>
          <w:bCs/>
          <w:color w:val="000000"/>
          <w:sz w:val="24"/>
          <w:szCs w:val="24"/>
          <w:lang w:eastAsia="en-ZA"/>
        </w:rPr>
        <w:t>, the Supreme Court of Appeal likewise confirmed that a discharge does</w:t>
      </w:r>
      <w:r w:rsidRPr="00E759D0">
        <w:rPr>
          <w:rFonts w:ascii="Arial" w:eastAsia="Times New Roman" w:hAnsi="Arial" w:cs="Arial"/>
          <w:bCs/>
          <w:color w:val="000000"/>
          <w:sz w:val="24"/>
          <w:szCs w:val="24"/>
          <w:lang w:eastAsia="en-ZA"/>
        </w:rPr>
        <w:t xml:space="preserve"> not constitute administrative </w:t>
      </w:r>
      <w:r w:rsidR="00F21E20" w:rsidRPr="00E759D0">
        <w:rPr>
          <w:rFonts w:ascii="Arial" w:eastAsia="Times New Roman" w:hAnsi="Arial" w:cs="Arial"/>
          <w:bCs/>
          <w:color w:val="000000"/>
          <w:sz w:val="24"/>
          <w:szCs w:val="24"/>
          <w:lang w:eastAsia="en-ZA"/>
        </w:rPr>
        <w:t>a</w:t>
      </w:r>
      <w:r w:rsidRPr="00E759D0">
        <w:rPr>
          <w:rFonts w:ascii="Arial" w:eastAsia="Times New Roman" w:hAnsi="Arial" w:cs="Arial"/>
          <w:bCs/>
          <w:color w:val="000000"/>
          <w:sz w:val="24"/>
          <w:szCs w:val="24"/>
          <w:lang w:eastAsia="en-ZA"/>
        </w:rPr>
        <w:t>c</w:t>
      </w:r>
      <w:r w:rsidR="00F21E20" w:rsidRPr="00E759D0">
        <w:rPr>
          <w:rFonts w:ascii="Arial" w:eastAsia="Times New Roman" w:hAnsi="Arial" w:cs="Arial"/>
          <w:bCs/>
          <w:color w:val="000000"/>
          <w:sz w:val="24"/>
          <w:szCs w:val="24"/>
          <w:lang w:eastAsia="en-ZA"/>
        </w:rPr>
        <w:t>tion capable of review and setting aside</w:t>
      </w:r>
      <w:r w:rsidR="007725CA" w:rsidRPr="00E759D0">
        <w:rPr>
          <w:rFonts w:ascii="Arial" w:eastAsia="Times New Roman" w:hAnsi="Arial" w:cs="Arial"/>
          <w:bCs/>
          <w:color w:val="000000"/>
          <w:sz w:val="24"/>
          <w:szCs w:val="24"/>
          <w:lang w:eastAsia="en-ZA"/>
        </w:rPr>
        <w:t xml:space="preserve">. The court </w:t>
      </w:r>
      <w:r w:rsidR="00B66414" w:rsidRPr="00E759D0">
        <w:rPr>
          <w:rFonts w:ascii="Arial" w:eastAsia="Times New Roman" w:hAnsi="Arial" w:cs="Arial"/>
          <w:bCs/>
          <w:color w:val="000000"/>
          <w:sz w:val="24"/>
          <w:szCs w:val="24"/>
          <w:lang w:eastAsia="en-ZA"/>
        </w:rPr>
        <w:t xml:space="preserve">in that case </w:t>
      </w:r>
      <w:r w:rsidR="007725CA" w:rsidRPr="00E759D0">
        <w:rPr>
          <w:rFonts w:ascii="Arial" w:eastAsia="Times New Roman" w:hAnsi="Arial" w:cs="Arial"/>
          <w:bCs/>
          <w:color w:val="000000"/>
          <w:sz w:val="24"/>
          <w:szCs w:val="24"/>
          <w:lang w:eastAsia="en-ZA"/>
        </w:rPr>
        <w:t xml:space="preserve">further </w:t>
      </w:r>
      <w:r w:rsidR="00B66414" w:rsidRPr="00E759D0">
        <w:rPr>
          <w:rFonts w:ascii="Arial" w:eastAsia="Times New Roman" w:hAnsi="Arial" w:cs="Arial"/>
          <w:bCs/>
          <w:color w:val="000000"/>
          <w:sz w:val="24"/>
          <w:szCs w:val="24"/>
          <w:lang w:eastAsia="en-ZA"/>
        </w:rPr>
        <w:t xml:space="preserve">explained that, </w:t>
      </w:r>
      <w:r w:rsidR="003549A6" w:rsidRPr="00E759D0">
        <w:rPr>
          <w:rFonts w:ascii="Arial" w:eastAsia="Times New Roman" w:hAnsi="Arial" w:cs="Arial"/>
          <w:bCs/>
          <w:color w:val="000000"/>
          <w:sz w:val="24"/>
          <w:szCs w:val="24"/>
          <w:lang w:eastAsia="en-ZA"/>
        </w:rPr>
        <w:t xml:space="preserve">because this section does not require any </w:t>
      </w:r>
      <w:r w:rsidR="00B66414" w:rsidRPr="00E759D0">
        <w:rPr>
          <w:rFonts w:ascii="Arial" w:eastAsia="Times New Roman" w:hAnsi="Arial" w:cs="Arial"/>
          <w:bCs/>
          <w:color w:val="000000"/>
          <w:sz w:val="24"/>
          <w:szCs w:val="24"/>
          <w:lang w:eastAsia="en-ZA"/>
        </w:rPr>
        <w:t>“</w:t>
      </w:r>
      <w:r w:rsidR="003549A6" w:rsidRPr="00E759D0">
        <w:rPr>
          <w:rFonts w:ascii="Arial" w:eastAsia="Times New Roman" w:hAnsi="Arial" w:cs="Arial"/>
          <w:bCs/>
          <w:color w:val="000000"/>
          <w:sz w:val="24"/>
          <w:szCs w:val="24"/>
          <w:lang w:eastAsia="en-ZA"/>
        </w:rPr>
        <w:t>decision</w:t>
      </w:r>
      <w:r w:rsidR="00B66414" w:rsidRPr="00E759D0">
        <w:rPr>
          <w:rFonts w:ascii="Arial" w:eastAsia="Times New Roman" w:hAnsi="Arial" w:cs="Arial"/>
          <w:bCs/>
          <w:color w:val="000000"/>
          <w:sz w:val="24"/>
          <w:szCs w:val="24"/>
          <w:lang w:eastAsia="en-ZA"/>
        </w:rPr>
        <w:t>”</w:t>
      </w:r>
      <w:r w:rsidR="003549A6" w:rsidRPr="00E759D0">
        <w:rPr>
          <w:rFonts w:ascii="Arial" w:eastAsia="Times New Roman" w:hAnsi="Arial" w:cs="Arial"/>
          <w:bCs/>
          <w:color w:val="000000"/>
          <w:sz w:val="24"/>
          <w:szCs w:val="24"/>
          <w:lang w:eastAsia="en-ZA"/>
        </w:rPr>
        <w:t xml:space="preserve"> to be made for its provisions to come into operation, </w:t>
      </w:r>
      <w:r w:rsidR="00B66414" w:rsidRPr="00E759D0">
        <w:rPr>
          <w:rFonts w:ascii="Arial" w:eastAsia="Times New Roman" w:hAnsi="Arial" w:cs="Arial"/>
          <w:bCs/>
          <w:color w:val="000000"/>
          <w:sz w:val="24"/>
          <w:szCs w:val="24"/>
          <w:lang w:eastAsia="en-ZA"/>
        </w:rPr>
        <w:t>a hearing</w:t>
      </w:r>
      <w:r w:rsidR="003549A6" w:rsidRPr="00E759D0">
        <w:rPr>
          <w:rFonts w:ascii="Arial" w:eastAsia="Times New Roman" w:hAnsi="Arial" w:cs="Arial"/>
          <w:bCs/>
          <w:color w:val="000000"/>
          <w:sz w:val="24"/>
          <w:szCs w:val="24"/>
          <w:lang w:eastAsia="en-ZA"/>
        </w:rPr>
        <w:t xml:space="preserve"> is also not contemplated prior to </w:t>
      </w:r>
      <w:r w:rsidR="007725CA" w:rsidRPr="00E759D0">
        <w:rPr>
          <w:rFonts w:ascii="Arial" w:eastAsia="Times New Roman" w:hAnsi="Arial" w:cs="Arial"/>
          <w:bCs/>
          <w:color w:val="000000"/>
          <w:sz w:val="24"/>
          <w:szCs w:val="24"/>
          <w:lang w:eastAsia="en-ZA"/>
        </w:rPr>
        <w:t>s</w:t>
      </w:r>
      <w:r w:rsidR="003549A6" w:rsidRPr="00E759D0">
        <w:rPr>
          <w:rFonts w:ascii="Arial" w:eastAsia="Times New Roman" w:hAnsi="Arial" w:cs="Arial"/>
          <w:bCs/>
          <w:color w:val="000000"/>
          <w:sz w:val="24"/>
          <w:szCs w:val="24"/>
          <w:lang w:eastAsia="en-ZA"/>
        </w:rPr>
        <w:t xml:space="preserve"> </w:t>
      </w:r>
      <w:r w:rsidR="007725CA" w:rsidRPr="00E759D0">
        <w:rPr>
          <w:rFonts w:ascii="Arial" w:eastAsia="Times New Roman" w:hAnsi="Arial" w:cs="Arial"/>
          <w:bCs/>
          <w:color w:val="000000"/>
          <w:sz w:val="24"/>
          <w:szCs w:val="24"/>
          <w:lang w:eastAsia="en-ZA"/>
        </w:rPr>
        <w:t xml:space="preserve">14(1)(a) </w:t>
      </w:r>
      <w:r w:rsidR="003549A6" w:rsidRPr="00E759D0">
        <w:rPr>
          <w:rFonts w:ascii="Arial" w:eastAsia="Times New Roman" w:hAnsi="Arial" w:cs="Arial"/>
          <w:bCs/>
          <w:color w:val="000000"/>
          <w:sz w:val="24"/>
          <w:szCs w:val="24"/>
          <w:lang w:eastAsia="en-ZA"/>
        </w:rPr>
        <w:t>coming into operation.</w:t>
      </w:r>
      <w:r w:rsidR="006E163C" w:rsidRPr="00E759D0">
        <w:rPr>
          <w:rStyle w:val="FootnoteReference"/>
          <w:rFonts w:ascii="Arial" w:eastAsia="Times New Roman" w:hAnsi="Arial" w:cs="Arial"/>
          <w:bCs/>
          <w:color w:val="000000"/>
          <w:sz w:val="24"/>
          <w:szCs w:val="24"/>
          <w:lang w:eastAsia="en-ZA"/>
        </w:rPr>
        <w:footnoteReference w:id="21"/>
      </w:r>
      <w:r w:rsidR="003549A6" w:rsidRPr="00E759D0">
        <w:rPr>
          <w:rFonts w:ascii="Arial" w:eastAsia="Times New Roman" w:hAnsi="Arial" w:cs="Arial"/>
          <w:bCs/>
          <w:color w:val="000000"/>
          <w:sz w:val="24"/>
          <w:szCs w:val="24"/>
          <w:lang w:eastAsia="en-ZA"/>
        </w:rPr>
        <w:t xml:space="preserve"> Section 3(1) of the Promotion of Administrative Justice Act</w:t>
      </w:r>
      <w:r w:rsidR="003549A6" w:rsidRPr="00E759D0">
        <w:rPr>
          <w:rStyle w:val="FootnoteReference"/>
          <w:rFonts w:ascii="Arial" w:eastAsia="Times New Roman" w:hAnsi="Arial" w:cs="Arial"/>
          <w:bCs/>
          <w:color w:val="000000"/>
          <w:sz w:val="24"/>
          <w:szCs w:val="24"/>
          <w:lang w:eastAsia="en-ZA"/>
        </w:rPr>
        <w:footnoteReference w:id="22"/>
      </w:r>
      <w:r w:rsidR="003549A6" w:rsidRPr="00E759D0">
        <w:rPr>
          <w:rFonts w:ascii="Arial" w:eastAsia="Times New Roman" w:hAnsi="Arial" w:cs="Arial"/>
          <w:bCs/>
          <w:color w:val="000000"/>
          <w:sz w:val="24"/>
          <w:szCs w:val="24"/>
          <w:lang w:eastAsia="en-ZA"/>
        </w:rPr>
        <w:t xml:space="preserve"> </w:t>
      </w:r>
      <w:r w:rsidR="00B66414" w:rsidRPr="00E759D0">
        <w:rPr>
          <w:rFonts w:ascii="Arial" w:eastAsia="Times New Roman" w:hAnsi="Arial" w:cs="Arial"/>
          <w:bCs/>
          <w:color w:val="000000"/>
          <w:sz w:val="24"/>
          <w:szCs w:val="24"/>
          <w:lang w:eastAsia="en-ZA"/>
        </w:rPr>
        <w:t xml:space="preserve">also </w:t>
      </w:r>
      <w:r w:rsidR="007725CA" w:rsidRPr="00E759D0">
        <w:rPr>
          <w:rFonts w:ascii="Arial" w:eastAsia="Times New Roman" w:hAnsi="Arial" w:cs="Arial"/>
          <w:bCs/>
          <w:color w:val="000000"/>
          <w:sz w:val="24"/>
          <w:szCs w:val="24"/>
          <w:lang w:eastAsia="en-ZA"/>
        </w:rPr>
        <w:t xml:space="preserve">does </w:t>
      </w:r>
      <w:r w:rsidR="003549A6" w:rsidRPr="00E759D0">
        <w:rPr>
          <w:rFonts w:ascii="Arial" w:eastAsia="Times New Roman" w:hAnsi="Arial" w:cs="Arial"/>
          <w:bCs/>
          <w:color w:val="000000"/>
          <w:sz w:val="24"/>
          <w:szCs w:val="24"/>
          <w:lang w:eastAsia="en-ZA"/>
        </w:rPr>
        <w:t>do not</w:t>
      </w:r>
      <w:r w:rsidR="00B66414" w:rsidRPr="00E759D0">
        <w:rPr>
          <w:rFonts w:ascii="Arial" w:eastAsia="Times New Roman" w:hAnsi="Arial" w:cs="Arial"/>
          <w:bCs/>
          <w:color w:val="000000"/>
          <w:sz w:val="24"/>
          <w:szCs w:val="24"/>
          <w:lang w:eastAsia="en-ZA"/>
        </w:rPr>
        <w:t xml:space="preserve"> come into play</w:t>
      </w:r>
      <w:r w:rsidR="003549A6" w:rsidRPr="00E759D0">
        <w:rPr>
          <w:rFonts w:ascii="Arial" w:eastAsia="Times New Roman" w:hAnsi="Arial" w:cs="Arial"/>
          <w:bCs/>
          <w:color w:val="000000"/>
          <w:sz w:val="24"/>
          <w:szCs w:val="24"/>
          <w:lang w:eastAsia="en-ZA"/>
        </w:rPr>
        <w:t xml:space="preserve">: </w:t>
      </w:r>
      <w:r w:rsidR="003549A6" w:rsidRPr="00E759D0">
        <w:rPr>
          <w:rStyle w:val="FootnoteReference"/>
          <w:rFonts w:ascii="Arial" w:eastAsia="Times New Roman" w:hAnsi="Arial" w:cs="Arial"/>
          <w:bCs/>
          <w:color w:val="000000"/>
          <w:sz w:val="24"/>
          <w:szCs w:val="24"/>
          <w:lang w:eastAsia="en-ZA"/>
        </w:rPr>
        <w:footnoteReference w:id="23"/>
      </w:r>
    </w:p>
    <w:p w14:paraId="5DF2C9DD" w14:textId="77777777" w:rsidR="007725CA" w:rsidRPr="00E759D0" w:rsidRDefault="007725CA" w:rsidP="00E759D0">
      <w:pPr>
        <w:spacing w:after="0" w:line="360" w:lineRule="auto"/>
        <w:ind w:left="720"/>
        <w:jc w:val="both"/>
        <w:rPr>
          <w:rFonts w:ascii="Arial" w:eastAsia="Times New Roman" w:hAnsi="Arial" w:cs="Arial"/>
          <w:color w:val="000000"/>
          <w:sz w:val="24"/>
          <w:szCs w:val="24"/>
          <w:lang w:eastAsia="en-ZA"/>
        </w:rPr>
      </w:pPr>
      <w:r w:rsidRPr="00E759D0">
        <w:rPr>
          <w:rFonts w:ascii="Arial" w:eastAsia="Times New Roman" w:hAnsi="Arial" w:cs="Arial"/>
          <w:bCs/>
          <w:color w:val="000000"/>
          <w:lang w:eastAsia="en-ZA"/>
        </w:rPr>
        <w:lastRenderedPageBreak/>
        <w:t>“</w:t>
      </w:r>
      <w:r w:rsidRPr="00E759D0">
        <w:rPr>
          <w:rFonts w:ascii="Arial" w:eastAsia="Times New Roman" w:hAnsi="Arial" w:cs="Arial"/>
          <w:color w:val="000000"/>
          <w:lang w:eastAsia="en-ZA"/>
        </w:rPr>
        <w:t>[19] As to the ground that s 14(1)</w:t>
      </w:r>
      <w:r w:rsidRPr="00E759D0">
        <w:rPr>
          <w:rFonts w:ascii="Arial" w:eastAsia="Times New Roman" w:hAnsi="Arial" w:cs="Arial"/>
          <w:i/>
          <w:iCs/>
          <w:color w:val="000000"/>
          <w:lang w:eastAsia="en-ZA"/>
        </w:rPr>
        <w:t>(a)</w:t>
      </w:r>
      <w:r w:rsidRPr="00E759D0">
        <w:rPr>
          <w:rFonts w:ascii="Arial" w:eastAsia="Times New Roman" w:hAnsi="Arial" w:cs="Arial"/>
          <w:color w:val="000000"/>
          <w:lang w:eastAsia="en-ZA"/>
        </w:rPr>
        <w:t>, read with s 14(2), violates the appellant's fundamental right to fair labour practices in terms of s 23(1) of the Constitution, it is not clear what 'act' of the employer is alleged to be allowed by the section 'without considering the substantive and procedural aspects of the case'. It would not be out of place to interpret the word 'act' to mean 'to decide to terminate or discharge', to which the answer again is that the employer takes no decision to terminate an educator's services under s 4(1)</w:t>
      </w:r>
      <w:r w:rsidRPr="00E759D0">
        <w:rPr>
          <w:rFonts w:ascii="Arial" w:eastAsia="Times New Roman" w:hAnsi="Arial" w:cs="Arial"/>
          <w:i/>
          <w:iCs/>
          <w:color w:val="000000"/>
          <w:lang w:eastAsia="en-ZA"/>
        </w:rPr>
        <w:t>(a)</w:t>
      </w:r>
      <w:r w:rsidRPr="00E759D0">
        <w:rPr>
          <w:rFonts w:ascii="Arial" w:eastAsia="Times New Roman" w:hAnsi="Arial" w:cs="Arial"/>
          <w:color w:val="000000"/>
          <w:lang w:eastAsia="en-ZA"/>
        </w:rPr>
        <w:t> of the Act. The discharge is by operation of law. In my view, the provision creates an essential and reasonable mechanism for the employer to infer 'desertion' when the statutory prerequisites are fulfilled. In such a case there can be no unfairness, for the educator's absence is taken by the statute to amount to a 'desertion'. Only the very clearest cases are covered. Where this is in fact not the case, the statute provides ample means to rectify or reverse the outcome.</w:t>
      </w:r>
      <w:r w:rsidRPr="00E759D0">
        <w:rPr>
          <w:rFonts w:ascii="Arial" w:eastAsia="Times New Roman" w:hAnsi="Arial" w:cs="Arial"/>
          <w:color w:val="000000"/>
          <w:sz w:val="24"/>
          <w:szCs w:val="24"/>
          <w:lang w:eastAsia="en-ZA"/>
        </w:rPr>
        <w:t>”</w:t>
      </w:r>
      <w:r w:rsidR="00495386" w:rsidRPr="00E759D0">
        <w:rPr>
          <w:rStyle w:val="FootnoteReference"/>
          <w:rFonts w:ascii="Arial" w:eastAsia="Times New Roman" w:hAnsi="Arial" w:cs="Arial"/>
          <w:color w:val="000000"/>
          <w:sz w:val="24"/>
          <w:szCs w:val="24"/>
          <w:lang w:eastAsia="en-ZA"/>
        </w:rPr>
        <w:footnoteReference w:id="24"/>
      </w:r>
    </w:p>
    <w:p w14:paraId="4637000C" w14:textId="77777777" w:rsidR="007725CA" w:rsidRPr="00E759D0" w:rsidRDefault="007725CA" w:rsidP="00E759D0">
      <w:pPr>
        <w:pStyle w:val="ListParagraph"/>
        <w:widowControl w:val="0"/>
        <w:tabs>
          <w:tab w:val="left" w:pos="-1440"/>
        </w:tabs>
        <w:autoSpaceDE w:val="0"/>
        <w:autoSpaceDN w:val="0"/>
        <w:adjustRightInd w:val="0"/>
        <w:spacing w:after="0" w:line="360" w:lineRule="auto"/>
        <w:ind w:left="0"/>
        <w:jc w:val="both"/>
        <w:rPr>
          <w:rFonts w:ascii="Arial" w:eastAsia="Times New Roman" w:hAnsi="Arial" w:cs="Arial"/>
          <w:bCs/>
          <w:color w:val="000000"/>
          <w:sz w:val="24"/>
          <w:szCs w:val="24"/>
          <w:lang w:eastAsia="en-ZA"/>
        </w:rPr>
      </w:pPr>
    </w:p>
    <w:p w14:paraId="4709A141" w14:textId="77777777" w:rsidR="00380F04" w:rsidRPr="00E759D0" w:rsidRDefault="00380F04" w:rsidP="00E759D0">
      <w:pPr>
        <w:pStyle w:val="ListParagraph"/>
        <w:widowControl w:val="0"/>
        <w:tabs>
          <w:tab w:val="left" w:pos="-1440"/>
        </w:tabs>
        <w:autoSpaceDE w:val="0"/>
        <w:autoSpaceDN w:val="0"/>
        <w:adjustRightInd w:val="0"/>
        <w:spacing w:after="0" w:line="360" w:lineRule="auto"/>
        <w:ind w:left="0"/>
        <w:jc w:val="both"/>
        <w:rPr>
          <w:rFonts w:ascii="Arial" w:eastAsia="Times New Roman" w:hAnsi="Arial" w:cs="Arial"/>
          <w:bCs/>
          <w:i/>
          <w:color w:val="000000"/>
          <w:sz w:val="24"/>
          <w:szCs w:val="24"/>
          <w:lang w:eastAsia="en-ZA"/>
        </w:rPr>
      </w:pPr>
      <w:r w:rsidRPr="00E759D0">
        <w:rPr>
          <w:rFonts w:ascii="Arial" w:eastAsia="Times New Roman" w:hAnsi="Arial" w:cs="Arial"/>
          <w:bCs/>
          <w:i/>
          <w:color w:val="000000"/>
          <w:sz w:val="24"/>
          <w:szCs w:val="24"/>
          <w:lang w:eastAsia="en-ZA"/>
        </w:rPr>
        <w:t>Returning to the facts</w:t>
      </w:r>
    </w:p>
    <w:p w14:paraId="577C0CBC" w14:textId="6CC09707" w:rsidR="00307352" w:rsidRPr="00E759D0" w:rsidRDefault="00E759D0" w:rsidP="00E759D0">
      <w:pPr>
        <w:pStyle w:val="ListParagraph"/>
        <w:numPr>
          <w:ilvl w:val="0"/>
          <w:numId w:val="1"/>
        </w:numPr>
        <w:spacing w:line="360" w:lineRule="auto"/>
        <w:jc w:val="both"/>
        <w:rPr>
          <w:rFonts w:ascii="Arial" w:hAnsi="Arial" w:cs="Arial"/>
          <w:sz w:val="24"/>
          <w:szCs w:val="24"/>
        </w:rPr>
      </w:pPr>
      <w:r w:rsidRPr="00E759D0">
        <w:rPr>
          <w:rFonts w:ascii="Arial" w:eastAsia="Times New Roman" w:hAnsi="Arial" w:cs="Arial"/>
          <w:color w:val="000000"/>
          <w:sz w:val="24"/>
          <w:szCs w:val="24"/>
          <w:lang w:eastAsia="en-ZA"/>
        </w:rPr>
        <w:t xml:space="preserve">I am satisfied, on </w:t>
      </w:r>
      <w:r w:rsidR="007C287D" w:rsidRPr="00E759D0">
        <w:rPr>
          <w:rFonts w:ascii="Arial" w:eastAsia="Times New Roman" w:hAnsi="Arial" w:cs="Arial"/>
          <w:color w:val="000000"/>
          <w:sz w:val="24"/>
          <w:szCs w:val="24"/>
          <w:lang w:eastAsia="en-ZA"/>
        </w:rPr>
        <w:t>the facts before the</w:t>
      </w:r>
      <w:r w:rsidR="00C25BB2" w:rsidRPr="00E759D0">
        <w:rPr>
          <w:rFonts w:ascii="Arial" w:eastAsia="Times New Roman" w:hAnsi="Arial" w:cs="Arial"/>
          <w:color w:val="000000"/>
          <w:sz w:val="24"/>
          <w:szCs w:val="24"/>
          <w:lang w:eastAsia="en-ZA"/>
        </w:rPr>
        <w:t xml:space="preserve"> court, that the jurisdictional requirements </w:t>
      </w:r>
      <w:r w:rsidR="00466B9E" w:rsidRPr="00E759D0">
        <w:rPr>
          <w:rFonts w:ascii="Arial" w:eastAsia="Times New Roman" w:hAnsi="Arial" w:cs="Arial"/>
          <w:color w:val="000000"/>
          <w:sz w:val="24"/>
          <w:szCs w:val="24"/>
          <w:lang w:eastAsia="en-ZA"/>
        </w:rPr>
        <w:t>embedded</w:t>
      </w:r>
      <w:r w:rsidR="00C25BB2" w:rsidRPr="00E759D0">
        <w:rPr>
          <w:rFonts w:ascii="Arial" w:eastAsia="Times New Roman" w:hAnsi="Arial" w:cs="Arial"/>
          <w:color w:val="000000"/>
          <w:sz w:val="24"/>
          <w:szCs w:val="24"/>
          <w:lang w:eastAsia="en-ZA"/>
        </w:rPr>
        <w:t xml:space="preserve"> in s 15 of the Intelligence Act have been satisfied. </w:t>
      </w:r>
      <w:r w:rsidR="007C287D" w:rsidRPr="00E759D0">
        <w:rPr>
          <w:rFonts w:ascii="Arial" w:eastAsia="Times New Roman" w:hAnsi="Arial" w:cs="Arial"/>
          <w:color w:val="000000"/>
          <w:sz w:val="24"/>
          <w:szCs w:val="24"/>
          <w:lang w:eastAsia="en-ZA"/>
        </w:rPr>
        <w:t xml:space="preserve">In fact, the </w:t>
      </w:r>
      <w:r w:rsidR="00C25BB2" w:rsidRPr="00E759D0">
        <w:rPr>
          <w:rFonts w:ascii="Arial" w:eastAsia="Times New Roman" w:hAnsi="Arial" w:cs="Arial"/>
          <w:color w:val="000000"/>
          <w:sz w:val="24"/>
          <w:szCs w:val="24"/>
          <w:lang w:eastAsia="en-ZA"/>
        </w:rPr>
        <w:t xml:space="preserve">applicant, by his </w:t>
      </w:r>
      <w:r w:rsidRPr="00E759D0">
        <w:rPr>
          <w:rFonts w:ascii="Arial" w:eastAsia="Times New Roman" w:hAnsi="Arial" w:cs="Arial"/>
          <w:color w:val="000000"/>
          <w:sz w:val="24"/>
          <w:szCs w:val="24"/>
          <w:lang w:eastAsia="en-ZA"/>
        </w:rPr>
        <w:t xml:space="preserve">own </w:t>
      </w:r>
      <w:r w:rsidR="00C25BB2" w:rsidRPr="00E759D0">
        <w:rPr>
          <w:rFonts w:ascii="Arial" w:eastAsia="Times New Roman" w:hAnsi="Arial" w:cs="Arial"/>
          <w:color w:val="000000"/>
          <w:sz w:val="24"/>
          <w:szCs w:val="24"/>
          <w:lang w:eastAsia="en-ZA"/>
        </w:rPr>
        <w:t xml:space="preserve">conduct, brought himself within the </w:t>
      </w:r>
      <w:r w:rsidR="00466B9E" w:rsidRPr="00E759D0">
        <w:rPr>
          <w:rFonts w:ascii="Arial" w:eastAsia="Times New Roman" w:hAnsi="Arial" w:cs="Arial"/>
          <w:color w:val="000000"/>
          <w:sz w:val="24"/>
          <w:szCs w:val="24"/>
          <w:lang w:eastAsia="en-ZA"/>
        </w:rPr>
        <w:t>jurisdictional boundaries</w:t>
      </w:r>
      <w:r w:rsidR="00307352" w:rsidRPr="00E759D0">
        <w:rPr>
          <w:rFonts w:ascii="Arial" w:eastAsia="Times New Roman" w:hAnsi="Arial" w:cs="Arial"/>
          <w:color w:val="000000"/>
          <w:sz w:val="24"/>
          <w:szCs w:val="24"/>
          <w:lang w:eastAsia="en-ZA"/>
        </w:rPr>
        <w:t xml:space="preserve"> of this section:</w:t>
      </w:r>
      <w:r w:rsidR="00C25BB2" w:rsidRPr="00E759D0">
        <w:rPr>
          <w:rFonts w:ascii="Arial" w:eastAsia="Times New Roman" w:hAnsi="Arial" w:cs="Arial"/>
          <w:color w:val="000000"/>
          <w:sz w:val="24"/>
          <w:szCs w:val="24"/>
          <w:lang w:eastAsia="en-ZA"/>
        </w:rPr>
        <w:t xml:space="preserve"> </w:t>
      </w:r>
    </w:p>
    <w:p w14:paraId="4D016522" w14:textId="77777777" w:rsidR="00307352" w:rsidRPr="00E759D0" w:rsidRDefault="00B66414" w:rsidP="00E759D0">
      <w:pPr>
        <w:pStyle w:val="ListParagraph"/>
        <w:numPr>
          <w:ilvl w:val="0"/>
          <w:numId w:val="12"/>
        </w:numPr>
        <w:spacing w:line="360" w:lineRule="auto"/>
        <w:jc w:val="both"/>
        <w:rPr>
          <w:rFonts w:ascii="Arial" w:eastAsia="Times New Roman" w:hAnsi="Arial" w:cs="Arial"/>
          <w:color w:val="000000"/>
          <w:sz w:val="24"/>
          <w:szCs w:val="24"/>
          <w:lang w:eastAsia="en-ZA"/>
        </w:rPr>
      </w:pPr>
      <w:r w:rsidRPr="00E759D0">
        <w:rPr>
          <w:rFonts w:ascii="Arial" w:eastAsia="Times New Roman" w:hAnsi="Arial" w:cs="Arial"/>
          <w:color w:val="000000"/>
          <w:sz w:val="24"/>
          <w:szCs w:val="24"/>
          <w:lang w:eastAsia="en-ZA"/>
        </w:rPr>
        <w:t xml:space="preserve">It is common cause that </w:t>
      </w:r>
      <w:r w:rsidR="00B27EFD" w:rsidRPr="00E759D0">
        <w:rPr>
          <w:rFonts w:ascii="Arial" w:eastAsia="Times New Roman" w:hAnsi="Arial" w:cs="Arial"/>
          <w:color w:val="000000"/>
          <w:sz w:val="24"/>
          <w:szCs w:val="24"/>
          <w:lang w:eastAsia="en-ZA"/>
        </w:rPr>
        <w:t>t</w:t>
      </w:r>
      <w:r w:rsidRPr="00E759D0">
        <w:rPr>
          <w:rFonts w:ascii="Arial" w:eastAsia="Times New Roman" w:hAnsi="Arial" w:cs="Arial"/>
          <w:color w:val="000000"/>
          <w:sz w:val="24"/>
          <w:szCs w:val="24"/>
          <w:lang w:eastAsia="en-ZA"/>
        </w:rPr>
        <w:t xml:space="preserve">he </w:t>
      </w:r>
      <w:r w:rsidR="00B27EFD" w:rsidRPr="00E759D0">
        <w:rPr>
          <w:rFonts w:ascii="Arial" w:eastAsia="Times New Roman" w:hAnsi="Arial" w:cs="Arial"/>
          <w:color w:val="000000"/>
          <w:sz w:val="24"/>
          <w:szCs w:val="24"/>
          <w:lang w:eastAsia="en-ZA"/>
        </w:rPr>
        <w:t>applicant</w:t>
      </w:r>
      <w:r w:rsidR="00466B9E" w:rsidRPr="00E759D0">
        <w:rPr>
          <w:rFonts w:ascii="Arial" w:eastAsia="Times New Roman" w:hAnsi="Arial" w:cs="Arial"/>
          <w:color w:val="000000"/>
          <w:sz w:val="24"/>
          <w:szCs w:val="24"/>
          <w:lang w:eastAsia="en-ZA"/>
        </w:rPr>
        <w:t>, apart from the initial short period, was</w:t>
      </w:r>
      <w:r w:rsidRPr="00E759D0">
        <w:rPr>
          <w:rFonts w:ascii="Arial" w:eastAsia="Times New Roman" w:hAnsi="Arial" w:cs="Arial"/>
          <w:color w:val="000000"/>
          <w:sz w:val="24"/>
          <w:szCs w:val="24"/>
          <w:lang w:eastAsia="en-ZA"/>
        </w:rPr>
        <w:t xml:space="preserve"> absent without leave</w:t>
      </w:r>
      <w:r w:rsidR="00B27EFD" w:rsidRPr="00E759D0">
        <w:rPr>
          <w:rFonts w:ascii="Arial" w:eastAsia="Times New Roman" w:hAnsi="Arial" w:cs="Arial"/>
          <w:color w:val="000000"/>
          <w:sz w:val="24"/>
          <w:szCs w:val="24"/>
          <w:lang w:eastAsia="en-ZA"/>
        </w:rPr>
        <w:t xml:space="preserve"> for an extended period until his discharge </w:t>
      </w:r>
      <w:r w:rsidR="00CC27ED" w:rsidRPr="00E759D0">
        <w:rPr>
          <w:rFonts w:ascii="Arial" w:eastAsia="Times New Roman" w:hAnsi="Arial" w:cs="Arial"/>
          <w:color w:val="000000"/>
          <w:sz w:val="24"/>
          <w:szCs w:val="24"/>
          <w:lang w:eastAsia="en-ZA"/>
        </w:rPr>
        <w:t>on 27 September 2019</w:t>
      </w:r>
      <w:r w:rsidRPr="00E759D0">
        <w:rPr>
          <w:rFonts w:ascii="Arial" w:eastAsia="Times New Roman" w:hAnsi="Arial" w:cs="Arial"/>
          <w:color w:val="000000"/>
          <w:sz w:val="24"/>
          <w:szCs w:val="24"/>
          <w:lang w:eastAsia="en-ZA"/>
        </w:rPr>
        <w:t xml:space="preserve">. </w:t>
      </w:r>
    </w:p>
    <w:p w14:paraId="4991A537" w14:textId="333B5476" w:rsidR="00307352" w:rsidRPr="00E759D0" w:rsidRDefault="00307352" w:rsidP="00E759D0">
      <w:pPr>
        <w:pStyle w:val="ListParagraph"/>
        <w:numPr>
          <w:ilvl w:val="0"/>
          <w:numId w:val="12"/>
        </w:numPr>
        <w:spacing w:line="360" w:lineRule="auto"/>
        <w:jc w:val="both"/>
        <w:rPr>
          <w:rFonts w:ascii="Arial" w:hAnsi="Arial" w:cs="Arial"/>
          <w:sz w:val="24"/>
          <w:szCs w:val="24"/>
        </w:rPr>
      </w:pPr>
      <w:r w:rsidRPr="00E759D0">
        <w:rPr>
          <w:rFonts w:ascii="Arial" w:eastAsia="Times New Roman" w:hAnsi="Arial" w:cs="Arial"/>
          <w:color w:val="000000"/>
          <w:sz w:val="24"/>
          <w:szCs w:val="24"/>
          <w:lang w:eastAsia="en-ZA"/>
        </w:rPr>
        <w:t xml:space="preserve">It is </w:t>
      </w:r>
      <w:r w:rsidR="00466B9E" w:rsidRPr="00E759D0">
        <w:rPr>
          <w:rFonts w:ascii="Arial" w:eastAsia="Times New Roman" w:hAnsi="Arial" w:cs="Arial"/>
          <w:color w:val="000000"/>
          <w:sz w:val="24"/>
          <w:szCs w:val="24"/>
          <w:lang w:eastAsia="en-ZA"/>
        </w:rPr>
        <w:t xml:space="preserve">also </w:t>
      </w:r>
      <w:r w:rsidRPr="00E759D0">
        <w:rPr>
          <w:rFonts w:ascii="Arial" w:eastAsia="Times New Roman" w:hAnsi="Arial" w:cs="Arial"/>
          <w:color w:val="000000"/>
          <w:sz w:val="24"/>
          <w:szCs w:val="24"/>
          <w:lang w:eastAsia="en-ZA"/>
        </w:rPr>
        <w:t xml:space="preserve">common cause that the applicant never </w:t>
      </w:r>
      <w:r w:rsidR="0020166A" w:rsidRPr="00E759D0">
        <w:rPr>
          <w:rFonts w:ascii="Arial" w:eastAsia="Times New Roman" w:hAnsi="Arial" w:cs="Arial"/>
          <w:color w:val="000000"/>
          <w:sz w:val="24"/>
          <w:szCs w:val="24"/>
          <w:lang w:eastAsia="en-ZA"/>
        </w:rPr>
        <w:t xml:space="preserve">submitted a request nor </w:t>
      </w:r>
      <w:r w:rsidR="00380F04" w:rsidRPr="00E759D0">
        <w:rPr>
          <w:rFonts w:ascii="Arial" w:eastAsia="Times New Roman" w:hAnsi="Arial" w:cs="Arial"/>
          <w:color w:val="000000"/>
          <w:sz w:val="24"/>
          <w:szCs w:val="24"/>
          <w:lang w:eastAsia="en-ZA"/>
        </w:rPr>
        <w:t xml:space="preserve">received </w:t>
      </w:r>
      <w:r w:rsidR="00B66414" w:rsidRPr="00E759D0">
        <w:rPr>
          <w:rFonts w:ascii="Arial" w:eastAsia="Times New Roman" w:hAnsi="Arial" w:cs="Arial"/>
          <w:color w:val="000000"/>
          <w:sz w:val="24"/>
          <w:szCs w:val="24"/>
          <w:lang w:eastAsia="en-ZA"/>
        </w:rPr>
        <w:t>permission from the Acting Director-General to be absent from work</w:t>
      </w:r>
      <w:r w:rsidR="0020166A" w:rsidRPr="00E759D0">
        <w:rPr>
          <w:rFonts w:ascii="Arial" w:eastAsia="Times New Roman" w:hAnsi="Arial" w:cs="Arial"/>
          <w:color w:val="000000"/>
          <w:sz w:val="24"/>
          <w:szCs w:val="24"/>
          <w:lang w:eastAsia="en-ZA"/>
        </w:rPr>
        <w:t xml:space="preserve">. </w:t>
      </w:r>
      <w:r w:rsidR="00466B9E" w:rsidRPr="00E759D0">
        <w:rPr>
          <w:rFonts w:ascii="Arial" w:eastAsia="Times New Roman" w:hAnsi="Arial" w:cs="Arial"/>
          <w:color w:val="000000"/>
          <w:sz w:val="24"/>
          <w:szCs w:val="24"/>
          <w:lang w:eastAsia="en-ZA"/>
        </w:rPr>
        <w:t>Furthermore, the facts show</w:t>
      </w:r>
      <w:r w:rsidRPr="00E759D0">
        <w:rPr>
          <w:rFonts w:ascii="Arial" w:eastAsia="Times New Roman" w:hAnsi="Arial" w:cs="Arial"/>
          <w:color w:val="000000"/>
          <w:sz w:val="24"/>
          <w:szCs w:val="24"/>
          <w:lang w:eastAsia="en-ZA"/>
        </w:rPr>
        <w:t xml:space="preserve"> that </w:t>
      </w:r>
      <w:r w:rsidR="00466B9E" w:rsidRPr="00E759D0">
        <w:rPr>
          <w:rFonts w:ascii="Arial" w:eastAsia="Times New Roman" w:hAnsi="Arial" w:cs="Arial"/>
          <w:color w:val="000000"/>
          <w:sz w:val="24"/>
          <w:szCs w:val="24"/>
          <w:lang w:eastAsia="en-ZA"/>
        </w:rPr>
        <w:t xml:space="preserve">even after the applicant was specifically informed by </w:t>
      </w:r>
      <w:proofErr w:type="spellStart"/>
      <w:r w:rsidR="00466B9E" w:rsidRPr="00E759D0">
        <w:rPr>
          <w:rFonts w:ascii="Arial" w:eastAsia="Times New Roman" w:hAnsi="Arial" w:cs="Arial"/>
          <w:color w:val="000000"/>
          <w:sz w:val="24"/>
          <w:szCs w:val="24"/>
          <w:lang w:eastAsia="en-ZA"/>
        </w:rPr>
        <w:t>Duba</w:t>
      </w:r>
      <w:proofErr w:type="spellEnd"/>
      <w:r w:rsidR="00466B9E" w:rsidRPr="00E759D0">
        <w:rPr>
          <w:rFonts w:ascii="Arial" w:eastAsia="Times New Roman" w:hAnsi="Arial" w:cs="Arial"/>
          <w:color w:val="000000"/>
          <w:sz w:val="24"/>
          <w:szCs w:val="24"/>
          <w:lang w:eastAsia="en-ZA"/>
        </w:rPr>
        <w:t xml:space="preserve"> that he should engage with </w:t>
      </w:r>
      <w:proofErr w:type="spellStart"/>
      <w:r w:rsidR="00466B9E" w:rsidRPr="00E759D0">
        <w:rPr>
          <w:rFonts w:ascii="Arial" w:eastAsia="Times New Roman" w:hAnsi="Arial" w:cs="Arial"/>
          <w:color w:val="000000"/>
          <w:sz w:val="24"/>
          <w:szCs w:val="24"/>
          <w:lang w:eastAsia="en-ZA"/>
        </w:rPr>
        <w:t>Jafta</w:t>
      </w:r>
      <w:proofErr w:type="spellEnd"/>
      <w:r w:rsidR="00E759D0" w:rsidRPr="00E759D0">
        <w:rPr>
          <w:rFonts w:ascii="Arial" w:eastAsia="Times New Roman" w:hAnsi="Arial" w:cs="Arial"/>
          <w:color w:val="000000"/>
          <w:sz w:val="24"/>
          <w:szCs w:val="24"/>
          <w:lang w:eastAsia="en-ZA"/>
        </w:rPr>
        <w:t xml:space="preserve"> regarding his leave application</w:t>
      </w:r>
      <w:r w:rsidR="00466B9E" w:rsidRPr="00E759D0">
        <w:rPr>
          <w:rFonts w:ascii="Arial" w:eastAsia="Times New Roman" w:hAnsi="Arial" w:cs="Arial"/>
          <w:color w:val="000000"/>
          <w:sz w:val="24"/>
          <w:szCs w:val="24"/>
          <w:lang w:eastAsia="en-ZA"/>
        </w:rPr>
        <w:t xml:space="preserve">, chose to </w:t>
      </w:r>
      <w:r w:rsidR="00E759D0" w:rsidRPr="00E759D0">
        <w:rPr>
          <w:rFonts w:ascii="Arial" w:eastAsia="Times New Roman" w:hAnsi="Arial" w:cs="Arial"/>
          <w:color w:val="000000"/>
          <w:sz w:val="24"/>
          <w:szCs w:val="24"/>
          <w:lang w:eastAsia="en-ZA"/>
        </w:rPr>
        <w:t xml:space="preserve">ignore him. </w:t>
      </w:r>
    </w:p>
    <w:p w14:paraId="737BFCFA" w14:textId="04386FCF" w:rsidR="00BC6165" w:rsidRPr="00E759D0" w:rsidRDefault="00E759D0" w:rsidP="00E759D0">
      <w:pPr>
        <w:pStyle w:val="ListParagraph"/>
        <w:numPr>
          <w:ilvl w:val="0"/>
          <w:numId w:val="12"/>
        </w:numPr>
        <w:spacing w:line="360" w:lineRule="auto"/>
        <w:jc w:val="both"/>
        <w:rPr>
          <w:rFonts w:ascii="Arial" w:hAnsi="Arial" w:cs="Arial"/>
          <w:sz w:val="24"/>
          <w:szCs w:val="24"/>
        </w:rPr>
      </w:pPr>
      <w:r w:rsidRPr="00E759D0">
        <w:rPr>
          <w:rFonts w:ascii="Arial" w:eastAsia="Times New Roman" w:hAnsi="Arial" w:cs="Arial"/>
          <w:color w:val="000000"/>
          <w:sz w:val="24"/>
          <w:szCs w:val="24"/>
          <w:lang w:eastAsia="en-ZA"/>
        </w:rPr>
        <w:t xml:space="preserve">To restate: </w:t>
      </w:r>
      <w:proofErr w:type="spellStart"/>
      <w:r w:rsidR="00BC6165" w:rsidRPr="00E759D0">
        <w:rPr>
          <w:rFonts w:ascii="Arial" w:eastAsia="Times New Roman" w:hAnsi="Arial" w:cs="Arial"/>
          <w:color w:val="000000"/>
          <w:sz w:val="24"/>
          <w:szCs w:val="24"/>
          <w:lang w:eastAsia="en-ZA"/>
        </w:rPr>
        <w:t>Duba</w:t>
      </w:r>
      <w:proofErr w:type="spellEnd"/>
      <w:r w:rsidR="00BC6165" w:rsidRPr="00E759D0">
        <w:rPr>
          <w:rFonts w:ascii="Arial" w:eastAsia="Times New Roman" w:hAnsi="Arial" w:cs="Arial"/>
          <w:color w:val="000000"/>
          <w:sz w:val="24"/>
          <w:szCs w:val="24"/>
          <w:lang w:eastAsia="en-ZA"/>
        </w:rPr>
        <w:t xml:space="preserve"> herself </w:t>
      </w:r>
      <w:r w:rsidR="00466B9E" w:rsidRPr="00E759D0">
        <w:rPr>
          <w:rFonts w:ascii="Arial" w:eastAsia="Times New Roman" w:hAnsi="Arial" w:cs="Arial"/>
          <w:color w:val="000000"/>
          <w:sz w:val="24"/>
          <w:szCs w:val="24"/>
          <w:lang w:eastAsia="en-ZA"/>
        </w:rPr>
        <w:t xml:space="preserve">expressly </w:t>
      </w:r>
      <w:r w:rsidR="00BC6165" w:rsidRPr="00E759D0">
        <w:rPr>
          <w:rFonts w:ascii="Arial" w:eastAsia="Times New Roman" w:hAnsi="Arial" w:cs="Arial"/>
          <w:color w:val="000000"/>
          <w:sz w:val="24"/>
          <w:szCs w:val="24"/>
          <w:lang w:eastAsia="en-ZA"/>
        </w:rPr>
        <w:t xml:space="preserve">informed the applicant in her letter dated 31 January 2019 that she had referred his request to the Acting Director-General for their handling and that the Acting Director-General would communicate with the applicant. Therefore, </w:t>
      </w:r>
      <w:r w:rsidR="00466B9E" w:rsidRPr="00E759D0">
        <w:rPr>
          <w:rFonts w:ascii="Arial" w:eastAsia="Times New Roman" w:hAnsi="Arial" w:cs="Arial"/>
          <w:color w:val="000000"/>
          <w:sz w:val="24"/>
          <w:szCs w:val="24"/>
          <w:lang w:eastAsia="en-ZA"/>
        </w:rPr>
        <w:t>as of 31</w:t>
      </w:r>
      <w:r w:rsidR="00BC6165" w:rsidRPr="00E759D0">
        <w:rPr>
          <w:rFonts w:ascii="Arial" w:eastAsia="Times New Roman" w:hAnsi="Arial" w:cs="Arial"/>
          <w:color w:val="000000"/>
          <w:sz w:val="24"/>
          <w:szCs w:val="24"/>
          <w:lang w:eastAsia="en-ZA"/>
        </w:rPr>
        <w:t xml:space="preserve"> January 2019, the applicant could not have been under any illusion that he </w:t>
      </w:r>
      <w:r w:rsidR="00466B9E" w:rsidRPr="00E759D0">
        <w:rPr>
          <w:rFonts w:ascii="Arial" w:eastAsia="Times New Roman" w:hAnsi="Arial" w:cs="Arial"/>
          <w:color w:val="000000"/>
          <w:sz w:val="24"/>
          <w:szCs w:val="24"/>
          <w:lang w:eastAsia="en-ZA"/>
        </w:rPr>
        <w:t xml:space="preserve">needed permission to be </w:t>
      </w:r>
      <w:r w:rsidR="00BC6165" w:rsidRPr="00E759D0">
        <w:rPr>
          <w:rFonts w:ascii="Arial" w:eastAsia="Times New Roman" w:hAnsi="Arial" w:cs="Arial"/>
          <w:color w:val="000000"/>
          <w:sz w:val="24"/>
          <w:szCs w:val="24"/>
          <w:lang w:eastAsia="en-ZA"/>
        </w:rPr>
        <w:t xml:space="preserve">absent from the Acting Director-General (as is </w:t>
      </w:r>
      <w:r w:rsidR="00BC6165" w:rsidRPr="00E759D0">
        <w:rPr>
          <w:rFonts w:ascii="Arial" w:eastAsia="Times New Roman" w:hAnsi="Arial" w:cs="Arial"/>
          <w:color w:val="000000"/>
          <w:sz w:val="24"/>
          <w:szCs w:val="24"/>
          <w:lang w:eastAsia="en-ZA"/>
        </w:rPr>
        <w:lastRenderedPageBreak/>
        <w:t xml:space="preserve">also </w:t>
      </w:r>
      <w:r w:rsidR="00466B9E" w:rsidRPr="00E759D0">
        <w:rPr>
          <w:rFonts w:ascii="Arial" w:eastAsia="Times New Roman" w:hAnsi="Arial" w:cs="Arial"/>
          <w:color w:val="000000"/>
          <w:sz w:val="24"/>
          <w:szCs w:val="24"/>
          <w:lang w:eastAsia="en-ZA"/>
        </w:rPr>
        <w:t xml:space="preserve">expressly </w:t>
      </w:r>
      <w:r w:rsidR="00BC6165" w:rsidRPr="00E759D0">
        <w:rPr>
          <w:rFonts w:ascii="Arial" w:eastAsia="Times New Roman" w:hAnsi="Arial" w:cs="Arial"/>
          <w:color w:val="000000"/>
          <w:sz w:val="24"/>
          <w:szCs w:val="24"/>
          <w:lang w:eastAsia="en-ZA"/>
        </w:rPr>
        <w:t xml:space="preserve">required by s 15 of the Intelligence </w:t>
      </w:r>
      <w:r w:rsidRPr="00E759D0">
        <w:rPr>
          <w:rFonts w:ascii="Arial" w:eastAsia="Times New Roman" w:hAnsi="Arial" w:cs="Arial"/>
          <w:color w:val="000000"/>
          <w:sz w:val="24"/>
          <w:szCs w:val="24"/>
          <w:lang w:eastAsia="en-ZA"/>
        </w:rPr>
        <w:t xml:space="preserve">Services </w:t>
      </w:r>
      <w:r w:rsidR="00BC6165" w:rsidRPr="00E759D0">
        <w:rPr>
          <w:rFonts w:ascii="Arial" w:eastAsia="Times New Roman" w:hAnsi="Arial" w:cs="Arial"/>
          <w:color w:val="000000"/>
          <w:sz w:val="24"/>
          <w:szCs w:val="24"/>
          <w:lang w:eastAsia="en-ZA"/>
        </w:rPr>
        <w:t xml:space="preserve">Act). Yet he made no attempt to </w:t>
      </w:r>
      <w:r w:rsidR="00466B9E" w:rsidRPr="00E759D0">
        <w:rPr>
          <w:rFonts w:ascii="Arial" w:eastAsia="Times New Roman" w:hAnsi="Arial" w:cs="Arial"/>
          <w:color w:val="000000"/>
          <w:sz w:val="24"/>
          <w:szCs w:val="24"/>
          <w:lang w:eastAsia="en-ZA"/>
        </w:rPr>
        <w:t xml:space="preserve">request </w:t>
      </w:r>
      <w:r w:rsidR="00BC6165" w:rsidRPr="00E759D0">
        <w:rPr>
          <w:rFonts w:ascii="Arial" w:eastAsia="Times New Roman" w:hAnsi="Arial" w:cs="Arial"/>
          <w:color w:val="000000"/>
          <w:sz w:val="24"/>
          <w:szCs w:val="24"/>
          <w:lang w:eastAsia="en-ZA"/>
        </w:rPr>
        <w:t>leave to his immediate supervisor.</w:t>
      </w:r>
    </w:p>
    <w:p w14:paraId="76A50664" w14:textId="6135B798" w:rsidR="00BC6165" w:rsidRPr="00E759D0" w:rsidRDefault="00BC6165" w:rsidP="00E759D0">
      <w:pPr>
        <w:pStyle w:val="ListParagraph"/>
        <w:numPr>
          <w:ilvl w:val="0"/>
          <w:numId w:val="12"/>
        </w:numPr>
        <w:spacing w:line="360" w:lineRule="auto"/>
        <w:jc w:val="both"/>
        <w:rPr>
          <w:rFonts w:ascii="Arial" w:hAnsi="Arial" w:cs="Arial"/>
          <w:sz w:val="24"/>
          <w:szCs w:val="24"/>
        </w:rPr>
      </w:pPr>
      <w:r w:rsidRPr="00E759D0">
        <w:rPr>
          <w:rFonts w:ascii="Arial" w:eastAsia="Times New Roman" w:hAnsi="Arial" w:cs="Arial"/>
          <w:color w:val="000000"/>
          <w:sz w:val="24"/>
          <w:szCs w:val="24"/>
          <w:lang w:eastAsia="en-ZA"/>
        </w:rPr>
        <w:t xml:space="preserve">Upon receiving the letter from the Acting Director-General </w:t>
      </w:r>
      <w:r w:rsidR="00307352" w:rsidRPr="00E759D0">
        <w:rPr>
          <w:rFonts w:ascii="Arial" w:eastAsia="Times New Roman" w:hAnsi="Arial" w:cs="Arial"/>
          <w:color w:val="000000"/>
          <w:sz w:val="24"/>
          <w:szCs w:val="24"/>
          <w:lang w:eastAsia="en-ZA"/>
        </w:rPr>
        <w:t>dated 30 April 2019</w:t>
      </w:r>
      <w:r w:rsidRPr="00E759D0">
        <w:rPr>
          <w:rFonts w:ascii="Arial" w:eastAsia="Times New Roman" w:hAnsi="Arial" w:cs="Arial"/>
          <w:color w:val="000000"/>
          <w:sz w:val="24"/>
          <w:szCs w:val="24"/>
          <w:lang w:eastAsia="en-ZA"/>
        </w:rPr>
        <w:t xml:space="preserve">, the applicant must </w:t>
      </w:r>
      <w:r w:rsidR="00466B9E" w:rsidRPr="00E759D0">
        <w:rPr>
          <w:rFonts w:ascii="Arial" w:eastAsia="Times New Roman" w:hAnsi="Arial" w:cs="Arial"/>
          <w:color w:val="000000"/>
          <w:sz w:val="24"/>
          <w:szCs w:val="24"/>
          <w:lang w:eastAsia="en-ZA"/>
        </w:rPr>
        <w:t xml:space="preserve">also </w:t>
      </w:r>
      <w:r w:rsidRPr="00E759D0">
        <w:rPr>
          <w:rFonts w:ascii="Arial" w:eastAsia="Times New Roman" w:hAnsi="Arial" w:cs="Arial"/>
          <w:color w:val="000000"/>
          <w:sz w:val="24"/>
          <w:szCs w:val="24"/>
          <w:lang w:eastAsia="en-ZA"/>
        </w:rPr>
        <w:t xml:space="preserve">have been aware of the fact that </w:t>
      </w:r>
      <w:proofErr w:type="spellStart"/>
      <w:r w:rsidR="00307352" w:rsidRPr="00E759D0">
        <w:rPr>
          <w:rFonts w:ascii="Arial" w:eastAsia="Times New Roman" w:hAnsi="Arial" w:cs="Arial"/>
          <w:color w:val="000000"/>
          <w:sz w:val="24"/>
          <w:szCs w:val="24"/>
          <w:lang w:eastAsia="en-ZA"/>
        </w:rPr>
        <w:t>Jafta</w:t>
      </w:r>
      <w:proofErr w:type="spellEnd"/>
      <w:r w:rsidR="00307352" w:rsidRPr="00E759D0">
        <w:rPr>
          <w:rFonts w:ascii="Arial" w:eastAsia="Times New Roman" w:hAnsi="Arial" w:cs="Arial"/>
          <w:color w:val="000000"/>
          <w:sz w:val="24"/>
          <w:szCs w:val="24"/>
          <w:lang w:eastAsia="en-ZA"/>
        </w:rPr>
        <w:t xml:space="preserve"> was </w:t>
      </w:r>
      <w:r w:rsidRPr="00E759D0">
        <w:rPr>
          <w:rFonts w:ascii="Arial" w:eastAsia="Times New Roman" w:hAnsi="Arial" w:cs="Arial"/>
          <w:color w:val="000000"/>
          <w:sz w:val="24"/>
          <w:szCs w:val="24"/>
          <w:lang w:eastAsia="en-ZA"/>
        </w:rPr>
        <w:t xml:space="preserve">unaware that </w:t>
      </w:r>
      <w:r w:rsidR="00307352" w:rsidRPr="00E759D0">
        <w:rPr>
          <w:rFonts w:ascii="Arial" w:eastAsia="Times New Roman" w:hAnsi="Arial" w:cs="Arial"/>
          <w:color w:val="000000"/>
          <w:sz w:val="24"/>
          <w:szCs w:val="24"/>
          <w:lang w:eastAsia="en-ZA"/>
        </w:rPr>
        <w:t xml:space="preserve">the applicant </w:t>
      </w:r>
      <w:r w:rsidR="00380F04" w:rsidRPr="00E759D0">
        <w:rPr>
          <w:rFonts w:ascii="Arial" w:eastAsia="Times New Roman" w:hAnsi="Arial" w:cs="Arial"/>
          <w:color w:val="000000"/>
          <w:sz w:val="24"/>
          <w:szCs w:val="24"/>
          <w:lang w:eastAsia="en-ZA"/>
        </w:rPr>
        <w:t xml:space="preserve">had </w:t>
      </w:r>
      <w:r w:rsidR="00307352" w:rsidRPr="00E759D0">
        <w:rPr>
          <w:rFonts w:ascii="Arial" w:eastAsia="Times New Roman" w:hAnsi="Arial" w:cs="Arial"/>
          <w:color w:val="000000"/>
          <w:sz w:val="24"/>
          <w:szCs w:val="24"/>
          <w:lang w:eastAsia="en-ZA"/>
        </w:rPr>
        <w:t xml:space="preserve">submitted his </w:t>
      </w:r>
      <w:r w:rsidR="00B66414" w:rsidRPr="00E759D0">
        <w:rPr>
          <w:rFonts w:ascii="Arial" w:eastAsia="Times New Roman" w:hAnsi="Arial" w:cs="Arial"/>
          <w:color w:val="000000"/>
          <w:sz w:val="24"/>
          <w:szCs w:val="24"/>
          <w:lang w:eastAsia="en-ZA"/>
        </w:rPr>
        <w:t xml:space="preserve">medical certificates to the Minister </w:t>
      </w:r>
      <w:r w:rsidR="000D286F" w:rsidRPr="00E759D0">
        <w:rPr>
          <w:rFonts w:ascii="Arial" w:eastAsia="Times New Roman" w:hAnsi="Arial" w:cs="Arial"/>
          <w:color w:val="000000"/>
          <w:sz w:val="24"/>
          <w:szCs w:val="24"/>
          <w:lang w:eastAsia="en-ZA"/>
        </w:rPr>
        <w:t>(</w:t>
      </w:r>
      <w:proofErr w:type="spellStart"/>
      <w:r w:rsidR="000D286F" w:rsidRPr="00E759D0">
        <w:rPr>
          <w:rFonts w:ascii="Arial" w:eastAsia="Times New Roman" w:hAnsi="Arial" w:cs="Arial"/>
          <w:color w:val="000000"/>
          <w:sz w:val="24"/>
          <w:szCs w:val="24"/>
          <w:lang w:eastAsia="en-ZA"/>
        </w:rPr>
        <w:t>Duba</w:t>
      </w:r>
      <w:proofErr w:type="spellEnd"/>
      <w:r w:rsidR="000D286F" w:rsidRPr="00E759D0">
        <w:rPr>
          <w:rFonts w:ascii="Arial" w:eastAsia="Times New Roman" w:hAnsi="Arial" w:cs="Arial"/>
          <w:color w:val="000000"/>
          <w:sz w:val="24"/>
          <w:szCs w:val="24"/>
          <w:lang w:eastAsia="en-ZA"/>
        </w:rPr>
        <w:t>)</w:t>
      </w:r>
      <w:r w:rsidR="00B66414" w:rsidRPr="00E759D0">
        <w:rPr>
          <w:rFonts w:ascii="Arial" w:eastAsia="Times New Roman" w:hAnsi="Arial" w:cs="Arial"/>
          <w:color w:val="000000"/>
          <w:sz w:val="24"/>
          <w:szCs w:val="24"/>
          <w:lang w:eastAsia="en-ZA"/>
        </w:rPr>
        <w:t xml:space="preserve">. </w:t>
      </w:r>
      <w:r w:rsidRPr="00E759D0">
        <w:rPr>
          <w:rFonts w:ascii="Arial" w:eastAsia="Times New Roman" w:hAnsi="Arial" w:cs="Arial"/>
          <w:color w:val="000000"/>
          <w:sz w:val="24"/>
          <w:szCs w:val="24"/>
          <w:lang w:eastAsia="en-ZA"/>
        </w:rPr>
        <w:t xml:space="preserve">If </w:t>
      </w:r>
      <w:proofErr w:type="spellStart"/>
      <w:r w:rsidR="00466B9E" w:rsidRPr="00E759D0">
        <w:rPr>
          <w:rFonts w:ascii="Arial" w:eastAsia="Times New Roman" w:hAnsi="Arial" w:cs="Arial"/>
          <w:color w:val="000000"/>
          <w:sz w:val="24"/>
          <w:szCs w:val="24"/>
          <w:lang w:eastAsia="en-ZA"/>
        </w:rPr>
        <w:t>Jafta</w:t>
      </w:r>
      <w:proofErr w:type="spellEnd"/>
      <w:r w:rsidR="00466B9E" w:rsidRPr="00E759D0">
        <w:rPr>
          <w:rFonts w:ascii="Arial" w:eastAsia="Times New Roman" w:hAnsi="Arial" w:cs="Arial"/>
          <w:color w:val="000000"/>
          <w:sz w:val="24"/>
          <w:szCs w:val="24"/>
          <w:lang w:eastAsia="en-ZA"/>
        </w:rPr>
        <w:t xml:space="preserve"> </w:t>
      </w:r>
      <w:r w:rsidRPr="00E759D0">
        <w:rPr>
          <w:rFonts w:ascii="Arial" w:eastAsia="Times New Roman" w:hAnsi="Arial" w:cs="Arial"/>
          <w:color w:val="000000"/>
          <w:sz w:val="24"/>
          <w:szCs w:val="24"/>
          <w:lang w:eastAsia="en-ZA"/>
        </w:rPr>
        <w:t>was aware of the medical certificates</w:t>
      </w:r>
      <w:r w:rsidR="006E163C" w:rsidRPr="00E759D0">
        <w:rPr>
          <w:rFonts w:ascii="Arial" w:eastAsia="Times New Roman" w:hAnsi="Arial" w:cs="Arial"/>
          <w:color w:val="000000"/>
          <w:sz w:val="24"/>
          <w:szCs w:val="24"/>
          <w:lang w:eastAsia="en-ZA"/>
        </w:rPr>
        <w:t>,</w:t>
      </w:r>
      <w:r w:rsidRPr="00E759D0">
        <w:rPr>
          <w:rFonts w:ascii="Arial" w:eastAsia="Times New Roman" w:hAnsi="Arial" w:cs="Arial"/>
          <w:color w:val="000000"/>
          <w:sz w:val="24"/>
          <w:szCs w:val="24"/>
          <w:lang w:eastAsia="en-ZA"/>
        </w:rPr>
        <w:t xml:space="preserve"> he would not have stated </w:t>
      </w:r>
      <w:r w:rsidR="00466B9E" w:rsidRPr="00E759D0">
        <w:rPr>
          <w:rFonts w:ascii="Arial" w:eastAsia="Times New Roman" w:hAnsi="Arial" w:cs="Arial"/>
          <w:color w:val="000000"/>
          <w:sz w:val="24"/>
          <w:szCs w:val="24"/>
          <w:lang w:eastAsia="en-ZA"/>
        </w:rPr>
        <w:t xml:space="preserve">in this letter </w:t>
      </w:r>
      <w:r w:rsidRPr="00E759D0">
        <w:rPr>
          <w:rFonts w:ascii="Arial" w:eastAsia="Times New Roman" w:hAnsi="Arial" w:cs="Arial"/>
          <w:color w:val="000000"/>
          <w:sz w:val="24"/>
          <w:szCs w:val="24"/>
          <w:lang w:eastAsia="en-ZA"/>
        </w:rPr>
        <w:t xml:space="preserve">that the applicant </w:t>
      </w:r>
      <w:r w:rsidR="00466B9E" w:rsidRPr="00E759D0">
        <w:rPr>
          <w:rFonts w:ascii="Arial" w:eastAsia="Times New Roman" w:hAnsi="Arial" w:cs="Arial"/>
          <w:color w:val="000000"/>
          <w:sz w:val="24"/>
          <w:szCs w:val="24"/>
          <w:lang w:eastAsia="en-ZA"/>
        </w:rPr>
        <w:t xml:space="preserve">had </w:t>
      </w:r>
      <w:r w:rsidRPr="00E759D0">
        <w:rPr>
          <w:rFonts w:ascii="Arial" w:eastAsia="Times New Roman" w:hAnsi="Arial" w:cs="Arial"/>
          <w:color w:val="000000"/>
          <w:sz w:val="24"/>
          <w:szCs w:val="24"/>
          <w:lang w:eastAsia="en-ZA"/>
        </w:rPr>
        <w:t>not reported to Head Office since his return from Japan and that all efforts to engage with the applicant w</w:t>
      </w:r>
      <w:r w:rsidR="00466B9E" w:rsidRPr="00E759D0">
        <w:rPr>
          <w:rFonts w:ascii="Arial" w:eastAsia="Times New Roman" w:hAnsi="Arial" w:cs="Arial"/>
          <w:color w:val="000000"/>
          <w:sz w:val="24"/>
          <w:szCs w:val="24"/>
          <w:lang w:eastAsia="en-ZA"/>
        </w:rPr>
        <w:t xml:space="preserve">ere </w:t>
      </w:r>
      <w:r w:rsidRPr="00E759D0">
        <w:rPr>
          <w:rFonts w:ascii="Arial" w:eastAsia="Times New Roman" w:hAnsi="Arial" w:cs="Arial"/>
          <w:color w:val="000000"/>
          <w:sz w:val="24"/>
          <w:szCs w:val="24"/>
          <w:lang w:eastAsia="en-ZA"/>
        </w:rPr>
        <w:t xml:space="preserve">ignored. </w:t>
      </w:r>
      <w:r w:rsidR="00466B9E" w:rsidRPr="00E759D0">
        <w:rPr>
          <w:rFonts w:ascii="Arial" w:eastAsia="Times New Roman" w:hAnsi="Arial" w:cs="Arial"/>
          <w:color w:val="000000"/>
          <w:sz w:val="24"/>
          <w:szCs w:val="24"/>
          <w:lang w:eastAsia="en-ZA"/>
        </w:rPr>
        <w:t xml:space="preserve">Rather than </w:t>
      </w:r>
      <w:r w:rsidRPr="00E759D0">
        <w:rPr>
          <w:rFonts w:ascii="Arial" w:eastAsia="Times New Roman" w:hAnsi="Arial" w:cs="Arial"/>
          <w:color w:val="000000"/>
          <w:sz w:val="24"/>
          <w:szCs w:val="24"/>
          <w:lang w:eastAsia="en-ZA"/>
        </w:rPr>
        <w:t xml:space="preserve">engaging with </w:t>
      </w:r>
      <w:proofErr w:type="spellStart"/>
      <w:r w:rsidRPr="00E759D0">
        <w:rPr>
          <w:rFonts w:ascii="Arial" w:eastAsia="Times New Roman" w:hAnsi="Arial" w:cs="Arial"/>
          <w:color w:val="000000"/>
          <w:sz w:val="24"/>
          <w:szCs w:val="24"/>
          <w:lang w:eastAsia="en-ZA"/>
        </w:rPr>
        <w:t>Jafta</w:t>
      </w:r>
      <w:proofErr w:type="spellEnd"/>
      <w:r w:rsidRPr="00E759D0">
        <w:rPr>
          <w:rFonts w:ascii="Arial" w:eastAsia="Times New Roman" w:hAnsi="Arial" w:cs="Arial"/>
          <w:color w:val="000000"/>
          <w:sz w:val="24"/>
          <w:szCs w:val="24"/>
          <w:lang w:eastAsia="en-ZA"/>
        </w:rPr>
        <w:t xml:space="preserve">, the applicant simply ignored the letter. More importantly, he chose to simply ignore the </w:t>
      </w:r>
      <w:r w:rsidR="007D06ED" w:rsidRPr="00E759D0">
        <w:rPr>
          <w:rFonts w:ascii="Arial" w:eastAsia="Times New Roman" w:hAnsi="Arial" w:cs="Arial"/>
          <w:color w:val="000000"/>
          <w:sz w:val="24"/>
          <w:szCs w:val="24"/>
          <w:lang w:eastAsia="en-ZA"/>
        </w:rPr>
        <w:t xml:space="preserve">explicit </w:t>
      </w:r>
      <w:r w:rsidRPr="00E759D0">
        <w:rPr>
          <w:rFonts w:ascii="Arial" w:eastAsia="Times New Roman" w:hAnsi="Arial" w:cs="Arial"/>
          <w:color w:val="000000"/>
          <w:sz w:val="24"/>
          <w:szCs w:val="24"/>
          <w:lang w:eastAsia="en-ZA"/>
        </w:rPr>
        <w:t>instruction to report for duty on the first working day following receipt of the letter. If he was medically unfit to do so, this was an opportune moment to engage with the Acting Director-General to explain his absence.</w:t>
      </w:r>
      <w:r w:rsidR="00E759D0" w:rsidRPr="00E759D0">
        <w:rPr>
          <w:rFonts w:ascii="Arial" w:eastAsia="Times New Roman" w:hAnsi="Arial" w:cs="Arial"/>
          <w:color w:val="000000"/>
          <w:sz w:val="24"/>
          <w:szCs w:val="24"/>
          <w:lang w:eastAsia="en-ZA"/>
        </w:rPr>
        <w:t xml:space="preserve"> </w:t>
      </w:r>
      <w:r w:rsidR="007C287D" w:rsidRPr="00E759D0">
        <w:rPr>
          <w:rFonts w:ascii="Arial" w:eastAsia="Times New Roman" w:hAnsi="Arial" w:cs="Arial"/>
          <w:color w:val="000000"/>
          <w:sz w:val="24"/>
          <w:szCs w:val="24"/>
          <w:lang w:eastAsia="en-ZA"/>
        </w:rPr>
        <w:t xml:space="preserve">There is no explanation on the papers as to why </w:t>
      </w:r>
      <w:r w:rsidR="009B1AAD" w:rsidRPr="00E759D0">
        <w:rPr>
          <w:rFonts w:ascii="Arial" w:eastAsia="Times New Roman" w:hAnsi="Arial" w:cs="Arial"/>
          <w:color w:val="000000"/>
          <w:sz w:val="24"/>
          <w:szCs w:val="24"/>
          <w:lang w:eastAsia="en-ZA"/>
        </w:rPr>
        <w:t>the applicant chose to ignore the Acting Director-General’s express requests</w:t>
      </w:r>
      <w:r w:rsidR="007C287D" w:rsidRPr="00E759D0">
        <w:rPr>
          <w:rFonts w:ascii="Arial" w:eastAsia="Times New Roman" w:hAnsi="Arial" w:cs="Arial"/>
          <w:color w:val="000000"/>
          <w:sz w:val="24"/>
          <w:szCs w:val="24"/>
          <w:lang w:eastAsia="en-ZA"/>
        </w:rPr>
        <w:t xml:space="preserve">. </w:t>
      </w:r>
    </w:p>
    <w:p w14:paraId="33F32908" w14:textId="77777777" w:rsidR="00BC6165" w:rsidRPr="00E759D0" w:rsidRDefault="00BC6165" w:rsidP="00E759D0">
      <w:pPr>
        <w:spacing w:line="360" w:lineRule="auto"/>
        <w:jc w:val="both"/>
        <w:rPr>
          <w:rFonts w:ascii="Arial" w:eastAsia="Times New Roman" w:hAnsi="Arial" w:cs="Arial"/>
          <w:color w:val="000000"/>
          <w:sz w:val="24"/>
          <w:szCs w:val="24"/>
          <w:lang w:eastAsia="en-ZA"/>
        </w:rPr>
      </w:pPr>
    </w:p>
    <w:p w14:paraId="1279F7BE" w14:textId="758864A9" w:rsidR="007725CA" w:rsidRPr="00E759D0" w:rsidRDefault="00BC6165" w:rsidP="00E759D0">
      <w:pPr>
        <w:pStyle w:val="ListParagraph"/>
        <w:numPr>
          <w:ilvl w:val="0"/>
          <w:numId w:val="1"/>
        </w:numPr>
        <w:spacing w:line="360" w:lineRule="auto"/>
        <w:jc w:val="both"/>
        <w:rPr>
          <w:rFonts w:ascii="Arial" w:hAnsi="Arial" w:cs="Arial"/>
          <w:sz w:val="24"/>
          <w:szCs w:val="24"/>
        </w:rPr>
      </w:pPr>
      <w:r w:rsidRPr="00E759D0">
        <w:rPr>
          <w:rFonts w:ascii="Arial" w:eastAsia="Times New Roman" w:hAnsi="Arial" w:cs="Arial"/>
          <w:color w:val="000000"/>
          <w:sz w:val="24"/>
          <w:szCs w:val="24"/>
          <w:lang w:eastAsia="en-ZA"/>
        </w:rPr>
        <w:t>From the evidence placed before this court</w:t>
      </w:r>
      <w:r w:rsidR="0016123B" w:rsidRPr="00E759D0">
        <w:rPr>
          <w:rFonts w:ascii="Arial" w:eastAsia="Times New Roman" w:hAnsi="Arial" w:cs="Arial"/>
          <w:color w:val="000000"/>
          <w:sz w:val="24"/>
          <w:szCs w:val="24"/>
          <w:lang w:eastAsia="en-ZA"/>
        </w:rPr>
        <w:t xml:space="preserve"> and having </w:t>
      </w:r>
      <w:r w:rsidR="007D06ED" w:rsidRPr="00E759D0">
        <w:rPr>
          <w:rFonts w:ascii="Arial" w:eastAsia="Times New Roman" w:hAnsi="Arial" w:cs="Arial"/>
          <w:color w:val="000000"/>
          <w:sz w:val="24"/>
          <w:szCs w:val="24"/>
          <w:lang w:eastAsia="en-ZA"/>
        </w:rPr>
        <w:t>regard</w:t>
      </w:r>
      <w:r w:rsidR="0016123B" w:rsidRPr="00E759D0">
        <w:rPr>
          <w:rFonts w:ascii="Arial" w:eastAsia="Times New Roman" w:hAnsi="Arial" w:cs="Arial"/>
          <w:color w:val="000000"/>
          <w:sz w:val="24"/>
          <w:szCs w:val="24"/>
          <w:lang w:eastAsia="en-ZA"/>
        </w:rPr>
        <w:t xml:space="preserve"> to the well-established </w:t>
      </w:r>
      <w:proofErr w:type="spellStart"/>
      <w:r w:rsidR="0016123B" w:rsidRPr="00E759D0">
        <w:rPr>
          <w:rFonts w:ascii="Arial" w:eastAsia="Times New Roman" w:hAnsi="Arial" w:cs="Arial"/>
          <w:i/>
          <w:color w:val="000000"/>
          <w:sz w:val="24"/>
          <w:szCs w:val="24"/>
          <w:lang w:eastAsia="en-ZA"/>
        </w:rPr>
        <w:t>Plascon</w:t>
      </w:r>
      <w:proofErr w:type="spellEnd"/>
      <w:r w:rsidR="0016123B" w:rsidRPr="00E759D0">
        <w:rPr>
          <w:rFonts w:ascii="Arial" w:eastAsia="Times New Roman" w:hAnsi="Arial" w:cs="Arial"/>
          <w:i/>
          <w:color w:val="000000"/>
          <w:sz w:val="24"/>
          <w:szCs w:val="24"/>
          <w:lang w:eastAsia="en-ZA"/>
        </w:rPr>
        <w:t xml:space="preserve"> Evan’s</w:t>
      </w:r>
      <w:r w:rsidR="0016123B" w:rsidRPr="00E759D0">
        <w:rPr>
          <w:rFonts w:ascii="Arial" w:eastAsia="Times New Roman" w:hAnsi="Arial" w:cs="Arial"/>
          <w:color w:val="000000"/>
          <w:sz w:val="24"/>
          <w:szCs w:val="24"/>
          <w:lang w:eastAsia="en-ZA"/>
        </w:rPr>
        <w:t xml:space="preserve"> Rule</w:t>
      </w:r>
      <w:r w:rsidRPr="00E759D0">
        <w:rPr>
          <w:rFonts w:ascii="Arial" w:eastAsia="Times New Roman" w:hAnsi="Arial" w:cs="Arial"/>
          <w:color w:val="000000"/>
          <w:sz w:val="24"/>
          <w:szCs w:val="24"/>
          <w:lang w:eastAsia="en-ZA"/>
        </w:rPr>
        <w:t xml:space="preserve">, I can find no reason to reject the </w:t>
      </w:r>
      <w:r w:rsidR="000D286F" w:rsidRPr="00E759D0">
        <w:rPr>
          <w:rFonts w:ascii="Arial" w:eastAsia="Times New Roman" w:hAnsi="Arial" w:cs="Arial"/>
          <w:color w:val="000000"/>
          <w:sz w:val="24"/>
          <w:szCs w:val="24"/>
          <w:lang w:eastAsia="en-ZA"/>
        </w:rPr>
        <w:t xml:space="preserve">respondents' version </w:t>
      </w:r>
      <w:r w:rsidR="0016123B" w:rsidRPr="00E759D0">
        <w:rPr>
          <w:rFonts w:ascii="Arial" w:eastAsia="Times New Roman" w:hAnsi="Arial" w:cs="Arial"/>
          <w:color w:val="000000"/>
          <w:sz w:val="24"/>
          <w:szCs w:val="24"/>
          <w:lang w:eastAsia="en-ZA"/>
        </w:rPr>
        <w:t xml:space="preserve">as being </w:t>
      </w:r>
      <w:r w:rsidR="000D286F" w:rsidRPr="00E759D0">
        <w:rPr>
          <w:rFonts w:ascii="Arial" w:eastAsia="Times New Roman" w:hAnsi="Arial" w:cs="Arial"/>
          <w:color w:val="000000"/>
          <w:sz w:val="24"/>
          <w:szCs w:val="24"/>
          <w:lang w:eastAsia="en-ZA"/>
        </w:rPr>
        <w:t xml:space="preserve">so far-fetched as to be rejected merely on the papers. </w:t>
      </w:r>
      <w:r w:rsidR="0016123B" w:rsidRPr="00E759D0">
        <w:rPr>
          <w:rFonts w:ascii="Arial" w:eastAsia="Times New Roman" w:hAnsi="Arial" w:cs="Arial"/>
          <w:color w:val="000000"/>
          <w:sz w:val="24"/>
          <w:szCs w:val="24"/>
          <w:lang w:eastAsia="en-ZA"/>
        </w:rPr>
        <w:t xml:space="preserve">In fact, having regard to the common cause facts and the letters written to the applicant which he chose to ignore, it </w:t>
      </w:r>
      <w:r w:rsidR="000D286F" w:rsidRPr="00E759D0">
        <w:rPr>
          <w:rFonts w:ascii="Arial" w:eastAsia="Times New Roman" w:hAnsi="Arial" w:cs="Arial"/>
          <w:color w:val="000000"/>
          <w:sz w:val="24"/>
          <w:szCs w:val="24"/>
          <w:lang w:eastAsia="en-ZA"/>
        </w:rPr>
        <w:t>must be accepted the applicant never obtained per</w:t>
      </w:r>
      <w:r w:rsidR="007D06ED" w:rsidRPr="00E759D0">
        <w:rPr>
          <w:rFonts w:ascii="Arial" w:eastAsia="Times New Roman" w:hAnsi="Arial" w:cs="Arial"/>
          <w:color w:val="000000"/>
          <w:sz w:val="24"/>
          <w:szCs w:val="24"/>
          <w:lang w:eastAsia="en-ZA"/>
        </w:rPr>
        <w:t xml:space="preserve">mission to be absent from work. The applicant had ample opportunity to engage with the Acting Director-General but for some unexplained reason decided not to do so. </w:t>
      </w:r>
      <w:r w:rsidR="000D286F" w:rsidRPr="00E759D0">
        <w:rPr>
          <w:rFonts w:ascii="Arial" w:eastAsia="Times New Roman" w:hAnsi="Arial" w:cs="Arial"/>
          <w:color w:val="000000"/>
          <w:sz w:val="24"/>
          <w:szCs w:val="24"/>
          <w:lang w:eastAsia="en-ZA"/>
        </w:rPr>
        <w:t xml:space="preserve">The statutory </w:t>
      </w:r>
      <w:r w:rsidR="006C2C9A" w:rsidRPr="00E759D0">
        <w:rPr>
          <w:rFonts w:ascii="Arial" w:eastAsia="Times New Roman" w:hAnsi="Arial" w:cs="Arial"/>
          <w:color w:val="000000"/>
          <w:sz w:val="24"/>
          <w:szCs w:val="24"/>
          <w:lang w:eastAsia="en-ZA"/>
        </w:rPr>
        <w:t>prerequisites</w:t>
      </w:r>
      <w:r w:rsidR="000D286F" w:rsidRPr="00E759D0">
        <w:rPr>
          <w:rFonts w:ascii="Arial" w:eastAsia="Times New Roman" w:hAnsi="Arial" w:cs="Arial"/>
          <w:color w:val="000000"/>
          <w:sz w:val="24"/>
          <w:szCs w:val="24"/>
          <w:lang w:eastAsia="en-ZA"/>
        </w:rPr>
        <w:t xml:space="preserve"> for the discharge have therefore </w:t>
      </w:r>
      <w:r w:rsidR="007725CA" w:rsidRPr="00E759D0">
        <w:rPr>
          <w:rFonts w:ascii="Arial" w:eastAsia="Times New Roman" w:hAnsi="Arial" w:cs="Arial"/>
          <w:color w:val="000000"/>
          <w:sz w:val="24"/>
          <w:szCs w:val="24"/>
          <w:lang w:eastAsia="en-ZA"/>
        </w:rPr>
        <w:t>been fulfilled.</w:t>
      </w:r>
      <w:r w:rsidR="0016123B" w:rsidRPr="00E759D0">
        <w:rPr>
          <w:rFonts w:ascii="Arial" w:eastAsia="Times New Roman" w:hAnsi="Arial" w:cs="Arial"/>
          <w:color w:val="000000"/>
          <w:sz w:val="24"/>
          <w:szCs w:val="24"/>
          <w:lang w:eastAsia="en-ZA"/>
        </w:rPr>
        <w:t xml:space="preserve"> The applicant has therefore been discharged by operation of law.</w:t>
      </w:r>
      <w:r w:rsidR="007725CA" w:rsidRPr="00E759D0">
        <w:rPr>
          <w:rFonts w:ascii="Arial" w:eastAsia="Times New Roman" w:hAnsi="Arial" w:cs="Arial"/>
          <w:color w:val="000000"/>
          <w:sz w:val="24"/>
          <w:szCs w:val="24"/>
          <w:lang w:eastAsia="en-ZA"/>
        </w:rPr>
        <w:t xml:space="preserve"> </w:t>
      </w:r>
      <w:r w:rsidR="00E759D0" w:rsidRPr="00E759D0">
        <w:rPr>
          <w:rFonts w:ascii="Arial" w:eastAsia="Times New Roman" w:hAnsi="Arial" w:cs="Arial"/>
          <w:color w:val="000000"/>
          <w:sz w:val="24"/>
          <w:szCs w:val="24"/>
          <w:lang w:eastAsia="en-ZA"/>
        </w:rPr>
        <w:t xml:space="preserve">This, as already pointed out, is not a reviewable decision. The </w:t>
      </w:r>
      <w:r w:rsidR="0016123B" w:rsidRPr="00E759D0">
        <w:rPr>
          <w:rFonts w:ascii="Arial" w:eastAsia="Times New Roman" w:hAnsi="Arial" w:cs="Arial"/>
          <w:color w:val="000000"/>
          <w:sz w:val="24"/>
          <w:szCs w:val="24"/>
          <w:lang w:eastAsia="en-ZA"/>
        </w:rPr>
        <w:t>application is therefore dismissed. I can see no reason why costs should not follow the result.</w:t>
      </w:r>
    </w:p>
    <w:p w14:paraId="6C21F3B6" w14:textId="77777777" w:rsidR="0016123B" w:rsidRPr="00E759D0" w:rsidRDefault="0016123B" w:rsidP="00E759D0">
      <w:pPr>
        <w:spacing w:line="360" w:lineRule="auto"/>
        <w:jc w:val="both"/>
        <w:rPr>
          <w:rFonts w:ascii="Arial" w:hAnsi="Arial" w:cs="Arial"/>
          <w:sz w:val="24"/>
          <w:szCs w:val="24"/>
        </w:rPr>
      </w:pPr>
    </w:p>
    <w:p w14:paraId="6D8F7617" w14:textId="77777777" w:rsidR="0016123B" w:rsidRPr="00E759D0" w:rsidRDefault="007D06ED" w:rsidP="00E759D0">
      <w:pPr>
        <w:pStyle w:val="ListParagraph"/>
        <w:numPr>
          <w:ilvl w:val="0"/>
          <w:numId w:val="1"/>
        </w:numPr>
        <w:spacing w:line="360" w:lineRule="auto"/>
        <w:jc w:val="both"/>
        <w:rPr>
          <w:rFonts w:ascii="Arial" w:hAnsi="Arial" w:cs="Arial"/>
          <w:sz w:val="24"/>
          <w:szCs w:val="24"/>
        </w:rPr>
      </w:pPr>
      <w:r w:rsidRPr="00E759D0">
        <w:rPr>
          <w:rFonts w:ascii="Arial" w:hAnsi="Arial" w:cs="Arial"/>
          <w:sz w:val="24"/>
          <w:szCs w:val="24"/>
        </w:rPr>
        <w:t xml:space="preserve">One remaining issue is the applicant’s </w:t>
      </w:r>
      <w:r w:rsidR="0016123B" w:rsidRPr="00E759D0">
        <w:rPr>
          <w:rFonts w:ascii="Arial" w:hAnsi="Arial" w:cs="Arial"/>
          <w:sz w:val="24"/>
          <w:szCs w:val="24"/>
        </w:rPr>
        <w:t xml:space="preserve">claims </w:t>
      </w:r>
      <w:r w:rsidRPr="00E759D0">
        <w:rPr>
          <w:rFonts w:ascii="Arial" w:hAnsi="Arial" w:cs="Arial"/>
          <w:sz w:val="24"/>
          <w:szCs w:val="24"/>
        </w:rPr>
        <w:t xml:space="preserve">that he had suffered </w:t>
      </w:r>
      <w:r w:rsidR="0016123B" w:rsidRPr="00E759D0">
        <w:rPr>
          <w:rFonts w:ascii="Arial" w:hAnsi="Arial" w:cs="Arial"/>
          <w:sz w:val="24"/>
          <w:szCs w:val="24"/>
        </w:rPr>
        <w:t xml:space="preserve">financial damages “for the years that the [he] has been home”. No case whatsoever is made out on the papers. </w:t>
      </w:r>
      <w:r w:rsidRPr="00E759D0">
        <w:rPr>
          <w:rFonts w:ascii="Arial" w:hAnsi="Arial" w:cs="Arial"/>
          <w:sz w:val="24"/>
          <w:szCs w:val="24"/>
        </w:rPr>
        <w:t xml:space="preserve">Therefore, this </w:t>
      </w:r>
      <w:r w:rsidR="0016123B" w:rsidRPr="00E759D0">
        <w:rPr>
          <w:rFonts w:ascii="Arial" w:hAnsi="Arial" w:cs="Arial"/>
          <w:sz w:val="24"/>
          <w:szCs w:val="24"/>
        </w:rPr>
        <w:t xml:space="preserve">claim is </w:t>
      </w:r>
      <w:r w:rsidRPr="00E759D0">
        <w:rPr>
          <w:rFonts w:ascii="Arial" w:hAnsi="Arial" w:cs="Arial"/>
          <w:sz w:val="24"/>
          <w:szCs w:val="24"/>
        </w:rPr>
        <w:t xml:space="preserve">also </w:t>
      </w:r>
      <w:r w:rsidR="0016123B" w:rsidRPr="00E759D0">
        <w:rPr>
          <w:rFonts w:ascii="Arial" w:hAnsi="Arial" w:cs="Arial"/>
          <w:sz w:val="24"/>
          <w:szCs w:val="24"/>
        </w:rPr>
        <w:t>dismissed.</w:t>
      </w:r>
    </w:p>
    <w:p w14:paraId="33B23CA1" w14:textId="77777777" w:rsidR="00511BF6" w:rsidRPr="00E759D0" w:rsidRDefault="00511BF6" w:rsidP="00E759D0">
      <w:pPr>
        <w:spacing w:after="0" w:line="360" w:lineRule="auto"/>
        <w:jc w:val="both"/>
        <w:rPr>
          <w:rFonts w:ascii="Arial" w:eastAsia="Times New Roman" w:hAnsi="Arial" w:cs="Arial"/>
          <w:bCs/>
          <w:color w:val="000000"/>
          <w:sz w:val="24"/>
          <w:szCs w:val="24"/>
          <w:lang w:eastAsia="en-ZA"/>
        </w:rPr>
      </w:pPr>
    </w:p>
    <w:p w14:paraId="57CCB218" w14:textId="77777777" w:rsidR="00511BF6" w:rsidRPr="00E759D0" w:rsidRDefault="00CA0955" w:rsidP="00E759D0">
      <w:pPr>
        <w:pStyle w:val="ListParagraph"/>
        <w:numPr>
          <w:ilvl w:val="0"/>
          <w:numId w:val="1"/>
        </w:numPr>
        <w:spacing w:after="0" w:line="360" w:lineRule="auto"/>
        <w:jc w:val="both"/>
        <w:rPr>
          <w:rFonts w:ascii="Arial" w:eastAsia="Times New Roman" w:hAnsi="Arial" w:cs="Arial"/>
          <w:bCs/>
          <w:color w:val="000000"/>
          <w:sz w:val="24"/>
          <w:szCs w:val="24"/>
          <w:lang w:eastAsia="en-ZA"/>
        </w:rPr>
      </w:pPr>
      <w:r w:rsidRPr="00E759D0">
        <w:rPr>
          <w:rFonts w:ascii="Arial" w:eastAsia="Times New Roman" w:hAnsi="Arial" w:cs="Arial"/>
          <w:bCs/>
          <w:color w:val="000000"/>
          <w:sz w:val="24"/>
          <w:szCs w:val="24"/>
          <w:lang w:eastAsia="en-ZA"/>
        </w:rPr>
        <w:t xml:space="preserve">In the event, the following order </w:t>
      </w:r>
      <w:r w:rsidR="0016123B" w:rsidRPr="00E759D0">
        <w:rPr>
          <w:rFonts w:ascii="Arial" w:eastAsia="Times New Roman" w:hAnsi="Arial" w:cs="Arial"/>
          <w:bCs/>
          <w:color w:val="000000"/>
          <w:sz w:val="24"/>
          <w:szCs w:val="24"/>
          <w:lang w:eastAsia="en-ZA"/>
        </w:rPr>
        <w:t xml:space="preserve">is </w:t>
      </w:r>
      <w:r w:rsidRPr="00E759D0">
        <w:rPr>
          <w:rFonts w:ascii="Arial" w:eastAsia="Times New Roman" w:hAnsi="Arial" w:cs="Arial"/>
          <w:bCs/>
          <w:color w:val="000000"/>
          <w:sz w:val="24"/>
          <w:szCs w:val="24"/>
          <w:lang w:eastAsia="en-ZA"/>
        </w:rPr>
        <w:t>made:</w:t>
      </w:r>
    </w:p>
    <w:p w14:paraId="62D9391B" w14:textId="77777777" w:rsidR="0016123B" w:rsidRPr="00E759D0" w:rsidRDefault="0016123B" w:rsidP="00E759D0">
      <w:pPr>
        <w:pStyle w:val="ListParagraph"/>
        <w:spacing w:after="0" w:line="360" w:lineRule="auto"/>
        <w:ind w:left="1080"/>
        <w:jc w:val="both"/>
        <w:rPr>
          <w:rFonts w:ascii="Arial" w:eastAsia="Times New Roman" w:hAnsi="Arial" w:cs="Arial"/>
          <w:bCs/>
          <w:color w:val="000000"/>
          <w:sz w:val="24"/>
          <w:szCs w:val="24"/>
          <w:lang w:eastAsia="en-ZA"/>
        </w:rPr>
      </w:pPr>
    </w:p>
    <w:p w14:paraId="42709A59" w14:textId="77777777" w:rsidR="00CA0955" w:rsidRPr="00E759D0" w:rsidRDefault="00CA0955" w:rsidP="00E759D0">
      <w:pPr>
        <w:pStyle w:val="ListParagraph"/>
        <w:numPr>
          <w:ilvl w:val="0"/>
          <w:numId w:val="7"/>
        </w:numPr>
        <w:spacing w:after="0" w:line="360" w:lineRule="auto"/>
        <w:jc w:val="both"/>
        <w:rPr>
          <w:rFonts w:ascii="Arial" w:eastAsia="Times New Roman" w:hAnsi="Arial" w:cs="Arial"/>
          <w:bCs/>
          <w:color w:val="000000"/>
          <w:sz w:val="24"/>
          <w:szCs w:val="24"/>
          <w:lang w:eastAsia="en-ZA"/>
        </w:rPr>
      </w:pPr>
      <w:r w:rsidRPr="00E759D0">
        <w:rPr>
          <w:rFonts w:ascii="Arial" w:eastAsia="Times New Roman" w:hAnsi="Arial" w:cs="Arial"/>
          <w:bCs/>
          <w:color w:val="000000"/>
          <w:sz w:val="24"/>
          <w:szCs w:val="24"/>
          <w:lang w:eastAsia="en-ZA"/>
        </w:rPr>
        <w:t>The first and second respondents are granted leave to file a further affidavit which includes the supplementary affidavit of the Director-General State Security Agency</w:t>
      </w:r>
      <w:r w:rsidR="0016123B" w:rsidRPr="00E759D0">
        <w:rPr>
          <w:rFonts w:ascii="Arial" w:eastAsia="Times New Roman" w:hAnsi="Arial" w:cs="Arial"/>
          <w:bCs/>
          <w:color w:val="000000"/>
          <w:sz w:val="24"/>
          <w:szCs w:val="24"/>
          <w:lang w:eastAsia="en-ZA"/>
        </w:rPr>
        <w:t>,</w:t>
      </w:r>
      <w:r w:rsidRPr="00E759D0">
        <w:rPr>
          <w:rFonts w:ascii="Arial" w:eastAsia="Times New Roman" w:hAnsi="Arial" w:cs="Arial"/>
          <w:bCs/>
          <w:color w:val="000000"/>
          <w:sz w:val="24"/>
          <w:szCs w:val="24"/>
          <w:lang w:eastAsia="en-ZA"/>
        </w:rPr>
        <w:t xml:space="preserve"> Ambassador </w:t>
      </w:r>
      <w:proofErr w:type="spellStart"/>
      <w:r w:rsidRPr="00E759D0">
        <w:rPr>
          <w:rFonts w:ascii="Arial" w:eastAsia="Times New Roman" w:hAnsi="Arial" w:cs="Arial"/>
          <w:bCs/>
          <w:color w:val="000000"/>
          <w:sz w:val="24"/>
          <w:szCs w:val="24"/>
          <w:lang w:eastAsia="en-ZA"/>
        </w:rPr>
        <w:t>Thembisile</w:t>
      </w:r>
      <w:proofErr w:type="spellEnd"/>
      <w:r w:rsidRPr="00E759D0">
        <w:rPr>
          <w:rFonts w:ascii="Arial" w:eastAsia="Times New Roman" w:hAnsi="Arial" w:cs="Arial"/>
          <w:bCs/>
          <w:color w:val="000000"/>
          <w:sz w:val="24"/>
          <w:szCs w:val="24"/>
          <w:lang w:eastAsia="en-ZA"/>
        </w:rPr>
        <w:t xml:space="preserve"> Cheryl </w:t>
      </w:r>
      <w:proofErr w:type="spellStart"/>
      <w:r w:rsidRPr="00E759D0">
        <w:rPr>
          <w:rFonts w:ascii="Arial" w:eastAsia="Times New Roman" w:hAnsi="Arial" w:cs="Arial"/>
          <w:bCs/>
          <w:color w:val="000000"/>
          <w:sz w:val="24"/>
          <w:szCs w:val="24"/>
          <w:lang w:eastAsia="en-ZA"/>
        </w:rPr>
        <w:t>Majola</w:t>
      </w:r>
      <w:proofErr w:type="spellEnd"/>
      <w:r w:rsidRPr="00E759D0">
        <w:rPr>
          <w:rFonts w:ascii="Arial" w:eastAsia="Times New Roman" w:hAnsi="Arial" w:cs="Arial"/>
          <w:bCs/>
          <w:color w:val="000000"/>
          <w:sz w:val="24"/>
          <w:szCs w:val="24"/>
          <w:lang w:eastAsia="en-ZA"/>
        </w:rPr>
        <w:t xml:space="preserve"> </w:t>
      </w:r>
      <w:r w:rsidR="0016123B" w:rsidRPr="00E759D0">
        <w:rPr>
          <w:rFonts w:ascii="Arial" w:eastAsia="Times New Roman" w:hAnsi="Arial" w:cs="Arial"/>
          <w:bCs/>
          <w:color w:val="000000"/>
          <w:sz w:val="24"/>
          <w:szCs w:val="24"/>
          <w:lang w:eastAsia="en-ZA"/>
        </w:rPr>
        <w:t xml:space="preserve">together with the </w:t>
      </w:r>
      <w:r w:rsidRPr="00E759D0">
        <w:rPr>
          <w:rFonts w:ascii="Arial" w:eastAsia="Times New Roman" w:hAnsi="Arial" w:cs="Arial"/>
          <w:bCs/>
          <w:color w:val="000000"/>
          <w:sz w:val="24"/>
          <w:szCs w:val="24"/>
          <w:lang w:eastAsia="en-ZA"/>
        </w:rPr>
        <w:t xml:space="preserve">confirmatory affidavit of the former Acting Director-General Mr </w:t>
      </w:r>
      <w:proofErr w:type="spellStart"/>
      <w:r w:rsidRPr="00E759D0">
        <w:rPr>
          <w:rFonts w:ascii="Arial" w:eastAsia="Times New Roman" w:hAnsi="Arial" w:cs="Arial"/>
          <w:bCs/>
          <w:color w:val="000000"/>
          <w:sz w:val="24"/>
          <w:szCs w:val="24"/>
          <w:lang w:eastAsia="en-ZA"/>
        </w:rPr>
        <w:t>Loyiso</w:t>
      </w:r>
      <w:proofErr w:type="spellEnd"/>
      <w:r w:rsidRPr="00E759D0">
        <w:rPr>
          <w:rFonts w:ascii="Arial" w:eastAsia="Times New Roman" w:hAnsi="Arial" w:cs="Arial"/>
          <w:bCs/>
          <w:color w:val="000000"/>
          <w:sz w:val="24"/>
          <w:szCs w:val="24"/>
          <w:lang w:eastAsia="en-ZA"/>
        </w:rPr>
        <w:t xml:space="preserve"> </w:t>
      </w:r>
      <w:proofErr w:type="spellStart"/>
      <w:r w:rsidRPr="00E759D0">
        <w:rPr>
          <w:rFonts w:ascii="Arial" w:eastAsia="Times New Roman" w:hAnsi="Arial" w:cs="Arial"/>
          <w:bCs/>
          <w:color w:val="000000"/>
          <w:sz w:val="24"/>
          <w:szCs w:val="24"/>
          <w:lang w:eastAsia="en-ZA"/>
        </w:rPr>
        <w:t>J</w:t>
      </w:r>
      <w:r w:rsidR="0016123B" w:rsidRPr="00E759D0">
        <w:rPr>
          <w:rFonts w:ascii="Arial" w:eastAsia="Times New Roman" w:hAnsi="Arial" w:cs="Arial"/>
          <w:bCs/>
          <w:color w:val="000000"/>
          <w:sz w:val="24"/>
          <w:szCs w:val="24"/>
          <w:lang w:eastAsia="en-ZA"/>
        </w:rPr>
        <w:t>afta</w:t>
      </w:r>
      <w:proofErr w:type="spellEnd"/>
      <w:r w:rsidR="007D06ED" w:rsidRPr="00E759D0">
        <w:rPr>
          <w:rFonts w:ascii="Arial" w:eastAsia="Times New Roman" w:hAnsi="Arial" w:cs="Arial"/>
          <w:bCs/>
          <w:color w:val="000000"/>
          <w:sz w:val="24"/>
          <w:szCs w:val="24"/>
          <w:lang w:eastAsia="en-ZA"/>
        </w:rPr>
        <w:t xml:space="preserve"> </w:t>
      </w:r>
      <w:r w:rsidR="0016123B" w:rsidRPr="00E759D0">
        <w:rPr>
          <w:rFonts w:ascii="Arial" w:eastAsia="Times New Roman" w:hAnsi="Arial" w:cs="Arial"/>
          <w:bCs/>
          <w:color w:val="000000"/>
          <w:sz w:val="24"/>
          <w:szCs w:val="24"/>
          <w:lang w:eastAsia="en-ZA"/>
        </w:rPr>
        <w:t>as annexures thereto with no order as to costs.</w:t>
      </w:r>
    </w:p>
    <w:p w14:paraId="74DE247E" w14:textId="77777777" w:rsidR="00CA0955" w:rsidRPr="00E759D0" w:rsidRDefault="00CA0955" w:rsidP="00E759D0">
      <w:pPr>
        <w:pStyle w:val="ListParagraph"/>
        <w:numPr>
          <w:ilvl w:val="0"/>
          <w:numId w:val="7"/>
        </w:numPr>
        <w:spacing w:after="0" w:line="360" w:lineRule="auto"/>
        <w:jc w:val="both"/>
        <w:rPr>
          <w:rFonts w:ascii="Arial" w:eastAsia="Times New Roman" w:hAnsi="Arial" w:cs="Arial"/>
          <w:bCs/>
          <w:color w:val="000000"/>
          <w:sz w:val="24"/>
          <w:szCs w:val="24"/>
          <w:lang w:eastAsia="en-ZA"/>
        </w:rPr>
      </w:pPr>
      <w:r w:rsidRPr="00E759D0">
        <w:rPr>
          <w:rFonts w:ascii="Arial" w:eastAsia="Times New Roman" w:hAnsi="Arial" w:cs="Arial"/>
          <w:bCs/>
          <w:color w:val="000000"/>
          <w:sz w:val="24"/>
          <w:szCs w:val="24"/>
          <w:lang w:eastAsia="en-ZA"/>
        </w:rPr>
        <w:t>The late filing of the respondents’ answering affidavit is condoned</w:t>
      </w:r>
      <w:r w:rsidR="0016123B" w:rsidRPr="00E759D0">
        <w:rPr>
          <w:rFonts w:ascii="Arial" w:eastAsia="Times New Roman" w:hAnsi="Arial" w:cs="Arial"/>
          <w:bCs/>
          <w:color w:val="000000"/>
          <w:sz w:val="24"/>
          <w:szCs w:val="24"/>
          <w:lang w:eastAsia="en-ZA"/>
        </w:rPr>
        <w:t xml:space="preserve"> with no order as to costs</w:t>
      </w:r>
      <w:r w:rsidRPr="00E759D0">
        <w:rPr>
          <w:rFonts w:ascii="Arial" w:eastAsia="Times New Roman" w:hAnsi="Arial" w:cs="Arial"/>
          <w:bCs/>
          <w:color w:val="000000"/>
          <w:sz w:val="24"/>
          <w:szCs w:val="24"/>
          <w:lang w:eastAsia="en-ZA"/>
        </w:rPr>
        <w:t>.</w:t>
      </w:r>
    </w:p>
    <w:p w14:paraId="092ADFA7" w14:textId="77777777" w:rsidR="00CA0955" w:rsidRPr="00E759D0" w:rsidRDefault="00CA0955" w:rsidP="00E759D0">
      <w:pPr>
        <w:pStyle w:val="ListParagraph"/>
        <w:numPr>
          <w:ilvl w:val="0"/>
          <w:numId w:val="7"/>
        </w:numPr>
        <w:spacing w:after="0" w:line="360" w:lineRule="auto"/>
        <w:jc w:val="both"/>
        <w:rPr>
          <w:rFonts w:ascii="Arial" w:eastAsia="Times New Roman" w:hAnsi="Arial" w:cs="Arial"/>
          <w:bCs/>
          <w:color w:val="000000"/>
          <w:sz w:val="24"/>
          <w:szCs w:val="24"/>
          <w:lang w:eastAsia="en-ZA"/>
        </w:rPr>
      </w:pPr>
      <w:r w:rsidRPr="00E759D0">
        <w:rPr>
          <w:rFonts w:ascii="Arial" w:eastAsia="Times New Roman" w:hAnsi="Arial" w:cs="Arial"/>
          <w:bCs/>
          <w:color w:val="000000"/>
          <w:sz w:val="24"/>
          <w:szCs w:val="24"/>
          <w:lang w:eastAsia="en-ZA"/>
        </w:rPr>
        <w:t>The main application is dismissed with costs.</w:t>
      </w:r>
    </w:p>
    <w:p w14:paraId="4CD2B01B" w14:textId="77777777" w:rsidR="00CA0955" w:rsidRPr="00E759D0" w:rsidRDefault="00CA0955" w:rsidP="00E759D0">
      <w:pPr>
        <w:spacing w:after="0" w:line="360" w:lineRule="auto"/>
        <w:jc w:val="both"/>
        <w:rPr>
          <w:rFonts w:ascii="Arial" w:eastAsia="Times New Roman" w:hAnsi="Arial" w:cs="Arial"/>
          <w:bCs/>
          <w:color w:val="000000"/>
          <w:sz w:val="24"/>
          <w:szCs w:val="24"/>
          <w:lang w:eastAsia="en-ZA"/>
        </w:rPr>
      </w:pPr>
    </w:p>
    <w:p w14:paraId="49BADC9E" w14:textId="77777777" w:rsidR="00CA0955" w:rsidRPr="00E759D0" w:rsidRDefault="00CA0955" w:rsidP="00E759D0">
      <w:pPr>
        <w:spacing w:after="0" w:line="360" w:lineRule="auto"/>
        <w:jc w:val="both"/>
        <w:rPr>
          <w:rFonts w:ascii="Arial" w:eastAsia="Times New Roman" w:hAnsi="Arial" w:cs="Arial"/>
          <w:bCs/>
          <w:color w:val="000000"/>
          <w:sz w:val="24"/>
          <w:szCs w:val="24"/>
          <w:lang w:eastAsia="en-ZA"/>
        </w:rPr>
      </w:pPr>
    </w:p>
    <w:p w14:paraId="20AE66F4" w14:textId="77777777" w:rsidR="00CA0955" w:rsidRPr="00E759D0" w:rsidRDefault="00CA0955" w:rsidP="00E759D0">
      <w:pPr>
        <w:spacing w:after="0" w:line="360" w:lineRule="auto"/>
        <w:jc w:val="both"/>
        <w:rPr>
          <w:rFonts w:ascii="Arial" w:eastAsia="Times New Roman" w:hAnsi="Arial" w:cs="Arial"/>
          <w:bCs/>
          <w:color w:val="000000"/>
          <w:sz w:val="24"/>
          <w:szCs w:val="24"/>
          <w:lang w:eastAsia="en-ZA"/>
        </w:rPr>
      </w:pPr>
    </w:p>
    <w:p w14:paraId="5DB0520A" w14:textId="77777777" w:rsidR="0016123B" w:rsidRPr="00E759D0" w:rsidRDefault="0016123B" w:rsidP="00E759D0">
      <w:pPr>
        <w:pStyle w:val="ListParagraph"/>
        <w:spacing w:after="0" w:line="360" w:lineRule="auto"/>
        <w:ind w:left="0"/>
        <w:jc w:val="right"/>
        <w:rPr>
          <w:rFonts w:ascii="Arial" w:hAnsi="Arial" w:cs="Arial"/>
          <w:sz w:val="24"/>
          <w:szCs w:val="24"/>
        </w:rPr>
      </w:pPr>
      <w:r w:rsidRPr="00E759D0">
        <w:rPr>
          <w:rFonts w:ascii="Arial" w:hAnsi="Arial" w:cs="Arial"/>
          <w:sz w:val="24"/>
          <w:szCs w:val="24"/>
        </w:rPr>
        <w:t>______________________________</w:t>
      </w:r>
    </w:p>
    <w:p w14:paraId="50483AB3" w14:textId="77777777" w:rsidR="0016123B" w:rsidRPr="00E759D0" w:rsidRDefault="0016123B" w:rsidP="00E759D0">
      <w:pPr>
        <w:pStyle w:val="ListParagraph"/>
        <w:spacing w:after="0" w:line="360" w:lineRule="auto"/>
        <w:ind w:left="0"/>
        <w:jc w:val="right"/>
        <w:rPr>
          <w:rFonts w:ascii="Arial" w:hAnsi="Arial" w:cs="Arial"/>
          <w:b/>
          <w:bCs/>
          <w:sz w:val="24"/>
          <w:szCs w:val="24"/>
        </w:rPr>
      </w:pPr>
      <w:r w:rsidRPr="00E759D0">
        <w:rPr>
          <w:rFonts w:ascii="Arial" w:hAnsi="Arial" w:cs="Arial"/>
          <w:b/>
          <w:bCs/>
          <w:sz w:val="24"/>
          <w:szCs w:val="24"/>
        </w:rPr>
        <w:t>JUDGE A.C. BASSON</w:t>
      </w:r>
    </w:p>
    <w:p w14:paraId="7E00C289" w14:textId="77777777" w:rsidR="0016123B" w:rsidRPr="00E759D0" w:rsidRDefault="0016123B" w:rsidP="00E759D0">
      <w:pPr>
        <w:pStyle w:val="ListParagraph"/>
        <w:spacing w:after="0" w:line="360" w:lineRule="auto"/>
        <w:ind w:left="0"/>
        <w:jc w:val="right"/>
        <w:rPr>
          <w:rFonts w:ascii="Arial" w:hAnsi="Arial" w:cs="Arial"/>
          <w:b/>
          <w:bCs/>
          <w:sz w:val="24"/>
          <w:szCs w:val="24"/>
        </w:rPr>
      </w:pPr>
      <w:r w:rsidRPr="00E759D0">
        <w:rPr>
          <w:rFonts w:ascii="Arial" w:hAnsi="Arial" w:cs="Arial"/>
          <w:b/>
          <w:bCs/>
          <w:sz w:val="24"/>
          <w:szCs w:val="24"/>
        </w:rPr>
        <w:t>JUDGE OF THE HIGH COURT</w:t>
      </w:r>
    </w:p>
    <w:p w14:paraId="7E33F5FB" w14:textId="77777777" w:rsidR="0016123B" w:rsidRPr="00E759D0" w:rsidRDefault="0016123B" w:rsidP="00E759D0">
      <w:pPr>
        <w:pStyle w:val="ListParagraph"/>
        <w:spacing w:after="0" w:line="360" w:lineRule="auto"/>
        <w:ind w:left="0"/>
        <w:jc w:val="right"/>
        <w:rPr>
          <w:rFonts w:ascii="Arial" w:hAnsi="Arial" w:cs="Arial"/>
          <w:sz w:val="24"/>
          <w:szCs w:val="24"/>
        </w:rPr>
      </w:pPr>
      <w:r w:rsidRPr="00E759D0">
        <w:rPr>
          <w:rFonts w:ascii="Arial" w:hAnsi="Arial" w:cs="Arial"/>
          <w:b/>
          <w:bCs/>
          <w:sz w:val="24"/>
          <w:szCs w:val="24"/>
        </w:rPr>
        <w:t>GAUTENG DIVISION OF THE HIGH COURT, PRETORIA</w:t>
      </w:r>
    </w:p>
    <w:p w14:paraId="2A7093E6" w14:textId="77777777" w:rsidR="0016123B" w:rsidRPr="00E759D0" w:rsidRDefault="0016123B" w:rsidP="00E759D0">
      <w:pPr>
        <w:spacing w:after="0" w:line="360" w:lineRule="auto"/>
        <w:jc w:val="both"/>
        <w:rPr>
          <w:rFonts w:ascii="Arial" w:hAnsi="Arial" w:cs="Arial"/>
          <w:sz w:val="24"/>
          <w:szCs w:val="24"/>
        </w:rPr>
      </w:pPr>
    </w:p>
    <w:p w14:paraId="3BE69FD1" w14:textId="55989A66" w:rsidR="0016123B" w:rsidRPr="00E759D0" w:rsidRDefault="0016123B" w:rsidP="00E759D0">
      <w:pPr>
        <w:spacing w:after="0" w:line="360" w:lineRule="auto"/>
        <w:jc w:val="both"/>
        <w:rPr>
          <w:rFonts w:ascii="Arial" w:hAnsi="Arial" w:cs="Arial"/>
          <w:sz w:val="24"/>
          <w:szCs w:val="24"/>
        </w:rPr>
      </w:pPr>
      <w:r w:rsidRPr="00E759D0">
        <w:rPr>
          <w:rFonts w:ascii="Arial" w:hAnsi="Arial" w:cs="Arial"/>
          <w:sz w:val="24"/>
          <w:szCs w:val="24"/>
        </w:rPr>
        <w:t xml:space="preserve">Delivered: This judgment was prepared and authored by the Judge whose name is reflected and is handed down electronically by circulation to the Parties/their legal representatives by email and by uploading it to the electronic file of this matter on </w:t>
      </w:r>
      <w:proofErr w:type="spellStart"/>
      <w:r w:rsidRPr="00E759D0">
        <w:rPr>
          <w:rFonts w:ascii="Arial" w:hAnsi="Arial" w:cs="Arial"/>
          <w:sz w:val="24"/>
          <w:szCs w:val="24"/>
        </w:rPr>
        <w:t>Caselines</w:t>
      </w:r>
      <w:proofErr w:type="spellEnd"/>
      <w:r w:rsidRPr="00E759D0">
        <w:rPr>
          <w:rFonts w:ascii="Arial" w:hAnsi="Arial" w:cs="Arial"/>
          <w:sz w:val="24"/>
          <w:szCs w:val="24"/>
        </w:rPr>
        <w:t xml:space="preserve">. The date for hand-down is deemed to be </w:t>
      </w:r>
      <w:r w:rsidR="00287F5A" w:rsidRPr="00E759D0">
        <w:rPr>
          <w:rFonts w:ascii="Arial" w:hAnsi="Arial" w:cs="Arial"/>
          <w:sz w:val="24"/>
          <w:szCs w:val="24"/>
        </w:rPr>
        <w:t xml:space="preserve">25 </w:t>
      </w:r>
      <w:r w:rsidRPr="00E759D0">
        <w:rPr>
          <w:rFonts w:ascii="Arial" w:hAnsi="Arial" w:cs="Arial"/>
          <w:sz w:val="24"/>
          <w:szCs w:val="24"/>
        </w:rPr>
        <w:t>October 2023.</w:t>
      </w:r>
    </w:p>
    <w:p w14:paraId="198DF6C9" w14:textId="77777777" w:rsidR="0016123B" w:rsidRPr="00E759D0" w:rsidRDefault="0016123B" w:rsidP="00E759D0">
      <w:pPr>
        <w:spacing w:after="0" w:line="360" w:lineRule="auto"/>
        <w:jc w:val="both"/>
        <w:rPr>
          <w:rFonts w:ascii="Arial" w:hAnsi="Arial" w:cs="Arial"/>
          <w:sz w:val="24"/>
          <w:szCs w:val="24"/>
        </w:rPr>
      </w:pPr>
    </w:p>
    <w:p w14:paraId="76413909" w14:textId="1B64D8E5" w:rsidR="00CA0955" w:rsidRPr="00E759D0" w:rsidRDefault="00CA0955" w:rsidP="00E759D0">
      <w:pPr>
        <w:spacing w:after="0" w:line="360" w:lineRule="auto"/>
        <w:jc w:val="both"/>
        <w:rPr>
          <w:rFonts w:ascii="Arial" w:eastAsia="Times New Roman" w:hAnsi="Arial" w:cs="Arial"/>
          <w:bCs/>
          <w:color w:val="000000"/>
          <w:sz w:val="24"/>
          <w:szCs w:val="24"/>
          <w:lang w:eastAsia="en-ZA"/>
        </w:rPr>
      </w:pPr>
    </w:p>
    <w:p w14:paraId="06E186B6" w14:textId="180978FB" w:rsidR="00BC3E15" w:rsidRPr="00E759D0" w:rsidRDefault="00BC3E15" w:rsidP="00E759D0">
      <w:pPr>
        <w:spacing w:after="0" w:line="360" w:lineRule="auto"/>
        <w:jc w:val="both"/>
        <w:rPr>
          <w:rFonts w:ascii="Arial" w:eastAsia="Times New Roman" w:hAnsi="Arial" w:cs="Arial"/>
          <w:bCs/>
          <w:color w:val="000000"/>
          <w:sz w:val="24"/>
          <w:szCs w:val="24"/>
          <w:lang w:eastAsia="en-ZA"/>
        </w:rPr>
      </w:pPr>
    </w:p>
    <w:p w14:paraId="3E72E849" w14:textId="54BCD2D9" w:rsidR="00BC3E15" w:rsidRPr="00E759D0" w:rsidRDefault="00BC3E15" w:rsidP="00E759D0">
      <w:pPr>
        <w:spacing w:after="0" w:line="360" w:lineRule="auto"/>
        <w:jc w:val="both"/>
        <w:rPr>
          <w:rFonts w:ascii="Arial" w:eastAsia="Times New Roman" w:hAnsi="Arial" w:cs="Arial"/>
          <w:bCs/>
          <w:color w:val="000000"/>
          <w:sz w:val="24"/>
          <w:szCs w:val="24"/>
          <w:lang w:eastAsia="en-ZA"/>
        </w:rPr>
      </w:pPr>
    </w:p>
    <w:p w14:paraId="6AF1BD33" w14:textId="77777777" w:rsidR="00BC3E15" w:rsidRPr="00E759D0" w:rsidRDefault="00BC3E15" w:rsidP="00E759D0">
      <w:pPr>
        <w:spacing w:after="0" w:line="360" w:lineRule="auto"/>
        <w:jc w:val="both"/>
        <w:rPr>
          <w:rFonts w:ascii="Arial" w:eastAsia="Times New Roman" w:hAnsi="Arial" w:cs="Arial"/>
          <w:bCs/>
          <w:color w:val="000000"/>
          <w:sz w:val="24"/>
          <w:szCs w:val="24"/>
          <w:lang w:eastAsia="en-ZA"/>
        </w:rPr>
      </w:pPr>
    </w:p>
    <w:p w14:paraId="3F35FB11" w14:textId="77777777" w:rsidR="00CA0955" w:rsidRPr="00E759D0" w:rsidRDefault="00CA0955" w:rsidP="00E759D0">
      <w:pPr>
        <w:spacing w:after="0" w:line="360" w:lineRule="auto"/>
        <w:jc w:val="both"/>
        <w:rPr>
          <w:rFonts w:ascii="Arial" w:eastAsia="Times New Roman" w:hAnsi="Arial" w:cs="Arial"/>
          <w:bCs/>
          <w:color w:val="000000"/>
          <w:sz w:val="24"/>
          <w:szCs w:val="24"/>
          <w:lang w:eastAsia="en-ZA"/>
        </w:rPr>
      </w:pPr>
    </w:p>
    <w:p w14:paraId="14ED8B21" w14:textId="77777777" w:rsidR="00CA0955" w:rsidRPr="00E759D0" w:rsidRDefault="00CA0955" w:rsidP="00E759D0">
      <w:pPr>
        <w:spacing w:after="0" w:line="360" w:lineRule="auto"/>
        <w:jc w:val="both"/>
        <w:rPr>
          <w:rFonts w:ascii="Arial" w:eastAsia="Times New Roman" w:hAnsi="Arial" w:cs="Arial"/>
          <w:bCs/>
          <w:color w:val="000000"/>
          <w:sz w:val="24"/>
          <w:szCs w:val="24"/>
          <w:lang w:eastAsia="en-ZA"/>
        </w:rPr>
      </w:pPr>
    </w:p>
    <w:p w14:paraId="77FF1D31" w14:textId="77777777" w:rsidR="00CA0955" w:rsidRPr="00E759D0" w:rsidRDefault="00CA0955" w:rsidP="00E759D0">
      <w:pPr>
        <w:spacing w:after="0" w:line="360" w:lineRule="auto"/>
        <w:jc w:val="both"/>
        <w:rPr>
          <w:rFonts w:ascii="Arial" w:eastAsia="Times New Roman" w:hAnsi="Arial" w:cs="Arial"/>
          <w:bCs/>
          <w:color w:val="000000"/>
          <w:sz w:val="24"/>
          <w:szCs w:val="24"/>
          <w:u w:val="single"/>
          <w:lang w:eastAsia="en-ZA"/>
        </w:rPr>
      </w:pPr>
      <w:r w:rsidRPr="00E759D0">
        <w:rPr>
          <w:rFonts w:ascii="Arial" w:eastAsia="Times New Roman" w:hAnsi="Arial" w:cs="Arial"/>
          <w:bCs/>
          <w:color w:val="000000"/>
          <w:sz w:val="24"/>
          <w:szCs w:val="24"/>
          <w:u w:val="single"/>
          <w:lang w:eastAsia="en-ZA"/>
        </w:rPr>
        <w:t>Appearances</w:t>
      </w:r>
    </w:p>
    <w:p w14:paraId="110FE773" w14:textId="77777777" w:rsidR="00CA0955" w:rsidRPr="00E759D0" w:rsidRDefault="00CA0955" w:rsidP="00E759D0">
      <w:pPr>
        <w:spacing w:after="0" w:line="360" w:lineRule="auto"/>
        <w:jc w:val="both"/>
        <w:rPr>
          <w:rFonts w:ascii="Arial" w:eastAsia="Times New Roman" w:hAnsi="Arial" w:cs="Arial"/>
          <w:bCs/>
          <w:color w:val="000000"/>
          <w:sz w:val="24"/>
          <w:szCs w:val="24"/>
          <w:lang w:eastAsia="en-ZA"/>
        </w:rPr>
      </w:pPr>
    </w:p>
    <w:p w14:paraId="2A2EE9FD" w14:textId="464D1FB9" w:rsidR="00CA0955" w:rsidRPr="00E759D0" w:rsidRDefault="00CA0955" w:rsidP="00E759D0">
      <w:pPr>
        <w:spacing w:after="0" w:line="360" w:lineRule="auto"/>
        <w:jc w:val="both"/>
        <w:rPr>
          <w:rFonts w:ascii="Arial" w:eastAsia="Times New Roman" w:hAnsi="Arial" w:cs="Arial"/>
          <w:bCs/>
          <w:color w:val="000000"/>
          <w:sz w:val="24"/>
          <w:szCs w:val="24"/>
          <w:u w:val="single"/>
          <w:lang w:eastAsia="en-ZA"/>
        </w:rPr>
      </w:pPr>
      <w:r w:rsidRPr="00E759D0">
        <w:rPr>
          <w:rFonts w:ascii="Arial" w:eastAsia="Times New Roman" w:hAnsi="Arial" w:cs="Arial"/>
          <w:bCs/>
          <w:color w:val="000000"/>
          <w:sz w:val="24"/>
          <w:szCs w:val="24"/>
          <w:u w:val="single"/>
          <w:lang w:eastAsia="en-ZA"/>
        </w:rPr>
        <w:t>For the applicant</w:t>
      </w:r>
      <w:r w:rsidR="00AE7EDB" w:rsidRPr="00E759D0">
        <w:rPr>
          <w:rFonts w:ascii="Arial" w:eastAsia="Times New Roman" w:hAnsi="Arial" w:cs="Arial"/>
          <w:bCs/>
          <w:color w:val="000000"/>
          <w:sz w:val="24"/>
          <w:szCs w:val="24"/>
          <w:u w:val="single"/>
          <w:lang w:eastAsia="en-ZA"/>
        </w:rPr>
        <w:t>:</w:t>
      </w:r>
    </w:p>
    <w:p w14:paraId="64D36620" w14:textId="77777777" w:rsidR="009064BE" w:rsidRPr="00E759D0" w:rsidRDefault="0016123B" w:rsidP="00E759D0">
      <w:pPr>
        <w:spacing w:after="0" w:line="360" w:lineRule="auto"/>
        <w:jc w:val="both"/>
        <w:rPr>
          <w:rFonts w:ascii="Arial" w:eastAsia="Times New Roman" w:hAnsi="Arial" w:cs="Arial"/>
          <w:bCs/>
          <w:color w:val="000000"/>
          <w:sz w:val="24"/>
          <w:szCs w:val="24"/>
          <w:lang w:eastAsia="en-ZA"/>
        </w:rPr>
      </w:pPr>
      <w:proofErr w:type="spellStart"/>
      <w:r w:rsidRPr="00E759D0">
        <w:rPr>
          <w:rFonts w:ascii="Arial" w:eastAsia="Times New Roman" w:hAnsi="Arial" w:cs="Arial"/>
          <w:bCs/>
          <w:color w:val="000000"/>
          <w:sz w:val="24"/>
          <w:szCs w:val="24"/>
          <w:lang w:eastAsia="en-ZA"/>
        </w:rPr>
        <w:t>Adv</w:t>
      </w:r>
      <w:proofErr w:type="spellEnd"/>
      <w:r w:rsidRPr="00E759D0">
        <w:rPr>
          <w:rFonts w:ascii="Arial" w:eastAsia="Times New Roman" w:hAnsi="Arial" w:cs="Arial"/>
          <w:bCs/>
          <w:color w:val="000000"/>
          <w:sz w:val="24"/>
          <w:szCs w:val="24"/>
          <w:lang w:eastAsia="en-ZA"/>
        </w:rPr>
        <w:t xml:space="preserve"> G </w:t>
      </w:r>
      <w:proofErr w:type="spellStart"/>
      <w:r w:rsidRPr="00E759D0">
        <w:rPr>
          <w:rFonts w:ascii="Arial" w:eastAsia="Times New Roman" w:hAnsi="Arial" w:cs="Arial"/>
          <w:bCs/>
          <w:color w:val="000000"/>
          <w:sz w:val="24"/>
          <w:szCs w:val="24"/>
          <w:lang w:eastAsia="en-ZA"/>
        </w:rPr>
        <w:t>Maphanga</w:t>
      </w:r>
      <w:proofErr w:type="spellEnd"/>
    </w:p>
    <w:p w14:paraId="1D01C3F3" w14:textId="77777777" w:rsidR="009064BE" w:rsidRPr="00E759D0" w:rsidRDefault="0016123B" w:rsidP="00E759D0">
      <w:pPr>
        <w:spacing w:after="0" w:line="360" w:lineRule="auto"/>
        <w:jc w:val="both"/>
        <w:rPr>
          <w:rFonts w:ascii="Arial" w:eastAsia="Times New Roman" w:hAnsi="Arial" w:cs="Arial"/>
          <w:bCs/>
          <w:color w:val="000000"/>
          <w:sz w:val="24"/>
          <w:szCs w:val="24"/>
          <w:lang w:eastAsia="en-ZA"/>
        </w:rPr>
      </w:pPr>
      <w:r w:rsidRPr="00E759D0">
        <w:rPr>
          <w:rFonts w:ascii="Arial" w:eastAsia="Times New Roman" w:hAnsi="Arial" w:cs="Arial"/>
          <w:bCs/>
          <w:color w:val="000000"/>
          <w:sz w:val="24"/>
          <w:szCs w:val="24"/>
          <w:lang w:eastAsia="en-ZA"/>
        </w:rPr>
        <w:lastRenderedPageBreak/>
        <w:t xml:space="preserve">Instructed by: </w:t>
      </w:r>
      <w:proofErr w:type="spellStart"/>
      <w:r w:rsidR="009064BE" w:rsidRPr="00E759D0">
        <w:rPr>
          <w:rFonts w:ascii="Arial" w:eastAsia="Times New Roman" w:hAnsi="Arial" w:cs="Arial"/>
          <w:bCs/>
          <w:color w:val="000000"/>
          <w:sz w:val="24"/>
          <w:szCs w:val="24"/>
          <w:lang w:eastAsia="en-ZA"/>
        </w:rPr>
        <w:t>Mngqingo</w:t>
      </w:r>
      <w:proofErr w:type="spellEnd"/>
      <w:r w:rsidR="009064BE" w:rsidRPr="00E759D0">
        <w:rPr>
          <w:rFonts w:ascii="Arial" w:eastAsia="Times New Roman" w:hAnsi="Arial" w:cs="Arial"/>
          <w:bCs/>
          <w:color w:val="000000"/>
          <w:sz w:val="24"/>
          <w:szCs w:val="24"/>
          <w:lang w:eastAsia="en-ZA"/>
        </w:rPr>
        <w:t xml:space="preserve"> A</w:t>
      </w:r>
      <w:r w:rsidRPr="00E759D0">
        <w:rPr>
          <w:rFonts w:ascii="Arial" w:eastAsia="Times New Roman" w:hAnsi="Arial" w:cs="Arial"/>
          <w:bCs/>
          <w:color w:val="000000"/>
          <w:sz w:val="24"/>
          <w:szCs w:val="24"/>
          <w:lang w:eastAsia="en-ZA"/>
        </w:rPr>
        <w:t xml:space="preserve">ttorneys </w:t>
      </w:r>
      <w:r w:rsidR="009064BE" w:rsidRPr="00E759D0">
        <w:rPr>
          <w:rFonts w:ascii="Arial" w:eastAsia="Times New Roman" w:hAnsi="Arial" w:cs="Arial"/>
          <w:bCs/>
          <w:color w:val="000000"/>
          <w:sz w:val="24"/>
          <w:szCs w:val="24"/>
          <w:lang w:eastAsia="en-ZA"/>
        </w:rPr>
        <w:t>Inc.</w:t>
      </w:r>
    </w:p>
    <w:p w14:paraId="67C71173" w14:textId="77777777" w:rsidR="00CA0955" w:rsidRPr="00E759D0" w:rsidRDefault="00CA0955" w:rsidP="00E759D0">
      <w:pPr>
        <w:spacing w:after="0" w:line="360" w:lineRule="auto"/>
        <w:jc w:val="both"/>
        <w:rPr>
          <w:rFonts w:ascii="Arial" w:eastAsia="Times New Roman" w:hAnsi="Arial" w:cs="Arial"/>
          <w:bCs/>
          <w:color w:val="000000"/>
          <w:sz w:val="24"/>
          <w:szCs w:val="24"/>
          <w:lang w:eastAsia="en-ZA"/>
        </w:rPr>
      </w:pPr>
    </w:p>
    <w:p w14:paraId="5AF55041" w14:textId="72280BE8" w:rsidR="00CA0955" w:rsidRPr="00E759D0" w:rsidRDefault="00CA0955" w:rsidP="00E759D0">
      <w:pPr>
        <w:spacing w:after="0" w:line="360" w:lineRule="auto"/>
        <w:jc w:val="both"/>
        <w:rPr>
          <w:rFonts w:ascii="Arial" w:eastAsia="Times New Roman" w:hAnsi="Arial" w:cs="Arial"/>
          <w:bCs/>
          <w:color w:val="000000"/>
          <w:sz w:val="24"/>
          <w:szCs w:val="24"/>
          <w:u w:val="single"/>
          <w:lang w:eastAsia="en-ZA"/>
        </w:rPr>
      </w:pPr>
      <w:r w:rsidRPr="00E759D0">
        <w:rPr>
          <w:rFonts w:ascii="Arial" w:eastAsia="Times New Roman" w:hAnsi="Arial" w:cs="Arial"/>
          <w:bCs/>
          <w:color w:val="000000"/>
          <w:sz w:val="24"/>
          <w:szCs w:val="24"/>
          <w:u w:val="single"/>
          <w:lang w:eastAsia="en-ZA"/>
        </w:rPr>
        <w:t>For the first and second respondents</w:t>
      </w:r>
      <w:r w:rsidR="00AE7EDB" w:rsidRPr="00E759D0">
        <w:rPr>
          <w:rFonts w:ascii="Arial" w:eastAsia="Times New Roman" w:hAnsi="Arial" w:cs="Arial"/>
          <w:bCs/>
          <w:color w:val="000000"/>
          <w:sz w:val="24"/>
          <w:szCs w:val="24"/>
          <w:u w:val="single"/>
          <w:lang w:eastAsia="en-ZA"/>
        </w:rPr>
        <w:t>:</w:t>
      </w:r>
    </w:p>
    <w:p w14:paraId="7F3FC302" w14:textId="77777777" w:rsidR="00287F5A" w:rsidRPr="00E759D0" w:rsidRDefault="00CA0955" w:rsidP="00E759D0">
      <w:pPr>
        <w:spacing w:after="0" w:line="360" w:lineRule="auto"/>
        <w:jc w:val="both"/>
        <w:rPr>
          <w:rFonts w:ascii="Arial" w:eastAsia="Times New Roman" w:hAnsi="Arial" w:cs="Arial"/>
          <w:bCs/>
          <w:color w:val="000000"/>
          <w:sz w:val="24"/>
          <w:szCs w:val="24"/>
          <w:lang w:eastAsia="en-ZA"/>
        </w:rPr>
      </w:pPr>
      <w:proofErr w:type="spellStart"/>
      <w:r w:rsidRPr="00E759D0">
        <w:rPr>
          <w:rFonts w:ascii="Arial" w:eastAsia="Times New Roman" w:hAnsi="Arial" w:cs="Arial"/>
          <w:bCs/>
          <w:color w:val="000000"/>
          <w:sz w:val="24"/>
          <w:szCs w:val="24"/>
          <w:lang w:eastAsia="en-ZA"/>
        </w:rPr>
        <w:t>Adv</w:t>
      </w:r>
      <w:proofErr w:type="spellEnd"/>
      <w:r w:rsidRPr="00E759D0">
        <w:rPr>
          <w:rFonts w:ascii="Arial" w:eastAsia="Times New Roman" w:hAnsi="Arial" w:cs="Arial"/>
          <w:bCs/>
          <w:color w:val="000000"/>
          <w:sz w:val="24"/>
          <w:szCs w:val="24"/>
          <w:lang w:eastAsia="en-ZA"/>
        </w:rPr>
        <w:t xml:space="preserve"> S </w:t>
      </w:r>
      <w:proofErr w:type="spellStart"/>
      <w:r w:rsidRPr="00E759D0">
        <w:rPr>
          <w:rFonts w:ascii="Arial" w:eastAsia="Times New Roman" w:hAnsi="Arial" w:cs="Arial"/>
          <w:bCs/>
          <w:color w:val="000000"/>
          <w:sz w:val="24"/>
          <w:szCs w:val="24"/>
          <w:lang w:eastAsia="en-ZA"/>
        </w:rPr>
        <w:t>Tleane</w:t>
      </w:r>
      <w:proofErr w:type="spellEnd"/>
      <w:r w:rsidR="009064BE" w:rsidRPr="00E759D0">
        <w:rPr>
          <w:rFonts w:ascii="Arial" w:eastAsia="Times New Roman" w:hAnsi="Arial" w:cs="Arial"/>
          <w:bCs/>
          <w:color w:val="000000"/>
          <w:sz w:val="24"/>
          <w:szCs w:val="24"/>
          <w:lang w:eastAsia="en-ZA"/>
        </w:rPr>
        <w:t xml:space="preserve"> </w:t>
      </w:r>
    </w:p>
    <w:p w14:paraId="617DFD96" w14:textId="7815AE12" w:rsidR="009064BE" w:rsidRPr="00E759D0" w:rsidRDefault="009064BE" w:rsidP="00E759D0">
      <w:pPr>
        <w:spacing w:after="0" w:line="360" w:lineRule="auto"/>
        <w:jc w:val="both"/>
        <w:rPr>
          <w:rFonts w:ascii="Arial" w:eastAsia="Times New Roman" w:hAnsi="Arial" w:cs="Arial"/>
          <w:bCs/>
          <w:color w:val="000000"/>
          <w:sz w:val="24"/>
          <w:szCs w:val="24"/>
          <w:lang w:eastAsia="en-ZA"/>
        </w:rPr>
      </w:pPr>
      <w:r w:rsidRPr="00E759D0">
        <w:rPr>
          <w:rFonts w:ascii="Arial" w:eastAsia="Times New Roman" w:hAnsi="Arial" w:cs="Arial"/>
          <w:bCs/>
          <w:color w:val="000000"/>
          <w:sz w:val="24"/>
          <w:szCs w:val="24"/>
          <w:lang w:eastAsia="en-ZA"/>
        </w:rPr>
        <w:t>Instructed by the State Attorney Pretoria</w:t>
      </w:r>
    </w:p>
    <w:p w14:paraId="397660DA" w14:textId="77777777" w:rsidR="00CA0955" w:rsidRPr="00E759D0" w:rsidRDefault="00CA0955" w:rsidP="00E759D0">
      <w:pPr>
        <w:spacing w:after="0" w:line="360" w:lineRule="auto"/>
        <w:jc w:val="both"/>
        <w:rPr>
          <w:rFonts w:ascii="Arial" w:eastAsia="Times New Roman" w:hAnsi="Arial" w:cs="Arial"/>
          <w:bCs/>
          <w:color w:val="000000"/>
          <w:sz w:val="24"/>
          <w:szCs w:val="24"/>
          <w:lang w:eastAsia="en-ZA"/>
        </w:rPr>
      </w:pPr>
      <w:r w:rsidRPr="00E759D0">
        <w:rPr>
          <w:rFonts w:ascii="Arial" w:eastAsia="Times New Roman" w:hAnsi="Arial" w:cs="Arial"/>
          <w:bCs/>
          <w:color w:val="000000"/>
          <w:sz w:val="24"/>
          <w:szCs w:val="24"/>
          <w:lang w:eastAsia="en-ZA"/>
        </w:rPr>
        <w:t xml:space="preserve"> </w:t>
      </w:r>
    </w:p>
    <w:p w14:paraId="0D6E5142" w14:textId="77777777" w:rsidR="00716E87" w:rsidRPr="00E759D0" w:rsidRDefault="00716E87" w:rsidP="00E759D0">
      <w:pPr>
        <w:pStyle w:val="ListParagraph"/>
        <w:spacing w:line="360" w:lineRule="auto"/>
        <w:rPr>
          <w:rFonts w:ascii="Arial" w:eastAsia="Times New Roman" w:hAnsi="Arial" w:cs="Arial"/>
          <w:bCs/>
          <w:color w:val="000000"/>
          <w:sz w:val="24"/>
          <w:szCs w:val="24"/>
          <w:lang w:eastAsia="en-ZA"/>
        </w:rPr>
      </w:pPr>
    </w:p>
    <w:p w14:paraId="5C2FFE15" w14:textId="77777777" w:rsidR="00716E87" w:rsidRPr="00E759D0" w:rsidRDefault="00716E87" w:rsidP="00E759D0">
      <w:pPr>
        <w:pStyle w:val="ListParagraph"/>
        <w:spacing w:after="0" w:line="360" w:lineRule="auto"/>
        <w:jc w:val="both"/>
        <w:rPr>
          <w:rFonts w:ascii="Arial" w:eastAsia="Times New Roman" w:hAnsi="Arial" w:cs="Arial"/>
          <w:bCs/>
          <w:color w:val="000000"/>
          <w:sz w:val="24"/>
          <w:szCs w:val="24"/>
          <w:lang w:eastAsia="en-ZA"/>
        </w:rPr>
      </w:pPr>
    </w:p>
    <w:sectPr w:rsidR="00716E87" w:rsidRPr="00E759D0" w:rsidSect="00413C1A">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E310F" w14:textId="77777777" w:rsidR="00387923" w:rsidRDefault="00387923" w:rsidP="00D6520D">
      <w:pPr>
        <w:spacing w:after="0" w:line="240" w:lineRule="auto"/>
      </w:pPr>
      <w:r>
        <w:separator/>
      </w:r>
    </w:p>
  </w:endnote>
  <w:endnote w:type="continuationSeparator" w:id="0">
    <w:p w14:paraId="3E6DB2DD" w14:textId="77777777" w:rsidR="00387923" w:rsidRDefault="00387923" w:rsidP="00D6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1893764788"/>
      <w:docPartObj>
        <w:docPartGallery w:val="Page Numbers (Bottom of Page)"/>
        <w:docPartUnique/>
      </w:docPartObj>
    </w:sdtPr>
    <w:sdtEndPr>
      <w:rPr>
        <w:noProof/>
      </w:rPr>
    </w:sdtEndPr>
    <w:sdtContent>
      <w:p w14:paraId="7D924C29" w14:textId="47FF3A4E" w:rsidR="004D4B2E" w:rsidRPr="00287F5A" w:rsidRDefault="004D4B2E">
        <w:pPr>
          <w:pStyle w:val="Footer"/>
          <w:jc w:val="right"/>
          <w:rPr>
            <w:rFonts w:ascii="Arial" w:hAnsi="Arial" w:cs="Arial"/>
            <w:sz w:val="24"/>
            <w:szCs w:val="24"/>
          </w:rPr>
        </w:pPr>
        <w:r w:rsidRPr="00287F5A">
          <w:rPr>
            <w:rFonts w:ascii="Arial" w:hAnsi="Arial" w:cs="Arial"/>
            <w:sz w:val="24"/>
            <w:szCs w:val="24"/>
          </w:rPr>
          <w:fldChar w:fldCharType="begin"/>
        </w:r>
        <w:r w:rsidRPr="00287F5A">
          <w:rPr>
            <w:rFonts w:ascii="Arial" w:hAnsi="Arial" w:cs="Arial"/>
            <w:sz w:val="24"/>
            <w:szCs w:val="24"/>
          </w:rPr>
          <w:instrText xml:space="preserve"> PAGE   \* MERGEFORMAT </w:instrText>
        </w:r>
        <w:r w:rsidRPr="00287F5A">
          <w:rPr>
            <w:rFonts w:ascii="Arial" w:hAnsi="Arial" w:cs="Arial"/>
            <w:sz w:val="24"/>
            <w:szCs w:val="24"/>
          </w:rPr>
          <w:fldChar w:fldCharType="separate"/>
        </w:r>
        <w:r w:rsidR="00A729B1">
          <w:rPr>
            <w:rFonts w:ascii="Arial" w:hAnsi="Arial" w:cs="Arial"/>
            <w:noProof/>
            <w:sz w:val="24"/>
            <w:szCs w:val="24"/>
          </w:rPr>
          <w:t>15</w:t>
        </w:r>
        <w:r w:rsidRPr="00287F5A">
          <w:rPr>
            <w:rFonts w:ascii="Arial" w:hAnsi="Arial" w:cs="Arial"/>
            <w:noProof/>
            <w:sz w:val="24"/>
            <w:szCs w:val="24"/>
          </w:rPr>
          <w:fldChar w:fldCharType="end"/>
        </w:r>
      </w:p>
    </w:sdtContent>
  </w:sdt>
  <w:p w14:paraId="43F3C30B" w14:textId="77777777" w:rsidR="004D4B2E" w:rsidRDefault="004D4B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FE500" w14:textId="77777777" w:rsidR="00387923" w:rsidRDefault="00387923" w:rsidP="00D6520D">
      <w:pPr>
        <w:spacing w:after="0" w:line="240" w:lineRule="auto"/>
      </w:pPr>
      <w:r>
        <w:separator/>
      </w:r>
    </w:p>
  </w:footnote>
  <w:footnote w:type="continuationSeparator" w:id="0">
    <w:p w14:paraId="76CEA46B" w14:textId="77777777" w:rsidR="00387923" w:rsidRDefault="00387923" w:rsidP="00D6520D">
      <w:pPr>
        <w:spacing w:after="0" w:line="240" w:lineRule="auto"/>
      </w:pPr>
      <w:r>
        <w:continuationSeparator/>
      </w:r>
    </w:p>
  </w:footnote>
  <w:footnote w:id="1">
    <w:p w14:paraId="2C5B8202" w14:textId="77777777" w:rsidR="004D4B2E" w:rsidRPr="00B845EA" w:rsidRDefault="004D4B2E" w:rsidP="00B845EA">
      <w:pPr>
        <w:spacing w:after="0" w:line="240" w:lineRule="auto"/>
        <w:jc w:val="both"/>
        <w:rPr>
          <w:rFonts w:ascii="Arial" w:eastAsia="Times New Roman" w:hAnsi="Arial" w:cs="Arial"/>
          <w:color w:val="000000"/>
          <w:sz w:val="20"/>
          <w:szCs w:val="20"/>
          <w:lang w:eastAsia="en-ZA"/>
        </w:rPr>
      </w:pPr>
      <w:r w:rsidRPr="00B845EA">
        <w:rPr>
          <w:rStyle w:val="FootnoteReference"/>
          <w:rFonts w:ascii="Arial" w:hAnsi="Arial" w:cs="Arial"/>
          <w:sz w:val="20"/>
          <w:szCs w:val="20"/>
        </w:rPr>
        <w:footnoteRef/>
      </w:r>
      <w:r w:rsidRPr="00B845EA">
        <w:rPr>
          <w:rFonts w:ascii="Arial" w:hAnsi="Arial" w:cs="Arial"/>
          <w:sz w:val="20"/>
          <w:szCs w:val="20"/>
        </w:rPr>
        <w:t xml:space="preserve">  </w:t>
      </w:r>
      <w:proofErr w:type="spellStart"/>
      <w:r w:rsidRPr="00287F5A">
        <w:rPr>
          <w:rFonts w:ascii="Arial" w:hAnsi="Arial" w:cs="Arial"/>
          <w:i/>
          <w:sz w:val="18"/>
          <w:szCs w:val="18"/>
        </w:rPr>
        <w:t>Plascon</w:t>
      </w:r>
      <w:proofErr w:type="spellEnd"/>
      <w:r w:rsidRPr="00287F5A">
        <w:rPr>
          <w:rFonts w:ascii="Arial" w:hAnsi="Arial" w:cs="Arial"/>
          <w:i/>
          <w:sz w:val="18"/>
          <w:szCs w:val="18"/>
        </w:rPr>
        <w:t xml:space="preserve">-Evans Paints Ltd v Van </w:t>
      </w:r>
      <w:proofErr w:type="spellStart"/>
      <w:r w:rsidRPr="00287F5A">
        <w:rPr>
          <w:rFonts w:ascii="Arial" w:hAnsi="Arial" w:cs="Arial"/>
          <w:i/>
          <w:sz w:val="18"/>
          <w:szCs w:val="18"/>
        </w:rPr>
        <w:t>Riebeeck</w:t>
      </w:r>
      <w:proofErr w:type="spellEnd"/>
      <w:r w:rsidRPr="00287F5A">
        <w:rPr>
          <w:rFonts w:ascii="Arial" w:hAnsi="Arial" w:cs="Arial"/>
          <w:i/>
          <w:sz w:val="18"/>
          <w:szCs w:val="18"/>
        </w:rPr>
        <w:t xml:space="preserve"> Paints (Pty) Ltd </w:t>
      </w:r>
      <w:hyperlink r:id="rId1" w:tgtFrame="main" w:history="1">
        <w:r w:rsidRPr="00287F5A">
          <w:rPr>
            <w:rFonts w:ascii="Arial" w:eastAsia="Times New Roman" w:hAnsi="Arial" w:cs="Arial"/>
            <w:sz w:val="18"/>
            <w:szCs w:val="18"/>
            <w:lang w:eastAsia="en-ZA"/>
          </w:rPr>
          <w:t>1984 (3) SA 647 (A)</w:t>
        </w:r>
      </w:hyperlink>
      <w:r w:rsidRPr="00287F5A">
        <w:rPr>
          <w:rFonts w:ascii="Arial" w:eastAsia="Times New Roman" w:hAnsi="Arial" w:cs="Arial"/>
          <w:sz w:val="18"/>
          <w:szCs w:val="18"/>
          <w:lang w:eastAsia="en-ZA"/>
        </w:rPr>
        <w:t> </w:t>
      </w:r>
      <w:r w:rsidRPr="00287F5A">
        <w:rPr>
          <w:rFonts w:ascii="Arial" w:eastAsia="Times New Roman" w:hAnsi="Arial" w:cs="Arial"/>
          <w:color w:val="000000"/>
          <w:sz w:val="18"/>
          <w:szCs w:val="18"/>
          <w:lang w:eastAsia="en-ZA"/>
        </w:rPr>
        <w:t>634H-I.</w:t>
      </w:r>
    </w:p>
    <w:p w14:paraId="4D974AC3" w14:textId="77777777" w:rsidR="004D4B2E" w:rsidRPr="00B845EA" w:rsidRDefault="004D4B2E" w:rsidP="00B845EA">
      <w:pPr>
        <w:pStyle w:val="FootnoteText"/>
        <w:rPr>
          <w:rFonts w:ascii="Arial" w:hAnsi="Arial" w:cs="Arial"/>
        </w:rPr>
      </w:pPr>
    </w:p>
  </w:footnote>
  <w:footnote w:id="2">
    <w:p w14:paraId="401BF1FB" w14:textId="77777777" w:rsidR="004D4B2E" w:rsidRPr="00287F5A" w:rsidRDefault="004D4B2E" w:rsidP="00B845EA">
      <w:pPr>
        <w:spacing w:after="0" w:line="240" w:lineRule="auto"/>
        <w:jc w:val="both"/>
        <w:rPr>
          <w:rFonts w:ascii="Arial" w:eastAsia="Times New Roman" w:hAnsi="Arial" w:cs="Arial"/>
          <w:i/>
          <w:color w:val="000000"/>
          <w:sz w:val="18"/>
          <w:szCs w:val="18"/>
          <w:lang w:eastAsia="en-ZA"/>
        </w:rPr>
      </w:pPr>
      <w:r w:rsidRPr="00B845EA">
        <w:rPr>
          <w:rStyle w:val="FootnoteReference"/>
          <w:rFonts w:ascii="Arial" w:hAnsi="Arial" w:cs="Arial"/>
          <w:sz w:val="20"/>
          <w:szCs w:val="20"/>
        </w:rPr>
        <w:footnoteRef/>
      </w:r>
      <w:r w:rsidRPr="00B845EA">
        <w:rPr>
          <w:rFonts w:ascii="Arial" w:eastAsia="Times New Roman" w:hAnsi="Arial" w:cs="Arial"/>
          <w:b/>
          <w:color w:val="000000"/>
          <w:sz w:val="20"/>
          <w:szCs w:val="20"/>
          <w:lang w:eastAsia="en-ZA"/>
        </w:rPr>
        <w:t xml:space="preserve"> </w:t>
      </w:r>
      <w:bookmarkStart w:id="1" w:name="_Hlk96595077"/>
      <w:proofErr w:type="spellStart"/>
      <w:r w:rsidRPr="00287F5A">
        <w:rPr>
          <w:rFonts w:ascii="Arial" w:eastAsia="Times New Roman" w:hAnsi="Arial" w:cs="Arial"/>
          <w:bCs/>
          <w:i/>
          <w:sz w:val="18"/>
          <w:szCs w:val="18"/>
          <w:lang w:eastAsia="en-ZA"/>
        </w:rPr>
        <w:t>Grootboom</w:t>
      </w:r>
      <w:proofErr w:type="spellEnd"/>
      <w:r w:rsidRPr="00287F5A">
        <w:rPr>
          <w:rFonts w:ascii="Arial" w:eastAsia="Times New Roman" w:hAnsi="Arial" w:cs="Arial"/>
          <w:bCs/>
          <w:i/>
          <w:sz w:val="18"/>
          <w:szCs w:val="18"/>
          <w:lang w:eastAsia="en-ZA"/>
        </w:rPr>
        <w:t xml:space="preserve"> v National Prosecuting Authority and Another </w:t>
      </w:r>
      <w:r w:rsidRPr="00287F5A">
        <w:rPr>
          <w:rFonts w:ascii="Arial" w:eastAsia="Times New Roman" w:hAnsi="Arial" w:cs="Arial"/>
          <w:bCs/>
          <w:sz w:val="18"/>
          <w:szCs w:val="18"/>
          <w:lang w:eastAsia="en-ZA"/>
        </w:rPr>
        <w:t>2014 (2) SA 68 (CC)</w:t>
      </w:r>
      <w:bookmarkEnd w:id="1"/>
      <w:r w:rsidRPr="00287F5A">
        <w:rPr>
          <w:rFonts w:ascii="Arial" w:eastAsia="Times New Roman" w:hAnsi="Arial" w:cs="Arial"/>
          <w:bCs/>
          <w:sz w:val="18"/>
          <w:szCs w:val="18"/>
          <w:lang w:eastAsia="en-ZA"/>
        </w:rPr>
        <w:t>: “</w:t>
      </w:r>
      <w:r w:rsidRPr="00287F5A">
        <w:rPr>
          <w:rFonts w:ascii="Arial" w:eastAsia="Times New Roman" w:hAnsi="Arial" w:cs="Arial"/>
          <w:bCs/>
          <w:i/>
          <w:sz w:val="18"/>
          <w:szCs w:val="18"/>
          <w:lang w:eastAsia="en-ZA"/>
        </w:rPr>
        <w:t>[22]</w:t>
      </w:r>
      <w:r w:rsidRPr="00287F5A">
        <w:rPr>
          <w:rFonts w:ascii="Arial" w:eastAsia="Times New Roman" w:hAnsi="Arial" w:cs="Arial"/>
          <w:bCs/>
          <w:sz w:val="18"/>
          <w:szCs w:val="18"/>
          <w:lang w:eastAsia="en-ZA"/>
        </w:rPr>
        <w:t xml:space="preserve"> </w:t>
      </w:r>
      <w:r w:rsidRPr="00287F5A">
        <w:rPr>
          <w:rFonts w:ascii="Arial" w:eastAsia="Times New Roman" w:hAnsi="Arial" w:cs="Arial"/>
          <w:i/>
          <w:color w:val="000000"/>
          <w:sz w:val="18"/>
          <w:szCs w:val="18"/>
          <w:lang w:eastAsia="en-ZA"/>
        </w:rPr>
        <w:t xml:space="preserve">I agree with him that, based on </w:t>
      </w:r>
      <w:proofErr w:type="spellStart"/>
      <w:r w:rsidRPr="00287F5A">
        <w:rPr>
          <w:rFonts w:ascii="Arial" w:eastAsia="Times New Roman" w:hAnsi="Arial" w:cs="Arial"/>
          <w:i/>
          <w:iCs/>
          <w:color w:val="000000"/>
          <w:sz w:val="18"/>
          <w:szCs w:val="18"/>
          <w:lang w:eastAsia="en-ZA"/>
        </w:rPr>
        <w:t>Brummer</w:t>
      </w:r>
      <w:proofErr w:type="spellEnd"/>
      <w:r w:rsidRPr="00287F5A">
        <w:rPr>
          <w:rFonts w:ascii="Arial" w:eastAsia="Times New Roman" w:hAnsi="Arial" w:cs="Arial"/>
          <w:i/>
          <w:color w:val="000000"/>
          <w:sz w:val="18"/>
          <w:szCs w:val="18"/>
          <w:lang w:eastAsia="en-ZA"/>
        </w:rPr>
        <w:t xml:space="preserve"> and </w:t>
      </w:r>
      <w:r w:rsidRPr="00287F5A">
        <w:rPr>
          <w:rFonts w:ascii="Arial" w:eastAsia="Times New Roman" w:hAnsi="Arial" w:cs="Arial"/>
          <w:i/>
          <w:iCs/>
          <w:color w:val="000000"/>
          <w:sz w:val="18"/>
          <w:szCs w:val="18"/>
          <w:lang w:eastAsia="en-ZA"/>
        </w:rPr>
        <w:t xml:space="preserve">Van </w:t>
      </w:r>
      <w:proofErr w:type="spellStart"/>
      <w:r w:rsidRPr="00287F5A">
        <w:rPr>
          <w:rFonts w:ascii="Arial" w:eastAsia="Times New Roman" w:hAnsi="Arial" w:cs="Arial"/>
          <w:i/>
          <w:iCs/>
          <w:color w:val="000000"/>
          <w:sz w:val="18"/>
          <w:szCs w:val="18"/>
          <w:lang w:eastAsia="en-ZA"/>
        </w:rPr>
        <w:t>Wyk</w:t>
      </w:r>
      <w:proofErr w:type="spellEnd"/>
      <w:r w:rsidRPr="00287F5A">
        <w:rPr>
          <w:rFonts w:ascii="Arial" w:eastAsia="Times New Roman" w:hAnsi="Arial" w:cs="Arial"/>
          <w:i/>
          <w:color w:val="000000"/>
          <w:sz w:val="18"/>
          <w:szCs w:val="18"/>
          <w:lang w:eastAsia="en-ZA"/>
        </w:rPr>
        <w:t xml:space="preserve">, </w:t>
      </w:r>
      <w:bookmarkStart w:id="2" w:name="0-0-0-5869"/>
      <w:bookmarkEnd w:id="2"/>
      <w:r w:rsidRPr="00287F5A">
        <w:rPr>
          <w:rFonts w:ascii="Arial" w:eastAsia="Times New Roman" w:hAnsi="Arial" w:cs="Arial"/>
          <w:i/>
          <w:color w:val="000000"/>
          <w:sz w:val="18"/>
          <w:szCs w:val="18"/>
          <w:lang w:eastAsia="en-ZA"/>
        </w:rPr>
        <w:t xml:space="preserve">the standard for considering an application for condonation is the interests of justice. However, the concept 'interests of justice' is so elastic that it is not capable of precise definition. As the two cases demonstrate, it includes: the nature of the relief sought; the extent and cause of the delay; the effect of the delay on the administration of justice and other litigants; the reasonableness of the explanation for the delay; the importance of the issue to be raised in the intended appeal; and the prospects of success. It is crucial to reiterate that both </w:t>
      </w:r>
      <w:proofErr w:type="spellStart"/>
      <w:r w:rsidRPr="00287F5A">
        <w:rPr>
          <w:rFonts w:ascii="Arial" w:eastAsia="Times New Roman" w:hAnsi="Arial" w:cs="Arial"/>
          <w:i/>
          <w:iCs/>
          <w:color w:val="000000"/>
          <w:sz w:val="18"/>
          <w:szCs w:val="18"/>
          <w:lang w:eastAsia="en-ZA"/>
        </w:rPr>
        <w:t>Brummer</w:t>
      </w:r>
      <w:proofErr w:type="spellEnd"/>
      <w:r w:rsidRPr="00287F5A">
        <w:rPr>
          <w:rFonts w:ascii="Arial" w:eastAsia="Times New Roman" w:hAnsi="Arial" w:cs="Arial"/>
          <w:i/>
          <w:color w:val="000000"/>
          <w:sz w:val="18"/>
          <w:szCs w:val="18"/>
          <w:lang w:eastAsia="en-ZA"/>
        </w:rPr>
        <w:t xml:space="preserve"> and </w:t>
      </w:r>
      <w:r w:rsidRPr="00287F5A">
        <w:rPr>
          <w:rFonts w:ascii="Arial" w:eastAsia="Times New Roman" w:hAnsi="Arial" w:cs="Arial"/>
          <w:i/>
          <w:iCs/>
          <w:color w:val="000000"/>
          <w:sz w:val="18"/>
          <w:szCs w:val="18"/>
          <w:lang w:eastAsia="en-ZA"/>
        </w:rPr>
        <w:t xml:space="preserve">Van </w:t>
      </w:r>
      <w:proofErr w:type="spellStart"/>
      <w:r w:rsidRPr="00287F5A">
        <w:rPr>
          <w:rFonts w:ascii="Arial" w:eastAsia="Times New Roman" w:hAnsi="Arial" w:cs="Arial"/>
          <w:i/>
          <w:iCs/>
          <w:color w:val="000000"/>
          <w:sz w:val="18"/>
          <w:szCs w:val="18"/>
          <w:lang w:eastAsia="en-ZA"/>
        </w:rPr>
        <w:t>Wyk</w:t>
      </w:r>
      <w:proofErr w:type="spellEnd"/>
      <w:r w:rsidRPr="00287F5A">
        <w:rPr>
          <w:rFonts w:ascii="Arial" w:eastAsia="Times New Roman" w:hAnsi="Arial" w:cs="Arial"/>
          <w:i/>
          <w:color w:val="000000"/>
          <w:sz w:val="18"/>
          <w:szCs w:val="18"/>
          <w:lang w:eastAsia="en-ZA"/>
        </w:rPr>
        <w:t xml:space="preserve"> </w:t>
      </w:r>
      <w:proofErr w:type="spellStart"/>
      <w:r w:rsidRPr="00287F5A">
        <w:rPr>
          <w:rFonts w:ascii="Arial" w:eastAsia="Times New Roman" w:hAnsi="Arial" w:cs="Arial"/>
          <w:i/>
          <w:color w:val="000000"/>
          <w:sz w:val="18"/>
          <w:szCs w:val="18"/>
          <w:lang w:eastAsia="en-ZA"/>
        </w:rPr>
        <w:t>ekjmphasise</w:t>
      </w:r>
      <w:proofErr w:type="spellEnd"/>
      <w:r w:rsidRPr="00287F5A">
        <w:rPr>
          <w:rFonts w:ascii="Arial" w:eastAsia="Times New Roman" w:hAnsi="Arial" w:cs="Arial"/>
          <w:i/>
          <w:color w:val="000000"/>
          <w:sz w:val="18"/>
          <w:szCs w:val="18"/>
          <w:lang w:eastAsia="en-ZA"/>
        </w:rPr>
        <w:t xml:space="preserve"> that the ultimate determination of what is in the interests of justice must reflect due regard to all the relevant factors but it is not necessarily limited to those mentioned above. The particular circumstances of each case will determine which of these factors are relevant.</w:t>
      </w:r>
    </w:p>
    <w:p w14:paraId="0B1F0D8B" w14:textId="77777777" w:rsidR="004D4B2E" w:rsidRPr="00287F5A" w:rsidRDefault="004D4B2E" w:rsidP="00B845EA">
      <w:pPr>
        <w:spacing w:after="0" w:line="240" w:lineRule="auto"/>
        <w:jc w:val="both"/>
        <w:rPr>
          <w:rFonts w:ascii="Arial" w:eastAsia="Times New Roman" w:hAnsi="Arial" w:cs="Arial"/>
          <w:i/>
          <w:color w:val="000000"/>
          <w:sz w:val="18"/>
          <w:szCs w:val="18"/>
          <w:lang w:eastAsia="en-ZA"/>
        </w:rPr>
      </w:pPr>
      <w:r w:rsidRPr="00287F5A">
        <w:rPr>
          <w:rFonts w:ascii="Arial" w:eastAsia="Times New Roman" w:hAnsi="Arial" w:cs="Arial"/>
          <w:i/>
          <w:color w:val="000000"/>
          <w:sz w:val="18"/>
          <w:szCs w:val="18"/>
          <w:lang w:eastAsia="en-ZA"/>
        </w:rPr>
        <w:t>[23] It is now trite that condonation cannot be had for the mere asking. A party seeking condonation must make out a case entitling it to the court's indulgence. It must show sufficient cause. This requires a party to give a full explanation for the non-compliance with the rules or court's directions. Of great significance, the explanation must be reasonable enough to excuse the default.</w:t>
      </w:r>
      <w:bookmarkStart w:id="3" w:name="0-0-0-5873"/>
      <w:bookmarkEnd w:id="3"/>
      <w:r w:rsidRPr="00287F5A">
        <w:rPr>
          <w:rFonts w:ascii="Arial" w:eastAsia="Times New Roman" w:hAnsi="Arial" w:cs="Arial"/>
          <w:i/>
          <w:color w:val="000000"/>
          <w:sz w:val="18"/>
          <w:szCs w:val="18"/>
          <w:lang w:eastAsia="en-ZA"/>
        </w:rPr>
        <w:t>”</w:t>
      </w:r>
    </w:p>
    <w:p w14:paraId="41573B6D" w14:textId="77777777" w:rsidR="004D4B2E" w:rsidRPr="00B845EA" w:rsidRDefault="004D4B2E" w:rsidP="00B845EA">
      <w:pPr>
        <w:pStyle w:val="FootnoteText"/>
        <w:rPr>
          <w:rFonts w:ascii="Arial" w:hAnsi="Arial" w:cs="Arial"/>
          <w:lang w:val="en-GB"/>
        </w:rPr>
      </w:pPr>
      <w:r w:rsidRPr="00B845EA">
        <w:rPr>
          <w:rFonts w:ascii="Arial" w:hAnsi="Arial" w:cs="Arial"/>
        </w:rPr>
        <w:t xml:space="preserve"> </w:t>
      </w:r>
    </w:p>
  </w:footnote>
  <w:footnote w:id="3">
    <w:p w14:paraId="6DE38BF8" w14:textId="5B68E005" w:rsidR="004D4B2E" w:rsidRPr="006154D6" w:rsidRDefault="004D4B2E">
      <w:pPr>
        <w:pStyle w:val="FootnoteText"/>
        <w:rPr>
          <w:rFonts w:ascii="Arial" w:hAnsi="Arial" w:cs="Arial"/>
        </w:rPr>
      </w:pPr>
      <w:r w:rsidRPr="006154D6">
        <w:rPr>
          <w:rStyle w:val="FootnoteReference"/>
          <w:rFonts w:ascii="Arial" w:hAnsi="Arial" w:cs="Arial"/>
        </w:rPr>
        <w:footnoteRef/>
      </w:r>
      <w:r w:rsidRPr="006154D6">
        <w:rPr>
          <w:rFonts w:ascii="Arial" w:hAnsi="Arial" w:cs="Arial"/>
        </w:rPr>
        <w:t xml:space="preserve"> Act 66 of 1995.</w:t>
      </w:r>
    </w:p>
  </w:footnote>
  <w:footnote w:id="4">
    <w:p w14:paraId="4A8FABB3" w14:textId="77777777" w:rsidR="004D4B2E" w:rsidRPr="006154D6" w:rsidRDefault="004D4B2E" w:rsidP="00B845EA">
      <w:pPr>
        <w:pStyle w:val="FootnoteText"/>
        <w:rPr>
          <w:rFonts w:ascii="Arial" w:hAnsi="Arial" w:cs="Arial"/>
        </w:rPr>
      </w:pPr>
      <w:r w:rsidRPr="006154D6">
        <w:rPr>
          <w:rStyle w:val="FootnoteReference"/>
          <w:rFonts w:ascii="Arial" w:hAnsi="Arial" w:cs="Arial"/>
        </w:rPr>
        <w:footnoteRef/>
      </w:r>
      <w:r w:rsidRPr="006154D6">
        <w:rPr>
          <w:rFonts w:ascii="Arial" w:hAnsi="Arial" w:cs="Arial"/>
        </w:rPr>
        <w:t xml:space="preserve"> </w:t>
      </w:r>
      <w:r w:rsidRPr="006154D6">
        <w:rPr>
          <w:rFonts w:ascii="Arial" w:hAnsi="Arial" w:cs="Arial"/>
          <w:sz w:val="18"/>
          <w:szCs w:val="18"/>
        </w:rPr>
        <w:t>Act 65 of 2002.</w:t>
      </w:r>
    </w:p>
  </w:footnote>
  <w:footnote w:id="5">
    <w:p w14:paraId="0CCFD976" w14:textId="78AFE955" w:rsidR="004D4B2E" w:rsidRPr="00287F5A" w:rsidRDefault="004D4B2E" w:rsidP="00E1055B">
      <w:pPr>
        <w:spacing w:line="240" w:lineRule="auto"/>
        <w:jc w:val="both"/>
        <w:rPr>
          <w:rFonts w:ascii="Arial" w:eastAsia="Times New Roman" w:hAnsi="Arial" w:cs="Arial"/>
          <w:i/>
          <w:color w:val="000000"/>
          <w:sz w:val="18"/>
          <w:szCs w:val="18"/>
          <w:lang w:eastAsia="en-ZA"/>
        </w:rPr>
      </w:pPr>
      <w:r w:rsidRPr="006154D6">
        <w:rPr>
          <w:rStyle w:val="FootnoteReference"/>
          <w:rFonts w:ascii="Arial" w:hAnsi="Arial" w:cs="Arial"/>
          <w:sz w:val="20"/>
          <w:szCs w:val="20"/>
        </w:rPr>
        <w:footnoteRef/>
      </w:r>
      <w:r w:rsidRPr="006154D6">
        <w:rPr>
          <w:rFonts w:ascii="Arial" w:hAnsi="Arial" w:cs="Arial"/>
          <w:sz w:val="20"/>
          <w:szCs w:val="20"/>
        </w:rPr>
        <w:t xml:space="preserve"> </w:t>
      </w:r>
      <w:r w:rsidRPr="006154D6">
        <w:rPr>
          <w:rFonts w:ascii="Arial" w:eastAsia="Times New Roman" w:hAnsi="Arial" w:cs="Arial"/>
          <w:color w:val="000000"/>
          <w:sz w:val="18"/>
          <w:szCs w:val="18"/>
          <w:lang w:eastAsia="en-ZA"/>
        </w:rPr>
        <w:t>In </w:t>
      </w:r>
      <w:proofErr w:type="spellStart"/>
      <w:r w:rsidRPr="006154D6">
        <w:rPr>
          <w:rFonts w:ascii="Arial" w:eastAsia="Times New Roman" w:hAnsi="Arial" w:cs="Arial"/>
          <w:i/>
          <w:iCs/>
          <w:color w:val="000000"/>
          <w:sz w:val="18"/>
          <w:szCs w:val="18"/>
          <w:lang w:eastAsia="en-ZA"/>
        </w:rPr>
        <w:t>Baloyi</w:t>
      </w:r>
      <w:proofErr w:type="spellEnd"/>
      <w:r w:rsidRPr="006154D6">
        <w:rPr>
          <w:rFonts w:ascii="Arial" w:eastAsia="Times New Roman" w:hAnsi="Arial" w:cs="Arial"/>
          <w:i/>
          <w:iCs/>
          <w:color w:val="000000"/>
          <w:sz w:val="18"/>
          <w:szCs w:val="18"/>
          <w:lang w:eastAsia="en-ZA"/>
        </w:rPr>
        <w:t xml:space="preserve"> v Public Protector &amp;</w:t>
      </w:r>
      <w:r w:rsidRPr="00287F5A">
        <w:rPr>
          <w:rFonts w:ascii="Arial" w:eastAsia="Times New Roman" w:hAnsi="Arial" w:cs="Arial"/>
          <w:i/>
          <w:iCs/>
          <w:color w:val="000000"/>
          <w:sz w:val="18"/>
          <w:szCs w:val="18"/>
          <w:lang w:eastAsia="en-ZA"/>
        </w:rPr>
        <w:t xml:space="preserve"> others</w:t>
      </w:r>
      <w:r w:rsidRPr="00287F5A">
        <w:rPr>
          <w:rFonts w:ascii="Arial" w:eastAsia="Times New Roman" w:hAnsi="Arial" w:cs="Arial"/>
          <w:color w:val="000000"/>
          <w:sz w:val="18"/>
          <w:szCs w:val="18"/>
          <w:lang w:eastAsia="en-ZA"/>
        </w:rPr>
        <w:t> </w:t>
      </w:r>
      <w:bookmarkStart w:id="4" w:name="0-0-0-23095"/>
      <w:bookmarkEnd w:id="4"/>
      <w:r w:rsidRPr="00287F5A">
        <w:rPr>
          <w:rFonts w:ascii="Arial" w:eastAsia="Times New Roman" w:hAnsi="Arial" w:cs="Arial"/>
          <w:color w:val="000000"/>
          <w:sz w:val="18"/>
          <w:szCs w:val="18"/>
          <w:lang w:eastAsia="en-ZA"/>
        </w:rPr>
        <w:t xml:space="preserve">2021 (2) BCLR 101 (CC); [2021] 4 BLLR 325 (CC); (2021) 42 ILJ 961 (CC); 2022 (3) SA 321 (CC), the Constitutional Court said the following: </w:t>
      </w:r>
      <w:proofErr w:type="gramStart"/>
      <w:r w:rsidRPr="00287F5A">
        <w:rPr>
          <w:rFonts w:ascii="Arial" w:eastAsia="Times New Roman" w:hAnsi="Arial" w:cs="Arial"/>
          <w:color w:val="000000"/>
          <w:sz w:val="18"/>
          <w:szCs w:val="18"/>
          <w:lang w:eastAsia="en-ZA"/>
        </w:rPr>
        <w:t>   </w:t>
      </w:r>
      <w:r w:rsidRPr="00287F5A">
        <w:rPr>
          <w:rFonts w:ascii="Arial" w:eastAsia="Times New Roman" w:hAnsi="Arial" w:cs="Arial"/>
          <w:i/>
          <w:color w:val="000000"/>
          <w:sz w:val="18"/>
          <w:szCs w:val="18"/>
          <w:lang w:eastAsia="en-ZA"/>
        </w:rPr>
        <w:t>“</w:t>
      </w:r>
      <w:proofErr w:type="gramEnd"/>
      <w:r w:rsidRPr="00287F5A">
        <w:rPr>
          <w:rFonts w:ascii="Arial" w:eastAsia="Times New Roman" w:hAnsi="Arial" w:cs="Arial"/>
          <w:i/>
          <w:color w:val="000000"/>
          <w:sz w:val="18"/>
          <w:szCs w:val="18"/>
          <w:lang w:eastAsia="en-ZA"/>
        </w:rPr>
        <w:t>[23]  The legislation in terms of which an assignment would be made in the context of the present matter is the LRA. Section 157(1) of the LRA provides for the exclusive jurisdiction of the Labour Court in all matters that — in terms of the LRA or other law — are to be determined by the Labour Court. In doing so, it fulfils one of the stated purposes of the LRA, which is to establish the Labour Court and the Labour Appeal Court as superior courts, with “exclusive jurisdiction to decide </w:t>
      </w:r>
      <w:r w:rsidRPr="00287F5A">
        <w:rPr>
          <w:rFonts w:ascii="Arial" w:eastAsia="Times New Roman" w:hAnsi="Arial" w:cs="Arial"/>
          <w:i/>
          <w:iCs/>
          <w:color w:val="000000"/>
          <w:sz w:val="18"/>
          <w:szCs w:val="18"/>
          <w:lang w:eastAsia="en-ZA"/>
        </w:rPr>
        <w:t>matters arising from the Act</w:t>
      </w:r>
      <w:r w:rsidRPr="00287F5A">
        <w:rPr>
          <w:rFonts w:ascii="Arial" w:eastAsia="Times New Roman" w:hAnsi="Arial" w:cs="Arial"/>
          <w:i/>
          <w:color w:val="000000"/>
          <w:sz w:val="18"/>
          <w:szCs w:val="18"/>
          <w:lang w:eastAsia="en-ZA"/>
        </w:rPr>
        <w:t>” (emphasis added). Section 157(1) reads:</w:t>
      </w:r>
    </w:p>
    <w:p w14:paraId="1CD647AE" w14:textId="77777777" w:rsidR="004D4B2E" w:rsidRPr="00287F5A" w:rsidRDefault="004D4B2E" w:rsidP="00E1055B">
      <w:pPr>
        <w:spacing w:after="0" w:line="240" w:lineRule="auto"/>
        <w:jc w:val="both"/>
        <w:rPr>
          <w:rFonts w:ascii="Arial" w:eastAsia="Times New Roman" w:hAnsi="Arial" w:cs="Arial"/>
          <w:i/>
          <w:color w:val="000000"/>
          <w:sz w:val="18"/>
          <w:szCs w:val="18"/>
          <w:lang w:eastAsia="en-ZA"/>
        </w:rPr>
      </w:pPr>
      <w:r w:rsidRPr="00287F5A">
        <w:rPr>
          <w:rFonts w:ascii="Arial" w:eastAsia="Times New Roman" w:hAnsi="Arial" w:cs="Arial"/>
          <w:i/>
          <w:color w:val="000000"/>
          <w:sz w:val="18"/>
          <w:szCs w:val="18"/>
          <w:lang w:eastAsia="en-ZA"/>
        </w:rPr>
        <w:t>‘Subject to the Constitution and section 173, and except where this Act provides otherwise, the Labour Court has exclusive jurisdiction in respect of all matters that elsewhere in terms of this Act or in terms of any other law are to be determined by the Labour Court.’</w:t>
      </w:r>
    </w:p>
    <w:p w14:paraId="6388A072" w14:textId="77777777" w:rsidR="004D4B2E" w:rsidRPr="00B845EA" w:rsidRDefault="004D4B2E" w:rsidP="00E1055B">
      <w:pPr>
        <w:spacing w:after="0" w:line="240" w:lineRule="auto"/>
        <w:jc w:val="both"/>
        <w:rPr>
          <w:rFonts w:ascii="Arial" w:hAnsi="Arial" w:cs="Arial"/>
          <w:sz w:val="20"/>
          <w:szCs w:val="20"/>
        </w:rPr>
      </w:pPr>
      <w:r w:rsidRPr="00287F5A">
        <w:rPr>
          <w:rFonts w:ascii="Arial" w:eastAsia="Times New Roman" w:hAnsi="Arial" w:cs="Arial"/>
          <w:i/>
          <w:color w:val="000000"/>
          <w:sz w:val="18"/>
          <w:szCs w:val="18"/>
          <w:lang w:eastAsia="en-ZA"/>
        </w:rPr>
        <w:t>Sections 68(1), 77(2)</w:t>
      </w:r>
      <w:r w:rsidRPr="00287F5A">
        <w:rPr>
          <w:rFonts w:ascii="Arial" w:eastAsia="Times New Roman" w:hAnsi="Arial" w:cs="Arial"/>
          <w:i/>
          <w:iCs/>
          <w:color w:val="000000"/>
          <w:sz w:val="18"/>
          <w:szCs w:val="18"/>
          <w:lang w:eastAsia="en-ZA"/>
        </w:rPr>
        <w:t>(a)</w:t>
      </w:r>
      <w:r w:rsidRPr="00287F5A">
        <w:rPr>
          <w:rFonts w:ascii="Arial" w:eastAsia="Times New Roman" w:hAnsi="Arial" w:cs="Arial"/>
          <w:i/>
          <w:color w:val="000000"/>
          <w:sz w:val="18"/>
          <w:szCs w:val="18"/>
          <w:lang w:eastAsia="en-ZA"/>
        </w:rPr>
        <w:t xml:space="preserve">, 145 and 191 of the LRA proffer examples of matters that “are to be determined by” the Labour Court and are therefore, by virtue of s 157(1), within the exclusive jurisdiction of the </w:t>
      </w:r>
      <w:r w:rsidRPr="00287F5A">
        <w:rPr>
          <w:rFonts w:ascii="Arial" w:eastAsia="Times New Roman" w:hAnsi="Arial" w:cs="Arial"/>
          <w:i/>
          <w:sz w:val="18"/>
          <w:szCs w:val="18"/>
          <w:lang w:eastAsia="en-ZA"/>
        </w:rPr>
        <w:t>Labour Court. This </w:t>
      </w:r>
      <w:bookmarkStart w:id="5" w:name="LPHit2"/>
      <w:bookmarkEnd w:id="5"/>
      <w:r w:rsidRPr="00287F5A">
        <w:rPr>
          <w:rFonts w:ascii="Arial" w:eastAsia="Times New Roman" w:hAnsi="Arial" w:cs="Arial"/>
          <w:i/>
          <w:sz w:val="18"/>
          <w:szCs w:val="18"/>
          <w:lang w:eastAsia="en-ZA"/>
        </w:rPr>
        <w:t>court has found, moreover, that the </w:t>
      </w:r>
      <w:bookmarkStart w:id="6" w:name="LPHit3"/>
      <w:bookmarkEnd w:id="6"/>
      <w:r w:rsidRPr="00287F5A">
        <w:rPr>
          <w:rFonts w:ascii="Arial" w:eastAsia="Times New Roman" w:hAnsi="Arial" w:cs="Arial"/>
          <w:i/>
          <w:sz w:val="18"/>
          <w:szCs w:val="18"/>
          <w:lang w:eastAsia="en-ZA"/>
        </w:rPr>
        <w:t xml:space="preserve">High Court’s jurisdiction in respect of employment-related disputes is ousted only where the dispute is one for which the LRA creates specific remedies, including, for example, unfair dismissal </w:t>
      </w:r>
      <w:bookmarkStart w:id="7" w:name="LPHit4"/>
      <w:bookmarkEnd w:id="7"/>
      <w:r w:rsidRPr="00287F5A">
        <w:rPr>
          <w:rFonts w:ascii="Arial" w:eastAsia="Times New Roman" w:hAnsi="Arial" w:cs="Arial"/>
          <w:i/>
          <w:sz w:val="18"/>
          <w:szCs w:val="18"/>
          <w:lang w:eastAsia="en-ZA"/>
        </w:rPr>
        <w:t>disputes.”</w:t>
      </w:r>
    </w:p>
  </w:footnote>
  <w:footnote w:id="6">
    <w:p w14:paraId="4E1D5C85" w14:textId="77777777" w:rsidR="004D4B2E" w:rsidRPr="00B845EA" w:rsidRDefault="004D4B2E" w:rsidP="00B845EA">
      <w:pPr>
        <w:pStyle w:val="FootnoteText"/>
        <w:rPr>
          <w:rFonts w:ascii="Arial" w:hAnsi="Arial" w:cs="Arial"/>
        </w:rPr>
      </w:pPr>
      <w:r w:rsidRPr="00B845EA">
        <w:rPr>
          <w:rStyle w:val="FootnoteReference"/>
          <w:rFonts w:ascii="Arial" w:hAnsi="Arial" w:cs="Arial"/>
        </w:rPr>
        <w:footnoteRef/>
      </w:r>
      <w:r w:rsidRPr="00B845EA">
        <w:rPr>
          <w:rFonts w:ascii="Arial" w:hAnsi="Arial" w:cs="Arial"/>
        </w:rPr>
        <w:t xml:space="preserve"> </w:t>
      </w:r>
      <w:r w:rsidRPr="00287F5A">
        <w:rPr>
          <w:rFonts w:ascii="Arial" w:hAnsi="Arial" w:cs="Arial"/>
          <w:sz w:val="18"/>
          <w:szCs w:val="18"/>
        </w:rPr>
        <w:t xml:space="preserve">Section 2 of the LRA provides that the LRA does not apply to members of (a) the National Defence force; (b) the National Intelligence Agency; (c) the South African Secret Service; (d) the South African National Academy of Intelligence; and (e) </w:t>
      </w:r>
      <w:proofErr w:type="spellStart"/>
      <w:r w:rsidRPr="00287F5A">
        <w:rPr>
          <w:rFonts w:ascii="Arial" w:hAnsi="Arial" w:cs="Arial"/>
          <w:sz w:val="18"/>
          <w:szCs w:val="18"/>
        </w:rPr>
        <w:t>Comsec</w:t>
      </w:r>
      <w:proofErr w:type="spellEnd"/>
      <w:r w:rsidRPr="00287F5A">
        <w:rPr>
          <w:rFonts w:ascii="Arial" w:hAnsi="Arial" w:cs="Arial"/>
          <w:sz w:val="18"/>
          <w:szCs w:val="18"/>
        </w:rPr>
        <w:t>.</w:t>
      </w:r>
      <w:r w:rsidRPr="00B845EA">
        <w:rPr>
          <w:rFonts w:ascii="Arial" w:hAnsi="Arial" w:cs="Arial"/>
        </w:rPr>
        <w:t xml:space="preserve"> </w:t>
      </w:r>
    </w:p>
  </w:footnote>
  <w:footnote w:id="7">
    <w:p w14:paraId="352765A1" w14:textId="77777777" w:rsidR="004D4B2E" w:rsidRPr="00287F5A" w:rsidRDefault="004D4B2E" w:rsidP="006154D6">
      <w:pPr>
        <w:pStyle w:val="FootnoteText"/>
        <w:rPr>
          <w:lang w:val="en-US"/>
        </w:rPr>
      </w:pPr>
      <w:r>
        <w:rPr>
          <w:rStyle w:val="FootnoteReference"/>
        </w:rPr>
        <w:footnoteRef/>
      </w:r>
      <w:r>
        <w:t xml:space="preserve"> </w:t>
      </w:r>
      <w:r>
        <w:rPr>
          <w:lang w:val="en-US"/>
        </w:rPr>
        <w:t>Id at paragraphs 39 -  40.</w:t>
      </w:r>
    </w:p>
  </w:footnote>
  <w:footnote w:id="8">
    <w:p w14:paraId="57734BFB" w14:textId="77777777" w:rsidR="004D4B2E" w:rsidRPr="00287F5A" w:rsidRDefault="004D4B2E" w:rsidP="00096A15">
      <w:pPr>
        <w:pStyle w:val="FootnoteText"/>
        <w:rPr>
          <w:rFonts w:ascii="Arial" w:hAnsi="Arial" w:cs="Arial"/>
          <w:sz w:val="18"/>
          <w:szCs w:val="18"/>
        </w:rPr>
      </w:pPr>
      <w:r w:rsidRPr="00B845EA">
        <w:rPr>
          <w:rStyle w:val="FootnoteReference"/>
          <w:rFonts w:ascii="Arial" w:hAnsi="Arial" w:cs="Arial"/>
        </w:rPr>
        <w:footnoteRef/>
      </w:r>
      <w:r w:rsidRPr="00B845EA">
        <w:rPr>
          <w:rFonts w:ascii="Arial" w:hAnsi="Arial" w:cs="Arial"/>
        </w:rPr>
        <w:t xml:space="preserve"> </w:t>
      </w:r>
      <w:r w:rsidRPr="00287F5A">
        <w:rPr>
          <w:rFonts w:ascii="Arial" w:hAnsi="Arial" w:cs="Arial"/>
          <w:sz w:val="18"/>
          <w:szCs w:val="18"/>
        </w:rPr>
        <w:t>Act 65 of 2002.</w:t>
      </w:r>
    </w:p>
  </w:footnote>
  <w:footnote w:id="9">
    <w:p w14:paraId="7D36CB13" w14:textId="77777777" w:rsidR="004D4B2E" w:rsidRPr="00B845EA" w:rsidRDefault="004D4B2E" w:rsidP="00B845EA">
      <w:pPr>
        <w:pStyle w:val="FootnoteText"/>
        <w:rPr>
          <w:rFonts w:ascii="Arial" w:hAnsi="Arial" w:cs="Arial"/>
        </w:rPr>
      </w:pPr>
      <w:r w:rsidRPr="00B845EA">
        <w:rPr>
          <w:rStyle w:val="FootnoteReference"/>
          <w:rFonts w:ascii="Arial" w:hAnsi="Arial" w:cs="Arial"/>
        </w:rPr>
        <w:footnoteRef/>
      </w:r>
      <w:r w:rsidRPr="00B845EA">
        <w:rPr>
          <w:rFonts w:ascii="Arial" w:hAnsi="Arial" w:cs="Arial"/>
        </w:rPr>
        <w:t xml:space="preserve"> </w:t>
      </w:r>
      <w:r w:rsidRPr="00287F5A">
        <w:rPr>
          <w:rFonts w:ascii="Arial" w:hAnsi="Arial" w:cs="Arial"/>
          <w:sz w:val="18"/>
          <w:szCs w:val="18"/>
        </w:rPr>
        <w:t>Section 15 of the Act.</w:t>
      </w:r>
    </w:p>
  </w:footnote>
  <w:footnote w:id="10">
    <w:p w14:paraId="3A199183" w14:textId="77777777" w:rsidR="004D4B2E" w:rsidRPr="00B845EA" w:rsidRDefault="004D4B2E" w:rsidP="00B845EA">
      <w:pPr>
        <w:pStyle w:val="FootnoteText"/>
        <w:rPr>
          <w:rFonts w:ascii="Arial" w:hAnsi="Arial" w:cs="Arial"/>
        </w:rPr>
      </w:pPr>
      <w:r w:rsidRPr="00B845EA">
        <w:rPr>
          <w:rStyle w:val="FootnoteReference"/>
          <w:rFonts w:ascii="Arial" w:hAnsi="Arial" w:cs="Arial"/>
        </w:rPr>
        <w:footnoteRef/>
      </w:r>
      <w:r w:rsidRPr="00B845EA">
        <w:rPr>
          <w:rFonts w:ascii="Arial" w:hAnsi="Arial" w:cs="Arial"/>
        </w:rPr>
        <w:t xml:space="preserve"> </w:t>
      </w:r>
      <w:r w:rsidRPr="00287F5A">
        <w:rPr>
          <w:rFonts w:ascii="Arial" w:hAnsi="Arial" w:cs="Arial"/>
          <w:sz w:val="18"/>
          <w:szCs w:val="18"/>
        </w:rPr>
        <w:t>Section 16 of the Act.</w:t>
      </w:r>
    </w:p>
  </w:footnote>
  <w:footnote w:id="11">
    <w:p w14:paraId="01F020F1" w14:textId="77777777" w:rsidR="004D4B2E" w:rsidRPr="00B845EA" w:rsidRDefault="004D4B2E" w:rsidP="00B845EA">
      <w:pPr>
        <w:pStyle w:val="FootnoteText"/>
        <w:rPr>
          <w:rFonts w:ascii="Arial" w:hAnsi="Arial" w:cs="Arial"/>
        </w:rPr>
      </w:pPr>
      <w:r w:rsidRPr="00B845EA">
        <w:rPr>
          <w:rStyle w:val="FootnoteReference"/>
          <w:rFonts w:ascii="Arial" w:hAnsi="Arial" w:cs="Arial"/>
        </w:rPr>
        <w:footnoteRef/>
      </w:r>
      <w:r w:rsidRPr="00B845EA">
        <w:rPr>
          <w:rFonts w:ascii="Arial" w:hAnsi="Arial" w:cs="Arial"/>
        </w:rPr>
        <w:t xml:space="preserve"> </w:t>
      </w:r>
      <w:r w:rsidRPr="00287F5A">
        <w:rPr>
          <w:rFonts w:ascii="Arial" w:hAnsi="Arial" w:cs="Arial"/>
          <w:sz w:val="18"/>
          <w:szCs w:val="18"/>
        </w:rPr>
        <w:t>Section 17 of the Act.</w:t>
      </w:r>
    </w:p>
  </w:footnote>
  <w:footnote w:id="12">
    <w:p w14:paraId="742C6290" w14:textId="77777777" w:rsidR="004D4B2E" w:rsidRPr="00B845EA" w:rsidRDefault="004D4B2E" w:rsidP="00B845EA">
      <w:pPr>
        <w:pStyle w:val="FootnoteText"/>
        <w:rPr>
          <w:rFonts w:ascii="Arial" w:hAnsi="Arial" w:cs="Arial"/>
        </w:rPr>
      </w:pPr>
      <w:r w:rsidRPr="00B845EA">
        <w:rPr>
          <w:rStyle w:val="FootnoteReference"/>
          <w:rFonts w:ascii="Arial" w:hAnsi="Arial" w:cs="Arial"/>
        </w:rPr>
        <w:footnoteRef/>
      </w:r>
      <w:r w:rsidRPr="00B845EA">
        <w:rPr>
          <w:rFonts w:ascii="Arial" w:hAnsi="Arial" w:cs="Arial"/>
        </w:rPr>
        <w:t xml:space="preserve"> </w:t>
      </w:r>
      <w:r w:rsidRPr="00287F5A">
        <w:rPr>
          <w:rFonts w:ascii="Arial" w:hAnsi="Arial" w:cs="Arial"/>
          <w:sz w:val="18"/>
          <w:szCs w:val="18"/>
        </w:rPr>
        <w:t>Section 18 of the Act.</w:t>
      </w:r>
    </w:p>
  </w:footnote>
  <w:footnote w:id="13">
    <w:p w14:paraId="65CE242D" w14:textId="77777777" w:rsidR="004D4B2E" w:rsidRDefault="004D4B2E">
      <w:pPr>
        <w:pStyle w:val="FootnoteText"/>
      </w:pPr>
      <w:r>
        <w:rPr>
          <w:rStyle w:val="FootnoteReference"/>
        </w:rPr>
        <w:footnoteRef/>
      </w:r>
      <w:r>
        <w:t xml:space="preserve"> </w:t>
      </w:r>
      <w:r w:rsidRPr="00287F5A">
        <w:rPr>
          <w:rFonts w:ascii="Arial" w:hAnsi="Arial" w:cs="Arial"/>
          <w:sz w:val="18"/>
          <w:szCs w:val="18"/>
        </w:rPr>
        <w:t>As was found to be the case in</w:t>
      </w:r>
      <w:r w:rsidRPr="00287F5A">
        <w:rPr>
          <w:sz w:val="18"/>
          <w:szCs w:val="18"/>
        </w:rPr>
        <w:t xml:space="preserve"> </w:t>
      </w:r>
      <w:proofErr w:type="spellStart"/>
      <w:r w:rsidRPr="00287F5A">
        <w:rPr>
          <w:rFonts w:ascii="Arial" w:eastAsia="Times New Roman" w:hAnsi="Arial" w:cs="Arial"/>
          <w:bCs/>
          <w:i/>
          <w:color w:val="000000"/>
          <w:sz w:val="18"/>
          <w:szCs w:val="18"/>
          <w:lang w:eastAsia="en-ZA"/>
        </w:rPr>
        <w:t>Grootboom</w:t>
      </w:r>
      <w:proofErr w:type="spellEnd"/>
      <w:r w:rsidRPr="00287F5A">
        <w:rPr>
          <w:rFonts w:ascii="Arial" w:eastAsia="Times New Roman" w:hAnsi="Arial" w:cs="Arial"/>
          <w:bCs/>
          <w:i/>
          <w:color w:val="000000"/>
          <w:sz w:val="18"/>
          <w:szCs w:val="18"/>
          <w:lang w:eastAsia="en-ZA"/>
        </w:rPr>
        <w:t> v National Prosecuting Authority &amp; another (</w:t>
      </w:r>
      <w:r w:rsidRPr="00287F5A">
        <w:rPr>
          <w:rFonts w:ascii="Arial" w:eastAsia="Times New Roman" w:hAnsi="Arial" w:cs="Arial"/>
          <w:bCs/>
          <w:color w:val="000000"/>
          <w:sz w:val="18"/>
          <w:szCs w:val="18"/>
          <w:lang w:eastAsia="en-ZA"/>
        </w:rPr>
        <w:t>2014) 35 ILJ 121 (CC) (“</w:t>
      </w:r>
      <w:proofErr w:type="spellStart"/>
      <w:r w:rsidRPr="00287F5A">
        <w:rPr>
          <w:rFonts w:ascii="Arial" w:eastAsia="Times New Roman" w:hAnsi="Arial" w:cs="Arial"/>
          <w:bCs/>
          <w:color w:val="000000"/>
          <w:sz w:val="18"/>
          <w:szCs w:val="18"/>
          <w:lang w:eastAsia="en-ZA"/>
        </w:rPr>
        <w:t>Grootboom</w:t>
      </w:r>
      <w:proofErr w:type="spellEnd"/>
      <w:r w:rsidRPr="00287F5A">
        <w:rPr>
          <w:rFonts w:ascii="Arial" w:eastAsia="Times New Roman" w:hAnsi="Arial" w:cs="Arial"/>
          <w:bCs/>
          <w:color w:val="000000"/>
          <w:sz w:val="18"/>
          <w:szCs w:val="18"/>
          <w:lang w:eastAsia="en-ZA"/>
        </w:rPr>
        <w:t>”).</w:t>
      </w:r>
    </w:p>
  </w:footnote>
  <w:footnote w:id="14">
    <w:p w14:paraId="304EB87A" w14:textId="77777777" w:rsidR="004D4B2E" w:rsidRPr="00B845EA" w:rsidRDefault="004D4B2E" w:rsidP="00D21F12">
      <w:pPr>
        <w:spacing w:after="0" w:line="240" w:lineRule="auto"/>
        <w:jc w:val="both"/>
        <w:rPr>
          <w:rFonts w:ascii="Arial" w:hAnsi="Arial" w:cs="Arial"/>
        </w:rPr>
      </w:pPr>
      <w:r w:rsidRPr="00B845EA">
        <w:rPr>
          <w:rStyle w:val="FootnoteReference"/>
          <w:rFonts w:ascii="Arial" w:hAnsi="Arial" w:cs="Arial"/>
          <w:sz w:val="20"/>
          <w:szCs w:val="20"/>
        </w:rPr>
        <w:footnoteRef/>
      </w:r>
      <w:r w:rsidRPr="00B845EA">
        <w:rPr>
          <w:rFonts w:ascii="Arial" w:hAnsi="Arial" w:cs="Arial"/>
          <w:sz w:val="20"/>
          <w:szCs w:val="20"/>
        </w:rPr>
        <w:t xml:space="preserve"> </w:t>
      </w:r>
      <w:r w:rsidRPr="00287F5A">
        <w:rPr>
          <w:rFonts w:ascii="Arial" w:hAnsi="Arial" w:cs="Arial"/>
          <w:sz w:val="18"/>
          <w:szCs w:val="18"/>
        </w:rPr>
        <w:t xml:space="preserve">This was confirmed by the court in </w:t>
      </w:r>
      <w:r w:rsidRPr="00287F5A">
        <w:rPr>
          <w:rFonts w:ascii="Arial" w:eastAsia="Times New Roman" w:hAnsi="Arial" w:cs="Arial"/>
          <w:bCs/>
          <w:i/>
          <w:color w:val="000000"/>
          <w:sz w:val="18"/>
          <w:szCs w:val="18"/>
          <w:lang w:eastAsia="en-ZA"/>
        </w:rPr>
        <w:t xml:space="preserve">Minister van </w:t>
      </w:r>
      <w:proofErr w:type="spellStart"/>
      <w:r w:rsidRPr="00287F5A">
        <w:rPr>
          <w:rFonts w:ascii="Arial" w:eastAsia="Times New Roman" w:hAnsi="Arial" w:cs="Arial"/>
          <w:bCs/>
          <w:i/>
          <w:color w:val="000000"/>
          <w:sz w:val="18"/>
          <w:szCs w:val="18"/>
          <w:lang w:eastAsia="en-ZA"/>
        </w:rPr>
        <w:t>Onderwys</w:t>
      </w:r>
      <w:proofErr w:type="spellEnd"/>
      <w:r w:rsidRPr="00287F5A">
        <w:rPr>
          <w:rFonts w:ascii="Arial" w:eastAsia="Times New Roman" w:hAnsi="Arial" w:cs="Arial"/>
          <w:bCs/>
          <w:i/>
          <w:color w:val="000000"/>
          <w:sz w:val="18"/>
          <w:szCs w:val="18"/>
          <w:lang w:eastAsia="en-ZA"/>
        </w:rPr>
        <w:t xml:space="preserve"> </w:t>
      </w:r>
      <w:proofErr w:type="spellStart"/>
      <w:r w:rsidRPr="00287F5A">
        <w:rPr>
          <w:rFonts w:ascii="Arial" w:eastAsia="Times New Roman" w:hAnsi="Arial" w:cs="Arial"/>
          <w:bCs/>
          <w:i/>
          <w:color w:val="000000"/>
          <w:sz w:val="18"/>
          <w:szCs w:val="18"/>
          <w:lang w:eastAsia="en-ZA"/>
        </w:rPr>
        <w:t>en</w:t>
      </w:r>
      <w:proofErr w:type="spellEnd"/>
      <w:r w:rsidRPr="00287F5A">
        <w:rPr>
          <w:rFonts w:ascii="Arial" w:eastAsia="Times New Roman" w:hAnsi="Arial" w:cs="Arial"/>
          <w:bCs/>
          <w:i/>
          <w:color w:val="000000"/>
          <w:sz w:val="18"/>
          <w:szCs w:val="18"/>
          <w:lang w:eastAsia="en-ZA"/>
        </w:rPr>
        <w:t xml:space="preserve"> </w:t>
      </w:r>
      <w:proofErr w:type="spellStart"/>
      <w:r w:rsidRPr="00287F5A">
        <w:rPr>
          <w:rFonts w:ascii="Arial" w:eastAsia="Times New Roman" w:hAnsi="Arial" w:cs="Arial"/>
          <w:bCs/>
          <w:i/>
          <w:color w:val="000000"/>
          <w:sz w:val="18"/>
          <w:szCs w:val="18"/>
          <w:lang w:eastAsia="en-ZA"/>
        </w:rPr>
        <w:t>Kultuur</w:t>
      </w:r>
      <w:proofErr w:type="spellEnd"/>
      <w:r w:rsidRPr="00287F5A">
        <w:rPr>
          <w:rFonts w:ascii="Arial" w:eastAsia="Times New Roman" w:hAnsi="Arial" w:cs="Arial"/>
          <w:bCs/>
          <w:i/>
          <w:color w:val="000000"/>
          <w:sz w:val="18"/>
          <w:szCs w:val="18"/>
          <w:lang w:eastAsia="en-ZA"/>
        </w:rPr>
        <w:t xml:space="preserve"> </w:t>
      </w:r>
      <w:proofErr w:type="spellStart"/>
      <w:r w:rsidRPr="00287F5A">
        <w:rPr>
          <w:rFonts w:ascii="Arial" w:eastAsia="Times New Roman" w:hAnsi="Arial" w:cs="Arial"/>
          <w:bCs/>
          <w:i/>
          <w:color w:val="000000"/>
          <w:sz w:val="18"/>
          <w:szCs w:val="18"/>
          <w:lang w:eastAsia="en-ZA"/>
        </w:rPr>
        <w:t>en</w:t>
      </w:r>
      <w:proofErr w:type="spellEnd"/>
      <w:r w:rsidRPr="00287F5A">
        <w:rPr>
          <w:rFonts w:ascii="Arial" w:eastAsia="Times New Roman" w:hAnsi="Arial" w:cs="Arial"/>
          <w:bCs/>
          <w:i/>
          <w:color w:val="000000"/>
          <w:sz w:val="18"/>
          <w:szCs w:val="18"/>
          <w:lang w:eastAsia="en-ZA"/>
        </w:rPr>
        <w:t xml:space="preserve"> </w:t>
      </w:r>
      <w:proofErr w:type="spellStart"/>
      <w:r w:rsidRPr="00287F5A">
        <w:rPr>
          <w:rFonts w:ascii="Arial" w:eastAsia="Times New Roman" w:hAnsi="Arial" w:cs="Arial"/>
          <w:bCs/>
          <w:i/>
          <w:color w:val="000000"/>
          <w:sz w:val="18"/>
          <w:szCs w:val="18"/>
          <w:lang w:eastAsia="en-ZA"/>
        </w:rPr>
        <w:t>andere</w:t>
      </w:r>
      <w:proofErr w:type="spellEnd"/>
      <w:r w:rsidRPr="00287F5A">
        <w:rPr>
          <w:rFonts w:ascii="Arial" w:eastAsia="Times New Roman" w:hAnsi="Arial" w:cs="Arial"/>
          <w:bCs/>
          <w:i/>
          <w:color w:val="000000"/>
          <w:sz w:val="18"/>
          <w:szCs w:val="18"/>
          <w:lang w:eastAsia="en-ZA"/>
        </w:rPr>
        <w:t xml:space="preserve"> v Louw</w:t>
      </w:r>
      <w:r w:rsidRPr="00287F5A">
        <w:rPr>
          <w:rFonts w:ascii="Arial" w:eastAsia="Times New Roman" w:hAnsi="Arial" w:cs="Arial"/>
          <w:bCs/>
          <w:color w:val="000000"/>
          <w:sz w:val="18"/>
          <w:szCs w:val="18"/>
          <w:lang w:eastAsia="en-ZA"/>
        </w:rPr>
        <w:t xml:space="preserve"> 1995 (4) SA 383 (A) as follows: </w:t>
      </w:r>
      <w:r w:rsidRPr="00287F5A">
        <w:rPr>
          <w:rFonts w:ascii="Arial" w:eastAsia="Times New Roman" w:hAnsi="Arial" w:cs="Arial"/>
          <w:bCs/>
          <w:i/>
          <w:color w:val="000000"/>
          <w:sz w:val="18"/>
          <w:szCs w:val="18"/>
          <w:lang w:eastAsia="en-ZA"/>
        </w:rPr>
        <w:t>“</w:t>
      </w:r>
      <w:r w:rsidRPr="00287F5A">
        <w:rPr>
          <w:rFonts w:ascii="Arial" w:eastAsia="Times New Roman" w:hAnsi="Arial" w:cs="Arial"/>
          <w:i/>
          <w:color w:val="000000"/>
          <w:sz w:val="18"/>
          <w:szCs w:val="18"/>
          <w:lang w:eastAsia="en-ZA"/>
        </w:rPr>
        <w:t>There is then no question of a review of an administrative decision. The coming into operation of the deeming provision is not dependent upon any decision. There is no room for reliance on the </w:t>
      </w:r>
      <w:proofErr w:type="spellStart"/>
      <w:r w:rsidRPr="00287F5A">
        <w:rPr>
          <w:rFonts w:ascii="Arial" w:eastAsia="Times New Roman" w:hAnsi="Arial" w:cs="Arial"/>
          <w:i/>
          <w:iCs/>
          <w:color w:val="000000"/>
          <w:sz w:val="18"/>
          <w:szCs w:val="18"/>
          <w:lang w:eastAsia="en-ZA"/>
        </w:rPr>
        <w:t>audi</w:t>
      </w:r>
      <w:proofErr w:type="spellEnd"/>
      <w:r w:rsidRPr="00287F5A">
        <w:rPr>
          <w:rFonts w:ascii="Arial" w:eastAsia="Times New Roman" w:hAnsi="Arial" w:cs="Arial"/>
          <w:i/>
          <w:iCs/>
          <w:color w:val="000000"/>
          <w:sz w:val="18"/>
          <w:szCs w:val="18"/>
          <w:lang w:eastAsia="en-ZA"/>
        </w:rPr>
        <w:t xml:space="preserve"> </w:t>
      </w:r>
      <w:proofErr w:type="spellStart"/>
      <w:r w:rsidRPr="00287F5A">
        <w:rPr>
          <w:rFonts w:ascii="Arial" w:eastAsia="Times New Roman" w:hAnsi="Arial" w:cs="Arial"/>
          <w:i/>
          <w:iCs/>
          <w:color w:val="000000"/>
          <w:sz w:val="18"/>
          <w:szCs w:val="18"/>
          <w:lang w:eastAsia="en-ZA"/>
        </w:rPr>
        <w:t>alteram</w:t>
      </w:r>
      <w:proofErr w:type="spellEnd"/>
      <w:r w:rsidRPr="00287F5A">
        <w:rPr>
          <w:rFonts w:ascii="Arial" w:eastAsia="Times New Roman" w:hAnsi="Arial" w:cs="Arial"/>
          <w:i/>
          <w:iCs/>
          <w:color w:val="000000"/>
          <w:sz w:val="18"/>
          <w:szCs w:val="18"/>
          <w:lang w:eastAsia="en-ZA"/>
        </w:rPr>
        <w:t xml:space="preserve"> </w:t>
      </w:r>
      <w:proofErr w:type="spellStart"/>
      <w:r w:rsidRPr="00287F5A">
        <w:rPr>
          <w:rFonts w:ascii="Arial" w:eastAsia="Times New Roman" w:hAnsi="Arial" w:cs="Arial"/>
          <w:i/>
          <w:iCs/>
          <w:color w:val="000000"/>
          <w:sz w:val="18"/>
          <w:szCs w:val="18"/>
          <w:lang w:eastAsia="en-ZA"/>
        </w:rPr>
        <w:t>partem</w:t>
      </w:r>
      <w:proofErr w:type="spellEnd"/>
      <w:r w:rsidRPr="00287F5A">
        <w:rPr>
          <w:rFonts w:ascii="Arial" w:eastAsia="Times New Roman" w:hAnsi="Arial" w:cs="Arial"/>
          <w:i/>
          <w:color w:val="000000"/>
          <w:sz w:val="18"/>
          <w:szCs w:val="18"/>
          <w:lang w:eastAsia="en-ZA"/>
        </w:rPr>
        <w:t> rule which in its classic formulation is applicable when an administrative - and discretionary - discretion may detrimentally affect the rights, privileges or liberty of a person.</w:t>
      </w:r>
      <w:r w:rsidRPr="00287F5A">
        <w:rPr>
          <w:rFonts w:ascii="Arial" w:eastAsia="Times New Roman" w:hAnsi="Arial" w:cs="Arial"/>
          <w:color w:val="000000"/>
          <w:sz w:val="18"/>
          <w:szCs w:val="18"/>
          <w:lang w:eastAsia="en-ZA"/>
        </w:rPr>
        <w:t>” (Quoted from the headnote.)</w:t>
      </w:r>
    </w:p>
  </w:footnote>
  <w:footnote w:id="15">
    <w:p w14:paraId="5707E9E6" w14:textId="77777777" w:rsidR="004D4B2E" w:rsidRPr="00B845EA" w:rsidRDefault="004D4B2E" w:rsidP="00B845EA">
      <w:pPr>
        <w:pStyle w:val="FootnoteText"/>
        <w:rPr>
          <w:rFonts w:ascii="Arial" w:hAnsi="Arial" w:cs="Arial"/>
        </w:rPr>
      </w:pPr>
      <w:r w:rsidRPr="00B845EA">
        <w:rPr>
          <w:rStyle w:val="FootnoteReference"/>
          <w:rFonts w:ascii="Arial" w:hAnsi="Arial" w:cs="Arial"/>
        </w:rPr>
        <w:footnoteRef/>
      </w:r>
      <w:r w:rsidRPr="00B845EA">
        <w:rPr>
          <w:rFonts w:ascii="Arial" w:hAnsi="Arial" w:cs="Arial"/>
        </w:rPr>
        <w:t xml:space="preserve"> </w:t>
      </w:r>
      <w:r w:rsidRPr="00287F5A">
        <w:rPr>
          <w:rFonts w:ascii="Arial" w:hAnsi="Arial" w:cs="Arial"/>
          <w:sz w:val="18"/>
          <w:szCs w:val="18"/>
        </w:rPr>
        <w:t>Act 103 of 1994.</w:t>
      </w:r>
    </w:p>
  </w:footnote>
  <w:footnote w:id="16">
    <w:p w14:paraId="65A504A1" w14:textId="77777777" w:rsidR="004D4B2E" w:rsidRPr="00B845EA" w:rsidRDefault="004D4B2E" w:rsidP="00B845EA">
      <w:pPr>
        <w:pStyle w:val="FootnoteText"/>
        <w:rPr>
          <w:rFonts w:ascii="Arial" w:hAnsi="Arial" w:cs="Arial"/>
        </w:rPr>
      </w:pPr>
      <w:r w:rsidRPr="00B845EA">
        <w:rPr>
          <w:rStyle w:val="FootnoteReference"/>
          <w:rFonts w:ascii="Arial" w:hAnsi="Arial" w:cs="Arial"/>
        </w:rPr>
        <w:footnoteRef/>
      </w:r>
      <w:r w:rsidRPr="00B845EA">
        <w:rPr>
          <w:rFonts w:ascii="Arial" w:hAnsi="Arial" w:cs="Arial"/>
        </w:rPr>
        <w:t xml:space="preserve"> </w:t>
      </w:r>
      <w:r w:rsidRPr="00287F5A">
        <w:rPr>
          <w:rFonts w:ascii="Arial" w:hAnsi="Arial" w:cs="Arial"/>
          <w:sz w:val="18"/>
          <w:szCs w:val="18"/>
        </w:rPr>
        <w:t>Act 76 of 1998.</w:t>
      </w:r>
    </w:p>
  </w:footnote>
  <w:footnote w:id="17">
    <w:p w14:paraId="06AF79CC" w14:textId="77777777" w:rsidR="004D4B2E" w:rsidRPr="00287F5A" w:rsidRDefault="004D4B2E" w:rsidP="00B845EA">
      <w:pPr>
        <w:spacing w:after="0" w:line="240" w:lineRule="auto"/>
        <w:jc w:val="both"/>
        <w:rPr>
          <w:rFonts w:ascii="Arial" w:eastAsia="Times New Roman" w:hAnsi="Arial" w:cs="Arial"/>
          <w:i/>
          <w:color w:val="000000"/>
          <w:sz w:val="18"/>
          <w:szCs w:val="18"/>
          <w:lang w:eastAsia="en-ZA"/>
        </w:rPr>
      </w:pPr>
      <w:r w:rsidRPr="00B845EA">
        <w:rPr>
          <w:rStyle w:val="FootnoteReference"/>
          <w:rFonts w:ascii="Arial" w:hAnsi="Arial" w:cs="Arial"/>
          <w:sz w:val="20"/>
          <w:szCs w:val="20"/>
        </w:rPr>
        <w:footnoteRef/>
      </w:r>
      <w:r w:rsidRPr="00B845EA">
        <w:rPr>
          <w:rFonts w:ascii="Arial" w:hAnsi="Arial" w:cs="Arial"/>
          <w:sz w:val="20"/>
          <w:szCs w:val="20"/>
        </w:rPr>
        <w:t xml:space="preserve"> </w:t>
      </w:r>
      <w:r w:rsidRPr="00287F5A">
        <w:rPr>
          <w:rFonts w:ascii="Arial" w:hAnsi="Arial" w:cs="Arial"/>
          <w:sz w:val="18"/>
          <w:szCs w:val="18"/>
        </w:rPr>
        <w:t xml:space="preserve">The Constitutional Court in </w:t>
      </w:r>
      <w:proofErr w:type="spellStart"/>
      <w:r w:rsidRPr="00287F5A">
        <w:rPr>
          <w:rFonts w:ascii="Arial" w:hAnsi="Arial" w:cs="Arial"/>
          <w:sz w:val="18"/>
          <w:szCs w:val="18"/>
        </w:rPr>
        <w:t>Grootboom</w:t>
      </w:r>
      <w:proofErr w:type="spellEnd"/>
      <w:r w:rsidRPr="00287F5A">
        <w:rPr>
          <w:rFonts w:ascii="Arial" w:hAnsi="Arial" w:cs="Arial"/>
          <w:sz w:val="18"/>
          <w:szCs w:val="18"/>
        </w:rPr>
        <w:t xml:space="preserve"> </w:t>
      </w:r>
      <w:r w:rsidRPr="00287F5A">
        <w:rPr>
          <w:rFonts w:ascii="Arial" w:hAnsi="Arial" w:cs="Arial"/>
          <w:i/>
          <w:sz w:val="18"/>
          <w:szCs w:val="18"/>
        </w:rPr>
        <w:t>supra</w:t>
      </w:r>
      <w:r w:rsidRPr="00287F5A">
        <w:rPr>
          <w:rFonts w:ascii="Arial" w:hAnsi="Arial" w:cs="Arial"/>
          <w:sz w:val="18"/>
          <w:szCs w:val="18"/>
        </w:rPr>
        <w:t xml:space="preserve"> held as follows</w:t>
      </w:r>
      <w:r w:rsidRPr="00287F5A">
        <w:rPr>
          <w:rFonts w:ascii="Arial" w:eastAsia="Times New Roman" w:hAnsi="Arial" w:cs="Arial"/>
          <w:bCs/>
          <w:color w:val="000000"/>
          <w:sz w:val="18"/>
          <w:szCs w:val="18"/>
          <w:lang w:eastAsia="en-ZA"/>
        </w:rPr>
        <w:t xml:space="preserve">: </w:t>
      </w:r>
      <w:r w:rsidRPr="00287F5A">
        <w:rPr>
          <w:rFonts w:ascii="Arial" w:eastAsia="Times New Roman" w:hAnsi="Arial" w:cs="Arial"/>
          <w:bCs/>
          <w:i/>
          <w:color w:val="000000"/>
          <w:sz w:val="18"/>
          <w:szCs w:val="18"/>
          <w:lang w:eastAsia="en-ZA"/>
        </w:rPr>
        <w:t>“</w:t>
      </w:r>
      <w:r w:rsidRPr="00287F5A">
        <w:rPr>
          <w:rFonts w:ascii="Arial" w:eastAsia="Times New Roman" w:hAnsi="Arial" w:cs="Arial"/>
          <w:i/>
          <w:color w:val="000000"/>
          <w:sz w:val="18"/>
          <w:szCs w:val="18"/>
          <w:lang w:eastAsia="en-ZA"/>
        </w:rPr>
        <w:t>[16] Some 11 years after </w:t>
      </w:r>
      <w:r w:rsidRPr="00287F5A">
        <w:rPr>
          <w:rFonts w:ascii="Arial" w:eastAsia="Times New Roman" w:hAnsi="Arial" w:cs="Arial"/>
          <w:i/>
          <w:iCs/>
          <w:color w:val="000000"/>
          <w:sz w:val="18"/>
          <w:szCs w:val="18"/>
          <w:lang w:eastAsia="en-ZA"/>
        </w:rPr>
        <w:t>Louw,</w:t>
      </w:r>
      <w:r w:rsidRPr="00287F5A">
        <w:rPr>
          <w:rFonts w:ascii="Arial" w:eastAsia="Times New Roman" w:hAnsi="Arial" w:cs="Arial"/>
          <w:i/>
          <w:color w:val="000000"/>
          <w:sz w:val="18"/>
          <w:szCs w:val="18"/>
          <w:lang w:eastAsia="en-ZA"/>
        </w:rPr>
        <w:t> whilst dealing with a similar situation, the Supreme Court of Appeal in </w:t>
      </w:r>
      <w:proofErr w:type="spellStart"/>
      <w:r w:rsidRPr="00287F5A">
        <w:rPr>
          <w:rFonts w:ascii="Arial" w:eastAsia="Times New Roman" w:hAnsi="Arial" w:cs="Arial"/>
          <w:i/>
          <w:iCs/>
          <w:color w:val="000000"/>
          <w:sz w:val="18"/>
          <w:szCs w:val="18"/>
          <w:lang w:eastAsia="en-ZA"/>
        </w:rPr>
        <w:t>Phenithi</w:t>
      </w:r>
      <w:proofErr w:type="spellEnd"/>
      <w:r w:rsidRPr="00287F5A">
        <w:rPr>
          <w:rFonts w:ascii="Arial" w:eastAsia="Times New Roman" w:hAnsi="Arial" w:cs="Arial"/>
          <w:i/>
          <w:color w:val="000000"/>
          <w:sz w:val="18"/>
          <w:szCs w:val="18"/>
          <w:lang w:eastAsia="en-ZA"/>
        </w:rPr>
        <w:t> endorsed </w:t>
      </w:r>
      <w:r w:rsidRPr="00287F5A">
        <w:rPr>
          <w:rFonts w:ascii="Arial" w:eastAsia="Times New Roman" w:hAnsi="Arial" w:cs="Arial"/>
          <w:i/>
          <w:iCs/>
          <w:color w:val="000000"/>
          <w:sz w:val="18"/>
          <w:szCs w:val="18"/>
          <w:lang w:eastAsia="en-ZA"/>
        </w:rPr>
        <w:t>Louw</w:t>
      </w:r>
      <w:r w:rsidRPr="00287F5A">
        <w:rPr>
          <w:rFonts w:ascii="Arial" w:eastAsia="Times New Roman" w:hAnsi="Arial" w:cs="Arial"/>
          <w:i/>
          <w:color w:val="000000"/>
          <w:sz w:val="18"/>
          <w:szCs w:val="18"/>
          <w:lang w:eastAsia="en-ZA"/>
        </w:rPr>
        <w:t>:</w:t>
      </w:r>
    </w:p>
    <w:p w14:paraId="14E02A67" w14:textId="77777777" w:rsidR="004D4B2E" w:rsidRPr="00287F5A" w:rsidRDefault="004D4B2E" w:rsidP="00B845EA">
      <w:pPr>
        <w:spacing w:after="0" w:line="240" w:lineRule="auto"/>
        <w:jc w:val="both"/>
        <w:rPr>
          <w:rFonts w:ascii="Arial" w:eastAsia="Times New Roman" w:hAnsi="Arial" w:cs="Arial"/>
          <w:i/>
          <w:color w:val="000000"/>
          <w:sz w:val="18"/>
          <w:szCs w:val="18"/>
          <w:lang w:eastAsia="en-ZA"/>
        </w:rPr>
      </w:pPr>
      <w:r w:rsidRPr="00287F5A">
        <w:rPr>
          <w:rFonts w:ascii="Arial" w:eastAsia="Times New Roman" w:hAnsi="Arial" w:cs="Arial"/>
          <w:i/>
          <w:color w:val="000000"/>
          <w:sz w:val="18"/>
          <w:szCs w:val="18"/>
          <w:lang w:eastAsia="en-ZA"/>
        </w:rPr>
        <w:t>'In my view, the </w:t>
      </w:r>
      <w:r w:rsidRPr="00287F5A">
        <w:rPr>
          <w:rFonts w:ascii="Arial" w:eastAsia="Times New Roman" w:hAnsi="Arial" w:cs="Arial"/>
          <w:i/>
          <w:iCs/>
          <w:color w:val="000000"/>
          <w:sz w:val="18"/>
          <w:szCs w:val="18"/>
          <w:lang w:eastAsia="en-ZA"/>
        </w:rPr>
        <w:t>Louw</w:t>
      </w:r>
      <w:r w:rsidRPr="00287F5A">
        <w:rPr>
          <w:rFonts w:ascii="Arial" w:eastAsia="Times New Roman" w:hAnsi="Arial" w:cs="Arial"/>
          <w:i/>
          <w:color w:val="000000"/>
          <w:sz w:val="18"/>
          <w:szCs w:val="18"/>
          <w:lang w:eastAsia="en-ZA"/>
        </w:rPr>
        <w:t xml:space="preserve"> judgment is definitive of the first issue in the present matter, </w:t>
      </w:r>
      <w:proofErr w:type="spellStart"/>
      <w:r w:rsidRPr="00287F5A">
        <w:rPr>
          <w:rFonts w:ascii="Arial" w:eastAsia="Times New Roman" w:hAnsi="Arial" w:cs="Arial"/>
          <w:i/>
          <w:color w:val="000000"/>
          <w:sz w:val="18"/>
          <w:szCs w:val="18"/>
          <w:lang w:eastAsia="en-ZA"/>
        </w:rPr>
        <w:t>viz</w:t>
      </w:r>
      <w:proofErr w:type="spellEnd"/>
      <w:r w:rsidRPr="00287F5A">
        <w:rPr>
          <w:rFonts w:ascii="Arial" w:eastAsia="Times New Roman" w:hAnsi="Arial" w:cs="Arial"/>
          <w:i/>
          <w:color w:val="000000"/>
          <w:sz w:val="18"/>
          <w:szCs w:val="18"/>
          <w:lang w:eastAsia="en-ZA"/>
        </w:rPr>
        <w:t xml:space="preserve"> whether the appellant's discharge constitutes an administrative act…. There was no suggestion that </w:t>
      </w:r>
      <w:r w:rsidRPr="00287F5A">
        <w:rPr>
          <w:rFonts w:ascii="Arial" w:eastAsia="Times New Roman" w:hAnsi="Arial" w:cs="Arial"/>
          <w:i/>
          <w:iCs/>
          <w:color w:val="000000"/>
          <w:sz w:val="18"/>
          <w:szCs w:val="18"/>
          <w:lang w:eastAsia="en-ZA"/>
        </w:rPr>
        <w:t>Louw</w:t>
      </w:r>
      <w:r w:rsidRPr="00287F5A">
        <w:rPr>
          <w:rFonts w:ascii="Arial" w:eastAsia="Times New Roman" w:hAnsi="Arial" w:cs="Arial"/>
          <w:i/>
          <w:color w:val="000000"/>
          <w:sz w:val="18"/>
          <w:szCs w:val="18"/>
          <w:lang w:eastAsia="en-ZA"/>
        </w:rPr>
        <w:t xml:space="preserve"> was wrongly decided. There being no "decision" or "administrative act" capable of review and setting aside, the second part of the first prayer in </w:t>
      </w:r>
      <w:proofErr w:type="spellStart"/>
      <w:r w:rsidRPr="00287F5A">
        <w:rPr>
          <w:rFonts w:ascii="Arial" w:eastAsia="Times New Roman" w:hAnsi="Arial" w:cs="Arial"/>
          <w:i/>
          <w:color w:val="000000"/>
          <w:sz w:val="18"/>
          <w:szCs w:val="18"/>
          <w:lang w:eastAsia="en-ZA"/>
        </w:rPr>
        <w:t>casu</w:t>
      </w:r>
      <w:proofErr w:type="spellEnd"/>
      <w:r w:rsidRPr="00287F5A">
        <w:rPr>
          <w:rFonts w:ascii="Arial" w:eastAsia="Times New Roman" w:hAnsi="Arial" w:cs="Arial"/>
          <w:i/>
          <w:color w:val="000000"/>
          <w:sz w:val="18"/>
          <w:szCs w:val="18"/>
          <w:lang w:eastAsia="en-ZA"/>
        </w:rPr>
        <w:t xml:space="preserve">, </w:t>
      </w:r>
      <w:proofErr w:type="spellStart"/>
      <w:r w:rsidRPr="00287F5A">
        <w:rPr>
          <w:rFonts w:ascii="Arial" w:eastAsia="Times New Roman" w:hAnsi="Arial" w:cs="Arial"/>
          <w:i/>
          <w:color w:val="000000"/>
          <w:sz w:val="18"/>
          <w:szCs w:val="18"/>
          <w:lang w:eastAsia="en-ZA"/>
        </w:rPr>
        <w:t>viz</w:t>
      </w:r>
      <w:proofErr w:type="spellEnd"/>
      <w:r w:rsidRPr="00287F5A">
        <w:rPr>
          <w:rFonts w:ascii="Arial" w:eastAsia="Times New Roman" w:hAnsi="Arial" w:cs="Arial"/>
          <w:i/>
          <w:color w:val="000000"/>
          <w:sz w:val="18"/>
          <w:szCs w:val="18"/>
          <w:lang w:eastAsia="en-ZA"/>
        </w:rPr>
        <w:t xml:space="preserve"> that the "decision be declared an unfair labour practice", falls away.' </w:t>
      </w:r>
      <w:bookmarkStart w:id="13" w:name="0-0-0-298385"/>
      <w:bookmarkEnd w:id="13"/>
    </w:p>
    <w:p w14:paraId="76C77A18" w14:textId="77777777" w:rsidR="004D4B2E" w:rsidRPr="00B845EA" w:rsidRDefault="004D4B2E" w:rsidP="00D21F12">
      <w:pPr>
        <w:spacing w:after="0" w:line="240" w:lineRule="auto"/>
        <w:jc w:val="both"/>
        <w:rPr>
          <w:rFonts w:ascii="Arial" w:hAnsi="Arial" w:cs="Arial"/>
        </w:rPr>
      </w:pPr>
      <w:r w:rsidRPr="00287F5A">
        <w:rPr>
          <w:rFonts w:ascii="Arial" w:eastAsia="Times New Roman" w:hAnsi="Arial" w:cs="Arial"/>
          <w:i/>
          <w:color w:val="000000"/>
          <w:sz w:val="18"/>
          <w:szCs w:val="18"/>
          <w:lang w:eastAsia="en-ZA"/>
        </w:rPr>
        <w:t>I cannot fault the Labour Court and Labour Appeal Court for relying on the principle established in the two cases cited above.”</w:t>
      </w:r>
    </w:p>
  </w:footnote>
  <w:footnote w:id="18">
    <w:p w14:paraId="5DA3F243" w14:textId="77777777" w:rsidR="004D4B2E" w:rsidRPr="00B845EA" w:rsidRDefault="004D4B2E" w:rsidP="00B845EA">
      <w:pPr>
        <w:pStyle w:val="FootnoteText"/>
        <w:rPr>
          <w:rFonts w:ascii="Arial" w:hAnsi="Arial" w:cs="Arial"/>
        </w:rPr>
      </w:pPr>
      <w:r w:rsidRPr="00B845EA">
        <w:rPr>
          <w:rStyle w:val="FootnoteReference"/>
          <w:rFonts w:ascii="Arial" w:hAnsi="Arial" w:cs="Arial"/>
        </w:rPr>
        <w:footnoteRef/>
      </w:r>
      <w:r w:rsidRPr="00B845EA">
        <w:rPr>
          <w:rFonts w:ascii="Arial" w:hAnsi="Arial" w:cs="Arial"/>
        </w:rPr>
        <w:t xml:space="preserve"> </w:t>
      </w:r>
      <w:r w:rsidRPr="00287F5A">
        <w:rPr>
          <w:rFonts w:ascii="Arial" w:hAnsi="Arial" w:cs="Arial"/>
          <w:sz w:val="18"/>
          <w:szCs w:val="18"/>
        </w:rPr>
        <w:t>In this matter, the court, however, found on the facts that the jurisdictional requirements for the operation of this section were not present as the employee was suspended. The court therefore held that it could not be concluded that he was not absent without leave.</w:t>
      </w:r>
    </w:p>
  </w:footnote>
  <w:footnote w:id="19">
    <w:p w14:paraId="7591E4CE" w14:textId="77777777" w:rsidR="004D4B2E" w:rsidRPr="00B845EA" w:rsidRDefault="004D4B2E" w:rsidP="00B845EA">
      <w:pPr>
        <w:tabs>
          <w:tab w:val="left" w:pos="-1440"/>
        </w:tabs>
        <w:spacing w:line="240" w:lineRule="auto"/>
        <w:jc w:val="both"/>
        <w:rPr>
          <w:rFonts w:ascii="Arial" w:hAnsi="Arial" w:cs="Arial"/>
          <w:sz w:val="20"/>
          <w:szCs w:val="20"/>
        </w:rPr>
      </w:pPr>
      <w:r w:rsidRPr="00B845EA">
        <w:rPr>
          <w:rStyle w:val="FootnoteReference"/>
          <w:rFonts w:ascii="Arial" w:hAnsi="Arial" w:cs="Arial"/>
          <w:sz w:val="20"/>
          <w:szCs w:val="20"/>
        </w:rPr>
        <w:footnoteRef/>
      </w:r>
      <w:r w:rsidRPr="00B845EA">
        <w:rPr>
          <w:rFonts w:ascii="Arial" w:hAnsi="Arial" w:cs="Arial"/>
          <w:sz w:val="20"/>
          <w:szCs w:val="20"/>
        </w:rPr>
        <w:t xml:space="preserve"> </w:t>
      </w:r>
      <w:r w:rsidRPr="00287F5A">
        <w:rPr>
          <w:rFonts w:ascii="Arial" w:eastAsia="Times New Roman" w:hAnsi="Arial" w:cs="Arial"/>
          <w:sz w:val="18"/>
          <w:szCs w:val="18"/>
          <w:lang w:val="en-GB"/>
        </w:rPr>
        <w:t xml:space="preserve">JR1453/06: </w:t>
      </w:r>
      <w:r w:rsidRPr="00287F5A">
        <w:rPr>
          <w:rFonts w:ascii="Arial" w:eastAsia="Times New Roman" w:hAnsi="Arial" w:cs="Arial"/>
          <w:i/>
          <w:sz w:val="18"/>
          <w:szCs w:val="18"/>
          <w:lang w:val="en-GB"/>
        </w:rPr>
        <w:t>“17. It is trite that the deeming provisions as envisaged in terms of section 17(5)(a)(</w:t>
      </w:r>
      <w:proofErr w:type="spellStart"/>
      <w:r w:rsidRPr="00287F5A">
        <w:rPr>
          <w:rFonts w:ascii="Arial" w:eastAsia="Times New Roman" w:hAnsi="Arial" w:cs="Arial"/>
          <w:i/>
          <w:sz w:val="18"/>
          <w:szCs w:val="18"/>
          <w:lang w:val="en-GB"/>
        </w:rPr>
        <w:t>i</w:t>
      </w:r>
      <w:proofErr w:type="spellEnd"/>
      <w:r w:rsidRPr="00287F5A">
        <w:rPr>
          <w:rFonts w:ascii="Arial" w:eastAsia="Times New Roman" w:hAnsi="Arial" w:cs="Arial"/>
          <w:i/>
          <w:sz w:val="18"/>
          <w:szCs w:val="18"/>
          <w:lang w:val="en-GB"/>
        </w:rPr>
        <w:t>) or corresponding 17(3)(a)(</w:t>
      </w:r>
      <w:proofErr w:type="spellStart"/>
      <w:r w:rsidRPr="00287F5A">
        <w:rPr>
          <w:rFonts w:ascii="Arial" w:eastAsia="Times New Roman" w:hAnsi="Arial" w:cs="Arial"/>
          <w:i/>
          <w:sz w:val="18"/>
          <w:szCs w:val="18"/>
          <w:lang w:val="en-GB"/>
        </w:rPr>
        <w:t>i</w:t>
      </w:r>
      <w:proofErr w:type="spellEnd"/>
      <w:r w:rsidRPr="00287F5A">
        <w:rPr>
          <w:rFonts w:ascii="Arial" w:eastAsia="Times New Roman" w:hAnsi="Arial" w:cs="Arial"/>
          <w:i/>
          <w:sz w:val="18"/>
          <w:szCs w:val="18"/>
          <w:lang w:val="en-GB"/>
        </w:rPr>
        <w:t>) of the PSA do not constitute a decision which is reviewable in a court of law and is accordingly not reviewable. The requirements of section 17(5)(a)(</w:t>
      </w:r>
      <w:proofErr w:type="spellStart"/>
      <w:r w:rsidRPr="00287F5A">
        <w:rPr>
          <w:rFonts w:ascii="Arial" w:eastAsia="Times New Roman" w:hAnsi="Arial" w:cs="Arial"/>
          <w:i/>
          <w:sz w:val="18"/>
          <w:szCs w:val="18"/>
          <w:lang w:val="en-GB"/>
        </w:rPr>
        <w:t>i</w:t>
      </w:r>
      <w:proofErr w:type="spellEnd"/>
      <w:r w:rsidRPr="00287F5A">
        <w:rPr>
          <w:rFonts w:ascii="Arial" w:eastAsia="Times New Roman" w:hAnsi="Arial" w:cs="Arial"/>
          <w:i/>
          <w:sz w:val="18"/>
          <w:szCs w:val="18"/>
          <w:lang w:val="en-GB"/>
        </w:rPr>
        <w:t xml:space="preserve">) of the PSA have been shown to exist and the applicant cannot challenge her discharge on review since this is by operation of law. The applicant has not made out a case for the review of the decision of 16 October 2007 or for a </w:t>
      </w:r>
      <w:proofErr w:type="spellStart"/>
      <w:r w:rsidRPr="00287F5A">
        <w:rPr>
          <w:rFonts w:ascii="Arial" w:eastAsia="Times New Roman" w:hAnsi="Arial" w:cs="Arial"/>
          <w:i/>
          <w:sz w:val="18"/>
          <w:szCs w:val="18"/>
          <w:lang w:val="en-GB"/>
        </w:rPr>
        <w:t>declarator</w:t>
      </w:r>
      <w:proofErr w:type="spellEnd"/>
      <w:r w:rsidRPr="00287F5A">
        <w:rPr>
          <w:rFonts w:ascii="Arial" w:eastAsia="Times New Roman" w:hAnsi="Arial" w:cs="Arial"/>
          <w:i/>
          <w:sz w:val="18"/>
          <w:szCs w:val="18"/>
          <w:lang w:val="en-GB"/>
        </w:rPr>
        <w:t>.”</w:t>
      </w:r>
    </w:p>
  </w:footnote>
  <w:footnote w:id="20">
    <w:p w14:paraId="7903A553" w14:textId="77777777" w:rsidR="004D4B2E" w:rsidRPr="00B845EA" w:rsidRDefault="004D4B2E" w:rsidP="00B845EA">
      <w:pPr>
        <w:pStyle w:val="FootnoteText"/>
        <w:rPr>
          <w:rFonts w:ascii="Arial" w:hAnsi="Arial" w:cs="Arial"/>
        </w:rPr>
      </w:pPr>
      <w:r w:rsidRPr="00B845EA">
        <w:rPr>
          <w:rStyle w:val="FootnoteReference"/>
          <w:rFonts w:ascii="Arial" w:hAnsi="Arial" w:cs="Arial"/>
        </w:rPr>
        <w:footnoteRef/>
      </w:r>
      <w:r w:rsidRPr="00B845EA">
        <w:rPr>
          <w:rFonts w:ascii="Arial" w:hAnsi="Arial" w:cs="Arial"/>
        </w:rPr>
        <w:t xml:space="preserve"> </w:t>
      </w:r>
      <w:r w:rsidRPr="00287F5A">
        <w:rPr>
          <w:rFonts w:ascii="Arial" w:eastAsia="Times New Roman" w:hAnsi="Arial" w:cs="Arial"/>
          <w:bCs/>
          <w:color w:val="000000"/>
          <w:sz w:val="18"/>
          <w:szCs w:val="18"/>
          <w:lang w:eastAsia="en-ZA"/>
        </w:rPr>
        <w:t>2008 (1) SA 420 (SCA); (2006) 27 ILJ 477 (SCA).</w:t>
      </w:r>
    </w:p>
  </w:footnote>
  <w:footnote w:id="21">
    <w:p w14:paraId="0DFDD3F5" w14:textId="44665C45" w:rsidR="004D4B2E" w:rsidRPr="00287F5A" w:rsidRDefault="004D4B2E">
      <w:pPr>
        <w:pStyle w:val="FootnoteText"/>
        <w:rPr>
          <w:lang w:val="en-US"/>
        </w:rPr>
      </w:pPr>
      <w:r>
        <w:rPr>
          <w:rStyle w:val="FootnoteReference"/>
        </w:rPr>
        <w:footnoteRef/>
      </w:r>
      <w:r>
        <w:t xml:space="preserve"> </w:t>
      </w:r>
      <w:r w:rsidRPr="00287F5A">
        <w:rPr>
          <w:rFonts w:ascii="Arial" w:hAnsi="Arial" w:cs="Arial"/>
          <w:sz w:val="18"/>
          <w:szCs w:val="18"/>
          <w:lang w:val="en-US"/>
        </w:rPr>
        <w:t>Id at para 9 – 10.</w:t>
      </w:r>
    </w:p>
  </w:footnote>
  <w:footnote w:id="22">
    <w:p w14:paraId="1BEA4FF9" w14:textId="77777777" w:rsidR="004D4B2E" w:rsidRPr="00B845EA" w:rsidRDefault="004D4B2E" w:rsidP="00B845EA">
      <w:pPr>
        <w:pStyle w:val="FootnoteText"/>
        <w:rPr>
          <w:rFonts w:ascii="Arial" w:hAnsi="Arial" w:cs="Arial"/>
        </w:rPr>
      </w:pPr>
      <w:r w:rsidRPr="00B845EA">
        <w:rPr>
          <w:rStyle w:val="FootnoteReference"/>
          <w:rFonts w:ascii="Arial" w:hAnsi="Arial" w:cs="Arial"/>
        </w:rPr>
        <w:footnoteRef/>
      </w:r>
      <w:r w:rsidRPr="00B845EA">
        <w:rPr>
          <w:rFonts w:ascii="Arial" w:hAnsi="Arial" w:cs="Arial"/>
        </w:rPr>
        <w:t xml:space="preserve"> </w:t>
      </w:r>
      <w:r w:rsidRPr="00287F5A">
        <w:rPr>
          <w:rFonts w:ascii="Arial" w:hAnsi="Arial" w:cs="Arial"/>
          <w:sz w:val="18"/>
          <w:szCs w:val="18"/>
        </w:rPr>
        <w:t>Act 3 of 2000.</w:t>
      </w:r>
      <w:r w:rsidRPr="00B845EA">
        <w:rPr>
          <w:rFonts w:ascii="Arial" w:hAnsi="Arial" w:cs="Arial"/>
        </w:rPr>
        <w:t xml:space="preserve"> </w:t>
      </w:r>
    </w:p>
  </w:footnote>
  <w:footnote w:id="23">
    <w:p w14:paraId="070ACFD0" w14:textId="77777777" w:rsidR="004D4B2E" w:rsidRPr="00B845EA" w:rsidRDefault="004D4B2E" w:rsidP="00B845EA">
      <w:pPr>
        <w:pStyle w:val="FootnoteText"/>
        <w:rPr>
          <w:rFonts w:ascii="Arial" w:hAnsi="Arial" w:cs="Arial"/>
        </w:rPr>
      </w:pPr>
      <w:r w:rsidRPr="00B845EA">
        <w:rPr>
          <w:rStyle w:val="FootnoteReference"/>
          <w:rFonts w:ascii="Arial" w:hAnsi="Arial" w:cs="Arial"/>
        </w:rPr>
        <w:footnoteRef/>
      </w:r>
      <w:r w:rsidRPr="00B845EA">
        <w:rPr>
          <w:rFonts w:ascii="Arial" w:hAnsi="Arial" w:cs="Arial"/>
        </w:rPr>
        <w:t xml:space="preserve"> </w:t>
      </w:r>
      <w:r w:rsidRPr="00287F5A">
        <w:rPr>
          <w:rFonts w:ascii="Arial" w:hAnsi="Arial" w:cs="Arial"/>
          <w:sz w:val="18"/>
          <w:szCs w:val="18"/>
        </w:rPr>
        <w:t>Ad para [2].</w:t>
      </w:r>
    </w:p>
  </w:footnote>
  <w:footnote w:id="24">
    <w:p w14:paraId="44D3158F" w14:textId="1090D129" w:rsidR="004D4B2E" w:rsidRPr="00B845EA" w:rsidRDefault="004D4B2E" w:rsidP="00B845EA">
      <w:pPr>
        <w:pStyle w:val="FootnoteText"/>
        <w:rPr>
          <w:rFonts w:ascii="Arial" w:hAnsi="Arial" w:cs="Arial"/>
        </w:rPr>
      </w:pPr>
      <w:r w:rsidRPr="00B845EA">
        <w:rPr>
          <w:rStyle w:val="FootnoteReference"/>
          <w:rFonts w:ascii="Arial" w:hAnsi="Arial" w:cs="Arial"/>
        </w:rPr>
        <w:footnoteRef/>
      </w:r>
      <w:r w:rsidRPr="00B845EA">
        <w:rPr>
          <w:rFonts w:ascii="Arial" w:hAnsi="Arial" w:cs="Arial"/>
        </w:rPr>
        <w:t xml:space="preserve"> </w:t>
      </w:r>
      <w:r w:rsidRPr="00287F5A">
        <w:rPr>
          <w:rFonts w:ascii="Arial" w:hAnsi="Arial" w:cs="Arial"/>
          <w:sz w:val="18"/>
          <w:szCs w:val="18"/>
        </w:rPr>
        <w:t xml:space="preserve">Supra </w:t>
      </w:r>
      <w:r>
        <w:rPr>
          <w:rFonts w:ascii="Arial" w:hAnsi="Arial" w:cs="Arial"/>
          <w:sz w:val="18"/>
          <w:szCs w:val="18"/>
        </w:rPr>
        <w:t>note 21</w:t>
      </w:r>
      <w:r w:rsidRPr="00287F5A">
        <w:rPr>
          <w:rFonts w:ascii="Arial" w:hAnsi="Arial" w:cs="Arial"/>
          <w:sz w:val="18"/>
          <w:szCs w:val="18"/>
        </w:rPr>
        <w:t xml:space="preserve">. See also </w:t>
      </w:r>
      <w:r w:rsidRPr="00287F5A">
        <w:rPr>
          <w:rFonts w:ascii="Arial" w:hAnsi="Arial" w:cs="Arial"/>
          <w:i/>
          <w:sz w:val="18"/>
          <w:szCs w:val="18"/>
        </w:rPr>
        <w:t xml:space="preserve">Member Executive Council for the Department of Education, Western Cape Government v </w:t>
      </w:r>
      <w:proofErr w:type="spellStart"/>
      <w:r w:rsidRPr="00287F5A">
        <w:rPr>
          <w:rFonts w:ascii="Arial" w:hAnsi="Arial" w:cs="Arial"/>
          <w:i/>
          <w:sz w:val="18"/>
          <w:szCs w:val="18"/>
        </w:rPr>
        <w:t>Jetro</w:t>
      </w:r>
      <w:proofErr w:type="spellEnd"/>
      <w:r w:rsidRPr="00287F5A">
        <w:rPr>
          <w:rFonts w:ascii="Arial" w:hAnsi="Arial" w:cs="Arial"/>
          <w:i/>
          <w:sz w:val="18"/>
          <w:szCs w:val="18"/>
        </w:rPr>
        <w:t xml:space="preserve"> NO and another </w:t>
      </w:r>
      <w:r w:rsidRPr="00287F5A">
        <w:rPr>
          <w:rFonts w:ascii="Arial" w:hAnsi="Arial" w:cs="Arial"/>
          <w:sz w:val="18"/>
          <w:szCs w:val="18"/>
        </w:rPr>
        <w:t>2020 JDR 2921 (LAC) ad para [41] where the Labour Court similarly held that a letter informing an employee of his or her deemed discharge by operation of law under s 14(1) of the EEA involves to decision or exercise of public power and thus do not constitute administrative action.</w:t>
      </w:r>
      <w:r>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EC632" w14:textId="77777777" w:rsidR="004D4B2E" w:rsidRDefault="004D4B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EA"/>
    <w:multiLevelType w:val="hybridMultilevel"/>
    <w:tmpl w:val="FC0ACE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2C3A0B"/>
    <w:multiLevelType w:val="hybridMultilevel"/>
    <w:tmpl w:val="F2043CDE"/>
    <w:lvl w:ilvl="0" w:tplc="FE70BCAC">
      <w:start w:val="1"/>
      <w:numFmt w:val="decimal"/>
      <w:lvlText w:val="[%1]"/>
      <w:lvlJc w:val="left"/>
      <w:pPr>
        <w:tabs>
          <w:tab w:val="num" w:pos="0"/>
        </w:tabs>
        <w:ind w:left="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3" w15:restartNumberingAfterBreak="0">
    <w:nsid w:val="0EFC0906"/>
    <w:multiLevelType w:val="hybridMultilevel"/>
    <w:tmpl w:val="BAEC83C0"/>
    <w:lvl w:ilvl="0" w:tplc="DF80D7D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814532E"/>
    <w:multiLevelType w:val="hybridMultilevel"/>
    <w:tmpl w:val="86E43B10"/>
    <w:lvl w:ilvl="0" w:tplc="4E1E370C">
      <w:start w:val="1"/>
      <w:numFmt w:val="decimal"/>
      <w:lvlText w:val="[%1]"/>
      <w:lvlJc w:val="left"/>
      <w:pPr>
        <w:tabs>
          <w:tab w:val="num" w:pos="0"/>
        </w:tabs>
        <w:ind w:left="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FC12AC9"/>
    <w:multiLevelType w:val="hybridMultilevel"/>
    <w:tmpl w:val="F3D82B20"/>
    <w:lvl w:ilvl="0" w:tplc="FEC8DC2A">
      <w:start w:val="1"/>
      <w:numFmt w:val="decimal"/>
      <w:lvlText w:val="[%1]"/>
      <w:lvlJc w:val="left"/>
      <w:pPr>
        <w:ind w:left="216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33144678"/>
    <w:multiLevelType w:val="hybridMultilevel"/>
    <w:tmpl w:val="72604A8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60F2942"/>
    <w:multiLevelType w:val="hybridMultilevel"/>
    <w:tmpl w:val="2000F4D4"/>
    <w:lvl w:ilvl="0" w:tplc="7B3E8E8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7DC3A4B"/>
    <w:multiLevelType w:val="hybridMultilevel"/>
    <w:tmpl w:val="8B98EC22"/>
    <w:lvl w:ilvl="0" w:tplc="FE70BCAC">
      <w:start w:val="1"/>
      <w:numFmt w:val="decimal"/>
      <w:lvlText w:val="[%1]"/>
      <w:lvlJc w:val="left"/>
      <w:pPr>
        <w:tabs>
          <w:tab w:val="num" w:pos="0"/>
        </w:tabs>
        <w:ind w:left="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8CD7B97"/>
    <w:multiLevelType w:val="hybridMultilevel"/>
    <w:tmpl w:val="557290C0"/>
    <w:lvl w:ilvl="0" w:tplc="4E1E370C">
      <w:start w:val="1"/>
      <w:numFmt w:val="decimal"/>
      <w:lvlText w:val="[%1]"/>
      <w:lvlJc w:val="left"/>
      <w:pPr>
        <w:tabs>
          <w:tab w:val="num" w:pos="0"/>
        </w:tabs>
        <w:ind w:left="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E4A0D06"/>
    <w:multiLevelType w:val="hybridMultilevel"/>
    <w:tmpl w:val="646842A4"/>
    <w:lvl w:ilvl="0" w:tplc="343A274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66EC3483"/>
    <w:multiLevelType w:val="hybridMultilevel"/>
    <w:tmpl w:val="AE1C0EA0"/>
    <w:lvl w:ilvl="0" w:tplc="6C44C498">
      <w:start w:val="1"/>
      <w:numFmt w:val="decimal"/>
      <w:lvlText w:val="[%1]"/>
      <w:lvlJc w:val="left"/>
      <w:pPr>
        <w:tabs>
          <w:tab w:val="num" w:pos="0"/>
        </w:tabs>
        <w:ind w:left="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3"/>
  </w:num>
  <w:num w:numId="5">
    <w:abstractNumId w:val="5"/>
  </w:num>
  <w:num w:numId="6">
    <w:abstractNumId w:val="9"/>
  </w:num>
  <w:num w:numId="7">
    <w:abstractNumId w:val="7"/>
  </w:num>
  <w:num w:numId="8">
    <w:abstractNumId w:val="0"/>
  </w:num>
  <w:num w:numId="9">
    <w:abstractNumId w:val="11"/>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D576BDC-4696-46E5-8B77-3A3E4E676409}"/>
    <w:docVar w:name="dgnword-eventsink" w:val="1570878712704"/>
  </w:docVars>
  <w:rsids>
    <w:rsidRoot w:val="00235D21"/>
    <w:rsid w:val="000137BF"/>
    <w:rsid w:val="00024DE8"/>
    <w:rsid w:val="00030CCB"/>
    <w:rsid w:val="0003719D"/>
    <w:rsid w:val="00056714"/>
    <w:rsid w:val="0007030C"/>
    <w:rsid w:val="00071E07"/>
    <w:rsid w:val="00093194"/>
    <w:rsid w:val="00096A15"/>
    <w:rsid w:val="000C0155"/>
    <w:rsid w:val="000D286F"/>
    <w:rsid w:val="000F091F"/>
    <w:rsid w:val="000F2595"/>
    <w:rsid w:val="000F5849"/>
    <w:rsid w:val="000F68C3"/>
    <w:rsid w:val="00111E32"/>
    <w:rsid w:val="00123947"/>
    <w:rsid w:val="00130C4C"/>
    <w:rsid w:val="00132FC8"/>
    <w:rsid w:val="0014348A"/>
    <w:rsid w:val="0016123B"/>
    <w:rsid w:val="001646C8"/>
    <w:rsid w:val="00174EFF"/>
    <w:rsid w:val="001B2F2D"/>
    <w:rsid w:val="001D3227"/>
    <w:rsid w:val="0020166A"/>
    <w:rsid w:val="00235D21"/>
    <w:rsid w:val="0024091E"/>
    <w:rsid w:val="00287F5A"/>
    <w:rsid w:val="002A5541"/>
    <w:rsid w:val="002B0DB3"/>
    <w:rsid w:val="002B6690"/>
    <w:rsid w:val="002D25C7"/>
    <w:rsid w:val="00307352"/>
    <w:rsid w:val="00315550"/>
    <w:rsid w:val="003261FC"/>
    <w:rsid w:val="003549A6"/>
    <w:rsid w:val="00356221"/>
    <w:rsid w:val="00360DBF"/>
    <w:rsid w:val="00362AA2"/>
    <w:rsid w:val="0037524E"/>
    <w:rsid w:val="00380F04"/>
    <w:rsid w:val="00387923"/>
    <w:rsid w:val="003918D9"/>
    <w:rsid w:val="00394FD7"/>
    <w:rsid w:val="003969E2"/>
    <w:rsid w:val="003A7DA0"/>
    <w:rsid w:val="003D320A"/>
    <w:rsid w:val="003D4083"/>
    <w:rsid w:val="0040799E"/>
    <w:rsid w:val="00413C1A"/>
    <w:rsid w:val="00416664"/>
    <w:rsid w:val="00417B33"/>
    <w:rsid w:val="00424316"/>
    <w:rsid w:val="00442CF4"/>
    <w:rsid w:val="00466B9E"/>
    <w:rsid w:val="00482A66"/>
    <w:rsid w:val="00495386"/>
    <w:rsid w:val="004B0436"/>
    <w:rsid w:val="004B7669"/>
    <w:rsid w:val="004C02D8"/>
    <w:rsid w:val="004C4016"/>
    <w:rsid w:val="004C7816"/>
    <w:rsid w:val="004D4B2E"/>
    <w:rsid w:val="004D78EE"/>
    <w:rsid w:val="004E7B0B"/>
    <w:rsid w:val="00510845"/>
    <w:rsid w:val="00511BF6"/>
    <w:rsid w:val="0052413F"/>
    <w:rsid w:val="00524F86"/>
    <w:rsid w:val="00585B07"/>
    <w:rsid w:val="00594541"/>
    <w:rsid w:val="0059753C"/>
    <w:rsid w:val="005A2C2E"/>
    <w:rsid w:val="005A3DFE"/>
    <w:rsid w:val="005A569C"/>
    <w:rsid w:val="005C5933"/>
    <w:rsid w:val="005C76D6"/>
    <w:rsid w:val="006013DF"/>
    <w:rsid w:val="006068DE"/>
    <w:rsid w:val="00613824"/>
    <w:rsid w:val="006154D6"/>
    <w:rsid w:val="00615B93"/>
    <w:rsid w:val="00626EBA"/>
    <w:rsid w:val="0064493C"/>
    <w:rsid w:val="00656698"/>
    <w:rsid w:val="006720AA"/>
    <w:rsid w:val="006730C8"/>
    <w:rsid w:val="006A0863"/>
    <w:rsid w:val="006A3FAD"/>
    <w:rsid w:val="006C2C9A"/>
    <w:rsid w:val="006C61F5"/>
    <w:rsid w:val="006E163C"/>
    <w:rsid w:val="006E711A"/>
    <w:rsid w:val="00712745"/>
    <w:rsid w:val="00714E99"/>
    <w:rsid w:val="00716E87"/>
    <w:rsid w:val="00725D4E"/>
    <w:rsid w:val="007541D2"/>
    <w:rsid w:val="007544C3"/>
    <w:rsid w:val="007568FC"/>
    <w:rsid w:val="007578C4"/>
    <w:rsid w:val="00761CC1"/>
    <w:rsid w:val="007725CA"/>
    <w:rsid w:val="00774D40"/>
    <w:rsid w:val="007834E0"/>
    <w:rsid w:val="00783C04"/>
    <w:rsid w:val="007C287D"/>
    <w:rsid w:val="007D055E"/>
    <w:rsid w:val="007D06ED"/>
    <w:rsid w:val="007D7543"/>
    <w:rsid w:val="007E626C"/>
    <w:rsid w:val="00805F32"/>
    <w:rsid w:val="00827D7F"/>
    <w:rsid w:val="00834BBD"/>
    <w:rsid w:val="0084286B"/>
    <w:rsid w:val="00845FEF"/>
    <w:rsid w:val="00856DCE"/>
    <w:rsid w:val="00882A67"/>
    <w:rsid w:val="00884457"/>
    <w:rsid w:val="008A2A82"/>
    <w:rsid w:val="00901B3A"/>
    <w:rsid w:val="009064BE"/>
    <w:rsid w:val="00922FFC"/>
    <w:rsid w:val="00930273"/>
    <w:rsid w:val="00953830"/>
    <w:rsid w:val="00960C0A"/>
    <w:rsid w:val="0096772B"/>
    <w:rsid w:val="009A7715"/>
    <w:rsid w:val="009B0186"/>
    <w:rsid w:val="009B134A"/>
    <w:rsid w:val="009B1AAD"/>
    <w:rsid w:val="009B6EA6"/>
    <w:rsid w:val="009C322D"/>
    <w:rsid w:val="009E174A"/>
    <w:rsid w:val="00A04ECA"/>
    <w:rsid w:val="00A25E1B"/>
    <w:rsid w:val="00A405A6"/>
    <w:rsid w:val="00A5214C"/>
    <w:rsid w:val="00A54D60"/>
    <w:rsid w:val="00A62609"/>
    <w:rsid w:val="00A65E5B"/>
    <w:rsid w:val="00A729B1"/>
    <w:rsid w:val="00A974E0"/>
    <w:rsid w:val="00AA0103"/>
    <w:rsid w:val="00AB21E4"/>
    <w:rsid w:val="00AD7B0F"/>
    <w:rsid w:val="00AE7EDB"/>
    <w:rsid w:val="00B130EC"/>
    <w:rsid w:val="00B27EFD"/>
    <w:rsid w:val="00B3648F"/>
    <w:rsid w:val="00B66414"/>
    <w:rsid w:val="00B77EA5"/>
    <w:rsid w:val="00B845EA"/>
    <w:rsid w:val="00B85352"/>
    <w:rsid w:val="00B856C1"/>
    <w:rsid w:val="00B92393"/>
    <w:rsid w:val="00B94CB2"/>
    <w:rsid w:val="00BC3E15"/>
    <w:rsid w:val="00BC4A08"/>
    <w:rsid w:val="00BC6165"/>
    <w:rsid w:val="00BE0F3F"/>
    <w:rsid w:val="00BE46BE"/>
    <w:rsid w:val="00C06602"/>
    <w:rsid w:val="00C10125"/>
    <w:rsid w:val="00C14140"/>
    <w:rsid w:val="00C14A47"/>
    <w:rsid w:val="00C2174C"/>
    <w:rsid w:val="00C25BB2"/>
    <w:rsid w:val="00C33938"/>
    <w:rsid w:val="00C3586C"/>
    <w:rsid w:val="00C47C66"/>
    <w:rsid w:val="00CA0955"/>
    <w:rsid w:val="00CB4741"/>
    <w:rsid w:val="00CB74D7"/>
    <w:rsid w:val="00CC27ED"/>
    <w:rsid w:val="00D102FB"/>
    <w:rsid w:val="00D1289A"/>
    <w:rsid w:val="00D21F12"/>
    <w:rsid w:val="00D24757"/>
    <w:rsid w:val="00D33B6B"/>
    <w:rsid w:val="00D40786"/>
    <w:rsid w:val="00D563AF"/>
    <w:rsid w:val="00D57139"/>
    <w:rsid w:val="00D62BC7"/>
    <w:rsid w:val="00D6520D"/>
    <w:rsid w:val="00D67B06"/>
    <w:rsid w:val="00D800B7"/>
    <w:rsid w:val="00DB748F"/>
    <w:rsid w:val="00DD273A"/>
    <w:rsid w:val="00DD4CCA"/>
    <w:rsid w:val="00DF18C2"/>
    <w:rsid w:val="00E1055B"/>
    <w:rsid w:val="00E378E8"/>
    <w:rsid w:val="00E40B8B"/>
    <w:rsid w:val="00E448AA"/>
    <w:rsid w:val="00E505FD"/>
    <w:rsid w:val="00E755B0"/>
    <w:rsid w:val="00E759D0"/>
    <w:rsid w:val="00E875CA"/>
    <w:rsid w:val="00E94125"/>
    <w:rsid w:val="00EA2474"/>
    <w:rsid w:val="00EB0B10"/>
    <w:rsid w:val="00EB0E87"/>
    <w:rsid w:val="00EB66C0"/>
    <w:rsid w:val="00EC758E"/>
    <w:rsid w:val="00EE00C2"/>
    <w:rsid w:val="00EE27C8"/>
    <w:rsid w:val="00EE33A6"/>
    <w:rsid w:val="00F21E20"/>
    <w:rsid w:val="00F22063"/>
    <w:rsid w:val="00F316B4"/>
    <w:rsid w:val="00F52AB5"/>
    <w:rsid w:val="00F56ABE"/>
    <w:rsid w:val="00FA09B3"/>
    <w:rsid w:val="00FA1EC8"/>
    <w:rsid w:val="00FB60FF"/>
    <w:rsid w:val="00FF24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33AF0"/>
  <w15:chartTrackingRefBased/>
  <w15:docId w15:val="{EB865CD1-2ED6-41B7-BEEC-36235394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20D"/>
    <w:pPr>
      <w:ind w:left="720"/>
      <w:contextualSpacing/>
    </w:pPr>
  </w:style>
  <w:style w:type="paragraph" w:styleId="FootnoteText">
    <w:name w:val="footnote text"/>
    <w:basedOn w:val="Normal"/>
    <w:link w:val="FootnoteTextChar"/>
    <w:uiPriority w:val="99"/>
    <w:semiHidden/>
    <w:unhideWhenUsed/>
    <w:rsid w:val="00D652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20D"/>
    <w:rPr>
      <w:sz w:val="20"/>
      <w:szCs w:val="20"/>
    </w:rPr>
  </w:style>
  <w:style w:type="character" w:styleId="FootnoteReference">
    <w:name w:val="footnote reference"/>
    <w:basedOn w:val="DefaultParagraphFont"/>
    <w:uiPriority w:val="99"/>
    <w:semiHidden/>
    <w:unhideWhenUsed/>
    <w:rsid w:val="00D6520D"/>
    <w:rPr>
      <w:vertAlign w:val="superscript"/>
    </w:rPr>
  </w:style>
  <w:style w:type="character" w:styleId="CommentReference">
    <w:name w:val="annotation reference"/>
    <w:basedOn w:val="DefaultParagraphFont"/>
    <w:uiPriority w:val="99"/>
    <w:semiHidden/>
    <w:unhideWhenUsed/>
    <w:rsid w:val="007578C4"/>
    <w:rPr>
      <w:sz w:val="16"/>
      <w:szCs w:val="16"/>
    </w:rPr>
  </w:style>
  <w:style w:type="paragraph" w:styleId="CommentText">
    <w:name w:val="annotation text"/>
    <w:basedOn w:val="Normal"/>
    <w:link w:val="CommentTextChar"/>
    <w:uiPriority w:val="99"/>
    <w:semiHidden/>
    <w:unhideWhenUsed/>
    <w:rsid w:val="007578C4"/>
    <w:pPr>
      <w:spacing w:line="240" w:lineRule="auto"/>
    </w:pPr>
    <w:rPr>
      <w:sz w:val="20"/>
      <w:szCs w:val="20"/>
    </w:rPr>
  </w:style>
  <w:style w:type="character" w:customStyle="1" w:styleId="CommentTextChar">
    <w:name w:val="Comment Text Char"/>
    <w:basedOn w:val="DefaultParagraphFont"/>
    <w:link w:val="CommentText"/>
    <w:uiPriority w:val="99"/>
    <w:semiHidden/>
    <w:rsid w:val="007578C4"/>
    <w:rPr>
      <w:sz w:val="20"/>
      <w:szCs w:val="20"/>
    </w:rPr>
  </w:style>
  <w:style w:type="paragraph" w:styleId="CommentSubject">
    <w:name w:val="annotation subject"/>
    <w:basedOn w:val="CommentText"/>
    <w:next w:val="CommentText"/>
    <w:link w:val="CommentSubjectChar"/>
    <w:uiPriority w:val="99"/>
    <w:semiHidden/>
    <w:unhideWhenUsed/>
    <w:rsid w:val="007578C4"/>
    <w:rPr>
      <w:b/>
      <w:bCs/>
    </w:rPr>
  </w:style>
  <w:style w:type="character" w:customStyle="1" w:styleId="CommentSubjectChar">
    <w:name w:val="Comment Subject Char"/>
    <w:basedOn w:val="CommentTextChar"/>
    <w:link w:val="CommentSubject"/>
    <w:uiPriority w:val="99"/>
    <w:semiHidden/>
    <w:rsid w:val="007578C4"/>
    <w:rPr>
      <w:b/>
      <w:bCs/>
      <w:sz w:val="20"/>
      <w:szCs w:val="20"/>
    </w:rPr>
  </w:style>
  <w:style w:type="paragraph" w:styleId="BalloonText">
    <w:name w:val="Balloon Text"/>
    <w:basedOn w:val="Normal"/>
    <w:link w:val="BalloonTextChar"/>
    <w:uiPriority w:val="99"/>
    <w:semiHidden/>
    <w:unhideWhenUsed/>
    <w:rsid w:val="00757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8C4"/>
    <w:rPr>
      <w:rFonts w:ascii="Segoe UI" w:hAnsi="Segoe UI" w:cs="Segoe UI"/>
      <w:sz w:val="18"/>
      <w:szCs w:val="18"/>
    </w:rPr>
  </w:style>
  <w:style w:type="paragraph" w:customStyle="1" w:styleId="Heading">
    <w:name w:val="Heading"/>
    <w:basedOn w:val="Normal"/>
    <w:next w:val="BodyText"/>
    <w:uiPriority w:val="99"/>
    <w:rsid w:val="00511BF6"/>
    <w:pPr>
      <w:keepNext/>
      <w:widowControl w:val="0"/>
      <w:autoSpaceDE w:val="0"/>
      <w:autoSpaceDN w:val="0"/>
      <w:adjustRightInd w:val="0"/>
      <w:spacing w:before="240" w:after="120" w:line="240" w:lineRule="auto"/>
    </w:pPr>
    <w:rPr>
      <w:rFonts w:ascii="Arial" w:eastAsia="Times New Roman" w:hAnsi="Arial" w:cs="Tahoma"/>
      <w:sz w:val="28"/>
      <w:szCs w:val="28"/>
      <w:lang w:val="en-US"/>
    </w:rPr>
  </w:style>
  <w:style w:type="paragraph" w:styleId="BodyText">
    <w:name w:val="Body Text"/>
    <w:basedOn w:val="Normal"/>
    <w:link w:val="BodyTextChar"/>
    <w:uiPriority w:val="99"/>
    <w:semiHidden/>
    <w:unhideWhenUsed/>
    <w:rsid w:val="00511BF6"/>
    <w:pPr>
      <w:spacing w:after="120"/>
    </w:pPr>
  </w:style>
  <w:style w:type="character" w:customStyle="1" w:styleId="BodyTextChar">
    <w:name w:val="Body Text Char"/>
    <w:basedOn w:val="DefaultParagraphFont"/>
    <w:link w:val="BodyText"/>
    <w:uiPriority w:val="99"/>
    <w:semiHidden/>
    <w:rsid w:val="00511BF6"/>
  </w:style>
  <w:style w:type="paragraph" w:styleId="NormalWeb">
    <w:name w:val="Normal (Web)"/>
    <w:basedOn w:val="Normal"/>
    <w:uiPriority w:val="99"/>
    <w:unhideWhenUsed/>
    <w:rsid w:val="00F56AB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9A7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715"/>
  </w:style>
  <w:style w:type="paragraph" w:styleId="Footer">
    <w:name w:val="footer"/>
    <w:basedOn w:val="Normal"/>
    <w:link w:val="FooterChar"/>
    <w:uiPriority w:val="99"/>
    <w:unhideWhenUsed/>
    <w:rsid w:val="009A7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751581">
      <w:bodyDiv w:val="1"/>
      <w:marLeft w:val="0"/>
      <w:marRight w:val="0"/>
      <w:marTop w:val="0"/>
      <w:marBottom w:val="0"/>
      <w:divBdr>
        <w:top w:val="none" w:sz="0" w:space="0" w:color="auto"/>
        <w:left w:val="none" w:sz="0" w:space="0" w:color="auto"/>
        <w:bottom w:val="none" w:sz="0" w:space="0" w:color="auto"/>
        <w:right w:val="none" w:sz="0" w:space="0" w:color="auto"/>
      </w:divBdr>
      <w:divsChild>
        <w:div w:id="824858498">
          <w:marLeft w:val="0"/>
          <w:marRight w:val="0"/>
          <w:marTop w:val="240"/>
          <w:marBottom w:val="0"/>
          <w:divBdr>
            <w:top w:val="none" w:sz="0" w:space="0" w:color="auto"/>
            <w:left w:val="none" w:sz="0" w:space="0" w:color="auto"/>
            <w:bottom w:val="none" w:sz="0" w:space="0" w:color="auto"/>
            <w:right w:val="none" w:sz="0" w:space="0" w:color="auto"/>
          </w:divBdr>
        </w:div>
        <w:div w:id="1228760912">
          <w:marLeft w:val="0"/>
          <w:marRight w:val="0"/>
          <w:marTop w:val="120"/>
          <w:marBottom w:val="0"/>
          <w:divBdr>
            <w:top w:val="none" w:sz="0" w:space="0" w:color="auto"/>
            <w:left w:val="none" w:sz="0" w:space="0" w:color="auto"/>
            <w:bottom w:val="none" w:sz="0" w:space="0" w:color="auto"/>
            <w:right w:val="none" w:sz="0" w:space="0" w:color="auto"/>
          </w:divBdr>
        </w:div>
        <w:div w:id="70470739">
          <w:marLeft w:val="1134"/>
          <w:marRight w:val="0"/>
          <w:marTop w:val="60"/>
          <w:marBottom w:val="0"/>
          <w:divBdr>
            <w:top w:val="none" w:sz="0" w:space="0" w:color="auto"/>
            <w:left w:val="none" w:sz="0" w:space="0" w:color="auto"/>
            <w:bottom w:val="none" w:sz="0" w:space="0" w:color="auto"/>
            <w:right w:val="none" w:sz="0" w:space="0" w:color="auto"/>
          </w:divBdr>
        </w:div>
        <w:div w:id="447163286">
          <w:marLeft w:val="1134"/>
          <w:marRight w:val="0"/>
          <w:marTop w:val="60"/>
          <w:marBottom w:val="0"/>
          <w:divBdr>
            <w:top w:val="none" w:sz="0" w:space="0" w:color="auto"/>
            <w:left w:val="none" w:sz="0" w:space="0" w:color="auto"/>
            <w:bottom w:val="none" w:sz="0" w:space="0" w:color="auto"/>
            <w:right w:val="none" w:sz="0" w:space="0" w:color="auto"/>
          </w:divBdr>
        </w:div>
        <w:div w:id="824862080">
          <w:marLeft w:val="1134"/>
          <w:marRight w:val="0"/>
          <w:marTop w:val="60"/>
          <w:marBottom w:val="0"/>
          <w:divBdr>
            <w:top w:val="none" w:sz="0" w:space="0" w:color="auto"/>
            <w:left w:val="none" w:sz="0" w:space="0" w:color="auto"/>
            <w:bottom w:val="none" w:sz="0" w:space="0" w:color="auto"/>
            <w:right w:val="none" w:sz="0" w:space="0" w:color="auto"/>
          </w:divBdr>
        </w:div>
        <w:div w:id="1953440398">
          <w:marLeft w:val="0"/>
          <w:marRight w:val="0"/>
          <w:marTop w:val="120"/>
          <w:marBottom w:val="0"/>
          <w:divBdr>
            <w:top w:val="none" w:sz="0" w:space="0" w:color="auto"/>
            <w:left w:val="none" w:sz="0" w:space="0" w:color="auto"/>
            <w:bottom w:val="none" w:sz="0" w:space="0" w:color="auto"/>
            <w:right w:val="none" w:sz="0" w:space="0" w:color="auto"/>
          </w:divBdr>
        </w:div>
        <w:div w:id="913704680">
          <w:marLeft w:val="567"/>
          <w:marRight w:val="567"/>
          <w:marTop w:val="20"/>
          <w:marBottom w:val="20"/>
          <w:divBdr>
            <w:top w:val="none" w:sz="0" w:space="0" w:color="auto"/>
            <w:left w:val="none" w:sz="0" w:space="0" w:color="auto"/>
            <w:bottom w:val="none" w:sz="0" w:space="0" w:color="auto"/>
            <w:right w:val="none" w:sz="0" w:space="0" w:color="auto"/>
          </w:divBdr>
        </w:div>
      </w:divsChild>
    </w:div>
    <w:div w:id="648287072">
      <w:bodyDiv w:val="1"/>
      <w:marLeft w:val="0"/>
      <w:marRight w:val="0"/>
      <w:marTop w:val="0"/>
      <w:marBottom w:val="0"/>
      <w:divBdr>
        <w:top w:val="none" w:sz="0" w:space="0" w:color="auto"/>
        <w:left w:val="none" w:sz="0" w:space="0" w:color="auto"/>
        <w:bottom w:val="none" w:sz="0" w:space="0" w:color="auto"/>
        <w:right w:val="none" w:sz="0" w:space="0" w:color="auto"/>
      </w:divBdr>
      <w:divsChild>
        <w:div w:id="417213393">
          <w:marLeft w:val="0"/>
          <w:marRight w:val="0"/>
          <w:marTop w:val="240"/>
          <w:marBottom w:val="0"/>
          <w:divBdr>
            <w:top w:val="none" w:sz="0" w:space="0" w:color="auto"/>
            <w:left w:val="none" w:sz="0" w:space="0" w:color="auto"/>
            <w:bottom w:val="none" w:sz="0" w:space="0" w:color="auto"/>
            <w:right w:val="none" w:sz="0" w:space="0" w:color="auto"/>
          </w:divBdr>
        </w:div>
        <w:div w:id="153449645">
          <w:marLeft w:val="0"/>
          <w:marRight w:val="0"/>
          <w:marTop w:val="120"/>
          <w:marBottom w:val="0"/>
          <w:divBdr>
            <w:top w:val="none" w:sz="0" w:space="0" w:color="auto"/>
            <w:left w:val="none" w:sz="0" w:space="0" w:color="auto"/>
            <w:bottom w:val="none" w:sz="0" w:space="0" w:color="auto"/>
            <w:right w:val="none" w:sz="0" w:space="0" w:color="auto"/>
          </w:divBdr>
        </w:div>
        <w:div w:id="766270176">
          <w:marLeft w:val="1134"/>
          <w:marRight w:val="0"/>
          <w:marTop w:val="60"/>
          <w:marBottom w:val="0"/>
          <w:divBdr>
            <w:top w:val="none" w:sz="0" w:space="0" w:color="auto"/>
            <w:left w:val="none" w:sz="0" w:space="0" w:color="auto"/>
            <w:bottom w:val="none" w:sz="0" w:space="0" w:color="auto"/>
            <w:right w:val="none" w:sz="0" w:space="0" w:color="auto"/>
          </w:divBdr>
        </w:div>
        <w:div w:id="1459492523">
          <w:marLeft w:val="1134"/>
          <w:marRight w:val="0"/>
          <w:marTop w:val="60"/>
          <w:marBottom w:val="0"/>
          <w:divBdr>
            <w:top w:val="none" w:sz="0" w:space="0" w:color="auto"/>
            <w:left w:val="none" w:sz="0" w:space="0" w:color="auto"/>
            <w:bottom w:val="none" w:sz="0" w:space="0" w:color="auto"/>
            <w:right w:val="none" w:sz="0" w:space="0" w:color="auto"/>
          </w:divBdr>
        </w:div>
      </w:divsChild>
    </w:div>
    <w:div w:id="1536309080">
      <w:bodyDiv w:val="1"/>
      <w:marLeft w:val="0"/>
      <w:marRight w:val="0"/>
      <w:marTop w:val="0"/>
      <w:marBottom w:val="0"/>
      <w:divBdr>
        <w:top w:val="none" w:sz="0" w:space="0" w:color="auto"/>
        <w:left w:val="none" w:sz="0" w:space="0" w:color="auto"/>
        <w:bottom w:val="none" w:sz="0" w:space="0" w:color="auto"/>
        <w:right w:val="none" w:sz="0" w:space="0" w:color="auto"/>
      </w:divBdr>
      <w:divsChild>
        <w:div w:id="1848133912">
          <w:marLeft w:val="0"/>
          <w:marRight w:val="0"/>
          <w:marTop w:val="120"/>
          <w:marBottom w:val="0"/>
          <w:divBdr>
            <w:top w:val="none" w:sz="0" w:space="0" w:color="auto"/>
            <w:left w:val="none" w:sz="0" w:space="0" w:color="auto"/>
            <w:bottom w:val="none" w:sz="0" w:space="0" w:color="auto"/>
            <w:right w:val="none" w:sz="0" w:space="0" w:color="auto"/>
          </w:divBdr>
        </w:div>
        <w:div w:id="1043871446">
          <w:marLeft w:val="1134"/>
          <w:marRight w:val="0"/>
          <w:marTop w:val="60"/>
          <w:marBottom w:val="0"/>
          <w:divBdr>
            <w:top w:val="none" w:sz="0" w:space="0" w:color="auto"/>
            <w:left w:val="none" w:sz="0" w:space="0" w:color="auto"/>
            <w:bottom w:val="none" w:sz="0" w:space="0" w:color="auto"/>
            <w:right w:val="none" w:sz="0" w:space="0" w:color="auto"/>
          </w:divBdr>
        </w:div>
        <w:div w:id="1174339749">
          <w:marLeft w:val="1701"/>
          <w:marRight w:val="0"/>
          <w:marTop w:val="60"/>
          <w:marBottom w:val="0"/>
          <w:divBdr>
            <w:top w:val="none" w:sz="0" w:space="0" w:color="auto"/>
            <w:left w:val="none" w:sz="0" w:space="0" w:color="auto"/>
            <w:bottom w:val="none" w:sz="0" w:space="0" w:color="auto"/>
            <w:right w:val="none" w:sz="0" w:space="0" w:color="auto"/>
          </w:divBdr>
        </w:div>
        <w:div w:id="1289045696">
          <w:marLeft w:val="1134"/>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footnotes.xml.rels><?xml version="1.0" encoding="UTF-8" standalone="yes"?>
<Relationships xmlns="http://schemas.openxmlformats.org/package/2006/relationships"><Relationship Id="rId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843647%27%5d&amp;xhitlist_md=target-id=0-0-0-81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E1B7A-BB0A-4F06-A2A3-E15D2EA46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3860</Words>
  <Characters>22006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Annali Basson</dc:creator>
  <cp:keywords/>
  <dc:description/>
  <cp:lastModifiedBy>Esther Rikhotso</cp:lastModifiedBy>
  <cp:revision>2</cp:revision>
  <cp:lastPrinted>2023-10-25T08:20:00Z</cp:lastPrinted>
  <dcterms:created xsi:type="dcterms:W3CDTF">2023-10-25T09:27:00Z</dcterms:created>
  <dcterms:modified xsi:type="dcterms:W3CDTF">2023-10-25T09:27:00Z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5c4d0291357b70016cefeae81807312a92c033a13fb00b13506f2b2294370831</vt:lpwstr>
  </property>
</Properties>
</file>