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6874A" w14:textId="77777777" w:rsidR="00ED2FC5" w:rsidRPr="00B93312" w:rsidRDefault="0098385B" w:rsidP="006008AE">
      <w:pPr>
        <w:spacing w:before="120" w:after="120" w:line="360" w:lineRule="auto"/>
        <w:ind w:left="661" w:hangingChars="236" w:hanging="661"/>
        <w:jc w:val="center"/>
        <w:rPr>
          <w:rFonts w:ascii="Arial" w:hAnsi="Arial" w:cs="Arial"/>
          <w:sz w:val="28"/>
          <w:szCs w:val="28"/>
        </w:rPr>
      </w:pPr>
      <w:bookmarkStart w:id="0" w:name="_GoBack"/>
      <w:bookmarkEnd w:id="0"/>
      <w:r w:rsidRPr="00B93312">
        <w:rPr>
          <w:rFonts w:ascii="Arial" w:hAnsi="Arial" w:cs="Arial"/>
          <w:sz w:val="28"/>
          <w:szCs w:val="28"/>
        </w:rPr>
        <w:t>REPUBLIC OF SOUTH AFRICA</w:t>
      </w:r>
    </w:p>
    <w:p w14:paraId="05F0F043" w14:textId="77777777" w:rsidR="00ED2FC5" w:rsidRPr="00B93312" w:rsidRDefault="0098385B" w:rsidP="00C160A1">
      <w:pPr>
        <w:spacing w:before="120" w:after="120" w:line="360" w:lineRule="auto"/>
        <w:ind w:left="661" w:hangingChars="236" w:hanging="661"/>
        <w:jc w:val="center"/>
        <w:rPr>
          <w:rFonts w:ascii="Arial" w:hAnsi="Arial" w:cs="Arial"/>
          <w:sz w:val="28"/>
          <w:szCs w:val="28"/>
        </w:rPr>
      </w:pPr>
      <w:r w:rsidRPr="00B93312">
        <w:rPr>
          <w:rFonts w:ascii="Arial" w:hAnsi="Arial" w:cs="Arial"/>
          <w:b/>
          <w:noProof/>
          <w:sz w:val="28"/>
          <w:szCs w:val="28"/>
          <w:lang w:eastAsia="en-ZA"/>
        </w:rPr>
        <w:drawing>
          <wp:inline distT="0" distB="0" distL="0" distR="0" wp14:anchorId="080722E6" wp14:editId="14D28183">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3" name="Picture 2" descr="Description: Description: Description: cid:image003.png@01D117DD.26203030"/>
                    <pic:cNvPicPr/>
                  </pic:nvPicPr>
                  <pic:blipFill>
                    <a:blip r:embed="rId11">
                      <a:extLst>
                        <a:ext uri="{BEBA8EAE-BF5A-486C-A8C5-ECC9F3942E4B}">
                          <a14:imgProps xmlns:a14="http://schemas.microsoft.com/office/drawing/2010/main">
                            <a14:imgLayer>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1352550" cy="1352550"/>
                    </a:xfrm>
                    <a:prstGeom prst="rect">
                      <a:avLst/>
                    </a:prstGeom>
                    <a:noFill/>
                    <a:ln>
                      <a:noFill/>
                    </a:ln>
                  </pic:spPr>
                </pic:pic>
              </a:graphicData>
            </a:graphic>
          </wp:inline>
        </w:drawing>
      </w:r>
    </w:p>
    <w:p w14:paraId="073DEDAB" w14:textId="77777777" w:rsidR="00ED2FC5" w:rsidRPr="00B93312" w:rsidRDefault="0098385B" w:rsidP="00C160A1">
      <w:pPr>
        <w:spacing w:before="120" w:after="120" w:line="360" w:lineRule="auto"/>
        <w:ind w:left="661" w:hangingChars="236" w:hanging="661"/>
        <w:jc w:val="center"/>
        <w:rPr>
          <w:rFonts w:ascii="Arial" w:hAnsi="Arial" w:cs="Arial"/>
          <w:sz w:val="28"/>
          <w:szCs w:val="28"/>
        </w:rPr>
      </w:pPr>
      <w:r w:rsidRPr="00B93312">
        <w:rPr>
          <w:rFonts w:ascii="Arial" w:hAnsi="Arial" w:cs="Arial"/>
          <w:sz w:val="28"/>
          <w:szCs w:val="28"/>
        </w:rPr>
        <w:t>IN THE HIGH COURT OF SOUTH AFRICA</w:t>
      </w:r>
    </w:p>
    <w:p w14:paraId="6DD37CDB" w14:textId="77777777" w:rsidR="00ED2FC5" w:rsidRPr="00B93312" w:rsidRDefault="0098385B" w:rsidP="00C160A1">
      <w:pPr>
        <w:spacing w:before="120" w:after="120" w:line="360" w:lineRule="auto"/>
        <w:ind w:left="661" w:hangingChars="236" w:hanging="661"/>
        <w:jc w:val="center"/>
        <w:rPr>
          <w:rFonts w:ascii="Arial" w:hAnsi="Arial" w:cs="Arial"/>
          <w:sz w:val="28"/>
          <w:szCs w:val="28"/>
        </w:rPr>
      </w:pPr>
      <w:r w:rsidRPr="00B93312">
        <w:rPr>
          <w:rFonts w:ascii="Arial" w:hAnsi="Arial" w:cs="Arial"/>
          <w:sz w:val="28"/>
          <w:szCs w:val="28"/>
        </w:rPr>
        <w:t xml:space="preserve">GAUTENG DIVISION, </w:t>
      </w:r>
      <w:r w:rsidR="007E1D08">
        <w:rPr>
          <w:rFonts w:ascii="Arial" w:hAnsi="Arial" w:cs="Arial"/>
          <w:sz w:val="28"/>
          <w:szCs w:val="28"/>
        </w:rPr>
        <w:t>PRETORIA</w:t>
      </w:r>
    </w:p>
    <w:p w14:paraId="6569BF30" w14:textId="77777777" w:rsidR="00713972" w:rsidRPr="002C47AB" w:rsidRDefault="0098385B" w:rsidP="002C47AB">
      <w:pPr>
        <w:pStyle w:val="NormalWeb"/>
        <w:jc w:val="right"/>
      </w:pPr>
      <w:r w:rsidRPr="006704E0">
        <w:rPr>
          <w:rFonts w:ascii="Arial" w:hAnsi="Arial" w:cs="Arial"/>
          <w:lang w:eastAsia="en-GB"/>
        </w:rPr>
        <w:t>CASE NO:</w:t>
      </w:r>
      <w:r w:rsidR="00377FDC" w:rsidRPr="006704E0">
        <w:rPr>
          <w:rFonts w:ascii="Arial" w:hAnsi="Arial" w:cs="Arial"/>
          <w:lang w:eastAsia="en-GB"/>
        </w:rPr>
        <w:t xml:space="preserve"> </w:t>
      </w:r>
      <w:r w:rsidR="002C47AB">
        <w:rPr>
          <w:rFonts w:ascii="ArialMT" w:hAnsi="ArialMT"/>
        </w:rPr>
        <w:t xml:space="preserve">15136/2022 </w:t>
      </w:r>
    </w:p>
    <w:p w14:paraId="24D8885B" w14:textId="77777777" w:rsidR="00665539" w:rsidRPr="00B93312" w:rsidRDefault="0098385B" w:rsidP="002C47AB">
      <w:pPr>
        <w:rPr>
          <w:rFonts w:ascii="Arial" w:hAnsi="Arial" w:cs="Arial"/>
          <w:sz w:val="28"/>
          <w:szCs w:val="28"/>
        </w:rPr>
      </w:pPr>
      <w:r w:rsidRPr="00B93312">
        <w:rPr>
          <w:rFonts w:ascii="Arial" w:hAnsi="Arial" w:cs="Arial"/>
          <w:noProof/>
          <w:lang w:eastAsia="en-ZA"/>
        </w:rPr>
        <mc:AlternateContent>
          <mc:Choice Requires="wps">
            <w:drawing>
              <wp:anchor distT="0" distB="0" distL="114300" distR="114300" simplePos="0" relativeHeight="251658240" behindDoc="0" locked="0" layoutInCell="1" allowOverlap="1" wp14:anchorId="6ABF3BA7" wp14:editId="4560774B">
                <wp:simplePos x="0" y="0"/>
                <wp:positionH relativeFrom="margin">
                  <wp:posOffset>0</wp:posOffset>
                </wp:positionH>
                <wp:positionV relativeFrom="paragraph">
                  <wp:posOffset>117985</wp:posOffset>
                </wp:positionV>
                <wp:extent cx="3232785" cy="1591143"/>
                <wp:effectExtent l="0" t="0" r="1841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591143"/>
                        </a:xfrm>
                        <a:prstGeom prst="rect">
                          <a:avLst/>
                        </a:prstGeom>
                        <a:solidFill>
                          <a:srgbClr val="FFFFFF"/>
                        </a:solidFill>
                        <a:ln w="9525">
                          <a:solidFill>
                            <a:srgbClr val="000000"/>
                          </a:solidFill>
                          <a:miter lim="800000"/>
                          <a:headEnd/>
                          <a:tailEnd/>
                        </a:ln>
                      </wps:spPr>
                      <wps:txbx>
                        <w:txbxContent>
                          <w:p w14:paraId="33D5DC6F" w14:textId="77777777" w:rsidR="000E009C" w:rsidRDefault="000E009C" w:rsidP="00ED2FC5">
                            <w:pPr>
                              <w:jc w:val="center"/>
                              <w:rPr>
                                <w:rFonts w:ascii="Century Gothic" w:hAnsi="Century Gothic"/>
                                <w:b/>
                                <w:sz w:val="20"/>
                                <w:szCs w:val="20"/>
                              </w:rPr>
                            </w:pPr>
                          </w:p>
                          <w:p w14:paraId="2E767055" w14:textId="77777777" w:rsidR="000E009C" w:rsidRDefault="0098385B" w:rsidP="00221ACF">
                            <w:pPr>
                              <w:numPr>
                                <w:ilvl w:val="0"/>
                                <w:numId w:val="1"/>
                              </w:numPr>
                              <w:rPr>
                                <w:rFonts w:ascii="Century Gothic" w:hAnsi="Century Gothic"/>
                                <w:sz w:val="20"/>
                                <w:szCs w:val="20"/>
                              </w:rPr>
                            </w:pPr>
                            <w:r>
                              <w:rPr>
                                <w:rFonts w:ascii="Century Gothic" w:hAnsi="Century Gothic"/>
                                <w:sz w:val="20"/>
                                <w:szCs w:val="20"/>
                              </w:rPr>
                              <w:t xml:space="preserve">REPORTABLE: </w:t>
                            </w:r>
                            <w:r w:rsidR="00037E6B">
                              <w:rPr>
                                <w:rFonts w:ascii="Century Gothic" w:hAnsi="Century Gothic"/>
                                <w:sz w:val="20"/>
                                <w:szCs w:val="20"/>
                              </w:rPr>
                              <w:t>NO</w:t>
                            </w:r>
                          </w:p>
                          <w:p w14:paraId="10C036D6" w14:textId="77777777" w:rsidR="000E009C" w:rsidRDefault="0098385B" w:rsidP="00221ACF">
                            <w:pPr>
                              <w:numPr>
                                <w:ilvl w:val="0"/>
                                <w:numId w:val="1"/>
                              </w:numPr>
                              <w:rPr>
                                <w:rFonts w:ascii="Century Gothic" w:hAnsi="Century Gothic"/>
                                <w:sz w:val="20"/>
                                <w:szCs w:val="20"/>
                              </w:rPr>
                            </w:pPr>
                            <w:r>
                              <w:rPr>
                                <w:rFonts w:ascii="Century Gothic" w:hAnsi="Century Gothic"/>
                                <w:sz w:val="20"/>
                                <w:szCs w:val="20"/>
                              </w:rPr>
                              <w:t xml:space="preserve">OF INTEREST TO OTHER JUDGES: </w:t>
                            </w:r>
                            <w:r w:rsidR="004259A6">
                              <w:rPr>
                                <w:rFonts w:ascii="Century Gothic" w:hAnsi="Century Gothic"/>
                                <w:sz w:val="20"/>
                                <w:szCs w:val="20"/>
                              </w:rPr>
                              <w:t>NO</w:t>
                            </w:r>
                          </w:p>
                          <w:p w14:paraId="39046DEF" w14:textId="77777777" w:rsidR="000E009C" w:rsidRDefault="0098385B" w:rsidP="00221ACF">
                            <w:pPr>
                              <w:numPr>
                                <w:ilvl w:val="0"/>
                                <w:numId w:val="1"/>
                              </w:numPr>
                              <w:rPr>
                                <w:rFonts w:ascii="Century Gothic" w:hAnsi="Century Gothic"/>
                                <w:sz w:val="20"/>
                                <w:szCs w:val="20"/>
                              </w:rPr>
                            </w:pPr>
                            <w:r>
                              <w:rPr>
                                <w:rFonts w:ascii="Century Gothic" w:hAnsi="Century Gothic"/>
                                <w:sz w:val="20"/>
                                <w:szCs w:val="20"/>
                              </w:rPr>
                              <w:t>REVISED: NO</w:t>
                            </w:r>
                          </w:p>
                          <w:p w14:paraId="79FA3A85" w14:textId="77777777" w:rsidR="00447182" w:rsidRDefault="0098385B" w:rsidP="00447182">
                            <w:pPr>
                              <w:ind w:left="180"/>
                              <w:jc w:val="right"/>
                              <w:rPr>
                                <w:rFonts w:ascii="Century Gothic" w:hAnsi="Century Gothic"/>
                                <w:sz w:val="20"/>
                                <w:szCs w:val="20"/>
                              </w:rPr>
                            </w:pPr>
                            <w:r>
                              <w:rPr>
                                <w:noProof/>
                                <w:lang w:eastAsia="en-ZA"/>
                              </w:rPr>
                              <w:drawing>
                                <wp:inline distT="0" distB="0" distL="0" distR="0" wp14:anchorId="63AC3100" wp14:editId="5FE0C7BB">
                                  <wp:extent cx="907446" cy="481965"/>
                                  <wp:effectExtent l="0" t="0" r="0" b="0"/>
                                  <wp:docPr id="2140654182" name="Picture 179682764"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654182" name="Picture 179682764" descr="A close-up of a signature&#10;&#10;Description automatically generated"/>
                                          <pic:cNvPicPr/>
                                        </pic:nvPicPr>
                                        <pic:blipFill>
                                          <a:blip r:embed="rId12">
                                            <a:alphaModFix/>
                                            <a:extLst>
                                              <a:ext uri="{BEBA8EAE-BF5A-486C-A8C5-ECC9F3942E4B}">
                                                <a14:imgProps xmlns:a14="http://schemas.microsoft.com/office/drawing/2010/main">
                                                  <a14:imgLayer>
                                                    <a14:imgEffect>
                                                      <a14:backgroundRemoval t="10000" b="90000" l="10000" r="90000">
                                                        <a14:foregroundMark x1="47598" y1="16571" x2="13100" y2="50286"/>
                                                        <a14:foregroundMark x1="13100" y1="50286" x2="51092" y2="77714"/>
                                                        <a14:foregroundMark x1="51092" y1="77714" x2="89083" y2="61143"/>
                                                        <a14:foregroundMark x1="89083" y1="61143" x2="58515" y2="16571"/>
                                                        <a14:foregroundMark x1="58515" y1="16571" x2="48035" y2="17714"/>
                                                      </a14:backgroundRemoval>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30593" cy="494259"/>
                                          </a:xfrm>
                                          <a:prstGeom prst="rect">
                                            <a:avLst/>
                                          </a:prstGeom>
                                        </pic:spPr>
                                      </pic:pic>
                                    </a:graphicData>
                                  </a:graphic>
                                </wp:inline>
                              </w:drawing>
                            </w:r>
                          </w:p>
                          <w:p w14:paraId="0FA3F236" w14:textId="77777777" w:rsidR="000E009C" w:rsidRDefault="0098385B" w:rsidP="00ED2FC5">
                            <w:pPr>
                              <w:ind w:firstLine="180"/>
                              <w:rPr>
                                <w:rFonts w:ascii="Century Gothic" w:hAnsi="Century Gothic"/>
                                <w:sz w:val="20"/>
                                <w:szCs w:val="20"/>
                              </w:rPr>
                            </w:pPr>
                            <w:r>
                              <w:rPr>
                                <w:rFonts w:ascii="Century Gothic" w:hAnsi="Century Gothic"/>
                                <w:sz w:val="20"/>
                                <w:szCs w:val="20"/>
                              </w:rPr>
                              <w:t xml:space="preserve"> </w:t>
                            </w:r>
                          </w:p>
                          <w:p w14:paraId="1F8FB8B1" w14:textId="77777777" w:rsidR="000E009C" w:rsidRDefault="0098385B" w:rsidP="00ED2FC5">
                            <w:pPr>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21162E">
                              <w:rPr>
                                <w:rFonts w:ascii="Century Gothic" w:hAnsi="Century Gothic"/>
                                <w:sz w:val="20"/>
                                <w:szCs w:val="20"/>
                              </w:rPr>
                              <w:t xml:space="preserve"> </w:t>
                            </w:r>
                            <w:r>
                              <w:rPr>
                                <w:rFonts w:ascii="Century Gothic" w:hAnsi="Century Gothic"/>
                                <w:sz w:val="20"/>
                                <w:szCs w:val="20"/>
                              </w:rPr>
                              <w:t xml:space="preserve"> </w:t>
                            </w:r>
                            <w:r w:rsidR="009E131B">
                              <w:rPr>
                                <w:rFonts w:ascii="Century Gothic" w:hAnsi="Century Gothic"/>
                                <w:sz w:val="20"/>
                                <w:szCs w:val="20"/>
                              </w:rPr>
                              <w:t xml:space="preserve"> </w:t>
                            </w:r>
                            <w:r w:rsidR="006F1606">
                              <w:rPr>
                                <w:rFonts w:ascii="Arial" w:hAnsi="Arial" w:cs="Arial"/>
                              </w:rPr>
                              <w:t>3</w:t>
                            </w:r>
                            <w:r w:rsidR="00455B06">
                              <w:rPr>
                                <w:rFonts w:ascii="Arial" w:hAnsi="Arial" w:cs="Arial"/>
                              </w:rPr>
                              <w:t xml:space="preserve"> November</w:t>
                            </w:r>
                            <w:r w:rsidR="006F20C3">
                              <w:rPr>
                                <w:rFonts w:ascii="Arial" w:hAnsi="Arial" w:cs="Arial"/>
                              </w:rPr>
                              <w:t xml:space="preserve"> 2023</w:t>
                            </w:r>
                          </w:p>
                          <w:p w14:paraId="67AD252E" w14:textId="77777777" w:rsidR="000E009C" w:rsidRDefault="0098385B"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5" type="#_x0000_t202" style="width:254.55pt;height:125.3pt;margin-top:9.3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9264">
                <v:textbox>
                  <w:txbxContent>
                    <w:p w:rsidR="000E009C" w:rsidP="00ED2FC5" w14:paraId="51E35B8E" w14:textId="77777777">
                      <w:pPr>
                        <w:jc w:val="center"/>
                        <w:rPr>
                          <w:rFonts w:ascii="Century Gothic" w:hAnsi="Century Gothic"/>
                          <w:b/>
                          <w:sz w:val="20"/>
                          <w:szCs w:val="20"/>
                        </w:rPr>
                      </w:pPr>
                    </w:p>
                    <w:p w:rsidR="000E009C" w:rsidP="00221ACF" w14:paraId="1A3C262A" w14:textId="77777777">
                      <w:pPr>
                        <w:numPr>
                          <w:ilvl w:val="0"/>
                          <w:numId w:val="1"/>
                        </w:numPr>
                        <w:rPr>
                          <w:rFonts w:ascii="Century Gothic" w:hAnsi="Century Gothic"/>
                          <w:sz w:val="20"/>
                          <w:szCs w:val="20"/>
                        </w:rPr>
                      </w:pPr>
                      <w:r>
                        <w:rPr>
                          <w:rFonts w:ascii="Century Gothic" w:hAnsi="Century Gothic"/>
                          <w:sz w:val="20"/>
                          <w:szCs w:val="20"/>
                        </w:rPr>
                        <w:t xml:space="preserve">REPORTABLE: </w:t>
                      </w:r>
                      <w:r w:rsidR="00037E6B">
                        <w:rPr>
                          <w:rFonts w:ascii="Century Gothic" w:hAnsi="Century Gothic"/>
                          <w:sz w:val="20"/>
                          <w:szCs w:val="20"/>
                        </w:rPr>
                        <w:t>NO</w:t>
                      </w:r>
                    </w:p>
                    <w:p w:rsidR="000E009C" w:rsidP="00221ACF" w14:paraId="1090C8FE" w14:textId="77777777">
                      <w:pPr>
                        <w:numPr>
                          <w:ilvl w:val="0"/>
                          <w:numId w:val="1"/>
                        </w:numPr>
                        <w:rPr>
                          <w:rFonts w:ascii="Century Gothic" w:hAnsi="Century Gothic"/>
                          <w:sz w:val="20"/>
                          <w:szCs w:val="20"/>
                        </w:rPr>
                      </w:pPr>
                      <w:r>
                        <w:rPr>
                          <w:rFonts w:ascii="Century Gothic" w:hAnsi="Century Gothic"/>
                          <w:sz w:val="20"/>
                          <w:szCs w:val="20"/>
                        </w:rPr>
                        <w:t xml:space="preserve">OF INTEREST TO OTHER JUDGES: </w:t>
                      </w:r>
                      <w:r w:rsidR="004259A6">
                        <w:rPr>
                          <w:rFonts w:ascii="Century Gothic" w:hAnsi="Century Gothic"/>
                          <w:sz w:val="20"/>
                          <w:szCs w:val="20"/>
                        </w:rPr>
                        <w:t>NO</w:t>
                      </w:r>
                    </w:p>
                    <w:p w:rsidR="000E009C" w:rsidP="00221ACF" w14:paraId="1D7B6070" w14:textId="77777777">
                      <w:pPr>
                        <w:numPr>
                          <w:ilvl w:val="0"/>
                          <w:numId w:val="1"/>
                        </w:numPr>
                        <w:rPr>
                          <w:rFonts w:ascii="Century Gothic" w:hAnsi="Century Gothic"/>
                          <w:sz w:val="20"/>
                          <w:szCs w:val="20"/>
                        </w:rPr>
                      </w:pPr>
                      <w:r>
                        <w:rPr>
                          <w:rFonts w:ascii="Century Gothic" w:hAnsi="Century Gothic"/>
                          <w:sz w:val="20"/>
                          <w:szCs w:val="20"/>
                        </w:rPr>
                        <w:t>REVISED: NO</w:t>
                      </w:r>
                    </w:p>
                    <w:p w:rsidR="00447182" w:rsidP="00447182" w14:paraId="212F69F4" w14:textId="77777777">
                      <w:pPr>
                        <w:ind w:left="180"/>
                        <w:jc w:val="right"/>
                        <w:rPr>
                          <w:rFonts w:ascii="Century Gothic" w:hAnsi="Century Gothic"/>
                          <w:sz w:val="20"/>
                          <w:szCs w:val="20"/>
                        </w:rPr>
                      </w:pPr>
                      <w:drawing>
                        <wp:inline distT="0" distB="0" distL="0" distR="0">
                          <wp:extent cx="907446" cy="481965"/>
                          <wp:effectExtent l="0" t="0" r="0" b="0"/>
                          <wp:docPr id="1494775267" name="Picture 179682764"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775267" name="Picture 179682764" descr="A close-up of a signature&#10;&#10;Description automatically generated"/>
                                  <pic:cNvPicPr/>
                                </pic:nvPicPr>
                                <pic:blipFill>
                                  <a:blip xmlns:r="http://schemas.openxmlformats.org/officeDocument/2006/relationships" r:embed="rId13">
                                    <a:alphaModFix amt="100000"/>
                                    <a:extLst>
                                      <a:ext xmlns:a="http://schemas.openxmlformats.org/drawingml/2006/main" uri="{BEBA8EAE-BF5A-486C-A8C5-ECC9F3942E4B}">
                                        <a14:imgProps xmlns:a14="http://schemas.microsoft.com/office/drawing/2010/main">
                                          <a14:imgLayer>
                                            <a14:imgEffect>
                                              <a14:backgroundRemoval b="90000" l="10000" r="90000" t="10000">
                                                <a14:foregroundMark x1="47598" x2="13100" y1="16571" y2="50286"/>
                                                <a14:foregroundMark x1="13100" x2="51092" y1="50286" y2="77714"/>
                                                <a14:foregroundMark x1="51092" x2="89083" y1="77714" y2="61143"/>
                                                <a14:foregroundMark x1="89083" x2="58515" y1="61143" y2="16571"/>
                                                <a14:foregroundMark x1="58515" x2="48035" y1="16571" y2="17714"/>
                                              </a14:backgroundRemoval>
                                            </a14:imgEffect>
                                            <a14:imgEffect>
                                              <a14:saturation sat="0"/>
                                            </a14:imgEffect>
                                          </a14:imgLayer>
                                        </a14:imgProps>
                                      </a:ext>
                                      <a:ext xmlns:a="http://schemas.openxmlformats.org/drawingml/2006/main" uri="{28A0092B-C50C-407E-A947-70E740481C1C}">
                                        <a14:useLocalDpi xmlns:a14="http://schemas.microsoft.com/office/drawing/2010/main" val="0"/>
                                      </a:ext>
                                    </a:extLst>
                                  </a:blip>
                                  <a:stretch>
                                    <a:fillRect/>
                                  </a:stretch>
                                </pic:blipFill>
                                <pic:spPr>
                                  <a:xfrm>
                                    <a:off x="0" y="0"/>
                                    <a:ext cx="930593" cy="494259"/>
                                  </a:xfrm>
                                  <a:prstGeom prst="rect">
                                    <a:avLst/>
                                  </a:prstGeom>
                                </pic:spPr>
                              </pic:pic>
                            </a:graphicData>
                          </a:graphic>
                        </wp:inline>
                      </w:drawing>
                    </w:p>
                    <w:p w:rsidR="000E009C" w:rsidP="00ED2FC5" w14:paraId="33007123" w14:textId="77777777">
                      <w:pPr>
                        <w:ind w:firstLine="180"/>
                        <w:rPr>
                          <w:rFonts w:ascii="Century Gothic" w:hAnsi="Century Gothic"/>
                          <w:sz w:val="20"/>
                          <w:szCs w:val="20"/>
                        </w:rPr>
                      </w:pPr>
                      <w:r>
                        <w:rPr>
                          <w:rFonts w:ascii="Century Gothic" w:hAnsi="Century Gothic"/>
                          <w:sz w:val="20"/>
                          <w:szCs w:val="20"/>
                        </w:rPr>
                        <w:t xml:space="preserve"> </w:t>
                      </w:r>
                    </w:p>
                    <w:p w:rsidR="000E009C" w:rsidP="00ED2FC5" w14:paraId="330107BC" w14:textId="28EC9045">
                      <w:pPr>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21162E">
                        <w:rPr>
                          <w:rFonts w:ascii="Century Gothic" w:hAnsi="Century Gothic"/>
                          <w:sz w:val="20"/>
                          <w:szCs w:val="20"/>
                        </w:rPr>
                        <w:t xml:space="preserve"> </w:t>
                      </w:r>
                      <w:r>
                        <w:rPr>
                          <w:rFonts w:ascii="Century Gothic" w:hAnsi="Century Gothic"/>
                          <w:sz w:val="20"/>
                          <w:szCs w:val="20"/>
                        </w:rPr>
                        <w:t xml:space="preserve"> </w:t>
                      </w:r>
                      <w:r w:rsidR="009E131B">
                        <w:rPr>
                          <w:rFonts w:ascii="Century Gothic" w:hAnsi="Century Gothic"/>
                          <w:sz w:val="20"/>
                          <w:szCs w:val="20"/>
                        </w:rPr>
                        <w:t xml:space="preserve"> </w:t>
                      </w:r>
                      <w:r w:rsidR="006F1606">
                        <w:rPr>
                          <w:rFonts w:ascii="Arial" w:hAnsi="Arial" w:cs="Arial"/>
                        </w:rPr>
                        <w:t>3</w:t>
                      </w:r>
                      <w:r w:rsidR="00455B06">
                        <w:rPr>
                          <w:rFonts w:ascii="Arial" w:hAnsi="Arial" w:cs="Arial"/>
                        </w:rPr>
                        <w:t xml:space="preserve"> November</w:t>
                      </w:r>
                      <w:r w:rsidR="006F20C3">
                        <w:rPr>
                          <w:rFonts w:ascii="Arial" w:hAnsi="Arial" w:cs="Arial"/>
                        </w:rPr>
                        <w:t xml:space="preserve"> 2023</w:t>
                      </w:r>
                    </w:p>
                    <w:p w:rsidR="000E009C" w:rsidP="00ED2FC5" w14:paraId="49927DBB" w14:textId="77777777">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21F3BE76" w14:textId="77777777" w:rsidR="002033C4" w:rsidRPr="00B93312" w:rsidRDefault="002033C4" w:rsidP="00E96154">
      <w:pPr>
        <w:ind w:left="661" w:hangingChars="236" w:hanging="661"/>
        <w:jc w:val="center"/>
        <w:rPr>
          <w:rFonts w:ascii="Arial" w:hAnsi="Arial" w:cs="Arial"/>
          <w:sz w:val="28"/>
          <w:szCs w:val="28"/>
        </w:rPr>
      </w:pPr>
    </w:p>
    <w:p w14:paraId="1EDE7F93" w14:textId="77777777" w:rsidR="00C160A1" w:rsidRPr="00B93312" w:rsidRDefault="00C160A1" w:rsidP="00C160A1">
      <w:pPr>
        <w:spacing w:before="120" w:after="120" w:line="360" w:lineRule="auto"/>
        <w:jc w:val="center"/>
        <w:rPr>
          <w:rFonts w:ascii="Arial" w:hAnsi="Arial" w:cs="Arial"/>
        </w:rPr>
      </w:pPr>
    </w:p>
    <w:p w14:paraId="58D0E18C" w14:textId="77777777" w:rsidR="00ED2FC5" w:rsidRPr="00B93312" w:rsidRDefault="00ED2FC5" w:rsidP="00C160A1">
      <w:pPr>
        <w:tabs>
          <w:tab w:val="left" w:pos="4917"/>
        </w:tabs>
        <w:spacing w:before="120" w:after="120" w:line="360" w:lineRule="auto"/>
        <w:jc w:val="center"/>
        <w:rPr>
          <w:rFonts w:ascii="Arial" w:hAnsi="Arial" w:cs="Arial"/>
        </w:rPr>
      </w:pPr>
    </w:p>
    <w:p w14:paraId="6069AC12" w14:textId="77777777" w:rsidR="00ED2FC5" w:rsidRPr="00B93312" w:rsidRDefault="00ED2FC5" w:rsidP="00C160A1">
      <w:pPr>
        <w:tabs>
          <w:tab w:val="left" w:pos="4917"/>
        </w:tabs>
        <w:spacing w:before="120" w:after="120" w:line="360" w:lineRule="auto"/>
        <w:jc w:val="center"/>
        <w:rPr>
          <w:rFonts w:ascii="Arial" w:hAnsi="Arial" w:cs="Arial"/>
        </w:rPr>
      </w:pPr>
    </w:p>
    <w:p w14:paraId="50FB242D" w14:textId="77777777" w:rsidR="00713972" w:rsidRDefault="00713972" w:rsidP="009C6780">
      <w:pPr>
        <w:tabs>
          <w:tab w:val="left" w:pos="4917"/>
        </w:tabs>
        <w:spacing w:before="120" w:after="120" w:line="360" w:lineRule="auto"/>
        <w:rPr>
          <w:rFonts w:ascii="Arial" w:hAnsi="Arial" w:cs="Arial"/>
        </w:rPr>
      </w:pPr>
    </w:p>
    <w:p w14:paraId="4DA7B2EE" w14:textId="77777777" w:rsidR="009C6780" w:rsidRPr="00B93312" w:rsidRDefault="0098385B" w:rsidP="009C6780">
      <w:pPr>
        <w:tabs>
          <w:tab w:val="left" w:pos="4917"/>
        </w:tabs>
        <w:spacing w:before="120" w:after="120" w:line="360" w:lineRule="auto"/>
        <w:rPr>
          <w:rFonts w:ascii="Arial" w:hAnsi="Arial" w:cs="Arial"/>
        </w:rPr>
      </w:pPr>
      <w:r w:rsidRPr="00B93312">
        <w:rPr>
          <w:rFonts w:ascii="Arial" w:hAnsi="Arial" w:cs="Arial"/>
        </w:rPr>
        <w:t>In the matter between:</w:t>
      </w:r>
    </w:p>
    <w:p w14:paraId="35883379" w14:textId="77777777" w:rsidR="002C47AB" w:rsidRDefault="0098385B" w:rsidP="002C47AB">
      <w:pPr>
        <w:pStyle w:val="NormalWeb"/>
      </w:pPr>
      <w:r>
        <w:rPr>
          <w:rFonts w:ascii="Arial" w:hAnsi="Arial" w:cs="Arial"/>
          <w:b/>
          <w:bCs/>
        </w:rPr>
        <w:t xml:space="preserve">EOH MTHOMBO (PTY) LTD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Pr>
          <w:rFonts w:ascii="Arial" w:hAnsi="Arial" w:cs="Arial"/>
        </w:rPr>
        <w:t>Plaintiff</w:t>
      </w:r>
    </w:p>
    <w:p w14:paraId="452B68B9" w14:textId="77777777" w:rsidR="002C47AB" w:rsidRDefault="0098385B" w:rsidP="002C47AB">
      <w:pPr>
        <w:pStyle w:val="NormalWeb"/>
      </w:pPr>
      <w:r>
        <w:rPr>
          <w:rFonts w:ascii="ArialMT" w:hAnsi="ArialMT"/>
        </w:rPr>
        <w:t xml:space="preserve">and </w:t>
      </w:r>
    </w:p>
    <w:p w14:paraId="2D5D4ACA" w14:textId="77777777" w:rsidR="002C47AB" w:rsidRDefault="0098385B" w:rsidP="002C47AB">
      <w:pPr>
        <w:pStyle w:val="NormalWeb"/>
        <w:rPr>
          <w:rFonts w:ascii="Arial" w:hAnsi="Arial" w:cs="Arial"/>
          <w:b/>
          <w:bCs/>
        </w:rPr>
      </w:pPr>
      <w:r>
        <w:rPr>
          <w:rFonts w:ascii="Arial" w:hAnsi="Arial" w:cs="Arial"/>
          <w:b/>
          <w:bCs/>
        </w:rPr>
        <w:t>PETER GAVIN CLARKE</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Pr>
          <w:rFonts w:ascii="ArialMT" w:hAnsi="ArialMT"/>
        </w:rPr>
        <w:t xml:space="preserve">First Defendant </w:t>
      </w:r>
    </w:p>
    <w:p w14:paraId="6F0AE918" w14:textId="77777777" w:rsidR="002C47AB" w:rsidRDefault="0098385B" w:rsidP="002C47AB">
      <w:pPr>
        <w:pStyle w:val="NormalWeb"/>
      </w:pPr>
      <w:r>
        <w:rPr>
          <w:rFonts w:ascii="Arial" w:hAnsi="Arial" w:cs="Arial"/>
          <w:b/>
          <w:bCs/>
        </w:rPr>
        <w:t xml:space="preserve">MARK PETER JANSE VAN RENSBURG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Pr>
          <w:rFonts w:ascii="ArialMT" w:hAnsi="ArialMT"/>
        </w:rPr>
        <w:t xml:space="preserve">Second Defendant </w:t>
      </w:r>
    </w:p>
    <w:p w14:paraId="109D2306" w14:textId="77777777" w:rsidR="002C47AB" w:rsidRDefault="0098385B" w:rsidP="002C47AB">
      <w:pPr>
        <w:pStyle w:val="NormalWeb"/>
      </w:pPr>
      <w:r>
        <w:rPr>
          <w:rFonts w:ascii="Arial" w:hAnsi="Arial" w:cs="Arial"/>
          <w:b/>
          <w:bCs/>
        </w:rPr>
        <w:t xml:space="preserve">THE COMPANIES AND INTELLECTUAL PROPERTY COMMISSION    </w:t>
      </w:r>
      <w:r>
        <w:rPr>
          <w:rFonts w:ascii="ArialMT" w:hAnsi="ArialMT"/>
        </w:rPr>
        <w:t xml:space="preserve">Third Defendant </w:t>
      </w:r>
    </w:p>
    <w:p w14:paraId="775566D5" w14:textId="77777777" w:rsidR="002C47AB" w:rsidRPr="002C47AB" w:rsidRDefault="0098385B" w:rsidP="002C47AB">
      <w:pPr>
        <w:pStyle w:val="NormalWeb"/>
      </w:pPr>
      <w:r>
        <w:rPr>
          <w:rFonts w:ascii="Arial" w:hAnsi="Arial" w:cs="Arial"/>
          <w:b/>
          <w:bCs/>
        </w:rPr>
        <w:t>THE SHARE COMPANY (PTY) LTD (I</w:t>
      </w:r>
      <w:r>
        <w:rPr>
          <w:rFonts w:ascii="Arial" w:hAnsi="Arial" w:cs="Arial"/>
          <w:b/>
          <w:bCs/>
        </w:rPr>
        <w:t xml:space="preserve">N LIQUIDATION)  </w:t>
      </w:r>
      <w:r>
        <w:rPr>
          <w:rFonts w:ascii="Arial" w:hAnsi="Arial" w:cs="Arial"/>
          <w:b/>
          <w:bCs/>
        </w:rPr>
        <w:tab/>
      </w:r>
      <w:r>
        <w:rPr>
          <w:rFonts w:ascii="Arial" w:hAnsi="Arial" w:cs="Arial"/>
          <w:b/>
          <w:bCs/>
        </w:rPr>
        <w:tab/>
        <w:t xml:space="preserve">       </w:t>
      </w:r>
      <w:r>
        <w:rPr>
          <w:rFonts w:ascii="ArialMT" w:hAnsi="ArialMT"/>
        </w:rPr>
        <w:t xml:space="preserve">Fourth Defendant </w:t>
      </w:r>
    </w:p>
    <w:p w14:paraId="2256E86D" w14:textId="77777777" w:rsidR="00651BDA" w:rsidRPr="002C47AB" w:rsidRDefault="0098385B" w:rsidP="002C47AB">
      <w:pPr>
        <w:pStyle w:val="NormalWeb"/>
      </w:pPr>
      <w:r>
        <w:rPr>
          <w:rFonts w:ascii="Arial" w:hAnsi="Arial" w:cs="Arial"/>
          <w:b/>
          <w:bCs/>
        </w:rPr>
        <w:t xml:space="preserve">SUKEMA IP COMPANY (PTY) LTD (IN LIQUIDATION) </w:t>
      </w:r>
      <w:r>
        <w:rPr>
          <w:rFonts w:ascii="Arial" w:hAnsi="Arial" w:cs="Arial"/>
          <w:b/>
          <w:bCs/>
        </w:rPr>
        <w:tab/>
      </w:r>
      <w:r>
        <w:rPr>
          <w:rFonts w:ascii="Arial" w:hAnsi="Arial" w:cs="Arial"/>
          <w:b/>
          <w:bCs/>
        </w:rPr>
        <w:tab/>
        <w:t xml:space="preserve">          </w:t>
      </w:r>
      <w:r>
        <w:rPr>
          <w:rFonts w:ascii="ArialMT" w:hAnsi="ArialMT"/>
        </w:rPr>
        <w:t xml:space="preserve">Fifth Defendant </w:t>
      </w:r>
    </w:p>
    <w:p w14:paraId="7B1F5890" w14:textId="77777777" w:rsidR="00194A07" w:rsidRDefault="00194A07" w:rsidP="00D9032E">
      <w:pPr>
        <w:pBdr>
          <w:top w:val="single" w:sz="12" w:space="1" w:color="auto"/>
          <w:bottom w:val="single" w:sz="12" w:space="1" w:color="auto"/>
        </w:pBdr>
        <w:tabs>
          <w:tab w:val="left" w:pos="4917"/>
        </w:tabs>
        <w:spacing w:before="120" w:after="120"/>
        <w:contextualSpacing/>
        <w:jc w:val="center"/>
        <w:rPr>
          <w:rFonts w:ascii="Arial" w:hAnsi="Arial" w:cs="Arial"/>
          <w:b/>
          <w:bCs/>
        </w:rPr>
      </w:pPr>
    </w:p>
    <w:p w14:paraId="7C958AA3" w14:textId="77777777" w:rsidR="00194A07" w:rsidRPr="00B93312" w:rsidRDefault="0098385B" w:rsidP="00D9032E">
      <w:pPr>
        <w:pBdr>
          <w:top w:val="single" w:sz="12" w:space="1" w:color="auto"/>
          <w:bottom w:val="single" w:sz="12" w:space="1" w:color="auto"/>
        </w:pBdr>
        <w:tabs>
          <w:tab w:val="left" w:pos="4917"/>
        </w:tabs>
        <w:spacing w:before="120" w:after="120" w:line="360" w:lineRule="auto"/>
        <w:jc w:val="center"/>
        <w:rPr>
          <w:rFonts w:ascii="Arial" w:hAnsi="Arial" w:cs="Arial"/>
          <w:b/>
          <w:bCs/>
        </w:rPr>
      </w:pPr>
      <w:r w:rsidRPr="00B93312">
        <w:rPr>
          <w:rFonts w:ascii="Arial" w:hAnsi="Arial" w:cs="Arial"/>
          <w:b/>
          <w:bCs/>
        </w:rPr>
        <w:t>JUDGMENT</w:t>
      </w:r>
    </w:p>
    <w:p w14:paraId="0FF49903" w14:textId="77777777" w:rsidR="00194A07" w:rsidRDefault="0098385B" w:rsidP="00D9032E">
      <w:pPr>
        <w:pStyle w:val="Heading1"/>
      </w:pPr>
      <w:r>
        <w:lastRenderedPageBreak/>
        <w:t>DE VOS AJ</w:t>
      </w:r>
    </w:p>
    <w:p w14:paraId="359EBD11" w14:textId="77777777" w:rsidR="006363A3" w:rsidRDefault="0098385B" w:rsidP="005C18EE">
      <w:pPr>
        <w:pStyle w:val="Judgmentparagraph"/>
        <w:ind w:left="567" w:hanging="567"/>
      </w:pPr>
      <w:r>
        <w:t xml:space="preserve">The plaintiff excepts to the first and second defendants’ plea on the grounds that </w:t>
      </w:r>
      <w:r w:rsidR="003F407B">
        <w:t>it</w:t>
      </w:r>
      <w:r>
        <w:t xml:space="preserve"> fails to disclose a defence; alternatively, it is vag</w:t>
      </w:r>
      <w:r w:rsidR="003F407B">
        <w:t>u</w:t>
      </w:r>
      <w:r>
        <w:t xml:space="preserve">e and embarrassing. </w:t>
      </w:r>
      <w:r w:rsidR="009F5740">
        <w:t>There are four separate exceptions raised</w:t>
      </w:r>
      <w:r w:rsidR="00927534">
        <w:t>. The exceptions</w:t>
      </w:r>
      <w:r w:rsidR="009F5740">
        <w:t xml:space="preserve"> must be considered in the context of the plaintiff’s claim. </w:t>
      </w:r>
    </w:p>
    <w:p w14:paraId="25C7F8C3" w14:textId="77777777" w:rsidR="006363A3" w:rsidRPr="006363A3" w:rsidRDefault="0098385B" w:rsidP="006363A3">
      <w:pPr>
        <w:pStyle w:val="Judgmentparagraph"/>
        <w:numPr>
          <w:ilvl w:val="0"/>
          <w:numId w:val="0"/>
        </w:numPr>
        <w:rPr>
          <w:b/>
          <w:bCs/>
        </w:rPr>
      </w:pPr>
      <w:r w:rsidRPr="006363A3">
        <w:rPr>
          <w:b/>
          <w:bCs/>
        </w:rPr>
        <w:t xml:space="preserve">The </w:t>
      </w:r>
      <w:r w:rsidR="009F5740">
        <w:rPr>
          <w:b/>
          <w:bCs/>
        </w:rPr>
        <w:t>plaintiff’s claim</w:t>
      </w:r>
      <w:r w:rsidRPr="006363A3">
        <w:rPr>
          <w:b/>
          <w:bCs/>
        </w:rPr>
        <w:t xml:space="preserve"> </w:t>
      </w:r>
    </w:p>
    <w:p w14:paraId="039F248A" w14:textId="77777777" w:rsidR="009F5740" w:rsidRDefault="0098385B" w:rsidP="005C18EE">
      <w:pPr>
        <w:pStyle w:val="Judgmentparagraph"/>
        <w:ind w:left="567" w:hanging="567"/>
      </w:pPr>
      <w:r>
        <w:t>The plaintiff is a private company. The</w:t>
      </w:r>
      <w:r>
        <w:t xml:space="preserve"> first and second defendants are businessmen</w:t>
      </w:r>
      <w:r w:rsidR="00927534">
        <w:t xml:space="preserve"> (“the defendants”).</w:t>
      </w:r>
    </w:p>
    <w:p w14:paraId="1B939A76" w14:textId="7B641411" w:rsidR="002C47AB" w:rsidRDefault="0098385B" w:rsidP="008374FB">
      <w:pPr>
        <w:pStyle w:val="Judgmentparagraph"/>
        <w:ind w:left="567" w:hanging="567"/>
      </w:pPr>
      <w:r>
        <w:t>The third defendant is Sukema IP</w:t>
      </w:r>
      <w:r w:rsidR="003F407B">
        <w:t xml:space="preserve"> (Pty) Ltd</w:t>
      </w:r>
      <w:r w:rsidR="00761DE1">
        <w:t xml:space="preserve"> (“Sukema”)</w:t>
      </w:r>
      <w:r w:rsidR="003F407B">
        <w:t xml:space="preserve">, </w:t>
      </w:r>
      <w:r>
        <w:t>a private company rep</w:t>
      </w:r>
      <w:r w:rsidR="003F407B">
        <w:t>res</w:t>
      </w:r>
      <w:r>
        <w:t>ented by its liquidators.</w:t>
      </w:r>
      <w:r w:rsidR="003F407B">
        <w:t xml:space="preserve"> Sukema provides governance risk and compliance software services to its customers. </w:t>
      </w:r>
      <w:r w:rsidR="006363A3">
        <w:t>Sukema’s customers i</w:t>
      </w:r>
      <w:r w:rsidR="003F407B">
        <w:t>nclud</w:t>
      </w:r>
      <w:r w:rsidR="006363A3">
        <w:t>e</w:t>
      </w:r>
      <w:r w:rsidR="003F407B">
        <w:t xml:space="preserve"> entities within the EOH Group of Companies</w:t>
      </w:r>
      <w:r w:rsidR="006363A3">
        <w:t xml:space="preserve">. The plaintiff is part of the EOH Group of Companies. Sukema </w:t>
      </w:r>
      <w:r w:rsidR="003F407B">
        <w:t>still has a number of service agreements in place for such services and continues to perform under those service agreements.</w:t>
      </w:r>
      <w:r w:rsidR="006363A3">
        <w:t xml:space="preserve"> </w:t>
      </w:r>
      <w:r>
        <w:t>The</w:t>
      </w:r>
      <w:r>
        <w:t xml:space="preserve"> fourth defendant is TM Share (Pty) L</w:t>
      </w:r>
      <w:r w:rsidR="003F407B">
        <w:t>t</w:t>
      </w:r>
      <w:r>
        <w:t xml:space="preserve">d </w:t>
      </w:r>
      <w:r w:rsidR="00761DE1">
        <w:t xml:space="preserve">("TSC"), </w:t>
      </w:r>
      <w:r>
        <w:t>a private company also represented by its liquid</w:t>
      </w:r>
      <w:r w:rsidR="003F407B">
        <w:t>at</w:t>
      </w:r>
      <w:r>
        <w:t xml:space="preserve">ors.  </w:t>
      </w:r>
    </w:p>
    <w:p w14:paraId="08995060" w14:textId="77777777" w:rsidR="006363A3" w:rsidRDefault="0098385B" w:rsidP="005C18EE">
      <w:pPr>
        <w:pStyle w:val="Judgmentparagraph"/>
        <w:ind w:left="567" w:hanging="567"/>
      </w:pPr>
      <w:r>
        <w:t>The dispute originates in a sale of shares agreement concluded on 18 March 2019. The parties to the shares agreement were the plaintiff</w:t>
      </w:r>
      <w:r w:rsidR="009F5740">
        <w:t>,</w:t>
      </w:r>
      <w:r>
        <w:t xml:space="preserve"> TSC and Sukem</w:t>
      </w:r>
      <w:r>
        <w:t>a. The upshot of the shares agreement was that</w:t>
      </w:r>
      <w:r w:rsidR="003F407B">
        <w:t xml:space="preserve"> </w:t>
      </w:r>
      <w:r w:rsidR="009F5740">
        <w:t xml:space="preserve">TSC was to pay </w:t>
      </w:r>
      <w:r w:rsidR="003F407B">
        <w:t>the plaintiff R 3 million for its shares in Sukema and Sukema was to pay R 7 885</w:t>
      </w:r>
      <w:r>
        <w:t> </w:t>
      </w:r>
      <w:r w:rsidR="003F407B">
        <w:t>338</w:t>
      </w:r>
      <w:r>
        <w:t>.00</w:t>
      </w:r>
      <w:r w:rsidR="003F407B">
        <w:t xml:space="preserve"> for outstanding sales claims. The plaintiff was to receive roughly R 11 million from TSC and Sukema regarding the shares agreement. </w:t>
      </w:r>
      <w:r w:rsidR="009F5740">
        <w:t>The defendants were directly involved as they signed the agreement on behalf of TSC and Sukema.</w:t>
      </w:r>
    </w:p>
    <w:p w14:paraId="7CAD2C7E" w14:textId="77777777" w:rsidR="003F407B" w:rsidRDefault="0098385B" w:rsidP="005C18EE">
      <w:pPr>
        <w:pStyle w:val="Judgmentparagraph"/>
        <w:ind w:left="567" w:hanging="567"/>
      </w:pPr>
      <w:r>
        <w:t xml:space="preserve">The shares agreement created security for the plaintiff. As security for the repayment of the R </w:t>
      </w:r>
      <w:r w:rsidR="00927534">
        <w:t>7 885 338.00</w:t>
      </w:r>
      <w:r>
        <w:t>, TSC pledged to the plain</w:t>
      </w:r>
      <w:r>
        <w:t xml:space="preserve">tiff its entire interest in the Sukema Shares as a continuing covering security.  </w:t>
      </w:r>
    </w:p>
    <w:p w14:paraId="1A90D1C4" w14:textId="036A577B" w:rsidR="006363A3" w:rsidRDefault="0098385B" w:rsidP="006363A3">
      <w:pPr>
        <w:pStyle w:val="Judgmentparagraph"/>
        <w:ind w:left="567" w:hanging="567"/>
      </w:pPr>
      <w:r>
        <w:t xml:space="preserve">The plaintiff did not receive the payments it was owed in terms of the shares agreement. </w:t>
      </w:r>
      <w:r w:rsidR="003F407B">
        <w:t xml:space="preserve">The plaintiff sent letters of demand, which </w:t>
      </w:r>
      <w:r>
        <w:t>were ignored. After the letters of deman</w:t>
      </w:r>
      <w:r>
        <w:t>d, Sukema and TSC w</w:t>
      </w:r>
      <w:r w:rsidR="009F5740">
        <w:t>ere</w:t>
      </w:r>
      <w:r>
        <w:t xml:space="preserve"> placed under voluntary winding-up. </w:t>
      </w:r>
      <w:r w:rsidR="009F5740">
        <w:t>The defendants, again, played a vital role in placing Sukema and TSC in liquidation as they signed the special resolutions. In addition, the defendants were the authors of Sukema and TSC's statement of affairs</w:t>
      </w:r>
      <w:r w:rsidR="00927534">
        <w:t xml:space="preserve"> (the CM100 forms)</w:t>
      </w:r>
      <w:r w:rsidR="009F5740">
        <w:t xml:space="preserve">. In both statements of </w:t>
      </w:r>
      <w:r w:rsidR="009F5740">
        <w:lastRenderedPageBreak/>
        <w:t>affairs of Sukema and TSC</w:t>
      </w:r>
      <w:r w:rsidR="00927534">
        <w:t>, there is no record of</w:t>
      </w:r>
      <w:r w:rsidR="009F5740">
        <w:t xml:space="preserve"> the monies owed and security provided to the plaintiff.  </w:t>
      </w:r>
    </w:p>
    <w:p w14:paraId="40CC0693" w14:textId="77777777" w:rsidR="000B7B3E" w:rsidRDefault="0098385B" w:rsidP="009F5740">
      <w:pPr>
        <w:pStyle w:val="Judgmentparagraph"/>
        <w:ind w:left="567" w:hanging="567"/>
      </w:pPr>
      <w:r>
        <w:t>In particular,</w:t>
      </w:r>
      <w:r w:rsidR="009F5740">
        <w:t xml:space="preserve"> </w:t>
      </w:r>
      <w:r w:rsidR="003F407B">
        <w:t xml:space="preserve">Sukema was placed under voluntary winding-up by registration of a special resolution on 18 November 2019. </w:t>
      </w:r>
      <w:r>
        <w:t>The second defendant is the author, under oath, of Sukema’s statement of affairs (the CM100 form). Sukema’s statement of affairs does no</w:t>
      </w:r>
      <w:r w:rsidR="009F5740">
        <w:t>t</w:t>
      </w:r>
      <w:r>
        <w:t xml:space="preserve"> mention the plaintiff's claim. </w:t>
      </w:r>
      <w:r w:rsidR="00761DE1">
        <w:t xml:space="preserve">The </w:t>
      </w:r>
      <w:r w:rsidR="009F5740">
        <w:t>plaintiff</w:t>
      </w:r>
      <w:r w:rsidR="00761DE1">
        <w:t xml:space="preserve"> </w:t>
      </w:r>
      <w:r>
        <w:t>pleads</w:t>
      </w:r>
      <w:r w:rsidR="00761DE1">
        <w:t xml:space="preserve"> </w:t>
      </w:r>
      <w:r>
        <w:t>t</w:t>
      </w:r>
      <w:r w:rsidR="00761DE1">
        <w:t xml:space="preserve">hat the </w:t>
      </w:r>
      <w:r w:rsidR="009F5740">
        <w:t>-</w:t>
      </w:r>
    </w:p>
    <w:p w14:paraId="6E24FBFB" w14:textId="77777777" w:rsidR="000B7B3E" w:rsidRDefault="0098385B" w:rsidP="000B7B3E">
      <w:pPr>
        <w:pStyle w:val="Judgmentparagraph"/>
        <w:numPr>
          <w:ilvl w:val="0"/>
          <w:numId w:val="0"/>
        </w:numPr>
        <w:spacing w:line="240" w:lineRule="auto"/>
        <w:ind w:left="567"/>
      </w:pPr>
      <w:r>
        <w:t>“statement of affairs fails to</w:t>
      </w:r>
      <w:r>
        <w:t xml:space="preserve"> reflect the financial position of Sukema and more specifically, there is no recordal of the plaintiff’s claim against Sukema for the sum of R 7 885 338.00.” </w:t>
      </w:r>
    </w:p>
    <w:p w14:paraId="1BE3D06F" w14:textId="77777777" w:rsidR="00761DE1" w:rsidRDefault="0098385B" w:rsidP="005C18EE">
      <w:pPr>
        <w:pStyle w:val="Judgmentparagraph"/>
        <w:ind w:left="567" w:hanging="567"/>
      </w:pPr>
      <w:r>
        <w:t>Th</w:t>
      </w:r>
      <w:r w:rsidR="000B7B3E">
        <w:t>e plaintiff pleads that this</w:t>
      </w:r>
      <w:r>
        <w:t xml:space="preserve"> constitutes a material non-disclosure</w:t>
      </w:r>
      <w:r w:rsidR="00B43997">
        <w:t xml:space="preserve"> and </w:t>
      </w:r>
      <w:r>
        <w:t xml:space="preserve">is in breach of sections 363(4) read with section 363(1) of the </w:t>
      </w:r>
      <w:r w:rsidR="009F5740" w:rsidRPr="002C47AB">
        <w:t>Companies Act, 61 of 1973 (“the 1973 Act”)</w:t>
      </w:r>
      <w:r w:rsidRPr="009F5740">
        <w:t>.</w:t>
      </w:r>
      <w:r>
        <w:t xml:space="preserve"> The plaintiff also contends that this conduct by the second defendant amounts to fraud and an offence under section 363(8) of the 1973 Act. </w:t>
      </w:r>
    </w:p>
    <w:p w14:paraId="0DBFFCBB" w14:textId="77777777" w:rsidR="009F5740" w:rsidRDefault="0098385B" w:rsidP="005C18EE">
      <w:pPr>
        <w:pStyle w:val="Judgmentparagraph"/>
        <w:ind w:left="567" w:hanging="567"/>
      </w:pPr>
      <w:r>
        <w:t>Shortly</w:t>
      </w:r>
      <w:r>
        <w:t xml:space="preserve"> after the provisional sequestration of Sukema, the defendants applied for the voluntary liquidation of TSC</w:t>
      </w:r>
      <w:r w:rsidR="00C87A81">
        <w:t xml:space="preserve">. The defendants </w:t>
      </w:r>
      <w:r w:rsidR="000B7B3E">
        <w:t>executed</w:t>
      </w:r>
      <w:r w:rsidR="00C87A81">
        <w:t xml:space="preserve"> the </w:t>
      </w:r>
      <w:r w:rsidR="000B7B3E">
        <w:t>resolution</w:t>
      </w:r>
      <w:r w:rsidR="00C87A81">
        <w:t xml:space="preserve"> and lodged the CM100 statement of affairs in terms of section 363 of the 1973 Act supporting the liquidation with the third defendant.  </w:t>
      </w:r>
    </w:p>
    <w:p w14:paraId="194F5393" w14:textId="77777777" w:rsidR="00761DE1" w:rsidRDefault="0098385B" w:rsidP="005C18EE">
      <w:pPr>
        <w:pStyle w:val="Judgmentparagraph"/>
        <w:ind w:left="567" w:hanging="567"/>
      </w:pPr>
      <w:r>
        <w:t xml:space="preserve">The statement of affairs of TSC, similar to that of Sukema, contains no information regarding the security of the shares agreement. In addition, it appears two different statements of affairs were prepared – and different ones </w:t>
      </w:r>
      <w:r>
        <w:t xml:space="preserve">were sent to the liquidator and the third defendant. The plaintiff pleads that </w:t>
      </w:r>
      <w:r w:rsidR="000B7B3E">
        <w:t>t</w:t>
      </w:r>
      <w:r>
        <w:t xml:space="preserve">his is also a breach of the provisions of section 363(4) read with section 262(1) of the 1973 Act.  </w:t>
      </w:r>
    </w:p>
    <w:p w14:paraId="1345E660" w14:textId="21AABEBC" w:rsidR="009F5740" w:rsidRDefault="0098385B" w:rsidP="000B7B3E">
      <w:pPr>
        <w:pStyle w:val="Judgmentparagraph"/>
        <w:ind w:left="567" w:hanging="567"/>
      </w:pPr>
      <w:r>
        <w:t xml:space="preserve">To state the case in plainer language, the </w:t>
      </w:r>
      <w:r w:rsidR="000B7B3E">
        <w:t xml:space="preserve">plaintiff’s case is that the </w:t>
      </w:r>
      <w:r>
        <w:t>def</w:t>
      </w:r>
      <w:r>
        <w:t xml:space="preserve">endants are avoiding Sukema and </w:t>
      </w:r>
      <w:r w:rsidR="000B7B3E">
        <w:t>TS</w:t>
      </w:r>
      <w:r>
        <w:t xml:space="preserve">C’s obligations to the plaintiff by providing an incomplete statement of affairs to </w:t>
      </w:r>
      <w:r w:rsidR="00927534">
        <w:t>their</w:t>
      </w:r>
      <w:r>
        <w:t xml:space="preserve"> liquidators. </w:t>
      </w:r>
    </w:p>
    <w:p w14:paraId="53D5D4F9" w14:textId="01051A68" w:rsidR="0014508F" w:rsidRDefault="0098385B" w:rsidP="008374FB">
      <w:pPr>
        <w:pStyle w:val="Judgmentparagraph"/>
        <w:ind w:left="567" w:hanging="567"/>
      </w:pPr>
      <w:r>
        <w:t xml:space="preserve">The plaintiff's case, however, has another aspect to it relating to </w:t>
      </w:r>
      <w:r w:rsidR="009F5740">
        <w:t>Sukema’s primary asset, the Chase App</w:t>
      </w:r>
      <w:r w:rsidR="00927534">
        <w:t xml:space="preserve"> (an online application)</w:t>
      </w:r>
      <w:r>
        <w:t xml:space="preserve">. The plaintiff </w:t>
      </w:r>
      <w:r w:rsidR="009F5740">
        <w:t>pleads</w:t>
      </w:r>
      <w:r>
        <w:t xml:space="preserve"> that the Chase App is Sukema’s core business</w:t>
      </w:r>
      <w:r w:rsidR="008374FB">
        <w:t xml:space="preserve"> and that it is </w:t>
      </w:r>
      <w:r>
        <w:t xml:space="preserve">being used by a company called Veridian </w:t>
      </w:r>
      <w:r w:rsidR="009F5740" w:rsidRPr="002C47AB">
        <w:t>International</w:t>
      </w:r>
      <w:r w:rsidR="009F5740" w:rsidRPr="009F5740">
        <w:t xml:space="preserve"> </w:t>
      </w:r>
      <w:r w:rsidR="009F5740">
        <w:t>(Pty) Ltd (“Veridian”)</w:t>
      </w:r>
      <w:r w:rsidR="00927534">
        <w:t xml:space="preserve"> </w:t>
      </w:r>
      <w:r>
        <w:t xml:space="preserve">– trading as </w:t>
      </w:r>
      <w:r w:rsidR="000B7B3E">
        <w:t>C</w:t>
      </w:r>
      <w:r>
        <w:t xml:space="preserve">hase </w:t>
      </w:r>
      <w:r w:rsidR="000B7B3E">
        <w:t>S</w:t>
      </w:r>
      <w:r>
        <w:t>olution – servicing Sukema’s clients. The pleaded case in this re</w:t>
      </w:r>
      <w:r>
        <w:t xml:space="preserve">gard is that – </w:t>
      </w:r>
    </w:p>
    <w:p w14:paraId="4D58393C" w14:textId="77777777" w:rsidR="0014508F" w:rsidRDefault="0098385B" w:rsidP="000B7B3E">
      <w:pPr>
        <w:pStyle w:val="Judgmentparagraph"/>
        <w:numPr>
          <w:ilvl w:val="0"/>
          <w:numId w:val="0"/>
        </w:numPr>
        <w:spacing w:line="240" w:lineRule="auto"/>
        <w:ind w:left="567"/>
      </w:pPr>
      <w:r>
        <w:t xml:space="preserve">“It is apparent </w:t>
      </w:r>
      <w:r w:rsidR="000B7B3E">
        <w:t>that Veridian</w:t>
      </w:r>
      <w:r>
        <w:t xml:space="preserve"> is seeking to assu</w:t>
      </w:r>
      <w:r w:rsidR="000B7B3E">
        <w:t>m</w:t>
      </w:r>
      <w:r>
        <w:t xml:space="preserve">e, or in </w:t>
      </w:r>
      <w:r w:rsidR="000B7B3E">
        <w:t>th</w:t>
      </w:r>
      <w:r>
        <w:t xml:space="preserve">e process of vesting control </w:t>
      </w:r>
      <w:r w:rsidR="000B7B3E">
        <w:t>of</w:t>
      </w:r>
      <w:r>
        <w:t xml:space="preserve"> the business of Sukema </w:t>
      </w:r>
      <w:r w:rsidR="000B7B3E">
        <w:t>t</w:t>
      </w:r>
      <w:r>
        <w:t xml:space="preserve">o the </w:t>
      </w:r>
      <w:r w:rsidR="000B7B3E">
        <w:t>advantage</w:t>
      </w:r>
      <w:r>
        <w:t xml:space="preserve"> </w:t>
      </w:r>
      <w:r w:rsidR="000B7B3E">
        <w:t>of</w:t>
      </w:r>
      <w:r>
        <w:t xml:space="preserve"> the First and Second </w:t>
      </w:r>
      <w:r w:rsidR="000B7B3E">
        <w:t>Defendants</w:t>
      </w:r>
      <w:r>
        <w:t>. It is</w:t>
      </w:r>
      <w:r w:rsidR="000B7B3E">
        <w:t xml:space="preserve"> </w:t>
      </w:r>
      <w:r>
        <w:lastRenderedPageBreak/>
        <w:t>un</w:t>
      </w:r>
      <w:r w:rsidR="000B7B3E">
        <w:t>cl</w:t>
      </w:r>
      <w:r>
        <w:t>ear whether value has been received fo</w:t>
      </w:r>
      <w:r w:rsidR="000B7B3E">
        <w:t>r</w:t>
      </w:r>
      <w:r>
        <w:t xml:space="preserve"> the assets or business</w:t>
      </w:r>
      <w:r>
        <w:t xml:space="preserve"> of Sukema by the liquidators, including the business as a going concern which continues to trade, and has done sinc</w:t>
      </w:r>
      <w:r w:rsidR="000B7B3E">
        <w:t>e</w:t>
      </w:r>
      <w:r>
        <w:t xml:space="preserve"> he provisional liqu</w:t>
      </w:r>
      <w:r w:rsidR="000B7B3E">
        <w:t>i</w:t>
      </w:r>
      <w:r>
        <w:t>dati</w:t>
      </w:r>
      <w:r w:rsidR="000B7B3E">
        <w:t>on</w:t>
      </w:r>
      <w:r>
        <w:t>.</w:t>
      </w:r>
      <w:r w:rsidR="000B7B3E">
        <w:t>”</w:t>
      </w:r>
    </w:p>
    <w:p w14:paraId="4C989866" w14:textId="7FB2676C" w:rsidR="00C87A81" w:rsidRDefault="0098385B" w:rsidP="00927534">
      <w:pPr>
        <w:pStyle w:val="Judgmentparagraph"/>
        <w:ind w:left="567" w:hanging="567"/>
      </w:pPr>
      <w:r>
        <w:t xml:space="preserve">The </w:t>
      </w:r>
      <w:r w:rsidR="00B43997">
        <w:t xml:space="preserve">plaintiff contends that the defendants </w:t>
      </w:r>
      <w:r>
        <w:t>have taken the core business of Sukema and are running it – with i</w:t>
      </w:r>
      <w:r>
        <w:t xml:space="preserve">ts core asset – under another company called Veridian whilst at the same time not disclosing </w:t>
      </w:r>
      <w:r w:rsidR="008615D0">
        <w:t xml:space="preserve">Sukema and TMC’s </w:t>
      </w:r>
      <w:r w:rsidR="000B7B3E">
        <w:t>obligations</w:t>
      </w:r>
      <w:r w:rsidR="008615D0">
        <w:t xml:space="preserve"> to the</w:t>
      </w:r>
      <w:r w:rsidR="000B7B3E">
        <w:t>ir liquidators</w:t>
      </w:r>
      <w:r w:rsidR="008615D0">
        <w:t>.</w:t>
      </w:r>
      <w:r w:rsidR="00927534" w:rsidRPr="00927534">
        <w:t xml:space="preserve"> </w:t>
      </w:r>
      <w:r w:rsidR="00927534">
        <w:t xml:space="preserve">To state the case plainly, the defendants have gutted Sukema of its main asset and are using this asset to provide services to Sukema’s client list. At the hearing, the plaintiff's counsel </w:t>
      </w:r>
      <w:r w:rsidR="008374FB">
        <w:t>language the issue</w:t>
      </w:r>
      <w:r w:rsidR="00927534">
        <w:t xml:space="preserve"> in clear terms: the defendants stole Sukema’s business.</w:t>
      </w:r>
    </w:p>
    <w:p w14:paraId="151B6696" w14:textId="77777777" w:rsidR="002C47AB" w:rsidRDefault="0098385B" w:rsidP="005C18EE">
      <w:pPr>
        <w:pStyle w:val="Judgmentparagraph"/>
        <w:ind w:left="567" w:hanging="567"/>
      </w:pPr>
      <w:r>
        <w:t>The plaintiff pleads that t</w:t>
      </w:r>
      <w:r w:rsidR="003A37C6">
        <w:t xml:space="preserve">he first and second defendants -  </w:t>
      </w:r>
    </w:p>
    <w:p w14:paraId="573B40B0" w14:textId="77777777" w:rsidR="00CC5124" w:rsidRDefault="0098385B" w:rsidP="00CC5124">
      <w:pPr>
        <w:pStyle w:val="Judgmentparagraph"/>
        <w:numPr>
          <w:ilvl w:val="1"/>
          <w:numId w:val="23"/>
        </w:numPr>
      </w:pPr>
      <w:r>
        <w:t>Liquidated</w:t>
      </w:r>
      <w:r w:rsidR="002C47AB" w:rsidRPr="002C47AB">
        <w:t xml:space="preserve"> TSC and Sukema for purposes of circumventing the payment obligations of those entities to the plaintiff under a Sale of Shares Agreement concluded between the parties, in which the plaintiff sold its shares in Sukema to TSC, and for which it had not been paid </w:t>
      </w:r>
    </w:p>
    <w:p w14:paraId="172D829F" w14:textId="77777777" w:rsidR="00CC5124" w:rsidRDefault="0098385B" w:rsidP="00CC5124">
      <w:pPr>
        <w:pStyle w:val="Judgmentparagraph"/>
        <w:numPr>
          <w:ilvl w:val="1"/>
          <w:numId w:val="23"/>
        </w:numPr>
      </w:pPr>
      <w:r>
        <w:t>C</w:t>
      </w:r>
      <w:r w:rsidR="002C47AB" w:rsidRPr="002C47AB">
        <w:t xml:space="preserve">ontinued to trade Sukema’s business, first in liquidation and then via Veridian being a new vehicle of which the defendants are directors, under the guise of the trading name "Chase Solutions", which is the same trading name of Sukema, and for which the plaintiff has received no consideration or value; </w:t>
      </w:r>
    </w:p>
    <w:p w14:paraId="47F8C9B4" w14:textId="77777777" w:rsidR="00CC5124" w:rsidRDefault="0098385B" w:rsidP="00CC5124">
      <w:pPr>
        <w:pStyle w:val="Judgmentparagraph"/>
        <w:numPr>
          <w:ilvl w:val="1"/>
          <w:numId w:val="23"/>
        </w:numPr>
      </w:pPr>
      <w:r>
        <w:t>T</w:t>
      </w:r>
      <w:r w:rsidR="002C47AB" w:rsidRPr="002C47AB">
        <w:t xml:space="preserve">ransferred the primary assets of the business of Sukema, in the form of </w:t>
      </w:r>
      <w:r w:rsidR="009F5740">
        <w:t xml:space="preserve">the Chase app </w:t>
      </w:r>
      <w:r w:rsidR="002C47AB" w:rsidRPr="002C47AB">
        <w:t xml:space="preserve">to Veridian, in circumstances where it is unclear whether any value was received for this transfer; </w:t>
      </w:r>
    </w:p>
    <w:p w14:paraId="2E5EE438" w14:textId="77777777" w:rsidR="00CC5124" w:rsidRDefault="0098385B" w:rsidP="00CC5124">
      <w:pPr>
        <w:pStyle w:val="Judgmentparagraph"/>
        <w:numPr>
          <w:ilvl w:val="1"/>
          <w:numId w:val="23"/>
        </w:numPr>
      </w:pPr>
      <w:r>
        <w:t>S</w:t>
      </w:r>
      <w:r w:rsidR="002C47AB" w:rsidRPr="002C47AB">
        <w:t xml:space="preserve">ought to take over the business contracts concluded between Sukema and the Nextec entities (being the entities within the EOH Group, which Sukema has historically serviced) and, ultimately, the business of Sukema via Veridian and </w:t>
      </w:r>
    </w:p>
    <w:p w14:paraId="09660C6B" w14:textId="77777777" w:rsidR="002C47AB" w:rsidRPr="002C47AB" w:rsidRDefault="0098385B" w:rsidP="00CC5124">
      <w:pPr>
        <w:pStyle w:val="Judgmentparagraph"/>
        <w:numPr>
          <w:ilvl w:val="1"/>
          <w:numId w:val="23"/>
        </w:numPr>
      </w:pPr>
      <w:r>
        <w:t>F</w:t>
      </w:r>
      <w:r w:rsidRPr="002C47AB">
        <w:t>ailed to provide the liquidators of TSC and Sukema with the requisite documentation and information to assist with executing their duties, and in breach of the provisions of section 363(4) read together with sec</w:t>
      </w:r>
      <w:r w:rsidRPr="002C47AB">
        <w:t>tion 363(1) of the 1973 Act.</w:t>
      </w:r>
    </w:p>
    <w:p w14:paraId="2AF710B5" w14:textId="77777777" w:rsidR="003A37C6" w:rsidRDefault="0098385B" w:rsidP="003A37C6">
      <w:pPr>
        <w:pStyle w:val="Judgmentparagraph"/>
        <w:ind w:left="567" w:hanging="567"/>
      </w:pPr>
      <w:r>
        <w:t>In the particulars of the claim</w:t>
      </w:r>
      <w:r w:rsidR="00B43997">
        <w:t>,</w:t>
      </w:r>
      <w:r>
        <w:t xml:space="preserve"> the plaintiff sues the defendants under the following causes of action - </w:t>
      </w:r>
    </w:p>
    <w:p w14:paraId="6348AD31" w14:textId="77777777" w:rsidR="003A37C6" w:rsidRPr="002C47AB" w:rsidRDefault="0098385B" w:rsidP="003A37C6">
      <w:pPr>
        <w:pStyle w:val="Judgmentparagraph"/>
        <w:numPr>
          <w:ilvl w:val="1"/>
          <w:numId w:val="23"/>
        </w:numPr>
      </w:pPr>
      <w:r w:rsidRPr="002C47AB">
        <w:lastRenderedPageBreak/>
        <w:t>personal liability for the defendants for the debts of TSC and Sukema in terms of section 424 of the 1973 Act, as read w</w:t>
      </w:r>
      <w:r w:rsidRPr="002C47AB">
        <w:t xml:space="preserve">ith Act 71 of 2008 (“Companies Act, 2008”), in the amount of R10 885 338.00 plus interest </w:t>
      </w:r>
    </w:p>
    <w:p w14:paraId="76292EE7" w14:textId="77777777" w:rsidR="003A37C6" w:rsidRPr="002C47AB" w:rsidRDefault="0098385B" w:rsidP="003A37C6">
      <w:pPr>
        <w:pStyle w:val="Judgmentparagraph"/>
        <w:numPr>
          <w:ilvl w:val="1"/>
          <w:numId w:val="23"/>
        </w:numPr>
      </w:pPr>
      <w:r w:rsidRPr="002C47AB">
        <w:t xml:space="preserve">damages in the amount of R10 885 338.00 plus interest based on piercing the corporate veil and section 20(9) of the Companies Act, 2008 </w:t>
      </w:r>
    </w:p>
    <w:p w14:paraId="24F948A9" w14:textId="77777777" w:rsidR="003A37C6" w:rsidRPr="002C47AB" w:rsidRDefault="0098385B" w:rsidP="003A37C6">
      <w:pPr>
        <w:pStyle w:val="Judgmentparagraph"/>
        <w:numPr>
          <w:ilvl w:val="1"/>
          <w:numId w:val="23"/>
        </w:numPr>
      </w:pPr>
      <w:r w:rsidRPr="002C47AB">
        <w:t>damages in R10 885 338.00 pl</w:t>
      </w:r>
      <w:r w:rsidRPr="002C47AB">
        <w:t xml:space="preserve">us interest as contemplated in section 22 of the Companies Act, 2008, read together with section 218(2). </w:t>
      </w:r>
    </w:p>
    <w:p w14:paraId="0A652EE0" w14:textId="77777777" w:rsidR="003A37C6" w:rsidRPr="002C47AB" w:rsidRDefault="0098385B" w:rsidP="003A37C6">
      <w:pPr>
        <w:pStyle w:val="Judgmentparagraph"/>
        <w:numPr>
          <w:ilvl w:val="1"/>
          <w:numId w:val="23"/>
        </w:numPr>
      </w:pPr>
      <w:r w:rsidRPr="002C47AB">
        <w:t>a declaration that the defendants are delinquent directors in terms of section 162(2) of the Companies Act, 2008 read together with section 165(5).</w:t>
      </w:r>
    </w:p>
    <w:p w14:paraId="66C3F2AE" w14:textId="77777777" w:rsidR="00512464" w:rsidRDefault="0098385B" w:rsidP="00CC5124">
      <w:pPr>
        <w:pStyle w:val="Judgmentparagraph"/>
        <w:ind w:left="567" w:hanging="567"/>
      </w:pPr>
      <w:r>
        <w:t xml:space="preserve">The plaintiff’s case is therefore one for damages and a declarator for breach of statutory duties as codified in the Companies Act. </w:t>
      </w:r>
    </w:p>
    <w:p w14:paraId="0641FCF8" w14:textId="61ACAAC5" w:rsidR="00294640" w:rsidRDefault="0098385B" w:rsidP="00B43997">
      <w:pPr>
        <w:pStyle w:val="Judgmentparagraph"/>
        <w:ind w:left="567" w:hanging="567"/>
      </w:pPr>
      <w:r>
        <w:t>The central issue is whether the defendants</w:t>
      </w:r>
      <w:r w:rsidR="008374FB">
        <w:t>’</w:t>
      </w:r>
      <w:r>
        <w:t xml:space="preserve"> plea is ex</w:t>
      </w:r>
      <w:r w:rsidR="008374FB">
        <w:t>ci</w:t>
      </w:r>
      <w:r>
        <w:t>piable on the basis of it failing to disclose a defence, alternati</w:t>
      </w:r>
      <w:r>
        <w:t>vely being so vague and embarrassing that the plaintiff is unable to ascertain a basis for a defence.</w:t>
      </w:r>
      <w:r w:rsidR="00927534">
        <w:t xml:space="preserve"> </w:t>
      </w:r>
      <w:r w:rsidR="00AD09FC">
        <w:t>I apply my mind to each exception individually.</w:t>
      </w:r>
    </w:p>
    <w:p w14:paraId="2C925DF5" w14:textId="77777777" w:rsidR="00141499" w:rsidRPr="00141499" w:rsidRDefault="0098385B" w:rsidP="00CC5124">
      <w:pPr>
        <w:pStyle w:val="Judgmentparagraph"/>
        <w:numPr>
          <w:ilvl w:val="0"/>
          <w:numId w:val="0"/>
        </w:numPr>
        <w:rPr>
          <w:b/>
          <w:bCs/>
        </w:rPr>
      </w:pPr>
      <w:r w:rsidRPr="00141499">
        <w:rPr>
          <w:b/>
          <w:bCs/>
        </w:rPr>
        <w:t>First exception</w:t>
      </w:r>
    </w:p>
    <w:p w14:paraId="062B4BC3" w14:textId="77777777" w:rsidR="00141499" w:rsidRDefault="0098385B" w:rsidP="005C18EE">
      <w:pPr>
        <w:pStyle w:val="Judgmentparagraph"/>
        <w:ind w:left="567" w:hanging="567"/>
      </w:pPr>
      <w:r>
        <w:t xml:space="preserve">The core of this exception is that the </w:t>
      </w:r>
      <w:r w:rsidR="002A68C7">
        <w:t xml:space="preserve">first and second defendants’ </w:t>
      </w:r>
      <w:r>
        <w:t>plea contains contradi</w:t>
      </w:r>
      <w:r>
        <w:t xml:space="preserve">ctory </w:t>
      </w:r>
      <w:r w:rsidR="00927534">
        <w:t>allegations</w:t>
      </w:r>
      <w:r w:rsidR="002A68C7">
        <w:t>.</w:t>
      </w:r>
    </w:p>
    <w:p w14:paraId="46061D74" w14:textId="77777777" w:rsidR="00294640" w:rsidRDefault="0098385B" w:rsidP="005C18EE">
      <w:pPr>
        <w:pStyle w:val="Judgmentparagraph"/>
        <w:ind w:left="567" w:hanging="567"/>
      </w:pPr>
      <w:r>
        <w:t xml:space="preserve">The plaintiff has pleaded that the defendants have transferred the Chase </w:t>
      </w:r>
      <w:r w:rsidR="002A68C7">
        <w:t>A</w:t>
      </w:r>
      <w:r>
        <w:t>pp to Veridian, and it is unclear whether any value was received for this transfer.</w:t>
      </w:r>
      <w:r w:rsidR="002A68C7">
        <w:t xml:space="preserve"> This is the sting of the relevant allegations </w:t>
      </w:r>
      <w:r w:rsidR="00512464">
        <w:t>to be considered under the first exception</w:t>
      </w:r>
      <w:r w:rsidR="002A68C7">
        <w:t>.</w:t>
      </w:r>
    </w:p>
    <w:p w14:paraId="73A4CC05" w14:textId="77777777" w:rsidR="00294640" w:rsidRDefault="0098385B" w:rsidP="005C18EE">
      <w:pPr>
        <w:pStyle w:val="Judgmentparagraph"/>
        <w:ind w:left="567" w:hanging="567"/>
      </w:pPr>
      <w:r>
        <w:t xml:space="preserve">These allegations arise in paragraphs 38 and 39 of the particulars of the claim – </w:t>
      </w:r>
    </w:p>
    <w:p w14:paraId="1433D6B4" w14:textId="77777777" w:rsidR="00294640" w:rsidRDefault="0098385B" w:rsidP="002A68C7">
      <w:pPr>
        <w:pStyle w:val="Judgmentparagraph"/>
        <w:numPr>
          <w:ilvl w:val="0"/>
          <w:numId w:val="0"/>
        </w:numPr>
        <w:spacing w:line="240" w:lineRule="auto"/>
        <w:ind w:left="567"/>
      </w:pPr>
      <w:r>
        <w:t>“</w:t>
      </w:r>
      <w:r w:rsidR="002A68C7">
        <w:t xml:space="preserve">[38] </w:t>
      </w:r>
      <w:r>
        <w:t>Central to S</w:t>
      </w:r>
      <w:r w:rsidR="002A68C7">
        <w:t>u</w:t>
      </w:r>
      <w:r>
        <w:t>k</w:t>
      </w:r>
      <w:r w:rsidR="002A68C7">
        <w:t>ema’s</w:t>
      </w:r>
      <w:r>
        <w:t xml:space="preserve"> business is a</w:t>
      </w:r>
      <w:r w:rsidR="002A68C7">
        <w:t xml:space="preserve"> </w:t>
      </w:r>
      <w:r>
        <w:t>mobile application called Chase, which Sukema owned when the sale of shares agreement was concluded and on the date Sukema</w:t>
      </w:r>
      <w:r>
        <w:t xml:space="preserve"> lodged the special resolution….</w:t>
      </w:r>
    </w:p>
    <w:p w14:paraId="23C066AC" w14:textId="77777777" w:rsidR="00294640" w:rsidRDefault="0098385B" w:rsidP="002A68C7">
      <w:pPr>
        <w:pStyle w:val="Judgmentparagraph"/>
        <w:numPr>
          <w:ilvl w:val="0"/>
          <w:numId w:val="0"/>
        </w:numPr>
        <w:spacing w:line="240" w:lineRule="auto"/>
        <w:ind w:left="567"/>
      </w:pPr>
      <w:r>
        <w:t>[39] According to the App Store website, the Chase app, being the primary asset of Sukema, appears to have been transferred to Veridian International (Pty) Ltd. However, it is unclear whether any value was received for this</w:t>
      </w:r>
      <w:r>
        <w:t xml:space="preserve"> transfer."</w:t>
      </w:r>
    </w:p>
    <w:p w14:paraId="272F9F90" w14:textId="77777777" w:rsidR="00294640" w:rsidRPr="00294640" w:rsidRDefault="0098385B" w:rsidP="00294640">
      <w:pPr>
        <w:pStyle w:val="Judgmentparagraph"/>
        <w:ind w:left="567" w:hanging="567"/>
      </w:pPr>
      <w:r w:rsidRPr="00294640">
        <w:t xml:space="preserve">In answer, the defendants plead as follows: </w:t>
      </w:r>
    </w:p>
    <w:p w14:paraId="6909314D" w14:textId="77777777" w:rsidR="00294640" w:rsidRPr="00294640" w:rsidRDefault="0098385B" w:rsidP="002A68C7">
      <w:pPr>
        <w:pStyle w:val="Judgmentparagraph"/>
        <w:numPr>
          <w:ilvl w:val="0"/>
          <w:numId w:val="0"/>
        </w:numPr>
        <w:spacing w:line="240" w:lineRule="auto"/>
        <w:ind w:left="567"/>
      </w:pPr>
      <w:r w:rsidRPr="00294640">
        <w:t xml:space="preserve">"[53.] The Defendants plead that an agreement was entered between Sukema and IP Ventures (UK) on 20 July 2019. The IP agreement granted Sukema a licence to use the relevant software." </w:t>
      </w:r>
    </w:p>
    <w:p w14:paraId="20B53695" w14:textId="77777777" w:rsidR="00294640" w:rsidRPr="00294640" w:rsidRDefault="0098385B" w:rsidP="002A68C7">
      <w:pPr>
        <w:pStyle w:val="Judgmentparagraph"/>
        <w:numPr>
          <w:ilvl w:val="0"/>
          <w:numId w:val="0"/>
        </w:numPr>
        <w:spacing w:line="240" w:lineRule="auto"/>
        <w:ind w:left="567"/>
      </w:pPr>
      <w:r w:rsidRPr="00294640">
        <w:lastRenderedPageBreak/>
        <w:t>"[54.] An IP a</w:t>
      </w:r>
      <w:r w:rsidRPr="00294640">
        <w:t xml:space="preserve">greement was entered into between Sukema and IP Ventures (UK) on 20 July 2019." </w:t>
      </w:r>
    </w:p>
    <w:p w14:paraId="62FBC346" w14:textId="77777777" w:rsidR="002A68C7" w:rsidRDefault="0098385B" w:rsidP="00294640">
      <w:pPr>
        <w:pStyle w:val="Judgmentparagraph"/>
        <w:ind w:left="567" w:hanging="567"/>
      </w:pPr>
      <w:r>
        <w:t>The import of this is that IP</w:t>
      </w:r>
      <w:r w:rsidR="00B43997">
        <w:t xml:space="preserve"> Ventures (UK)</w:t>
      </w:r>
      <w:r>
        <w:t xml:space="preserve"> granted Sukema a license to use the software.  </w:t>
      </w:r>
    </w:p>
    <w:p w14:paraId="6F7F49C4" w14:textId="77777777" w:rsidR="00294640" w:rsidRPr="00294640" w:rsidRDefault="0098385B" w:rsidP="002A68C7">
      <w:pPr>
        <w:pStyle w:val="Judgmentparagraph"/>
        <w:ind w:left="567" w:hanging="567"/>
      </w:pPr>
      <w:r w:rsidRPr="00294640">
        <w:t>In answer, however, to allegations in the particulars of claim</w:t>
      </w:r>
      <w:r>
        <w:rPr>
          <w:rStyle w:val="FootnoteReference"/>
        </w:rPr>
        <w:footnoteReference w:id="1"/>
      </w:r>
      <w:r w:rsidRPr="00294640">
        <w:t xml:space="preserve"> that</w:t>
      </w:r>
      <w:r w:rsidR="002A68C7">
        <w:t xml:space="preserve"> </w:t>
      </w:r>
      <w:r w:rsidRPr="00294640">
        <w:t>Veridian is se</w:t>
      </w:r>
      <w:r w:rsidRPr="00294640">
        <w:t>eking to assume control over the business of and assets of Sukema</w:t>
      </w:r>
      <w:r w:rsidR="002A68C7">
        <w:t xml:space="preserve">, </w:t>
      </w:r>
      <w:r w:rsidRPr="00294640">
        <w:t>the defendants plead as follows:</w:t>
      </w:r>
    </w:p>
    <w:p w14:paraId="013DCF48" w14:textId="77777777" w:rsidR="00294640" w:rsidRPr="00294640" w:rsidRDefault="0098385B" w:rsidP="002A68C7">
      <w:pPr>
        <w:pStyle w:val="Judgmentparagraph"/>
        <w:numPr>
          <w:ilvl w:val="0"/>
          <w:numId w:val="0"/>
        </w:numPr>
        <w:spacing w:line="240" w:lineRule="auto"/>
        <w:ind w:left="567"/>
      </w:pPr>
      <w:r w:rsidRPr="00294640">
        <w:t>"[65.] The contents of this paragraph are denied, and the plaintiff is put to the proof thereof. The Defendants specifically plead that a third party, IP Ve</w:t>
      </w:r>
      <w:r w:rsidRPr="00294640">
        <w:t xml:space="preserve">ntures (UK), bought the Intellectual Property which represents the asset of Sukema at that stage". </w:t>
      </w:r>
    </w:p>
    <w:p w14:paraId="3B45A000" w14:textId="77777777" w:rsidR="00294640" w:rsidRPr="00294640" w:rsidRDefault="0098385B" w:rsidP="002A68C7">
      <w:pPr>
        <w:pStyle w:val="Judgmentparagraph"/>
        <w:numPr>
          <w:ilvl w:val="0"/>
          <w:numId w:val="0"/>
        </w:numPr>
        <w:spacing w:line="240" w:lineRule="auto"/>
        <w:ind w:left="567"/>
      </w:pPr>
      <w:r w:rsidRPr="00294640">
        <w:t>“[69.] The Defendants specifically plea that 100% of the value of the intellectual property was purchased by an international company IP Ventures (UK) and t</w:t>
      </w:r>
      <w:r w:rsidRPr="00294640">
        <w:t xml:space="preserve">he purchase price stands to be paid to the liquidator in due course.” </w:t>
      </w:r>
    </w:p>
    <w:p w14:paraId="7917E53B" w14:textId="77777777" w:rsidR="002A68C7" w:rsidRDefault="0098385B" w:rsidP="005C18EE">
      <w:pPr>
        <w:pStyle w:val="Judgmentparagraph"/>
        <w:ind w:left="567" w:hanging="567"/>
      </w:pPr>
      <w:r>
        <w:t>The import of this is that IP</w:t>
      </w:r>
      <w:r w:rsidR="00512464">
        <w:t xml:space="preserve"> Ventures</w:t>
      </w:r>
      <w:r>
        <w:t xml:space="preserve"> </w:t>
      </w:r>
      <w:r w:rsidR="00B43997">
        <w:t xml:space="preserve">(UK) </w:t>
      </w:r>
      <w:r>
        <w:t xml:space="preserve">has bought the app.  </w:t>
      </w:r>
    </w:p>
    <w:p w14:paraId="24C20DCF" w14:textId="77777777" w:rsidR="00512464" w:rsidRDefault="0098385B" w:rsidP="005C18EE">
      <w:pPr>
        <w:pStyle w:val="Judgmentparagraph"/>
        <w:ind w:left="567" w:hanging="567"/>
      </w:pPr>
      <w:r>
        <w:t xml:space="preserve">The first concern is that </w:t>
      </w:r>
      <w:r w:rsidR="002A68C7">
        <w:t>paragraphs</w:t>
      </w:r>
      <w:r>
        <w:t xml:space="preserve"> 53 and 65 are </w:t>
      </w:r>
      <w:r w:rsidR="002A68C7">
        <w:t>contradictory</w:t>
      </w:r>
      <w:r>
        <w:t xml:space="preserve">. </w:t>
      </w:r>
      <w:r w:rsidR="002A68C7">
        <w:t>Paragraph</w:t>
      </w:r>
      <w:r>
        <w:t xml:space="preserve"> 5</w:t>
      </w:r>
      <w:r w:rsidR="0014508F">
        <w:t>3</w:t>
      </w:r>
      <w:r>
        <w:t xml:space="preserve"> </w:t>
      </w:r>
      <w:r w:rsidR="0014508F">
        <w:t>pleads that the IP agreemen</w:t>
      </w:r>
      <w:r w:rsidR="002A68C7">
        <w:t>t</w:t>
      </w:r>
      <w:r w:rsidR="0014508F">
        <w:t xml:space="preserve"> granted Sukema a “license to use the software”. </w:t>
      </w:r>
      <w:r w:rsidR="002A68C7">
        <w:t>I</w:t>
      </w:r>
      <w:r w:rsidR="0014508F">
        <w:t xml:space="preserve">n paragraph 65, </w:t>
      </w:r>
      <w:r w:rsidR="002A68C7">
        <w:t xml:space="preserve">the first and second defendants plead </w:t>
      </w:r>
      <w:r w:rsidR="0014508F">
        <w:t>that IP</w:t>
      </w:r>
      <w:r>
        <w:t xml:space="preserve"> Ventures</w:t>
      </w:r>
      <w:r w:rsidR="0014508F">
        <w:t xml:space="preserve"> obtained the app from Sukema</w:t>
      </w:r>
      <w:r w:rsidR="009B630A">
        <w:t xml:space="preserve">: “the defendants specifically plead that a third </w:t>
      </w:r>
      <w:r w:rsidR="002A68C7">
        <w:t>party</w:t>
      </w:r>
      <w:r w:rsidR="009B630A">
        <w:t xml:space="preserve">, IP Ventures (UK) </w:t>
      </w:r>
      <w:r w:rsidR="002A68C7">
        <w:t>bought</w:t>
      </w:r>
      <w:r w:rsidR="009B630A">
        <w:t xml:space="preserve"> the Intellectual property which represents the asset of Sukema at </w:t>
      </w:r>
      <w:r w:rsidR="002A68C7">
        <w:t>t</w:t>
      </w:r>
      <w:r w:rsidR="009B630A">
        <w:t xml:space="preserve">hat stage”. </w:t>
      </w:r>
      <w:r w:rsidR="0014508F">
        <w:t xml:space="preserve"> </w:t>
      </w:r>
    </w:p>
    <w:p w14:paraId="43987DF7" w14:textId="77777777" w:rsidR="00512464" w:rsidRDefault="0098385B" w:rsidP="00927534">
      <w:pPr>
        <w:pStyle w:val="Judgmentparagraph"/>
        <w:ind w:left="567" w:hanging="567"/>
      </w:pPr>
      <w:r>
        <w:t>These allegations cannot both be true. They are, in fact, destructive</w:t>
      </w:r>
      <w:r w:rsidR="002A68C7">
        <w:t xml:space="preserve"> versions</w:t>
      </w:r>
      <w:r>
        <w:t xml:space="preserve">. </w:t>
      </w:r>
      <w:r w:rsidR="002A68C7">
        <w:t>Not only is it unclear who bought the app, it is unclear who currently owns the app.</w:t>
      </w:r>
      <w:r w:rsidR="00927534">
        <w:t xml:space="preserve"> </w:t>
      </w:r>
      <w:r w:rsidR="00E45836">
        <w:t>The effect of the contradiction is that the plaintiff cannot be clear about what the defendants' defence is. The plaintiff is prejudiced because it does not know what case it is to meet: one where the app has been sold to or from IP</w:t>
      </w:r>
      <w:r>
        <w:t xml:space="preserve"> Ventures</w:t>
      </w:r>
      <w:r w:rsidR="00E45836">
        <w:t>.</w:t>
      </w:r>
    </w:p>
    <w:p w14:paraId="4C25364F" w14:textId="77777777" w:rsidR="00AD09FC" w:rsidRDefault="0098385B" w:rsidP="00B43997">
      <w:pPr>
        <w:pStyle w:val="Judgmentparagraph"/>
        <w:ind w:left="567" w:hanging="567"/>
      </w:pPr>
      <w:r>
        <w:t>Our courts have</w:t>
      </w:r>
      <w:r w:rsidR="00512464">
        <w:t xml:space="preserve"> accepted that an</w:t>
      </w:r>
      <w:r w:rsidR="00512464" w:rsidRPr="00294640">
        <w:t xml:space="preserve"> exception that a pleading is vague or embarrassing will not be allowed unless the excipient will be seriously prejudiced if the offending allegations were not expunged.</w:t>
      </w:r>
      <w:r>
        <w:rPr>
          <w:rStyle w:val="FootnoteReference"/>
        </w:rPr>
        <w:footnoteReference w:id="2"/>
      </w:r>
      <w:r w:rsidR="00512464" w:rsidRPr="00294640">
        <w:t xml:space="preserve"> The effect of this is that the exception can be taken only if the vagueness relates to the cause of action.</w:t>
      </w:r>
      <w:r>
        <w:rPr>
          <w:rStyle w:val="FootnoteReference"/>
        </w:rPr>
        <w:footnoteReference w:id="3"/>
      </w:r>
      <w:r w:rsidR="00512464" w:rsidRPr="00294640">
        <w:t xml:space="preserve"> Such embarrassment may occur where the admission of one or two sets of contradictory allegations in the plaintiff’s </w:t>
      </w:r>
      <w:r w:rsidR="00512464" w:rsidRPr="00294640">
        <w:lastRenderedPageBreak/>
        <w:t>particulars of claim or declaration, destroys the plaintiff’s cause of</w:t>
      </w:r>
      <w:r w:rsidR="00512464">
        <w:t xml:space="preserve"> </w:t>
      </w:r>
      <w:r w:rsidR="00512464" w:rsidRPr="00294640">
        <w:t>action.</w:t>
      </w:r>
      <w:r>
        <w:rPr>
          <w:rStyle w:val="FootnoteReference"/>
        </w:rPr>
        <w:footnoteReference w:id="4"/>
      </w:r>
      <w:r w:rsidR="00512464" w:rsidRPr="00294640">
        <w:t xml:space="preserve"> (and, by extension, the grounds of defence). In other words, averments in a pleading which are contradictory and which are not pleaded in the alternative are patently vague and embarrassing.</w:t>
      </w:r>
      <w:r>
        <w:rPr>
          <w:rStyle w:val="FootnoteReference"/>
        </w:rPr>
        <w:footnoteReference w:id="5"/>
      </w:r>
      <w:r w:rsidR="00512464" w:rsidRPr="00294640">
        <w:t xml:space="preserve"> </w:t>
      </w:r>
      <w:r w:rsidR="001F793F">
        <w:t xml:space="preserve"> </w:t>
      </w:r>
      <w:r w:rsidR="00B43997">
        <w:t>Even if they were not destructive paragraphs, our courts have held that</w:t>
      </w:r>
      <w:r w:rsidR="001F793F">
        <w:t xml:space="preserve"> </w:t>
      </w:r>
      <w:r w:rsidR="0021130D">
        <w:t>a</w:t>
      </w:r>
      <w:r w:rsidR="001F793F" w:rsidRPr="001F793F">
        <w:t xml:space="preserve"> statement is vague if it is either meaningless or capable of more than one meaning.</w:t>
      </w:r>
      <w:r>
        <w:rPr>
          <w:rStyle w:val="FootnoteReference"/>
        </w:rPr>
        <w:footnoteReference w:id="6"/>
      </w:r>
      <w:r w:rsidR="001F793F" w:rsidRPr="001F793F">
        <w:t xml:space="preserve"> </w:t>
      </w:r>
      <w:r w:rsidR="00B43997">
        <w:t>I also note the authority which has held that</w:t>
      </w:r>
      <w:r w:rsidR="0021130D" w:rsidRPr="0021130D">
        <w:t xml:space="preserve"> contradiction between the </w:t>
      </w:r>
      <w:r w:rsidR="00B43997">
        <w:t>p</w:t>
      </w:r>
      <w:r w:rsidR="0021130D" w:rsidRPr="0021130D">
        <w:t xml:space="preserve">articulars of </w:t>
      </w:r>
      <w:r w:rsidR="004261AF">
        <w:t>c</w:t>
      </w:r>
      <w:r w:rsidR="0021130D" w:rsidRPr="0021130D">
        <w:t>laim as well as the annexures, will result in a pleading to be vague and embarrassing and should be set aside.</w:t>
      </w:r>
      <w:r>
        <w:rPr>
          <w:rStyle w:val="FootnoteReference"/>
        </w:rPr>
        <w:footnoteReference w:id="7"/>
      </w:r>
      <w:r w:rsidR="0021130D" w:rsidRPr="0021130D">
        <w:t xml:space="preserve"> </w:t>
      </w:r>
      <w:r w:rsidR="004261AF">
        <w:t>I see no reason why this principle ought not apply to the context of a plea which contradicts itself.</w:t>
      </w:r>
    </w:p>
    <w:p w14:paraId="4AA15CC6" w14:textId="77777777" w:rsidR="00AD09FC" w:rsidRPr="00294640" w:rsidRDefault="0098385B" w:rsidP="00AD09FC">
      <w:pPr>
        <w:pStyle w:val="Judgmentparagraph"/>
        <w:ind w:left="567" w:hanging="567"/>
      </w:pPr>
      <w:r>
        <w:t>In</w:t>
      </w:r>
      <w:r w:rsidRPr="00294640">
        <w:t xml:space="preserve"> each case, the Court is obliged first of all to consider whether the pleading does lack particularity to an extent amounting to vagueness. If a statement is vague, it is </w:t>
      </w:r>
      <w:r w:rsidRPr="00294640">
        <w:t>either meaningless or capable of more than one meaning. To put it at its simplest, the reader must be unable to distil from the statement a clear, single meaning</w:t>
      </w:r>
      <w:r>
        <w:t>.</w:t>
      </w:r>
      <w:r>
        <w:rPr>
          <w:rStyle w:val="FootnoteReference"/>
        </w:rPr>
        <w:footnoteReference w:id="8"/>
      </w:r>
      <w:r>
        <w:t xml:space="preserve">  In this case, there is no one clear single meaning – as there are two contradictory meaning</w:t>
      </w:r>
      <w:r>
        <w:t xml:space="preserve">s. </w:t>
      </w:r>
    </w:p>
    <w:p w14:paraId="2B70FD3C" w14:textId="77777777" w:rsidR="002A68C7" w:rsidRDefault="0098385B" w:rsidP="00927534">
      <w:pPr>
        <w:pStyle w:val="Judgmentparagraph"/>
        <w:ind w:left="567" w:hanging="567"/>
      </w:pPr>
      <w:r>
        <w:t xml:space="preserve">In addition, </w:t>
      </w:r>
      <w:r w:rsidR="00927534" w:rsidRPr="00294640">
        <w:t xml:space="preserve">the fundamental requirements of Rule 18(4) provide that every pleading shall contain a clear and concise statement of the material facts upon which the pleader relies for his claim, defence or answer to any pleading, as the case may be, with sufficient particularity to enable the opposite party to plead thereto. </w:t>
      </w:r>
      <w:r w:rsidR="00927534">
        <w:t>As the allegations are contradictory and were not pleaded in the alternative</w:t>
      </w:r>
      <w:r>
        <w:t>, the plea does not meet the standard set in Rule 18(4) as it contains</w:t>
      </w:r>
      <w:r w:rsidR="00927534">
        <w:t xml:space="preserve"> vague and embarrassing</w:t>
      </w:r>
      <w:r>
        <w:t xml:space="preserve"> allegations</w:t>
      </w:r>
      <w:r w:rsidR="00927534">
        <w:t>.</w:t>
      </w:r>
    </w:p>
    <w:p w14:paraId="28AFB074" w14:textId="4F678662" w:rsidR="008446C6" w:rsidRDefault="0098385B" w:rsidP="008446C6">
      <w:pPr>
        <w:pStyle w:val="Judgmentparagraph"/>
        <w:ind w:left="567" w:hanging="567"/>
      </w:pPr>
      <w:r>
        <w:t xml:space="preserve">The defendant has drawn the Court’s attention to the Supreme Court of Appeal judgment in </w:t>
      </w:r>
      <w:r w:rsidRPr="008446C6">
        <w:rPr>
          <w:i/>
          <w:iCs/>
        </w:rPr>
        <w:t>Vermeulen</w:t>
      </w:r>
      <w:r>
        <w:rPr>
          <w:rStyle w:val="FootnoteReference"/>
        </w:rPr>
        <w:footnoteReference w:id="9"/>
      </w:r>
      <w:r>
        <w:t xml:space="preserve"> as authority for the proposition that i</w:t>
      </w:r>
      <w:r w:rsidRPr="008446C6">
        <w:t>f evidence can be led which can disclose a cause of action or defence alleged in a pleading, that particular pleadi</w:t>
      </w:r>
      <w:r w:rsidRPr="008446C6">
        <w:t>ng is not ex</w:t>
      </w:r>
      <w:r w:rsidR="008374FB">
        <w:t>ci</w:t>
      </w:r>
      <w:r w:rsidRPr="008446C6">
        <w:t>piable. A pleading is only ex</w:t>
      </w:r>
      <w:r w:rsidR="008374FB">
        <w:t>ci</w:t>
      </w:r>
      <w:r w:rsidRPr="008446C6">
        <w:t xml:space="preserve">piable on the basis that no possible </w:t>
      </w:r>
      <w:r w:rsidRPr="008446C6">
        <w:lastRenderedPageBreak/>
        <w:t xml:space="preserve">evidence led to the pleadings can disclose a cause of action or defence. </w:t>
      </w:r>
      <w:r>
        <w:t>The difficulty is that the defendants would have to lead evidence of mutually destructive versions in</w:t>
      </w:r>
      <w:r>
        <w:t xml:space="preserve"> order to save their contradictory pleadings</w:t>
      </w:r>
      <w:r w:rsidR="00B43997">
        <w:t>, and even if not destructive, the plea does not present one clear meaning. It would be prejudicial to the plaintiff were the defendant permitted to clarify this through evidence. The plaintiff is entitled to know, at this stage, what the defence is that it has to meet.</w:t>
      </w:r>
    </w:p>
    <w:p w14:paraId="77111AD1" w14:textId="77777777" w:rsidR="002A68C7" w:rsidRDefault="0098385B" w:rsidP="005C18EE">
      <w:pPr>
        <w:pStyle w:val="Judgmentparagraph"/>
        <w:ind w:left="567" w:hanging="567"/>
      </w:pPr>
      <w:r>
        <w:t xml:space="preserve">Second, the defendants are relying on an agreement referred to as the IP agreement. The defendants pleaded in paragraph 54 that </w:t>
      </w:r>
      <w:r w:rsidR="00512464">
        <w:t>-</w:t>
      </w:r>
    </w:p>
    <w:p w14:paraId="663ECB78" w14:textId="77777777" w:rsidR="002A68C7" w:rsidRDefault="0098385B" w:rsidP="002A68C7">
      <w:pPr>
        <w:pStyle w:val="Judgmentparagraph"/>
        <w:numPr>
          <w:ilvl w:val="0"/>
          <w:numId w:val="0"/>
        </w:numPr>
        <w:spacing w:line="240" w:lineRule="auto"/>
        <w:ind w:left="567"/>
      </w:pPr>
      <w:r>
        <w:t>“An IP agreement was entered into between Sukema and IP Ventures (U</w:t>
      </w:r>
      <w:r>
        <w:t xml:space="preserve">K) on 20 July 2019.”  </w:t>
      </w:r>
    </w:p>
    <w:p w14:paraId="1210AB10" w14:textId="77777777" w:rsidR="0014508F" w:rsidRDefault="0098385B" w:rsidP="00512464">
      <w:pPr>
        <w:pStyle w:val="Judgmentparagraph"/>
        <w:ind w:left="567" w:hanging="567"/>
      </w:pPr>
      <w:r>
        <w:t>R</w:t>
      </w:r>
      <w:r w:rsidR="002A68C7">
        <w:t>u</w:t>
      </w:r>
      <w:r>
        <w:t xml:space="preserve">le 18(6) of the </w:t>
      </w:r>
      <w:r w:rsidR="007B3811">
        <w:t>Uniform</w:t>
      </w:r>
      <w:r>
        <w:t xml:space="preserve"> </w:t>
      </w:r>
      <w:r w:rsidR="007B3811">
        <w:t>R</w:t>
      </w:r>
      <w:r>
        <w:t>ules of Cou</w:t>
      </w:r>
      <w:r w:rsidR="007B3811">
        <w:t>r</w:t>
      </w:r>
      <w:r>
        <w:t xml:space="preserve">t requires a specific </w:t>
      </w:r>
      <w:r w:rsidR="007B3811">
        <w:t>particularity</w:t>
      </w:r>
      <w:r>
        <w:t xml:space="preserve"> to pleading a contract. </w:t>
      </w:r>
      <w:r w:rsidR="00512464">
        <w:t xml:space="preserve">These requirements have not been met. In particular, the defendants have failed to </w:t>
      </w:r>
      <w:r w:rsidRPr="0014508F">
        <w:t xml:space="preserve">furnish any particularity regarding the parties to </w:t>
      </w:r>
      <w:r w:rsidRPr="0014508F">
        <w:t>the IP agreement; sufficiently identif</w:t>
      </w:r>
      <w:r w:rsidR="00B43997">
        <w:t>i</w:t>
      </w:r>
      <w:r w:rsidR="00927534">
        <w:t>ed</w:t>
      </w:r>
      <w:r w:rsidRPr="0014508F">
        <w:t xml:space="preserve"> IP Ventures (UK) (whether as a sole proprietorship, a South African registered entity, or an entity registered in a foreign jurisdiction); indicate</w:t>
      </w:r>
      <w:r w:rsidR="00927534">
        <w:t>d</w:t>
      </w:r>
      <w:r w:rsidRPr="0014508F">
        <w:t xml:space="preserve"> who represented those parties in the conclusion of the IP agreeme</w:t>
      </w:r>
      <w:r w:rsidRPr="0014508F">
        <w:t>nt; plead</w:t>
      </w:r>
      <w:r w:rsidR="00927534">
        <w:t>ed</w:t>
      </w:r>
      <w:r w:rsidRPr="0014508F">
        <w:t xml:space="preserve"> the precise terms of the IP agreement as relied upon; plead</w:t>
      </w:r>
      <w:r w:rsidR="00927534">
        <w:t>ed</w:t>
      </w:r>
      <w:r w:rsidRPr="0014508F">
        <w:t xml:space="preserve"> whether the IP Agreement was oral or in writing</w:t>
      </w:r>
      <w:r w:rsidR="00512464">
        <w:t xml:space="preserve"> and </w:t>
      </w:r>
      <w:r w:rsidRPr="0014508F">
        <w:t xml:space="preserve">to the extent that the IP agreement was in writing, no copy is attached. </w:t>
      </w:r>
    </w:p>
    <w:p w14:paraId="247F50F1" w14:textId="77777777" w:rsidR="003B1408" w:rsidRDefault="0098385B" w:rsidP="00512464">
      <w:pPr>
        <w:pStyle w:val="Judgmentparagraph"/>
        <w:ind w:left="567" w:hanging="567"/>
      </w:pPr>
      <w:r>
        <w:t>There have been different views in the various jurisdict</w:t>
      </w:r>
      <w:r>
        <w:t xml:space="preserve">ions regarding the obligation to attach the written agreement. Much of this disagreement centres on instances where the original could not be located or where it had been destroyed. Fortunately, this is not such a case.  </w:t>
      </w:r>
    </w:p>
    <w:p w14:paraId="4350F602" w14:textId="77777777" w:rsidR="00B43997" w:rsidRDefault="0098385B" w:rsidP="00B43997">
      <w:pPr>
        <w:pStyle w:val="Judgmentparagraph"/>
        <w:ind w:left="567" w:hanging="567"/>
      </w:pPr>
      <w:r>
        <w:t>The issue rather is the lack of pa</w:t>
      </w:r>
      <w:r>
        <w:t xml:space="preserve">rticularity regarding this IP agreement. </w:t>
      </w:r>
      <w:r w:rsidR="003B1408">
        <w:t xml:space="preserve">The </w:t>
      </w:r>
      <w:r>
        <w:t xml:space="preserve">plaintiff’s </w:t>
      </w:r>
      <w:r w:rsidR="003B1408">
        <w:t xml:space="preserve">complaint is broader than just stating the agreement is not attached – the plaintiff's complaint is that it has no information regarding this agreement, it does not know who the parties are or what they agreed on, whether the agreement was in writing or oral. </w:t>
      </w:r>
      <w:r w:rsidR="0084218D">
        <w:t xml:space="preserve">The plaintiff does not know </w:t>
      </w:r>
      <w:r w:rsidR="0084218D" w:rsidRPr="0084218D">
        <w:t xml:space="preserve">what (if anything) was, in fact, sold to IP Ventures (UK); what (if anything) was licensed to Sukema; when consideration would be paid for the assets of Sukema (including the Chase App); </w:t>
      </w:r>
      <w:r w:rsidR="0084218D">
        <w:t xml:space="preserve">and </w:t>
      </w:r>
      <w:r w:rsidR="0084218D" w:rsidRPr="0084218D">
        <w:t xml:space="preserve">what bearing (if any) the IP agreement has in response to the plaintiff’s averments contained in paragraphs 38, </w:t>
      </w:r>
      <w:r w:rsidR="0084218D" w:rsidRPr="0084218D">
        <w:lastRenderedPageBreak/>
        <w:t xml:space="preserve">39, 46 and 48 of the particulars of claim and its assertions that Veridian has taken transfer of the Chase App. </w:t>
      </w:r>
    </w:p>
    <w:p w14:paraId="13FA7702" w14:textId="77777777" w:rsidR="0021130D" w:rsidRPr="0021130D" w:rsidRDefault="0098385B" w:rsidP="003B1408">
      <w:pPr>
        <w:pStyle w:val="Judgmentparagraph"/>
        <w:ind w:left="567" w:hanging="567"/>
      </w:pPr>
      <w:r>
        <w:t xml:space="preserve">If the </w:t>
      </w:r>
      <w:r>
        <w:t xml:space="preserve">agreement was in writing and not attached – in these circumstances - </w:t>
      </w:r>
      <w:r w:rsidRPr="0021130D">
        <w:rPr>
          <w:lang w:val="en-GB"/>
        </w:rPr>
        <w:t xml:space="preserve">would only offend Uniform Rule 18(6) if the party relied on such agreement. In explaining the meaning of the phrase 'relying on a contract', Swain J in </w:t>
      </w:r>
      <w:r w:rsidRPr="0021130D">
        <w:rPr>
          <w:i/>
          <w:iCs/>
          <w:lang w:val="en-GB"/>
        </w:rPr>
        <w:t>Moosa and others NNO v Hassam and o</w:t>
      </w:r>
      <w:r w:rsidRPr="0021130D">
        <w:rPr>
          <w:i/>
          <w:iCs/>
          <w:lang w:val="en-GB"/>
        </w:rPr>
        <w:t>thers NNO</w:t>
      </w:r>
      <w:r>
        <w:rPr>
          <w:rStyle w:val="FootnoteReference"/>
          <w:i/>
          <w:iCs/>
          <w:lang w:val="en-GB"/>
        </w:rPr>
        <w:footnoteReference w:id="10"/>
      </w:r>
      <w:r w:rsidRPr="0021130D">
        <w:rPr>
          <w:i/>
          <w:iCs/>
          <w:lang w:val="en-GB"/>
        </w:rPr>
        <w:t xml:space="preserve"> </w:t>
      </w:r>
      <w:r w:rsidRPr="0021130D">
        <w:rPr>
          <w:lang w:val="en-GB"/>
        </w:rPr>
        <w:t xml:space="preserve">held that: </w:t>
      </w:r>
    </w:p>
    <w:p w14:paraId="0AB437C2" w14:textId="77777777" w:rsidR="0021130D" w:rsidRPr="0021130D" w:rsidRDefault="0098385B" w:rsidP="003B1408">
      <w:pPr>
        <w:pStyle w:val="Judgmentparagraph"/>
        <w:numPr>
          <w:ilvl w:val="0"/>
          <w:numId w:val="0"/>
        </w:numPr>
        <w:spacing w:line="240" w:lineRule="auto"/>
        <w:ind w:left="567"/>
        <w:rPr>
          <w:lang w:val="en-GB"/>
        </w:rPr>
      </w:pPr>
      <w:r w:rsidRPr="0021130D">
        <w:rPr>
          <w:lang w:val="en-GB"/>
        </w:rPr>
        <w:t xml:space="preserve">‘. . . A party clearly “relies upon a contract” when he uses it as a “link in the chain of his cause of action”.’ </w:t>
      </w:r>
    </w:p>
    <w:p w14:paraId="3ECBD183" w14:textId="00108D7E" w:rsidR="00805D28" w:rsidRDefault="0098385B" w:rsidP="003B1408">
      <w:pPr>
        <w:pStyle w:val="Judgmentparagraph"/>
        <w:ind w:left="567" w:hanging="567"/>
        <w:rPr>
          <w:lang w:val="en-GB"/>
        </w:rPr>
      </w:pPr>
      <w:r>
        <w:rPr>
          <w:lang w:val="en-GB"/>
        </w:rPr>
        <w:t xml:space="preserve">The defendants are relying on this contract to avoid the breach of their duties as directors. It is directly relevant </w:t>
      </w:r>
      <w:r>
        <w:rPr>
          <w:lang w:val="en-GB"/>
        </w:rPr>
        <w:t>to the defendants</w:t>
      </w:r>
      <w:r w:rsidR="008374FB">
        <w:rPr>
          <w:lang w:val="en-GB"/>
        </w:rPr>
        <w:t>’</w:t>
      </w:r>
      <w:r>
        <w:rPr>
          <w:lang w:val="en-GB"/>
        </w:rPr>
        <w:t xml:space="preserve"> plea.</w:t>
      </w:r>
    </w:p>
    <w:p w14:paraId="2C3165BC" w14:textId="77777777" w:rsidR="0084218D" w:rsidRDefault="0098385B" w:rsidP="003B1408">
      <w:pPr>
        <w:pStyle w:val="Judgmentparagraph"/>
        <w:ind w:left="567" w:hanging="567"/>
        <w:rPr>
          <w:lang w:val="en-GB"/>
        </w:rPr>
      </w:pPr>
      <w:r>
        <w:rPr>
          <w:lang w:val="en-GB"/>
        </w:rPr>
        <w:t xml:space="preserve">In addition, the plaintiff has argued – </w:t>
      </w:r>
    </w:p>
    <w:p w14:paraId="7E189A49" w14:textId="77777777" w:rsidR="0084218D" w:rsidRPr="0084218D" w:rsidRDefault="0098385B" w:rsidP="0084218D">
      <w:pPr>
        <w:pStyle w:val="Judgmentparagraph"/>
        <w:numPr>
          <w:ilvl w:val="0"/>
          <w:numId w:val="0"/>
        </w:numPr>
        <w:spacing w:line="240" w:lineRule="auto"/>
        <w:ind w:left="567"/>
      </w:pPr>
      <w:r>
        <w:rPr>
          <w:lang w:val="en-GB"/>
        </w:rPr>
        <w:t>“</w:t>
      </w:r>
      <w:r w:rsidRPr="0084218D">
        <w:t xml:space="preserve">The plea is entirely devoid of factual averments that are sufficiently coherent to sustain the defendants’ defence in respect of the plaintiff’s assertion that the defendants have </w:t>
      </w:r>
      <w:r w:rsidRPr="0084218D">
        <w:t>unlawfully transferred the Chase App to Verdian. The plaintiff is simply unable to discern the position in relation to the Chase App. Where the plea is vague and embarrassing, it strikes at the root of the defendants’ defence.</w:t>
      </w:r>
      <w:r>
        <w:t>”</w:t>
      </w:r>
      <w:r w:rsidRPr="0084218D">
        <w:t xml:space="preserve"> </w:t>
      </w:r>
    </w:p>
    <w:p w14:paraId="10E3DD2E" w14:textId="77777777" w:rsidR="001840BF" w:rsidRDefault="0098385B" w:rsidP="003B1408">
      <w:pPr>
        <w:pStyle w:val="Judgmentparagraph"/>
        <w:ind w:left="567" w:hanging="567"/>
        <w:rPr>
          <w:lang w:val="en-GB"/>
        </w:rPr>
      </w:pPr>
      <w:r>
        <w:rPr>
          <w:lang w:val="en-GB"/>
        </w:rPr>
        <w:t>The submission is sound.</w:t>
      </w:r>
    </w:p>
    <w:p w14:paraId="10A8EE87" w14:textId="77777777" w:rsidR="003166D1" w:rsidRPr="00762DA6" w:rsidRDefault="0098385B" w:rsidP="00762DA6">
      <w:pPr>
        <w:pStyle w:val="Judgmentparagraph"/>
        <w:ind w:left="567" w:hanging="567"/>
        <w:rPr>
          <w:lang w:val="en-GB"/>
        </w:rPr>
      </w:pPr>
      <w:r>
        <w:t xml:space="preserve">The test remains that the plaintiff has to prove that it is prejudiced in understanding the defence raised. </w:t>
      </w:r>
      <w:r w:rsidR="003B1408">
        <w:rPr>
          <w:lang w:val="en-GB"/>
        </w:rPr>
        <w:t>In this case, the defendants clearly rely on the contract to defeat the plaintiff's claim of a breach of the Companies Act. However, what exactly the defence is is not clear. Regardless of the different views</w:t>
      </w:r>
      <w:r w:rsidR="0084218D">
        <w:rPr>
          <w:lang w:val="en-GB"/>
        </w:rPr>
        <w:t xml:space="preserve"> on the obligation to attach a written agreement</w:t>
      </w:r>
      <w:r w:rsidR="003B1408">
        <w:rPr>
          <w:lang w:val="en-GB"/>
        </w:rPr>
        <w:t>,</w:t>
      </w:r>
      <w:r>
        <w:rPr>
          <w:rStyle w:val="FootnoteReference"/>
          <w:lang w:val="en-GB"/>
        </w:rPr>
        <w:footnoteReference w:id="11"/>
      </w:r>
      <w:r w:rsidR="003B1408">
        <w:rPr>
          <w:lang w:val="en-GB"/>
        </w:rPr>
        <w:t xml:space="preserve">  the plaintiff does not know what the defence is.</w:t>
      </w:r>
      <w:r w:rsidR="0084218D">
        <w:rPr>
          <w:lang w:val="en-GB"/>
        </w:rPr>
        <w:t xml:space="preserve"> It is prejudiced in knowing what case it has to meet at trial.</w:t>
      </w:r>
    </w:p>
    <w:p w14:paraId="3BD36917" w14:textId="77777777" w:rsidR="0084218D" w:rsidRDefault="0098385B" w:rsidP="003B1408">
      <w:pPr>
        <w:pStyle w:val="Judgmentparagraph"/>
        <w:ind w:left="567" w:hanging="567"/>
        <w:rPr>
          <w:lang w:val="en-GB"/>
        </w:rPr>
      </w:pPr>
      <w:r>
        <w:rPr>
          <w:lang w:val="en-GB"/>
        </w:rPr>
        <w:t>I, therefore</w:t>
      </w:r>
      <w:r w:rsidR="004261AF">
        <w:rPr>
          <w:lang w:val="en-GB"/>
        </w:rPr>
        <w:t>, for all these reasons,</w:t>
      </w:r>
      <w:r>
        <w:rPr>
          <w:lang w:val="en-GB"/>
        </w:rPr>
        <w:t xml:space="preserve"> uphold the first exception.</w:t>
      </w:r>
    </w:p>
    <w:p w14:paraId="38736C1A" w14:textId="77777777" w:rsidR="0084218D" w:rsidRPr="001840BF" w:rsidRDefault="0098385B" w:rsidP="001840BF">
      <w:pPr>
        <w:pStyle w:val="Judgmentparagraph"/>
        <w:numPr>
          <w:ilvl w:val="0"/>
          <w:numId w:val="0"/>
        </w:numPr>
        <w:rPr>
          <w:b/>
          <w:bCs/>
          <w:lang w:val="en-GB"/>
        </w:rPr>
      </w:pPr>
      <w:r w:rsidRPr="001840BF">
        <w:rPr>
          <w:b/>
          <w:bCs/>
          <w:lang w:val="en-GB"/>
        </w:rPr>
        <w:t>Second exception</w:t>
      </w:r>
    </w:p>
    <w:p w14:paraId="3F06E5A1" w14:textId="77777777" w:rsidR="004261AF" w:rsidRDefault="0098385B" w:rsidP="001840BF">
      <w:pPr>
        <w:pStyle w:val="Judgmentparagraph"/>
        <w:ind w:left="567" w:hanging="567"/>
      </w:pPr>
      <w:r>
        <w:t xml:space="preserve">The plaintiff’s exception </w:t>
      </w:r>
      <w:r w:rsidR="00BC3FB3">
        <w:t>relates to the</w:t>
      </w:r>
      <w:r w:rsidR="001840BF" w:rsidRPr="001840BF">
        <w:t xml:space="preserve"> plaintiff’s assertions that the defendants have continued to trade Sukema’s business via Veridian</w:t>
      </w:r>
      <w:r w:rsidR="00BC3FB3">
        <w:t>. This continued trade has taken place</w:t>
      </w:r>
      <w:r w:rsidR="001840BF" w:rsidRPr="001840BF">
        <w:t xml:space="preserve"> </w:t>
      </w:r>
      <w:r w:rsidR="00BC3FB3">
        <w:t>“</w:t>
      </w:r>
      <w:r w:rsidR="001840BF" w:rsidRPr="001840BF">
        <w:t>under the guise</w:t>
      </w:r>
      <w:r w:rsidR="00BC3FB3">
        <w:t>”</w:t>
      </w:r>
      <w:r w:rsidR="001840BF" w:rsidRPr="001840BF">
        <w:t xml:space="preserve"> of the trading name "Chase Solutions", which is the same trading name as Sukema</w:t>
      </w:r>
      <w:r w:rsidR="00BC3FB3">
        <w:t>. The same business and name are being used –</w:t>
      </w:r>
      <w:r w:rsidR="001840BF" w:rsidRPr="001840BF">
        <w:t xml:space="preserve">the plaintiff </w:t>
      </w:r>
      <w:r w:rsidR="001840BF" w:rsidRPr="001840BF">
        <w:lastRenderedPageBreak/>
        <w:t>has received no consideration or value</w:t>
      </w:r>
      <w:r w:rsidR="00BC3FB3">
        <w:t xml:space="preserve"> for this. </w:t>
      </w:r>
      <w:r>
        <w:t>In this way,</w:t>
      </w:r>
      <w:r w:rsidR="00BC3FB3">
        <w:t xml:space="preserve"> the plaintiff contends the defendants stole its business. </w:t>
      </w:r>
    </w:p>
    <w:p w14:paraId="06A43692" w14:textId="77777777" w:rsidR="001840BF" w:rsidRPr="001840BF" w:rsidRDefault="0098385B" w:rsidP="001840BF">
      <w:pPr>
        <w:pStyle w:val="Judgmentparagraph"/>
        <w:ind w:left="567" w:hanging="567"/>
      </w:pPr>
      <w:r>
        <w:t xml:space="preserve">The </w:t>
      </w:r>
      <w:r w:rsidR="004261AF">
        <w:t xml:space="preserve">defendants’ </w:t>
      </w:r>
      <w:r>
        <w:t xml:space="preserve">response to this is </w:t>
      </w:r>
      <w:r w:rsidRPr="001840BF">
        <w:t xml:space="preserve">paragraphs 42 and 43, </w:t>
      </w:r>
      <w:r>
        <w:t>in which the defendants raise the defence</w:t>
      </w:r>
      <w:r w:rsidRPr="001840BF">
        <w:t xml:space="preserve"> that: </w:t>
      </w:r>
    </w:p>
    <w:p w14:paraId="64CE33C9" w14:textId="77777777" w:rsidR="001840BF" w:rsidRPr="001840BF" w:rsidRDefault="0098385B" w:rsidP="00B4430C">
      <w:pPr>
        <w:pStyle w:val="Judgmentparagraph"/>
        <w:numPr>
          <w:ilvl w:val="1"/>
          <w:numId w:val="23"/>
        </w:numPr>
      </w:pPr>
      <w:r w:rsidRPr="001840BF">
        <w:t xml:space="preserve">the trading name of "Chase Solutions" has represented a trading name for the defendants since 2015 </w:t>
      </w:r>
      <w:r w:rsidR="004261AF">
        <w:t>and</w:t>
      </w:r>
    </w:p>
    <w:p w14:paraId="55A5A16D" w14:textId="77777777" w:rsidR="001840BF" w:rsidRPr="001840BF" w:rsidRDefault="0098385B" w:rsidP="00B4430C">
      <w:pPr>
        <w:pStyle w:val="Judgmentparagraph"/>
        <w:numPr>
          <w:ilvl w:val="1"/>
          <w:numId w:val="23"/>
        </w:numPr>
      </w:pPr>
      <w:r w:rsidRPr="001840BF">
        <w:t>they adopted the trading name because there has been c</w:t>
      </w:r>
      <w:r w:rsidRPr="001840BF">
        <w:t xml:space="preserve">onfusion in the past. </w:t>
      </w:r>
    </w:p>
    <w:p w14:paraId="4E2EB2A8" w14:textId="77777777" w:rsidR="001840BF" w:rsidRPr="001840BF" w:rsidRDefault="0098385B" w:rsidP="004261AF">
      <w:pPr>
        <w:pStyle w:val="Judgmentparagraph"/>
        <w:ind w:left="567" w:hanging="567"/>
      </w:pPr>
      <w:r>
        <w:t xml:space="preserve">The plaintiff’s complaint is that </w:t>
      </w:r>
      <w:r w:rsidRPr="001840BF">
        <w:t>the plea is entirely devoid of facts establishing the connection between Veridian and Sukema, which entity exactly is trading under the name “Chase Solutions”, and to the extent that it is Veridian t</w:t>
      </w:r>
      <w:r w:rsidRPr="001840BF">
        <w:t xml:space="preserve">rading as “Chase Solutions”, the basis upon which Veridian is trading under the name “Chase Solutions”. </w:t>
      </w:r>
      <w:r>
        <w:t xml:space="preserve">Furthermore, the defendants have </w:t>
      </w:r>
      <w:r w:rsidRPr="001840BF">
        <w:t xml:space="preserve">failed to adequately address the basis upon which Veridian is now rendering services to </w:t>
      </w:r>
      <w:r>
        <w:t>Sukema’s clients</w:t>
      </w:r>
      <w:r w:rsidRPr="001840BF">
        <w:t>, which service</w:t>
      </w:r>
      <w:r w:rsidRPr="001840BF">
        <w:t>s have previously been rendered by Sukema in circumstances where (on the defendants’ own version in paragraph 61 of the plea) no agreement has been concluded between the</w:t>
      </w:r>
      <w:r>
        <w:t xml:space="preserve"> client</w:t>
      </w:r>
      <w:r w:rsidRPr="001840BF">
        <w:t xml:space="preserve"> and Veridian.</w:t>
      </w:r>
      <w:r w:rsidR="00762DA6">
        <w:t xml:space="preserve"> </w:t>
      </w:r>
    </w:p>
    <w:p w14:paraId="7088AB9F" w14:textId="77777777" w:rsidR="00805D28" w:rsidRPr="00294640" w:rsidRDefault="0098385B" w:rsidP="00805D28">
      <w:pPr>
        <w:pStyle w:val="Judgmentparagraph"/>
        <w:ind w:left="567" w:hanging="567"/>
      </w:pPr>
      <w:r w:rsidRPr="00294640">
        <w:t xml:space="preserve">In </w:t>
      </w:r>
      <w:r w:rsidRPr="00294640">
        <w:rPr>
          <w:i/>
          <w:iCs/>
        </w:rPr>
        <w:t>International Tobacco Co of SA Ltd v Wollheim</w:t>
      </w:r>
      <w:r>
        <w:rPr>
          <w:rStyle w:val="FootnoteReference"/>
          <w:i/>
          <w:iCs/>
        </w:rPr>
        <w:footnoteReference w:id="12"/>
      </w:r>
      <w:r w:rsidRPr="00294640">
        <w:t xml:space="preserve"> the then Appellate Division stated as follows: </w:t>
      </w:r>
    </w:p>
    <w:p w14:paraId="462CF5BC" w14:textId="77777777" w:rsidR="00805D28" w:rsidRDefault="0098385B" w:rsidP="00B8490A">
      <w:pPr>
        <w:pStyle w:val="Judgmentparagraph"/>
        <w:numPr>
          <w:ilvl w:val="0"/>
          <w:numId w:val="0"/>
        </w:numPr>
        <w:spacing w:line="240" w:lineRule="auto"/>
        <w:ind w:left="567"/>
      </w:pPr>
      <w:r w:rsidRPr="00294640">
        <w:t>“If it can be shown on exception that a declaration discloses no cause of action, an exception on this ground should be allowed; if the exception is that the declaration is vague and embarrassing, then, if i</w:t>
      </w:r>
      <w:r w:rsidRPr="00294640">
        <w:t xml:space="preserve">t be shown, at any rate for purposes of his plea, that the defendant is substantially embarrassed by vagueness or lack of particularity, it equally should be allowed.” </w:t>
      </w:r>
    </w:p>
    <w:p w14:paraId="45DC1A9E" w14:textId="77777777" w:rsidR="00762DA6" w:rsidRPr="001840BF" w:rsidRDefault="0098385B" w:rsidP="00762DA6">
      <w:pPr>
        <w:pStyle w:val="Judgmentparagraph"/>
        <w:ind w:left="567" w:hanging="567"/>
      </w:pPr>
      <w:r w:rsidRPr="001840BF">
        <w:t>No particularity has been provided in these paragraphs regarding which particular entit</w:t>
      </w:r>
      <w:r w:rsidRPr="001840BF">
        <w:t xml:space="preserve">y the trading name represents, what alleged confusion caused them to adopt the name and its relevance to Sukema. </w:t>
      </w:r>
    </w:p>
    <w:p w14:paraId="27F5F9C4" w14:textId="77777777" w:rsidR="001840BF" w:rsidRPr="001840BF" w:rsidRDefault="0098385B" w:rsidP="001840BF">
      <w:pPr>
        <w:pStyle w:val="Judgmentparagraph"/>
        <w:ind w:left="567" w:hanging="567"/>
      </w:pPr>
      <w:r>
        <w:t>I find that t</w:t>
      </w:r>
      <w:r w:rsidRPr="001840BF">
        <w:t xml:space="preserve">he defendants have failed to plead the material facts upon which they rely for their defence with the requisite particularity to </w:t>
      </w:r>
      <w:r w:rsidRPr="001840BF">
        <w:t xml:space="preserve">enable the plaintiff to respond thereto and know the case it must meet in pleading to the plea and pursuing its claims against the defendants. </w:t>
      </w:r>
    </w:p>
    <w:p w14:paraId="227B89EE" w14:textId="77777777" w:rsidR="001840BF" w:rsidRPr="001840BF" w:rsidRDefault="0098385B" w:rsidP="001840BF">
      <w:pPr>
        <w:pStyle w:val="Judgmentparagraph"/>
        <w:ind w:left="567" w:hanging="567"/>
      </w:pPr>
      <w:r w:rsidRPr="001840BF">
        <w:lastRenderedPageBreak/>
        <w:t xml:space="preserve">The lack of clarity and confusion contained in the explanation that they have attempted to put forward in their </w:t>
      </w:r>
      <w:r w:rsidRPr="001840BF">
        <w:t xml:space="preserve">plea in respect of the trading name "Chase Solutions" renders it unintelligible and meaningless. </w:t>
      </w:r>
    </w:p>
    <w:p w14:paraId="78672C00" w14:textId="77777777" w:rsidR="001840BF" w:rsidRDefault="0098385B" w:rsidP="001840BF">
      <w:pPr>
        <w:pStyle w:val="Judgmentparagraph"/>
        <w:ind w:left="567" w:hanging="567"/>
      </w:pPr>
      <w:r w:rsidRPr="001840BF">
        <w:t>In the circumstances, the plea failing to disclose a defence alternatively is vague and embarrassing, once again striking at the root of the defence and falli</w:t>
      </w:r>
      <w:r w:rsidRPr="001840BF">
        <w:t xml:space="preserve">ng to be struck out. </w:t>
      </w:r>
    </w:p>
    <w:p w14:paraId="290FF336" w14:textId="77777777" w:rsidR="001840BF" w:rsidRPr="001840BF" w:rsidRDefault="0098385B" w:rsidP="001840BF">
      <w:pPr>
        <w:pStyle w:val="Judgmentparagraph"/>
        <w:numPr>
          <w:ilvl w:val="0"/>
          <w:numId w:val="0"/>
        </w:numPr>
        <w:rPr>
          <w:b/>
          <w:bCs/>
        </w:rPr>
      </w:pPr>
      <w:r w:rsidRPr="001840BF">
        <w:rPr>
          <w:b/>
          <w:bCs/>
        </w:rPr>
        <w:t>Third Exception</w:t>
      </w:r>
    </w:p>
    <w:p w14:paraId="63F23828" w14:textId="77777777" w:rsidR="00263705" w:rsidRDefault="0098385B" w:rsidP="001840BF">
      <w:pPr>
        <w:pStyle w:val="Judgmentparagraph"/>
        <w:ind w:left="567" w:hanging="567"/>
      </w:pPr>
      <w:r>
        <w:t xml:space="preserve">The exception, in short, is that the defendant has, </w:t>
      </w:r>
      <w:r w:rsidR="00F65CB6">
        <w:t xml:space="preserve">in one paragraph, admitted some allegations and denied the remainder of the allegations – without confusing which paragraphs are being responded to. </w:t>
      </w:r>
      <w:r>
        <w:t xml:space="preserve">The plaintiff contends it does not know what is being denied, one or both paragraphs, all or some of the allegations.  </w:t>
      </w:r>
    </w:p>
    <w:p w14:paraId="5E6132B1" w14:textId="77777777" w:rsidR="001840BF" w:rsidRPr="001840BF" w:rsidRDefault="0098385B" w:rsidP="001840BF">
      <w:pPr>
        <w:pStyle w:val="Judgmentparagraph"/>
        <w:ind w:left="567" w:hanging="567"/>
      </w:pPr>
      <w:r>
        <w:t>The context within which this exception must be considered is paragraphs</w:t>
      </w:r>
      <w:r w:rsidRPr="001840BF">
        <w:t xml:space="preserve"> 20, 21 and 22 of the particulars of the claim</w:t>
      </w:r>
      <w:r>
        <w:t>. These paragraphs</w:t>
      </w:r>
      <w:r>
        <w:t xml:space="preserve"> deal </w:t>
      </w:r>
      <w:r w:rsidRPr="001840BF">
        <w:t xml:space="preserve">with the resolution and statement of affairs executed in support of the liquidation of Sukema and lodged with the third defendant and the appointment of the liquidators of Sukema by the Master of the High Court. </w:t>
      </w:r>
      <w:r w:rsidR="0020720D">
        <w:t xml:space="preserve">The defendants' response to these paragraphs appears in paragraph 34 of the plea - </w:t>
      </w:r>
    </w:p>
    <w:p w14:paraId="51E29A2C" w14:textId="77777777" w:rsidR="001840BF" w:rsidRPr="001840BF" w:rsidRDefault="0098385B" w:rsidP="001840BF">
      <w:pPr>
        <w:pStyle w:val="Judgmentparagraph"/>
        <w:numPr>
          <w:ilvl w:val="0"/>
          <w:numId w:val="0"/>
        </w:numPr>
        <w:spacing w:line="240" w:lineRule="auto"/>
        <w:ind w:left="567"/>
      </w:pPr>
      <w:r w:rsidRPr="001840BF">
        <w:t>"[34.] The content of these paragraphs is admitted only in so far as the content of the paragraphs is confirmed by the records of the Master of the High Court. Apart from the above-mentioned the remainder of th</w:t>
      </w:r>
      <w:r w:rsidRPr="001840BF">
        <w:t xml:space="preserve">e content of the paragraph is specifically denied, and the plaintiff is put to the proof thereof." </w:t>
      </w:r>
    </w:p>
    <w:p w14:paraId="7D417D12" w14:textId="77777777" w:rsidR="001840BF" w:rsidRDefault="0098385B" w:rsidP="001840BF">
      <w:pPr>
        <w:pStyle w:val="Judgmentparagraph"/>
        <w:ind w:left="567" w:hanging="567"/>
      </w:pPr>
      <w:r>
        <w:t>The plaintiff complained that i</w:t>
      </w:r>
      <w:r w:rsidRPr="001840BF">
        <w:t>t is thus unclear from the aforegoing paragraph whether a specific paragraph or averment is being pleaded to or whether all o</w:t>
      </w:r>
      <w:r w:rsidRPr="001840BF">
        <w:t xml:space="preserve">f paragraphs 20, 21 and 22 are intended to be addressed by this response. </w:t>
      </w:r>
    </w:p>
    <w:p w14:paraId="54681BBE" w14:textId="77777777" w:rsidR="00805D28" w:rsidRPr="00805D28" w:rsidRDefault="0098385B" w:rsidP="00805D28">
      <w:pPr>
        <w:pStyle w:val="Judgmentparagraph"/>
        <w:ind w:left="567" w:hanging="567"/>
      </w:pPr>
      <w:r>
        <w:t xml:space="preserve">I accept paragraph 34 </w:t>
      </w:r>
      <w:r w:rsidR="00457767">
        <w:t xml:space="preserve">of the plea </w:t>
      </w:r>
      <w:r>
        <w:t xml:space="preserve">is not clear. However, </w:t>
      </w:r>
      <w:r w:rsidR="00457767">
        <w:t xml:space="preserve">the </w:t>
      </w:r>
      <w:r w:rsidR="001840BF">
        <w:t>approach to pleadings must not be overly technical</w:t>
      </w:r>
      <w:r w:rsidR="001840BF" w:rsidRPr="001840BF">
        <w:t>.</w:t>
      </w:r>
      <w:r>
        <w:rPr>
          <w:rStyle w:val="FootnoteReference"/>
        </w:rPr>
        <w:footnoteReference w:id="13"/>
      </w:r>
      <w:r w:rsidR="001840BF">
        <w:t xml:space="preserve"> </w:t>
      </w:r>
      <w:r>
        <w:t>A</w:t>
      </w:r>
      <w:r w:rsidRPr="00294640">
        <w:t>n over-technical approach should be avoided because it destroys th</w:t>
      </w:r>
      <w:r w:rsidRPr="00294640">
        <w:t>e usefulness of the exception procedure, which is to weed out cases without legal merit</w:t>
      </w:r>
      <w:r>
        <w:t>.</w:t>
      </w:r>
      <w:r>
        <w:rPr>
          <w:rStyle w:val="FootnoteReference"/>
        </w:rPr>
        <w:footnoteReference w:id="14"/>
      </w:r>
      <w:r>
        <w:t xml:space="preserve"> In addition, </w:t>
      </w:r>
      <w:r w:rsidRPr="00805D28">
        <w:t xml:space="preserve">minor blemishes and unradical </w:t>
      </w:r>
      <w:r w:rsidRPr="00805D28">
        <w:lastRenderedPageBreak/>
        <w:t>embarrassments caused by a pleading can and should be cured by further particulars</w:t>
      </w:r>
      <w:r>
        <w:t xml:space="preserve">, and </w:t>
      </w:r>
      <w:r w:rsidRPr="00805D28">
        <w:t>exceptions are also not to be dealt</w:t>
      </w:r>
      <w:r w:rsidRPr="00805D28">
        <w:t xml:space="preserve"> with in an over-technical manner; as such, a court looks benevolently instead of over-critically at a pleading</w:t>
      </w:r>
      <w:r>
        <w:t>.</w:t>
      </w:r>
    </w:p>
    <w:p w14:paraId="38FD19C5" w14:textId="77777777" w:rsidR="001840BF" w:rsidRPr="001840BF" w:rsidRDefault="0098385B" w:rsidP="0020720D">
      <w:pPr>
        <w:pStyle w:val="Judgmentparagraph"/>
        <w:ind w:left="567" w:hanging="567"/>
      </w:pPr>
      <w:r>
        <w:t>During submissions, counsel for the defendant indicated that this was such an error – typographical in nature. It seems to the Court that to up</w:t>
      </w:r>
      <w:r>
        <w:t xml:space="preserve">hold an exception in this regard would </w:t>
      </w:r>
      <w:r w:rsidR="00805D28">
        <w:t>require an overly technical approach.</w:t>
      </w:r>
      <w:r w:rsidRPr="001840BF">
        <w:t xml:space="preserve"> </w:t>
      </w:r>
    </w:p>
    <w:p w14:paraId="60D27AEC" w14:textId="77777777" w:rsidR="0084218D" w:rsidRPr="001840BF" w:rsidRDefault="0098385B" w:rsidP="00263705">
      <w:pPr>
        <w:pStyle w:val="Judgmentparagraph"/>
        <w:numPr>
          <w:ilvl w:val="0"/>
          <w:numId w:val="0"/>
        </w:numPr>
        <w:rPr>
          <w:b/>
          <w:bCs/>
          <w:lang w:val="en-GB"/>
        </w:rPr>
      </w:pPr>
      <w:r w:rsidRPr="001840BF">
        <w:rPr>
          <w:b/>
          <w:bCs/>
          <w:lang w:val="en-GB"/>
        </w:rPr>
        <w:t>Fourth exception</w:t>
      </w:r>
    </w:p>
    <w:p w14:paraId="05C2A035" w14:textId="77777777" w:rsidR="00762DA6" w:rsidRDefault="0098385B" w:rsidP="00762DA6">
      <w:pPr>
        <w:pStyle w:val="Judgmentparagraph"/>
        <w:ind w:left="567" w:hanging="567"/>
      </w:pPr>
      <w:r>
        <w:t>The plaintiff contends that i</w:t>
      </w:r>
      <w:r w:rsidR="00F65CB6" w:rsidRPr="00F65CB6">
        <w:t>n a number of paragraphs of the particulars of the claim, the defendants' assertions contained in their corresponding paragraphs in the plea amount to bare denials which do not adequately address positive averments made by the plaintiff, which require a response and thus do not establish a defence.</w:t>
      </w:r>
    </w:p>
    <w:p w14:paraId="15E20346" w14:textId="5D119E01" w:rsidR="00457767" w:rsidRDefault="0098385B" w:rsidP="008374FB">
      <w:pPr>
        <w:pStyle w:val="Judgmentparagraph"/>
        <w:ind w:left="567" w:hanging="567"/>
      </w:pPr>
      <w:r w:rsidRPr="00F65CB6">
        <w:t>For instance, the defendants simply baldly deny the material allegations (and supporting</w:t>
      </w:r>
      <w:r w:rsidRPr="00F65CB6">
        <w:t xml:space="preserve"> annexures) contained in paragraph 38 of the particulars of the claim regarding Sukema’s prior ownership of the Chase App. The</w:t>
      </w:r>
      <w:r>
        <w:t xml:space="preserve"> defendants</w:t>
      </w:r>
      <w:r w:rsidRPr="00F65CB6">
        <w:t xml:space="preserve"> baldly deny the allegations against them regarding their material and fraudulent non-disclosure of relevant informatio</w:t>
      </w:r>
      <w:r w:rsidRPr="00F65CB6">
        <w:t>n pertaining to the affairs of TSC. In addition to the above, a number of paragraphs in the particulars of the claim comprise several averments to which the defendants have responded in the corresponding paragraphs of the plea with a bare denial, rendering</w:t>
      </w:r>
      <w:r w:rsidRPr="00F65CB6">
        <w:t xml:space="preserve"> it ambiguous whether a specific averment is being pleaded to, or whether all averments contained within the relevant paragraph are intended to be addressed by this response. </w:t>
      </w:r>
    </w:p>
    <w:p w14:paraId="1AA460B6" w14:textId="77777777" w:rsidR="004261AF" w:rsidRDefault="0098385B" w:rsidP="00762DA6">
      <w:pPr>
        <w:pStyle w:val="Judgmentparagraph"/>
        <w:ind w:left="567" w:hanging="567"/>
      </w:pPr>
      <w:r>
        <w:t>Our courts have held that a</w:t>
      </w:r>
      <w:r w:rsidR="00F65CB6" w:rsidRPr="00F65CB6">
        <w:t xml:space="preserve"> bare denial of a paragraph containing two or more allegations gives rise to substantial embarrassment.</w:t>
      </w:r>
      <w:r>
        <w:rPr>
          <w:rStyle w:val="FootnoteReference"/>
        </w:rPr>
        <w:footnoteReference w:id="15"/>
      </w:r>
      <w:r>
        <w:t xml:space="preserve">  The plaintiff’s</w:t>
      </w:r>
      <w:r w:rsidR="00F65CB6" w:rsidRPr="00F65CB6">
        <w:t xml:space="preserve"> embarrassment cannot be met by the requesting of further particulars, as a result of the faults in pleading</w:t>
      </w:r>
      <w:r>
        <w:t>.</w:t>
      </w:r>
      <w:r>
        <w:rPr>
          <w:rStyle w:val="FootnoteReference"/>
        </w:rPr>
        <w:footnoteReference w:id="16"/>
      </w:r>
      <w:r w:rsidR="00F65CB6" w:rsidRPr="00F65CB6">
        <w:t xml:space="preserve"> In the circumstances, the plea fails to disclose a defence alternatively is vague and embarrassing and falls to be struck out on the fourth ground of exception. </w:t>
      </w:r>
    </w:p>
    <w:p w14:paraId="2F1ED626" w14:textId="77777777" w:rsidR="0021130D" w:rsidRDefault="0098385B" w:rsidP="00762DA6">
      <w:pPr>
        <w:pStyle w:val="Judgmentparagraph"/>
        <w:ind w:left="567" w:hanging="567"/>
      </w:pPr>
      <w:r w:rsidRPr="001840BF">
        <w:t xml:space="preserve">The plea accordingly fails to comply with the fundamental principles of pleading, namely that a pleading must contain sufficient material to enable the opposite party </w:t>
      </w:r>
      <w:r w:rsidRPr="001840BF">
        <w:lastRenderedPageBreak/>
        <w:t>to u</w:t>
      </w:r>
      <w:r w:rsidRPr="001840BF">
        <w:t xml:space="preserve">nderstand the case against it in order for it to be in a position to plead to it and meet it. </w:t>
      </w:r>
    </w:p>
    <w:p w14:paraId="4D0A33D7" w14:textId="77777777" w:rsidR="0014508F" w:rsidRDefault="0098385B" w:rsidP="005C18EE">
      <w:pPr>
        <w:pStyle w:val="Judgmentparagraph"/>
        <w:ind w:left="567" w:hanging="567"/>
      </w:pPr>
      <w:r>
        <w:t>In relation to costs</w:t>
      </w:r>
      <w:r w:rsidR="00762DA6">
        <w:t>, I see no rule to depart from the general rule that costs must follow the result. The plaintiff has been successful in its application and is entitled to its costs.</w:t>
      </w:r>
    </w:p>
    <w:p w14:paraId="1B739640" w14:textId="77777777" w:rsidR="00122AA0" w:rsidRPr="00122AA0" w:rsidRDefault="0098385B" w:rsidP="00EE4BB0">
      <w:pPr>
        <w:pStyle w:val="Judgmentparagraph"/>
        <w:numPr>
          <w:ilvl w:val="0"/>
          <w:numId w:val="0"/>
        </w:numPr>
        <w:rPr>
          <w:b/>
          <w:bCs/>
        </w:rPr>
      </w:pPr>
      <w:r w:rsidRPr="00122AA0">
        <w:rPr>
          <w:b/>
          <w:bCs/>
        </w:rPr>
        <w:t>Order</w:t>
      </w:r>
    </w:p>
    <w:p w14:paraId="3C57D23E" w14:textId="77777777" w:rsidR="00122AA0" w:rsidRPr="00122AA0" w:rsidRDefault="0098385B" w:rsidP="00EE4BB0">
      <w:pPr>
        <w:pStyle w:val="Judgmentparagraph"/>
        <w:ind w:left="567" w:hanging="567"/>
      </w:pPr>
      <w:r w:rsidRPr="00122AA0">
        <w:t>As a result, the following order is granted:</w:t>
      </w:r>
    </w:p>
    <w:p w14:paraId="102968D2" w14:textId="77777777" w:rsidR="00E32DA2" w:rsidRPr="00E32DA2" w:rsidRDefault="0098385B" w:rsidP="00E32DA2">
      <w:pPr>
        <w:pStyle w:val="Judgmentparagraph"/>
        <w:numPr>
          <w:ilvl w:val="1"/>
          <w:numId w:val="23"/>
        </w:numPr>
      </w:pPr>
      <w:r w:rsidRPr="00E32DA2">
        <w:t xml:space="preserve">The plaintiff's exception is upheld; </w:t>
      </w:r>
    </w:p>
    <w:p w14:paraId="1FA70108" w14:textId="77777777" w:rsidR="00E32DA2" w:rsidRPr="00E32DA2" w:rsidRDefault="0098385B" w:rsidP="00E32DA2">
      <w:pPr>
        <w:pStyle w:val="Judgmentparagraph"/>
        <w:numPr>
          <w:ilvl w:val="1"/>
          <w:numId w:val="23"/>
        </w:numPr>
      </w:pPr>
      <w:r w:rsidRPr="00E32DA2">
        <w:t>The First and Second Defendants'</w:t>
      </w:r>
      <w:r w:rsidR="00762DA6">
        <w:t xml:space="preserve"> are to amend their plea within a month of this order</w:t>
      </w:r>
      <w:r w:rsidRPr="00E32DA2">
        <w:t xml:space="preserve">; </w:t>
      </w:r>
    </w:p>
    <w:p w14:paraId="64DF40FB" w14:textId="77777777" w:rsidR="00E32DA2" w:rsidRPr="00E32DA2" w:rsidRDefault="0098385B" w:rsidP="00E32DA2">
      <w:pPr>
        <w:pStyle w:val="Judgmentparagraph"/>
        <w:numPr>
          <w:ilvl w:val="1"/>
          <w:numId w:val="23"/>
        </w:numPr>
      </w:pPr>
      <w:r w:rsidRPr="00E32DA2">
        <w:t>The First and Second Defendants are ordered to pay the</w:t>
      </w:r>
      <w:r w:rsidRPr="00E32DA2">
        <w:t xml:space="preserve"> costs of the exception, the one paying the other to be absolved</w:t>
      </w:r>
      <w:r>
        <w:t>.</w:t>
      </w:r>
      <w:r w:rsidRPr="00E32DA2">
        <w:t xml:space="preserve"> </w:t>
      </w:r>
    </w:p>
    <w:p w14:paraId="63CCDC69" w14:textId="77777777" w:rsidR="00E13006" w:rsidRDefault="0098385B" w:rsidP="001662D8">
      <w:pPr>
        <w:spacing w:before="120" w:after="120"/>
        <w:ind w:left="397" w:hanging="397"/>
        <w:jc w:val="right"/>
        <w:rPr>
          <w:rFonts w:ascii="Arial" w:hAnsi="Arial" w:cs="Arial"/>
        </w:rPr>
      </w:pPr>
      <w:r w:rsidRPr="00B93312">
        <w:rPr>
          <w:rFonts w:ascii="Arial" w:hAnsi="Arial" w:cs="Arial"/>
        </w:rPr>
        <w:tab/>
      </w:r>
      <w:r w:rsidR="001662D8">
        <w:rPr>
          <w:rFonts w:ascii="Arial" w:hAnsi="Arial" w:cs="Arial"/>
          <w:noProof/>
          <w:lang w:eastAsia="en-ZA"/>
        </w:rPr>
        <w:drawing>
          <wp:inline distT="0" distB="0" distL="0" distR="0" wp14:anchorId="20CD5B3B" wp14:editId="013197E4">
            <wp:extent cx="901700" cy="482600"/>
            <wp:effectExtent l="0" t="0" r="0" b="0"/>
            <wp:docPr id="11287076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707634" name="Picture 1128707634"/>
                    <pic:cNvPicPr/>
                  </pic:nvPicPr>
                  <pic:blipFill>
                    <a:blip r:embed="rId14">
                      <a:extLst>
                        <a:ext uri="{28A0092B-C50C-407E-A947-70E740481C1C}">
                          <a14:useLocalDpi xmlns:a14="http://schemas.microsoft.com/office/drawing/2010/main" val="0"/>
                        </a:ext>
                      </a:extLst>
                    </a:blip>
                    <a:stretch>
                      <a:fillRect/>
                    </a:stretch>
                  </pic:blipFill>
                  <pic:spPr>
                    <a:xfrm>
                      <a:off x="0" y="0"/>
                      <a:ext cx="901700" cy="482600"/>
                    </a:xfrm>
                    <a:prstGeom prst="rect">
                      <a:avLst/>
                    </a:prstGeom>
                  </pic:spPr>
                </pic:pic>
              </a:graphicData>
            </a:graphic>
          </wp:inline>
        </w:drawing>
      </w:r>
      <w:r w:rsidR="000970A9">
        <w:rPr>
          <w:rFonts w:ascii="Arial" w:hAnsi="Arial" w:cs="Arial"/>
        </w:rPr>
        <w:tab/>
      </w:r>
    </w:p>
    <w:p w14:paraId="45309251" w14:textId="77777777" w:rsidR="004F3075" w:rsidRPr="00B93312" w:rsidRDefault="0098385B" w:rsidP="000970A9">
      <w:pPr>
        <w:tabs>
          <w:tab w:val="left" w:pos="4917"/>
        </w:tabs>
        <w:spacing w:before="120" w:after="120"/>
        <w:ind w:left="397" w:hanging="397"/>
        <w:jc w:val="right"/>
        <w:rPr>
          <w:rFonts w:ascii="Arial" w:hAnsi="Arial" w:cs="Arial"/>
        </w:rPr>
      </w:pPr>
      <w:r w:rsidRPr="00B93312">
        <w:rPr>
          <w:rFonts w:ascii="Arial" w:hAnsi="Arial" w:cs="Arial"/>
        </w:rPr>
        <w:tab/>
        <w:t>____________________________</w:t>
      </w:r>
    </w:p>
    <w:p w14:paraId="736A1606" w14:textId="77777777" w:rsidR="009C6441" w:rsidRPr="00B93312" w:rsidRDefault="0098385B" w:rsidP="00940E1B">
      <w:pPr>
        <w:tabs>
          <w:tab w:val="left" w:pos="4917"/>
        </w:tabs>
        <w:spacing w:before="120" w:after="120"/>
        <w:ind w:left="397" w:hanging="397"/>
        <w:rPr>
          <w:rFonts w:ascii="Arial" w:hAnsi="Arial" w:cs="Arial"/>
        </w:rPr>
      </w:pPr>
      <w:r w:rsidRPr="00B93312">
        <w:rPr>
          <w:rFonts w:ascii="Arial" w:hAnsi="Arial" w:cs="Arial"/>
        </w:rPr>
        <w:tab/>
      </w:r>
      <w:r w:rsidRPr="00B93312">
        <w:rPr>
          <w:rFonts w:ascii="Arial" w:hAnsi="Arial" w:cs="Arial"/>
        </w:rPr>
        <w:tab/>
      </w:r>
      <w:r w:rsidRPr="00B93312">
        <w:rPr>
          <w:rFonts w:ascii="Arial" w:hAnsi="Arial" w:cs="Arial"/>
        </w:rPr>
        <w:tab/>
      </w:r>
      <w:r w:rsidRPr="00B93312">
        <w:rPr>
          <w:rFonts w:ascii="Arial" w:hAnsi="Arial" w:cs="Arial"/>
        </w:rPr>
        <w:tab/>
      </w:r>
      <w:r w:rsidR="00622DB5">
        <w:rPr>
          <w:rFonts w:ascii="Arial" w:hAnsi="Arial" w:cs="Arial"/>
        </w:rPr>
        <w:t>I d</w:t>
      </w:r>
      <w:r w:rsidR="00F212CB">
        <w:rPr>
          <w:rFonts w:ascii="Arial" w:hAnsi="Arial" w:cs="Arial"/>
        </w:rPr>
        <w:t>e</w:t>
      </w:r>
      <w:r w:rsidR="00622DB5">
        <w:rPr>
          <w:rFonts w:ascii="Arial" w:hAnsi="Arial" w:cs="Arial"/>
        </w:rPr>
        <w:t xml:space="preserve"> Vos</w:t>
      </w:r>
    </w:p>
    <w:p w14:paraId="47DBD3E6" w14:textId="77777777" w:rsidR="009C6441" w:rsidRDefault="0098385B" w:rsidP="00940E1B">
      <w:pPr>
        <w:tabs>
          <w:tab w:val="left" w:pos="4917"/>
        </w:tabs>
        <w:spacing w:before="120" w:after="120"/>
        <w:ind w:left="357"/>
        <w:rPr>
          <w:rFonts w:ascii="Arial" w:hAnsi="Arial" w:cs="Arial"/>
        </w:rPr>
      </w:pPr>
      <w:r w:rsidRPr="00B93312">
        <w:rPr>
          <w:rFonts w:ascii="Arial" w:hAnsi="Arial" w:cs="Arial"/>
        </w:rPr>
        <w:tab/>
      </w:r>
      <w:r w:rsidRPr="00B93312">
        <w:rPr>
          <w:rFonts w:ascii="Arial" w:hAnsi="Arial" w:cs="Arial"/>
        </w:rPr>
        <w:tab/>
      </w:r>
      <w:r w:rsidRPr="00B93312">
        <w:rPr>
          <w:rFonts w:ascii="Arial" w:hAnsi="Arial" w:cs="Arial"/>
        </w:rPr>
        <w:tab/>
      </w:r>
      <w:r w:rsidR="00E06494" w:rsidRPr="00B93312">
        <w:rPr>
          <w:rFonts w:ascii="Arial" w:hAnsi="Arial" w:cs="Arial"/>
        </w:rPr>
        <w:t xml:space="preserve">Acting </w:t>
      </w:r>
      <w:r w:rsidRPr="00B93312">
        <w:rPr>
          <w:rFonts w:ascii="Arial" w:hAnsi="Arial" w:cs="Arial"/>
        </w:rPr>
        <w:t>Judge of t</w:t>
      </w:r>
      <w:r w:rsidR="00B7783F" w:rsidRPr="00B93312">
        <w:rPr>
          <w:rFonts w:ascii="Arial" w:hAnsi="Arial" w:cs="Arial"/>
        </w:rPr>
        <w:t>he High Court</w:t>
      </w:r>
    </w:p>
    <w:p w14:paraId="575CF1CD" w14:textId="77777777" w:rsidR="00E80311" w:rsidRDefault="00E80311" w:rsidP="00E80311">
      <w:pPr>
        <w:tabs>
          <w:tab w:val="left" w:pos="4917"/>
        </w:tabs>
        <w:spacing w:before="120" w:after="120"/>
        <w:ind w:left="397" w:hanging="397"/>
        <w:jc w:val="right"/>
        <w:rPr>
          <w:rFonts w:ascii="Arial" w:hAnsi="Arial" w:cs="Arial"/>
        </w:rPr>
      </w:pPr>
    </w:p>
    <w:p w14:paraId="23B517BF" w14:textId="77777777" w:rsidR="00A42BDA" w:rsidRPr="00B93312" w:rsidRDefault="00A42BDA" w:rsidP="003649CD">
      <w:pPr>
        <w:tabs>
          <w:tab w:val="left" w:pos="4917"/>
        </w:tabs>
        <w:spacing w:line="360" w:lineRule="auto"/>
        <w:ind w:left="357"/>
        <w:rPr>
          <w:rFonts w:ascii="Arial" w:hAnsi="Arial" w:cs="Arial"/>
        </w:rPr>
      </w:pPr>
    </w:p>
    <w:p w14:paraId="755CBECB" w14:textId="77777777" w:rsidR="002B0D1E" w:rsidRPr="00B93312" w:rsidRDefault="0098385B" w:rsidP="002B0D1E">
      <w:pPr>
        <w:tabs>
          <w:tab w:val="left" w:pos="4917"/>
        </w:tabs>
        <w:spacing w:line="360" w:lineRule="auto"/>
        <w:ind w:left="357"/>
        <w:jc w:val="both"/>
        <w:rPr>
          <w:rFonts w:ascii="Arial" w:hAnsi="Arial" w:cs="Arial"/>
          <w:sz w:val="20"/>
          <w:szCs w:val="20"/>
        </w:rPr>
      </w:pPr>
      <w:r w:rsidRPr="00B93312">
        <w:rPr>
          <w:rFonts w:ascii="Arial" w:eastAsia="Arial Unicode MS" w:hAnsi="Arial" w:cs="Arial"/>
          <w:bCs/>
          <w:sz w:val="20"/>
          <w:szCs w:val="20"/>
        </w:rPr>
        <w:t xml:space="preserve">Delivered:  This judgment is handed down electronically by uploading it to the electronic file of this matter on CaseLines. </w:t>
      </w:r>
      <w:r w:rsidR="00C97578" w:rsidRPr="00B93312">
        <w:rPr>
          <w:rFonts w:ascii="Arial" w:eastAsia="Arial Unicode MS" w:hAnsi="Arial" w:cs="Arial"/>
          <w:bCs/>
          <w:sz w:val="20"/>
          <w:szCs w:val="20"/>
        </w:rPr>
        <w:t>As a cou</w:t>
      </w:r>
      <w:r w:rsidR="00BD696A" w:rsidRPr="00B93312">
        <w:rPr>
          <w:rFonts w:ascii="Arial" w:eastAsia="Arial Unicode MS" w:hAnsi="Arial" w:cs="Arial"/>
          <w:bCs/>
          <w:sz w:val="20"/>
          <w:szCs w:val="20"/>
        </w:rPr>
        <w:t>rtesy gesture</w:t>
      </w:r>
      <w:r w:rsidR="00AF5BC0" w:rsidRPr="00B93312">
        <w:rPr>
          <w:rFonts w:ascii="Arial" w:eastAsia="Arial Unicode MS" w:hAnsi="Arial" w:cs="Arial"/>
          <w:bCs/>
          <w:sz w:val="20"/>
          <w:szCs w:val="20"/>
        </w:rPr>
        <w:t>,</w:t>
      </w:r>
      <w:r w:rsidR="00BD696A" w:rsidRPr="00B93312">
        <w:rPr>
          <w:rFonts w:ascii="Arial" w:eastAsia="Arial Unicode MS" w:hAnsi="Arial" w:cs="Arial"/>
          <w:bCs/>
          <w:sz w:val="20"/>
          <w:szCs w:val="20"/>
        </w:rPr>
        <w:t xml:space="preserve"> it will be sent</w:t>
      </w:r>
      <w:r w:rsidR="00290703" w:rsidRPr="00B93312">
        <w:rPr>
          <w:rFonts w:ascii="Arial" w:eastAsia="Arial Unicode MS" w:hAnsi="Arial" w:cs="Arial"/>
          <w:bCs/>
          <w:sz w:val="20"/>
          <w:szCs w:val="20"/>
        </w:rPr>
        <w:t xml:space="preserve"> to the p</w:t>
      </w:r>
      <w:r w:rsidR="00BD696A" w:rsidRPr="00B93312">
        <w:rPr>
          <w:rFonts w:ascii="Arial" w:eastAsia="Arial Unicode MS" w:hAnsi="Arial" w:cs="Arial"/>
          <w:bCs/>
          <w:sz w:val="20"/>
          <w:szCs w:val="20"/>
        </w:rPr>
        <w:t xml:space="preserve">arties/their legal representatives by email. </w:t>
      </w:r>
    </w:p>
    <w:p w14:paraId="02106BBC" w14:textId="77777777" w:rsidR="00A42BDA" w:rsidRPr="00B93312" w:rsidRDefault="00A42BDA" w:rsidP="003649CD">
      <w:pPr>
        <w:tabs>
          <w:tab w:val="left" w:pos="4917"/>
        </w:tabs>
        <w:spacing w:line="360" w:lineRule="auto"/>
        <w:ind w:left="357"/>
        <w:rPr>
          <w:rFonts w:ascii="Arial" w:hAnsi="Arial" w:cs="Arial"/>
        </w:rPr>
      </w:pPr>
    </w:p>
    <w:p w14:paraId="4B01B3AF" w14:textId="77777777" w:rsidR="000F02BD" w:rsidRPr="00E80311" w:rsidRDefault="0098385B" w:rsidP="00F212CB">
      <w:pPr>
        <w:tabs>
          <w:tab w:val="left" w:pos="4917"/>
        </w:tabs>
        <w:spacing w:line="360" w:lineRule="auto"/>
        <w:ind w:left="357"/>
        <w:rPr>
          <w:rFonts w:ascii="Arial" w:hAnsi="Arial" w:cs="Arial"/>
          <w:b/>
          <w:bCs/>
        </w:rPr>
      </w:pPr>
      <w:r w:rsidRPr="00EF2C17">
        <w:rPr>
          <w:rFonts w:ascii="Arial" w:hAnsi="Arial" w:cs="Arial"/>
        </w:rPr>
        <w:t>C</w:t>
      </w:r>
      <w:r w:rsidR="00E66A18" w:rsidRPr="00EF2C17">
        <w:rPr>
          <w:rFonts w:ascii="Arial" w:hAnsi="Arial" w:cs="Arial"/>
        </w:rPr>
        <w:t>ounsel fo</w:t>
      </w:r>
      <w:r w:rsidR="00377FDC" w:rsidRPr="00EF2C17">
        <w:rPr>
          <w:rFonts w:ascii="Arial" w:hAnsi="Arial" w:cs="Arial"/>
        </w:rPr>
        <w:t xml:space="preserve">r the </w:t>
      </w:r>
      <w:r w:rsidR="00122AA0">
        <w:rPr>
          <w:rFonts w:ascii="Arial" w:hAnsi="Arial" w:cs="Arial"/>
        </w:rPr>
        <w:t>plaintiff</w:t>
      </w:r>
      <w:r w:rsidR="004716A2" w:rsidRPr="00EF2C17">
        <w:rPr>
          <w:rFonts w:ascii="Arial" w:hAnsi="Arial" w:cs="Arial"/>
        </w:rPr>
        <w:t>:</w:t>
      </w:r>
      <w:r w:rsidR="00A32C88">
        <w:rPr>
          <w:rFonts w:ascii="Arial" w:hAnsi="Arial" w:cs="Arial"/>
        </w:rPr>
        <w:tab/>
      </w:r>
      <w:r w:rsidR="00092E6F">
        <w:rPr>
          <w:rFonts w:ascii="Arial" w:hAnsi="Arial" w:cs="Arial"/>
        </w:rPr>
        <w:t>K Turner</w:t>
      </w:r>
    </w:p>
    <w:p w14:paraId="1B5716BF" w14:textId="77777777" w:rsidR="000F02BD" w:rsidRDefault="0098385B" w:rsidP="000F02BD">
      <w:pPr>
        <w:tabs>
          <w:tab w:val="left" w:pos="4917"/>
        </w:tabs>
        <w:spacing w:line="360" w:lineRule="auto"/>
        <w:ind w:left="4917" w:hanging="4557"/>
        <w:rPr>
          <w:rFonts w:ascii="Arial" w:hAnsi="Arial" w:cs="Arial"/>
        </w:rPr>
      </w:pPr>
      <w:r w:rsidRPr="00E80311">
        <w:rPr>
          <w:rFonts w:ascii="Arial" w:hAnsi="Arial" w:cs="Arial"/>
        </w:rPr>
        <w:t>I</w:t>
      </w:r>
      <w:r w:rsidR="003649CD" w:rsidRPr="00E80311">
        <w:rPr>
          <w:rFonts w:ascii="Arial" w:hAnsi="Arial" w:cs="Arial"/>
        </w:rPr>
        <w:t xml:space="preserve">nstructed by: </w:t>
      </w:r>
      <w:r w:rsidR="00BB506C" w:rsidRPr="00E80311">
        <w:rPr>
          <w:rFonts w:ascii="Arial" w:hAnsi="Arial" w:cs="Arial"/>
        </w:rPr>
        <w:t xml:space="preserve"> </w:t>
      </w:r>
      <w:r w:rsidR="00F67537" w:rsidRPr="00E80311">
        <w:rPr>
          <w:rFonts w:ascii="Arial" w:hAnsi="Arial" w:cs="Arial"/>
        </w:rPr>
        <w:tab/>
      </w:r>
      <w:r w:rsidR="00092E6F">
        <w:rPr>
          <w:rFonts w:ascii="Arial" w:hAnsi="Arial" w:cs="Arial"/>
        </w:rPr>
        <w:t>Werksmans Attorneys</w:t>
      </w:r>
    </w:p>
    <w:p w14:paraId="77106384" w14:textId="77777777" w:rsidR="000F02BD" w:rsidRPr="00E80311" w:rsidRDefault="0098385B" w:rsidP="00122AA0">
      <w:pPr>
        <w:tabs>
          <w:tab w:val="left" w:pos="4917"/>
        </w:tabs>
        <w:spacing w:line="360" w:lineRule="auto"/>
        <w:ind w:left="4917" w:hanging="4557"/>
        <w:rPr>
          <w:rFonts w:ascii="Arial" w:hAnsi="Arial" w:cs="Arial"/>
        </w:rPr>
      </w:pPr>
      <w:r>
        <w:rPr>
          <w:rFonts w:ascii="Arial" w:hAnsi="Arial" w:cs="Arial"/>
        </w:rPr>
        <w:t xml:space="preserve">Counsel for the </w:t>
      </w:r>
      <w:r w:rsidR="00122AA0">
        <w:rPr>
          <w:rFonts w:ascii="Arial" w:hAnsi="Arial" w:cs="Arial"/>
        </w:rPr>
        <w:t>defendant</w:t>
      </w:r>
      <w:r w:rsidR="00304D89">
        <w:rPr>
          <w:rFonts w:ascii="Arial" w:hAnsi="Arial" w:cs="Arial"/>
        </w:rPr>
        <w:t>:</w:t>
      </w:r>
      <w:r>
        <w:rPr>
          <w:rFonts w:ascii="Arial" w:hAnsi="Arial" w:cs="Arial"/>
        </w:rPr>
        <w:tab/>
      </w:r>
      <w:r w:rsidR="00E32DA2">
        <w:rPr>
          <w:rFonts w:ascii="Arial" w:hAnsi="Arial" w:cs="Arial"/>
        </w:rPr>
        <w:t>LK</w:t>
      </w:r>
      <w:r w:rsidR="00092E6F">
        <w:rPr>
          <w:rFonts w:ascii="Arial" w:hAnsi="Arial" w:cs="Arial"/>
        </w:rPr>
        <w:t xml:space="preserve"> van der Merwe</w:t>
      </w:r>
    </w:p>
    <w:p w14:paraId="4AC6BFC1" w14:textId="77777777" w:rsidR="009E3654" w:rsidRDefault="0098385B" w:rsidP="00304D89">
      <w:pPr>
        <w:tabs>
          <w:tab w:val="left" w:pos="4917"/>
        </w:tabs>
        <w:spacing w:line="360" w:lineRule="auto"/>
        <w:ind w:left="4917" w:hanging="4557"/>
        <w:rPr>
          <w:rFonts w:ascii="Arial" w:hAnsi="Arial" w:cs="Arial"/>
        </w:rPr>
      </w:pPr>
      <w:r w:rsidRPr="00E80311">
        <w:rPr>
          <w:rFonts w:ascii="Arial" w:hAnsi="Arial" w:cs="Arial"/>
        </w:rPr>
        <w:t xml:space="preserve">Instructed by: </w:t>
      </w:r>
      <w:r w:rsidR="00377FDC" w:rsidRPr="00E80311">
        <w:rPr>
          <w:rFonts w:ascii="Arial" w:hAnsi="Arial" w:cs="Arial"/>
        </w:rPr>
        <w:tab/>
      </w:r>
      <w:r w:rsidR="00092E6F">
        <w:rPr>
          <w:rFonts w:ascii="Arial" w:hAnsi="Arial" w:cs="Arial"/>
        </w:rPr>
        <w:t>Cawood</w:t>
      </w:r>
      <w:r w:rsidR="0081376A">
        <w:rPr>
          <w:rFonts w:ascii="Arial" w:hAnsi="Arial" w:cs="Arial"/>
        </w:rPr>
        <w:t xml:space="preserve"> Attorneys</w:t>
      </w:r>
    </w:p>
    <w:p w14:paraId="45B7323E" w14:textId="77777777" w:rsidR="004F3075" w:rsidRDefault="0098385B" w:rsidP="008302A3">
      <w:pPr>
        <w:tabs>
          <w:tab w:val="left" w:pos="4917"/>
        </w:tabs>
        <w:spacing w:line="360" w:lineRule="auto"/>
        <w:ind w:left="360"/>
        <w:rPr>
          <w:rFonts w:ascii="Arial" w:hAnsi="Arial" w:cs="Arial"/>
        </w:rPr>
      </w:pPr>
      <w:r w:rsidRPr="00E80311">
        <w:rPr>
          <w:rFonts w:ascii="Arial" w:hAnsi="Arial" w:cs="Arial"/>
        </w:rPr>
        <w:t>D</w:t>
      </w:r>
      <w:r w:rsidR="002F1742" w:rsidRPr="00E80311">
        <w:rPr>
          <w:rFonts w:ascii="Arial" w:hAnsi="Arial" w:cs="Arial"/>
        </w:rPr>
        <w:t>ate of the hearing:</w:t>
      </w:r>
      <w:r w:rsidR="00F03EE2" w:rsidRPr="00E80311">
        <w:rPr>
          <w:rFonts w:ascii="Arial" w:hAnsi="Arial" w:cs="Arial"/>
        </w:rPr>
        <w:tab/>
      </w:r>
      <w:r w:rsidR="00E32DA2">
        <w:rPr>
          <w:rFonts w:ascii="Arial" w:hAnsi="Arial" w:cs="Arial"/>
        </w:rPr>
        <w:t>8 August</w:t>
      </w:r>
      <w:r w:rsidR="008302A3">
        <w:rPr>
          <w:rFonts w:ascii="Arial" w:hAnsi="Arial" w:cs="Arial"/>
        </w:rPr>
        <w:t xml:space="preserve"> 2023</w:t>
      </w:r>
      <w:r>
        <w:rPr>
          <w:rFonts w:ascii="Arial" w:hAnsi="Arial" w:cs="Arial"/>
        </w:rPr>
        <w:t xml:space="preserve"> </w:t>
      </w:r>
    </w:p>
    <w:p w14:paraId="200F5A47" w14:textId="77777777" w:rsidR="00AB30C9" w:rsidRPr="001510B0" w:rsidRDefault="0098385B" w:rsidP="00EE4BB0">
      <w:pPr>
        <w:tabs>
          <w:tab w:val="left" w:pos="4917"/>
        </w:tabs>
        <w:spacing w:line="360" w:lineRule="auto"/>
        <w:ind w:left="360"/>
        <w:rPr>
          <w:rFonts w:ascii="Arial" w:hAnsi="Arial" w:cs="Arial"/>
        </w:rPr>
      </w:pPr>
      <w:r w:rsidRPr="008554B6">
        <w:rPr>
          <w:rFonts w:ascii="Arial" w:hAnsi="Arial" w:cs="Arial"/>
        </w:rPr>
        <w:t>Date of judgment:</w:t>
      </w:r>
      <w:r w:rsidRPr="008554B6">
        <w:rPr>
          <w:rFonts w:ascii="Arial" w:hAnsi="Arial" w:cs="Arial"/>
        </w:rPr>
        <w:tab/>
      </w:r>
      <w:r w:rsidR="00762DA6">
        <w:rPr>
          <w:rFonts w:ascii="Arial" w:hAnsi="Arial" w:cs="Arial"/>
        </w:rPr>
        <w:t>3 November</w:t>
      </w:r>
      <w:r w:rsidR="009E2D4C">
        <w:rPr>
          <w:rFonts w:ascii="Arial" w:hAnsi="Arial" w:cs="Arial"/>
        </w:rPr>
        <w:t xml:space="preserve"> 2023</w:t>
      </w:r>
    </w:p>
    <w:sectPr w:rsidR="00AB30C9" w:rsidRPr="001510B0" w:rsidSect="00065E8F">
      <w:headerReference w:type="default" r:id="rId15"/>
      <w:footerReference w:type="default" r:id="rId16"/>
      <w:footerReference w:type="first" r:id="rId17"/>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03FD8" w14:textId="77777777" w:rsidR="0098385B" w:rsidRDefault="0098385B">
      <w:r>
        <w:separator/>
      </w:r>
    </w:p>
  </w:endnote>
  <w:endnote w:type="continuationSeparator" w:id="0">
    <w:p w14:paraId="692B2FD0" w14:textId="77777777" w:rsidR="0098385B" w:rsidRDefault="00983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03757"/>
      <w:docPartObj>
        <w:docPartGallery w:val="Page Numbers (Bottom of Page)"/>
        <w:docPartUnique/>
      </w:docPartObj>
    </w:sdtPr>
    <w:sdtEndPr>
      <w:rPr>
        <w:noProof/>
      </w:rPr>
    </w:sdtEndPr>
    <w:sdtContent>
      <w:p w14:paraId="77A5581F" w14:textId="700DBEF8" w:rsidR="000E009C" w:rsidRDefault="0098385B">
        <w:pPr>
          <w:pStyle w:val="Footer"/>
          <w:jc w:val="center"/>
        </w:pPr>
        <w:r w:rsidRPr="00CD0D31">
          <w:rPr>
            <w:rFonts w:ascii="Arial" w:hAnsi="Arial" w:cs="Arial"/>
          </w:rPr>
          <w:fldChar w:fldCharType="begin"/>
        </w:r>
        <w:r w:rsidRPr="00CD0D31">
          <w:rPr>
            <w:rFonts w:ascii="Arial" w:hAnsi="Arial" w:cs="Arial"/>
          </w:rPr>
          <w:instrText xml:space="preserve"> PAGE   \* MERGEFORMAT </w:instrText>
        </w:r>
        <w:r w:rsidRPr="00CD0D31">
          <w:rPr>
            <w:rFonts w:ascii="Arial" w:hAnsi="Arial" w:cs="Arial"/>
          </w:rPr>
          <w:fldChar w:fldCharType="separate"/>
        </w:r>
        <w:r w:rsidR="00514791">
          <w:rPr>
            <w:rFonts w:ascii="Arial" w:hAnsi="Arial" w:cs="Arial"/>
            <w:noProof/>
          </w:rPr>
          <w:t>4</w:t>
        </w:r>
        <w:r w:rsidRPr="00CD0D31">
          <w:rPr>
            <w:rFonts w:ascii="Arial" w:hAnsi="Arial" w:cs="Arial"/>
            <w:noProof/>
          </w:rPr>
          <w:fldChar w:fldCharType="end"/>
        </w:r>
      </w:p>
    </w:sdtContent>
  </w:sdt>
  <w:p w14:paraId="1D328903" w14:textId="77777777" w:rsidR="000E009C" w:rsidRDefault="000E0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097486259"/>
      <w:docPartObj>
        <w:docPartGallery w:val="Page Numbers (Bottom of Page)"/>
        <w:docPartUnique/>
      </w:docPartObj>
    </w:sdtPr>
    <w:sdtEndPr/>
    <w:sdtContent>
      <w:p w14:paraId="568ADDE6" w14:textId="624CB5B2" w:rsidR="005F074E" w:rsidRPr="005F074E" w:rsidRDefault="0098385B">
        <w:pPr>
          <w:pStyle w:val="Footer"/>
          <w:jc w:val="center"/>
          <w:rPr>
            <w:rFonts w:ascii="Arial" w:hAnsi="Arial" w:cs="Arial"/>
          </w:rPr>
        </w:pPr>
        <w:r w:rsidRPr="005F074E">
          <w:rPr>
            <w:rFonts w:ascii="Arial" w:hAnsi="Arial" w:cs="Arial"/>
          </w:rPr>
          <w:fldChar w:fldCharType="begin"/>
        </w:r>
        <w:r w:rsidRPr="005F074E">
          <w:rPr>
            <w:rFonts w:ascii="Arial" w:hAnsi="Arial" w:cs="Arial"/>
          </w:rPr>
          <w:instrText>PAGE   \* MERGEFORMAT</w:instrText>
        </w:r>
        <w:r w:rsidRPr="005F074E">
          <w:rPr>
            <w:rFonts w:ascii="Arial" w:hAnsi="Arial" w:cs="Arial"/>
          </w:rPr>
          <w:fldChar w:fldCharType="separate"/>
        </w:r>
        <w:r w:rsidR="00514791" w:rsidRPr="00514791">
          <w:rPr>
            <w:rFonts w:ascii="Arial" w:hAnsi="Arial" w:cs="Arial"/>
            <w:noProof/>
            <w:lang w:val="af-ZA"/>
          </w:rPr>
          <w:t>1</w:t>
        </w:r>
        <w:r w:rsidRPr="005F074E">
          <w:rPr>
            <w:rFonts w:ascii="Arial" w:hAnsi="Arial" w:cs="Arial"/>
          </w:rPr>
          <w:fldChar w:fldCharType="end"/>
        </w:r>
      </w:p>
    </w:sdtContent>
  </w:sdt>
  <w:p w14:paraId="286F935A" w14:textId="77777777" w:rsidR="005F074E" w:rsidRPr="005F074E" w:rsidRDefault="005F074E">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8694AE" w14:textId="77777777" w:rsidR="0098385B" w:rsidRDefault="0098385B">
      <w:r>
        <w:separator/>
      </w:r>
    </w:p>
  </w:footnote>
  <w:footnote w:type="continuationSeparator" w:id="0">
    <w:p w14:paraId="78078BA5" w14:textId="77777777" w:rsidR="0098385B" w:rsidRDefault="0098385B">
      <w:r>
        <w:continuationSeparator/>
      </w:r>
    </w:p>
  </w:footnote>
  <w:footnote w:id="1">
    <w:p w14:paraId="1833B484" w14:textId="77777777" w:rsidR="002A68C7" w:rsidRPr="002A68C7" w:rsidRDefault="0098385B">
      <w:pPr>
        <w:pStyle w:val="FootnoteText"/>
        <w:rPr>
          <w:lang w:val="en-US"/>
        </w:rPr>
      </w:pPr>
      <w:r>
        <w:rPr>
          <w:rStyle w:val="FootnoteReference"/>
        </w:rPr>
        <w:footnoteRef/>
      </w:r>
      <w:r>
        <w:t xml:space="preserve"> </w:t>
      </w:r>
      <w:r w:rsidRPr="00294640">
        <w:rPr>
          <w:lang w:val="en-ZA"/>
        </w:rPr>
        <w:t>Para 46 and 48</w:t>
      </w:r>
    </w:p>
  </w:footnote>
  <w:footnote w:id="2">
    <w:p w14:paraId="12A0E979" w14:textId="77777777" w:rsidR="00512464" w:rsidRPr="00CC5124" w:rsidRDefault="0098385B" w:rsidP="00512464">
      <w:pPr>
        <w:pStyle w:val="FootnoteText"/>
        <w:rPr>
          <w:lang w:val="en-US"/>
        </w:rPr>
      </w:pPr>
      <w:r>
        <w:rPr>
          <w:rStyle w:val="FootnoteReference"/>
        </w:rPr>
        <w:footnoteRef/>
      </w:r>
      <w:r>
        <w:t xml:space="preserve"> </w:t>
      </w:r>
      <w:r w:rsidRPr="00294640">
        <w:rPr>
          <w:i/>
          <w:iCs/>
          <w:lang w:val="en-ZA"/>
        </w:rPr>
        <w:t xml:space="preserve">Levitan v Newhaven Holiday Enterprises CC </w:t>
      </w:r>
      <w:r w:rsidRPr="00294640">
        <w:rPr>
          <w:lang w:val="en-ZA"/>
        </w:rPr>
        <w:t xml:space="preserve">1991 (2) SA 297 (C) at 298A; </w:t>
      </w:r>
      <w:r w:rsidRPr="00294640">
        <w:rPr>
          <w:i/>
          <w:iCs/>
          <w:lang w:val="en-ZA"/>
        </w:rPr>
        <w:t xml:space="preserve">Erasmus </w:t>
      </w:r>
      <w:r w:rsidRPr="00294640">
        <w:rPr>
          <w:lang w:val="en-ZA"/>
        </w:rPr>
        <w:t>D1-301</w:t>
      </w:r>
    </w:p>
  </w:footnote>
  <w:footnote w:id="3">
    <w:p w14:paraId="42297F4E" w14:textId="77777777" w:rsidR="00512464" w:rsidRPr="00CC5124" w:rsidRDefault="0098385B" w:rsidP="00512464">
      <w:pPr>
        <w:pStyle w:val="FootnoteText"/>
        <w:rPr>
          <w:lang w:val="en-US"/>
        </w:rPr>
      </w:pPr>
      <w:r>
        <w:rPr>
          <w:rStyle w:val="FootnoteReference"/>
        </w:rPr>
        <w:footnoteRef/>
      </w:r>
      <w:r>
        <w:t xml:space="preserve"> </w:t>
      </w:r>
      <w:r w:rsidRPr="00294640">
        <w:rPr>
          <w:i/>
          <w:iCs/>
          <w:lang w:val="en-ZA"/>
        </w:rPr>
        <w:t xml:space="preserve">Liquidators Wapejo Shipping Co Ltd Lurie Brothers </w:t>
      </w:r>
      <w:r w:rsidRPr="00294640">
        <w:rPr>
          <w:lang w:val="en-ZA"/>
        </w:rPr>
        <w:t xml:space="preserve">1924 AD 69 at 74; </w:t>
      </w:r>
      <w:r w:rsidRPr="00294640">
        <w:rPr>
          <w:i/>
          <w:iCs/>
          <w:lang w:val="en-ZA"/>
        </w:rPr>
        <w:t xml:space="preserve">Erasmus </w:t>
      </w:r>
      <w:r w:rsidRPr="00294640">
        <w:rPr>
          <w:lang w:val="en-ZA"/>
        </w:rPr>
        <w:t>D1-301</w:t>
      </w:r>
    </w:p>
  </w:footnote>
  <w:footnote w:id="4">
    <w:p w14:paraId="4D059D97" w14:textId="77777777" w:rsidR="00512464" w:rsidRPr="00CC5124" w:rsidRDefault="0098385B" w:rsidP="00512464">
      <w:pPr>
        <w:pStyle w:val="FootnoteText"/>
        <w:rPr>
          <w:lang w:val="en-US"/>
        </w:rPr>
      </w:pPr>
      <w:r>
        <w:rPr>
          <w:rStyle w:val="FootnoteReference"/>
        </w:rPr>
        <w:footnoteRef/>
      </w:r>
      <w:r>
        <w:t xml:space="preserve"> </w:t>
      </w:r>
      <w:r w:rsidRPr="00294640">
        <w:rPr>
          <w:i/>
          <w:iCs/>
          <w:lang w:val="en-ZA"/>
        </w:rPr>
        <w:t xml:space="preserve">Levitan v Newhaven Holiday Enterprises CC </w:t>
      </w:r>
      <w:r w:rsidRPr="00294640">
        <w:rPr>
          <w:lang w:val="en-ZA"/>
        </w:rPr>
        <w:t xml:space="preserve">1991 (2) SA 297 (C) at 298J-299C and 300G; </w:t>
      </w:r>
      <w:r w:rsidRPr="00294640">
        <w:rPr>
          <w:i/>
          <w:iCs/>
          <w:lang w:val="en-ZA"/>
        </w:rPr>
        <w:t xml:space="preserve">Erasmus </w:t>
      </w:r>
      <w:r w:rsidRPr="00294640">
        <w:rPr>
          <w:lang w:val="en-ZA"/>
        </w:rPr>
        <w:t>D1-301</w:t>
      </w:r>
    </w:p>
  </w:footnote>
  <w:footnote w:id="5">
    <w:p w14:paraId="6B7B83EB" w14:textId="77777777" w:rsidR="00512464" w:rsidRPr="00CC5124" w:rsidRDefault="0098385B" w:rsidP="00512464">
      <w:pPr>
        <w:pStyle w:val="FootnoteText"/>
        <w:rPr>
          <w:lang w:val="en-US"/>
        </w:rPr>
      </w:pPr>
      <w:r>
        <w:rPr>
          <w:rStyle w:val="FootnoteReference"/>
        </w:rPr>
        <w:footnoteRef/>
      </w:r>
      <w:r>
        <w:t xml:space="preserve"> </w:t>
      </w:r>
      <w:r w:rsidRPr="00294640">
        <w:rPr>
          <w:i/>
          <w:iCs/>
          <w:lang w:val="en-ZA"/>
        </w:rPr>
        <w:t xml:space="preserve">Trope v South African Reserve Bank </w:t>
      </w:r>
      <w:r w:rsidRPr="00294640">
        <w:rPr>
          <w:lang w:val="en-ZA"/>
        </w:rPr>
        <w:t xml:space="preserve">1992 (3) SA 208 (T) at 211E; </w:t>
      </w:r>
      <w:r w:rsidRPr="00294640">
        <w:rPr>
          <w:i/>
          <w:iCs/>
          <w:lang w:val="en-ZA"/>
        </w:rPr>
        <w:t xml:space="preserve">Erasmus </w:t>
      </w:r>
      <w:r w:rsidRPr="00294640">
        <w:rPr>
          <w:lang w:val="en-ZA"/>
        </w:rPr>
        <w:t>D1-302</w:t>
      </w:r>
    </w:p>
  </w:footnote>
  <w:footnote w:id="6">
    <w:p w14:paraId="7C80B4F2" w14:textId="77777777" w:rsidR="001F793F" w:rsidRPr="001F793F" w:rsidRDefault="0098385B">
      <w:pPr>
        <w:pStyle w:val="FootnoteText"/>
        <w:rPr>
          <w:lang w:val="en-ZA"/>
        </w:rPr>
      </w:pPr>
      <w:r>
        <w:rPr>
          <w:rStyle w:val="FootnoteReference"/>
        </w:rPr>
        <w:footnoteRef/>
      </w:r>
      <w:r>
        <w:t xml:space="preserve"> </w:t>
      </w:r>
      <w:r w:rsidRPr="001F793F">
        <w:rPr>
          <w:lang w:val="en-ZA"/>
        </w:rPr>
        <w:t>Wilson v South African Railways &amp; Harbours 1981 (3) SA 1016 (C) p 1018 H</w:t>
      </w:r>
    </w:p>
  </w:footnote>
  <w:footnote w:id="7">
    <w:p w14:paraId="70AA9B60" w14:textId="77777777" w:rsidR="0021130D" w:rsidRPr="0021130D" w:rsidRDefault="0098385B">
      <w:pPr>
        <w:pStyle w:val="FootnoteText"/>
        <w:rPr>
          <w:lang w:val="en-ZA"/>
        </w:rPr>
      </w:pPr>
      <w:r>
        <w:rPr>
          <w:rStyle w:val="FootnoteReference"/>
        </w:rPr>
        <w:footnoteRef/>
      </w:r>
      <w:r>
        <w:t xml:space="preserve"> </w:t>
      </w:r>
      <w:r>
        <w:rPr>
          <w:lang w:val="en-ZA"/>
        </w:rPr>
        <w:t>T</w:t>
      </w:r>
      <w:r w:rsidRPr="0021130D">
        <w:rPr>
          <w:lang w:val="en-ZA"/>
        </w:rPr>
        <w:t>rope &amp; Others v. South African Reserve Bank, 1993</w:t>
      </w:r>
      <w:r>
        <w:rPr>
          <w:lang w:val="en-ZA"/>
        </w:rPr>
        <w:t xml:space="preserve"> </w:t>
      </w:r>
      <w:r w:rsidRPr="0021130D">
        <w:rPr>
          <w:lang w:val="en-ZA"/>
        </w:rPr>
        <w:t>(2) All SA 278 (A</w:t>
      </w:r>
      <w:r>
        <w:rPr>
          <w:lang w:val="en-ZA"/>
        </w:rPr>
        <w:t>)</w:t>
      </w:r>
      <w:r w:rsidRPr="0021130D">
        <w:rPr>
          <w:lang w:val="en-ZA"/>
        </w:rPr>
        <w:t xml:space="preserve"> </w:t>
      </w:r>
    </w:p>
  </w:footnote>
  <w:footnote w:id="8">
    <w:p w14:paraId="5C17AEA1" w14:textId="77777777" w:rsidR="00AD09FC" w:rsidRPr="00AD09FC" w:rsidRDefault="0098385B">
      <w:pPr>
        <w:pStyle w:val="FootnoteText"/>
        <w:rPr>
          <w:lang w:val="en-US"/>
        </w:rPr>
      </w:pPr>
      <w:r>
        <w:rPr>
          <w:rStyle w:val="FootnoteReference"/>
        </w:rPr>
        <w:footnoteRef/>
      </w:r>
      <w:r>
        <w:t xml:space="preserve"> </w:t>
      </w:r>
      <w:r w:rsidRPr="00294640">
        <w:rPr>
          <w:i/>
          <w:iCs/>
          <w:lang w:val="en-ZA"/>
        </w:rPr>
        <w:t xml:space="preserve">Erasmus </w:t>
      </w:r>
      <w:r w:rsidRPr="00294640">
        <w:rPr>
          <w:lang w:val="en-ZA"/>
        </w:rPr>
        <w:t>D-302</w:t>
      </w:r>
    </w:p>
  </w:footnote>
  <w:footnote w:id="9">
    <w:p w14:paraId="139340F7" w14:textId="77777777" w:rsidR="008446C6" w:rsidRPr="008446C6" w:rsidRDefault="0098385B">
      <w:pPr>
        <w:pStyle w:val="FootnoteText"/>
        <w:rPr>
          <w:lang w:val="en-ZA"/>
        </w:rPr>
      </w:pPr>
      <w:r>
        <w:rPr>
          <w:rStyle w:val="FootnoteReference"/>
        </w:rPr>
        <w:footnoteRef/>
      </w:r>
      <w:r>
        <w:t xml:space="preserve"> </w:t>
      </w:r>
      <w:r w:rsidRPr="008446C6">
        <w:rPr>
          <w:lang w:val="en-ZA"/>
        </w:rPr>
        <w:t xml:space="preserve">Vermeulen v Goose Valley Investments (Pty) Ltd 2001 3 SA 986 (SCA) 997 </w:t>
      </w:r>
    </w:p>
  </w:footnote>
  <w:footnote w:id="10">
    <w:p w14:paraId="132FFB7B" w14:textId="77777777" w:rsidR="003B1408" w:rsidRPr="003B1408" w:rsidRDefault="0098385B">
      <w:pPr>
        <w:pStyle w:val="FootnoteText"/>
        <w:rPr>
          <w:lang w:val="en-US"/>
        </w:rPr>
      </w:pPr>
      <w:r>
        <w:rPr>
          <w:rStyle w:val="FootnoteReference"/>
        </w:rPr>
        <w:footnoteRef/>
      </w:r>
      <w:r>
        <w:t xml:space="preserve"> </w:t>
      </w:r>
      <w:r w:rsidRPr="0021130D">
        <w:rPr>
          <w:lang w:val="en-ZA"/>
        </w:rPr>
        <w:t>2010 (2) SA 410 (KZP) para 17</w:t>
      </w:r>
    </w:p>
  </w:footnote>
  <w:footnote w:id="11">
    <w:p w14:paraId="32CF568E" w14:textId="77777777" w:rsidR="003B1408" w:rsidRPr="003B1408" w:rsidRDefault="0098385B">
      <w:pPr>
        <w:pStyle w:val="FootnoteText"/>
        <w:rPr>
          <w:lang w:val="en-US"/>
        </w:rPr>
      </w:pPr>
      <w:r>
        <w:rPr>
          <w:rStyle w:val="FootnoteReference"/>
        </w:rPr>
        <w:footnoteRef/>
      </w:r>
      <w:r>
        <w:t xml:space="preserve"> </w:t>
      </w:r>
      <w:r>
        <w:rPr>
          <w:lang w:val="en-US"/>
        </w:rPr>
        <w:t xml:space="preserve">See </w:t>
      </w:r>
      <w:r w:rsidRPr="0021130D">
        <w:rPr>
          <w:i/>
          <w:iCs/>
          <w:lang w:val="en-ZA"/>
        </w:rPr>
        <w:t>Absa Bank Ltd v Zalvest Twenty (Pty) Ltd and another</w:t>
      </w:r>
      <w:r w:rsidRPr="0021130D">
        <w:rPr>
          <w:lang w:val="en-ZA"/>
        </w:rPr>
        <w:t xml:space="preserve"> 2014 (2) SA 119 (WCC)</w:t>
      </w:r>
    </w:p>
  </w:footnote>
  <w:footnote w:id="12">
    <w:p w14:paraId="57385A41" w14:textId="77777777" w:rsidR="00805D28" w:rsidRPr="00CC5124" w:rsidRDefault="0098385B" w:rsidP="00805D28">
      <w:pPr>
        <w:pStyle w:val="FootnoteText"/>
        <w:rPr>
          <w:lang w:val="en-US"/>
        </w:rPr>
      </w:pPr>
      <w:r>
        <w:rPr>
          <w:rStyle w:val="FootnoteReference"/>
        </w:rPr>
        <w:footnoteRef/>
      </w:r>
      <w:r>
        <w:t xml:space="preserve"> </w:t>
      </w:r>
      <w:r w:rsidRPr="00294640">
        <w:rPr>
          <w:lang w:val="en-ZA"/>
        </w:rPr>
        <w:t>1953(2) SA 603 (A) at 613A-C</w:t>
      </w:r>
    </w:p>
  </w:footnote>
  <w:footnote w:id="13">
    <w:p w14:paraId="27EB5332" w14:textId="77777777" w:rsidR="00805D28" w:rsidRPr="00805D28" w:rsidRDefault="0098385B">
      <w:pPr>
        <w:pStyle w:val="FootnoteText"/>
        <w:rPr>
          <w:lang w:val="en-US"/>
        </w:rPr>
      </w:pPr>
      <w:r>
        <w:rPr>
          <w:rStyle w:val="FootnoteReference"/>
        </w:rPr>
        <w:footnoteRef/>
      </w:r>
      <w:r>
        <w:t xml:space="preserve"> </w:t>
      </w:r>
      <w:r w:rsidRPr="00294640">
        <w:rPr>
          <w:lang w:val="en-ZA"/>
        </w:rPr>
        <w:t xml:space="preserve">As set out in the recent unreported case of </w:t>
      </w:r>
      <w:r w:rsidRPr="00294640">
        <w:rPr>
          <w:i/>
          <w:iCs/>
          <w:lang w:val="en-ZA"/>
        </w:rPr>
        <w:t xml:space="preserve">Merb (Pty) Ltd v Matthews </w:t>
      </w:r>
      <w:r w:rsidRPr="00294640">
        <w:rPr>
          <w:lang w:val="en-ZA"/>
        </w:rPr>
        <w:t xml:space="preserve">GJ case no 2020/15069 dated 16 November 2021 with reference to </w:t>
      </w:r>
      <w:r w:rsidRPr="00294640">
        <w:rPr>
          <w:i/>
          <w:iCs/>
          <w:lang w:val="en-ZA"/>
        </w:rPr>
        <w:t xml:space="preserve">Living Hands (Pty) Ltd v Ditz </w:t>
      </w:r>
      <w:r w:rsidRPr="00294640">
        <w:rPr>
          <w:lang w:val="en-ZA"/>
        </w:rPr>
        <w:t xml:space="preserve">2013 (2) SA 368 (GSJ) at 374G. See </w:t>
      </w:r>
      <w:r w:rsidRPr="00294640">
        <w:rPr>
          <w:i/>
          <w:iCs/>
          <w:lang w:val="en-ZA"/>
        </w:rPr>
        <w:t>Er</w:t>
      </w:r>
      <w:r w:rsidRPr="00294640">
        <w:rPr>
          <w:i/>
          <w:iCs/>
          <w:lang w:val="en-ZA"/>
        </w:rPr>
        <w:t xml:space="preserve">asmus </w:t>
      </w:r>
      <w:r w:rsidRPr="00294640">
        <w:rPr>
          <w:lang w:val="en-ZA"/>
        </w:rPr>
        <w:t>RS 18, 2022, D1-293 to D1-294</w:t>
      </w:r>
    </w:p>
  </w:footnote>
  <w:footnote w:id="14">
    <w:p w14:paraId="09E36801" w14:textId="77777777" w:rsidR="008446C6" w:rsidRPr="008446C6" w:rsidRDefault="0098385B">
      <w:pPr>
        <w:pStyle w:val="FootnoteText"/>
        <w:rPr>
          <w:lang w:val="en-ZA"/>
        </w:rPr>
      </w:pPr>
      <w:r>
        <w:rPr>
          <w:rStyle w:val="FootnoteReference"/>
        </w:rPr>
        <w:footnoteRef/>
      </w:r>
      <w:r>
        <w:t xml:space="preserve"> </w:t>
      </w:r>
      <w:r w:rsidRPr="008446C6">
        <w:rPr>
          <w:lang w:val="en-ZA"/>
        </w:rPr>
        <w:t xml:space="preserve">Telematrix (Pty) Ltd v Advertising Standards Authority SA 2006 1 SA 461 (SCA) par 3 </w:t>
      </w:r>
    </w:p>
  </w:footnote>
  <w:footnote w:id="15">
    <w:p w14:paraId="7419A2BC" w14:textId="77777777" w:rsidR="00457767" w:rsidRPr="00457767" w:rsidRDefault="0098385B" w:rsidP="00457767">
      <w:pPr>
        <w:pStyle w:val="FootnoteText"/>
        <w:rPr>
          <w:lang w:val="en-ZA"/>
        </w:rPr>
      </w:pPr>
      <w:r>
        <w:rPr>
          <w:rStyle w:val="FootnoteReference"/>
        </w:rPr>
        <w:footnoteRef/>
      </w:r>
      <w:r>
        <w:t xml:space="preserve"> </w:t>
      </w:r>
      <w:r w:rsidRPr="00457767">
        <w:rPr>
          <w:i/>
          <w:iCs/>
          <w:lang w:val="en-ZA"/>
        </w:rPr>
        <w:t xml:space="preserve">Haarhoff v Van Antwerp </w:t>
      </w:r>
      <w:r w:rsidRPr="00457767">
        <w:rPr>
          <w:lang w:val="en-ZA"/>
        </w:rPr>
        <w:t xml:space="preserve">1913 JWR 65; </w:t>
      </w:r>
      <w:r w:rsidRPr="00457767">
        <w:rPr>
          <w:i/>
          <w:iCs/>
          <w:lang w:val="en-ZA"/>
        </w:rPr>
        <w:t xml:space="preserve">Hlongwane v Methodist Church of SA </w:t>
      </w:r>
      <w:r w:rsidRPr="00457767">
        <w:rPr>
          <w:lang w:val="en-ZA"/>
        </w:rPr>
        <w:t xml:space="preserve">1933 WLD 165; </w:t>
      </w:r>
    </w:p>
    <w:p w14:paraId="1685053A" w14:textId="77777777" w:rsidR="00457767" w:rsidRPr="00457767" w:rsidRDefault="0098385B">
      <w:pPr>
        <w:pStyle w:val="FootnoteText"/>
        <w:rPr>
          <w:lang w:val="en-ZA"/>
        </w:rPr>
      </w:pPr>
      <w:r w:rsidRPr="00457767">
        <w:rPr>
          <w:i/>
          <w:iCs/>
          <w:lang w:val="en-ZA"/>
        </w:rPr>
        <w:t xml:space="preserve">Meyer v De Jager </w:t>
      </w:r>
      <w:r w:rsidRPr="00457767">
        <w:rPr>
          <w:lang w:val="en-ZA"/>
        </w:rPr>
        <w:t xml:space="preserve">1934 EDL 77; </w:t>
      </w:r>
      <w:r w:rsidRPr="00457767">
        <w:rPr>
          <w:i/>
          <w:iCs/>
          <w:lang w:val="en-ZA"/>
        </w:rPr>
        <w:t xml:space="preserve">Stephens v Liepner </w:t>
      </w:r>
      <w:r w:rsidRPr="00457767">
        <w:rPr>
          <w:lang w:val="en-ZA"/>
        </w:rPr>
        <w:t xml:space="preserve">1938 WLD 30 at 36. </w:t>
      </w:r>
    </w:p>
  </w:footnote>
  <w:footnote w:id="16">
    <w:p w14:paraId="08265086" w14:textId="77777777" w:rsidR="00457767" w:rsidRPr="00457767" w:rsidRDefault="0098385B">
      <w:pPr>
        <w:pStyle w:val="FootnoteText"/>
        <w:rPr>
          <w:lang w:val="en-ZA"/>
        </w:rPr>
      </w:pPr>
      <w:r>
        <w:rPr>
          <w:rStyle w:val="FootnoteReference"/>
        </w:rPr>
        <w:footnoteRef/>
      </w:r>
      <w:r>
        <w:t xml:space="preserve"> </w:t>
      </w:r>
      <w:r w:rsidRPr="00457767">
        <w:rPr>
          <w:i/>
          <w:iCs/>
          <w:lang w:val="en-ZA"/>
        </w:rPr>
        <w:t xml:space="preserve">Kahn v Stuart </w:t>
      </w:r>
      <w:r w:rsidRPr="00457767">
        <w:rPr>
          <w:lang w:val="en-ZA"/>
        </w:rPr>
        <w:t xml:space="preserve">1942 CPD 386 at 392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A8421" w14:textId="77777777" w:rsidR="000E009C" w:rsidRDefault="000E009C">
    <w:pPr>
      <w:pStyle w:val="Header"/>
      <w:jc w:val="center"/>
    </w:pPr>
  </w:p>
  <w:p w14:paraId="1DABDCC1" w14:textId="77777777" w:rsidR="000E009C" w:rsidRDefault="000E00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5BDE"/>
    <w:multiLevelType w:val="multilevel"/>
    <w:tmpl w:val="EC60B9CC"/>
    <w:styleLink w:val="CurrentList19"/>
    <w:lvl w:ilvl="0">
      <w:start w:val="1"/>
      <w:numFmt w:val="decimal"/>
      <w:lvlText w:val="[%1]"/>
      <w:lvlJc w:val="left"/>
      <w:pPr>
        <w:ind w:left="851" w:hanging="851"/>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132429"/>
    <w:multiLevelType w:val="hybridMultilevel"/>
    <w:tmpl w:val="5DDAEADE"/>
    <w:lvl w:ilvl="0" w:tplc="3DE045D2">
      <w:start w:val="1"/>
      <w:numFmt w:val="decimal"/>
      <w:lvlText w:val="(%1)"/>
      <w:lvlJc w:val="left"/>
      <w:pPr>
        <w:tabs>
          <w:tab w:val="num" w:pos="900"/>
        </w:tabs>
        <w:ind w:left="900" w:hanging="720"/>
      </w:pPr>
      <w:rPr>
        <w:rFonts w:cs="Times New Roman"/>
      </w:rPr>
    </w:lvl>
    <w:lvl w:ilvl="1" w:tplc="F65245C8">
      <w:start w:val="1"/>
      <w:numFmt w:val="lowerLetter"/>
      <w:lvlText w:val="%2."/>
      <w:lvlJc w:val="left"/>
      <w:pPr>
        <w:tabs>
          <w:tab w:val="num" w:pos="1260"/>
        </w:tabs>
        <w:ind w:left="1260" w:hanging="360"/>
      </w:pPr>
      <w:rPr>
        <w:rFonts w:cs="Times New Roman"/>
      </w:rPr>
    </w:lvl>
    <w:lvl w:ilvl="2" w:tplc="9A1A4A8A">
      <w:start w:val="1"/>
      <w:numFmt w:val="lowerRoman"/>
      <w:lvlText w:val="%3."/>
      <w:lvlJc w:val="right"/>
      <w:pPr>
        <w:tabs>
          <w:tab w:val="num" w:pos="1980"/>
        </w:tabs>
        <w:ind w:left="1980" w:hanging="180"/>
      </w:pPr>
      <w:rPr>
        <w:rFonts w:cs="Times New Roman"/>
      </w:rPr>
    </w:lvl>
    <w:lvl w:ilvl="3" w:tplc="05FAC772">
      <w:start w:val="1"/>
      <w:numFmt w:val="decimal"/>
      <w:lvlText w:val="%4."/>
      <w:lvlJc w:val="left"/>
      <w:pPr>
        <w:tabs>
          <w:tab w:val="num" w:pos="2700"/>
        </w:tabs>
        <w:ind w:left="2700" w:hanging="360"/>
      </w:pPr>
      <w:rPr>
        <w:rFonts w:cs="Times New Roman"/>
      </w:rPr>
    </w:lvl>
    <w:lvl w:ilvl="4" w:tplc="FB3E197E">
      <w:start w:val="1"/>
      <w:numFmt w:val="lowerLetter"/>
      <w:lvlText w:val="%5."/>
      <w:lvlJc w:val="left"/>
      <w:pPr>
        <w:tabs>
          <w:tab w:val="num" w:pos="3420"/>
        </w:tabs>
        <w:ind w:left="3420" w:hanging="360"/>
      </w:pPr>
      <w:rPr>
        <w:rFonts w:cs="Times New Roman"/>
      </w:rPr>
    </w:lvl>
    <w:lvl w:ilvl="5" w:tplc="581C811A">
      <w:start w:val="1"/>
      <w:numFmt w:val="lowerRoman"/>
      <w:lvlText w:val="%6."/>
      <w:lvlJc w:val="right"/>
      <w:pPr>
        <w:tabs>
          <w:tab w:val="num" w:pos="4140"/>
        </w:tabs>
        <w:ind w:left="4140" w:hanging="180"/>
      </w:pPr>
      <w:rPr>
        <w:rFonts w:cs="Times New Roman"/>
      </w:rPr>
    </w:lvl>
    <w:lvl w:ilvl="6" w:tplc="6906A6F2">
      <w:start w:val="1"/>
      <w:numFmt w:val="decimal"/>
      <w:lvlText w:val="%7."/>
      <w:lvlJc w:val="left"/>
      <w:pPr>
        <w:tabs>
          <w:tab w:val="num" w:pos="4860"/>
        </w:tabs>
        <w:ind w:left="4860" w:hanging="360"/>
      </w:pPr>
      <w:rPr>
        <w:rFonts w:cs="Times New Roman"/>
      </w:rPr>
    </w:lvl>
    <w:lvl w:ilvl="7" w:tplc="21DEB826">
      <w:start w:val="1"/>
      <w:numFmt w:val="lowerLetter"/>
      <w:lvlText w:val="%8."/>
      <w:lvlJc w:val="left"/>
      <w:pPr>
        <w:tabs>
          <w:tab w:val="num" w:pos="5580"/>
        </w:tabs>
        <w:ind w:left="5580" w:hanging="360"/>
      </w:pPr>
      <w:rPr>
        <w:rFonts w:cs="Times New Roman"/>
      </w:rPr>
    </w:lvl>
    <w:lvl w:ilvl="8" w:tplc="1F30CE36">
      <w:start w:val="1"/>
      <w:numFmt w:val="lowerRoman"/>
      <w:lvlText w:val="%9."/>
      <w:lvlJc w:val="right"/>
      <w:pPr>
        <w:tabs>
          <w:tab w:val="num" w:pos="6300"/>
        </w:tabs>
        <w:ind w:left="6300" w:hanging="180"/>
      </w:pPr>
      <w:rPr>
        <w:rFonts w:cs="Times New Roman"/>
      </w:rPr>
    </w:lvl>
  </w:abstractNum>
  <w:abstractNum w:abstractNumId="2" w15:restartNumberingAfterBreak="0">
    <w:nsid w:val="0FBD659D"/>
    <w:multiLevelType w:val="multilevel"/>
    <w:tmpl w:val="E398D6EC"/>
    <w:styleLink w:val="CurrentList14"/>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11181F"/>
    <w:multiLevelType w:val="multilevel"/>
    <w:tmpl w:val="1E60A63A"/>
    <w:styleLink w:val="CurrentList23"/>
    <w:lvl w:ilvl="0">
      <w:start w:val="1"/>
      <w:numFmt w:val="decimal"/>
      <w:lvlText w:val="[%1]"/>
      <w:lvlJc w:val="left"/>
      <w:pPr>
        <w:ind w:left="1134" w:hanging="1134"/>
      </w:pPr>
      <w:rPr>
        <w:rFonts w:hint="default"/>
      </w:rPr>
    </w:lvl>
    <w:lvl w:ilvl="1">
      <w:start w:val="1"/>
      <w:numFmt w:val="decimal"/>
      <w:lvlRestart w:val="0"/>
      <w:suff w:val="space"/>
      <w:lvlText w:val="[%1.%2]"/>
      <w:lvlJc w:val="left"/>
      <w:pPr>
        <w:ind w:left="1701" w:hanging="134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A317A3"/>
    <w:multiLevelType w:val="multilevel"/>
    <w:tmpl w:val="B24CC402"/>
    <w:styleLink w:val="CurrentList26"/>
    <w:lvl w:ilvl="0">
      <w:start w:val="1"/>
      <w:numFmt w:val="decimal"/>
      <w:isLg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8E2FB2"/>
    <w:multiLevelType w:val="multilevel"/>
    <w:tmpl w:val="AEC40546"/>
    <w:styleLink w:val="CurrentList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882767"/>
    <w:multiLevelType w:val="hybridMultilevel"/>
    <w:tmpl w:val="ED92AC92"/>
    <w:lvl w:ilvl="0" w:tplc="04FC8270">
      <w:start w:val="1"/>
      <w:numFmt w:val="lowerRoman"/>
      <w:pStyle w:val="Heading2"/>
      <w:lvlText w:val="(%1)"/>
      <w:lvlJc w:val="left"/>
      <w:pPr>
        <w:ind w:left="1080" w:hanging="720"/>
      </w:pPr>
      <w:rPr>
        <w:rFonts w:hint="default"/>
      </w:rPr>
    </w:lvl>
    <w:lvl w:ilvl="1" w:tplc="A8EE62AA" w:tentative="1">
      <w:start w:val="1"/>
      <w:numFmt w:val="lowerLetter"/>
      <w:lvlText w:val="%2."/>
      <w:lvlJc w:val="left"/>
      <w:pPr>
        <w:ind w:left="1440" w:hanging="360"/>
      </w:pPr>
    </w:lvl>
    <w:lvl w:ilvl="2" w:tplc="71B0E702" w:tentative="1">
      <w:start w:val="1"/>
      <w:numFmt w:val="lowerRoman"/>
      <w:lvlText w:val="%3."/>
      <w:lvlJc w:val="right"/>
      <w:pPr>
        <w:ind w:left="2160" w:hanging="180"/>
      </w:pPr>
    </w:lvl>
    <w:lvl w:ilvl="3" w:tplc="D436D052" w:tentative="1">
      <w:start w:val="1"/>
      <w:numFmt w:val="decimal"/>
      <w:lvlText w:val="%4."/>
      <w:lvlJc w:val="left"/>
      <w:pPr>
        <w:ind w:left="2880" w:hanging="360"/>
      </w:pPr>
    </w:lvl>
    <w:lvl w:ilvl="4" w:tplc="93FA57FE" w:tentative="1">
      <w:start w:val="1"/>
      <w:numFmt w:val="lowerLetter"/>
      <w:lvlText w:val="%5."/>
      <w:lvlJc w:val="left"/>
      <w:pPr>
        <w:ind w:left="3600" w:hanging="360"/>
      </w:pPr>
    </w:lvl>
    <w:lvl w:ilvl="5" w:tplc="45646AFE" w:tentative="1">
      <w:start w:val="1"/>
      <w:numFmt w:val="lowerRoman"/>
      <w:lvlText w:val="%6."/>
      <w:lvlJc w:val="right"/>
      <w:pPr>
        <w:ind w:left="4320" w:hanging="180"/>
      </w:pPr>
    </w:lvl>
    <w:lvl w:ilvl="6" w:tplc="0DDE3C22" w:tentative="1">
      <w:start w:val="1"/>
      <w:numFmt w:val="decimal"/>
      <w:lvlText w:val="%7."/>
      <w:lvlJc w:val="left"/>
      <w:pPr>
        <w:ind w:left="5040" w:hanging="360"/>
      </w:pPr>
    </w:lvl>
    <w:lvl w:ilvl="7" w:tplc="596E29D4" w:tentative="1">
      <w:start w:val="1"/>
      <w:numFmt w:val="lowerLetter"/>
      <w:lvlText w:val="%8."/>
      <w:lvlJc w:val="left"/>
      <w:pPr>
        <w:ind w:left="5760" w:hanging="360"/>
      </w:pPr>
    </w:lvl>
    <w:lvl w:ilvl="8" w:tplc="0338BC7E" w:tentative="1">
      <w:start w:val="1"/>
      <w:numFmt w:val="lowerRoman"/>
      <w:lvlText w:val="%9."/>
      <w:lvlJc w:val="right"/>
      <w:pPr>
        <w:ind w:left="6480" w:hanging="180"/>
      </w:pPr>
    </w:lvl>
  </w:abstractNum>
  <w:abstractNum w:abstractNumId="7" w15:restartNumberingAfterBreak="0">
    <w:nsid w:val="2CB97E42"/>
    <w:multiLevelType w:val="multilevel"/>
    <w:tmpl w:val="AC8ABCC4"/>
    <w:styleLink w:val="CurrentList6"/>
    <w:lvl w:ilvl="0">
      <w:start w:val="1"/>
      <w:numFmt w:val="decimal"/>
      <w:lvlText w:val="[%1]"/>
      <w:lvlJc w:val="left"/>
      <w:pPr>
        <w:ind w:left="360" w:hanging="360"/>
      </w:pPr>
      <w:rPr>
        <w:rFonts w:ascii="Arial" w:hAnsi="Arial" w:hint="default"/>
        <w:sz w:val="24"/>
      </w:rPr>
    </w:lvl>
    <w:lvl w:ilvl="1">
      <w:start w:val="1"/>
      <w:numFmt w:val="decimal"/>
      <w:lvlRestart w:val="0"/>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555602"/>
    <w:multiLevelType w:val="multilevel"/>
    <w:tmpl w:val="72D4C7D8"/>
    <w:styleLink w:val="CurrentList4"/>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EAE150F"/>
    <w:multiLevelType w:val="multilevel"/>
    <w:tmpl w:val="B0F8938C"/>
    <w:styleLink w:val="CurrentList9"/>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0877374"/>
    <w:multiLevelType w:val="multilevel"/>
    <w:tmpl w:val="72D4C7D8"/>
    <w:styleLink w:val="CurrentList5"/>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1B2B6E"/>
    <w:multiLevelType w:val="hybridMultilevel"/>
    <w:tmpl w:val="98384100"/>
    <w:lvl w:ilvl="0" w:tplc="9CECA822">
      <w:start w:val="1"/>
      <w:numFmt w:val="bullet"/>
      <w:pStyle w:val="Heading4"/>
      <w:lvlText w:val=""/>
      <w:lvlJc w:val="left"/>
      <w:pPr>
        <w:ind w:left="360" w:hanging="360"/>
      </w:pPr>
      <w:rPr>
        <w:rFonts w:ascii="Symbol" w:hAnsi="Symbol" w:hint="default"/>
      </w:rPr>
    </w:lvl>
    <w:lvl w:ilvl="1" w:tplc="9B12AD26" w:tentative="1">
      <w:start w:val="1"/>
      <w:numFmt w:val="bullet"/>
      <w:lvlText w:val="o"/>
      <w:lvlJc w:val="left"/>
      <w:pPr>
        <w:ind w:left="1080" w:hanging="360"/>
      </w:pPr>
      <w:rPr>
        <w:rFonts w:ascii="Courier New" w:hAnsi="Courier New" w:cs="Courier New" w:hint="default"/>
      </w:rPr>
    </w:lvl>
    <w:lvl w:ilvl="2" w:tplc="F4E204C4" w:tentative="1">
      <w:start w:val="1"/>
      <w:numFmt w:val="bullet"/>
      <w:lvlText w:val=""/>
      <w:lvlJc w:val="left"/>
      <w:pPr>
        <w:ind w:left="1800" w:hanging="360"/>
      </w:pPr>
      <w:rPr>
        <w:rFonts w:ascii="Wingdings" w:hAnsi="Wingdings" w:hint="default"/>
      </w:rPr>
    </w:lvl>
    <w:lvl w:ilvl="3" w:tplc="40706E42" w:tentative="1">
      <w:start w:val="1"/>
      <w:numFmt w:val="bullet"/>
      <w:lvlText w:val=""/>
      <w:lvlJc w:val="left"/>
      <w:pPr>
        <w:ind w:left="2520" w:hanging="360"/>
      </w:pPr>
      <w:rPr>
        <w:rFonts w:ascii="Symbol" w:hAnsi="Symbol" w:hint="default"/>
      </w:rPr>
    </w:lvl>
    <w:lvl w:ilvl="4" w:tplc="457AB428" w:tentative="1">
      <w:start w:val="1"/>
      <w:numFmt w:val="bullet"/>
      <w:lvlText w:val="o"/>
      <w:lvlJc w:val="left"/>
      <w:pPr>
        <w:ind w:left="3240" w:hanging="360"/>
      </w:pPr>
      <w:rPr>
        <w:rFonts w:ascii="Courier New" w:hAnsi="Courier New" w:cs="Courier New" w:hint="default"/>
      </w:rPr>
    </w:lvl>
    <w:lvl w:ilvl="5" w:tplc="0A70C138" w:tentative="1">
      <w:start w:val="1"/>
      <w:numFmt w:val="bullet"/>
      <w:lvlText w:val=""/>
      <w:lvlJc w:val="left"/>
      <w:pPr>
        <w:ind w:left="3960" w:hanging="360"/>
      </w:pPr>
      <w:rPr>
        <w:rFonts w:ascii="Wingdings" w:hAnsi="Wingdings" w:hint="default"/>
      </w:rPr>
    </w:lvl>
    <w:lvl w:ilvl="6" w:tplc="FF22492E" w:tentative="1">
      <w:start w:val="1"/>
      <w:numFmt w:val="bullet"/>
      <w:lvlText w:val=""/>
      <w:lvlJc w:val="left"/>
      <w:pPr>
        <w:ind w:left="4680" w:hanging="360"/>
      </w:pPr>
      <w:rPr>
        <w:rFonts w:ascii="Symbol" w:hAnsi="Symbol" w:hint="default"/>
      </w:rPr>
    </w:lvl>
    <w:lvl w:ilvl="7" w:tplc="021C5802" w:tentative="1">
      <w:start w:val="1"/>
      <w:numFmt w:val="bullet"/>
      <w:lvlText w:val="o"/>
      <w:lvlJc w:val="left"/>
      <w:pPr>
        <w:ind w:left="5400" w:hanging="360"/>
      </w:pPr>
      <w:rPr>
        <w:rFonts w:ascii="Courier New" w:hAnsi="Courier New" w:cs="Courier New" w:hint="default"/>
      </w:rPr>
    </w:lvl>
    <w:lvl w:ilvl="8" w:tplc="C23E5968" w:tentative="1">
      <w:start w:val="1"/>
      <w:numFmt w:val="bullet"/>
      <w:lvlText w:val=""/>
      <w:lvlJc w:val="left"/>
      <w:pPr>
        <w:ind w:left="6120" w:hanging="360"/>
      </w:pPr>
      <w:rPr>
        <w:rFonts w:ascii="Wingdings" w:hAnsi="Wingdings" w:hint="default"/>
      </w:rPr>
    </w:lvl>
  </w:abstractNum>
  <w:abstractNum w:abstractNumId="12" w15:restartNumberingAfterBreak="0">
    <w:nsid w:val="36BC0FA0"/>
    <w:multiLevelType w:val="multilevel"/>
    <w:tmpl w:val="996C423C"/>
    <w:styleLink w:val="CurrentList13"/>
    <w:lvl w:ilvl="0">
      <w:start w:val="1"/>
      <w:numFmt w:val="decimal"/>
      <w:suff w:val="space"/>
      <w:lvlText w:val="[%1]"/>
      <w:lvlJc w:val="left"/>
      <w:pPr>
        <w:ind w:left="567" w:hanging="56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9D19B8"/>
    <w:multiLevelType w:val="multilevel"/>
    <w:tmpl w:val="B0F8938C"/>
    <w:styleLink w:val="CurrentList3"/>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2637D2"/>
    <w:multiLevelType w:val="multilevel"/>
    <w:tmpl w:val="0809001F"/>
    <w:styleLink w:val="CurrentList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3B7101"/>
    <w:multiLevelType w:val="multilevel"/>
    <w:tmpl w:val="430C95A2"/>
    <w:styleLink w:val="CurrentList11"/>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08E3F75"/>
    <w:multiLevelType w:val="multilevel"/>
    <w:tmpl w:val="A6DA794E"/>
    <w:styleLink w:val="CurrentList22"/>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6A03357"/>
    <w:multiLevelType w:val="multilevel"/>
    <w:tmpl w:val="5A722266"/>
    <w:styleLink w:val="CurrentList2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7DF6BAE"/>
    <w:multiLevelType w:val="multilevel"/>
    <w:tmpl w:val="108C18DA"/>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FA7264"/>
    <w:multiLevelType w:val="multilevel"/>
    <w:tmpl w:val="46BAB5AA"/>
    <w:styleLink w:val="CurrentList1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7A10DF"/>
    <w:multiLevelType w:val="multilevel"/>
    <w:tmpl w:val="2A4631BA"/>
    <w:lvl w:ilvl="0">
      <w:start w:val="1"/>
      <w:numFmt w:val="decimal"/>
      <w:pStyle w:val="Judgmentparagraph"/>
      <w:lvlText w:val="[%1]"/>
      <w:lvlJc w:val="left"/>
      <w:pPr>
        <w:ind w:left="360" w:hanging="360"/>
      </w:pPr>
      <w:rPr>
        <w:rFonts w:hint="default"/>
        <w:b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0922BC3"/>
    <w:multiLevelType w:val="multilevel"/>
    <w:tmpl w:val="E1D096E0"/>
    <w:styleLink w:val="CurrentList21"/>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A00FC8"/>
    <w:multiLevelType w:val="multilevel"/>
    <w:tmpl w:val="D9A6748E"/>
    <w:styleLink w:val="CurrentList17"/>
    <w:lvl w:ilvl="0">
      <w:start w:val="1"/>
      <w:numFmt w:val="decimal"/>
      <w:lvlText w:val="[%1]"/>
      <w:lvlJc w:val="left"/>
      <w:pPr>
        <w:ind w:left="360" w:hanging="360"/>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68735F0"/>
    <w:multiLevelType w:val="multilevel"/>
    <w:tmpl w:val="2FEA9264"/>
    <w:styleLink w:val="CurrentList1"/>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7115C65"/>
    <w:multiLevelType w:val="multilevel"/>
    <w:tmpl w:val="95EC162A"/>
    <w:styleLink w:val="CurrentList18"/>
    <w:lvl w:ilvl="0">
      <w:start w:val="1"/>
      <w:numFmt w:val="decimal"/>
      <w:lvlText w:val="[%1]"/>
      <w:lvlJc w:val="left"/>
      <w:pPr>
        <w:ind w:left="1134" w:hanging="1134"/>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FDA6C4B"/>
    <w:multiLevelType w:val="multilevel"/>
    <w:tmpl w:val="79CC1FCA"/>
    <w:styleLink w:val="CurrentList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FEC051A"/>
    <w:multiLevelType w:val="multilevel"/>
    <w:tmpl w:val="CE4E28E0"/>
    <w:styleLink w:val="CurrentList12"/>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8B21DB0"/>
    <w:multiLevelType w:val="hybridMultilevel"/>
    <w:tmpl w:val="CDBC2CB4"/>
    <w:lvl w:ilvl="0" w:tplc="310E66BC">
      <w:start w:val="1"/>
      <w:numFmt w:val="decimal"/>
      <w:pStyle w:val="ListParagraph"/>
      <w:lvlText w:val="[%1]"/>
      <w:lvlJc w:val="left"/>
      <w:pPr>
        <w:ind w:left="785" w:hanging="360"/>
      </w:pPr>
      <w:rPr>
        <w:rFonts w:hint="default"/>
      </w:rPr>
    </w:lvl>
    <w:lvl w:ilvl="1" w:tplc="DAFEF662">
      <w:start w:val="1"/>
      <w:numFmt w:val="lowerRoman"/>
      <w:lvlText w:val="%2."/>
      <w:lvlJc w:val="right"/>
      <w:pPr>
        <w:ind w:left="1440" w:hanging="360"/>
      </w:pPr>
    </w:lvl>
    <w:lvl w:ilvl="2" w:tplc="A7481830">
      <w:start w:val="1"/>
      <w:numFmt w:val="lowerLetter"/>
      <w:lvlText w:val="%3."/>
      <w:lvlJc w:val="left"/>
      <w:pPr>
        <w:ind w:left="2160" w:hanging="180"/>
      </w:pPr>
    </w:lvl>
    <w:lvl w:ilvl="3" w:tplc="293C597E" w:tentative="1">
      <w:start w:val="1"/>
      <w:numFmt w:val="decimal"/>
      <w:lvlText w:val="%4."/>
      <w:lvlJc w:val="left"/>
      <w:pPr>
        <w:ind w:left="2880" w:hanging="360"/>
      </w:pPr>
    </w:lvl>
    <w:lvl w:ilvl="4" w:tplc="AC20E9F0" w:tentative="1">
      <w:start w:val="1"/>
      <w:numFmt w:val="lowerLetter"/>
      <w:lvlText w:val="%5."/>
      <w:lvlJc w:val="left"/>
      <w:pPr>
        <w:ind w:left="3600" w:hanging="360"/>
      </w:pPr>
    </w:lvl>
    <w:lvl w:ilvl="5" w:tplc="63B22CAC" w:tentative="1">
      <w:start w:val="1"/>
      <w:numFmt w:val="lowerRoman"/>
      <w:lvlText w:val="%6."/>
      <w:lvlJc w:val="right"/>
      <w:pPr>
        <w:ind w:left="4320" w:hanging="180"/>
      </w:pPr>
    </w:lvl>
    <w:lvl w:ilvl="6" w:tplc="2A58B9CE" w:tentative="1">
      <w:start w:val="1"/>
      <w:numFmt w:val="decimal"/>
      <w:lvlText w:val="%7."/>
      <w:lvlJc w:val="left"/>
      <w:pPr>
        <w:ind w:left="5040" w:hanging="360"/>
      </w:pPr>
    </w:lvl>
    <w:lvl w:ilvl="7" w:tplc="94B673B8" w:tentative="1">
      <w:start w:val="1"/>
      <w:numFmt w:val="lowerLetter"/>
      <w:lvlText w:val="%8."/>
      <w:lvlJc w:val="left"/>
      <w:pPr>
        <w:ind w:left="5760" w:hanging="360"/>
      </w:pPr>
    </w:lvl>
    <w:lvl w:ilvl="8" w:tplc="F5D44D6A" w:tentative="1">
      <w:start w:val="1"/>
      <w:numFmt w:val="lowerRoman"/>
      <w:lvlText w:val="%9."/>
      <w:lvlJc w:val="right"/>
      <w:pPr>
        <w:ind w:left="6480" w:hanging="180"/>
      </w:pPr>
    </w:lvl>
  </w:abstractNum>
  <w:abstractNum w:abstractNumId="28" w15:restartNumberingAfterBreak="0">
    <w:nsid w:val="7B84454A"/>
    <w:multiLevelType w:val="multilevel"/>
    <w:tmpl w:val="555ABABA"/>
    <w:styleLink w:val="CurrentList25"/>
    <w:lvl w:ilvl="0">
      <w:start w:val="1"/>
      <w:numFmt w:val="decima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DAE61EB"/>
    <w:multiLevelType w:val="multilevel"/>
    <w:tmpl w:val="D6BCA2D2"/>
    <w:styleLink w:val="CurrentList24"/>
    <w:lvl w:ilvl="0">
      <w:start w:val="1"/>
      <w:numFmt w:val="decimal"/>
      <w:lvlText w:val="[%1]"/>
      <w:lvlJc w:val="left"/>
      <w:pPr>
        <w:ind w:left="1134" w:hanging="1134"/>
      </w:pPr>
      <w:rPr>
        <w:rFonts w:hint="default"/>
      </w:rPr>
    </w:lvl>
    <w:lvl w:ilvl="1">
      <w:start w:val="1"/>
      <w:numFmt w:val="decimal"/>
      <w:lvlRestart w:val="0"/>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E096478"/>
    <w:multiLevelType w:val="multilevel"/>
    <w:tmpl w:val="2FEA9264"/>
    <w:styleLink w:val="CurrentList2"/>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FC02BA1"/>
    <w:multiLevelType w:val="multilevel"/>
    <w:tmpl w:val="851CF48C"/>
    <w:styleLink w:val="CurrentList27"/>
    <w:lvl w:ilvl="0">
      <w:start w:val="1"/>
      <w:numFmt w:val="decimal"/>
      <w:lvlText w:val="%1)"/>
      <w:lvlJc w:val="left"/>
      <w:pPr>
        <w:ind w:left="360" w:hanging="360"/>
      </w:pPr>
      <w:rPr>
        <w:rFonts w:hint="default"/>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0"/>
  </w:num>
  <w:num w:numId="4">
    <w:abstractNumId w:val="13"/>
  </w:num>
  <w:num w:numId="5">
    <w:abstractNumId w:val="8"/>
  </w:num>
  <w:num w:numId="6">
    <w:abstractNumId w:val="10"/>
  </w:num>
  <w:num w:numId="7">
    <w:abstractNumId w:val="7"/>
  </w:num>
  <w:num w:numId="8">
    <w:abstractNumId w:val="18"/>
  </w:num>
  <w:num w:numId="9">
    <w:abstractNumId w:val="5"/>
  </w:num>
  <w:num w:numId="10">
    <w:abstractNumId w:val="9"/>
  </w:num>
  <w:num w:numId="11">
    <w:abstractNumId w:val="19"/>
  </w:num>
  <w:num w:numId="12">
    <w:abstractNumId w:val="15"/>
  </w:num>
  <w:num w:numId="13">
    <w:abstractNumId w:val="26"/>
  </w:num>
  <w:num w:numId="14">
    <w:abstractNumId w:val="12"/>
  </w:num>
  <w:num w:numId="15">
    <w:abstractNumId w:val="2"/>
  </w:num>
  <w:num w:numId="16">
    <w:abstractNumId w:val="11"/>
  </w:num>
  <w:num w:numId="17">
    <w:abstractNumId w:val="14"/>
  </w:num>
  <w:num w:numId="18">
    <w:abstractNumId w:val="25"/>
  </w:num>
  <w:num w:numId="19">
    <w:abstractNumId w:val="22"/>
  </w:num>
  <w:num w:numId="20">
    <w:abstractNumId w:val="24"/>
  </w:num>
  <w:num w:numId="21">
    <w:abstractNumId w:val="0"/>
  </w:num>
  <w:num w:numId="22">
    <w:abstractNumId w:val="17"/>
  </w:num>
  <w:num w:numId="23">
    <w:abstractNumId w:val="20"/>
  </w:num>
  <w:num w:numId="24">
    <w:abstractNumId w:val="21"/>
  </w:num>
  <w:num w:numId="25">
    <w:abstractNumId w:val="16"/>
  </w:num>
  <w:num w:numId="26">
    <w:abstractNumId w:val="3"/>
  </w:num>
  <w:num w:numId="27">
    <w:abstractNumId w:val="29"/>
  </w:num>
  <w:num w:numId="28">
    <w:abstractNumId w:val="6"/>
  </w:num>
  <w:num w:numId="29">
    <w:abstractNumId w:val="28"/>
  </w:num>
  <w:num w:numId="30">
    <w:abstractNumId w:val="4"/>
  </w:num>
  <w:num w:numId="31">
    <w:abstractNumId w:val="31"/>
  </w:num>
  <w:num w:numId="32">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MasFAFup+yEtAAAA"/>
    <w:docVar w:name="EN.InstantFormat" w:val="&lt;ENInstantFormat&gt;&lt;Enabled&gt;1&lt;/Enabled&gt;&lt;ScanUnformatted&gt;1&lt;/ScanUnformatted&gt;&lt;ScanChanges&gt;1&lt;/ScanChanges&gt;&lt;Suspended&gt;1&lt;/Suspended&gt;&lt;/ENInstantFormat&gt;"/>
    <w:docVar w:name="EN.Layout" w:val="&lt;ENLayout&gt;&lt;Style&gt;StellL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9vzwfs7e50xsezdf3xt0tf5zpvtf2fe9r0&quot;&gt;My EndNote Library-Converted1&lt;record-ids&gt;&lt;item&gt;445&lt;/item&gt;&lt;item&gt;1363&lt;/item&gt;&lt;item&gt;1524&lt;/item&gt;&lt;item&gt;1525&lt;/item&gt;&lt;item&gt;1593&lt;/item&gt;&lt;item&gt;1594&lt;/item&gt;&lt;item&gt;1595&lt;/item&gt;&lt;item&gt;1596&lt;/item&gt;&lt;item&gt;1598&lt;/item&gt;&lt;item&gt;1600&lt;/item&gt;&lt;item&gt;1602&lt;/item&gt;&lt;item&gt;1603&lt;/item&gt;&lt;item&gt;1604&lt;/item&gt;&lt;item&gt;1605&lt;/item&gt;&lt;item&gt;1606&lt;/item&gt;&lt;item&gt;1608&lt;/item&gt;&lt;item&gt;1609&lt;/item&gt;&lt;item&gt;1610&lt;/item&gt;&lt;item&gt;1611&lt;/item&gt;&lt;item&gt;1612&lt;/item&gt;&lt;item&gt;1613&lt;/item&gt;&lt;item&gt;1616&lt;/item&gt;&lt;item&gt;1618&lt;/item&gt;&lt;item&gt;1619&lt;/item&gt;&lt;item&gt;1620&lt;/item&gt;&lt;item&gt;1621&lt;/item&gt;&lt;item&gt;1622&lt;/item&gt;&lt;item&gt;1624&lt;/item&gt;&lt;item&gt;1625&lt;/item&gt;&lt;item&gt;1626&lt;/item&gt;&lt;/record-ids&gt;&lt;/item&gt;&lt;/Libraries&gt;"/>
  </w:docVars>
  <w:rsids>
    <w:rsidRoot w:val="00F142B1"/>
    <w:rsid w:val="0000007B"/>
    <w:rsid w:val="0000112A"/>
    <w:rsid w:val="00001B0D"/>
    <w:rsid w:val="000020B7"/>
    <w:rsid w:val="00002103"/>
    <w:rsid w:val="00002170"/>
    <w:rsid w:val="0000244E"/>
    <w:rsid w:val="0000273A"/>
    <w:rsid w:val="00002A72"/>
    <w:rsid w:val="00002C81"/>
    <w:rsid w:val="00003914"/>
    <w:rsid w:val="00003CBE"/>
    <w:rsid w:val="00004997"/>
    <w:rsid w:val="00004F7C"/>
    <w:rsid w:val="000055D3"/>
    <w:rsid w:val="0000567D"/>
    <w:rsid w:val="00005C66"/>
    <w:rsid w:val="00005F8E"/>
    <w:rsid w:val="000063CE"/>
    <w:rsid w:val="00006F54"/>
    <w:rsid w:val="000079CA"/>
    <w:rsid w:val="00007ADD"/>
    <w:rsid w:val="00010083"/>
    <w:rsid w:val="00010119"/>
    <w:rsid w:val="000103FA"/>
    <w:rsid w:val="0001114D"/>
    <w:rsid w:val="00011586"/>
    <w:rsid w:val="000117B8"/>
    <w:rsid w:val="00011816"/>
    <w:rsid w:val="00012309"/>
    <w:rsid w:val="00014FB0"/>
    <w:rsid w:val="000150D3"/>
    <w:rsid w:val="000156C4"/>
    <w:rsid w:val="00015828"/>
    <w:rsid w:val="00015AF2"/>
    <w:rsid w:val="00015FFE"/>
    <w:rsid w:val="00016E18"/>
    <w:rsid w:val="000171DB"/>
    <w:rsid w:val="000176C9"/>
    <w:rsid w:val="000179BF"/>
    <w:rsid w:val="000203E2"/>
    <w:rsid w:val="00020B23"/>
    <w:rsid w:val="00021D10"/>
    <w:rsid w:val="00021ECC"/>
    <w:rsid w:val="000220F6"/>
    <w:rsid w:val="00022536"/>
    <w:rsid w:val="0002299D"/>
    <w:rsid w:val="00022C86"/>
    <w:rsid w:val="000230BD"/>
    <w:rsid w:val="00023275"/>
    <w:rsid w:val="000235AF"/>
    <w:rsid w:val="00023CAC"/>
    <w:rsid w:val="0002404E"/>
    <w:rsid w:val="00024E0F"/>
    <w:rsid w:val="00025126"/>
    <w:rsid w:val="000254D3"/>
    <w:rsid w:val="000257A9"/>
    <w:rsid w:val="00026778"/>
    <w:rsid w:val="00027329"/>
    <w:rsid w:val="000273E4"/>
    <w:rsid w:val="000274E7"/>
    <w:rsid w:val="000279ED"/>
    <w:rsid w:val="00027B80"/>
    <w:rsid w:val="00027DC7"/>
    <w:rsid w:val="00030187"/>
    <w:rsid w:val="0003083D"/>
    <w:rsid w:val="00031143"/>
    <w:rsid w:val="000317A3"/>
    <w:rsid w:val="00032013"/>
    <w:rsid w:val="0003256C"/>
    <w:rsid w:val="00032C78"/>
    <w:rsid w:val="00032FC2"/>
    <w:rsid w:val="00033501"/>
    <w:rsid w:val="00034E27"/>
    <w:rsid w:val="00035538"/>
    <w:rsid w:val="00035BF5"/>
    <w:rsid w:val="00035F94"/>
    <w:rsid w:val="000367C1"/>
    <w:rsid w:val="00036BF1"/>
    <w:rsid w:val="00036C11"/>
    <w:rsid w:val="00036DF7"/>
    <w:rsid w:val="00037CA8"/>
    <w:rsid w:val="00037E6B"/>
    <w:rsid w:val="000406C2"/>
    <w:rsid w:val="00041D2B"/>
    <w:rsid w:val="000422BC"/>
    <w:rsid w:val="00045138"/>
    <w:rsid w:val="00045700"/>
    <w:rsid w:val="00046AC5"/>
    <w:rsid w:val="00050ADF"/>
    <w:rsid w:val="00050B5A"/>
    <w:rsid w:val="00051C95"/>
    <w:rsid w:val="00055BFD"/>
    <w:rsid w:val="00060196"/>
    <w:rsid w:val="00060836"/>
    <w:rsid w:val="00060B7B"/>
    <w:rsid w:val="00061538"/>
    <w:rsid w:val="00061615"/>
    <w:rsid w:val="0006181E"/>
    <w:rsid w:val="00062130"/>
    <w:rsid w:val="00062922"/>
    <w:rsid w:val="0006377B"/>
    <w:rsid w:val="00063C69"/>
    <w:rsid w:val="00064222"/>
    <w:rsid w:val="00064763"/>
    <w:rsid w:val="000649D6"/>
    <w:rsid w:val="00064E5B"/>
    <w:rsid w:val="00065E8F"/>
    <w:rsid w:val="000664E5"/>
    <w:rsid w:val="000676A8"/>
    <w:rsid w:val="00070056"/>
    <w:rsid w:val="0007035B"/>
    <w:rsid w:val="0007071D"/>
    <w:rsid w:val="00070B59"/>
    <w:rsid w:val="00070EB1"/>
    <w:rsid w:val="00072578"/>
    <w:rsid w:val="00072699"/>
    <w:rsid w:val="0007288F"/>
    <w:rsid w:val="00072C0C"/>
    <w:rsid w:val="00072D8C"/>
    <w:rsid w:val="0007341A"/>
    <w:rsid w:val="000734D0"/>
    <w:rsid w:val="00073D36"/>
    <w:rsid w:val="00073FA1"/>
    <w:rsid w:val="00074073"/>
    <w:rsid w:val="00074DF7"/>
    <w:rsid w:val="00075F85"/>
    <w:rsid w:val="000760AA"/>
    <w:rsid w:val="000769B8"/>
    <w:rsid w:val="00076D45"/>
    <w:rsid w:val="00076E0D"/>
    <w:rsid w:val="00076E83"/>
    <w:rsid w:val="0007725D"/>
    <w:rsid w:val="00077F2A"/>
    <w:rsid w:val="0008099B"/>
    <w:rsid w:val="000809D6"/>
    <w:rsid w:val="00080C4B"/>
    <w:rsid w:val="00080FF3"/>
    <w:rsid w:val="00081047"/>
    <w:rsid w:val="0008149E"/>
    <w:rsid w:val="000818A3"/>
    <w:rsid w:val="00081CDC"/>
    <w:rsid w:val="00081F71"/>
    <w:rsid w:val="000821D6"/>
    <w:rsid w:val="000823F2"/>
    <w:rsid w:val="000838A8"/>
    <w:rsid w:val="00084058"/>
    <w:rsid w:val="000852D8"/>
    <w:rsid w:val="0008530C"/>
    <w:rsid w:val="00085554"/>
    <w:rsid w:val="00085944"/>
    <w:rsid w:val="00085CA1"/>
    <w:rsid w:val="0008603D"/>
    <w:rsid w:val="000874CE"/>
    <w:rsid w:val="00087A9C"/>
    <w:rsid w:val="00090049"/>
    <w:rsid w:val="00090328"/>
    <w:rsid w:val="0009046E"/>
    <w:rsid w:val="00091185"/>
    <w:rsid w:val="00091A89"/>
    <w:rsid w:val="00092153"/>
    <w:rsid w:val="0009232A"/>
    <w:rsid w:val="0009290D"/>
    <w:rsid w:val="00092E6F"/>
    <w:rsid w:val="00094B43"/>
    <w:rsid w:val="000956BC"/>
    <w:rsid w:val="000958FE"/>
    <w:rsid w:val="000961DB"/>
    <w:rsid w:val="00096DAE"/>
    <w:rsid w:val="00096FFF"/>
    <w:rsid w:val="000970A9"/>
    <w:rsid w:val="0009779B"/>
    <w:rsid w:val="0009793C"/>
    <w:rsid w:val="00097F30"/>
    <w:rsid w:val="000A03DD"/>
    <w:rsid w:val="000A0887"/>
    <w:rsid w:val="000A0E23"/>
    <w:rsid w:val="000A0FE8"/>
    <w:rsid w:val="000A1207"/>
    <w:rsid w:val="000A1B72"/>
    <w:rsid w:val="000A213D"/>
    <w:rsid w:val="000A290C"/>
    <w:rsid w:val="000A370C"/>
    <w:rsid w:val="000A3C9A"/>
    <w:rsid w:val="000A3E11"/>
    <w:rsid w:val="000A4062"/>
    <w:rsid w:val="000A4A70"/>
    <w:rsid w:val="000A518B"/>
    <w:rsid w:val="000A5A2F"/>
    <w:rsid w:val="000A6421"/>
    <w:rsid w:val="000A6F91"/>
    <w:rsid w:val="000A762C"/>
    <w:rsid w:val="000A7776"/>
    <w:rsid w:val="000A7D3D"/>
    <w:rsid w:val="000A7F32"/>
    <w:rsid w:val="000B0D59"/>
    <w:rsid w:val="000B1AFB"/>
    <w:rsid w:val="000B1DAC"/>
    <w:rsid w:val="000B2058"/>
    <w:rsid w:val="000B2E75"/>
    <w:rsid w:val="000B36CC"/>
    <w:rsid w:val="000B3C6D"/>
    <w:rsid w:val="000B3F5A"/>
    <w:rsid w:val="000B4025"/>
    <w:rsid w:val="000B5A68"/>
    <w:rsid w:val="000B5BEE"/>
    <w:rsid w:val="000B6169"/>
    <w:rsid w:val="000B6D81"/>
    <w:rsid w:val="000B6F80"/>
    <w:rsid w:val="000B7B3E"/>
    <w:rsid w:val="000C02F7"/>
    <w:rsid w:val="000C0753"/>
    <w:rsid w:val="000C0904"/>
    <w:rsid w:val="000C0ADF"/>
    <w:rsid w:val="000C0BC9"/>
    <w:rsid w:val="000C0C3C"/>
    <w:rsid w:val="000C1379"/>
    <w:rsid w:val="000C183E"/>
    <w:rsid w:val="000C18FE"/>
    <w:rsid w:val="000C1968"/>
    <w:rsid w:val="000C2246"/>
    <w:rsid w:val="000C23A9"/>
    <w:rsid w:val="000C2E4A"/>
    <w:rsid w:val="000C310D"/>
    <w:rsid w:val="000C32DF"/>
    <w:rsid w:val="000C3B9D"/>
    <w:rsid w:val="000C4B03"/>
    <w:rsid w:val="000C4CCB"/>
    <w:rsid w:val="000C4FFC"/>
    <w:rsid w:val="000C523F"/>
    <w:rsid w:val="000C5861"/>
    <w:rsid w:val="000C5993"/>
    <w:rsid w:val="000C60E5"/>
    <w:rsid w:val="000C6853"/>
    <w:rsid w:val="000C69AB"/>
    <w:rsid w:val="000C6A50"/>
    <w:rsid w:val="000C6AC9"/>
    <w:rsid w:val="000C7964"/>
    <w:rsid w:val="000C7ED3"/>
    <w:rsid w:val="000D085B"/>
    <w:rsid w:val="000D1433"/>
    <w:rsid w:val="000D205D"/>
    <w:rsid w:val="000D397F"/>
    <w:rsid w:val="000D5CB8"/>
    <w:rsid w:val="000D692F"/>
    <w:rsid w:val="000D6CA0"/>
    <w:rsid w:val="000D7582"/>
    <w:rsid w:val="000D7FA9"/>
    <w:rsid w:val="000E009C"/>
    <w:rsid w:val="000E13AC"/>
    <w:rsid w:val="000E15F4"/>
    <w:rsid w:val="000E165F"/>
    <w:rsid w:val="000E17F6"/>
    <w:rsid w:val="000E2182"/>
    <w:rsid w:val="000E2944"/>
    <w:rsid w:val="000E2A13"/>
    <w:rsid w:val="000E2A34"/>
    <w:rsid w:val="000E2B5F"/>
    <w:rsid w:val="000E39C4"/>
    <w:rsid w:val="000E49A8"/>
    <w:rsid w:val="000E4A8C"/>
    <w:rsid w:val="000E4D1A"/>
    <w:rsid w:val="000E4DD3"/>
    <w:rsid w:val="000E4E88"/>
    <w:rsid w:val="000E5467"/>
    <w:rsid w:val="000E599D"/>
    <w:rsid w:val="000E5E05"/>
    <w:rsid w:val="000E5F0E"/>
    <w:rsid w:val="000E62AF"/>
    <w:rsid w:val="000E7367"/>
    <w:rsid w:val="000E7A00"/>
    <w:rsid w:val="000E7EF8"/>
    <w:rsid w:val="000F020C"/>
    <w:rsid w:val="000F02BD"/>
    <w:rsid w:val="000F209F"/>
    <w:rsid w:val="000F2B61"/>
    <w:rsid w:val="000F382D"/>
    <w:rsid w:val="000F40B7"/>
    <w:rsid w:val="000F40EC"/>
    <w:rsid w:val="000F4953"/>
    <w:rsid w:val="000F5301"/>
    <w:rsid w:val="000F5A1C"/>
    <w:rsid w:val="000F66DD"/>
    <w:rsid w:val="000F680D"/>
    <w:rsid w:val="000F6F37"/>
    <w:rsid w:val="000F7E3B"/>
    <w:rsid w:val="000F7E48"/>
    <w:rsid w:val="00100B12"/>
    <w:rsid w:val="00100C1F"/>
    <w:rsid w:val="00100F2D"/>
    <w:rsid w:val="00101200"/>
    <w:rsid w:val="0010234A"/>
    <w:rsid w:val="00102BAC"/>
    <w:rsid w:val="00103781"/>
    <w:rsid w:val="00103F99"/>
    <w:rsid w:val="00105106"/>
    <w:rsid w:val="0010514A"/>
    <w:rsid w:val="001051BF"/>
    <w:rsid w:val="0010564D"/>
    <w:rsid w:val="00105A4B"/>
    <w:rsid w:val="00105D6A"/>
    <w:rsid w:val="00105D99"/>
    <w:rsid w:val="001062B3"/>
    <w:rsid w:val="00106334"/>
    <w:rsid w:val="001069B2"/>
    <w:rsid w:val="00107F9B"/>
    <w:rsid w:val="00111644"/>
    <w:rsid w:val="00111B49"/>
    <w:rsid w:val="00112471"/>
    <w:rsid w:val="00113617"/>
    <w:rsid w:val="00113635"/>
    <w:rsid w:val="00113E28"/>
    <w:rsid w:val="00113E97"/>
    <w:rsid w:val="001152C2"/>
    <w:rsid w:val="0011543E"/>
    <w:rsid w:val="00115E3E"/>
    <w:rsid w:val="00116537"/>
    <w:rsid w:val="001167B4"/>
    <w:rsid w:val="001168EC"/>
    <w:rsid w:val="001176BA"/>
    <w:rsid w:val="0012079B"/>
    <w:rsid w:val="00121004"/>
    <w:rsid w:val="00121294"/>
    <w:rsid w:val="0012171D"/>
    <w:rsid w:val="00122A01"/>
    <w:rsid w:val="00122A26"/>
    <w:rsid w:val="00122AA0"/>
    <w:rsid w:val="00122B9F"/>
    <w:rsid w:val="00122D3B"/>
    <w:rsid w:val="00122EE8"/>
    <w:rsid w:val="00123AF6"/>
    <w:rsid w:val="00124C87"/>
    <w:rsid w:val="0012537E"/>
    <w:rsid w:val="0012580E"/>
    <w:rsid w:val="00125917"/>
    <w:rsid w:val="00125A23"/>
    <w:rsid w:val="00125E7E"/>
    <w:rsid w:val="00126105"/>
    <w:rsid w:val="00126196"/>
    <w:rsid w:val="0012642B"/>
    <w:rsid w:val="00126AFE"/>
    <w:rsid w:val="00127017"/>
    <w:rsid w:val="001277ED"/>
    <w:rsid w:val="00127C4F"/>
    <w:rsid w:val="00127F08"/>
    <w:rsid w:val="00127F3D"/>
    <w:rsid w:val="001307CB"/>
    <w:rsid w:val="001312EC"/>
    <w:rsid w:val="00131A4C"/>
    <w:rsid w:val="00132002"/>
    <w:rsid w:val="001326BF"/>
    <w:rsid w:val="00134ABA"/>
    <w:rsid w:val="00135882"/>
    <w:rsid w:val="00135DE6"/>
    <w:rsid w:val="00136128"/>
    <w:rsid w:val="001363C9"/>
    <w:rsid w:val="00136DCD"/>
    <w:rsid w:val="00137489"/>
    <w:rsid w:val="00137D9B"/>
    <w:rsid w:val="00140BF2"/>
    <w:rsid w:val="00140F30"/>
    <w:rsid w:val="00141499"/>
    <w:rsid w:val="00141DD9"/>
    <w:rsid w:val="0014280A"/>
    <w:rsid w:val="00142C14"/>
    <w:rsid w:val="001434C3"/>
    <w:rsid w:val="001434C4"/>
    <w:rsid w:val="00143D7B"/>
    <w:rsid w:val="001441F1"/>
    <w:rsid w:val="0014508F"/>
    <w:rsid w:val="00145F85"/>
    <w:rsid w:val="00146286"/>
    <w:rsid w:val="00146797"/>
    <w:rsid w:val="001470B9"/>
    <w:rsid w:val="0014739E"/>
    <w:rsid w:val="00150405"/>
    <w:rsid w:val="00150974"/>
    <w:rsid w:val="00150BC3"/>
    <w:rsid w:val="001510B0"/>
    <w:rsid w:val="00151DEB"/>
    <w:rsid w:val="001521AC"/>
    <w:rsid w:val="001525ED"/>
    <w:rsid w:val="0015280B"/>
    <w:rsid w:val="0015314C"/>
    <w:rsid w:val="00153851"/>
    <w:rsid w:val="00153ED5"/>
    <w:rsid w:val="0015408F"/>
    <w:rsid w:val="00154895"/>
    <w:rsid w:val="00154B42"/>
    <w:rsid w:val="00154F62"/>
    <w:rsid w:val="00155217"/>
    <w:rsid w:val="0015522B"/>
    <w:rsid w:val="001557E6"/>
    <w:rsid w:val="00155A37"/>
    <w:rsid w:val="00155E8A"/>
    <w:rsid w:val="00155F3D"/>
    <w:rsid w:val="001564DC"/>
    <w:rsid w:val="001564E3"/>
    <w:rsid w:val="00156E28"/>
    <w:rsid w:val="00156E66"/>
    <w:rsid w:val="00157067"/>
    <w:rsid w:val="0015765D"/>
    <w:rsid w:val="001578D3"/>
    <w:rsid w:val="00157C7A"/>
    <w:rsid w:val="00157E11"/>
    <w:rsid w:val="0016057B"/>
    <w:rsid w:val="0016111F"/>
    <w:rsid w:val="0016180C"/>
    <w:rsid w:val="00162087"/>
    <w:rsid w:val="00162177"/>
    <w:rsid w:val="0016247F"/>
    <w:rsid w:val="00162779"/>
    <w:rsid w:val="00162C52"/>
    <w:rsid w:val="00162C6B"/>
    <w:rsid w:val="00163797"/>
    <w:rsid w:val="00164075"/>
    <w:rsid w:val="00164B19"/>
    <w:rsid w:val="00164F9F"/>
    <w:rsid w:val="00166262"/>
    <w:rsid w:val="001662D8"/>
    <w:rsid w:val="001664B3"/>
    <w:rsid w:val="001679BD"/>
    <w:rsid w:val="00167F3E"/>
    <w:rsid w:val="00170898"/>
    <w:rsid w:val="00170ACD"/>
    <w:rsid w:val="00170C19"/>
    <w:rsid w:val="00170FC2"/>
    <w:rsid w:val="0017167F"/>
    <w:rsid w:val="00172B6E"/>
    <w:rsid w:val="00172CF7"/>
    <w:rsid w:val="00172E1D"/>
    <w:rsid w:val="00173046"/>
    <w:rsid w:val="00173785"/>
    <w:rsid w:val="00173B1C"/>
    <w:rsid w:val="0017402E"/>
    <w:rsid w:val="0017406D"/>
    <w:rsid w:val="00174339"/>
    <w:rsid w:val="00175560"/>
    <w:rsid w:val="00175864"/>
    <w:rsid w:val="00175ABF"/>
    <w:rsid w:val="00175CF6"/>
    <w:rsid w:val="001760EC"/>
    <w:rsid w:val="00176118"/>
    <w:rsid w:val="00176875"/>
    <w:rsid w:val="00176E94"/>
    <w:rsid w:val="00177303"/>
    <w:rsid w:val="00177800"/>
    <w:rsid w:val="00180053"/>
    <w:rsid w:val="001806BD"/>
    <w:rsid w:val="00180745"/>
    <w:rsid w:val="00180852"/>
    <w:rsid w:val="00180B91"/>
    <w:rsid w:val="00181603"/>
    <w:rsid w:val="0018165F"/>
    <w:rsid w:val="0018232A"/>
    <w:rsid w:val="0018273B"/>
    <w:rsid w:val="001827E9"/>
    <w:rsid w:val="00182894"/>
    <w:rsid w:val="00182A8B"/>
    <w:rsid w:val="00182AE0"/>
    <w:rsid w:val="00182C88"/>
    <w:rsid w:val="00183417"/>
    <w:rsid w:val="0018381F"/>
    <w:rsid w:val="00183C7D"/>
    <w:rsid w:val="00183E07"/>
    <w:rsid w:val="001840BF"/>
    <w:rsid w:val="0018490C"/>
    <w:rsid w:val="00185BF9"/>
    <w:rsid w:val="0018606E"/>
    <w:rsid w:val="0018677F"/>
    <w:rsid w:val="00186C60"/>
    <w:rsid w:val="00186DD7"/>
    <w:rsid w:val="00187295"/>
    <w:rsid w:val="001875A5"/>
    <w:rsid w:val="0018763D"/>
    <w:rsid w:val="00187D7E"/>
    <w:rsid w:val="0019021B"/>
    <w:rsid w:val="0019113E"/>
    <w:rsid w:val="00191A65"/>
    <w:rsid w:val="00191FEC"/>
    <w:rsid w:val="001933C6"/>
    <w:rsid w:val="001933F8"/>
    <w:rsid w:val="00193443"/>
    <w:rsid w:val="001939BF"/>
    <w:rsid w:val="00194A07"/>
    <w:rsid w:val="00194CC3"/>
    <w:rsid w:val="001964FD"/>
    <w:rsid w:val="00196F99"/>
    <w:rsid w:val="00197841"/>
    <w:rsid w:val="001A090F"/>
    <w:rsid w:val="001A164D"/>
    <w:rsid w:val="001A1AF2"/>
    <w:rsid w:val="001A256F"/>
    <w:rsid w:val="001A2AA5"/>
    <w:rsid w:val="001A2B12"/>
    <w:rsid w:val="001A31CC"/>
    <w:rsid w:val="001A32B7"/>
    <w:rsid w:val="001A378D"/>
    <w:rsid w:val="001A3B2C"/>
    <w:rsid w:val="001A417D"/>
    <w:rsid w:val="001A4334"/>
    <w:rsid w:val="001A4336"/>
    <w:rsid w:val="001A49A8"/>
    <w:rsid w:val="001A4BCE"/>
    <w:rsid w:val="001A7400"/>
    <w:rsid w:val="001B0BDA"/>
    <w:rsid w:val="001B0C8D"/>
    <w:rsid w:val="001B0D6D"/>
    <w:rsid w:val="001B1693"/>
    <w:rsid w:val="001B2183"/>
    <w:rsid w:val="001B257D"/>
    <w:rsid w:val="001B27DE"/>
    <w:rsid w:val="001B2CA0"/>
    <w:rsid w:val="001B3180"/>
    <w:rsid w:val="001B31E0"/>
    <w:rsid w:val="001B3250"/>
    <w:rsid w:val="001B3BF7"/>
    <w:rsid w:val="001B4274"/>
    <w:rsid w:val="001B43C5"/>
    <w:rsid w:val="001B4476"/>
    <w:rsid w:val="001B4C7F"/>
    <w:rsid w:val="001B5869"/>
    <w:rsid w:val="001B5973"/>
    <w:rsid w:val="001B5C62"/>
    <w:rsid w:val="001B7656"/>
    <w:rsid w:val="001B7AEF"/>
    <w:rsid w:val="001B7B01"/>
    <w:rsid w:val="001B7DDE"/>
    <w:rsid w:val="001C0676"/>
    <w:rsid w:val="001C0864"/>
    <w:rsid w:val="001C0F73"/>
    <w:rsid w:val="001C15CC"/>
    <w:rsid w:val="001C196C"/>
    <w:rsid w:val="001C1E44"/>
    <w:rsid w:val="001C1F00"/>
    <w:rsid w:val="001C1F91"/>
    <w:rsid w:val="001C2169"/>
    <w:rsid w:val="001C38EE"/>
    <w:rsid w:val="001C46D3"/>
    <w:rsid w:val="001C487B"/>
    <w:rsid w:val="001C5909"/>
    <w:rsid w:val="001C5BB9"/>
    <w:rsid w:val="001C5F9F"/>
    <w:rsid w:val="001C6102"/>
    <w:rsid w:val="001C692F"/>
    <w:rsid w:val="001C6ECC"/>
    <w:rsid w:val="001C726F"/>
    <w:rsid w:val="001C7831"/>
    <w:rsid w:val="001C79B2"/>
    <w:rsid w:val="001C7D68"/>
    <w:rsid w:val="001D0062"/>
    <w:rsid w:val="001D0288"/>
    <w:rsid w:val="001D06F6"/>
    <w:rsid w:val="001D115E"/>
    <w:rsid w:val="001D2632"/>
    <w:rsid w:val="001D564D"/>
    <w:rsid w:val="001D6772"/>
    <w:rsid w:val="001D67F1"/>
    <w:rsid w:val="001D7577"/>
    <w:rsid w:val="001D779C"/>
    <w:rsid w:val="001D7828"/>
    <w:rsid w:val="001D7FDC"/>
    <w:rsid w:val="001E1A37"/>
    <w:rsid w:val="001E1B80"/>
    <w:rsid w:val="001E1F9C"/>
    <w:rsid w:val="001E28EA"/>
    <w:rsid w:val="001E2B6C"/>
    <w:rsid w:val="001E2BFA"/>
    <w:rsid w:val="001E2FEF"/>
    <w:rsid w:val="001E39CE"/>
    <w:rsid w:val="001E4659"/>
    <w:rsid w:val="001E4737"/>
    <w:rsid w:val="001E4C5C"/>
    <w:rsid w:val="001E571B"/>
    <w:rsid w:val="001E59B4"/>
    <w:rsid w:val="001E60BC"/>
    <w:rsid w:val="001E61C5"/>
    <w:rsid w:val="001E6423"/>
    <w:rsid w:val="001E696E"/>
    <w:rsid w:val="001E7386"/>
    <w:rsid w:val="001E746D"/>
    <w:rsid w:val="001E75E8"/>
    <w:rsid w:val="001E7A69"/>
    <w:rsid w:val="001E7D62"/>
    <w:rsid w:val="001F0E03"/>
    <w:rsid w:val="001F1093"/>
    <w:rsid w:val="001F1652"/>
    <w:rsid w:val="001F169D"/>
    <w:rsid w:val="001F1C20"/>
    <w:rsid w:val="001F1C4D"/>
    <w:rsid w:val="001F2AA1"/>
    <w:rsid w:val="001F2E33"/>
    <w:rsid w:val="001F3159"/>
    <w:rsid w:val="001F317C"/>
    <w:rsid w:val="001F31B4"/>
    <w:rsid w:val="001F429F"/>
    <w:rsid w:val="001F42F4"/>
    <w:rsid w:val="001F53B4"/>
    <w:rsid w:val="001F5EAD"/>
    <w:rsid w:val="001F6A6D"/>
    <w:rsid w:val="001F6CC4"/>
    <w:rsid w:val="001F7084"/>
    <w:rsid w:val="001F793F"/>
    <w:rsid w:val="001F7AF6"/>
    <w:rsid w:val="00200B9D"/>
    <w:rsid w:val="002010BD"/>
    <w:rsid w:val="002018BC"/>
    <w:rsid w:val="00201ABE"/>
    <w:rsid w:val="002026A5"/>
    <w:rsid w:val="00202998"/>
    <w:rsid w:val="002033C4"/>
    <w:rsid w:val="00203BD1"/>
    <w:rsid w:val="00203E30"/>
    <w:rsid w:val="00204176"/>
    <w:rsid w:val="0020431B"/>
    <w:rsid w:val="002054CD"/>
    <w:rsid w:val="00205606"/>
    <w:rsid w:val="0020564B"/>
    <w:rsid w:val="0020576B"/>
    <w:rsid w:val="00205BAF"/>
    <w:rsid w:val="00205F8E"/>
    <w:rsid w:val="00206991"/>
    <w:rsid w:val="00206C97"/>
    <w:rsid w:val="00206DB5"/>
    <w:rsid w:val="0020720D"/>
    <w:rsid w:val="00207ACE"/>
    <w:rsid w:val="00207C68"/>
    <w:rsid w:val="00207C77"/>
    <w:rsid w:val="0021023C"/>
    <w:rsid w:val="00210730"/>
    <w:rsid w:val="00210D30"/>
    <w:rsid w:val="00211178"/>
    <w:rsid w:val="0021121F"/>
    <w:rsid w:val="0021130D"/>
    <w:rsid w:val="0021162E"/>
    <w:rsid w:val="00211776"/>
    <w:rsid w:val="002117D5"/>
    <w:rsid w:val="00211892"/>
    <w:rsid w:val="00212639"/>
    <w:rsid w:val="00212725"/>
    <w:rsid w:val="00212B1A"/>
    <w:rsid w:val="00212B3B"/>
    <w:rsid w:val="00212B41"/>
    <w:rsid w:val="00212EDC"/>
    <w:rsid w:val="0021393E"/>
    <w:rsid w:val="00213C6C"/>
    <w:rsid w:val="00213E73"/>
    <w:rsid w:val="00214023"/>
    <w:rsid w:val="00214306"/>
    <w:rsid w:val="002143D4"/>
    <w:rsid w:val="00214812"/>
    <w:rsid w:val="00214A26"/>
    <w:rsid w:val="00214B01"/>
    <w:rsid w:val="00214F12"/>
    <w:rsid w:val="002155BC"/>
    <w:rsid w:val="00215671"/>
    <w:rsid w:val="00215ACE"/>
    <w:rsid w:val="00215F05"/>
    <w:rsid w:val="00216C6D"/>
    <w:rsid w:val="00216DB8"/>
    <w:rsid w:val="0021722F"/>
    <w:rsid w:val="0021754C"/>
    <w:rsid w:val="002216B5"/>
    <w:rsid w:val="0022184C"/>
    <w:rsid w:val="0022189E"/>
    <w:rsid w:val="00221ACF"/>
    <w:rsid w:val="00221D5A"/>
    <w:rsid w:val="00221F9C"/>
    <w:rsid w:val="0022263A"/>
    <w:rsid w:val="0022303F"/>
    <w:rsid w:val="0022346A"/>
    <w:rsid w:val="00223864"/>
    <w:rsid w:val="00223B09"/>
    <w:rsid w:val="00223DCA"/>
    <w:rsid w:val="002246FB"/>
    <w:rsid w:val="00224E92"/>
    <w:rsid w:val="0022613D"/>
    <w:rsid w:val="002268C7"/>
    <w:rsid w:val="0022761F"/>
    <w:rsid w:val="0022794A"/>
    <w:rsid w:val="00227A67"/>
    <w:rsid w:val="00227A76"/>
    <w:rsid w:val="00230074"/>
    <w:rsid w:val="002309DD"/>
    <w:rsid w:val="00230B6F"/>
    <w:rsid w:val="00231029"/>
    <w:rsid w:val="00231210"/>
    <w:rsid w:val="00231BCF"/>
    <w:rsid w:val="0023204A"/>
    <w:rsid w:val="002329D3"/>
    <w:rsid w:val="00232B01"/>
    <w:rsid w:val="00232C3E"/>
    <w:rsid w:val="00232C6A"/>
    <w:rsid w:val="002330E1"/>
    <w:rsid w:val="002333A8"/>
    <w:rsid w:val="0023401D"/>
    <w:rsid w:val="002341F3"/>
    <w:rsid w:val="00234C05"/>
    <w:rsid w:val="00234D25"/>
    <w:rsid w:val="002368A1"/>
    <w:rsid w:val="00236A17"/>
    <w:rsid w:val="00236C04"/>
    <w:rsid w:val="002376AA"/>
    <w:rsid w:val="00237E63"/>
    <w:rsid w:val="002411D1"/>
    <w:rsid w:val="00241A96"/>
    <w:rsid w:val="00241E6E"/>
    <w:rsid w:val="00242F07"/>
    <w:rsid w:val="00243553"/>
    <w:rsid w:val="00243BCF"/>
    <w:rsid w:val="00243C9C"/>
    <w:rsid w:val="00244146"/>
    <w:rsid w:val="0024525F"/>
    <w:rsid w:val="00245F4F"/>
    <w:rsid w:val="0024604F"/>
    <w:rsid w:val="002464C8"/>
    <w:rsid w:val="0024660E"/>
    <w:rsid w:val="00246AFF"/>
    <w:rsid w:val="0024763E"/>
    <w:rsid w:val="00247716"/>
    <w:rsid w:val="00247761"/>
    <w:rsid w:val="002478CE"/>
    <w:rsid w:val="002503AB"/>
    <w:rsid w:val="00251021"/>
    <w:rsid w:val="0025195C"/>
    <w:rsid w:val="00251E93"/>
    <w:rsid w:val="00252206"/>
    <w:rsid w:val="00252E1D"/>
    <w:rsid w:val="002533FE"/>
    <w:rsid w:val="00253492"/>
    <w:rsid w:val="0025398F"/>
    <w:rsid w:val="00253FB7"/>
    <w:rsid w:val="00254721"/>
    <w:rsid w:val="00254819"/>
    <w:rsid w:val="00254995"/>
    <w:rsid w:val="0025519C"/>
    <w:rsid w:val="002555D2"/>
    <w:rsid w:val="00255B62"/>
    <w:rsid w:val="00256340"/>
    <w:rsid w:val="00256C8F"/>
    <w:rsid w:val="0025719A"/>
    <w:rsid w:val="002573B3"/>
    <w:rsid w:val="00257BCD"/>
    <w:rsid w:val="00257BE5"/>
    <w:rsid w:val="00260A42"/>
    <w:rsid w:val="00260C42"/>
    <w:rsid w:val="00260E95"/>
    <w:rsid w:val="002610C4"/>
    <w:rsid w:val="0026249D"/>
    <w:rsid w:val="002626AB"/>
    <w:rsid w:val="00262781"/>
    <w:rsid w:val="00263705"/>
    <w:rsid w:val="0026393E"/>
    <w:rsid w:val="00264144"/>
    <w:rsid w:val="002642DB"/>
    <w:rsid w:val="002658B7"/>
    <w:rsid w:val="0026622E"/>
    <w:rsid w:val="0026627B"/>
    <w:rsid w:val="002664E1"/>
    <w:rsid w:val="002667E1"/>
    <w:rsid w:val="00266953"/>
    <w:rsid w:val="00267BFE"/>
    <w:rsid w:val="00267D73"/>
    <w:rsid w:val="00270060"/>
    <w:rsid w:val="0027047E"/>
    <w:rsid w:val="00270532"/>
    <w:rsid w:val="002709BF"/>
    <w:rsid w:val="00270D67"/>
    <w:rsid w:val="00272086"/>
    <w:rsid w:val="00272A1A"/>
    <w:rsid w:val="00272DA7"/>
    <w:rsid w:val="00273076"/>
    <w:rsid w:val="00273C53"/>
    <w:rsid w:val="00273E65"/>
    <w:rsid w:val="0027451E"/>
    <w:rsid w:val="00274B01"/>
    <w:rsid w:val="00274D77"/>
    <w:rsid w:val="00275127"/>
    <w:rsid w:val="002751D7"/>
    <w:rsid w:val="0027529F"/>
    <w:rsid w:val="002759C1"/>
    <w:rsid w:val="00276EF5"/>
    <w:rsid w:val="002775BA"/>
    <w:rsid w:val="00280483"/>
    <w:rsid w:val="0028061C"/>
    <w:rsid w:val="002806B4"/>
    <w:rsid w:val="00280AF4"/>
    <w:rsid w:val="00280CBB"/>
    <w:rsid w:val="002818B8"/>
    <w:rsid w:val="00281CC6"/>
    <w:rsid w:val="00281F02"/>
    <w:rsid w:val="00282392"/>
    <w:rsid w:val="00282904"/>
    <w:rsid w:val="00282A32"/>
    <w:rsid w:val="00282CF1"/>
    <w:rsid w:val="0028350B"/>
    <w:rsid w:val="0028372B"/>
    <w:rsid w:val="0028391C"/>
    <w:rsid w:val="002840A6"/>
    <w:rsid w:val="002844F0"/>
    <w:rsid w:val="002846CE"/>
    <w:rsid w:val="00284A06"/>
    <w:rsid w:val="00284E06"/>
    <w:rsid w:val="0028519B"/>
    <w:rsid w:val="0028604B"/>
    <w:rsid w:val="00286722"/>
    <w:rsid w:val="00286827"/>
    <w:rsid w:val="00286CB9"/>
    <w:rsid w:val="00286CEB"/>
    <w:rsid w:val="00290703"/>
    <w:rsid w:val="00290744"/>
    <w:rsid w:val="00290A6D"/>
    <w:rsid w:val="00290AF3"/>
    <w:rsid w:val="002910C2"/>
    <w:rsid w:val="00292500"/>
    <w:rsid w:val="0029337C"/>
    <w:rsid w:val="002933B5"/>
    <w:rsid w:val="002933E0"/>
    <w:rsid w:val="002943FA"/>
    <w:rsid w:val="00294640"/>
    <w:rsid w:val="0029537B"/>
    <w:rsid w:val="0029565D"/>
    <w:rsid w:val="002957C9"/>
    <w:rsid w:val="00295CF6"/>
    <w:rsid w:val="002966CE"/>
    <w:rsid w:val="00297A1B"/>
    <w:rsid w:val="00297A86"/>
    <w:rsid w:val="002A0531"/>
    <w:rsid w:val="002A076F"/>
    <w:rsid w:val="002A085A"/>
    <w:rsid w:val="002A1328"/>
    <w:rsid w:val="002A1D3A"/>
    <w:rsid w:val="002A2019"/>
    <w:rsid w:val="002A207B"/>
    <w:rsid w:val="002A245F"/>
    <w:rsid w:val="002A2A1C"/>
    <w:rsid w:val="002A2F72"/>
    <w:rsid w:val="002A312D"/>
    <w:rsid w:val="002A380F"/>
    <w:rsid w:val="002A382D"/>
    <w:rsid w:val="002A4417"/>
    <w:rsid w:val="002A47B4"/>
    <w:rsid w:val="002A51A4"/>
    <w:rsid w:val="002A68C7"/>
    <w:rsid w:val="002A6974"/>
    <w:rsid w:val="002A699E"/>
    <w:rsid w:val="002A6C59"/>
    <w:rsid w:val="002A6D64"/>
    <w:rsid w:val="002A77E8"/>
    <w:rsid w:val="002B095A"/>
    <w:rsid w:val="002B0AC4"/>
    <w:rsid w:val="002B0D1E"/>
    <w:rsid w:val="002B1498"/>
    <w:rsid w:val="002B1900"/>
    <w:rsid w:val="002B3141"/>
    <w:rsid w:val="002B324A"/>
    <w:rsid w:val="002B35C1"/>
    <w:rsid w:val="002B3E53"/>
    <w:rsid w:val="002B422F"/>
    <w:rsid w:val="002B467F"/>
    <w:rsid w:val="002B4D9F"/>
    <w:rsid w:val="002B5D63"/>
    <w:rsid w:val="002B5ED0"/>
    <w:rsid w:val="002B5F54"/>
    <w:rsid w:val="002B635C"/>
    <w:rsid w:val="002B6D70"/>
    <w:rsid w:val="002B7099"/>
    <w:rsid w:val="002B70E4"/>
    <w:rsid w:val="002B7175"/>
    <w:rsid w:val="002B7199"/>
    <w:rsid w:val="002B72E6"/>
    <w:rsid w:val="002B73D5"/>
    <w:rsid w:val="002B7CC9"/>
    <w:rsid w:val="002C015A"/>
    <w:rsid w:val="002C0193"/>
    <w:rsid w:val="002C09A7"/>
    <w:rsid w:val="002C0BEA"/>
    <w:rsid w:val="002C0FDF"/>
    <w:rsid w:val="002C117A"/>
    <w:rsid w:val="002C1939"/>
    <w:rsid w:val="002C1C08"/>
    <w:rsid w:val="002C1C62"/>
    <w:rsid w:val="002C1ECC"/>
    <w:rsid w:val="002C2149"/>
    <w:rsid w:val="002C288A"/>
    <w:rsid w:val="002C28C6"/>
    <w:rsid w:val="002C2B9A"/>
    <w:rsid w:val="002C37E3"/>
    <w:rsid w:val="002C3C8C"/>
    <w:rsid w:val="002C47AB"/>
    <w:rsid w:val="002C4DB8"/>
    <w:rsid w:val="002C54C6"/>
    <w:rsid w:val="002C5BB0"/>
    <w:rsid w:val="002C5CE4"/>
    <w:rsid w:val="002C6618"/>
    <w:rsid w:val="002C6B8F"/>
    <w:rsid w:val="002C6E20"/>
    <w:rsid w:val="002C71E8"/>
    <w:rsid w:val="002C76CA"/>
    <w:rsid w:val="002C7851"/>
    <w:rsid w:val="002C7CEC"/>
    <w:rsid w:val="002C7ED0"/>
    <w:rsid w:val="002D032D"/>
    <w:rsid w:val="002D0687"/>
    <w:rsid w:val="002D0838"/>
    <w:rsid w:val="002D0C98"/>
    <w:rsid w:val="002D1306"/>
    <w:rsid w:val="002D1539"/>
    <w:rsid w:val="002D1BCA"/>
    <w:rsid w:val="002D33EE"/>
    <w:rsid w:val="002D3E36"/>
    <w:rsid w:val="002D4FC2"/>
    <w:rsid w:val="002D50D6"/>
    <w:rsid w:val="002D5B73"/>
    <w:rsid w:val="002D6DA3"/>
    <w:rsid w:val="002D6F91"/>
    <w:rsid w:val="002D760B"/>
    <w:rsid w:val="002D7FE5"/>
    <w:rsid w:val="002E040F"/>
    <w:rsid w:val="002E080F"/>
    <w:rsid w:val="002E0DEE"/>
    <w:rsid w:val="002E0E51"/>
    <w:rsid w:val="002E2E1B"/>
    <w:rsid w:val="002E30FC"/>
    <w:rsid w:val="002E360F"/>
    <w:rsid w:val="002E3CF1"/>
    <w:rsid w:val="002E46AF"/>
    <w:rsid w:val="002E49A8"/>
    <w:rsid w:val="002E4BB9"/>
    <w:rsid w:val="002E53F3"/>
    <w:rsid w:val="002E5552"/>
    <w:rsid w:val="002E5635"/>
    <w:rsid w:val="002E58B5"/>
    <w:rsid w:val="002E63AB"/>
    <w:rsid w:val="002E66B7"/>
    <w:rsid w:val="002E6ABB"/>
    <w:rsid w:val="002E6BBF"/>
    <w:rsid w:val="002E6E82"/>
    <w:rsid w:val="002E70EE"/>
    <w:rsid w:val="002E75F0"/>
    <w:rsid w:val="002F06CA"/>
    <w:rsid w:val="002F07DE"/>
    <w:rsid w:val="002F0BE1"/>
    <w:rsid w:val="002F10B5"/>
    <w:rsid w:val="002F119E"/>
    <w:rsid w:val="002F16AC"/>
    <w:rsid w:val="002F1742"/>
    <w:rsid w:val="002F1D23"/>
    <w:rsid w:val="002F1D88"/>
    <w:rsid w:val="002F216F"/>
    <w:rsid w:val="002F3636"/>
    <w:rsid w:val="002F4264"/>
    <w:rsid w:val="002F4705"/>
    <w:rsid w:val="002F5F1D"/>
    <w:rsid w:val="002F65EC"/>
    <w:rsid w:val="002F6A79"/>
    <w:rsid w:val="002F742A"/>
    <w:rsid w:val="002F79D4"/>
    <w:rsid w:val="002F7CBE"/>
    <w:rsid w:val="003000A5"/>
    <w:rsid w:val="003006B2"/>
    <w:rsid w:val="00300C0B"/>
    <w:rsid w:val="00300E24"/>
    <w:rsid w:val="0030111F"/>
    <w:rsid w:val="00301692"/>
    <w:rsid w:val="00301C50"/>
    <w:rsid w:val="00302509"/>
    <w:rsid w:val="0030292D"/>
    <w:rsid w:val="003029C4"/>
    <w:rsid w:val="00302AC4"/>
    <w:rsid w:val="00302DCB"/>
    <w:rsid w:val="003034E1"/>
    <w:rsid w:val="00303909"/>
    <w:rsid w:val="0030390F"/>
    <w:rsid w:val="0030422C"/>
    <w:rsid w:val="003047B7"/>
    <w:rsid w:val="00304B84"/>
    <w:rsid w:val="00304D89"/>
    <w:rsid w:val="003051BE"/>
    <w:rsid w:val="00305472"/>
    <w:rsid w:val="00305BA3"/>
    <w:rsid w:val="00305D47"/>
    <w:rsid w:val="0030602B"/>
    <w:rsid w:val="00306AFF"/>
    <w:rsid w:val="00306C8D"/>
    <w:rsid w:val="00306E49"/>
    <w:rsid w:val="00307199"/>
    <w:rsid w:val="003071FC"/>
    <w:rsid w:val="00307221"/>
    <w:rsid w:val="0030771A"/>
    <w:rsid w:val="00310DA1"/>
    <w:rsid w:val="00311921"/>
    <w:rsid w:val="00312348"/>
    <w:rsid w:val="00312488"/>
    <w:rsid w:val="003129AD"/>
    <w:rsid w:val="00312D8D"/>
    <w:rsid w:val="00314020"/>
    <w:rsid w:val="00314413"/>
    <w:rsid w:val="003145ED"/>
    <w:rsid w:val="00314C4D"/>
    <w:rsid w:val="00314D97"/>
    <w:rsid w:val="003151F4"/>
    <w:rsid w:val="00315700"/>
    <w:rsid w:val="00315CC5"/>
    <w:rsid w:val="003166D1"/>
    <w:rsid w:val="00317040"/>
    <w:rsid w:val="00317A0C"/>
    <w:rsid w:val="00317B71"/>
    <w:rsid w:val="0032064D"/>
    <w:rsid w:val="00320767"/>
    <w:rsid w:val="00320913"/>
    <w:rsid w:val="003214A1"/>
    <w:rsid w:val="00321A4D"/>
    <w:rsid w:val="00321A60"/>
    <w:rsid w:val="00321F01"/>
    <w:rsid w:val="00321F8D"/>
    <w:rsid w:val="00322BD2"/>
    <w:rsid w:val="00322FD9"/>
    <w:rsid w:val="003230D2"/>
    <w:rsid w:val="00324201"/>
    <w:rsid w:val="00324460"/>
    <w:rsid w:val="0032526F"/>
    <w:rsid w:val="00325448"/>
    <w:rsid w:val="0032653D"/>
    <w:rsid w:val="00326E18"/>
    <w:rsid w:val="00326F07"/>
    <w:rsid w:val="00327114"/>
    <w:rsid w:val="003275AC"/>
    <w:rsid w:val="0032784F"/>
    <w:rsid w:val="00327B5E"/>
    <w:rsid w:val="00330CC7"/>
    <w:rsid w:val="003313BA"/>
    <w:rsid w:val="00332266"/>
    <w:rsid w:val="00332D2F"/>
    <w:rsid w:val="00334213"/>
    <w:rsid w:val="00334428"/>
    <w:rsid w:val="003345AF"/>
    <w:rsid w:val="00334AEE"/>
    <w:rsid w:val="00335621"/>
    <w:rsid w:val="0033595A"/>
    <w:rsid w:val="00335AB3"/>
    <w:rsid w:val="00336718"/>
    <w:rsid w:val="00336B67"/>
    <w:rsid w:val="00336C16"/>
    <w:rsid w:val="00336CF7"/>
    <w:rsid w:val="0033736B"/>
    <w:rsid w:val="0033772C"/>
    <w:rsid w:val="00337F69"/>
    <w:rsid w:val="00337F9C"/>
    <w:rsid w:val="00337FFB"/>
    <w:rsid w:val="00340292"/>
    <w:rsid w:val="00340B84"/>
    <w:rsid w:val="003418DC"/>
    <w:rsid w:val="00341CD8"/>
    <w:rsid w:val="00341F77"/>
    <w:rsid w:val="00342003"/>
    <w:rsid w:val="0034206D"/>
    <w:rsid w:val="00342AB5"/>
    <w:rsid w:val="00343FC8"/>
    <w:rsid w:val="003446C8"/>
    <w:rsid w:val="00345BA5"/>
    <w:rsid w:val="00345CB3"/>
    <w:rsid w:val="003460F9"/>
    <w:rsid w:val="00347214"/>
    <w:rsid w:val="003473FB"/>
    <w:rsid w:val="0034741B"/>
    <w:rsid w:val="003478A2"/>
    <w:rsid w:val="00347E19"/>
    <w:rsid w:val="00347E91"/>
    <w:rsid w:val="00350127"/>
    <w:rsid w:val="00350751"/>
    <w:rsid w:val="003513A2"/>
    <w:rsid w:val="003515C7"/>
    <w:rsid w:val="003517C7"/>
    <w:rsid w:val="00351E4B"/>
    <w:rsid w:val="0035237C"/>
    <w:rsid w:val="0035256C"/>
    <w:rsid w:val="0035318B"/>
    <w:rsid w:val="003531AA"/>
    <w:rsid w:val="00353451"/>
    <w:rsid w:val="00353B52"/>
    <w:rsid w:val="00353C5E"/>
    <w:rsid w:val="00354B9C"/>
    <w:rsid w:val="003552CD"/>
    <w:rsid w:val="00356012"/>
    <w:rsid w:val="00356319"/>
    <w:rsid w:val="00356F80"/>
    <w:rsid w:val="0035744E"/>
    <w:rsid w:val="003576E6"/>
    <w:rsid w:val="003579ED"/>
    <w:rsid w:val="00357A8B"/>
    <w:rsid w:val="00357D15"/>
    <w:rsid w:val="00357F9F"/>
    <w:rsid w:val="0036078C"/>
    <w:rsid w:val="00360800"/>
    <w:rsid w:val="00361B8B"/>
    <w:rsid w:val="00361ED6"/>
    <w:rsid w:val="00361EEB"/>
    <w:rsid w:val="0036209A"/>
    <w:rsid w:val="00362299"/>
    <w:rsid w:val="00362621"/>
    <w:rsid w:val="00362F77"/>
    <w:rsid w:val="00362FC5"/>
    <w:rsid w:val="003632FD"/>
    <w:rsid w:val="003636D0"/>
    <w:rsid w:val="00363AE6"/>
    <w:rsid w:val="00364536"/>
    <w:rsid w:val="003645E0"/>
    <w:rsid w:val="00364864"/>
    <w:rsid w:val="003649CD"/>
    <w:rsid w:val="00364C2A"/>
    <w:rsid w:val="00364D15"/>
    <w:rsid w:val="00365156"/>
    <w:rsid w:val="003651D6"/>
    <w:rsid w:val="00365CCC"/>
    <w:rsid w:val="003663B7"/>
    <w:rsid w:val="00366500"/>
    <w:rsid w:val="00367CC9"/>
    <w:rsid w:val="00370039"/>
    <w:rsid w:val="00370824"/>
    <w:rsid w:val="0037097C"/>
    <w:rsid w:val="00370B16"/>
    <w:rsid w:val="003710C3"/>
    <w:rsid w:val="00371B13"/>
    <w:rsid w:val="00371DFF"/>
    <w:rsid w:val="0037270F"/>
    <w:rsid w:val="00372DBB"/>
    <w:rsid w:val="0037375E"/>
    <w:rsid w:val="0037379C"/>
    <w:rsid w:val="00373BD3"/>
    <w:rsid w:val="003758C1"/>
    <w:rsid w:val="00375FBD"/>
    <w:rsid w:val="003767B3"/>
    <w:rsid w:val="00376CF4"/>
    <w:rsid w:val="00377B8D"/>
    <w:rsid w:val="00377FDC"/>
    <w:rsid w:val="00381D07"/>
    <w:rsid w:val="0038236A"/>
    <w:rsid w:val="00382CCF"/>
    <w:rsid w:val="00382E58"/>
    <w:rsid w:val="00382F84"/>
    <w:rsid w:val="0038317E"/>
    <w:rsid w:val="003832A4"/>
    <w:rsid w:val="003835CF"/>
    <w:rsid w:val="003846D0"/>
    <w:rsid w:val="00384E67"/>
    <w:rsid w:val="00385087"/>
    <w:rsid w:val="0038522C"/>
    <w:rsid w:val="003858FF"/>
    <w:rsid w:val="00386296"/>
    <w:rsid w:val="00387956"/>
    <w:rsid w:val="003879E3"/>
    <w:rsid w:val="00390A38"/>
    <w:rsid w:val="00390AA1"/>
    <w:rsid w:val="0039103E"/>
    <w:rsid w:val="003911D9"/>
    <w:rsid w:val="00391500"/>
    <w:rsid w:val="00391835"/>
    <w:rsid w:val="0039198A"/>
    <w:rsid w:val="00391E31"/>
    <w:rsid w:val="00392897"/>
    <w:rsid w:val="00392E9C"/>
    <w:rsid w:val="00393094"/>
    <w:rsid w:val="00393566"/>
    <w:rsid w:val="003939A1"/>
    <w:rsid w:val="00393E3A"/>
    <w:rsid w:val="00394CDC"/>
    <w:rsid w:val="003958F2"/>
    <w:rsid w:val="00395F53"/>
    <w:rsid w:val="00396826"/>
    <w:rsid w:val="00397853"/>
    <w:rsid w:val="00397B54"/>
    <w:rsid w:val="00397C1C"/>
    <w:rsid w:val="003A0159"/>
    <w:rsid w:val="003A016E"/>
    <w:rsid w:val="003A0B6A"/>
    <w:rsid w:val="003A0E23"/>
    <w:rsid w:val="003A0E34"/>
    <w:rsid w:val="003A14F9"/>
    <w:rsid w:val="003A1629"/>
    <w:rsid w:val="003A165E"/>
    <w:rsid w:val="003A1758"/>
    <w:rsid w:val="003A1D39"/>
    <w:rsid w:val="003A2136"/>
    <w:rsid w:val="003A23A3"/>
    <w:rsid w:val="003A2651"/>
    <w:rsid w:val="003A28F5"/>
    <w:rsid w:val="003A2CF1"/>
    <w:rsid w:val="003A37C6"/>
    <w:rsid w:val="003A3B1D"/>
    <w:rsid w:val="003A4796"/>
    <w:rsid w:val="003A4CAF"/>
    <w:rsid w:val="003A4E74"/>
    <w:rsid w:val="003A531A"/>
    <w:rsid w:val="003A6E81"/>
    <w:rsid w:val="003A7A57"/>
    <w:rsid w:val="003B0BB2"/>
    <w:rsid w:val="003B0C3A"/>
    <w:rsid w:val="003B12FE"/>
    <w:rsid w:val="003B1408"/>
    <w:rsid w:val="003B1590"/>
    <w:rsid w:val="003B15C4"/>
    <w:rsid w:val="003B1E8D"/>
    <w:rsid w:val="003B2313"/>
    <w:rsid w:val="003B240B"/>
    <w:rsid w:val="003B2646"/>
    <w:rsid w:val="003B27FF"/>
    <w:rsid w:val="003B2E9C"/>
    <w:rsid w:val="003B32AD"/>
    <w:rsid w:val="003B354E"/>
    <w:rsid w:val="003B40B5"/>
    <w:rsid w:val="003B47E0"/>
    <w:rsid w:val="003B5083"/>
    <w:rsid w:val="003B61A1"/>
    <w:rsid w:val="003B6352"/>
    <w:rsid w:val="003B746B"/>
    <w:rsid w:val="003B7498"/>
    <w:rsid w:val="003C09DA"/>
    <w:rsid w:val="003C0A87"/>
    <w:rsid w:val="003C0DB3"/>
    <w:rsid w:val="003C102C"/>
    <w:rsid w:val="003C2304"/>
    <w:rsid w:val="003C2567"/>
    <w:rsid w:val="003C2698"/>
    <w:rsid w:val="003C3FEF"/>
    <w:rsid w:val="003C429F"/>
    <w:rsid w:val="003C4A48"/>
    <w:rsid w:val="003C502E"/>
    <w:rsid w:val="003C50E7"/>
    <w:rsid w:val="003C5733"/>
    <w:rsid w:val="003C59B2"/>
    <w:rsid w:val="003C60E4"/>
    <w:rsid w:val="003C67C5"/>
    <w:rsid w:val="003C6B4D"/>
    <w:rsid w:val="003C735C"/>
    <w:rsid w:val="003C754B"/>
    <w:rsid w:val="003D0578"/>
    <w:rsid w:val="003D07B5"/>
    <w:rsid w:val="003D1021"/>
    <w:rsid w:val="003D1355"/>
    <w:rsid w:val="003D1C22"/>
    <w:rsid w:val="003D1EA9"/>
    <w:rsid w:val="003D1EB3"/>
    <w:rsid w:val="003D29D4"/>
    <w:rsid w:val="003D32B7"/>
    <w:rsid w:val="003D3362"/>
    <w:rsid w:val="003D3B28"/>
    <w:rsid w:val="003D3BA5"/>
    <w:rsid w:val="003D3CF6"/>
    <w:rsid w:val="003D6149"/>
    <w:rsid w:val="003D6E7A"/>
    <w:rsid w:val="003D75C5"/>
    <w:rsid w:val="003D7787"/>
    <w:rsid w:val="003D785B"/>
    <w:rsid w:val="003E00D7"/>
    <w:rsid w:val="003E011D"/>
    <w:rsid w:val="003E058F"/>
    <w:rsid w:val="003E10B6"/>
    <w:rsid w:val="003E1472"/>
    <w:rsid w:val="003E249F"/>
    <w:rsid w:val="003E28CD"/>
    <w:rsid w:val="003E3511"/>
    <w:rsid w:val="003E37F5"/>
    <w:rsid w:val="003E39EC"/>
    <w:rsid w:val="003E3A23"/>
    <w:rsid w:val="003E3BA6"/>
    <w:rsid w:val="003E45E4"/>
    <w:rsid w:val="003E4676"/>
    <w:rsid w:val="003E534B"/>
    <w:rsid w:val="003E583D"/>
    <w:rsid w:val="003E5F74"/>
    <w:rsid w:val="003E6276"/>
    <w:rsid w:val="003E6969"/>
    <w:rsid w:val="003E705E"/>
    <w:rsid w:val="003E7884"/>
    <w:rsid w:val="003E79B1"/>
    <w:rsid w:val="003E7CE0"/>
    <w:rsid w:val="003F0A9C"/>
    <w:rsid w:val="003F0D9F"/>
    <w:rsid w:val="003F1064"/>
    <w:rsid w:val="003F131C"/>
    <w:rsid w:val="003F1FB4"/>
    <w:rsid w:val="003F407B"/>
    <w:rsid w:val="003F4433"/>
    <w:rsid w:val="003F525E"/>
    <w:rsid w:val="003F5865"/>
    <w:rsid w:val="003F5937"/>
    <w:rsid w:val="003F5DC7"/>
    <w:rsid w:val="003F64B3"/>
    <w:rsid w:val="003F672B"/>
    <w:rsid w:val="003F680F"/>
    <w:rsid w:val="003F68F1"/>
    <w:rsid w:val="003F728B"/>
    <w:rsid w:val="003F7795"/>
    <w:rsid w:val="004004B7"/>
    <w:rsid w:val="00400976"/>
    <w:rsid w:val="00400A71"/>
    <w:rsid w:val="00400B7C"/>
    <w:rsid w:val="00400C70"/>
    <w:rsid w:val="00400F7A"/>
    <w:rsid w:val="00401027"/>
    <w:rsid w:val="00401081"/>
    <w:rsid w:val="004013AE"/>
    <w:rsid w:val="00401A8B"/>
    <w:rsid w:val="00402229"/>
    <w:rsid w:val="00403020"/>
    <w:rsid w:val="00403533"/>
    <w:rsid w:val="00403BDC"/>
    <w:rsid w:val="004053A9"/>
    <w:rsid w:val="00405447"/>
    <w:rsid w:val="0040547F"/>
    <w:rsid w:val="00405566"/>
    <w:rsid w:val="0040578D"/>
    <w:rsid w:val="00405DA6"/>
    <w:rsid w:val="00406B16"/>
    <w:rsid w:val="004078B5"/>
    <w:rsid w:val="0041001D"/>
    <w:rsid w:val="0041042A"/>
    <w:rsid w:val="0041090D"/>
    <w:rsid w:val="00411631"/>
    <w:rsid w:val="00411BC6"/>
    <w:rsid w:val="00411CAF"/>
    <w:rsid w:val="004123A8"/>
    <w:rsid w:val="00413375"/>
    <w:rsid w:val="00413570"/>
    <w:rsid w:val="004145DD"/>
    <w:rsid w:val="00416D00"/>
    <w:rsid w:val="004172D8"/>
    <w:rsid w:val="00417559"/>
    <w:rsid w:val="00417E1A"/>
    <w:rsid w:val="00420AD9"/>
    <w:rsid w:val="00420DF9"/>
    <w:rsid w:val="00420ED5"/>
    <w:rsid w:val="004215F5"/>
    <w:rsid w:val="00421A54"/>
    <w:rsid w:val="004234DD"/>
    <w:rsid w:val="0042492A"/>
    <w:rsid w:val="004249CB"/>
    <w:rsid w:val="00424C15"/>
    <w:rsid w:val="004251F6"/>
    <w:rsid w:val="0042535C"/>
    <w:rsid w:val="0042572D"/>
    <w:rsid w:val="004258BA"/>
    <w:rsid w:val="004259A6"/>
    <w:rsid w:val="004261AF"/>
    <w:rsid w:val="004263F6"/>
    <w:rsid w:val="00426C08"/>
    <w:rsid w:val="004279BA"/>
    <w:rsid w:val="00430E9A"/>
    <w:rsid w:val="00430F1C"/>
    <w:rsid w:val="00431036"/>
    <w:rsid w:val="0043115F"/>
    <w:rsid w:val="004312A0"/>
    <w:rsid w:val="004313C4"/>
    <w:rsid w:val="004318BB"/>
    <w:rsid w:val="00431F9F"/>
    <w:rsid w:val="004327BE"/>
    <w:rsid w:val="00433EAE"/>
    <w:rsid w:val="00434199"/>
    <w:rsid w:val="004343D2"/>
    <w:rsid w:val="004346AA"/>
    <w:rsid w:val="00436A31"/>
    <w:rsid w:val="00436EAD"/>
    <w:rsid w:val="0043731B"/>
    <w:rsid w:val="0043781F"/>
    <w:rsid w:val="00437B32"/>
    <w:rsid w:val="004404F0"/>
    <w:rsid w:val="0044052D"/>
    <w:rsid w:val="00440FD4"/>
    <w:rsid w:val="004412ED"/>
    <w:rsid w:val="00441BFE"/>
    <w:rsid w:val="00441D9D"/>
    <w:rsid w:val="0044340F"/>
    <w:rsid w:val="004437AE"/>
    <w:rsid w:val="00443AE8"/>
    <w:rsid w:val="00443DDB"/>
    <w:rsid w:val="00444465"/>
    <w:rsid w:val="00445029"/>
    <w:rsid w:val="00445420"/>
    <w:rsid w:val="00445763"/>
    <w:rsid w:val="00445EEB"/>
    <w:rsid w:val="0044629B"/>
    <w:rsid w:val="00446933"/>
    <w:rsid w:val="00447061"/>
    <w:rsid w:val="00447182"/>
    <w:rsid w:val="00447A70"/>
    <w:rsid w:val="00447D02"/>
    <w:rsid w:val="00447DCA"/>
    <w:rsid w:val="004503B9"/>
    <w:rsid w:val="0045147F"/>
    <w:rsid w:val="00451616"/>
    <w:rsid w:val="0045181C"/>
    <w:rsid w:val="00452878"/>
    <w:rsid w:val="004529FD"/>
    <w:rsid w:val="00454447"/>
    <w:rsid w:val="00454D07"/>
    <w:rsid w:val="00454F45"/>
    <w:rsid w:val="004552AA"/>
    <w:rsid w:val="0045595B"/>
    <w:rsid w:val="00455B06"/>
    <w:rsid w:val="00456DCF"/>
    <w:rsid w:val="0045705B"/>
    <w:rsid w:val="004570ED"/>
    <w:rsid w:val="00457767"/>
    <w:rsid w:val="00457B10"/>
    <w:rsid w:val="00457B3B"/>
    <w:rsid w:val="00460056"/>
    <w:rsid w:val="00460832"/>
    <w:rsid w:val="0046193C"/>
    <w:rsid w:val="00461E4A"/>
    <w:rsid w:val="00462582"/>
    <w:rsid w:val="0046371F"/>
    <w:rsid w:val="00464263"/>
    <w:rsid w:val="0046488B"/>
    <w:rsid w:val="004655BC"/>
    <w:rsid w:val="00465A6F"/>
    <w:rsid w:val="00465FAC"/>
    <w:rsid w:val="004662CB"/>
    <w:rsid w:val="00466D39"/>
    <w:rsid w:val="00466E54"/>
    <w:rsid w:val="00467B30"/>
    <w:rsid w:val="00470DBD"/>
    <w:rsid w:val="00470E3B"/>
    <w:rsid w:val="004716A2"/>
    <w:rsid w:val="00471B30"/>
    <w:rsid w:val="00471B52"/>
    <w:rsid w:val="00471C5C"/>
    <w:rsid w:val="00471F3D"/>
    <w:rsid w:val="00472391"/>
    <w:rsid w:val="0047254F"/>
    <w:rsid w:val="00472A9D"/>
    <w:rsid w:val="00472D1F"/>
    <w:rsid w:val="00472DD4"/>
    <w:rsid w:val="0047368E"/>
    <w:rsid w:val="00474244"/>
    <w:rsid w:val="004747D2"/>
    <w:rsid w:val="00474816"/>
    <w:rsid w:val="00474CD8"/>
    <w:rsid w:val="00474E07"/>
    <w:rsid w:val="00474F65"/>
    <w:rsid w:val="00475256"/>
    <w:rsid w:val="00476116"/>
    <w:rsid w:val="0047638F"/>
    <w:rsid w:val="00476B20"/>
    <w:rsid w:val="00476DD8"/>
    <w:rsid w:val="004770C1"/>
    <w:rsid w:val="0047714B"/>
    <w:rsid w:val="00477535"/>
    <w:rsid w:val="00477DEC"/>
    <w:rsid w:val="004804CB"/>
    <w:rsid w:val="00480D08"/>
    <w:rsid w:val="00480D5D"/>
    <w:rsid w:val="00481BD4"/>
    <w:rsid w:val="00481DD3"/>
    <w:rsid w:val="00482380"/>
    <w:rsid w:val="0048293C"/>
    <w:rsid w:val="00483B29"/>
    <w:rsid w:val="00483CCB"/>
    <w:rsid w:val="00483D1F"/>
    <w:rsid w:val="0048413C"/>
    <w:rsid w:val="004844B3"/>
    <w:rsid w:val="004857C3"/>
    <w:rsid w:val="00485A7D"/>
    <w:rsid w:val="00485E4F"/>
    <w:rsid w:val="004861A2"/>
    <w:rsid w:val="0048672B"/>
    <w:rsid w:val="0048683C"/>
    <w:rsid w:val="00486E33"/>
    <w:rsid w:val="0048735D"/>
    <w:rsid w:val="00490647"/>
    <w:rsid w:val="004908ED"/>
    <w:rsid w:val="00490BF0"/>
    <w:rsid w:val="00490C49"/>
    <w:rsid w:val="00490D13"/>
    <w:rsid w:val="00490EBD"/>
    <w:rsid w:val="00490EC0"/>
    <w:rsid w:val="004913CF"/>
    <w:rsid w:val="0049255B"/>
    <w:rsid w:val="00492898"/>
    <w:rsid w:val="00492C00"/>
    <w:rsid w:val="00492F0F"/>
    <w:rsid w:val="004952B8"/>
    <w:rsid w:val="00495A7A"/>
    <w:rsid w:val="0049637A"/>
    <w:rsid w:val="00496658"/>
    <w:rsid w:val="00497045"/>
    <w:rsid w:val="004A1527"/>
    <w:rsid w:val="004A1EEA"/>
    <w:rsid w:val="004A211E"/>
    <w:rsid w:val="004A2146"/>
    <w:rsid w:val="004A2283"/>
    <w:rsid w:val="004A2AE2"/>
    <w:rsid w:val="004A30F4"/>
    <w:rsid w:val="004A32CD"/>
    <w:rsid w:val="004A3A6D"/>
    <w:rsid w:val="004A4638"/>
    <w:rsid w:val="004A4909"/>
    <w:rsid w:val="004A5B69"/>
    <w:rsid w:val="004A5E36"/>
    <w:rsid w:val="004A5E9D"/>
    <w:rsid w:val="004A5F0E"/>
    <w:rsid w:val="004A6318"/>
    <w:rsid w:val="004A634E"/>
    <w:rsid w:val="004A714D"/>
    <w:rsid w:val="004A7F43"/>
    <w:rsid w:val="004A7FB2"/>
    <w:rsid w:val="004B054A"/>
    <w:rsid w:val="004B0562"/>
    <w:rsid w:val="004B0D22"/>
    <w:rsid w:val="004B0F3C"/>
    <w:rsid w:val="004B12BC"/>
    <w:rsid w:val="004B13C7"/>
    <w:rsid w:val="004B2180"/>
    <w:rsid w:val="004B2A66"/>
    <w:rsid w:val="004B2DBB"/>
    <w:rsid w:val="004B3134"/>
    <w:rsid w:val="004B31DE"/>
    <w:rsid w:val="004B35C3"/>
    <w:rsid w:val="004B36C2"/>
    <w:rsid w:val="004B3D6E"/>
    <w:rsid w:val="004B48EF"/>
    <w:rsid w:val="004B4CF5"/>
    <w:rsid w:val="004B5355"/>
    <w:rsid w:val="004B53DF"/>
    <w:rsid w:val="004B55DF"/>
    <w:rsid w:val="004B5B75"/>
    <w:rsid w:val="004B5EDA"/>
    <w:rsid w:val="004B5FEB"/>
    <w:rsid w:val="004B6D1A"/>
    <w:rsid w:val="004B6FB0"/>
    <w:rsid w:val="004B7A32"/>
    <w:rsid w:val="004B7F9C"/>
    <w:rsid w:val="004C01AC"/>
    <w:rsid w:val="004C0621"/>
    <w:rsid w:val="004C092A"/>
    <w:rsid w:val="004C1158"/>
    <w:rsid w:val="004C15C5"/>
    <w:rsid w:val="004C1667"/>
    <w:rsid w:val="004C1C76"/>
    <w:rsid w:val="004C2823"/>
    <w:rsid w:val="004C3347"/>
    <w:rsid w:val="004C508D"/>
    <w:rsid w:val="004C531A"/>
    <w:rsid w:val="004C5540"/>
    <w:rsid w:val="004C58FD"/>
    <w:rsid w:val="004C6E5B"/>
    <w:rsid w:val="004C7336"/>
    <w:rsid w:val="004C749D"/>
    <w:rsid w:val="004C74F7"/>
    <w:rsid w:val="004D0217"/>
    <w:rsid w:val="004D0763"/>
    <w:rsid w:val="004D08CB"/>
    <w:rsid w:val="004D1437"/>
    <w:rsid w:val="004D1C21"/>
    <w:rsid w:val="004D251E"/>
    <w:rsid w:val="004D2CC9"/>
    <w:rsid w:val="004D32C7"/>
    <w:rsid w:val="004D4093"/>
    <w:rsid w:val="004D4131"/>
    <w:rsid w:val="004D429A"/>
    <w:rsid w:val="004D43E9"/>
    <w:rsid w:val="004D4622"/>
    <w:rsid w:val="004D4E5C"/>
    <w:rsid w:val="004D50A4"/>
    <w:rsid w:val="004D515E"/>
    <w:rsid w:val="004D592F"/>
    <w:rsid w:val="004D6396"/>
    <w:rsid w:val="004D7568"/>
    <w:rsid w:val="004D7E59"/>
    <w:rsid w:val="004D7EE7"/>
    <w:rsid w:val="004D7EEA"/>
    <w:rsid w:val="004D7FCC"/>
    <w:rsid w:val="004E03F7"/>
    <w:rsid w:val="004E12D6"/>
    <w:rsid w:val="004E17C6"/>
    <w:rsid w:val="004E196D"/>
    <w:rsid w:val="004E1D95"/>
    <w:rsid w:val="004E2B22"/>
    <w:rsid w:val="004E369E"/>
    <w:rsid w:val="004E3755"/>
    <w:rsid w:val="004E3AE8"/>
    <w:rsid w:val="004E3FCB"/>
    <w:rsid w:val="004E466B"/>
    <w:rsid w:val="004E5BDB"/>
    <w:rsid w:val="004E5FA3"/>
    <w:rsid w:val="004E6429"/>
    <w:rsid w:val="004E6A1C"/>
    <w:rsid w:val="004E6D3E"/>
    <w:rsid w:val="004E7C38"/>
    <w:rsid w:val="004E7D6C"/>
    <w:rsid w:val="004F082F"/>
    <w:rsid w:val="004F0D67"/>
    <w:rsid w:val="004F10C9"/>
    <w:rsid w:val="004F17D1"/>
    <w:rsid w:val="004F2088"/>
    <w:rsid w:val="004F26CF"/>
    <w:rsid w:val="004F3075"/>
    <w:rsid w:val="004F3CD6"/>
    <w:rsid w:val="004F44C7"/>
    <w:rsid w:val="004F4C56"/>
    <w:rsid w:val="004F5E6E"/>
    <w:rsid w:val="004F64F2"/>
    <w:rsid w:val="004F77AB"/>
    <w:rsid w:val="0050026B"/>
    <w:rsid w:val="00500F01"/>
    <w:rsid w:val="005010A0"/>
    <w:rsid w:val="0050127E"/>
    <w:rsid w:val="00501361"/>
    <w:rsid w:val="005013D6"/>
    <w:rsid w:val="00501896"/>
    <w:rsid w:val="00502030"/>
    <w:rsid w:val="0050273E"/>
    <w:rsid w:val="00502779"/>
    <w:rsid w:val="005029DC"/>
    <w:rsid w:val="00502D8A"/>
    <w:rsid w:val="00504577"/>
    <w:rsid w:val="0050498B"/>
    <w:rsid w:val="00505163"/>
    <w:rsid w:val="005059F1"/>
    <w:rsid w:val="00505D5C"/>
    <w:rsid w:val="0050621F"/>
    <w:rsid w:val="00506625"/>
    <w:rsid w:val="00506B32"/>
    <w:rsid w:val="00506D1D"/>
    <w:rsid w:val="00507138"/>
    <w:rsid w:val="00507617"/>
    <w:rsid w:val="00510153"/>
    <w:rsid w:val="0051104C"/>
    <w:rsid w:val="0051111F"/>
    <w:rsid w:val="005116DB"/>
    <w:rsid w:val="00511F5F"/>
    <w:rsid w:val="00512196"/>
    <w:rsid w:val="00512464"/>
    <w:rsid w:val="0051264E"/>
    <w:rsid w:val="00512839"/>
    <w:rsid w:val="005130A7"/>
    <w:rsid w:val="00513342"/>
    <w:rsid w:val="00514362"/>
    <w:rsid w:val="00514791"/>
    <w:rsid w:val="00514EC9"/>
    <w:rsid w:val="00515777"/>
    <w:rsid w:val="00515918"/>
    <w:rsid w:val="00515A23"/>
    <w:rsid w:val="00515CC4"/>
    <w:rsid w:val="00515F91"/>
    <w:rsid w:val="00516250"/>
    <w:rsid w:val="005165DE"/>
    <w:rsid w:val="00516B8E"/>
    <w:rsid w:val="0052064F"/>
    <w:rsid w:val="0052191A"/>
    <w:rsid w:val="0052382C"/>
    <w:rsid w:val="00523EEC"/>
    <w:rsid w:val="00524718"/>
    <w:rsid w:val="00524746"/>
    <w:rsid w:val="00524CC4"/>
    <w:rsid w:val="00525DD1"/>
    <w:rsid w:val="00526511"/>
    <w:rsid w:val="00527084"/>
    <w:rsid w:val="005277B4"/>
    <w:rsid w:val="00527927"/>
    <w:rsid w:val="0053017F"/>
    <w:rsid w:val="00530FDF"/>
    <w:rsid w:val="0053144B"/>
    <w:rsid w:val="00531914"/>
    <w:rsid w:val="00531D9E"/>
    <w:rsid w:val="005320D4"/>
    <w:rsid w:val="00532247"/>
    <w:rsid w:val="00532288"/>
    <w:rsid w:val="005327C2"/>
    <w:rsid w:val="00533270"/>
    <w:rsid w:val="005333A1"/>
    <w:rsid w:val="00533609"/>
    <w:rsid w:val="00534178"/>
    <w:rsid w:val="00534AD1"/>
    <w:rsid w:val="00534B0F"/>
    <w:rsid w:val="00534FC7"/>
    <w:rsid w:val="00535AA1"/>
    <w:rsid w:val="00535DF4"/>
    <w:rsid w:val="00536DE7"/>
    <w:rsid w:val="00537115"/>
    <w:rsid w:val="00537465"/>
    <w:rsid w:val="005400AD"/>
    <w:rsid w:val="00540844"/>
    <w:rsid w:val="00540F89"/>
    <w:rsid w:val="005424B3"/>
    <w:rsid w:val="005427AF"/>
    <w:rsid w:val="00542ECB"/>
    <w:rsid w:val="005432BA"/>
    <w:rsid w:val="005434A9"/>
    <w:rsid w:val="005443A5"/>
    <w:rsid w:val="005447EF"/>
    <w:rsid w:val="00545312"/>
    <w:rsid w:val="00545AED"/>
    <w:rsid w:val="00545B79"/>
    <w:rsid w:val="00545F8B"/>
    <w:rsid w:val="00546715"/>
    <w:rsid w:val="00546830"/>
    <w:rsid w:val="005472B3"/>
    <w:rsid w:val="00550C11"/>
    <w:rsid w:val="00550DE7"/>
    <w:rsid w:val="005514BB"/>
    <w:rsid w:val="00551854"/>
    <w:rsid w:val="00551F73"/>
    <w:rsid w:val="00552301"/>
    <w:rsid w:val="0055269F"/>
    <w:rsid w:val="00553046"/>
    <w:rsid w:val="00553E62"/>
    <w:rsid w:val="00554634"/>
    <w:rsid w:val="00554795"/>
    <w:rsid w:val="00554AB0"/>
    <w:rsid w:val="00554FC9"/>
    <w:rsid w:val="005550B9"/>
    <w:rsid w:val="005555CD"/>
    <w:rsid w:val="0055561C"/>
    <w:rsid w:val="0055629C"/>
    <w:rsid w:val="00556A9F"/>
    <w:rsid w:val="00556C06"/>
    <w:rsid w:val="00557981"/>
    <w:rsid w:val="00560148"/>
    <w:rsid w:val="0056016F"/>
    <w:rsid w:val="005605A2"/>
    <w:rsid w:val="0056080F"/>
    <w:rsid w:val="00560EDE"/>
    <w:rsid w:val="00561042"/>
    <w:rsid w:val="005610C7"/>
    <w:rsid w:val="005613DA"/>
    <w:rsid w:val="0056176F"/>
    <w:rsid w:val="00561C91"/>
    <w:rsid w:val="00561E59"/>
    <w:rsid w:val="0056222E"/>
    <w:rsid w:val="00562528"/>
    <w:rsid w:val="0056324C"/>
    <w:rsid w:val="005647D1"/>
    <w:rsid w:val="00565011"/>
    <w:rsid w:val="0056506E"/>
    <w:rsid w:val="00565EBC"/>
    <w:rsid w:val="0056662F"/>
    <w:rsid w:val="00566C78"/>
    <w:rsid w:val="00566D53"/>
    <w:rsid w:val="0056708A"/>
    <w:rsid w:val="00567242"/>
    <w:rsid w:val="00567755"/>
    <w:rsid w:val="005704E4"/>
    <w:rsid w:val="00570AB7"/>
    <w:rsid w:val="00570C55"/>
    <w:rsid w:val="00570E2C"/>
    <w:rsid w:val="00571964"/>
    <w:rsid w:val="00571BB7"/>
    <w:rsid w:val="00571E22"/>
    <w:rsid w:val="00572CB4"/>
    <w:rsid w:val="00572EE9"/>
    <w:rsid w:val="005730DB"/>
    <w:rsid w:val="0057317C"/>
    <w:rsid w:val="0057348D"/>
    <w:rsid w:val="005735DD"/>
    <w:rsid w:val="00573656"/>
    <w:rsid w:val="00574092"/>
    <w:rsid w:val="0057496C"/>
    <w:rsid w:val="005749A3"/>
    <w:rsid w:val="00574A7F"/>
    <w:rsid w:val="00574D94"/>
    <w:rsid w:val="005753AE"/>
    <w:rsid w:val="00575CDD"/>
    <w:rsid w:val="00576774"/>
    <w:rsid w:val="005809A7"/>
    <w:rsid w:val="00581B35"/>
    <w:rsid w:val="005823F5"/>
    <w:rsid w:val="005827C6"/>
    <w:rsid w:val="00582E23"/>
    <w:rsid w:val="00583542"/>
    <w:rsid w:val="00583B31"/>
    <w:rsid w:val="00583FEE"/>
    <w:rsid w:val="00584380"/>
    <w:rsid w:val="00584A01"/>
    <w:rsid w:val="00584A5C"/>
    <w:rsid w:val="00584DCA"/>
    <w:rsid w:val="00586108"/>
    <w:rsid w:val="00586BF6"/>
    <w:rsid w:val="00586C50"/>
    <w:rsid w:val="00590860"/>
    <w:rsid w:val="00592FE7"/>
    <w:rsid w:val="00593058"/>
    <w:rsid w:val="00593173"/>
    <w:rsid w:val="005931E2"/>
    <w:rsid w:val="005939D5"/>
    <w:rsid w:val="00593E99"/>
    <w:rsid w:val="005941EF"/>
    <w:rsid w:val="00594F48"/>
    <w:rsid w:val="00595A3C"/>
    <w:rsid w:val="005962B0"/>
    <w:rsid w:val="00596491"/>
    <w:rsid w:val="005977F1"/>
    <w:rsid w:val="005A0446"/>
    <w:rsid w:val="005A0590"/>
    <w:rsid w:val="005A09D8"/>
    <w:rsid w:val="005A0C57"/>
    <w:rsid w:val="005A0C98"/>
    <w:rsid w:val="005A1D49"/>
    <w:rsid w:val="005A2FF5"/>
    <w:rsid w:val="005A36AB"/>
    <w:rsid w:val="005A3D6F"/>
    <w:rsid w:val="005A3D89"/>
    <w:rsid w:val="005A4044"/>
    <w:rsid w:val="005A4075"/>
    <w:rsid w:val="005A4806"/>
    <w:rsid w:val="005A4DBC"/>
    <w:rsid w:val="005A5578"/>
    <w:rsid w:val="005A5684"/>
    <w:rsid w:val="005A5F24"/>
    <w:rsid w:val="005A6274"/>
    <w:rsid w:val="005A6B51"/>
    <w:rsid w:val="005A73C9"/>
    <w:rsid w:val="005A77BF"/>
    <w:rsid w:val="005A78DD"/>
    <w:rsid w:val="005A7A04"/>
    <w:rsid w:val="005A7C9B"/>
    <w:rsid w:val="005B0B37"/>
    <w:rsid w:val="005B0E94"/>
    <w:rsid w:val="005B18A8"/>
    <w:rsid w:val="005B1A7C"/>
    <w:rsid w:val="005B23C6"/>
    <w:rsid w:val="005B271F"/>
    <w:rsid w:val="005B2964"/>
    <w:rsid w:val="005B2C4B"/>
    <w:rsid w:val="005B3221"/>
    <w:rsid w:val="005B39CB"/>
    <w:rsid w:val="005B404C"/>
    <w:rsid w:val="005B442D"/>
    <w:rsid w:val="005B4660"/>
    <w:rsid w:val="005B485D"/>
    <w:rsid w:val="005B569E"/>
    <w:rsid w:val="005B5859"/>
    <w:rsid w:val="005B5D13"/>
    <w:rsid w:val="005B6275"/>
    <w:rsid w:val="005B7466"/>
    <w:rsid w:val="005B7F13"/>
    <w:rsid w:val="005C0472"/>
    <w:rsid w:val="005C05AE"/>
    <w:rsid w:val="005C113B"/>
    <w:rsid w:val="005C1523"/>
    <w:rsid w:val="005C1882"/>
    <w:rsid w:val="005C18EE"/>
    <w:rsid w:val="005C1E39"/>
    <w:rsid w:val="005C21A6"/>
    <w:rsid w:val="005C22CF"/>
    <w:rsid w:val="005C2AC9"/>
    <w:rsid w:val="005C3156"/>
    <w:rsid w:val="005C3922"/>
    <w:rsid w:val="005C3A0F"/>
    <w:rsid w:val="005C52A2"/>
    <w:rsid w:val="005C58A6"/>
    <w:rsid w:val="005C598D"/>
    <w:rsid w:val="005C5C02"/>
    <w:rsid w:val="005C6D14"/>
    <w:rsid w:val="005C7540"/>
    <w:rsid w:val="005D128F"/>
    <w:rsid w:val="005D15B1"/>
    <w:rsid w:val="005D16CB"/>
    <w:rsid w:val="005D1AB5"/>
    <w:rsid w:val="005D2A9A"/>
    <w:rsid w:val="005D2C20"/>
    <w:rsid w:val="005D2FFF"/>
    <w:rsid w:val="005D4237"/>
    <w:rsid w:val="005D4337"/>
    <w:rsid w:val="005D43BE"/>
    <w:rsid w:val="005D4EA7"/>
    <w:rsid w:val="005D4ED7"/>
    <w:rsid w:val="005D5215"/>
    <w:rsid w:val="005D5EDE"/>
    <w:rsid w:val="005D620D"/>
    <w:rsid w:val="005D6A6C"/>
    <w:rsid w:val="005D700A"/>
    <w:rsid w:val="005D7861"/>
    <w:rsid w:val="005D7C43"/>
    <w:rsid w:val="005E0175"/>
    <w:rsid w:val="005E01A1"/>
    <w:rsid w:val="005E0966"/>
    <w:rsid w:val="005E0FAC"/>
    <w:rsid w:val="005E1472"/>
    <w:rsid w:val="005E24E0"/>
    <w:rsid w:val="005E279F"/>
    <w:rsid w:val="005E2E9A"/>
    <w:rsid w:val="005E30E2"/>
    <w:rsid w:val="005E37E1"/>
    <w:rsid w:val="005E3E00"/>
    <w:rsid w:val="005E483E"/>
    <w:rsid w:val="005E4AAB"/>
    <w:rsid w:val="005E4DDB"/>
    <w:rsid w:val="005E4FDA"/>
    <w:rsid w:val="005E59EF"/>
    <w:rsid w:val="005E5F5E"/>
    <w:rsid w:val="005E6619"/>
    <w:rsid w:val="005E6793"/>
    <w:rsid w:val="005E6808"/>
    <w:rsid w:val="005E6ABC"/>
    <w:rsid w:val="005E7B24"/>
    <w:rsid w:val="005E7DE4"/>
    <w:rsid w:val="005F074E"/>
    <w:rsid w:val="005F0F02"/>
    <w:rsid w:val="005F0FE2"/>
    <w:rsid w:val="005F153E"/>
    <w:rsid w:val="005F168F"/>
    <w:rsid w:val="005F1B70"/>
    <w:rsid w:val="005F1E3E"/>
    <w:rsid w:val="005F2075"/>
    <w:rsid w:val="005F208F"/>
    <w:rsid w:val="005F23B3"/>
    <w:rsid w:val="005F2527"/>
    <w:rsid w:val="005F2E8E"/>
    <w:rsid w:val="005F2F2D"/>
    <w:rsid w:val="005F4535"/>
    <w:rsid w:val="005F5795"/>
    <w:rsid w:val="005F58D3"/>
    <w:rsid w:val="005F6328"/>
    <w:rsid w:val="005F6347"/>
    <w:rsid w:val="005F72AB"/>
    <w:rsid w:val="005F76B9"/>
    <w:rsid w:val="005F770C"/>
    <w:rsid w:val="006008AE"/>
    <w:rsid w:val="006010A9"/>
    <w:rsid w:val="00602044"/>
    <w:rsid w:val="00602F96"/>
    <w:rsid w:val="0060366A"/>
    <w:rsid w:val="006038D0"/>
    <w:rsid w:val="006043B4"/>
    <w:rsid w:val="006044F8"/>
    <w:rsid w:val="00605B49"/>
    <w:rsid w:val="0060633E"/>
    <w:rsid w:val="0060662C"/>
    <w:rsid w:val="006066C1"/>
    <w:rsid w:val="00606F4C"/>
    <w:rsid w:val="00606FED"/>
    <w:rsid w:val="00607592"/>
    <w:rsid w:val="006079E3"/>
    <w:rsid w:val="00607C74"/>
    <w:rsid w:val="00610998"/>
    <w:rsid w:val="00611A89"/>
    <w:rsid w:val="00611D0E"/>
    <w:rsid w:val="00612912"/>
    <w:rsid w:val="00613A5E"/>
    <w:rsid w:val="00613B36"/>
    <w:rsid w:val="00614915"/>
    <w:rsid w:val="0061492A"/>
    <w:rsid w:val="00614B54"/>
    <w:rsid w:val="00614D92"/>
    <w:rsid w:val="00615895"/>
    <w:rsid w:val="00615BEF"/>
    <w:rsid w:val="0061640A"/>
    <w:rsid w:val="00616CCC"/>
    <w:rsid w:val="006217FA"/>
    <w:rsid w:val="006225F0"/>
    <w:rsid w:val="00622DB5"/>
    <w:rsid w:val="00623AD0"/>
    <w:rsid w:val="0062486B"/>
    <w:rsid w:val="00624CE5"/>
    <w:rsid w:val="00624DB9"/>
    <w:rsid w:val="00625C02"/>
    <w:rsid w:val="00626415"/>
    <w:rsid w:val="00626ED8"/>
    <w:rsid w:val="00627BC8"/>
    <w:rsid w:val="00627F68"/>
    <w:rsid w:val="00630049"/>
    <w:rsid w:val="006305A5"/>
    <w:rsid w:val="0063078D"/>
    <w:rsid w:val="0063100D"/>
    <w:rsid w:val="006311CF"/>
    <w:rsid w:val="00632234"/>
    <w:rsid w:val="00632E12"/>
    <w:rsid w:val="006335B5"/>
    <w:rsid w:val="006342B7"/>
    <w:rsid w:val="006344D6"/>
    <w:rsid w:val="0063472B"/>
    <w:rsid w:val="00634888"/>
    <w:rsid w:val="00634D83"/>
    <w:rsid w:val="00635860"/>
    <w:rsid w:val="00635A1D"/>
    <w:rsid w:val="006363A3"/>
    <w:rsid w:val="006363FA"/>
    <w:rsid w:val="0063674E"/>
    <w:rsid w:val="00636868"/>
    <w:rsid w:val="0063705A"/>
    <w:rsid w:val="0063726F"/>
    <w:rsid w:val="00637716"/>
    <w:rsid w:val="00637B67"/>
    <w:rsid w:val="00637C36"/>
    <w:rsid w:val="00637E9D"/>
    <w:rsid w:val="006405D3"/>
    <w:rsid w:val="00640F2F"/>
    <w:rsid w:val="006412A8"/>
    <w:rsid w:val="00641AA7"/>
    <w:rsid w:val="00641F76"/>
    <w:rsid w:val="0064201F"/>
    <w:rsid w:val="006420D3"/>
    <w:rsid w:val="006422CB"/>
    <w:rsid w:val="00642341"/>
    <w:rsid w:val="00642392"/>
    <w:rsid w:val="00642520"/>
    <w:rsid w:val="00642699"/>
    <w:rsid w:val="006427A1"/>
    <w:rsid w:val="006429BA"/>
    <w:rsid w:val="006429ED"/>
    <w:rsid w:val="006438A7"/>
    <w:rsid w:val="00643AAD"/>
    <w:rsid w:val="00643CBA"/>
    <w:rsid w:val="00643CC0"/>
    <w:rsid w:val="00644249"/>
    <w:rsid w:val="00645D67"/>
    <w:rsid w:val="00646061"/>
    <w:rsid w:val="00646451"/>
    <w:rsid w:val="00646D05"/>
    <w:rsid w:val="0065021B"/>
    <w:rsid w:val="006508B5"/>
    <w:rsid w:val="00650A33"/>
    <w:rsid w:val="00651A12"/>
    <w:rsid w:val="00651BDA"/>
    <w:rsid w:val="00651E9D"/>
    <w:rsid w:val="006520D6"/>
    <w:rsid w:val="00652ED0"/>
    <w:rsid w:val="0065314C"/>
    <w:rsid w:val="006532B4"/>
    <w:rsid w:val="0065373C"/>
    <w:rsid w:val="00653E55"/>
    <w:rsid w:val="006540B2"/>
    <w:rsid w:val="0065472B"/>
    <w:rsid w:val="00654A32"/>
    <w:rsid w:val="00655498"/>
    <w:rsid w:val="00655C3A"/>
    <w:rsid w:val="00655C9D"/>
    <w:rsid w:val="006568C2"/>
    <w:rsid w:val="006574A4"/>
    <w:rsid w:val="0065773B"/>
    <w:rsid w:val="00660BC4"/>
    <w:rsid w:val="00660DFA"/>
    <w:rsid w:val="00660F44"/>
    <w:rsid w:val="006612CB"/>
    <w:rsid w:val="00661E06"/>
    <w:rsid w:val="0066277D"/>
    <w:rsid w:val="0066289A"/>
    <w:rsid w:val="00664252"/>
    <w:rsid w:val="00664494"/>
    <w:rsid w:val="00664BB3"/>
    <w:rsid w:val="00664BF5"/>
    <w:rsid w:val="0066517A"/>
    <w:rsid w:val="006651CC"/>
    <w:rsid w:val="00665539"/>
    <w:rsid w:val="00665885"/>
    <w:rsid w:val="00665DEF"/>
    <w:rsid w:val="00666066"/>
    <w:rsid w:val="006662D9"/>
    <w:rsid w:val="0066631A"/>
    <w:rsid w:val="006665B5"/>
    <w:rsid w:val="00667393"/>
    <w:rsid w:val="0066746E"/>
    <w:rsid w:val="00667CD6"/>
    <w:rsid w:val="00667E4A"/>
    <w:rsid w:val="006704E0"/>
    <w:rsid w:val="006708A3"/>
    <w:rsid w:val="00670FBB"/>
    <w:rsid w:val="00671BF8"/>
    <w:rsid w:val="0067216F"/>
    <w:rsid w:val="0067270E"/>
    <w:rsid w:val="0067292A"/>
    <w:rsid w:val="00672B68"/>
    <w:rsid w:val="00673291"/>
    <w:rsid w:val="00673E6B"/>
    <w:rsid w:val="00674431"/>
    <w:rsid w:val="006745C0"/>
    <w:rsid w:val="00674C2A"/>
    <w:rsid w:val="00674E42"/>
    <w:rsid w:val="00675100"/>
    <w:rsid w:val="00675166"/>
    <w:rsid w:val="006764A3"/>
    <w:rsid w:val="006766F8"/>
    <w:rsid w:val="00676F3F"/>
    <w:rsid w:val="006773E0"/>
    <w:rsid w:val="006776EF"/>
    <w:rsid w:val="006777B1"/>
    <w:rsid w:val="00677D84"/>
    <w:rsid w:val="006801D7"/>
    <w:rsid w:val="00681003"/>
    <w:rsid w:val="0068145A"/>
    <w:rsid w:val="0068263F"/>
    <w:rsid w:val="00682747"/>
    <w:rsid w:val="00683456"/>
    <w:rsid w:val="00683E07"/>
    <w:rsid w:val="00683E4A"/>
    <w:rsid w:val="00683F33"/>
    <w:rsid w:val="00684296"/>
    <w:rsid w:val="0068459E"/>
    <w:rsid w:val="00684C70"/>
    <w:rsid w:val="00685CFD"/>
    <w:rsid w:val="00686BA2"/>
    <w:rsid w:val="00686EFD"/>
    <w:rsid w:val="00686FD0"/>
    <w:rsid w:val="0068727E"/>
    <w:rsid w:val="00687337"/>
    <w:rsid w:val="0068733D"/>
    <w:rsid w:val="0068759C"/>
    <w:rsid w:val="00687E09"/>
    <w:rsid w:val="00690771"/>
    <w:rsid w:val="006925DA"/>
    <w:rsid w:val="006925FF"/>
    <w:rsid w:val="00692613"/>
    <w:rsid w:val="00694F5B"/>
    <w:rsid w:val="0069638E"/>
    <w:rsid w:val="006969DC"/>
    <w:rsid w:val="00696A55"/>
    <w:rsid w:val="00696B90"/>
    <w:rsid w:val="00696BBC"/>
    <w:rsid w:val="00696E41"/>
    <w:rsid w:val="006970F7"/>
    <w:rsid w:val="0069735A"/>
    <w:rsid w:val="00697830"/>
    <w:rsid w:val="00697E5C"/>
    <w:rsid w:val="006A18D4"/>
    <w:rsid w:val="006A190A"/>
    <w:rsid w:val="006A1D1A"/>
    <w:rsid w:val="006A2C53"/>
    <w:rsid w:val="006A3036"/>
    <w:rsid w:val="006A3698"/>
    <w:rsid w:val="006A37CF"/>
    <w:rsid w:val="006A3A8B"/>
    <w:rsid w:val="006A474C"/>
    <w:rsid w:val="006A51AF"/>
    <w:rsid w:val="006A5689"/>
    <w:rsid w:val="006A625F"/>
    <w:rsid w:val="006A65A6"/>
    <w:rsid w:val="006A69E1"/>
    <w:rsid w:val="006A70BE"/>
    <w:rsid w:val="006B0DC9"/>
    <w:rsid w:val="006B0FBA"/>
    <w:rsid w:val="006B134F"/>
    <w:rsid w:val="006B14EF"/>
    <w:rsid w:val="006B2657"/>
    <w:rsid w:val="006B2762"/>
    <w:rsid w:val="006B2BE2"/>
    <w:rsid w:val="006B2FF8"/>
    <w:rsid w:val="006B3049"/>
    <w:rsid w:val="006B31E4"/>
    <w:rsid w:val="006B34D1"/>
    <w:rsid w:val="006B3633"/>
    <w:rsid w:val="006B40CD"/>
    <w:rsid w:val="006B415A"/>
    <w:rsid w:val="006B41A7"/>
    <w:rsid w:val="006B500A"/>
    <w:rsid w:val="006B57E3"/>
    <w:rsid w:val="006B5E43"/>
    <w:rsid w:val="006B6381"/>
    <w:rsid w:val="006B6B0D"/>
    <w:rsid w:val="006B6B91"/>
    <w:rsid w:val="006B6C27"/>
    <w:rsid w:val="006C0019"/>
    <w:rsid w:val="006C08A0"/>
    <w:rsid w:val="006C08BF"/>
    <w:rsid w:val="006C0BD3"/>
    <w:rsid w:val="006C14D2"/>
    <w:rsid w:val="006C1A94"/>
    <w:rsid w:val="006C1FCA"/>
    <w:rsid w:val="006C2359"/>
    <w:rsid w:val="006C24DD"/>
    <w:rsid w:val="006C2C99"/>
    <w:rsid w:val="006C375E"/>
    <w:rsid w:val="006C3A88"/>
    <w:rsid w:val="006C4242"/>
    <w:rsid w:val="006C66BF"/>
    <w:rsid w:val="006C6DAF"/>
    <w:rsid w:val="006C7366"/>
    <w:rsid w:val="006C7FA2"/>
    <w:rsid w:val="006D01D1"/>
    <w:rsid w:val="006D0DE3"/>
    <w:rsid w:val="006D122F"/>
    <w:rsid w:val="006D12E7"/>
    <w:rsid w:val="006D1CA6"/>
    <w:rsid w:val="006D1D47"/>
    <w:rsid w:val="006D23E1"/>
    <w:rsid w:val="006D30E8"/>
    <w:rsid w:val="006D3366"/>
    <w:rsid w:val="006D3D42"/>
    <w:rsid w:val="006D4A8E"/>
    <w:rsid w:val="006D5113"/>
    <w:rsid w:val="006D57A6"/>
    <w:rsid w:val="006D5A87"/>
    <w:rsid w:val="006D62CE"/>
    <w:rsid w:val="006D62DB"/>
    <w:rsid w:val="006D70A4"/>
    <w:rsid w:val="006D73B9"/>
    <w:rsid w:val="006D762C"/>
    <w:rsid w:val="006D7E5D"/>
    <w:rsid w:val="006E0190"/>
    <w:rsid w:val="006E0193"/>
    <w:rsid w:val="006E03FB"/>
    <w:rsid w:val="006E0909"/>
    <w:rsid w:val="006E096C"/>
    <w:rsid w:val="006E0CB7"/>
    <w:rsid w:val="006E11BD"/>
    <w:rsid w:val="006E17F1"/>
    <w:rsid w:val="006E350D"/>
    <w:rsid w:val="006E45E2"/>
    <w:rsid w:val="006E527B"/>
    <w:rsid w:val="006E5309"/>
    <w:rsid w:val="006E6466"/>
    <w:rsid w:val="006E6B8E"/>
    <w:rsid w:val="006E6BFD"/>
    <w:rsid w:val="006E7754"/>
    <w:rsid w:val="006E7883"/>
    <w:rsid w:val="006E7CFC"/>
    <w:rsid w:val="006E7ECB"/>
    <w:rsid w:val="006F00F9"/>
    <w:rsid w:val="006F0CEB"/>
    <w:rsid w:val="006F1589"/>
    <w:rsid w:val="006F1606"/>
    <w:rsid w:val="006F20C3"/>
    <w:rsid w:val="006F2B58"/>
    <w:rsid w:val="006F2C01"/>
    <w:rsid w:val="006F2E9B"/>
    <w:rsid w:val="006F30C4"/>
    <w:rsid w:val="006F33DF"/>
    <w:rsid w:val="006F387A"/>
    <w:rsid w:val="006F4F5E"/>
    <w:rsid w:val="006F5447"/>
    <w:rsid w:val="006F6072"/>
    <w:rsid w:val="006F64B3"/>
    <w:rsid w:val="006F7D2C"/>
    <w:rsid w:val="00700324"/>
    <w:rsid w:val="007009A3"/>
    <w:rsid w:val="007012F2"/>
    <w:rsid w:val="007013B2"/>
    <w:rsid w:val="00701767"/>
    <w:rsid w:val="00701EBB"/>
    <w:rsid w:val="00702618"/>
    <w:rsid w:val="007026D1"/>
    <w:rsid w:val="00702CD0"/>
    <w:rsid w:val="00703191"/>
    <w:rsid w:val="00704942"/>
    <w:rsid w:val="007049C6"/>
    <w:rsid w:val="00704F9D"/>
    <w:rsid w:val="00705398"/>
    <w:rsid w:val="007055A8"/>
    <w:rsid w:val="007056C3"/>
    <w:rsid w:val="00705751"/>
    <w:rsid w:val="007059D5"/>
    <w:rsid w:val="00705B6D"/>
    <w:rsid w:val="007067D7"/>
    <w:rsid w:val="007079AC"/>
    <w:rsid w:val="00707B97"/>
    <w:rsid w:val="00707F15"/>
    <w:rsid w:val="00710391"/>
    <w:rsid w:val="00710BD3"/>
    <w:rsid w:val="00711DA4"/>
    <w:rsid w:val="00711F83"/>
    <w:rsid w:val="00712337"/>
    <w:rsid w:val="007124AE"/>
    <w:rsid w:val="00712BD5"/>
    <w:rsid w:val="0071300D"/>
    <w:rsid w:val="00713537"/>
    <w:rsid w:val="0071383C"/>
    <w:rsid w:val="0071385B"/>
    <w:rsid w:val="00713972"/>
    <w:rsid w:val="00713998"/>
    <w:rsid w:val="00713E3C"/>
    <w:rsid w:val="00714643"/>
    <w:rsid w:val="00714F85"/>
    <w:rsid w:val="00715311"/>
    <w:rsid w:val="007158F4"/>
    <w:rsid w:val="00715B70"/>
    <w:rsid w:val="00715BF2"/>
    <w:rsid w:val="00715F24"/>
    <w:rsid w:val="0071602B"/>
    <w:rsid w:val="00716377"/>
    <w:rsid w:val="00716F4C"/>
    <w:rsid w:val="00717ADF"/>
    <w:rsid w:val="00717E81"/>
    <w:rsid w:val="00720275"/>
    <w:rsid w:val="00720289"/>
    <w:rsid w:val="00720BDF"/>
    <w:rsid w:val="007215D9"/>
    <w:rsid w:val="00721B8C"/>
    <w:rsid w:val="00721C66"/>
    <w:rsid w:val="00721ECE"/>
    <w:rsid w:val="007222BE"/>
    <w:rsid w:val="007231B7"/>
    <w:rsid w:val="00723DAB"/>
    <w:rsid w:val="0072430B"/>
    <w:rsid w:val="00724DD1"/>
    <w:rsid w:val="00724E33"/>
    <w:rsid w:val="007256DC"/>
    <w:rsid w:val="00725CB1"/>
    <w:rsid w:val="007260C9"/>
    <w:rsid w:val="00726938"/>
    <w:rsid w:val="007269A3"/>
    <w:rsid w:val="00726A51"/>
    <w:rsid w:val="007272F6"/>
    <w:rsid w:val="0072790B"/>
    <w:rsid w:val="00727B73"/>
    <w:rsid w:val="007300DF"/>
    <w:rsid w:val="00730291"/>
    <w:rsid w:val="0073053E"/>
    <w:rsid w:val="00730775"/>
    <w:rsid w:val="00731549"/>
    <w:rsid w:val="007319F7"/>
    <w:rsid w:val="00731CB5"/>
    <w:rsid w:val="00731D5F"/>
    <w:rsid w:val="00731DCD"/>
    <w:rsid w:val="00732375"/>
    <w:rsid w:val="00732976"/>
    <w:rsid w:val="00732B2F"/>
    <w:rsid w:val="00732B8A"/>
    <w:rsid w:val="0073323D"/>
    <w:rsid w:val="007334D5"/>
    <w:rsid w:val="00733639"/>
    <w:rsid w:val="00733AB7"/>
    <w:rsid w:val="00733D56"/>
    <w:rsid w:val="00734686"/>
    <w:rsid w:val="0073471A"/>
    <w:rsid w:val="007347BF"/>
    <w:rsid w:val="00735117"/>
    <w:rsid w:val="00735357"/>
    <w:rsid w:val="00735464"/>
    <w:rsid w:val="00735466"/>
    <w:rsid w:val="00735B75"/>
    <w:rsid w:val="00736200"/>
    <w:rsid w:val="0073712D"/>
    <w:rsid w:val="007375A6"/>
    <w:rsid w:val="00737738"/>
    <w:rsid w:val="00737B9F"/>
    <w:rsid w:val="00737E99"/>
    <w:rsid w:val="00741091"/>
    <w:rsid w:val="0074183C"/>
    <w:rsid w:val="007424CB"/>
    <w:rsid w:val="007431E3"/>
    <w:rsid w:val="00743AA8"/>
    <w:rsid w:val="00744E00"/>
    <w:rsid w:val="00744FF0"/>
    <w:rsid w:val="0074571B"/>
    <w:rsid w:val="00745A49"/>
    <w:rsid w:val="00745ADF"/>
    <w:rsid w:val="00745E67"/>
    <w:rsid w:val="00745F17"/>
    <w:rsid w:val="0075002F"/>
    <w:rsid w:val="007503C7"/>
    <w:rsid w:val="0075069A"/>
    <w:rsid w:val="007513FE"/>
    <w:rsid w:val="00752378"/>
    <w:rsid w:val="00752B38"/>
    <w:rsid w:val="00752E4B"/>
    <w:rsid w:val="0075346A"/>
    <w:rsid w:val="00753D7E"/>
    <w:rsid w:val="00753FA6"/>
    <w:rsid w:val="00756057"/>
    <w:rsid w:val="00756202"/>
    <w:rsid w:val="00756225"/>
    <w:rsid w:val="0075638F"/>
    <w:rsid w:val="0076001D"/>
    <w:rsid w:val="00760C1D"/>
    <w:rsid w:val="00761426"/>
    <w:rsid w:val="00761770"/>
    <w:rsid w:val="00761B70"/>
    <w:rsid w:val="00761DE1"/>
    <w:rsid w:val="00761F23"/>
    <w:rsid w:val="007622A4"/>
    <w:rsid w:val="007625C7"/>
    <w:rsid w:val="0076298A"/>
    <w:rsid w:val="007629B8"/>
    <w:rsid w:val="00762D12"/>
    <w:rsid w:val="00762DA6"/>
    <w:rsid w:val="007638D6"/>
    <w:rsid w:val="00763BF0"/>
    <w:rsid w:val="00763F0D"/>
    <w:rsid w:val="007640F3"/>
    <w:rsid w:val="00764121"/>
    <w:rsid w:val="0076454A"/>
    <w:rsid w:val="00765120"/>
    <w:rsid w:val="007666D9"/>
    <w:rsid w:val="0076672F"/>
    <w:rsid w:val="007668A8"/>
    <w:rsid w:val="00767378"/>
    <w:rsid w:val="0077002A"/>
    <w:rsid w:val="0077006D"/>
    <w:rsid w:val="007706B7"/>
    <w:rsid w:val="007707A6"/>
    <w:rsid w:val="00770DC9"/>
    <w:rsid w:val="00771692"/>
    <w:rsid w:val="0077175E"/>
    <w:rsid w:val="00771BBD"/>
    <w:rsid w:val="0077253D"/>
    <w:rsid w:val="007727CC"/>
    <w:rsid w:val="007734AA"/>
    <w:rsid w:val="00773629"/>
    <w:rsid w:val="00773C29"/>
    <w:rsid w:val="007740B9"/>
    <w:rsid w:val="00774352"/>
    <w:rsid w:val="00774C37"/>
    <w:rsid w:val="00775E3E"/>
    <w:rsid w:val="00776E0A"/>
    <w:rsid w:val="00777364"/>
    <w:rsid w:val="00777527"/>
    <w:rsid w:val="0077798C"/>
    <w:rsid w:val="00777F71"/>
    <w:rsid w:val="00780513"/>
    <w:rsid w:val="00780A96"/>
    <w:rsid w:val="007813E4"/>
    <w:rsid w:val="0078142B"/>
    <w:rsid w:val="007815E4"/>
    <w:rsid w:val="007819DA"/>
    <w:rsid w:val="00781A12"/>
    <w:rsid w:val="00781A85"/>
    <w:rsid w:val="00782929"/>
    <w:rsid w:val="0078464E"/>
    <w:rsid w:val="00784EF5"/>
    <w:rsid w:val="0078541C"/>
    <w:rsid w:val="0078562E"/>
    <w:rsid w:val="007862EE"/>
    <w:rsid w:val="0078690F"/>
    <w:rsid w:val="0078718D"/>
    <w:rsid w:val="007873F8"/>
    <w:rsid w:val="00790F7C"/>
    <w:rsid w:val="00791D33"/>
    <w:rsid w:val="0079294C"/>
    <w:rsid w:val="007929D1"/>
    <w:rsid w:val="00792B3D"/>
    <w:rsid w:val="0079344C"/>
    <w:rsid w:val="00793E8B"/>
    <w:rsid w:val="0079425A"/>
    <w:rsid w:val="00794CDB"/>
    <w:rsid w:val="007953AD"/>
    <w:rsid w:val="0079634D"/>
    <w:rsid w:val="007969C0"/>
    <w:rsid w:val="00796C5A"/>
    <w:rsid w:val="007970E6"/>
    <w:rsid w:val="00797628"/>
    <w:rsid w:val="00797E0D"/>
    <w:rsid w:val="007A083D"/>
    <w:rsid w:val="007A0E98"/>
    <w:rsid w:val="007A1D2D"/>
    <w:rsid w:val="007A2218"/>
    <w:rsid w:val="007A2FCE"/>
    <w:rsid w:val="007A37A2"/>
    <w:rsid w:val="007A405A"/>
    <w:rsid w:val="007A4CA5"/>
    <w:rsid w:val="007A4CF6"/>
    <w:rsid w:val="007A50C3"/>
    <w:rsid w:val="007A5406"/>
    <w:rsid w:val="007A5719"/>
    <w:rsid w:val="007A5B35"/>
    <w:rsid w:val="007A5F48"/>
    <w:rsid w:val="007A619F"/>
    <w:rsid w:val="007A62E2"/>
    <w:rsid w:val="007A674C"/>
    <w:rsid w:val="007A7774"/>
    <w:rsid w:val="007A7947"/>
    <w:rsid w:val="007A799F"/>
    <w:rsid w:val="007A7D62"/>
    <w:rsid w:val="007A7FC4"/>
    <w:rsid w:val="007B0CB4"/>
    <w:rsid w:val="007B13A5"/>
    <w:rsid w:val="007B1E7E"/>
    <w:rsid w:val="007B3086"/>
    <w:rsid w:val="007B3811"/>
    <w:rsid w:val="007B3888"/>
    <w:rsid w:val="007B43EC"/>
    <w:rsid w:val="007B4A71"/>
    <w:rsid w:val="007B5785"/>
    <w:rsid w:val="007B59D4"/>
    <w:rsid w:val="007B5A1C"/>
    <w:rsid w:val="007B5A90"/>
    <w:rsid w:val="007B5BB2"/>
    <w:rsid w:val="007B68DE"/>
    <w:rsid w:val="007B6FB0"/>
    <w:rsid w:val="007B705F"/>
    <w:rsid w:val="007B7149"/>
    <w:rsid w:val="007B75DA"/>
    <w:rsid w:val="007B7733"/>
    <w:rsid w:val="007B7E77"/>
    <w:rsid w:val="007C0658"/>
    <w:rsid w:val="007C0734"/>
    <w:rsid w:val="007C0B10"/>
    <w:rsid w:val="007C2260"/>
    <w:rsid w:val="007C25F3"/>
    <w:rsid w:val="007C26FB"/>
    <w:rsid w:val="007C3410"/>
    <w:rsid w:val="007C356E"/>
    <w:rsid w:val="007C45BD"/>
    <w:rsid w:val="007C461E"/>
    <w:rsid w:val="007C4664"/>
    <w:rsid w:val="007C4794"/>
    <w:rsid w:val="007C4C2B"/>
    <w:rsid w:val="007C4ECF"/>
    <w:rsid w:val="007C513B"/>
    <w:rsid w:val="007C5F71"/>
    <w:rsid w:val="007C68B7"/>
    <w:rsid w:val="007C71AF"/>
    <w:rsid w:val="007C7275"/>
    <w:rsid w:val="007C73FE"/>
    <w:rsid w:val="007C7B25"/>
    <w:rsid w:val="007C7C25"/>
    <w:rsid w:val="007D0436"/>
    <w:rsid w:val="007D161F"/>
    <w:rsid w:val="007D1C3A"/>
    <w:rsid w:val="007D26B3"/>
    <w:rsid w:val="007D289A"/>
    <w:rsid w:val="007D3525"/>
    <w:rsid w:val="007D41E7"/>
    <w:rsid w:val="007D469E"/>
    <w:rsid w:val="007D4A43"/>
    <w:rsid w:val="007D5271"/>
    <w:rsid w:val="007D55EE"/>
    <w:rsid w:val="007D5E5D"/>
    <w:rsid w:val="007D5E6A"/>
    <w:rsid w:val="007D6403"/>
    <w:rsid w:val="007D6B41"/>
    <w:rsid w:val="007D6C89"/>
    <w:rsid w:val="007D7265"/>
    <w:rsid w:val="007D786E"/>
    <w:rsid w:val="007D7902"/>
    <w:rsid w:val="007D7CAD"/>
    <w:rsid w:val="007E07A4"/>
    <w:rsid w:val="007E1804"/>
    <w:rsid w:val="007E1D08"/>
    <w:rsid w:val="007E295A"/>
    <w:rsid w:val="007E2E11"/>
    <w:rsid w:val="007E359C"/>
    <w:rsid w:val="007E4E2F"/>
    <w:rsid w:val="007E559F"/>
    <w:rsid w:val="007E6830"/>
    <w:rsid w:val="007E715A"/>
    <w:rsid w:val="007E7FE9"/>
    <w:rsid w:val="007F0D02"/>
    <w:rsid w:val="007F101B"/>
    <w:rsid w:val="007F1146"/>
    <w:rsid w:val="007F1472"/>
    <w:rsid w:val="007F1A3E"/>
    <w:rsid w:val="007F34F4"/>
    <w:rsid w:val="007F36B1"/>
    <w:rsid w:val="007F36B9"/>
    <w:rsid w:val="007F3A90"/>
    <w:rsid w:val="007F40CE"/>
    <w:rsid w:val="007F46F6"/>
    <w:rsid w:val="007F48AB"/>
    <w:rsid w:val="007F49D8"/>
    <w:rsid w:val="007F5515"/>
    <w:rsid w:val="007F5AEE"/>
    <w:rsid w:val="007F64F9"/>
    <w:rsid w:val="007F6748"/>
    <w:rsid w:val="007F69D8"/>
    <w:rsid w:val="007F69E1"/>
    <w:rsid w:val="007F763B"/>
    <w:rsid w:val="007F7952"/>
    <w:rsid w:val="007F79BE"/>
    <w:rsid w:val="007F7C7B"/>
    <w:rsid w:val="00800372"/>
    <w:rsid w:val="008003C6"/>
    <w:rsid w:val="00800AE0"/>
    <w:rsid w:val="00800FF6"/>
    <w:rsid w:val="008016C4"/>
    <w:rsid w:val="00801772"/>
    <w:rsid w:val="00801D97"/>
    <w:rsid w:val="00801DD8"/>
    <w:rsid w:val="00802AA0"/>
    <w:rsid w:val="00803057"/>
    <w:rsid w:val="008036D8"/>
    <w:rsid w:val="00804514"/>
    <w:rsid w:val="00804E7C"/>
    <w:rsid w:val="00805614"/>
    <w:rsid w:val="008059B6"/>
    <w:rsid w:val="00805D28"/>
    <w:rsid w:val="00805E9A"/>
    <w:rsid w:val="0080601D"/>
    <w:rsid w:val="0080622C"/>
    <w:rsid w:val="00806231"/>
    <w:rsid w:val="00806798"/>
    <w:rsid w:val="0080760D"/>
    <w:rsid w:val="008100D5"/>
    <w:rsid w:val="00810D76"/>
    <w:rsid w:val="00811809"/>
    <w:rsid w:val="00811A3B"/>
    <w:rsid w:val="00811BCB"/>
    <w:rsid w:val="00811EFF"/>
    <w:rsid w:val="00813019"/>
    <w:rsid w:val="00813027"/>
    <w:rsid w:val="008135BC"/>
    <w:rsid w:val="00813636"/>
    <w:rsid w:val="0081376A"/>
    <w:rsid w:val="0081399D"/>
    <w:rsid w:val="008148CE"/>
    <w:rsid w:val="00814E3D"/>
    <w:rsid w:val="00814FF0"/>
    <w:rsid w:val="00815291"/>
    <w:rsid w:val="0081567D"/>
    <w:rsid w:val="00815F71"/>
    <w:rsid w:val="00816704"/>
    <w:rsid w:val="00816EDC"/>
    <w:rsid w:val="00817228"/>
    <w:rsid w:val="0082076A"/>
    <w:rsid w:val="00820AC0"/>
    <w:rsid w:val="008211CC"/>
    <w:rsid w:val="0082165E"/>
    <w:rsid w:val="00821CD6"/>
    <w:rsid w:val="00821F20"/>
    <w:rsid w:val="008222B9"/>
    <w:rsid w:val="00822573"/>
    <w:rsid w:val="00822D1E"/>
    <w:rsid w:val="00823857"/>
    <w:rsid w:val="00823AD7"/>
    <w:rsid w:val="00823D9E"/>
    <w:rsid w:val="00823DBE"/>
    <w:rsid w:val="00824678"/>
    <w:rsid w:val="0082495C"/>
    <w:rsid w:val="008253AA"/>
    <w:rsid w:val="008258D7"/>
    <w:rsid w:val="008259EA"/>
    <w:rsid w:val="00825CED"/>
    <w:rsid w:val="00826E02"/>
    <w:rsid w:val="00827747"/>
    <w:rsid w:val="008302A3"/>
    <w:rsid w:val="0083074F"/>
    <w:rsid w:val="008307C6"/>
    <w:rsid w:val="00831A23"/>
    <w:rsid w:val="00831FE2"/>
    <w:rsid w:val="008321D6"/>
    <w:rsid w:val="0083231E"/>
    <w:rsid w:val="0083264A"/>
    <w:rsid w:val="00832821"/>
    <w:rsid w:val="0083383D"/>
    <w:rsid w:val="008338BD"/>
    <w:rsid w:val="00834699"/>
    <w:rsid w:val="00834A33"/>
    <w:rsid w:val="00834EBD"/>
    <w:rsid w:val="008352D0"/>
    <w:rsid w:val="00835832"/>
    <w:rsid w:val="0083598E"/>
    <w:rsid w:val="0083707D"/>
    <w:rsid w:val="008374FB"/>
    <w:rsid w:val="008376F3"/>
    <w:rsid w:val="00837AF0"/>
    <w:rsid w:val="008403A2"/>
    <w:rsid w:val="008406E6"/>
    <w:rsid w:val="0084072C"/>
    <w:rsid w:val="008409AF"/>
    <w:rsid w:val="00840A08"/>
    <w:rsid w:val="00840A65"/>
    <w:rsid w:val="0084112D"/>
    <w:rsid w:val="008413DA"/>
    <w:rsid w:val="00841EEB"/>
    <w:rsid w:val="0084218D"/>
    <w:rsid w:val="00843137"/>
    <w:rsid w:val="008436AC"/>
    <w:rsid w:val="00843971"/>
    <w:rsid w:val="0084408A"/>
    <w:rsid w:val="0084437E"/>
    <w:rsid w:val="0084441B"/>
    <w:rsid w:val="008446C6"/>
    <w:rsid w:val="008449D9"/>
    <w:rsid w:val="008451AD"/>
    <w:rsid w:val="00845430"/>
    <w:rsid w:val="0084566F"/>
    <w:rsid w:val="008457E4"/>
    <w:rsid w:val="00846994"/>
    <w:rsid w:val="00846A7A"/>
    <w:rsid w:val="008474C5"/>
    <w:rsid w:val="0085007B"/>
    <w:rsid w:val="00850297"/>
    <w:rsid w:val="0085151A"/>
    <w:rsid w:val="00851583"/>
    <w:rsid w:val="0085160D"/>
    <w:rsid w:val="00851CAF"/>
    <w:rsid w:val="00851CE2"/>
    <w:rsid w:val="00852363"/>
    <w:rsid w:val="008529E2"/>
    <w:rsid w:val="008535C8"/>
    <w:rsid w:val="008535CE"/>
    <w:rsid w:val="00853F09"/>
    <w:rsid w:val="00854305"/>
    <w:rsid w:val="00854E1C"/>
    <w:rsid w:val="008554B6"/>
    <w:rsid w:val="00855557"/>
    <w:rsid w:val="00855F2F"/>
    <w:rsid w:val="008562F3"/>
    <w:rsid w:val="0085654E"/>
    <w:rsid w:val="00856A76"/>
    <w:rsid w:val="008573D5"/>
    <w:rsid w:val="00857940"/>
    <w:rsid w:val="008608C8"/>
    <w:rsid w:val="00860963"/>
    <w:rsid w:val="008615D0"/>
    <w:rsid w:val="00861FB8"/>
    <w:rsid w:val="00862166"/>
    <w:rsid w:val="00862ECD"/>
    <w:rsid w:val="00862F23"/>
    <w:rsid w:val="00863747"/>
    <w:rsid w:val="00863CD7"/>
    <w:rsid w:val="008644CC"/>
    <w:rsid w:val="008647F2"/>
    <w:rsid w:val="008648B0"/>
    <w:rsid w:val="00864B02"/>
    <w:rsid w:val="00864FC3"/>
    <w:rsid w:val="0086566D"/>
    <w:rsid w:val="0086599F"/>
    <w:rsid w:val="00866087"/>
    <w:rsid w:val="00870295"/>
    <w:rsid w:val="00870431"/>
    <w:rsid w:val="0087094A"/>
    <w:rsid w:val="00870C89"/>
    <w:rsid w:val="008724F5"/>
    <w:rsid w:val="008728BD"/>
    <w:rsid w:val="00873177"/>
    <w:rsid w:val="0087342E"/>
    <w:rsid w:val="0087350A"/>
    <w:rsid w:val="0087369B"/>
    <w:rsid w:val="00873B73"/>
    <w:rsid w:val="0087419D"/>
    <w:rsid w:val="0087452D"/>
    <w:rsid w:val="0087513A"/>
    <w:rsid w:val="008751FA"/>
    <w:rsid w:val="00875554"/>
    <w:rsid w:val="00875A0C"/>
    <w:rsid w:val="00875DEC"/>
    <w:rsid w:val="00876C80"/>
    <w:rsid w:val="00876F80"/>
    <w:rsid w:val="0087790B"/>
    <w:rsid w:val="00877B3B"/>
    <w:rsid w:val="008800DF"/>
    <w:rsid w:val="008802D3"/>
    <w:rsid w:val="0088054E"/>
    <w:rsid w:val="00880E08"/>
    <w:rsid w:val="00881943"/>
    <w:rsid w:val="00881B63"/>
    <w:rsid w:val="00882512"/>
    <w:rsid w:val="0088255E"/>
    <w:rsid w:val="00882D24"/>
    <w:rsid w:val="00882F46"/>
    <w:rsid w:val="00884219"/>
    <w:rsid w:val="0088422F"/>
    <w:rsid w:val="0088446B"/>
    <w:rsid w:val="00884625"/>
    <w:rsid w:val="0088488A"/>
    <w:rsid w:val="00884DFF"/>
    <w:rsid w:val="00885AE1"/>
    <w:rsid w:val="0088618D"/>
    <w:rsid w:val="008862C8"/>
    <w:rsid w:val="008871C8"/>
    <w:rsid w:val="00887C94"/>
    <w:rsid w:val="00887F9D"/>
    <w:rsid w:val="00890C2F"/>
    <w:rsid w:val="0089127A"/>
    <w:rsid w:val="00891679"/>
    <w:rsid w:val="00892214"/>
    <w:rsid w:val="00892426"/>
    <w:rsid w:val="00893C7D"/>
    <w:rsid w:val="00893CD6"/>
    <w:rsid w:val="00893E0F"/>
    <w:rsid w:val="00894515"/>
    <w:rsid w:val="00894A2A"/>
    <w:rsid w:val="00895DDD"/>
    <w:rsid w:val="008963EC"/>
    <w:rsid w:val="008964A5"/>
    <w:rsid w:val="00896A99"/>
    <w:rsid w:val="00897DA5"/>
    <w:rsid w:val="008A0079"/>
    <w:rsid w:val="008A01B6"/>
    <w:rsid w:val="008A0293"/>
    <w:rsid w:val="008A0432"/>
    <w:rsid w:val="008A080B"/>
    <w:rsid w:val="008A0D8A"/>
    <w:rsid w:val="008A0EDC"/>
    <w:rsid w:val="008A1743"/>
    <w:rsid w:val="008A199C"/>
    <w:rsid w:val="008A233C"/>
    <w:rsid w:val="008A2545"/>
    <w:rsid w:val="008A2F79"/>
    <w:rsid w:val="008A3B5D"/>
    <w:rsid w:val="008A3B9A"/>
    <w:rsid w:val="008A42E9"/>
    <w:rsid w:val="008A4AE5"/>
    <w:rsid w:val="008A5D64"/>
    <w:rsid w:val="008A5F61"/>
    <w:rsid w:val="008A6435"/>
    <w:rsid w:val="008A6A31"/>
    <w:rsid w:val="008A6BFC"/>
    <w:rsid w:val="008A6D2F"/>
    <w:rsid w:val="008A6D3B"/>
    <w:rsid w:val="008A6FE2"/>
    <w:rsid w:val="008B09B3"/>
    <w:rsid w:val="008B11A2"/>
    <w:rsid w:val="008B142A"/>
    <w:rsid w:val="008B14AB"/>
    <w:rsid w:val="008B1759"/>
    <w:rsid w:val="008B2444"/>
    <w:rsid w:val="008B29CD"/>
    <w:rsid w:val="008B30DB"/>
    <w:rsid w:val="008B3504"/>
    <w:rsid w:val="008B38B2"/>
    <w:rsid w:val="008B39C0"/>
    <w:rsid w:val="008B3AC9"/>
    <w:rsid w:val="008B4184"/>
    <w:rsid w:val="008B4425"/>
    <w:rsid w:val="008B44E3"/>
    <w:rsid w:val="008B47C1"/>
    <w:rsid w:val="008B4928"/>
    <w:rsid w:val="008B4EFE"/>
    <w:rsid w:val="008B5A90"/>
    <w:rsid w:val="008B6D02"/>
    <w:rsid w:val="008B6E6F"/>
    <w:rsid w:val="008C06EB"/>
    <w:rsid w:val="008C0753"/>
    <w:rsid w:val="008C13C5"/>
    <w:rsid w:val="008C16D2"/>
    <w:rsid w:val="008C1B3A"/>
    <w:rsid w:val="008C1CFF"/>
    <w:rsid w:val="008C26AF"/>
    <w:rsid w:val="008C2A3F"/>
    <w:rsid w:val="008C2D67"/>
    <w:rsid w:val="008C32AF"/>
    <w:rsid w:val="008C33EA"/>
    <w:rsid w:val="008C35BC"/>
    <w:rsid w:val="008C37AC"/>
    <w:rsid w:val="008C44DA"/>
    <w:rsid w:val="008C4B00"/>
    <w:rsid w:val="008C5738"/>
    <w:rsid w:val="008C66C0"/>
    <w:rsid w:val="008C66D4"/>
    <w:rsid w:val="008C6E8E"/>
    <w:rsid w:val="008C70EF"/>
    <w:rsid w:val="008C72E1"/>
    <w:rsid w:val="008C7ADC"/>
    <w:rsid w:val="008C7C48"/>
    <w:rsid w:val="008C7C74"/>
    <w:rsid w:val="008C7E3C"/>
    <w:rsid w:val="008D106D"/>
    <w:rsid w:val="008D13C4"/>
    <w:rsid w:val="008D13E5"/>
    <w:rsid w:val="008D1CD9"/>
    <w:rsid w:val="008D2234"/>
    <w:rsid w:val="008D22FB"/>
    <w:rsid w:val="008D2C8C"/>
    <w:rsid w:val="008D3019"/>
    <w:rsid w:val="008D32BD"/>
    <w:rsid w:val="008D5940"/>
    <w:rsid w:val="008D5C09"/>
    <w:rsid w:val="008D5FED"/>
    <w:rsid w:val="008D6302"/>
    <w:rsid w:val="008D66E1"/>
    <w:rsid w:val="008D69E1"/>
    <w:rsid w:val="008D6C1E"/>
    <w:rsid w:val="008D7513"/>
    <w:rsid w:val="008E01A2"/>
    <w:rsid w:val="008E0428"/>
    <w:rsid w:val="008E087A"/>
    <w:rsid w:val="008E2126"/>
    <w:rsid w:val="008E224A"/>
    <w:rsid w:val="008E24EC"/>
    <w:rsid w:val="008E36B1"/>
    <w:rsid w:val="008E42AC"/>
    <w:rsid w:val="008E4E7B"/>
    <w:rsid w:val="008E54A4"/>
    <w:rsid w:val="008E56E9"/>
    <w:rsid w:val="008E59FD"/>
    <w:rsid w:val="008E5B6B"/>
    <w:rsid w:val="008E6115"/>
    <w:rsid w:val="008E7326"/>
    <w:rsid w:val="008E78A1"/>
    <w:rsid w:val="008F1152"/>
    <w:rsid w:val="008F1377"/>
    <w:rsid w:val="008F1DE9"/>
    <w:rsid w:val="008F206C"/>
    <w:rsid w:val="008F27FA"/>
    <w:rsid w:val="008F2D08"/>
    <w:rsid w:val="008F3A29"/>
    <w:rsid w:val="008F3F5A"/>
    <w:rsid w:val="008F401C"/>
    <w:rsid w:val="008F4B31"/>
    <w:rsid w:val="008F5628"/>
    <w:rsid w:val="008F5D33"/>
    <w:rsid w:val="008F5D51"/>
    <w:rsid w:val="008F6055"/>
    <w:rsid w:val="008F635D"/>
    <w:rsid w:val="008F65C8"/>
    <w:rsid w:val="008F7474"/>
    <w:rsid w:val="008F75E9"/>
    <w:rsid w:val="008F7A9B"/>
    <w:rsid w:val="00900240"/>
    <w:rsid w:val="00900559"/>
    <w:rsid w:val="00900E44"/>
    <w:rsid w:val="009012D4"/>
    <w:rsid w:val="009023CF"/>
    <w:rsid w:val="009023E7"/>
    <w:rsid w:val="009025F4"/>
    <w:rsid w:val="009026E0"/>
    <w:rsid w:val="00902771"/>
    <w:rsid w:val="00902D15"/>
    <w:rsid w:val="00903188"/>
    <w:rsid w:val="0090375F"/>
    <w:rsid w:val="00903AA2"/>
    <w:rsid w:val="00903B0C"/>
    <w:rsid w:val="00904257"/>
    <w:rsid w:val="00904277"/>
    <w:rsid w:val="009046B3"/>
    <w:rsid w:val="00905530"/>
    <w:rsid w:val="009058B9"/>
    <w:rsid w:val="009062EA"/>
    <w:rsid w:val="00906BC0"/>
    <w:rsid w:val="00906F03"/>
    <w:rsid w:val="00907004"/>
    <w:rsid w:val="00907526"/>
    <w:rsid w:val="0091053B"/>
    <w:rsid w:val="0091054D"/>
    <w:rsid w:val="009111C9"/>
    <w:rsid w:val="00911306"/>
    <w:rsid w:val="00911B6F"/>
    <w:rsid w:val="009124BE"/>
    <w:rsid w:val="00912E6A"/>
    <w:rsid w:val="009131DD"/>
    <w:rsid w:val="00914204"/>
    <w:rsid w:val="00914645"/>
    <w:rsid w:val="009146AA"/>
    <w:rsid w:val="009147AD"/>
    <w:rsid w:val="009149B9"/>
    <w:rsid w:val="00915462"/>
    <w:rsid w:val="009156E2"/>
    <w:rsid w:val="009157DB"/>
    <w:rsid w:val="0091668C"/>
    <w:rsid w:val="00916E82"/>
    <w:rsid w:val="0091724B"/>
    <w:rsid w:val="0091743A"/>
    <w:rsid w:val="009179F5"/>
    <w:rsid w:val="00921C7E"/>
    <w:rsid w:val="00922281"/>
    <w:rsid w:val="00923E7E"/>
    <w:rsid w:val="009241BF"/>
    <w:rsid w:val="009244C6"/>
    <w:rsid w:val="009245C1"/>
    <w:rsid w:val="0092478D"/>
    <w:rsid w:val="00924E2E"/>
    <w:rsid w:val="009250CF"/>
    <w:rsid w:val="0092545A"/>
    <w:rsid w:val="009264F6"/>
    <w:rsid w:val="009265A5"/>
    <w:rsid w:val="00926BBB"/>
    <w:rsid w:val="0092743E"/>
    <w:rsid w:val="009274E7"/>
    <w:rsid w:val="00927534"/>
    <w:rsid w:val="00927E06"/>
    <w:rsid w:val="00930149"/>
    <w:rsid w:val="00930B8F"/>
    <w:rsid w:val="00930BC2"/>
    <w:rsid w:val="00931111"/>
    <w:rsid w:val="00931851"/>
    <w:rsid w:val="00931910"/>
    <w:rsid w:val="009323EF"/>
    <w:rsid w:val="00933234"/>
    <w:rsid w:val="0093342C"/>
    <w:rsid w:val="009334CA"/>
    <w:rsid w:val="00933E5D"/>
    <w:rsid w:val="009340B0"/>
    <w:rsid w:val="0093441E"/>
    <w:rsid w:val="0093608D"/>
    <w:rsid w:val="00936593"/>
    <w:rsid w:val="009368A2"/>
    <w:rsid w:val="00936CC0"/>
    <w:rsid w:val="00937534"/>
    <w:rsid w:val="00937714"/>
    <w:rsid w:val="00937C98"/>
    <w:rsid w:val="009400F8"/>
    <w:rsid w:val="00940806"/>
    <w:rsid w:val="00940E1B"/>
    <w:rsid w:val="009412D8"/>
    <w:rsid w:val="009418FA"/>
    <w:rsid w:val="00941AC0"/>
    <w:rsid w:val="00941F49"/>
    <w:rsid w:val="0094228C"/>
    <w:rsid w:val="009429F2"/>
    <w:rsid w:val="0094319C"/>
    <w:rsid w:val="00943F2A"/>
    <w:rsid w:val="00943F63"/>
    <w:rsid w:val="00944862"/>
    <w:rsid w:val="00945DC3"/>
    <w:rsid w:val="0094626B"/>
    <w:rsid w:val="009468F8"/>
    <w:rsid w:val="00946A7B"/>
    <w:rsid w:val="00950554"/>
    <w:rsid w:val="009509B0"/>
    <w:rsid w:val="00951056"/>
    <w:rsid w:val="00951134"/>
    <w:rsid w:val="009515A7"/>
    <w:rsid w:val="009515DF"/>
    <w:rsid w:val="00951885"/>
    <w:rsid w:val="009519B1"/>
    <w:rsid w:val="00951B23"/>
    <w:rsid w:val="00951B82"/>
    <w:rsid w:val="00951F54"/>
    <w:rsid w:val="00952C09"/>
    <w:rsid w:val="009538C7"/>
    <w:rsid w:val="00953B8B"/>
    <w:rsid w:val="00953F31"/>
    <w:rsid w:val="0095402C"/>
    <w:rsid w:val="009541B0"/>
    <w:rsid w:val="00954981"/>
    <w:rsid w:val="009549D7"/>
    <w:rsid w:val="00954A09"/>
    <w:rsid w:val="0095517B"/>
    <w:rsid w:val="009552D4"/>
    <w:rsid w:val="00955D22"/>
    <w:rsid w:val="009562ED"/>
    <w:rsid w:val="00956B8B"/>
    <w:rsid w:val="00956DD4"/>
    <w:rsid w:val="0095765B"/>
    <w:rsid w:val="009577F7"/>
    <w:rsid w:val="0096012C"/>
    <w:rsid w:val="00960F48"/>
    <w:rsid w:val="00961B6F"/>
    <w:rsid w:val="00961F5A"/>
    <w:rsid w:val="009622D2"/>
    <w:rsid w:val="00962B73"/>
    <w:rsid w:val="00962C70"/>
    <w:rsid w:val="009640A7"/>
    <w:rsid w:val="0096410D"/>
    <w:rsid w:val="009641CE"/>
    <w:rsid w:val="00964689"/>
    <w:rsid w:val="009654D5"/>
    <w:rsid w:val="00965856"/>
    <w:rsid w:val="009662DF"/>
    <w:rsid w:val="009662F7"/>
    <w:rsid w:val="00966490"/>
    <w:rsid w:val="00967A14"/>
    <w:rsid w:val="00967C7A"/>
    <w:rsid w:val="00967F8C"/>
    <w:rsid w:val="0097003C"/>
    <w:rsid w:val="00970583"/>
    <w:rsid w:val="00970F59"/>
    <w:rsid w:val="00971319"/>
    <w:rsid w:val="0097136B"/>
    <w:rsid w:val="009718A4"/>
    <w:rsid w:val="009719AE"/>
    <w:rsid w:val="00972409"/>
    <w:rsid w:val="00972418"/>
    <w:rsid w:val="00972434"/>
    <w:rsid w:val="009732EB"/>
    <w:rsid w:val="00973FD8"/>
    <w:rsid w:val="0097471D"/>
    <w:rsid w:val="00975495"/>
    <w:rsid w:val="009757AB"/>
    <w:rsid w:val="00975858"/>
    <w:rsid w:val="009762DF"/>
    <w:rsid w:val="00976402"/>
    <w:rsid w:val="00976701"/>
    <w:rsid w:val="00977013"/>
    <w:rsid w:val="00977831"/>
    <w:rsid w:val="00977B43"/>
    <w:rsid w:val="00977B6F"/>
    <w:rsid w:val="00980162"/>
    <w:rsid w:val="0098016A"/>
    <w:rsid w:val="009801C4"/>
    <w:rsid w:val="0098046E"/>
    <w:rsid w:val="0098069C"/>
    <w:rsid w:val="00981401"/>
    <w:rsid w:val="00981A8C"/>
    <w:rsid w:val="00981BD6"/>
    <w:rsid w:val="00981D34"/>
    <w:rsid w:val="00981FC3"/>
    <w:rsid w:val="009820C8"/>
    <w:rsid w:val="0098219F"/>
    <w:rsid w:val="00982232"/>
    <w:rsid w:val="00982426"/>
    <w:rsid w:val="00982479"/>
    <w:rsid w:val="00982AA1"/>
    <w:rsid w:val="0098341B"/>
    <w:rsid w:val="0098385B"/>
    <w:rsid w:val="0098527A"/>
    <w:rsid w:val="009852C5"/>
    <w:rsid w:val="0098598C"/>
    <w:rsid w:val="009867C2"/>
    <w:rsid w:val="0098795A"/>
    <w:rsid w:val="00990185"/>
    <w:rsid w:val="00990398"/>
    <w:rsid w:val="009910E1"/>
    <w:rsid w:val="00991788"/>
    <w:rsid w:val="009935BC"/>
    <w:rsid w:val="009942C8"/>
    <w:rsid w:val="00994782"/>
    <w:rsid w:val="00994F86"/>
    <w:rsid w:val="00996241"/>
    <w:rsid w:val="009A0084"/>
    <w:rsid w:val="009A0714"/>
    <w:rsid w:val="009A1B74"/>
    <w:rsid w:val="009A31B5"/>
    <w:rsid w:val="009A3590"/>
    <w:rsid w:val="009A3C0C"/>
    <w:rsid w:val="009A42B1"/>
    <w:rsid w:val="009A49FE"/>
    <w:rsid w:val="009A4FEC"/>
    <w:rsid w:val="009A5174"/>
    <w:rsid w:val="009A6348"/>
    <w:rsid w:val="009A6556"/>
    <w:rsid w:val="009A6A5C"/>
    <w:rsid w:val="009A6B59"/>
    <w:rsid w:val="009A6F02"/>
    <w:rsid w:val="009A75A3"/>
    <w:rsid w:val="009B11E7"/>
    <w:rsid w:val="009B179F"/>
    <w:rsid w:val="009B195B"/>
    <w:rsid w:val="009B1E54"/>
    <w:rsid w:val="009B1EA1"/>
    <w:rsid w:val="009B2AAE"/>
    <w:rsid w:val="009B2C03"/>
    <w:rsid w:val="009B3067"/>
    <w:rsid w:val="009B3399"/>
    <w:rsid w:val="009B3690"/>
    <w:rsid w:val="009B5ABA"/>
    <w:rsid w:val="009B630A"/>
    <w:rsid w:val="009B6340"/>
    <w:rsid w:val="009B64F7"/>
    <w:rsid w:val="009B6BA0"/>
    <w:rsid w:val="009B6C8D"/>
    <w:rsid w:val="009B6C9C"/>
    <w:rsid w:val="009B71C5"/>
    <w:rsid w:val="009B7414"/>
    <w:rsid w:val="009B775C"/>
    <w:rsid w:val="009B7B16"/>
    <w:rsid w:val="009B7EA2"/>
    <w:rsid w:val="009C0045"/>
    <w:rsid w:val="009C0375"/>
    <w:rsid w:val="009C07F7"/>
    <w:rsid w:val="009C1763"/>
    <w:rsid w:val="009C25AB"/>
    <w:rsid w:val="009C2C05"/>
    <w:rsid w:val="009C2E7D"/>
    <w:rsid w:val="009C3412"/>
    <w:rsid w:val="009C4894"/>
    <w:rsid w:val="009C4F0E"/>
    <w:rsid w:val="009C56C8"/>
    <w:rsid w:val="009C5F5F"/>
    <w:rsid w:val="009C6441"/>
    <w:rsid w:val="009C652F"/>
    <w:rsid w:val="009C6780"/>
    <w:rsid w:val="009C68AA"/>
    <w:rsid w:val="009C71F8"/>
    <w:rsid w:val="009C72C9"/>
    <w:rsid w:val="009C7A32"/>
    <w:rsid w:val="009C7A96"/>
    <w:rsid w:val="009C7BED"/>
    <w:rsid w:val="009D1707"/>
    <w:rsid w:val="009D1E34"/>
    <w:rsid w:val="009D1E79"/>
    <w:rsid w:val="009D2B29"/>
    <w:rsid w:val="009D2ED8"/>
    <w:rsid w:val="009D3185"/>
    <w:rsid w:val="009D358B"/>
    <w:rsid w:val="009D3742"/>
    <w:rsid w:val="009D38C4"/>
    <w:rsid w:val="009D38C5"/>
    <w:rsid w:val="009D3979"/>
    <w:rsid w:val="009D42AE"/>
    <w:rsid w:val="009D45EC"/>
    <w:rsid w:val="009D57B6"/>
    <w:rsid w:val="009D591F"/>
    <w:rsid w:val="009D5F4D"/>
    <w:rsid w:val="009D60D9"/>
    <w:rsid w:val="009D643E"/>
    <w:rsid w:val="009D77D8"/>
    <w:rsid w:val="009D7F77"/>
    <w:rsid w:val="009E00AC"/>
    <w:rsid w:val="009E08AA"/>
    <w:rsid w:val="009E0A95"/>
    <w:rsid w:val="009E0E85"/>
    <w:rsid w:val="009E131B"/>
    <w:rsid w:val="009E1438"/>
    <w:rsid w:val="009E148C"/>
    <w:rsid w:val="009E1636"/>
    <w:rsid w:val="009E18E6"/>
    <w:rsid w:val="009E1DF2"/>
    <w:rsid w:val="009E1DF4"/>
    <w:rsid w:val="009E22D1"/>
    <w:rsid w:val="009E2D4C"/>
    <w:rsid w:val="009E3654"/>
    <w:rsid w:val="009E365D"/>
    <w:rsid w:val="009E3881"/>
    <w:rsid w:val="009E3ED2"/>
    <w:rsid w:val="009E410E"/>
    <w:rsid w:val="009E433D"/>
    <w:rsid w:val="009E454F"/>
    <w:rsid w:val="009E4BB1"/>
    <w:rsid w:val="009E51C3"/>
    <w:rsid w:val="009E53FF"/>
    <w:rsid w:val="009E55B8"/>
    <w:rsid w:val="009E5EEB"/>
    <w:rsid w:val="009E5FCC"/>
    <w:rsid w:val="009E6D0F"/>
    <w:rsid w:val="009E7C18"/>
    <w:rsid w:val="009F01E5"/>
    <w:rsid w:val="009F0221"/>
    <w:rsid w:val="009F12A8"/>
    <w:rsid w:val="009F14EF"/>
    <w:rsid w:val="009F233A"/>
    <w:rsid w:val="009F3121"/>
    <w:rsid w:val="009F397E"/>
    <w:rsid w:val="009F39A1"/>
    <w:rsid w:val="009F3A0B"/>
    <w:rsid w:val="009F3C64"/>
    <w:rsid w:val="009F4536"/>
    <w:rsid w:val="009F5740"/>
    <w:rsid w:val="009F5B19"/>
    <w:rsid w:val="009F71D8"/>
    <w:rsid w:val="00A0035C"/>
    <w:rsid w:val="00A00860"/>
    <w:rsid w:val="00A0089B"/>
    <w:rsid w:val="00A00BC6"/>
    <w:rsid w:val="00A00CD8"/>
    <w:rsid w:val="00A01150"/>
    <w:rsid w:val="00A01A42"/>
    <w:rsid w:val="00A01A50"/>
    <w:rsid w:val="00A02448"/>
    <w:rsid w:val="00A026EA"/>
    <w:rsid w:val="00A032B3"/>
    <w:rsid w:val="00A037C9"/>
    <w:rsid w:val="00A03A2C"/>
    <w:rsid w:val="00A04A14"/>
    <w:rsid w:val="00A04F38"/>
    <w:rsid w:val="00A0535B"/>
    <w:rsid w:val="00A05838"/>
    <w:rsid w:val="00A10119"/>
    <w:rsid w:val="00A103C9"/>
    <w:rsid w:val="00A118EE"/>
    <w:rsid w:val="00A12C61"/>
    <w:rsid w:val="00A14016"/>
    <w:rsid w:val="00A14B5C"/>
    <w:rsid w:val="00A15373"/>
    <w:rsid w:val="00A156D4"/>
    <w:rsid w:val="00A16808"/>
    <w:rsid w:val="00A16AC7"/>
    <w:rsid w:val="00A16AFB"/>
    <w:rsid w:val="00A17BE4"/>
    <w:rsid w:val="00A2083F"/>
    <w:rsid w:val="00A2172C"/>
    <w:rsid w:val="00A21990"/>
    <w:rsid w:val="00A2199D"/>
    <w:rsid w:val="00A21AD0"/>
    <w:rsid w:val="00A21D10"/>
    <w:rsid w:val="00A21E28"/>
    <w:rsid w:val="00A21F97"/>
    <w:rsid w:val="00A21FF0"/>
    <w:rsid w:val="00A231B4"/>
    <w:rsid w:val="00A231B8"/>
    <w:rsid w:val="00A234DC"/>
    <w:rsid w:val="00A23A67"/>
    <w:rsid w:val="00A23C60"/>
    <w:rsid w:val="00A23D06"/>
    <w:rsid w:val="00A23F16"/>
    <w:rsid w:val="00A23F84"/>
    <w:rsid w:val="00A24788"/>
    <w:rsid w:val="00A258C9"/>
    <w:rsid w:val="00A259E2"/>
    <w:rsid w:val="00A25D5B"/>
    <w:rsid w:val="00A262CA"/>
    <w:rsid w:val="00A26ADF"/>
    <w:rsid w:val="00A26DE0"/>
    <w:rsid w:val="00A27206"/>
    <w:rsid w:val="00A300E3"/>
    <w:rsid w:val="00A30E01"/>
    <w:rsid w:val="00A315F2"/>
    <w:rsid w:val="00A31D30"/>
    <w:rsid w:val="00A32432"/>
    <w:rsid w:val="00A32466"/>
    <w:rsid w:val="00A32731"/>
    <w:rsid w:val="00A3289F"/>
    <w:rsid w:val="00A32C0A"/>
    <w:rsid w:val="00A32C88"/>
    <w:rsid w:val="00A32CD7"/>
    <w:rsid w:val="00A3352A"/>
    <w:rsid w:val="00A33AB0"/>
    <w:rsid w:val="00A3441D"/>
    <w:rsid w:val="00A34A5F"/>
    <w:rsid w:val="00A3542D"/>
    <w:rsid w:val="00A35ADC"/>
    <w:rsid w:val="00A35D9C"/>
    <w:rsid w:val="00A36ACB"/>
    <w:rsid w:val="00A36ADE"/>
    <w:rsid w:val="00A36CA2"/>
    <w:rsid w:val="00A37B40"/>
    <w:rsid w:val="00A404E0"/>
    <w:rsid w:val="00A40EF6"/>
    <w:rsid w:val="00A41735"/>
    <w:rsid w:val="00A41F5A"/>
    <w:rsid w:val="00A420C1"/>
    <w:rsid w:val="00A42BDA"/>
    <w:rsid w:val="00A443A4"/>
    <w:rsid w:val="00A4466D"/>
    <w:rsid w:val="00A4588D"/>
    <w:rsid w:val="00A4604E"/>
    <w:rsid w:val="00A511A3"/>
    <w:rsid w:val="00A52163"/>
    <w:rsid w:val="00A524CA"/>
    <w:rsid w:val="00A526E7"/>
    <w:rsid w:val="00A53641"/>
    <w:rsid w:val="00A54815"/>
    <w:rsid w:val="00A54BDB"/>
    <w:rsid w:val="00A55B31"/>
    <w:rsid w:val="00A55F42"/>
    <w:rsid w:val="00A5693C"/>
    <w:rsid w:val="00A57377"/>
    <w:rsid w:val="00A606DC"/>
    <w:rsid w:val="00A60C2B"/>
    <w:rsid w:val="00A617C5"/>
    <w:rsid w:val="00A63B5D"/>
    <w:rsid w:val="00A63B87"/>
    <w:rsid w:val="00A65B37"/>
    <w:rsid w:val="00A65F4B"/>
    <w:rsid w:val="00A66064"/>
    <w:rsid w:val="00A66AA6"/>
    <w:rsid w:val="00A67AB7"/>
    <w:rsid w:val="00A67D95"/>
    <w:rsid w:val="00A70939"/>
    <w:rsid w:val="00A71042"/>
    <w:rsid w:val="00A71594"/>
    <w:rsid w:val="00A7213A"/>
    <w:rsid w:val="00A722EE"/>
    <w:rsid w:val="00A72827"/>
    <w:rsid w:val="00A72F62"/>
    <w:rsid w:val="00A731DD"/>
    <w:rsid w:val="00A73869"/>
    <w:rsid w:val="00A74D18"/>
    <w:rsid w:val="00A74FBC"/>
    <w:rsid w:val="00A74FED"/>
    <w:rsid w:val="00A75311"/>
    <w:rsid w:val="00A7560A"/>
    <w:rsid w:val="00A75A3C"/>
    <w:rsid w:val="00A75A90"/>
    <w:rsid w:val="00A768CB"/>
    <w:rsid w:val="00A77361"/>
    <w:rsid w:val="00A774CD"/>
    <w:rsid w:val="00A7760F"/>
    <w:rsid w:val="00A7792D"/>
    <w:rsid w:val="00A800D8"/>
    <w:rsid w:val="00A80580"/>
    <w:rsid w:val="00A80735"/>
    <w:rsid w:val="00A81937"/>
    <w:rsid w:val="00A81999"/>
    <w:rsid w:val="00A81D6C"/>
    <w:rsid w:val="00A82C76"/>
    <w:rsid w:val="00A83434"/>
    <w:rsid w:val="00A83585"/>
    <w:rsid w:val="00A83A10"/>
    <w:rsid w:val="00A83D7B"/>
    <w:rsid w:val="00A84F6B"/>
    <w:rsid w:val="00A852A1"/>
    <w:rsid w:val="00A85683"/>
    <w:rsid w:val="00A85838"/>
    <w:rsid w:val="00A867FB"/>
    <w:rsid w:val="00A86CAA"/>
    <w:rsid w:val="00A870B7"/>
    <w:rsid w:val="00A8725B"/>
    <w:rsid w:val="00A87C7C"/>
    <w:rsid w:val="00A90011"/>
    <w:rsid w:val="00A90600"/>
    <w:rsid w:val="00A90786"/>
    <w:rsid w:val="00A92853"/>
    <w:rsid w:val="00A92AAC"/>
    <w:rsid w:val="00A92C6A"/>
    <w:rsid w:val="00A931B4"/>
    <w:rsid w:val="00A93759"/>
    <w:rsid w:val="00A93B03"/>
    <w:rsid w:val="00A93E09"/>
    <w:rsid w:val="00A93F66"/>
    <w:rsid w:val="00A9421C"/>
    <w:rsid w:val="00A948F8"/>
    <w:rsid w:val="00A94CBE"/>
    <w:rsid w:val="00A9619A"/>
    <w:rsid w:val="00A96C68"/>
    <w:rsid w:val="00A96E8D"/>
    <w:rsid w:val="00A97627"/>
    <w:rsid w:val="00A97913"/>
    <w:rsid w:val="00AA0E84"/>
    <w:rsid w:val="00AA115F"/>
    <w:rsid w:val="00AA158F"/>
    <w:rsid w:val="00AA167B"/>
    <w:rsid w:val="00AA1EC5"/>
    <w:rsid w:val="00AA1F42"/>
    <w:rsid w:val="00AA223A"/>
    <w:rsid w:val="00AA3157"/>
    <w:rsid w:val="00AA36A0"/>
    <w:rsid w:val="00AA4B0D"/>
    <w:rsid w:val="00AA4E57"/>
    <w:rsid w:val="00AA5CB7"/>
    <w:rsid w:val="00AA60B9"/>
    <w:rsid w:val="00AA6194"/>
    <w:rsid w:val="00AA683D"/>
    <w:rsid w:val="00AA70DC"/>
    <w:rsid w:val="00AA7189"/>
    <w:rsid w:val="00AA74B4"/>
    <w:rsid w:val="00AA7589"/>
    <w:rsid w:val="00AA7F60"/>
    <w:rsid w:val="00AB0BB8"/>
    <w:rsid w:val="00AB1DC7"/>
    <w:rsid w:val="00AB1EC9"/>
    <w:rsid w:val="00AB2A99"/>
    <w:rsid w:val="00AB2AA2"/>
    <w:rsid w:val="00AB30C9"/>
    <w:rsid w:val="00AB39F3"/>
    <w:rsid w:val="00AB4FBA"/>
    <w:rsid w:val="00AB54FC"/>
    <w:rsid w:val="00AB596E"/>
    <w:rsid w:val="00AB6027"/>
    <w:rsid w:val="00AB656F"/>
    <w:rsid w:val="00AB685D"/>
    <w:rsid w:val="00AB6ED5"/>
    <w:rsid w:val="00AB6EF6"/>
    <w:rsid w:val="00AB741C"/>
    <w:rsid w:val="00AB74E8"/>
    <w:rsid w:val="00AB7A4A"/>
    <w:rsid w:val="00AB7C6D"/>
    <w:rsid w:val="00AB7CE4"/>
    <w:rsid w:val="00AC00A2"/>
    <w:rsid w:val="00AC010D"/>
    <w:rsid w:val="00AC08A4"/>
    <w:rsid w:val="00AC0F1E"/>
    <w:rsid w:val="00AC11E3"/>
    <w:rsid w:val="00AC152C"/>
    <w:rsid w:val="00AC1BE6"/>
    <w:rsid w:val="00AC24DA"/>
    <w:rsid w:val="00AC3D07"/>
    <w:rsid w:val="00AC4105"/>
    <w:rsid w:val="00AC431A"/>
    <w:rsid w:val="00AC4345"/>
    <w:rsid w:val="00AC4573"/>
    <w:rsid w:val="00AC468D"/>
    <w:rsid w:val="00AC5083"/>
    <w:rsid w:val="00AC510F"/>
    <w:rsid w:val="00AC52E7"/>
    <w:rsid w:val="00AC598A"/>
    <w:rsid w:val="00AC5D15"/>
    <w:rsid w:val="00AC5F52"/>
    <w:rsid w:val="00AD09FC"/>
    <w:rsid w:val="00AD11B2"/>
    <w:rsid w:val="00AD128F"/>
    <w:rsid w:val="00AD13DF"/>
    <w:rsid w:val="00AD1E15"/>
    <w:rsid w:val="00AD204C"/>
    <w:rsid w:val="00AD23B7"/>
    <w:rsid w:val="00AD3025"/>
    <w:rsid w:val="00AD3783"/>
    <w:rsid w:val="00AD40AA"/>
    <w:rsid w:val="00AD429E"/>
    <w:rsid w:val="00AD520B"/>
    <w:rsid w:val="00AD57FC"/>
    <w:rsid w:val="00AD646A"/>
    <w:rsid w:val="00AD6AE2"/>
    <w:rsid w:val="00AD6B5E"/>
    <w:rsid w:val="00AD6C7F"/>
    <w:rsid w:val="00AD71C5"/>
    <w:rsid w:val="00AD77AA"/>
    <w:rsid w:val="00AD77BF"/>
    <w:rsid w:val="00AD78C1"/>
    <w:rsid w:val="00AD7ABC"/>
    <w:rsid w:val="00AE0190"/>
    <w:rsid w:val="00AE256A"/>
    <w:rsid w:val="00AE29F5"/>
    <w:rsid w:val="00AE33DF"/>
    <w:rsid w:val="00AE38B9"/>
    <w:rsid w:val="00AE4941"/>
    <w:rsid w:val="00AE53F4"/>
    <w:rsid w:val="00AE5C7A"/>
    <w:rsid w:val="00AE5D5E"/>
    <w:rsid w:val="00AE6CE0"/>
    <w:rsid w:val="00AE7276"/>
    <w:rsid w:val="00AE72E5"/>
    <w:rsid w:val="00AE749E"/>
    <w:rsid w:val="00AE756E"/>
    <w:rsid w:val="00AF0909"/>
    <w:rsid w:val="00AF0910"/>
    <w:rsid w:val="00AF0F0D"/>
    <w:rsid w:val="00AF108C"/>
    <w:rsid w:val="00AF1132"/>
    <w:rsid w:val="00AF1F58"/>
    <w:rsid w:val="00AF22B8"/>
    <w:rsid w:val="00AF2539"/>
    <w:rsid w:val="00AF2ED4"/>
    <w:rsid w:val="00AF2F82"/>
    <w:rsid w:val="00AF30CE"/>
    <w:rsid w:val="00AF32B8"/>
    <w:rsid w:val="00AF38A2"/>
    <w:rsid w:val="00AF3C01"/>
    <w:rsid w:val="00AF4493"/>
    <w:rsid w:val="00AF47BF"/>
    <w:rsid w:val="00AF5BC0"/>
    <w:rsid w:val="00AF5CD3"/>
    <w:rsid w:val="00AF5DC3"/>
    <w:rsid w:val="00AF609D"/>
    <w:rsid w:val="00AF610B"/>
    <w:rsid w:val="00AF7688"/>
    <w:rsid w:val="00AF7B82"/>
    <w:rsid w:val="00B0025E"/>
    <w:rsid w:val="00B004CF"/>
    <w:rsid w:val="00B01458"/>
    <w:rsid w:val="00B01887"/>
    <w:rsid w:val="00B019C7"/>
    <w:rsid w:val="00B02205"/>
    <w:rsid w:val="00B02683"/>
    <w:rsid w:val="00B02807"/>
    <w:rsid w:val="00B0288D"/>
    <w:rsid w:val="00B033C9"/>
    <w:rsid w:val="00B0392C"/>
    <w:rsid w:val="00B058F7"/>
    <w:rsid w:val="00B06160"/>
    <w:rsid w:val="00B065AF"/>
    <w:rsid w:val="00B06E92"/>
    <w:rsid w:val="00B07001"/>
    <w:rsid w:val="00B0728E"/>
    <w:rsid w:val="00B07AD5"/>
    <w:rsid w:val="00B10206"/>
    <w:rsid w:val="00B107A6"/>
    <w:rsid w:val="00B10E5F"/>
    <w:rsid w:val="00B11338"/>
    <w:rsid w:val="00B12050"/>
    <w:rsid w:val="00B1242A"/>
    <w:rsid w:val="00B1259A"/>
    <w:rsid w:val="00B125F6"/>
    <w:rsid w:val="00B13147"/>
    <w:rsid w:val="00B13295"/>
    <w:rsid w:val="00B132F9"/>
    <w:rsid w:val="00B13350"/>
    <w:rsid w:val="00B13372"/>
    <w:rsid w:val="00B135BA"/>
    <w:rsid w:val="00B141D9"/>
    <w:rsid w:val="00B14397"/>
    <w:rsid w:val="00B15238"/>
    <w:rsid w:val="00B1535F"/>
    <w:rsid w:val="00B153EA"/>
    <w:rsid w:val="00B154B4"/>
    <w:rsid w:val="00B156EB"/>
    <w:rsid w:val="00B16070"/>
    <w:rsid w:val="00B161A4"/>
    <w:rsid w:val="00B171DC"/>
    <w:rsid w:val="00B17625"/>
    <w:rsid w:val="00B17BC2"/>
    <w:rsid w:val="00B2159F"/>
    <w:rsid w:val="00B22812"/>
    <w:rsid w:val="00B22A5D"/>
    <w:rsid w:val="00B235C8"/>
    <w:rsid w:val="00B23EEE"/>
    <w:rsid w:val="00B24099"/>
    <w:rsid w:val="00B245F7"/>
    <w:rsid w:val="00B25456"/>
    <w:rsid w:val="00B2547F"/>
    <w:rsid w:val="00B25D54"/>
    <w:rsid w:val="00B279BE"/>
    <w:rsid w:val="00B27C6F"/>
    <w:rsid w:val="00B30021"/>
    <w:rsid w:val="00B31348"/>
    <w:rsid w:val="00B3155A"/>
    <w:rsid w:val="00B33C5F"/>
    <w:rsid w:val="00B34B68"/>
    <w:rsid w:val="00B3529A"/>
    <w:rsid w:val="00B3588B"/>
    <w:rsid w:val="00B358D0"/>
    <w:rsid w:val="00B35C36"/>
    <w:rsid w:val="00B362DD"/>
    <w:rsid w:val="00B36472"/>
    <w:rsid w:val="00B366A9"/>
    <w:rsid w:val="00B36C5E"/>
    <w:rsid w:val="00B36F7F"/>
    <w:rsid w:val="00B40239"/>
    <w:rsid w:val="00B40BAB"/>
    <w:rsid w:val="00B41AC8"/>
    <w:rsid w:val="00B41C30"/>
    <w:rsid w:val="00B41C84"/>
    <w:rsid w:val="00B4208D"/>
    <w:rsid w:val="00B42176"/>
    <w:rsid w:val="00B42F8B"/>
    <w:rsid w:val="00B43997"/>
    <w:rsid w:val="00B43E19"/>
    <w:rsid w:val="00B43EDB"/>
    <w:rsid w:val="00B44107"/>
    <w:rsid w:val="00B4430C"/>
    <w:rsid w:val="00B44A91"/>
    <w:rsid w:val="00B44BFE"/>
    <w:rsid w:val="00B44D6C"/>
    <w:rsid w:val="00B451C1"/>
    <w:rsid w:val="00B45715"/>
    <w:rsid w:val="00B465C8"/>
    <w:rsid w:val="00B466D7"/>
    <w:rsid w:val="00B46A88"/>
    <w:rsid w:val="00B4792A"/>
    <w:rsid w:val="00B503DB"/>
    <w:rsid w:val="00B505F7"/>
    <w:rsid w:val="00B51560"/>
    <w:rsid w:val="00B51E24"/>
    <w:rsid w:val="00B520EE"/>
    <w:rsid w:val="00B521D9"/>
    <w:rsid w:val="00B52392"/>
    <w:rsid w:val="00B52655"/>
    <w:rsid w:val="00B5309C"/>
    <w:rsid w:val="00B533DE"/>
    <w:rsid w:val="00B53C1C"/>
    <w:rsid w:val="00B541B1"/>
    <w:rsid w:val="00B5497D"/>
    <w:rsid w:val="00B54BB7"/>
    <w:rsid w:val="00B55072"/>
    <w:rsid w:val="00B554CE"/>
    <w:rsid w:val="00B55E99"/>
    <w:rsid w:val="00B563A1"/>
    <w:rsid w:val="00B565EC"/>
    <w:rsid w:val="00B56B26"/>
    <w:rsid w:val="00B56D67"/>
    <w:rsid w:val="00B57903"/>
    <w:rsid w:val="00B601F1"/>
    <w:rsid w:val="00B616D9"/>
    <w:rsid w:val="00B6215E"/>
    <w:rsid w:val="00B6333E"/>
    <w:rsid w:val="00B633D9"/>
    <w:rsid w:val="00B635FE"/>
    <w:rsid w:val="00B64421"/>
    <w:rsid w:val="00B6443C"/>
    <w:rsid w:val="00B64A18"/>
    <w:rsid w:val="00B64F79"/>
    <w:rsid w:val="00B65FEC"/>
    <w:rsid w:val="00B67086"/>
    <w:rsid w:val="00B67191"/>
    <w:rsid w:val="00B67332"/>
    <w:rsid w:val="00B676E9"/>
    <w:rsid w:val="00B67737"/>
    <w:rsid w:val="00B67A42"/>
    <w:rsid w:val="00B67F05"/>
    <w:rsid w:val="00B70AE6"/>
    <w:rsid w:val="00B70DFD"/>
    <w:rsid w:val="00B712FA"/>
    <w:rsid w:val="00B7186B"/>
    <w:rsid w:val="00B72046"/>
    <w:rsid w:val="00B720B9"/>
    <w:rsid w:val="00B72594"/>
    <w:rsid w:val="00B7337A"/>
    <w:rsid w:val="00B7378E"/>
    <w:rsid w:val="00B73C7F"/>
    <w:rsid w:val="00B745FE"/>
    <w:rsid w:val="00B74829"/>
    <w:rsid w:val="00B769F6"/>
    <w:rsid w:val="00B76D20"/>
    <w:rsid w:val="00B76E1F"/>
    <w:rsid w:val="00B7783F"/>
    <w:rsid w:val="00B778A3"/>
    <w:rsid w:val="00B8002C"/>
    <w:rsid w:val="00B808B8"/>
    <w:rsid w:val="00B808C3"/>
    <w:rsid w:val="00B81235"/>
    <w:rsid w:val="00B814C7"/>
    <w:rsid w:val="00B8188E"/>
    <w:rsid w:val="00B8225E"/>
    <w:rsid w:val="00B82E10"/>
    <w:rsid w:val="00B833FD"/>
    <w:rsid w:val="00B83E99"/>
    <w:rsid w:val="00B8490A"/>
    <w:rsid w:val="00B856C8"/>
    <w:rsid w:val="00B8596A"/>
    <w:rsid w:val="00B859FB"/>
    <w:rsid w:val="00B85B7E"/>
    <w:rsid w:val="00B85CBA"/>
    <w:rsid w:val="00B8612A"/>
    <w:rsid w:val="00B86648"/>
    <w:rsid w:val="00B86863"/>
    <w:rsid w:val="00B86A40"/>
    <w:rsid w:val="00B87CFB"/>
    <w:rsid w:val="00B902B2"/>
    <w:rsid w:val="00B90516"/>
    <w:rsid w:val="00B90C09"/>
    <w:rsid w:val="00B91885"/>
    <w:rsid w:val="00B91F21"/>
    <w:rsid w:val="00B9244D"/>
    <w:rsid w:val="00B924DB"/>
    <w:rsid w:val="00B931D4"/>
    <w:rsid w:val="00B93312"/>
    <w:rsid w:val="00B9380F"/>
    <w:rsid w:val="00B9384D"/>
    <w:rsid w:val="00B93F8B"/>
    <w:rsid w:val="00B9432D"/>
    <w:rsid w:val="00B94A8A"/>
    <w:rsid w:val="00B94E0F"/>
    <w:rsid w:val="00B950AB"/>
    <w:rsid w:val="00B95181"/>
    <w:rsid w:val="00B95190"/>
    <w:rsid w:val="00B97AC3"/>
    <w:rsid w:val="00BA0827"/>
    <w:rsid w:val="00BA0BF7"/>
    <w:rsid w:val="00BA11DA"/>
    <w:rsid w:val="00BA1293"/>
    <w:rsid w:val="00BA1301"/>
    <w:rsid w:val="00BA1F10"/>
    <w:rsid w:val="00BA2018"/>
    <w:rsid w:val="00BA252E"/>
    <w:rsid w:val="00BA2622"/>
    <w:rsid w:val="00BA2BC7"/>
    <w:rsid w:val="00BA316A"/>
    <w:rsid w:val="00BA335B"/>
    <w:rsid w:val="00BA3E01"/>
    <w:rsid w:val="00BA3E9C"/>
    <w:rsid w:val="00BA47B2"/>
    <w:rsid w:val="00BA5DB2"/>
    <w:rsid w:val="00BA62E9"/>
    <w:rsid w:val="00BA6CBA"/>
    <w:rsid w:val="00BA71ED"/>
    <w:rsid w:val="00BA73A2"/>
    <w:rsid w:val="00BA760F"/>
    <w:rsid w:val="00BA7D4A"/>
    <w:rsid w:val="00BB0001"/>
    <w:rsid w:val="00BB0165"/>
    <w:rsid w:val="00BB0598"/>
    <w:rsid w:val="00BB059D"/>
    <w:rsid w:val="00BB0B34"/>
    <w:rsid w:val="00BB1A92"/>
    <w:rsid w:val="00BB3049"/>
    <w:rsid w:val="00BB4851"/>
    <w:rsid w:val="00BB506C"/>
    <w:rsid w:val="00BB5414"/>
    <w:rsid w:val="00BB55B7"/>
    <w:rsid w:val="00BB5ABF"/>
    <w:rsid w:val="00BB6131"/>
    <w:rsid w:val="00BB67B0"/>
    <w:rsid w:val="00BB6E90"/>
    <w:rsid w:val="00BB6F87"/>
    <w:rsid w:val="00BB6FD9"/>
    <w:rsid w:val="00BB7925"/>
    <w:rsid w:val="00BB798B"/>
    <w:rsid w:val="00BB7DE4"/>
    <w:rsid w:val="00BB7E0E"/>
    <w:rsid w:val="00BB7E69"/>
    <w:rsid w:val="00BC0960"/>
    <w:rsid w:val="00BC1272"/>
    <w:rsid w:val="00BC1F3C"/>
    <w:rsid w:val="00BC233A"/>
    <w:rsid w:val="00BC24B5"/>
    <w:rsid w:val="00BC2582"/>
    <w:rsid w:val="00BC2FB0"/>
    <w:rsid w:val="00BC330C"/>
    <w:rsid w:val="00BC3421"/>
    <w:rsid w:val="00BC3874"/>
    <w:rsid w:val="00BC3E33"/>
    <w:rsid w:val="00BC3FB3"/>
    <w:rsid w:val="00BC41E5"/>
    <w:rsid w:val="00BC4616"/>
    <w:rsid w:val="00BC4728"/>
    <w:rsid w:val="00BC4AB9"/>
    <w:rsid w:val="00BC5D10"/>
    <w:rsid w:val="00BC6BF9"/>
    <w:rsid w:val="00BC6EAD"/>
    <w:rsid w:val="00BC6F37"/>
    <w:rsid w:val="00BC75BA"/>
    <w:rsid w:val="00BC773F"/>
    <w:rsid w:val="00BC7AA5"/>
    <w:rsid w:val="00BC7DFD"/>
    <w:rsid w:val="00BC7F63"/>
    <w:rsid w:val="00BD15BA"/>
    <w:rsid w:val="00BD20CF"/>
    <w:rsid w:val="00BD260D"/>
    <w:rsid w:val="00BD2630"/>
    <w:rsid w:val="00BD28B7"/>
    <w:rsid w:val="00BD2A85"/>
    <w:rsid w:val="00BD3077"/>
    <w:rsid w:val="00BD3B2E"/>
    <w:rsid w:val="00BD3E30"/>
    <w:rsid w:val="00BD3E60"/>
    <w:rsid w:val="00BD4667"/>
    <w:rsid w:val="00BD4D95"/>
    <w:rsid w:val="00BD696A"/>
    <w:rsid w:val="00BD6A6A"/>
    <w:rsid w:val="00BD71E1"/>
    <w:rsid w:val="00BD77A2"/>
    <w:rsid w:val="00BE029D"/>
    <w:rsid w:val="00BE05BB"/>
    <w:rsid w:val="00BE07D6"/>
    <w:rsid w:val="00BE0DB8"/>
    <w:rsid w:val="00BE229A"/>
    <w:rsid w:val="00BE2654"/>
    <w:rsid w:val="00BE2FF4"/>
    <w:rsid w:val="00BE3762"/>
    <w:rsid w:val="00BE4A47"/>
    <w:rsid w:val="00BE500B"/>
    <w:rsid w:val="00BE5401"/>
    <w:rsid w:val="00BE5E1A"/>
    <w:rsid w:val="00BE69EC"/>
    <w:rsid w:val="00BE6DC6"/>
    <w:rsid w:val="00BE6FBA"/>
    <w:rsid w:val="00BE71AA"/>
    <w:rsid w:val="00BE74B9"/>
    <w:rsid w:val="00BE786E"/>
    <w:rsid w:val="00BF0151"/>
    <w:rsid w:val="00BF03A7"/>
    <w:rsid w:val="00BF1B63"/>
    <w:rsid w:val="00BF1CAB"/>
    <w:rsid w:val="00BF207B"/>
    <w:rsid w:val="00BF257C"/>
    <w:rsid w:val="00BF2A8A"/>
    <w:rsid w:val="00BF2BBE"/>
    <w:rsid w:val="00BF311B"/>
    <w:rsid w:val="00BF3300"/>
    <w:rsid w:val="00BF3409"/>
    <w:rsid w:val="00BF39D1"/>
    <w:rsid w:val="00BF42AF"/>
    <w:rsid w:val="00BF4E93"/>
    <w:rsid w:val="00BF6024"/>
    <w:rsid w:val="00BF6718"/>
    <w:rsid w:val="00BF6A7A"/>
    <w:rsid w:val="00BF734D"/>
    <w:rsid w:val="00BF759A"/>
    <w:rsid w:val="00BF78C8"/>
    <w:rsid w:val="00C00FCE"/>
    <w:rsid w:val="00C01A49"/>
    <w:rsid w:val="00C01A82"/>
    <w:rsid w:val="00C01B7F"/>
    <w:rsid w:val="00C01EEA"/>
    <w:rsid w:val="00C03A93"/>
    <w:rsid w:val="00C03B97"/>
    <w:rsid w:val="00C040AA"/>
    <w:rsid w:val="00C04C1E"/>
    <w:rsid w:val="00C05559"/>
    <w:rsid w:val="00C065B3"/>
    <w:rsid w:val="00C06841"/>
    <w:rsid w:val="00C06BCD"/>
    <w:rsid w:val="00C06D82"/>
    <w:rsid w:val="00C0722C"/>
    <w:rsid w:val="00C0728B"/>
    <w:rsid w:val="00C073E7"/>
    <w:rsid w:val="00C07524"/>
    <w:rsid w:val="00C077C6"/>
    <w:rsid w:val="00C07809"/>
    <w:rsid w:val="00C07E82"/>
    <w:rsid w:val="00C102DA"/>
    <w:rsid w:val="00C105B3"/>
    <w:rsid w:val="00C110B2"/>
    <w:rsid w:val="00C116F4"/>
    <w:rsid w:val="00C11AF3"/>
    <w:rsid w:val="00C122EF"/>
    <w:rsid w:val="00C12CBA"/>
    <w:rsid w:val="00C136E3"/>
    <w:rsid w:val="00C13AF0"/>
    <w:rsid w:val="00C13CE1"/>
    <w:rsid w:val="00C13ED1"/>
    <w:rsid w:val="00C14532"/>
    <w:rsid w:val="00C147BC"/>
    <w:rsid w:val="00C14894"/>
    <w:rsid w:val="00C1554E"/>
    <w:rsid w:val="00C15BB1"/>
    <w:rsid w:val="00C160A1"/>
    <w:rsid w:val="00C16386"/>
    <w:rsid w:val="00C16557"/>
    <w:rsid w:val="00C16A05"/>
    <w:rsid w:val="00C17050"/>
    <w:rsid w:val="00C17911"/>
    <w:rsid w:val="00C179E4"/>
    <w:rsid w:val="00C209E6"/>
    <w:rsid w:val="00C21880"/>
    <w:rsid w:val="00C2202C"/>
    <w:rsid w:val="00C220CB"/>
    <w:rsid w:val="00C22382"/>
    <w:rsid w:val="00C22DAB"/>
    <w:rsid w:val="00C233F3"/>
    <w:rsid w:val="00C23EC9"/>
    <w:rsid w:val="00C24984"/>
    <w:rsid w:val="00C24C82"/>
    <w:rsid w:val="00C24D0F"/>
    <w:rsid w:val="00C24E3F"/>
    <w:rsid w:val="00C2554B"/>
    <w:rsid w:val="00C25BF3"/>
    <w:rsid w:val="00C2631C"/>
    <w:rsid w:val="00C263AA"/>
    <w:rsid w:val="00C26521"/>
    <w:rsid w:val="00C2676B"/>
    <w:rsid w:val="00C26E8D"/>
    <w:rsid w:val="00C27B65"/>
    <w:rsid w:val="00C27BE6"/>
    <w:rsid w:val="00C300E2"/>
    <w:rsid w:val="00C306E0"/>
    <w:rsid w:val="00C30AA2"/>
    <w:rsid w:val="00C31471"/>
    <w:rsid w:val="00C32590"/>
    <w:rsid w:val="00C3263D"/>
    <w:rsid w:val="00C32F9C"/>
    <w:rsid w:val="00C337D4"/>
    <w:rsid w:val="00C338B8"/>
    <w:rsid w:val="00C33C9C"/>
    <w:rsid w:val="00C33EFD"/>
    <w:rsid w:val="00C3402D"/>
    <w:rsid w:val="00C3443A"/>
    <w:rsid w:val="00C344EF"/>
    <w:rsid w:val="00C3487B"/>
    <w:rsid w:val="00C34BF0"/>
    <w:rsid w:val="00C353B0"/>
    <w:rsid w:val="00C35405"/>
    <w:rsid w:val="00C35466"/>
    <w:rsid w:val="00C35962"/>
    <w:rsid w:val="00C3602B"/>
    <w:rsid w:val="00C36161"/>
    <w:rsid w:val="00C363BC"/>
    <w:rsid w:val="00C368D7"/>
    <w:rsid w:val="00C369A2"/>
    <w:rsid w:val="00C371DB"/>
    <w:rsid w:val="00C37704"/>
    <w:rsid w:val="00C402DA"/>
    <w:rsid w:val="00C403D2"/>
    <w:rsid w:val="00C4081A"/>
    <w:rsid w:val="00C40E50"/>
    <w:rsid w:val="00C42718"/>
    <w:rsid w:val="00C42B61"/>
    <w:rsid w:val="00C42FB9"/>
    <w:rsid w:val="00C43469"/>
    <w:rsid w:val="00C45688"/>
    <w:rsid w:val="00C46144"/>
    <w:rsid w:val="00C464AE"/>
    <w:rsid w:val="00C46707"/>
    <w:rsid w:val="00C46D9C"/>
    <w:rsid w:val="00C47971"/>
    <w:rsid w:val="00C50791"/>
    <w:rsid w:val="00C50893"/>
    <w:rsid w:val="00C512B8"/>
    <w:rsid w:val="00C513DC"/>
    <w:rsid w:val="00C5149B"/>
    <w:rsid w:val="00C51CAF"/>
    <w:rsid w:val="00C51E28"/>
    <w:rsid w:val="00C5273A"/>
    <w:rsid w:val="00C53200"/>
    <w:rsid w:val="00C54FAD"/>
    <w:rsid w:val="00C55220"/>
    <w:rsid w:val="00C55251"/>
    <w:rsid w:val="00C55E89"/>
    <w:rsid w:val="00C563D5"/>
    <w:rsid w:val="00C564B4"/>
    <w:rsid w:val="00C5693E"/>
    <w:rsid w:val="00C56BB0"/>
    <w:rsid w:val="00C56D47"/>
    <w:rsid w:val="00C572D6"/>
    <w:rsid w:val="00C578B8"/>
    <w:rsid w:val="00C6086E"/>
    <w:rsid w:val="00C60E13"/>
    <w:rsid w:val="00C61043"/>
    <w:rsid w:val="00C623B2"/>
    <w:rsid w:val="00C623FA"/>
    <w:rsid w:val="00C62472"/>
    <w:rsid w:val="00C62CE8"/>
    <w:rsid w:val="00C643E5"/>
    <w:rsid w:val="00C6479D"/>
    <w:rsid w:val="00C648B0"/>
    <w:rsid w:val="00C64DA1"/>
    <w:rsid w:val="00C6621D"/>
    <w:rsid w:val="00C664F2"/>
    <w:rsid w:val="00C66532"/>
    <w:rsid w:val="00C66544"/>
    <w:rsid w:val="00C667D9"/>
    <w:rsid w:val="00C67511"/>
    <w:rsid w:val="00C70730"/>
    <w:rsid w:val="00C70CEB"/>
    <w:rsid w:val="00C71AA2"/>
    <w:rsid w:val="00C720FA"/>
    <w:rsid w:val="00C72204"/>
    <w:rsid w:val="00C7272A"/>
    <w:rsid w:val="00C7277D"/>
    <w:rsid w:val="00C72B2C"/>
    <w:rsid w:val="00C72CA6"/>
    <w:rsid w:val="00C73006"/>
    <w:rsid w:val="00C740D1"/>
    <w:rsid w:val="00C741B9"/>
    <w:rsid w:val="00C74670"/>
    <w:rsid w:val="00C74805"/>
    <w:rsid w:val="00C7485D"/>
    <w:rsid w:val="00C74C16"/>
    <w:rsid w:val="00C7501C"/>
    <w:rsid w:val="00C7633A"/>
    <w:rsid w:val="00C7661B"/>
    <w:rsid w:val="00C77100"/>
    <w:rsid w:val="00C77117"/>
    <w:rsid w:val="00C77C6A"/>
    <w:rsid w:val="00C8048B"/>
    <w:rsid w:val="00C81DEC"/>
    <w:rsid w:val="00C821B3"/>
    <w:rsid w:val="00C8287D"/>
    <w:rsid w:val="00C8388E"/>
    <w:rsid w:val="00C8420A"/>
    <w:rsid w:val="00C8447C"/>
    <w:rsid w:val="00C85236"/>
    <w:rsid w:val="00C854B1"/>
    <w:rsid w:val="00C85D57"/>
    <w:rsid w:val="00C86226"/>
    <w:rsid w:val="00C86FBF"/>
    <w:rsid w:val="00C875D1"/>
    <w:rsid w:val="00C87A81"/>
    <w:rsid w:val="00C87FF6"/>
    <w:rsid w:val="00C900A7"/>
    <w:rsid w:val="00C90309"/>
    <w:rsid w:val="00C90A63"/>
    <w:rsid w:val="00C912AC"/>
    <w:rsid w:val="00C92732"/>
    <w:rsid w:val="00C9368F"/>
    <w:rsid w:val="00C937C7"/>
    <w:rsid w:val="00C93EC5"/>
    <w:rsid w:val="00C95080"/>
    <w:rsid w:val="00C9608A"/>
    <w:rsid w:val="00C969FF"/>
    <w:rsid w:val="00C96C9A"/>
    <w:rsid w:val="00C96F9A"/>
    <w:rsid w:val="00C97578"/>
    <w:rsid w:val="00CA040E"/>
    <w:rsid w:val="00CA0CBB"/>
    <w:rsid w:val="00CA102C"/>
    <w:rsid w:val="00CA115E"/>
    <w:rsid w:val="00CA1519"/>
    <w:rsid w:val="00CA1B89"/>
    <w:rsid w:val="00CA25AD"/>
    <w:rsid w:val="00CA26A1"/>
    <w:rsid w:val="00CA308B"/>
    <w:rsid w:val="00CA3367"/>
    <w:rsid w:val="00CA356D"/>
    <w:rsid w:val="00CA505B"/>
    <w:rsid w:val="00CA51C2"/>
    <w:rsid w:val="00CA56FF"/>
    <w:rsid w:val="00CA6F65"/>
    <w:rsid w:val="00CA7B55"/>
    <w:rsid w:val="00CB036F"/>
    <w:rsid w:val="00CB075F"/>
    <w:rsid w:val="00CB192F"/>
    <w:rsid w:val="00CB26E0"/>
    <w:rsid w:val="00CB2AF8"/>
    <w:rsid w:val="00CB2B1A"/>
    <w:rsid w:val="00CB3217"/>
    <w:rsid w:val="00CB347D"/>
    <w:rsid w:val="00CB3A06"/>
    <w:rsid w:val="00CB3AE4"/>
    <w:rsid w:val="00CB428F"/>
    <w:rsid w:val="00CB4396"/>
    <w:rsid w:val="00CB469E"/>
    <w:rsid w:val="00CB4931"/>
    <w:rsid w:val="00CB5467"/>
    <w:rsid w:val="00CB54A0"/>
    <w:rsid w:val="00CB5D7E"/>
    <w:rsid w:val="00CB5EBD"/>
    <w:rsid w:val="00CB616D"/>
    <w:rsid w:val="00CB676F"/>
    <w:rsid w:val="00CB68BB"/>
    <w:rsid w:val="00CB7653"/>
    <w:rsid w:val="00CC07FF"/>
    <w:rsid w:val="00CC0868"/>
    <w:rsid w:val="00CC08DB"/>
    <w:rsid w:val="00CC09FA"/>
    <w:rsid w:val="00CC0C5E"/>
    <w:rsid w:val="00CC1269"/>
    <w:rsid w:val="00CC1387"/>
    <w:rsid w:val="00CC144C"/>
    <w:rsid w:val="00CC148A"/>
    <w:rsid w:val="00CC2105"/>
    <w:rsid w:val="00CC2946"/>
    <w:rsid w:val="00CC2FA4"/>
    <w:rsid w:val="00CC325E"/>
    <w:rsid w:val="00CC42F6"/>
    <w:rsid w:val="00CC469C"/>
    <w:rsid w:val="00CC4A02"/>
    <w:rsid w:val="00CC4DC0"/>
    <w:rsid w:val="00CC4FE4"/>
    <w:rsid w:val="00CC5124"/>
    <w:rsid w:val="00CC558E"/>
    <w:rsid w:val="00CC5CC6"/>
    <w:rsid w:val="00CC5D2C"/>
    <w:rsid w:val="00CC5E3D"/>
    <w:rsid w:val="00CC61D7"/>
    <w:rsid w:val="00CC664E"/>
    <w:rsid w:val="00CC7BDA"/>
    <w:rsid w:val="00CD0913"/>
    <w:rsid w:val="00CD0D31"/>
    <w:rsid w:val="00CD1462"/>
    <w:rsid w:val="00CD25AA"/>
    <w:rsid w:val="00CD30A9"/>
    <w:rsid w:val="00CD3E0D"/>
    <w:rsid w:val="00CD3F07"/>
    <w:rsid w:val="00CD4002"/>
    <w:rsid w:val="00CD415D"/>
    <w:rsid w:val="00CD42E4"/>
    <w:rsid w:val="00CD463A"/>
    <w:rsid w:val="00CD4824"/>
    <w:rsid w:val="00CD4949"/>
    <w:rsid w:val="00CD4DAE"/>
    <w:rsid w:val="00CD5056"/>
    <w:rsid w:val="00CD5EF2"/>
    <w:rsid w:val="00CD60D5"/>
    <w:rsid w:val="00CD6213"/>
    <w:rsid w:val="00CD6926"/>
    <w:rsid w:val="00CD7186"/>
    <w:rsid w:val="00CE2887"/>
    <w:rsid w:val="00CE3745"/>
    <w:rsid w:val="00CE3E81"/>
    <w:rsid w:val="00CE4B0A"/>
    <w:rsid w:val="00CE4D8F"/>
    <w:rsid w:val="00CE5D0C"/>
    <w:rsid w:val="00CE7762"/>
    <w:rsid w:val="00CE7D3E"/>
    <w:rsid w:val="00CF055D"/>
    <w:rsid w:val="00CF07B5"/>
    <w:rsid w:val="00CF2231"/>
    <w:rsid w:val="00CF27CE"/>
    <w:rsid w:val="00CF2A71"/>
    <w:rsid w:val="00CF2FBF"/>
    <w:rsid w:val="00CF303D"/>
    <w:rsid w:val="00CF3699"/>
    <w:rsid w:val="00CF3DD0"/>
    <w:rsid w:val="00CF45B0"/>
    <w:rsid w:val="00CF46EA"/>
    <w:rsid w:val="00CF4E1A"/>
    <w:rsid w:val="00CF518C"/>
    <w:rsid w:val="00CF5A3E"/>
    <w:rsid w:val="00CF64B4"/>
    <w:rsid w:val="00CF6AC2"/>
    <w:rsid w:val="00CF73C8"/>
    <w:rsid w:val="00CF7942"/>
    <w:rsid w:val="00D000EC"/>
    <w:rsid w:val="00D006B1"/>
    <w:rsid w:val="00D0096B"/>
    <w:rsid w:val="00D00991"/>
    <w:rsid w:val="00D01C44"/>
    <w:rsid w:val="00D02478"/>
    <w:rsid w:val="00D025DF"/>
    <w:rsid w:val="00D0289E"/>
    <w:rsid w:val="00D03F51"/>
    <w:rsid w:val="00D04499"/>
    <w:rsid w:val="00D04C0D"/>
    <w:rsid w:val="00D04E69"/>
    <w:rsid w:val="00D04FBC"/>
    <w:rsid w:val="00D05C51"/>
    <w:rsid w:val="00D05C6A"/>
    <w:rsid w:val="00D060BB"/>
    <w:rsid w:val="00D062BB"/>
    <w:rsid w:val="00D075AE"/>
    <w:rsid w:val="00D07631"/>
    <w:rsid w:val="00D07A11"/>
    <w:rsid w:val="00D1177C"/>
    <w:rsid w:val="00D12037"/>
    <w:rsid w:val="00D122A8"/>
    <w:rsid w:val="00D131D3"/>
    <w:rsid w:val="00D13CAA"/>
    <w:rsid w:val="00D15429"/>
    <w:rsid w:val="00D15743"/>
    <w:rsid w:val="00D15ECC"/>
    <w:rsid w:val="00D15FC0"/>
    <w:rsid w:val="00D15FEA"/>
    <w:rsid w:val="00D16E5B"/>
    <w:rsid w:val="00D17A0F"/>
    <w:rsid w:val="00D208CC"/>
    <w:rsid w:val="00D21A1E"/>
    <w:rsid w:val="00D21DAC"/>
    <w:rsid w:val="00D2210B"/>
    <w:rsid w:val="00D22485"/>
    <w:rsid w:val="00D23EB9"/>
    <w:rsid w:val="00D2426F"/>
    <w:rsid w:val="00D24C91"/>
    <w:rsid w:val="00D24CDA"/>
    <w:rsid w:val="00D24F0A"/>
    <w:rsid w:val="00D25B48"/>
    <w:rsid w:val="00D263C9"/>
    <w:rsid w:val="00D26923"/>
    <w:rsid w:val="00D26DE1"/>
    <w:rsid w:val="00D27177"/>
    <w:rsid w:val="00D272AA"/>
    <w:rsid w:val="00D274D6"/>
    <w:rsid w:val="00D278A1"/>
    <w:rsid w:val="00D30239"/>
    <w:rsid w:val="00D3045E"/>
    <w:rsid w:val="00D30682"/>
    <w:rsid w:val="00D3082D"/>
    <w:rsid w:val="00D30A48"/>
    <w:rsid w:val="00D3121E"/>
    <w:rsid w:val="00D31923"/>
    <w:rsid w:val="00D324F0"/>
    <w:rsid w:val="00D32F28"/>
    <w:rsid w:val="00D332E1"/>
    <w:rsid w:val="00D3341E"/>
    <w:rsid w:val="00D3366D"/>
    <w:rsid w:val="00D336FD"/>
    <w:rsid w:val="00D3404E"/>
    <w:rsid w:val="00D342DB"/>
    <w:rsid w:val="00D34900"/>
    <w:rsid w:val="00D34928"/>
    <w:rsid w:val="00D35C97"/>
    <w:rsid w:val="00D361F0"/>
    <w:rsid w:val="00D362BD"/>
    <w:rsid w:val="00D36835"/>
    <w:rsid w:val="00D40789"/>
    <w:rsid w:val="00D40C63"/>
    <w:rsid w:val="00D417B6"/>
    <w:rsid w:val="00D42005"/>
    <w:rsid w:val="00D42423"/>
    <w:rsid w:val="00D4258D"/>
    <w:rsid w:val="00D42701"/>
    <w:rsid w:val="00D4312B"/>
    <w:rsid w:val="00D433A8"/>
    <w:rsid w:val="00D43BE5"/>
    <w:rsid w:val="00D43D65"/>
    <w:rsid w:val="00D43F3D"/>
    <w:rsid w:val="00D44E22"/>
    <w:rsid w:val="00D4514D"/>
    <w:rsid w:val="00D45160"/>
    <w:rsid w:val="00D457E4"/>
    <w:rsid w:val="00D45B89"/>
    <w:rsid w:val="00D46089"/>
    <w:rsid w:val="00D464F2"/>
    <w:rsid w:val="00D46A50"/>
    <w:rsid w:val="00D46E5F"/>
    <w:rsid w:val="00D46EB6"/>
    <w:rsid w:val="00D471BD"/>
    <w:rsid w:val="00D474E8"/>
    <w:rsid w:val="00D47532"/>
    <w:rsid w:val="00D4757F"/>
    <w:rsid w:val="00D47A2D"/>
    <w:rsid w:val="00D47F69"/>
    <w:rsid w:val="00D504FE"/>
    <w:rsid w:val="00D508DC"/>
    <w:rsid w:val="00D50937"/>
    <w:rsid w:val="00D50F2C"/>
    <w:rsid w:val="00D51051"/>
    <w:rsid w:val="00D51140"/>
    <w:rsid w:val="00D51693"/>
    <w:rsid w:val="00D51DDB"/>
    <w:rsid w:val="00D528EA"/>
    <w:rsid w:val="00D53188"/>
    <w:rsid w:val="00D53532"/>
    <w:rsid w:val="00D539C0"/>
    <w:rsid w:val="00D54258"/>
    <w:rsid w:val="00D54D85"/>
    <w:rsid w:val="00D550A0"/>
    <w:rsid w:val="00D55179"/>
    <w:rsid w:val="00D551BC"/>
    <w:rsid w:val="00D55446"/>
    <w:rsid w:val="00D57648"/>
    <w:rsid w:val="00D57DB8"/>
    <w:rsid w:val="00D615C1"/>
    <w:rsid w:val="00D61AF4"/>
    <w:rsid w:val="00D620E7"/>
    <w:rsid w:val="00D62A3A"/>
    <w:rsid w:val="00D6325F"/>
    <w:rsid w:val="00D6353B"/>
    <w:rsid w:val="00D63877"/>
    <w:rsid w:val="00D63996"/>
    <w:rsid w:val="00D63EA9"/>
    <w:rsid w:val="00D6474F"/>
    <w:rsid w:val="00D64CB4"/>
    <w:rsid w:val="00D64F92"/>
    <w:rsid w:val="00D64FA2"/>
    <w:rsid w:val="00D65D3B"/>
    <w:rsid w:val="00D66030"/>
    <w:rsid w:val="00D66451"/>
    <w:rsid w:val="00D66913"/>
    <w:rsid w:val="00D66E9E"/>
    <w:rsid w:val="00D6757A"/>
    <w:rsid w:val="00D70821"/>
    <w:rsid w:val="00D70922"/>
    <w:rsid w:val="00D70F2A"/>
    <w:rsid w:val="00D713BE"/>
    <w:rsid w:val="00D71FAA"/>
    <w:rsid w:val="00D7220E"/>
    <w:rsid w:val="00D724E1"/>
    <w:rsid w:val="00D72B25"/>
    <w:rsid w:val="00D72C0C"/>
    <w:rsid w:val="00D72C27"/>
    <w:rsid w:val="00D732E4"/>
    <w:rsid w:val="00D744D2"/>
    <w:rsid w:val="00D74640"/>
    <w:rsid w:val="00D74649"/>
    <w:rsid w:val="00D74BD5"/>
    <w:rsid w:val="00D7518C"/>
    <w:rsid w:val="00D75831"/>
    <w:rsid w:val="00D75A13"/>
    <w:rsid w:val="00D75E9C"/>
    <w:rsid w:val="00D7612B"/>
    <w:rsid w:val="00D7764F"/>
    <w:rsid w:val="00D77A43"/>
    <w:rsid w:val="00D77D08"/>
    <w:rsid w:val="00D80193"/>
    <w:rsid w:val="00D805F8"/>
    <w:rsid w:val="00D8072C"/>
    <w:rsid w:val="00D808D8"/>
    <w:rsid w:val="00D81668"/>
    <w:rsid w:val="00D831A4"/>
    <w:rsid w:val="00D83460"/>
    <w:rsid w:val="00D836D9"/>
    <w:rsid w:val="00D83AD5"/>
    <w:rsid w:val="00D852E9"/>
    <w:rsid w:val="00D85BA4"/>
    <w:rsid w:val="00D85DC2"/>
    <w:rsid w:val="00D8689E"/>
    <w:rsid w:val="00D872E6"/>
    <w:rsid w:val="00D87561"/>
    <w:rsid w:val="00D87E89"/>
    <w:rsid w:val="00D9032E"/>
    <w:rsid w:val="00D90F8C"/>
    <w:rsid w:val="00D91ED0"/>
    <w:rsid w:val="00D922CA"/>
    <w:rsid w:val="00D923F8"/>
    <w:rsid w:val="00D926B6"/>
    <w:rsid w:val="00D92EF7"/>
    <w:rsid w:val="00D93473"/>
    <w:rsid w:val="00D93AE7"/>
    <w:rsid w:val="00D93D66"/>
    <w:rsid w:val="00D943BA"/>
    <w:rsid w:val="00D94A64"/>
    <w:rsid w:val="00D957A8"/>
    <w:rsid w:val="00D957E7"/>
    <w:rsid w:val="00D9588B"/>
    <w:rsid w:val="00D95951"/>
    <w:rsid w:val="00D96073"/>
    <w:rsid w:val="00D963A0"/>
    <w:rsid w:val="00D96CF4"/>
    <w:rsid w:val="00D970BC"/>
    <w:rsid w:val="00D97A00"/>
    <w:rsid w:val="00D97A29"/>
    <w:rsid w:val="00DA0227"/>
    <w:rsid w:val="00DA06C7"/>
    <w:rsid w:val="00DA0719"/>
    <w:rsid w:val="00DA0D22"/>
    <w:rsid w:val="00DA12D1"/>
    <w:rsid w:val="00DA141C"/>
    <w:rsid w:val="00DA1B12"/>
    <w:rsid w:val="00DA265B"/>
    <w:rsid w:val="00DA2E41"/>
    <w:rsid w:val="00DA50CA"/>
    <w:rsid w:val="00DA71B1"/>
    <w:rsid w:val="00DA7B43"/>
    <w:rsid w:val="00DA7B65"/>
    <w:rsid w:val="00DB0310"/>
    <w:rsid w:val="00DB0522"/>
    <w:rsid w:val="00DB0E5A"/>
    <w:rsid w:val="00DB10B5"/>
    <w:rsid w:val="00DB1673"/>
    <w:rsid w:val="00DB1790"/>
    <w:rsid w:val="00DB24FE"/>
    <w:rsid w:val="00DB26E2"/>
    <w:rsid w:val="00DB27EA"/>
    <w:rsid w:val="00DB2FDC"/>
    <w:rsid w:val="00DB395E"/>
    <w:rsid w:val="00DB3C96"/>
    <w:rsid w:val="00DB4195"/>
    <w:rsid w:val="00DB4248"/>
    <w:rsid w:val="00DB4D0C"/>
    <w:rsid w:val="00DB5143"/>
    <w:rsid w:val="00DB5220"/>
    <w:rsid w:val="00DB55F1"/>
    <w:rsid w:val="00DB5A97"/>
    <w:rsid w:val="00DB6B59"/>
    <w:rsid w:val="00DB6C24"/>
    <w:rsid w:val="00DB6C2B"/>
    <w:rsid w:val="00DB6DE7"/>
    <w:rsid w:val="00DB785F"/>
    <w:rsid w:val="00DB7A11"/>
    <w:rsid w:val="00DB7AE0"/>
    <w:rsid w:val="00DB7B05"/>
    <w:rsid w:val="00DB7C4B"/>
    <w:rsid w:val="00DC052A"/>
    <w:rsid w:val="00DC092F"/>
    <w:rsid w:val="00DC10EF"/>
    <w:rsid w:val="00DC1D47"/>
    <w:rsid w:val="00DC22DF"/>
    <w:rsid w:val="00DC2594"/>
    <w:rsid w:val="00DC2AAF"/>
    <w:rsid w:val="00DC4017"/>
    <w:rsid w:val="00DC44C9"/>
    <w:rsid w:val="00DC4ABE"/>
    <w:rsid w:val="00DC4D7E"/>
    <w:rsid w:val="00DC5C68"/>
    <w:rsid w:val="00DC7126"/>
    <w:rsid w:val="00DC71DF"/>
    <w:rsid w:val="00DC7645"/>
    <w:rsid w:val="00DC7A82"/>
    <w:rsid w:val="00DD05AB"/>
    <w:rsid w:val="00DD0B8A"/>
    <w:rsid w:val="00DD0D3C"/>
    <w:rsid w:val="00DD0E7F"/>
    <w:rsid w:val="00DD184B"/>
    <w:rsid w:val="00DD2A24"/>
    <w:rsid w:val="00DD3723"/>
    <w:rsid w:val="00DD37E3"/>
    <w:rsid w:val="00DD3B49"/>
    <w:rsid w:val="00DD43AC"/>
    <w:rsid w:val="00DD4D99"/>
    <w:rsid w:val="00DD50B1"/>
    <w:rsid w:val="00DD5475"/>
    <w:rsid w:val="00DD569C"/>
    <w:rsid w:val="00DD5791"/>
    <w:rsid w:val="00DD57F2"/>
    <w:rsid w:val="00DD5CDB"/>
    <w:rsid w:val="00DD70EF"/>
    <w:rsid w:val="00DE06B1"/>
    <w:rsid w:val="00DE0E16"/>
    <w:rsid w:val="00DE1564"/>
    <w:rsid w:val="00DE17FC"/>
    <w:rsid w:val="00DE1AB3"/>
    <w:rsid w:val="00DE223C"/>
    <w:rsid w:val="00DE24CF"/>
    <w:rsid w:val="00DE267A"/>
    <w:rsid w:val="00DE2B38"/>
    <w:rsid w:val="00DE2C54"/>
    <w:rsid w:val="00DE3397"/>
    <w:rsid w:val="00DE3716"/>
    <w:rsid w:val="00DE42E3"/>
    <w:rsid w:val="00DE47E5"/>
    <w:rsid w:val="00DE489C"/>
    <w:rsid w:val="00DE4B51"/>
    <w:rsid w:val="00DE5018"/>
    <w:rsid w:val="00DE5865"/>
    <w:rsid w:val="00DE5CC4"/>
    <w:rsid w:val="00DE5E5D"/>
    <w:rsid w:val="00DE60AA"/>
    <w:rsid w:val="00DE65EA"/>
    <w:rsid w:val="00DE6A84"/>
    <w:rsid w:val="00DE6E8C"/>
    <w:rsid w:val="00DE70AA"/>
    <w:rsid w:val="00DE791E"/>
    <w:rsid w:val="00DE7CD8"/>
    <w:rsid w:val="00DF0578"/>
    <w:rsid w:val="00DF0BF4"/>
    <w:rsid w:val="00DF1085"/>
    <w:rsid w:val="00DF1B8F"/>
    <w:rsid w:val="00DF1F71"/>
    <w:rsid w:val="00DF28DB"/>
    <w:rsid w:val="00DF29EC"/>
    <w:rsid w:val="00DF2DD5"/>
    <w:rsid w:val="00DF34F9"/>
    <w:rsid w:val="00DF4001"/>
    <w:rsid w:val="00DF469D"/>
    <w:rsid w:val="00DF4B36"/>
    <w:rsid w:val="00DF4E30"/>
    <w:rsid w:val="00DF5189"/>
    <w:rsid w:val="00DF6CB1"/>
    <w:rsid w:val="00DF7DFD"/>
    <w:rsid w:val="00E00518"/>
    <w:rsid w:val="00E01BF9"/>
    <w:rsid w:val="00E025AB"/>
    <w:rsid w:val="00E02D33"/>
    <w:rsid w:val="00E03FA1"/>
    <w:rsid w:val="00E03FFC"/>
    <w:rsid w:val="00E04F26"/>
    <w:rsid w:val="00E056A1"/>
    <w:rsid w:val="00E05843"/>
    <w:rsid w:val="00E05D25"/>
    <w:rsid w:val="00E05FFB"/>
    <w:rsid w:val="00E0620A"/>
    <w:rsid w:val="00E06494"/>
    <w:rsid w:val="00E06E95"/>
    <w:rsid w:val="00E06EC5"/>
    <w:rsid w:val="00E07151"/>
    <w:rsid w:val="00E105EE"/>
    <w:rsid w:val="00E10F1F"/>
    <w:rsid w:val="00E11039"/>
    <w:rsid w:val="00E125CE"/>
    <w:rsid w:val="00E12670"/>
    <w:rsid w:val="00E12B63"/>
    <w:rsid w:val="00E13006"/>
    <w:rsid w:val="00E13AD9"/>
    <w:rsid w:val="00E14292"/>
    <w:rsid w:val="00E14FE4"/>
    <w:rsid w:val="00E15E9F"/>
    <w:rsid w:val="00E1629A"/>
    <w:rsid w:val="00E16EAB"/>
    <w:rsid w:val="00E17312"/>
    <w:rsid w:val="00E175D2"/>
    <w:rsid w:val="00E1782D"/>
    <w:rsid w:val="00E17862"/>
    <w:rsid w:val="00E17A0A"/>
    <w:rsid w:val="00E17F2E"/>
    <w:rsid w:val="00E17F93"/>
    <w:rsid w:val="00E20004"/>
    <w:rsid w:val="00E2064D"/>
    <w:rsid w:val="00E20F89"/>
    <w:rsid w:val="00E21091"/>
    <w:rsid w:val="00E2136C"/>
    <w:rsid w:val="00E23E70"/>
    <w:rsid w:val="00E23FAB"/>
    <w:rsid w:val="00E24379"/>
    <w:rsid w:val="00E25373"/>
    <w:rsid w:val="00E25A59"/>
    <w:rsid w:val="00E25C85"/>
    <w:rsid w:val="00E26B68"/>
    <w:rsid w:val="00E26EC0"/>
    <w:rsid w:val="00E26EDF"/>
    <w:rsid w:val="00E2701C"/>
    <w:rsid w:val="00E27E12"/>
    <w:rsid w:val="00E3005E"/>
    <w:rsid w:val="00E30C12"/>
    <w:rsid w:val="00E3129C"/>
    <w:rsid w:val="00E313F6"/>
    <w:rsid w:val="00E31889"/>
    <w:rsid w:val="00E31B56"/>
    <w:rsid w:val="00E32DA2"/>
    <w:rsid w:val="00E32E7C"/>
    <w:rsid w:val="00E33CEE"/>
    <w:rsid w:val="00E36042"/>
    <w:rsid w:val="00E360B3"/>
    <w:rsid w:val="00E369AA"/>
    <w:rsid w:val="00E373A7"/>
    <w:rsid w:val="00E37FBB"/>
    <w:rsid w:val="00E40199"/>
    <w:rsid w:val="00E403F0"/>
    <w:rsid w:val="00E40752"/>
    <w:rsid w:val="00E40B30"/>
    <w:rsid w:val="00E41171"/>
    <w:rsid w:val="00E41680"/>
    <w:rsid w:val="00E41769"/>
    <w:rsid w:val="00E41D49"/>
    <w:rsid w:val="00E42351"/>
    <w:rsid w:val="00E42773"/>
    <w:rsid w:val="00E42AF8"/>
    <w:rsid w:val="00E42B12"/>
    <w:rsid w:val="00E42D8B"/>
    <w:rsid w:val="00E42D9C"/>
    <w:rsid w:val="00E43D42"/>
    <w:rsid w:val="00E43DF1"/>
    <w:rsid w:val="00E44579"/>
    <w:rsid w:val="00E4475D"/>
    <w:rsid w:val="00E44DC7"/>
    <w:rsid w:val="00E44FCB"/>
    <w:rsid w:val="00E45836"/>
    <w:rsid w:val="00E45953"/>
    <w:rsid w:val="00E45C52"/>
    <w:rsid w:val="00E46769"/>
    <w:rsid w:val="00E46AA5"/>
    <w:rsid w:val="00E46DAE"/>
    <w:rsid w:val="00E47AD7"/>
    <w:rsid w:val="00E5018E"/>
    <w:rsid w:val="00E502F5"/>
    <w:rsid w:val="00E50438"/>
    <w:rsid w:val="00E5066A"/>
    <w:rsid w:val="00E5284A"/>
    <w:rsid w:val="00E539AE"/>
    <w:rsid w:val="00E53B7E"/>
    <w:rsid w:val="00E54049"/>
    <w:rsid w:val="00E544AC"/>
    <w:rsid w:val="00E54765"/>
    <w:rsid w:val="00E548E2"/>
    <w:rsid w:val="00E5566D"/>
    <w:rsid w:val="00E55A3F"/>
    <w:rsid w:val="00E55CC9"/>
    <w:rsid w:val="00E56069"/>
    <w:rsid w:val="00E56091"/>
    <w:rsid w:val="00E56363"/>
    <w:rsid w:val="00E567AD"/>
    <w:rsid w:val="00E56A3A"/>
    <w:rsid w:val="00E56A66"/>
    <w:rsid w:val="00E57DF4"/>
    <w:rsid w:val="00E600FC"/>
    <w:rsid w:val="00E607C9"/>
    <w:rsid w:val="00E60DA5"/>
    <w:rsid w:val="00E61879"/>
    <w:rsid w:val="00E619F6"/>
    <w:rsid w:val="00E61D89"/>
    <w:rsid w:val="00E61DAF"/>
    <w:rsid w:val="00E61E3E"/>
    <w:rsid w:val="00E62981"/>
    <w:rsid w:val="00E62F55"/>
    <w:rsid w:val="00E630F2"/>
    <w:rsid w:val="00E63807"/>
    <w:rsid w:val="00E63DC1"/>
    <w:rsid w:val="00E64268"/>
    <w:rsid w:val="00E65208"/>
    <w:rsid w:val="00E66475"/>
    <w:rsid w:val="00E66488"/>
    <w:rsid w:val="00E665FF"/>
    <w:rsid w:val="00E66A18"/>
    <w:rsid w:val="00E67634"/>
    <w:rsid w:val="00E677C7"/>
    <w:rsid w:val="00E6798F"/>
    <w:rsid w:val="00E70255"/>
    <w:rsid w:val="00E703A8"/>
    <w:rsid w:val="00E70C46"/>
    <w:rsid w:val="00E720A1"/>
    <w:rsid w:val="00E72559"/>
    <w:rsid w:val="00E72C8B"/>
    <w:rsid w:val="00E73FC2"/>
    <w:rsid w:val="00E74093"/>
    <w:rsid w:val="00E747BD"/>
    <w:rsid w:val="00E74A4D"/>
    <w:rsid w:val="00E74A63"/>
    <w:rsid w:val="00E7589B"/>
    <w:rsid w:val="00E7597B"/>
    <w:rsid w:val="00E75D31"/>
    <w:rsid w:val="00E771AA"/>
    <w:rsid w:val="00E80311"/>
    <w:rsid w:val="00E80469"/>
    <w:rsid w:val="00E81F96"/>
    <w:rsid w:val="00E82B00"/>
    <w:rsid w:val="00E82B3E"/>
    <w:rsid w:val="00E82FA5"/>
    <w:rsid w:val="00E82FCC"/>
    <w:rsid w:val="00E846EA"/>
    <w:rsid w:val="00E8471C"/>
    <w:rsid w:val="00E84799"/>
    <w:rsid w:val="00E84B05"/>
    <w:rsid w:val="00E84DEE"/>
    <w:rsid w:val="00E85962"/>
    <w:rsid w:val="00E86644"/>
    <w:rsid w:val="00E86668"/>
    <w:rsid w:val="00E866CA"/>
    <w:rsid w:val="00E87183"/>
    <w:rsid w:val="00E8732E"/>
    <w:rsid w:val="00E87F8A"/>
    <w:rsid w:val="00E901BB"/>
    <w:rsid w:val="00E909DF"/>
    <w:rsid w:val="00E912BA"/>
    <w:rsid w:val="00E91715"/>
    <w:rsid w:val="00E91DED"/>
    <w:rsid w:val="00E937ED"/>
    <w:rsid w:val="00E946B0"/>
    <w:rsid w:val="00E94B16"/>
    <w:rsid w:val="00E94BC0"/>
    <w:rsid w:val="00E95F8E"/>
    <w:rsid w:val="00E96154"/>
    <w:rsid w:val="00E962FF"/>
    <w:rsid w:val="00E96731"/>
    <w:rsid w:val="00E96845"/>
    <w:rsid w:val="00E96F8E"/>
    <w:rsid w:val="00E96FD7"/>
    <w:rsid w:val="00E9714C"/>
    <w:rsid w:val="00E97339"/>
    <w:rsid w:val="00E9744D"/>
    <w:rsid w:val="00E97AB4"/>
    <w:rsid w:val="00EA03D7"/>
    <w:rsid w:val="00EA09EF"/>
    <w:rsid w:val="00EA2A8C"/>
    <w:rsid w:val="00EA2D60"/>
    <w:rsid w:val="00EA3C96"/>
    <w:rsid w:val="00EA4276"/>
    <w:rsid w:val="00EA4572"/>
    <w:rsid w:val="00EA46E0"/>
    <w:rsid w:val="00EA4AF2"/>
    <w:rsid w:val="00EA4E6F"/>
    <w:rsid w:val="00EA4EE7"/>
    <w:rsid w:val="00EA6120"/>
    <w:rsid w:val="00EA61D2"/>
    <w:rsid w:val="00EA7511"/>
    <w:rsid w:val="00EB05B4"/>
    <w:rsid w:val="00EB0AE5"/>
    <w:rsid w:val="00EB0C98"/>
    <w:rsid w:val="00EB14F8"/>
    <w:rsid w:val="00EB18D8"/>
    <w:rsid w:val="00EB1A6A"/>
    <w:rsid w:val="00EB1BB5"/>
    <w:rsid w:val="00EB1D7D"/>
    <w:rsid w:val="00EB1F8F"/>
    <w:rsid w:val="00EB4036"/>
    <w:rsid w:val="00EB461D"/>
    <w:rsid w:val="00EB4886"/>
    <w:rsid w:val="00EB4BD4"/>
    <w:rsid w:val="00EB4F9A"/>
    <w:rsid w:val="00EB589D"/>
    <w:rsid w:val="00EB5B53"/>
    <w:rsid w:val="00EB5E85"/>
    <w:rsid w:val="00EB5F1B"/>
    <w:rsid w:val="00EB6036"/>
    <w:rsid w:val="00EB6349"/>
    <w:rsid w:val="00EB6722"/>
    <w:rsid w:val="00EC04AC"/>
    <w:rsid w:val="00EC0B99"/>
    <w:rsid w:val="00EC0FC6"/>
    <w:rsid w:val="00EC19E2"/>
    <w:rsid w:val="00EC277D"/>
    <w:rsid w:val="00EC2B15"/>
    <w:rsid w:val="00EC3A42"/>
    <w:rsid w:val="00EC4333"/>
    <w:rsid w:val="00EC4716"/>
    <w:rsid w:val="00EC63F4"/>
    <w:rsid w:val="00EC649D"/>
    <w:rsid w:val="00EC6596"/>
    <w:rsid w:val="00EC677C"/>
    <w:rsid w:val="00EC6966"/>
    <w:rsid w:val="00EC6ACF"/>
    <w:rsid w:val="00EC6C90"/>
    <w:rsid w:val="00EC6FC7"/>
    <w:rsid w:val="00EC74E1"/>
    <w:rsid w:val="00EC79E9"/>
    <w:rsid w:val="00ED01AF"/>
    <w:rsid w:val="00ED0B8A"/>
    <w:rsid w:val="00ED1FB7"/>
    <w:rsid w:val="00ED2796"/>
    <w:rsid w:val="00ED2AF3"/>
    <w:rsid w:val="00ED2C5B"/>
    <w:rsid w:val="00ED2E3E"/>
    <w:rsid w:val="00ED2F7A"/>
    <w:rsid w:val="00ED2FC5"/>
    <w:rsid w:val="00ED43AA"/>
    <w:rsid w:val="00ED4DB5"/>
    <w:rsid w:val="00ED5722"/>
    <w:rsid w:val="00ED57BB"/>
    <w:rsid w:val="00ED5CFB"/>
    <w:rsid w:val="00ED5FED"/>
    <w:rsid w:val="00ED62F3"/>
    <w:rsid w:val="00ED7742"/>
    <w:rsid w:val="00ED7A40"/>
    <w:rsid w:val="00EE005C"/>
    <w:rsid w:val="00EE0155"/>
    <w:rsid w:val="00EE0395"/>
    <w:rsid w:val="00EE050C"/>
    <w:rsid w:val="00EE09D8"/>
    <w:rsid w:val="00EE1A2A"/>
    <w:rsid w:val="00EE1B88"/>
    <w:rsid w:val="00EE1C05"/>
    <w:rsid w:val="00EE1CA4"/>
    <w:rsid w:val="00EE27E9"/>
    <w:rsid w:val="00EE34B3"/>
    <w:rsid w:val="00EE35CB"/>
    <w:rsid w:val="00EE39EF"/>
    <w:rsid w:val="00EE3DDE"/>
    <w:rsid w:val="00EE4016"/>
    <w:rsid w:val="00EE478F"/>
    <w:rsid w:val="00EE4AD2"/>
    <w:rsid w:val="00EE4BB0"/>
    <w:rsid w:val="00EE5119"/>
    <w:rsid w:val="00EE5650"/>
    <w:rsid w:val="00EE5916"/>
    <w:rsid w:val="00EE5938"/>
    <w:rsid w:val="00EE6198"/>
    <w:rsid w:val="00EE67CD"/>
    <w:rsid w:val="00EE67D4"/>
    <w:rsid w:val="00EE6920"/>
    <w:rsid w:val="00EE70B1"/>
    <w:rsid w:val="00EE773D"/>
    <w:rsid w:val="00EE7C6C"/>
    <w:rsid w:val="00EF04ED"/>
    <w:rsid w:val="00EF0B99"/>
    <w:rsid w:val="00EF0CDB"/>
    <w:rsid w:val="00EF0E3B"/>
    <w:rsid w:val="00EF0ED8"/>
    <w:rsid w:val="00EF28BB"/>
    <w:rsid w:val="00EF2C17"/>
    <w:rsid w:val="00EF2FE1"/>
    <w:rsid w:val="00EF3095"/>
    <w:rsid w:val="00EF3454"/>
    <w:rsid w:val="00EF38F3"/>
    <w:rsid w:val="00EF46B6"/>
    <w:rsid w:val="00EF51D1"/>
    <w:rsid w:val="00EF53BF"/>
    <w:rsid w:val="00EF5FD5"/>
    <w:rsid w:val="00EF7C3E"/>
    <w:rsid w:val="00EF7E36"/>
    <w:rsid w:val="00F0022D"/>
    <w:rsid w:val="00F00A47"/>
    <w:rsid w:val="00F018A4"/>
    <w:rsid w:val="00F01B76"/>
    <w:rsid w:val="00F029E0"/>
    <w:rsid w:val="00F0376A"/>
    <w:rsid w:val="00F03C7D"/>
    <w:rsid w:val="00F03EE2"/>
    <w:rsid w:val="00F03FDC"/>
    <w:rsid w:val="00F03FE1"/>
    <w:rsid w:val="00F0416B"/>
    <w:rsid w:val="00F0446B"/>
    <w:rsid w:val="00F04785"/>
    <w:rsid w:val="00F06F2F"/>
    <w:rsid w:val="00F0790A"/>
    <w:rsid w:val="00F07D4D"/>
    <w:rsid w:val="00F1000F"/>
    <w:rsid w:val="00F10095"/>
    <w:rsid w:val="00F1066E"/>
    <w:rsid w:val="00F10CBE"/>
    <w:rsid w:val="00F10EF3"/>
    <w:rsid w:val="00F12B2D"/>
    <w:rsid w:val="00F12D9A"/>
    <w:rsid w:val="00F12E85"/>
    <w:rsid w:val="00F12F10"/>
    <w:rsid w:val="00F13318"/>
    <w:rsid w:val="00F13F90"/>
    <w:rsid w:val="00F14223"/>
    <w:rsid w:val="00F142B1"/>
    <w:rsid w:val="00F1479C"/>
    <w:rsid w:val="00F1490E"/>
    <w:rsid w:val="00F15658"/>
    <w:rsid w:val="00F16190"/>
    <w:rsid w:val="00F2022E"/>
    <w:rsid w:val="00F2035F"/>
    <w:rsid w:val="00F203DA"/>
    <w:rsid w:val="00F203DC"/>
    <w:rsid w:val="00F20549"/>
    <w:rsid w:val="00F209E2"/>
    <w:rsid w:val="00F212CB"/>
    <w:rsid w:val="00F21414"/>
    <w:rsid w:val="00F21727"/>
    <w:rsid w:val="00F218ED"/>
    <w:rsid w:val="00F218F8"/>
    <w:rsid w:val="00F225A0"/>
    <w:rsid w:val="00F23150"/>
    <w:rsid w:val="00F231EF"/>
    <w:rsid w:val="00F2325C"/>
    <w:rsid w:val="00F23316"/>
    <w:rsid w:val="00F23730"/>
    <w:rsid w:val="00F23BCA"/>
    <w:rsid w:val="00F24752"/>
    <w:rsid w:val="00F24A6F"/>
    <w:rsid w:val="00F24C2A"/>
    <w:rsid w:val="00F25AB1"/>
    <w:rsid w:val="00F26673"/>
    <w:rsid w:val="00F309AF"/>
    <w:rsid w:val="00F30F61"/>
    <w:rsid w:val="00F30F82"/>
    <w:rsid w:val="00F311A7"/>
    <w:rsid w:val="00F3145D"/>
    <w:rsid w:val="00F3148C"/>
    <w:rsid w:val="00F31E74"/>
    <w:rsid w:val="00F32515"/>
    <w:rsid w:val="00F32548"/>
    <w:rsid w:val="00F32DA0"/>
    <w:rsid w:val="00F330D3"/>
    <w:rsid w:val="00F339E1"/>
    <w:rsid w:val="00F33C82"/>
    <w:rsid w:val="00F34380"/>
    <w:rsid w:val="00F3452B"/>
    <w:rsid w:val="00F348E1"/>
    <w:rsid w:val="00F349BE"/>
    <w:rsid w:val="00F35B55"/>
    <w:rsid w:val="00F35B99"/>
    <w:rsid w:val="00F36850"/>
    <w:rsid w:val="00F36CDA"/>
    <w:rsid w:val="00F36E23"/>
    <w:rsid w:val="00F3790D"/>
    <w:rsid w:val="00F408A1"/>
    <w:rsid w:val="00F40F43"/>
    <w:rsid w:val="00F40F5C"/>
    <w:rsid w:val="00F41447"/>
    <w:rsid w:val="00F417D6"/>
    <w:rsid w:val="00F41B77"/>
    <w:rsid w:val="00F425FD"/>
    <w:rsid w:val="00F4292B"/>
    <w:rsid w:val="00F42C96"/>
    <w:rsid w:val="00F42D52"/>
    <w:rsid w:val="00F42F6D"/>
    <w:rsid w:val="00F438D7"/>
    <w:rsid w:val="00F43A1C"/>
    <w:rsid w:val="00F445AC"/>
    <w:rsid w:val="00F446F2"/>
    <w:rsid w:val="00F44C54"/>
    <w:rsid w:val="00F45353"/>
    <w:rsid w:val="00F46BD7"/>
    <w:rsid w:val="00F46DD5"/>
    <w:rsid w:val="00F46E12"/>
    <w:rsid w:val="00F476D0"/>
    <w:rsid w:val="00F47707"/>
    <w:rsid w:val="00F47A94"/>
    <w:rsid w:val="00F47CD2"/>
    <w:rsid w:val="00F50B26"/>
    <w:rsid w:val="00F50B29"/>
    <w:rsid w:val="00F510BC"/>
    <w:rsid w:val="00F51613"/>
    <w:rsid w:val="00F520F5"/>
    <w:rsid w:val="00F5255C"/>
    <w:rsid w:val="00F52C2C"/>
    <w:rsid w:val="00F53733"/>
    <w:rsid w:val="00F539F4"/>
    <w:rsid w:val="00F541AB"/>
    <w:rsid w:val="00F546C3"/>
    <w:rsid w:val="00F54A41"/>
    <w:rsid w:val="00F54A76"/>
    <w:rsid w:val="00F54C3F"/>
    <w:rsid w:val="00F5518E"/>
    <w:rsid w:val="00F557A4"/>
    <w:rsid w:val="00F560CA"/>
    <w:rsid w:val="00F56978"/>
    <w:rsid w:val="00F56C6D"/>
    <w:rsid w:val="00F574E6"/>
    <w:rsid w:val="00F6012E"/>
    <w:rsid w:val="00F60941"/>
    <w:rsid w:val="00F61168"/>
    <w:rsid w:val="00F61482"/>
    <w:rsid w:val="00F61EFE"/>
    <w:rsid w:val="00F62697"/>
    <w:rsid w:val="00F6272A"/>
    <w:rsid w:val="00F6316F"/>
    <w:rsid w:val="00F64E61"/>
    <w:rsid w:val="00F656B8"/>
    <w:rsid w:val="00F659EB"/>
    <w:rsid w:val="00F65CB6"/>
    <w:rsid w:val="00F65FC9"/>
    <w:rsid w:val="00F664FB"/>
    <w:rsid w:val="00F665AF"/>
    <w:rsid w:val="00F67051"/>
    <w:rsid w:val="00F67249"/>
    <w:rsid w:val="00F674DC"/>
    <w:rsid w:val="00F67537"/>
    <w:rsid w:val="00F70645"/>
    <w:rsid w:val="00F7150A"/>
    <w:rsid w:val="00F720EA"/>
    <w:rsid w:val="00F72A15"/>
    <w:rsid w:val="00F730AB"/>
    <w:rsid w:val="00F73335"/>
    <w:rsid w:val="00F736D6"/>
    <w:rsid w:val="00F73DCE"/>
    <w:rsid w:val="00F74774"/>
    <w:rsid w:val="00F74972"/>
    <w:rsid w:val="00F7559D"/>
    <w:rsid w:val="00F760B7"/>
    <w:rsid w:val="00F766EC"/>
    <w:rsid w:val="00F778D4"/>
    <w:rsid w:val="00F77EBB"/>
    <w:rsid w:val="00F77FF5"/>
    <w:rsid w:val="00F80D80"/>
    <w:rsid w:val="00F811DA"/>
    <w:rsid w:val="00F81AE7"/>
    <w:rsid w:val="00F81B4B"/>
    <w:rsid w:val="00F81E90"/>
    <w:rsid w:val="00F82BE9"/>
    <w:rsid w:val="00F82E4D"/>
    <w:rsid w:val="00F83239"/>
    <w:rsid w:val="00F832F2"/>
    <w:rsid w:val="00F83FFD"/>
    <w:rsid w:val="00F848D4"/>
    <w:rsid w:val="00F852DC"/>
    <w:rsid w:val="00F85331"/>
    <w:rsid w:val="00F855D3"/>
    <w:rsid w:val="00F8679A"/>
    <w:rsid w:val="00F877BB"/>
    <w:rsid w:val="00F87CC5"/>
    <w:rsid w:val="00F87EB8"/>
    <w:rsid w:val="00F9064E"/>
    <w:rsid w:val="00F907B3"/>
    <w:rsid w:val="00F90D95"/>
    <w:rsid w:val="00F91092"/>
    <w:rsid w:val="00F91B0B"/>
    <w:rsid w:val="00F92139"/>
    <w:rsid w:val="00F92208"/>
    <w:rsid w:val="00F923FF"/>
    <w:rsid w:val="00F926A5"/>
    <w:rsid w:val="00F93331"/>
    <w:rsid w:val="00F93946"/>
    <w:rsid w:val="00F93D48"/>
    <w:rsid w:val="00F93FC4"/>
    <w:rsid w:val="00F94161"/>
    <w:rsid w:val="00F94365"/>
    <w:rsid w:val="00F944F5"/>
    <w:rsid w:val="00F9483D"/>
    <w:rsid w:val="00F9529B"/>
    <w:rsid w:val="00F95738"/>
    <w:rsid w:val="00F95C0B"/>
    <w:rsid w:val="00F96C08"/>
    <w:rsid w:val="00F973EF"/>
    <w:rsid w:val="00F97AB2"/>
    <w:rsid w:val="00F97EF0"/>
    <w:rsid w:val="00FA00F3"/>
    <w:rsid w:val="00FA0C78"/>
    <w:rsid w:val="00FA120D"/>
    <w:rsid w:val="00FA1222"/>
    <w:rsid w:val="00FA1428"/>
    <w:rsid w:val="00FA1689"/>
    <w:rsid w:val="00FA1C20"/>
    <w:rsid w:val="00FA2D50"/>
    <w:rsid w:val="00FA2F2C"/>
    <w:rsid w:val="00FA323C"/>
    <w:rsid w:val="00FA354E"/>
    <w:rsid w:val="00FA386E"/>
    <w:rsid w:val="00FA38CD"/>
    <w:rsid w:val="00FA3BB6"/>
    <w:rsid w:val="00FA410A"/>
    <w:rsid w:val="00FA41E9"/>
    <w:rsid w:val="00FA43FE"/>
    <w:rsid w:val="00FA58C7"/>
    <w:rsid w:val="00FA59A5"/>
    <w:rsid w:val="00FA5B45"/>
    <w:rsid w:val="00FA6D38"/>
    <w:rsid w:val="00FA6FF8"/>
    <w:rsid w:val="00FA78DA"/>
    <w:rsid w:val="00FA7BEB"/>
    <w:rsid w:val="00FB001A"/>
    <w:rsid w:val="00FB0322"/>
    <w:rsid w:val="00FB0BC1"/>
    <w:rsid w:val="00FB0F4E"/>
    <w:rsid w:val="00FB136C"/>
    <w:rsid w:val="00FB1562"/>
    <w:rsid w:val="00FB1575"/>
    <w:rsid w:val="00FB16E4"/>
    <w:rsid w:val="00FB178E"/>
    <w:rsid w:val="00FB245A"/>
    <w:rsid w:val="00FB2985"/>
    <w:rsid w:val="00FB2EA7"/>
    <w:rsid w:val="00FB2F98"/>
    <w:rsid w:val="00FB3285"/>
    <w:rsid w:val="00FB378C"/>
    <w:rsid w:val="00FB3EE7"/>
    <w:rsid w:val="00FB3FC7"/>
    <w:rsid w:val="00FB45AA"/>
    <w:rsid w:val="00FB45C1"/>
    <w:rsid w:val="00FB477A"/>
    <w:rsid w:val="00FB50A5"/>
    <w:rsid w:val="00FB5865"/>
    <w:rsid w:val="00FB5BC5"/>
    <w:rsid w:val="00FB5DAD"/>
    <w:rsid w:val="00FB5E87"/>
    <w:rsid w:val="00FB6B24"/>
    <w:rsid w:val="00FB6E44"/>
    <w:rsid w:val="00FB7C4E"/>
    <w:rsid w:val="00FC0296"/>
    <w:rsid w:val="00FC02DA"/>
    <w:rsid w:val="00FC038E"/>
    <w:rsid w:val="00FC0391"/>
    <w:rsid w:val="00FC0E46"/>
    <w:rsid w:val="00FC11BD"/>
    <w:rsid w:val="00FC15EE"/>
    <w:rsid w:val="00FC2045"/>
    <w:rsid w:val="00FC21AC"/>
    <w:rsid w:val="00FC2651"/>
    <w:rsid w:val="00FC295A"/>
    <w:rsid w:val="00FC2BD9"/>
    <w:rsid w:val="00FC340C"/>
    <w:rsid w:val="00FC37A4"/>
    <w:rsid w:val="00FC3D0D"/>
    <w:rsid w:val="00FC3DC3"/>
    <w:rsid w:val="00FC3E37"/>
    <w:rsid w:val="00FC47FE"/>
    <w:rsid w:val="00FC4A10"/>
    <w:rsid w:val="00FC5F99"/>
    <w:rsid w:val="00FC6924"/>
    <w:rsid w:val="00FC6BD8"/>
    <w:rsid w:val="00FC6ECB"/>
    <w:rsid w:val="00FD0364"/>
    <w:rsid w:val="00FD068B"/>
    <w:rsid w:val="00FD0886"/>
    <w:rsid w:val="00FD0E3E"/>
    <w:rsid w:val="00FD124F"/>
    <w:rsid w:val="00FD16F7"/>
    <w:rsid w:val="00FD178E"/>
    <w:rsid w:val="00FD1E4B"/>
    <w:rsid w:val="00FD2185"/>
    <w:rsid w:val="00FD288A"/>
    <w:rsid w:val="00FD2B30"/>
    <w:rsid w:val="00FD2EDC"/>
    <w:rsid w:val="00FD3337"/>
    <w:rsid w:val="00FD4506"/>
    <w:rsid w:val="00FD4947"/>
    <w:rsid w:val="00FD505E"/>
    <w:rsid w:val="00FD55D1"/>
    <w:rsid w:val="00FD6598"/>
    <w:rsid w:val="00FD6821"/>
    <w:rsid w:val="00FD6CA9"/>
    <w:rsid w:val="00FD6F01"/>
    <w:rsid w:val="00FD703F"/>
    <w:rsid w:val="00FD7BDC"/>
    <w:rsid w:val="00FD7D7D"/>
    <w:rsid w:val="00FD7EA9"/>
    <w:rsid w:val="00FE0990"/>
    <w:rsid w:val="00FE0D9D"/>
    <w:rsid w:val="00FE0E98"/>
    <w:rsid w:val="00FE101E"/>
    <w:rsid w:val="00FE1172"/>
    <w:rsid w:val="00FE163B"/>
    <w:rsid w:val="00FE24AB"/>
    <w:rsid w:val="00FE2590"/>
    <w:rsid w:val="00FE328E"/>
    <w:rsid w:val="00FE3378"/>
    <w:rsid w:val="00FE34F3"/>
    <w:rsid w:val="00FE6044"/>
    <w:rsid w:val="00FE6C56"/>
    <w:rsid w:val="00FE7D26"/>
    <w:rsid w:val="00FE7FC3"/>
    <w:rsid w:val="00FF034F"/>
    <w:rsid w:val="00FF043A"/>
    <w:rsid w:val="00FF1146"/>
    <w:rsid w:val="00FF19C7"/>
    <w:rsid w:val="00FF2879"/>
    <w:rsid w:val="00FF2934"/>
    <w:rsid w:val="00FF29D9"/>
    <w:rsid w:val="00FF2B0C"/>
    <w:rsid w:val="00FF2CA1"/>
    <w:rsid w:val="00FF3150"/>
    <w:rsid w:val="00FF31CF"/>
    <w:rsid w:val="00FF3649"/>
    <w:rsid w:val="00FF3F77"/>
    <w:rsid w:val="00FF44D8"/>
    <w:rsid w:val="00FF4954"/>
    <w:rsid w:val="00FF4C65"/>
    <w:rsid w:val="00FF55F1"/>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CDCAF"/>
  <w15:docId w15:val="{B1AF5ED5-777A-C24A-8FDC-76337D95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56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ListParagraph"/>
    <w:next w:val="Normal"/>
    <w:link w:val="Heading1Char"/>
    <w:uiPriority w:val="9"/>
    <w:qFormat/>
    <w:rsid w:val="00413570"/>
    <w:pPr>
      <w:keepNext/>
      <w:numPr>
        <w:numId w:val="0"/>
      </w:numPr>
      <w:outlineLvl w:val="0"/>
    </w:pPr>
    <w:rPr>
      <w:b/>
    </w:rPr>
  </w:style>
  <w:style w:type="paragraph" w:styleId="Heading2">
    <w:name w:val="heading 2"/>
    <w:basedOn w:val="ListParagraph"/>
    <w:link w:val="Heading2Char"/>
    <w:uiPriority w:val="9"/>
    <w:qFormat/>
    <w:rsid w:val="0052064F"/>
    <w:pPr>
      <w:numPr>
        <w:numId w:val="28"/>
      </w:numPr>
      <w:outlineLvl w:val="1"/>
    </w:pPr>
    <w:rPr>
      <w:b/>
    </w:rPr>
  </w:style>
  <w:style w:type="paragraph" w:styleId="Heading3">
    <w:name w:val="heading 3"/>
    <w:basedOn w:val="Normal"/>
    <w:next w:val="Normal"/>
    <w:link w:val="Heading3Char"/>
    <w:uiPriority w:val="9"/>
    <w:unhideWhenUsed/>
    <w:qFormat/>
    <w:rsid w:val="006D62DB"/>
    <w:pPr>
      <w:keepNext/>
      <w:tabs>
        <w:tab w:val="left" w:pos="4917"/>
      </w:tabs>
      <w:spacing w:before="120" w:after="120" w:line="360" w:lineRule="auto"/>
      <w:jc w:val="both"/>
      <w:outlineLvl w:val="2"/>
    </w:pPr>
    <w:rPr>
      <w:rFonts w:ascii="Arial" w:hAnsi="Arial" w:cs="Arial"/>
      <w:b/>
      <w:i/>
    </w:rPr>
  </w:style>
  <w:style w:type="paragraph" w:styleId="Heading4">
    <w:name w:val="heading 4"/>
    <w:basedOn w:val="Normal"/>
    <w:next w:val="Normal"/>
    <w:link w:val="Heading4Char"/>
    <w:uiPriority w:val="9"/>
    <w:unhideWhenUsed/>
    <w:qFormat/>
    <w:rsid w:val="00C2676B"/>
    <w:pPr>
      <w:keepNext/>
      <w:keepLines/>
      <w:numPr>
        <w:numId w:val="16"/>
      </w:numPr>
      <w:spacing w:before="40"/>
      <w:outlineLvl w:val="3"/>
    </w:pPr>
    <w:rPr>
      <w:rFonts w:ascii="Arial" w:eastAsiaTheme="majorEastAsia" w:hAnsi="Arial" w:cs="Arial"/>
      <w:b/>
    </w:rPr>
  </w:style>
  <w:style w:type="paragraph" w:styleId="Heading5">
    <w:name w:val="heading 5"/>
    <w:basedOn w:val="Normal"/>
    <w:next w:val="Normal"/>
    <w:link w:val="Heading5Char"/>
    <w:uiPriority w:val="9"/>
    <w:semiHidden/>
    <w:unhideWhenUsed/>
    <w:qFormat/>
    <w:rsid w:val="00EE511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35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413570"/>
    <w:pPr>
      <w:numPr>
        <w:numId w:val="32"/>
      </w:numPr>
      <w:spacing w:before="120" w:after="120" w:line="360" w:lineRule="auto"/>
      <w:ind w:left="567" w:hanging="567"/>
      <w:jc w:val="both"/>
    </w:pPr>
    <w:rPr>
      <w:rFonts w:ascii="Arial" w:hAnsi="Arial" w:cs="Arial"/>
    </w:rPr>
  </w:style>
  <w:style w:type="paragraph" w:styleId="NoSpacing">
    <w:name w:val="No Spacing"/>
    <w:uiPriority w:val="1"/>
    <w:qFormat/>
    <w:rsid w:val="00413570"/>
    <w:pPr>
      <w:spacing w:after="0" w:line="240" w:lineRule="auto"/>
    </w:pPr>
  </w:style>
  <w:style w:type="paragraph" w:styleId="Header">
    <w:name w:val="header"/>
    <w:basedOn w:val="Normal"/>
    <w:link w:val="HeaderChar"/>
    <w:uiPriority w:val="99"/>
    <w:unhideWhenUsed/>
    <w:rsid w:val="00413570"/>
    <w:pPr>
      <w:tabs>
        <w:tab w:val="center" w:pos="4513"/>
        <w:tab w:val="right" w:pos="9026"/>
      </w:tabs>
    </w:pPr>
  </w:style>
  <w:style w:type="character" w:customStyle="1" w:styleId="HeaderChar">
    <w:name w:val="Header Char"/>
    <w:basedOn w:val="DefaultParagraphFont"/>
    <w:link w:val="Header"/>
    <w:uiPriority w:val="99"/>
    <w:rsid w:val="00413570"/>
  </w:style>
  <w:style w:type="paragraph" w:styleId="Footer">
    <w:name w:val="footer"/>
    <w:basedOn w:val="Normal"/>
    <w:link w:val="FooterChar"/>
    <w:uiPriority w:val="99"/>
    <w:unhideWhenUsed/>
    <w:rsid w:val="00413570"/>
    <w:pPr>
      <w:tabs>
        <w:tab w:val="center" w:pos="4513"/>
        <w:tab w:val="right" w:pos="9026"/>
      </w:tabs>
    </w:pPr>
  </w:style>
  <w:style w:type="character" w:customStyle="1" w:styleId="FooterChar">
    <w:name w:val="Footer Char"/>
    <w:basedOn w:val="DefaultParagraphFont"/>
    <w:link w:val="Footer"/>
    <w:uiPriority w:val="99"/>
    <w:rsid w:val="00413570"/>
  </w:style>
  <w:style w:type="paragraph" w:styleId="FootnoteText">
    <w:name w:val="footnote text"/>
    <w:aliases w:val="Char Char,Char Char Char,Footnote Text Char Char,Footnote Text Char Char Char"/>
    <w:basedOn w:val="Normal"/>
    <w:link w:val="FootnoteTextChar"/>
    <w:uiPriority w:val="99"/>
    <w:unhideWhenUsed/>
    <w:rsid w:val="007F40CE"/>
    <w:pPr>
      <w:spacing w:before="120"/>
      <w:jc w:val="both"/>
    </w:pPr>
    <w:rPr>
      <w:rFonts w:ascii="Arial" w:hAnsi="Arial" w:cs="Arial"/>
      <w:sz w:val="20"/>
      <w:lang w:val="en-GB"/>
    </w:rPr>
  </w:style>
  <w:style w:type="character" w:customStyle="1" w:styleId="FootnoteTextChar">
    <w:name w:val="Footnote Text Char"/>
    <w:aliases w:val="Char Char Char1,Char Char Char Char,Footnote Text Char Char Char1,Footnote Text Char Char Char Char"/>
    <w:basedOn w:val="DefaultParagraphFont"/>
    <w:link w:val="FootnoteText"/>
    <w:uiPriority w:val="99"/>
    <w:rsid w:val="007F40CE"/>
    <w:rPr>
      <w:rFonts w:ascii="Arial" w:hAnsi="Arial" w:cs="Arial"/>
      <w:sz w:val="20"/>
      <w:lang w:val="en-GB"/>
    </w:rPr>
  </w:style>
  <w:style w:type="character" w:styleId="FootnoteReference">
    <w:name w:val="footnote reference"/>
    <w:basedOn w:val="DefaultParagraphFont"/>
    <w:uiPriority w:val="99"/>
    <w:unhideWhenUsed/>
    <w:rsid w:val="00413570"/>
    <w:rPr>
      <w:vertAlign w:val="superscript"/>
    </w:rPr>
  </w:style>
  <w:style w:type="paragraph" w:styleId="BalloonText">
    <w:name w:val="Balloon Text"/>
    <w:basedOn w:val="Normal"/>
    <w:link w:val="BalloonTextChar"/>
    <w:uiPriority w:val="99"/>
    <w:semiHidden/>
    <w:unhideWhenUsed/>
    <w:rsid w:val="00413570"/>
    <w:rPr>
      <w:rFonts w:ascii="Tahoma" w:hAnsi="Tahoma" w:cs="Tahoma"/>
      <w:sz w:val="16"/>
      <w:szCs w:val="16"/>
    </w:rPr>
  </w:style>
  <w:style w:type="character" w:customStyle="1" w:styleId="BalloonTextChar">
    <w:name w:val="Balloon Text Char"/>
    <w:basedOn w:val="DefaultParagraphFont"/>
    <w:link w:val="BalloonText"/>
    <w:uiPriority w:val="99"/>
    <w:semiHidden/>
    <w:rsid w:val="00413570"/>
    <w:rPr>
      <w:rFonts w:ascii="Tahoma" w:hAnsi="Tahoma" w:cs="Tahoma"/>
      <w:sz w:val="16"/>
      <w:szCs w:val="16"/>
    </w:rPr>
  </w:style>
  <w:style w:type="character" w:styleId="Hyperlink">
    <w:name w:val="Hyperlink"/>
    <w:uiPriority w:val="99"/>
    <w:unhideWhenUsed/>
    <w:rsid w:val="00413570"/>
    <w:rPr>
      <w:color w:val="0000FF"/>
      <w:u w:val="single"/>
    </w:rPr>
  </w:style>
  <w:style w:type="paragraph" w:styleId="NormalWeb">
    <w:name w:val="Normal (Web)"/>
    <w:basedOn w:val="Normal"/>
    <w:uiPriority w:val="99"/>
    <w:unhideWhenUsed/>
    <w:rsid w:val="00413570"/>
    <w:pPr>
      <w:spacing w:before="100" w:beforeAutospacing="1" w:after="100" w:afterAutospacing="1"/>
    </w:pPr>
    <w:rPr>
      <w:lang w:eastAsia="en-ZA"/>
    </w:rPr>
  </w:style>
  <w:style w:type="character" w:customStyle="1" w:styleId="Heading2Char">
    <w:name w:val="Heading 2 Char"/>
    <w:basedOn w:val="DefaultParagraphFont"/>
    <w:link w:val="Heading2"/>
    <w:uiPriority w:val="9"/>
    <w:rsid w:val="0052064F"/>
    <w:rPr>
      <w:rFonts w:ascii="Arial" w:eastAsia="Times New Roman" w:hAnsi="Arial" w:cs="Arial"/>
      <w:b/>
      <w:sz w:val="24"/>
      <w:szCs w:val="24"/>
      <w:lang w:eastAsia="en-GB"/>
    </w:rPr>
  </w:style>
  <w:style w:type="paragraph" w:customStyle="1" w:styleId="lg-para3">
    <w:name w:val="lg-para3"/>
    <w:basedOn w:val="Normal"/>
    <w:rsid w:val="00413570"/>
    <w:pPr>
      <w:spacing w:before="120"/>
      <w:ind w:firstLine="601"/>
      <w:jc w:val="both"/>
    </w:pPr>
    <w:rPr>
      <w:rFonts w:ascii="Verdana" w:hAnsi="Verdana"/>
      <w:color w:val="000000"/>
      <w:sz w:val="18"/>
      <w:szCs w:val="18"/>
      <w:lang w:val="en-US"/>
    </w:rPr>
  </w:style>
  <w:style w:type="character" w:styleId="CommentReference">
    <w:name w:val="annotation reference"/>
    <w:basedOn w:val="DefaultParagraphFont"/>
    <w:uiPriority w:val="99"/>
    <w:semiHidden/>
    <w:unhideWhenUsed/>
    <w:rsid w:val="00413570"/>
    <w:rPr>
      <w:sz w:val="16"/>
      <w:szCs w:val="16"/>
    </w:rPr>
  </w:style>
  <w:style w:type="paragraph" w:styleId="CommentText">
    <w:name w:val="annotation text"/>
    <w:basedOn w:val="Normal"/>
    <w:link w:val="CommentTextChar"/>
    <w:uiPriority w:val="99"/>
    <w:unhideWhenUsed/>
    <w:rsid w:val="00413570"/>
    <w:rPr>
      <w:sz w:val="20"/>
      <w:szCs w:val="20"/>
    </w:rPr>
  </w:style>
  <w:style w:type="character" w:customStyle="1" w:styleId="CommentTextChar">
    <w:name w:val="Comment Text Char"/>
    <w:basedOn w:val="DefaultParagraphFont"/>
    <w:link w:val="CommentText"/>
    <w:uiPriority w:val="99"/>
    <w:rsid w:val="00413570"/>
    <w:rPr>
      <w:sz w:val="20"/>
      <w:szCs w:val="20"/>
    </w:rPr>
  </w:style>
  <w:style w:type="paragraph" w:styleId="CommentSubject">
    <w:name w:val="annotation subject"/>
    <w:basedOn w:val="CommentText"/>
    <w:next w:val="CommentText"/>
    <w:link w:val="CommentSubjectChar"/>
    <w:uiPriority w:val="99"/>
    <w:semiHidden/>
    <w:unhideWhenUsed/>
    <w:rsid w:val="00413570"/>
    <w:rPr>
      <w:b/>
      <w:bCs/>
    </w:rPr>
  </w:style>
  <w:style w:type="character" w:customStyle="1" w:styleId="CommentSubjectChar">
    <w:name w:val="Comment Subject Char"/>
    <w:basedOn w:val="CommentTextChar"/>
    <w:link w:val="CommentSubject"/>
    <w:uiPriority w:val="99"/>
    <w:semiHidden/>
    <w:rsid w:val="00413570"/>
    <w:rPr>
      <w:b/>
      <w:bCs/>
      <w:sz w:val="20"/>
      <w:szCs w:val="20"/>
    </w:rPr>
  </w:style>
  <w:style w:type="numbering" w:customStyle="1" w:styleId="CurrentList1">
    <w:name w:val="Current List1"/>
    <w:uiPriority w:val="99"/>
    <w:rsid w:val="00E17862"/>
    <w:pPr>
      <w:numPr>
        <w:numId w:val="2"/>
      </w:numPr>
    </w:pPr>
  </w:style>
  <w:style w:type="numbering" w:customStyle="1" w:styleId="CurrentList2">
    <w:name w:val="Current List2"/>
    <w:uiPriority w:val="99"/>
    <w:rsid w:val="00E17862"/>
    <w:pPr>
      <w:numPr>
        <w:numId w:val="3"/>
      </w:numPr>
    </w:pPr>
  </w:style>
  <w:style w:type="numbering" w:customStyle="1" w:styleId="CurrentList3">
    <w:name w:val="Current List3"/>
    <w:uiPriority w:val="99"/>
    <w:rsid w:val="00E17862"/>
    <w:pPr>
      <w:numPr>
        <w:numId w:val="4"/>
      </w:numPr>
    </w:pPr>
  </w:style>
  <w:style w:type="numbering" w:customStyle="1" w:styleId="CurrentList4">
    <w:name w:val="Current List4"/>
    <w:uiPriority w:val="99"/>
    <w:rsid w:val="00E17862"/>
    <w:pPr>
      <w:numPr>
        <w:numId w:val="5"/>
      </w:numPr>
    </w:pPr>
  </w:style>
  <w:style w:type="character" w:customStyle="1" w:styleId="Heading1Char">
    <w:name w:val="Heading 1 Char"/>
    <w:basedOn w:val="DefaultParagraphFont"/>
    <w:link w:val="Heading1"/>
    <w:uiPriority w:val="9"/>
    <w:rsid w:val="00413570"/>
    <w:rPr>
      <w:rFonts w:ascii="Arial" w:hAnsi="Arial" w:cs="Arial"/>
      <w:b/>
      <w:sz w:val="24"/>
      <w:szCs w:val="24"/>
    </w:rPr>
  </w:style>
  <w:style w:type="paragraph" w:customStyle="1" w:styleId="Judgmentparagraph">
    <w:name w:val="Judgment paragraph"/>
    <w:basedOn w:val="ListParagraph"/>
    <w:qFormat/>
    <w:rsid w:val="0040578D"/>
    <w:pPr>
      <w:numPr>
        <w:numId w:val="23"/>
      </w:numPr>
    </w:pPr>
  </w:style>
  <w:style w:type="paragraph" w:styleId="Quote">
    <w:name w:val="Quote"/>
    <w:basedOn w:val="Normal"/>
    <w:next w:val="Normal"/>
    <w:link w:val="QuoteChar"/>
    <w:uiPriority w:val="29"/>
    <w:qFormat/>
    <w:rsid w:val="00413570"/>
    <w:pPr>
      <w:spacing w:before="120" w:after="120" w:line="360" w:lineRule="auto"/>
      <w:ind w:left="1008" w:right="1008"/>
      <w:jc w:val="both"/>
    </w:pPr>
    <w:rPr>
      <w:rFonts w:ascii="Arial" w:hAnsi="Arial" w:cs="Arial"/>
      <w:color w:val="000000"/>
    </w:rPr>
  </w:style>
  <w:style w:type="character" w:customStyle="1" w:styleId="QuoteChar">
    <w:name w:val="Quote Char"/>
    <w:basedOn w:val="DefaultParagraphFont"/>
    <w:link w:val="Quote"/>
    <w:uiPriority w:val="29"/>
    <w:rsid w:val="00413570"/>
    <w:rPr>
      <w:rFonts w:ascii="Arial" w:eastAsia="Times New Roman" w:hAnsi="Arial" w:cs="Arial"/>
      <w:color w:val="000000"/>
      <w:sz w:val="24"/>
      <w:szCs w:val="24"/>
    </w:rPr>
  </w:style>
  <w:style w:type="numbering" w:customStyle="1" w:styleId="CurrentList5">
    <w:name w:val="Current List5"/>
    <w:uiPriority w:val="99"/>
    <w:rsid w:val="00E17862"/>
    <w:pPr>
      <w:numPr>
        <w:numId w:val="6"/>
      </w:numPr>
    </w:pPr>
  </w:style>
  <w:style w:type="numbering" w:customStyle="1" w:styleId="CurrentList6">
    <w:name w:val="Current List6"/>
    <w:uiPriority w:val="99"/>
    <w:rsid w:val="00E17862"/>
    <w:pPr>
      <w:numPr>
        <w:numId w:val="7"/>
      </w:numPr>
    </w:pPr>
  </w:style>
  <w:style w:type="numbering" w:customStyle="1" w:styleId="CurrentList7">
    <w:name w:val="Current List7"/>
    <w:uiPriority w:val="99"/>
    <w:rsid w:val="00E17862"/>
    <w:pPr>
      <w:numPr>
        <w:numId w:val="8"/>
      </w:numPr>
    </w:pPr>
  </w:style>
  <w:style w:type="numbering" w:customStyle="1" w:styleId="CurrentList8">
    <w:name w:val="Current List8"/>
    <w:uiPriority w:val="99"/>
    <w:rsid w:val="00E17862"/>
    <w:pPr>
      <w:numPr>
        <w:numId w:val="9"/>
      </w:numPr>
    </w:pPr>
  </w:style>
  <w:style w:type="numbering" w:customStyle="1" w:styleId="CurrentList9">
    <w:name w:val="Current List9"/>
    <w:uiPriority w:val="99"/>
    <w:rsid w:val="00E17862"/>
    <w:pPr>
      <w:numPr>
        <w:numId w:val="10"/>
      </w:numPr>
    </w:pPr>
  </w:style>
  <w:style w:type="numbering" w:customStyle="1" w:styleId="CurrentList10">
    <w:name w:val="Current List10"/>
    <w:uiPriority w:val="99"/>
    <w:rsid w:val="00E17862"/>
    <w:pPr>
      <w:numPr>
        <w:numId w:val="11"/>
      </w:numPr>
    </w:pPr>
  </w:style>
  <w:style w:type="numbering" w:customStyle="1" w:styleId="CurrentList11">
    <w:name w:val="Current List11"/>
    <w:uiPriority w:val="99"/>
    <w:rsid w:val="0007071D"/>
    <w:pPr>
      <w:numPr>
        <w:numId w:val="12"/>
      </w:numPr>
    </w:pPr>
  </w:style>
  <w:style w:type="numbering" w:customStyle="1" w:styleId="CurrentList12">
    <w:name w:val="Current List12"/>
    <w:uiPriority w:val="99"/>
    <w:rsid w:val="0007071D"/>
    <w:pPr>
      <w:numPr>
        <w:numId w:val="13"/>
      </w:numPr>
    </w:pPr>
  </w:style>
  <w:style w:type="numbering" w:customStyle="1" w:styleId="CurrentList13">
    <w:name w:val="Current List13"/>
    <w:uiPriority w:val="99"/>
    <w:rsid w:val="0007071D"/>
    <w:pPr>
      <w:numPr>
        <w:numId w:val="14"/>
      </w:numPr>
    </w:pPr>
  </w:style>
  <w:style w:type="numbering" w:customStyle="1" w:styleId="CurrentList14">
    <w:name w:val="Current List14"/>
    <w:uiPriority w:val="99"/>
    <w:rsid w:val="0007071D"/>
    <w:pPr>
      <w:numPr>
        <w:numId w:val="15"/>
      </w:numPr>
    </w:pPr>
  </w:style>
  <w:style w:type="character" w:customStyle="1" w:styleId="UnresolvedMention">
    <w:name w:val="Unresolved Mention"/>
    <w:basedOn w:val="DefaultParagraphFont"/>
    <w:uiPriority w:val="99"/>
    <w:semiHidden/>
    <w:unhideWhenUsed/>
    <w:rsid w:val="00FF2934"/>
    <w:rPr>
      <w:color w:val="605E5C"/>
      <w:shd w:val="clear" w:color="auto" w:fill="E1DFDD"/>
    </w:rPr>
  </w:style>
  <w:style w:type="paragraph" w:customStyle="1" w:styleId="Newparagraph">
    <w:name w:val="New paragraph"/>
    <w:basedOn w:val="Normal"/>
    <w:qFormat/>
    <w:rsid w:val="00D508DC"/>
    <w:pPr>
      <w:spacing w:line="480" w:lineRule="auto"/>
      <w:ind w:firstLine="720"/>
    </w:pPr>
    <w:rPr>
      <w:lang w:val="en-GB"/>
    </w:rPr>
  </w:style>
  <w:style w:type="character" w:customStyle="1" w:styleId="apple-converted-space">
    <w:name w:val="apple-converted-space"/>
    <w:basedOn w:val="DefaultParagraphFont"/>
    <w:rsid w:val="0007071D"/>
  </w:style>
  <w:style w:type="character" w:styleId="Emphasis">
    <w:name w:val="Emphasis"/>
    <w:basedOn w:val="DefaultParagraphFont"/>
    <w:uiPriority w:val="20"/>
    <w:qFormat/>
    <w:rsid w:val="00027329"/>
    <w:rPr>
      <w:i/>
      <w:iCs/>
    </w:rPr>
  </w:style>
  <w:style w:type="character" w:customStyle="1" w:styleId="Heading3Char">
    <w:name w:val="Heading 3 Char"/>
    <w:basedOn w:val="DefaultParagraphFont"/>
    <w:link w:val="Heading3"/>
    <w:uiPriority w:val="9"/>
    <w:rsid w:val="006D62DB"/>
    <w:rPr>
      <w:rFonts w:ascii="Arial" w:hAnsi="Arial" w:cs="Arial"/>
      <w:b/>
      <w:i/>
      <w:sz w:val="24"/>
      <w:szCs w:val="24"/>
    </w:rPr>
  </w:style>
  <w:style w:type="character" w:customStyle="1" w:styleId="Heading4Char">
    <w:name w:val="Heading 4 Char"/>
    <w:basedOn w:val="DefaultParagraphFont"/>
    <w:link w:val="Heading4"/>
    <w:uiPriority w:val="9"/>
    <w:rsid w:val="00C2676B"/>
    <w:rPr>
      <w:rFonts w:ascii="Arial" w:eastAsiaTheme="majorEastAsia" w:hAnsi="Arial" w:cs="Arial"/>
      <w:b/>
      <w:sz w:val="24"/>
      <w:szCs w:val="24"/>
      <w:lang w:eastAsia="en-GB"/>
    </w:rPr>
  </w:style>
  <w:style w:type="paragraph" w:styleId="Revision">
    <w:name w:val="Revision"/>
    <w:hidden/>
    <w:uiPriority w:val="99"/>
    <w:semiHidden/>
    <w:rsid w:val="00E17862"/>
    <w:pPr>
      <w:spacing w:after="0" w:line="240" w:lineRule="auto"/>
    </w:pPr>
  </w:style>
  <w:style w:type="numbering" w:customStyle="1" w:styleId="CurrentList15">
    <w:name w:val="Current List15"/>
    <w:uiPriority w:val="99"/>
    <w:rsid w:val="000A370C"/>
    <w:pPr>
      <w:numPr>
        <w:numId w:val="17"/>
      </w:numPr>
    </w:pPr>
  </w:style>
  <w:style w:type="numbering" w:customStyle="1" w:styleId="CurrentList16">
    <w:name w:val="Current List16"/>
    <w:uiPriority w:val="99"/>
    <w:rsid w:val="000A370C"/>
    <w:pPr>
      <w:numPr>
        <w:numId w:val="18"/>
      </w:numPr>
    </w:pPr>
  </w:style>
  <w:style w:type="numbering" w:customStyle="1" w:styleId="CurrentList17">
    <w:name w:val="Current List17"/>
    <w:uiPriority w:val="99"/>
    <w:rsid w:val="000A370C"/>
    <w:pPr>
      <w:numPr>
        <w:numId w:val="19"/>
      </w:numPr>
    </w:pPr>
  </w:style>
  <w:style w:type="numbering" w:customStyle="1" w:styleId="CurrentList18">
    <w:name w:val="Current List18"/>
    <w:uiPriority w:val="99"/>
    <w:rsid w:val="000A370C"/>
    <w:pPr>
      <w:numPr>
        <w:numId w:val="20"/>
      </w:numPr>
    </w:pPr>
  </w:style>
  <w:style w:type="table" w:styleId="TableGrid">
    <w:name w:val="Table Grid"/>
    <w:basedOn w:val="TableNormal"/>
    <w:uiPriority w:val="39"/>
    <w:rsid w:val="00413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07071D"/>
    <w:pPr>
      <w:spacing w:before="100" w:beforeAutospacing="1" w:after="100" w:afterAutospacing="1"/>
    </w:pPr>
  </w:style>
  <w:style w:type="paragraph" w:customStyle="1" w:styleId="EndNoteBibliographyTitle">
    <w:name w:val="EndNote Bibliography Title"/>
    <w:basedOn w:val="Normal"/>
    <w:link w:val="EndNoteBibliographyTitleChar"/>
    <w:rsid w:val="0007071D"/>
    <w:pPr>
      <w:jc w:val="center"/>
    </w:pPr>
    <w:rPr>
      <w:rFonts w:ascii="Calibri" w:hAnsi="Calibri" w:cs="Calibri"/>
      <w:noProof/>
      <w:szCs w:val="20"/>
    </w:rPr>
  </w:style>
  <w:style w:type="character" w:customStyle="1" w:styleId="EndNoteBibliographyTitleChar">
    <w:name w:val="EndNote Bibliography Title Char"/>
    <w:basedOn w:val="FootnoteTextChar"/>
    <w:link w:val="EndNoteBibliographyTitle"/>
    <w:rsid w:val="0007071D"/>
    <w:rPr>
      <w:rFonts w:ascii="Calibri" w:hAnsi="Calibri" w:cs="Calibri"/>
      <w:noProof/>
      <w:sz w:val="20"/>
      <w:szCs w:val="20"/>
      <w:lang w:val="en-GB"/>
    </w:rPr>
  </w:style>
  <w:style w:type="paragraph" w:customStyle="1" w:styleId="EndNoteBibliography">
    <w:name w:val="EndNote Bibliography"/>
    <w:basedOn w:val="Normal"/>
    <w:link w:val="EndNoteBibliographyChar"/>
    <w:rsid w:val="0007071D"/>
    <w:rPr>
      <w:rFonts w:ascii="Calibri" w:hAnsi="Calibri" w:cs="Calibri"/>
      <w:noProof/>
      <w:szCs w:val="20"/>
    </w:rPr>
  </w:style>
  <w:style w:type="character" w:customStyle="1" w:styleId="EndNoteBibliographyChar">
    <w:name w:val="EndNote Bibliography Char"/>
    <w:basedOn w:val="FootnoteTextChar"/>
    <w:link w:val="EndNoteBibliography"/>
    <w:rsid w:val="0007071D"/>
    <w:rPr>
      <w:rFonts w:ascii="Calibri" w:hAnsi="Calibri" w:cs="Calibri"/>
      <w:noProof/>
      <w:sz w:val="20"/>
      <w:szCs w:val="20"/>
      <w:lang w:val="en-GB"/>
    </w:rPr>
  </w:style>
  <w:style w:type="numbering" w:customStyle="1" w:styleId="CurrentList19">
    <w:name w:val="Current List19"/>
    <w:uiPriority w:val="99"/>
    <w:rsid w:val="006B0FBA"/>
    <w:pPr>
      <w:numPr>
        <w:numId w:val="21"/>
      </w:numPr>
    </w:pPr>
  </w:style>
  <w:style w:type="numbering" w:customStyle="1" w:styleId="CurrentList20">
    <w:name w:val="Current List20"/>
    <w:uiPriority w:val="99"/>
    <w:rsid w:val="00E17862"/>
    <w:pPr>
      <w:numPr>
        <w:numId w:val="22"/>
      </w:numPr>
    </w:pPr>
  </w:style>
  <w:style w:type="numbering" w:customStyle="1" w:styleId="CurrentList21">
    <w:name w:val="Current List21"/>
    <w:uiPriority w:val="99"/>
    <w:rsid w:val="00E17862"/>
    <w:pPr>
      <w:numPr>
        <w:numId w:val="24"/>
      </w:numPr>
    </w:pPr>
  </w:style>
  <w:style w:type="numbering" w:customStyle="1" w:styleId="CurrentList22">
    <w:name w:val="Current List22"/>
    <w:uiPriority w:val="99"/>
    <w:rsid w:val="00E17862"/>
    <w:pPr>
      <w:numPr>
        <w:numId w:val="25"/>
      </w:numPr>
    </w:pPr>
  </w:style>
  <w:style w:type="numbering" w:customStyle="1" w:styleId="CurrentList23">
    <w:name w:val="Current List23"/>
    <w:uiPriority w:val="99"/>
    <w:rsid w:val="00E17862"/>
    <w:pPr>
      <w:numPr>
        <w:numId w:val="26"/>
      </w:numPr>
    </w:pPr>
  </w:style>
  <w:style w:type="numbering" w:customStyle="1" w:styleId="CurrentList24">
    <w:name w:val="Current List24"/>
    <w:uiPriority w:val="99"/>
    <w:rsid w:val="00E17862"/>
    <w:pPr>
      <w:numPr>
        <w:numId w:val="27"/>
      </w:numPr>
    </w:pPr>
  </w:style>
  <w:style w:type="paragraph" w:customStyle="1" w:styleId="lg-a-1">
    <w:name w:val="lg-a-1"/>
    <w:basedOn w:val="Normal"/>
    <w:rsid w:val="00413570"/>
    <w:pPr>
      <w:spacing w:before="100" w:beforeAutospacing="1" w:after="100" w:afterAutospacing="1"/>
    </w:pPr>
    <w:rPr>
      <w:lang w:val="en-US"/>
    </w:rPr>
  </w:style>
  <w:style w:type="paragraph" w:customStyle="1" w:styleId="normal-text">
    <w:name w:val="normal-text"/>
    <w:basedOn w:val="Normal"/>
    <w:rsid w:val="00413570"/>
    <w:pPr>
      <w:spacing w:before="100" w:beforeAutospacing="1" w:after="100" w:afterAutospacing="1"/>
    </w:pPr>
    <w:rPr>
      <w:lang w:val="en-US"/>
    </w:rPr>
  </w:style>
  <w:style w:type="paragraph" w:customStyle="1" w:styleId="leveltwo">
    <w:name w:val="leveltwo"/>
    <w:basedOn w:val="Normal"/>
    <w:rsid w:val="00413570"/>
    <w:pPr>
      <w:spacing w:before="100" w:beforeAutospacing="1" w:after="100" w:afterAutospacing="1"/>
    </w:pPr>
    <w:rPr>
      <w:lang w:val="en-US"/>
    </w:rPr>
  </w:style>
  <w:style w:type="character" w:customStyle="1" w:styleId="mc">
    <w:name w:val="mc"/>
    <w:basedOn w:val="DefaultParagraphFont"/>
    <w:rsid w:val="00413570"/>
  </w:style>
  <w:style w:type="character" w:styleId="PlaceholderText">
    <w:name w:val="Placeholder Text"/>
    <w:basedOn w:val="DefaultParagraphFont"/>
    <w:uiPriority w:val="99"/>
    <w:semiHidden/>
    <w:rsid w:val="00413570"/>
    <w:rPr>
      <w:color w:val="808080"/>
    </w:rPr>
  </w:style>
  <w:style w:type="character" w:customStyle="1" w:styleId="Parties">
    <w:name w:val="Parties"/>
    <w:basedOn w:val="DefaultParagraphFont"/>
    <w:uiPriority w:val="1"/>
    <w:rsid w:val="00413570"/>
    <w:rPr>
      <w:rFonts w:ascii="Arial" w:hAnsi="Arial"/>
      <w:caps/>
      <w:smallCaps w:val="0"/>
    </w:rPr>
  </w:style>
  <w:style w:type="numbering" w:customStyle="1" w:styleId="CurrentList25">
    <w:name w:val="Current List25"/>
    <w:uiPriority w:val="99"/>
    <w:rsid w:val="002018BC"/>
    <w:pPr>
      <w:numPr>
        <w:numId w:val="29"/>
      </w:numPr>
    </w:pPr>
  </w:style>
  <w:style w:type="numbering" w:customStyle="1" w:styleId="CurrentList26">
    <w:name w:val="Current List26"/>
    <w:uiPriority w:val="99"/>
    <w:rsid w:val="002018BC"/>
    <w:pPr>
      <w:numPr>
        <w:numId w:val="30"/>
      </w:numPr>
    </w:pPr>
  </w:style>
  <w:style w:type="numbering" w:customStyle="1" w:styleId="CurrentList27">
    <w:name w:val="Current List27"/>
    <w:uiPriority w:val="99"/>
    <w:rsid w:val="002018BC"/>
    <w:pPr>
      <w:numPr>
        <w:numId w:val="31"/>
      </w:numPr>
    </w:pPr>
  </w:style>
  <w:style w:type="character" w:styleId="FollowedHyperlink">
    <w:name w:val="FollowedHyperlink"/>
    <w:basedOn w:val="DefaultParagraphFont"/>
    <w:uiPriority w:val="99"/>
    <w:semiHidden/>
    <w:unhideWhenUsed/>
    <w:rsid w:val="00C912AC"/>
    <w:rPr>
      <w:color w:val="954F72" w:themeColor="followedHyperlink"/>
      <w:u w:val="single"/>
    </w:rPr>
  </w:style>
  <w:style w:type="character" w:customStyle="1" w:styleId="Heading5Char">
    <w:name w:val="Heading 5 Char"/>
    <w:basedOn w:val="DefaultParagraphFont"/>
    <w:link w:val="Heading5"/>
    <w:uiPriority w:val="9"/>
    <w:semiHidden/>
    <w:rsid w:val="00EE5119"/>
    <w:rPr>
      <w:rFonts w:asciiTheme="majorHAnsi" w:eastAsiaTheme="majorEastAsia" w:hAnsiTheme="majorHAnsi" w:cstheme="majorBidi"/>
      <w:color w:val="2F5496" w:themeColor="accent1" w:themeShade="BF"/>
      <w:sz w:val="24"/>
      <w:szCs w:val="24"/>
      <w:lang w:eastAsia="en-GB"/>
    </w:rPr>
  </w:style>
  <w:style w:type="character" w:customStyle="1" w:styleId="g1">
    <w:name w:val="g1"/>
    <w:basedOn w:val="DefaultParagraphFont"/>
    <w:rsid w:val="00211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643203\OneDrive%20-%20NORTH-WEST%20UNIVERSITY\Judgments\Final%20versions\Judgment%20v%206%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997F89-9676-1843-BF01-6AC47A203005}">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2B6E9CA3E8934886E5DCB48D370777" ma:contentTypeVersion="14" ma:contentTypeDescription="Create a new document." ma:contentTypeScope="" ma:versionID="766ea7f76f956d0c7de274035d1c02c6">
  <xsd:schema xmlns:xsd="http://www.w3.org/2001/XMLSchema" xmlns:xs="http://www.w3.org/2001/XMLSchema" xmlns:p="http://schemas.microsoft.com/office/2006/metadata/properties" xmlns:ns3="f1b15177-5581-48a0-97d5-22fb7cee61d9" xmlns:ns4="af0ace82-9e28-4e69-981e-6265b9f6412a" targetNamespace="http://schemas.microsoft.com/office/2006/metadata/properties" ma:root="true" ma:fieldsID="7737e7f8881afe1f03cf9abda720f941" ns3:_="" ns4:_="">
    <xsd:import namespace="f1b15177-5581-48a0-97d5-22fb7cee61d9"/>
    <xsd:import namespace="af0ace82-9e28-4e69-981e-6265b9f641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15177-5581-48a0-97d5-22fb7cee6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0ace82-9e28-4e69-981e-6265b9f6412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0E3D5-B950-4853-84B9-3B82BDDB7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15177-5581-48a0-97d5-22fb7cee61d9"/>
    <ds:schemaRef ds:uri="af0ace82-9e28-4e69-981e-6265b9f64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BAC92-7EDE-4B0E-899E-CF2DFCA678B8}">
  <ds:schemaRefs>
    <ds:schemaRef ds:uri="http://schemas.microsoft.com/sharepoint/v3/contenttype/forms"/>
  </ds:schemaRefs>
</ds:datastoreItem>
</file>

<file path=customXml/itemProps3.xml><?xml version="1.0" encoding="utf-8"?>
<ds:datastoreItem xmlns:ds="http://schemas.openxmlformats.org/officeDocument/2006/customXml" ds:itemID="{33A8B44C-9375-433A-9768-CAF3EE345F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045BAA-9E39-4F03-9966-D4845DBF4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v 6 template</Template>
  <TotalTime>0</TotalTime>
  <Pages>13</Pages>
  <Words>3781</Words>
  <Characters>21557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ELMIEN DU PLESSIS</dc:creator>
  <cp:lastModifiedBy>Thobile Ngcobo</cp:lastModifiedBy>
  <cp:revision>2</cp:revision>
  <cp:lastPrinted>2023-10-28T10:34:00Z</cp:lastPrinted>
  <dcterms:created xsi:type="dcterms:W3CDTF">2023-11-06T15:48:00Z</dcterms:created>
  <dcterms:modified xsi:type="dcterms:W3CDTF">2023-11-06T15:48:00Z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0x010100672B6E9CA3E8934886E5DCB48D370777</vt:lpwstr>
  </property>
  <property fmtid="{D5CDD505-2E9C-101B-9397-08002B2CF9AE}" pid="3" name="grammarly_documentContext">
    <vt:lpwstr>{"goals":[],"domain":"general","emotions":[],"dialect":"british"}</vt:lpwstr>
  </property>
  <property fmtid="{D5CDD505-2E9C-101B-9397-08002B2CF9AE}" pid="4" name="grammarly_documentId">
    <vt:lpwstr>documentId_8609</vt:lpwstr>
  </property>
</Properties>
</file>