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47A0" w14:textId="77777777" w:rsidR="007B0158" w:rsidRPr="000B1CE0" w:rsidRDefault="007B0158" w:rsidP="000B1CE0">
      <w:pPr>
        <w:spacing w:line="240" w:lineRule="auto"/>
        <w:jc w:val="center"/>
        <w:rPr>
          <w:b/>
          <w:lang w:val="en-US"/>
        </w:rPr>
      </w:pPr>
    </w:p>
    <w:p w14:paraId="70EDA8DA" w14:textId="77777777" w:rsidR="00D278C2" w:rsidRPr="00902A56" w:rsidRDefault="00D278C2" w:rsidP="00D278C2">
      <w:pPr>
        <w:spacing w:after="0" w:line="360" w:lineRule="auto"/>
        <w:jc w:val="center"/>
        <w:rPr>
          <w:rFonts w:ascii="Arial" w:hAnsi="Arial" w:cs="Arial"/>
          <w:b/>
          <w:noProof/>
          <w:sz w:val="24"/>
          <w:szCs w:val="24"/>
          <w:lang w:val="en-GB" w:eastAsia="en-ZA"/>
        </w:rPr>
      </w:pPr>
      <w:r w:rsidRPr="00902A56">
        <w:rPr>
          <w:rFonts w:ascii="Arial" w:hAnsi="Arial" w:cs="Arial"/>
          <w:b/>
          <w:noProof/>
          <w:sz w:val="24"/>
          <w:szCs w:val="24"/>
          <w:lang w:val="en-GB" w:eastAsia="en-ZA"/>
        </w:rPr>
        <w:t>REPUBLIC OF SOUTH AFRICA</w:t>
      </w:r>
    </w:p>
    <w:p w14:paraId="6873AA54" w14:textId="77777777" w:rsidR="00D278C2" w:rsidRPr="00902A56" w:rsidRDefault="00D278C2" w:rsidP="00D278C2">
      <w:pPr>
        <w:spacing w:after="0" w:line="360" w:lineRule="auto"/>
        <w:jc w:val="center"/>
        <w:rPr>
          <w:rFonts w:ascii="Arial" w:eastAsia="Times New Roman" w:hAnsi="Arial" w:cs="Arial"/>
          <w:b/>
          <w:sz w:val="24"/>
          <w:szCs w:val="24"/>
          <w:lang w:val="en-GB" w:eastAsia="en-GB"/>
        </w:rPr>
      </w:pPr>
      <w:r w:rsidRPr="00902A56">
        <w:rPr>
          <w:rFonts w:ascii="Arial" w:hAnsi="Arial" w:cs="Arial"/>
          <w:noProof/>
          <w:sz w:val="24"/>
          <w:szCs w:val="24"/>
          <w:lang w:eastAsia="en-ZA"/>
        </w:rPr>
        <w:drawing>
          <wp:inline distT="0" distB="0" distL="0" distR="0" wp14:anchorId="2C0E75A0" wp14:editId="41C333C5">
            <wp:extent cx="1409700" cy="1371600"/>
            <wp:effectExtent l="0" t="0" r="0" b="0"/>
            <wp:docPr id="1094922031" name="Picture 109492203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2"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a:ln>
                      <a:noFill/>
                    </a:ln>
                  </pic:spPr>
                </pic:pic>
              </a:graphicData>
            </a:graphic>
          </wp:inline>
        </w:drawing>
      </w:r>
    </w:p>
    <w:p w14:paraId="385A5187" w14:textId="77777777" w:rsidR="00D278C2" w:rsidRPr="00902A56" w:rsidRDefault="00D278C2" w:rsidP="00D278C2">
      <w:pPr>
        <w:spacing w:after="0" w:line="360" w:lineRule="auto"/>
        <w:jc w:val="center"/>
        <w:rPr>
          <w:rFonts w:ascii="Arial" w:eastAsia="Times New Roman" w:hAnsi="Arial" w:cs="Arial"/>
          <w:b/>
          <w:sz w:val="24"/>
          <w:szCs w:val="24"/>
          <w:lang w:val="en-GB" w:eastAsia="en-GB"/>
        </w:rPr>
      </w:pPr>
      <w:r w:rsidRPr="00902A56">
        <w:rPr>
          <w:rFonts w:ascii="Arial" w:eastAsia="Times New Roman" w:hAnsi="Arial" w:cs="Arial"/>
          <w:b/>
          <w:sz w:val="24"/>
          <w:szCs w:val="24"/>
          <w:lang w:val="en-GB" w:eastAsia="en-GB"/>
        </w:rPr>
        <w:t>IN THE HIGH COURT OF SOUTH AFRICA</w:t>
      </w:r>
    </w:p>
    <w:p w14:paraId="7BF668ED" w14:textId="77777777" w:rsidR="00D278C2" w:rsidRPr="00896D9C" w:rsidRDefault="00D278C2" w:rsidP="00D278C2">
      <w:pPr>
        <w:spacing w:after="0" w:line="360" w:lineRule="auto"/>
        <w:jc w:val="center"/>
        <w:rPr>
          <w:rFonts w:ascii="Arial" w:eastAsia="Times New Roman" w:hAnsi="Arial" w:cs="Arial"/>
          <w:b/>
          <w:sz w:val="24"/>
          <w:szCs w:val="24"/>
          <w:lang w:val="it-IT" w:eastAsia="en-GB"/>
        </w:rPr>
      </w:pPr>
      <w:r w:rsidRPr="00896D9C">
        <w:rPr>
          <w:rFonts w:ascii="Arial" w:eastAsia="Times New Roman" w:hAnsi="Arial" w:cs="Arial"/>
          <w:b/>
          <w:sz w:val="24"/>
          <w:szCs w:val="24"/>
          <w:lang w:val="it-IT" w:eastAsia="en-GB"/>
        </w:rPr>
        <w:t>GAUTENG DIVISION, PRETORIA</w:t>
      </w:r>
    </w:p>
    <w:p w14:paraId="372457D7" w14:textId="77777777" w:rsidR="00D278C2" w:rsidRPr="00896D9C" w:rsidRDefault="00D278C2" w:rsidP="00D278C2">
      <w:pPr>
        <w:spacing w:after="0" w:line="276" w:lineRule="auto"/>
        <w:ind w:left="5040" w:firstLine="720"/>
        <w:jc w:val="both"/>
        <w:rPr>
          <w:rFonts w:ascii="Arial" w:eastAsia="Times New Roman" w:hAnsi="Arial" w:cs="Arial"/>
          <w:b/>
          <w:sz w:val="24"/>
          <w:szCs w:val="24"/>
          <w:lang w:val="it-IT" w:eastAsia="en-GB"/>
        </w:rPr>
      </w:pPr>
    </w:p>
    <w:p w14:paraId="084AA3CF" w14:textId="77777777" w:rsidR="00D278C2" w:rsidRPr="00896D9C" w:rsidRDefault="00D278C2" w:rsidP="00D278C2">
      <w:pPr>
        <w:spacing w:after="0" w:line="276" w:lineRule="auto"/>
        <w:ind w:left="5760"/>
        <w:jc w:val="both"/>
        <w:rPr>
          <w:rFonts w:ascii="Arial" w:eastAsia="Times New Roman" w:hAnsi="Arial" w:cs="Arial"/>
          <w:b/>
          <w:sz w:val="24"/>
          <w:szCs w:val="24"/>
          <w:lang w:val="it-IT" w:eastAsia="en-GB"/>
        </w:rPr>
      </w:pPr>
      <w:bookmarkStart w:id="0" w:name="_Hlk148535373"/>
      <w:bookmarkStart w:id="1" w:name="_Hlk148535319"/>
      <w:r w:rsidRPr="00896D9C">
        <w:rPr>
          <w:rFonts w:ascii="Arial" w:eastAsia="Times New Roman" w:hAnsi="Arial" w:cs="Arial"/>
          <w:b/>
          <w:sz w:val="24"/>
          <w:szCs w:val="24"/>
          <w:lang w:val="it-IT" w:eastAsia="en-GB"/>
        </w:rPr>
        <w:t>CASE NO</w:t>
      </w:r>
      <w:bookmarkEnd w:id="0"/>
      <w:r w:rsidRPr="00896D9C">
        <w:rPr>
          <w:rFonts w:ascii="Arial" w:eastAsia="Times New Roman" w:hAnsi="Arial" w:cs="Arial"/>
          <w:b/>
          <w:sz w:val="24"/>
          <w:szCs w:val="24"/>
          <w:lang w:val="it-IT" w:eastAsia="en-GB"/>
        </w:rPr>
        <w:t xml:space="preserve">: </w:t>
      </w:r>
      <w:r>
        <w:rPr>
          <w:rFonts w:ascii="Arial" w:eastAsia="Times New Roman" w:hAnsi="Arial" w:cs="Arial"/>
          <w:b/>
          <w:sz w:val="24"/>
          <w:szCs w:val="24"/>
          <w:lang w:val="it-IT" w:eastAsia="en-GB"/>
        </w:rPr>
        <w:t>046686/2022</w:t>
      </w:r>
    </w:p>
    <w:bookmarkEnd w:id="1"/>
    <w:p w14:paraId="327AE15D" w14:textId="77777777" w:rsidR="00D278C2" w:rsidRPr="00896D9C" w:rsidRDefault="00D278C2" w:rsidP="00D278C2">
      <w:pPr>
        <w:spacing w:after="0" w:line="276" w:lineRule="auto"/>
        <w:ind w:left="5040" w:firstLine="720"/>
        <w:jc w:val="both"/>
        <w:rPr>
          <w:rFonts w:ascii="Arial" w:eastAsia="Times New Roman" w:hAnsi="Arial" w:cs="Arial"/>
          <w:b/>
          <w:sz w:val="24"/>
          <w:szCs w:val="24"/>
          <w:lang w:val="it-IT" w:eastAsia="en-GB"/>
        </w:rPr>
      </w:pPr>
    </w:p>
    <w:p w14:paraId="2F248A39" w14:textId="77777777" w:rsidR="00D278C2" w:rsidRPr="00896D9C" w:rsidRDefault="00D278C2" w:rsidP="00D278C2">
      <w:pPr>
        <w:spacing w:after="0" w:line="276" w:lineRule="auto"/>
        <w:jc w:val="both"/>
        <w:rPr>
          <w:rFonts w:ascii="Arial" w:eastAsia="Times New Roman" w:hAnsi="Arial" w:cs="Arial"/>
          <w:b/>
          <w:sz w:val="24"/>
          <w:szCs w:val="24"/>
          <w:lang w:val="it-IT"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D278C2" w:rsidRPr="00902A56" w14:paraId="7CF9679E" w14:textId="77777777" w:rsidTr="007F3880">
        <w:trPr>
          <w:trHeight w:val="1888"/>
        </w:trPr>
        <w:tc>
          <w:tcPr>
            <w:tcW w:w="5207" w:type="dxa"/>
            <w:tcBorders>
              <w:top w:val="single" w:sz="4" w:space="0" w:color="auto"/>
              <w:left w:val="single" w:sz="4" w:space="0" w:color="auto"/>
              <w:bottom w:val="single" w:sz="4" w:space="0" w:color="auto"/>
              <w:right w:val="single" w:sz="4" w:space="0" w:color="auto"/>
            </w:tcBorders>
          </w:tcPr>
          <w:p w14:paraId="27D77397" w14:textId="77777777" w:rsidR="00D278C2" w:rsidRPr="00896D9C" w:rsidRDefault="00D278C2" w:rsidP="007F3880">
            <w:pPr>
              <w:pStyle w:val="Bold"/>
              <w:spacing w:before="0" w:after="0" w:line="276" w:lineRule="auto"/>
              <w:jc w:val="both"/>
              <w:rPr>
                <w:rFonts w:eastAsia="Times" w:cs="Arial"/>
                <w:b w:val="0"/>
                <w:bCs/>
                <w:sz w:val="24"/>
                <w:szCs w:val="24"/>
                <w:u w:val="none"/>
                <w:lang w:val="it-IT"/>
              </w:rPr>
            </w:pPr>
          </w:p>
          <w:p w14:paraId="0F7A3B41" w14:textId="77777777" w:rsidR="00D278C2" w:rsidRPr="00AB17F8" w:rsidRDefault="00D278C2" w:rsidP="00D278C2">
            <w:pPr>
              <w:pStyle w:val="ListParagraph"/>
              <w:numPr>
                <w:ilvl w:val="0"/>
                <w:numId w:val="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REPORTABLE:</w:t>
            </w:r>
            <w:r>
              <w:rPr>
                <w:rFonts w:ascii="Arial" w:eastAsia="Times" w:hAnsi="Arial" w:cs="Arial"/>
                <w:sz w:val="18"/>
                <w:szCs w:val="18"/>
              </w:rPr>
              <w:t xml:space="preserve"> </w:t>
            </w:r>
            <w:r w:rsidRPr="00AB17F8">
              <w:rPr>
                <w:rFonts w:ascii="Arial" w:eastAsia="Times" w:hAnsi="Arial" w:cs="Arial"/>
                <w:sz w:val="18"/>
                <w:szCs w:val="18"/>
              </w:rPr>
              <w:t xml:space="preserve"> NO</w:t>
            </w:r>
          </w:p>
          <w:p w14:paraId="5F3FE675" w14:textId="77777777" w:rsidR="00D278C2" w:rsidRPr="00AB17F8" w:rsidRDefault="00D278C2" w:rsidP="00D278C2">
            <w:pPr>
              <w:pStyle w:val="ListParagraph"/>
              <w:numPr>
                <w:ilvl w:val="0"/>
                <w:numId w:val="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OF INTEREST TO OTHER JUDGES: NO</w:t>
            </w:r>
          </w:p>
          <w:p w14:paraId="3178F909" w14:textId="77777777" w:rsidR="00D278C2" w:rsidRPr="00AB17F8" w:rsidRDefault="00D278C2" w:rsidP="00D278C2">
            <w:pPr>
              <w:pStyle w:val="ListParagraph"/>
              <w:numPr>
                <w:ilvl w:val="0"/>
                <w:numId w:val="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 xml:space="preserve">REVISED:  </w:t>
            </w:r>
            <w:r w:rsidR="008C5077">
              <w:rPr>
                <w:rFonts w:ascii="Arial" w:eastAsia="Times" w:hAnsi="Arial" w:cs="Arial"/>
                <w:sz w:val="18"/>
                <w:szCs w:val="18"/>
              </w:rPr>
              <w:t>NO</w:t>
            </w:r>
            <w:r w:rsidRPr="00AB17F8">
              <w:rPr>
                <w:rFonts w:ascii="Arial" w:eastAsia="Times" w:hAnsi="Arial" w:cs="Arial"/>
                <w:sz w:val="18"/>
                <w:szCs w:val="18"/>
              </w:rPr>
              <w:t xml:space="preserve"> </w:t>
            </w:r>
          </w:p>
          <w:p w14:paraId="08F6A2A4" w14:textId="77777777" w:rsidR="00D278C2" w:rsidRPr="00AB17F8" w:rsidRDefault="00D278C2" w:rsidP="007F3880">
            <w:pPr>
              <w:spacing w:after="0" w:line="276" w:lineRule="auto"/>
              <w:jc w:val="both"/>
              <w:rPr>
                <w:rFonts w:ascii="Arial" w:eastAsia="Times" w:hAnsi="Arial" w:cs="Arial"/>
                <w:bCs/>
                <w:sz w:val="18"/>
                <w:szCs w:val="18"/>
              </w:rPr>
            </w:pPr>
          </w:p>
          <w:p w14:paraId="78CA3548" w14:textId="25BFCF7E" w:rsidR="00D278C2" w:rsidRPr="00AB17F8" w:rsidRDefault="00D278C2" w:rsidP="007F3880">
            <w:pPr>
              <w:spacing w:after="0" w:line="276" w:lineRule="auto"/>
              <w:jc w:val="both"/>
              <w:rPr>
                <w:rFonts w:ascii="Arial" w:eastAsia="Times" w:hAnsi="Arial" w:cs="Arial"/>
                <w:bCs/>
                <w:sz w:val="18"/>
                <w:szCs w:val="18"/>
              </w:rPr>
            </w:pPr>
            <w:r w:rsidRPr="00AB17F8">
              <w:rPr>
                <w:rFonts w:ascii="Arial" w:eastAsia="Times" w:hAnsi="Arial" w:cs="Arial"/>
                <w:bCs/>
                <w:sz w:val="18"/>
                <w:szCs w:val="18"/>
              </w:rPr>
              <w:t xml:space="preserve">DATE: </w:t>
            </w:r>
            <w:r w:rsidR="00902660">
              <w:rPr>
                <w:rFonts w:ascii="Arial" w:eastAsia="Times" w:hAnsi="Arial" w:cs="Arial"/>
                <w:bCs/>
                <w:sz w:val="18"/>
                <w:szCs w:val="18"/>
              </w:rPr>
              <w:t>06 Novemb</w:t>
            </w:r>
            <w:r w:rsidR="00DA3CA1">
              <w:rPr>
                <w:rFonts w:ascii="Arial" w:eastAsia="Times" w:hAnsi="Arial" w:cs="Arial"/>
                <w:bCs/>
                <w:sz w:val="18"/>
                <w:szCs w:val="18"/>
              </w:rPr>
              <w:t>e</w:t>
            </w:r>
            <w:r w:rsidR="00902660">
              <w:rPr>
                <w:rFonts w:ascii="Arial" w:eastAsia="Times" w:hAnsi="Arial" w:cs="Arial"/>
                <w:bCs/>
                <w:sz w:val="18"/>
                <w:szCs w:val="18"/>
              </w:rPr>
              <w:t>r 2023</w:t>
            </w:r>
          </w:p>
          <w:p w14:paraId="006B04D8" w14:textId="77777777" w:rsidR="00D278C2" w:rsidRPr="00AB17F8" w:rsidRDefault="00D278C2" w:rsidP="007F3880">
            <w:pPr>
              <w:spacing w:after="0" w:line="276" w:lineRule="auto"/>
              <w:jc w:val="both"/>
              <w:rPr>
                <w:rFonts w:ascii="Arial" w:eastAsia="Times" w:hAnsi="Arial" w:cs="Arial"/>
                <w:bCs/>
                <w:sz w:val="18"/>
                <w:szCs w:val="18"/>
              </w:rPr>
            </w:pPr>
            <w:r w:rsidRPr="00AB17F8">
              <w:rPr>
                <w:rFonts w:ascii="Arial" w:eastAsia="Times" w:hAnsi="Arial" w:cs="Arial"/>
                <w:bCs/>
                <w:sz w:val="18"/>
                <w:szCs w:val="18"/>
              </w:rPr>
              <w:t>SIGNATURE OF JUDGE:</w:t>
            </w:r>
          </w:p>
          <w:p w14:paraId="24A58559" w14:textId="77777777" w:rsidR="00D278C2" w:rsidRPr="00902A56" w:rsidRDefault="00D278C2" w:rsidP="007F3880">
            <w:pPr>
              <w:pStyle w:val="Bold"/>
              <w:spacing w:before="0" w:after="0" w:line="276" w:lineRule="auto"/>
              <w:jc w:val="both"/>
              <w:rPr>
                <w:rFonts w:eastAsia="Times" w:cs="Arial"/>
                <w:b w:val="0"/>
                <w:bCs/>
                <w:sz w:val="24"/>
                <w:szCs w:val="24"/>
                <w:u w:val="none"/>
              </w:rPr>
            </w:pPr>
          </w:p>
        </w:tc>
      </w:tr>
    </w:tbl>
    <w:p w14:paraId="07091E43" w14:textId="77777777" w:rsidR="00D278C2" w:rsidRPr="00902A56" w:rsidRDefault="00D278C2" w:rsidP="00D278C2">
      <w:pPr>
        <w:spacing w:after="0" w:line="276" w:lineRule="auto"/>
        <w:jc w:val="both"/>
        <w:rPr>
          <w:rFonts w:ascii="Arial" w:eastAsia="Times New Roman" w:hAnsi="Arial" w:cs="Arial"/>
          <w:b/>
          <w:sz w:val="24"/>
          <w:szCs w:val="24"/>
          <w:lang w:val="en-GB" w:eastAsia="en-GB"/>
        </w:rPr>
      </w:pPr>
    </w:p>
    <w:p w14:paraId="03DAA3F8" w14:textId="77777777" w:rsidR="00D278C2" w:rsidRPr="00DB4A6C" w:rsidRDefault="00D278C2" w:rsidP="00D278C2">
      <w:pPr>
        <w:spacing w:after="0" w:line="276" w:lineRule="auto"/>
        <w:jc w:val="both"/>
        <w:rPr>
          <w:rFonts w:ascii="Arial" w:eastAsia="Times New Roman" w:hAnsi="Arial" w:cs="Arial"/>
          <w:b/>
          <w:sz w:val="24"/>
          <w:szCs w:val="24"/>
          <w:lang w:val="en-GB" w:eastAsia="en-GB"/>
        </w:rPr>
      </w:pPr>
    </w:p>
    <w:p w14:paraId="75D11A56" w14:textId="77777777" w:rsidR="00D278C2" w:rsidRPr="00DB4A6C" w:rsidRDefault="00D278C2" w:rsidP="00D278C2">
      <w:pPr>
        <w:spacing w:after="0" w:line="276" w:lineRule="auto"/>
        <w:jc w:val="both"/>
        <w:rPr>
          <w:rFonts w:ascii="Arial" w:eastAsia="Times New Roman" w:hAnsi="Arial" w:cs="Arial"/>
          <w:sz w:val="24"/>
          <w:szCs w:val="24"/>
          <w:lang w:val="en-GB" w:eastAsia="en-GB"/>
        </w:rPr>
      </w:pPr>
      <w:bookmarkStart w:id="2" w:name="_Hlk148535272"/>
      <w:r w:rsidRPr="00DB4A6C">
        <w:rPr>
          <w:rFonts w:ascii="Arial" w:eastAsia="Times New Roman" w:hAnsi="Arial" w:cs="Arial"/>
          <w:sz w:val="24"/>
          <w:szCs w:val="24"/>
          <w:lang w:val="en-GB" w:eastAsia="en-GB"/>
        </w:rPr>
        <w:t>In the matter between:</w:t>
      </w:r>
    </w:p>
    <w:bookmarkEnd w:id="2"/>
    <w:p w14:paraId="71EC4CC0" w14:textId="77777777" w:rsidR="00D278C2" w:rsidRPr="00DB4A6C" w:rsidRDefault="00D278C2" w:rsidP="00D278C2">
      <w:pPr>
        <w:spacing w:after="0" w:line="276" w:lineRule="auto"/>
        <w:jc w:val="both"/>
        <w:rPr>
          <w:rFonts w:ascii="Arial" w:eastAsia="Times New Roman" w:hAnsi="Arial" w:cs="Arial"/>
          <w:sz w:val="24"/>
          <w:szCs w:val="24"/>
          <w:lang w:val="en-GB" w:eastAsia="en-GB"/>
        </w:rPr>
      </w:pPr>
    </w:p>
    <w:p w14:paraId="1149572A" w14:textId="40C78BAC" w:rsidR="00D278C2" w:rsidRPr="00DB4A6C" w:rsidRDefault="00D278C2" w:rsidP="00D278C2">
      <w:pPr>
        <w:spacing w:line="480" w:lineRule="auto"/>
        <w:jc w:val="both"/>
        <w:rPr>
          <w:rFonts w:ascii="Arial" w:eastAsia="Times New Roman" w:hAnsi="Arial" w:cs="Arial"/>
          <w:b/>
          <w:bCs/>
          <w:sz w:val="24"/>
          <w:szCs w:val="24"/>
          <w:lang w:eastAsia="en-GB"/>
        </w:rPr>
      </w:pPr>
      <w:r w:rsidRPr="00DB4A6C">
        <w:rPr>
          <w:rFonts w:ascii="Arial" w:eastAsia="Times New Roman" w:hAnsi="Arial" w:cs="Arial"/>
          <w:b/>
          <w:sz w:val="24"/>
          <w:szCs w:val="24"/>
        </w:rPr>
        <w:t xml:space="preserve">INVESTEC BANK LIMITED </w:t>
      </w:r>
      <w:r w:rsidR="00902660">
        <w:rPr>
          <w:rFonts w:ascii="Arial" w:eastAsia="Times New Roman" w:hAnsi="Arial" w:cs="Arial"/>
          <w:b/>
          <w:sz w:val="24"/>
          <w:szCs w:val="24"/>
        </w:rPr>
        <w:tab/>
      </w:r>
      <w:r w:rsidR="00902660">
        <w:rPr>
          <w:rFonts w:ascii="Arial" w:eastAsia="Times New Roman" w:hAnsi="Arial" w:cs="Arial"/>
          <w:b/>
          <w:sz w:val="24"/>
          <w:szCs w:val="24"/>
        </w:rPr>
        <w:tab/>
      </w:r>
      <w:r w:rsidR="00902660">
        <w:rPr>
          <w:rFonts w:ascii="Arial" w:eastAsia="Times New Roman" w:hAnsi="Arial" w:cs="Arial"/>
          <w:b/>
          <w:sz w:val="24"/>
          <w:szCs w:val="24"/>
        </w:rPr>
        <w:tab/>
      </w:r>
      <w:r w:rsidR="00902660">
        <w:rPr>
          <w:rFonts w:ascii="Arial" w:eastAsia="Times New Roman" w:hAnsi="Arial" w:cs="Arial"/>
          <w:b/>
          <w:sz w:val="24"/>
          <w:szCs w:val="24"/>
        </w:rPr>
        <w:tab/>
      </w:r>
      <w:r w:rsidR="00902660">
        <w:rPr>
          <w:rFonts w:ascii="Arial" w:eastAsia="Times New Roman" w:hAnsi="Arial" w:cs="Arial"/>
          <w:b/>
          <w:sz w:val="24"/>
          <w:szCs w:val="24"/>
        </w:rPr>
        <w:tab/>
      </w:r>
      <w:r w:rsidR="00902660">
        <w:rPr>
          <w:rFonts w:ascii="Arial" w:eastAsia="Times New Roman" w:hAnsi="Arial" w:cs="Arial"/>
          <w:b/>
          <w:sz w:val="24"/>
          <w:szCs w:val="24"/>
        </w:rPr>
        <w:tab/>
      </w:r>
      <w:r w:rsidRPr="00DB4A6C">
        <w:rPr>
          <w:rFonts w:ascii="Arial" w:eastAsia="Times New Roman" w:hAnsi="Arial" w:cs="Arial"/>
          <w:b/>
          <w:sz w:val="24"/>
          <w:szCs w:val="24"/>
        </w:rPr>
        <w:t>APPLICANT</w:t>
      </w:r>
      <w:r w:rsidRPr="00DB4A6C">
        <w:rPr>
          <w:rFonts w:ascii="Arial" w:eastAsia="Times New Roman" w:hAnsi="Arial" w:cs="Arial"/>
          <w:b/>
          <w:bCs/>
          <w:sz w:val="24"/>
          <w:szCs w:val="24"/>
          <w:lang w:eastAsia="en-GB"/>
        </w:rPr>
        <w:tab/>
      </w:r>
    </w:p>
    <w:p w14:paraId="45A1B203" w14:textId="77777777" w:rsidR="00D278C2" w:rsidRPr="00DB4A6C" w:rsidRDefault="00D278C2" w:rsidP="00D278C2">
      <w:pPr>
        <w:spacing w:line="480" w:lineRule="auto"/>
        <w:jc w:val="both"/>
        <w:rPr>
          <w:rFonts w:ascii="Arial" w:eastAsia="Times New Roman" w:hAnsi="Arial" w:cs="Arial"/>
          <w:b/>
          <w:sz w:val="24"/>
          <w:szCs w:val="24"/>
        </w:rPr>
      </w:pPr>
      <w:r w:rsidRPr="00DB4A6C">
        <w:rPr>
          <w:rFonts w:ascii="Arial" w:eastAsia="Times New Roman" w:hAnsi="Arial" w:cs="Arial"/>
          <w:sz w:val="24"/>
          <w:szCs w:val="24"/>
          <w:lang w:val="en-GB" w:eastAsia="en-GB"/>
        </w:rPr>
        <w:t xml:space="preserve">and </w:t>
      </w:r>
    </w:p>
    <w:p w14:paraId="6736E911" w14:textId="77777777" w:rsidR="00D278C2" w:rsidRPr="00DB4A6C" w:rsidRDefault="00D278C2" w:rsidP="00D278C2">
      <w:pPr>
        <w:spacing w:after="0" w:line="480" w:lineRule="auto"/>
        <w:jc w:val="both"/>
        <w:rPr>
          <w:rFonts w:ascii="Arial" w:eastAsia="Times New Roman" w:hAnsi="Arial" w:cs="Arial"/>
          <w:sz w:val="24"/>
          <w:szCs w:val="24"/>
          <w:lang w:val="en-GB" w:eastAsia="en-GB"/>
        </w:rPr>
      </w:pPr>
    </w:p>
    <w:p w14:paraId="4098120F" w14:textId="305176E8" w:rsidR="00D278C2" w:rsidRPr="00DB4A6C" w:rsidRDefault="00D278C2" w:rsidP="00D278C2">
      <w:pPr>
        <w:spacing w:line="480" w:lineRule="auto"/>
        <w:jc w:val="both"/>
        <w:rPr>
          <w:rFonts w:ascii="Arial" w:eastAsia="Times New Roman" w:hAnsi="Arial" w:cs="Arial"/>
          <w:b/>
          <w:sz w:val="24"/>
          <w:szCs w:val="24"/>
        </w:rPr>
      </w:pPr>
      <w:r w:rsidRPr="00DB4A6C">
        <w:rPr>
          <w:rFonts w:ascii="Arial" w:eastAsia="Times New Roman" w:hAnsi="Arial" w:cs="Arial"/>
          <w:b/>
          <w:sz w:val="24"/>
          <w:szCs w:val="24"/>
        </w:rPr>
        <w:t>BIG BUSINESS INNOVATIONS GROUP (PTY) LTD</w:t>
      </w:r>
      <w:r w:rsidR="00902660">
        <w:rPr>
          <w:rFonts w:ascii="Arial" w:eastAsia="Times New Roman" w:hAnsi="Arial" w:cs="Arial"/>
          <w:b/>
          <w:sz w:val="24"/>
          <w:szCs w:val="24"/>
        </w:rPr>
        <w:tab/>
      </w:r>
      <w:r w:rsidR="00902660">
        <w:rPr>
          <w:rFonts w:ascii="Arial" w:eastAsia="Times New Roman" w:hAnsi="Arial" w:cs="Arial"/>
          <w:b/>
          <w:sz w:val="24"/>
          <w:szCs w:val="24"/>
        </w:rPr>
        <w:tab/>
      </w:r>
      <w:r w:rsidR="00902660">
        <w:rPr>
          <w:rFonts w:ascii="Arial" w:eastAsia="Times New Roman" w:hAnsi="Arial" w:cs="Arial"/>
          <w:b/>
          <w:sz w:val="24"/>
          <w:szCs w:val="24"/>
        </w:rPr>
        <w:tab/>
      </w:r>
      <w:r w:rsidRPr="00DB4A6C">
        <w:rPr>
          <w:rFonts w:ascii="Arial" w:eastAsia="Times New Roman" w:hAnsi="Arial" w:cs="Arial"/>
          <w:b/>
          <w:sz w:val="24"/>
          <w:szCs w:val="24"/>
        </w:rPr>
        <w:t>RESPONDENT</w:t>
      </w:r>
    </w:p>
    <w:p w14:paraId="24F99DF8" w14:textId="77777777" w:rsidR="008C5077" w:rsidRDefault="008C5077" w:rsidP="00A25E76">
      <w:pPr>
        <w:spacing w:line="480" w:lineRule="auto"/>
        <w:rPr>
          <w:rFonts w:ascii="Arial" w:hAnsi="Arial" w:cs="Arial"/>
          <w:b/>
          <w:sz w:val="24"/>
          <w:szCs w:val="24"/>
          <w:lang w:val="en-US"/>
        </w:rPr>
      </w:pPr>
    </w:p>
    <w:p w14:paraId="172E08BD" w14:textId="77777777" w:rsidR="008C5077" w:rsidRDefault="008C5077" w:rsidP="00A25E76">
      <w:pPr>
        <w:spacing w:line="480" w:lineRule="auto"/>
        <w:rPr>
          <w:rFonts w:ascii="Arial" w:hAnsi="Arial" w:cs="Arial"/>
          <w:b/>
          <w:sz w:val="24"/>
          <w:szCs w:val="24"/>
          <w:lang w:val="en-US"/>
        </w:rPr>
      </w:pPr>
    </w:p>
    <w:p w14:paraId="5C1205BD" w14:textId="77777777" w:rsidR="008C5077" w:rsidRDefault="008C5077" w:rsidP="00A25E76">
      <w:pPr>
        <w:spacing w:line="480" w:lineRule="auto"/>
        <w:rPr>
          <w:rFonts w:ascii="Arial" w:hAnsi="Arial" w:cs="Arial"/>
          <w:b/>
          <w:sz w:val="24"/>
          <w:szCs w:val="24"/>
          <w:lang w:val="en-US"/>
        </w:rPr>
      </w:pPr>
    </w:p>
    <w:p w14:paraId="3A72FDA6" w14:textId="77777777" w:rsidR="008C5077" w:rsidRDefault="008C5077" w:rsidP="00A25E76">
      <w:pPr>
        <w:spacing w:line="480" w:lineRule="auto"/>
        <w:rPr>
          <w:rFonts w:ascii="Arial" w:hAnsi="Arial" w:cs="Arial"/>
          <w:b/>
          <w:sz w:val="24"/>
          <w:szCs w:val="24"/>
          <w:lang w:val="en-US"/>
        </w:rPr>
      </w:pPr>
    </w:p>
    <w:p w14:paraId="6879A8E9" w14:textId="77777777" w:rsidR="008C5077" w:rsidRDefault="008C5077" w:rsidP="008C5077">
      <w:pPr>
        <w:pBdr>
          <w:top w:val="single" w:sz="12" w:space="1" w:color="auto"/>
          <w:bottom w:val="single" w:sz="12" w:space="1" w:color="auto"/>
        </w:pBdr>
        <w:spacing w:after="0" w:line="480" w:lineRule="auto"/>
        <w:rPr>
          <w:rFonts w:ascii="Arial" w:hAnsi="Arial" w:cs="Arial"/>
          <w:b/>
          <w:sz w:val="24"/>
          <w:szCs w:val="24"/>
          <w:lang w:val="en-US"/>
        </w:rPr>
      </w:pPr>
    </w:p>
    <w:p w14:paraId="1E51EA28" w14:textId="77777777" w:rsidR="008C5077" w:rsidRDefault="008C5077" w:rsidP="008C5077">
      <w:pPr>
        <w:pBdr>
          <w:top w:val="single" w:sz="12" w:space="1" w:color="auto"/>
          <w:bottom w:val="single" w:sz="12" w:space="1" w:color="auto"/>
        </w:pBdr>
        <w:spacing w:after="0" w:line="480" w:lineRule="auto"/>
        <w:jc w:val="center"/>
        <w:rPr>
          <w:rFonts w:ascii="Arial" w:hAnsi="Arial" w:cs="Arial"/>
          <w:b/>
          <w:sz w:val="24"/>
          <w:szCs w:val="24"/>
          <w:lang w:val="en-US"/>
        </w:rPr>
      </w:pPr>
      <w:r>
        <w:rPr>
          <w:rFonts w:ascii="Arial" w:hAnsi="Arial" w:cs="Arial"/>
          <w:b/>
          <w:sz w:val="24"/>
          <w:szCs w:val="24"/>
          <w:lang w:val="en-US"/>
        </w:rPr>
        <w:t>JUDGMENT</w:t>
      </w:r>
    </w:p>
    <w:p w14:paraId="4790CF81" w14:textId="77777777" w:rsidR="008C5077" w:rsidRDefault="008C5077" w:rsidP="00A25E76">
      <w:pPr>
        <w:spacing w:line="480" w:lineRule="auto"/>
        <w:rPr>
          <w:rFonts w:ascii="Arial" w:hAnsi="Arial" w:cs="Arial"/>
          <w:b/>
          <w:sz w:val="24"/>
          <w:szCs w:val="24"/>
          <w:lang w:val="en-US"/>
        </w:rPr>
      </w:pPr>
    </w:p>
    <w:p w14:paraId="197572F0" w14:textId="77777777" w:rsidR="008C5077" w:rsidRDefault="008C5077" w:rsidP="00A25E76">
      <w:pPr>
        <w:spacing w:line="480" w:lineRule="auto"/>
        <w:rPr>
          <w:rFonts w:ascii="Arial" w:hAnsi="Arial" w:cs="Arial"/>
          <w:b/>
          <w:sz w:val="24"/>
          <w:szCs w:val="24"/>
          <w:lang w:val="en-US"/>
        </w:rPr>
      </w:pPr>
    </w:p>
    <w:p w14:paraId="49C72A51" w14:textId="77777777" w:rsidR="00D278C2" w:rsidRDefault="00D278C2" w:rsidP="00A25E76">
      <w:pPr>
        <w:spacing w:line="480" w:lineRule="auto"/>
        <w:rPr>
          <w:rFonts w:ascii="Arial" w:hAnsi="Arial" w:cs="Arial"/>
          <w:b/>
          <w:sz w:val="24"/>
          <w:szCs w:val="24"/>
          <w:lang w:val="en-US"/>
        </w:rPr>
      </w:pPr>
      <w:r w:rsidRPr="00D278C2">
        <w:rPr>
          <w:rFonts w:ascii="Arial" w:hAnsi="Arial" w:cs="Arial"/>
          <w:b/>
          <w:sz w:val="24"/>
          <w:szCs w:val="24"/>
          <w:lang w:val="en-US"/>
        </w:rPr>
        <w:t>COWEN J:</w:t>
      </w:r>
    </w:p>
    <w:p w14:paraId="78AF4A0D" w14:textId="77777777" w:rsidR="007F3880" w:rsidRPr="007F3880" w:rsidRDefault="007F3880" w:rsidP="00A25E76">
      <w:pPr>
        <w:spacing w:line="480" w:lineRule="auto"/>
        <w:rPr>
          <w:rFonts w:ascii="Arial" w:hAnsi="Arial" w:cs="Arial"/>
          <w:b/>
          <w:sz w:val="24"/>
          <w:szCs w:val="24"/>
          <w:lang w:val="en-US"/>
        </w:rPr>
      </w:pPr>
      <w:r>
        <w:rPr>
          <w:rFonts w:ascii="Arial" w:hAnsi="Arial" w:cs="Arial"/>
          <w:b/>
          <w:sz w:val="24"/>
          <w:szCs w:val="24"/>
          <w:lang w:val="en-US"/>
        </w:rPr>
        <w:t>Introduction</w:t>
      </w:r>
    </w:p>
    <w:p w14:paraId="77B8D2C0" w14:textId="77777777" w:rsidR="00AE1CF7" w:rsidRDefault="00AE1CF7" w:rsidP="00A25E76">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This Court convened on 17 </w:t>
      </w:r>
      <w:r w:rsidR="00AA46D3">
        <w:rPr>
          <w:rFonts w:ascii="Arial" w:hAnsi="Arial" w:cs="Arial"/>
          <w:sz w:val="24"/>
          <w:szCs w:val="24"/>
          <w:lang w:val="en-US"/>
        </w:rPr>
        <w:t xml:space="preserve">and 18 </w:t>
      </w:r>
      <w:r>
        <w:rPr>
          <w:rFonts w:ascii="Arial" w:hAnsi="Arial" w:cs="Arial"/>
          <w:sz w:val="24"/>
          <w:szCs w:val="24"/>
          <w:lang w:val="en-US"/>
        </w:rPr>
        <w:t xml:space="preserve">October 2023 to hear two </w:t>
      </w:r>
      <w:r w:rsidR="00A25E76">
        <w:rPr>
          <w:rFonts w:ascii="Arial" w:hAnsi="Arial" w:cs="Arial"/>
          <w:sz w:val="24"/>
          <w:szCs w:val="24"/>
          <w:lang w:val="en-US"/>
        </w:rPr>
        <w:t>applications</w:t>
      </w:r>
      <w:r w:rsidR="000B1CE0">
        <w:rPr>
          <w:rFonts w:ascii="Arial" w:hAnsi="Arial" w:cs="Arial"/>
          <w:sz w:val="24"/>
          <w:szCs w:val="24"/>
          <w:lang w:val="en-US"/>
        </w:rPr>
        <w:t xml:space="preserve"> as special </w:t>
      </w:r>
      <w:r w:rsidR="007F3880">
        <w:rPr>
          <w:rFonts w:ascii="Arial" w:hAnsi="Arial" w:cs="Arial"/>
          <w:sz w:val="24"/>
          <w:szCs w:val="24"/>
          <w:lang w:val="en-US"/>
        </w:rPr>
        <w:t>motions</w:t>
      </w:r>
      <w:r w:rsidR="000B1CE0">
        <w:rPr>
          <w:rFonts w:ascii="Arial" w:hAnsi="Arial" w:cs="Arial"/>
          <w:sz w:val="24"/>
          <w:szCs w:val="24"/>
          <w:lang w:val="en-US"/>
        </w:rPr>
        <w:t xml:space="preserve">.  First, </w:t>
      </w:r>
      <w:r w:rsidR="00A25E76">
        <w:rPr>
          <w:rFonts w:ascii="Arial" w:hAnsi="Arial" w:cs="Arial"/>
          <w:sz w:val="24"/>
          <w:szCs w:val="24"/>
          <w:lang w:val="en-US"/>
        </w:rPr>
        <w:t xml:space="preserve">an application </w:t>
      </w:r>
      <w:r w:rsidR="00575059">
        <w:rPr>
          <w:rFonts w:ascii="Arial" w:hAnsi="Arial" w:cs="Arial"/>
          <w:sz w:val="24"/>
          <w:szCs w:val="24"/>
          <w:lang w:val="en-US"/>
        </w:rPr>
        <w:t>instituted by Investec Bank Limited (Investec)</w:t>
      </w:r>
      <w:r w:rsidR="00A479A8">
        <w:rPr>
          <w:rStyle w:val="FootnoteReference"/>
          <w:rFonts w:ascii="Arial" w:hAnsi="Arial" w:cs="Arial"/>
          <w:sz w:val="24"/>
          <w:szCs w:val="24"/>
          <w:lang w:val="en-US"/>
        </w:rPr>
        <w:footnoteReference w:id="1"/>
      </w:r>
      <w:r w:rsidR="00575059">
        <w:rPr>
          <w:rFonts w:ascii="Arial" w:hAnsi="Arial" w:cs="Arial"/>
          <w:sz w:val="24"/>
          <w:szCs w:val="24"/>
          <w:lang w:val="en-US"/>
        </w:rPr>
        <w:t xml:space="preserve"> </w:t>
      </w:r>
      <w:r w:rsidR="00A25E76">
        <w:rPr>
          <w:rFonts w:ascii="Arial" w:hAnsi="Arial" w:cs="Arial"/>
          <w:sz w:val="24"/>
          <w:szCs w:val="24"/>
          <w:lang w:val="en-US"/>
        </w:rPr>
        <w:t>to wind-up Big Business Innovations Group (Pty) Ltd</w:t>
      </w:r>
      <w:r>
        <w:rPr>
          <w:rFonts w:ascii="Arial" w:hAnsi="Arial" w:cs="Arial"/>
          <w:sz w:val="24"/>
          <w:szCs w:val="24"/>
          <w:lang w:val="en-US"/>
        </w:rPr>
        <w:t xml:space="preserve"> (BIG</w:t>
      </w:r>
      <w:r w:rsidR="003A4CF3">
        <w:rPr>
          <w:rFonts w:ascii="Arial" w:hAnsi="Arial" w:cs="Arial"/>
          <w:sz w:val="24"/>
          <w:szCs w:val="24"/>
          <w:lang w:val="en-US"/>
        </w:rPr>
        <w:t>)</w:t>
      </w:r>
      <w:r w:rsidR="00CE0D4F">
        <w:rPr>
          <w:rFonts w:ascii="Arial" w:hAnsi="Arial" w:cs="Arial"/>
          <w:sz w:val="24"/>
          <w:szCs w:val="24"/>
          <w:lang w:val="en-US"/>
        </w:rPr>
        <w:t xml:space="preserve"> (the winding up application)</w:t>
      </w:r>
      <w:r w:rsidR="0034639E">
        <w:rPr>
          <w:rFonts w:ascii="Arial" w:hAnsi="Arial" w:cs="Arial"/>
          <w:sz w:val="24"/>
          <w:szCs w:val="24"/>
          <w:lang w:val="en-US"/>
        </w:rPr>
        <w:t>.</w:t>
      </w:r>
      <w:r w:rsidR="00A479A8">
        <w:rPr>
          <w:rStyle w:val="FootnoteReference"/>
          <w:rFonts w:ascii="Arial" w:hAnsi="Arial" w:cs="Arial"/>
          <w:sz w:val="24"/>
          <w:szCs w:val="24"/>
          <w:lang w:val="en-US"/>
        </w:rPr>
        <w:footnoteReference w:id="2"/>
      </w:r>
      <w:r w:rsidR="000B1CE0">
        <w:rPr>
          <w:rFonts w:ascii="Arial" w:hAnsi="Arial" w:cs="Arial"/>
          <w:sz w:val="24"/>
          <w:szCs w:val="24"/>
          <w:lang w:val="en-US"/>
        </w:rPr>
        <w:t xml:space="preserve"> </w:t>
      </w:r>
      <w:r w:rsidR="0034639E">
        <w:rPr>
          <w:rFonts w:ascii="Arial" w:hAnsi="Arial" w:cs="Arial"/>
          <w:sz w:val="24"/>
          <w:szCs w:val="24"/>
          <w:lang w:val="en-US"/>
        </w:rPr>
        <w:t xml:space="preserve"> Th</w:t>
      </w:r>
      <w:r w:rsidR="00890513">
        <w:rPr>
          <w:rFonts w:ascii="Arial" w:hAnsi="Arial" w:cs="Arial"/>
          <w:sz w:val="24"/>
          <w:szCs w:val="24"/>
          <w:lang w:val="en-US"/>
        </w:rPr>
        <w:t>e hearing</w:t>
      </w:r>
      <w:r w:rsidR="0068058F">
        <w:rPr>
          <w:rFonts w:ascii="Arial" w:hAnsi="Arial" w:cs="Arial"/>
          <w:sz w:val="24"/>
          <w:szCs w:val="24"/>
          <w:lang w:val="en-US"/>
        </w:rPr>
        <w:t xml:space="preserve"> dates were</w:t>
      </w:r>
      <w:r w:rsidR="0034639E">
        <w:rPr>
          <w:rFonts w:ascii="Arial" w:hAnsi="Arial" w:cs="Arial"/>
          <w:sz w:val="24"/>
          <w:szCs w:val="24"/>
          <w:lang w:val="en-US"/>
        </w:rPr>
        <w:t xml:space="preserve"> </w:t>
      </w:r>
      <w:r w:rsidR="0068058F">
        <w:rPr>
          <w:rFonts w:ascii="Arial" w:hAnsi="Arial" w:cs="Arial"/>
          <w:sz w:val="24"/>
          <w:szCs w:val="24"/>
          <w:lang w:val="en-US"/>
        </w:rPr>
        <w:t>the return dates</w:t>
      </w:r>
      <w:r w:rsidR="007F3880">
        <w:rPr>
          <w:rFonts w:ascii="Arial" w:hAnsi="Arial" w:cs="Arial"/>
          <w:sz w:val="24"/>
          <w:szCs w:val="24"/>
          <w:lang w:val="en-US"/>
        </w:rPr>
        <w:t>, as extended, of a provisional winding-</w:t>
      </w:r>
      <w:r w:rsidR="000B1CE0">
        <w:rPr>
          <w:rFonts w:ascii="Arial" w:hAnsi="Arial" w:cs="Arial"/>
          <w:sz w:val="24"/>
          <w:szCs w:val="24"/>
          <w:lang w:val="en-US"/>
        </w:rPr>
        <w:t>up order granted by Judge Collis on an urgent basis on 29 November 2022.  Second</w:t>
      </w:r>
      <w:r w:rsidR="0034639E">
        <w:rPr>
          <w:rFonts w:ascii="Arial" w:hAnsi="Arial" w:cs="Arial"/>
          <w:sz w:val="24"/>
          <w:szCs w:val="24"/>
          <w:lang w:val="en-US"/>
        </w:rPr>
        <w:t>ly</w:t>
      </w:r>
      <w:r w:rsidR="000B1CE0">
        <w:rPr>
          <w:rFonts w:ascii="Arial" w:hAnsi="Arial" w:cs="Arial"/>
          <w:sz w:val="24"/>
          <w:szCs w:val="24"/>
          <w:lang w:val="en-US"/>
        </w:rPr>
        <w:t xml:space="preserve">, </w:t>
      </w:r>
      <w:r w:rsidR="00A25E76">
        <w:rPr>
          <w:rFonts w:ascii="Arial" w:hAnsi="Arial" w:cs="Arial"/>
          <w:sz w:val="24"/>
          <w:szCs w:val="24"/>
          <w:lang w:val="en-US"/>
        </w:rPr>
        <w:t>an application</w:t>
      </w:r>
      <w:r w:rsidR="00575059">
        <w:rPr>
          <w:rFonts w:ascii="Arial" w:hAnsi="Arial" w:cs="Arial"/>
          <w:sz w:val="24"/>
          <w:szCs w:val="24"/>
          <w:lang w:val="en-US"/>
        </w:rPr>
        <w:t xml:space="preserve"> instituted by Investec</w:t>
      </w:r>
      <w:r w:rsidR="00A25E76">
        <w:rPr>
          <w:rFonts w:ascii="Arial" w:hAnsi="Arial" w:cs="Arial"/>
          <w:sz w:val="24"/>
          <w:szCs w:val="24"/>
          <w:lang w:val="en-US"/>
        </w:rPr>
        <w:t xml:space="preserve"> to sequestrate Nishani </w:t>
      </w:r>
      <w:r w:rsidR="00AA46D3">
        <w:rPr>
          <w:rFonts w:ascii="Arial" w:hAnsi="Arial" w:cs="Arial"/>
          <w:sz w:val="24"/>
          <w:szCs w:val="24"/>
          <w:lang w:val="en-US"/>
        </w:rPr>
        <w:t xml:space="preserve">Michelle </w:t>
      </w:r>
      <w:r w:rsidR="00A25E76">
        <w:rPr>
          <w:rFonts w:ascii="Arial" w:hAnsi="Arial" w:cs="Arial"/>
          <w:sz w:val="24"/>
          <w:szCs w:val="24"/>
          <w:lang w:val="en-US"/>
        </w:rPr>
        <w:t xml:space="preserve">Singh </w:t>
      </w:r>
      <w:r>
        <w:rPr>
          <w:rFonts w:ascii="Arial" w:hAnsi="Arial" w:cs="Arial"/>
          <w:sz w:val="24"/>
          <w:szCs w:val="24"/>
          <w:lang w:val="en-US"/>
        </w:rPr>
        <w:t xml:space="preserve">(Singh) </w:t>
      </w:r>
      <w:r w:rsidR="00A25E76">
        <w:rPr>
          <w:rFonts w:ascii="Arial" w:hAnsi="Arial" w:cs="Arial"/>
          <w:sz w:val="24"/>
          <w:szCs w:val="24"/>
          <w:lang w:val="en-US"/>
        </w:rPr>
        <w:t xml:space="preserve">and </w:t>
      </w:r>
      <w:r w:rsidR="00AA46D3">
        <w:rPr>
          <w:rFonts w:ascii="Arial" w:hAnsi="Arial" w:cs="Arial"/>
          <w:sz w:val="24"/>
          <w:szCs w:val="24"/>
          <w:lang w:val="en-US"/>
        </w:rPr>
        <w:t>Stephen John Killick (Killick</w:t>
      </w:r>
      <w:r>
        <w:rPr>
          <w:rFonts w:ascii="Arial" w:hAnsi="Arial" w:cs="Arial"/>
          <w:sz w:val="24"/>
          <w:szCs w:val="24"/>
          <w:lang w:val="en-US"/>
        </w:rPr>
        <w:t>)</w:t>
      </w:r>
      <w:r w:rsidR="00CE0D4F">
        <w:rPr>
          <w:rFonts w:ascii="Arial" w:hAnsi="Arial" w:cs="Arial"/>
          <w:sz w:val="24"/>
          <w:szCs w:val="24"/>
          <w:lang w:val="en-US"/>
        </w:rPr>
        <w:t>,</w:t>
      </w:r>
      <w:r w:rsidR="005E6791">
        <w:rPr>
          <w:rFonts w:ascii="Arial" w:hAnsi="Arial" w:cs="Arial"/>
          <w:sz w:val="24"/>
          <w:szCs w:val="24"/>
          <w:lang w:val="en-US"/>
        </w:rPr>
        <w:t xml:space="preserve"> which </w:t>
      </w:r>
      <w:r w:rsidR="00890513">
        <w:rPr>
          <w:rFonts w:ascii="Arial" w:hAnsi="Arial" w:cs="Arial"/>
          <w:sz w:val="24"/>
          <w:szCs w:val="24"/>
          <w:lang w:val="en-US"/>
        </w:rPr>
        <w:t>– as matters transpired – was postponed</w:t>
      </w:r>
      <w:r w:rsidR="00CE0D4F">
        <w:rPr>
          <w:rFonts w:ascii="Arial" w:hAnsi="Arial" w:cs="Arial"/>
          <w:sz w:val="24"/>
          <w:szCs w:val="24"/>
          <w:lang w:val="en-US"/>
        </w:rPr>
        <w:t xml:space="preserve"> (the sequestration application)</w:t>
      </w:r>
      <w:r w:rsidR="00890513">
        <w:rPr>
          <w:rFonts w:ascii="Arial" w:hAnsi="Arial" w:cs="Arial"/>
          <w:sz w:val="24"/>
          <w:szCs w:val="24"/>
          <w:lang w:val="en-US"/>
        </w:rPr>
        <w:t>.</w:t>
      </w:r>
      <w:r w:rsidR="003A4CF3">
        <w:rPr>
          <w:rFonts w:ascii="Arial" w:hAnsi="Arial" w:cs="Arial"/>
          <w:sz w:val="24"/>
          <w:szCs w:val="24"/>
          <w:lang w:val="en-US"/>
        </w:rPr>
        <w:t xml:space="preserve"> </w:t>
      </w:r>
      <w:r w:rsidR="00890513">
        <w:rPr>
          <w:rFonts w:ascii="Arial" w:hAnsi="Arial" w:cs="Arial"/>
          <w:sz w:val="24"/>
          <w:szCs w:val="24"/>
          <w:lang w:val="en-US"/>
        </w:rPr>
        <w:t xml:space="preserve"> </w:t>
      </w:r>
      <w:r w:rsidR="007F3880">
        <w:rPr>
          <w:rFonts w:ascii="Arial" w:hAnsi="Arial" w:cs="Arial"/>
          <w:sz w:val="24"/>
          <w:szCs w:val="24"/>
          <w:lang w:val="en-US"/>
        </w:rPr>
        <w:t xml:space="preserve">This judgment is concerned with the winding-up application, but for reasons that will become apparent, I refer in this judgment to both applications. </w:t>
      </w:r>
      <w:r>
        <w:rPr>
          <w:rFonts w:ascii="Arial" w:hAnsi="Arial" w:cs="Arial"/>
          <w:sz w:val="24"/>
          <w:szCs w:val="24"/>
          <w:lang w:val="en-US"/>
        </w:rPr>
        <w:t xml:space="preserve">  </w:t>
      </w:r>
    </w:p>
    <w:p w14:paraId="0879FDAC" w14:textId="77777777" w:rsidR="00AE1CF7" w:rsidRDefault="00AE1CF7" w:rsidP="00AE1CF7">
      <w:pPr>
        <w:pStyle w:val="ListParagraph"/>
        <w:spacing w:line="480" w:lineRule="auto"/>
        <w:ind w:left="360"/>
        <w:jc w:val="both"/>
        <w:rPr>
          <w:rFonts w:ascii="Arial" w:hAnsi="Arial" w:cs="Arial"/>
          <w:sz w:val="24"/>
          <w:szCs w:val="24"/>
          <w:lang w:val="en-US"/>
        </w:rPr>
      </w:pPr>
    </w:p>
    <w:p w14:paraId="4B0574F1" w14:textId="77777777" w:rsidR="00AE1CF7" w:rsidRDefault="00AE1CF7" w:rsidP="00A25E76">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At the commencement of the hearing on 17 October 2023, the parties addressed me in respect of two </w:t>
      </w:r>
      <w:proofErr w:type="gramStart"/>
      <w:r>
        <w:rPr>
          <w:rFonts w:ascii="Arial" w:hAnsi="Arial" w:cs="Arial"/>
          <w:sz w:val="24"/>
          <w:szCs w:val="24"/>
          <w:lang w:val="en-US"/>
        </w:rPr>
        <w:t>counter-applications</w:t>
      </w:r>
      <w:proofErr w:type="gramEnd"/>
      <w:r>
        <w:rPr>
          <w:rFonts w:ascii="Arial" w:hAnsi="Arial" w:cs="Arial"/>
          <w:sz w:val="24"/>
          <w:szCs w:val="24"/>
          <w:lang w:val="en-US"/>
        </w:rPr>
        <w:t xml:space="preserve"> instituted</w:t>
      </w:r>
      <w:r w:rsidR="007F3880">
        <w:rPr>
          <w:rFonts w:ascii="Arial" w:hAnsi="Arial" w:cs="Arial"/>
          <w:sz w:val="24"/>
          <w:szCs w:val="24"/>
          <w:lang w:val="en-US"/>
        </w:rPr>
        <w:t xml:space="preserve"> on an urgent basis, respectively,</w:t>
      </w:r>
      <w:r>
        <w:rPr>
          <w:rFonts w:ascii="Arial" w:hAnsi="Arial" w:cs="Arial"/>
          <w:sz w:val="24"/>
          <w:szCs w:val="24"/>
          <w:lang w:val="en-US"/>
        </w:rPr>
        <w:t xml:space="preserve"> </w:t>
      </w:r>
      <w:r w:rsidR="008C5077">
        <w:rPr>
          <w:rFonts w:ascii="Arial" w:hAnsi="Arial" w:cs="Arial"/>
          <w:sz w:val="24"/>
          <w:szCs w:val="24"/>
          <w:lang w:val="en-US"/>
        </w:rPr>
        <w:t xml:space="preserve">a counter-application </w:t>
      </w:r>
      <w:r>
        <w:rPr>
          <w:rFonts w:ascii="Arial" w:hAnsi="Arial" w:cs="Arial"/>
          <w:sz w:val="24"/>
          <w:szCs w:val="24"/>
          <w:lang w:val="en-US"/>
        </w:rPr>
        <w:t xml:space="preserve">by </w:t>
      </w:r>
      <w:r w:rsidR="000B1CE0">
        <w:rPr>
          <w:rFonts w:ascii="Arial" w:hAnsi="Arial" w:cs="Arial"/>
          <w:sz w:val="24"/>
          <w:szCs w:val="24"/>
          <w:lang w:val="en-US"/>
        </w:rPr>
        <w:t>BIG</w:t>
      </w:r>
      <w:r>
        <w:rPr>
          <w:rFonts w:ascii="Arial" w:hAnsi="Arial" w:cs="Arial"/>
          <w:sz w:val="24"/>
          <w:szCs w:val="24"/>
          <w:lang w:val="en-US"/>
        </w:rPr>
        <w:t xml:space="preserve"> </w:t>
      </w:r>
      <w:r w:rsidR="007F3880">
        <w:rPr>
          <w:rFonts w:ascii="Arial" w:hAnsi="Arial" w:cs="Arial"/>
          <w:sz w:val="24"/>
          <w:szCs w:val="24"/>
          <w:lang w:val="en-US"/>
        </w:rPr>
        <w:t xml:space="preserve">in the winding-up application, </w:t>
      </w:r>
      <w:r>
        <w:rPr>
          <w:rFonts w:ascii="Arial" w:hAnsi="Arial" w:cs="Arial"/>
          <w:sz w:val="24"/>
          <w:szCs w:val="24"/>
          <w:lang w:val="en-US"/>
        </w:rPr>
        <w:t xml:space="preserve">and </w:t>
      </w:r>
      <w:r w:rsidR="008C5077">
        <w:rPr>
          <w:rFonts w:ascii="Arial" w:hAnsi="Arial" w:cs="Arial"/>
          <w:sz w:val="24"/>
          <w:szCs w:val="24"/>
          <w:lang w:val="en-US"/>
        </w:rPr>
        <w:t xml:space="preserve">a counter-application </w:t>
      </w:r>
      <w:r w:rsidR="0034639E">
        <w:rPr>
          <w:rFonts w:ascii="Arial" w:hAnsi="Arial" w:cs="Arial"/>
          <w:sz w:val="24"/>
          <w:szCs w:val="24"/>
          <w:lang w:val="en-US"/>
        </w:rPr>
        <w:t xml:space="preserve">by </w:t>
      </w:r>
      <w:r>
        <w:rPr>
          <w:rFonts w:ascii="Arial" w:hAnsi="Arial" w:cs="Arial"/>
          <w:sz w:val="24"/>
          <w:szCs w:val="24"/>
          <w:lang w:val="en-US"/>
        </w:rPr>
        <w:t xml:space="preserve">Singh </w:t>
      </w:r>
      <w:r w:rsidR="007F3880">
        <w:rPr>
          <w:rFonts w:ascii="Arial" w:hAnsi="Arial" w:cs="Arial"/>
          <w:sz w:val="24"/>
          <w:szCs w:val="24"/>
          <w:lang w:val="en-US"/>
        </w:rPr>
        <w:t xml:space="preserve">in the sequestration application.   I heard argument in the </w:t>
      </w:r>
      <w:proofErr w:type="gramStart"/>
      <w:r w:rsidR="003A4CF3">
        <w:rPr>
          <w:rFonts w:ascii="Arial" w:hAnsi="Arial" w:cs="Arial"/>
          <w:sz w:val="24"/>
          <w:szCs w:val="24"/>
          <w:lang w:val="en-US"/>
        </w:rPr>
        <w:t>counter-applications</w:t>
      </w:r>
      <w:proofErr w:type="gramEnd"/>
      <w:r w:rsidR="003A4CF3">
        <w:rPr>
          <w:rFonts w:ascii="Arial" w:hAnsi="Arial" w:cs="Arial"/>
          <w:sz w:val="24"/>
          <w:szCs w:val="24"/>
          <w:lang w:val="en-US"/>
        </w:rPr>
        <w:t xml:space="preserve"> </w:t>
      </w:r>
      <w:r w:rsidR="0068058F">
        <w:rPr>
          <w:rFonts w:ascii="Arial" w:hAnsi="Arial" w:cs="Arial"/>
          <w:sz w:val="24"/>
          <w:szCs w:val="24"/>
          <w:lang w:val="en-US"/>
        </w:rPr>
        <w:t xml:space="preserve">during the morning of 17 October 2023.  </w:t>
      </w:r>
      <w:r>
        <w:rPr>
          <w:rFonts w:ascii="Arial" w:hAnsi="Arial" w:cs="Arial"/>
          <w:sz w:val="24"/>
          <w:szCs w:val="24"/>
          <w:lang w:val="en-US"/>
        </w:rPr>
        <w:t xml:space="preserve">The afternoon </w:t>
      </w:r>
      <w:r>
        <w:rPr>
          <w:rFonts w:ascii="Arial" w:hAnsi="Arial" w:cs="Arial"/>
          <w:sz w:val="24"/>
          <w:szCs w:val="24"/>
          <w:lang w:val="en-US"/>
        </w:rPr>
        <w:lastRenderedPageBreak/>
        <w:t xml:space="preserve">session was used to hear argument on a preliminary issue raised by </w:t>
      </w:r>
      <w:r w:rsidR="00AA46D3">
        <w:rPr>
          <w:rFonts w:ascii="Arial" w:hAnsi="Arial" w:cs="Arial"/>
          <w:sz w:val="24"/>
          <w:szCs w:val="24"/>
          <w:lang w:val="en-US"/>
        </w:rPr>
        <w:t>Killick’s counsel</w:t>
      </w:r>
      <w:r>
        <w:rPr>
          <w:rFonts w:ascii="Arial" w:hAnsi="Arial" w:cs="Arial"/>
          <w:sz w:val="24"/>
          <w:szCs w:val="24"/>
          <w:lang w:val="en-US"/>
        </w:rPr>
        <w:t xml:space="preserve"> in the sequestration application which ultimately led</w:t>
      </w:r>
      <w:r w:rsidR="00AA46D3">
        <w:rPr>
          <w:rFonts w:ascii="Arial" w:hAnsi="Arial" w:cs="Arial"/>
          <w:sz w:val="24"/>
          <w:szCs w:val="24"/>
          <w:lang w:val="en-US"/>
        </w:rPr>
        <w:t>, by agreement between the parties,</w:t>
      </w:r>
      <w:r>
        <w:rPr>
          <w:rFonts w:ascii="Arial" w:hAnsi="Arial" w:cs="Arial"/>
          <w:sz w:val="24"/>
          <w:szCs w:val="24"/>
          <w:lang w:val="en-US"/>
        </w:rPr>
        <w:t xml:space="preserve"> to its postponement for hearing on 25 January 2023.</w:t>
      </w:r>
      <w:r w:rsidR="005E6791">
        <w:rPr>
          <w:rStyle w:val="FootnoteReference"/>
          <w:rFonts w:ascii="Arial" w:hAnsi="Arial" w:cs="Arial"/>
          <w:sz w:val="24"/>
          <w:szCs w:val="24"/>
          <w:lang w:val="en-US"/>
        </w:rPr>
        <w:footnoteReference w:id="3"/>
      </w:r>
      <w:r>
        <w:rPr>
          <w:rFonts w:ascii="Arial" w:hAnsi="Arial" w:cs="Arial"/>
          <w:sz w:val="24"/>
          <w:szCs w:val="24"/>
          <w:lang w:val="en-US"/>
        </w:rPr>
        <w:t xml:space="preserve">  </w:t>
      </w:r>
      <w:r w:rsidR="00A479A8">
        <w:rPr>
          <w:rFonts w:ascii="Arial" w:hAnsi="Arial" w:cs="Arial"/>
          <w:sz w:val="24"/>
          <w:szCs w:val="24"/>
          <w:lang w:val="en-US"/>
        </w:rPr>
        <w:t xml:space="preserve"> </w:t>
      </w:r>
    </w:p>
    <w:p w14:paraId="2B642A01" w14:textId="77777777" w:rsidR="00AE1CF7" w:rsidRDefault="00AE1CF7" w:rsidP="00AE1CF7">
      <w:pPr>
        <w:pStyle w:val="ListParagraph"/>
        <w:spacing w:line="480" w:lineRule="auto"/>
        <w:ind w:left="360"/>
        <w:jc w:val="both"/>
        <w:rPr>
          <w:rFonts w:ascii="Arial" w:hAnsi="Arial" w:cs="Arial"/>
          <w:sz w:val="24"/>
          <w:szCs w:val="24"/>
          <w:lang w:val="en-US"/>
        </w:rPr>
      </w:pPr>
    </w:p>
    <w:p w14:paraId="3CAC23C8" w14:textId="77777777" w:rsidR="000B1CE0" w:rsidRDefault="007F3880" w:rsidP="007F3880">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A</w:t>
      </w:r>
      <w:r w:rsidR="00AA46D3">
        <w:rPr>
          <w:rFonts w:ascii="Arial" w:hAnsi="Arial" w:cs="Arial"/>
          <w:sz w:val="24"/>
          <w:szCs w:val="24"/>
          <w:lang w:val="en-US"/>
        </w:rPr>
        <w:t>t the close of</w:t>
      </w:r>
      <w:r w:rsidR="00AE1CF7" w:rsidRPr="006130E0">
        <w:rPr>
          <w:rFonts w:ascii="Arial" w:hAnsi="Arial" w:cs="Arial"/>
          <w:sz w:val="24"/>
          <w:szCs w:val="24"/>
          <w:lang w:val="en-US"/>
        </w:rPr>
        <w:t xml:space="preserve"> proceedings on 17 October 2023, I delivered my order</w:t>
      </w:r>
      <w:r w:rsidR="006564A3">
        <w:rPr>
          <w:rFonts w:ascii="Arial" w:hAnsi="Arial" w:cs="Arial"/>
          <w:sz w:val="24"/>
          <w:szCs w:val="24"/>
          <w:lang w:val="en-US"/>
        </w:rPr>
        <w:t xml:space="preserve">s in the </w:t>
      </w:r>
      <w:proofErr w:type="gramStart"/>
      <w:r w:rsidR="006564A3">
        <w:rPr>
          <w:rFonts w:ascii="Arial" w:hAnsi="Arial" w:cs="Arial"/>
          <w:sz w:val="24"/>
          <w:szCs w:val="24"/>
          <w:lang w:val="en-US"/>
        </w:rPr>
        <w:t>counter-applications</w:t>
      </w:r>
      <w:proofErr w:type="gramEnd"/>
      <w:r w:rsidR="006564A3">
        <w:rPr>
          <w:rFonts w:ascii="Arial" w:hAnsi="Arial" w:cs="Arial"/>
          <w:sz w:val="24"/>
          <w:szCs w:val="24"/>
          <w:lang w:val="en-US"/>
        </w:rPr>
        <w:t xml:space="preserve">.  </w:t>
      </w:r>
      <w:r w:rsidR="00AE1CF7" w:rsidRPr="006130E0">
        <w:rPr>
          <w:rFonts w:ascii="Arial" w:hAnsi="Arial" w:cs="Arial"/>
          <w:sz w:val="24"/>
          <w:szCs w:val="24"/>
          <w:lang w:val="en-US"/>
        </w:rPr>
        <w:t>I</w:t>
      </w:r>
      <w:r w:rsidR="003A4CF3">
        <w:rPr>
          <w:rFonts w:ascii="Arial" w:hAnsi="Arial" w:cs="Arial"/>
          <w:sz w:val="24"/>
          <w:szCs w:val="24"/>
          <w:lang w:val="en-US"/>
        </w:rPr>
        <w:t xml:space="preserve"> dismissed both </w:t>
      </w:r>
      <w:proofErr w:type="gramStart"/>
      <w:r w:rsidR="00AE1CF7" w:rsidRPr="006130E0">
        <w:rPr>
          <w:rFonts w:ascii="Arial" w:hAnsi="Arial" w:cs="Arial"/>
          <w:sz w:val="24"/>
          <w:szCs w:val="24"/>
          <w:lang w:val="en-US"/>
        </w:rPr>
        <w:t>counter-applications</w:t>
      </w:r>
      <w:proofErr w:type="gramEnd"/>
      <w:r w:rsidR="00AE1CF7" w:rsidRPr="006130E0">
        <w:rPr>
          <w:rFonts w:ascii="Arial" w:hAnsi="Arial" w:cs="Arial"/>
          <w:sz w:val="24"/>
          <w:szCs w:val="24"/>
          <w:lang w:val="en-US"/>
        </w:rPr>
        <w:t xml:space="preserve"> with costs on an attorney and client scale including the costs </w:t>
      </w:r>
      <w:r w:rsidR="00AE1CF7" w:rsidRPr="00D02711">
        <w:rPr>
          <w:rFonts w:ascii="Arial" w:hAnsi="Arial" w:cs="Arial"/>
          <w:sz w:val="24"/>
          <w:szCs w:val="24"/>
          <w:lang w:val="en-US"/>
        </w:rPr>
        <w:t xml:space="preserve">of two counsel. </w:t>
      </w:r>
      <w:r w:rsidR="006130E0" w:rsidRPr="00D02711">
        <w:rPr>
          <w:rFonts w:ascii="Arial" w:hAnsi="Arial" w:cs="Arial"/>
          <w:sz w:val="24"/>
          <w:szCs w:val="24"/>
          <w:lang w:val="en-US"/>
        </w:rPr>
        <w:t xml:space="preserve"> </w:t>
      </w:r>
    </w:p>
    <w:p w14:paraId="32E58B12" w14:textId="77777777" w:rsidR="000B1CE0" w:rsidRPr="000B1CE0" w:rsidRDefault="000B1CE0" w:rsidP="000B1CE0">
      <w:pPr>
        <w:pStyle w:val="ListParagraph"/>
        <w:rPr>
          <w:rFonts w:ascii="Arial" w:hAnsi="Arial" w:cs="Arial"/>
          <w:sz w:val="24"/>
          <w:szCs w:val="24"/>
          <w:lang w:val="en-US"/>
        </w:rPr>
      </w:pPr>
    </w:p>
    <w:p w14:paraId="2B14FC18" w14:textId="77777777" w:rsidR="00D02711" w:rsidRPr="0068058F" w:rsidRDefault="000B1CE0" w:rsidP="0068058F">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On 18 October 2023, I heard argument in the winding-up application.</w:t>
      </w:r>
      <w:r w:rsidR="0068058F">
        <w:rPr>
          <w:rStyle w:val="FootnoteReference"/>
          <w:rFonts w:ascii="Arial" w:hAnsi="Arial" w:cs="Arial"/>
          <w:sz w:val="24"/>
          <w:szCs w:val="24"/>
          <w:lang w:val="en-US"/>
        </w:rPr>
        <w:footnoteReference w:id="4"/>
      </w:r>
      <w:r>
        <w:rPr>
          <w:rFonts w:ascii="Arial" w:hAnsi="Arial" w:cs="Arial"/>
          <w:sz w:val="24"/>
          <w:szCs w:val="24"/>
          <w:lang w:val="en-US"/>
        </w:rPr>
        <w:t xml:space="preserve">  </w:t>
      </w:r>
      <w:r w:rsidR="00575059">
        <w:rPr>
          <w:rFonts w:ascii="Arial" w:hAnsi="Arial" w:cs="Arial"/>
          <w:sz w:val="24"/>
          <w:szCs w:val="24"/>
          <w:lang w:val="en-US"/>
        </w:rPr>
        <w:t xml:space="preserve">I have decided to confirm the </w:t>
      </w:r>
      <w:r w:rsidR="0034639E">
        <w:rPr>
          <w:rFonts w:ascii="Arial" w:hAnsi="Arial" w:cs="Arial"/>
          <w:sz w:val="24"/>
          <w:szCs w:val="24"/>
          <w:lang w:val="en-US"/>
        </w:rPr>
        <w:t xml:space="preserve">provisional </w:t>
      </w:r>
      <w:r w:rsidR="00575059">
        <w:rPr>
          <w:rFonts w:ascii="Arial" w:hAnsi="Arial" w:cs="Arial"/>
          <w:sz w:val="24"/>
          <w:szCs w:val="24"/>
          <w:lang w:val="en-US"/>
        </w:rPr>
        <w:t xml:space="preserve">order.  </w:t>
      </w:r>
      <w:r w:rsidR="00575059" w:rsidRPr="0068058F">
        <w:rPr>
          <w:rFonts w:ascii="Arial" w:hAnsi="Arial" w:cs="Arial"/>
          <w:sz w:val="24"/>
          <w:szCs w:val="24"/>
          <w:lang w:val="en-US"/>
        </w:rPr>
        <w:t>I deal in this judgment with my reasons for</w:t>
      </w:r>
      <w:r w:rsidR="0068058F">
        <w:rPr>
          <w:rFonts w:ascii="Arial" w:hAnsi="Arial" w:cs="Arial"/>
          <w:sz w:val="24"/>
          <w:szCs w:val="24"/>
          <w:lang w:val="en-US"/>
        </w:rPr>
        <w:t xml:space="preserve"> </w:t>
      </w:r>
      <w:r w:rsidR="008C5077">
        <w:rPr>
          <w:rFonts w:ascii="Arial" w:hAnsi="Arial" w:cs="Arial"/>
          <w:sz w:val="24"/>
          <w:szCs w:val="24"/>
          <w:lang w:val="en-US"/>
        </w:rPr>
        <w:t xml:space="preserve">this decision and my reasons for </w:t>
      </w:r>
      <w:r w:rsidR="005E6791" w:rsidRPr="0068058F">
        <w:rPr>
          <w:rFonts w:ascii="Arial" w:hAnsi="Arial" w:cs="Arial"/>
          <w:sz w:val="24"/>
          <w:szCs w:val="24"/>
          <w:lang w:val="en-US"/>
        </w:rPr>
        <w:t>dismissing the counter-claim in the winding-up application</w:t>
      </w:r>
      <w:r w:rsidR="00575059" w:rsidRPr="0068058F">
        <w:rPr>
          <w:rFonts w:ascii="Arial" w:hAnsi="Arial" w:cs="Arial"/>
          <w:sz w:val="24"/>
          <w:szCs w:val="24"/>
          <w:lang w:val="en-US"/>
        </w:rPr>
        <w:t>.</w:t>
      </w:r>
      <w:r w:rsidR="0068058F">
        <w:rPr>
          <w:rStyle w:val="FootnoteReference"/>
          <w:rFonts w:ascii="Arial" w:hAnsi="Arial" w:cs="Arial"/>
          <w:sz w:val="24"/>
          <w:szCs w:val="24"/>
          <w:lang w:val="en-US"/>
        </w:rPr>
        <w:footnoteReference w:id="5"/>
      </w:r>
      <w:r w:rsidR="00575059" w:rsidRPr="0068058F">
        <w:rPr>
          <w:rFonts w:ascii="Arial" w:hAnsi="Arial" w:cs="Arial"/>
          <w:sz w:val="24"/>
          <w:szCs w:val="24"/>
          <w:lang w:val="en-US"/>
        </w:rPr>
        <w:t xml:space="preserve"> </w:t>
      </w:r>
      <w:r w:rsidR="006130E0" w:rsidRPr="0068058F">
        <w:rPr>
          <w:rFonts w:ascii="Arial" w:hAnsi="Arial" w:cs="Arial"/>
          <w:sz w:val="24"/>
          <w:szCs w:val="24"/>
          <w:lang w:val="en-US"/>
        </w:rPr>
        <w:t xml:space="preserve">  </w:t>
      </w:r>
      <w:r w:rsidR="00CE0D4F">
        <w:rPr>
          <w:rFonts w:ascii="Arial" w:hAnsi="Arial" w:cs="Arial"/>
          <w:sz w:val="24"/>
          <w:szCs w:val="24"/>
          <w:lang w:val="en-US"/>
        </w:rPr>
        <w:t>A separate judgment setting out my reasons for dismissing the counter-claim in the sequestration application is delivered simultaneously and, as appears from that judgment, much of what I set out below applies with equal force to that decision</w:t>
      </w:r>
      <w:r w:rsidR="006564A3">
        <w:rPr>
          <w:rFonts w:ascii="Arial" w:hAnsi="Arial" w:cs="Arial"/>
          <w:sz w:val="24"/>
          <w:szCs w:val="24"/>
          <w:lang w:val="en-US"/>
        </w:rPr>
        <w:t>, specifically what is set out in paragraphs 5 to 44</w:t>
      </w:r>
      <w:r w:rsidR="00CE0D4F">
        <w:rPr>
          <w:rFonts w:ascii="Arial" w:hAnsi="Arial" w:cs="Arial"/>
          <w:sz w:val="24"/>
          <w:szCs w:val="24"/>
          <w:lang w:val="en-US"/>
        </w:rPr>
        <w:t>.</w:t>
      </w:r>
    </w:p>
    <w:p w14:paraId="5F17F44B" w14:textId="77777777" w:rsidR="0034639E" w:rsidRDefault="0034639E" w:rsidP="007F3880">
      <w:pPr>
        <w:rPr>
          <w:rFonts w:ascii="Arial" w:hAnsi="Arial" w:cs="Arial"/>
          <w:b/>
          <w:sz w:val="24"/>
          <w:szCs w:val="24"/>
          <w:lang w:val="en-US"/>
        </w:rPr>
      </w:pPr>
    </w:p>
    <w:p w14:paraId="3503B757" w14:textId="77777777" w:rsidR="000B02F5" w:rsidRDefault="007F3880" w:rsidP="007F3880">
      <w:pPr>
        <w:rPr>
          <w:rFonts w:ascii="Arial" w:hAnsi="Arial" w:cs="Arial"/>
          <w:b/>
          <w:sz w:val="24"/>
          <w:szCs w:val="24"/>
          <w:lang w:val="en-US"/>
        </w:rPr>
      </w:pPr>
      <w:r w:rsidRPr="007F3880">
        <w:rPr>
          <w:rFonts w:ascii="Arial" w:hAnsi="Arial" w:cs="Arial"/>
          <w:b/>
          <w:sz w:val="24"/>
          <w:szCs w:val="24"/>
          <w:lang w:val="en-US"/>
        </w:rPr>
        <w:t>Background</w:t>
      </w:r>
    </w:p>
    <w:p w14:paraId="6A9D5321" w14:textId="77777777" w:rsidR="00FE7259" w:rsidRPr="007F3880" w:rsidRDefault="00FE7259" w:rsidP="007F3880">
      <w:pPr>
        <w:rPr>
          <w:rFonts w:ascii="Arial" w:hAnsi="Arial" w:cs="Arial"/>
          <w:b/>
          <w:sz w:val="24"/>
          <w:szCs w:val="24"/>
          <w:lang w:val="en-US"/>
        </w:rPr>
      </w:pPr>
    </w:p>
    <w:p w14:paraId="308B009E" w14:textId="77777777" w:rsidR="005B719B" w:rsidRDefault="00A479A8"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Investec instituted the winding-up application on 14 November 2022.  It did so on the basis that BIG is unable to </w:t>
      </w:r>
      <w:r w:rsidR="008C5077">
        <w:rPr>
          <w:rFonts w:ascii="Arial" w:hAnsi="Arial" w:cs="Arial"/>
          <w:sz w:val="24"/>
          <w:szCs w:val="24"/>
          <w:lang w:val="en-US"/>
        </w:rPr>
        <w:t>pay its debts as contemplated by</w:t>
      </w:r>
      <w:r>
        <w:rPr>
          <w:rFonts w:ascii="Arial" w:hAnsi="Arial" w:cs="Arial"/>
          <w:sz w:val="24"/>
          <w:szCs w:val="24"/>
          <w:lang w:val="en-US"/>
        </w:rPr>
        <w:t xml:space="preserve"> section 344(f)</w:t>
      </w:r>
      <w:r w:rsidR="00292301">
        <w:rPr>
          <w:rStyle w:val="FootnoteReference"/>
          <w:rFonts w:ascii="Arial" w:hAnsi="Arial" w:cs="Arial"/>
          <w:sz w:val="24"/>
          <w:szCs w:val="24"/>
          <w:lang w:val="en-US"/>
        </w:rPr>
        <w:footnoteReference w:id="6"/>
      </w:r>
      <w:r>
        <w:rPr>
          <w:rFonts w:ascii="Arial" w:hAnsi="Arial" w:cs="Arial"/>
          <w:sz w:val="24"/>
          <w:szCs w:val="24"/>
          <w:lang w:val="en-US"/>
        </w:rPr>
        <w:t xml:space="preserve"> read with section 345(c)</w:t>
      </w:r>
      <w:r w:rsidR="00292301">
        <w:rPr>
          <w:rStyle w:val="FootnoteReference"/>
          <w:rFonts w:ascii="Arial" w:hAnsi="Arial" w:cs="Arial"/>
          <w:sz w:val="24"/>
          <w:szCs w:val="24"/>
          <w:lang w:val="en-US"/>
        </w:rPr>
        <w:footnoteReference w:id="7"/>
      </w:r>
      <w:r>
        <w:rPr>
          <w:rFonts w:ascii="Arial" w:hAnsi="Arial" w:cs="Arial"/>
          <w:sz w:val="24"/>
          <w:szCs w:val="24"/>
          <w:lang w:val="en-US"/>
        </w:rPr>
        <w:t xml:space="preserve"> of the Companies Act 61 of 1973 as amended (the 1973 </w:t>
      </w:r>
      <w:r>
        <w:rPr>
          <w:rFonts w:ascii="Arial" w:hAnsi="Arial" w:cs="Arial"/>
          <w:sz w:val="24"/>
          <w:szCs w:val="24"/>
          <w:lang w:val="en-US"/>
        </w:rPr>
        <w:lastRenderedPageBreak/>
        <w:t>Companies Act) as read with item 9 of Schedule 5 of the Companies Act 71 of 2008 as amended (the 2008 Companies Act).</w:t>
      </w:r>
      <w:r w:rsidR="00292301">
        <w:rPr>
          <w:rStyle w:val="FootnoteReference"/>
          <w:rFonts w:ascii="Arial" w:hAnsi="Arial" w:cs="Arial"/>
          <w:sz w:val="24"/>
          <w:szCs w:val="24"/>
          <w:lang w:val="en-US"/>
        </w:rPr>
        <w:footnoteReference w:id="8"/>
      </w:r>
    </w:p>
    <w:p w14:paraId="5FA368E4" w14:textId="77777777" w:rsidR="005B719B" w:rsidRPr="005B719B" w:rsidRDefault="005B719B" w:rsidP="005B719B">
      <w:pPr>
        <w:pStyle w:val="ListParagraph"/>
        <w:rPr>
          <w:rFonts w:ascii="Arial" w:hAnsi="Arial" w:cs="Arial"/>
          <w:sz w:val="24"/>
          <w:szCs w:val="24"/>
          <w:lang w:val="en-US"/>
        </w:rPr>
      </w:pPr>
    </w:p>
    <w:p w14:paraId="1AFBD536" w14:textId="77777777" w:rsidR="005B719B" w:rsidRDefault="005B719B"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BIG is a multi-disciplinary professional services firm offering a range of professional services such as business development, management consulting, procurement management, program and project management, corporate governance, internal audit and IT services and management.  </w:t>
      </w:r>
      <w:r w:rsidR="008C5077">
        <w:rPr>
          <w:rFonts w:ascii="Arial" w:hAnsi="Arial" w:cs="Arial"/>
          <w:sz w:val="24"/>
          <w:szCs w:val="24"/>
          <w:lang w:val="en-US"/>
        </w:rPr>
        <w:t xml:space="preserve">Investec alleges that </w:t>
      </w:r>
      <w:r w:rsidR="00A479A8">
        <w:rPr>
          <w:rFonts w:ascii="Arial" w:hAnsi="Arial" w:cs="Arial"/>
          <w:sz w:val="24"/>
          <w:szCs w:val="24"/>
          <w:lang w:val="en-US"/>
        </w:rPr>
        <w:t xml:space="preserve">BIG is indebted to </w:t>
      </w:r>
      <w:r w:rsidR="008C5077">
        <w:rPr>
          <w:rFonts w:ascii="Arial" w:hAnsi="Arial" w:cs="Arial"/>
          <w:sz w:val="24"/>
          <w:szCs w:val="24"/>
          <w:lang w:val="en-US"/>
        </w:rPr>
        <w:t xml:space="preserve">it </w:t>
      </w:r>
      <w:r w:rsidR="00A479A8">
        <w:rPr>
          <w:rFonts w:ascii="Arial" w:hAnsi="Arial" w:cs="Arial"/>
          <w:sz w:val="24"/>
          <w:szCs w:val="24"/>
          <w:lang w:val="en-US"/>
        </w:rPr>
        <w:t xml:space="preserve">in an amount </w:t>
      </w:r>
      <w:proofErr w:type="gramStart"/>
      <w:r w:rsidR="00A479A8">
        <w:rPr>
          <w:rFonts w:ascii="Arial" w:hAnsi="Arial" w:cs="Arial"/>
          <w:sz w:val="24"/>
          <w:szCs w:val="24"/>
          <w:lang w:val="en-US"/>
        </w:rPr>
        <w:t>in excess of</w:t>
      </w:r>
      <w:proofErr w:type="gramEnd"/>
      <w:r w:rsidR="00A479A8">
        <w:rPr>
          <w:rFonts w:ascii="Arial" w:hAnsi="Arial" w:cs="Arial"/>
          <w:sz w:val="24"/>
          <w:szCs w:val="24"/>
          <w:lang w:val="en-US"/>
        </w:rPr>
        <w:t xml:space="preserve"> R176 million.  </w:t>
      </w:r>
      <w:r>
        <w:rPr>
          <w:rFonts w:ascii="Arial" w:hAnsi="Arial" w:cs="Arial"/>
          <w:sz w:val="24"/>
          <w:szCs w:val="24"/>
          <w:lang w:val="en-US"/>
        </w:rPr>
        <w:t>The debt arises from two agreements:  an agreement referred to as the Working Capital Facility Agreement (and its Addendum) and an agreement referred to as the Term Loan Agreement.</w:t>
      </w:r>
    </w:p>
    <w:p w14:paraId="4A2F3F0D" w14:textId="77777777" w:rsidR="005B719B" w:rsidRPr="005B719B" w:rsidRDefault="005B719B" w:rsidP="005B719B">
      <w:pPr>
        <w:pStyle w:val="ListParagraph"/>
        <w:rPr>
          <w:rFonts w:ascii="Arial" w:hAnsi="Arial" w:cs="Arial"/>
          <w:sz w:val="24"/>
          <w:szCs w:val="24"/>
          <w:lang w:val="en-US"/>
        </w:rPr>
      </w:pPr>
    </w:p>
    <w:p w14:paraId="1192A5AD" w14:textId="77777777" w:rsidR="005B719B" w:rsidRDefault="005B719B"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According to Investec, the Working Capital Facility Agreement was concluded on 25 January 2021 between Investec</w:t>
      </w:r>
      <w:r w:rsidR="0082764F">
        <w:rPr>
          <w:rFonts w:ascii="Arial" w:hAnsi="Arial" w:cs="Arial"/>
          <w:sz w:val="24"/>
          <w:szCs w:val="24"/>
          <w:lang w:val="en-US"/>
        </w:rPr>
        <w:t xml:space="preserve"> (as lender)</w:t>
      </w:r>
      <w:r>
        <w:rPr>
          <w:rFonts w:ascii="Arial" w:hAnsi="Arial" w:cs="Arial"/>
          <w:sz w:val="24"/>
          <w:szCs w:val="24"/>
          <w:lang w:val="en-US"/>
        </w:rPr>
        <w:t>, BIG</w:t>
      </w:r>
      <w:r w:rsidR="0082764F">
        <w:rPr>
          <w:rFonts w:ascii="Arial" w:hAnsi="Arial" w:cs="Arial"/>
          <w:sz w:val="24"/>
          <w:szCs w:val="24"/>
          <w:lang w:val="en-US"/>
        </w:rPr>
        <w:t xml:space="preserve"> (as borrower)</w:t>
      </w:r>
      <w:r>
        <w:rPr>
          <w:rFonts w:ascii="Arial" w:hAnsi="Arial" w:cs="Arial"/>
          <w:sz w:val="24"/>
          <w:szCs w:val="24"/>
          <w:lang w:val="en-US"/>
        </w:rPr>
        <w:t xml:space="preserve"> and </w:t>
      </w:r>
      <w:r w:rsidR="0082764F">
        <w:rPr>
          <w:rFonts w:ascii="Arial" w:hAnsi="Arial" w:cs="Arial"/>
          <w:sz w:val="24"/>
          <w:szCs w:val="24"/>
          <w:lang w:val="en-US"/>
        </w:rPr>
        <w:t xml:space="preserve">GIC </w:t>
      </w:r>
      <w:r>
        <w:rPr>
          <w:rFonts w:ascii="Arial" w:hAnsi="Arial" w:cs="Arial"/>
          <w:sz w:val="24"/>
          <w:szCs w:val="24"/>
          <w:lang w:val="en-US"/>
        </w:rPr>
        <w:t>Ghana Infrastructure Group Limited (GIC)</w:t>
      </w:r>
      <w:r w:rsidR="0082764F">
        <w:rPr>
          <w:rFonts w:ascii="Arial" w:hAnsi="Arial" w:cs="Arial"/>
          <w:sz w:val="24"/>
          <w:szCs w:val="24"/>
          <w:lang w:val="en-US"/>
        </w:rPr>
        <w:t xml:space="preserve"> (as guarantor)</w:t>
      </w:r>
      <w:r>
        <w:rPr>
          <w:rFonts w:ascii="Arial" w:hAnsi="Arial" w:cs="Arial"/>
          <w:sz w:val="24"/>
          <w:szCs w:val="24"/>
          <w:lang w:val="en-US"/>
        </w:rPr>
        <w:t>.  Under the agreement</w:t>
      </w:r>
      <w:r w:rsidR="0034639E">
        <w:rPr>
          <w:rFonts w:ascii="Arial" w:hAnsi="Arial" w:cs="Arial"/>
          <w:sz w:val="24"/>
          <w:szCs w:val="24"/>
          <w:lang w:val="en-US"/>
        </w:rPr>
        <w:t>,</w:t>
      </w:r>
      <w:r>
        <w:rPr>
          <w:rFonts w:ascii="Arial" w:hAnsi="Arial" w:cs="Arial"/>
          <w:sz w:val="24"/>
          <w:szCs w:val="24"/>
          <w:lang w:val="en-US"/>
        </w:rPr>
        <w:t xml:space="preserve"> Investec made available to BIG a working capital facility</w:t>
      </w:r>
      <w:r w:rsidR="00D330DF">
        <w:rPr>
          <w:rFonts w:ascii="Arial" w:hAnsi="Arial" w:cs="Arial"/>
          <w:sz w:val="24"/>
          <w:szCs w:val="24"/>
          <w:lang w:val="en-US"/>
        </w:rPr>
        <w:t xml:space="preserve"> in the amount of R35 million. </w:t>
      </w:r>
      <w:r>
        <w:rPr>
          <w:rFonts w:ascii="Arial" w:hAnsi="Arial" w:cs="Arial"/>
          <w:sz w:val="24"/>
          <w:szCs w:val="24"/>
          <w:lang w:val="en-US"/>
        </w:rPr>
        <w:t xml:space="preserve"> </w:t>
      </w:r>
      <w:r w:rsidR="00D330DF">
        <w:rPr>
          <w:rFonts w:ascii="Arial" w:hAnsi="Arial" w:cs="Arial"/>
          <w:sz w:val="24"/>
          <w:szCs w:val="24"/>
          <w:lang w:val="en-US"/>
        </w:rPr>
        <w:t xml:space="preserve">On 23 February 2022, Investec (as lender) and BIG (as borrower) concluded an agreement referred to as the Addendum to the Working Capital Facility Agreement (the Addendum).  GIC, </w:t>
      </w:r>
      <w:proofErr w:type="spellStart"/>
      <w:r w:rsidR="00D330DF">
        <w:rPr>
          <w:rFonts w:ascii="Arial" w:hAnsi="Arial" w:cs="Arial"/>
          <w:sz w:val="24"/>
          <w:szCs w:val="24"/>
          <w:lang w:val="en-US"/>
        </w:rPr>
        <w:t>Quixie</w:t>
      </w:r>
      <w:proofErr w:type="spellEnd"/>
      <w:r w:rsidR="00D330DF">
        <w:rPr>
          <w:rFonts w:ascii="Arial" w:hAnsi="Arial" w:cs="Arial"/>
          <w:sz w:val="24"/>
          <w:szCs w:val="24"/>
          <w:lang w:val="en-US"/>
        </w:rPr>
        <w:t xml:space="preserve"> Investments Eight Propriety Limited</w:t>
      </w:r>
      <w:r w:rsidR="00013322">
        <w:rPr>
          <w:rFonts w:ascii="Arial" w:hAnsi="Arial" w:cs="Arial"/>
          <w:sz w:val="24"/>
          <w:szCs w:val="24"/>
          <w:lang w:val="en-US"/>
        </w:rPr>
        <w:t xml:space="preserve"> (</w:t>
      </w:r>
      <w:proofErr w:type="spellStart"/>
      <w:r w:rsidR="00013322">
        <w:rPr>
          <w:rFonts w:ascii="Arial" w:hAnsi="Arial" w:cs="Arial"/>
          <w:sz w:val="24"/>
          <w:szCs w:val="24"/>
          <w:lang w:val="en-US"/>
        </w:rPr>
        <w:t>Quixie</w:t>
      </w:r>
      <w:proofErr w:type="spellEnd"/>
      <w:r w:rsidR="00013322">
        <w:rPr>
          <w:rFonts w:ascii="Arial" w:hAnsi="Arial" w:cs="Arial"/>
          <w:sz w:val="24"/>
          <w:szCs w:val="24"/>
          <w:lang w:val="en-US"/>
        </w:rPr>
        <w:t>)</w:t>
      </w:r>
      <w:r w:rsidR="00D330DF">
        <w:rPr>
          <w:rFonts w:ascii="Arial" w:hAnsi="Arial" w:cs="Arial"/>
          <w:sz w:val="24"/>
          <w:szCs w:val="24"/>
          <w:lang w:val="en-US"/>
        </w:rPr>
        <w:t xml:space="preserve">, Singh </w:t>
      </w:r>
      <w:r w:rsidR="00D330DF">
        <w:rPr>
          <w:rFonts w:ascii="Arial" w:hAnsi="Arial" w:cs="Arial"/>
          <w:sz w:val="24"/>
          <w:szCs w:val="24"/>
          <w:lang w:val="en-US"/>
        </w:rPr>
        <w:lastRenderedPageBreak/>
        <w:t>and Rushil Singh</w:t>
      </w:r>
      <w:r w:rsidR="00380384">
        <w:rPr>
          <w:rFonts w:ascii="Arial" w:hAnsi="Arial" w:cs="Arial"/>
          <w:sz w:val="24"/>
          <w:szCs w:val="24"/>
          <w:lang w:val="en-US"/>
        </w:rPr>
        <w:t xml:space="preserve"> (Singh’s brother)</w:t>
      </w:r>
      <w:r w:rsidR="00D330DF">
        <w:rPr>
          <w:rFonts w:ascii="Arial" w:hAnsi="Arial" w:cs="Arial"/>
          <w:sz w:val="24"/>
          <w:szCs w:val="24"/>
          <w:lang w:val="en-US"/>
        </w:rPr>
        <w:t xml:space="preserve"> were also parties to the Addendum as guarantors.  Under the Addendum, further amounts were to be advanced</w:t>
      </w:r>
      <w:r w:rsidR="008C5077">
        <w:rPr>
          <w:rFonts w:ascii="Arial" w:hAnsi="Arial" w:cs="Arial"/>
          <w:sz w:val="24"/>
          <w:szCs w:val="24"/>
          <w:lang w:val="en-US"/>
        </w:rPr>
        <w:t xml:space="preserve"> (</w:t>
      </w:r>
      <w:r w:rsidR="00D330DF">
        <w:rPr>
          <w:rFonts w:ascii="Arial" w:hAnsi="Arial" w:cs="Arial"/>
          <w:sz w:val="24"/>
          <w:szCs w:val="24"/>
          <w:lang w:val="en-US"/>
        </w:rPr>
        <w:t>Addendum Fees</w:t>
      </w:r>
      <w:r w:rsidR="008C5077">
        <w:rPr>
          <w:rFonts w:ascii="Arial" w:hAnsi="Arial" w:cs="Arial"/>
          <w:sz w:val="24"/>
          <w:szCs w:val="24"/>
          <w:lang w:val="en-US"/>
        </w:rPr>
        <w:t>)</w:t>
      </w:r>
      <w:r w:rsidR="00D330DF">
        <w:rPr>
          <w:rFonts w:ascii="Arial" w:hAnsi="Arial" w:cs="Arial"/>
          <w:sz w:val="24"/>
          <w:szCs w:val="24"/>
          <w:lang w:val="en-US"/>
        </w:rPr>
        <w:t xml:space="preserve">.   Investec avers in the founding affidavit that it complied with its obligations under the Working Capital Facility Agreement read with the Addendum, and BIG became indebted to Investec under its terms. </w:t>
      </w:r>
      <w:r w:rsidR="00621984">
        <w:rPr>
          <w:rFonts w:ascii="Arial" w:hAnsi="Arial" w:cs="Arial"/>
          <w:sz w:val="24"/>
          <w:szCs w:val="24"/>
          <w:lang w:val="en-US"/>
        </w:rPr>
        <w:t xml:space="preserve"> Investec pleads BIG’s breach of these agreements arising from a failure to pay the amounts outstanding on or before the termination date being 25 August 2022.  On 8 November 2022, Investec</w:t>
      </w:r>
      <w:r w:rsidR="00C05573">
        <w:rPr>
          <w:rFonts w:ascii="Arial" w:hAnsi="Arial" w:cs="Arial"/>
          <w:sz w:val="24"/>
          <w:szCs w:val="24"/>
          <w:lang w:val="en-US"/>
        </w:rPr>
        <w:t xml:space="preserve"> (through its attorneys)</w:t>
      </w:r>
      <w:r w:rsidR="00621984">
        <w:rPr>
          <w:rFonts w:ascii="Arial" w:hAnsi="Arial" w:cs="Arial"/>
          <w:sz w:val="24"/>
          <w:szCs w:val="24"/>
          <w:lang w:val="en-US"/>
        </w:rPr>
        <w:t xml:space="preserve"> sent </w:t>
      </w:r>
      <w:r w:rsidR="006564A3">
        <w:rPr>
          <w:rFonts w:ascii="Arial" w:hAnsi="Arial" w:cs="Arial"/>
          <w:sz w:val="24"/>
          <w:szCs w:val="24"/>
          <w:lang w:val="en-US"/>
        </w:rPr>
        <w:t xml:space="preserve">BIG </w:t>
      </w:r>
      <w:r w:rsidR="00621984">
        <w:rPr>
          <w:rFonts w:ascii="Arial" w:hAnsi="Arial" w:cs="Arial"/>
          <w:sz w:val="24"/>
          <w:szCs w:val="24"/>
          <w:lang w:val="en-US"/>
        </w:rPr>
        <w:t xml:space="preserve">a letter of demand for the amount due being R35 161 866.38 plus interest, but BIG failed to pay. </w:t>
      </w:r>
      <w:r w:rsidR="0034639E">
        <w:rPr>
          <w:rFonts w:ascii="Arial" w:hAnsi="Arial" w:cs="Arial"/>
          <w:sz w:val="24"/>
          <w:szCs w:val="24"/>
          <w:lang w:val="en-US"/>
        </w:rPr>
        <w:t xml:space="preserve"> That</w:t>
      </w:r>
      <w:r w:rsidR="00C1338D">
        <w:rPr>
          <w:rFonts w:ascii="Arial" w:hAnsi="Arial" w:cs="Arial"/>
          <w:sz w:val="24"/>
          <w:szCs w:val="24"/>
          <w:lang w:val="en-US"/>
        </w:rPr>
        <w:t xml:space="preserve"> amount is certified as owing. </w:t>
      </w:r>
    </w:p>
    <w:p w14:paraId="41EA8A0E" w14:textId="77777777" w:rsidR="00D330DF" w:rsidRPr="00D330DF" w:rsidRDefault="00013322" w:rsidP="00D330DF">
      <w:pPr>
        <w:pStyle w:val="ListParagraph"/>
        <w:rPr>
          <w:rFonts w:ascii="Arial" w:hAnsi="Arial" w:cs="Arial"/>
          <w:sz w:val="24"/>
          <w:szCs w:val="24"/>
          <w:lang w:val="en-US"/>
        </w:rPr>
      </w:pPr>
      <w:r>
        <w:rPr>
          <w:rFonts w:ascii="Arial" w:hAnsi="Arial" w:cs="Arial"/>
          <w:sz w:val="24"/>
          <w:szCs w:val="24"/>
          <w:lang w:val="en-US"/>
        </w:rPr>
        <w:t>.</w:t>
      </w:r>
    </w:p>
    <w:p w14:paraId="5DBF1B5E" w14:textId="77777777" w:rsidR="00D330DF" w:rsidRDefault="00C05573"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Investec alleges that the Term Loan Agreement was concluded on </w:t>
      </w:r>
      <w:r w:rsidR="00D330DF">
        <w:rPr>
          <w:rFonts w:ascii="Arial" w:hAnsi="Arial" w:cs="Arial"/>
          <w:sz w:val="24"/>
          <w:szCs w:val="24"/>
          <w:lang w:val="en-US"/>
        </w:rPr>
        <w:t>19 April 2021</w:t>
      </w:r>
      <w:r>
        <w:rPr>
          <w:rFonts w:ascii="Arial" w:hAnsi="Arial" w:cs="Arial"/>
          <w:sz w:val="24"/>
          <w:szCs w:val="24"/>
          <w:lang w:val="en-US"/>
        </w:rPr>
        <w:t xml:space="preserve"> between </w:t>
      </w:r>
      <w:r w:rsidR="00D330DF">
        <w:rPr>
          <w:rFonts w:ascii="Arial" w:hAnsi="Arial" w:cs="Arial"/>
          <w:sz w:val="24"/>
          <w:szCs w:val="24"/>
          <w:lang w:val="en-US"/>
        </w:rPr>
        <w:t>Investec and BIG</w:t>
      </w:r>
      <w:r w:rsidR="0034639E">
        <w:rPr>
          <w:rFonts w:ascii="Arial" w:hAnsi="Arial" w:cs="Arial"/>
          <w:sz w:val="24"/>
          <w:szCs w:val="24"/>
          <w:lang w:val="en-US"/>
        </w:rPr>
        <w:t>.  In terms of that</w:t>
      </w:r>
      <w:r>
        <w:rPr>
          <w:rFonts w:ascii="Arial" w:hAnsi="Arial" w:cs="Arial"/>
          <w:sz w:val="24"/>
          <w:szCs w:val="24"/>
          <w:lang w:val="en-US"/>
        </w:rPr>
        <w:t xml:space="preserve"> agreement, </w:t>
      </w:r>
      <w:r w:rsidR="00D330DF">
        <w:rPr>
          <w:rFonts w:ascii="Arial" w:hAnsi="Arial" w:cs="Arial"/>
          <w:sz w:val="24"/>
          <w:szCs w:val="24"/>
          <w:lang w:val="en-US"/>
        </w:rPr>
        <w:t>Investec agreed to advance a loan to BIG in an amount of R150 750 000.00 (one hundred and fifty million se</w:t>
      </w:r>
      <w:r w:rsidR="008C5077">
        <w:rPr>
          <w:rFonts w:ascii="Arial" w:hAnsi="Arial" w:cs="Arial"/>
          <w:sz w:val="24"/>
          <w:szCs w:val="24"/>
          <w:lang w:val="en-US"/>
        </w:rPr>
        <w:t>ven hundred and fifty thousand r</w:t>
      </w:r>
      <w:r w:rsidR="00D330DF">
        <w:rPr>
          <w:rFonts w:ascii="Arial" w:hAnsi="Arial" w:cs="Arial"/>
          <w:sz w:val="24"/>
          <w:szCs w:val="24"/>
          <w:lang w:val="en-US"/>
        </w:rPr>
        <w:t>ands</w:t>
      </w:r>
      <w:r w:rsidR="00013322">
        <w:rPr>
          <w:rFonts w:ascii="Arial" w:hAnsi="Arial" w:cs="Arial"/>
          <w:sz w:val="24"/>
          <w:szCs w:val="24"/>
          <w:lang w:val="en-US"/>
        </w:rPr>
        <w:t xml:space="preserve">) pursuant to a loan facility.  Investec avers in the founding affidavit that it complied with its obligations under the Term Loan Agreement and that BIG became indebted to it under its terms.  </w:t>
      </w:r>
      <w:r>
        <w:rPr>
          <w:rFonts w:ascii="Arial" w:hAnsi="Arial" w:cs="Arial"/>
          <w:sz w:val="24"/>
          <w:szCs w:val="24"/>
          <w:lang w:val="en-US"/>
        </w:rPr>
        <w:t xml:space="preserve">BIG is alleged to have breached its terms by failing to make payment of the instalment due for payment on 31 October 2022.  On 8 November 2022, Investec (through its attorneys) sent </w:t>
      </w:r>
      <w:r w:rsidR="006564A3">
        <w:rPr>
          <w:rFonts w:ascii="Arial" w:hAnsi="Arial" w:cs="Arial"/>
          <w:sz w:val="24"/>
          <w:szCs w:val="24"/>
          <w:lang w:val="en-US"/>
        </w:rPr>
        <w:t xml:space="preserve">BIG </w:t>
      </w:r>
      <w:r>
        <w:rPr>
          <w:rFonts w:ascii="Arial" w:hAnsi="Arial" w:cs="Arial"/>
          <w:sz w:val="24"/>
          <w:szCs w:val="24"/>
          <w:lang w:val="en-US"/>
        </w:rPr>
        <w:t xml:space="preserve">a letter of demand notifying BIG that due to non-payment of the instalment and of the amounts due under the Working Capital Facility Agreement, the </w:t>
      </w:r>
      <w:r w:rsidR="00C1338D">
        <w:rPr>
          <w:rFonts w:ascii="Arial" w:hAnsi="Arial" w:cs="Arial"/>
          <w:sz w:val="24"/>
          <w:szCs w:val="24"/>
          <w:lang w:val="en-US"/>
        </w:rPr>
        <w:t>full amount outstanding, being R141 257 857.40, is payab</w:t>
      </w:r>
      <w:r w:rsidR="0034639E">
        <w:rPr>
          <w:rFonts w:ascii="Arial" w:hAnsi="Arial" w:cs="Arial"/>
          <w:sz w:val="24"/>
          <w:szCs w:val="24"/>
          <w:lang w:val="en-US"/>
        </w:rPr>
        <w:t>le together with interest.  That</w:t>
      </w:r>
      <w:r w:rsidR="00C1338D">
        <w:rPr>
          <w:rFonts w:ascii="Arial" w:hAnsi="Arial" w:cs="Arial"/>
          <w:sz w:val="24"/>
          <w:szCs w:val="24"/>
          <w:lang w:val="en-US"/>
        </w:rPr>
        <w:t xml:space="preserve"> amount is certified to be owing. </w:t>
      </w:r>
    </w:p>
    <w:p w14:paraId="0789CEA7" w14:textId="77777777" w:rsidR="00013322" w:rsidRPr="00013322" w:rsidRDefault="00013322" w:rsidP="00013322">
      <w:pPr>
        <w:pStyle w:val="ListParagraph"/>
        <w:rPr>
          <w:rFonts w:ascii="Arial" w:hAnsi="Arial" w:cs="Arial"/>
          <w:sz w:val="24"/>
          <w:szCs w:val="24"/>
          <w:lang w:val="en-US"/>
        </w:rPr>
      </w:pPr>
    </w:p>
    <w:p w14:paraId="4CC9868D" w14:textId="77777777" w:rsidR="00013322" w:rsidRDefault="00013322"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Investec also relies on BIG’s indebtedness to it under five </w:t>
      </w:r>
      <w:r w:rsidR="00C1338D">
        <w:rPr>
          <w:rFonts w:ascii="Arial" w:hAnsi="Arial" w:cs="Arial"/>
          <w:sz w:val="24"/>
          <w:szCs w:val="24"/>
          <w:lang w:val="en-US"/>
        </w:rPr>
        <w:t>instal</w:t>
      </w:r>
      <w:r>
        <w:rPr>
          <w:rFonts w:ascii="Arial" w:hAnsi="Arial" w:cs="Arial"/>
          <w:sz w:val="24"/>
          <w:szCs w:val="24"/>
          <w:lang w:val="en-US"/>
        </w:rPr>
        <w:t xml:space="preserve">ment sale agreements concluded between Investec and BIG to acquire and finance vehicles.  </w:t>
      </w:r>
      <w:r>
        <w:rPr>
          <w:rFonts w:ascii="Arial" w:hAnsi="Arial" w:cs="Arial"/>
          <w:sz w:val="24"/>
          <w:szCs w:val="24"/>
          <w:lang w:val="en-US"/>
        </w:rPr>
        <w:lastRenderedPageBreak/>
        <w:t>Investec pleads BIG’s indebtedness to it under five contracts in the amounts, respectively, of R32 504.56; R530 859.42; R912 553.81; R2 391 731.46 and R1 066 904.32.</w:t>
      </w:r>
      <w:r w:rsidR="00621984">
        <w:rPr>
          <w:rFonts w:ascii="Arial" w:hAnsi="Arial" w:cs="Arial"/>
          <w:sz w:val="24"/>
          <w:szCs w:val="24"/>
          <w:lang w:val="en-US"/>
        </w:rPr>
        <w:t xml:space="preserve">  Investec explains that these agreements are in default </w:t>
      </w:r>
      <w:proofErr w:type="gramStart"/>
      <w:r w:rsidR="00621984">
        <w:rPr>
          <w:rFonts w:ascii="Arial" w:hAnsi="Arial" w:cs="Arial"/>
          <w:sz w:val="24"/>
          <w:szCs w:val="24"/>
          <w:lang w:val="en-US"/>
        </w:rPr>
        <w:t>as a result of</w:t>
      </w:r>
      <w:proofErr w:type="gramEnd"/>
      <w:r w:rsidR="00621984">
        <w:rPr>
          <w:rFonts w:ascii="Arial" w:hAnsi="Arial" w:cs="Arial"/>
          <w:sz w:val="24"/>
          <w:szCs w:val="24"/>
          <w:lang w:val="en-US"/>
        </w:rPr>
        <w:t xml:space="preserve"> cross default provisions contained </w:t>
      </w:r>
      <w:r w:rsidR="0034639E">
        <w:rPr>
          <w:rFonts w:ascii="Arial" w:hAnsi="Arial" w:cs="Arial"/>
          <w:sz w:val="24"/>
          <w:szCs w:val="24"/>
          <w:lang w:val="en-US"/>
        </w:rPr>
        <w:t xml:space="preserve">in the respective agreements.  </w:t>
      </w:r>
      <w:r w:rsidR="00984626">
        <w:rPr>
          <w:rFonts w:ascii="Arial" w:hAnsi="Arial" w:cs="Arial"/>
          <w:sz w:val="24"/>
          <w:szCs w:val="24"/>
          <w:lang w:val="en-US"/>
        </w:rPr>
        <w:t>However, t</w:t>
      </w:r>
      <w:r w:rsidR="0034639E">
        <w:rPr>
          <w:rFonts w:ascii="Arial" w:hAnsi="Arial" w:cs="Arial"/>
          <w:sz w:val="24"/>
          <w:szCs w:val="24"/>
          <w:lang w:val="en-US"/>
        </w:rPr>
        <w:t xml:space="preserve">he agreements are not </w:t>
      </w:r>
      <w:proofErr w:type="gramStart"/>
      <w:r w:rsidR="0034639E">
        <w:rPr>
          <w:rFonts w:ascii="Arial" w:hAnsi="Arial" w:cs="Arial"/>
          <w:sz w:val="24"/>
          <w:szCs w:val="24"/>
          <w:lang w:val="en-US"/>
        </w:rPr>
        <w:t>attached</w:t>
      </w:r>
      <w:proofErr w:type="gramEnd"/>
      <w:r w:rsidR="0034639E">
        <w:rPr>
          <w:rFonts w:ascii="Arial" w:hAnsi="Arial" w:cs="Arial"/>
          <w:sz w:val="24"/>
          <w:szCs w:val="24"/>
          <w:lang w:val="en-US"/>
        </w:rPr>
        <w:t xml:space="preserve"> and the alleged indebtedness is pleaded in very general terms. </w:t>
      </w:r>
    </w:p>
    <w:p w14:paraId="6A3BBDAA" w14:textId="77777777" w:rsidR="00013322" w:rsidRPr="00013322" w:rsidRDefault="00013322" w:rsidP="00013322">
      <w:pPr>
        <w:pStyle w:val="ListParagraph"/>
        <w:rPr>
          <w:rFonts w:ascii="Arial" w:hAnsi="Arial" w:cs="Arial"/>
          <w:sz w:val="24"/>
          <w:szCs w:val="24"/>
          <w:lang w:val="en-US"/>
        </w:rPr>
      </w:pPr>
    </w:p>
    <w:p w14:paraId="10E818EC" w14:textId="77777777" w:rsidR="00C1338D" w:rsidRDefault="00013322"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In the founding affidavit, Investec explained that it holds security for BIG</w:t>
      </w:r>
      <w:r w:rsidR="0034639E">
        <w:rPr>
          <w:rFonts w:ascii="Arial" w:hAnsi="Arial" w:cs="Arial"/>
          <w:sz w:val="24"/>
          <w:szCs w:val="24"/>
          <w:lang w:val="en-US"/>
        </w:rPr>
        <w:t>’</w:t>
      </w:r>
      <w:r>
        <w:rPr>
          <w:rFonts w:ascii="Arial" w:hAnsi="Arial" w:cs="Arial"/>
          <w:sz w:val="24"/>
          <w:szCs w:val="24"/>
          <w:lang w:val="en-US"/>
        </w:rPr>
        <w:t>s indebtedness in respect of both the Working Capital Facility Agreement (read with the Addendum) and in respect of the Term Loan Agreement and referred to what security was held</w:t>
      </w:r>
      <w:r w:rsidR="007F3880">
        <w:rPr>
          <w:rFonts w:ascii="Arial" w:hAnsi="Arial" w:cs="Arial"/>
          <w:sz w:val="24"/>
          <w:szCs w:val="24"/>
          <w:lang w:val="en-US"/>
        </w:rPr>
        <w:t xml:space="preserve">.  </w:t>
      </w:r>
      <w:r w:rsidR="00621984">
        <w:rPr>
          <w:rFonts w:ascii="Arial" w:hAnsi="Arial" w:cs="Arial"/>
          <w:sz w:val="24"/>
          <w:szCs w:val="24"/>
          <w:lang w:val="en-US"/>
        </w:rPr>
        <w:t>Before instituting the winding-up application, Investec had exercised its rights under a security cession in terms of which BIG’s debtors would be required to pay amounts due to BIG directly to Investec</w:t>
      </w:r>
      <w:r w:rsidR="00CB3EE2">
        <w:rPr>
          <w:rFonts w:ascii="Arial" w:hAnsi="Arial" w:cs="Arial"/>
          <w:sz w:val="24"/>
          <w:szCs w:val="24"/>
          <w:lang w:val="en-US"/>
        </w:rPr>
        <w:t xml:space="preserve"> (the security cession)</w:t>
      </w:r>
      <w:r w:rsidR="00621984">
        <w:rPr>
          <w:rFonts w:ascii="Arial" w:hAnsi="Arial" w:cs="Arial"/>
          <w:sz w:val="24"/>
          <w:szCs w:val="24"/>
          <w:lang w:val="en-US"/>
        </w:rPr>
        <w:t>.  It was still in the process of exercising its rights in terms of the remaining security.</w:t>
      </w:r>
      <w:r w:rsidR="00E50FFB">
        <w:rPr>
          <w:rFonts w:ascii="Arial" w:hAnsi="Arial" w:cs="Arial"/>
          <w:sz w:val="24"/>
          <w:szCs w:val="24"/>
          <w:lang w:val="en-US"/>
        </w:rPr>
        <w:t xml:space="preserve">  For present purposes one form of security is </w:t>
      </w:r>
      <w:r w:rsidR="007F3880">
        <w:rPr>
          <w:rFonts w:ascii="Arial" w:hAnsi="Arial" w:cs="Arial"/>
          <w:sz w:val="24"/>
          <w:szCs w:val="24"/>
          <w:lang w:val="en-US"/>
        </w:rPr>
        <w:t xml:space="preserve">particularly </w:t>
      </w:r>
      <w:r w:rsidR="00E50FFB">
        <w:rPr>
          <w:rFonts w:ascii="Arial" w:hAnsi="Arial" w:cs="Arial"/>
          <w:sz w:val="24"/>
          <w:szCs w:val="24"/>
          <w:lang w:val="en-US"/>
        </w:rPr>
        <w:t>material, being certain demand guarantees purportedly issued by Stanbic Bank Ghana Limited (Stanbic).</w:t>
      </w:r>
    </w:p>
    <w:p w14:paraId="3310DA5F" w14:textId="77777777" w:rsidR="00C1338D" w:rsidRPr="00C1338D" w:rsidRDefault="00C1338D" w:rsidP="00C1338D">
      <w:pPr>
        <w:pStyle w:val="ListParagraph"/>
        <w:rPr>
          <w:rFonts w:ascii="Arial" w:hAnsi="Arial" w:cs="Arial"/>
          <w:sz w:val="24"/>
          <w:szCs w:val="24"/>
          <w:lang w:val="en-US"/>
        </w:rPr>
      </w:pPr>
    </w:p>
    <w:p w14:paraId="289630AD" w14:textId="77777777" w:rsidR="00E50FFB" w:rsidRDefault="00C1338D" w:rsidP="005B719B">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Matters took a turn shortly after Investec instituted the winding-up application on 14 November 2022.  The material events are detailed in a supplementary founding affidavit dated 18 November 2023</w:t>
      </w:r>
      <w:r w:rsidR="00F136AF">
        <w:rPr>
          <w:rFonts w:ascii="Arial" w:hAnsi="Arial" w:cs="Arial"/>
          <w:sz w:val="24"/>
          <w:szCs w:val="24"/>
          <w:lang w:val="en-US"/>
        </w:rPr>
        <w:t>, which</w:t>
      </w:r>
      <w:r>
        <w:rPr>
          <w:rFonts w:ascii="Arial" w:hAnsi="Arial" w:cs="Arial"/>
          <w:sz w:val="24"/>
          <w:szCs w:val="24"/>
          <w:lang w:val="en-US"/>
        </w:rPr>
        <w:t xml:space="preserve"> reveal</w:t>
      </w:r>
      <w:r w:rsidR="00F136AF">
        <w:rPr>
          <w:rFonts w:ascii="Arial" w:hAnsi="Arial" w:cs="Arial"/>
          <w:sz w:val="24"/>
          <w:szCs w:val="24"/>
          <w:lang w:val="en-US"/>
        </w:rPr>
        <w:t>s</w:t>
      </w:r>
      <w:r>
        <w:rPr>
          <w:rFonts w:ascii="Arial" w:hAnsi="Arial" w:cs="Arial"/>
          <w:sz w:val="24"/>
          <w:szCs w:val="24"/>
          <w:lang w:val="en-US"/>
        </w:rPr>
        <w:t xml:space="preserve"> that Investec had ascertained that the security it thought it held</w:t>
      </w:r>
      <w:r w:rsidR="00984626">
        <w:rPr>
          <w:rFonts w:ascii="Arial" w:hAnsi="Arial" w:cs="Arial"/>
          <w:sz w:val="24"/>
          <w:szCs w:val="24"/>
          <w:lang w:val="en-US"/>
        </w:rPr>
        <w:t>,</w:t>
      </w:r>
      <w:r>
        <w:rPr>
          <w:rFonts w:ascii="Arial" w:hAnsi="Arial" w:cs="Arial"/>
          <w:sz w:val="24"/>
          <w:szCs w:val="24"/>
          <w:lang w:val="en-US"/>
        </w:rPr>
        <w:t xml:space="preserve"> </w:t>
      </w:r>
      <w:r w:rsidR="00F136AF">
        <w:rPr>
          <w:rFonts w:ascii="Arial" w:hAnsi="Arial" w:cs="Arial"/>
          <w:sz w:val="24"/>
          <w:szCs w:val="24"/>
          <w:lang w:val="en-US"/>
        </w:rPr>
        <w:t>had</w:t>
      </w:r>
      <w:r w:rsidR="00984626">
        <w:rPr>
          <w:rFonts w:ascii="Arial" w:hAnsi="Arial" w:cs="Arial"/>
          <w:sz w:val="24"/>
          <w:szCs w:val="24"/>
          <w:lang w:val="en-US"/>
        </w:rPr>
        <w:t xml:space="preserve"> proved to be of limited value, which</w:t>
      </w:r>
      <w:r>
        <w:rPr>
          <w:rFonts w:ascii="Arial" w:hAnsi="Arial" w:cs="Arial"/>
          <w:sz w:val="24"/>
          <w:szCs w:val="24"/>
          <w:lang w:val="en-US"/>
        </w:rPr>
        <w:t xml:space="preserve"> left Investec heavily exposed.  </w:t>
      </w:r>
      <w:r w:rsidR="00F136AF">
        <w:rPr>
          <w:rFonts w:ascii="Arial" w:hAnsi="Arial" w:cs="Arial"/>
          <w:sz w:val="24"/>
          <w:szCs w:val="24"/>
          <w:lang w:val="en-US"/>
        </w:rPr>
        <w:t xml:space="preserve">Investec filed the </w:t>
      </w:r>
      <w:r>
        <w:rPr>
          <w:rFonts w:ascii="Arial" w:hAnsi="Arial" w:cs="Arial"/>
          <w:sz w:val="24"/>
          <w:szCs w:val="24"/>
          <w:lang w:val="en-US"/>
        </w:rPr>
        <w:t>supplementary affidavit to demonstrate that the application</w:t>
      </w:r>
      <w:r w:rsidR="00F136AF">
        <w:rPr>
          <w:rFonts w:ascii="Arial" w:hAnsi="Arial" w:cs="Arial"/>
          <w:sz w:val="24"/>
          <w:szCs w:val="24"/>
          <w:lang w:val="en-US"/>
        </w:rPr>
        <w:t xml:space="preserve"> had become urgent.  </w:t>
      </w:r>
      <w:r>
        <w:rPr>
          <w:rFonts w:ascii="Arial" w:hAnsi="Arial" w:cs="Arial"/>
          <w:sz w:val="24"/>
          <w:szCs w:val="24"/>
          <w:lang w:val="en-US"/>
        </w:rPr>
        <w:t xml:space="preserve">The </w:t>
      </w:r>
      <w:r w:rsidR="00E50FFB">
        <w:rPr>
          <w:rFonts w:ascii="Arial" w:hAnsi="Arial" w:cs="Arial"/>
          <w:sz w:val="24"/>
          <w:szCs w:val="24"/>
          <w:lang w:val="en-US"/>
        </w:rPr>
        <w:t>main event that triggered the</w:t>
      </w:r>
      <w:r w:rsidR="007F3880">
        <w:rPr>
          <w:rFonts w:ascii="Arial" w:hAnsi="Arial" w:cs="Arial"/>
          <w:sz w:val="24"/>
          <w:szCs w:val="24"/>
          <w:lang w:val="en-US"/>
        </w:rPr>
        <w:t xml:space="preserve"> </w:t>
      </w:r>
      <w:r w:rsidR="00E50FFB">
        <w:rPr>
          <w:rFonts w:ascii="Arial" w:hAnsi="Arial" w:cs="Arial"/>
          <w:sz w:val="24"/>
          <w:szCs w:val="24"/>
          <w:lang w:val="en-US"/>
        </w:rPr>
        <w:t xml:space="preserve">urgency is a communication from Stanbic that it did not consider itself liable to Investec under the demand guarantees.  The reason is that Stanbic had carefully reviewed the guarantees and conducted internal investigations to </w:t>
      </w:r>
      <w:r w:rsidR="00E50FFB">
        <w:rPr>
          <w:rFonts w:ascii="Arial" w:hAnsi="Arial" w:cs="Arial"/>
          <w:sz w:val="24"/>
          <w:szCs w:val="24"/>
          <w:lang w:val="en-US"/>
        </w:rPr>
        <w:lastRenderedPageBreak/>
        <w:t>ascertain their authenticity</w:t>
      </w:r>
      <w:r w:rsidR="006564A3">
        <w:rPr>
          <w:rFonts w:ascii="Arial" w:hAnsi="Arial" w:cs="Arial"/>
          <w:sz w:val="24"/>
          <w:szCs w:val="24"/>
          <w:lang w:val="en-US"/>
        </w:rPr>
        <w:t xml:space="preserve">:  </w:t>
      </w:r>
      <w:r w:rsidR="0034639E">
        <w:rPr>
          <w:rFonts w:ascii="Arial" w:hAnsi="Arial" w:cs="Arial"/>
          <w:sz w:val="24"/>
          <w:szCs w:val="24"/>
          <w:lang w:val="en-US"/>
        </w:rPr>
        <w:t xml:space="preserve">Stanbic </w:t>
      </w:r>
      <w:r w:rsidR="00E50FFB">
        <w:rPr>
          <w:rFonts w:ascii="Arial" w:hAnsi="Arial" w:cs="Arial"/>
          <w:sz w:val="24"/>
          <w:szCs w:val="24"/>
          <w:lang w:val="en-US"/>
        </w:rPr>
        <w:t>state</w:t>
      </w:r>
      <w:r w:rsidR="0034639E">
        <w:rPr>
          <w:rFonts w:ascii="Arial" w:hAnsi="Arial" w:cs="Arial"/>
          <w:sz w:val="24"/>
          <w:szCs w:val="24"/>
          <w:lang w:val="en-US"/>
        </w:rPr>
        <w:t>d</w:t>
      </w:r>
      <w:r w:rsidR="00E50FFB">
        <w:rPr>
          <w:rFonts w:ascii="Arial" w:hAnsi="Arial" w:cs="Arial"/>
          <w:sz w:val="24"/>
          <w:szCs w:val="24"/>
          <w:lang w:val="en-US"/>
        </w:rPr>
        <w:t xml:space="preserve"> unequivocally that the guarantees were not issued by Stanbic and are fake or forged.   Moreover, Investec was encountering difficulties realizing its security under the security cession in circumstances that</w:t>
      </w:r>
      <w:r w:rsidR="007F3880">
        <w:rPr>
          <w:rFonts w:ascii="Arial" w:hAnsi="Arial" w:cs="Arial"/>
          <w:sz w:val="24"/>
          <w:szCs w:val="24"/>
          <w:lang w:val="en-US"/>
        </w:rPr>
        <w:t xml:space="preserve"> appear to have</w:t>
      </w:r>
      <w:r w:rsidR="00E50FFB">
        <w:rPr>
          <w:rFonts w:ascii="Arial" w:hAnsi="Arial" w:cs="Arial"/>
          <w:sz w:val="24"/>
          <w:szCs w:val="24"/>
          <w:lang w:val="en-US"/>
        </w:rPr>
        <w:t xml:space="preserve"> led Investec to question whether it could rely on the debtors’ information supplied to it.</w:t>
      </w:r>
    </w:p>
    <w:p w14:paraId="24D61F3C" w14:textId="77777777" w:rsidR="00E50FFB" w:rsidRPr="00E50FFB" w:rsidRDefault="00E50FFB" w:rsidP="00E50FFB">
      <w:pPr>
        <w:pStyle w:val="ListParagraph"/>
        <w:rPr>
          <w:rFonts w:ascii="Arial" w:hAnsi="Arial" w:cs="Arial"/>
          <w:sz w:val="24"/>
          <w:szCs w:val="24"/>
          <w:lang w:val="en-US"/>
        </w:rPr>
      </w:pPr>
    </w:p>
    <w:p w14:paraId="45791817" w14:textId="77777777" w:rsidR="000917A2" w:rsidRDefault="00E50FFB" w:rsidP="007F3880">
      <w:pPr>
        <w:pStyle w:val="ListParagraph"/>
        <w:numPr>
          <w:ilvl w:val="0"/>
          <w:numId w:val="1"/>
        </w:numPr>
        <w:spacing w:line="480" w:lineRule="auto"/>
        <w:jc w:val="both"/>
        <w:rPr>
          <w:rFonts w:ascii="Arial" w:hAnsi="Arial" w:cs="Arial"/>
          <w:sz w:val="24"/>
          <w:szCs w:val="24"/>
          <w:lang w:val="en-US"/>
        </w:rPr>
      </w:pPr>
      <w:r w:rsidRPr="000917A2">
        <w:rPr>
          <w:rFonts w:ascii="Arial" w:hAnsi="Arial" w:cs="Arial"/>
          <w:sz w:val="24"/>
          <w:szCs w:val="24"/>
          <w:lang w:val="en-US"/>
        </w:rPr>
        <w:t>In the result, the winding-up application was heard on an urgent basis before Judge Collis</w:t>
      </w:r>
      <w:r w:rsidR="0034639E">
        <w:rPr>
          <w:rFonts w:ascii="Arial" w:hAnsi="Arial" w:cs="Arial"/>
          <w:sz w:val="24"/>
          <w:szCs w:val="24"/>
          <w:lang w:val="en-US"/>
        </w:rPr>
        <w:t xml:space="preserve">, who granted </w:t>
      </w:r>
      <w:r w:rsidRPr="000917A2">
        <w:rPr>
          <w:rFonts w:ascii="Arial" w:hAnsi="Arial" w:cs="Arial"/>
          <w:sz w:val="24"/>
          <w:szCs w:val="24"/>
          <w:lang w:val="en-US"/>
        </w:rPr>
        <w:t>a provisional order on 29 November 2022.  The return day was init</w:t>
      </w:r>
      <w:r w:rsidR="00511AB5">
        <w:rPr>
          <w:rFonts w:ascii="Arial" w:hAnsi="Arial" w:cs="Arial"/>
          <w:sz w:val="24"/>
          <w:szCs w:val="24"/>
          <w:lang w:val="en-US"/>
        </w:rPr>
        <w:t>ially set for 14 February 2023.</w:t>
      </w:r>
      <w:r w:rsidRPr="000917A2">
        <w:rPr>
          <w:rFonts w:ascii="Arial" w:hAnsi="Arial" w:cs="Arial"/>
          <w:sz w:val="24"/>
          <w:szCs w:val="24"/>
          <w:lang w:val="en-US"/>
        </w:rPr>
        <w:t xml:space="preserve"> </w:t>
      </w:r>
      <w:r w:rsidR="000917A2">
        <w:rPr>
          <w:rFonts w:ascii="Arial" w:hAnsi="Arial" w:cs="Arial"/>
          <w:sz w:val="24"/>
          <w:szCs w:val="24"/>
          <w:lang w:val="en-US"/>
        </w:rPr>
        <w:t xml:space="preserve"> </w:t>
      </w:r>
      <w:r w:rsidR="00511AB5">
        <w:rPr>
          <w:rFonts w:ascii="Arial" w:hAnsi="Arial" w:cs="Arial"/>
          <w:sz w:val="24"/>
          <w:szCs w:val="24"/>
          <w:lang w:val="en-US"/>
        </w:rPr>
        <w:t>C</w:t>
      </w:r>
      <w:r w:rsidR="000917A2">
        <w:rPr>
          <w:rFonts w:ascii="Arial" w:hAnsi="Arial" w:cs="Arial"/>
          <w:sz w:val="24"/>
          <w:szCs w:val="24"/>
          <w:lang w:val="en-US"/>
        </w:rPr>
        <w:t>ounsel for Investec and BIG confirmed that the orde</w:t>
      </w:r>
      <w:r w:rsidR="00511AB5">
        <w:rPr>
          <w:rFonts w:ascii="Arial" w:hAnsi="Arial" w:cs="Arial"/>
          <w:sz w:val="24"/>
          <w:szCs w:val="24"/>
          <w:lang w:val="en-US"/>
        </w:rPr>
        <w:t>r had been</w:t>
      </w:r>
      <w:r w:rsidR="000917A2">
        <w:rPr>
          <w:rFonts w:ascii="Arial" w:hAnsi="Arial" w:cs="Arial"/>
          <w:sz w:val="24"/>
          <w:szCs w:val="24"/>
          <w:lang w:val="en-US"/>
        </w:rPr>
        <w:t xml:space="preserve"> granted on an unopposed basis and in circumstances where BIG was represented by both senior and junior counsel. </w:t>
      </w:r>
    </w:p>
    <w:p w14:paraId="519DF548" w14:textId="77777777" w:rsidR="000917A2" w:rsidRPr="000917A2" w:rsidRDefault="000917A2" w:rsidP="000917A2">
      <w:pPr>
        <w:pStyle w:val="ListParagraph"/>
        <w:rPr>
          <w:rFonts w:ascii="Arial" w:hAnsi="Arial" w:cs="Arial"/>
          <w:sz w:val="24"/>
          <w:szCs w:val="24"/>
          <w:lang w:val="en-US"/>
        </w:rPr>
      </w:pPr>
    </w:p>
    <w:p w14:paraId="33D7BD93" w14:textId="77777777" w:rsidR="00511AB5" w:rsidRDefault="00E50FFB" w:rsidP="00511AB5">
      <w:pPr>
        <w:pStyle w:val="ListParagraph"/>
        <w:numPr>
          <w:ilvl w:val="0"/>
          <w:numId w:val="1"/>
        </w:numPr>
        <w:spacing w:line="480" w:lineRule="auto"/>
        <w:jc w:val="both"/>
        <w:rPr>
          <w:rFonts w:ascii="Arial" w:hAnsi="Arial" w:cs="Arial"/>
          <w:sz w:val="24"/>
          <w:szCs w:val="24"/>
          <w:lang w:val="en-US"/>
        </w:rPr>
      </w:pPr>
      <w:r w:rsidRPr="000917A2">
        <w:rPr>
          <w:rFonts w:ascii="Arial" w:hAnsi="Arial" w:cs="Arial"/>
          <w:sz w:val="24"/>
          <w:szCs w:val="24"/>
          <w:lang w:val="en-US"/>
        </w:rPr>
        <w:t>BIG delivered a notice of intention</w:t>
      </w:r>
      <w:r w:rsidR="000917A2">
        <w:rPr>
          <w:rFonts w:ascii="Arial" w:hAnsi="Arial" w:cs="Arial"/>
          <w:sz w:val="24"/>
          <w:szCs w:val="24"/>
          <w:lang w:val="en-US"/>
        </w:rPr>
        <w:t xml:space="preserve"> to oppose on 8 February 2023 and on 9 February 2023, delivered a no</w:t>
      </w:r>
      <w:r w:rsidR="000917A2" w:rsidRPr="00511AB5">
        <w:rPr>
          <w:rFonts w:ascii="Arial" w:hAnsi="Arial" w:cs="Arial"/>
          <w:sz w:val="24"/>
          <w:szCs w:val="24"/>
          <w:lang w:val="en-US"/>
        </w:rPr>
        <w:t xml:space="preserve">tice in terms of Rule 35(12).  </w:t>
      </w:r>
      <w:r w:rsidR="00461B43" w:rsidRPr="00511AB5">
        <w:rPr>
          <w:rFonts w:ascii="Arial" w:hAnsi="Arial" w:cs="Arial"/>
          <w:sz w:val="24"/>
          <w:szCs w:val="24"/>
          <w:lang w:val="en-US"/>
        </w:rPr>
        <w:t xml:space="preserve">In the </w:t>
      </w:r>
      <w:r w:rsidR="00511AB5" w:rsidRPr="00511AB5">
        <w:rPr>
          <w:rFonts w:ascii="Arial" w:hAnsi="Arial" w:cs="Arial"/>
          <w:sz w:val="24"/>
          <w:szCs w:val="24"/>
          <w:lang w:val="en-US"/>
        </w:rPr>
        <w:t>notice</w:t>
      </w:r>
      <w:r w:rsidR="006564A3">
        <w:rPr>
          <w:rFonts w:ascii="Arial" w:hAnsi="Arial" w:cs="Arial"/>
          <w:sz w:val="24"/>
          <w:szCs w:val="24"/>
          <w:lang w:val="en-US"/>
        </w:rPr>
        <w:t>,</w:t>
      </w:r>
      <w:r w:rsidR="00511AB5" w:rsidRPr="00511AB5">
        <w:rPr>
          <w:rFonts w:ascii="Arial" w:hAnsi="Arial" w:cs="Arial"/>
          <w:sz w:val="24"/>
          <w:szCs w:val="24"/>
          <w:lang w:val="en-US"/>
        </w:rPr>
        <w:t xml:space="preserve"> </w:t>
      </w:r>
      <w:r w:rsidR="00461B43" w:rsidRPr="00511AB5">
        <w:rPr>
          <w:rFonts w:ascii="Arial" w:hAnsi="Arial" w:cs="Arial"/>
          <w:sz w:val="24"/>
          <w:szCs w:val="24"/>
          <w:lang w:val="en-US"/>
        </w:rPr>
        <w:t xml:space="preserve">BIG sought access to </w:t>
      </w:r>
      <w:r w:rsidR="006564A3">
        <w:rPr>
          <w:rFonts w:ascii="Arial" w:hAnsi="Arial" w:cs="Arial"/>
          <w:sz w:val="24"/>
          <w:szCs w:val="24"/>
          <w:lang w:val="en-US"/>
        </w:rPr>
        <w:t xml:space="preserve">multiple </w:t>
      </w:r>
      <w:r w:rsidR="00511AB5" w:rsidRPr="00511AB5">
        <w:rPr>
          <w:rFonts w:ascii="Arial" w:hAnsi="Arial" w:cs="Arial"/>
          <w:sz w:val="24"/>
          <w:szCs w:val="24"/>
          <w:lang w:val="en-US"/>
        </w:rPr>
        <w:t xml:space="preserve">items. </w:t>
      </w:r>
      <w:r w:rsidR="00511AB5">
        <w:rPr>
          <w:rFonts w:ascii="Arial" w:hAnsi="Arial" w:cs="Arial"/>
          <w:sz w:val="24"/>
          <w:szCs w:val="24"/>
          <w:lang w:val="en-US"/>
        </w:rPr>
        <w:t xml:space="preserve"> </w:t>
      </w:r>
      <w:r w:rsidR="000917A2" w:rsidRPr="00511AB5">
        <w:rPr>
          <w:rFonts w:ascii="Arial" w:hAnsi="Arial" w:cs="Arial"/>
          <w:sz w:val="24"/>
          <w:szCs w:val="24"/>
          <w:lang w:val="en-US"/>
        </w:rPr>
        <w:t xml:space="preserve">On 14 February 2023, Judge </w:t>
      </w:r>
      <w:proofErr w:type="spellStart"/>
      <w:r w:rsidR="000917A2" w:rsidRPr="00511AB5">
        <w:rPr>
          <w:rFonts w:ascii="Arial" w:hAnsi="Arial" w:cs="Arial"/>
          <w:sz w:val="24"/>
          <w:szCs w:val="24"/>
          <w:lang w:val="en-US"/>
        </w:rPr>
        <w:t>Mokose</w:t>
      </w:r>
      <w:proofErr w:type="spellEnd"/>
      <w:r w:rsidR="000917A2" w:rsidRPr="00511AB5">
        <w:rPr>
          <w:rFonts w:ascii="Arial" w:hAnsi="Arial" w:cs="Arial"/>
          <w:sz w:val="24"/>
          <w:szCs w:val="24"/>
          <w:lang w:val="en-US"/>
        </w:rPr>
        <w:t xml:space="preserve"> granted an order by agreement between the parties, extending the return date to 5 June 2023 and regulating the further conduct of the matter.  In this regard, Investec was to deliver a response to the Rule 35(12) notice by 17 February 2023.  BIG was to deliver its affidavit in opposition to the final liquidation order by no later than 3 March 2023 and further dates were set for a replying affidavit and heads of argument. </w:t>
      </w:r>
    </w:p>
    <w:p w14:paraId="769071E3" w14:textId="77777777" w:rsidR="00511AB5" w:rsidRPr="00511AB5" w:rsidRDefault="00511AB5" w:rsidP="00511AB5">
      <w:pPr>
        <w:pStyle w:val="ListParagraph"/>
        <w:rPr>
          <w:rFonts w:ascii="Arial" w:hAnsi="Arial" w:cs="Arial"/>
          <w:sz w:val="24"/>
          <w:szCs w:val="24"/>
          <w:lang w:val="en-US"/>
        </w:rPr>
      </w:pPr>
    </w:p>
    <w:p w14:paraId="1E6E083B" w14:textId="77777777" w:rsidR="00947786" w:rsidRPr="00AA0DFD" w:rsidRDefault="00623E4E" w:rsidP="00AA0DFD">
      <w:pPr>
        <w:pStyle w:val="ListParagraph"/>
        <w:numPr>
          <w:ilvl w:val="0"/>
          <w:numId w:val="1"/>
        </w:numPr>
        <w:spacing w:line="480" w:lineRule="auto"/>
        <w:jc w:val="both"/>
        <w:rPr>
          <w:rFonts w:ascii="Arial" w:hAnsi="Arial" w:cs="Arial"/>
          <w:sz w:val="24"/>
          <w:szCs w:val="24"/>
          <w:lang w:val="en-US"/>
        </w:rPr>
      </w:pPr>
      <w:r w:rsidRPr="00511AB5">
        <w:rPr>
          <w:rFonts w:ascii="Arial" w:hAnsi="Arial" w:cs="Arial"/>
          <w:sz w:val="24"/>
          <w:szCs w:val="24"/>
          <w:lang w:val="en-US"/>
        </w:rPr>
        <w:t xml:space="preserve">On 17 February 2022, </w:t>
      </w:r>
      <w:r w:rsidR="000917A2" w:rsidRPr="00511AB5">
        <w:rPr>
          <w:rFonts w:ascii="Arial" w:hAnsi="Arial" w:cs="Arial"/>
          <w:sz w:val="24"/>
          <w:szCs w:val="24"/>
          <w:lang w:val="en-US"/>
        </w:rPr>
        <w:t xml:space="preserve">Investec delivered its response to the Rule 35(12) notice but on 22 February 2022, BIG delivered a notice in terms of Rule 30A </w:t>
      </w:r>
      <w:r w:rsidR="00E75EE7">
        <w:rPr>
          <w:rFonts w:ascii="Arial" w:hAnsi="Arial" w:cs="Arial"/>
          <w:sz w:val="24"/>
          <w:szCs w:val="24"/>
          <w:lang w:val="en-US"/>
        </w:rPr>
        <w:t xml:space="preserve">setting out its complaints regarding the response.  In this regard, Investec had provided </w:t>
      </w:r>
      <w:r w:rsidR="006564A3">
        <w:rPr>
          <w:rFonts w:ascii="Arial" w:hAnsi="Arial" w:cs="Arial"/>
          <w:sz w:val="24"/>
          <w:szCs w:val="24"/>
          <w:lang w:val="en-US"/>
        </w:rPr>
        <w:t xml:space="preserve">most of the items sought.  </w:t>
      </w:r>
      <w:r w:rsidR="00E75EE7">
        <w:rPr>
          <w:rFonts w:ascii="Arial" w:hAnsi="Arial" w:cs="Arial"/>
          <w:sz w:val="24"/>
          <w:szCs w:val="24"/>
          <w:lang w:val="en-US"/>
        </w:rPr>
        <w:t xml:space="preserve">One of </w:t>
      </w:r>
      <w:r w:rsidR="00984626">
        <w:rPr>
          <w:rFonts w:ascii="Arial" w:hAnsi="Arial" w:cs="Arial"/>
          <w:sz w:val="24"/>
          <w:szCs w:val="24"/>
          <w:lang w:val="en-US"/>
        </w:rPr>
        <w:t>several</w:t>
      </w:r>
      <w:r w:rsidR="00E75EE7">
        <w:rPr>
          <w:rFonts w:ascii="Arial" w:hAnsi="Arial" w:cs="Arial"/>
          <w:sz w:val="24"/>
          <w:szCs w:val="24"/>
          <w:lang w:val="en-US"/>
        </w:rPr>
        <w:t xml:space="preserve"> points of contention was that BIG sought to inspect original documents</w:t>
      </w:r>
      <w:r w:rsidR="00984626">
        <w:rPr>
          <w:rFonts w:ascii="Arial" w:hAnsi="Arial" w:cs="Arial"/>
          <w:sz w:val="24"/>
          <w:szCs w:val="24"/>
          <w:lang w:val="en-US"/>
        </w:rPr>
        <w:t>, not least in respect of the alleged agreements</w:t>
      </w:r>
      <w:r w:rsidR="00E75EE7">
        <w:rPr>
          <w:rFonts w:ascii="Arial" w:hAnsi="Arial" w:cs="Arial"/>
          <w:sz w:val="24"/>
          <w:szCs w:val="24"/>
          <w:lang w:val="en-US"/>
        </w:rPr>
        <w:t xml:space="preserve">.   </w:t>
      </w:r>
    </w:p>
    <w:p w14:paraId="7E3E6F29" w14:textId="77777777" w:rsidR="00E75EE7" w:rsidRPr="00E75EE7" w:rsidRDefault="00E75EE7" w:rsidP="00947786">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3C3B6CC9" w14:textId="77777777" w:rsidR="00520661" w:rsidRPr="00380384" w:rsidRDefault="00072C96" w:rsidP="00380384">
      <w:pPr>
        <w:pStyle w:val="ListParagraph"/>
        <w:numPr>
          <w:ilvl w:val="0"/>
          <w:numId w:val="1"/>
        </w:numPr>
        <w:spacing w:line="480" w:lineRule="auto"/>
        <w:jc w:val="both"/>
        <w:rPr>
          <w:rFonts w:ascii="Arial" w:hAnsi="Arial" w:cs="Arial"/>
          <w:sz w:val="24"/>
          <w:szCs w:val="24"/>
          <w:lang w:val="en-US"/>
        </w:rPr>
      </w:pPr>
      <w:r w:rsidRPr="00947786">
        <w:rPr>
          <w:rFonts w:ascii="Arial" w:hAnsi="Arial" w:cs="Arial"/>
          <w:sz w:val="24"/>
          <w:szCs w:val="24"/>
          <w:lang w:val="en-US"/>
        </w:rPr>
        <w:lastRenderedPageBreak/>
        <w:t>On 21 February 2023, Investec instituted the sequestration application</w:t>
      </w:r>
      <w:r w:rsidR="00380384">
        <w:rPr>
          <w:rFonts w:ascii="Arial" w:hAnsi="Arial" w:cs="Arial"/>
          <w:sz w:val="24"/>
          <w:szCs w:val="24"/>
          <w:lang w:val="en-US"/>
        </w:rPr>
        <w:t xml:space="preserve"> in respect of the estates of Singh and Killick</w:t>
      </w:r>
      <w:r w:rsidRPr="00947786">
        <w:rPr>
          <w:rFonts w:ascii="Arial" w:hAnsi="Arial" w:cs="Arial"/>
          <w:sz w:val="24"/>
          <w:szCs w:val="24"/>
          <w:lang w:val="en-US"/>
        </w:rPr>
        <w:t xml:space="preserve">. </w:t>
      </w:r>
      <w:r w:rsidR="00380384" w:rsidRPr="00380384">
        <w:rPr>
          <w:rFonts w:ascii="Arial" w:hAnsi="Arial" w:cs="Arial"/>
          <w:color w:val="000000" w:themeColor="text1"/>
          <w:sz w:val="24"/>
          <w:szCs w:val="24"/>
          <w:lang w:val="en-US"/>
        </w:rPr>
        <w:t>For present purpo</w:t>
      </w:r>
      <w:r w:rsidR="00380384">
        <w:rPr>
          <w:rFonts w:ascii="Arial" w:hAnsi="Arial" w:cs="Arial"/>
          <w:color w:val="000000" w:themeColor="text1"/>
          <w:sz w:val="24"/>
          <w:szCs w:val="24"/>
          <w:lang w:val="en-US"/>
        </w:rPr>
        <w:t>ses, it should be noted that Singh pursued a Rule 35(12) notice and Rule 30A application i</w:t>
      </w:r>
      <w:r w:rsidR="006564A3">
        <w:rPr>
          <w:rFonts w:ascii="Arial" w:hAnsi="Arial" w:cs="Arial"/>
          <w:color w:val="000000" w:themeColor="text1"/>
          <w:sz w:val="24"/>
          <w:szCs w:val="24"/>
          <w:lang w:val="en-US"/>
        </w:rPr>
        <w:t xml:space="preserve">n the sequestration application, also seeking multiple documents, many of which were provided.  </w:t>
      </w:r>
      <w:r w:rsidR="00380384">
        <w:rPr>
          <w:rFonts w:ascii="Arial" w:hAnsi="Arial" w:cs="Arial"/>
          <w:color w:val="000000" w:themeColor="text1"/>
          <w:sz w:val="24"/>
          <w:szCs w:val="24"/>
          <w:lang w:val="en-US"/>
        </w:rPr>
        <w:t>It can also be noted that a</w:t>
      </w:r>
      <w:r w:rsidR="00947786">
        <w:rPr>
          <w:rFonts w:ascii="Arial" w:hAnsi="Arial" w:cs="Arial"/>
          <w:sz w:val="24"/>
          <w:szCs w:val="24"/>
          <w:lang w:val="en-US"/>
        </w:rPr>
        <w:t xml:space="preserve">round this period, Investec instituted various other </w:t>
      </w:r>
      <w:r w:rsidR="00380384">
        <w:rPr>
          <w:rFonts w:ascii="Arial" w:hAnsi="Arial" w:cs="Arial"/>
          <w:sz w:val="24"/>
          <w:szCs w:val="24"/>
          <w:lang w:val="en-US"/>
        </w:rPr>
        <w:t xml:space="preserve">related </w:t>
      </w:r>
      <w:r w:rsidR="00947786">
        <w:rPr>
          <w:rFonts w:ascii="Arial" w:hAnsi="Arial" w:cs="Arial"/>
          <w:sz w:val="24"/>
          <w:szCs w:val="24"/>
          <w:lang w:val="en-US"/>
        </w:rPr>
        <w:t xml:space="preserve">applications </w:t>
      </w:r>
      <w:r w:rsidR="00380384">
        <w:rPr>
          <w:rFonts w:ascii="Arial" w:hAnsi="Arial" w:cs="Arial"/>
          <w:sz w:val="24"/>
          <w:szCs w:val="24"/>
          <w:lang w:val="en-US"/>
        </w:rPr>
        <w:t xml:space="preserve">including (amongst others) an application to liquidate </w:t>
      </w:r>
      <w:proofErr w:type="spellStart"/>
      <w:r w:rsidR="00947786">
        <w:rPr>
          <w:rFonts w:ascii="Arial" w:hAnsi="Arial" w:cs="Arial"/>
          <w:sz w:val="24"/>
          <w:szCs w:val="24"/>
          <w:lang w:val="en-US"/>
        </w:rPr>
        <w:t>Quixie</w:t>
      </w:r>
      <w:proofErr w:type="spellEnd"/>
      <w:r w:rsidR="00380384">
        <w:rPr>
          <w:rFonts w:ascii="Arial" w:hAnsi="Arial" w:cs="Arial"/>
          <w:sz w:val="24"/>
          <w:szCs w:val="24"/>
          <w:lang w:val="en-US"/>
        </w:rPr>
        <w:t xml:space="preserve"> (instituted on 15 February 2023) and an applicatio</w:t>
      </w:r>
      <w:r w:rsidR="00380384" w:rsidRPr="00380384">
        <w:rPr>
          <w:rFonts w:ascii="Arial" w:hAnsi="Arial" w:cs="Arial"/>
          <w:color w:val="000000" w:themeColor="text1"/>
          <w:sz w:val="24"/>
          <w:szCs w:val="24"/>
          <w:lang w:val="en-US"/>
        </w:rPr>
        <w:t>n to sequestrate Rushil Singh.</w:t>
      </w:r>
      <w:r w:rsidRPr="00380384">
        <w:rPr>
          <w:rFonts w:ascii="Arial" w:hAnsi="Arial" w:cs="Arial"/>
          <w:color w:val="000000" w:themeColor="text1"/>
          <w:sz w:val="24"/>
          <w:szCs w:val="24"/>
          <w:lang w:val="en-US"/>
        </w:rPr>
        <w:t xml:space="preserve"> </w:t>
      </w:r>
      <w:r w:rsidR="00380384" w:rsidRPr="00380384">
        <w:rPr>
          <w:rFonts w:ascii="Arial" w:hAnsi="Arial" w:cs="Arial"/>
          <w:color w:val="000000" w:themeColor="text1"/>
          <w:sz w:val="24"/>
          <w:szCs w:val="24"/>
          <w:lang w:val="en-US"/>
        </w:rPr>
        <w:t xml:space="preserve"> </w:t>
      </w:r>
    </w:p>
    <w:p w14:paraId="4EC91C48" w14:textId="77777777" w:rsidR="00520661" w:rsidRPr="00520661" w:rsidRDefault="00520661" w:rsidP="00520661">
      <w:pPr>
        <w:pStyle w:val="ListParagraph"/>
        <w:rPr>
          <w:rFonts w:ascii="Arial" w:hAnsi="Arial" w:cs="Arial"/>
          <w:sz w:val="24"/>
          <w:szCs w:val="24"/>
          <w:lang w:val="en-US"/>
        </w:rPr>
      </w:pPr>
    </w:p>
    <w:p w14:paraId="144ED804" w14:textId="77777777" w:rsidR="00623E4E" w:rsidRDefault="00520661" w:rsidP="007F3880">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On 14 March 2023, and by agreement between the parties, Judge Van der Westhuizen granted an order postponing the </w:t>
      </w:r>
      <w:r w:rsidR="00623E4E">
        <w:rPr>
          <w:rFonts w:ascii="Arial" w:hAnsi="Arial" w:cs="Arial"/>
          <w:sz w:val="24"/>
          <w:szCs w:val="24"/>
          <w:lang w:val="en-US"/>
        </w:rPr>
        <w:t>sequestration application to</w:t>
      </w:r>
      <w:r w:rsidR="00380384">
        <w:rPr>
          <w:rFonts w:ascii="Arial" w:hAnsi="Arial" w:cs="Arial"/>
          <w:sz w:val="24"/>
          <w:szCs w:val="24"/>
          <w:lang w:val="en-US"/>
        </w:rPr>
        <w:t xml:space="preserve"> enable it to</w:t>
      </w:r>
      <w:r w:rsidR="00623E4E">
        <w:rPr>
          <w:rFonts w:ascii="Arial" w:hAnsi="Arial" w:cs="Arial"/>
          <w:sz w:val="24"/>
          <w:szCs w:val="24"/>
          <w:lang w:val="en-US"/>
        </w:rPr>
        <w:t xml:space="preserve"> be heard </w:t>
      </w:r>
      <w:r>
        <w:rPr>
          <w:rFonts w:ascii="Arial" w:hAnsi="Arial" w:cs="Arial"/>
          <w:sz w:val="24"/>
          <w:szCs w:val="24"/>
          <w:lang w:val="en-US"/>
        </w:rPr>
        <w:t>on 5 and 6 June 2023 together with the winding-up application</w:t>
      </w:r>
      <w:r w:rsidR="00380384">
        <w:rPr>
          <w:rFonts w:ascii="Arial" w:hAnsi="Arial" w:cs="Arial"/>
          <w:sz w:val="24"/>
          <w:szCs w:val="24"/>
          <w:lang w:val="en-US"/>
        </w:rPr>
        <w:t xml:space="preserve">.  The order also </w:t>
      </w:r>
      <w:r w:rsidR="00623E4E">
        <w:rPr>
          <w:rFonts w:ascii="Arial" w:hAnsi="Arial" w:cs="Arial"/>
          <w:sz w:val="24"/>
          <w:szCs w:val="24"/>
          <w:lang w:val="en-US"/>
        </w:rPr>
        <w:t>regulat</w:t>
      </w:r>
      <w:r w:rsidR="00380384">
        <w:rPr>
          <w:rFonts w:ascii="Arial" w:hAnsi="Arial" w:cs="Arial"/>
          <w:sz w:val="24"/>
          <w:szCs w:val="24"/>
          <w:lang w:val="en-US"/>
        </w:rPr>
        <w:t>ed</w:t>
      </w:r>
      <w:r w:rsidR="00623E4E">
        <w:rPr>
          <w:rFonts w:ascii="Arial" w:hAnsi="Arial" w:cs="Arial"/>
          <w:sz w:val="24"/>
          <w:szCs w:val="24"/>
          <w:lang w:val="en-US"/>
        </w:rPr>
        <w:t xml:space="preserve"> the further conduct of the Rule 30A applications</w:t>
      </w:r>
      <w:r>
        <w:rPr>
          <w:rFonts w:ascii="Arial" w:hAnsi="Arial" w:cs="Arial"/>
          <w:sz w:val="24"/>
          <w:szCs w:val="24"/>
          <w:lang w:val="en-US"/>
        </w:rPr>
        <w:t xml:space="preserve"> (the Van der Westhuizen order).  </w:t>
      </w:r>
      <w:r w:rsidR="00380384">
        <w:rPr>
          <w:rFonts w:ascii="Arial" w:hAnsi="Arial" w:cs="Arial"/>
          <w:sz w:val="24"/>
          <w:szCs w:val="24"/>
          <w:lang w:val="en-US"/>
        </w:rPr>
        <w:t xml:space="preserve">In brief, the Van der Westhuizen order </w:t>
      </w:r>
      <w:r w:rsidR="00623E4E">
        <w:rPr>
          <w:rFonts w:ascii="Arial" w:hAnsi="Arial" w:cs="Arial"/>
          <w:sz w:val="24"/>
          <w:szCs w:val="24"/>
          <w:lang w:val="en-US"/>
        </w:rPr>
        <w:t xml:space="preserve">contemplated that the Rule 30A applications be </w:t>
      </w:r>
      <w:r w:rsidR="00213A8D">
        <w:rPr>
          <w:rFonts w:ascii="Arial" w:hAnsi="Arial" w:cs="Arial"/>
          <w:sz w:val="24"/>
          <w:szCs w:val="24"/>
          <w:lang w:val="en-US"/>
        </w:rPr>
        <w:t>delivered by 20 M</w:t>
      </w:r>
      <w:r w:rsidR="00623E4E">
        <w:rPr>
          <w:rFonts w:ascii="Arial" w:hAnsi="Arial" w:cs="Arial"/>
          <w:sz w:val="24"/>
          <w:szCs w:val="24"/>
          <w:lang w:val="en-US"/>
        </w:rPr>
        <w:t>arch 2023</w:t>
      </w:r>
      <w:r w:rsidR="002B4182">
        <w:rPr>
          <w:rStyle w:val="FootnoteReference"/>
          <w:rFonts w:ascii="Arial" w:hAnsi="Arial" w:cs="Arial"/>
          <w:sz w:val="24"/>
          <w:szCs w:val="24"/>
          <w:lang w:val="en-US"/>
        </w:rPr>
        <w:footnoteReference w:id="9"/>
      </w:r>
      <w:r w:rsidR="00623E4E">
        <w:rPr>
          <w:rFonts w:ascii="Arial" w:hAnsi="Arial" w:cs="Arial"/>
          <w:sz w:val="24"/>
          <w:szCs w:val="24"/>
          <w:lang w:val="en-US"/>
        </w:rPr>
        <w:t xml:space="preserve"> and argued on 21 April 2023.  In paragraph 3 of the order, Singh, Killick and BIG were directed to file any supplementary affidavits in both applications by no later than 28 April 2023.  Investec was to file its replying affidavit in both applications by 8 May 2023.</w:t>
      </w:r>
    </w:p>
    <w:p w14:paraId="2FC1CD79" w14:textId="77777777" w:rsidR="00AA0DFD" w:rsidRPr="00AA0DFD" w:rsidRDefault="00AA0DFD" w:rsidP="00AA0DFD">
      <w:pPr>
        <w:pStyle w:val="ListParagraph"/>
        <w:rPr>
          <w:rFonts w:ascii="Arial" w:hAnsi="Arial" w:cs="Arial"/>
          <w:sz w:val="24"/>
          <w:szCs w:val="24"/>
          <w:lang w:val="en-US"/>
        </w:rPr>
      </w:pPr>
    </w:p>
    <w:p w14:paraId="38F46164" w14:textId="77777777" w:rsidR="00AA0DFD" w:rsidRDefault="00AA0DFD" w:rsidP="00AA0DFD">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On 16 March 2023, Investec produced some 41 items for inspection and copying including, amongst others, the originals of the Working Capital Facility Agreement, its Addendum, the Term Loan </w:t>
      </w:r>
      <w:proofErr w:type="gramStart"/>
      <w:r>
        <w:rPr>
          <w:rFonts w:ascii="Arial" w:hAnsi="Arial" w:cs="Arial"/>
          <w:sz w:val="24"/>
          <w:szCs w:val="24"/>
          <w:lang w:val="en-US"/>
        </w:rPr>
        <w:t>Agreement</w:t>
      </w:r>
      <w:proofErr w:type="gramEnd"/>
      <w:r>
        <w:rPr>
          <w:rFonts w:ascii="Arial" w:hAnsi="Arial" w:cs="Arial"/>
          <w:sz w:val="24"/>
          <w:szCs w:val="24"/>
          <w:lang w:val="en-US"/>
        </w:rPr>
        <w:t xml:space="preserve"> and the instalment sale agreements.  Investec also produced either originals or copies of the security documentation.  In the result, the ongoing dispute between the parties regarding access to documentation wa</w:t>
      </w:r>
      <w:r w:rsidR="00984626">
        <w:rPr>
          <w:rFonts w:ascii="Arial" w:hAnsi="Arial" w:cs="Arial"/>
          <w:sz w:val="24"/>
          <w:szCs w:val="24"/>
          <w:lang w:val="en-US"/>
        </w:rPr>
        <w:t xml:space="preserve">s substantially narrowed. </w:t>
      </w:r>
    </w:p>
    <w:p w14:paraId="12490948" w14:textId="77777777" w:rsidR="00AA0DFD" w:rsidRPr="00E75EE7" w:rsidRDefault="00AA0DFD" w:rsidP="00AA0DFD">
      <w:pPr>
        <w:pStyle w:val="ListParagraph"/>
        <w:rPr>
          <w:rFonts w:ascii="Arial" w:hAnsi="Arial" w:cs="Arial"/>
          <w:sz w:val="24"/>
          <w:szCs w:val="24"/>
          <w:lang w:val="en-US"/>
        </w:rPr>
      </w:pPr>
    </w:p>
    <w:p w14:paraId="16F5BB5E" w14:textId="77777777" w:rsidR="00AA0DFD" w:rsidRDefault="006564A3" w:rsidP="00AA0DFD">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lastRenderedPageBreak/>
        <w:t xml:space="preserve">The </w:t>
      </w:r>
      <w:r w:rsidR="00984626">
        <w:rPr>
          <w:rFonts w:ascii="Arial" w:hAnsi="Arial" w:cs="Arial"/>
          <w:sz w:val="24"/>
          <w:szCs w:val="24"/>
          <w:lang w:val="en-US"/>
        </w:rPr>
        <w:t xml:space="preserve">remaining disputed </w:t>
      </w:r>
      <w:r w:rsidR="00AA0DFD">
        <w:rPr>
          <w:rFonts w:ascii="Arial" w:hAnsi="Arial" w:cs="Arial"/>
          <w:sz w:val="24"/>
          <w:szCs w:val="24"/>
          <w:lang w:val="en-US"/>
        </w:rPr>
        <w:t xml:space="preserve">item </w:t>
      </w:r>
      <w:r w:rsidR="00984626">
        <w:rPr>
          <w:rFonts w:ascii="Arial" w:hAnsi="Arial" w:cs="Arial"/>
          <w:sz w:val="24"/>
          <w:szCs w:val="24"/>
          <w:lang w:val="en-US"/>
        </w:rPr>
        <w:t>was</w:t>
      </w:r>
      <w:r w:rsidR="00AA0DFD">
        <w:rPr>
          <w:rFonts w:ascii="Arial" w:hAnsi="Arial" w:cs="Arial"/>
          <w:sz w:val="24"/>
          <w:szCs w:val="24"/>
          <w:lang w:val="en-US"/>
        </w:rPr>
        <w:t xml:space="preserve"> ‘records, </w:t>
      </w:r>
      <w:proofErr w:type="gramStart"/>
      <w:r w:rsidR="00AA0DFD">
        <w:rPr>
          <w:rFonts w:ascii="Arial" w:hAnsi="Arial" w:cs="Arial"/>
          <w:sz w:val="24"/>
          <w:szCs w:val="24"/>
          <w:lang w:val="en-US"/>
        </w:rPr>
        <w:t>accounts</w:t>
      </w:r>
      <w:proofErr w:type="gramEnd"/>
      <w:r w:rsidR="00AA0DFD">
        <w:rPr>
          <w:rFonts w:ascii="Arial" w:hAnsi="Arial" w:cs="Arial"/>
          <w:sz w:val="24"/>
          <w:szCs w:val="24"/>
          <w:lang w:val="en-US"/>
        </w:rPr>
        <w:t xml:space="preserve"> and other relevant documents’ in the possession of the deponent to the founding affidavit.  </w:t>
      </w:r>
      <w:r>
        <w:rPr>
          <w:rFonts w:ascii="Arial" w:hAnsi="Arial" w:cs="Arial"/>
          <w:sz w:val="24"/>
          <w:szCs w:val="24"/>
          <w:lang w:val="en-US"/>
        </w:rPr>
        <w:t xml:space="preserve"> In the liquidation application, t</w:t>
      </w:r>
      <w:r w:rsidR="00AA0DFD">
        <w:rPr>
          <w:rFonts w:ascii="Arial" w:hAnsi="Arial" w:cs="Arial"/>
          <w:sz w:val="24"/>
          <w:szCs w:val="24"/>
          <w:lang w:val="en-US"/>
        </w:rPr>
        <w:t xml:space="preserve">he request under Rule 35(12) was made in connection with an allegation in paragraph 3 of the founding affidavit where Investec’s deponent, Mr Geetaben </w:t>
      </w:r>
      <w:proofErr w:type="spellStart"/>
      <w:r w:rsidR="00AA0DFD">
        <w:rPr>
          <w:rFonts w:ascii="Arial" w:hAnsi="Arial" w:cs="Arial"/>
          <w:sz w:val="24"/>
          <w:szCs w:val="24"/>
          <w:lang w:val="en-US"/>
        </w:rPr>
        <w:t>Bhagwandas</w:t>
      </w:r>
      <w:proofErr w:type="spellEnd"/>
      <w:r w:rsidR="00AA0DFD">
        <w:rPr>
          <w:rFonts w:ascii="Arial" w:hAnsi="Arial" w:cs="Arial"/>
          <w:sz w:val="24"/>
          <w:szCs w:val="24"/>
          <w:lang w:val="en-US"/>
        </w:rPr>
        <w:t xml:space="preserve">, explained the basis upon which he has knowledge of Investec’s claims against BIG and upon which the liquidation application is based.  He stated:  </w:t>
      </w:r>
    </w:p>
    <w:p w14:paraId="6C21BF11" w14:textId="77777777" w:rsidR="00AA0DFD" w:rsidRPr="00E75EE7" w:rsidRDefault="00AA0DFD" w:rsidP="00AA0DFD">
      <w:pPr>
        <w:pStyle w:val="ListParagraph"/>
        <w:rPr>
          <w:rFonts w:ascii="Arial" w:hAnsi="Arial" w:cs="Arial"/>
          <w:sz w:val="24"/>
          <w:szCs w:val="24"/>
          <w:lang w:val="en-US"/>
        </w:rPr>
      </w:pPr>
    </w:p>
    <w:p w14:paraId="65ABD8AC" w14:textId="77777777" w:rsidR="00AA0DFD" w:rsidRPr="00380384" w:rsidRDefault="00AA0DFD" w:rsidP="00AA0DFD">
      <w:pPr>
        <w:pStyle w:val="ListParagraph"/>
        <w:spacing w:line="360" w:lineRule="auto"/>
        <w:ind w:left="1134"/>
        <w:jc w:val="both"/>
        <w:rPr>
          <w:rFonts w:ascii="Arial" w:hAnsi="Arial" w:cs="Arial"/>
          <w:lang w:val="en-US"/>
        </w:rPr>
      </w:pPr>
      <w:r w:rsidRPr="00380384">
        <w:rPr>
          <w:rFonts w:ascii="Arial" w:hAnsi="Arial" w:cs="Arial"/>
          <w:lang w:val="en-US"/>
        </w:rPr>
        <w:t xml:space="preserve">‘I have knowledge of [the claims] and the facts upon which the claims are based </w:t>
      </w:r>
      <w:proofErr w:type="gramStart"/>
      <w:r w:rsidRPr="00380384">
        <w:rPr>
          <w:rFonts w:ascii="Arial" w:hAnsi="Arial" w:cs="Arial"/>
          <w:lang w:val="en-US"/>
        </w:rPr>
        <w:t>as a result of</w:t>
      </w:r>
      <w:proofErr w:type="gramEnd"/>
      <w:r w:rsidRPr="00380384">
        <w:rPr>
          <w:rFonts w:ascii="Arial" w:hAnsi="Arial" w:cs="Arial"/>
          <w:lang w:val="en-US"/>
        </w:rPr>
        <w:t xml:space="preserve"> the execution of my functions as a legal manager in the employ of [Investec].  In the ordinary course of my duties as legal manager and having regard to [Investec’s] records, </w:t>
      </w:r>
      <w:proofErr w:type="gramStart"/>
      <w:r w:rsidRPr="00380384">
        <w:rPr>
          <w:rFonts w:ascii="Arial" w:hAnsi="Arial" w:cs="Arial"/>
          <w:lang w:val="en-US"/>
        </w:rPr>
        <w:t>accounts</w:t>
      </w:r>
      <w:proofErr w:type="gramEnd"/>
      <w:r w:rsidRPr="00380384">
        <w:rPr>
          <w:rFonts w:ascii="Arial" w:hAnsi="Arial" w:cs="Arial"/>
          <w:lang w:val="en-US"/>
        </w:rPr>
        <w:t xml:space="preserve"> and other relevant documents in my possession and under my control, I have acquired personal knowledge of [BIG’s] financial standing with [Investec].’  </w:t>
      </w:r>
    </w:p>
    <w:p w14:paraId="0CA43519" w14:textId="77777777" w:rsidR="00984626" w:rsidRPr="00256ED7" w:rsidRDefault="00984626" w:rsidP="00256ED7">
      <w:pPr>
        <w:spacing w:line="480" w:lineRule="auto"/>
        <w:jc w:val="both"/>
        <w:rPr>
          <w:rFonts w:ascii="Arial" w:hAnsi="Arial" w:cs="Arial"/>
          <w:sz w:val="24"/>
          <w:szCs w:val="24"/>
          <w:lang w:val="en-US"/>
        </w:rPr>
      </w:pPr>
    </w:p>
    <w:p w14:paraId="1295C82B" w14:textId="77777777" w:rsidR="003F2947" w:rsidRPr="006B34A5" w:rsidRDefault="000402DA" w:rsidP="006B34A5">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BIG persisted with </w:t>
      </w:r>
      <w:proofErr w:type="gramStart"/>
      <w:r>
        <w:rPr>
          <w:rFonts w:ascii="Arial" w:hAnsi="Arial" w:cs="Arial"/>
          <w:sz w:val="24"/>
          <w:szCs w:val="24"/>
          <w:lang w:val="en-US"/>
        </w:rPr>
        <w:t>the Rule</w:t>
      </w:r>
      <w:proofErr w:type="gramEnd"/>
      <w:r>
        <w:rPr>
          <w:rFonts w:ascii="Arial" w:hAnsi="Arial" w:cs="Arial"/>
          <w:sz w:val="24"/>
          <w:szCs w:val="24"/>
          <w:lang w:val="en-US"/>
        </w:rPr>
        <w:t xml:space="preserve"> 30A application</w:t>
      </w:r>
      <w:r w:rsidR="00845E1F">
        <w:rPr>
          <w:rFonts w:ascii="Arial" w:hAnsi="Arial" w:cs="Arial"/>
          <w:sz w:val="24"/>
          <w:szCs w:val="24"/>
          <w:lang w:val="en-US"/>
        </w:rPr>
        <w:t xml:space="preserve"> centrally</w:t>
      </w:r>
      <w:r>
        <w:rPr>
          <w:rFonts w:ascii="Arial" w:hAnsi="Arial" w:cs="Arial"/>
          <w:sz w:val="24"/>
          <w:szCs w:val="24"/>
          <w:lang w:val="en-US"/>
        </w:rPr>
        <w:t xml:space="preserve"> because it </w:t>
      </w:r>
      <w:r w:rsidR="006B34A5">
        <w:rPr>
          <w:rFonts w:ascii="Arial" w:hAnsi="Arial" w:cs="Arial"/>
          <w:sz w:val="24"/>
          <w:szCs w:val="24"/>
          <w:lang w:val="en-US"/>
        </w:rPr>
        <w:t xml:space="preserve">sought substantive relief in respect of access to these ‘records, accounts and other relevant documents’ referred to by Mr </w:t>
      </w:r>
      <w:proofErr w:type="spellStart"/>
      <w:r w:rsidR="006B34A5">
        <w:rPr>
          <w:rFonts w:ascii="Arial" w:hAnsi="Arial" w:cs="Arial"/>
          <w:sz w:val="24"/>
          <w:szCs w:val="24"/>
          <w:lang w:val="en-US"/>
        </w:rPr>
        <w:t>Bhagwandas</w:t>
      </w:r>
      <w:proofErr w:type="spellEnd"/>
      <w:r w:rsidR="006B34A5">
        <w:rPr>
          <w:rFonts w:ascii="Arial" w:hAnsi="Arial" w:cs="Arial"/>
          <w:sz w:val="24"/>
          <w:szCs w:val="24"/>
          <w:lang w:val="en-US"/>
        </w:rPr>
        <w:t xml:space="preserve"> and to obtain a costs order.  </w:t>
      </w:r>
      <w:r w:rsidR="006564A3">
        <w:rPr>
          <w:rFonts w:ascii="Arial" w:hAnsi="Arial" w:cs="Arial"/>
          <w:sz w:val="24"/>
          <w:szCs w:val="24"/>
          <w:lang w:val="en-US"/>
        </w:rPr>
        <w:t xml:space="preserve">BIG </w:t>
      </w:r>
      <w:r w:rsidR="006B34A5">
        <w:rPr>
          <w:rFonts w:ascii="Arial" w:hAnsi="Arial" w:cs="Arial"/>
          <w:sz w:val="24"/>
          <w:szCs w:val="24"/>
          <w:lang w:val="en-US"/>
        </w:rPr>
        <w:t>alleged</w:t>
      </w:r>
      <w:r w:rsidRPr="006B34A5">
        <w:rPr>
          <w:rFonts w:ascii="Arial" w:hAnsi="Arial" w:cs="Arial"/>
          <w:sz w:val="24"/>
          <w:szCs w:val="24"/>
          <w:lang w:val="en-US"/>
        </w:rPr>
        <w:t xml:space="preserve"> that she wishes to inspect these documents to establish the alleged indebtedness that the applicant contends for and that it is axiomatic that she should be able do so </w:t>
      </w:r>
      <w:proofErr w:type="gramStart"/>
      <w:r w:rsidRPr="006B34A5">
        <w:rPr>
          <w:rFonts w:ascii="Arial" w:hAnsi="Arial" w:cs="Arial"/>
          <w:sz w:val="24"/>
          <w:szCs w:val="24"/>
          <w:lang w:val="en-US"/>
        </w:rPr>
        <w:t>in order to</w:t>
      </w:r>
      <w:proofErr w:type="gramEnd"/>
      <w:r w:rsidRPr="006B34A5">
        <w:rPr>
          <w:rFonts w:ascii="Arial" w:hAnsi="Arial" w:cs="Arial"/>
          <w:sz w:val="24"/>
          <w:szCs w:val="24"/>
          <w:lang w:val="en-US"/>
        </w:rPr>
        <w:t xml:space="preserve"> advance her case.   </w:t>
      </w:r>
      <w:r w:rsidR="006564A3">
        <w:rPr>
          <w:rFonts w:ascii="Arial" w:hAnsi="Arial" w:cs="Arial"/>
          <w:sz w:val="24"/>
          <w:szCs w:val="24"/>
          <w:lang w:val="en-US"/>
        </w:rPr>
        <w:t xml:space="preserve">This item also featured in the Rule 30A application in the sequestration application. </w:t>
      </w:r>
    </w:p>
    <w:p w14:paraId="172CC30F" w14:textId="77777777" w:rsidR="003F2947" w:rsidRDefault="000402DA" w:rsidP="003F2947">
      <w:pPr>
        <w:pStyle w:val="ListParagraph"/>
        <w:spacing w:line="480" w:lineRule="auto"/>
        <w:ind w:left="360"/>
        <w:jc w:val="both"/>
        <w:rPr>
          <w:rFonts w:ascii="Arial" w:hAnsi="Arial" w:cs="Arial"/>
          <w:sz w:val="24"/>
          <w:szCs w:val="24"/>
          <w:lang w:val="en-US"/>
        </w:rPr>
      </w:pPr>
      <w:r w:rsidRPr="000402DA">
        <w:rPr>
          <w:rFonts w:ascii="Arial" w:hAnsi="Arial" w:cs="Arial"/>
          <w:sz w:val="24"/>
          <w:szCs w:val="24"/>
          <w:lang w:val="en-US"/>
        </w:rPr>
        <w:t xml:space="preserve"> </w:t>
      </w:r>
    </w:p>
    <w:p w14:paraId="2B43DB16" w14:textId="77777777" w:rsidR="00072C96" w:rsidRDefault="006B34A5" w:rsidP="003F2947">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T</w:t>
      </w:r>
      <w:r w:rsidR="005E6791" w:rsidRPr="003F2947">
        <w:rPr>
          <w:rFonts w:ascii="Arial" w:hAnsi="Arial" w:cs="Arial"/>
          <w:sz w:val="24"/>
          <w:szCs w:val="24"/>
          <w:lang w:val="en-US"/>
        </w:rPr>
        <w:t>he Rule 30A application was heard on 19 May 2023 before Acting Judge Marx du Plessis, who dismissed the application</w:t>
      </w:r>
      <w:r w:rsidR="00F136AF" w:rsidRPr="003F2947">
        <w:rPr>
          <w:rFonts w:ascii="Arial" w:hAnsi="Arial" w:cs="Arial"/>
          <w:sz w:val="24"/>
          <w:szCs w:val="24"/>
          <w:lang w:val="en-US"/>
        </w:rPr>
        <w:t xml:space="preserve"> with costs on an attorney and client scale</w:t>
      </w:r>
      <w:r w:rsidR="005E6791" w:rsidRPr="003F2947">
        <w:rPr>
          <w:rFonts w:ascii="Arial" w:hAnsi="Arial" w:cs="Arial"/>
          <w:sz w:val="24"/>
          <w:szCs w:val="24"/>
          <w:lang w:val="en-US"/>
        </w:rPr>
        <w:t>.  On 24 May 2023, BIG requested reasons for the decision</w:t>
      </w:r>
      <w:r w:rsidR="00CE0D4F">
        <w:rPr>
          <w:rFonts w:ascii="Arial" w:hAnsi="Arial" w:cs="Arial"/>
          <w:sz w:val="24"/>
          <w:szCs w:val="24"/>
          <w:lang w:val="en-US"/>
        </w:rPr>
        <w:t xml:space="preserve"> but they were not immediately forthcoming</w:t>
      </w:r>
      <w:r w:rsidR="005E6791" w:rsidRPr="003F2947">
        <w:rPr>
          <w:rFonts w:ascii="Arial" w:hAnsi="Arial" w:cs="Arial"/>
          <w:sz w:val="24"/>
          <w:szCs w:val="24"/>
          <w:lang w:val="en-US"/>
        </w:rPr>
        <w:t xml:space="preserve">. </w:t>
      </w:r>
    </w:p>
    <w:p w14:paraId="65389D27" w14:textId="77777777" w:rsidR="006B34A5" w:rsidRPr="006B34A5" w:rsidRDefault="006B34A5" w:rsidP="006B34A5">
      <w:pPr>
        <w:pStyle w:val="ListParagraph"/>
        <w:rPr>
          <w:rFonts w:ascii="Arial" w:hAnsi="Arial" w:cs="Arial"/>
          <w:color w:val="000000" w:themeColor="text1"/>
          <w:sz w:val="24"/>
          <w:szCs w:val="24"/>
          <w:lang w:val="en-US"/>
        </w:rPr>
      </w:pPr>
    </w:p>
    <w:p w14:paraId="47F1C9EB" w14:textId="571A22E0" w:rsidR="005E6791" w:rsidRPr="006B34A5" w:rsidRDefault="00845E1F" w:rsidP="006B34A5">
      <w:pPr>
        <w:pStyle w:val="ListParagraph"/>
        <w:numPr>
          <w:ilvl w:val="0"/>
          <w:numId w:val="1"/>
        </w:num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At th</w:t>
      </w:r>
      <w:r w:rsidR="006564A3">
        <w:rPr>
          <w:rFonts w:ascii="Arial" w:hAnsi="Arial" w:cs="Arial"/>
          <w:color w:val="000000" w:themeColor="text1"/>
          <w:sz w:val="24"/>
          <w:szCs w:val="24"/>
          <w:lang w:val="en-US"/>
        </w:rPr>
        <w:t>at</w:t>
      </w:r>
      <w:r>
        <w:rPr>
          <w:rFonts w:ascii="Arial" w:hAnsi="Arial" w:cs="Arial"/>
          <w:color w:val="000000" w:themeColor="text1"/>
          <w:sz w:val="24"/>
          <w:szCs w:val="24"/>
          <w:lang w:val="en-US"/>
        </w:rPr>
        <w:t xml:space="preserve"> stage</w:t>
      </w:r>
      <w:r w:rsidR="006B34A5" w:rsidRPr="006B34A5">
        <w:rPr>
          <w:rFonts w:ascii="Arial" w:hAnsi="Arial" w:cs="Arial"/>
          <w:color w:val="000000" w:themeColor="text1"/>
          <w:sz w:val="24"/>
          <w:szCs w:val="24"/>
          <w:lang w:val="en-US"/>
        </w:rPr>
        <w:t xml:space="preserve">, BIG had in mind </w:t>
      </w:r>
      <w:r w:rsidR="006B34A5">
        <w:rPr>
          <w:rFonts w:ascii="Arial" w:hAnsi="Arial" w:cs="Arial"/>
          <w:color w:val="000000" w:themeColor="text1"/>
          <w:sz w:val="24"/>
          <w:szCs w:val="24"/>
          <w:lang w:val="en-US"/>
        </w:rPr>
        <w:t xml:space="preserve">an application to </w:t>
      </w:r>
      <w:r w:rsidR="00072C96" w:rsidRPr="006B34A5">
        <w:rPr>
          <w:rFonts w:ascii="Arial" w:hAnsi="Arial" w:cs="Arial"/>
          <w:color w:val="000000" w:themeColor="text1"/>
          <w:sz w:val="24"/>
          <w:szCs w:val="24"/>
          <w:lang w:val="en-US"/>
        </w:rPr>
        <w:t xml:space="preserve">consolidate the various </w:t>
      </w:r>
      <w:r w:rsidR="006B34A5">
        <w:rPr>
          <w:rFonts w:ascii="Arial" w:hAnsi="Arial" w:cs="Arial"/>
          <w:color w:val="000000" w:themeColor="text1"/>
          <w:sz w:val="24"/>
          <w:szCs w:val="24"/>
          <w:lang w:val="en-US"/>
        </w:rPr>
        <w:t xml:space="preserve">related </w:t>
      </w:r>
      <w:r w:rsidR="00072C96" w:rsidRPr="006B34A5">
        <w:rPr>
          <w:rFonts w:ascii="Arial" w:hAnsi="Arial" w:cs="Arial"/>
          <w:color w:val="000000" w:themeColor="text1"/>
          <w:sz w:val="24"/>
          <w:szCs w:val="24"/>
          <w:lang w:val="en-US"/>
        </w:rPr>
        <w:t>applications and</w:t>
      </w:r>
      <w:r>
        <w:rPr>
          <w:rFonts w:ascii="Arial" w:hAnsi="Arial" w:cs="Arial"/>
          <w:color w:val="000000" w:themeColor="text1"/>
          <w:sz w:val="24"/>
          <w:szCs w:val="24"/>
          <w:lang w:val="en-US"/>
        </w:rPr>
        <w:t xml:space="preserve"> to</w:t>
      </w:r>
      <w:r w:rsidR="00072C96" w:rsidRPr="006B34A5">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t>
      </w:r>
      <w:r w:rsidR="00072C96" w:rsidRPr="006B34A5">
        <w:rPr>
          <w:rFonts w:ascii="Arial" w:hAnsi="Arial" w:cs="Arial"/>
          <w:color w:val="000000" w:themeColor="text1"/>
          <w:sz w:val="24"/>
          <w:szCs w:val="24"/>
          <w:lang w:val="en-US"/>
        </w:rPr>
        <w:t>stay</w:t>
      </w:r>
      <w:r>
        <w:rPr>
          <w:rFonts w:ascii="Arial" w:hAnsi="Arial" w:cs="Arial"/>
          <w:color w:val="000000" w:themeColor="text1"/>
          <w:sz w:val="24"/>
          <w:szCs w:val="24"/>
          <w:lang w:val="en-US"/>
        </w:rPr>
        <w:t>’</w:t>
      </w:r>
      <w:r w:rsidR="00072C96" w:rsidRPr="006B34A5">
        <w:rPr>
          <w:rFonts w:ascii="Arial" w:hAnsi="Arial" w:cs="Arial"/>
          <w:color w:val="000000" w:themeColor="text1"/>
          <w:sz w:val="24"/>
          <w:szCs w:val="24"/>
          <w:lang w:val="en-US"/>
        </w:rPr>
        <w:t xml:space="preserve"> them pending the finalization of an investigation into the authenticity of and forensic analysis of the documents attached to the papers.  </w:t>
      </w:r>
      <w:r w:rsidR="006B34A5">
        <w:rPr>
          <w:rFonts w:ascii="Arial" w:hAnsi="Arial" w:cs="Arial"/>
          <w:color w:val="000000" w:themeColor="text1"/>
          <w:sz w:val="24"/>
          <w:szCs w:val="24"/>
          <w:lang w:val="en-US"/>
        </w:rPr>
        <w:t xml:space="preserve">On the information to hand, the application </w:t>
      </w:r>
      <w:r>
        <w:rPr>
          <w:rFonts w:ascii="Arial" w:hAnsi="Arial" w:cs="Arial"/>
          <w:color w:val="000000" w:themeColor="text1"/>
          <w:sz w:val="24"/>
          <w:szCs w:val="24"/>
          <w:lang w:val="en-US"/>
        </w:rPr>
        <w:t xml:space="preserve">appears to have been </w:t>
      </w:r>
      <w:r w:rsidR="006B34A5">
        <w:rPr>
          <w:rFonts w:ascii="Arial" w:hAnsi="Arial" w:cs="Arial"/>
          <w:color w:val="000000" w:themeColor="text1"/>
          <w:sz w:val="24"/>
          <w:szCs w:val="24"/>
          <w:lang w:val="en-US"/>
        </w:rPr>
        <w:t xml:space="preserve">brought as a </w:t>
      </w:r>
      <w:proofErr w:type="gramStart"/>
      <w:r w:rsidR="006B34A5">
        <w:rPr>
          <w:rFonts w:ascii="Arial" w:hAnsi="Arial" w:cs="Arial"/>
          <w:color w:val="000000" w:themeColor="text1"/>
          <w:sz w:val="24"/>
          <w:szCs w:val="24"/>
          <w:lang w:val="en-US"/>
        </w:rPr>
        <w:t>counter-application</w:t>
      </w:r>
      <w:proofErr w:type="gramEnd"/>
      <w:r w:rsidR="006B34A5">
        <w:rPr>
          <w:rFonts w:ascii="Arial" w:hAnsi="Arial" w:cs="Arial"/>
          <w:color w:val="000000" w:themeColor="text1"/>
          <w:sz w:val="24"/>
          <w:szCs w:val="24"/>
          <w:lang w:val="en-US"/>
        </w:rPr>
        <w:t xml:space="preserve"> to the sequestration application of Rushil Singh.  However, o</w:t>
      </w:r>
      <w:r w:rsidR="00072C96" w:rsidRPr="006B34A5">
        <w:rPr>
          <w:rFonts w:ascii="Arial" w:hAnsi="Arial" w:cs="Arial"/>
          <w:color w:val="000000" w:themeColor="text1"/>
          <w:sz w:val="24"/>
          <w:szCs w:val="24"/>
          <w:lang w:val="en-US"/>
        </w:rPr>
        <w:t>n 23 May 2023</w:t>
      </w:r>
      <w:r w:rsidR="006B34A5">
        <w:rPr>
          <w:rFonts w:ascii="Arial" w:hAnsi="Arial" w:cs="Arial"/>
          <w:color w:val="000000" w:themeColor="text1"/>
          <w:sz w:val="24"/>
          <w:szCs w:val="24"/>
          <w:lang w:val="en-US"/>
        </w:rPr>
        <w:t>,</w:t>
      </w:r>
      <w:r w:rsidR="00072C96" w:rsidRPr="006B34A5">
        <w:rPr>
          <w:rFonts w:ascii="Arial" w:hAnsi="Arial" w:cs="Arial"/>
          <w:color w:val="000000" w:themeColor="text1"/>
          <w:sz w:val="24"/>
          <w:szCs w:val="24"/>
          <w:lang w:val="en-US"/>
        </w:rPr>
        <w:t xml:space="preserve"> Rushil</w:t>
      </w:r>
      <w:r w:rsidR="006B34A5">
        <w:rPr>
          <w:rFonts w:ascii="Arial" w:hAnsi="Arial" w:cs="Arial"/>
          <w:color w:val="000000" w:themeColor="text1"/>
          <w:sz w:val="24"/>
          <w:szCs w:val="24"/>
          <w:lang w:val="en-US"/>
        </w:rPr>
        <w:t xml:space="preserve"> </w:t>
      </w:r>
      <w:r w:rsidR="00072C96" w:rsidRPr="006B34A5">
        <w:rPr>
          <w:rFonts w:ascii="Arial" w:hAnsi="Arial" w:cs="Arial"/>
          <w:color w:val="000000" w:themeColor="text1"/>
          <w:sz w:val="24"/>
          <w:szCs w:val="24"/>
          <w:lang w:val="en-US"/>
        </w:rPr>
        <w:t xml:space="preserve">was placed under provisional sequestration and </w:t>
      </w:r>
      <w:r w:rsidR="006B34A5">
        <w:rPr>
          <w:rFonts w:ascii="Arial" w:hAnsi="Arial" w:cs="Arial"/>
          <w:color w:val="000000" w:themeColor="text1"/>
          <w:sz w:val="24"/>
          <w:szCs w:val="24"/>
          <w:lang w:val="en-US"/>
        </w:rPr>
        <w:t>the</w:t>
      </w:r>
      <w:r w:rsidR="00902660">
        <w:rPr>
          <w:rFonts w:ascii="Arial" w:hAnsi="Arial" w:cs="Arial"/>
          <w:color w:val="000000" w:themeColor="text1"/>
          <w:sz w:val="24"/>
          <w:szCs w:val="24"/>
          <w:lang w:val="en-US"/>
        </w:rPr>
        <w:t xml:space="preserve"> </w:t>
      </w:r>
      <w:proofErr w:type="gramStart"/>
      <w:r w:rsidR="006B34A5">
        <w:rPr>
          <w:rFonts w:ascii="Arial" w:hAnsi="Arial" w:cs="Arial"/>
          <w:color w:val="000000" w:themeColor="text1"/>
          <w:sz w:val="24"/>
          <w:szCs w:val="24"/>
          <w:lang w:val="en-US"/>
        </w:rPr>
        <w:t>counter-</w:t>
      </w:r>
      <w:r w:rsidR="00072C96" w:rsidRPr="006B34A5">
        <w:rPr>
          <w:rFonts w:ascii="Arial" w:hAnsi="Arial" w:cs="Arial"/>
          <w:color w:val="000000" w:themeColor="text1"/>
          <w:sz w:val="24"/>
          <w:szCs w:val="24"/>
          <w:lang w:val="en-US"/>
        </w:rPr>
        <w:t>application</w:t>
      </w:r>
      <w:proofErr w:type="gramEnd"/>
      <w:r w:rsidR="00072C96" w:rsidRPr="006B34A5">
        <w:rPr>
          <w:rFonts w:ascii="Arial" w:hAnsi="Arial" w:cs="Arial"/>
          <w:color w:val="000000" w:themeColor="text1"/>
          <w:sz w:val="24"/>
          <w:szCs w:val="24"/>
          <w:lang w:val="en-US"/>
        </w:rPr>
        <w:t xml:space="preserve"> was removed from the roll.  </w:t>
      </w:r>
      <w:r w:rsidR="006B34A5">
        <w:rPr>
          <w:rFonts w:ascii="Arial" w:hAnsi="Arial" w:cs="Arial"/>
          <w:color w:val="000000" w:themeColor="text1"/>
          <w:sz w:val="24"/>
          <w:szCs w:val="24"/>
          <w:lang w:val="en-US"/>
        </w:rPr>
        <w:t xml:space="preserve"> </w:t>
      </w:r>
      <w:r w:rsidR="00072C96" w:rsidRPr="006B34A5">
        <w:rPr>
          <w:rFonts w:ascii="Arial" w:hAnsi="Arial" w:cs="Arial"/>
          <w:color w:val="000000" w:themeColor="text1"/>
          <w:sz w:val="24"/>
          <w:szCs w:val="24"/>
          <w:lang w:val="en-US"/>
        </w:rPr>
        <w:t xml:space="preserve">   </w:t>
      </w:r>
    </w:p>
    <w:p w14:paraId="21DC13AA" w14:textId="77777777" w:rsidR="003F2947" w:rsidRPr="003F2947" w:rsidRDefault="003F2947" w:rsidP="003F2947">
      <w:pPr>
        <w:pStyle w:val="ListParagraph"/>
        <w:rPr>
          <w:rFonts w:ascii="Arial" w:hAnsi="Arial" w:cs="Arial"/>
          <w:sz w:val="24"/>
          <w:szCs w:val="24"/>
          <w:lang w:val="en-US"/>
        </w:rPr>
      </w:pPr>
    </w:p>
    <w:p w14:paraId="12EB2BB0" w14:textId="77777777" w:rsidR="003F2947" w:rsidRPr="006B34A5" w:rsidRDefault="00623E4E" w:rsidP="006B34A5">
      <w:pPr>
        <w:pStyle w:val="ListParagraph"/>
        <w:numPr>
          <w:ilvl w:val="0"/>
          <w:numId w:val="1"/>
        </w:numPr>
        <w:spacing w:line="480" w:lineRule="auto"/>
        <w:jc w:val="both"/>
        <w:rPr>
          <w:rFonts w:ascii="Arial" w:hAnsi="Arial" w:cs="Arial"/>
          <w:sz w:val="24"/>
          <w:szCs w:val="24"/>
          <w:lang w:val="en-US"/>
        </w:rPr>
      </w:pPr>
      <w:r w:rsidRPr="003F2947">
        <w:rPr>
          <w:rFonts w:ascii="Arial" w:hAnsi="Arial" w:cs="Arial"/>
          <w:sz w:val="24"/>
          <w:szCs w:val="24"/>
          <w:lang w:val="en-US"/>
        </w:rPr>
        <w:t>On 31 May 2023, Deputy Judge President Ledwaba</w:t>
      </w:r>
      <w:r w:rsidR="00520661" w:rsidRPr="003F2947">
        <w:rPr>
          <w:rFonts w:ascii="Arial" w:hAnsi="Arial" w:cs="Arial"/>
          <w:sz w:val="24"/>
          <w:szCs w:val="24"/>
          <w:lang w:val="en-US"/>
        </w:rPr>
        <w:t xml:space="preserve"> </w:t>
      </w:r>
      <w:r w:rsidR="00213A8D" w:rsidRPr="003F2947">
        <w:rPr>
          <w:rFonts w:ascii="Arial" w:hAnsi="Arial" w:cs="Arial"/>
          <w:sz w:val="24"/>
          <w:szCs w:val="24"/>
          <w:lang w:val="en-US"/>
        </w:rPr>
        <w:t xml:space="preserve">issued further directives and an order in the winding up and the sequestration applications (the DJP’s directives and order). </w:t>
      </w:r>
      <w:r w:rsidR="004E207B">
        <w:rPr>
          <w:rFonts w:ascii="Arial" w:hAnsi="Arial" w:cs="Arial"/>
          <w:sz w:val="24"/>
          <w:szCs w:val="24"/>
          <w:lang w:val="en-US"/>
        </w:rPr>
        <w:t xml:space="preserve"> He did so in response to a request for directives written by Investec’s attorneys on 24 May 2023. </w:t>
      </w:r>
      <w:r w:rsidR="00213A8D" w:rsidRPr="003F2947">
        <w:rPr>
          <w:rFonts w:ascii="Arial" w:hAnsi="Arial" w:cs="Arial"/>
          <w:sz w:val="24"/>
          <w:szCs w:val="24"/>
          <w:lang w:val="en-US"/>
        </w:rPr>
        <w:t xml:space="preserve"> </w:t>
      </w:r>
      <w:r w:rsidR="004E207B">
        <w:rPr>
          <w:rFonts w:ascii="Arial" w:hAnsi="Arial" w:cs="Arial"/>
          <w:sz w:val="24"/>
          <w:szCs w:val="24"/>
          <w:lang w:val="en-US"/>
        </w:rPr>
        <w:t xml:space="preserve"> </w:t>
      </w:r>
      <w:r w:rsidR="00213A8D" w:rsidRPr="003F2947">
        <w:rPr>
          <w:rFonts w:ascii="Arial" w:hAnsi="Arial" w:cs="Arial"/>
          <w:sz w:val="24"/>
          <w:szCs w:val="24"/>
          <w:lang w:val="en-US"/>
        </w:rPr>
        <w:t xml:space="preserve">In terms of the DJP’s directives, both matters were set down for </w:t>
      </w:r>
      <w:r w:rsidR="00845E1F">
        <w:rPr>
          <w:rFonts w:ascii="Arial" w:hAnsi="Arial" w:cs="Arial"/>
          <w:sz w:val="24"/>
          <w:szCs w:val="24"/>
          <w:lang w:val="en-US"/>
        </w:rPr>
        <w:t xml:space="preserve">hearing on </w:t>
      </w:r>
      <w:r w:rsidR="00213A8D" w:rsidRPr="003F2947">
        <w:rPr>
          <w:rFonts w:ascii="Arial" w:hAnsi="Arial" w:cs="Arial"/>
          <w:sz w:val="24"/>
          <w:szCs w:val="24"/>
          <w:lang w:val="en-US"/>
        </w:rPr>
        <w:t>17 and 18 October 2023.  BIG was directed to deliver its answering affidavit by 9 June 2023, Investec was directed to deliver its replying affidavit by 23 June 2023 and dates were set for the delivery of heads of argument, in BIG’s case 18 August 2023.  Under the DJP’s order, the return date in the winding-up application was extende</w:t>
      </w:r>
      <w:r w:rsidR="006B34A5">
        <w:rPr>
          <w:rFonts w:ascii="Arial" w:hAnsi="Arial" w:cs="Arial"/>
          <w:sz w:val="24"/>
          <w:szCs w:val="24"/>
          <w:lang w:val="en-US"/>
        </w:rPr>
        <w:t xml:space="preserve">d </w:t>
      </w:r>
      <w:r w:rsidR="006B34A5" w:rsidRPr="004E207B">
        <w:rPr>
          <w:rFonts w:ascii="Arial" w:hAnsi="Arial" w:cs="Arial"/>
          <w:sz w:val="24"/>
          <w:szCs w:val="24"/>
          <w:lang w:val="en-US"/>
        </w:rPr>
        <w:t xml:space="preserve">until 17 and 18 October 2023.  In the </w:t>
      </w:r>
      <w:proofErr w:type="gramStart"/>
      <w:r w:rsidR="006B34A5" w:rsidRPr="004E207B">
        <w:rPr>
          <w:rFonts w:ascii="Arial" w:hAnsi="Arial" w:cs="Arial"/>
          <w:sz w:val="24"/>
          <w:szCs w:val="24"/>
          <w:lang w:val="en-US"/>
        </w:rPr>
        <w:t>counter-application</w:t>
      </w:r>
      <w:proofErr w:type="gramEnd"/>
      <w:r w:rsidR="006B34A5" w:rsidRPr="004E207B">
        <w:rPr>
          <w:rFonts w:ascii="Arial" w:hAnsi="Arial" w:cs="Arial"/>
          <w:sz w:val="24"/>
          <w:szCs w:val="24"/>
          <w:lang w:val="en-US"/>
        </w:rPr>
        <w:t xml:space="preserve"> in the liquidatio</w:t>
      </w:r>
      <w:r w:rsidR="00F51D37" w:rsidRPr="004E207B">
        <w:rPr>
          <w:rFonts w:ascii="Arial" w:hAnsi="Arial" w:cs="Arial"/>
          <w:sz w:val="24"/>
          <w:szCs w:val="24"/>
          <w:lang w:val="en-US"/>
        </w:rPr>
        <w:t>n application</w:t>
      </w:r>
      <w:r w:rsidR="00845E1F">
        <w:rPr>
          <w:rFonts w:ascii="Arial" w:hAnsi="Arial" w:cs="Arial"/>
          <w:sz w:val="24"/>
          <w:szCs w:val="24"/>
          <w:lang w:val="en-US"/>
        </w:rPr>
        <w:t xml:space="preserve"> before me</w:t>
      </w:r>
      <w:r w:rsidR="00F51D37" w:rsidRPr="004E207B">
        <w:rPr>
          <w:rFonts w:ascii="Arial" w:hAnsi="Arial" w:cs="Arial"/>
          <w:sz w:val="24"/>
          <w:szCs w:val="24"/>
          <w:lang w:val="en-US"/>
        </w:rPr>
        <w:t>, BIG complain</w:t>
      </w:r>
      <w:r w:rsidR="00845E1F">
        <w:rPr>
          <w:rFonts w:ascii="Arial" w:hAnsi="Arial" w:cs="Arial"/>
          <w:sz w:val="24"/>
          <w:szCs w:val="24"/>
          <w:lang w:val="en-US"/>
        </w:rPr>
        <w:t>ed</w:t>
      </w:r>
      <w:r w:rsidR="006B34A5" w:rsidRPr="004E207B">
        <w:rPr>
          <w:rFonts w:ascii="Arial" w:hAnsi="Arial" w:cs="Arial"/>
          <w:sz w:val="24"/>
          <w:szCs w:val="24"/>
          <w:lang w:val="en-US"/>
        </w:rPr>
        <w:t xml:space="preserve"> that the directives should never have been sought or obtained as the consolidation application was still pending and reasons for the dismissal of the Rule 30</w:t>
      </w:r>
      <w:r w:rsidR="00845E1F">
        <w:rPr>
          <w:rFonts w:ascii="Arial" w:hAnsi="Arial" w:cs="Arial"/>
          <w:sz w:val="24"/>
          <w:szCs w:val="24"/>
          <w:lang w:val="en-US"/>
        </w:rPr>
        <w:t>A application were outstanding.</w:t>
      </w:r>
    </w:p>
    <w:p w14:paraId="62F7CAFD" w14:textId="77777777" w:rsidR="00845E1F" w:rsidRDefault="00845E1F" w:rsidP="00845E1F">
      <w:pPr>
        <w:pStyle w:val="ListParagraph"/>
        <w:spacing w:line="480" w:lineRule="auto"/>
        <w:ind w:left="360"/>
        <w:jc w:val="both"/>
        <w:rPr>
          <w:rFonts w:ascii="Arial" w:hAnsi="Arial" w:cs="Arial"/>
          <w:sz w:val="24"/>
          <w:szCs w:val="24"/>
          <w:lang w:val="en-US"/>
        </w:rPr>
      </w:pPr>
    </w:p>
    <w:p w14:paraId="573333C2" w14:textId="77777777" w:rsidR="00F136AF" w:rsidRDefault="005E6791" w:rsidP="003F2947">
      <w:pPr>
        <w:pStyle w:val="ListParagraph"/>
        <w:numPr>
          <w:ilvl w:val="0"/>
          <w:numId w:val="1"/>
        </w:numPr>
        <w:spacing w:line="480" w:lineRule="auto"/>
        <w:jc w:val="both"/>
        <w:rPr>
          <w:rFonts w:ascii="Arial" w:hAnsi="Arial" w:cs="Arial"/>
          <w:sz w:val="24"/>
          <w:szCs w:val="24"/>
          <w:lang w:val="en-US"/>
        </w:rPr>
      </w:pPr>
      <w:r w:rsidRPr="003F2947">
        <w:rPr>
          <w:rFonts w:ascii="Arial" w:hAnsi="Arial" w:cs="Arial"/>
          <w:sz w:val="24"/>
          <w:szCs w:val="24"/>
          <w:lang w:val="en-US"/>
        </w:rPr>
        <w:t xml:space="preserve">BIG delivered neither an answering affidavit nor heads of argument.  Investec delivered its heads of argument on 28 July 2023. </w:t>
      </w:r>
      <w:r w:rsidR="00090107">
        <w:rPr>
          <w:rFonts w:ascii="Arial" w:hAnsi="Arial" w:cs="Arial"/>
          <w:sz w:val="24"/>
          <w:szCs w:val="24"/>
          <w:lang w:val="en-US"/>
        </w:rPr>
        <w:t xml:space="preserve"> The parties thereafter delivered joint practice notes. </w:t>
      </w:r>
    </w:p>
    <w:p w14:paraId="6255903C" w14:textId="77777777" w:rsidR="003F2947" w:rsidRPr="003F2947" w:rsidRDefault="003F2947" w:rsidP="003F2947">
      <w:pPr>
        <w:pStyle w:val="ListParagraph"/>
        <w:rPr>
          <w:rFonts w:ascii="Arial" w:hAnsi="Arial" w:cs="Arial"/>
          <w:sz w:val="24"/>
          <w:szCs w:val="24"/>
          <w:lang w:val="en-US"/>
        </w:rPr>
      </w:pPr>
    </w:p>
    <w:p w14:paraId="078B4A2E" w14:textId="77777777" w:rsidR="00845E1F" w:rsidRDefault="00F51D37" w:rsidP="003F2947">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The </w:t>
      </w:r>
      <w:proofErr w:type="gramStart"/>
      <w:r>
        <w:rPr>
          <w:rFonts w:ascii="Arial" w:hAnsi="Arial" w:cs="Arial"/>
          <w:sz w:val="24"/>
          <w:szCs w:val="24"/>
          <w:lang w:val="en-US"/>
        </w:rPr>
        <w:t>counter-applications</w:t>
      </w:r>
      <w:proofErr w:type="gramEnd"/>
      <w:r>
        <w:rPr>
          <w:rFonts w:ascii="Arial" w:hAnsi="Arial" w:cs="Arial"/>
          <w:sz w:val="24"/>
          <w:szCs w:val="24"/>
          <w:lang w:val="en-US"/>
        </w:rPr>
        <w:t xml:space="preserve"> now before me, in both the liquidation application and the sequestration application,</w:t>
      </w:r>
      <w:r w:rsidR="003F2947">
        <w:rPr>
          <w:rFonts w:ascii="Arial" w:hAnsi="Arial" w:cs="Arial"/>
          <w:sz w:val="24"/>
          <w:szCs w:val="24"/>
          <w:lang w:val="en-US"/>
        </w:rPr>
        <w:t xml:space="preserve"> were instituted on 9 October 2023, just over a week before the return day</w:t>
      </w:r>
      <w:r>
        <w:rPr>
          <w:rFonts w:ascii="Arial" w:hAnsi="Arial" w:cs="Arial"/>
          <w:sz w:val="24"/>
          <w:szCs w:val="24"/>
          <w:lang w:val="en-US"/>
        </w:rPr>
        <w:t xml:space="preserve"> as extended.  </w:t>
      </w:r>
      <w:r w:rsidR="003F2947">
        <w:rPr>
          <w:rFonts w:ascii="Arial" w:hAnsi="Arial" w:cs="Arial"/>
          <w:sz w:val="24"/>
          <w:szCs w:val="24"/>
          <w:lang w:val="en-US"/>
        </w:rPr>
        <w:t>The founding affidavit</w:t>
      </w:r>
      <w:r w:rsidR="00090107">
        <w:rPr>
          <w:rFonts w:ascii="Arial" w:hAnsi="Arial" w:cs="Arial"/>
          <w:sz w:val="24"/>
          <w:szCs w:val="24"/>
          <w:lang w:val="en-US"/>
        </w:rPr>
        <w:t>s</w:t>
      </w:r>
      <w:r w:rsidR="003F2947">
        <w:rPr>
          <w:rFonts w:ascii="Arial" w:hAnsi="Arial" w:cs="Arial"/>
          <w:sz w:val="24"/>
          <w:szCs w:val="24"/>
          <w:lang w:val="en-US"/>
        </w:rPr>
        <w:t xml:space="preserve"> </w:t>
      </w:r>
      <w:r w:rsidR="00090107">
        <w:rPr>
          <w:rFonts w:ascii="Arial" w:hAnsi="Arial" w:cs="Arial"/>
          <w:sz w:val="24"/>
          <w:szCs w:val="24"/>
          <w:lang w:val="en-US"/>
        </w:rPr>
        <w:t>are</w:t>
      </w:r>
      <w:r w:rsidR="003F2947">
        <w:rPr>
          <w:rFonts w:ascii="Arial" w:hAnsi="Arial" w:cs="Arial"/>
          <w:sz w:val="24"/>
          <w:szCs w:val="24"/>
          <w:lang w:val="en-US"/>
        </w:rPr>
        <w:t xml:space="preserve"> </w:t>
      </w:r>
      <w:proofErr w:type="gramStart"/>
      <w:r w:rsidR="003F2947">
        <w:rPr>
          <w:rFonts w:ascii="Arial" w:hAnsi="Arial" w:cs="Arial"/>
          <w:sz w:val="24"/>
          <w:szCs w:val="24"/>
          <w:lang w:val="en-US"/>
        </w:rPr>
        <w:t>d</w:t>
      </w:r>
      <w:r w:rsidR="00090107">
        <w:rPr>
          <w:rFonts w:ascii="Arial" w:hAnsi="Arial" w:cs="Arial"/>
          <w:sz w:val="24"/>
          <w:szCs w:val="24"/>
          <w:lang w:val="en-US"/>
        </w:rPr>
        <w:t>eposed to</w:t>
      </w:r>
      <w:proofErr w:type="gramEnd"/>
      <w:r w:rsidR="00090107">
        <w:rPr>
          <w:rFonts w:ascii="Arial" w:hAnsi="Arial" w:cs="Arial"/>
          <w:sz w:val="24"/>
          <w:szCs w:val="24"/>
          <w:lang w:val="en-US"/>
        </w:rPr>
        <w:t xml:space="preserve"> by Rushil Singh and are confirmed by Singh. However, they</w:t>
      </w:r>
      <w:r w:rsidR="003F2947">
        <w:rPr>
          <w:rFonts w:ascii="Arial" w:hAnsi="Arial" w:cs="Arial"/>
          <w:sz w:val="24"/>
          <w:szCs w:val="24"/>
          <w:lang w:val="en-US"/>
        </w:rPr>
        <w:t xml:space="preserve"> </w:t>
      </w:r>
      <w:proofErr w:type="gramStart"/>
      <w:r w:rsidR="003F2947">
        <w:rPr>
          <w:rFonts w:ascii="Arial" w:hAnsi="Arial" w:cs="Arial"/>
          <w:sz w:val="24"/>
          <w:szCs w:val="24"/>
          <w:lang w:val="en-US"/>
        </w:rPr>
        <w:t>styles</w:t>
      </w:r>
      <w:proofErr w:type="gramEnd"/>
      <w:r w:rsidR="00090107">
        <w:rPr>
          <w:rFonts w:ascii="Arial" w:hAnsi="Arial" w:cs="Arial"/>
          <w:sz w:val="24"/>
          <w:szCs w:val="24"/>
          <w:lang w:val="en-US"/>
        </w:rPr>
        <w:t xml:space="preserve"> themselves</w:t>
      </w:r>
      <w:r w:rsidR="003F2947">
        <w:rPr>
          <w:rFonts w:ascii="Arial" w:hAnsi="Arial" w:cs="Arial"/>
          <w:sz w:val="24"/>
          <w:szCs w:val="24"/>
          <w:lang w:val="en-US"/>
        </w:rPr>
        <w:t xml:space="preserve"> as both an answering affidavit </w:t>
      </w:r>
      <w:r w:rsidR="00845E1F">
        <w:rPr>
          <w:rFonts w:ascii="Arial" w:hAnsi="Arial" w:cs="Arial"/>
          <w:sz w:val="24"/>
          <w:szCs w:val="24"/>
          <w:lang w:val="en-US"/>
        </w:rPr>
        <w:t xml:space="preserve">to the </w:t>
      </w:r>
      <w:r w:rsidR="00090107">
        <w:rPr>
          <w:rFonts w:ascii="Arial" w:hAnsi="Arial" w:cs="Arial"/>
          <w:sz w:val="24"/>
          <w:szCs w:val="24"/>
          <w:lang w:val="en-US"/>
        </w:rPr>
        <w:t xml:space="preserve">respective </w:t>
      </w:r>
      <w:r w:rsidR="00845E1F">
        <w:rPr>
          <w:rFonts w:ascii="Arial" w:hAnsi="Arial" w:cs="Arial"/>
          <w:sz w:val="24"/>
          <w:szCs w:val="24"/>
          <w:lang w:val="en-US"/>
        </w:rPr>
        <w:t>application</w:t>
      </w:r>
      <w:r w:rsidR="00090107">
        <w:rPr>
          <w:rFonts w:ascii="Arial" w:hAnsi="Arial" w:cs="Arial"/>
          <w:sz w:val="24"/>
          <w:szCs w:val="24"/>
          <w:lang w:val="en-US"/>
        </w:rPr>
        <w:t>s</w:t>
      </w:r>
      <w:r w:rsidR="00845E1F">
        <w:rPr>
          <w:rFonts w:ascii="Arial" w:hAnsi="Arial" w:cs="Arial"/>
          <w:sz w:val="24"/>
          <w:szCs w:val="24"/>
          <w:lang w:val="en-US"/>
        </w:rPr>
        <w:t xml:space="preserve"> </w:t>
      </w:r>
      <w:r w:rsidR="003F2947">
        <w:rPr>
          <w:rFonts w:ascii="Arial" w:hAnsi="Arial" w:cs="Arial"/>
          <w:sz w:val="24"/>
          <w:szCs w:val="24"/>
          <w:lang w:val="en-US"/>
        </w:rPr>
        <w:t>and the founding affidavit in the counter-application</w:t>
      </w:r>
      <w:r w:rsidR="00090107">
        <w:rPr>
          <w:rFonts w:ascii="Arial" w:hAnsi="Arial" w:cs="Arial"/>
          <w:sz w:val="24"/>
          <w:szCs w:val="24"/>
          <w:lang w:val="en-US"/>
        </w:rPr>
        <w:t>s</w:t>
      </w:r>
      <w:r w:rsidR="00C70C1A">
        <w:rPr>
          <w:rFonts w:ascii="Arial" w:hAnsi="Arial" w:cs="Arial"/>
          <w:sz w:val="24"/>
          <w:szCs w:val="24"/>
          <w:lang w:val="en-US"/>
        </w:rPr>
        <w:t xml:space="preserve">.  </w:t>
      </w:r>
      <w:r w:rsidR="00845E1F">
        <w:rPr>
          <w:rFonts w:ascii="Arial" w:hAnsi="Arial" w:cs="Arial"/>
          <w:sz w:val="24"/>
          <w:szCs w:val="24"/>
          <w:lang w:val="en-US"/>
        </w:rPr>
        <w:t xml:space="preserve">Shortly thereafter, Marx du Plessis AJ delivered reasons for dismissing the Rule 30A applications. </w:t>
      </w:r>
    </w:p>
    <w:p w14:paraId="05A98E45" w14:textId="77777777" w:rsidR="00845E1F" w:rsidRPr="00845E1F" w:rsidRDefault="00845E1F" w:rsidP="00845E1F">
      <w:pPr>
        <w:pStyle w:val="ListParagraph"/>
        <w:rPr>
          <w:rFonts w:ascii="Arial" w:hAnsi="Arial" w:cs="Arial"/>
          <w:sz w:val="24"/>
          <w:szCs w:val="24"/>
          <w:lang w:val="en-US"/>
        </w:rPr>
      </w:pPr>
    </w:p>
    <w:p w14:paraId="54C3B273" w14:textId="77777777" w:rsidR="003F2947" w:rsidRPr="003F2947" w:rsidRDefault="00F51D37" w:rsidP="003F2947">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 now turn to the </w:t>
      </w:r>
      <w:proofErr w:type="gramStart"/>
      <w:r>
        <w:rPr>
          <w:rFonts w:ascii="Arial" w:hAnsi="Arial" w:cs="Arial"/>
          <w:sz w:val="24"/>
          <w:szCs w:val="24"/>
          <w:lang w:val="en-US"/>
        </w:rPr>
        <w:t>counter-application</w:t>
      </w:r>
      <w:proofErr w:type="gramEnd"/>
      <w:r>
        <w:rPr>
          <w:rFonts w:ascii="Arial" w:hAnsi="Arial" w:cs="Arial"/>
          <w:sz w:val="24"/>
          <w:szCs w:val="24"/>
          <w:lang w:val="en-US"/>
        </w:rPr>
        <w:t xml:space="preserve"> in the liquidation application. </w:t>
      </w:r>
      <w:r w:rsidR="00090107">
        <w:rPr>
          <w:rFonts w:ascii="Arial" w:hAnsi="Arial" w:cs="Arial"/>
          <w:sz w:val="24"/>
          <w:szCs w:val="24"/>
          <w:lang w:val="en-US"/>
        </w:rPr>
        <w:t xml:space="preserve"> </w:t>
      </w:r>
      <w:r w:rsidR="006564A3">
        <w:rPr>
          <w:rFonts w:ascii="Arial" w:hAnsi="Arial" w:cs="Arial"/>
          <w:sz w:val="24"/>
          <w:szCs w:val="24"/>
          <w:lang w:val="en-US"/>
        </w:rPr>
        <w:t>[</w:t>
      </w:r>
      <w:r w:rsidR="00090107">
        <w:rPr>
          <w:rFonts w:ascii="Arial" w:hAnsi="Arial" w:cs="Arial"/>
          <w:sz w:val="24"/>
          <w:szCs w:val="24"/>
          <w:lang w:val="en-US"/>
        </w:rPr>
        <w:t xml:space="preserve">As indicated, much of what is said below applies with equal force to the </w:t>
      </w:r>
      <w:proofErr w:type="gramStart"/>
      <w:r w:rsidR="00090107">
        <w:rPr>
          <w:rFonts w:ascii="Arial" w:hAnsi="Arial" w:cs="Arial"/>
          <w:sz w:val="24"/>
          <w:szCs w:val="24"/>
          <w:lang w:val="en-US"/>
        </w:rPr>
        <w:t>counter-application</w:t>
      </w:r>
      <w:proofErr w:type="gramEnd"/>
      <w:r w:rsidR="00090107">
        <w:rPr>
          <w:rFonts w:ascii="Arial" w:hAnsi="Arial" w:cs="Arial"/>
          <w:sz w:val="24"/>
          <w:szCs w:val="24"/>
          <w:lang w:val="en-US"/>
        </w:rPr>
        <w:t xml:space="preserve"> in the sequestration application.</w:t>
      </w:r>
      <w:r w:rsidR="006564A3">
        <w:rPr>
          <w:rFonts w:ascii="Arial" w:hAnsi="Arial" w:cs="Arial"/>
          <w:sz w:val="24"/>
          <w:szCs w:val="24"/>
          <w:lang w:val="en-US"/>
        </w:rPr>
        <w:t>]</w:t>
      </w:r>
      <w:r w:rsidR="00090107">
        <w:rPr>
          <w:rFonts w:ascii="Arial" w:hAnsi="Arial" w:cs="Arial"/>
          <w:sz w:val="24"/>
          <w:szCs w:val="24"/>
          <w:lang w:val="en-US"/>
        </w:rPr>
        <w:t xml:space="preserve"> </w:t>
      </w:r>
    </w:p>
    <w:p w14:paraId="72A1C742" w14:textId="77777777" w:rsidR="00F51D37" w:rsidRDefault="00F51D37" w:rsidP="00F136AF">
      <w:pPr>
        <w:rPr>
          <w:rFonts w:ascii="Arial" w:hAnsi="Arial" w:cs="Arial"/>
          <w:b/>
          <w:sz w:val="24"/>
          <w:szCs w:val="24"/>
          <w:lang w:val="en-US"/>
        </w:rPr>
      </w:pPr>
    </w:p>
    <w:p w14:paraId="436614E1" w14:textId="77777777" w:rsidR="00F136AF" w:rsidRDefault="00F51D37" w:rsidP="00F136AF">
      <w:pPr>
        <w:rPr>
          <w:rFonts w:ascii="Arial" w:hAnsi="Arial" w:cs="Arial"/>
          <w:b/>
          <w:sz w:val="24"/>
          <w:szCs w:val="24"/>
          <w:lang w:val="en-US"/>
        </w:rPr>
      </w:pPr>
      <w:proofErr w:type="gramStart"/>
      <w:r>
        <w:rPr>
          <w:rFonts w:ascii="Arial" w:hAnsi="Arial" w:cs="Arial"/>
          <w:b/>
          <w:sz w:val="24"/>
          <w:szCs w:val="24"/>
          <w:lang w:val="en-US"/>
        </w:rPr>
        <w:t>Counter-application</w:t>
      </w:r>
      <w:proofErr w:type="gramEnd"/>
      <w:r>
        <w:rPr>
          <w:rFonts w:ascii="Arial" w:hAnsi="Arial" w:cs="Arial"/>
          <w:b/>
          <w:sz w:val="24"/>
          <w:szCs w:val="24"/>
          <w:lang w:val="en-US"/>
        </w:rPr>
        <w:t xml:space="preserve"> of 9 October 2023 in the liquidation application</w:t>
      </w:r>
    </w:p>
    <w:p w14:paraId="3E3BD6C7" w14:textId="77777777" w:rsidR="00F136AF" w:rsidRDefault="00F136AF" w:rsidP="00F136AF">
      <w:pPr>
        <w:rPr>
          <w:rFonts w:ascii="Arial" w:hAnsi="Arial" w:cs="Arial"/>
          <w:b/>
          <w:sz w:val="24"/>
          <w:szCs w:val="24"/>
          <w:lang w:val="en-US"/>
        </w:rPr>
      </w:pPr>
    </w:p>
    <w:p w14:paraId="18AB5E5F" w14:textId="77777777" w:rsidR="006564A3" w:rsidRDefault="006564A3" w:rsidP="00F136AF">
      <w:pPr>
        <w:rPr>
          <w:rFonts w:ascii="Arial" w:hAnsi="Arial" w:cs="Arial"/>
          <w:b/>
          <w:i/>
          <w:sz w:val="24"/>
          <w:szCs w:val="24"/>
          <w:lang w:val="en-US"/>
        </w:rPr>
      </w:pPr>
      <w:r>
        <w:rPr>
          <w:rFonts w:ascii="Arial" w:hAnsi="Arial" w:cs="Arial"/>
          <w:b/>
          <w:i/>
          <w:sz w:val="24"/>
          <w:szCs w:val="24"/>
          <w:lang w:val="en-US"/>
        </w:rPr>
        <w:t>Relief</w:t>
      </w:r>
    </w:p>
    <w:p w14:paraId="01502055" w14:textId="77777777" w:rsidR="006564A3" w:rsidRPr="006564A3" w:rsidRDefault="006564A3" w:rsidP="00F136AF">
      <w:pPr>
        <w:rPr>
          <w:rFonts w:ascii="Arial" w:hAnsi="Arial" w:cs="Arial"/>
          <w:b/>
          <w:i/>
          <w:sz w:val="24"/>
          <w:szCs w:val="24"/>
          <w:lang w:val="en-US"/>
        </w:rPr>
      </w:pPr>
    </w:p>
    <w:p w14:paraId="79F50ABB" w14:textId="77777777" w:rsidR="00F136AF" w:rsidRDefault="00F136AF" w:rsidP="00F51D37">
      <w:pPr>
        <w:pStyle w:val="ListParagraph"/>
        <w:numPr>
          <w:ilvl w:val="0"/>
          <w:numId w:val="1"/>
        </w:numPr>
        <w:spacing w:line="480" w:lineRule="auto"/>
        <w:jc w:val="both"/>
        <w:rPr>
          <w:rFonts w:ascii="Arial" w:hAnsi="Arial" w:cs="Arial"/>
          <w:sz w:val="24"/>
          <w:szCs w:val="24"/>
          <w:lang w:val="en-US"/>
        </w:rPr>
      </w:pPr>
      <w:r w:rsidRPr="00D02711">
        <w:rPr>
          <w:rFonts w:ascii="Arial" w:hAnsi="Arial" w:cs="Arial"/>
          <w:sz w:val="24"/>
          <w:szCs w:val="24"/>
          <w:lang w:val="en-US"/>
        </w:rPr>
        <w:t xml:space="preserve">The </w:t>
      </w:r>
      <w:r w:rsidR="007D144D">
        <w:rPr>
          <w:rFonts w:ascii="Arial" w:hAnsi="Arial" w:cs="Arial"/>
          <w:sz w:val="24"/>
          <w:szCs w:val="24"/>
          <w:lang w:val="en-US"/>
        </w:rPr>
        <w:t>relief</w:t>
      </w:r>
      <w:r>
        <w:rPr>
          <w:rFonts w:ascii="Arial" w:hAnsi="Arial" w:cs="Arial"/>
          <w:sz w:val="24"/>
          <w:szCs w:val="24"/>
          <w:lang w:val="en-US"/>
        </w:rPr>
        <w:t xml:space="preserve"> </w:t>
      </w:r>
      <w:r w:rsidRPr="00D02711">
        <w:rPr>
          <w:rFonts w:ascii="Arial" w:hAnsi="Arial" w:cs="Arial"/>
          <w:sz w:val="24"/>
          <w:szCs w:val="24"/>
          <w:lang w:val="en-US"/>
        </w:rPr>
        <w:t xml:space="preserve">sought in the </w:t>
      </w:r>
      <w:proofErr w:type="gramStart"/>
      <w:r w:rsidRPr="00D02711">
        <w:rPr>
          <w:rFonts w:ascii="Arial" w:hAnsi="Arial" w:cs="Arial"/>
          <w:sz w:val="24"/>
          <w:szCs w:val="24"/>
          <w:lang w:val="en-US"/>
        </w:rPr>
        <w:t>counter-applications</w:t>
      </w:r>
      <w:proofErr w:type="gramEnd"/>
      <w:r w:rsidRPr="00D02711">
        <w:rPr>
          <w:rFonts w:ascii="Arial" w:hAnsi="Arial" w:cs="Arial"/>
          <w:sz w:val="24"/>
          <w:szCs w:val="24"/>
          <w:lang w:val="en-US"/>
        </w:rPr>
        <w:t xml:space="preserve"> </w:t>
      </w:r>
      <w:r w:rsidR="007D144D">
        <w:rPr>
          <w:rFonts w:ascii="Arial" w:hAnsi="Arial" w:cs="Arial"/>
          <w:sz w:val="24"/>
          <w:szCs w:val="24"/>
          <w:lang w:val="en-US"/>
        </w:rPr>
        <w:t>is</w:t>
      </w:r>
      <w:r w:rsidRPr="00D02711">
        <w:rPr>
          <w:rFonts w:ascii="Arial" w:hAnsi="Arial" w:cs="Arial"/>
          <w:sz w:val="24"/>
          <w:szCs w:val="24"/>
          <w:lang w:val="en-US"/>
        </w:rPr>
        <w:t xml:space="preserve"> as follows:</w:t>
      </w:r>
      <w:r w:rsidR="006564A3">
        <w:rPr>
          <w:rStyle w:val="FootnoteReference"/>
          <w:rFonts w:ascii="Arial" w:hAnsi="Arial" w:cs="Arial"/>
          <w:sz w:val="24"/>
          <w:szCs w:val="24"/>
          <w:lang w:val="en-US"/>
        </w:rPr>
        <w:footnoteReference w:id="10"/>
      </w:r>
      <w:r w:rsidRPr="00D02711">
        <w:rPr>
          <w:rFonts w:ascii="Arial" w:hAnsi="Arial" w:cs="Arial"/>
          <w:sz w:val="24"/>
          <w:szCs w:val="24"/>
          <w:lang w:val="en-US"/>
        </w:rPr>
        <w:t xml:space="preserve"> </w:t>
      </w:r>
    </w:p>
    <w:p w14:paraId="48A9AE6E" w14:textId="77777777" w:rsidR="00F51D37" w:rsidRDefault="00F51D37" w:rsidP="00F51D37">
      <w:pPr>
        <w:pStyle w:val="ListParagraph"/>
        <w:spacing w:line="480" w:lineRule="auto"/>
        <w:ind w:left="360"/>
        <w:jc w:val="both"/>
        <w:rPr>
          <w:rFonts w:ascii="Arial" w:hAnsi="Arial" w:cs="Arial"/>
          <w:sz w:val="24"/>
          <w:szCs w:val="24"/>
          <w:lang w:val="en-US"/>
        </w:rPr>
      </w:pPr>
    </w:p>
    <w:p w14:paraId="30959923" w14:textId="77777777" w:rsidR="00F136AF" w:rsidRDefault="00F51D37" w:rsidP="00F51D37">
      <w:pPr>
        <w:spacing w:line="360" w:lineRule="auto"/>
        <w:ind w:left="851" w:hanging="491"/>
        <w:jc w:val="both"/>
        <w:rPr>
          <w:rFonts w:ascii="Arial" w:hAnsi="Arial" w:cs="Arial"/>
          <w:lang w:val="en-US"/>
        </w:rPr>
      </w:pPr>
      <w:r>
        <w:rPr>
          <w:rFonts w:ascii="Arial" w:hAnsi="Arial" w:cs="Arial"/>
          <w:lang w:val="en-US"/>
        </w:rPr>
        <w:t xml:space="preserve">‘1. </w:t>
      </w:r>
      <w:r>
        <w:rPr>
          <w:rFonts w:ascii="Arial" w:hAnsi="Arial" w:cs="Arial"/>
          <w:lang w:val="en-US"/>
        </w:rPr>
        <w:tab/>
      </w:r>
      <w:r w:rsidR="00F136AF" w:rsidRPr="00F51D37">
        <w:rPr>
          <w:rFonts w:ascii="Arial" w:hAnsi="Arial" w:cs="Arial"/>
          <w:lang w:val="en-US"/>
        </w:rPr>
        <w:t xml:space="preserve">Dispensing with the time periods, service, </w:t>
      </w:r>
      <w:proofErr w:type="gramStart"/>
      <w:r w:rsidR="00F136AF" w:rsidRPr="00F51D37">
        <w:rPr>
          <w:rFonts w:ascii="Arial" w:hAnsi="Arial" w:cs="Arial"/>
          <w:lang w:val="en-US"/>
        </w:rPr>
        <w:t>forms</w:t>
      </w:r>
      <w:proofErr w:type="gramEnd"/>
      <w:r w:rsidR="00F136AF" w:rsidRPr="00F51D37">
        <w:rPr>
          <w:rFonts w:ascii="Arial" w:hAnsi="Arial" w:cs="Arial"/>
          <w:lang w:val="en-US"/>
        </w:rPr>
        <w:t xml:space="preserve"> and procedures provided for in the Uniform Rules of Court and Practice of this Court and disposing of th</w:t>
      </w:r>
      <w:r w:rsidRPr="00F51D37">
        <w:rPr>
          <w:rFonts w:ascii="Arial" w:hAnsi="Arial" w:cs="Arial"/>
          <w:lang w:val="en-US"/>
        </w:rPr>
        <w:t>e</w:t>
      </w:r>
      <w:r w:rsidR="00F136AF" w:rsidRPr="00F51D37">
        <w:rPr>
          <w:rFonts w:ascii="Arial" w:hAnsi="Arial" w:cs="Arial"/>
          <w:lang w:val="en-US"/>
        </w:rPr>
        <w:t xml:space="preserve"> application on an urgent basis</w:t>
      </w:r>
      <w:r w:rsidRPr="00F51D37">
        <w:rPr>
          <w:rFonts w:ascii="Arial" w:hAnsi="Arial" w:cs="Arial"/>
          <w:lang w:val="en-US"/>
        </w:rPr>
        <w:t>.</w:t>
      </w:r>
      <w:r w:rsidR="00F136AF" w:rsidRPr="00F51D37">
        <w:rPr>
          <w:rFonts w:ascii="Arial" w:hAnsi="Arial" w:cs="Arial"/>
          <w:lang w:val="en-US"/>
        </w:rPr>
        <w:t xml:space="preserve"> </w:t>
      </w:r>
    </w:p>
    <w:p w14:paraId="7620B21F" w14:textId="77777777" w:rsidR="00F136AF" w:rsidRPr="00F51D37" w:rsidRDefault="00F51D37" w:rsidP="00F51D37">
      <w:pPr>
        <w:spacing w:line="360" w:lineRule="auto"/>
        <w:ind w:left="851" w:hanging="491"/>
        <w:jc w:val="both"/>
        <w:rPr>
          <w:rFonts w:ascii="Arial" w:hAnsi="Arial" w:cs="Arial"/>
          <w:lang w:val="en-US"/>
        </w:rPr>
      </w:pPr>
      <w:r>
        <w:rPr>
          <w:rFonts w:ascii="Arial" w:hAnsi="Arial" w:cs="Arial"/>
          <w:lang w:val="en-US"/>
        </w:rPr>
        <w:t xml:space="preserve"> 2.    </w:t>
      </w:r>
      <w:r w:rsidR="00F136AF" w:rsidRPr="00F51D37">
        <w:rPr>
          <w:rFonts w:ascii="Arial" w:hAnsi="Arial" w:cs="Arial"/>
          <w:lang w:val="en-US"/>
        </w:rPr>
        <w:t xml:space="preserve">That a </w:t>
      </w:r>
      <w:r w:rsidR="00F136AF" w:rsidRPr="00F51D37">
        <w:rPr>
          <w:rFonts w:ascii="Arial" w:hAnsi="Arial" w:cs="Arial"/>
          <w:i/>
          <w:lang w:val="en-US"/>
        </w:rPr>
        <w:t xml:space="preserve">rule nisi </w:t>
      </w:r>
      <w:r w:rsidR="00F136AF" w:rsidRPr="00F51D37">
        <w:rPr>
          <w:rFonts w:ascii="Arial" w:hAnsi="Arial" w:cs="Arial"/>
          <w:lang w:val="en-US"/>
        </w:rPr>
        <w:t xml:space="preserve">be issued calling upon </w:t>
      </w:r>
      <w:r>
        <w:rPr>
          <w:rFonts w:ascii="Arial" w:hAnsi="Arial" w:cs="Arial"/>
          <w:lang w:val="en-US"/>
        </w:rPr>
        <w:t>Investec</w:t>
      </w:r>
      <w:r w:rsidR="00F136AF" w:rsidRPr="00F51D37">
        <w:rPr>
          <w:rFonts w:ascii="Arial" w:hAnsi="Arial" w:cs="Arial"/>
          <w:lang w:val="en-US"/>
        </w:rPr>
        <w:t xml:space="preserve"> to show cause why the following order should not be made final: </w:t>
      </w:r>
    </w:p>
    <w:p w14:paraId="5F5E4A5E" w14:textId="77777777" w:rsidR="00F136AF" w:rsidRDefault="00F136AF" w:rsidP="00F51D37">
      <w:pPr>
        <w:pStyle w:val="ListParagraph"/>
        <w:numPr>
          <w:ilvl w:val="1"/>
          <w:numId w:val="6"/>
        </w:numPr>
        <w:spacing w:line="360" w:lineRule="auto"/>
        <w:jc w:val="both"/>
        <w:rPr>
          <w:rFonts w:ascii="Arial" w:hAnsi="Arial" w:cs="Arial"/>
          <w:lang w:val="en-US"/>
        </w:rPr>
      </w:pPr>
      <w:r w:rsidRPr="00F51D37">
        <w:rPr>
          <w:rFonts w:ascii="Arial" w:hAnsi="Arial" w:cs="Arial"/>
          <w:lang w:val="en-US"/>
        </w:rPr>
        <w:t xml:space="preserve">That </w:t>
      </w:r>
      <w:r w:rsidR="00F51D37">
        <w:rPr>
          <w:rFonts w:ascii="Arial" w:hAnsi="Arial" w:cs="Arial"/>
          <w:lang w:val="en-US"/>
        </w:rPr>
        <w:t xml:space="preserve">[Investec] </w:t>
      </w:r>
      <w:r w:rsidRPr="00F51D37">
        <w:rPr>
          <w:rFonts w:ascii="Arial" w:hAnsi="Arial" w:cs="Arial"/>
          <w:lang w:val="en-US"/>
        </w:rPr>
        <w:t xml:space="preserve">be and is hereby directed to make available to the </w:t>
      </w:r>
      <w:r w:rsidR="00F51D37">
        <w:rPr>
          <w:rFonts w:ascii="Arial" w:hAnsi="Arial" w:cs="Arial"/>
          <w:lang w:val="en-US"/>
        </w:rPr>
        <w:t>directors of [BIG] access to</w:t>
      </w:r>
      <w:r w:rsidRPr="00F51D37">
        <w:rPr>
          <w:rFonts w:ascii="Arial" w:hAnsi="Arial" w:cs="Arial"/>
          <w:lang w:val="en-US"/>
        </w:rPr>
        <w:t xml:space="preserve">, </w:t>
      </w:r>
      <w:r w:rsidRPr="00F51D37">
        <w:rPr>
          <w:rFonts w:ascii="Arial" w:hAnsi="Arial" w:cs="Arial"/>
          <w:i/>
          <w:lang w:val="en-US"/>
        </w:rPr>
        <w:t>inter alia</w:t>
      </w:r>
      <w:r w:rsidRPr="00F51D37">
        <w:rPr>
          <w:rFonts w:ascii="Arial" w:hAnsi="Arial" w:cs="Arial"/>
          <w:lang w:val="en-US"/>
        </w:rPr>
        <w:t xml:space="preserve">, the servers, </w:t>
      </w:r>
      <w:proofErr w:type="gramStart"/>
      <w:r w:rsidRPr="00F51D37">
        <w:rPr>
          <w:rFonts w:ascii="Arial" w:hAnsi="Arial" w:cs="Arial"/>
          <w:lang w:val="en-US"/>
        </w:rPr>
        <w:t>laptops</w:t>
      </w:r>
      <w:proofErr w:type="gramEnd"/>
      <w:r w:rsidRPr="00F51D37">
        <w:rPr>
          <w:rFonts w:ascii="Arial" w:hAnsi="Arial" w:cs="Arial"/>
          <w:lang w:val="en-US"/>
        </w:rPr>
        <w:t xml:space="preserve"> and all hard copies of the </w:t>
      </w:r>
      <w:r w:rsidRPr="00F51D37">
        <w:rPr>
          <w:rFonts w:ascii="Arial" w:hAnsi="Arial" w:cs="Arial"/>
          <w:lang w:val="en-US"/>
        </w:rPr>
        <w:lastRenderedPageBreak/>
        <w:t>documents of BIG and its related entities, including the personal documents of the Directors.</w:t>
      </w:r>
    </w:p>
    <w:p w14:paraId="3F57E2C6" w14:textId="77777777" w:rsidR="007D144D" w:rsidRDefault="00F136AF" w:rsidP="00F51D37">
      <w:pPr>
        <w:pStyle w:val="ListParagraph"/>
        <w:numPr>
          <w:ilvl w:val="1"/>
          <w:numId w:val="6"/>
        </w:numPr>
        <w:spacing w:line="360" w:lineRule="auto"/>
        <w:jc w:val="both"/>
        <w:rPr>
          <w:rFonts w:ascii="Arial" w:hAnsi="Arial" w:cs="Arial"/>
          <w:lang w:val="en-US"/>
        </w:rPr>
      </w:pPr>
      <w:r w:rsidRPr="00F51D37">
        <w:rPr>
          <w:rFonts w:ascii="Arial" w:hAnsi="Arial" w:cs="Arial"/>
          <w:lang w:val="en-US"/>
        </w:rPr>
        <w:t>That the documents relied upon by</w:t>
      </w:r>
      <w:r w:rsidR="00F51D37">
        <w:rPr>
          <w:rFonts w:ascii="Arial" w:hAnsi="Arial" w:cs="Arial"/>
          <w:lang w:val="en-US"/>
        </w:rPr>
        <w:t xml:space="preserve"> [Investec] </w:t>
      </w:r>
      <w:r w:rsidRPr="00F51D37">
        <w:rPr>
          <w:rFonts w:ascii="Arial" w:hAnsi="Arial" w:cs="Arial"/>
          <w:lang w:val="en-US"/>
        </w:rPr>
        <w:t xml:space="preserve">in the founding affidavit herein, </w:t>
      </w:r>
      <w:r w:rsidR="00F51D37">
        <w:rPr>
          <w:rFonts w:ascii="Arial" w:hAnsi="Arial" w:cs="Arial"/>
          <w:lang w:val="en-US"/>
        </w:rPr>
        <w:t xml:space="preserve">and </w:t>
      </w:r>
      <w:r w:rsidRPr="00F51D37">
        <w:rPr>
          <w:rFonts w:ascii="Arial" w:hAnsi="Arial" w:cs="Arial"/>
          <w:lang w:val="en-US"/>
        </w:rPr>
        <w:t xml:space="preserve">the documents relied upon by </w:t>
      </w:r>
      <w:r w:rsidR="00F51D37">
        <w:rPr>
          <w:rFonts w:ascii="Arial" w:hAnsi="Arial" w:cs="Arial"/>
          <w:lang w:val="en-US"/>
        </w:rPr>
        <w:t xml:space="preserve">[Investec] </w:t>
      </w:r>
      <w:r w:rsidRPr="00F51D37">
        <w:rPr>
          <w:rFonts w:ascii="Arial" w:hAnsi="Arial" w:cs="Arial"/>
          <w:lang w:val="en-US"/>
        </w:rPr>
        <w:t>[</w:t>
      </w:r>
      <w:r w:rsidR="00F51D37">
        <w:rPr>
          <w:rFonts w:ascii="Arial" w:hAnsi="Arial" w:cs="Arial"/>
          <w:lang w:val="en-US"/>
        </w:rPr>
        <w:t xml:space="preserve">in the sequestration application against Rushil Singh] </w:t>
      </w:r>
      <w:r w:rsidRPr="00F51D37">
        <w:rPr>
          <w:rFonts w:ascii="Arial" w:hAnsi="Arial" w:cs="Arial"/>
          <w:lang w:val="en-US"/>
        </w:rPr>
        <w:t>are to be scrutinized and examined by a forensic document examiner so as to determine the authenticity or otherwise of the si</w:t>
      </w:r>
      <w:r w:rsidR="007D144D">
        <w:rPr>
          <w:rFonts w:ascii="Arial" w:hAnsi="Arial" w:cs="Arial"/>
          <w:lang w:val="en-US"/>
        </w:rPr>
        <w:t xml:space="preserve">gnatures appearing thereon, </w:t>
      </w:r>
      <w:r w:rsidRPr="00F51D37">
        <w:rPr>
          <w:rFonts w:ascii="Arial" w:hAnsi="Arial" w:cs="Arial"/>
          <w:lang w:val="en-US"/>
        </w:rPr>
        <w:t xml:space="preserve">who shall report his / her findings to this </w:t>
      </w:r>
      <w:proofErr w:type="spellStart"/>
      <w:r w:rsidRPr="00F51D37">
        <w:rPr>
          <w:rFonts w:ascii="Arial" w:hAnsi="Arial" w:cs="Arial"/>
          <w:lang w:val="en-US"/>
        </w:rPr>
        <w:t>Honourable</w:t>
      </w:r>
      <w:proofErr w:type="spellEnd"/>
      <w:r w:rsidRPr="00F51D37">
        <w:rPr>
          <w:rFonts w:ascii="Arial" w:hAnsi="Arial" w:cs="Arial"/>
          <w:lang w:val="en-US"/>
        </w:rPr>
        <w:t xml:space="preserve"> Court upon completion of his or her investigations and analysis.</w:t>
      </w:r>
    </w:p>
    <w:p w14:paraId="29A38B9D" w14:textId="77777777" w:rsidR="00F136AF" w:rsidRDefault="00F136AF" w:rsidP="007D144D">
      <w:pPr>
        <w:pStyle w:val="ListParagraph"/>
        <w:numPr>
          <w:ilvl w:val="1"/>
          <w:numId w:val="6"/>
        </w:numPr>
        <w:spacing w:line="360" w:lineRule="auto"/>
        <w:jc w:val="both"/>
        <w:rPr>
          <w:rFonts w:ascii="Arial" w:hAnsi="Arial" w:cs="Arial"/>
          <w:lang w:val="en-US"/>
        </w:rPr>
      </w:pPr>
      <w:r w:rsidRPr="007D144D">
        <w:rPr>
          <w:rFonts w:ascii="Arial" w:hAnsi="Arial" w:cs="Arial"/>
          <w:lang w:val="en-US"/>
        </w:rPr>
        <w:t xml:space="preserve">That pending the delivery of written reasons by this </w:t>
      </w:r>
      <w:proofErr w:type="spellStart"/>
      <w:r w:rsidRPr="007D144D">
        <w:rPr>
          <w:rFonts w:ascii="Arial" w:hAnsi="Arial" w:cs="Arial"/>
          <w:lang w:val="en-US"/>
        </w:rPr>
        <w:t>Honourable</w:t>
      </w:r>
      <w:proofErr w:type="spellEnd"/>
      <w:r w:rsidRPr="007D144D">
        <w:rPr>
          <w:rFonts w:ascii="Arial" w:hAnsi="Arial" w:cs="Arial"/>
          <w:lang w:val="en-US"/>
        </w:rPr>
        <w:t xml:space="preserve"> Court to </w:t>
      </w:r>
      <w:r w:rsidR="007D144D">
        <w:rPr>
          <w:rFonts w:ascii="Arial" w:hAnsi="Arial" w:cs="Arial"/>
          <w:lang w:val="en-US"/>
        </w:rPr>
        <w:t xml:space="preserve">[BIG] </w:t>
      </w:r>
      <w:r w:rsidRPr="007D144D">
        <w:rPr>
          <w:rFonts w:ascii="Arial" w:hAnsi="Arial" w:cs="Arial"/>
          <w:lang w:val="en-US"/>
        </w:rPr>
        <w:t xml:space="preserve">in respect of its interlocutory application in terms of Rule 30A, the main application herein for </w:t>
      </w:r>
      <w:r w:rsidR="007D144D">
        <w:rPr>
          <w:rFonts w:ascii="Arial" w:hAnsi="Arial" w:cs="Arial"/>
          <w:lang w:val="en-US"/>
        </w:rPr>
        <w:t>[</w:t>
      </w:r>
      <w:r w:rsidRPr="007D144D">
        <w:rPr>
          <w:rFonts w:ascii="Arial" w:hAnsi="Arial" w:cs="Arial"/>
          <w:lang w:val="en-US"/>
        </w:rPr>
        <w:t xml:space="preserve">the </w:t>
      </w:r>
      <w:r w:rsidR="007D144D">
        <w:rPr>
          <w:rFonts w:ascii="Arial" w:hAnsi="Arial" w:cs="Arial"/>
          <w:lang w:val="en-US"/>
        </w:rPr>
        <w:t xml:space="preserve">winding up of BIG] </w:t>
      </w:r>
      <w:r w:rsidRPr="007D144D">
        <w:rPr>
          <w:rFonts w:ascii="Arial" w:hAnsi="Arial" w:cs="Arial"/>
          <w:lang w:val="en-US"/>
        </w:rPr>
        <w:t>be and is hereby stayed.</w:t>
      </w:r>
    </w:p>
    <w:p w14:paraId="022FDD08" w14:textId="77777777" w:rsidR="00F136AF" w:rsidRDefault="00F136AF" w:rsidP="007D144D">
      <w:pPr>
        <w:pStyle w:val="ListParagraph"/>
        <w:numPr>
          <w:ilvl w:val="1"/>
          <w:numId w:val="6"/>
        </w:numPr>
        <w:spacing w:line="360" w:lineRule="auto"/>
        <w:jc w:val="both"/>
        <w:rPr>
          <w:rFonts w:ascii="Arial" w:hAnsi="Arial" w:cs="Arial"/>
          <w:lang w:val="en-US"/>
        </w:rPr>
      </w:pPr>
      <w:r w:rsidRPr="007D144D">
        <w:rPr>
          <w:rFonts w:ascii="Arial" w:hAnsi="Arial" w:cs="Arial"/>
          <w:lang w:val="en-US"/>
        </w:rPr>
        <w:t xml:space="preserve">That the late filing of the Frist Respondent’s answering affidavit be and is hereby condoned. </w:t>
      </w:r>
    </w:p>
    <w:p w14:paraId="013F2AF7" w14:textId="77777777" w:rsidR="00F136AF" w:rsidRDefault="00F136AF" w:rsidP="007D144D">
      <w:pPr>
        <w:pStyle w:val="ListParagraph"/>
        <w:numPr>
          <w:ilvl w:val="0"/>
          <w:numId w:val="6"/>
        </w:numPr>
        <w:spacing w:line="360" w:lineRule="auto"/>
        <w:ind w:left="851" w:hanging="425"/>
        <w:jc w:val="both"/>
        <w:rPr>
          <w:rFonts w:ascii="Arial" w:hAnsi="Arial" w:cs="Arial"/>
          <w:lang w:val="en-US"/>
        </w:rPr>
      </w:pPr>
      <w:proofErr w:type="gramStart"/>
      <w:r w:rsidRPr="007D144D">
        <w:rPr>
          <w:rFonts w:ascii="Arial" w:hAnsi="Arial" w:cs="Arial"/>
          <w:lang w:val="en-US"/>
        </w:rPr>
        <w:t>That pending</w:t>
      </w:r>
      <w:proofErr w:type="gramEnd"/>
      <w:r w:rsidRPr="007D144D">
        <w:rPr>
          <w:rFonts w:ascii="Arial" w:hAnsi="Arial" w:cs="Arial"/>
          <w:lang w:val="en-US"/>
        </w:rPr>
        <w:t xml:space="preserve"> the final determination of this application, the relief provided for in </w:t>
      </w:r>
      <w:r w:rsidR="007D144D">
        <w:rPr>
          <w:rFonts w:ascii="Arial" w:hAnsi="Arial" w:cs="Arial"/>
          <w:lang w:val="en-US"/>
        </w:rPr>
        <w:t xml:space="preserve">  </w:t>
      </w:r>
      <w:r w:rsidRPr="007D144D">
        <w:rPr>
          <w:rFonts w:ascii="Arial" w:hAnsi="Arial" w:cs="Arial"/>
          <w:lang w:val="en-US"/>
        </w:rPr>
        <w:t xml:space="preserve">paragraph 2 hereof shall operate with full and immediate interim effect. </w:t>
      </w:r>
    </w:p>
    <w:p w14:paraId="6F5FFBE7" w14:textId="77777777" w:rsidR="00F136AF" w:rsidRPr="007D144D" w:rsidRDefault="007D144D" w:rsidP="007D144D">
      <w:pPr>
        <w:pStyle w:val="ListParagraph"/>
        <w:numPr>
          <w:ilvl w:val="0"/>
          <w:numId w:val="6"/>
        </w:numPr>
        <w:spacing w:line="360" w:lineRule="auto"/>
        <w:ind w:left="851" w:hanging="425"/>
        <w:jc w:val="both"/>
        <w:rPr>
          <w:rFonts w:ascii="Arial" w:hAnsi="Arial" w:cs="Arial"/>
          <w:lang w:val="en-US"/>
        </w:rPr>
      </w:pPr>
      <w:r w:rsidRPr="007D144D">
        <w:rPr>
          <w:rFonts w:ascii="Arial" w:hAnsi="Arial" w:cs="Arial"/>
          <w:lang w:val="en-US"/>
        </w:rPr>
        <w:t>[Investec] is directed to bear the cost of the counter application and the costs of the main application to date on the scale as between attorney and client.’</w:t>
      </w:r>
      <w:r w:rsidR="00F136AF" w:rsidRPr="007D144D">
        <w:rPr>
          <w:rFonts w:ascii="Arial" w:hAnsi="Arial" w:cs="Arial"/>
          <w:lang w:val="en-US"/>
        </w:rPr>
        <w:t xml:space="preserve"> </w:t>
      </w:r>
    </w:p>
    <w:p w14:paraId="504FCA44" w14:textId="77777777" w:rsidR="00F136AF" w:rsidRPr="002D2C31" w:rsidRDefault="00F136AF" w:rsidP="00F136AF">
      <w:pPr>
        <w:pStyle w:val="ListParagraph"/>
        <w:rPr>
          <w:rFonts w:ascii="Arial" w:hAnsi="Arial" w:cs="Arial"/>
          <w:sz w:val="24"/>
          <w:szCs w:val="24"/>
          <w:lang w:val="en-US"/>
        </w:rPr>
      </w:pPr>
    </w:p>
    <w:p w14:paraId="200F7B61" w14:textId="77777777" w:rsidR="00E578FD" w:rsidRDefault="00F136AF" w:rsidP="007D144D">
      <w:pPr>
        <w:pStyle w:val="ListParagraph"/>
        <w:numPr>
          <w:ilvl w:val="0"/>
          <w:numId w:val="1"/>
        </w:numPr>
        <w:spacing w:line="480" w:lineRule="auto"/>
        <w:jc w:val="both"/>
        <w:rPr>
          <w:rFonts w:ascii="Arial" w:hAnsi="Arial" w:cs="Arial"/>
          <w:sz w:val="24"/>
          <w:szCs w:val="24"/>
          <w:lang w:val="en-US"/>
        </w:rPr>
      </w:pPr>
      <w:r w:rsidRPr="007D144D">
        <w:rPr>
          <w:rFonts w:ascii="Arial" w:hAnsi="Arial" w:cs="Arial"/>
          <w:sz w:val="24"/>
          <w:szCs w:val="24"/>
          <w:lang w:val="en-US"/>
        </w:rPr>
        <w:t xml:space="preserve">As is apparent, the relief is sought in the form of a </w:t>
      </w:r>
      <w:r w:rsidRPr="007D144D">
        <w:rPr>
          <w:rFonts w:ascii="Arial" w:hAnsi="Arial" w:cs="Arial"/>
          <w:i/>
          <w:sz w:val="24"/>
          <w:szCs w:val="24"/>
          <w:lang w:val="en-US"/>
        </w:rPr>
        <w:t>rule nisi,</w:t>
      </w:r>
      <w:r w:rsidRPr="007D144D">
        <w:rPr>
          <w:rFonts w:ascii="Arial" w:hAnsi="Arial" w:cs="Arial"/>
          <w:sz w:val="24"/>
          <w:szCs w:val="24"/>
          <w:lang w:val="en-US"/>
        </w:rPr>
        <w:t xml:space="preserve"> to operate as an interim interdict pending the final determination of the application.  Mr Mohamed did not </w:t>
      </w:r>
      <w:r w:rsidRPr="007D144D">
        <w:rPr>
          <w:rFonts w:ascii="Arial" w:hAnsi="Arial" w:cs="Arial"/>
          <w:color w:val="000000" w:themeColor="text1"/>
          <w:sz w:val="24"/>
          <w:szCs w:val="24"/>
          <w:lang w:val="en-US"/>
        </w:rPr>
        <w:t>address the Court</w:t>
      </w:r>
      <w:r w:rsidR="00845E1F">
        <w:rPr>
          <w:rFonts w:ascii="Arial" w:hAnsi="Arial" w:cs="Arial"/>
          <w:color w:val="000000" w:themeColor="text1"/>
          <w:sz w:val="24"/>
          <w:szCs w:val="24"/>
          <w:lang w:val="en-US"/>
        </w:rPr>
        <w:t xml:space="preserve"> </w:t>
      </w:r>
      <w:r w:rsidRPr="007D144D">
        <w:rPr>
          <w:rFonts w:ascii="Arial" w:hAnsi="Arial" w:cs="Arial"/>
          <w:color w:val="000000" w:themeColor="text1"/>
          <w:sz w:val="24"/>
          <w:szCs w:val="24"/>
          <w:lang w:val="en-US"/>
        </w:rPr>
        <w:t xml:space="preserve">on why the relief was </w:t>
      </w:r>
      <w:r w:rsidRPr="007D144D">
        <w:rPr>
          <w:rFonts w:ascii="Arial" w:hAnsi="Arial" w:cs="Arial"/>
          <w:sz w:val="24"/>
          <w:szCs w:val="24"/>
          <w:lang w:val="en-US"/>
        </w:rPr>
        <w:t>framed in th</w:t>
      </w:r>
      <w:r w:rsidR="00885A1C">
        <w:rPr>
          <w:rFonts w:ascii="Arial" w:hAnsi="Arial" w:cs="Arial"/>
          <w:sz w:val="24"/>
          <w:szCs w:val="24"/>
          <w:lang w:val="en-US"/>
        </w:rPr>
        <w:t>e</w:t>
      </w:r>
      <w:r w:rsidRPr="007D144D">
        <w:rPr>
          <w:rFonts w:ascii="Arial" w:hAnsi="Arial" w:cs="Arial"/>
          <w:sz w:val="24"/>
          <w:szCs w:val="24"/>
          <w:lang w:val="en-US"/>
        </w:rPr>
        <w:t xml:space="preserve"> way</w:t>
      </w:r>
      <w:r w:rsidR="00885A1C">
        <w:rPr>
          <w:rFonts w:ascii="Arial" w:hAnsi="Arial" w:cs="Arial"/>
          <w:sz w:val="24"/>
          <w:szCs w:val="24"/>
          <w:lang w:val="en-US"/>
        </w:rPr>
        <w:t xml:space="preserve"> it is</w:t>
      </w:r>
      <w:r w:rsidR="00845E1F">
        <w:rPr>
          <w:rFonts w:ascii="Arial" w:hAnsi="Arial" w:cs="Arial"/>
          <w:sz w:val="24"/>
          <w:szCs w:val="24"/>
          <w:lang w:val="en-US"/>
        </w:rPr>
        <w:t>, which is somewhat unusual</w:t>
      </w:r>
      <w:r w:rsidRPr="007D144D">
        <w:rPr>
          <w:rFonts w:ascii="Arial" w:hAnsi="Arial" w:cs="Arial"/>
          <w:sz w:val="24"/>
          <w:szCs w:val="24"/>
          <w:lang w:val="en-US"/>
        </w:rPr>
        <w:t xml:space="preserve">.  </w:t>
      </w:r>
      <w:r w:rsidR="00845E1F">
        <w:rPr>
          <w:rFonts w:ascii="Arial" w:hAnsi="Arial" w:cs="Arial"/>
          <w:sz w:val="24"/>
          <w:szCs w:val="24"/>
          <w:lang w:val="en-US"/>
        </w:rPr>
        <w:t>However, on</w:t>
      </w:r>
      <w:r w:rsidR="006564A3">
        <w:rPr>
          <w:rFonts w:ascii="Arial" w:hAnsi="Arial" w:cs="Arial"/>
          <w:sz w:val="24"/>
          <w:szCs w:val="24"/>
          <w:lang w:val="en-US"/>
        </w:rPr>
        <w:t xml:space="preserve"> analysis</w:t>
      </w:r>
      <w:r w:rsidR="00845E1F">
        <w:rPr>
          <w:rFonts w:ascii="Arial" w:hAnsi="Arial" w:cs="Arial"/>
          <w:sz w:val="24"/>
          <w:szCs w:val="24"/>
          <w:lang w:val="en-US"/>
        </w:rPr>
        <w:t xml:space="preserve">, </w:t>
      </w:r>
      <w:r w:rsidRPr="007D144D">
        <w:rPr>
          <w:rFonts w:ascii="Arial" w:hAnsi="Arial" w:cs="Arial"/>
          <w:sz w:val="24"/>
          <w:szCs w:val="24"/>
          <w:lang w:val="en-US"/>
        </w:rPr>
        <w:t>the relief sought is final relief</w:t>
      </w:r>
      <w:r w:rsidR="00845E1F">
        <w:rPr>
          <w:rFonts w:ascii="Arial" w:hAnsi="Arial" w:cs="Arial"/>
          <w:sz w:val="24"/>
          <w:szCs w:val="24"/>
          <w:lang w:val="en-US"/>
        </w:rPr>
        <w:t xml:space="preserve">, for example, condonation, a forensic </w:t>
      </w:r>
      <w:proofErr w:type="gramStart"/>
      <w:r w:rsidR="00845E1F">
        <w:rPr>
          <w:rFonts w:ascii="Arial" w:hAnsi="Arial" w:cs="Arial"/>
          <w:sz w:val="24"/>
          <w:szCs w:val="24"/>
          <w:lang w:val="en-US"/>
        </w:rPr>
        <w:t>evaluation</w:t>
      </w:r>
      <w:proofErr w:type="gramEnd"/>
      <w:r w:rsidR="00845E1F">
        <w:rPr>
          <w:rFonts w:ascii="Arial" w:hAnsi="Arial" w:cs="Arial"/>
          <w:sz w:val="24"/>
          <w:szCs w:val="24"/>
          <w:lang w:val="en-US"/>
        </w:rPr>
        <w:t xml:space="preserve"> and access to documents</w:t>
      </w:r>
      <w:r w:rsidRPr="007D144D">
        <w:rPr>
          <w:rFonts w:ascii="Arial" w:hAnsi="Arial" w:cs="Arial"/>
          <w:sz w:val="24"/>
          <w:szCs w:val="24"/>
          <w:lang w:val="en-US"/>
        </w:rPr>
        <w:t>.  Moreover,</w:t>
      </w:r>
      <w:r w:rsidR="007D144D">
        <w:rPr>
          <w:rFonts w:ascii="Arial" w:hAnsi="Arial" w:cs="Arial"/>
          <w:sz w:val="24"/>
          <w:szCs w:val="24"/>
          <w:lang w:val="en-US"/>
        </w:rPr>
        <w:t xml:space="preserve"> </w:t>
      </w:r>
      <w:r w:rsidR="00885A1C">
        <w:rPr>
          <w:rFonts w:ascii="Arial" w:hAnsi="Arial" w:cs="Arial"/>
          <w:sz w:val="24"/>
          <w:szCs w:val="24"/>
          <w:lang w:val="en-US"/>
        </w:rPr>
        <w:t xml:space="preserve">in substance, it amounts to either a stay application or a </w:t>
      </w:r>
      <w:r w:rsidR="007D144D">
        <w:rPr>
          <w:rFonts w:ascii="Arial" w:hAnsi="Arial" w:cs="Arial"/>
          <w:sz w:val="24"/>
          <w:szCs w:val="24"/>
          <w:lang w:val="en-US"/>
        </w:rPr>
        <w:t>postponement application</w:t>
      </w:r>
      <w:r w:rsidR="00885A1C">
        <w:rPr>
          <w:rFonts w:ascii="Arial" w:hAnsi="Arial" w:cs="Arial"/>
          <w:sz w:val="24"/>
          <w:szCs w:val="24"/>
          <w:lang w:val="en-US"/>
        </w:rPr>
        <w:t xml:space="preserve"> (albeit without seeking an extension of the rule).   The latter conclusion is fortified by the fact </w:t>
      </w:r>
      <w:r w:rsidR="007D144D">
        <w:rPr>
          <w:rFonts w:ascii="Arial" w:hAnsi="Arial" w:cs="Arial"/>
          <w:sz w:val="24"/>
          <w:szCs w:val="24"/>
          <w:lang w:val="en-US"/>
        </w:rPr>
        <w:t xml:space="preserve">that the central </w:t>
      </w:r>
      <w:r w:rsidRPr="007D144D">
        <w:rPr>
          <w:rFonts w:ascii="Arial" w:hAnsi="Arial" w:cs="Arial"/>
          <w:sz w:val="24"/>
          <w:szCs w:val="24"/>
          <w:lang w:val="en-US"/>
        </w:rPr>
        <w:t>submiss</w:t>
      </w:r>
      <w:r w:rsidR="007D144D">
        <w:rPr>
          <w:rFonts w:ascii="Arial" w:hAnsi="Arial" w:cs="Arial"/>
          <w:sz w:val="24"/>
          <w:szCs w:val="24"/>
          <w:lang w:val="en-US"/>
        </w:rPr>
        <w:t xml:space="preserve">ion advanced </w:t>
      </w:r>
      <w:r w:rsidR="000E6485">
        <w:rPr>
          <w:rFonts w:ascii="Arial" w:hAnsi="Arial" w:cs="Arial"/>
          <w:sz w:val="24"/>
          <w:szCs w:val="24"/>
          <w:lang w:val="en-US"/>
        </w:rPr>
        <w:t>during the hearing was that the</w:t>
      </w:r>
      <w:r w:rsidR="007D144D">
        <w:rPr>
          <w:rFonts w:ascii="Arial" w:hAnsi="Arial" w:cs="Arial"/>
          <w:sz w:val="24"/>
          <w:szCs w:val="24"/>
          <w:lang w:val="en-US"/>
        </w:rPr>
        <w:t xml:space="preserve"> matter</w:t>
      </w:r>
      <w:r w:rsidR="00090107">
        <w:rPr>
          <w:rFonts w:ascii="Arial" w:hAnsi="Arial" w:cs="Arial"/>
          <w:sz w:val="24"/>
          <w:szCs w:val="24"/>
          <w:lang w:val="en-US"/>
        </w:rPr>
        <w:t>s</w:t>
      </w:r>
      <w:r w:rsidR="007D144D">
        <w:rPr>
          <w:rFonts w:ascii="Arial" w:hAnsi="Arial" w:cs="Arial"/>
          <w:sz w:val="24"/>
          <w:szCs w:val="24"/>
          <w:lang w:val="en-US"/>
        </w:rPr>
        <w:t xml:space="preserve"> </w:t>
      </w:r>
      <w:r w:rsidR="00090107">
        <w:rPr>
          <w:rFonts w:ascii="Arial" w:hAnsi="Arial" w:cs="Arial"/>
          <w:sz w:val="24"/>
          <w:szCs w:val="24"/>
          <w:lang w:val="en-US"/>
        </w:rPr>
        <w:t>are</w:t>
      </w:r>
      <w:r w:rsidRPr="007D144D">
        <w:rPr>
          <w:rFonts w:ascii="Arial" w:hAnsi="Arial" w:cs="Arial"/>
          <w:sz w:val="24"/>
          <w:szCs w:val="24"/>
          <w:lang w:val="en-US"/>
        </w:rPr>
        <w:t xml:space="preserve"> not yet ripe f</w:t>
      </w:r>
      <w:r w:rsidR="00643E15">
        <w:rPr>
          <w:rFonts w:ascii="Arial" w:hAnsi="Arial" w:cs="Arial"/>
          <w:sz w:val="24"/>
          <w:szCs w:val="24"/>
          <w:lang w:val="en-US"/>
        </w:rPr>
        <w:t>or hearing.  The reason</w:t>
      </w:r>
      <w:r w:rsidRPr="007D144D">
        <w:rPr>
          <w:rFonts w:ascii="Arial" w:hAnsi="Arial" w:cs="Arial"/>
          <w:sz w:val="24"/>
          <w:szCs w:val="24"/>
          <w:lang w:val="en-US"/>
        </w:rPr>
        <w:t xml:space="preserve">, put simply, is that BIG </w:t>
      </w:r>
      <w:r w:rsidR="00643E15">
        <w:rPr>
          <w:rFonts w:ascii="Arial" w:hAnsi="Arial" w:cs="Arial"/>
          <w:sz w:val="24"/>
          <w:szCs w:val="24"/>
          <w:lang w:val="en-US"/>
        </w:rPr>
        <w:t>[</w:t>
      </w:r>
      <w:r w:rsidRPr="007D144D">
        <w:rPr>
          <w:rFonts w:ascii="Arial" w:hAnsi="Arial" w:cs="Arial"/>
          <w:sz w:val="24"/>
          <w:szCs w:val="24"/>
          <w:lang w:val="en-US"/>
        </w:rPr>
        <w:t xml:space="preserve">and Singh </w:t>
      </w:r>
      <w:r w:rsidR="00643E15">
        <w:rPr>
          <w:rFonts w:ascii="Arial" w:hAnsi="Arial" w:cs="Arial"/>
          <w:sz w:val="24"/>
          <w:szCs w:val="24"/>
          <w:lang w:val="en-US"/>
        </w:rPr>
        <w:t xml:space="preserve">in the sequestration application] </w:t>
      </w:r>
      <w:r w:rsidR="000E6485">
        <w:rPr>
          <w:rFonts w:ascii="Arial" w:hAnsi="Arial" w:cs="Arial"/>
          <w:sz w:val="24"/>
          <w:szCs w:val="24"/>
          <w:lang w:val="en-US"/>
        </w:rPr>
        <w:t>seek access to information, they</w:t>
      </w:r>
      <w:r w:rsidR="00090107">
        <w:rPr>
          <w:rFonts w:ascii="Arial" w:hAnsi="Arial" w:cs="Arial"/>
          <w:sz w:val="24"/>
          <w:szCs w:val="24"/>
          <w:lang w:val="en-US"/>
        </w:rPr>
        <w:t xml:space="preserve"> seek forensic evaluation of </w:t>
      </w:r>
      <w:r w:rsidRPr="007D144D">
        <w:rPr>
          <w:rFonts w:ascii="Arial" w:hAnsi="Arial" w:cs="Arial"/>
          <w:sz w:val="24"/>
          <w:szCs w:val="24"/>
          <w:lang w:val="en-US"/>
        </w:rPr>
        <w:t xml:space="preserve">certain </w:t>
      </w:r>
      <w:proofErr w:type="gramStart"/>
      <w:r w:rsidR="00090107">
        <w:rPr>
          <w:rFonts w:ascii="Arial" w:hAnsi="Arial" w:cs="Arial"/>
          <w:sz w:val="24"/>
          <w:szCs w:val="24"/>
          <w:lang w:val="en-US"/>
        </w:rPr>
        <w:t>documents</w:t>
      </w:r>
      <w:proofErr w:type="gramEnd"/>
      <w:r w:rsidR="000E6485">
        <w:rPr>
          <w:rFonts w:ascii="Arial" w:hAnsi="Arial" w:cs="Arial"/>
          <w:sz w:val="24"/>
          <w:szCs w:val="24"/>
          <w:lang w:val="en-US"/>
        </w:rPr>
        <w:t xml:space="preserve"> and they wish to prosecute an appeal against the decision of Marx du Plessis AJ.  They wish to do so </w:t>
      </w:r>
      <w:r w:rsidRPr="007D144D">
        <w:rPr>
          <w:rFonts w:ascii="Arial" w:hAnsi="Arial" w:cs="Arial"/>
          <w:sz w:val="24"/>
          <w:szCs w:val="24"/>
          <w:lang w:val="en-US"/>
        </w:rPr>
        <w:t xml:space="preserve">before they deliver any </w:t>
      </w:r>
      <w:r w:rsidRPr="007D144D">
        <w:rPr>
          <w:rFonts w:ascii="Arial" w:hAnsi="Arial" w:cs="Arial"/>
          <w:sz w:val="24"/>
          <w:szCs w:val="24"/>
          <w:lang w:val="en-US"/>
        </w:rPr>
        <w:lastRenderedPageBreak/>
        <w:t xml:space="preserve">comprehensive answering affidavit, and against that background, they seek condonation for its late filing.  </w:t>
      </w:r>
    </w:p>
    <w:p w14:paraId="0CFD0891" w14:textId="77777777" w:rsidR="00E578FD" w:rsidRDefault="00E578FD" w:rsidP="00E578FD">
      <w:pPr>
        <w:pStyle w:val="ListParagraph"/>
        <w:spacing w:line="480" w:lineRule="auto"/>
        <w:ind w:left="360"/>
        <w:jc w:val="both"/>
        <w:rPr>
          <w:rFonts w:ascii="Arial" w:hAnsi="Arial" w:cs="Arial"/>
          <w:sz w:val="24"/>
          <w:szCs w:val="24"/>
          <w:lang w:val="en-US"/>
        </w:rPr>
      </w:pPr>
    </w:p>
    <w:p w14:paraId="623E4B5C" w14:textId="77777777" w:rsidR="000C444C" w:rsidRDefault="007D144D" w:rsidP="007D144D">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At this stage, no </w:t>
      </w:r>
      <w:r w:rsidR="00E578FD">
        <w:rPr>
          <w:rFonts w:ascii="Arial" w:hAnsi="Arial" w:cs="Arial"/>
          <w:sz w:val="24"/>
          <w:szCs w:val="24"/>
          <w:lang w:val="en-US"/>
        </w:rPr>
        <w:t xml:space="preserve">comprehensive </w:t>
      </w:r>
      <w:r>
        <w:rPr>
          <w:rFonts w:ascii="Arial" w:hAnsi="Arial" w:cs="Arial"/>
          <w:sz w:val="24"/>
          <w:szCs w:val="24"/>
          <w:lang w:val="en-US"/>
        </w:rPr>
        <w:t xml:space="preserve">answering </w:t>
      </w:r>
      <w:r w:rsidR="00E578FD">
        <w:rPr>
          <w:rFonts w:ascii="Arial" w:hAnsi="Arial" w:cs="Arial"/>
          <w:sz w:val="24"/>
          <w:szCs w:val="24"/>
          <w:lang w:val="en-US"/>
        </w:rPr>
        <w:t xml:space="preserve">affidavit has been delivered, notwithstanding the prior </w:t>
      </w:r>
      <w:proofErr w:type="gramStart"/>
      <w:r w:rsidR="00E578FD">
        <w:rPr>
          <w:rFonts w:ascii="Arial" w:hAnsi="Arial" w:cs="Arial"/>
          <w:sz w:val="24"/>
          <w:szCs w:val="24"/>
          <w:lang w:val="en-US"/>
        </w:rPr>
        <w:t>directives</w:t>
      </w:r>
      <w:proofErr w:type="gramEnd"/>
      <w:r w:rsidR="006564A3">
        <w:rPr>
          <w:rFonts w:ascii="Arial" w:hAnsi="Arial" w:cs="Arial"/>
          <w:sz w:val="24"/>
          <w:szCs w:val="24"/>
          <w:lang w:val="en-US"/>
        </w:rPr>
        <w:t xml:space="preserve"> not least the DJP’s directive es</w:t>
      </w:r>
      <w:r w:rsidR="00E578FD">
        <w:rPr>
          <w:rFonts w:ascii="Arial" w:hAnsi="Arial" w:cs="Arial"/>
          <w:sz w:val="24"/>
          <w:szCs w:val="24"/>
          <w:lang w:val="en-US"/>
        </w:rPr>
        <w:t>.  As indicated, the founding affidavit in the counter application is</w:t>
      </w:r>
      <w:r w:rsidR="000E6485">
        <w:rPr>
          <w:rFonts w:ascii="Arial" w:hAnsi="Arial" w:cs="Arial"/>
          <w:sz w:val="24"/>
          <w:szCs w:val="24"/>
          <w:lang w:val="en-US"/>
        </w:rPr>
        <w:t xml:space="preserve"> partly</w:t>
      </w:r>
      <w:r w:rsidR="00E578FD">
        <w:rPr>
          <w:rFonts w:ascii="Arial" w:hAnsi="Arial" w:cs="Arial"/>
          <w:sz w:val="24"/>
          <w:szCs w:val="24"/>
          <w:lang w:val="en-US"/>
        </w:rPr>
        <w:t xml:space="preserve"> styled as a</w:t>
      </w:r>
      <w:r w:rsidR="000E6485">
        <w:rPr>
          <w:rFonts w:ascii="Arial" w:hAnsi="Arial" w:cs="Arial"/>
          <w:sz w:val="24"/>
          <w:szCs w:val="24"/>
          <w:lang w:val="en-US"/>
        </w:rPr>
        <w:t>n</w:t>
      </w:r>
      <w:r w:rsidR="000C444C">
        <w:rPr>
          <w:rFonts w:ascii="Arial" w:hAnsi="Arial" w:cs="Arial"/>
          <w:sz w:val="24"/>
          <w:szCs w:val="24"/>
          <w:lang w:val="en-US"/>
        </w:rPr>
        <w:t xml:space="preserve"> </w:t>
      </w:r>
      <w:r w:rsidR="00E578FD">
        <w:rPr>
          <w:rFonts w:ascii="Arial" w:hAnsi="Arial" w:cs="Arial"/>
          <w:sz w:val="24"/>
          <w:szCs w:val="24"/>
          <w:lang w:val="en-US"/>
        </w:rPr>
        <w:t>ans</w:t>
      </w:r>
      <w:r w:rsidR="00643E15">
        <w:rPr>
          <w:rFonts w:ascii="Arial" w:hAnsi="Arial" w:cs="Arial"/>
          <w:sz w:val="24"/>
          <w:szCs w:val="24"/>
          <w:lang w:val="en-US"/>
        </w:rPr>
        <w:t xml:space="preserve">wering affidavit.   The responses to the merits of the application are, however, limited and fall into two </w:t>
      </w:r>
      <w:r w:rsidR="000E6485">
        <w:rPr>
          <w:rFonts w:ascii="Arial" w:hAnsi="Arial" w:cs="Arial"/>
          <w:sz w:val="24"/>
          <w:szCs w:val="24"/>
          <w:lang w:val="en-US"/>
        </w:rPr>
        <w:t xml:space="preserve">main </w:t>
      </w:r>
      <w:r w:rsidR="00090107">
        <w:rPr>
          <w:rFonts w:ascii="Arial" w:hAnsi="Arial" w:cs="Arial"/>
          <w:sz w:val="24"/>
          <w:szCs w:val="24"/>
          <w:lang w:val="en-US"/>
        </w:rPr>
        <w:t xml:space="preserve">broad categories: </w:t>
      </w:r>
      <w:r w:rsidR="00643E15">
        <w:rPr>
          <w:rFonts w:ascii="Arial" w:hAnsi="Arial" w:cs="Arial"/>
          <w:sz w:val="24"/>
          <w:szCs w:val="24"/>
          <w:lang w:val="en-US"/>
        </w:rPr>
        <w:t xml:space="preserve">first, contentions regarding alleged discrepancies in documents and second, answers to specific paragraphs in the founding and supplementary founding affidavits.  </w:t>
      </w:r>
      <w:r w:rsidR="000C444C">
        <w:rPr>
          <w:rFonts w:ascii="Arial" w:hAnsi="Arial" w:cs="Arial"/>
          <w:sz w:val="24"/>
          <w:szCs w:val="24"/>
          <w:lang w:val="en-US"/>
        </w:rPr>
        <w:t xml:space="preserve">One material theme </w:t>
      </w:r>
      <w:r w:rsidR="00643E15">
        <w:rPr>
          <w:rFonts w:ascii="Arial" w:hAnsi="Arial" w:cs="Arial"/>
          <w:sz w:val="24"/>
          <w:szCs w:val="24"/>
          <w:lang w:val="en-US"/>
        </w:rPr>
        <w:t xml:space="preserve">running through the ‘answer’ is </w:t>
      </w:r>
      <w:r w:rsidR="000C444C">
        <w:rPr>
          <w:rFonts w:ascii="Arial" w:hAnsi="Arial" w:cs="Arial"/>
          <w:sz w:val="24"/>
          <w:szCs w:val="24"/>
          <w:lang w:val="en-US"/>
        </w:rPr>
        <w:t>a denial that BIG and Singh are responsible for any fraud.</w:t>
      </w:r>
      <w:r w:rsidR="006564A3">
        <w:rPr>
          <w:rFonts w:ascii="Arial" w:hAnsi="Arial" w:cs="Arial"/>
          <w:sz w:val="24"/>
          <w:szCs w:val="24"/>
          <w:lang w:val="en-US"/>
        </w:rPr>
        <w:t xml:space="preserve">  Conversely it is suggested Investec is.  </w:t>
      </w:r>
      <w:r w:rsidR="000C444C">
        <w:rPr>
          <w:rFonts w:ascii="Arial" w:hAnsi="Arial" w:cs="Arial"/>
          <w:sz w:val="24"/>
          <w:szCs w:val="24"/>
          <w:lang w:val="en-US"/>
        </w:rPr>
        <w:t xml:space="preserve">Another is that </w:t>
      </w:r>
      <w:r w:rsidR="00643E15">
        <w:rPr>
          <w:rFonts w:ascii="Arial" w:hAnsi="Arial" w:cs="Arial"/>
          <w:sz w:val="24"/>
          <w:szCs w:val="24"/>
          <w:lang w:val="en-US"/>
        </w:rPr>
        <w:t>until a</w:t>
      </w:r>
      <w:r w:rsidR="000E6485">
        <w:rPr>
          <w:rFonts w:ascii="Arial" w:hAnsi="Arial" w:cs="Arial"/>
          <w:sz w:val="24"/>
          <w:szCs w:val="24"/>
          <w:lang w:val="en-US"/>
        </w:rPr>
        <w:t>ll documents are to hand, and a</w:t>
      </w:r>
      <w:r w:rsidR="00643E15">
        <w:rPr>
          <w:rFonts w:ascii="Arial" w:hAnsi="Arial" w:cs="Arial"/>
          <w:sz w:val="24"/>
          <w:szCs w:val="24"/>
          <w:lang w:val="en-US"/>
        </w:rPr>
        <w:t xml:space="preserve"> further opportunity has been provided to </w:t>
      </w:r>
      <w:r w:rsidR="000C444C">
        <w:rPr>
          <w:rFonts w:ascii="Arial" w:hAnsi="Arial" w:cs="Arial"/>
          <w:sz w:val="24"/>
          <w:szCs w:val="24"/>
          <w:lang w:val="en-US"/>
        </w:rPr>
        <w:t xml:space="preserve">BIG </w:t>
      </w:r>
      <w:r w:rsidR="00643E15">
        <w:rPr>
          <w:rFonts w:ascii="Arial" w:hAnsi="Arial" w:cs="Arial"/>
          <w:sz w:val="24"/>
          <w:szCs w:val="24"/>
          <w:lang w:val="en-US"/>
        </w:rPr>
        <w:t xml:space="preserve">determine </w:t>
      </w:r>
      <w:r w:rsidR="000C444C">
        <w:rPr>
          <w:rFonts w:ascii="Arial" w:hAnsi="Arial" w:cs="Arial"/>
          <w:sz w:val="24"/>
          <w:szCs w:val="24"/>
          <w:lang w:val="en-US"/>
        </w:rPr>
        <w:t xml:space="preserve">the authenticity of the </w:t>
      </w:r>
      <w:r w:rsidR="00643E15">
        <w:rPr>
          <w:rFonts w:ascii="Arial" w:hAnsi="Arial" w:cs="Arial"/>
          <w:sz w:val="24"/>
          <w:szCs w:val="24"/>
          <w:lang w:val="en-US"/>
        </w:rPr>
        <w:t>alleged agreements upon</w:t>
      </w:r>
      <w:r w:rsidR="006564A3">
        <w:rPr>
          <w:rFonts w:ascii="Arial" w:hAnsi="Arial" w:cs="Arial"/>
          <w:sz w:val="24"/>
          <w:szCs w:val="24"/>
          <w:lang w:val="en-US"/>
        </w:rPr>
        <w:t xml:space="preserve">, the agreements, </w:t>
      </w:r>
      <w:r w:rsidR="000E6485">
        <w:rPr>
          <w:rFonts w:ascii="Arial" w:hAnsi="Arial" w:cs="Arial"/>
          <w:sz w:val="24"/>
          <w:szCs w:val="24"/>
          <w:lang w:val="en-US"/>
        </w:rPr>
        <w:t>debts</w:t>
      </w:r>
      <w:r w:rsidR="006564A3">
        <w:rPr>
          <w:rFonts w:ascii="Arial" w:hAnsi="Arial" w:cs="Arial"/>
          <w:sz w:val="24"/>
          <w:szCs w:val="24"/>
          <w:lang w:val="en-US"/>
        </w:rPr>
        <w:t xml:space="preserve"> and security</w:t>
      </w:r>
      <w:r w:rsidR="000E6485">
        <w:rPr>
          <w:rFonts w:ascii="Arial" w:hAnsi="Arial" w:cs="Arial"/>
          <w:sz w:val="24"/>
          <w:szCs w:val="24"/>
          <w:lang w:val="en-US"/>
        </w:rPr>
        <w:t xml:space="preserve"> upon</w:t>
      </w:r>
      <w:r w:rsidR="00643E15">
        <w:rPr>
          <w:rFonts w:ascii="Arial" w:hAnsi="Arial" w:cs="Arial"/>
          <w:sz w:val="24"/>
          <w:szCs w:val="24"/>
          <w:lang w:val="en-US"/>
        </w:rPr>
        <w:t xml:space="preserve"> which Investec relies </w:t>
      </w:r>
      <w:r w:rsidR="009E4AC1">
        <w:rPr>
          <w:rFonts w:ascii="Arial" w:hAnsi="Arial" w:cs="Arial"/>
          <w:sz w:val="24"/>
          <w:szCs w:val="24"/>
          <w:lang w:val="en-US"/>
        </w:rPr>
        <w:t xml:space="preserve">to ground the winding-up </w:t>
      </w:r>
      <w:r w:rsidR="000C444C">
        <w:rPr>
          <w:rFonts w:ascii="Arial" w:hAnsi="Arial" w:cs="Arial"/>
          <w:sz w:val="24"/>
          <w:szCs w:val="24"/>
          <w:lang w:val="en-US"/>
        </w:rPr>
        <w:t xml:space="preserve">are denied.  </w:t>
      </w:r>
      <w:r w:rsidR="00643E15">
        <w:rPr>
          <w:rFonts w:ascii="Arial" w:hAnsi="Arial" w:cs="Arial"/>
          <w:sz w:val="24"/>
          <w:szCs w:val="24"/>
          <w:lang w:val="en-US"/>
        </w:rPr>
        <w:t xml:space="preserve"> </w:t>
      </w:r>
      <w:r w:rsidR="000C444C">
        <w:rPr>
          <w:rFonts w:ascii="Arial" w:hAnsi="Arial" w:cs="Arial"/>
          <w:sz w:val="24"/>
          <w:szCs w:val="24"/>
          <w:lang w:val="en-US"/>
        </w:rPr>
        <w:t xml:space="preserve">There are other points raised, including contentions that Investec has failed, on its own affidavits, to make out a case for various reasons.  Ultimately, BIG seeks to reserve its right to supplement its answer once it has access to the information it seeks and once it has sought to authenticate the agreements. </w:t>
      </w:r>
    </w:p>
    <w:p w14:paraId="0ADDFA77" w14:textId="77777777" w:rsidR="000C444C" w:rsidRPr="000C444C" w:rsidRDefault="000C444C" w:rsidP="000C444C">
      <w:pPr>
        <w:pStyle w:val="ListParagraph"/>
        <w:rPr>
          <w:rFonts w:ascii="Arial" w:hAnsi="Arial" w:cs="Arial"/>
          <w:sz w:val="24"/>
          <w:szCs w:val="24"/>
          <w:lang w:val="en-US"/>
        </w:rPr>
      </w:pPr>
    </w:p>
    <w:p w14:paraId="00DE6C3E" w14:textId="77777777" w:rsidR="00F136AF" w:rsidRDefault="00F136AF" w:rsidP="000C444C">
      <w:pPr>
        <w:pStyle w:val="ListParagraph"/>
        <w:numPr>
          <w:ilvl w:val="0"/>
          <w:numId w:val="1"/>
        </w:numPr>
        <w:spacing w:line="480" w:lineRule="auto"/>
        <w:jc w:val="both"/>
        <w:rPr>
          <w:rFonts w:ascii="Arial" w:hAnsi="Arial" w:cs="Arial"/>
          <w:sz w:val="24"/>
          <w:szCs w:val="24"/>
          <w:lang w:val="en-US"/>
        </w:rPr>
      </w:pPr>
      <w:r w:rsidRPr="000C444C">
        <w:rPr>
          <w:rFonts w:ascii="Arial" w:hAnsi="Arial" w:cs="Arial"/>
          <w:sz w:val="24"/>
          <w:szCs w:val="24"/>
          <w:lang w:val="en-US"/>
        </w:rPr>
        <w:t xml:space="preserve">Part of the </w:t>
      </w:r>
      <w:r w:rsidR="000C444C">
        <w:rPr>
          <w:rFonts w:ascii="Arial" w:hAnsi="Arial" w:cs="Arial"/>
          <w:sz w:val="24"/>
          <w:szCs w:val="24"/>
          <w:lang w:val="en-US"/>
        </w:rPr>
        <w:t xml:space="preserve">alleged </w:t>
      </w:r>
      <w:r w:rsidRPr="000C444C">
        <w:rPr>
          <w:rFonts w:ascii="Arial" w:hAnsi="Arial" w:cs="Arial"/>
          <w:sz w:val="24"/>
          <w:szCs w:val="24"/>
          <w:lang w:val="en-US"/>
        </w:rPr>
        <w:t xml:space="preserve">difficulty faced by BIG and Singh is that when BIG was placed under a provisional winding-up order, on 29 November 2022, </w:t>
      </w:r>
      <w:proofErr w:type="gramStart"/>
      <w:r w:rsidRPr="000C444C">
        <w:rPr>
          <w:rFonts w:ascii="Arial" w:hAnsi="Arial" w:cs="Arial"/>
          <w:sz w:val="24"/>
          <w:szCs w:val="24"/>
          <w:lang w:val="en-US"/>
        </w:rPr>
        <w:t>all of</w:t>
      </w:r>
      <w:proofErr w:type="gramEnd"/>
      <w:r w:rsidRPr="000C444C">
        <w:rPr>
          <w:rFonts w:ascii="Arial" w:hAnsi="Arial" w:cs="Arial"/>
          <w:sz w:val="24"/>
          <w:szCs w:val="24"/>
          <w:lang w:val="en-US"/>
        </w:rPr>
        <w:t xml:space="preserve"> the company information was taken into the custody of the provisional liquidators.  This ensued </w:t>
      </w:r>
      <w:r w:rsidR="00005A4C">
        <w:rPr>
          <w:rFonts w:ascii="Arial" w:hAnsi="Arial" w:cs="Arial"/>
          <w:sz w:val="24"/>
          <w:szCs w:val="24"/>
          <w:lang w:val="en-US"/>
        </w:rPr>
        <w:t>because of the alleged fraud</w:t>
      </w:r>
      <w:r w:rsidR="000E6485">
        <w:rPr>
          <w:rFonts w:ascii="Arial" w:hAnsi="Arial" w:cs="Arial"/>
          <w:sz w:val="24"/>
          <w:szCs w:val="24"/>
          <w:lang w:val="en-US"/>
        </w:rPr>
        <w:t>, which BIG disputes</w:t>
      </w:r>
      <w:r w:rsidR="009E4AC1">
        <w:rPr>
          <w:rFonts w:ascii="Arial" w:hAnsi="Arial" w:cs="Arial"/>
          <w:sz w:val="24"/>
          <w:szCs w:val="24"/>
          <w:lang w:val="en-US"/>
        </w:rPr>
        <w:t>, suggesting that,</w:t>
      </w:r>
      <w:r w:rsidR="00C70C1A">
        <w:rPr>
          <w:rFonts w:ascii="Arial" w:hAnsi="Arial" w:cs="Arial"/>
          <w:sz w:val="24"/>
          <w:szCs w:val="24"/>
          <w:lang w:val="en-US"/>
        </w:rPr>
        <w:t xml:space="preserve"> rather, BIG </w:t>
      </w:r>
      <w:r w:rsidR="009E4AC1">
        <w:rPr>
          <w:rFonts w:ascii="Arial" w:hAnsi="Arial" w:cs="Arial"/>
          <w:sz w:val="24"/>
          <w:szCs w:val="24"/>
          <w:lang w:val="en-US"/>
        </w:rPr>
        <w:t>may be</w:t>
      </w:r>
      <w:r w:rsidR="000E6485">
        <w:rPr>
          <w:rFonts w:ascii="Arial" w:hAnsi="Arial" w:cs="Arial"/>
          <w:sz w:val="24"/>
          <w:szCs w:val="24"/>
          <w:lang w:val="en-US"/>
        </w:rPr>
        <w:t xml:space="preserve"> the victim of </w:t>
      </w:r>
      <w:proofErr w:type="gramStart"/>
      <w:r w:rsidR="000E6485">
        <w:rPr>
          <w:rFonts w:ascii="Arial" w:hAnsi="Arial" w:cs="Arial"/>
          <w:sz w:val="24"/>
          <w:szCs w:val="24"/>
          <w:lang w:val="en-US"/>
        </w:rPr>
        <w:t>wrong-doing</w:t>
      </w:r>
      <w:proofErr w:type="gramEnd"/>
      <w:r w:rsidR="00C70C1A">
        <w:rPr>
          <w:rFonts w:ascii="Arial" w:hAnsi="Arial" w:cs="Arial"/>
          <w:sz w:val="24"/>
          <w:szCs w:val="24"/>
          <w:lang w:val="en-US"/>
        </w:rPr>
        <w:t xml:space="preserve"> by Investec</w:t>
      </w:r>
      <w:r w:rsidR="009E4AC1">
        <w:rPr>
          <w:rFonts w:ascii="Arial" w:hAnsi="Arial" w:cs="Arial"/>
          <w:sz w:val="24"/>
          <w:szCs w:val="24"/>
          <w:lang w:val="en-US"/>
        </w:rPr>
        <w:t xml:space="preserve">.  Another difficulty is that there was a </w:t>
      </w:r>
      <w:r w:rsidR="009E4AC1">
        <w:rPr>
          <w:rFonts w:ascii="Arial" w:hAnsi="Arial" w:cs="Arial"/>
          <w:sz w:val="24"/>
          <w:szCs w:val="24"/>
          <w:lang w:val="en-US"/>
        </w:rPr>
        <w:lastRenderedPageBreak/>
        <w:t xml:space="preserve">delay in the furnishment of reasons by Marx du Plessis AJ, which, BIG contended, disabled it from applying for leave to appeal. </w:t>
      </w:r>
    </w:p>
    <w:p w14:paraId="6FEB4529" w14:textId="77777777" w:rsidR="00A87785" w:rsidRDefault="00A87785" w:rsidP="00005A4C">
      <w:pPr>
        <w:rPr>
          <w:rFonts w:ascii="Arial" w:hAnsi="Arial" w:cs="Arial"/>
          <w:b/>
          <w:sz w:val="24"/>
          <w:szCs w:val="24"/>
          <w:lang w:val="en-US"/>
        </w:rPr>
      </w:pPr>
    </w:p>
    <w:p w14:paraId="2FC93068" w14:textId="77777777" w:rsidR="00005A4C" w:rsidRPr="0025131D" w:rsidRDefault="00005A4C" w:rsidP="00005A4C">
      <w:pPr>
        <w:rPr>
          <w:rFonts w:ascii="Arial" w:hAnsi="Arial" w:cs="Arial"/>
          <w:b/>
          <w:i/>
          <w:sz w:val="24"/>
          <w:szCs w:val="24"/>
          <w:lang w:val="en-US"/>
        </w:rPr>
      </w:pPr>
      <w:r w:rsidRPr="0025131D">
        <w:rPr>
          <w:rFonts w:ascii="Arial" w:hAnsi="Arial" w:cs="Arial"/>
          <w:b/>
          <w:i/>
          <w:sz w:val="24"/>
          <w:szCs w:val="24"/>
          <w:lang w:val="en-US"/>
        </w:rPr>
        <w:t>Urgency</w:t>
      </w:r>
    </w:p>
    <w:p w14:paraId="5452C432" w14:textId="77777777" w:rsidR="00A87785" w:rsidRPr="00005A4C" w:rsidRDefault="00A87785" w:rsidP="00005A4C">
      <w:pPr>
        <w:rPr>
          <w:rFonts w:ascii="Arial" w:hAnsi="Arial" w:cs="Arial"/>
          <w:b/>
          <w:sz w:val="24"/>
          <w:szCs w:val="24"/>
          <w:lang w:val="en-US"/>
        </w:rPr>
      </w:pPr>
    </w:p>
    <w:p w14:paraId="063D97C5" w14:textId="77777777" w:rsidR="0025131D" w:rsidRDefault="00005A4C" w:rsidP="000C444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As indicated above, any urgency in the </w:t>
      </w:r>
      <w:proofErr w:type="gramStart"/>
      <w:r>
        <w:rPr>
          <w:rFonts w:ascii="Arial" w:hAnsi="Arial" w:cs="Arial"/>
          <w:sz w:val="24"/>
          <w:szCs w:val="24"/>
          <w:lang w:val="en-US"/>
        </w:rPr>
        <w:t>counter-application</w:t>
      </w:r>
      <w:r w:rsidR="00090107">
        <w:rPr>
          <w:rFonts w:ascii="Arial" w:hAnsi="Arial" w:cs="Arial"/>
          <w:sz w:val="24"/>
          <w:szCs w:val="24"/>
          <w:lang w:val="en-US"/>
        </w:rPr>
        <w:t>s</w:t>
      </w:r>
      <w:proofErr w:type="gramEnd"/>
      <w:r>
        <w:rPr>
          <w:rFonts w:ascii="Arial" w:hAnsi="Arial" w:cs="Arial"/>
          <w:sz w:val="24"/>
          <w:szCs w:val="24"/>
          <w:lang w:val="en-US"/>
        </w:rPr>
        <w:t xml:space="preserve"> was in my view self-created.  There was no justification proffered for waiting until the eleventh hour to institute the application</w:t>
      </w:r>
      <w:r w:rsidR="00090107">
        <w:rPr>
          <w:rFonts w:ascii="Arial" w:hAnsi="Arial" w:cs="Arial"/>
          <w:sz w:val="24"/>
          <w:szCs w:val="24"/>
          <w:lang w:val="en-US"/>
        </w:rPr>
        <w:t>s</w:t>
      </w:r>
      <w:r>
        <w:rPr>
          <w:rFonts w:ascii="Arial" w:hAnsi="Arial" w:cs="Arial"/>
          <w:sz w:val="24"/>
          <w:szCs w:val="24"/>
          <w:lang w:val="en-US"/>
        </w:rPr>
        <w:t>.  There is nothing that ensued shortly before the October hearing dates that triggered the application</w:t>
      </w:r>
      <w:r w:rsidR="00090107">
        <w:rPr>
          <w:rFonts w:ascii="Arial" w:hAnsi="Arial" w:cs="Arial"/>
          <w:sz w:val="24"/>
          <w:szCs w:val="24"/>
          <w:lang w:val="en-US"/>
        </w:rPr>
        <w:t>s</w:t>
      </w:r>
      <w:r>
        <w:rPr>
          <w:rFonts w:ascii="Arial" w:hAnsi="Arial" w:cs="Arial"/>
          <w:sz w:val="24"/>
          <w:szCs w:val="24"/>
          <w:lang w:val="en-US"/>
        </w:rPr>
        <w:t>.</w:t>
      </w:r>
      <w:r w:rsidR="00A87785">
        <w:rPr>
          <w:rFonts w:ascii="Arial" w:hAnsi="Arial" w:cs="Arial"/>
          <w:sz w:val="24"/>
          <w:szCs w:val="24"/>
          <w:lang w:val="en-US"/>
        </w:rPr>
        <w:t xml:space="preserve">  However, I concluded that the interests of justice, </w:t>
      </w:r>
      <w:r w:rsidR="009E4AC1">
        <w:rPr>
          <w:rFonts w:ascii="Arial" w:hAnsi="Arial" w:cs="Arial"/>
          <w:sz w:val="24"/>
          <w:szCs w:val="24"/>
          <w:lang w:val="en-US"/>
        </w:rPr>
        <w:t>including</w:t>
      </w:r>
      <w:r w:rsidR="0025131D">
        <w:rPr>
          <w:rFonts w:ascii="Arial" w:hAnsi="Arial" w:cs="Arial"/>
          <w:sz w:val="24"/>
          <w:szCs w:val="24"/>
          <w:lang w:val="en-US"/>
        </w:rPr>
        <w:t xml:space="preserve"> finality, </w:t>
      </w:r>
      <w:r w:rsidR="00A87785">
        <w:rPr>
          <w:rFonts w:ascii="Arial" w:hAnsi="Arial" w:cs="Arial"/>
          <w:sz w:val="24"/>
          <w:szCs w:val="24"/>
          <w:lang w:val="en-US"/>
        </w:rPr>
        <w:t>warranted that I entertain the application</w:t>
      </w:r>
      <w:r w:rsidR="00090107">
        <w:rPr>
          <w:rFonts w:ascii="Arial" w:hAnsi="Arial" w:cs="Arial"/>
          <w:sz w:val="24"/>
          <w:szCs w:val="24"/>
          <w:lang w:val="en-US"/>
        </w:rPr>
        <w:t>s</w:t>
      </w:r>
      <w:r w:rsidR="0025131D">
        <w:rPr>
          <w:rFonts w:ascii="Arial" w:hAnsi="Arial" w:cs="Arial"/>
          <w:sz w:val="24"/>
          <w:szCs w:val="24"/>
          <w:lang w:val="en-US"/>
        </w:rPr>
        <w:t xml:space="preserve"> on </w:t>
      </w:r>
      <w:r w:rsidR="00090107">
        <w:rPr>
          <w:rFonts w:ascii="Arial" w:hAnsi="Arial" w:cs="Arial"/>
          <w:sz w:val="24"/>
          <w:szCs w:val="24"/>
          <w:lang w:val="en-US"/>
        </w:rPr>
        <w:t xml:space="preserve">their </w:t>
      </w:r>
      <w:r w:rsidR="0025131D">
        <w:rPr>
          <w:rFonts w:ascii="Arial" w:hAnsi="Arial" w:cs="Arial"/>
          <w:sz w:val="24"/>
          <w:szCs w:val="24"/>
          <w:lang w:val="en-US"/>
        </w:rPr>
        <w:t>merits</w:t>
      </w:r>
      <w:r w:rsidR="00A87785">
        <w:rPr>
          <w:rFonts w:ascii="Arial" w:hAnsi="Arial" w:cs="Arial"/>
          <w:sz w:val="24"/>
          <w:szCs w:val="24"/>
          <w:lang w:val="en-US"/>
        </w:rPr>
        <w:t xml:space="preserve">. </w:t>
      </w:r>
      <w:r w:rsidR="0025131D">
        <w:rPr>
          <w:rFonts w:ascii="Arial" w:hAnsi="Arial" w:cs="Arial"/>
          <w:sz w:val="24"/>
          <w:szCs w:val="24"/>
          <w:lang w:val="en-US"/>
        </w:rPr>
        <w:t xml:space="preserve"> </w:t>
      </w:r>
      <w:r w:rsidR="00A87785">
        <w:rPr>
          <w:rFonts w:ascii="Arial" w:hAnsi="Arial" w:cs="Arial"/>
          <w:sz w:val="24"/>
          <w:szCs w:val="24"/>
          <w:lang w:val="en-US"/>
        </w:rPr>
        <w:t xml:space="preserve">I arrived at this conclusion </w:t>
      </w:r>
      <w:r w:rsidR="009E4AC1">
        <w:rPr>
          <w:rFonts w:ascii="Arial" w:hAnsi="Arial" w:cs="Arial"/>
          <w:sz w:val="24"/>
          <w:szCs w:val="24"/>
          <w:lang w:val="en-US"/>
        </w:rPr>
        <w:t xml:space="preserve">in circumstances where </w:t>
      </w:r>
      <w:r w:rsidR="00A87785">
        <w:rPr>
          <w:rFonts w:ascii="Arial" w:hAnsi="Arial" w:cs="Arial"/>
          <w:sz w:val="24"/>
          <w:szCs w:val="24"/>
          <w:lang w:val="en-US"/>
        </w:rPr>
        <w:t xml:space="preserve">BIG </w:t>
      </w:r>
      <w:r w:rsidR="00090107">
        <w:rPr>
          <w:rFonts w:ascii="Arial" w:hAnsi="Arial" w:cs="Arial"/>
          <w:sz w:val="24"/>
          <w:szCs w:val="24"/>
          <w:lang w:val="en-US"/>
        </w:rPr>
        <w:t xml:space="preserve">(and Singh) are </w:t>
      </w:r>
      <w:r w:rsidR="009E4AC1">
        <w:rPr>
          <w:rFonts w:ascii="Arial" w:hAnsi="Arial" w:cs="Arial"/>
          <w:sz w:val="24"/>
          <w:szCs w:val="24"/>
          <w:lang w:val="en-US"/>
        </w:rPr>
        <w:t xml:space="preserve">essentially </w:t>
      </w:r>
      <w:r w:rsidR="00A87785">
        <w:rPr>
          <w:rFonts w:ascii="Arial" w:hAnsi="Arial" w:cs="Arial"/>
          <w:sz w:val="24"/>
          <w:szCs w:val="24"/>
          <w:lang w:val="en-US"/>
        </w:rPr>
        <w:t>contending</w:t>
      </w:r>
      <w:r w:rsidR="00090107">
        <w:rPr>
          <w:rFonts w:ascii="Arial" w:hAnsi="Arial" w:cs="Arial"/>
          <w:sz w:val="24"/>
          <w:szCs w:val="24"/>
          <w:lang w:val="en-US"/>
        </w:rPr>
        <w:t xml:space="preserve"> in the </w:t>
      </w:r>
      <w:proofErr w:type="gramStart"/>
      <w:r w:rsidR="00090107">
        <w:rPr>
          <w:rFonts w:ascii="Arial" w:hAnsi="Arial" w:cs="Arial"/>
          <w:sz w:val="24"/>
          <w:szCs w:val="24"/>
          <w:lang w:val="en-US"/>
        </w:rPr>
        <w:t>counter-applications</w:t>
      </w:r>
      <w:proofErr w:type="gramEnd"/>
      <w:r w:rsidR="00090107">
        <w:rPr>
          <w:rFonts w:ascii="Arial" w:hAnsi="Arial" w:cs="Arial"/>
          <w:sz w:val="24"/>
          <w:szCs w:val="24"/>
          <w:lang w:val="en-US"/>
        </w:rPr>
        <w:t xml:space="preserve"> that their</w:t>
      </w:r>
      <w:r w:rsidR="00A87785">
        <w:rPr>
          <w:rFonts w:ascii="Arial" w:hAnsi="Arial" w:cs="Arial"/>
          <w:sz w:val="24"/>
          <w:szCs w:val="24"/>
          <w:lang w:val="en-US"/>
        </w:rPr>
        <w:t xml:space="preserve"> rights to be duly heard, fundamental to fair process, are in issue</w:t>
      </w:r>
      <w:r w:rsidR="0025131D">
        <w:rPr>
          <w:rFonts w:ascii="Arial" w:hAnsi="Arial" w:cs="Arial"/>
          <w:sz w:val="24"/>
          <w:szCs w:val="24"/>
          <w:lang w:val="en-US"/>
        </w:rPr>
        <w:t xml:space="preserve">.  Some of the issues that are relevant to urgency were, moreover, also relevant to the merits, and </w:t>
      </w:r>
      <w:r w:rsidR="006564A3">
        <w:rPr>
          <w:rFonts w:ascii="Arial" w:hAnsi="Arial" w:cs="Arial"/>
          <w:sz w:val="24"/>
          <w:szCs w:val="24"/>
          <w:lang w:val="en-US"/>
        </w:rPr>
        <w:t xml:space="preserve">in those circumstances, </w:t>
      </w:r>
      <w:r w:rsidR="009E4AC1">
        <w:rPr>
          <w:rFonts w:ascii="Arial" w:hAnsi="Arial" w:cs="Arial"/>
          <w:sz w:val="24"/>
          <w:szCs w:val="24"/>
          <w:lang w:val="en-US"/>
        </w:rPr>
        <w:t xml:space="preserve">I </w:t>
      </w:r>
      <w:r w:rsidR="006564A3">
        <w:rPr>
          <w:rFonts w:ascii="Arial" w:hAnsi="Arial" w:cs="Arial"/>
          <w:sz w:val="24"/>
          <w:szCs w:val="24"/>
          <w:lang w:val="en-US"/>
        </w:rPr>
        <w:t>considered that</w:t>
      </w:r>
      <w:r w:rsidR="009E4AC1">
        <w:rPr>
          <w:rFonts w:ascii="Arial" w:hAnsi="Arial" w:cs="Arial"/>
          <w:sz w:val="24"/>
          <w:szCs w:val="24"/>
          <w:lang w:val="en-US"/>
        </w:rPr>
        <w:t xml:space="preserve"> the position of BIG</w:t>
      </w:r>
      <w:r w:rsidR="00090107">
        <w:rPr>
          <w:rFonts w:ascii="Arial" w:hAnsi="Arial" w:cs="Arial"/>
          <w:sz w:val="24"/>
          <w:szCs w:val="24"/>
          <w:lang w:val="en-US"/>
        </w:rPr>
        <w:t xml:space="preserve"> (and Singh)</w:t>
      </w:r>
      <w:r w:rsidR="009E4AC1">
        <w:rPr>
          <w:rFonts w:ascii="Arial" w:hAnsi="Arial" w:cs="Arial"/>
          <w:sz w:val="24"/>
          <w:szCs w:val="24"/>
          <w:lang w:val="en-US"/>
        </w:rPr>
        <w:t xml:space="preserve">, and whether </w:t>
      </w:r>
      <w:r w:rsidR="00090107">
        <w:rPr>
          <w:rFonts w:ascii="Arial" w:hAnsi="Arial" w:cs="Arial"/>
          <w:sz w:val="24"/>
          <w:szCs w:val="24"/>
          <w:lang w:val="en-US"/>
        </w:rPr>
        <w:t>their</w:t>
      </w:r>
      <w:r w:rsidR="009E4AC1">
        <w:rPr>
          <w:rFonts w:ascii="Arial" w:hAnsi="Arial" w:cs="Arial"/>
          <w:sz w:val="24"/>
          <w:szCs w:val="24"/>
          <w:lang w:val="en-US"/>
        </w:rPr>
        <w:t xml:space="preserve"> rights may be prejudiced</w:t>
      </w:r>
      <w:r w:rsidR="006564A3">
        <w:rPr>
          <w:rFonts w:ascii="Arial" w:hAnsi="Arial" w:cs="Arial"/>
          <w:sz w:val="24"/>
          <w:szCs w:val="24"/>
          <w:lang w:val="en-US"/>
        </w:rPr>
        <w:t xml:space="preserve"> required due consideration. </w:t>
      </w:r>
      <w:r w:rsidR="0025131D">
        <w:rPr>
          <w:rFonts w:ascii="Arial" w:hAnsi="Arial" w:cs="Arial"/>
          <w:sz w:val="24"/>
          <w:szCs w:val="24"/>
          <w:lang w:val="en-US"/>
        </w:rPr>
        <w:t>I accordingly turn to the m</w:t>
      </w:r>
      <w:r w:rsidR="00090107">
        <w:rPr>
          <w:rFonts w:ascii="Arial" w:hAnsi="Arial" w:cs="Arial"/>
          <w:sz w:val="24"/>
          <w:szCs w:val="24"/>
          <w:lang w:val="en-US"/>
        </w:rPr>
        <w:t>erits</w:t>
      </w:r>
      <w:r w:rsidR="0025131D">
        <w:rPr>
          <w:rFonts w:ascii="Arial" w:hAnsi="Arial" w:cs="Arial"/>
          <w:sz w:val="24"/>
          <w:szCs w:val="24"/>
          <w:lang w:val="en-US"/>
        </w:rPr>
        <w:t xml:space="preserve">. </w:t>
      </w:r>
    </w:p>
    <w:p w14:paraId="03F41FBC" w14:textId="77777777" w:rsidR="009E4AC1" w:rsidRDefault="009E4AC1" w:rsidP="0025131D">
      <w:pPr>
        <w:spacing w:line="480" w:lineRule="auto"/>
        <w:jc w:val="both"/>
        <w:rPr>
          <w:rFonts w:ascii="Arial" w:hAnsi="Arial" w:cs="Arial"/>
          <w:b/>
          <w:i/>
          <w:sz w:val="24"/>
          <w:szCs w:val="24"/>
          <w:lang w:val="en-US"/>
        </w:rPr>
      </w:pPr>
    </w:p>
    <w:p w14:paraId="4772277E" w14:textId="77777777" w:rsidR="00A87785" w:rsidRPr="0025131D" w:rsidRDefault="00176443" w:rsidP="0025131D">
      <w:pPr>
        <w:spacing w:line="480" w:lineRule="auto"/>
        <w:jc w:val="both"/>
        <w:rPr>
          <w:rFonts w:ascii="Arial" w:hAnsi="Arial" w:cs="Arial"/>
          <w:b/>
          <w:i/>
          <w:sz w:val="24"/>
          <w:szCs w:val="24"/>
          <w:lang w:val="en-US"/>
        </w:rPr>
      </w:pPr>
      <w:r>
        <w:rPr>
          <w:rFonts w:ascii="Arial" w:hAnsi="Arial" w:cs="Arial"/>
          <w:b/>
          <w:i/>
          <w:sz w:val="24"/>
          <w:szCs w:val="24"/>
          <w:lang w:val="en-US"/>
        </w:rPr>
        <w:t>Legal principles</w:t>
      </w:r>
      <w:r w:rsidR="0025131D" w:rsidRPr="0025131D">
        <w:rPr>
          <w:rFonts w:ascii="Arial" w:hAnsi="Arial" w:cs="Arial"/>
          <w:b/>
          <w:i/>
          <w:sz w:val="24"/>
          <w:szCs w:val="24"/>
          <w:lang w:val="en-US"/>
        </w:rPr>
        <w:t xml:space="preserve"> </w:t>
      </w:r>
    </w:p>
    <w:p w14:paraId="0161EF75" w14:textId="310C7461" w:rsidR="00F128B3" w:rsidRDefault="00176443" w:rsidP="00453F8D">
      <w:pPr>
        <w:pStyle w:val="ListParagraph"/>
        <w:numPr>
          <w:ilvl w:val="0"/>
          <w:numId w:val="1"/>
        </w:numPr>
        <w:spacing w:line="480" w:lineRule="auto"/>
        <w:jc w:val="both"/>
        <w:rPr>
          <w:rFonts w:ascii="Arial" w:hAnsi="Arial" w:cs="Arial"/>
          <w:sz w:val="24"/>
          <w:szCs w:val="24"/>
          <w:lang w:val="en-US"/>
        </w:rPr>
      </w:pPr>
      <w:r w:rsidRPr="002D0AEB">
        <w:rPr>
          <w:rFonts w:ascii="Arial" w:hAnsi="Arial" w:cs="Arial"/>
          <w:sz w:val="24"/>
          <w:szCs w:val="24"/>
          <w:lang w:val="en-US"/>
        </w:rPr>
        <w:t>I have indicated above that in my view, the relief sought is final in nature</w:t>
      </w:r>
      <w:r w:rsidR="00453F8D" w:rsidRPr="002D0AEB">
        <w:rPr>
          <w:rFonts w:ascii="Arial" w:hAnsi="Arial" w:cs="Arial"/>
          <w:sz w:val="24"/>
          <w:szCs w:val="24"/>
          <w:lang w:val="en-US"/>
        </w:rPr>
        <w:t xml:space="preserve"> (</w:t>
      </w:r>
      <w:r w:rsidRPr="002D0AEB">
        <w:rPr>
          <w:rFonts w:ascii="Arial" w:hAnsi="Arial" w:cs="Arial"/>
          <w:sz w:val="24"/>
          <w:szCs w:val="24"/>
          <w:lang w:val="en-US"/>
        </w:rPr>
        <w:t>even though cast as an interim interdict</w:t>
      </w:r>
      <w:r w:rsidR="00453F8D" w:rsidRPr="002D0AEB">
        <w:rPr>
          <w:rFonts w:ascii="Arial" w:hAnsi="Arial" w:cs="Arial"/>
          <w:sz w:val="24"/>
          <w:szCs w:val="24"/>
          <w:lang w:val="en-US"/>
        </w:rPr>
        <w:t xml:space="preserve">) and in substance, amounts to </w:t>
      </w:r>
      <w:r w:rsidR="00A44170">
        <w:rPr>
          <w:rFonts w:ascii="Arial" w:hAnsi="Arial" w:cs="Arial"/>
          <w:sz w:val="24"/>
          <w:szCs w:val="24"/>
          <w:lang w:val="en-US"/>
        </w:rPr>
        <w:t xml:space="preserve">either </w:t>
      </w:r>
      <w:r w:rsidR="00453F8D" w:rsidRPr="002D0AEB">
        <w:rPr>
          <w:rFonts w:ascii="Arial" w:hAnsi="Arial" w:cs="Arial"/>
          <w:sz w:val="24"/>
          <w:szCs w:val="24"/>
          <w:lang w:val="en-US"/>
        </w:rPr>
        <w:t xml:space="preserve">a </w:t>
      </w:r>
      <w:r w:rsidR="00885A1C" w:rsidRPr="002D0AEB">
        <w:rPr>
          <w:rFonts w:ascii="Arial" w:hAnsi="Arial" w:cs="Arial"/>
          <w:sz w:val="24"/>
          <w:szCs w:val="24"/>
          <w:lang w:val="en-US"/>
        </w:rPr>
        <w:t>stay application</w:t>
      </w:r>
      <w:r w:rsidR="002D0AEB" w:rsidRPr="002D0AEB">
        <w:rPr>
          <w:rFonts w:ascii="Arial" w:hAnsi="Arial" w:cs="Arial"/>
          <w:sz w:val="24"/>
          <w:szCs w:val="24"/>
          <w:lang w:val="en-US"/>
        </w:rPr>
        <w:t xml:space="preserve"> or a postponement application (</w:t>
      </w:r>
      <w:r w:rsidR="00F128B3">
        <w:rPr>
          <w:rFonts w:ascii="Arial" w:hAnsi="Arial" w:cs="Arial"/>
          <w:sz w:val="24"/>
          <w:szCs w:val="24"/>
          <w:lang w:val="en-US"/>
        </w:rPr>
        <w:t xml:space="preserve">albeit </w:t>
      </w:r>
      <w:r w:rsidR="002D0AEB" w:rsidRPr="002D0AEB">
        <w:rPr>
          <w:rFonts w:ascii="Arial" w:hAnsi="Arial" w:cs="Arial"/>
          <w:sz w:val="24"/>
          <w:szCs w:val="24"/>
          <w:lang w:val="en-US"/>
        </w:rPr>
        <w:t xml:space="preserve">without seeking the extension of the rule </w:t>
      </w:r>
      <w:r w:rsidR="002D0AEB" w:rsidRPr="002D0AEB">
        <w:rPr>
          <w:rFonts w:ascii="Arial" w:hAnsi="Arial" w:cs="Arial"/>
          <w:i/>
          <w:sz w:val="24"/>
          <w:szCs w:val="24"/>
          <w:lang w:val="en-US"/>
        </w:rPr>
        <w:t>nisi</w:t>
      </w:r>
      <w:r w:rsidR="002D0AEB" w:rsidRPr="002D0AEB">
        <w:rPr>
          <w:rFonts w:ascii="Arial" w:hAnsi="Arial" w:cs="Arial"/>
          <w:sz w:val="24"/>
          <w:szCs w:val="24"/>
          <w:lang w:val="en-US"/>
        </w:rPr>
        <w:t>)</w:t>
      </w:r>
      <w:r w:rsidR="00885A1C" w:rsidRPr="002D0AEB">
        <w:rPr>
          <w:rFonts w:ascii="Arial" w:hAnsi="Arial" w:cs="Arial"/>
          <w:sz w:val="24"/>
          <w:szCs w:val="24"/>
          <w:lang w:val="en-US"/>
        </w:rPr>
        <w:t>.</w:t>
      </w:r>
      <w:r w:rsidR="002D0AEB" w:rsidRPr="002D0AEB">
        <w:rPr>
          <w:rFonts w:ascii="Arial" w:hAnsi="Arial" w:cs="Arial"/>
          <w:sz w:val="24"/>
          <w:szCs w:val="24"/>
          <w:lang w:val="en-US"/>
        </w:rPr>
        <w:t xml:space="preserve">  </w:t>
      </w:r>
      <w:r w:rsidR="00A44170" w:rsidRPr="00453F8D">
        <w:rPr>
          <w:rFonts w:ascii="Arial" w:hAnsi="Arial" w:cs="Arial"/>
          <w:sz w:val="24"/>
          <w:szCs w:val="24"/>
          <w:lang w:val="en-US"/>
        </w:rPr>
        <w:t xml:space="preserve">Nevertheless, out of caution, </w:t>
      </w:r>
      <w:r w:rsidR="00A44170">
        <w:rPr>
          <w:rFonts w:ascii="Arial" w:hAnsi="Arial" w:cs="Arial"/>
          <w:sz w:val="24"/>
          <w:szCs w:val="24"/>
          <w:lang w:val="en-US"/>
        </w:rPr>
        <w:t>in approaching the application</w:t>
      </w:r>
      <w:r w:rsidR="00090107">
        <w:rPr>
          <w:rFonts w:ascii="Arial" w:hAnsi="Arial" w:cs="Arial"/>
          <w:sz w:val="24"/>
          <w:szCs w:val="24"/>
          <w:lang w:val="en-US"/>
        </w:rPr>
        <w:t>s</w:t>
      </w:r>
      <w:r w:rsidR="00A44170">
        <w:rPr>
          <w:rFonts w:ascii="Arial" w:hAnsi="Arial" w:cs="Arial"/>
          <w:sz w:val="24"/>
          <w:szCs w:val="24"/>
          <w:lang w:val="en-US"/>
        </w:rPr>
        <w:t xml:space="preserve">, I have also considered the </w:t>
      </w:r>
      <w:r w:rsidR="00A44170" w:rsidRPr="00453F8D">
        <w:rPr>
          <w:rFonts w:ascii="Arial" w:hAnsi="Arial" w:cs="Arial"/>
          <w:sz w:val="24"/>
          <w:szCs w:val="24"/>
          <w:lang w:val="en-US"/>
        </w:rPr>
        <w:t xml:space="preserve">test for interim relief, which would operate in BIG’s </w:t>
      </w:r>
      <w:r w:rsidR="00090107">
        <w:rPr>
          <w:rFonts w:ascii="Arial" w:hAnsi="Arial" w:cs="Arial"/>
          <w:sz w:val="24"/>
          <w:szCs w:val="24"/>
          <w:lang w:val="en-US"/>
        </w:rPr>
        <w:t xml:space="preserve">(and Singh’s) </w:t>
      </w:r>
      <w:proofErr w:type="spellStart"/>
      <w:r w:rsidR="00A44170" w:rsidRPr="00453F8D">
        <w:rPr>
          <w:rFonts w:ascii="Arial" w:hAnsi="Arial" w:cs="Arial"/>
          <w:sz w:val="24"/>
          <w:szCs w:val="24"/>
          <w:lang w:val="en-US"/>
        </w:rPr>
        <w:t>favour</w:t>
      </w:r>
      <w:proofErr w:type="spellEnd"/>
      <w:r w:rsidR="00A44170" w:rsidRPr="00453F8D">
        <w:rPr>
          <w:rFonts w:ascii="Arial" w:hAnsi="Arial" w:cs="Arial"/>
          <w:sz w:val="24"/>
          <w:szCs w:val="24"/>
          <w:lang w:val="en-US"/>
        </w:rPr>
        <w:t>.</w:t>
      </w:r>
      <w:r w:rsidR="00902660">
        <w:rPr>
          <w:rFonts w:ascii="Arial" w:hAnsi="Arial" w:cs="Arial"/>
          <w:sz w:val="24"/>
          <w:szCs w:val="24"/>
          <w:lang w:val="en-US"/>
        </w:rPr>
        <w:t xml:space="preserve"> </w:t>
      </w:r>
      <w:r w:rsidR="00A44170" w:rsidRPr="00453F8D">
        <w:rPr>
          <w:rFonts w:ascii="Arial" w:hAnsi="Arial" w:cs="Arial"/>
          <w:sz w:val="24"/>
          <w:szCs w:val="24"/>
          <w:lang w:val="en-US"/>
        </w:rPr>
        <w:t>The test is well-established.  The applicant must show</w:t>
      </w:r>
      <w:r w:rsidR="00A44170" w:rsidRPr="00885A1C">
        <w:rPr>
          <w:rFonts w:ascii="Arial" w:hAnsi="Arial" w:cs="Arial"/>
          <w:sz w:val="24"/>
          <w:szCs w:val="24"/>
          <w:lang w:val="en-US"/>
        </w:rPr>
        <w:t xml:space="preserve"> </w:t>
      </w:r>
      <w:proofErr w:type="gramStart"/>
      <w:r w:rsidR="00A44170" w:rsidRPr="00885A1C">
        <w:rPr>
          <w:rFonts w:ascii="Arial" w:hAnsi="Arial" w:cs="Arial"/>
          <w:color w:val="242121"/>
          <w:sz w:val="24"/>
          <w:szCs w:val="24"/>
          <w:shd w:val="clear" w:color="auto" w:fill="FFFFFF"/>
        </w:rPr>
        <w:lastRenderedPageBreak/>
        <w:t>a </w:t>
      </w:r>
      <w:r w:rsidR="00A44170" w:rsidRPr="00885A1C">
        <w:rPr>
          <w:rFonts w:ascii="Arial" w:hAnsi="Arial" w:cs="Arial"/>
          <w:i/>
          <w:iCs/>
          <w:color w:val="242121"/>
          <w:sz w:val="24"/>
          <w:szCs w:val="24"/>
          <w:shd w:val="clear" w:color="auto" w:fill="FFFFFF"/>
        </w:rPr>
        <w:t>prima facie</w:t>
      </w:r>
      <w:proofErr w:type="gramEnd"/>
      <w:r w:rsidR="00A44170" w:rsidRPr="00885A1C">
        <w:rPr>
          <w:rFonts w:ascii="Arial" w:hAnsi="Arial" w:cs="Arial"/>
          <w:color w:val="242121"/>
          <w:sz w:val="24"/>
          <w:szCs w:val="24"/>
          <w:shd w:val="clear" w:color="auto" w:fill="FFFFFF"/>
        </w:rPr>
        <w:t> right even if it is open to some doubt; a reasonable apprehension of irreparable and imminent harm to the right if an interdict is not granted; that the balance of convenience favours the grant of an interim interdict; and that the applicant has no other satisfactory remedy</w:t>
      </w:r>
      <w:r w:rsidR="00A44170">
        <w:rPr>
          <w:rFonts w:ascii="Arial" w:hAnsi="Arial" w:cs="Arial"/>
          <w:color w:val="242121"/>
          <w:sz w:val="24"/>
          <w:szCs w:val="24"/>
          <w:shd w:val="clear" w:color="auto" w:fill="FFFFFF"/>
        </w:rPr>
        <w:t>.</w:t>
      </w:r>
      <w:r w:rsidR="00A44170" w:rsidRPr="00885A1C">
        <w:rPr>
          <w:rStyle w:val="FootnoteReference"/>
          <w:rFonts w:ascii="Arial" w:hAnsi="Arial" w:cs="Arial"/>
          <w:color w:val="242121"/>
          <w:sz w:val="24"/>
          <w:szCs w:val="24"/>
          <w:shd w:val="clear" w:color="auto" w:fill="FFFFFF"/>
        </w:rPr>
        <w:footnoteReference w:id="11"/>
      </w:r>
    </w:p>
    <w:p w14:paraId="252C1773" w14:textId="77777777" w:rsidR="00F128B3" w:rsidRDefault="00F128B3" w:rsidP="00F128B3">
      <w:pPr>
        <w:pStyle w:val="ListParagraph"/>
        <w:spacing w:line="480" w:lineRule="auto"/>
        <w:ind w:left="360"/>
        <w:jc w:val="both"/>
        <w:rPr>
          <w:rFonts w:ascii="Arial" w:hAnsi="Arial" w:cs="Arial"/>
          <w:sz w:val="24"/>
          <w:szCs w:val="24"/>
          <w:lang w:val="en-US"/>
        </w:rPr>
      </w:pPr>
    </w:p>
    <w:p w14:paraId="278C563F" w14:textId="77777777" w:rsidR="002D0AEB" w:rsidRPr="002D0AEB" w:rsidRDefault="002D0AEB" w:rsidP="00453F8D">
      <w:pPr>
        <w:pStyle w:val="ListParagraph"/>
        <w:numPr>
          <w:ilvl w:val="0"/>
          <w:numId w:val="1"/>
        </w:numPr>
        <w:spacing w:line="480" w:lineRule="auto"/>
        <w:jc w:val="both"/>
        <w:rPr>
          <w:rFonts w:ascii="Arial" w:hAnsi="Arial" w:cs="Arial"/>
          <w:sz w:val="24"/>
          <w:szCs w:val="24"/>
          <w:lang w:val="en-US"/>
        </w:rPr>
      </w:pPr>
      <w:r w:rsidRPr="002D0AEB">
        <w:rPr>
          <w:rFonts w:ascii="Arial" w:hAnsi="Arial" w:cs="Arial"/>
          <w:sz w:val="24"/>
          <w:szCs w:val="24"/>
          <w:lang w:val="en-US"/>
        </w:rPr>
        <w:t xml:space="preserve">In </w:t>
      </w:r>
      <w:r w:rsidRPr="002D0AEB">
        <w:rPr>
          <w:rFonts w:ascii="Arial" w:hAnsi="Arial" w:cs="Arial"/>
          <w:i/>
          <w:iCs/>
          <w:color w:val="242121"/>
          <w:sz w:val="24"/>
          <w:szCs w:val="24"/>
          <w:shd w:val="clear" w:color="auto" w:fill="FFFFFF"/>
        </w:rPr>
        <w:t xml:space="preserve">Psychological Society of South Africa v </w:t>
      </w:r>
      <w:proofErr w:type="spellStart"/>
      <w:r w:rsidRPr="002D0AEB">
        <w:rPr>
          <w:rFonts w:ascii="Arial" w:hAnsi="Arial" w:cs="Arial"/>
          <w:i/>
          <w:iCs/>
          <w:color w:val="242121"/>
          <w:sz w:val="24"/>
          <w:szCs w:val="24"/>
          <w:shd w:val="clear" w:color="auto" w:fill="FFFFFF"/>
        </w:rPr>
        <w:t>Qwelane</w:t>
      </w:r>
      <w:proofErr w:type="spellEnd"/>
      <w:r>
        <w:rPr>
          <w:rFonts w:ascii="Arial" w:hAnsi="Arial" w:cs="Arial"/>
          <w:i/>
          <w:iCs/>
          <w:color w:val="242121"/>
          <w:sz w:val="24"/>
          <w:szCs w:val="24"/>
          <w:shd w:val="clear" w:color="auto" w:fill="FFFFFF"/>
        </w:rPr>
        <w:t>,</w:t>
      </w:r>
      <w:r w:rsidRPr="002D0AEB">
        <w:rPr>
          <w:rStyle w:val="FootnoteReference"/>
          <w:rFonts w:ascii="Arial" w:hAnsi="Arial" w:cs="Arial"/>
          <w:iCs/>
          <w:color w:val="242121"/>
          <w:sz w:val="24"/>
          <w:szCs w:val="24"/>
          <w:shd w:val="clear" w:color="auto" w:fill="FFFFFF"/>
        </w:rPr>
        <w:footnoteReference w:id="12"/>
      </w:r>
      <w:r>
        <w:rPr>
          <w:rFonts w:ascii="Arial" w:hAnsi="Arial" w:cs="Arial"/>
          <w:i/>
          <w:iCs/>
          <w:color w:val="242121"/>
          <w:sz w:val="24"/>
          <w:szCs w:val="24"/>
          <w:shd w:val="clear" w:color="auto" w:fill="FFFFFF"/>
        </w:rPr>
        <w:t xml:space="preserve"> </w:t>
      </w:r>
      <w:r>
        <w:rPr>
          <w:rFonts w:ascii="Arial" w:hAnsi="Arial" w:cs="Arial"/>
          <w:iCs/>
          <w:color w:val="242121"/>
          <w:sz w:val="24"/>
          <w:szCs w:val="24"/>
          <w:shd w:val="clear" w:color="auto" w:fill="FFFFFF"/>
        </w:rPr>
        <w:t xml:space="preserve">the Constitutional Court dealt with postponements in the following terms (in relevant part with footnotes omitted): </w:t>
      </w:r>
    </w:p>
    <w:p w14:paraId="4DD56818" w14:textId="77777777" w:rsidR="002D0AEB" w:rsidRPr="00AD0C60" w:rsidRDefault="002D0AEB" w:rsidP="00AD0C60">
      <w:pPr>
        <w:pStyle w:val="NormalWeb"/>
        <w:shd w:val="clear" w:color="auto" w:fill="FFFFFF"/>
        <w:spacing w:before="144" w:beforeAutospacing="0" w:after="0" w:afterAutospacing="0" w:line="360" w:lineRule="atLeast"/>
        <w:ind w:left="720"/>
        <w:jc w:val="both"/>
        <w:rPr>
          <w:rFonts w:ascii="Arial" w:hAnsi="Arial" w:cs="Arial"/>
          <w:color w:val="242121"/>
          <w:sz w:val="22"/>
          <w:szCs w:val="22"/>
        </w:rPr>
      </w:pPr>
      <w:r w:rsidRPr="00AD0C60">
        <w:rPr>
          <w:rFonts w:ascii="Arial" w:hAnsi="Arial" w:cs="Arial"/>
          <w:color w:val="000000"/>
          <w:sz w:val="22"/>
          <w:szCs w:val="22"/>
        </w:rPr>
        <w:t>[30] </w:t>
      </w:r>
      <w:r w:rsidRPr="00AD0C60">
        <w:rPr>
          <w:rFonts w:ascii="Arial" w:hAnsi="Arial" w:cs="Arial"/>
          <w:color w:val="242121"/>
          <w:sz w:val="22"/>
          <w:szCs w:val="22"/>
        </w:rPr>
        <w:t xml:space="preserve">Postponements are not merely for the taking. They </w:t>
      </w:r>
      <w:proofErr w:type="gramStart"/>
      <w:r w:rsidRPr="00AD0C60">
        <w:rPr>
          <w:rFonts w:ascii="Arial" w:hAnsi="Arial" w:cs="Arial"/>
          <w:color w:val="242121"/>
          <w:sz w:val="22"/>
          <w:szCs w:val="22"/>
        </w:rPr>
        <w:t>have to</w:t>
      </w:r>
      <w:proofErr w:type="gramEnd"/>
      <w:r w:rsidRPr="00AD0C60">
        <w:rPr>
          <w:rFonts w:ascii="Arial" w:hAnsi="Arial" w:cs="Arial"/>
          <w:color w:val="242121"/>
          <w:sz w:val="22"/>
          <w:szCs w:val="22"/>
        </w:rPr>
        <w:t xml:space="preserve"> be properly motivated and substantiated.  And when considering an application for a postponement a court </w:t>
      </w:r>
      <w:proofErr w:type="gramStart"/>
      <w:r w:rsidRPr="00AD0C60">
        <w:rPr>
          <w:rFonts w:ascii="Arial" w:hAnsi="Arial" w:cs="Arial"/>
          <w:color w:val="242121"/>
          <w:sz w:val="22"/>
          <w:szCs w:val="22"/>
        </w:rPr>
        <w:t>has to</w:t>
      </w:r>
      <w:proofErr w:type="gramEnd"/>
      <w:r w:rsidRPr="00AD0C60">
        <w:rPr>
          <w:rFonts w:ascii="Arial" w:hAnsi="Arial" w:cs="Arial"/>
          <w:color w:val="242121"/>
          <w:sz w:val="22"/>
          <w:szCs w:val="22"/>
        </w:rPr>
        <w:t xml:space="preserve"> exercise its discretion whether to grant the application.  …</w:t>
      </w:r>
    </w:p>
    <w:p w14:paraId="0F074191" w14:textId="77777777" w:rsidR="002D0AEB" w:rsidRPr="00AD0C60" w:rsidRDefault="002D0AEB" w:rsidP="00F128B3">
      <w:pPr>
        <w:pStyle w:val="NormalWeb"/>
        <w:shd w:val="clear" w:color="auto" w:fill="FFFFFF"/>
        <w:spacing w:before="144" w:beforeAutospacing="0" w:after="0" w:afterAutospacing="0" w:line="360" w:lineRule="atLeast"/>
        <w:ind w:left="720"/>
        <w:jc w:val="both"/>
        <w:rPr>
          <w:rFonts w:ascii="Arial" w:hAnsi="Arial" w:cs="Arial"/>
          <w:color w:val="242121"/>
          <w:sz w:val="22"/>
          <w:szCs w:val="22"/>
        </w:rPr>
      </w:pPr>
      <w:r w:rsidRPr="00AD0C60">
        <w:rPr>
          <w:rFonts w:ascii="Arial" w:hAnsi="Arial" w:cs="Arial"/>
          <w:color w:val="000000"/>
          <w:sz w:val="22"/>
          <w:szCs w:val="22"/>
        </w:rPr>
        <w:t>[31] </w:t>
      </w:r>
      <w:r w:rsidRPr="00AD0C60">
        <w:rPr>
          <w:rFonts w:ascii="Arial" w:hAnsi="Arial" w:cs="Arial"/>
          <w:color w:val="242121"/>
          <w:sz w:val="22"/>
          <w:szCs w:val="22"/>
        </w:rPr>
        <w:t xml:space="preserve">In exercising its discretion, a court will consider whether the application has been timeously made, whether the explanation for the postponement is full and satisfactory, whether there is prejudice to any of the parties and whether the application is opposed. </w:t>
      </w:r>
      <w:r w:rsidR="00AD0C60">
        <w:rPr>
          <w:rFonts w:ascii="Arial" w:hAnsi="Arial" w:cs="Arial"/>
          <w:color w:val="242121"/>
          <w:sz w:val="22"/>
          <w:szCs w:val="22"/>
        </w:rPr>
        <w:t xml:space="preserve"> </w:t>
      </w:r>
      <w:r w:rsidRPr="00AD0C60">
        <w:rPr>
          <w:rFonts w:ascii="Arial" w:hAnsi="Arial" w:cs="Arial"/>
          <w:color w:val="242121"/>
          <w:sz w:val="22"/>
          <w:szCs w:val="22"/>
        </w:rPr>
        <w:t>All these factors will be weighed to determine whether it is in the interests of justice to grant the postponement.  And, importantly, this Court has added to the mix.  It has said that what is in the interests of justice is determined not only by what is in the interests of the immediate parties, but also by what is in the broader public interest.</w:t>
      </w:r>
      <w:r w:rsidR="00AD0C60" w:rsidRPr="00AD0C60">
        <w:rPr>
          <w:rFonts w:ascii="Arial" w:hAnsi="Arial" w:cs="Arial"/>
          <w:color w:val="242121"/>
          <w:sz w:val="22"/>
          <w:szCs w:val="22"/>
        </w:rPr>
        <w:t xml:space="preserve"> </w:t>
      </w:r>
    </w:p>
    <w:p w14:paraId="246B1592" w14:textId="77777777" w:rsidR="00885A1C" w:rsidRDefault="00885A1C" w:rsidP="00885A1C">
      <w:pPr>
        <w:pStyle w:val="ListParagraph"/>
        <w:spacing w:line="480" w:lineRule="auto"/>
        <w:ind w:left="360"/>
        <w:jc w:val="both"/>
        <w:rPr>
          <w:rFonts w:ascii="Arial" w:hAnsi="Arial" w:cs="Arial"/>
          <w:sz w:val="24"/>
          <w:szCs w:val="24"/>
          <w:lang w:val="en-US"/>
        </w:rPr>
      </w:pPr>
    </w:p>
    <w:p w14:paraId="3B2736DD" w14:textId="77777777" w:rsidR="001558FE" w:rsidRPr="001558FE" w:rsidRDefault="001558FE" w:rsidP="001558FE">
      <w:pPr>
        <w:pStyle w:val="ListParagraph"/>
        <w:numPr>
          <w:ilvl w:val="0"/>
          <w:numId w:val="1"/>
        </w:numPr>
        <w:spacing w:line="480" w:lineRule="auto"/>
        <w:jc w:val="both"/>
        <w:rPr>
          <w:rFonts w:ascii="Verdana" w:eastAsia="Times New Roman" w:hAnsi="Verdana" w:cs="Times New Roman"/>
          <w:b/>
          <w:bCs/>
          <w:color w:val="000000"/>
          <w:sz w:val="20"/>
          <w:szCs w:val="20"/>
          <w:lang w:eastAsia="en-ZA"/>
        </w:rPr>
      </w:pPr>
      <w:r>
        <w:rPr>
          <w:rFonts w:ascii="Arial" w:hAnsi="Arial" w:cs="Arial"/>
          <w:sz w:val="24"/>
          <w:szCs w:val="24"/>
          <w:lang w:val="en-US"/>
        </w:rPr>
        <w:t xml:space="preserve">Section 354 of the </w:t>
      </w:r>
      <w:r w:rsidR="00BD5B4D">
        <w:rPr>
          <w:rFonts w:ascii="Arial" w:hAnsi="Arial" w:cs="Arial"/>
          <w:sz w:val="24"/>
          <w:szCs w:val="24"/>
          <w:lang w:val="en-US"/>
        </w:rPr>
        <w:t xml:space="preserve">1973 Companies Act </w:t>
      </w:r>
      <w:r>
        <w:rPr>
          <w:rFonts w:ascii="Arial" w:hAnsi="Arial" w:cs="Arial"/>
          <w:sz w:val="24"/>
          <w:szCs w:val="24"/>
          <w:lang w:val="en-US"/>
        </w:rPr>
        <w:t xml:space="preserve">read with item 9 of Schedule 5 of the 2008 Companies Act deals with the Court’s power to stay </w:t>
      </w:r>
      <w:r w:rsidR="00A44170">
        <w:rPr>
          <w:rFonts w:ascii="Arial" w:hAnsi="Arial" w:cs="Arial"/>
          <w:sz w:val="24"/>
          <w:szCs w:val="24"/>
          <w:lang w:val="en-US"/>
        </w:rPr>
        <w:t xml:space="preserve">or set aside </w:t>
      </w:r>
      <w:r>
        <w:rPr>
          <w:rFonts w:ascii="Arial" w:hAnsi="Arial" w:cs="Arial"/>
          <w:sz w:val="24"/>
          <w:szCs w:val="24"/>
          <w:lang w:val="en-US"/>
        </w:rPr>
        <w:t xml:space="preserve">a winding-up.  It provides: </w:t>
      </w:r>
    </w:p>
    <w:p w14:paraId="6A70984B" w14:textId="77777777" w:rsidR="001558FE" w:rsidRPr="001558FE" w:rsidRDefault="001558FE" w:rsidP="001558FE">
      <w:pPr>
        <w:pStyle w:val="ListParagraph"/>
        <w:spacing w:line="480" w:lineRule="auto"/>
        <w:ind w:left="360"/>
        <w:jc w:val="both"/>
        <w:rPr>
          <w:rFonts w:ascii="Verdana" w:eastAsia="Times New Roman" w:hAnsi="Verdana" w:cs="Times New Roman"/>
          <w:b/>
          <w:bCs/>
          <w:color w:val="000000"/>
          <w:sz w:val="20"/>
          <w:szCs w:val="20"/>
          <w:lang w:eastAsia="en-ZA"/>
        </w:rPr>
      </w:pPr>
    </w:p>
    <w:p w14:paraId="7C8F778B" w14:textId="77777777" w:rsidR="00BD5B4D" w:rsidRPr="00BD5B4D" w:rsidRDefault="001558FE" w:rsidP="006564A3">
      <w:pPr>
        <w:spacing w:after="0" w:line="360" w:lineRule="auto"/>
        <w:ind w:left="709"/>
        <w:jc w:val="both"/>
        <w:rPr>
          <w:rFonts w:ascii="Arial" w:eastAsia="Times New Roman" w:hAnsi="Arial" w:cs="Arial"/>
          <w:color w:val="000000"/>
          <w:lang w:eastAsia="en-ZA"/>
        </w:rPr>
      </w:pPr>
      <w:bookmarkStart w:id="8" w:name="0-0-0-994121"/>
      <w:bookmarkEnd w:id="8"/>
      <w:r w:rsidRPr="001558FE">
        <w:rPr>
          <w:rFonts w:ascii="Arial" w:eastAsia="Times New Roman" w:hAnsi="Arial" w:cs="Arial"/>
          <w:color w:val="000000"/>
          <w:lang w:eastAsia="en-ZA"/>
        </w:rPr>
        <w:t>‘</w:t>
      </w:r>
      <w:r w:rsidR="00BD5B4D" w:rsidRPr="00BD5B4D">
        <w:rPr>
          <w:rFonts w:ascii="Arial" w:eastAsia="Times New Roman" w:hAnsi="Arial" w:cs="Arial"/>
          <w:color w:val="000000"/>
          <w:lang w:eastAsia="en-ZA"/>
        </w:rPr>
        <w:t>(1) The Court may at any time after the commencement of a winding-up, on the application of any liquidator, creditor or member, and on proof to the satisfaction of the Court that all proceedings in relation to the winding-up ought to be stayed or set aside, make an order staying or setting aside the proceedings or for the continuance of any voluntary winding-up on such terms and conditions as the Court may deem fit.</w:t>
      </w:r>
    </w:p>
    <w:p w14:paraId="26EA0AD4" w14:textId="77777777" w:rsidR="00BD5B4D" w:rsidRPr="00BD5B4D" w:rsidRDefault="00BD5B4D" w:rsidP="006564A3">
      <w:pPr>
        <w:spacing w:after="0" w:line="360" w:lineRule="auto"/>
        <w:ind w:left="709"/>
        <w:jc w:val="both"/>
        <w:rPr>
          <w:rFonts w:ascii="Arial" w:eastAsia="Times New Roman" w:hAnsi="Arial" w:cs="Arial"/>
          <w:color w:val="000000"/>
          <w:lang w:eastAsia="en-ZA"/>
        </w:rPr>
      </w:pPr>
      <w:bookmarkStart w:id="9" w:name="0-0-0-994123"/>
      <w:bookmarkEnd w:id="9"/>
      <w:r w:rsidRPr="00BD5B4D">
        <w:rPr>
          <w:rFonts w:ascii="Arial" w:eastAsia="Times New Roman" w:hAnsi="Arial" w:cs="Arial"/>
          <w:color w:val="000000"/>
          <w:lang w:eastAsia="en-ZA"/>
        </w:rPr>
        <w:lastRenderedPageBreak/>
        <w:t>(2) The Court may, as to all matters relating to a winding-up, have regard to the wishes of the creditors or members as proved to it by any sufficient evidence.</w:t>
      </w:r>
      <w:r w:rsidR="001558FE" w:rsidRPr="001558FE">
        <w:rPr>
          <w:rFonts w:ascii="Arial" w:eastAsia="Times New Roman" w:hAnsi="Arial" w:cs="Arial"/>
          <w:color w:val="000000"/>
          <w:lang w:eastAsia="en-ZA"/>
        </w:rPr>
        <w:t>’</w:t>
      </w:r>
    </w:p>
    <w:p w14:paraId="7BAE4040" w14:textId="77777777" w:rsidR="00B1152D" w:rsidRPr="001558FE" w:rsidRDefault="00B1152D" w:rsidP="001558FE">
      <w:pPr>
        <w:spacing w:line="480" w:lineRule="auto"/>
        <w:jc w:val="both"/>
        <w:rPr>
          <w:rFonts w:ascii="Arial" w:hAnsi="Arial" w:cs="Arial"/>
          <w:sz w:val="24"/>
          <w:szCs w:val="24"/>
          <w:lang w:val="en-US"/>
        </w:rPr>
      </w:pPr>
    </w:p>
    <w:p w14:paraId="66E3E443" w14:textId="77777777" w:rsidR="00A44170" w:rsidRDefault="00A44170" w:rsidP="00F128B3">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Notably, the company itself, through its directors, has no standing to institute such an application.</w:t>
      </w:r>
      <w:r>
        <w:rPr>
          <w:rStyle w:val="FootnoteReference"/>
          <w:rFonts w:ascii="Arial" w:hAnsi="Arial" w:cs="Arial"/>
          <w:sz w:val="24"/>
          <w:szCs w:val="24"/>
          <w:lang w:val="en-US"/>
        </w:rPr>
        <w:footnoteReference w:id="13"/>
      </w:r>
    </w:p>
    <w:p w14:paraId="4FB8D8D9" w14:textId="77777777" w:rsidR="00A44170" w:rsidRDefault="00A44170" w:rsidP="00A44170">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0163D600" w14:textId="77777777" w:rsidR="00B1152D" w:rsidRPr="00A44170" w:rsidRDefault="00B1152D" w:rsidP="00A44170">
      <w:pPr>
        <w:pStyle w:val="ListParagraph"/>
        <w:numPr>
          <w:ilvl w:val="0"/>
          <w:numId w:val="1"/>
        </w:numPr>
        <w:spacing w:line="480" w:lineRule="auto"/>
        <w:jc w:val="both"/>
        <w:rPr>
          <w:rFonts w:ascii="Arial" w:hAnsi="Arial" w:cs="Arial"/>
          <w:sz w:val="24"/>
          <w:szCs w:val="24"/>
          <w:lang w:val="en-US"/>
        </w:rPr>
      </w:pPr>
      <w:r w:rsidRPr="00A44170">
        <w:rPr>
          <w:rFonts w:ascii="Arial" w:hAnsi="Arial" w:cs="Arial"/>
          <w:sz w:val="24"/>
          <w:szCs w:val="24"/>
          <w:lang w:val="en-US"/>
        </w:rPr>
        <w:t xml:space="preserve">The Constitutional Court set out the test for condonation in </w:t>
      </w:r>
      <w:r w:rsidRPr="00A44170">
        <w:rPr>
          <w:rFonts w:ascii="Arial" w:hAnsi="Arial" w:cs="Arial"/>
          <w:i/>
          <w:sz w:val="24"/>
          <w:szCs w:val="24"/>
          <w:lang w:val="en-US"/>
        </w:rPr>
        <w:t>Van Wyk v Unitas Hospital</w:t>
      </w:r>
      <w:r>
        <w:rPr>
          <w:rStyle w:val="FootnoteReference"/>
          <w:rFonts w:ascii="Arial" w:hAnsi="Arial" w:cs="Arial"/>
          <w:sz w:val="24"/>
          <w:szCs w:val="24"/>
          <w:lang w:val="en-US"/>
        </w:rPr>
        <w:footnoteReference w:id="14"/>
      </w:r>
      <w:r w:rsidRPr="00A44170">
        <w:rPr>
          <w:rFonts w:ascii="Arial" w:hAnsi="Arial" w:cs="Arial"/>
          <w:sz w:val="24"/>
          <w:szCs w:val="24"/>
          <w:lang w:val="en-US"/>
        </w:rPr>
        <w:t xml:space="preserve"> in context of a late application for leave to appeal in the following terms (footnotes omitted): </w:t>
      </w:r>
    </w:p>
    <w:p w14:paraId="6E157751" w14:textId="77777777" w:rsidR="00B1152D" w:rsidRPr="00B1152D" w:rsidRDefault="00B1152D" w:rsidP="00B1152D">
      <w:pPr>
        <w:pStyle w:val="ListParagraph"/>
        <w:rPr>
          <w:rFonts w:ascii="Arial" w:hAnsi="Arial" w:cs="Arial"/>
          <w:sz w:val="24"/>
          <w:szCs w:val="24"/>
          <w:lang w:val="en-US"/>
        </w:rPr>
      </w:pPr>
    </w:p>
    <w:p w14:paraId="488F5CE8" w14:textId="77777777" w:rsidR="00B1152D" w:rsidRPr="00B1152D" w:rsidRDefault="00B1152D" w:rsidP="00B1152D">
      <w:pPr>
        <w:spacing w:line="360" w:lineRule="auto"/>
        <w:ind w:left="1134" w:hanging="774"/>
        <w:jc w:val="both"/>
        <w:rPr>
          <w:rFonts w:ascii="Arial" w:hAnsi="Arial" w:cs="Arial"/>
          <w:lang w:val="en-US"/>
        </w:rPr>
      </w:pPr>
      <w:r w:rsidRPr="00B1152D">
        <w:rPr>
          <w:rFonts w:ascii="Arial" w:hAnsi="Arial" w:cs="Arial"/>
          <w:lang w:val="en-US"/>
        </w:rPr>
        <w:t>‘[20]</w:t>
      </w:r>
      <w:r w:rsidRPr="00B1152D">
        <w:rPr>
          <w:rFonts w:ascii="Arial" w:hAnsi="Arial" w:cs="Arial"/>
          <w:lang w:val="en-US"/>
        </w:rPr>
        <w:tab/>
        <w:t xml:space="preserve">This Court has held that the standard for considering an application for condonation is the interests of justice.  Whether it is in the interests of justice to grant condonation depends on the facts and circumstances of each case.  Factors that are relevant to this enquiry include but are not limited to the nature of the relief sought, the extent and cause of any delay, the effect of the delay on the administration of justice and other litigants, the reasonableness of the explanation of the delay, the importance of the issue to be raised in the intended appeal and the prospects of success. </w:t>
      </w:r>
    </w:p>
    <w:p w14:paraId="3EEC06AD" w14:textId="77777777" w:rsidR="00B1152D" w:rsidRPr="00B1152D" w:rsidRDefault="00B1152D" w:rsidP="00B1152D">
      <w:pPr>
        <w:spacing w:line="360" w:lineRule="auto"/>
        <w:ind w:left="360"/>
        <w:jc w:val="both"/>
        <w:rPr>
          <w:rFonts w:ascii="Arial" w:hAnsi="Arial" w:cs="Arial"/>
          <w:lang w:val="en-US"/>
        </w:rPr>
      </w:pPr>
      <w:r w:rsidRPr="00B1152D">
        <w:rPr>
          <w:rFonts w:ascii="Arial" w:hAnsi="Arial" w:cs="Arial"/>
          <w:lang w:val="en-US"/>
        </w:rPr>
        <w:t>…</w:t>
      </w:r>
    </w:p>
    <w:p w14:paraId="7FC8DEE1" w14:textId="77777777" w:rsidR="00B1152D" w:rsidRPr="00B1152D" w:rsidRDefault="00B1152D" w:rsidP="00B1152D">
      <w:pPr>
        <w:spacing w:line="360" w:lineRule="auto"/>
        <w:ind w:left="1134" w:hanging="774"/>
        <w:jc w:val="both"/>
        <w:rPr>
          <w:rFonts w:ascii="Arial" w:hAnsi="Arial" w:cs="Arial"/>
          <w:lang w:val="en-US"/>
        </w:rPr>
      </w:pPr>
      <w:r w:rsidRPr="00B1152D">
        <w:rPr>
          <w:rFonts w:ascii="Arial" w:hAnsi="Arial" w:cs="Arial"/>
          <w:lang w:val="en-US"/>
        </w:rPr>
        <w:t xml:space="preserve">[22]     An applicant for condonation must give a full explanation for the delay.  In addition, the explanation must cover the entire period of delay.  </w:t>
      </w:r>
      <w:proofErr w:type="gramStart"/>
      <w:r w:rsidRPr="00B1152D">
        <w:rPr>
          <w:rFonts w:ascii="Arial" w:hAnsi="Arial" w:cs="Arial"/>
          <w:lang w:val="en-US"/>
        </w:rPr>
        <w:t>And,</w:t>
      </w:r>
      <w:proofErr w:type="gramEnd"/>
      <w:r w:rsidRPr="00B1152D">
        <w:rPr>
          <w:rFonts w:ascii="Arial" w:hAnsi="Arial" w:cs="Arial"/>
          <w:lang w:val="en-US"/>
        </w:rPr>
        <w:t xml:space="preserve"> what is more, the explanation given must be reasonable.’ </w:t>
      </w:r>
    </w:p>
    <w:p w14:paraId="581B5B3E" w14:textId="77777777" w:rsidR="00B1152D" w:rsidRPr="00B1152D" w:rsidRDefault="00B1152D" w:rsidP="00B1152D">
      <w:pPr>
        <w:rPr>
          <w:rFonts w:ascii="Arial" w:hAnsi="Arial" w:cs="Arial"/>
          <w:sz w:val="24"/>
          <w:szCs w:val="24"/>
          <w:lang w:val="en-US"/>
        </w:rPr>
      </w:pPr>
    </w:p>
    <w:p w14:paraId="2C883CF4" w14:textId="77777777" w:rsidR="0025131D" w:rsidRDefault="00054515" w:rsidP="000C444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On 17 October 2023, </w:t>
      </w:r>
      <w:r w:rsidR="00A44170">
        <w:rPr>
          <w:rFonts w:ascii="Arial" w:hAnsi="Arial" w:cs="Arial"/>
          <w:sz w:val="24"/>
          <w:szCs w:val="24"/>
          <w:lang w:val="en-US"/>
        </w:rPr>
        <w:t xml:space="preserve">I </w:t>
      </w:r>
      <w:proofErr w:type="gramStart"/>
      <w:r w:rsidR="00A44170">
        <w:rPr>
          <w:rFonts w:ascii="Arial" w:hAnsi="Arial" w:cs="Arial"/>
          <w:sz w:val="24"/>
          <w:szCs w:val="24"/>
          <w:lang w:val="en-US"/>
        </w:rPr>
        <w:t>cam</w:t>
      </w:r>
      <w:r>
        <w:rPr>
          <w:rFonts w:ascii="Arial" w:hAnsi="Arial" w:cs="Arial"/>
          <w:sz w:val="24"/>
          <w:szCs w:val="24"/>
          <w:lang w:val="en-US"/>
        </w:rPr>
        <w:t>e to the conclusion</w:t>
      </w:r>
      <w:proofErr w:type="gramEnd"/>
      <w:r>
        <w:rPr>
          <w:rFonts w:ascii="Arial" w:hAnsi="Arial" w:cs="Arial"/>
          <w:sz w:val="24"/>
          <w:szCs w:val="24"/>
          <w:lang w:val="en-US"/>
        </w:rPr>
        <w:t xml:space="preserve"> that BIG had</w:t>
      </w:r>
      <w:r w:rsidR="00A44170">
        <w:rPr>
          <w:rFonts w:ascii="Arial" w:hAnsi="Arial" w:cs="Arial"/>
          <w:sz w:val="24"/>
          <w:szCs w:val="24"/>
          <w:lang w:val="en-US"/>
        </w:rPr>
        <w:t xml:space="preserve"> failed to make out a case on any of the above principles, even on a </w:t>
      </w:r>
      <w:r w:rsidR="00A44170">
        <w:rPr>
          <w:rFonts w:ascii="Arial" w:hAnsi="Arial" w:cs="Arial"/>
          <w:i/>
          <w:sz w:val="24"/>
          <w:szCs w:val="24"/>
          <w:lang w:val="en-US"/>
        </w:rPr>
        <w:t xml:space="preserve">prima facie </w:t>
      </w:r>
      <w:r>
        <w:rPr>
          <w:rFonts w:ascii="Arial" w:hAnsi="Arial" w:cs="Arial"/>
          <w:sz w:val="24"/>
          <w:szCs w:val="24"/>
          <w:lang w:val="en-US"/>
        </w:rPr>
        <w:t>b</w:t>
      </w:r>
      <w:r w:rsidR="009E4AC1">
        <w:rPr>
          <w:rFonts w:ascii="Arial" w:hAnsi="Arial" w:cs="Arial"/>
          <w:sz w:val="24"/>
          <w:szCs w:val="24"/>
          <w:lang w:val="en-US"/>
        </w:rPr>
        <w:t>as</w:t>
      </w:r>
      <w:r w:rsidR="0033747E">
        <w:rPr>
          <w:rFonts w:ascii="Arial" w:hAnsi="Arial" w:cs="Arial"/>
          <w:sz w:val="24"/>
          <w:szCs w:val="24"/>
          <w:lang w:val="en-US"/>
        </w:rPr>
        <w:t xml:space="preserve">is.  I deal below with the </w:t>
      </w:r>
      <w:r w:rsidR="00A44170">
        <w:rPr>
          <w:rFonts w:ascii="Arial" w:hAnsi="Arial" w:cs="Arial"/>
          <w:sz w:val="24"/>
          <w:szCs w:val="24"/>
          <w:lang w:val="en-US"/>
        </w:rPr>
        <w:t>primary considerations</w:t>
      </w:r>
      <w:r>
        <w:rPr>
          <w:rFonts w:ascii="Arial" w:hAnsi="Arial" w:cs="Arial"/>
          <w:sz w:val="24"/>
          <w:szCs w:val="24"/>
          <w:lang w:val="en-US"/>
        </w:rPr>
        <w:t xml:space="preserve"> that informed my decision</w:t>
      </w:r>
      <w:r w:rsidR="00A44170">
        <w:rPr>
          <w:rFonts w:ascii="Arial" w:hAnsi="Arial" w:cs="Arial"/>
          <w:sz w:val="24"/>
          <w:szCs w:val="24"/>
          <w:lang w:val="en-US"/>
        </w:rPr>
        <w:t xml:space="preserve">. </w:t>
      </w:r>
    </w:p>
    <w:p w14:paraId="019737E8" w14:textId="77777777" w:rsidR="00A44170" w:rsidRDefault="00A44170" w:rsidP="00A44170">
      <w:pPr>
        <w:pStyle w:val="ListParagraph"/>
        <w:spacing w:line="480" w:lineRule="auto"/>
        <w:ind w:left="360"/>
        <w:jc w:val="both"/>
        <w:rPr>
          <w:rFonts w:ascii="Arial" w:hAnsi="Arial" w:cs="Arial"/>
          <w:sz w:val="24"/>
          <w:szCs w:val="24"/>
          <w:lang w:val="en-US"/>
        </w:rPr>
      </w:pPr>
    </w:p>
    <w:p w14:paraId="21487BE7" w14:textId="77777777" w:rsidR="00054515" w:rsidRDefault="004421B5" w:rsidP="000C444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lastRenderedPageBreak/>
        <w:t>First,</w:t>
      </w:r>
      <w:r w:rsidR="00054515">
        <w:rPr>
          <w:rFonts w:ascii="Arial" w:hAnsi="Arial" w:cs="Arial"/>
          <w:sz w:val="24"/>
          <w:szCs w:val="24"/>
          <w:lang w:val="en-US"/>
        </w:rPr>
        <w:t xml:space="preserve"> I considered</w:t>
      </w:r>
      <w:r>
        <w:rPr>
          <w:rFonts w:ascii="Arial" w:hAnsi="Arial" w:cs="Arial"/>
          <w:sz w:val="24"/>
          <w:szCs w:val="24"/>
          <w:lang w:val="en-US"/>
        </w:rPr>
        <w:t xml:space="preserve"> the explanation for the failure to delive</w:t>
      </w:r>
      <w:r w:rsidR="00054515">
        <w:rPr>
          <w:rFonts w:ascii="Arial" w:hAnsi="Arial" w:cs="Arial"/>
          <w:sz w:val="24"/>
          <w:szCs w:val="24"/>
          <w:lang w:val="en-US"/>
        </w:rPr>
        <w:t>r an answering affidavit at that</w:t>
      </w:r>
      <w:r>
        <w:rPr>
          <w:rFonts w:ascii="Arial" w:hAnsi="Arial" w:cs="Arial"/>
          <w:sz w:val="24"/>
          <w:szCs w:val="24"/>
          <w:lang w:val="en-US"/>
        </w:rPr>
        <w:t xml:space="preserve"> stage </w:t>
      </w:r>
      <w:r w:rsidR="00054515">
        <w:rPr>
          <w:rFonts w:ascii="Arial" w:hAnsi="Arial" w:cs="Arial"/>
          <w:sz w:val="24"/>
          <w:szCs w:val="24"/>
          <w:lang w:val="en-US"/>
        </w:rPr>
        <w:t>to be</w:t>
      </w:r>
      <w:r>
        <w:rPr>
          <w:rFonts w:ascii="Arial" w:hAnsi="Arial" w:cs="Arial"/>
          <w:sz w:val="24"/>
          <w:szCs w:val="24"/>
          <w:lang w:val="en-US"/>
        </w:rPr>
        <w:t xml:space="preserve"> unsatisfactory and unreasonable.  There is nothing substantia</w:t>
      </w:r>
      <w:r w:rsidR="004E207B">
        <w:rPr>
          <w:rFonts w:ascii="Arial" w:hAnsi="Arial" w:cs="Arial"/>
          <w:sz w:val="24"/>
          <w:szCs w:val="24"/>
          <w:lang w:val="en-US"/>
        </w:rPr>
        <w:t>l</w:t>
      </w:r>
      <w:r w:rsidR="00245C85">
        <w:rPr>
          <w:rFonts w:ascii="Arial" w:hAnsi="Arial" w:cs="Arial"/>
          <w:sz w:val="24"/>
          <w:szCs w:val="24"/>
          <w:lang w:val="en-US"/>
        </w:rPr>
        <w:t xml:space="preserve"> that has happened, since </w:t>
      </w:r>
      <w:r w:rsidR="00054515">
        <w:rPr>
          <w:rFonts w:ascii="Arial" w:hAnsi="Arial" w:cs="Arial"/>
          <w:sz w:val="24"/>
          <w:szCs w:val="24"/>
          <w:lang w:val="en-US"/>
        </w:rPr>
        <w:t>June 2023, that had</w:t>
      </w:r>
      <w:r>
        <w:rPr>
          <w:rFonts w:ascii="Arial" w:hAnsi="Arial" w:cs="Arial"/>
          <w:sz w:val="24"/>
          <w:szCs w:val="24"/>
          <w:lang w:val="en-US"/>
        </w:rPr>
        <w:t xml:space="preserve"> given ri</w:t>
      </w:r>
      <w:r w:rsidR="00245C85">
        <w:rPr>
          <w:rFonts w:ascii="Arial" w:hAnsi="Arial" w:cs="Arial"/>
          <w:sz w:val="24"/>
          <w:szCs w:val="24"/>
          <w:lang w:val="en-US"/>
        </w:rPr>
        <w:t xml:space="preserve">se to the application.  In June 2023, proceedings in connection with the liquidation of </w:t>
      </w:r>
      <w:proofErr w:type="spellStart"/>
      <w:r w:rsidR="00245C85">
        <w:rPr>
          <w:rFonts w:ascii="Arial" w:hAnsi="Arial" w:cs="Arial"/>
          <w:sz w:val="24"/>
          <w:szCs w:val="24"/>
          <w:lang w:val="en-US"/>
        </w:rPr>
        <w:t>Quixie</w:t>
      </w:r>
      <w:proofErr w:type="spellEnd"/>
      <w:r w:rsidR="00245C85">
        <w:rPr>
          <w:rFonts w:ascii="Arial" w:hAnsi="Arial" w:cs="Arial"/>
          <w:sz w:val="24"/>
          <w:szCs w:val="24"/>
          <w:lang w:val="en-US"/>
        </w:rPr>
        <w:t xml:space="preserve"> were underway.  BIG explains that those proceedings, with others that were on the go at and before that time, are part of a strategy by Investec to exert pressure on BIG and its related entities and directors, on all fronts.   But even assuming that is so, which I need not determine, there is no adequate explanation why, in June 2023, BIG did not then act</w:t>
      </w:r>
      <w:r w:rsidR="00054515">
        <w:rPr>
          <w:rFonts w:ascii="Arial" w:hAnsi="Arial" w:cs="Arial"/>
          <w:sz w:val="24"/>
          <w:szCs w:val="24"/>
          <w:lang w:val="en-US"/>
        </w:rPr>
        <w:t xml:space="preserve"> to secure its position</w:t>
      </w:r>
      <w:r w:rsidR="00245C85">
        <w:rPr>
          <w:rFonts w:ascii="Arial" w:hAnsi="Arial" w:cs="Arial"/>
          <w:sz w:val="24"/>
          <w:szCs w:val="24"/>
          <w:lang w:val="en-US"/>
        </w:rPr>
        <w:t xml:space="preserve">.  Almost all of the circumstances which underpin the </w:t>
      </w:r>
      <w:proofErr w:type="gramStart"/>
      <w:r w:rsidR="00245C85">
        <w:rPr>
          <w:rFonts w:ascii="Arial" w:hAnsi="Arial" w:cs="Arial"/>
          <w:sz w:val="24"/>
          <w:szCs w:val="24"/>
          <w:lang w:val="en-US"/>
        </w:rPr>
        <w:t>counter-application</w:t>
      </w:r>
      <w:proofErr w:type="gramEnd"/>
      <w:r w:rsidR="00245C85">
        <w:rPr>
          <w:rFonts w:ascii="Arial" w:hAnsi="Arial" w:cs="Arial"/>
          <w:sz w:val="24"/>
          <w:szCs w:val="24"/>
          <w:lang w:val="en-US"/>
        </w:rPr>
        <w:t xml:space="preserve"> had, at that stage, already arisen.  That includes the issue of DJP Ledwaba’s directives and order of 31 May 2023, the inspection of the original documents in March 2023 </w:t>
      </w:r>
      <w:r w:rsidR="00913289">
        <w:rPr>
          <w:rFonts w:ascii="Arial" w:hAnsi="Arial" w:cs="Arial"/>
          <w:sz w:val="24"/>
          <w:szCs w:val="24"/>
          <w:lang w:val="en-US"/>
        </w:rPr>
        <w:t>(</w:t>
      </w:r>
      <w:r w:rsidR="00C70C1A">
        <w:rPr>
          <w:rFonts w:ascii="Arial" w:hAnsi="Arial" w:cs="Arial"/>
          <w:sz w:val="24"/>
          <w:szCs w:val="24"/>
          <w:lang w:val="en-US"/>
        </w:rPr>
        <w:t xml:space="preserve">which gave rise to some of the </w:t>
      </w:r>
      <w:r w:rsidR="00245C85">
        <w:rPr>
          <w:rFonts w:ascii="Arial" w:hAnsi="Arial" w:cs="Arial"/>
          <w:sz w:val="24"/>
          <w:szCs w:val="24"/>
          <w:lang w:val="en-US"/>
        </w:rPr>
        <w:t>alleged concerns about authenticity of the agreements Investec relies on</w:t>
      </w:r>
      <w:r w:rsidR="00913289">
        <w:rPr>
          <w:rFonts w:ascii="Arial" w:hAnsi="Arial" w:cs="Arial"/>
          <w:sz w:val="24"/>
          <w:szCs w:val="24"/>
          <w:lang w:val="en-US"/>
        </w:rPr>
        <w:t>)</w:t>
      </w:r>
      <w:r w:rsidR="00245C85">
        <w:rPr>
          <w:rFonts w:ascii="Arial" w:hAnsi="Arial" w:cs="Arial"/>
          <w:sz w:val="24"/>
          <w:szCs w:val="24"/>
          <w:lang w:val="en-US"/>
        </w:rPr>
        <w:t xml:space="preserve">, the removal of the consolidation application </w:t>
      </w:r>
      <w:r w:rsidR="00054515">
        <w:rPr>
          <w:rFonts w:ascii="Arial" w:hAnsi="Arial" w:cs="Arial"/>
          <w:sz w:val="24"/>
          <w:szCs w:val="24"/>
          <w:lang w:val="en-US"/>
        </w:rPr>
        <w:t xml:space="preserve">from the roll </w:t>
      </w:r>
      <w:r w:rsidR="00245C85">
        <w:rPr>
          <w:rFonts w:ascii="Arial" w:hAnsi="Arial" w:cs="Arial"/>
          <w:sz w:val="24"/>
          <w:szCs w:val="24"/>
          <w:lang w:val="en-US"/>
        </w:rPr>
        <w:t>and the refusal of the Rule 30A application. Yet no steps whatsoever were taken to address its alleged predicament</w:t>
      </w:r>
      <w:r w:rsidR="00054515">
        <w:rPr>
          <w:rFonts w:ascii="Arial" w:hAnsi="Arial" w:cs="Arial"/>
          <w:sz w:val="24"/>
          <w:szCs w:val="24"/>
          <w:lang w:val="en-US"/>
        </w:rPr>
        <w:t xml:space="preserve"> in respect of any of these issues</w:t>
      </w:r>
      <w:r w:rsidR="00C70C1A">
        <w:rPr>
          <w:rFonts w:ascii="Arial" w:hAnsi="Arial" w:cs="Arial"/>
          <w:sz w:val="24"/>
          <w:szCs w:val="24"/>
          <w:lang w:val="en-US"/>
        </w:rPr>
        <w:t xml:space="preserve"> until the eleventh hour</w:t>
      </w:r>
      <w:r w:rsidR="00245C85">
        <w:rPr>
          <w:rFonts w:ascii="Arial" w:hAnsi="Arial" w:cs="Arial"/>
          <w:sz w:val="24"/>
          <w:szCs w:val="24"/>
          <w:lang w:val="en-US"/>
        </w:rPr>
        <w:t>.</w:t>
      </w:r>
      <w:r w:rsidR="000808F2">
        <w:rPr>
          <w:rFonts w:ascii="Arial" w:hAnsi="Arial" w:cs="Arial"/>
          <w:sz w:val="24"/>
          <w:szCs w:val="24"/>
          <w:lang w:val="en-US"/>
        </w:rPr>
        <w:t xml:space="preserve">  </w:t>
      </w:r>
    </w:p>
    <w:p w14:paraId="74C5FE5E" w14:textId="77777777" w:rsidR="00054515" w:rsidRDefault="00054515" w:rsidP="00054515">
      <w:pPr>
        <w:pStyle w:val="ListParagraph"/>
        <w:spacing w:line="480" w:lineRule="auto"/>
        <w:ind w:left="360"/>
        <w:jc w:val="both"/>
        <w:rPr>
          <w:rFonts w:ascii="Arial" w:hAnsi="Arial" w:cs="Arial"/>
          <w:sz w:val="24"/>
          <w:szCs w:val="24"/>
          <w:lang w:val="en-US"/>
        </w:rPr>
      </w:pPr>
    </w:p>
    <w:p w14:paraId="6ABC635B" w14:textId="77777777" w:rsidR="0050682A" w:rsidRDefault="00054515" w:rsidP="000C444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Indeed, an </w:t>
      </w:r>
      <w:r w:rsidR="00913289">
        <w:rPr>
          <w:rFonts w:ascii="Arial" w:hAnsi="Arial" w:cs="Arial"/>
          <w:sz w:val="24"/>
          <w:szCs w:val="24"/>
          <w:lang w:val="en-US"/>
        </w:rPr>
        <w:t>attempt is made to lay blame at the door of</w:t>
      </w:r>
      <w:r>
        <w:rPr>
          <w:rFonts w:ascii="Arial" w:hAnsi="Arial" w:cs="Arial"/>
          <w:sz w:val="24"/>
          <w:szCs w:val="24"/>
          <w:lang w:val="en-US"/>
        </w:rPr>
        <w:t xml:space="preserve"> others, including</w:t>
      </w:r>
      <w:r w:rsidR="00913289">
        <w:rPr>
          <w:rFonts w:ascii="Arial" w:hAnsi="Arial" w:cs="Arial"/>
          <w:sz w:val="24"/>
          <w:szCs w:val="24"/>
          <w:lang w:val="en-US"/>
        </w:rPr>
        <w:t xml:space="preserve"> Investec’s legal representatives</w:t>
      </w:r>
      <w:r>
        <w:rPr>
          <w:rFonts w:ascii="Arial" w:hAnsi="Arial" w:cs="Arial"/>
          <w:sz w:val="24"/>
          <w:szCs w:val="24"/>
          <w:lang w:val="en-US"/>
        </w:rPr>
        <w:t>.  S</w:t>
      </w:r>
      <w:r w:rsidR="00913289">
        <w:rPr>
          <w:rFonts w:ascii="Arial" w:hAnsi="Arial" w:cs="Arial"/>
          <w:sz w:val="24"/>
          <w:szCs w:val="24"/>
          <w:lang w:val="en-US"/>
        </w:rPr>
        <w:t>pecifically</w:t>
      </w:r>
      <w:r>
        <w:rPr>
          <w:rFonts w:ascii="Arial" w:hAnsi="Arial" w:cs="Arial"/>
          <w:sz w:val="24"/>
          <w:szCs w:val="24"/>
          <w:lang w:val="en-US"/>
        </w:rPr>
        <w:t>,</w:t>
      </w:r>
      <w:r w:rsidR="00913289">
        <w:rPr>
          <w:rFonts w:ascii="Arial" w:hAnsi="Arial" w:cs="Arial"/>
          <w:sz w:val="24"/>
          <w:szCs w:val="24"/>
          <w:lang w:val="en-US"/>
        </w:rPr>
        <w:t xml:space="preserve"> for failing to draw to DJP Ledwaba’s attention BIG’s </w:t>
      </w:r>
      <w:r w:rsidR="006564A3">
        <w:rPr>
          <w:rFonts w:ascii="Arial" w:hAnsi="Arial" w:cs="Arial"/>
          <w:sz w:val="24"/>
          <w:szCs w:val="24"/>
          <w:lang w:val="en-US"/>
        </w:rPr>
        <w:t xml:space="preserve">position </w:t>
      </w:r>
      <w:r w:rsidR="009E4AC1">
        <w:rPr>
          <w:rFonts w:ascii="Arial" w:hAnsi="Arial" w:cs="Arial"/>
          <w:sz w:val="24"/>
          <w:szCs w:val="24"/>
          <w:lang w:val="en-US"/>
        </w:rPr>
        <w:t xml:space="preserve">when requesting directives on 24 May 2023.  </w:t>
      </w:r>
      <w:r w:rsidR="000808F2">
        <w:rPr>
          <w:rFonts w:ascii="Arial" w:hAnsi="Arial" w:cs="Arial"/>
          <w:sz w:val="24"/>
          <w:szCs w:val="24"/>
          <w:lang w:val="en-US"/>
        </w:rPr>
        <w:t xml:space="preserve">Yet the request for directives </w:t>
      </w:r>
      <w:r w:rsidR="009E4AC1">
        <w:rPr>
          <w:rFonts w:ascii="Arial" w:hAnsi="Arial" w:cs="Arial"/>
          <w:sz w:val="24"/>
          <w:szCs w:val="24"/>
          <w:lang w:val="en-US"/>
        </w:rPr>
        <w:t>pertinently</w:t>
      </w:r>
      <w:r w:rsidR="000808F2">
        <w:rPr>
          <w:rFonts w:ascii="Arial" w:hAnsi="Arial" w:cs="Arial"/>
          <w:sz w:val="24"/>
          <w:szCs w:val="24"/>
          <w:lang w:val="en-US"/>
        </w:rPr>
        <w:t xml:space="preserve"> states that the proposals are made without BIG’s agreement and were only issued </w:t>
      </w:r>
      <w:r w:rsidR="009E4AC1">
        <w:rPr>
          <w:rFonts w:ascii="Arial" w:hAnsi="Arial" w:cs="Arial"/>
          <w:sz w:val="24"/>
          <w:szCs w:val="24"/>
          <w:lang w:val="en-US"/>
        </w:rPr>
        <w:t xml:space="preserve">a week </w:t>
      </w:r>
      <w:proofErr w:type="gramStart"/>
      <w:r w:rsidR="009E4AC1">
        <w:rPr>
          <w:rFonts w:ascii="Arial" w:hAnsi="Arial" w:cs="Arial"/>
          <w:sz w:val="24"/>
          <w:szCs w:val="24"/>
          <w:lang w:val="en-US"/>
        </w:rPr>
        <w:t xml:space="preserve">later </w:t>
      </w:r>
      <w:r w:rsidR="000808F2">
        <w:rPr>
          <w:rFonts w:ascii="Arial" w:hAnsi="Arial" w:cs="Arial"/>
          <w:sz w:val="24"/>
          <w:szCs w:val="24"/>
          <w:lang w:val="en-US"/>
        </w:rPr>
        <w:t>on</w:t>
      </w:r>
      <w:proofErr w:type="gramEnd"/>
      <w:r w:rsidR="000808F2">
        <w:rPr>
          <w:rFonts w:ascii="Arial" w:hAnsi="Arial" w:cs="Arial"/>
          <w:sz w:val="24"/>
          <w:szCs w:val="24"/>
          <w:lang w:val="en-US"/>
        </w:rPr>
        <w:t xml:space="preserve"> 31 May 2023.   BIG </w:t>
      </w:r>
      <w:r>
        <w:rPr>
          <w:rFonts w:ascii="Arial" w:hAnsi="Arial" w:cs="Arial"/>
          <w:sz w:val="24"/>
          <w:szCs w:val="24"/>
          <w:lang w:val="en-US"/>
        </w:rPr>
        <w:t>did not make any representations</w:t>
      </w:r>
      <w:r w:rsidR="000808F2">
        <w:rPr>
          <w:rFonts w:ascii="Arial" w:hAnsi="Arial" w:cs="Arial"/>
          <w:sz w:val="24"/>
          <w:szCs w:val="24"/>
          <w:lang w:val="en-US"/>
        </w:rPr>
        <w:t xml:space="preserve"> of its own, apparently because its legal representatives did not see the e-mail</w:t>
      </w:r>
      <w:r>
        <w:rPr>
          <w:rFonts w:ascii="Arial" w:hAnsi="Arial" w:cs="Arial"/>
          <w:sz w:val="24"/>
          <w:szCs w:val="24"/>
          <w:lang w:val="en-US"/>
        </w:rPr>
        <w:t xml:space="preserve"> of 24 May 2023</w:t>
      </w:r>
      <w:r w:rsidR="009E4AC1">
        <w:rPr>
          <w:rFonts w:ascii="Arial" w:hAnsi="Arial" w:cs="Arial"/>
          <w:sz w:val="24"/>
          <w:szCs w:val="24"/>
          <w:lang w:val="en-US"/>
        </w:rPr>
        <w:t xml:space="preserve"> until it was too late</w:t>
      </w:r>
      <w:r w:rsidR="000808F2">
        <w:rPr>
          <w:rFonts w:ascii="Arial" w:hAnsi="Arial" w:cs="Arial"/>
          <w:sz w:val="24"/>
          <w:szCs w:val="24"/>
          <w:lang w:val="en-US"/>
        </w:rPr>
        <w:t>, but even accepting that to be so, there is no explanation why their</w:t>
      </w:r>
      <w:r w:rsidR="003D7A9C">
        <w:rPr>
          <w:rFonts w:ascii="Arial" w:hAnsi="Arial" w:cs="Arial"/>
          <w:sz w:val="24"/>
          <w:szCs w:val="24"/>
          <w:lang w:val="en-US"/>
        </w:rPr>
        <w:t xml:space="preserve"> alleged</w:t>
      </w:r>
      <w:r w:rsidR="000808F2">
        <w:rPr>
          <w:rFonts w:ascii="Arial" w:hAnsi="Arial" w:cs="Arial"/>
          <w:sz w:val="24"/>
          <w:szCs w:val="24"/>
          <w:lang w:val="en-US"/>
        </w:rPr>
        <w:t xml:space="preserve"> predicament was not then taken up </w:t>
      </w:r>
      <w:r w:rsidR="000808F2">
        <w:rPr>
          <w:rFonts w:ascii="Arial" w:hAnsi="Arial" w:cs="Arial"/>
          <w:sz w:val="24"/>
          <w:szCs w:val="24"/>
          <w:lang w:val="en-US"/>
        </w:rPr>
        <w:lastRenderedPageBreak/>
        <w:t>immediately thereafter</w:t>
      </w:r>
      <w:r w:rsidR="006564A3">
        <w:rPr>
          <w:rFonts w:ascii="Arial" w:hAnsi="Arial" w:cs="Arial"/>
          <w:sz w:val="24"/>
          <w:szCs w:val="24"/>
          <w:lang w:val="en-US"/>
        </w:rPr>
        <w:t xml:space="preserve"> including</w:t>
      </w:r>
      <w:r>
        <w:rPr>
          <w:rFonts w:ascii="Arial" w:hAnsi="Arial" w:cs="Arial"/>
          <w:sz w:val="24"/>
          <w:szCs w:val="24"/>
          <w:lang w:val="en-US"/>
        </w:rPr>
        <w:t xml:space="preserve"> with the Deputy Judge President</w:t>
      </w:r>
      <w:r w:rsidR="000808F2">
        <w:rPr>
          <w:rFonts w:ascii="Arial" w:hAnsi="Arial" w:cs="Arial"/>
          <w:sz w:val="24"/>
          <w:szCs w:val="24"/>
          <w:lang w:val="en-US"/>
        </w:rPr>
        <w:t xml:space="preserve">.  </w:t>
      </w:r>
      <w:r>
        <w:rPr>
          <w:rFonts w:ascii="Arial" w:hAnsi="Arial" w:cs="Arial"/>
          <w:sz w:val="24"/>
          <w:szCs w:val="24"/>
          <w:lang w:val="en-US"/>
        </w:rPr>
        <w:t>BIG has, moreover, taken no steps in connection with the authentication of documents nor has it disclosed any steps taken to have the consolidation application enrolled</w:t>
      </w:r>
      <w:r w:rsidR="00C70C1A">
        <w:rPr>
          <w:rFonts w:ascii="Arial" w:hAnsi="Arial" w:cs="Arial"/>
          <w:sz w:val="24"/>
          <w:szCs w:val="24"/>
          <w:lang w:val="en-US"/>
        </w:rPr>
        <w:t>, nor</w:t>
      </w:r>
      <w:r w:rsidR="003D7A9C">
        <w:rPr>
          <w:rFonts w:ascii="Arial" w:hAnsi="Arial" w:cs="Arial"/>
          <w:sz w:val="24"/>
          <w:szCs w:val="24"/>
          <w:lang w:val="en-US"/>
        </w:rPr>
        <w:t xml:space="preserve"> indeed, why the consolidation application, which is not before me, was brought (only) as a </w:t>
      </w:r>
      <w:proofErr w:type="gramStart"/>
      <w:r w:rsidR="003D7A9C">
        <w:rPr>
          <w:rFonts w:ascii="Arial" w:hAnsi="Arial" w:cs="Arial"/>
          <w:sz w:val="24"/>
          <w:szCs w:val="24"/>
          <w:lang w:val="en-US"/>
        </w:rPr>
        <w:t>counter-application</w:t>
      </w:r>
      <w:proofErr w:type="gramEnd"/>
      <w:r w:rsidR="003D7A9C">
        <w:rPr>
          <w:rFonts w:ascii="Arial" w:hAnsi="Arial" w:cs="Arial"/>
          <w:sz w:val="24"/>
          <w:szCs w:val="24"/>
          <w:lang w:val="en-US"/>
        </w:rPr>
        <w:t xml:space="preserve"> rather than as a separate application in respect of all matters</w:t>
      </w:r>
      <w:r>
        <w:rPr>
          <w:rFonts w:ascii="Arial" w:hAnsi="Arial" w:cs="Arial"/>
          <w:sz w:val="24"/>
          <w:szCs w:val="24"/>
          <w:lang w:val="en-US"/>
        </w:rPr>
        <w:t xml:space="preserve">. </w:t>
      </w:r>
    </w:p>
    <w:p w14:paraId="583C7E63" w14:textId="77777777" w:rsidR="0050682A" w:rsidRDefault="0050682A" w:rsidP="0050682A">
      <w:pPr>
        <w:pStyle w:val="ListParagraph"/>
        <w:spacing w:line="480" w:lineRule="auto"/>
        <w:ind w:left="360"/>
        <w:jc w:val="both"/>
        <w:rPr>
          <w:rFonts w:ascii="Arial" w:hAnsi="Arial" w:cs="Arial"/>
          <w:sz w:val="24"/>
          <w:szCs w:val="24"/>
          <w:lang w:val="en-US"/>
        </w:rPr>
      </w:pPr>
    </w:p>
    <w:p w14:paraId="23C97E1F" w14:textId="77777777" w:rsidR="004421B5" w:rsidRDefault="000808F2" w:rsidP="000C444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 deal briefly with two further issues raised to justify </w:t>
      </w:r>
      <w:r w:rsidR="00FE6D3A">
        <w:rPr>
          <w:rFonts w:ascii="Arial" w:hAnsi="Arial" w:cs="Arial"/>
          <w:sz w:val="24"/>
          <w:szCs w:val="24"/>
          <w:lang w:val="en-US"/>
        </w:rPr>
        <w:t>BIG’s</w:t>
      </w:r>
      <w:r w:rsidR="00090107">
        <w:rPr>
          <w:rFonts w:ascii="Arial" w:hAnsi="Arial" w:cs="Arial"/>
          <w:sz w:val="24"/>
          <w:szCs w:val="24"/>
          <w:lang w:val="en-US"/>
        </w:rPr>
        <w:t xml:space="preserve"> (and Singh’s)</w:t>
      </w:r>
      <w:r w:rsidR="00FE6D3A">
        <w:rPr>
          <w:rFonts w:ascii="Arial" w:hAnsi="Arial" w:cs="Arial"/>
          <w:sz w:val="24"/>
          <w:szCs w:val="24"/>
          <w:lang w:val="en-US"/>
        </w:rPr>
        <w:t xml:space="preserve"> position</w:t>
      </w:r>
      <w:r>
        <w:rPr>
          <w:rFonts w:ascii="Arial" w:hAnsi="Arial" w:cs="Arial"/>
          <w:sz w:val="24"/>
          <w:szCs w:val="24"/>
          <w:lang w:val="en-US"/>
        </w:rPr>
        <w:t xml:space="preserve">.  First, </w:t>
      </w:r>
      <w:r w:rsidR="00245C85">
        <w:rPr>
          <w:rFonts w:ascii="Arial" w:hAnsi="Arial" w:cs="Arial"/>
          <w:sz w:val="24"/>
          <w:szCs w:val="24"/>
          <w:lang w:val="en-US"/>
        </w:rPr>
        <w:t>BIG</w:t>
      </w:r>
      <w:r w:rsidR="0050682A">
        <w:rPr>
          <w:rFonts w:ascii="Arial" w:hAnsi="Arial" w:cs="Arial"/>
          <w:sz w:val="24"/>
          <w:szCs w:val="24"/>
          <w:lang w:val="en-US"/>
        </w:rPr>
        <w:t>’s deponents</w:t>
      </w:r>
      <w:r w:rsidR="00245C85">
        <w:rPr>
          <w:rFonts w:ascii="Arial" w:hAnsi="Arial" w:cs="Arial"/>
          <w:sz w:val="24"/>
          <w:szCs w:val="24"/>
          <w:lang w:val="en-US"/>
        </w:rPr>
        <w:t xml:space="preserve"> </w:t>
      </w:r>
      <w:r w:rsidR="0050682A">
        <w:rPr>
          <w:rFonts w:ascii="Arial" w:hAnsi="Arial" w:cs="Arial"/>
          <w:sz w:val="24"/>
          <w:szCs w:val="24"/>
          <w:lang w:val="en-US"/>
        </w:rPr>
        <w:t xml:space="preserve">(Rushil Singh and Singh) </w:t>
      </w:r>
      <w:r w:rsidR="00245C85">
        <w:rPr>
          <w:rFonts w:ascii="Arial" w:hAnsi="Arial" w:cs="Arial"/>
          <w:sz w:val="24"/>
          <w:szCs w:val="24"/>
          <w:lang w:val="en-US"/>
        </w:rPr>
        <w:t>cl</w:t>
      </w:r>
      <w:r w:rsidR="0050682A">
        <w:rPr>
          <w:rFonts w:ascii="Arial" w:hAnsi="Arial" w:cs="Arial"/>
          <w:sz w:val="24"/>
          <w:szCs w:val="24"/>
          <w:lang w:val="en-US"/>
        </w:rPr>
        <w:t>aim that it became necessary to access funds from friends for legal fees given the multiple proceedings</w:t>
      </w:r>
      <w:r>
        <w:rPr>
          <w:rFonts w:ascii="Arial" w:hAnsi="Arial" w:cs="Arial"/>
          <w:sz w:val="24"/>
          <w:szCs w:val="24"/>
          <w:lang w:val="en-US"/>
        </w:rPr>
        <w:t xml:space="preserve"> and their impact on access to funds</w:t>
      </w:r>
      <w:r w:rsidR="0050682A">
        <w:rPr>
          <w:rFonts w:ascii="Arial" w:hAnsi="Arial" w:cs="Arial"/>
          <w:sz w:val="24"/>
          <w:szCs w:val="24"/>
          <w:lang w:val="en-US"/>
        </w:rPr>
        <w:t>.  But there is no particularity given in this regard</w:t>
      </w:r>
      <w:r w:rsidR="00FE6D3A">
        <w:rPr>
          <w:rFonts w:ascii="Arial" w:hAnsi="Arial" w:cs="Arial"/>
          <w:sz w:val="24"/>
          <w:szCs w:val="24"/>
          <w:lang w:val="en-US"/>
        </w:rPr>
        <w:t xml:space="preserve"> whatsoever</w:t>
      </w:r>
      <w:r w:rsidR="00585F01">
        <w:rPr>
          <w:rFonts w:ascii="Arial" w:hAnsi="Arial" w:cs="Arial"/>
          <w:sz w:val="24"/>
          <w:szCs w:val="24"/>
          <w:lang w:val="en-US"/>
        </w:rPr>
        <w:t>, and notably in circumstances where vast sums of money are in issue</w:t>
      </w:r>
      <w:r w:rsidR="003D7A9C">
        <w:rPr>
          <w:rFonts w:ascii="Arial" w:hAnsi="Arial" w:cs="Arial"/>
          <w:sz w:val="24"/>
          <w:szCs w:val="24"/>
          <w:lang w:val="en-US"/>
        </w:rPr>
        <w:t>.</w:t>
      </w:r>
      <w:r w:rsidR="00FE6D3A">
        <w:rPr>
          <w:rFonts w:ascii="Arial" w:hAnsi="Arial" w:cs="Arial"/>
          <w:sz w:val="24"/>
          <w:szCs w:val="24"/>
          <w:lang w:val="en-US"/>
        </w:rPr>
        <w:t xml:space="preserve"> Moreover, it</w:t>
      </w:r>
      <w:r w:rsidR="00090107">
        <w:rPr>
          <w:rFonts w:ascii="Arial" w:hAnsi="Arial" w:cs="Arial"/>
          <w:sz w:val="24"/>
          <w:szCs w:val="24"/>
          <w:lang w:val="en-US"/>
        </w:rPr>
        <w:t xml:space="preserve"> is not explained</w:t>
      </w:r>
      <w:r w:rsidR="00FE6D3A">
        <w:rPr>
          <w:rFonts w:ascii="Arial" w:hAnsi="Arial" w:cs="Arial"/>
          <w:sz w:val="24"/>
          <w:szCs w:val="24"/>
          <w:lang w:val="en-US"/>
        </w:rPr>
        <w:t xml:space="preserve"> why at least certain steps could not have been taken, for example, </w:t>
      </w:r>
      <w:r w:rsidR="0050682A">
        <w:rPr>
          <w:rFonts w:ascii="Arial" w:hAnsi="Arial" w:cs="Arial"/>
          <w:sz w:val="24"/>
          <w:szCs w:val="24"/>
          <w:lang w:val="en-US"/>
        </w:rPr>
        <w:t>if BIG</w:t>
      </w:r>
      <w:r w:rsidR="00090107">
        <w:rPr>
          <w:rFonts w:ascii="Arial" w:hAnsi="Arial" w:cs="Arial"/>
          <w:sz w:val="24"/>
          <w:szCs w:val="24"/>
          <w:lang w:val="en-US"/>
        </w:rPr>
        <w:t xml:space="preserve"> (or Singh)</w:t>
      </w:r>
      <w:r w:rsidR="0050682A">
        <w:rPr>
          <w:rFonts w:ascii="Arial" w:hAnsi="Arial" w:cs="Arial"/>
          <w:sz w:val="24"/>
          <w:szCs w:val="24"/>
          <w:lang w:val="en-US"/>
        </w:rPr>
        <w:t xml:space="preserve"> w</w:t>
      </w:r>
      <w:r w:rsidR="00090107">
        <w:rPr>
          <w:rFonts w:ascii="Arial" w:hAnsi="Arial" w:cs="Arial"/>
          <w:sz w:val="24"/>
          <w:szCs w:val="24"/>
          <w:lang w:val="en-US"/>
        </w:rPr>
        <w:t>ere</w:t>
      </w:r>
      <w:r w:rsidR="0050682A">
        <w:rPr>
          <w:rFonts w:ascii="Arial" w:hAnsi="Arial" w:cs="Arial"/>
          <w:sz w:val="24"/>
          <w:szCs w:val="24"/>
          <w:lang w:val="en-US"/>
        </w:rPr>
        <w:t xml:space="preserve"> genuinely dissatisfied with the directives and order of DJP Ledwaba</w:t>
      </w:r>
      <w:r w:rsidR="00FE6D3A">
        <w:rPr>
          <w:rFonts w:ascii="Arial" w:hAnsi="Arial" w:cs="Arial"/>
          <w:sz w:val="24"/>
          <w:szCs w:val="24"/>
          <w:lang w:val="en-US"/>
        </w:rPr>
        <w:t xml:space="preserve"> and </w:t>
      </w:r>
      <w:r w:rsidR="003D7A9C">
        <w:rPr>
          <w:rFonts w:ascii="Arial" w:hAnsi="Arial" w:cs="Arial"/>
          <w:sz w:val="24"/>
          <w:szCs w:val="24"/>
          <w:lang w:val="en-US"/>
        </w:rPr>
        <w:t>wished to ventilate a</w:t>
      </w:r>
      <w:r w:rsidR="00090107">
        <w:rPr>
          <w:rFonts w:ascii="Arial" w:hAnsi="Arial" w:cs="Arial"/>
          <w:sz w:val="24"/>
          <w:szCs w:val="24"/>
          <w:lang w:val="en-US"/>
        </w:rPr>
        <w:t xml:space="preserve"> complaint that they </w:t>
      </w:r>
      <w:r w:rsidR="00FE6D3A">
        <w:rPr>
          <w:rFonts w:ascii="Arial" w:hAnsi="Arial" w:cs="Arial"/>
          <w:sz w:val="24"/>
          <w:szCs w:val="24"/>
          <w:lang w:val="en-US"/>
        </w:rPr>
        <w:t xml:space="preserve">had not been duly heard in that process, </w:t>
      </w:r>
      <w:r w:rsidR="0050682A">
        <w:rPr>
          <w:rFonts w:ascii="Arial" w:hAnsi="Arial" w:cs="Arial"/>
          <w:sz w:val="24"/>
          <w:szCs w:val="24"/>
          <w:lang w:val="en-US"/>
        </w:rPr>
        <w:t xml:space="preserve">a letter </w:t>
      </w:r>
      <w:r w:rsidR="003D7A9C">
        <w:rPr>
          <w:rFonts w:ascii="Arial" w:hAnsi="Arial" w:cs="Arial"/>
          <w:sz w:val="24"/>
          <w:szCs w:val="24"/>
          <w:lang w:val="en-US"/>
        </w:rPr>
        <w:t xml:space="preserve">ought to have been addressed </w:t>
      </w:r>
      <w:r w:rsidR="00FE6D3A">
        <w:rPr>
          <w:rFonts w:ascii="Arial" w:hAnsi="Arial" w:cs="Arial"/>
          <w:sz w:val="24"/>
          <w:szCs w:val="24"/>
          <w:lang w:val="en-US"/>
        </w:rPr>
        <w:t xml:space="preserve">immediately in that regard.  </w:t>
      </w:r>
      <w:r w:rsidR="00090107">
        <w:rPr>
          <w:rFonts w:ascii="Arial" w:hAnsi="Arial" w:cs="Arial"/>
          <w:sz w:val="24"/>
          <w:szCs w:val="24"/>
          <w:lang w:val="en-US"/>
        </w:rPr>
        <w:t xml:space="preserve">Their </w:t>
      </w:r>
      <w:r w:rsidR="00FE6D3A">
        <w:rPr>
          <w:rFonts w:ascii="Arial" w:hAnsi="Arial" w:cs="Arial"/>
          <w:sz w:val="24"/>
          <w:szCs w:val="24"/>
          <w:lang w:val="en-US"/>
        </w:rPr>
        <w:t xml:space="preserve">attorneys remained on record.  </w:t>
      </w:r>
      <w:r w:rsidR="0050682A">
        <w:rPr>
          <w:rFonts w:ascii="Arial" w:hAnsi="Arial" w:cs="Arial"/>
          <w:sz w:val="24"/>
          <w:szCs w:val="24"/>
          <w:lang w:val="en-US"/>
        </w:rPr>
        <w:t>Instead, the deponents seek to lay blame at the door of Investec’s legal representatives</w:t>
      </w:r>
      <w:r w:rsidR="00FE6D3A">
        <w:rPr>
          <w:rFonts w:ascii="Arial" w:hAnsi="Arial" w:cs="Arial"/>
          <w:sz w:val="24"/>
          <w:szCs w:val="24"/>
          <w:lang w:val="en-US"/>
        </w:rPr>
        <w:t xml:space="preserve"> for failing to do what its own representatives ought to have done</w:t>
      </w:r>
      <w:r w:rsidR="00C70C1A">
        <w:rPr>
          <w:rFonts w:ascii="Arial" w:hAnsi="Arial" w:cs="Arial"/>
          <w:sz w:val="24"/>
          <w:szCs w:val="24"/>
          <w:lang w:val="en-US"/>
        </w:rPr>
        <w:t xml:space="preserve">. </w:t>
      </w:r>
      <w:r>
        <w:rPr>
          <w:rFonts w:ascii="Arial" w:hAnsi="Arial" w:cs="Arial"/>
          <w:sz w:val="24"/>
          <w:szCs w:val="24"/>
          <w:lang w:val="en-US"/>
        </w:rPr>
        <w:t xml:space="preserve">Secondly, BIG </w:t>
      </w:r>
      <w:r w:rsidR="00090107">
        <w:rPr>
          <w:rFonts w:ascii="Arial" w:hAnsi="Arial" w:cs="Arial"/>
          <w:sz w:val="24"/>
          <w:szCs w:val="24"/>
          <w:lang w:val="en-US"/>
        </w:rPr>
        <w:t>(and Singh) point</w:t>
      </w:r>
      <w:r>
        <w:rPr>
          <w:rFonts w:ascii="Arial" w:hAnsi="Arial" w:cs="Arial"/>
          <w:sz w:val="24"/>
          <w:szCs w:val="24"/>
          <w:lang w:val="en-US"/>
        </w:rPr>
        <w:t xml:space="preserve"> to the absence of reasons </w:t>
      </w:r>
      <w:r w:rsidR="00C70C1A">
        <w:rPr>
          <w:rFonts w:ascii="Arial" w:hAnsi="Arial" w:cs="Arial"/>
          <w:sz w:val="24"/>
          <w:szCs w:val="24"/>
          <w:lang w:val="en-US"/>
        </w:rPr>
        <w:t xml:space="preserve">for the decision of </w:t>
      </w:r>
      <w:r>
        <w:rPr>
          <w:rFonts w:ascii="Arial" w:hAnsi="Arial" w:cs="Arial"/>
          <w:sz w:val="24"/>
          <w:szCs w:val="24"/>
          <w:lang w:val="en-US"/>
        </w:rPr>
        <w:t>Marx du Plessis</w:t>
      </w:r>
      <w:r w:rsidR="003D7A9C">
        <w:rPr>
          <w:rFonts w:ascii="Arial" w:hAnsi="Arial" w:cs="Arial"/>
          <w:sz w:val="24"/>
          <w:szCs w:val="24"/>
          <w:lang w:val="en-US"/>
        </w:rPr>
        <w:t xml:space="preserve"> AJ</w:t>
      </w:r>
      <w:r w:rsidR="00C70C1A">
        <w:rPr>
          <w:rFonts w:ascii="Arial" w:hAnsi="Arial" w:cs="Arial"/>
          <w:sz w:val="24"/>
          <w:szCs w:val="24"/>
          <w:lang w:val="en-US"/>
        </w:rPr>
        <w:t>, in respect of which an appeal was ‘pending’</w:t>
      </w:r>
      <w:r>
        <w:rPr>
          <w:rFonts w:ascii="Arial" w:hAnsi="Arial" w:cs="Arial"/>
          <w:sz w:val="24"/>
          <w:szCs w:val="24"/>
          <w:lang w:val="en-US"/>
        </w:rPr>
        <w:t>.  The</w:t>
      </w:r>
      <w:r w:rsidR="00C70C1A">
        <w:rPr>
          <w:rFonts w:ascii="Arial" w:hAnsi="Arial" w:cs="Arial"/>
          <w:sz w:val="24"/>
          <w:szCs w:val="24"/>
          <w:lang w:val="en-US"/>
        </w:rPr>
        <w:t xml:space="preserve"> reasons</w:t>
      </w:r>
      <w:r>
        <w:rPr>
          <w:rFonts w:ascii="Arial" w:hAnsi="Arial" w:cs="Arial"/>
          <w:sz w:val="24"/>
          <w:szCs w:val="24"/>
          <w:lang w:val="en-US"/>
        </w:rPr>
        <w:t xml:space="preserve"> were only delivered shortly before the October hearing and after the </w:t>
      </w:r>
      <w:proofErr w:type="gramStart"/>
      <w:r>
        <w:rPr>
          <w:rFonts w:ascii="Arial" w:hAnsi="Arial" w:cs="Arial"/>
          <w:sz w:val="24"/>
          <w:szCs w:val="24"/>
          <w:lang w:val="en-US"/>
        </w:rPr>
        <w:t>counter-applications</w:t>
      </w:r>
      <w:proofErr w:type="gramEnd"/>
      <w:r>
        <w:rPr>
          <w:rFonts w:ascii="Arial" w:hAnsi="Arial" w:cs="Arial"/>
          <w:sz w:val="24"/>
          <w:szCs w:val="24"/>
          <w:lang w:val="en-US"/>
        </w:rPr>
        <w:t xml:space="preserve"> were issued.  </w:t>
      </w:r>
      <w:r w:rsidR="00FE6D3A">
        <w:rPr>
          <w:rFonts w:ascii="Arial" w:hAnsi="Arial" w:cs="Arial"/>
          <w:sz w:val="24"/>
          <w:szCs w:val="24"/>
          <w:lang w:val="en-US"/>
        </w:rPr>
        <w:t xml:space="preserve">I accept that the reasons were </w:t>
      </w:r>
      <w:proofErr w:type="gramStart"/>
      <w:r w:rsidR="00FE6D3A">
        <w:rPr>
          <w:rFonts w:ascii="Arial" w:hAnsi="Arial" w:cs="Arial"/>
          <w:sz w:val="24"/>
          <w:szCs w:val="24"/>
          <w:lang w:val="en-US"/>
        </w:rPr>
        <w:t>delayed</w:t>
      </w:r>
      <w:proofErr w:type="gramEnd"/>
      <w:r w:rsidR="00FE6D3A">
        <w:rPr>
          <w:rFonts w:ascii="Arial" w:hAnsi="Arial" w:cs="Arial"/>
          <w:sz w:val="24"/>
          <w:szCs w:val="24"/>
          <w:lang w:val="en-US"/>
        </w:rPr>
        <w:t xml:space="preserve"> and I accept further, as Mr Mohamed explained, that</w:t>
      </w:r>
      <w:r w:rsidR="00C70C1A">
        <w:rPr>
          <w:rFonts w:ascii="Arial" w:hAnsi="Arial" w:cs="Arial"/>
          <w:sz w:val="24"/>
          <w:szCs w:val="24"/>
          <w:lang w:val="en-US"/>
        </w:rPr>
        <w:t xml:space="preserve"> although no appeal is pending,</w:t>
      </w:r>
      <w:r w:rsidR="00FE6D3A">
        <w:rPr>
          <w:rFonts w:ascii="Arial" w:hAnsi="Arial" w:cs="Arial"/>
          <w:sz w:val="24"/>
          <w:szCs w:val="24"/>
          <w:lang w:val="en-US"/>
        </w:rPr>
        <w:t xml:space="preserve"> BIG </w:t>
      </w:r>
      <w:r w:rsidR="00090107">
        <w:rPr>
          <w:rFonts w:ascii="Arial" w:hAnsi="Arial" w:cs="Arial"/>
          <w:sz w:val="24"/>
          <w:szCs w:val="24"/>
          <w:lang w:val="en-US"/>
        </w:rPr>
        <w:t xml:space="preserve">(and Singh) </w:t>
      </w:r>
      <w:r w:rsidR="00FE6D3A">
        <w:rPr>
          <w:rFonts w:ascii="Arial" w:hAnsi="Arial" w:cs="Arial"/>
          <w:sz w:val="24"/>
          <w:szCs w:val="24"/>
          <w:lang w:val="en-US"/>
        </w:rPr>
        <w:t>intend</w:t>
      </w:r>
      <w:r w:rsidR="00585F01">
        <w:rPr>
          <w:rFonts w:ascii="Arial" w:hAnsi="Arial" w:cs="Arial"/>
          <w:sz w:val="24"/>
          <w:szCs w:val="24"/>
          <w:lang w:val="en-US"/>
        </w:rPr>
        <w:t>ed</w:t>
      </w:r>
      <w:r w:rsidR="00090107">
        <w:rPr>
          <w:rFonts w:ascii="Arial" w:hAnsi="Arial" w:cs="Arial"/>
          <w:sz w:val="24"/>
          <w:szCs w:val="24"/>
          <w:lang w:val="en-US"/>
        </w:rPr>
        <w:t xml:space="preserve"> </w:t>
      </w:r>
      <w:r w:rsidR="00FE6D3A">
        <w:rPr>
          <w:rFonts w:ascii="Arial" w:hAnsi="Arial" w:cs="Arial"/>
          <w:sz w:val="24"/>
          <w:szCs w:val="24"/>
          <w:lang w:val="en-US"/>
        </w:rPr>
        <w:t xml:space="preserve">to apply for leave to appeal the </w:t>
      </w:r>
      <w:r w:rsidR="00FE6D3A">
        <w:rPr>
          <w:rFonts w:ascii="Arial" w:hAnsi="Arial" w:cs="Arial"/>
          <w:sz w:val="24"/>
          <w:szCs w:val="24"/>
          <w:lang w:val="en-US"/>
        </w:rPr>
        <w:lastRenderedPageBreak/>
        <w:t>decision.</w:t>
      </w:r>
      <w:r w:rsidR="00C70C1A">
        <w:rPr>
          <w:rStyle w:val="FootnoteReference"/>
          <w:rFonts w:ascii="Arial" w:hAnsi="Arial" w:cs="Arial"/>
          <w:sz w:val="24"/>
          <w:szCs w:val="24"/>
          <w:lang w:val="en-US"/>
        </w:rPr>
        <w:footnoteReference w:id="15"/>
      </w:r>
      <w:r w:rsidR="00FE6D3A">
        <w:rPr>
          <w:rFonts w:ascii="Arial" w:hAnsi="Arial" w:cs="Arial"/>
          <w:sz w:val="24"/>
          <w:szCs w:val="24"/>
          <w:lang w:val="en-US"/>
        </w:rPr>
        <w:t xml:space="preserve">  I do not venture into the territory of the appealability of that order.  For present purposes, </w:t>
      </w:r>
      <w:r w:rsidR="00280830">
        <w:rPr>
          <w:rFonts w:ascii="Arial" w:hAnsi="Arial" w:cs="Arial"/>
          <w:sz w:val="24"/>
          <w:szCs w:val="24"/>
          <w:lang w:val="en-US"/>
        </w:rPr>
        <w:t xml:space="preserve">their </w:t>
      </w:r>
      <w:r>
        <w:rPr>
          <w:rFonts w:ascii="Arial" w:hAnsi="Arial" w:cs="Arial"/>
          <w:sz w:val="24"/>
          <w:szCs w:val="24"/>
          <w:lang w:val="en-US"/>
        </w:rPr>
        <w:t>difficulty i</w:t>
      </w:r>
      <w:r w:rsidR="00FE6D3A">
        <w:rPr>
          <w:rFonts w:ascii="Arial" w:hAnsi="Arial" w:cs="Arial"/>
          <w:sz w:val="24"/>
          <w:szCs w:val="24"/>
          <w:lang w:val="en-US"/>
        </w:rPr>
        <w:t xml:space="preserve">s a </w:t>
      </w:r>
      <w:r w:rsidR="00585F01">
        <w:rPr>
          <w:rFonts w:ascii="Arial" w:hAnsi="Arial" w:cs="Arial"/>
          <w:sz w:val="24"/>
          <w:szCs w:val="24"/>
          <w:lang w:val="en-US"/>
        </w:rPr>
        <w:t>different one, which is that they have</w:t>
      </w:r>
      <w:r w:rsidR="00FE6D3A">
        <w:rPr>
          <w:rFonts w:ascii="Arial" w:hAnsi="Arial" w:cs="Arial"/>
          <w:sz w:val="24"/>
          <w:szCs w:val="24"/>
          <w:lang w:val="en-US"/>
        </w:rPr>
        <w:t xml:space="preserve"> failed </w:t>
      </w:r>
      <w:r w:rsidR="003D7A9C">
        <w:rPr>
          <w:rFonts w:ascii="Arial" w:hAnsi="Arial" w:cs="Arial"/>
          <w:sz w:val="24"/>
          <w:szCs w:val="24"/>
          <w:lang w:val="en-US"/>
        </w:rPr>
        <w:t xml:space="preserve">– in the proceedings before this Court – adequately </w:t>
      </w:r>
      <w:r>
        <w:rPr>
          <w:rFonts w:ascii="Arial" w:hAnsi="Arial" w:cs="Arial"/>
          <w:sz w:val="24"/>
          <w:szCs w:val="24"/>
          <w:lang w:val="en-US"/>
        </w:rPr>
        <w:t xml:space="preserve">to explain how the documents </w:t>
      </w:r>
      <w:r w:rsidR="00B6008D">
        <w:rPr>
          <w:rFonts w:ascii="Arial" w:hAnsi="Arial" w:cs="Arial"/>
          <w:sz w:val="24"/>
          <w:szCs w:val="24"/>
          <w:lang w:val="en-US"/>
        </w:rPr>
        <w:t xml:space="preserve">still </w:t>
      </w:r>
      <w:r>
        <w:rPr>
          <w:rFonts w:ascii="Arial" w:hAnsi="Arial" w:cs="Arial"/>
          <w:sz w:val="24"/>
          <w:szCs w:val="24"/>
          <w:lang w:val="en-US"/>
        </w:rPr>
        <w:t xml:space="preserve">sought justify the relief </w:t>
      </w:r>
      <w:r w:rsidR="00280830">
        <w:rPr>
          <w:rFonts w:ascii="Arial" w:hAnsi="Arial" w:cs="Arial"/>
          <w:sz w:val="24"/>
          <w:szCs w:val="24"/>
          <w:lang w:val="en-US"/>
        </w:rPr>
        <w:t>sought</w:t>
      </w:r>
      <w:r w:rsidR="00C70C1A">
        <w:rPr>
          <w:rFonts w:ascii="Arial" w:hAnsi="Arial" w:cs="Arial"/>
          <w:sz w:val="24"/>
          <w:szCs w:val="24"/>
          <w:lang w:val="en-US"/>
        </w:rPr>
        <w:t xml:space="preserve"> in the </w:t>
      </w:r>
      <w:proofErr w:type="gramStart"/>
      <w:r w:rsidR="00C70C1A">
        <w:rPr>
          <w:rFonts w:ascii="Arial" w:hAnsi="Arial" w:cs="Arial"/>
          <w:sz w:val="24"/>
          <w:szCs w:val="24"/>
          <w:lang w:val="en-US"/>
        </w:rPr>
        <w:t>counter-application</w:t>
      </w:r>
      <w:proofErr w:type="gramEnd"/>
      <w:r w:rsidR="00280830">
        <w:rPr>
          <w:rFonts w:ascii="Arial" w:hAnsi="Arial" w:cs="Arial"/>
          <w:sz w:val="24"/>
          <w:szCs w:val="24"/>
          <w:lang w:val="en-US"/>
        </w:rPr>
        <w:t>, and such an explanation ought to have been forthcoming not least in view of the directives and order of DJP Ledwaba</w:t>
      </w:r>
      <w:r>
        <w:rPr>
          <w:rFonts w:ascii="Arial" w:hAnsi="Arial" w:cs="Arial"/>
          <w:sz w:val="24"/>
          <w:szCs w:val="24"/>
          <w:lang w:val="en-US"/>
        </w:rPr>
        <w:t>.</w:t>
      </w:r>
      <w:r w:rsidR="003D7A9C">
        <w:rPr>
          <w:rFonts w:ascii="Arial" w:hAnsi="Arial" w:cs="Arial"/>
          <w:sz w:val="24"/>
          <w:szCs w:val="24"/>
          <w:lang w:val="en-US"/>
        </w:rPr>
        <w:t xml:space="preserve">  </w:t>
      </w:r>
      <w:r>
        <w:rPr>
          <w:rFonts w:ascii="Arial" w:hAnsi="Arial" w:cs="Arial"/>
          <w:sz w:val="24"/>
          <w:szCs w:val="24"/>
          <w:lang w:val="en-US"/>
        </w:rPr>
        <w:t xml:space="preserve">   </w:t>
      </w:r>
    </w:p>
    <w:p w14:paraId="03F84328" w14:textId="77777777" w:rsidR="004421B5" w:rsidRPr="004421B5" w:rsidRDefault="004421B5" w:rsidP="004421B5">
      <w:pPr>
        <w:pStyle w:val="ListParagraph"/>
        <w:rPr>
          <w:rFonts w:ascii="Arial" w:hAnsi="Arial" w:cs="Arial"/>
          <w:sz w:val="24"/>
          <w:szCs w:val="24"/>
          <w:lang w:val="en-US"/>
        </w:rPr>
      </w:pPr>
    </w:p>
    <w:p w14:paraId="66350B7A" w14:textId="77777777" w:rsidR="00F40F20" w:rsidRPr="00F40F20" w:rsidRDefault="004421B5" w:rsidP="00F40F20">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Secondly, </w:t>
      </w:r>
      <w:r w:rsidR="00B6008D">
        <w:rPr>
          <w:rFonts w:ascii="Arial" w:hAnsi="Arial" w:cs="Arial"/>
          <w:sz w:val="24"/>
          <w:szCs w:val="24"/>
          <w:lang w:val="en-US"/>
        </w:rPr>
        <w:t xml:space="preserve">and related to this latter issue, </w:t>
      </w:r>
      <w:r>
        <w:rPr>
          <w:rFonts w:ascii="Arial" w:hAnsi="Arial" w:cs="Arial"/>
          <w:sz w:val="24"/>
          <w:szCs w:val="24"/>
          <w:lang w:val="en-US"/>
        </w:rPr>
        <w:t xml:space="preserve">BIG has failed to provide any </w:t>
      </w:r>
      <w:r w:rsidR="003D7A9C">
        <w:rPr>
          <w:rFonts w:ascii="Arial" w:hAnsi="Arial" w:cs="Arial"/>
          <w:sz w:val="24"/>
          <w:szCs w:val="24"/>
          <w:lang w:val="en-US"/>
        </w:rPr>
        <w:t>adequate</w:t>
      </w:r>
      <w:r>
        <w:rPr>
          <w:rFonts w:ascii="Arial" w:hAnsi="Arial" w:cs="Arial"/>
          <w:sz w:val="24"/>
          <w:szCs w:val="24"/>
          <w:lang w:val="en-US"/>
        </w:rPr>
        <w:t xml:space="preserve"> indication of any substan</w:t>
      </w:r>
      <w:r w:rsidR="00C70C1A">
        <w:rPr>
          <w:rFonts w:ascii="Arial" w:hAnsi="Arial" w:cs="Arial"/>
          <w:sz w:val="24"/>
          <w:szCs w:val="24"/>
          <w:lang w:val="en-US"/>
        </w:rPr>
        <w:t xml:space="preserve">tive </w:t>
      </w:r>
      <w:proofErr w:type="spellStart"/>
      <w:r w:rsidR="00C70C1A">
        <w:rPr>
          <w:rFonts w:ascii="Arial" w:hAnsi="Arial" w:cs="Arial"/>
          <w:sz w:val="24"/>
          <w:szCs w:val="24"/>
          <w:lang w:val="en-US"/>
        </w:rPr>
        <w:t>defenc</w:t>
      </w:r>
      <w:r w:rsidR="003D7A9C">
        <w:rPr>
          <w:rFonts w:ascii="Arial" w:hAnsi="Arial" w:cs="Arial"/>
          <w:sz w:val="24"/>
          <w:szCs w:val="24"/>
          <w:lang w:val="en-US"/>
        </w:rPr>
        <w:t>e</w:t>
      </w:r>
      <w:proofErr w:type="spellEnd"/>
      <w:r w:rsidR="003D7A9C">
        <w:rPr>
          <w:rFonts w:ascii="Arial" w:hAnsi="Arial" w:cs="Arial"/>
          <w:sz w:val="24"/>
          <w:szCs w:val="24"/>
          <w:lang w:val="en-US"/>
        </w:rPr>
        <w:t xml:space="preserve"> to the application nor has it adequately explained how the alleged documents or authentication process are required </w:t>
      </w:r>
      <w:proofErr w:type="gramStart"/>
      <w:r w:rsidR="003D7A9C">
        <w:rPr>
          <w:rFonts w:ascii="Arial" w:hAnsi="Arial" w:cs="Arial"/>
          <w:sz w:val="24"/>
          <w:szCs w:val="24"/>
          <w:lang w:val="en-US"/>
        </w:rPr>
        <w:t xml:space="preserve">in </w:t>
      </w:r>
      <w:r w:rsidR="00C70C1A">
        <w:rPr>
          <w:rFonts w:ascii="Arial" w:hAnsi="Arial" w:cs="Arial"/>
          <w:sz w:val="24"/>
          <w:szCs w:val="24"/>
          <w:lang w:val="en-US"/>
        </w:rPr>
        <w:t>order to</w:t>
      </w:r>
      <w:proofErr w:type="gramEnd"/>
      <w:r w:rsidR="00C70C1A">
        <w:rPr>
          <w:rFonts w:ascii="Arial" w:hAnsi="Arial" w:cs="Arial"/>
          <w:sz w:val="24"/>
          <w:szCs w:val="24"/>
          <w:lang w:val="en-US"/>
        </w:rPr>
        <w:t xml:space="preserve"> mount such a </w:t>
      </w:r>
      <w:proofErr w:type="spellStart"/>
      <w:r w:rsidR="00C70C1A">
        <w:rPr>
          <w:rFonts w:ascii="Arial" w:hAnsi="Arial" w:cs="Arial"/>
          <w:sz w:val="24"/>
          <w:szCs w:val="24"/>
          <w:lang w:val="en-US"/>
        </w:rPr>
        <w:t>defenc</w:t>
      </w:r>
      <w:r w:rsidR="003D7A9C">
        <w:rPr>
          <w:rFonts w:ascii="Arial" w:hAnsi="Arial" w:cs="Arial"/>
          <w:sz w:val="24"/>
          <w:szCs w:val="24"/>
          <w:lang w:val="en-US"/>
        </w:rPr>
        <w:t>e</w:t>
      </w:r>
      <w:proofErr w:type="spellEnd"/>
      <w:r w:rsidR="003D7A9C">
        <w:rPr>
          <w:rFonts w:ascii="Arial" w:hAnsi="Arial" w:cs="Arial"/>
          <w:sz w:val="24"/>
          <w:szCs w:val="24"/>
          <w:lang w:val="en-US"/>
        </w:rPr>
        <w:t xml:space="preserve">.  </w:t>
      </w:r>
      <w:r>
        <w:rPr>
          <w:rFonts w:ascii="Arial" w:hAnsi="Arial" w:cs="Arial"/>
          <w:sz w:val="24"/>
          <w:szCs w:val="24"/>
          <w:lang w:val="en-US"/>
        </w:rPr>
        <w:t xml:space="preserve">Indeed, </w:t>
      </w:r>
      <w:r w:rsidR="003D7A9C">
        <w:rPr>
          <w:rFonts w:ascii="Arial" w:hAnsi="Arial" w:cs="Arial"/>
          <w:sz w:val="24"/>
          <w:szCs w:val="24"/>
          <w:lang w:val="en-US"/>
        </w:rPr>
        <w:t xml:space="preserve">BIG has astutely avoided advancing a substantive </w:t>
      </w:r>
      <w:proofErr w:type="spellStart"/>
      <w:r w:rsidR="003D7A9C">
        <w:rPr>
          <w:rFonts w:ascii="Arial" w:hAnsi="Arial" w:cs="Arial"/>
          <w:sz w:val="24"/>
          <w:szCs w:val="24"/>
          <w:lang w:val="en-US"/>
        </w:rPr>
        <w:t>defence</w:t>
      </w:r>
      <w:proofErr w:type="spellEnd"/>
      <w:r w:rsidR="003D7A9C">
        <w:rPr>
          <w:rFonts w:ascii="Arial" w:hAnsi="Arial" w:cs="Arial"/>
          <w:sz w:val="24"/>
          <w:szCs w:val="24"/>
          <w:lang w:val="en-US"/>
        </w:rPr>
        <w:t xml:space="preserve">, claiming rather that </w:t>
      </w:r>
      <w:r w:rsidR="00B6008D">
        <w:rPr>
          <w:rFonts w:ascii="Arial" w:hAnsi="Arial" w:cs="Arial"/>
          <w:sz w:val="24"/>
          <w:szCs w:val="24"/>
          <w:lang w:val="en-US"/>
        </w:rPr>
        <w:t>it still requires access to further document</w:t>
      </w:r>
      <w:r w:rsidR="00FE6D3A">
        <w:rPr>
          <w:rFonts w:ascii="Arial" w:hAnsi="Arial" w:cs="Arial"/>
          <w:sz w:val="24"/>
          <w:szCs w:val="24"/>
          <w:lang w:val="en-US"/>
        </w:rPr>
        <w:t>s and information</w:t>
      </w:r>
      <w:r w:rsidR="00280830">
        <w:rPr>
          <w:rFonts w:ascii="Arial" w:hAnsi="Arial" w:cs="Arial"/>
          <w:sz w:val="24"/>
          <w:szCs w:val="24"/>
          <w:lang w:val="en-US"/>
        </w:rPr>
        <w:t>.</w:t>
      </w:r>
      <w:r w:rsidR="00FE6D3A">
        <w:rPr>
          <w:rFonts w:ascii="Arial" w:hAnsi="Arial" w:cs="Arial"/>
          <w:sz w:val="24"/>
          <w:szCs w:val="24"/>
          <w:lang w:val="en-US"/>
        </w:rPr>
        <w:t xml:space="preserve"> </w:t>
      </w:r>
      <w:r w:rsidR="00B6008D">
        <w:rPr>
          <w:rFonts w:ascii="Arial" w:hAnsi="Arial" w:cs="Arial"/>
          <w:sz w:val="24"/>
          <w:szCs w:val="24"/>
          <w:lang w:val="en-US"/>
        </w:rPr>
        <w:t xml:space="preserve">to assess what </w:t>
      </w:r>
      <w:proofErr w:type="spellStart"/>
      <w:r w:rsidR="00B6008D">
        <w:rPr>
          <w:rFonts w:ascii="Arial" w:hAnsi="Arial" w:cs="Arial"/>
          <w:sz w:val="24"/>
          <w:szCs w:val="24"/>
          <w:lang w:val="en-US"/>
        </w:rPr>
        <w:t>defence</w:t>
      </w:r>
      <w:proofErr w:type="spellEnd"/>
      <w:r w:rsidR="00B6008D">
        <w:rPr>
          <w:rFonts w:ascii="Arial" w:hAnsi="Arial" w:cs="Arial"/>
          <w:sz w:val="24"/>
          <w:szCs w:val="24"/>
          <w:lang w:val="en-US"/>
        </w:rPr>
        <w:t xml:space="preserve"> it might mount.</w:t>
      </w:r>
      <w:r w:rsidR="003D7A9C">
        <w:rPr>
          <w:rFonts w:ascii="Arial" w:hAnsi="Arial" w:cs="Arial"/>
          <w:sz w:val="24"/>
          <w:szCs w:val="24"/>
          <w:lang w:val="en-US"/>
        </w:rPr>
        <w:t xml:space="preserve">  On the facts of this case, this does not add up.</w:t>
      </w:r>
      <w:r w:rsidR="00B6008D">
        <w:rPr>
          <w:rFonts w:ascii="Arial" w:hAnsi="Arial" w:cs="Arial"/>
          <w:sz w:val="24"/>
          <w:szCs w:val="24"/>
          <w:lang w:val="en-US"/>
        </w:rPr>
        <w:t xml:space="preserve">  To sustain the winding-up application, Investec relies pertinently on BIG’s </w:t>
      </w:r>
      <w:r w:rsidR="00C70C1A">
        <w:rPr>
          <w:rFonts w:ascii="Arial" w:hAnsi="Arial" w:cs="Arial"/>
          <w:sz w:val="24"/>
          <w:szCs w:val="24"/>
          <w:lang w:val="en-US"/>
        </w:rPr>
        <w:t xml:space="preserve">inability to pay its debts.  It relies on the failure to </w:t>
      </w:r>
      <w:r w:rsidR="00B6008D">
        <w:rPr>
          <w:rFonts w:ascii="Arial" w:hAnsi="Arial" w:cs="Arial"/>
          <w:sz w:val="24"/>
          <w:szCs w:val="24"/>
          <w:lang w:val="en-US"/>
        </w:rPr>
        <w:t>pay its debts in terms of the Working Capital Facility Agreement (and its Addendum) and Term Loan Agreeme</w:t>
      </w:r>
      <w:r w:rsidR="00C70C1A">
        <w:rPr>
          <w:rFonts w:ascii="Arial" w:hAnsi="Arial" w:cs="Arial"/>
          <w:sz w:val="24"/>
          <w:szCs w:val="24"/>
          <w:lang w:val="en-US"/>
        </w:rPr>
        <w:t>nt, the invocation of the security cession and the failure of the Stanbic guarantees.</w:t>
      </w:r>
      <w:r w:rsidR="00B6008D">
        <w:rPr>
          <w:rFonts w:ascii="Arial" w:hAnsi="Arial" w:cs="Arial"/>
          <w:sz w:val="24"/>
          <w:szCs w:val="24"/>
          <w:lang w:val="en-US"/>
        </w:rPr>
        <w:t xml:space="preserve">  The answering affidavit that BIG now seeks to introduce does not respond pertinently to these </w:t>
      </w:r>
      <w:r w:rsidR="00C70C1A">
        <w:rPr>
          <w:rFonts w:ascii="Arial" w:hAnsi="Arial" w:cs="Arial"/>
          <w:sz w:val="24"/>
          <w:szCs w:val="24"/>
          <w:lang w:val="en-US"/>
        </w:rPr>
        <w:t xml:space="preserve">issues.  </w:t>
      </w:r>
      <w:r w:rsidR="00361E8C">
        <w:rPr>
          <w:rFonts w:ascii="Arial" w:hAnsi="Arial" w:cs="Arial"/>
          <w:sz w:val="24"/>
          <w:szCs w:val="24"/>
          <w:lang w:val="en-US"/>
        </w:rPr>
        <w:t xml:space="preserve">Rather, BIG </w:t>
      </w:r>
      <w:r w:rsidR="00B6008D">
        <w:rPr>
          <w:rFonts w:ascii="Arial" w:hAnsi="Arial" w:cs="Arial"/>
          <w:sz w:val="24"/>
          <w:szCs w:val="24"/>
          <w:lang w:val="en-US"/>
        </w:rPr>
        <w:t xml:space="preserve">avoids answering the allegations by </w:t>
      </w:r>
      <w:r w:rsidR="00280830">
        <w:rPr>
          <w:rFonts w:ascii="Arial" w:hAnsi="Arial" w:cs="Arial"/>
          <w:sz w:val="24"/>
          <w:szCs w:val="24"/>
          <w:lang w:val="en-US"/>
        </w:rPr>
        <w:t xml:space="preserve">maintaining that </w:t>
      </w:r>
      <w:r w:rsidR="00FB4EA8">
        <w:rPr>
          <w:rFonts w:ascii="Arial" w:hAnsi="Arial" w:cs="Arial"/>
          <w:sz w:val="24"/>
          <w:szCs w:val="24"/>
          <w:lang w:val="en-US"/>
        </w:rPr>
        <w:t xml:space="preserve">it cannot do so without the documents it sought in the Rule 35(12) application and to which access was denied by Marx du Plessis </w:t>
      </w:r>
      <w:r w:rsidR="0078147F">
        <w:rPr>
          <w:rFonts w:ascii="Arial" w:hAnsi="Arial" w:cs="Arial"/>
          <w:sz w:val="24"/>
          <w:szCs w:val="24"/>
          <w:lang w:val="en-US"/>
        </w:rPr>
        <w:t xml:space="preserve">AJ </w:t>
      </w:r>
      <w:r w:rsidR="00FB4EA8">
        <w:rPr>
          <w:rFonts w:ascii="Arial" w:hAnsi="Arial" w:cs="Arial"/>
          <w:sz w:val="24"/>
          <w:szCs w:val="24"/>
          <w:lang w:val="en-US"/>
        </w:rPr>
        <w:t xml:space="preserve">or because it requires </w:t>
      </w:r>
      <w:r w:rsidR="00C70C1A">
        <w:rPr>
          <w:rFonts w:ascii="Arial" w:hAnsi="Arial" w:cs="Arial"/>
          <w:sz w:val="24"/>
          <w:szCs w:val="24"/>
          <w:lang w:val="en-US"/>
        </w:rPr>
        <w:t xml:space="preserve">forensic </w:t>
      </w:r>
      <w:r w:rsidR="00280830">
        <w:rPr>
          <w:rFonts w:ascii="Arial" w:hAnsi="Arial" w:cs="Arial"/>
          <w:sz w:val="24"/>
          <w:szCs w:val="24"/>
          <w:lang w:val="en-US"/>
        </w:rPr>
        <w:t>evaluation of the agreements relied upon</w:t>
      </w:r>
      <w:r w:rsidR="00FB4EA8">
        <w:rPr>
          <w:rFonts w:ascii="Arial" w:hAnsi="Arial" w:cs="Arial"/>
          <w:sz w:val="24"/>
          <w:szCs w:val="24"/>
          <w:lang w:val="en-US"/>
        </w:rPr>
        <w:t xml:space="preserve">.  </w:t>
      </w:r>
    </w:p>
    <w:p w14:paraId="1C063F22" w14:textId="77777777" w:rsidR="00F40F20" w:rsidRDefault="00F40F20" w:rsidP="00F40F20">
      <w:pPr>
        <w:pStyle w:val="ListParagraph"/>
        <w:spacing w:line="480" w:lineRule="auto"/>
        <w:ind w:left="360"/>
        <w:jc w:val="both"/>
        <w:rPr>
          <w:rFonts w:ascii="Arial" w:hAnsi="Arial" w:cs="Arial"/>
          <w:sz w:val="24"/>
          <w:szCs w:val="24"/>
          <w:lang w:val="en-US"/>
        </w:rPr>
      </w:pPr>
    </w:p>
    <w:p w14:paraId="36B0BFD6" w14:textId="77777777" w:rsidR="00636D15" w:rsidRDefault="00FB4EA8" w:rsidP="0033747E">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lastRenderedPageBreak/>
        <w:t xml:space="preserve">I am unable to accept that this conduct is justified in the circumstances of this case.  </w:t>
      </w:r>
      <w:r w:rsidR="00361E8C" w:rsidRPr="00FB4EA8">
        <w:rPr>
          <w:rFonts w:ascii="Arial" w:hAnsi="Arial" w:cs="Arial"/>
          <w:sz w:val="24"/>
          <w:szCs w:val="24"/>
          <w:lang w:val="en-US"/>
        </w:rPr>
        <w:t xml:space="preserve">These are motion proceedings.  If BIG </w:t>
      </w:r>
      <w:r w:rsidR="00F40F20">
        <w:rPr>
          <w:rFonts w:ascii="Arial" w:hAnsi="Arial" w:cs="Arial"/>
          <w:sz w:val="24"/>
          <w:szCs w:val="24"/>
          <w:lang w:val="en-US"/>
        </w:rPr>
        <w:t>wished</w:t>
      </w:r>
      <w:r w:rsidR="00361E8C" w:rsidRPr="00FB4EA8">
        <w:rPr>
          <w:rFonts w:ascii="Arial" w:hAnsi="Arial" w:cs="Arial"/>
          <w:sz w:val="24"/>
          <w:szCs w:val="24"/>
          <w:lang w:val="en-US"/>
        </w:rPr>
        <w:t xml:space="preserve"> to dispu</w:t>
      </w:r>
      <w:r>
        <w:rPr>
          <w:rFonts w:ascii="Arial" w:hAnsi="Arial" w:cs="Arial"/>
          <w:sz w:val="24"/>
          <w:szCs w:val="24"/>
          <w:lang w:val="en-US"/>
        </w:rPr>
        <w:t xml:space="preserve">te any allegation of fact, </w:t>
      </w:r>
      <w:r w:rsidR="00F40F20">
        <w:rPr>
          <w:rFonts w:ascii="Arial" w:hAnsi="Arial" w:cs="Arial"/>
          <w:sz w:val="24"/>
          <w:szCs w:val="24"/>
          <w:lang w:val="en-US"/>
        </w:rPr>
        <w:t>it was</w:t>
      </w:r>
      <w:r w:rsidR="009F5CC9" w:rsidRPr="00FB4EA8">
        <w:rPr>
          <w:rFonts w:ascii="Arial" w:hAnsi="Arial" w:cs="Arial"/>
          <w:sz w:val="24"/>
          <w:szCs w:val="24"/>
          <w:lang w:val="en-US"/>
        </w:rPr>
        <w:t xml:space="preserve"> entitled to do so</w:t>
      </w:r>
      <w:r w:rsidR="009F5CC9">
        <w:rPr>
          <w:rFonts w:ascii="Arial" w:hAnsi="Arial" w:cs="Arial"/>
          <w:sz w:val="24"/>
          <w:szCs w:val="24"/>
          <w:lang w:val="en-US"/>
        </w:rPr>
        <w:t xml:space="preserve"> and </w:t>
      </w:r>
      <w:r w:rsidR="00F40F20">
        <w:rPr>
          <w:rFonts w:ascii="Arial" w:hAnsi="Arial" w:cs="Arial"/>
          <w:sz w:val="24"/>
          <w:szCs w:val="24"/>
          <w:lang w:val="en-US"/>
        </w:rPr>
        <w:t>to explain on what basis.  Any dispute of fact would</w:t>
      </w:r>
      <w:r w:rsidR="009F5CC9">
        <w:rPr>
          <w:rFonts w:ascii="Arial" w:hAnsi="Arial" w:cs="Arial"/>
          <w:sz w:val="24"/>
          <w:szCs w:val="24"/>
          <w:lang w:val="en-US"/>
        </w:rPr>
        <w:t xml:space="preserve"> be decided on the principles in </w:t>
      </w:r>
      <w:proofErr w:type="spellStart"/>
      <w:r w:rsidR="009F5CC9" w:rsidRPr="00A87B05">
        <w:rPr>
          <w:rFonts w:ascii="Arial" w:hAnsi="Arial" w:cs="Arial"/>
          <w:i/>
          <w:sz w:val="24"/>
          <w:szCs w:val="24"/>
          <w:lang w:val="en-US"/>
        </w:rPr>
        <w:t>Plascon</w:t>
      </w:r>
      <w:proofErr w:type="spellEnd"/>
      <w:r w:rsidR="009F5CC9" w:rsidRPr="00A87B05">
        <w:rPr>
          <w:rFonts w:ascii="Arial" w:hAnsi="Arial" w:cs="Arial"/>
          <w:i/>
          <w:sz w:val="24"/>
          <w:szCs w:val="24"/>
          <w:lang w:val="en-US"/>
        </w:rPr>
        <w:t xml:space="preserve"> Evans</w:t>
      </w:r>
      <w:r w:rsidR="009F5CC9">
        <w:rPr>
          <w:rStyle w:val="FootnoteReference"/>
          <w:rFonts w:ascii="Arial" w:hAnsi="Arial" w:cs="Arial"/>
          <w:sz w:val="24"/>
          <w:szCs w:val="24"/>
          <w:lang w:val="en-US"/>
        </w:rPr>
        <w:footnoteReference w:id="16"/>
      </w:r>
      <w:r w:rsidR="009F5CC9">
        <w:rPr>
          <w:rFonts w:ascii="Arial" w:hAnsi="Arial" w:cs="Arial"/>
          <w:sz w:val="24"/>
          <w:szCs w:val="24"/>
          <w:lang w:val="en-US"/>
        </w:rPr>
        <w:t xml:space="preserve"> and </w:t>
      </w:r>
      <w:r w:rsidR="009F5CC9" w:rsidRPr="00A87B05">
        <w:rPr>
          <w:rFonts w:ascii="Arial" w:hAnsi="Arial" w:cs="Arial"/>
          <w:i/>
          <w:sz w:val="24"/>
          <w:szCs w:val="24"/>
          <w:lang w:val="en-US"/>
        </w:rPr>
        <w:t>Wightman</w:t>
      </w:r>
      <w:r w:rsidR="009F5CC9">
        <w:rPr>
          <w:rFonts w:ascii="Arial" w:hAnsi="Arial" w:cs="Arial"/>
          <w:sz w:val="24"/>
          <w:szCs w:val="24"/>
          <w:lang w:val="en-US"/>
        </w:rPr>
        <w:t>,</w:t>
      </w:r>
      <w:r w:rsidR="009F5CC9">
        <w:rPr>
          <w:rStyle w:val="FootnoteReference"/>
          <w:rFonts w:ascii="Arial" w:hAnsi="Arial" w:cs="Arial"/>
          <w:sz w:val="24"/>
          <w:szCs w:val="24"/>
          <w:lang w:val="en-US"/>
        </w:rPr>
        <w:footnoteReference w:id="17"/>
      </w:r>
      <w:r w:rsidR="009F5CC9">
        <w:rPr>
          <w:rFonts w:ascii="Arial" w:hAnsi="Arial" w:cs="Arial"/>
          <w:sz w:val="24"/>
          <w:szCs w:val="24"/>
          <w:lang w:val="en-US"/>
        </w:rPr>
        <w:t xml:space="preserve"> which would </w:t>
      </w:r>
      <w:proofErr w:type="spellStart"/>
      <w:r w:rsidR="009F5CC9">
        <w:rPr>
          <w:rFonts w:ascii="Arial" w:hAnsi="Arial" w:cs="Arial"/>
          <w:sz w:val="24"/>
          <w:szCs w:val="24"/>
          <w:lang w:val="en-US"/>
        </w:rPr>
        <w:t>favour</w:t>
      </w:r>
      <w:proofErr w:type="spellEnd"/>
      <w:r w:rsidR="009F5CC9">
        <w:rPr>
          <w:rFonts w:ascii="Arial" w:hAnsi="Arial" w:cs="Arial"/>
          <w:sz w:val="24"/>
          <w:szCs w:val="24"/>
          <w:lang w:val="en-US"/>
        </w:rPr>
        <w:t xml:space="preserve"> BIG</w:t>
      </w:r>
      <w:r w:rsidR="00280830">
        <w:rPr>
          <w:rFonts w:ascii="Arial" w:hAnsi="Arial" w:cs="Arial"/>
          <w:sz w:val="24"/>
          <w:szCs w:val="24"/>
          <w:lang w:val="en-US"/>
        </w:rPr>
        <w:t xml:space="preserve"> (and Singh)</w:t>
      </w:r>
      <w:r w:rsidR="009F5CC9">
        <w:rPr>
          <w:rFonts w:ascii="Arial" w:hAnsi="Arial" w:cs="Arial"/>
          <w:sz w:val="24"/>
          <w:szCs w:val="24"/>
          <w:lang w:val="en-US"/>
        </w:rPr>
        <w:t xml:space="preserve">.  For example, if BIG </w:t>
      </w:r>
      <w:r w:rsidR="00FE6D3A">
        <w:rPr>
          <w:rFonts w:ascii="Arial" w:hAnsi="Arial" w:cs="Arial"/>
          <w:sz w:val="24"/>
          <w:szCs w:val="24"/>
          <w:lang w:val="en-US"/>
        </w:rPr>
        <w:t>intends</w:t>
      </w:r>
      <w:r w:rsidR="009F5CC9">
        <w:rPr>
          <w:rFonts w:ascii="Arial" w:hAnsi="Arial" w:cs="Arial"/>
          <w:sz w:val="24"/>
          <w:szCs w:val="24"/>
          <w:lang w:val="en-US"/>
        </w:rPr>
        <w:t xml:space="preserve"> to dispute the conclusion of either the Working Capital Facility Agreement (and its Addendum) or the Term Loan Agreement</w:t>
      </w:r>
      <w:r w:rsidR="00FE6D3A">
        <w:rPr>
          <w:rFonts w:ascii="Arial" w:hAnsi="Arial" w:cs="Arial"/>
          <w:sz w:val="24"/>
          <w:szCs w:val="24"/>
          <w:lang w:val="en-US"/>
        </w:rPr>
        <w:t xml:space="preserve"> – which it has had access to in both original and copy form, there was nothing precluding it from doing so.  </w:t>
      </w:r>
      <w:r w:rsidR="0078147F">
        <w:rPr>
          <w:rFonts w:ascii="Arial" w:hAnsi="Arial" w:cs="Arial"/>
          <w:sz w:val="24"/>
          <w:szCs w:val="24"/>
          <w:lang w:val="en-US"/>
        </w:rPr>
        <w:t xml:space="preserve">The signatures in respect of which authenticity is allegedly questioned are, materially, those of Singh and Rushil Singh themselves. </w:t>
      </w:r>
      <w:r w:rsidR="00C70C1A">
        <w:rPr>
          <w:rFonts w:ascii="Arial" w:hAnsi="Arial" w:cs="Arial"/>
          <w:sz w:val="24"/>
          <w:szCs w:val="24"/>
          <w:lang w:val="en-US"/>
        </w:rPr>
        <w:t xml:space="preserve"> BIG’s deponents must know what security was ultimately agreed upon</w:t>
      </w:r>
      <w:r w:rsidR="00F608AB">
        <w:rPr>
          <w:rFonts w:ascii="Arial" w:hAnsi="Arial" w:cs="Arial"/>
          <w:sz w:val="24"/>
          <w:szCs w:val="24"/>
          <w:lang w:val="en-US"/>
        </w:rPr>
        <w:t xml:space="preserve">, specifically as regards the Stanbic guarantees and the security cession.  </w:t>
      </w:r>
      <w:r w:rsidR="0078147F">
        <w:rPr>
          <w:rFonts w:ascii="Arial" w:hAnsi="Arial" w:cs="Arial"/>
          <w:sz w:val="24"/>
          <w:szCs w:val="24"/>
          <w:lang w:val="en-US"/>
        </w:rPr>
        <w:t>BIG</w:t>
      </w:r>
      <w:r w:rsidR="00280830">
        <w:rPr>
          <w:rFonts w:ascii="Arial" w:hAnsi="Arial" w:cs="Arial"/>
          <w:sz w:val="24"/>
          <w:szCs w:val="24"/>
          <w:lang w:val="en-US"/>
        </w:rPr>
        <w:t xml:space="preserve"> (and Singh)</w:t>
      </w:r>
      <w:r w:rsidR="0078147F">
        <w:rPr>
          <w:rFonts w:ascii="Arial" w:hAnsi="Arial" w:cs="Arial"/>
          <w:sz w:val="24"/>
          <w:szCs w:val="24"/>
          <w:lang w:val="en-US"/>
        </w:rPr>
        <w:t xml:space="preserve"> </w:t>
      </w:r>
      <w:r w:rsidR="00280830">
        <w:rPr>
          <w:rFonts w:ascii="Arial" w:hAnsi="Arial" w:cs="Arial"/>
          <w:sz w:val="24"/>
          <w:szCs w:val="24"/>
          <w:lang w:val="en-US"/>
        </w:rPr>
        <w:t>are</w:t>
      </w:r>
      <w:r w:rsidR="0078147F">
        <w:rPr>
          <w:rFonts w:ascii="Arial" w:hAnsi="Arial" w:cs="Arial"/>
          <w:sz w:val="24"/>
          <w:szCs w:val="24"/>
          <w:lang w:val="en-US"/>
        </w:rPr>
        <w:t xml:space="preserve"> </w:t>
      </w:r>
      <w:proofErr w:type="gramStart"/>
      <w:r w:rsidR="0078147F">
        <w:rPr>
          <w:rFonts w:ascii="Arial" w:hAnsi="Arial" w:cs="Arial"/>
          <w:sz w:val="24"/>
          <w:szCs w:val="24"/>
          <w:lang w:val="en-US"/>
        </w:rPr>
        <w:t>in a position</w:t>
      </w:r>
      <w:proofErr w:type="gramEnd"/>
      <w:r w:rsidR="0078147F">
        <w:rPr>
          <w:rFonts w:ascii="Arial" w:hAnsi="Arial" w:cs="Arial"/>
          <w:sz w:val="24"/>
          <w:szCs w:val="24"/>
          <w:lang w:val="en-US"/>
        </w:rPr>
        <w:t xml:space="preserve"> to dispute </w:t>
      </w:r>
      <w:r w:rsidR="00F608AB">
        <w:rPr>
          <w:rFonts w:ascii="Arial" w:hAnsi="Arial" w:cs="Arial"/>
          <w:sz w:val="24"/>
          <w:szCs w:val="24"/>
          <w:lang w:val="en-US"/>
        </w:rPr>
        <w:t>any</w:t>
      </w:r>
      <w:r w:rsidR="0078147F">
        <w:rPr>
          <w:rFonts w:ascii="Arial" w:hAnsi="Arial" w:cs="Arial"/>
          <w:sz w:val="24"/>
          <w:szCs w:val="24"/>
          <w:lang w:val="en-US"/>
        </w:rPr>
        <w:t xml:space="preserve"> signatures</w:t>
      </w:r>
      <w:r w:rsidR="00280830">
        <w:rPr>
          <w:rFonts w:ascii="Arial" w:hAnsi="Arial" w:cs="Arial"/>
          <w:sz w:val="24"/>
          <w:szCs w:val="24"/>
          <w:lang w:val="en-US"/>
        </w:rPr>
        <w:t xml:space="preserve"> or agreements</w:t>
      </w:r>
      <w:r w:rsidR="0078147F">
        <w:rPr>
          <w:rFonts w:ascii="Arial" w:hAnsi="Arial" w:cs="Arial"/>
          <w:sz w:val="24"/>
          <w:szCs w:val="24"/>
          <w:lang w:val="en-US"/>
        </w:rPr>
        <w:t xml:space="preserve"> if </w:t>
      </w:r>
      <w:r w:rsidR="00280830">
        <w:rPr>
          <w:rFonts w:ascii="Arial" w:hAnsi="Arial" w:cs="Arial"/>
          <w:sz w:val="24"/>
          <w:szCs w:val="24"/>
          <w:lang w:val="en-US"/>
        </w:rPr>
        <w:t xml:space="preserve">they </w:t>
      </w:r>
      <w:r w:rsidR="0078147F">
        <w:rPr>
          <w:rFonts w:ascii="Arial" w:hAnsi="Arial" w:cs="Arial"/>
          <w:sz w:val="24"/>
          <w:szCs w:val="24"/>
          <w:lang w:val="en-US"/>
        </w:rPr>
        <w:t xml:space="preserve">genuinely intend to.  </w:t>
      </w:r>
      <w:r w:rsidR="00FE6D3A">
        <w:rPr>
          <w:rFonts w:ascii="Arial" w:hAnsi="Arial" w:cs="Arial"/>
          <w:sz w:val="24"/>
          <w:szCs w:val="24"/>
          <w:lang w:val="en-US"/>
        </w:rPr>
        <w:t xml:space="preserve">The same applies to the advance of the funds, and the resultant incurrence of </w:t>
      </w:r>
      <w:proofErr w:type="gramStart"/>
      <w:r w:rsidR="00FE6D3A">
        <w:rPr>
          <w:rFonts w:ascii="Arial" w:hAnsi="Arial" w:cs="Arial"/>
          <w:sz w:val="24"/>
          <w:szCs w:val="24"/>
          <w:lang w:val="en-US"/>
        </w:rPr>
        <w:t>the debt</w:t>
      </w:r>
      <w:proofErr w:type="gramEnd"/>
      <w:r w:rsidR="00FE6D3A">
        <w:rPr>
          <w:rFonts w:ascii="Arial" w:hAnsi="Arial" w:cs="Arial"/>
          <w:sz w:val="24"/>
          <w:szCs w:val="24"/>
          <w:lang w:val="en-US"/>
        </w:rPr>
        <w:t xml:space="preserve">, of which </w:t>
      </w:r>
      <w:r w:rsidR="00280830">
        <w:rPr>
          <w:rFonts w:ascii="Arial" w:hAnsi="Arial" w:cs="Arial"/>
          <w:sz w:val="24"/>
          <w:szCs w:val="24"/>
          <w:lang w:val="en-US"/>
        </w:rPr>
        <w:t>BIG’s</w:t>
      </w:r>
      <w:r w:rsidR="00FE6D3A">
        <w:rPr>
          <w:rFonts w:ascii="Arial" w:hAnsi="Arial" w:cs="Arial"/>
          <w:sz w:val="24"/>
          <w:szCs w:val="24"/>
          <w:lang w:val="en-US"/>
        </w:rPr>
        <w:t xml:space="preserve"> directors</w:t>
      </w:r>
      <w:r w:rsidR="00280830">
        <w:rPr>
          <w:rFonts w:ascii="Arial" w:hAnsi="Arial" w:cs="Arial"/>
          <w:sz w:val="24"/>
          <w:szCs w:val="24"/>
          <w:lang w:val="en-US"/>
        </w:rPr>
        <w:t xml:space="preserve"> must have sufficient knowledge.  </w:t>
      </w:r>
      <w:r w:rsidR="00FE6D3A">
        <w:rPr>
          <w:rFonts w:ascii="Arial" w:hAnsi="Arial" w:cs="Arial"/>
          <w:sz w:val="24"/>
          <w:szCs w:val="24"/>
          <w:lang w:val="en-US"/>
        </w:rPr>
        <w:t xml:space="preserve">Similarly, the failure to repay any debt whether in whole or in part.  </w:t>
      </w:r>
      <w:r w:rsidR="00636D15">
        <w:rPr>
          <w:rFonts w:ascii="Arial" w:hAnsi="Arial" w:cs="Arial"/>
          <w:sz w:val="24"/>
          <w:szCs w:val="24"/>
          <w:lang w:val="en-US"/>
        </w:rPr>
        <w:t xml:space="preserve">But </w:t>
      </w:r>
      <w:r w:rsidR="0078147F">
        <w:rPr>
          <w:rFonts w:ascii="Arial" w:hAnsi="Arial" w:cs="Arial"/>
          <w:sz w:val="24"/>
          <w:szCs w:val="24"/>
          <w:lang w:val="en-US"/>
        </w:rPr>
        <w:t>BIG</w:t>
      </w:r>
      <w:r w:rsidR="00636D15">
        <w:rPr>
          <w:rFonts w:ascii="Arial" w:hAnsi="Arial" w:cs="Arial"/>
          <w:sz w:val="24"/>
          <w:szCs w:val="24"/>
          <w:lang w:val="en-US"/>
        </w:rPr>
        <w:t xml:space="preserve"> has </w:t>
      </w:r>
      <w:r w:rsidR="00585F01">
        <w:rPr>
          <w:rFonts w:ascii="Arial" w:hAnsi="Arial" w:cs="Arial"/>
          <w:sz w:val="24"/>
          <w:szCs w:val="24"/>
          <w:lang w:val="en-US"/>
        </w:rPr>
        <w:t xml:space="preserve">avoided clearly indicating its </w:t>
      </w:r>
      <w:proofErr w:type="spellStart"/>
      <w:r w:rsidR="00636D15">
        <w:rPr>
          <w:rFonts w:ascii="Arial" w:hAnsi="Arial" w:cs="Arial"/>
          <w:sz w:val="24"/>
          <w:szCs w:val="24"/>
          <w:lang w:val="en-US"/>
        </w:rPr>
        <w:t>defence</w:t>
      </w:r>
      <w:proofErr w:type="spellEnd"/>
      <w:r w:rsidR="0078147F">
        <w:rPr>
          <w:rFonts w:ascii="Arial" w:hAnsi="Arial" w:cs="Arial"/>
          <w:sz w:val="24"/>
          <w:szCs w:val="24"/>
          <w:lang w:val="en-US"/>
        </w:rPr>
        <w:t xml:space="preserve">.  </w:t>
      </w:r>
      <w:r w:rsidR="00361E8C" w:rsidRPr="00FE6D3A">
        <w:rPr>
          <w:rFonts w:ascii="Arial" w:hAnsi="Arial" w:cs="Arial"/>
          <w:sz w:val="24"/>
          <w:szCs w:val="24"/>
          <w:lang w:val="en-US"/>
        </w:rPr>
        <w:t xml:space="preserve">Moreover, </w:t>
      </w:r>
      <w:r w:rsidR="00280830">
        <w:rPr>
          <w:rFonts w:ascii="Arial" w:hAnsi="Arial" w:cs="Arial"/>
          <w:sz w:val="24"/>
          <w:szCs w:val="24"/>
          <w:lang w:val="en-US"/>
        </w:rPr>
        <w:t>an applicant who contends</w:t>
      </w:r>
      <w:r w:rsidR="00361E8C" w:rsidRPr="00FE6D3A">
        <w:rPr>
          <w:rFonts w:ascii="Arial" w:hAnsi="Arial" w:cs="Arial"/>
          <w:sz w:val="24"/>
          <w:szCs w:val="24"/>
          <w:lang w:val="en-US"/>
        </w:rPr>
        <w:t xml:space="preserve"> that an application cannot properly be decided on affidavit</w:t>
      </w:r>
      <w:r w:rsidR="00280830">
        <w:rPr>
          <w:rFonts w:ascii="Arial" w:hAnsi="Arial" w:cs="Arial"/>
          <w:sz w:val="24"/>
          <w:szCs w:val="24"/>
          <w:lang w:val="en-US"/>
        </w:rPr>
        <w:t xml:space="preserve"> </w:t>
      </w:r>
      <w:r w:rsidR="00361E8C" w:rsidRPr="00FE6D3A">
        <w:rPr>
          <w:rFonts w:ascii="Arial" w:hAnsi="Arial" w:cs="Arial"/>
          <w:sz w:val="24"/>
          <w:szCs w:val="24"/>
          <w:lang w:val="en-US"/>
        </w:rPr>
        <w:t>has its remedies under Rule 6(5)(g) of the Uniform Rules of Court.</w:t>
      </w:r>
      <w:r w:rsidR="00361E8C">
        <w:rPr>
          <w:rStyle w:val="FootnoteReference"/>
          <w:rFonts w:ascii="Arial" w:hAnsi="Arial" w:cs="Arial"/>
          <w:sz w:val="24"/>
          <w:szCs w:val="24"/>
          <w:lang w:val="en-US"/>
        </w:rPr>
        <w:footnoteReference w:id="18"/>
      </w:r>
      <w:r w:rsidR="00361E8C" w:rsidRPr="00FE6D3A">
        <w:rPr>
          <w:rFonts w:ascii="Arial" w:hAnsi="Arial" w:cs="Arial"/>
          <w:sz w:val="24"/>
          <w:szCs w:val="24"/>
          <w:lang w:val="en-US"/>
        </w:rPr>
        <w:t xml:space="preserve">  </w:t>
      </w:r>
      <w:r w:rsidR="00A87B05" w:rsidRPr="00FE6D3A">
        <w:rPr>
          <w:rFonts w:ascii="Arial" w:hAnsi="Arial" w:cs="Arial"/>
          <w:sz w:val="24"/>
          <w:szCs w:val="24"/>
          <w:lang w:val="en-US"/>
        </w:rPr>
        <w:t>I</w:t>
      </w:r>
      <w:r w:rsidR="00FE6D3A">
        <w:rPr>
          <w:rFonts w:ascii="Arial" w:hAnsi="Arial" w:cs="Arial"/>
          <w:sz w:val="24"/>
          <w:szCs w:val="24"/>
          <w:lang w:val="en-US"/>
        </w:rPr>
        <w:t>n regard to the above, I</w:t>
      </w:r>
      <w:r w:rsidR="00A87B05" w:rsidRPr="00FE6D3A">
        <w:rPr>
          <w:rFonts w:ascii="Arial" w:hAnsi="Arial" w:cs="Arial"/>
          <w:sz w:val="24"/>
          <w:szCs w:val="24"/>
          <w:lang w:val="en-US"/>
        </w:rPr>
        <w:t xml:space="preserve"> considered each of the alleged discrepancies drawn to the Court’s attention and the documents still said to be outstanding, and I am unpersuaded</w:t>
      </w:r>
      <w:r w:rsidR="00F608AB">
        <w:rPr>
          <w:rFonts w:ascii="Arial" w:hAnsi="Arial" w:cs="Arial"/>
          <w:sz w:val="24"/>
          <w:szCs w:val="24"/>
          <w:lang w:val="en-US"/>
        </w:rPr>
        <w:t xml:space="preserve"> </w:t>
      </w:r>
      <w:r w:rsidR="00585F01">
        <w:rPr>
          <w:rFonts w:ascii="Arial" w:hAnsi="Arial" w:cs="Arial"/>
          <w:sz w:val="24"/>
          <w:szCs w:val="24"/>
          <w:lang w:val="en-US"/>
        </w:rPr>
        <w:lastRenderedPageBreak/>
        <w:t>that BIG was</w:t>
      </w:r>
      <w:r w:rsidR="0078147F">
        <w:rPr>
          <w:rFonts w:ascii="Arial" w:hAnsi="Arial" w:cs="Arial"/>
          <w:sz w:val="24"/>
          <w:szCs w:val="24"/>
          <w:lang w:val="en-US"/>
        </w:rPr>
        <w:t xml:space="preserve"> prejudiced in its ability to deliver an answering affidavit, whether for purposes of i</w:t>
      </w:r>
      <w:r w:rsidR="00A87B05" w:rsidRPr="00FE6D3A">
        <w:rPr>
          <w:rFonts w:ascii="Arial" w:hAnsi="Arial" w:cs="Arial"/>
          <w:sz w:val="24"/>
          <w:szCs w:val="24"/>
          <w:lang w:val="en-US"/>
        </w:rPr>
        <w:t>nvoking Rule 6(5)(g)</w:t>
      </w:r>
      <w:r w:rsidR="0078147F">
        <w:rPr>
          <w:rFonts w:ascii="Arial" w:hAnsi="Arial" w:cs="Arial"/>
          <w:sz w:val="24"/>
          <w:szCs w:val="24"/>
          <w:lang w:val="en-US"/>
        </w:rPr>
        <w:t xml:space="preserve"> or otherwise</w:t>
      </w:r>
      <w:r w:rsidR="00A87B05" w:rsidRPr="00FE6D3A">
        <w:rPr>
          <w:rFonts w:ascii="Arial" w:hAnsi="Arial" w:cs="Arial"/>
          <w:sz w:val="24"/>
          <w:szCs w:val="24"/>
          <w:lang w:val="en-US"/>
        </w:rPr>
        <w:t xml:space="preserve">. </w:t>
      </w:r>
    </w:p>
    <w:p w14:paraId="35BC4F55" w14:textId="77777777" w:rsidR="00563197" w:rsidRDefault="00563197" w:rsidP="00563197">
      <w:pPr>
        <w:pStyle w:val="ListParagraph"/>
        <w:spacing w:line="480" w:lineRule="auto"/>
        <w:ind w:left="360"/>
        <w:jc w:val="both"/>
        <w:rPr>
          <w:rFonts w:ascii="Arial" w:hAnsi="Arial" w:cs="Arial"/>
          <w:sz w:val="24"/>
          <w:szCs w:val="24"/>
          <w:lang w:val="en-US"/>
        </w:rPr>
      </w:pPr>
    </w:p>
    <w:p w14:paraId="143C3A83" w14:textId="77777777" w:rsidR="0033747E" w:rsidRDefault="00563197" w:rsidP="00090107">
      <w:pPr>
        <w:pStyle w:val="ListParagraph"/>
        <w:numPr>
          <w:ilvl w:val="0"/>
          <w:numId w:val="1"/>
        </w:numPr>
        <w:spacing w:line="480" w:lineRule="auto"/>
        <w:jc w:val="both"/>
        <w:rPr>
          <w:rFonts w:ascii="Arial" w:hAnsi="Arial" w:cs="Arial"/>
          <w:sz w:val="24"/>
          <w:szCs w:val="24"/>
          <w:lang w:val="en-US"/>
        </w:rPr>
      </w:pPr>
      <w:r w:rsidRPr="005E1B3E">
        <w:rPr>
          <w:rFonts w:ascii="Arial" w:hAnsi="Arial" w:cs="Arial"/>
          <w:sz w:val="24"/>
          <w:szCs w:val="24"/>
          <w:lang w:val="en-US"/>
        </w:rPr>
        <w:t>The alleged discrepancies entail a</w:t>
      </w:r>
      <w:r w:rsidR="005E1B3E" w:rsidRPr="005E1B3E">
        <w:rPr>
          <w:rFonts w:ascii="Arial" w:hAnsi="Arial" w:cs="Arial"/>
          <w:sz w:val="24"/>
          <w:szCs w:val="24"/>
          <w:lang w:val="en-US"/>
        </w:rPr>
        <w:t xml:space="preserve"> comparison of </w:t>
      </w:r>
      <w:proofErr w:type="gramStart"/>
      <w:r w:rsidR="005E1B3E" w:rsidRPr="005E1B3E">
        <w:rPr>
          <w:rFonts w:ascii="Arial" w:hAnsi="Arial" w:cs="Arial"/>
          <w:sz w:val="24"/>
          <w:szCs w:val="24"/>
          <w:lang w:val="en-US"/>
        </w:rPr>
        <w:t>documents, but</w:t>
      </w:r>
      <w:proofErr w:type="gramEnd"/>
      <w:r w:rsidR="005E1B3E" w:rsidRPr="005E1B3E">
        <w:rPr>
          <w:rFonts w:ascii="Arial" w:hAnsi="Arial" w:cs="Arial"/>
          <w:sz w:val="24"/>
          <w:szCs w:val="24"/>
          <w:lang w:val="en-US"/>
        </w:rPr>
        <w:t xml:space="preserve"> raise</w:t>
      </w:r>
      <w:r w:rsidR="00A2156F">
        <w:rPr>
          <w:rFonts w:ascii="Arial" w:hAnsi="Arial" w:cs="Arial"/>
          <w:sz w:val="24"/>
          <w:szCs w:val="24"/>
          <w:lang w:val="en-US"/>
        </w:rPr>
        <w:t xml:space="preserve"> a series of</w:t>
      </w:r>
      <w:r w:rsidR="005E1B3E" w:rsidRPr="005E1B3E">
        <w:rPr>
          <w:rFonts w:ascii="Arial" w:hAnsi="Arial" w:cs="Arial"/>
          <w:sz w:val="24"/>
          <w:szCs w:val="24"/>
          <w:lang w:val="en-US"/>
        </w:rPr>
        <w:t xml:space="preserve"> issues</w:t>
      </w:r>
      <w:r w:rsidR="00B35C48">
        <w:rPr>
          <w:rFonts w:ascii="Arial" w:hAnsi="Arial" w:cs="Arial"/>
          <w:sz w:val="24"/>
          <w:szCs w:val="24"/>
          <w:lang w:val="en-US"/>
        </w:rPr>
        <w:t xml:space="preserve"> and I refer to some of them</w:t>
      </w:r>
      <w:r w:rsidR="00A2156F">
        <w:rPr>
          <w:rFonts w:ascii="Arial" w:hAnsi="Arial" w:cs="Arial"/>
          <w:sz w:val="24"/>
          <w:szCs w:val="24"/>
          <w:lang w:val="en-US"/>
        </w:rPr>
        <w:t xml:space="preserve">.  One is the </w:t>
      </w:r>
      <w:r w:rsidR="005E1B3E" w:rsidRPr="005E1B3E">
        <w:rPr>
          <w:rFonts w:ascii="Arial" w:hAnsi="Arial" w:cs="Arial"/>
          <w:sz w:val="24"/>
          <w:szCs w:val="24"/>
          <w:lang w:val="en-US"/>
        </w:rPr>
        <w:t xml:space="preserve">absence of initialization of the pages to the </w:t>
      </w:r>
      <w:r w:rsidR="00B35C48">
        <w:rPr>
          <w:rFonts w:ascii="Arial" w:hAnsi="Arial" w:cs="Arial"/>
          <w:sz w:val="24"/>
          <w:szCs w:val="24"/>
          <w:lang w:val="en-US"/>
        </w:rPr>
        <w:t xml:space="preserve">agreements relied upon. </w:t>
      </w:r>
      <w:r w:rsidR="00A2156F">
        <w:rPr>
          <w:rFonts w:ascii="Arial" w:hAnsi="Arial" w:cs="Arial"/>
          <w:sz w:val="24"/>
          <w:szCs w:val="24"/>
          <w:lang w:val="en-US"/>
        </w:rPr>
        <w:t>Another is</w:t>
      </w:r>
      <w:r w:rsidR="005E1B3E" w:rsidRPr="005E1B3E">
        <w:rPr>
          <w:rFonts w:ascii="Arial" w:hAnsi="Arial" w:cs="Arial"/>
          <w:sz w:val="24"/>
          <w:szCs w:val="24"/>
          <w:lang w:val="en-US"/>
        </w:rPr>
        <w:t xml:space="preserve"> the attachment of a different version of the Working Capital Facility Agreement in the winding-up application, on the one hand, and</w:t>
      </w:r>
      <w:r w:rsidR="00A2156F">
        <w:rPr>
          <w:rFonts w:ascii="Arial" w:hAnsi="Arial" w:cs="Arial"/>
          <w:sz w:val="24"/>
          <w:szCs w:val="24"/>
          <w:lang w:val="en-US"/>
        </w:rPr>
        <w:t xml:space="preserve"> the</w:t>
      </w:r>
      <w:r w:rsidR="005E1B3E" w:rsidRPr="005E1B3E">
        <w:rPr>
          <w:rFonts w:ascii="Arial" w:hAnsi="Arial" w:cs="Arial"/>
          <w:sz w:val="24"/>
          <w:szCs w:val="24"/>
          <w:lang w:val="en-US"/>
        </w:rPr>
        <w:t xml:space="preserve"> two sequestration applications </w:t>
      </w:r>
      <w:r w:rsidR="00A2156F">
        <w:rPr>
          <w:rFonts w:ascii="Arial" w:hAnsi="Arial" w:cs="Arial"/>
          <w:sz w:val="24"/>
          <w:szCs w:val="24"/>
          <w:lang w:val="en-US"/>
        </w:rPr>
        <w:t xml:space="preserve">on the other </w:t>
      </w:r>
      <w:r w:rsidR="005E1B3E" w:rsidRPr="005E1B3E">
        <w:rPr>
          <w:rFonts w:ascii="Arial" w:hAnsi="Arial" w:cs="Arial"/>
          <w:sz w:val="24"/>
          <w:szCs w:val="24"/>
          <w:lang w:val="en-US"/>
        </w:rPr>
        <w:t>(being the Rushil Singh sequestration application and the Singh / Killick sequestration application)</w:t>
      </w:r>
      <w:r w:rsidR="00A2156F">
        <w:rPr>
          <w:rFonts w:ascii="Arial" w:hAnsi="Arial" w:cs="Arial"/>
          <w:sz w:val="24"/>
          <w:szCs w:val="24"/>
          <w:lang w:val="en-US"/>
        </w:rPr>
        <w:t>, the primary import of which is that the copy attached to the sequestration applica</w:t>
      </w:r>
      <w:r w:rsidR="00EF2CCC">
        <w:rPr>
          <w:rFonts w:ascii="Arial" w:hAnsi="Arial" w:cs="Arial"/>
          <w:sz w:val="24"/>
          <w:szCs w:val="24"/>
          <w:lang w:val="en-US"/>
        </w:rPr>
        <w:t>tions</w:t>
      </w:r>
      <w:r w:rsidR="00A2156F">
        <w:rPr>
          <w:rFonts w:ascii="Arial" w:hAnsi="Arial" w:cs="Arial"/>
          <w:sz w:val="24"/>
          <w:szCs w:val="24"/>
          <w:lang w:val="en-US"/>
        </w:rPr>
        <w:t xml:space="preserve"> refers to an additional form of security being a GIC Security Agreement</w:t>
      </w:r>
      <w:r w:rsidR="005E1B3E" w:rsidRPr="005E1B3E">
        <w:rPr>
          <w:rFonts w:ascii="Arial" w:hAnsi="Arial" w:cs="Arial"/>
          <w:sz w:val="24"/>
          <w:szCs w:val="24"/>
          <w:lang w:val="en-US"/>
        </w:rPr>
        <w:t>.</w:t>
      </w:r>
      <w:r w:rsidR="00EF2CCC">
        <w:rPr>
          <w:rFonts w:ascii="Arial" w:hAnsi="Arial" w:cs="Arial"/>
          <w:sz w:val="24"/>
          <w:szCs w:val="24"/>
          <w:lang w:val="en-US"/>
        </w:rPr>
        <w:t xml:space="preserve">  Attention is drawn to the fact that the Working Capital Agreement is then longer than the other</w:t>
      </w:r>
      <w:r w:rsidR="00B35C48">
        <w:rPr>
          <w:rFonts w:ascii="Arial" w:hAnsi="Arial" w:cs="Arial"/>
          <w:sz w:val="24"/>
          <w:szCs w:val="24"/>
          <w:lang w:val="en-US"/>
        </w:rPr>
        <w:t xml:space="preserve"> by several lines</w:t>
      </w:r>
      <w:r w:rsidR="00EF2CCC">
        <w:rPr>
          <w:rFonts w:ascii="Arial" w:hAnsi="Arial" w:cs="Arial"/>
          <w:sz w:val="24"/>
          <w:szCs w:val="24"/>
          <w:lang w:val="en-US"/>
        </w:rPr>
        <w:t xml:space="preserve">, specifically on its page 70. </w:t>
      </w:r>
      <w:r w:rsidR="005E1B3E" w:rsidRPr="005E1B3E">
        <w:rPr>
          <w:rFonts w:ascii="Arial" w:hAnsi="Arial" w:cs="Arial"/>
          <w:sz w:val="24"/>
          <w:szCs w:val="24"/>
          <w:lang w:val="en-US"/>
        </w:rPr>
        <w:t xml:space="preserve"> </w:t>
      </w:r>
      <w:r w:rsidR="006672ED">
        <w:rPr>
          <w:rFonts w:ascii="Arial" w:hAnsi="Arial" w:cs="Arial"/>
          <w:sz w:val="24"/>
          <w:szCs w:val="24"/>
          <w:lang w:val="en-US"/>
        </w:rPr>
        <w:t>F</w:t>
      </w:r>
      <w:r w:rsidR="00EF2CCC">
        <w:rPr>
          <w:rFonts w:ascii="Arial" w:hAnsi="Arial" w:cs="Arial"/>
          <w:sz w:val="24"/>
          <w:szCs w:val="24"/>
          <w:lang w:val="en-US"/>
        </w:rPr>
        <w:t xml:space="preserve">urther </w:t>
      </w:r>
      <w:r w:rsidR="00B35C48">
        <w:rPr>
          <w:rFonts w:ascii="Arial" w:hAnsi="Arial" w:cs="Arial"/>
          <w:sz w:val="24"/>
          <w:szCs w:val="24"/>
          <w:lang w:val="en-US"/>
        </w:rPr>
        <w:t xml:space="preserve">alleged </w:t>
      </w:r>
      <w:r w:rsidR="006672ED">
        <w:rPr>
          <w:rFonts w:ascii="Arial" w:hAnsi="Arial" w:cs="Arial"/>
          <w:sz w:val="24"/>
          <w:szCs w:val="24"/>
          <w:lang w:val="en-US"/>
        </w:rPr>
        <w:t>discrepancies</w:t>
      </w:r>
      <w:r w:rsidR="00EF2CCC">
        <w:rPr>
          <w:rFonts w:ascii="Arial" w:hAnsi="Arial" w:cs="Arial"/>
          <w:sz w:val="24"/>
          <w:szCs w:val="24"/>
          <w:lang w:val="en-US"/>
        </w:rPr>
        <w:t xml:space="preserve"> </w:t>
      </w:r>
      <w:r w:rsidR="006672ED">
        <w:rPr>
          <w:rFonts w:ascii="Arial" w:hAnsi="Arial" w:cs="Arial"/>
          <w:sz w:val="24"/>
          <w:szCs w:val="24"/>
          <w:lang w:val="en-US"/>
        </w:rPr>
        <w:t xml:space="preserve">concern comparisons of certain documents attached to sequestration or liquidation applications and the original documents produced at the inspection in March 2023 and various comparisons of signatures of Singh and Rushil Singh.  BIG’s deponents infer from the alleged discrepancies that Investec has misrepresented the facts, </w:t>
      </w:r>
      <w:r w:rsidR="00280830">
        <w:rPr>
          <w:rFonts w:ascii="Arial" w:hAnsi="Arial" w:cs="Arial"/>
          <w:sz w:val="24"/>
          <w:szCs w:val="24"/>
          <w:lang w:val="en-US"/>
        </w:rPr>
        <w:t>tampered with</w:t>
      </w:r>
      <w:r w:rsidR="006672ED">
        <w:rPr>
          <w:rFonts w:ascii="Arial" w:hAnsi="Arial" w:cs="Arial"/>
          <w:sz w:val="24"/>
          <w:szCs w:val="24"/>
          <w:lang w:val="en-US"/>
        </w:rPr>
        <w:t xml:space="preserve"> documents and itself perpetrated a fraud.  But if consideration is given to each of the issues raised, the inferences sought to be drawn </w:t>
      </w:r>
      <w:r w:rsidR="00F608AB">
        <w:rPr>
          <w:rFonts w:ascii="Arial" w:hAnsi="Arial" w:cs="Arial"/>
          <w:sz w:val="24"/>
          <w:szCs w:val="24"/>
          <w:lang w:val="en-US"/>
        </w:rPr>
        <w:t>amount to speculation and</w:t>
      </w:r>
      <w:r w:rsidR="00FE7259">
        <w:rPr>
          <w:rFonts w:ascii="Arial" w:hAnsi="Arial" w:cs="Arial"/>
          <w:sz w:val="24"/>
          <w:szCs w:val="24"/>
          <w:lang w:val="en-US"/>
        </w:rPr>
        <w:t xml:space="preserve"> </w:t>
      </w:r>
      <w:r w:rsidR="006672ED">
        <w:rPr>
          <w:rFonts w:ascii="Arial" w:hAnsi="Arial" w:cs="Arial"/>
          <w:sz w:val="24"/>
          <w:szCs w:val="24"/>
          <w:lang w:val="en-US"/>
        </w:rPr>
        <w:t>are not justified</w:t>
      </w:r>
      <w:r w:rsidR="00F608AB">
        <w:rPr>
          <w:rFonts w:ascii="Arial" w:hAnsi="Arial" w:cs="Arial"/>
          <w:sz w:val="24"/>
          <w:szCs w:val="24"/>
          <w:lang w:val="en-US"/>
        </w:rPr>
        <w:t xml:space="preserve"> by the evidence.  Rather</w:t>
      </w:r>
      <w:r w:rsidR="006672ED">
        <w:rPr>
          <w:rFonts w:ascii="Arial" w:hAnsi="Arial" w:cs="Arial"/>
          <w:sz w:val="24"/>
          <w:szCs w:val="24"/>
          <w:lang w:val="en-US"/>
        </w:rPr>
        <w:t xml:space="preserve">, the issues raised are of a sort that one would expect can </w:t>
      </w:r>
      <w:r w:rsidR="00FE7259">
        <w:rPr>
          <w:rFonts w:ascii="Arial" w:hAnsi="Arial" w:cs="Arial"/>
          <w:sz w:val="24"/>
          <w:szCs w:val="24"/>
          <w:lang w:val="en-US"/>
        </w:rPr>
        <w:t xml:space="preserve">probably </w:t>
      </w:r>
      <w:r w:rsidR="006672ED">
        <w:rPr>
          <w:rFonts w:ascii="Arial" w:hAnsi="Arial" w:cs="Arial"/>
          <w:sz w:val="24"/>
          <w:szCs w:val="24"/>
          <w:lang w:val="en-US"/>
        </w:rPr>
        <w:t>readily be</w:t>
      </w:r>
      <w:r w:rsidR="00FE7259">
        <w:rPr>
          <w:rFonts w:ascii="Arial" w:hAnsi="Arial" w:cs="Arial"/>
          <w:sz w:val="24"/>
          <w:szCs w:val="24"/>
          <w:lang w:val="en-US"/>
        </w:rPr>
        <w:t xml:space="preserve"> innocently</w:t>
      </w:r>
      <w:r w:rsidR="006672ED">
        <w:rPr>
          <w:rFonts w:ascii="Arial" w:hAnsi="Arial" w:cs="Arial"/>
          <w:sz w:val="24"/>
          <w:szCs w:val="24"/>
          <w:lang w:val="en-US"/>
        </w:rPr>
        <w:t xml:space="preserve"> explained, </w:t>
      </w:r>
      <w:r w:rsidR="00280830">
        <w:rPr>
          <w:rFonts w:ascii="Arial" w:hAnsi="Arial" w:cs="Arial"/>
          <w:sz w:val="24"/>
          <w:szCs w:val="24"/>
          <w:lang w:val="en-US"/>
        </w:rPr>
        <w:t>not least if</w:t>
      </w:r>
      <w:r w:rsidR="006672ED">
        <w:rPr>
          <w:rFonts w:ascii="Arial" w:hAnsi="Arial" w:cs="Arial"/>
          <w:sz w:val="24"/>
          <w:szCs w:val="24"/>
          <w:lang w:val="en-US"/>
        </w:rPr>
        <w:t xml:space="preserve"> pertinently raised</w:t>
      </w:r>
      <w:r w:rsidR="00280830">
        <w:rPr>
          <w:rFonts w:ascii="Arial" w:hAnsi="Arial" w:cs="Arial"/>
          <w:sz w:val="24"/>
          <w:szCs w:val="24"/>
          <w:lang w:val="en-US"/>
        </w:rPr>
        <w:t xml:space="preserve"> in an answering affidavit</w:t>
      </w:r>
      <w:r w:rsidR="006672ED">
        <w:rPr>
          <w:rFonts w:ascii="Arial" w:hAnsi="Arial" w:cs="Arial"/>
          <w:sz w:val="24"/>
          <w:szCs w:val="24"/>
          <w:lang w:val="en-US"/>
        </w:rPr>
        <w:t>.</w:t>
      </w:r>
      <w:r w:rsidR="006672ED">
        <w:rPr>
          <w:rStyle w:val="FootnoteReference"/>
          <w:rFonts w:ascii="Arial" w:hAnsi="Arial" w:cs="Arial"/>
          <w:sz w:val="24"/>
          <w:szCs w:val="24"/>
          <w:lang w:val="en-US"/>
        </w:rPr>
        <w:footnoteReference w:id="19"/>
      </w:r>
      <w:r w:rsidR="006672ED">
        <w:rPr>
          <w:rFonts w:ascii="Arial" w:hAnsi="Arial" w:cs="Arial"/>
          <w:sz w:val="24"/>
          <w:szCs w:val="24"/>
          <w:lang w:val="en-US"/>
        </w:rPr>
        <w:t xml:space="preserve"> </w:t>
      </w:r>
    </w:p>
    <w:p w14:paraId="659D63C4" w14:textId="77777777" w:rsidR="00FE7259" w:rsidRPr="005E1B3E" w:rsidRDefault="00FE7259" w:rsidP="00FE7259">
      <w:pPr>
        <w:pStyle w:val="ListParagraph"/>
        <w:spacing w:line="480" w:lineRule="auto"/>
        <w:ind w:left="360"/>
        <w:jc w:val="both"/>
        <w:rPr>
          <w:rFonts w:ascii="Arial" w:hAnsi="Arial" w:cs="Arial"/>
          <w:sz w:val="24"/>
          <w:szCs w:val="24"/>
          <w:lang w:val="en-US"/>
        </w:rPr>
      </w:pPr>
    </w:p>
    <w:p w14:paraId="62094E89" w14:textId="31CE61F9" w:rsidR="00636D15" w:rsidRPr="00161CF9" w:rsidRDefault="00FE7259" w:rsidP="00161CF9">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This notwithstanding, </w:t>
      </w:r>
      <w:r w:rsidR="00636D15">
        <w:rPr>
          <w:rFonts w:ascii="Arial" w:hAnsi="Arial" w:cs="Arial"/>
          <w:sz w:val="24"/>
          <w:szCs w:val="24"/>
          <w:lang w:val="en-US"/>
        </w:rPr>
        <w:t>I</w:t>
      </w:r>
      <w:r>
        <w:rPr>
          <w:rFonts w:ascii="Arial" w:hAnsi="Arial" w:cs="Arial"/>
          <w:sz w:val="24"/>
          <w:szCs w:val="24"/>
          <w:lang w:val="en-US"/>
        </w:rPr>
        <w:t xml:space="preserve"> remain cognizant that </w:t>
      </w:r>
      <w:r w:rsidR="00636D15">
        <w:rPr>
          <w:rFonts w:ascii="Arial" w:hAnsi="Arial" w:cs="Arial"/>
          <w:sz w:val="24"/>
          <w:szCs w:val="24"/>
          <w:lang w:val="en-US"/>
        </w:rPr>
        <w:t>BIG has suggested that it is not Investec but BIG</w:t>
      </w:r>
      <w:r w:rsidR="00585F01">
        <w:rPr>
          <w:rFonts w:ascii="Arial" w:hAnsi="Arial" w:cs="Arial"/>
          <w:sz w:val="24"/>
          <w:szCs w:val="24"/>
          <w:lang w:val="en-US"/>
        </w:rPr>
        <w:t>, its directors and related companies that have</w:t>
      </w:r>
      <w:r w:rsidR="00636D15">
        <w:rPr>
          <w:rFonts w:ascii="Arial" w:hAnsi="Arial" w:cs="Arial"/>
          <w:sz w:val="24"/>
          <w:szCs w:val="24"/>
          <w:lang w:val="en-US"/>
        </w:rPr>
        <w:t xml:space="preserve"> been subjected to a fraud.  This Court i</w:t>
      </w:r>
      <w:r>
        <w:rPr>
          <w:rFonts w:ascii="Arial" w:hAnsi="Arial" w:cs="Arial"/>
          <w:sz w:val="24"/>
          <w:szCs w:val="24"/>
          <w:lang w:val="en-US"/>
        </w:rPr>
        <w:t xml:space="preserve">s in no position to determine precisely what fraudulent </w:t>
      </w:r>
      <w:r w:rsidR="00636D15">
        <w:rPr>
          <w:rFonts w:ascii="Arial" w:hAnsi="Arial" w:cs="Arial"/>
          <w:sz w:val="24"/>
          <w:szCs w:val="24"/>
          <w:lang w:val="en-US"/>
        </w:rPr>
        <w:t>conduct</w:t>
      </w:r>
      <w:r>
        <w:rPr>
          <w:rFonts w:ascii="Arial" w:hAnsi="Arial" w:cs="Arial"/>
          <w:sz w:val="24"/>
          <w:szCs w:val="24"/>
          <w:lang w:val="en-US"/>
        </w:rPr>
        <w:t xml:space="preserve"> has been committed</w:t>
      </w:r>
      <w:r w:rsidR="00636D15">
        <w:rPr>
          <w:rFonts w:ascii="Arial" w:hAnsi="Arial" w:cs="Arial"/>
          <w:sz w:val="24"/>
          <w:szCs w:val="24"/>
          <w:lang w:val="en-US"/>
        </w:rPr>
        <w:t xml:space="preserve"> and who is responsible</w:t>
      </w:r>
      <w:r w:rsidR="00161CF9">
        <w:rPr>
          <w:rFonts w:ascii="Arial" w:hAnsi="Arial" w:cs="Arial"/>
          <w:sz w:val="24"/>
          <w:szCs w:val="24"/>
          <w:lang w:val="en-US"/>
        </w:rPr>
        <w:t>. N</w:t>
      </w:r>
      <w:r w:rsidR="00636D15">
        <w:rPr>
          <w:rFonts w:ascii="Arial" w:hAnsi="Arial" w:cs="Arial"/>
          <w:sz w:val="24"/>
          <w:szCs w:val="24"/>
          <w:lang w:val="en-US"/>
        </w:rPr>
        <w:t xml:space="preserve">othing in this judgment should be construed as such.  BIG’s difficulty is </w:t>
      </w:r>
      <w:r w:rsidR="00161CF9">
        <w:rPr>
          <w:rFonts w:ascii="Arial" w:hAnsi="Arial" w:cs="Arial"/>
          <w:sz w:val="24"/>
          <w:szCs w:val="24"/>
          <w:lang w:val="en-US"/>
        </w:rPr>
        <w:t>that to the extent that the alleged fraud in respect of the Stanbic guarantees generate</w:t>
      </w:r>
      <w:r w:rsidR="00280830">
        <w:rPr>
          <w:rFonts w:ascii="Arial" w:hAnsi="Arial" w:cs="Arial"/>
          <w:sz w:val="24"/>
          <w:szCs w:val="24"/>
          <w:lang w:val="en-US"/>
        </w:rPr>
        <w:t>d and still generates</w:t>
      </w:r>
      <w:r w:rsidR="00161CF9">
        <w:rPr>
          <w:rFonts w:ascii="Arial" w:hAnsi="Arial" w:cs="Arial"/>
          <w:sz w:val="24"/>
          <w:szCs w:val="24"/>
          <w:lang w:val="en-US"/>
        </w:rPr>
        <w:t xml:space="preserve"> urgency, that urgency exists irrespect</w:t>
      </w:r>
      <w:r>
        <w:rPr>
          <w:rFonts w:ascii="Arial" w:hAnsi="Arial" w:cs="Arial"/>
          <w:sz w:val="24"/>
          <w:szCs w:val="24"/>
          <w:lang w:val="en-US"/>
        </w:rPr>
        <w:t>ive of who is responsible.  BIG’s</w:t>
      </w:r>
      <w:r w:rsidR="00161CF9">
        <w:rPr>
          <w:rFonts w:ascii="Arial" w:hAnsi="Arial" w:cs="Arial"/>
          <w:sz w:val="24"/>
          <w:szCs w:val="24"/>
          <w:lang w:val="en-US"/>
        </w:rPr>
        <w:t xml:space="preserve"> further difficult</w:t>
      </w:r>
      <w:r>
        <w:rPr>
          <w:rFonts w:ascii="Arial" w:hAnsi="Arial" w:cs="Arial"/>
          <w:sz w:val="24"/>
          <w:szCs w:val="24"/>
          <w:lang w:val="en-US"/>
        </w:rPr>
        <w:t>y</w:t>
      </w:r>
      <w:r w:rsidR="00161CF9">
        <w:rPr>
          <w:rFonts w:ascii="Arial" w:hAnsi="Arial" w:cs="Arial"/>
          <w:sz w:val="24"/>
          <w:szCs w:val="24"/>
          <w:lang w:val="en-US"/>
        </w:rPr>
        <w:t xml:space="preserve"> is that </w:t>
      </w:r>
      <w:r w:rsidR="00636D15" w:rsidRPr="00161CF9">
        <w:rPr>
          <w:rFonts w:ascii="Arial" w:hAnsi="Arial" w:cs="Arial"/>
          <w:sz w:val="24"/>
          <w:szCs w:val="24"/>
          <w:lang w:val="en-US"/>
        </w:rPr>
        <w:t xml:space="preserve">had it wished to mount </w:t>
      </w:r>
      <w:r w:rsidR="00161CF9">
        <w:rPr>
          <w:rFonts w:ascii="Arial" w:hAnsi="Arial" w:cs="Arial"/>
          <w:sz w:val="24"/>
          <w:szCs w:val="24"/>
          <w:lang w:val="en-US"/>
        </w:rPr>
        <w:t xml:space="preserve">a substantive </w:t>
      </w:r>
      <w:proofErr w:type="spellStart"/>
      <w:r w:rsidR="00636D15" w:rsidRPr="00161CF9">
        <w:rPr>
          <w:rFonts w:ascii="Arial" w:hAnsi="Arial" w:cs="Arial"/>
          <w:sz w:val="24"/>
          <w:szCs w:val="24"/>
          <w:lang w:val="en-US"/>
        </w:rPr>
        <w:t>defence</w:t>
      </w:r>
      <w:proofErr w:type="spellEnd"/>
      <w:r w:rsidR="00161CF9">
        <w:rPr>
          <w:rFonts w:ascii="Arial" w:hAnsi="Arial" w:cs="Arial"/>
          <w:sz w:val="24"/>
          <w:szCs w:val="24"/>
          <w:lang w:val="en-US"/>
        </w:rPr>
        <w:t xml:space="preserve"> </w:t>
      </w:r>
      <w:r w:rsidR="00585F01">
        <w:rPr>
          <w:rFonts w:ascii="Arial" w:hAnsi="Arial" w:cs="Arial"/>
          <w:sz w:val="24"/>
          <w:szCs w:val="24"/>
          <w:lang w:val="en-US"/>
        </w:rPr>
        <w:t xml:space="preserve">in respect of the alleged fraud, </w:t>
      </w:r>
      <w:r w:rsidR="00636D15" w:rsidRPr="00161CF9">
        <w:rPr>
          <w:rFonts w:ascii="Arial" w:hAnsi="Arial" w:cs="Arial"/>
          <w:sz w:val="24"/>
          <w:szCs w:val="24"/>
          <w:lang w:val="en-US"/>
        </w:rPr>
        <w:t>it was open for it</w:t>
      </w:r>
      <w:r w:rsidR="00161CF9">
        <w:rPr>
          <w:rFonts w:ascii="Arial" w:hAnsi="Arial" w:cs="Arial"/>
          <w:sz w:val="24"/>
          <w:szCs w:val="24"/>
          <w:lang w:val="en-US"/>
        </w:rPr>
        <w:t xml:space="preserve"> to raise it, </w:t>
      </w:r>
      <w:r w:rsidR="00636D15" w:rsidRPr="00161CF9">
        <w:rPr>
          <w:rFonts w:ascii="Arial" w:hAnsi="Arial" w:cs="Arial"/>
          <w:sz w:val="24"/>
          <w:szCs w:val="24"/>
          <w:lang w:val="en-US"/>
        </w:rPr>
        <w:t xml:space="preserve">and if need </w:t>
      </w:r>
      <w:proofErr w:type="gramStart"/>
      <w:r w:rsidR="00636D15" w:rsidRPr="00161CF9">
        <w:rPr>
          <w:rFonts w:ascii="Arial" w:hAnsi="Arial" w:cs="Arial"/>
          <w:sz w:val="24"/>
          <w:szCs w:val="24"/>
          <w:lang w:val="en-US"/>
        </w:rPr>
        <w:t>be</w:t>
      </w:r>
      <w:proofErr w:type="gramEnd"/>
      <w:r w:rsidR="00636D15" w:rsidRPr="00161CF9">
        <w:rPr>
          <w:rFonts w:ascii="Arial" w:hAnsi="Arial" w:cs="Arial"/>
          <w:sz w:val="24"/>
          <w:szCs w:val="24"/>
          <w:lang w:val="en-US"/>
        </w:rPr>
        <w:t xml:space="preserve"> refer that issue to oral evidence or trial, but it has pertinently not done so. At best, it has pointed to a series of alleged inconsistencies which might be</w:t>
      </w:r>
      <w:r w:rsidR="0078147F" w:rsidRPr="00161CF9">
        <w:rPr>
          <w:rFonts w:ascii="Arial" w:hAnsi="Arial" w:cs="Arial"/>
          <w:sz w:val="24"/>
          <w:szCs w:val="24"/>
          <w:lang w:val="en-US"/>
        </w:rPr>
        <w:t xml:space="preserve"> explained on a number of </w:t>
      </w:r>
      <w:proofErr w:type="gramStart"/>
      <w:r w:rsidR="0078147F" w:rsidRPr="00161CF9">
        <w:rPr>
          <w:rFonts w:ascii="Arial" w:hAnsi="Arial" w:cs="Arial"/>
          <w:sz w:val="24"/>
          <w:szCs w:val="24"/>
          <w:lang w:val="en-US"/>
        </w:rPr>
        <w:t>bases</w:t>
      </w:r>
      <w:proofErr w:type="gramEnd"/>
      <w:r w:rsidR="0078147F" w:rsidRPr="00161CF9">
        <w:rPr>
          <w:rFonts w:ascii="Arial" w:hAnsi="Arial" w:cs="Arial"/>
          <w:sz w:val="24"/>
          <w:szCs w:val="24"/>
          <w:lang w:val="en-US"/>
        </w:rPr>
        <w:t xml:space="preserve"> and which do not appear to undermine the basis</w:t>
      </w:r>
      <w:r w:rsidR="004868EA">
        <w:rPr>
          <w:rFonts w:ascii="Arial" w:hAnsi="Arial" w:cs="Arial"/>
          <w:sz w:val="24"/>
          <w:szCs w:val="24"/>
          <w:lang w:val="en-US"/>
        </w:rPr>
        <w:t xml:space="preserve"> of the liquidation application itself.</w:t>
      </w:r>
      <w:r w:rsidR="00636D15" w:rsidRPr="00161CF9">
        <w:rPr>
          <w:rFonts w:ascii="Arial" w:hAnsi="Arial" w:cs="Arial"/>
          <w:sz w:val="24"/>
          <w:szCs w:val="24"/>
          <w:lang w:val="en-US"/>
        </w:rPr>
        <w:t xml:space="preserve"> </w:t>
      </w:r>
      <w:r w:rsidR="00902660">
        <w:rPr>
          <w:rFonts w:ascii="Arial" w:hAnsi="Arial" w:cs="Arial"/>
          <w:sz w:val="24"/>
          <w:szCs w:val="24"/>
          <w:lang w:val="en-US"/>
        </w:rPr>
        <w:t xml:space="preserve"> </w:t>
      </w:r>
      <w:r w:rsidR="00636D15" w:rsidRPr="00161CF9">
        <w:rPr>
          <w:rFonts w:ascii="Arial" w:hAnsi="Arial" w:cs="Arial"/>
          <w:sz w:val="24"/>
          <w:szCs w:val="24"/>
          <w:lang w:val="en-US"/>
        </w:rPr>
        <w:t>Moreover, if fraud o</w:t>
      </w:r>
      <w:r w:rsidR="0078147F" w:rsidRPr="00161CF9">
        <w:rPr>
          <w:rFonts w:ascii="Arial" w:hAnsi="Arial" w:cs="Arial"/>
          <w:sz w:val="24"/>
          <w:szCs w:val="24"/>
          <w:lang w:val="en-US"/>
        </w:rPr>
        <w:t>n BIG</w:t>
      </w:r>
      <w:r w:rsidR="00636D15" w:rsidRPr="00161CF9">
        <w:rPr>
          <w:rFonts w:ascii="Arial" w:hAnsi="Arial" w:cs="Arial"/>
          <w:sz w:val="24"/>
          <w:szCs w:val="24"/>
          <w:lang w:val="en-US"/>
        </w:rPr>
        <w:t xml:space="preserve"> manifests</w:t>
      </w:r>
      <w:r>
        <w:rPr>
          <w:rFonts w:ascii="Arial" w:hAnsi="Arial" w:cs="Arial"/>
          <w:sz w:val="24"/>
          <w:szCs w:val="24"/>
          <w:lang w:val="en-US"/>
        </w:rPr>
        <w:t xml:space="preserve"> in due course</w:t>
      </w:r>
      <w:r w:rsidR="00636D15" w:rsidRPr="00161CF9">
        <w:rPr>
          <w:rFonts w:ascii="Arial" w:hAnsi="Arial" w:cs="Arial"/>
          <w:sz w:val="24"/>
          <w:szCs w:val="24"/>
          <w:lang w:val="en-US"/>
        </w:rPr>
        <w:t xml:space="preserve">, then BIG has its remedies. </w:t>
      </w:r>
      <w:r w:rsidR="00161CF9" w:rsidRPr="00161CF9">
        <w:rPr>
          <w:rFonts w:ascii="Arial" w:hAnsi="Arial" w:cs="Arial"/>
          <w:sz w:val="24"/>
          <w:szCs w:val="24"/>
          <w:lang w:val="en-US"/>
        </w:rPr>
        <w:t xml:space="preserve"> </w:t>
      </w:r>
    </w:p>
    <w:p w14:paraId="1A16D309" w14:textId="77777777" w:rsidR="00F40F20" w:rsidRDefault="00F40F20" w:rsidP="00F40F20">
      <w:pPr>
        <w:pStyle w:val="ListParagraph"/>
        <w:spacing w:line="480" w:lineRule="auto"/>
        <w:ind w:left="360"/>
        <w:jc w:val="both"/>
        <w:rPr>
          <w:rFonts w:ascii="Arial" w:hAnsi="Arial" w:cs="Arial"/>
          <w:sz w:val="24"/>
          <w:szCs w:val="24"/>
          <w:lang w:val="en-US"/>
        </w:rPr>
      </w:pPr>
    </w:p>
    <w:p w14:paraId="78AABE02" w14:textId="77777777" w:rsidR="001F31EB" w:rsidRDefault="0033747E" w:rsidP="00F40F20">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I ultimately formed </w:t>
      </w:r>
      <w:r w:rsidR="00636D15">
        <w:rPr>
          <w:rFonts w:ascii="Arial" w:hAnsi="Arial" w:cs="Arial"/>
          <w:sz w:val="24"/>
          <w:szCs w:val="24"/>
          <w:lang w:val="en-US"/>
        </w:rPr>
        <w:t>the</w:t>
      </w:r>
      <w:r>
        <w:rPr>
          <w:rFonts w:ascii="Arial" w:hAnsi="Arial" w:cs="Arial"/>
          <w:sz w:val="24"/>
          <w:szCs w:val="24"/>
          <w:lang w:val="en-US"/>
        </w:rPr>
        <w:t xml:space="preserve"> view that the</w:t>
      </w:r>
      <w:r w:rsidR="00F40F20">
        <w:rPr>
          <w:rFonts w:ascii="Arial" w:hAnsi="Arial" w:cs="Arial"/>
          <w:sz w:val="24"/>
          <w:szCs w:val="24"/>
          <w:lang w:val="en-US"/>
        </w:rPr>
        <w:t xml:space="preserve"> interests of justice militate</w:t>
      </w:r>
      <w:r w:rsidR="00636D15">
        <w:rPr>
          <w:rFonts w:ascii="Arial" w:hAnsi="Arial" w:cs="Arial"/>
          <w:sz w:val="24"/>
          <w:szCs w:val="24"/>
          <w:lang w:val="en-US"/>
        </w:rPr>
        <w:t>d</w:t>
      </w:r>
      <w:r w:rsidR="00F40F20">
        <w:rPr>
          <w:rFonts w:ascii="Arial" w:hAnsi="Arial" w:cs="Arial"/>
          <w:sz w:val="24"/>
          <w:szCs w:val="24"/>
          <w:lang w:val="en-US"/>
        </w:rPr>
        <w:t xml:space="preserve"> against the grant of any relief </w:t>
      </w:r>
      <w:r w:rsidR="00636D15">
        <w:rPr>
          <w:rFonts w:ascii="Arial" w:hAnsi="Arial" w:cs="Arial"/>
          <w:sz w:val="24"/>
          <w:szCs w:val="24"/>
          <w:lang w:val="en-US"/>
        </w:rPr>
        <w:t xml:space="preserve">sought in the </w:t>
      </w:r>
      <w:proofErr w:type="gramStart"/>
      <w:r w:rsidR="00636D15">
        <w:rPr>
          <w:rFonts w:ascii="Arial" w:hAnsi="Arial" w:cs="Arial"/>
          <w:sz w:val="24"/>
          <w:szCs w:val="24"/>
          <w:lang w:val="en-US"/>
        </w:rPr>
        <w:t>counter-application</w:t>
      </w:r>
      <w:r w:rsidR="00280830">
        <w:rPr>
          <w:rFonts w:ascii="Arial" w:hAnsi="Arial" w:cs="Arial"/>
          <w:sz w:val="24"/>
          <w:szCs w:val="24"/>
          <w:lang w:val="en-US"/>
        </w:rPr>
        <w:t>s</w:t>
      </w:r>
      <w:proofErr w:type="gramEnd"/>
      <w:r w:rsidR="004868EA">
        <w:rPr>
          <w:rFonts w:ascii="Arial" w:hAnsi="Arial" w:cs="Arial"/>
          <w:sz w:val="24"/>
          <w:szCs w:val="24"/>
          <w:lang w:val="en-US"/>
        </w:rPr>
        <w:t xml:space="preserve">.  The failure to mount any </w:t>
      </w:r>
      <w:proofErr w:type="spellStart"/>
      <w:r w:rsidR="004868EA">
        <w:rPr>
          <w:rFonts w:ascii="Arial" w:hAnsi="Arial" w:cs="Arial"/>
          <w:sz w:val="24"/>
          <w:szCs w:val="24"/>
          <w:lang w:val="en-US"/>
        </w:rPr>
        <w:t>defence</w:t>
      </w:r>
      <w:proofErr w:type="spellEnd"/>
      <w:r w:rsidR="004868EA">
        <w:rPr>
          <w:rFonts w:ascii="Arial" w:hAnsi="Arial" w:cs="Arial"/>
          <w:sz w:val="24"/>
          <w:szCs w:val="24"/>
          <w:lang w:val="en-US"/>
        </w:rPr>
        <w:t xml:space="preserve"> to the application at this stage lies at BIG’s </w:t>
      </w:r>
      <w:r w:rsidR="00280830">
        <w:rPr>
          <w:rFonts w:ascii="Arial" w:hAnsi="Arial" w:cs="Arial"/>
          <w:sz w:val="24"/>
          <w:szCs w:val="24"/>
          <w:lang w:val="en-US"/>
        </w:rPr>
        <w:t xml:space="preserve">(and Singh’s) </w:t>
      </w:r>
      <w:r w:rsidR="004868EA">
        <w:rPr>
          <w:rFonts w:ascii="Arial" w:hAnsi="Arial" w:cs="Arial"/>
          <w:sz w:val="24"/>
          <w:szCs w:val="24"/>
          <w:lang w:val="en-US"/>
        </w:rPr>
        <w:t xml:space="preserve">door and viewed in context, the </w:t>
      </w:r>
      <w:proofErr w:type="gramStart"/>
      <w:r w:rsidR="004868EA">
        <w:rPr>
          <w:rFonts w:ascii="Arial" w:hAnsi="Arial" w:cs="Arial"/>
          <w:sz w:val="24"/>
          <w:szCs w:val="24"/>
          <w:lang w:val="en-US"/>
        </w:rPr>
        <w:t>counter-application</w:t>
      </w:r>
      <w:proofErr w:type="gramEnd"/>
      <w:r w:rsidR="004868EA">
        <w:rPr>
          <w:rFonts w:ascii="Arial" w:hAnsi="Arial" w:cs="Arial"/>
          <w:sz w:val="24"/>
          <w:szCs w:val="24"/>
          <w:lang w:val="en-US"/>
        </w:rPr>
        <w:t xml:space="preserve"> is no more than a </w:t>
      </w:r>
      <w:r>
        <w:rPr>
          <w:rFonts w:ascii="Arial" w:hAnsi="Arial" w:cs="Arial"/>
          <w:sz w:val="24"/>
          <w:szCs w:val="24"/>
          <w:lang w:val="en-US"/>
        </w:rPr>
        <w:t xml:space="preserve">delay </w:t>
      </w:r>
      <w:r w:rsidR="00280830">
        <w:rPr>
          <w:rFonts w:ascii="Arial" w:hAnsi="Arial" w:cs="Arial"/>
          <w:sz w:val="24"/>
          <w:szCs w:val="24"/>
          <w:lang w:val="en-US"/>
        </w:rPr>
        <w:t>tactic</w:t>
      </w:r>
      <w:r>
        <w:rPr>
          <w:rFonts w:ascii="Arial" w:hAnsi="Arial" w:cs="Arial"/>
          <w:sz w:val="24"/>
          <w:szCs w:val="24"/>
          <w:lang w:val="en-US"/>
        </w:rPr>
        <w:t xml:space="preserve"> adopted at the eleventh hour.  </w:t>
      </w:r>
      <w:r w:rsidR="001F31EB" w:rsidRPr="00F40F20">
        <w:rPr>
          <w:rFonts w:ascii="Arial" w:hAnsi="Arial" w:cs="Arial"/>
          <w:sz w:val="24"/>
          <w:szCs w:val="24"/>
          <w:lang w:val="en-US"/>
        </w:rPr>
        <w:t>As to costs, I ordered costs on an attorney and client scale</w:t>
      </w:r>
      <w:r w:rsidR="004868EA">
        <w:rPr>
          <w:rFonts w:ascii="Arial" w:hAnsi="Arial" w:cs="Arial"/>
          <w:sz w:val="24"/>
          <w:szCs w:val="24"/>
          <w:lang w:val="en-US"/>
        </w:rPr>
        <w:t>.  N</w:t>
      </w:r>
      <w:r>
        <w:rPr>
          <w:rFonts w:ascii="Arial" w:hAnsi="Arial" w:cs="Arial"/>
          <w:sz w:val="24"/>
          <w:szCs w:val="24"/>
          <w:lang w:val="en-US"/>
        </w:rPr>
        <w:t xml:space="preserve">ot only was the application </w:t>
      </w:r>
      <w:r w:rsidR="00636D15">
        <w:rPr>
          <w:rFonts w:ascii="Arial" w:hAnsi="Arial" w:cs="Arial"/>
          <w:sz w:val="24"/>
          <w:szCs w:val="24"/>
          <w:lang w:val="en-US"/>
        </w:rPr>
        <w:t>unsubstantiated</w:t>
      </w:r>
      <w:r>
        <w:rPr>
          <w:rFonts w:ascii="Arial" w:hAnsi="Arial" w:cs="Arial"/>
          <w:sz w:val="24"/>
          <w:szCs w:val="24"/>
          <w:lang w:val="en-US"/>
        </w:rPr>
        <w:t xml:space="preserve"> (however framed</w:t>
      </w:r>
      <w:proofErr w:type="gramStart"/>
      <w:r>
        <w:rPr>
          <w:rFonts w:ascii="Arial" w:hAnsi="Arial" w:cs="Arial"/>
          <w:sz w:val="24"/>
          <w:szCs w:val="24"/>
          <w:lang w:val="en-US"/>
        </w:rPr>
        <w:t>)</w:t>
      </w:r>
      <w:r w:rsidR="001F31EB" w:rsidRPr="00F40F20">
        <w:rPr>
          <w:rFonts w:ascii="Arial" w:hAnsi="Arial" w:cs="Arial"/>
          <w:sz w:val="24"/>
          <w:szCs w:val="24"/>
          <w:lang w:val="en-US"/>
        </w:rPr>
        <w:t>, but</w:t>
      </w:r>
      <w:proofErr w:type="gramEnd"/>
      <w:r w:rsidR="001F31EB" w:rsidRPr="00F40F20">
        <w:rPr>
          <w:rFonts w:ascii="Arial" w:hAnsi="Arial" w:cs="Arial"/>
          <w:sz w:val="24"/>
          <w:szCs w:val="24"/>
          <w:lang w:val="en-US"/>
        </w:rPr>
        <w:t xml:space="preserve"> amounted to a </w:t>
      </w:r>
      <w:r w:rsidR="00F40F20" w:rsidRPr="00F40F20">
        <w:rPr>
          <w:rFonts w:ascii="Arial" w:hAnsi="Arial" w:cs="Arial"/>
          <w:sz w:val="24"/>
          <w:szCs w:val="24"/>
          <w:lang w:val="en-US"/>
        </w:rPr>
        <w:t>misuse of process</w:t>
      </w:r>
      <w:r w:rsidR="004868EA">
        <w:rPr>
          <w:rFonts w:ascii="Arial" w:hAnsi="Arial" w:cs="Arial"/>
          <w:sz w:val="24"/>
          <w:szCs w:val="24"/>
          <w:lang w:val="en-US"/>
        </w:rPr>
        <w:t xml:space="preserve"> that warrants </w:t>
      </w:r>
      <w:r w:rsidR="001F31EB" w:rsidRPr="00F40F20">
        <w:rPr>
          <w:rFonts w:ascii="Arial" w:hAnsi="Arial" w:cs="Arial"/>
          <w:sz w:val="24"/>
          <w:szCs w:val="24"/>
          <w:lang w:val="en-US"/>
        </w:rPr>
        <w:t>the rebuke of this Court.</w:t>
      </w:r>
      <w:r w:rsidR="001F31EB">
        <w:rPr>
          <w:rStyle w:val="FootnoteReference"/>
          <w:rFonts w:ascii="Arial" w:hAnsi="Arial" w:cs="Arial"/>
          <w:sz w:val="24"/>
          <w:szCs w:val="24"/>
          <w:lang w:val="en-US"/>
        </w:rPr>
        <w:footnoteReference w:id="20"/>
      </w:r>
      <w:r w:rsidR="001F31EB" w:rsidRPr="00F40F20">
        <w:rPr>
          <w:rFonts w:ascii="Arial" w:hAnsi="Arial" w:cs="Arial"/>
          <w:sz w:val="24"/>
          <w:szCs w:val="24"/>
          <w:lang w:val="en-US"/>
        </w:rPr>
        <w:t xml:space="preserve">  </w:t>
      </w:r>
    </w:p>
    <w:p w14:paraId="49484657" w14:textId="77777777" w:rsidR="00636D15" w:rsidRDefault="00636D15" w:rsidP="00636D15">
      <w:pPr>
        <w:rPr>
          <w:rFonts w:ascii="Arial" w:hAnsi="Arial" w:cs="Arial"/>
          <w:sz w:val="24"/>
          <w:szCs w:val="24"/>
          <w:lang w:val="en-US"/>
        </w:rPr>
      </w:pPr>
    </w:p>
    <w:p w14:paraId="74BF5BEE" w14:textId="77777777" w:rsidR="00636D15" w:rsidRDefault="00636D15" w:rsidP="00636D15">
      <w:pPr>
        <w:rPr>
          <w:rFonts w:ascii="Arial" w:hAnsi="Arial" w:cs="Arial"/>
          <w:b/>
          <w:sz w:val="24"/>
          <w:szCs w:val="24"/>
          <w:lang w:val="en-US"/>
        </w:rPr>
      </w:pPr>
      <w:r w:rsidRPr="00636D15">
        <w:rPr>
          <w:rFonts w:ascii="Arial" w:hAnsi="Arial" w:cs="Arial"/>
          <w:b/>
          <w:sz w:val="24"/>
          <w:szCs w:val="24"/>
          <w:lang w:val="en-US"/>
        </w:rPr>
        <w:lastRenderedPageBreak/>
        <w:t>The</w:t>
      </w:r>
      <w:r w:rsidR="00CB3EE2">
        <w:rPr>
          <w:rFonts w:ascii="Arial" w:hAnsi="Arial" w:cs="Arial"/>
          <w:b/>
          <w:sz w:val="24"/>
          <w:szCs w:val="24"/>
          <w:lang w:val="en-US"/>
        </w:rPr>
        <w:t xml:space="preserve"> winding-up</w:t>
      </w:r>
      <w:r w:rsidRPr="00636D15">
        <w:rPr>
          <w:rFonts w:ascii="Arial" w:hAnsi="Arial" w:cs="Arial"/>
          <w:b/>
          <w:sz w:val="24"/>
          <w:szCs w:val="24"/>
          <w:lang w:val="en-US"/>
        </w:rPr>
        <w:t xml:space="preserve"> application</w:t>
      </w:r>
    </w:p>
    <w:p w14:paraId="6C36C1FA" w14:textId="77777777" w:rsidR="0033747E" w:rsidRPr="00636D15" w:rsidRDefault="0033747E" w:rsidP="00636D15">
      <w:pPr>
        <w:rPr>
          <w:rFonts w:ascii="Arial" w:hAnsi="Arial" w:cs="Arial"/>
          <w:b/>
          <w:sz w:val="24"/>
          <w:szCs w:val="24"/>
          <w:lang w:val="en-US"/>
        </w:rPr>
      </w:pPr>
    </w:p>
    <w:p w14:paraId="0BBC923A" w14:textId="77777777" w:rsidR="00636D15" w:rsidRPr="00E850CC" w:rsidRDefault="00636D15" w:rsidP="00E850C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On 18 October 2023, I heard </w:t>
      </w:r>
      <w:proofErr w:type="gramStart"/>
      <w:r>
        <w:rPr>
          <w:rFonts w:ascii="Arial" w:hAnsi="Arial" w:cs="Arial"/>
          <w:sz w:val="24"/>
          <w:szCs w:val="24"/>
          <w:lang w:val="en-US"/>
        </w:rPr>
        <w:t>argument</w:t>
      </w:r>
      <w:proofErr w:type="gramEnd"/>
      <w:r>
        <w:rPr>
          <w:rFonts w:ascii="Arial" w:hAnsi="Arial" w:cs="Arial"/>
          <w:sz w:val="24"/>
          <w:szCs w:val="24"/>
          <w:lang w:val="en-US"/>
        </w:rPr>
        <w:t xml:space="preserve"> in the liquidation application and Investec’s counsel moved for a final order.</w:t>
      </w:r>
      <w:r w:rsidR="00C704A9">
        <w:rPr>
          <w:rFonts w:ascii="Arial" w:hAnsi="Arial" w:cs="Arial"/>
          <w:sz w:val="24"/>
          <w:szCs w:val="24"/>
          <w:lang w:val="en-US"/>
        </w:rPr>
        <w:t xml:space="preserve">  In doing so, the Court was reminded that while the test for a final winding-up order is different to that of a provisional winding-up order, there is limited scope for finding that a debt is </w:t>
      </w:r>
      <w:r w:rsidR="00C704A9">
        <w:rPr>
          <w:rFonts w:ascii="Arial" w:hAnsi="Arial" w:cs="Arial"/>
          <w:i/>
          <w:sz w:val="24"/>
          <w:szCs w:val="24"/>
          <w:lang w:val="en-US"/>
        </w:rPr>
        <w:t xml:space="preserve">bona fide </w:t>
      </w:r>
      <w:r w:rsidR="00C704A9">
        <w:rPr>
          <w:rFonts w:ascii="Arial" w:hAnsi="Arial" w:cs="Arial"/>
          <w:sz w:val="24"/>
          <w:szCs w:val="24"/>
          <w:lang w:val="en-US"/>
        </w:rPr>
        <w:t>disputed where there is no genuine factual dispute regarding the existence of the applicant’s claim.</w:t>
      </w:r>
      <w:r w:rsidR="00C704A9">
        <w:rPr>
          <w:rStyle w:val="FootnoteReference"/>
          <w:rFonts w:ascii="Arial" w:hAnsi="Arial" w:cs="Arial"/>
          <w:sz w:val="24"/>
          <w:szCs w:val="24"/>
          <w:lang w:val="en-US"/>
        </w:rPr>
        <w:footnoteReference w:id="21"/>
      </w:r>
      <w:r>
        <w:rPr>
          <w:rFonts w:ascii="Arial" w:hAnsi="Arial" w:cs="Arial"/>
          <w:sz w:val="24"/>
          <w:szCs w:val="24"/>
          <w:lang w:val="en-US"/>
        </w:rPr>
        <w:t xml:space="preserve">  </w:t>
      </w:r>
      <w:r w:rsidR="00E850CC">
        <w:rPr>
          <w:rFonts w:ascii="Arial" w:hAnsi="Arial" w:cs="Arial"/>
          <w:sz w:val="24"/>
          <w:szCs w:val="24"/>
          <w:lang w:val="en-US"/>
        </w:rPr>
        <w:t>Moreover, the scope of the Court’s discretion to refuse a winding-up order</w:t>
      </w:r>
      <w:r w:rsidR="0011163A">
        <w:rPr>
          <w:rFonts w:ascii="Arial" w:hAnsi="Arial" w:cs="Arial"/>
          <w:sz w:val="24"/>
          <w:szCs w:val="24"/>
          <w:lang w:val="en-US"/>
        </w:rPr>
        <w:t xml:space="preserve"> in these circumstances</w:t>
      </w:r>
      <w:r w:rsidR="00E850CC">
        <w:rPr>
          <w:rFonts w:ascii="Arial" w:hAnsi="Arial" w:cs="Arial"/>
          <w:sz w:val="24"/>
          <w:szCs w:val="24"/>
          <w:lang w:val="en-US"/>
        </w:rPr>
        <w:t xml:space="preserve"> is a narrow on</w:t>
      </w:r>
      <w:r w:rsidR="0011163A">
        <w:rPr>
          <w:rFonts w:ascii="Arial" w:hAnsi="Arial" w:cs="Arial"/>
          <w:sz w:val="24"/>
          <w:szCs w:val="24"/>
          <w:lang w:val="en-US"/>
        </w:rPr>
        <w:t>e</w:t>
      </w:r>
      <w:r w:rsidR="00E850CC">
        <w:rPr>
          <w:rFonts w:ascii="Arial" w:hAnsi="Arial" w:cs="Arial"/>
          <w:sz w:val="24"/>
          <w:szCs w:val="24"/>
          <w:lang w:val="en-US"/>
        </w:rPr>
        <w:t>.</w:t>
      </w:r>
      <w:r w:rsidR="00E850CC">
        <w:rPr>
          <w:rStyle w:val="FootnoteReference"/>
          <w:rFonts w:ascii="Arial" w:hAnsi="Arial" w:cs="Arial"/>
          <w:sz w:val="24"/>
          <w:szCs w:val="24"/>
          <w:lang w:val="en-US"/>
        </w:rPr>
        <w:footnoteReference w:id="22"/>
      </w:r>
    </w:p>
    <w:p w14:paraId="5C427F07" w14:textId="77777777" w:rsidR="00636D15" w:rsidRDefault="00636D15" w:rsidP="00636D15">
      <w:pPr>
        <w:pStyle w:val="ListParagraph"/>
        <w:spacing w:line="480" w:lineRule="auto"/>
        <w:ind w:left="360"/>
        <w:jc w:val="both"/>
        <w:rPr>
          <w:rFonts w:ascii="Arial" w:hAnsi="Arial" w:cs="Arial"/>
          <w:sz w:val="24"/>
          <w:szCs w:val="24"/>
          <w:lang w:val="en-US"/>
        </w:rPr>
      </w:pPr>
    </w:p>
    <w:p w14:paraId="7E102613" w14:textId="77777777" w:rsidR="00754C83" w:rsidRDefault="00B73C41" w:rsidP="007B0E5D">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Mr Smit submitted that a case had been made out in the founding affidavit, which is unanswered.</w:t>
      </w:r>
      <w:r w:rsidR="00754C83">
        <w:rPr>
          <w:rFonts w:ascii="Arial" w:hAnsi="Arial" w:cs="Arial"/>
          <w:sz w:val="24"/>
          <w:szCs w:val="24"/>
          <w:lang w:val="en-US"/>
        </w:rPr>
        <w:t xml:space="preserve"> </w:t>
      </w:r>
      <w:r w:rsidR="0033747E">
        <w:rPr>
          <w:rFonts w:ascii="Arial" w:hAnsi="Arial" w:cs="Arial"/>
          <w:sz w:val="24"/>
          <w:szCs w:val="24"/>
          <w:lang w:val="en-US"/>
        </w:rPr>
        <w:t>I agree.</w:t>
      </w:r>
      <w:r w:rsidR="00754C83">
        <w:rPr>
          <w:rFonts w:ascii="Arial" w:hAnsi="Arial" w:cs="Arial"/>
          <w:sz w:val="24"/>
          <w:szCs w:val="24"/>
          <w:lang w:val="en-US"/>
        </w:rPr>
        <w:t xml:space="preserve"> In brief, Investec has established that BIG is unable to pay its debts</w:t>
      </w:r>
      <w:r w:rsidR="0033747E">
        <w:rPr>
          <w:rFonts w:ascii="Arial" w:hAnsi="Arial" w:cs="Arial"/>
          <w:sz w:val="24"/>
          <w:szCs w:val="24"/>
          <w:lang w:val="en-US"/>
        </w:rPr>
        <w:t xml:space="preserve"> as contemplated by </w:t>
      </w:r>
      <w:r w:rsidR="00161CF9">
        <w:rPr>
          <w:rFonts w:ascii="Arial" w:hAnsi="Arial" w:cs="Arial"/>
          <w:sz w:val="24"/>
          <w:szCs w:val="24"/>
          <w:lang w:val="en-US"/>
        </w:rPr>
        <w:t xml:space="preserve">section 344(4) read with section 345(c) of the Companies Act as read with item 9 of Schedule 5 of the 2008 Companies Act. </w:t>
      </w:r>
      <w:r w:rsidR="00CB3EE2">
        <w:rPr>
          <w:rFonts w:ascii="Arial" w:hAnsi="Arial" w:cs="Arial"/>
          <w:sz w:val="24"/>
          <w:szCs w:val="24"/>
          <w:lang w:val="en-US"/>
        </w:rPr>
        <w:t xml:space="preserve"> </w:t>
      </w:r>
      <w:r w:rsidR="007B0E5D">
        <w:rPr>
          <w:rFonts w:ascii="Arial" w:hAnsi="Arial" w:cs="Arial"/>
          <w:sz w:val="24"/>
          <w:szCs w:val="24"/>
          <w:lang w:val="en-US"/>
        </w:rPr>
        <w:t>I</w:t>
      </w:r>
      <w:r w:rsidR="00280830">
        <w:rPr>
          <w:rFonts w:ascii="Arial" w:hAnsi="Arial" w:cs="Arial"/>
          <w:sz w:val="24"/>
          <w:szCs w:val="24"/>
          <w:lang w:val="en-US"/>
        </w:rPr>
        <w:t>n this regard, I</w:t>
      </w:r>
      <w:r w:rsidR="007B0E5D">
        <w:rPr>
          <w:rFonts w:ascii="Arial" w:hAnsi="Arial" w:cs="Arial"/>
          <w:sz w:val="24"/>
          <w:szCs w:val="24"/>
          <w:lang w:val="en-US"/>
        </w:rPr>
        <w:t xml:space="preserve"> am satisfied that BIG is unable to pay its debts in circumstances where </w:t>
      </w:r>
      <w:r w:rsidR="00280830">
        <w:rPr>
          <w:rFonts w:ascii="Arial" w:hAnsi="Arial" w:cs="Arial"/>
          <w:sz w:val="24"/>
          <w:szCs w:val="24"/>
          <w:lang w:val="en-US"/>
        </w:rPr>
        <w:t>Investec has</w:t>
      </w:r>
      <w:r w:rsidR="00E850CC">
        <w:rPr>
          <w:rFonts w:ascii="Arial" w:hAnsi="Arial" w:cs="Arial"/>
          <w:sz w:val="24"/>
          <w:szCs w:val="24"/>
          <w:lang w:val="en-US"/>
        </w:rPr>
        <w:t xml:space="preserve"> established that BIG has failed, despite demand, to pay the loan and amounts outstanding due and owing to Investec in terms of the Working Capital Facility Agreement (and its Addendum) or to pay the instalment due and owing to Investec in terms of the </w:t>
      </w:r>
      <w:r w:rsidR="007B0E5D">
        <w:rPr>
          <w:rFonts w:ascii="Arial" w:hAnsi="Arial" w:cs="Arial"/>
          <w:sz w:val="24"/>
          <w:szCs w:val="24"/>
          <w:lang w:val="en-US"/>
        </w:rPr>
        <w:t>Term Loan Agreement</w:t>
      </w:r>
      <w:r w:rsidR="00E850CC">
        <w:rPr>
          <w:rFonts w:ascii="Arial" w:hAnsi="Arial" w:cs="Arial"/>
          <w:sz w:val="24"/>
          <w:szCs w:val="24"/>
          <w:lang w:val="en-US"/>
        </w:rPr>
        <w:t xml:space="preserve">.   It has now failed to pay what is </w:t>
      </w:r>
      <w:proofErr w:type="gramStart"/>
      <w:r w:rsidR="00E850CC">
        <w:rPr>
          <w:rFonts w:ascii="Arial" w:hAnsi="Arial" w:cs="Arial"/>
          <w:sz w:val="24"/>
          <w:szCs w:val="24"/>
          <w:lang w:val="en-US"/>
        </w:rPr>
        <w:t>owing</w:t>
      </w:r>
      <w:proofErr w:type="gramEnd"/>
      <w:r w:rsidR="00E850CC">
        <w:rPr>
          <w:rFonts w:ascii="Arial" w:hAnsi="Arial" w:cs="Arial"/>
          <w:sz w:val="24"/>
          <w:szCs w:val="24"/>
          <w:lang w:val="en-US"/>
        </w:rPr>
        <w:t xml:space="preserve"> for a long period of time.  Moreover, </w:t>
      </w:r>
      <w:r w:rsidR="00CB3EE2" w:rsidRPr="007B0E5D">
        <w:rPr>
          <w:rFonts w:ascii="Arial" w:hAnsi="Arial" w:cs="Arial"/>
          <w:sz w:val="24"/>
          <w:szCs w:val="24"/>
          <w:lang w:val="en-US"/>
        </w:rPr>
        <w:t xml:space="preserve">Investec </w:t>
      </w:r>
      <w:r w:rsidR="007B0E5D">
        <w:rPr>
          <w:rFonts w:ascii="Arial" w:hAnsi="Arial" w:cs="Arial"/>
          <w:sz w:val="24"/>
          <w:szCs w:val="24"/>
          <w:lang w:val="en-US"/>
        </w:rPr>
        <w:t xml:space="preserve">has </w:t>
      </w:r>
      <w:r w:rsidR="00E850CC">
        <w:rPr>
          <w:rFonts w:ascii="Arial" w:hAnsi="Arial" w:cs="Arial"/>
          <w:sz w:val="24"/>
          <w:szCs w:val="24"/>
          <w:lang w:val="en-US"/>
        </w:rPr>
        <w:t xml:space="preserve">exercised its rights in terms of the security cession by requesting BIG’s debtors to pay the amounts due to BIG directly to Investec. </w:t>
      </w:r>
      <w:r w:rsidR="0011163A">
        <w:rPr>
          <w:rFonts w:ascii="Arial" w:hAnsi="Arial" w:cs="Arial"/>
          <w:sz w:val="24"/>
          <w:szCs w:val="24"/>
          <w:lang w:val="en-US"/>
        </w:rPr>
        <w:t xml:space="preserve"> </w:t>
      </w:r>
      <w:r w:rsidR="007B0E5D">
        <w:rPr>
          <w:rFonts w:ascii="Arial" w:hAnsi="Arial" w:cs="Arial"/>
          <w:sz w:val="24"/>
          <w:szCs w:val="24"/>
          <w:lang w:val="en-US"/>
        </w:rPr>
        <w:t>This in circumstances where, whoever is ultimately responsible</w:t>
      </w:r>
      <w:r w:rsidR="00585F01">
        <w:rPr>
          <w:rFonts w:ascii="Arial" w:hAnsi="Arial" w:cs="Arial"/>
          <w:sz w:val="24"/>
          <w:szCs w:val="24"/>
          <w:lang w:val="en-US"/>
        </w:rPr>
        <w:t xml:space="preserve"> for the apparent failure</w:t>
      </w:r>
      <w:r w:rsidR="00C704A9">
        <w:rPr>
          <w:rFonts w:ascii="Arial" w:hAnsi="Arial" w:cs="Arial"/>
          <w:sz w:val="24"/>
          <w:szCs w:val="24"/>
          <w:lang w:val="en-US"/>
        </w:rPr>
        <w:t xml:space="preserve"> </w:t>
      </w:r>
      <w:r w:rsidR="00585F01">
        <w:rPr>
          <w:rFonts w:ascii="Arial" w:hAnsi="Arial" w:cs="Arial"/>
          <w:sz w:val="24"/>
          <w:szCs w:val="24"/>
          <w:lang w:val="en-US"/>
        </w:rPr>
        <w:t xml:space="preserve">of the </w:t>
      </w:r>
      <w:r w:rsidR="00C704A9">
        <w:rPr>
          <w:rFonts w:ascii="Arial" w:hAnsi="Arial" w:cs="Arial"/>
          <w:sz w:val="24"/>
          <w:szCs w:val="24"/>
          <w:lang w:val="en-US"/>
        </w:rPr>
        <w:t>Stanbic guarantees</w:t>
      </w:r>
      <w:r w:rsidR="007B0E5D">
        <w:rPr>
          <w:rFonts w:ascii="Arial" w:hAnsi="Arial" w:cs="Arial"/>
          <w:sz w:val="24"/>
          <w:szCs w:val="24"/>
          <w:lang w:val="en-US"/>
        </w:rPr>
        <w:t xml:space="preserve">, </w:t>
      </w:r>
      <w:r w:rsidR="00C704A9">
        <w:rPr>
          <w:rFonts w:ascii="Arial" w:hAnsi="Arial" w:cs="Arial"/>
          <w:sz w:val="24"/>
          <w:szCs w:val="24"/>
          <w:lang w:val="en-US"/>
        </w:rPr>
        <w:t xml:space="preserve">Stanbic has </w:t>
      </w:r>
      <w:r w:rsidR="00C704A9">
        <w:rPr>
          <w:rFonts w:ascii="Arial" w:hAnsi="Arial" w:cs="Arial"/>
          <w:sz w:val="24"/>
          <w:szCs w:val="24"/>
          <w:lang w:val="en-US"/>
        </w:rPr>
        <w:lastRenderedPageBreak/>
        <w:t xml:space="preserve">informed </w:t>
      </w:r>
      <w:r w:rsidR="007B0E5D">
        <w:rPr>
          <w:rFonts w:ascii="Arial" w:hAnsi="Arial" w:cs="Arial"/>
          <w:sz w:val="24"/>
          <w:szCs w:val="24"/>
          <w:lang w:val="en-US"/>
        </w:rPr>
        <w:t xml:space="preserve">Investec </w:t>
      </w:r>
      <w:r w:rsidR="00C704A9">
        <w:rPr>
          <w:rFonts w:ascii="Arial" w:hAnsi="Arial" w:cs="Arial"/>
          <w:sz w:val="24"/>
          <w:szCs w:val="24"/>
          <w:lang w:val="en-US"/>
        </w:rPr>
        <w:t xml:space="preserve">that these </w:t>
      </w:r>
      <w:r w:rsidR="007B0E5D">
        <w:rPr>
          <w:rFonts w:ascii="Arial" w:hAnsi="Arial" w:cs="Arial"/>
          <w:sz w:val="24"/>
          <w:szCs w:val="24"/>
          <w:lang w:val="en-US"/>
        </w:rPr>
        <w:t>were either fake or forged</w:t>
      </w:r>
      <w:r w:rsidR="00F608AB">
        <w:rPr>
          <w:rFonts w:ascii="Arial" w:hAnsi="Arial" w:cs="Arial"/>
          <w:sz w:val="24"/>
          <w:szCs w:val="24"/>
          <w:lang w:val="en-US"/>
        </w:rPr>
        <w:t xml:space="preserve"> and that Stanbic does not consider itself bound thereby</w:t>
      </w:r>
      <w:r w:rsidR="007B0E5D">
        <w:rPr>
          <w:rFonts w:ascii="Arial" w:hAnsi="Arial" w:cs="Arial"/>
          <w:sz w:val="24"/>
          <w:szCs w:val="24"/>
          <w:lang w:val="en-US"/>
        </w:rPr>
        <w:t xml:space="preserve">. </w:t>
      </w:r>
      <w:r w:rsidR="00CB3EE2" w:rsidRPr="007B0E5D">
        <w:rPr>
          <w:rFonts w:ascii="Arial" w:hAnsi="Arial" w:cs="Arial"/>
          <w:sz w:val="24"/>
          <w:szCs w:val="24"/>
          <w:lang w:val="en-US"/>
        </w:rPr>
        <w:t xml:space="preserve"> </w:t>
      </w:r>
    </w:p>
    <w:p w14:paraId="4C91B4BE" w14:textId="77777777" w:rsidR="00E850CC" w:rsidRPr="00E850CC" w:rsidRDefault="00E850CC" w:rsidP="00E850CC">
      <w:pPr>
        <w:pStyle w:val="ListParagraph"/>
        <w:rPr>
          <w:rFonts w:ascii="Arial" w:hAnsi="Arial" w:cs="Arial"/>
          <w:sz w:val="24"/>
          <w:szCs w:val="24"/>
          <w:lang w:val="en-US"/>
        </w:rPr>
      </w:pPr>
    </w:p>
    <w:p w14:paraId="0CCFB106" w14:textId="77777777" w:rsidR="00E850CC" w:rsidRPr="007B0E5D" w:rsidRDefault="00E850CC" w:rsidP="007B0E5D">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The requirements of the provisional order had been complied with. This is demonstrated by way of an affidavit deposed to by candidate legal practitioner</w:t>
      </w:r>
      <w:r w:rsidR="00585F01">
        <w:rPr>
          <w:rFonts w:ascii="Arial" w:hAnsi="Arial" w:cs="Arial"/>
          <w:sz w:val="24"/>
          <w:szCs w:val="24"/>
          <w:lang w:val="en-US"/>
        </w:rPr>
        <w:t>,</w:t>
      </w:r>
      <w:r>
        <w:rPr>
          <w:rFonts w:ascii="Arial" w:hAnsi="Arial" w:cs="Arial"/>
          <w:sz w:val="24"/>
          <w:szCs w:val="24"/>
          <w:lang w:val="en-US"/>
        </w:rPr>
        <w:t xml:space="preserve"> </w:t>
      </w:r>
      <w:r w:rsidR="00585F01">
        <w:rPr>
          <w:rFonts w:ascii="Arial" w:hAnsi="Arial" w:cs="Arial"/>
          <w:sz w:val="24"/>
          <w:szCs w:val="24"/>
          <w:lang w:val="en-US"/>
        </w:rPr>
        <w:t xml:space="preserve">Mr </w:t>
      </w:r>
      <w:r>
        <w:rPr>
          <w:rFonts w:ascii="Arial" w:hAnsi="Arial" w:cs="Arial"/>
          <w:sz w:val="24"/>
          <w:szCs w:val="24"/>
          <w:lang w:val="en-US"/>
        </w:rPr>
        <w:t>Calvin Kekana</w:t>
      </w:r>
      <w:r w:rsidR="00585F01">
        <w:rPr>
          <w:rFonts w:ascii="Arial" w:hAnsi="Arial" w:cs="Arial"/>
          <w:sz w:val="24"/>
          <w:szCs w:val="24"/>
          <w:lang w:val="en-US"/>
        </w:rPr>
        <w:t>,</w:t>
      </w:r>
      <w:r>
        <w:rPr>
          <w:rFonts w:ascii="Arial" w:hAnsi="Arial" w:cs="Arial"/>
          <w:sz w:val="24"/>
          <w:szCs w:val="24"/>
          <w:lang w:val="en-US"/>
        </w:rPr>
        <w:t xml:space="preserve"> who confirmed, as ordered, service of the court order on the respondent, the respondent’s employees, registered trade unions, the </w:t>
      </w:r>
      <w:proofErr w:type="gramStart"/>
      <w:r>
        <w:rPr>
          <w:rFonts w:ascii="Arial" w:hAnsi="Arial" w:cs="Arial"/>
          <w:sz w:val="24"/>
          <w:szCs w:val="24"/>
          <w:lang w:val="en-US"/>
        </w:rPr>
        <w:t>Master</w:t>
      </w:r>
      <w:proofErr w:type="gramEnd"/>
      <w:r>
        <w:rPr>
          <w:rFonts w:ascii="Arial" w:hAnsi="Arial" w:cs="Arial"/>
          <w:sz w:val="24"/>
          <w:szCs w:val="24"/>
          <w:lang w:val="en-US"/>
        </w:rPr>
        <w:t xml:space="preserve"> and the South African Revenue Services.</w:t>
      </w:r>
    </w:p>
    <w:p w14:paraId="16C6D80C" w14:textId="77777777" w:rsidR="00754C83" w:rsidRPr="00754C83" w:rsidRDefault="00754C83" w:rsidP="00754C83">
      <w:pPr>
        <w:pStyle w:val="ListParagraph"/>
        <w:rPr>
          <w:rFonts w:ascii="Arial" w:hAnsi="Arial" w:cs="Arial"/>
          <w:sz w:val="24"/>
          <w:szCs w:val="24"/>
          <w:lang w:val="en-US"/>
        </w:rPr>
      </w:pPr>
    </w:p>
    <w:p w14:paraId="655B05EB" w14:textId="0B7C0A89" w:rsidR="009D0D0C" w:rsidRPr="00563197" w:rsidRDefault="00B73C41" w:rsidP="00563197">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As indicated above, I afforded Mr Mahomed an opportunity to address me in respect of any deficiencies in the applicant’s own papers. In doing so, Mr Mahomed both traversed some of the alleged discrepancies in the documentation traversed in the </w:t>
      </w:r>
      <w:proofErr w:type="gramStart"/>
      <w:r>
        <w:rPr>
          <w:rFonts w:ascii="Arial" w:hAnsi="Arial" w:cs="Arial"/>
          <w:sz w:val="24"/>
          <w:szCs w:val="24"/>
          <w:lang w:val="en-US"/>
        </w:rPr>
        <w:t>counter-application</w:t>
      </w:r>
      <w:proofErr w:type="gramEnd"/>
      <w:r>
        <w:rPr>
          <w:rFonts w:ascii="Arial" w:hAnsi="Arial" w:cs="Arial"/>
          <w:sz w:val="24"/>
          <w:szCs w:val="24"/>
          <w:lang w:val="en-US"/>
        </w:rPr>
        <w:t>, at this stage to submit that a case is not made out</w:t>
      </w:r>
      <w:r w:rsidR="00161CF9">
        <w:rPr>
          <w:rFonts w:ascii="Arial" w:hAnsi="Arial" w:cs="Arial"/>
          <w:sz w:val="24"/>
          <w:szCs w:val="24"/>
          <w:lang w:val="en-US"/>
        </w:rPr>
        <w:t xml:space="preserve"> and raised some </w:t>
      </w:r>
      <w:r w:rsidR="00C704A9">
        <w:rPr>
          <w:rFonts w:ascii="Arial" w:hAnsi="Arial" w:cs="Arial"/>
          <w:sz w:val="24"/>
          <w:szCs w:val="24"/>
          <w:lang w:val="en-US"/>
        </w:rPr>
        <w:t>further</w:t>
      </w:r>
      <w:r w:rsidR="00161CF9">
        <w:rPr>
          <w:rFonts w:ascii="Arial" w:hAnsi="Arial" w:cs="Arial"/>
          <w:sz w:val="24"/>
          <w:szCs w:val="24"/>
          <w:lang w:val="en-US"/>
        </w:rPr>
        <w:t xml:space="preserve"> issues. </w:t>
      </w:r>
      <w:r>
        <w:rPr>
          <w:rFonts w:ascii="Arial" w:hAnsi="Arial" w:cs="Arial"/>
          <w:sz w:val="24"/>
          <w:szCs w:val="24"/>
          <w:lang w:val="en-US"/>
        </w:rPr>
        <w:t xml:space="preserve">I </w:t>
      </w:r>
      <w:r w:rsidR="00C704A9">
        <w:rPr>
          <w:rFonts w:ascii="Arial" w:hAnsi="Arial" w:cs="Arial"/>
          <w:sz w:val="24"/>
          <w:szCs w:val="24"/>
          <w:lang w:val="en-US"/>
        </w:rPr>
        <w:t xml:space="preserve">have </w:t>
      </w:r>
      <w:r>
        <w:rPr>
          <w:rFonts w:ascii="Arial" w:hAnsi="Arial" w:cs="Arial"/>
          <w:sz w:val="24"/>
          <w:szCs w:val="24"/>
          <w:lang w:val="en-US"/>
        </w:rPr>
        <w:t>considered</w:t>
      </w:r>
      <w:r w:rsidR="00C704A9">
        <w:rPr>
          <w:rFonts w:ascii="Arial" w:hAnsi="Arial" w:cs="Arial"/>
          <w:sz w:val="24"/>
          <w:szCs w:val="24"/>
          <w:lang w:val="en-US"/>
        </w:rPr>
        <w:t xml:space="preserve"> the issues </w:t>
      </w:r>
      <w:proofErr w:type="gramStart"/>
      <w:r w:rsidR="00C704A9">
        <w:rPr>
          <w:rFonts w:ascii="Arial" w:hAnsi="Arial" w:cs="Arial"/>
          <w:sz w:val="24"/>
          <w:szCs w:val="24"/>
          <w:lang w:val="en-US"/>
        </w:rPr>
        <w:t>raised</w:t>
      </w:r>
      <w:r>
        <w:rPr>
          <w:rFonts w:ascii="Arial" w:hAnsi="Arial" w:cs="Arial"/>
          <w:sz w:val="24"/>
          <w:szCs w:val="24"/>
          <w:lang w:val="en-US"/>
        </w:rPr>
        <w:t>,</w:t>
      </w:r>
      <w:r w:rsidR="00902660">
        <w:rPr>
          <w:rFonts w:ascii="Arial" w:hAnsi="Arial" w:cs="Arial"/>
          <w:sz w:val="24"/>
          <w:szCs w:val="24"/>
          <w:lang w:val="en-US"/>
        </w:rPr>
        <w:t xml:space="preserve"> </w:t>
      </w:r>
      <w:r>
        <w:rPr>
          <w:rFonts w:ascii="Arial" w:hAnsi="Arial" w:cs="Arial"/>
          <w:sz w:val="24"/>
          <w:szCs w:val="24"/>
          <w:lang w:val="en-US"/>
        </w:rPr>
        <w:t>and</w:t>
      </w:r>
      <w:proofErr w:type="gramEnd"/>
      <w:r>
        <w:rPr>
          <w:rFonts w:ascii="Arial" w:hAnsi="Arial" w:cs="Arial"/>
          <w:sz w:val="24"/>
          <w:szCs w:val="24"/>
          <w:lang w:val="en-US"/>
        </w:rPr>
        <w:t xml:space="preserve"> am unpersuaded that Investec has not made out a case</w:t>
      </w:r>
      <w:r w:rsidR="00C92247">
        <w:rPr>
          <w:rFonts w:ascii="Arial" w:hAnsi="Arial" w:cs="Arial"/>
          <w:sz w:val="24"/>
          <w:szCs w:val="24"/>
          <w:lang w:val="en-US"/>
        </w:rPr>
        <w:t xml:space="preserve"> in its founding affidavit</w:t>
      </w:r>
      <w:r>
        <w:rPr>
          <w:rFonts w:ascii="Arial" w:hAnsi="Arial" w:cs="Arial"/>
          <w:sz w:val="24"/>
          <w:szCs w:val="24"/>
          <w:lang w:val="en-US"/>
        </w:rPr>
        <w:t>.</w:t>
      </w:r>
      <w:r w:rsidR="00C92247">
        <w:rPr>
          <w:rFonts w:ascii="Arial" w:hAnsi="Arial" w:cs="Arial"/>
          <w:sz w:val="24"/>
          <w:szCs w:val="24"/>
          <w:lang w:val="en-US"/>
        </w:rPr>
        <w:t xml:space="preserve">  The necessary allegations are made</w:t>
      </w:r>
      <w:r w:rsidR="00161CF9">
        <w:rPr>
          <w:rFonts w:ascii="Arial" w:hAnsi="Arial" w:cs="Arial"/>
          <w:sz w:val="24"/>
          <w:szCs w:val="24"/>
          <w:lang w:val="en-US"/>
        </w:rPr>
        <w:t xml:space="preserve">, </w:t>
      </w:r>
      <w:r w:rsidR="00C92247">
        <w:rPr>
          <w:rFonts w:ascii="Arial" w:hAnsi="Arial" w:cs="Arial"/>
          <w:sz w:val="24"/>
          <w:szCs w:val="24"/>
          <w:lang w:val="en-US"/>
        </w:rPr>
        <w:t>substantiated</w:t>
      </w:r>
      <w:r w:rsidR="00161CF9">
        <w:rPr>
          <w:rFonts w:ascii="Arial" w:hAnsi="Arial" w:cs="Arial"/>
          <w:sz w:val="24"/>
          <w:szCs w:val="24"/>
          <w:lang w:val="en-US"/>
        </w:rPr>
        <w:t xml:space="preserve"> and</w:t>
      </w:r>
      <w:r w:rsidR="00C704A9">
        <w:rPr>
          <w:rFonts w:ascii="Arial" w:hAnsi="Arial" w:cs="Arial"/>
          <w:sz w:val="24"/>
          <w:szCs w:val="24"/>
          <w:lang w:val="en-US"/>
        </w:rPr>
        <w:t>, importantly,</w:t>
      </w:r>
      <w:r w:rsidR="00161CF9">
        <w:rPr>
          <w:rFonts w:ascii="Arial" w:hAnsi="Arial" w:cs="Arial"/>
          <w:sz w:val="24"/>
          <w:szCs w:val="24"/>
          <w:lang w:val="en-US"/>
        </w:rPr>
        <w:t xml:space="preserve"> are unanswered.  </w:t>
      </w:r>
      <w:r>
        <w:rPr>
          <w:rFonts w:ascii="Arial" w:hAnsi="Arial" w:cs="Arial"/>
          <w:sz w:val="24"/>
          <w:szCs w:val="24"/>
          <w:lang w:val="en-US"/>
        </w:rPr>
        <w:t xml:space="preserve">I </w:t>
      </w:r>
      <w:r w:rsidR="00C92247">
        <w:rPr>
          <w:rFonts w:ascii="Arial" w:hAnsi="Arial" w:cs="Arial"/>
          <w:sz w:val="24"/>
          <w:szCs w:val="24"/>
          <w:lang w:val="en-US"/>
        </w:rPr>
        <w:t xml:space="preserve">do not deal </w:t>
      </w:r>
      <w:r w:rsidR="00161CF9">
        <w:rPr>
          <w:rFonts w:ascii="Arial" w:hAnsi="Arial" w:cs="Arial"/>
          <w:sz w:val="24"/>
          <w:szCs w:val="24"/>
          <w:lang w:val="en-US"/>
        </w:rPr>
        <w:t xml:space="preserve">below </w:t>
      </w:r>
      <w:r w:rsidR="00C92247">
        <w:rPr>
          <w:rFonts w:ascii="Arial" w:hAnsi="Arial" w:cs="Arial"/>
          <w:sz w:val="24"/>
          <w:szCs w:val="24"/>
          <w:lang w:val="en-US"/>
        </w:rPr>
        <w:t xml:space="preserve">with each submission advanced </w:t>
      </w:r>
      <w:r w:rsidR="007B0E5D">
        <w:rPr>
          <w:rFonts w:ascii="Arial" w:hAnsi="Arial" w:cs="Arial"/>
          <w:sz w:val="24"/>
          <w:szCs w:val="24"/>
          <w:lang w:val="en-US"/>
        </w:rPr>
        <w:t xml:space="preserve">by Mr Mahomed </w:t>
      </w:r>
      <w:r w:rsidR="00C92247">
        <w:rPr>
          <w:rFonts w:ascii="Arial" w:hAnsi="Arial" w:cs="Arial"/>
          <w:sz w:val="24"/>
          <w:szCs w:val="24"/>
          <w:lang w:val="en-US"/>
        </w:rPr>
        <w:t xml:space="preserve">but </w:t>
      </w:r>
      <w:r>
        <w:rPr>
          <w:rFonts w:ascii="Arial" w:hAnsi="Arial" w:cs="Arial"/>
          <w:sz w:val="24"/>
          <w:szCs w:val="24"/>
          <w:lang w:val="en-US"/>
        </w:rPr>
        <w:t xml:space="preserve">mention </w:t>
      </w:r>
      <w:r w:rsidR="00C92247">
        <w:rPr>
          <w:rFonts w:ascii="Arial" w:hAnsi="Arial" w:cs="Arial"/>
          <w:sz w:val="24"/>
          <w:szCs w:val="24"/>
          <w:lang w:val="en-US"/>
        </w:rPr>
        <w:t xml:space="preserve">a few </w:t>
      </w:r>
      <w:r>
        <w:rPr>
          <w:rFonts w:ascii="Arial" w:hAnsi="Arial" w:cs="Arial"/>
          <w:sz w:val="24"/>
          <w:szCs w:val="24"/>
          <w:lang w:val="en-US"/>
        </w:rPr>
        <w:t xml:space="preserve">by way of illustration. </w:t>
      </w:r>
      <w:r w:rsidR="00161CF9" w:rsidRPr="00563197">
        <w:rPr>
          <w:rFonts w:ascii="Arial" w:hAnsi="Arial" w:cs="Arial"/>
          <w:sz w:val="24"/>
          <w:szCs w:val="24"/>
          <w:lang w:val="en-US"/>
        </w:rPr>
        <w:t xml:space="preserve">Mr Mahomed submitted that it is apparent from the annexures to the founding affidavit that one of Investec’s signatories to the </w:t>
      </w:r>
      <w:r w:rsidR="007B0E5D" w:rsidRPr="00563197">
        <w:rPr>
          <w:rFonts w:ascii="Arial" w:hAnsi="Arial" w:cs="Arial"/>
          <w:sz w:val="24"/>
          <w:szCs w:val="24"/>
          <w:lang w:val="en-US"/>
        </w:rPr>
        <w:t>Addendum</w:t>
      </w:r>
      <w:r w:rsidR="0066663D" w:rsidRPr="00563197">
        <w:rPr>
          <w:rFonts w:ascii="Arial" w:hAnsi="Arial" w:cs="Arial"/>
          <w:sz w:val="24"/>
          <w:szCs w:val="24"/>
          <w:lang w:val="en-US"/>
        </w:rPr>
        <w:t xml:space="preserve"> (SM Ackermann)</w:t>
      </w:r>
      <w:r w:rsidR="007B0E5D" w:rsidRPr="00563197">
        <w:rPr>
          <w:rFonts w:ascii="Arial" w:hAnsi="Arial" w:cs="Arial"/>
          <w:sz w:val="24"/>
          <w:szCs w:val="24"/>
          <w:lang w:val="en-US"/>
        </w:rPr>
        <w:t xml:space="preserve"> </w:t>
      </w:r>
      <w:r w:rsidR="0066663D" w:rsidRPr="00563197">
        <w:rPr>
          <w:rFonts w:ascii="Arial" w:hAnsi="Arial" w:cs="Arial"/>
          <w:sz w:val="24"/>
          <w:szCs w:val="24"/>
          <w:lang w:val="en-US"/>
        </w:rPr>
        <w:t>was</w:t>
      </w:r>
      <w:r w:rsidR="007B0E5D" w:rsidRPr="00563197">
        <w:rPr>
          <w:rFonts w:ascii="Arial" w:hAnsi="Arial" w:cs="Arial"/>
          <w:sz w:val="24"/>
          <w:szCs w:val="24"/>
          <w:lang w:val="en-US"/>
        </w:rPr>
        <w:t xml:space="preserve"> not duly authorized</w:t>
      </w:r>
      <w:r w:rsidR="0066663D" w:rsidRPr="00563197">
        <w:rPr>
          <w:rFonts w:ascii="Arial" w:hAnsi="Arial" w:cs="Arial"/>
          <w:sz w:val="24"/>
          <w:szCs w:val="24"/>
          <w:lang w:val="en-US"/>
        </w:rPr>
        <w:t xml:space="preserve"> by Investec</w:t>
      </w:r>
      <w:r w:rsidR="00F608AB">
        <w:rPr>
          <w:rFonts w:ascii="Arial" w:hAnsi="Arial" w:cs="Arial"/>
          <w:sz w:val="24"/>
          <w:szCs w:val="24"/>
          <w:lang w:val="en-US"/>
        </w:rPr>
        <w:t xml:space="preserve">.  </w:t>
      </w:r>
      <w:r w:rsidR="009D0D0C" w:rsidRPr="00563197">
        <w:rPr>
          <w:rFonts w:ascii="Arial" w:hAnsi="Arial" w:cs="Arial"/>
          <w:sz w:val="24"/>
          <w:szCs w:val="24"/>
          <w:lang w:val="en-US"/>
        </w:rPr>
        <w:t xml:space="preserve">He also suggested that the Term Loan Agreement, on its own terms, did not contemplate the provision of security, referring to Annexure C thereof, titled Security Documents, under which the word ‘none’ appears. </w:t>
      </w:r>
      <w:r w:rsidR="0066663D" w:rsidRPr="00563197">
        <w:rPr>
          <w:rFonts w:ascii="Arial" w:hAnsi="Arial" w:cs="Arial"/>
          <w:sz w:val="24"/>
          <w:szCs w:val="24"/>
          <w:lang w:val="en-US"/>
        </w:rPr>
        <w:t xml:space="preserve"> In my view, these issues ought to have been duly raised in an answering affidavit, and, in any event, the inferences cannot be drawn merely from the documents referred to. </w:t>
      </w:r>
      <w:r w:rsidR="009D0D0C" w:rsidRPr="00563197">
        <w:rPr>
          <w:rFonts w:ascii="Arial" w:hAnsi="Arial" w:cs="Arial"/>
          <w:sz w:val="24"/>
          <w:szCs w:val="24"/>
          <w:lang w:val="en-US"/>
        </w:rPr>
        <w:t xml:space="preserve"> On the latter issue, Annexure D deals with the transaction terms and makes express provision</w:t>
      </w:r>
      <w:r w:rsidR="00C704A9">
        <w:rPr>
          <w:rFonts w:ascii="Arial" w:hAnsi="Arial" w:cs="Arial"/>
          <w:sz w:val="24"/>
          <w:szCs w:val="24"/>
          <w:lang w:val="en-US"/>
        </w:rPr>
        <w:t xml:space="preserve"> for </w:t>
      </w:r>
      <w:r w:rsidR="00C704A9">
        <w:rPr>
          <w:rFonts w:ascii="Arial" w:hAnsi="Arial" w:cs="Arial"/>
          <w:sz w:val="24"/>
          <w:szCs w:val="24"/>
          <w:lang w:val="en-US"/>
        </w:rPr>
        <w:lastRenderedPageBreak/>
        <w:t xml:space="preserve">security.  In any event, </w:t>
      </w:r>
      <w:r w:rsidR="009D0D0C" w:rsidRPr="00563197">
        <w:rPr>
          <w:rFonts w:ascii="Arial" w:hAnsi="Arial" w:cs="Arial"/>
          <w:sz w:val="24"/>
          <w:szCs w:val="24"/>
          <w:lang w:val="en-US"/>
        </w:rPr>
        <w:t xml:space="preserve">this does not assist BIG in respect of debts arising from the Working Capital Agreement, which makes express provision for, </w:t>
      </w:r>
      <w:r w:rsidR="009D0D0C" w:rsidRPr="00563197">
        <w:rPr>
          <w:rFonts w:ascii="Arial" w:hAnsi="Arial" w:cs="Arial"/>
          <w:i/>
          <w:sz w:val="24"/>
          <w:szCs w:val="24"/>
          <w:lang w:val="en-US"/>
        </w:rPr>
        <w:t>inter alia,</w:t>
      </w:r>
      <w:r w:rsidR="009D0D0C" w:rsidRPr="00563197">
        <w:rPr>
          <w:rFonts w:ascii="Arial" w:hAnsi="Arial" w:cs="Arial"/>
          <w:sz w:val="24"/>
          <w:szCs w:val="24"/>
          <w:lang w:val="en-US"/>
        </w:rPr>
        <w:t xml:space="preserve"> the Stanbic guarantees and the security cession.  Mr Mahomed suggested that this Court cannot assume that the agreements placed before the Court are the correct agreements because, in a separate application, Investec accepted that it had annexed the incorrect agreement.  In my view, the contrary inference, if any, is warranted.    </w:t>
      </w:r>
    </w:p>
    <w:p w14:paraId="6FFF0619" w14:textId="77777777" w:rsidR="009D0D0C" w:rsidRDefault="009D0D0C" w:rsidP="009D0D0C">
      <w:pPr>
        <w:pStyle w:val="ListParagraph"/>
        <w:spacing w:line="480" w:lineRule="auto"/>
        <w:ind w:left="360"/>
        <w:jc w:val="both"/>
        <w:rPr>
          <w:rFonts w:ascii="Arial" w:hAnsi="Arial" w:cs="Arial"/>
          <w:sz w:val="24"/>
          <w:szCs w:val="24"/>
          <w:lang w:val="en-US"/>
        </w:rPr>
      </w:pPr>
    </w:p>
    <w:p w14:paraId="2599E558" w14:textId="77777777" w:rsidR="009D0D0C" w:rsidRDefault="009D0D0C" w:rsidP="009D0D0C">
      <w:pPr>
        <w:pStyle w:val="ListParagraph"/>
        <w:numPr>
          <w:ilvl w:val="0"/>
          <w:numId w:val="1"/>
        </w:numPr>
        <w:spacing w:line="480" w:lineRule="auto"/>
        <w:jc w:val="both"/>
        <w:rPr>
          <w:rFonts w:ascii="Arial" w:hAnsi="Arial" w:cs="Arial"/>
          <w:sz w:val="24"/>
          <w:szCs w:val="24"/>
          <w:lang w:val="en-US"/>
        </w:rPr>
      </w:pPr>
      <w:r>
        <w:rPr>
          <w:rFonts w:ascii="Arial" w:hAnsi="Arial" w:cs="Arial"/>
          <w:sz w:val="24"/>
          <w:szCs w:val="24"/>
          <w:lang w:val="en-US"/>
        </w:rPr>
        <w:t xml:space="preserve">On the information before me, </w:t>
      </w:r>
      <w:r w:rsidR="00C704A9">
        <w:rPr>
          <w:rFonts w:ascii="Arial" w:hAnsi="Arial" w:cs="Arial"/>
          <w:sz w:val="24"/>
          <w:szCs w:val="24"/>
          <w:lang w:val="en-US"/>
        </w:rPr>
        <w:t xml:space="preserve">the statutory requirements are met and </w:t>
      </w:r>
      <w:r>
        <w:rPr>
          <w:rFonts w:ascii="Arial" w:hAnsi="Arial" w:cs="Arial"/>
          <w:sz w:val="24"/>
          <w:szCs w:val="24"/>
          <w:lang w:val="en-US"/>
        </w:rPr>
        <w:t>there is no</w:t>
      </w:r>
      <w:r w:rsidR="00C704A9">
        <w:rPr>
          <w:rFonts w:ascii="Arial" w:hAnsi="Arial" w:cs="Arial"/>
          <w:sz w:val="24"/>
          <w:szCs w:val="24"/>
          <w:lang w:val="en-US"/>
        </w:rPr>
        <w:t xml:space="preserve"> </w:t>
      </w:r>
      <w:r>
        <w:rPr>
          <w:rFonts w:ascii="Arial" w:hAnsi="Arial" w:cs="Arial"/>
          <w:sz w:val="24"/>
          <w:szCs w:val="24"/>
          <w:lang w:val="en-US"/>
        </w:rPr>
        <w:t xml:space="preserve">basis to </w:t>
      </w:r>
      <w:r w:rsidR="00E850CC">
        <w:rPr>
          <w:rFonts w:ascii="Arial" w:hAnsi="Arial" w:cs="Arial"/>
          <w:sz w:val="24"/>
          <w:szCs w:val="24"/>
          <w:lang w:val="en-US"/>
        </w:rPr>
        <w:t>exercise the Court’s discretion to decline</w:t>
      </w:r>
      <w:r>
        <w:rPr>
          <w:rFonts w:ascii="Arial" w:hAnsi="Arial" w:cs="Arial"/>
          <w:sz w:val="24"/>
          <w:szCs w:val="24"/>
          <w:lang w:val="en-US"/>
        </w:rPr>
        <w:t xml:space="preserve"> to grant the order Investec seeks.</w:t>
      </w:r>
      <w:r w:rsidR="0011163A">
        <w:rPr>
          <w:rFonts w:ascii="Arial" w:hAnsi="Arial" w:cs="Arial"/>
          <w:sz w:val="24"/>
          <w:szCs w:val="24"/>
          <w:lang w:val="en-US"/>
        </w:rPr>
        <w:t xml:space="preserve">  Despite ample opportunity, BIG has failed </w:t>
      </w:r>
      <w:r w:rsidR="0011163A">
        <w:rPr>
          <w:rFonts w:ascii="Arial" w:hAnsi="Arial" w:cs="Arial"/>
          <w:i/>
          <w:sz w:val="24"/>
          <w:szCs w:val="24"/>
          <w:lang w:val="en-US"/>
        </w:rPr>
        <w:t xml:space="preserve">bona fide </w:t>
      </w:r>
      <w:r w:rsidR="0011163A">
        <w:rPr>
          <w:rFonts w:ascii="Arial" w:hAnsi="Arial" w:cs="Arial"/>
          <w:sz w:val="24"/>
          <w:szCs w:val="24"/>
          <w:lang w:val="en-US"/>
        </w:rPr>
        <w:t xml:space="preserve">or reasonably to dispute its indebtedness to Investec and there are no circumstances that militate against the grant of the order. </w:t>
      </w:r>
      <w:r>
        <w:rPr>
          <w:rFonts w:ascii="Arial" w:hAnsi="Arial" w:cs="Arial"/>
          <w:sz w:val="24"/>
          <w:szCs w:val="24"/>
          <w:lang w:val="en-US"/>
        </w:rPr>
        <w:t xml:space="preserve"> </w:t>
      </w:r>
    </w:p>
    <w:p w14:paraId="1C0028FA" w14:textId="77777777" w:rsidR="009D0D0C" w:rsidRPr="009D0D0C" w:rsidRDefault="009D0D0C" w:rsidP="009D0D0C">
      <w:pPr>
        <w:pStyle w:val="ListParagraph"/>
        <w:rPr>
          <w:rFonts w:ascii="Arial" w:hAnsi="Arial" w:cs="Arial"/>
          <w:sz w:val="24"/>
          <w:szCs w:val="24"/>
          <w:lang w:val="en-US"/>
        </w:rPr>
      </w:pPr>
    </w:p>
    <w:p w14:paraId="4D30C7A6" w14:textId="77777777" w:rsidR="00154FA5" w:rsidRDefault="00154FA5" w:rsidP="009D0D0C">
      <w:pPr>
        <w:pStyle w:val="ListParagraph"/>
        <w:numPr>
          <w:ilvl w:val="0"/>
          <w:numId w:val="1"/>
        </w:numPr>
        <w:spacing w:line="480" w:lineRule="auto"/>
        <w:jc w:val="both"/>
        <w:rPr>
          <w:rFonts w:ascii="Arial" w:hAnsi="Arial" w:cs="Arial"/>
          <w:sz w:val="24"/>
          <w:szCs w:val="24"/>
          <w:lang w:val="en-US"/>
        </w:rPr>
      </w:pPr>
      <w:r w:rsidRPr="009D0D0C">
        <w:rPr>
          <w:rFonts w:ascii="Arial" w:hAnsi="Arial" w:cs="Arial"/>
          <w:sz w:val="24"/>
          <w:szCs w:val="24"/>
          <w:lang w:val="en-US"/>
        </w:rPr>
        <w:t xml:space="preserve">I make the following order in the winding-up application: </w:t>
      </w:r>
    </w:p>
    <w:p w14:paraId="63681A6C" w14:textId="77777777" w:rsidR="009D0D0C" w:rsidRPr="009D0D0C" w:rsidRDefault="009D0D0C" w:rsidP="009D0D0C">
      <w:pPr>
        <w:pStyle w:val="ListParagraph"/>
        <w:rPr>
          <w:rFonts w:ascii="Arial" w:hAnsi="Arial" w:cs="Arial"/>
          <w:sz w:val="24"/>
          <w:szCs w:val="24"/>
          <w:lang w:val="en-US"/>
        </w:rPr>
      </w:pPr>
    </w:p>
    <w:p w14:paraId="2BCA8963" w14:textId="77777777" w:rsidR="00154FA5" w:rsidRDefault="00154FA5" w:rsidP="009D0D0C">
      <w:pPr>
        <w:pStyle w:val="ListParagraph"/>
        <w:numPr>
          <w:ilvl w:val="1"/>
          <w:numId w:val="1"/>
        </w:numPr>
        <w:spacing w:line="480" w:lineRule="auto"/>
        <w:ind w:left="1134" w:hanging="774"/>
        <w:jc w:val="both"/>
        <w:rPr>
          <w:rFonts w:ascii="Arial" w:hAnsi="Arial" w:cs="Arial"/>
          <w:sz w:val="24"/>
          <w:szCs w:val="24"/>
          <w:lang w:val="en-US"/>
        </w:rPr>
      </w:pPr>
      <w:r w:rsidRPr="009D0D0C">
        <w:rPr>
          <w:rFonts w:ascii="Arial" w:hAnsi="Arial" w:cs="Arial"/>
          <w:sz w:val="24"/>
          <w:szCs w:val="24"/>
          <w:lang w:val="en-US"/>
        </w:rPr>
        <w:t xml:space="preserve">The rule nisi of 29 November 2022 and extended from time to time is confirmed and the respondent is placed under final winding-up. </w:t>
      </w:r>
    </w:p>
    <w:p w14:paraId="140560E0" w14:textId="77777777" w:rsidR="00154FA5" w:rsidRPr="009D0D0C" w:rsidRDefault="00154FA5" w:rsidP="009D0D0C">
      <w:pPr>
        <w:pStyle w:val="ListParagraph"/>
        <w:numPr>
          <w:ilvl w:val="1"/>
          <w:numId w:val="1"/>
        </w:numPr>
        <w:spacing w:line="480" w:lineRule="auto"/>
        <w:ind w:left="1134" w:hanging="774"/>
        <w:jc w:val="both"/>
        <w:rPr>
          <w:rFonts w:ascii="Arial" w:hAnsi="Arial" w:cs="Arial"/>
          <w:sz w:val="24"/>
          <w:szCs w:val="24"/>
          <w:lang w:val="en-US"/>
        </w:rPr>
      </w:pPr>
      <w:r w:rsidRPr="009D0D0C">
        <w:rPr>
          <w:rFonts w:ascii="Arial" w:hAnsi="Arial" w:cs="Arial"/>
          <w:sz w:val="24"/>
          <w:szCs w:val="24"/>
          <w:lang w:val="en-US"/>
        </w:rPr>
        <w:t xml:space="preserve">The costs of the application are to be costs in the winding-up of the respondent. </w:t>
      </w:r>
    </w:p>
    <w:p w14:paraId="2D6236E9" w14:textId="77777777" w:rsidR="00154FA5" w:rsidRDefault="00154FA5" w:rsidP="00154FA5">
      <w:pPr>
        <w:spacing w:line="480" w:lineRule="auto"/>
        <w:ind w:left="360"/>
        <w:jc w:val="both"/>
        <w:rPr>
          <w:rFonts w:ascii="Arial" w:hAnsi="Arial" w:cs="Arial"/>
          <w:sz w:val="24"/>
          <w:szCs w:val="24"/>
          <w:lang w:val="en-US"/>
        </w:rPr>
      </w:pPr>
    </w:p>
    <w:p w14:paraId="2BE151B3" w14:textId="77777777" w:rsidR="00585F01" w:rsidRPr="00154FA5" w:rsidRDefault="00585F01" w:rsidP="00154FA5">
      <w:pPr>
        <w:spacing w:line="480" w:lineRule="auto"/>
        <w:ind w:left="360"/>
        <w:jc w:val="both"/>
        <w:rPr>
          <w:rFonts w:ascii="Arial" w:hAnsi="Arial" w:cs="Arial"/>
          <w:sz w:val="24"/>
          <w:szCs w:val="24"/>
          <w:lang w:val="en-US"/>
        </w:rPr>
      </w:pPr>
    </w:p>
    <w:p w14:paraId="7E081DAF" w14:textId="77777777" w:rsidR="00154FA5" w:rsidRDefault="00154FA5" w:rsidP="00154FA5">
      <w:pPr>
        <w:spacing w:line="480" w:lineRule="auto"/>
        <w:ind w:left="5760"/>
        <w:jc w:val="both"/>
        <w:rPr>
          <w:rFonts w:ascii="Arial" w:hAnsi="Arial" w:cs="Arial"/>
          <w:b/>
          <w:sz w:val="24"/>
          <w:szCs w:val="24"/>
          <w:lang w:val="en-US"/>
        </w:rPr>
      </w:pPr>
      <w:r>
        <w:rPr>
          <w:rFonts w:ascii="Arial" w:hAnsi="Arial" w:cs="Arial"/>
          <w:b/>
          <w:sz w:val="24"/>
          <w:szCs w:val="24"/>
          <w:lang w:val="en-US"/>
        </w:rPr>
        <w:t>______________________</w:t>
      </w:r>
    </w:p>
    <w:p w14:paraId="1867C4BA" w14:textId="77777777" w:rsidR="00154FA5" w:rsidRDefault="00154FA5" w:rsidP="00154FA5">
      <w:pPr>
        <w:spacing w:line="480" w:lineRule="auto"/>
        <w:ind w:left="5760"/>
        <w:jc w:val="both"/>
        <w:rPr>
          <w:rFonts w:ascii="Arial" w:hAnsi="Arial" w:cs="Arial"/>
          <w:b/>
          <w:sz w:val="24"/>
          <w:szCs w:val="24"/>
          <w:lang w:val="en-US"/>
        </w:rPr>
      </w:pPr>
      <w:r>
        <w:rPr>
          <w:rFonts w:ascii="Arial" w:hAnsi="Arial" w:cs="Arial"/>
          <w:b/>
          <w:sz w:val="24"/>
          <w:szCs w:val="24"/>
          <w:lang w:val="en-US"/>
        </w:rPr>
        <w:t>SJ COWEN</w:t>
      </w:r>
    </w:p>
    <w:p w14:paraId="5FF2DAAD" w14:textId="77777777" w:rsidR="00154FA5" w:rsidRPr="00154FA5" w:rsidRDefault="00154FA5" w:rsidP="00154FA5">
      <w:pPr>
        <w:spacing w:line="480" w:lineRule="auto"/>
        <w:ind w:left="5760"/>
        <w:jc w:val="both"/>
        <w:rPr>
          <w:rFonts w:ascii="Arial" w:hAnsi="Arial" w:cs="Arial"/>
          <w:b/>
          <w:sz w:val="24"/>
          <w:szCs w:val="24"/>
          <w:lang w:val="en-US"/>
        </w:rPr>
      </w:pPr>
      <w:r>
        <w:rPr>
          <w:rFonts w:ascii="Arial" w:hAnsi="Arial" w:cs="Arial"/>
          <w:b/>
          <w:sz w:val="24"/>
          <w:szCs w:val="24"/>
          <w:lang w:val="en-US"/>
        </w:rPr>
        <w:lastRenderedPageBreak/>
        <w:t>JUDGE, HIGH COURT, PRETORIA</w:t>
      </w:r>
    </w:p>
    <w:p w14:paraId="02BC0727" w14:textId="77777777" w:rsidR="009C322F" w:rsidRDefault="009C322F" w:rsidP="00154FA5">
      <w:pPr>
        <w:pStyle w:val="ListParagraph"/>
        <w:spacing w:line="480" w:lineRule="auto"/>
        <w:jc w:val="both"/>
        <w:rPr>
          <w:rFonts w:ascii="Arial" w:hAnsi="Arial" w:cs="Arial"/>
          <w:sz w:val="24"/>
          <w:szCs w:val="24"/>
          <w:lang w:val="en-US"/>
        </w:rPr>
      </w:pPr>
    </w:p>
    <w:p w14:paraId="026B10A7" w14:textId="77777777" w:rsidR="00154FA5" w:rsidRDefault="00154FA5" w:rsidP="00154FA5">
      <w:pPr>
        <w:pStyle w:val="ListParagraph"/>
        <w:spacing w:line="480" w:lineRule="auto"/>
        <w:jc w:val="both"/>
        <w:rPr>
          <w:rFonts w:ascii="Arial" w:hAnsi="Arial" w:cs="Arial"/>
          <w:sz w:val="24"/>
          <w:szCs w:val="24"/>
          <w:lang w:val="en-US"/>
        </w:rPr>
      </w:pPr>
      <w:r>
        <w:rPr>
          <w:rFonts w:ascii="Arial" w:hAnsi="Arial" w:cs="Arial"/>
          <w:sz w:val="24"/>
          <w:szCs w:val="24"/>
          <w:lang w:val="en-US"/>
        </w:rPr>
        <w:t>Date of hearing:  17 &amp; 18 October 2023</w:t>
      </w:r>
    </w:p>
    <w:p w14:paraId="606A93F6" w14:textId="77777777" w:rsidR="00154FA5" w:rsidRDefault="005F46B0" w:rsidP="00154FA5">
      <w:pPr>
        <w:pStyle w:val="ListParagraph"/>
        <w:spacing w:line="480" w:lineRule="auto"/>
        <w:jc w:val="both"/>
        <w:rPr>
          <w:rFonts w:ascii="Arial" w:hAnsi="Arial" w:cs="Arial"/>
          <w:sz w:val="24"/>
          <w:szCs w:val="24"/>
          <w:lang w:val="en-US"/>
        </w:rPr>
      </w:pPr>
      <w:r>
        <w:rPr>
          <w:rFonts w:ascii="Arial" w:hAnsi="Arial" w:cs="Arial"/>
          <w:sz w:val="24"/>
          <w:szCs w:val="24"/>
          <w:lang w:val="en-US"/>
        </w:rPr>
        <w:t xml:space="preserve">Date of judgment:  6 November </w:t>
      </w:r>
      <w:r w:rsidR="00154FA5">
        <w:rPr>
          <w:rFonts w:ascii="Arial" w:hAnsi="Arial" w:cs="Arial"/>
          <w:sz w:val="24"/>
          <w:szCs w:val="24"/>
          <w:lang w:val="en-US"/>
        </w:rPr>
        <w:t>2023</w:t>
      </w:r>
    </w:p>
    <w:p w14:paraId="73BB252B" w14:textId="77777777" w:rsidR="00154FA5" w:rsidRDefault="00154FA5" w:rsidP="00154FA5">
      <w:pPr>
        <w:pStyle w:val="ListParagraph"/>
        <w:spacing w:line="480" w:lineRule="auto"/>
        <w:jc w:val="both"/>
        <w:rPr>
          <w:rFonts w:ascii="Arial" w:hAnsi="Arial" w:cs="Arial"/>
          <w:sz w:val="24"/>
          <w:szCs w:val="24"/>
          <w:lang w:val="en-US"/>
        </w:rPr>
      </w:pPr>
    </w:p>
    <w:p w14:paraId="6D8DCEE4" w14:textId="77777777" w:rsidR="00154FA5" w:rsidRPr="00D278C2" w:rsidRDefault="00154FA5" w:rsidP="00D278C2">
      <w:pPr>
        <w:pStyle w:val="ListParagraph"/>
        <w:spacing w:line="480" w:lineRule="auto"/>
        <w:jc w:val="both"/>
        <w:rPr>
          <w:rFonts w:ascii="Arial" w:hAnsi="Arial" w:cs="Arial"/>
          <w:sz w:val="24"/>
          <w:szCs w:val="24"/>
          <w:lang w:val="en-US"/>
        </w:rPr>
      </w:pPr>
      <w:r>
        <w:rPr>
          <w:rFonts w:ascii="Arial" w:hAnsi="Arial" w:cs="Arial"/>
          <w:sz w:val="24"/>
          <w:szCs w:val="24"/>
          <w:lang w:val="en-US"/>
        </w:rPr>
        <w:t xml:space="preserve">Appearances: </w:t>
      </w:r>
    </w:p>
    <w:p w14:paraId="7446ECCC" w14:textId="77777777" w:rsidR="00154FA5" w:rsidRDefault="00154FA5" w:rsidP="00154FA5">
      <w:pPr>
        <w:pStyle w:val="ListParagraph"/>
        <w:spacing w:line="480" w:lineRule="auto"/>
        <w:jc w:val="both"/>
        <w:rPr>
          <w:rFonts w:ascii="Arial" w:hAnsi="Arial" w:cs="Arial"/>
          <w:sz w:val="24"/>
          <w:szCs w:val="24"/>
          <w:lang w:val="en-US"/>
        </w:rPr>
      </w:pPr>
      <w:r>
        <w:rPr>
          <w:rFonts w:ascii="Arial" w:hAnsi="Arial" w:cs="Arial"/>
          <w:sz w:val="24"/>
          <w:szCs w:val="24"/>
          <w:lang w:val="en-US"/>
        </w:rPr>
        <w:t>Applicant:  Mr JE Smit an</w:t>
      </w:r>
      <w:r w:rsidR="00D278C2">
        <w:rPr>
          <w:rFonts w:ascii="Arial" w:hAnsi="Arial" w:cs="Arial"/>
          <w:sz w:val="24"/>
          <w:szCs w:val="24"/>
          <w:lang w:val="en-US"/>
        </w:rPr>
        <w:t xml:space="preserve">d Mr PG Louw instructed by </w:t>
      </w:r>
      <w:proofErr w:type="spellStart"/>
      <w:r w:rsidR="00D278C2">
        <w:rPr>
          <w:rFonts w:ascii="Arial" w:hAnsi="Arial" w:cs="Arial"/>
          <w:sz w:val="24"/>
          <w:szCs w:val="24"/>
          <w:lang w:val="en-US"/>
        </w:rPr>
        <w:t>E</w:t>
      </w:r>
      <w:r>
        <w:rPr>
          <w:rFonts w:ascii="Arial" w:hAnsi="Arial" w:cs="Arial"/>
          <w:sz w:val="24"/>
          <w:szCs w:val="24"/>
          <w:lang w:val="en-US"/>
        </w:rPr>
        <w:t>NS</w:t>
      </w:r>
      <w:r w:rsidR="00461B43">
        <w:rPr>
          <w:rFonts w:ascii="Arial" w:hAnsi="Arial" w:cs="Arial"/>
          <w:sz w:val="24"/>
          <w:szCs w:val="24"/>
          <w:lang w:val="en-US"/>
        </w:rPr>
        <w:t>africa</w:t>
      </w:r>
      <w:proofErr w:type="spellEnd"/>
      <w:r>
        <w:rPr>
          <w:rFonts w:ascii="Arial" w:hAnsi="Arial" w:cs="Arial"/>
          <w:sz w:val="24"/>
          <w:szCs w:val="24"/>
          <w:lang w:val="en-US"/>
        </w:rPr>
        <w:t xml:space="preserve"> </w:t>
      </w:r>
      <w:r w:rsidR="00D278C2">
        <w:rPr>
          <w:rFonts w:ascii="Arial" w:hAnsi="Arial" w:cs="Arial"/>
          <w:sz w:val="24"/>
          <w:szCs w:val="24"/>
          <w:lang w:val="en-US"/>
        </w:rPr>
        <w:t>Inc</w:t>
      </w:r>
      <w:r w:rsidR="00461B43">
        <w:rPr>
          <w:rFonts w:ascii="Arial" w:hAnsi="Arial" w:cs="Arial"/>
          <w:sz w:val="24"/>
          <w:szCs w:val="24"/>
          <w:lang w:val="en-US"/>
        </w:rPr>
        <w:t>orporated</w:t>
      </w:r>
      <w:r>
        <w:rPr>
          <w:rFonts w:ascii="Arial" w:hAnsi="Arial" w:cs="Arial"/>
          <w:sz w:val="24"/>
          <w:szCs w:val="24"/>
          <w:lang w:val="en-US"/>
        </w:rPr>
        <w:t xml:space="preserve">  </w:t>
      </w:r>
    </w:p>
    <w:p w14:paraId="5FF74492" w14:textId="77777777" w:rsidR="00D278C2" w:rsidRPr="009C322F" w:rsidRDefault="00D278C2" w:rsidP="00154FA5">
      <w:pPr>
        <w:pStyle w:val="ListParagraph"/>
        <w:spacing w:line="480" w:lineRule="auto"/>
        <w:jc w:val="both"/>
        <w:rPr>
          <w:rFonts w:ascii="Arial" w:hAnsi="Arial" w:cs="Arial"/>
          <w:sz w:val="24"/>
          <w:szCs w:val="24"/>
          <w:lang w:val="en-US"/>
        </w:rPr>
      </w:pPr>
      <w:r>
        <w:rPr>
          <w:rFonts w:ascii="Arial" w:hAnsi="Arial" w:cs="Arial"/>
          <w:sz w:val="24"/>
          <w:szCs w:val="24"/>
          <w:lang w:val="en-US"/>
        </w:rPr>
        <w:t>Respondent:  Mr Mahomed instructed by Motala and Associates</w:t>
      </w:r>
    </w:p>
    <w:sectPr w:rsidR="00D278C2" w:rsidRPr="009C32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EA7F" w14:textId="77777777" w:rsidR="00BE65A5" w:rsidRDefault="00BE65A5" w:rsidP="00575059">
      <w:pPr>
        <w:spacing w:after="0" w:line="240" w:lineRule="auto"/>
      </w:pPr>
      <w:r>
        <w:separator/>
      </w:r>
    </w:p>
  </w:endnote>
  <w:endnote w:type="continuationSeparator" w:id="0">
    <w:p w14:paraId="4C8E1DB3" w14:textId="77777777" w:rsidR="00BE65A5" w:rsidRDefault="00BE65A5" w:rsidP="0057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D482" w14:textId="6D37E298" w:rsidR="00902660" w:rsidRPr="00902660" w:rsidRDefault="00902660">
    <w:pPr>
      <w:pStyle w:val="Footer"/>
      <w:jc w:val="right"/>
      <w:rPr>
        <w:b/>
        <w:bCs/>
      </w:rPr>
    </w:pPr>
    <w:r w:rsidRPr="00902660">
      <w:rPr>
        <w:b/>
        <w:bCs/>
      </w:rPr>
      <w:t xml:space="preserve">Page </w:t>
    </w:r>
    <w:sdt>
      <w:sdtPr>
        <w:rPr>
          <w:b/>
          <w:bCs/>
        </w:rPr>
        <w:id w:val="2018806100"/>
        <w:docPartObj>
          <w:docPartGallery w:val="Page Numbers (Bottom of Page)"/>
          <w:docPartUnique/>
        </w:docPartObj>
      </w:sdtPr>
      <w:sdtEndPr>
        <w:rPr>
          <w:noProof/>
        </w:rPr>
      </w:sdtEndPr>
      <w:sdtContent>
        <w:r w:rsidRPr="00902660">
          <w:rPr>
            <w:b/>
            <w:bCs/>
          </w:rPr>
          <w:fldChar w:fldCharType="begin"/>
        </w:r>
        <w:r w:rsidRPr="00902660">
          <w:rPr>
            <w:b/>
            <w:bCs/>
          </w:rPr>
          <w:instrText xml:space="preserve"> PAGE   \* MERGEFORMAT </w:instrText>
        </w:r>
        <w:r w:rsidRPr="00902660">
          <w:rPr>
            <w:b/>
            <w:bCs/>
          </w:rPr>
          <w:fldChar w:fldCharType="separate"/>
        </w:r>
        <w:r w:rsidRPr="00902660">
          <w:rPr>
            <w:b/>
            <w:bCs/>
            <w:noProof/>
          </w:rPr>
          <w:t>2</w:t>
        </w:r>
        <w:r w:rsidRPr="00902660">
          <w:rPr>
            <w:b/>
            <w:bCs/>
            <w:noProof/>
          </w:rPr>
          <w:fldChar w:fldCharType="end"/>
        </w:r>
        <w:r w:rsidRPr="00902660">
          <w:rPr>
            <w:b/>
            <w:bCs/>
            <w:noProof/>
          </w:rPr>
          <w:t xml:space="preserve"> of 26</w:t>
        </w:r>
      </w:sdtContent>
    </w:sdt>
  </w:p>
  <w:p w14:paraId="1D64DFA6" w14:textId="77777777" w:rsidR="00902660" w:rsidRDefault="0090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731C" w14:textId="77777777" w:rsidR="00BE65A5" w:rsidRDefault="00BE65A5" w:rsidP="00575059">
      <w:pPr>
        <w:spacing w:after="0" w:line="240" w:lineRule="auto"/>
      </w:pPr>
      <w:r>
        <w:separator/>
      </w:r>
    </w:p>
  </w:footnote>
  <w:footnote w:type="continuationSeparator" w:id="0">
    <w:p w14:paraId="6B94AF95" w14:textId="77777777" w:rsidR="00BE65A5" w:rsidRDefault="00BE65A5" w:rsidP="00575059">
      <w:pPr>
        <w:spacing w:after="0" w:line="240" w:lineRule="auto"/>
      </w:pPr>
      <w:r>
        <w:continuationSeparator/>
      </w:r>
    </w:p>
  </w:footnote>
  <w:footnote w:id="1">
    <w:p w14:paraId="0353ED59" w14:textId="77777777" w:rsidR="00090107" w:rsidRPr="00A479A8" w:rsidRDefault="00090107" w:rsidP="00A479A8">
      <w:pPr>
        <w:pStyle w:val="FootnoteText"/>
        <w:jc w:val="both"/>
        <w:rPr>
          <w:rFonts w:ascii="Arial" w:hAnsi="Arial" w:cs="Arial"/>
          <w:sz w:val="18"/>
          <w:szCs w:val="18"/>
          <w:lang w:val="en-US"/>
        </w:rPr>
      </w:pPr>
      <w:r w:rsidRPr="00A479A8">
        <w:rPr>
          <w:rStyle w:val="FootnoteReference"/>
          <w:rFonts w:ascii="Arial" w:hAnsi="Arial" w:cs="Arial"/>
          <w:sz w:val="18"/>
          <w:szCs w:val="18"/>
        </w:rPr>
        <w:footnoteRef/>
      </w:r>
      <w:r w:rsidRPr="00A479A8">
        <w:rPr>
          <w:rFonts w:ascii="Arial" w:hAnsi="Arial" w:cs="Arial"/>
          <w:sz w:val="18"/>
          <w:szCs w:val="18"/>
        </w:rPr>
        <w:t xml:space="preserve"> </w:t>
      </w:r>
      <w:r w:rsidRPr="00A479A8">
        <w:rPr>
          <w:rFonts w:ascii="Arial" w:hAnsi="Arial" w:cs="Arial"/>
          <w:sz w:val="18"/>
          <w:szCs w:val="18"/>
          <w:lang w:val="en-US"/>
        </w:rPr>
        <w:t xml:space="preserve">Investec Bank Limited is acting through </w:t>
      </w:r>
      <w:proofErr w:type="gramStart"/>
      <w:r w:rsidRPr="00A479A8">
        <w:rPr>
          <w:rFonts w:ascii="Arial" w:hAnsi="Arial" w:cs="Arial"/>
          <w:sz w:val="18"/>
          <w:szCs w:val="18"/>
          <w:lang w:val="en-US"/>
        </w:rPr>
        <w:t>it</w:t>
      </w:r>
      <w:proofErr w:type="gramEnd"/>
      <w:r w:rsidRPr="00A479A8">
        <w:rPr>
          <w:rFonts w:ascii="Arial" w:hAnsi="Arial" w:cs="Arial"/>
          <w:sz w:val="18"/>
          <w:szCs w:val="18"/>
          <w:lang w:val="en-US"/>
        </w:rPr>
        <w:t xml:space="preserve"> private bank division, and is registered as a commercial bank with registration number 1969/004763/06.  </w:t>
      </w:r>
    </w:p>
  </w:footnote>
  <w:footnote w:id="2">
    <w:p w14:paraId="45C533F7" w14:textId="77777777" w:rsidR="00090107" w:rsidRPr="00A479A8" w:rsidRDefault="00090107" w:rsidP="00A479A8">
      <w:pPr>
        <w:pStyle w:val="FootnoteText"/>
        <w:jc w:val="both"/>
        <w:rPr>
          <w:lang w:val="en-US"/>
        </w:rPr>
      </w:pPr>
      <w:r w:rsidRPr="00A479A8">
        <w:rPr>
          <w:rStyle w:val="FootnoteReference"/>
          <w:rFonts w:ascii="Arial" w:hAnsi="Arial" w:cs="Arial"/>
          <w:sz w:val="18"/>
          <w:szCs w:val="18"/>
        </w:rPr>
        <w:footnoteRef/>
      </w:r>
      <w:r w:rsidRPr="00A479A8">
        <w:rPr>
          <w:rFonts w:ascii="Arial" w:hAnsi="Arial" w:cs="Arial"/>
          <w:sz w:val="18"/>
          <w:szCs w:val="18"/>
        </w:rPr>
        <w:t xml:space="preserve"> </w:t>
      </w:r>
      <w:r w:rsidRPr="00A479A8">
        <w:rPr>
          <w:rFonts w:ascii="Arial" w:hAnsi="Arial" w:cs="Arial"/>
          <w:sz w:val="18"/>
          <w:szCs w:val="18"/>
          <w:lang w:val="en-US"/>
        </w:rPr>
        <w:t>BIG is a private company with registration number 2000/002131/07.</w:t>
      </w:r>
    </w:p>
  </w:footnote>
  <w:footnote w:id="3">
    <w:p w14:paraId="39677342" w14:textId="77777777" w:rsidR="00090107" w:rsidRPr="005E6791" w:rsidRDefault="00090107" w:rsidP="005E6791">
      <w:pPr>
        <w:pStyle w:val="FootnoteText"/>
        <w:jc w:val="both"/>
        <w:rPr>
          <w:rFonts w:ascii="Arial" w:hAnsi="Arial" w:cs="Arial"/>
          <w:sz w:val="18"/>
          <w:szCs w:val="18"/>
          <w:lang w:val="en-US"/>
        </w:rPr>
      </w:pPr>
      <w:r w:rsidRPr="005E6791">
        <w:rPr>
          <w:rStyle w:val="FootnoteReference"/>
          <w:rFonts w:ascii="Arial" w:hAnsi="Arial" w:cs="Arial"/>
          <w:sz w:val="18"/>
          <w:szCs w:val="18"/>
        </w:rPr>
        <w:footnoteRef/>
      </w:r>
      <w:r w:rsidRPr="005E6791">
        <w:rPr>
          <w:rFonts w:ascii="Arial" w:hAnsi="Arial" w:cs="Arial"/>
          <w:sz w:val="18"/>
          <w:szCs w:val="18"/>
        </w:rPr>
        <w:t xml:space="preserve"> </w:t>
      </w:r>
      <w:r w:rsidRPr="005E6791">
        <w:rPr>
          <w:rFonts w:ascii="Arial" w:hAnsi="Arial" w:cs="Arial"/>
          <w:sz w:val="18"/>
          <w:szCs w:val="18"/>
          <w:lang w:val="en-US"/>
        </w:rPr>
        <w:t>The terms of the postponement are detailed in an order I made in that application on 18 October 2023.</w:t>
      </w:r>
    </w:p>
  </w:footnote>
  <w:footnote w:id="4">
    <w:p w14:paraId="50BD845E" w14:textId="77777777" w:rsidR="00090107" w:rsidRPr="0068058F" w:rsidRDefault="00090107" w:rsidP="0068058F">
      <w:pPr>
        <w:pStyle w:val="FootnoteText"/>
        <w:jc w:val="both"/>
        <w:rPr>
          <w:sz w:val="18"/>
          <w:szCs w:val="18"/>
          <w:lang w:val="en-US"/>
        </w:rPr>
      </w:pPr>
      <w:r w:rsidRPr="0068058F">
        <w:rPr>
          <w:rStyle w:val="FootnoteReference"/>
          <w:sz w:val="18"/>
          <w:szCs w:val="18"/>
        </w:rPr>
        <w:footnoteRef/>
      </w:r>
      <w:r w:rsidRPr="0068058F">
        <w:rPr>
          <w:sz w:val="18"/>
          <w:szCs w:val="18"/>
        </w:rPr>
        <w:t xml:space="preserve"> </w:t>
      </w:r>
      <w:r w:rsidRPr="0068058F">
        <w:rPr>
          <w:rFonts w:ascii="Arial" w:hAnsi="Arial" w:cs="Arial"/>
          <w:sz w:val="18"/>
          <w:szCs w:val="18"/>
          <w:lang w:val="en-US"/>
        </w:rPr>
        <w:t>In circumstances where BIG had delivered no answering affidavit and no heads of argument, BIG’s counsel was constrained to argue the matter on the applicant’s papers.  I provided BIG’s counsel a full opportunity to do so mindful that Investec’s counsel would then be constrained to respond without the benefit of heads of argument.</w:t>
      </w:r>
    </w:p>
  </w:footnote>
  <w:footnote w:id="5">
    <w:p w14:paraId="118BD860" w14:textId="77777777" w:rsidR="00090107" w:rsidRPr="0068058F" w:rsidRDefault="00090107" w:rsidP="0068058F">
      <w:pPr>
        <w:pStyle w:val="FootnoteText"/>
        <w:jc w:val="both"/>
        <w:rPr>
          <w:rFonts w:ascii="Arial" w:hAnsi="Arial" w:cs="Arial"/>
          <w:sz w:val="18"/>
          <w:szCs w:val="18"/>
          <w:lang w:val="en-US"/>
        </w:rPr>
      </w:pPr>
      <w:r w:rsidRPr="0068058F">
        <w:rPr>
          <w:rStyle w:val="FootnoteReference"/>
          <w:rFonts w:ascii="Arial" w:hAnsi="Arial" w:cs="Arial"/>
          <w:sz w:val="18"/>
          <w:szCs w:val="18"/>
        </w:rPr>
        <w:footnoteRef/>
      </w:r>
      <w:r w:rsidRPr="0068058F">
        <w:rPr>
          <w:rFonts w:ascii="Arial" w:hAnsi="Arial" w:cs="Arial"/>
          <w:sz w:val="18"/>
          <w:szCs w:val="18"/>
        </w:rPr>
        <w:t xml:space="preserve"> </w:t>
      </w:r>
      <w:r w:rsidRPr="0068058F">
        <w:rPr>
          <w:rFonts w:ascii="Arial" w:hAnsi="Arial" w:cs="Arial"/>
          <w:sz w:val="18"/>
          <w:szCs w:val="18"/>
          <w:lang w:val="en-US"/>
        </w:rPr>
        <w:t xml:space="preserve">I had initially hoped to give my reasons for dismissing both </w:t>
      </w:r>
      <w:proofErr w:type="gramStart"/>
      <w:r w:rsidRPr="0068058F">
        <w:rPr>
          <w:rFonts w:ascii="Arial" w:hAnsi="Arial" w:cs="Arial"/>
          <w:sz w:val="18"/>
          <w:szCs w:val="18"/>
          <w:lang w:val="en-US"/>
        </w:rPr>
        <w:t>counter-claims</w:t>
      </w:r>
      <w:proofErr w:type="gramEnd"/>
      <w:r w:rsidRPr="0068058F">
        <w:rPr>
          <w:rFonts w:ascii="Arial" w:hAnsi="Arial" w:cs="Arial"/>
          <w:sz w:val="18"/>
          <w:szCs w:val="18"/>
          <w:lang w:val="en-US"/>
        </w:rPr>
        <w:t xml:space="preserve"> on 18 October 2023 before proceeding with argument in the winding up, but time constraints precluded this.</w:t>
      </w:r>
      <w:r>
        <w:rPr>
          <w:rFonts w:ascii="Arial" w:hAnsi="Arial" w:cs="Arial"/>
          <w:sz w:val="18"/>
          <w:szCs w:val="18"/>
          <w:lang w:val="en-US"/>
        </w:rPr>
        <w:t xml:space="preserve"> At this juncture it is convenient to deal with the two decisions in the liquidation application. </w:t>
      </w:r>
    </w:p>
  </w:footnote>
  <w:footnote w:id="6">
    <w:p w14:paraId="3CF8A6A1" w14:textId="77777777" w:rsidR="00090107" w:rsidRPr="00CE0D4F" w:rsidRDefault="00090107" w:rsidP="00CE0D4F">
      <w:pPr>
        <w:spacing w:after="0"/>
        <w:jc w:val="both"/>
        <w:rPr>
          <w:rFonts w:ascii="Arial" w:eastAsia="Times New Roman" w:hAnsi="Arial" w:cs="Arial"/>
          <w:color w:val="000000"/>
          <w:sz w:val="18"/>
          <w:szCs w:val="18"/>
          <w:lang w:eastAsia="en-ZA"/>
        </w:rPr>
      </w:pPr>
      <w:r w:rsidRPr="00292301">
        <w:rPr>
          <w:rStyle w:val="FootnoteReference"/>
          <w:rFonts w:ascii="Arial" w:hAnsi="Arial" w:cs="Arial"/>
          <w:sz w:val="18"/>
          <w:szCs w:val="18"/>
        </w:rPr>
        <w:footnoteRef/>
      </w:r>
      <w:r w:rsidRPr="00292301">
        <w:rPr>
          <w:rFonts w:ascii="Arial" w:hAnsi="Arial" w:cs="Arial"/>
          <w:sz w:val="18"/>
          <w:szCs w:val="18"/>
        </w:rPr>
        <w:t xml:space="preserve"> Section 344 it titled ‘</w:t>
      </w:r>
      <w:r w:rsidRPr="00292301">
        <w:rPr>
          <w:rFonts w:ascii="Arial" w:eastAsia="Times New Roman" w:hAnsi="Arial" w:cs="Arial"/>
          <w:bCs/>
          <w:color w:val="000000"/>
          <w:sz w:val="18"/>
          <w:szCs w:val="18"/>
          <w:lang w:eastAsia="en-ZA"/>
        </w:rPr>
        <w:t xml:space="preserve">Circumstances in which company may be wound up by Court’ and </w:t>
      </w:r>
      <w:r>
        <w:rPr>
          <w:rFonts w:ascii="Arial" w:eastAsia="Times New Roman" w:hAnsi="Arial" w:cs="Arial"/>
          <w:bCs/>
          <w:color w:val="000000"/>
          <w:sz w:val="18"/>
          <w:szCs w:val="18"/>
          <w:lang w:eastAsia="en-ZA"/>
        </w:rPr>
        <w:t>section 344(f) makes provision for such winding up when ‘</w:t>
      </w:r>
      <w:r w:rsidRPr="00292301">
        <w:rPr>
          <w:rFonts w:ascii="Arial" w:eastAsia="Times New Roman" w:hAnsi="Arial" w:cs="Arial"/>
          <w:color w:val="000000"/>
          <w:sz w:val="18"/>
          <w:szCs w:val="18"/>
          <w:lang w:eastAsia="en-ZA"/>
        </w:rPr>
        <w:t>the company is unable to pay its debts as described in section 345</w:t>
      </w:r>
      <w:r>
        <w:rPr>
          <w:rFonts w:ascii="Arial" w:eastAsia="Times New Roman" w:hAnsi="Arial" w:cs="Arial"/>
          <w:color w:val="000000"/>
          <w:sz w:val="18"/>
          <w:szCs w:val="18"/>
          <w:lang w:eastAsia="en-ZA"/>
        </w:rPr>
        <w:t>.’</w:t>
      </w:r>
    </w:p>
  </w:footnote>
  <w:footnote w:id="7">
    <w:p w14:paraId="2A1D3A78" w14:textId="77777777" w:rsidR="00090107" w:rsidRPr="00292301" w:rsidRDefault="00090107" w:rsidP="00F21371">
      <w:pPr>
        <w:spacing w:after="0"/>
        <w:jc w:val="both"/>
        <w:rPr>
          <w:rFonts w:ascii="Arial" w:eastAsia="Times New Roman" w:hAnsi="Arial" w:cs="Arial"/>
          <w:bCs/>
          <w:color w:val="000000"/>
          <w:sz w:val="18"/>
          <w:szCs w:val="18"/>
          <w:lang w:eastAsia="en-ZA"/>
        </w:rPr>
      </w:pPr>
      <w:r w:rsidRPr="00292301">
        <w:rPr>
          <w:rStyle w:val="FootnoteReference"/>
          <w:rFonts w:ascii="Arial" w:hAnsi="Arial" w:cs="Arial"/>
          <w:sz w:val="18"/>
          <w:szCs w:val="18"/>
        </w:rPr>
        <w:footnoteRef/>
      </w:r>
      <w:r w:rsidRPr="00292301">
        <w:rPr>
          <w:rFonts w:ascii="Arial" w:hAnsi="Arial" w:cs="Arial"/>
          <w:sz w:val="18"/>
          <w:szCs w:val="18"/>
        </w:rPr>
        <w:t xml:space="preserve"> Section </w:t>
      </w:r>
      <w:r w:rsidRPr="00292301">
        <w:rPr>
          <w:rFonts w:ascii="Arial" w:eastAsia="Times New Roman" w:hAnsi="Arial" w:cs="Arial"/>
          <w:bCs/>
          <w:color w:val="000000"/>
          <w:sz w:val="18"/>
          <w:szCs w:val="18"/>
          <w:lang w:eastAsia="en-ZA"/>
        </w:rPr>
        <w:t>345 is titled ‘When company deemed unable to pay its debts’ and provides</w:t>
      </w:r>
      <w:bookmarkStart w:id="3" w:name="0-0-0-993983"/>
      <w:bookmarkEnd w:id="3"/>
      <w:r>
        <w:rPr>
          <w:rFonts w:ascii="Arial" w:eastAsia="Times New Roman" w:hAnsi="Arial" w:cs="Arial"/>
          <w:bCs/>
          <w:color w:val="000000"/>
          <w:sz w:val="18"/>
          <w:szCs w:val="18"/>
          <w:lang w:eastAsia="en-ZA"/>
        </w:rPr>
        <w:t>.</w:t>
      </w:r>
    </w:p>
    <w:p w14:paraId="3E58C81D" w14:textId="77777777" w:rsidR="00090107" w:rsidRPr="00292301" w:rsidRDefault="00090107" w:rsidP="00F21371">
      <w:pPr>
        <w:spacing w:after="0"/>
        <w:jc w:val="both"/>
        <w:rPr>
          <w:rFonts w:ascii="Arial" w:eastAsia="Times New Roman" w:hAnsi="Arial" w:cs="Arial"/>
          <w:bCs/>
          <w:color w:val="000000"/>
          <w:sz w:val="18"/>
          <w:szCs w:val="18"/>
          <w:lang w:eastAsia="en-ZA"/>
        </w:rPr>
      </w:pPr>
      <w:r w:rsidRPr="00292301">
        <w:rPr>
          <w:rFonts w:ascii="Arial" w:eastAsia="Times New Roman" w:hAnsi="Arial" w:cs="Arial"/>
          <w:color w:val="000000"/>
          <w:sz w:val="18"/>
          <w:szCs w:val="18"/>
          <w:lang w:eastAsia="en-ZA"/>
        </w:rPr>
        <w:t>(1) A company or body corporate shall be deemed to be unable to pay its debts if-</w:t>
      </w:r>
    </w:p>
    <w:p w14:paraId="6F01D50D" w14:textId="77777777" w:rsidR="00090107" w:rsidRPr="00292301" w:rsidRDefault="00090107" w:rsidP="00F21371">
      <w:pPr>
        <w:spacing w:after="0" w:line="240" w:lineRule="auto"/>
        <w:ind w:left="851" w:hanging="709"/>
        <w:jc w:val="both"/>
        <w:rPr>
          <w:rFonts w:ascii="Arial" w:eastAsia="Times New Roman" w:hAnsi="Arial" w:cs="Arial"/>
          <w:color w:val="000000"/>
          <w:sz w:val="18"/>
          <w:szCs w:val="18"/>
          <w:lang w:eastAsia="en-ZA"/>
        </w:rPr>
      </w:pPr>
      <w:r w:rsidRPr="00292301">
        <w:rPr>
          <w:rFonts w:ascii="Arial" w:eastAsia="Times New Roman" w:hAnsi="Arial" w:cs="Arial"/>
          <w:color w:val="000000"/>
          <w:sz w:val="18"/>
          <w:szCs w:val="18"/>
          <w:lang w:eastAsia="en-ZA"/>
        </w:rPr>
        <w:t>   </w:t>
      </w:r>
      <w:bookmarkStart w:id="4" w:name="0-0-0-993985"/>
      <w:bookmarkEnd w:id="4"/>
      <w:r w:rsidRPr="00292301">
        <w:rPr>
          <w:rFonts w:ascii="Arial" w:eastAsia="Times New Roman" w:hAnsi="Arial" w:cs="Arial"/>
          <w:i/>
          <w:iCs/>
          <w:color w:val="000000"/>
          <w:sz w:val="18"/>
          <w:szCs w:val="18"/>
          <w:lang w:eastAsia="en-ZA"/>
        </w:rPr>
        <w:t>(a)</w:t>
      </w:r>
      <w:r w:rsidRPr="00292301">
        <w:rPr>
          <w:rFonts w:ascii="Arial" w:eastAsia="Times New Roman" w:hAnsi="Arial" w:cs="Arial"/>
          <w:color w:val="000000"/>
          <w:sz w:val="18"/>
          <w:szCs w:val="18"/>
          <w:lang w:eastAsia="en-ZA"/>
        </w:rPr>
        <w:t>   a creditor, by cession or otherwise, to whom the company is indebted in a sum not less than one hundred rand then due-</w:t>
      </w:r>
    </w:p>
    <w:p w14:paraId="34574FBB" w14:textId="77777777" w:rsidR="00090107" w:rsidRPr="00292301" w:rsidRDefault="00090107" w:rsidP="00F21371">
      <w:pPr>
        <w:spacing w:after="0" w:line="240" w:lineRule="auto"/>
        <w:ind w:left="1134" w:hanging="708"/>
        <w:jc w:val="both"/>
        <w:rPr>
          <w:rFonts w:ascii="Arial" w:eastAsia="Times New Roman" w:hAnsi="Arial" w:cs="Arial"/>
          <w:color w:val="000000"/>
          <w:sz w:val="18"/>
          <w:szCs w:val="18"/>
          <w:lang w:eastAsia="en-ZA"/>
        </w:rPr>
      </w:pPr>
      <w:r w:rsidRPr="00292301">
        <w:rPr>
          <w:rFonts w:ascii="Arial" w:eastAsia="Times New Roman" w:hAnsi="Arial" w:cs="Arial"/>
          <w:color w:val="000000"/>
          <w:sz w:val="18"/>
          <w:szCs w:val="18"/>
          <w:lang w:eastAsia="en-ZA"/>
        </w:rPr>
        <w:t>     </w:t>
      </w:r>
      <w:bookmarkStart w:id="5" w:name="0-0-0-993987"/>
      <w:bookmarkEnd w:id="5"/>
      <w:r w:rsidRPr="00292301">
        <w:rPr>
          <w:rFonts w:ascii="Arial" w:eastAsia="Times New Roman" w:hAnsi="Arial" w:cs="Arial"/>
          <w:color w:val="000000"/>
          <w:sz w:val="18"/>
          <w:szCs w:val="18"/>
          <w:lang w:eastAsia="en-ZA"/>
        </w:rPr>
        <w:t>(</w:t>
      </w:r>
      <w:proofErr w:type="spellStart"/>
      <w:r w:rsidRPr="00292301">
        <w:rPr>
          <w:rFonts w:ascii="Arial" w:eastAsia="Times New Roman" w:hAnsi="Arial" w:cs="Arial"/>
          <w:color w:val="000000"/>
          <w:sz w:val="18"/>
          <w:szCs w:val="18"/>
          <w:lang w:eastAsia="en-ZA"/>
        </w:rPr>
        <w:t>i</w:t>
      </w:r>
      <w:proofErr w:type="spellEnd"/>
      <w:r w:rsidRPr="00292301">
        <w:rPr>
          <w:rFonts w:ascii="Arial" w:eastAsia="Times New Roman" w:hAnsi="Arial" w:cs="Arial"/>
          <w:color w:val="000000"/>
          <w:sz w:val="18"/>
          <w:szCs w:val="18"/>
          <w:lang w:eastAsia="en-ZA"/>
        </w:rPr>
        <w:t>)  has served on the company, by leaving the s</w:t>
      </w:r>
      <w:r>
        <w:rPr>
          <w:rFonts w:ascii="Arial" w:eastAsia="Times New Roman" w:hAnsi="Arial" w:cs="Arial"/>
          <w:color w:val="000000"/>
          <w:sz w:val="18"/>
          <w:szCs w:val="18"/>
          <w:lang w:eastAsia="en-ZA"/>
        </w:rPr>
        <w:t>ame at its registered office, a</w:t>
      </w:r>
      <w:r w:rsidRPr="00292301">
        <w:rPr>
          <w:rFonts w:ascii="Arial" w:eastAsia="Times New Roman" w:hAnsi="Arial" w:cs="Arial"/>
          <w:color w:val="000000"/>
          <w:sz w:val="18"/>
          <w:szCs w:val="18"/>
          <w:lang w:eastAsia="en-ZA"/>
        </w:rPr>
        <w:t xml:space="preserve"> demand requiring the company to pay the sum so due; or</w:t>
      </w:r>
    </w:p>
    <w:p w14:paraId="149A8417" w14:textId="77777777" w:rsidR="00090107" w:rsidRDefault="00090107" w:rsidP="00F21371">
      <w:pPr>
        <w:spacing w:after="0" w:line="240" w:lineRule="auto"/>
        <w:ind w:left="1134" w:hanging="417"/>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(ii)  in the case of </w:t>
      </w:r>
      <w:proofErr w:type="spellStart"/>
      <w:r>
        <w:rPr>
          <w:rFonts w:ascii="Arial" w:eastAsia="Times New Roman" w:hAnsi="Arial" w:cs="Arial"/>
          <w:color w:val="000000"/>
          <w:sz w:val="18"/>
          <w:szCs w:val="18"/>
          <w:lang w:eastAsia="en-ZA"/>
        </w:rPr>
        <w:t xml:space="preserve">any </w:t>
      </w:r>
      <w:r w:rsidRPr="00292301">
        <w:rPr>
          <w:rFonts w:ascii="Arial" w:eastAsia="Times New Roman" w:hAnsi="Arial" w:cs="Arial"/>
          <w:color w:val="000000"/>
          <w:sz w:val="18"/>
          <w:szCs w:val="18"/>
          <w:lang w:eastAsia="en-ZA"/>
        </w:rPr>
        <w:t>body</w:t>
      </w:r>
      <w:proofErr w:type="spellEnd"/>
      <w:r w:rsidRPr="00292301">
        <w:rPr>
          <w:rFonts w:ascii="Arial" w:eastAsia="Times New Roman" w:hAnsi="Arial" w:cs="Arial"/>
          <w:color w:val="000000"/>
          <w:sz w:val="18"/>
          <w:szCs w:val="18"/>
          <w:lang w:eastAsia="en-ZA"/>
        </w:rPr>
        <w:t xml:space="preserve"> corporate not incorporated under this Act, has served such demand by leaving it at its main office or delivering it to the secretary or some director, </w:t>
      </w:r>
      <w:proofErr w:type="gramStart"/>
      <w:r w:rsidRPr="00292301">
        <w:rPr>
          <w:rFonts w:ascii="Arial" w:eastAsia="Times New Roman" w:hAnsi="Arial" w:cs="Arial"/>
          <w:color w:val="000000"/>
          <w:sz w:val="18"/>
          <w:szCs w:val="18"/>
          <w:lang w:eastAsia="en-ZA"/>
        </w:rPr>
        <w:t>manager</w:t>
      </w:r>
      <w:proofErr w:type="gramEnd"/>
      <w:r w:rsidRPr="00292301">
        <w:rPr>
          <w:rFonts w:ascii="Arial" w:eastAsia="Times New Roman" w:hAnsi="Arial" w:cs="Arial"/>
          <w:color w:val="000000"/>
          <w:sz w:val="18"/>
          <w:szCs w:val="18"/>
          <w:lang w:eastAsia="en-ZA"/>
        </w:rPr>
        <w:t xml:space="preserve"> or principal officer of such body corporate or in such other manner as the Court may direct, </w:t>
      </w:r>
    </w:p>
    <w:p w14:paraId="06CA20F4" w14:textId="77777777" w:rsidR="00090107" w:rsidRPr="00292301" w:rsidRDefault="00090107" w:rsidP="00F21371">
      <w:pPr>
        <w:spacing w:after="0" w:line="240" w:lineRule="auto"/>
        <w:ind w:left="1134" w:hanging="417"/>
        <w:jc w:val="both"/>
        <w:rPr>
          <w:rFonts w:ascii="Arial" w:eastAsia="Times New Roman" w:hAnsi="Arial" w:cs="Arial"/>
          <w:color w:val="000000"/>
          <w:sz w:val="18"/>
          <w:szCs w:val="18"/>
          <w:lang w:eastAsia="en-ZA"/>
        </w:rPr>
      </w:pPr>
      <w:r w:rsidRPr="00292301">
        <w:rPr>
          <w:rFonts w:ascii="Arial" w:eastAsia="Times New Roman" w:hAnsi="Arial" w:cs="Arial"/>
          <w:color w:val="000000"/>
          <w:sz w:val="18"/>
          <w:szCs w:val="18"/>
          <w:lang w:eastAsia="en-ZA"/>
        </w:rPr>
        <w:t>and the company or body corporate has for three weeks thereafter neglected to pay the sum, or to secure or compound for it to the reasonable satisfaction of the creditor; or</w:t>
      </w:r>
    </w:p>
    <w:p w14:paraId="135EE5C5" w14:textId="77777777" w:rsidR="00090107" w:rsidRPr="00292301" w:rsidRDefault="00090107" w:rsidP="00F21371">
      <w:pPr>
        <w:spacing w:after="0" w:line="240" w:lineRule="auto"/>
        <w:ind w:left="851" w:hanging="737"/>
        <w:jc w:val="both"/>
        <w:rPr>
          <w:rFonts w:ascii="Arial" w:eastAsia="Times New Roman" w:hAnsi="Arial" w:cs="Arial"/>
          <w:color w:val="000000"/>
          <w:sz w:val="18"/>
          <w:szCs w:val="18"/>
          <w:lang w:eastAsia="en-ZA"/>
        </w:rPr>
      </w:pPr>
      <w:r w:rsidRPr="00292301">
        <w:rPr>
          <w:rFonts w:ascii="Arial" w:eastAsia="Times New Roman" w:hAnsi="Arial" w:cs="Arial"/>
          <w:color w:val="000000"/>
          <w:sz w:val="18"/>
          <w:szCs w:val="18"/>
          <w:lang w:eastAsia="en-ZA"/>
        </w:rPr>
        <w:t>   </w:t>
      </w:r>
      <w:bookmarkStart w:id="6" w:name="0-0-0-993991"/>
      <w:bookmarkEnd w:id="6"/>
      <w:r w:rsidRPr="00292301">
        <w:rPr>
          <w:rFonts w:ascii="Arial" w:eastAsia="Times New Roman" w:hAnsi="Arial" w:cs="Arial"/>
          <w:color w:val="000000"/>
          <w:sz w:val="18"/>
          <w:szCs w:val="18"/>
          <w:lang w:eastAsia="en-ZA"/>
        </w:rPr>
        <w:t xml:space="preserve"> </w:t>
      </w:r>
      <w:r w:rsidRPr="00292301">
        <w:rPr>
          <w:rFonts w:ascii="Arial" w:eastAsia="Times New Roman" w:hAnsi="Arial" w:cs="Arial"/>
          <w:i/>
          <w:iCs/>
          <w:color w:val="000000"/>
          <w:sz w:val="18"/>
          <w:szCs w:val="18"/>
          <w:lang w:eastAsia="en-ZA"/>
        </w:rPr>
        <w:t>(b)</w:t>
      </w:r>
      <w:r w:rsidRPr="00292301">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 xml:space="preserve"> </w:t>
      </w:r>
      <w:r w:rsidRPr="00292301">
        <w:rPr>
          <w:rFonts w:ascii="Arial" w:eastAsia="Times New Roman" w:hAnsi="Arial" w:cs="Arial"/>
          <w:color w:val="000000"/>
          <w:sz w:val="18"/>
          <w:szCs w:val="18"/>
          <w:lang w:eastAsia="en-ZA"/>
        </w:rPr>
        <w:t xml:space="preserve">any process issued on a judgment, </w:t>
      </w:r>
      <w:proofErr w:type="gramStart"/>
      <w:r w:rsidRPr="00292301">
        <w:rPr>
          <w:rFonts w:ascii="Arial" w:eastAsia="Times New Roman" w:hAnsi="Arial" w:cs="Arial"/>
          <w:color w:val="000000"/>
          <w:sz w:val="18"/>
          <w:szCs w:val="18"/>
          <w:lang w:eastAsia="en-ZA"/>
        </w:rPr>
        <w:t>decree</w:t>
      </w:r>
      <w:proofErr w:type="gramEnd"/>
      <w:r w:rsidRPr="00292301">
        <w:rPr>
          <w:rFonts w:ascii="Arial" w:eastAsia="Times New Roman" w:hAnsi="Arial" w:cs="Arial"/>
          <w:color w:val="000000"/>
          <w:sz w:val="18"/>
          <w:szCs w:val="18"/>
          <w:lang w:eastAsia="en-ZA"/>
        </w:rPr>
        <w:t xml:space="preserve"> or order of any court in favour of a creditor of the company is returned by the sheriff or the messenger with an endorsement that he has not found sufficient disposable property to satisfy the judgment, decree or order or that any disposable property found did not upon sale satisfy such process; or</w:t>
      </w:r>
    </w:p>
    <w:p w14:paraId="3AA161BA" w14:textId="77777777" w:rsidR="00090107" w:rsidRPr="00292301" w:rsidRDefault="00090107" w:rsidP="00F21371">
      <w:pPr>
        <w:spacing w:after="0" w:line="240" w:lineRule="auto"/>
        <w:ind w:left="851" w:hanging="567"/>
        <w:jc w:val="both"/>
        <w:rPr>
          <w:rFonts w:ascii="Arial" w:eastAsia="Times New Roman" w:hAnsi="Arial" w:cs="Arial"/>
          <w:color w:val="000000"/>
          <w:sz w:val="18"/>
          <w:szCs w:val="18"/>
          <w:lang w:eastAsia="en-ZA"/>
        </w:rPr>
      </w:pPr>
      <w:r w:rsidRPr="00292301">
        <w:rPr>
          <w:rFonts w:ascii="Arial" w:eastAsia="Times New Roman" w:hAnsi="Arial" w:cs="Arial"/>
          <w:i/>
          <w:iCs/>
          <w:color w:val="000000"/>
          <w:sz w:val="18"/>
          <w:szCs w:val="18"/>
          <w:lang w:eastAsia="en-ZA"/>
        </w:rPr>
        <w:t>(c)</w:t>
      </w:r>
      <w:r w:rsidRPr="00292301">
        <w:rPr>
          <w:rFonts w:ascii="Arial" w:eastAsia="Times New Roman" w:hAnsi="Arial" w:cs="Arial"/>
          <w:color w:val="000000"/>
          <w:sz w:val="18"/>
          <w:szCs w:val="18"/>
          <w:lang w:eastAsia="en-ZA"/>
        </w:rPr>
        <w:t>    it is proved to the satisfaction of the Court that t</w:t>
      </w:r>
      <w:r>
        <w:rPr>
          <w:rFonts w:ascii="Arial" w:eastAsia="Times New Roman" w:hAnsi="Arial" w:cs="Arial"/>
          <w:color w:val="000000"/>
          <w:sz w:val="18"/>
          <w:szCs w:val="18"/>
          <w:lang w:eastAsia="en-ZA"/>
        </w:rPr>
        <w:t>he company is unable to pay its</w:t>
      </w:r>
      <w:r w:rsidRPr="00292301">
        <w:rPr>
          <w:rFonts w:ascii="Arial" w:eastAsia="Times New Roman" w:hAnsi="Arial" w:cs="Arial"/>
          <w:color w:val="000000"/>
          <w:sz w:val="18"/>
          <w:szCs w:val="18"/>
          <w:lang w:eastAsia="en-ZA"/>
        </w:rPr>
        <w:t xml:space="preserve"> debts.</w:t>
      </w:r>
    </w:p>
    <w:p w14:paraId="5C2EE806" w14:textId="77777777" w:rsidR="00090107" w:rsidRPr="00292301" w:rsidRDefault="00090107" w:rsidP="00F21371">
      <w:pPr>
        <w:spacing w:after="0" w:line="240" w:lineRule="auto"/>
        <w:ind w:left="851" w:hanging="567"/>
        <w:jc w:val="both"/>
        <w:rPr>
          <w:rFonts w:ascii="Verdana" w:eastAsia="Times New Roman" w:hAnsi="Verdana" w:cs="Times New Roman"/>
          <w:color w:val="000000"/>
          <w:sz w:val="20"/>
          <w:szCs w:val="20"/>
          <w:lang w:eastAsia="en-ZA"/>
        </w:rPr>
      </w:pPr>
      <w:bookmarkStart w:id="7" w:name="0-0-0-993995"/>
      <w:bookmarkEnd w:id="7"/>
      <w:r w:rsidRPr="00292301">
        <w:rPr>
          <w:rFonts w:ascii="Arial" w:eastAsia="Times New Roman" w:hAnsi="Arial" w:cs="Arial"/>
          <w:color w:val="000000"/>
          <w:sz w:val="18"/>
          <w:szCs w:val="18"/>
          <w:lang w:eastAsia="en-ZA"/>
        </w:rPr>
        <w:t xml:space="preserve">(2)    In determining for the purpose of subsection (1) whether a company is unable to pay its debts, the Court shall also </w:t>
      </w:r>
      <w:proofErr w:type="gramStart"/>
      <w:r w:rsidRPr="00292301">
        <w:rPr>
          <w:rFonts w:ascii="Arial" w:eastAsia="Times New Roman" w:hAnsi="Arial" w:cs="Arial"/>
          <w:color w:val="000000"/>
          <w:sz w:val="18"/>
          <w:szCs w:val="18"/>
          <w:lang w:eastAsia="en-ZA"/>
        </w:rPr>
        <w:t>take into account</w:t>
      </w:r>
      <w:proofErr w:type="gramEnd"/>
      <w:r w:rsidRPr="00292301">
        <w:rPr>
          <w:rFonts w:ascii="Arial" w:eastAsia="Times New Roman" w:hAnsi="Arial" w:cs="Arial"/>
          <w:color w:val="000000"/>
          <w:sz w:val="18"/>
          <w:szCs w:val="18"/>
          <w:lang w:eastAsia="en-ZA"/>
        </w:rPr>
        <w:t xml:space="preserve"> the contingent and prospective liabilities of the company.</w:t>
      </w:r>
    </w:p>
  </w:footnote>
  <w:footnote w:id="8">
    <w:p w14:paraId="0E8804A6" w14:textId="77777777" w:rsidR="00090107" w:rsidRPr="00292301" w:rsidRDefault="00090107" w:rsidP="00F21371">
      <w:pPr>
        <w:pStyle w:val="FootnoteText"/>
        <w:jc w:val="both"/>
        <w:rPr>
          <w:rFonts w:ascii="Arial" w:hAnsi="Arial" w:cs="Arial"/>
          <w:sz w:val="18"/>
          <w:szCs w:val="18"/>
          <w:lang w:val="en-US"/>
        </w:rPr>
      </w:pPr>
      <w:r w:rsidRPr="00292301">
        <w:rPr>
          <w:rStyle w:val="FootnoteReference"/>
          <w:rFonts w:ascii="Arial" w:hAnsi="Arial" w:cs="Arial"/>
          <w:sz w:val="18"/>
          <w:szCs w:val="18"/>
        </w:rPr>
        <w:footnoteRef/>
      </w:r>
      <w:r w:rsidRPr="00292301">
        <w:rPr>
          <w:rFonts w:ascii="Arial" w:hAnsi="Arial" w:cs="Arial"/>
          <w:sz w:val="18"/>
          <w:szCs w:val="18"/>
        </w:rPr>
        <w:t xml:space="preserve"> </w:t>
      </w:r>
      <w:r>
        <w:rPr>
          <w:rFonts w:ascii="Arial" w:hAnsi="Arial" w:cs="Arial"/>
          <w:sz w:val="18"/>
          <w:szCs w:val="18"/>
          <w:lang w:val="en-US"/>
        </w:rPr>
        <w:t>Item 9 renders</w:t>
      </w:r>
      <w:r w:rsidRPr="00292301">
        <w:rPr>
          <w:rFonts w:ascii="Arial" w:hAnsi="Arial" w:cs="Arial"/>
          <w:sz w:val="18"/>
          <w:szCs w:val="18"/>
          <w:lang w:val="en-US"/>
        </w:rPr>
        <w:t xml:space="preserve"> Chapter 14 of the 1973 Companies Act of continued application </w:t>
      </w:r>
      <w:r>
        <w:rPr>
          <w:rFonts w:ascii="Arial" w:hAnsi="Arial" w:cs="Arial"/>
          <w:sz w:val="18"/>
          <w:szCs w:val="18"/>
          <w:lang w:val="en-US"/>
        </w:rPr>
        <w:t>at this juncture despite the enactment of the 2008 Companies Act</w:t>
      </w:r>
      <w:r w:rsidRPr="00292301">
        <w:rPr>
          <w:rFonts w:ascii="Arial" w:hAnsi="Arial" w:cs="Arial"/>
          <w:sz w:val="18"/>
          <w:szCs w:val="18"/>
          <w:lang w:val="en-US"/>
        </w:rPr>
        <w:t xml:space="preserve">. </w:t>
      </w:r>
    </w:p>
  </w:footnote>
  <w:footnote w:id="9">
    <w:p w14:paraId="13271F50" w14:textId="77777777" w:rsidR="00090107" w:rsidRPr="002B4182" w:rsidRDefault="00090107">
      <w:pPr>
        <w:pStyle w:val="FootnoteText"/>
        <w:rPr>
          <w:rFonts w:ascii="Arial" w:hAnsi="Arial" w:cs="Arial"/>
          <w:sz w:val="18"/>
          <w:szCs w:val="18"/>
          <w:lang w:val="en-US"/>
        </w:rPr>
      </w:pPr>
      <w:r w:rsidRPr="002B4182">
        <w:rPr>
          <w:rStyle w:val="FootnoteReference"/>
          <w:rFonts w:ascii="Arial" w:hAnsi="Arial" w:cs="Arial"/>
          <w:sz w:val="18"/>
          <w:szCs w:val="18"/>
        </w:rPr>
        <w:footnoteRef/>
      </w:r>
      <w:r w:rsidRPr="002B4182">
        <w:rPr>
          <w:rFonts w:ascii="Arial" w:hAnsi="Arial" w:cs="Arial"/>
          <w:sz w:val="18"/>
          <w:szCs w:val="18"/>
        </w:rPr>
        <w:t xml:space="preserve"> </w:t>
      </w:r>
      <w:r w:rsidRPr="002B4182">
        <w:rPr>
          <w:rFonts w:ascii="Arial" w:hAnsi="Arial" w:cs="Arial"/>
          <w:sz w:val="18"/>
          <w:szCs w:val="18"/>
          <w:lang w:val="en-US"/>
        </w:rPr>
        <w:t xml:space="preserve">It appears the Rule 30A applications were delivered on 9 March 2023. </w:t>
      </w:r>
    </w:p>
  </w:footnote>
  <w:footnote w:id="10">
    <w:p w14:paraId="5EE8ECB8" w14:textId="77777777" w:rsidR="006564A3" w:rsidRPr="006564A3" w:rsidRDefault="006564A3">
      <w:pPr>
        <w:pStyle w:val="FootnoteText"/>
        <w:rPr>
          <w:rFonts w:ascii="Arial" w:hAnsi="Arial" w:cs="Arial"/>
          <w:sz w:val="18"/>
          <w:szCs w:val="18"/>
          <w:lang w:val="en-US"/>
        </w:rPr>
      </w:pPr>
      <w:r w:rsidRPr="006564A3">
        <w:rPr>
          <w:rStyle w:val="FootnoteReference"/>
          <w:rFonts w:ascii="Arial" w:hAnsi="Arial" w:cs="Arial"/>
          <w:sz w:val="18"/>
          <w:szCs w:val="18"/>
        </w:rPr>
        <w:footnoteRef/>
      </w:r>
      <w:r w:rsidRPr="006564A3">
        <w:rPr>
          <w:rFonts w:ascii="Arial" w:hAnsi="Arial" w:cs="Arial"/>
          <w:sz w:val="18"/>
          <w:szCs w:val="18"/>
        </w:rPr>
        <w:t xml:space="preserve"> </w:t>
      </w:r>
      <w:r w:rsidRPr="006564A3">
        <w:rPr>
          <w:rFonts w:ascii="Arial" w:hAnsi="Arial" w:cs="Arial"/>
          <w:sz w:val="18"/>
          <w:szCs w:val="18"/>
          <w:lang w:val="en-US"/>
        </w:rPr>
        <w:t xml:space="preserve">It is substantially </w:t>
      </w:r>
      <w:r>
        <w:rPr>
          <w:rFonts w:ascii="Arial" w:hAnsi="Arial" w:cs="Arial"/>
          <w:sz w:val="18"/>
          <w:szCs w:val="18"/>
          <w:lang w:val="en-US"/>
        </w:rPr>
        <w:t>the same</w:t>
      </w:r>
      <w:r w:rsidRPr="006564A3">
        <w:rPr>
          <w:rFonts w:ascii="Arial" w:hAnsi="Arial" w:cs="Arial"/>
          <w:sz w:val="18"/>
          <w:szCs w:val="18"/>
          <w:lang w:val="en-US"/>
        </w:rPr>
        <w:t xml:space="preserve"> in the </w:t>
      </w:r>
      <w:proofErr w:type="gramStart"/>
      <w:r w:rsidRPr="006564A3">
        <w:rPr>
          <w:rFonts w:ascii="Arial" w:hAnsi="Arial" w:cs="Arial"/>
          <w:sz w:val="18"/>
          <w:szCs w:val="18"/>
          <w:lang w:val="en-US"/>
        </w:rPr>
        <w:t>counter-application</w:t>
      </w:r>
      <w:proofErr w:type="gramEnd"/>
      <w:r>
        <w:rPr>
          <w:rFonts w:ascii="Arial" w:hAnsi="Arial" w:cs="Arial"/>
          <w:sz w:val="18"/>
          <w:szCs w:val="18"/>
          <w:lang w:val="en-US"/>
        </w:rPr>
        <w:t xml:space="preserve"> in the sequestration application</w:t>
      </w:r>
      <w:r w:rsidRPr="006564A3">
        <w:rPr>
          <w:rFonts w:ascii="Arial" w:hAnsi="Arial" w:cs="Arial"/>
          <w:sz w:val="18"/>
          <w:szCs w:val="18"/>
          <w:lang w:val="en-US"/>
        </w:rPr>
        <w:t xml:space="preserve">. </w:t>
      </w:r>
    </w:p>
  </w:footnote>
  <w:footnote w:id="11">
    <w:p w14:paraId="28CE3293" w14:textId="77777777" w:rsidR="00090107" w:rsidRPr="002D0AEB" w:rsidRDefault="00090107" w:rsidP="00A44170">
      <w:pPr>
        <w:pStyle w:val="FootnoteText"/>
        <w:jc w:val="both"/>
        <w:rPr>
          <w:rFonts w:ascii="Arial" w:hAnsi="Arial" w:cs="Arial"/>
          <w:color w:val="000000" w:themeColor="text1"/>
          <w:sz w:val="18"/>
          <w:szCs w:val="18"/>
          <w:lang w:val="en-US"/>
        </w:rPr>
      </w:pPr>
      <w:r w:rsidRPr="002D0AEB">
        <w:rPr>
          <w:rStyle w:val="FootnoteReference"/>
          <w:rFonts w:ascii="Arial" w:hAnsi="Arial" w:cs="Arial"/>
          <w:color w:val="000000" w:themeColor="text1"/>
          <w:sz w:val="18"/>
          <w:szCs w:val="18"/>
        </w:rPr>
        <w:footnoteRef/>
      </w:r>
      <w:r w:rsidRPr="002D0AEB">
        <w:rPr>
          <w:rFonts w:ascii="Arial" w:hAnsi="Arial" w:cs="Arial"/>
          <w:color w:val="000000" w:themeColor="text1"/>
          <w:sz w:val="18"/>
          <w:szCs w:val="18"/>
        </w:rPr>
        <w:t xml:space="preserve"> The test was formulated in </w:t>
      </w:r>
      <w:r w:rsidRPr="002D0AEB">
        <w:rPr>
          <w:rFonts w:ascii="Arial" w:hAnsi="Arial" w:cs="Arial"/>
          <w:i/>
          <w:iCs/>
          <w:color w:val="000000" w:themeColor="text1"/>
          <w:sz w:val="18"/>
          <w:szCs w:val="18"/>
          <w:shd w:val="clear" w:color="auto" w:fill="FFFFFF"/>
          <w:lang w:val="en-US"/>
        </w:rPr>
        <w:t>Webster v Mitchell </w:t>
      </w:r>
      <w:hyperlink r:id="rId1" w:tooltip="View LawCiteRecord" w:history="1">
        <w:r w:rsidRPr="002D0AEB">
          <w:rPr>
            <w:rStyle w:val="Hyperlink"/>
            <w:rFonts w:ascii="Arial" w:hAnsi="Arial" w:cs="Arial"/>
            <w:bCs/>
            <w:color w:val="000000" w:themeColor="text1"/>
            <w:sz w:val="18"/>
            <w:szCs w:val="18"/>
            <w:u w:val="none"/>
            <w:shd w:val="clear" w:color="auto" w:fill="FFFFFF"/>
            <w:lang w:val="en-US"/>
          </w:rPr>
          <w:t>1948 (1) SA 1186</w:t>
        </w:r>
      </w:hyperlink>
      <w:r w:rsidRPr="002D0AEB">
        <w:rPr>
          <w:rFonts w:ascii="Arial" w:hAnsi="Arial" w:cs="Arial"/>
          <w:color w:val="000000" w:themeColor="text1"/>
          <w:sz w:val="18"/>
          <w:szCs w:val="18"/>
          <w:shd w:val="clear" w:color="auto" w:fill="FFFFFF"/>
          <w:lang w:val="en-US"/>
        </w:rPr>
        <w:t> (W)</w:t>
      </w:r>
      <w:r w:rsidRPr="002D0AEB">
        <w:rPr>
          <w:rFonts w:ascii="Arial" w:hAnsi="Arial" w:cs="Arial"/>
          <w:color w:val="000000" w:themeColor="text1"/>
          <w:sz w:val="18"/>
          <w:szCs w:val="18"/>
          <w:shd w:val="clear" w:color="auto" w:fill="FFFFFF"/>
        </w:rPr>
        <w:t xml:space="preserve"> and qualified by </w:t>
      </w:r>
      <w:r w:rsidRPr="002D0AEB">
        <w:rPr>
          <w:rFonts w:ascii="Arial" w:hAnsi="Arial" w:cs="Arial"/>
          <w:i/>
          <w:iCs/>
          <w:color w:val="000000" w:themeColor="text1"/>
          <w:sz w:val="18"/>
          <w:szCs w:val="18"/>
          <w:shd w:val="clear" w:color="auto" w:fill="FFFFFF"/>
          <w:lang w:val="en-US"/>
        </w:rPr>
        <w:t>Gool v Minister of Justice </w:t>
      </w:r>
      <w:hyperlink r:id="rId2" w:tooltip="View LawCiteRecord" w:history="1">
        <w:r w:rsidRPr="002D0AEB">
          <w:rPr>
            <w:rStyle w:val="Hyperlink"/>
            <w:rFonts w:ascii="Arial" w:hAnsi="Arial" w:cs="Arial"/>
            <w:bCs/>
            <w:color w:val="000000" w:themeColor="text1"/>
            <w:sz w:val="18"/>
            <w:szCs w:val="18"/>
            <w:u w:val="none"/>
            <w:shd w:val="clear" w:color="auto" w:fill="FFFFFF"/>
            <w:lang w:val="en-US"/>
          </w:rPr>
          <w:t>1955 (2) SA 682</w:t>
        </w:r>
      </w:hyperlink>
      <w:r w:rsidRPr="002D0AEB">
        <w:rPr>
          <w:rFonts w:ascii="Arial" w:hAnsi="Arial" w:cs="Arial"/>
          <w:color w:val="000000" w:themeColor="text1"/>
          <w:sz w:val="18"/>
          <w:szCs w:val="18"/>
          <w:shd w:val="clear" w:color="auto" w:fill="FFFFFF"/>
          <w:lang w:val="en-US"/>
        </w:rPr>
        <w:t xml:space="preserve"> (C) at </w:t>
      </w:r>
      <w:r w:rsidRPr="002D0AEB">
        <w:rPr>
          <w:rFonts w:ascii="Arial" w:hAnsi="Arial" w:cs="Arial"/>
          <w:color w:val="000000" w:themeColor="text1"/>
          <w:sz w:val="18"/>
          <w:szCs w:val="18"/>
          <w:shd w:val="clear" w:color="auto" w:fill="FFFFFF"/>
        </w:rPr>
        <w:t>688C.  This formulation of the requirements was accepted by the Constitutional Court in </w:t>
      </w:r>
      <w:r w:rsidRPr="002D0AEB">
        <w:rPr>
          <w:rFonts w:ascii="Arial" w:hAnsi="Arial" w:cs="Arial"/>
          <w:i/>
          <w:iCs/>
          <w:color w:val="000000" w:themeColor="text1"/>
          <w:sz w:val="18"/>
          <w:szCs w:val="18"/>
          <w:shd w:val="clear" w:color="auto" w:fill="FFFFFF"/>
          <w:lang w:val="en-US"/>
        </w:rPr>
        <w:t xml:space="preserve"> National Treasury v Opposition to Urban Tolling Alliance </w:t>
      </w:r>
      <w:hyperlink r:id="rId3" w:tooltip="View LawCiteRecord" w:history="1">
        <w:r w:rsidRPr="002D0AEB">
          <w:rPr>
            <w:rStyle w:val="Hyperlink"/>
            <w:rFonts w:ascii="Arial" w:hAnsi="Arial" w:cs="Arial"/>
            <w:bCs/>
            <w:color w:val="000000" w:themeColor="text1"/>
            <w:sz w:val="18"/>
            <w:szCs w:val="18"/>
            <w:u w:val="none"/>
            <w:shd w:val="clear" w:color="auto" w:fill="FFFFFF"/>
            <w:lang w:val="en-US"/>
          </w:rPr>
          <w:t>[2012] ZACC 18</w:t>
        </w:r>
      </w:hyperlink>
      <w:r w:rsidRPr="002D0AEB">
        <w:rPr>
          <w:rFonts w:ascii="Arial" w:hAnsi="Arial" w:cs="Arial"/>
          <w:color w:val="000000" w:themeColor="text1"/>
          <w:sz w:val="18"/>
          <w:szCs w:val="18"/>
          <w:shd w:val="clear" w:color="auto" w:fill="FFFFFF"/>
          <w:lang w:val="en-US"/>
        </w:rPr>
        <w:t>; </w:t>
      </w:r>
      <w:hyperlink r:id="rId4" w:tooltip="View LawCiteRecord" w:history="1">
        <w:r w:rsidRPr="002D0AEB">
          <w:rPr>
            <w:rStyle w:val="Hyperlink"/>
            <w:rFonts w:ascii="Arial" w:hAnsi="Arial" w:cs="Arial"/>
            <w:bCs/>
            <w:color w:val="000000" w:themeColor="text1"/>
            <w:sz w:val="18"/>
            <w:szCs w:val="18"/>
            <w:u w:val="none"/>
            <w:shd w:val="clear" w:color="auto" w:fill="FFFFFF"/>
            <w:lang w:val="en-US"/>
          </w:rPr>
          <w:t>2012 (6) SA 223</w:t>
        </w:r>
      </w:hyperlink>
      <w:r w:rsidRPr="002D0AEB">
        <w:rPr>
          <w:rFonts w:ascii="Arial" w:hAnsi="Arial" w:cs="Arial"/>
          <w:color w:val="000000" w:themeColor="text1"/>
          <w:sz w:val="18"/>
          <w:szCs w:val="18"/>
          <w:shd w:val="clear" w:color="auto" w:fill="FFFFFF"/>
          <w:lang w:val="en-US"/>
        </w:rPr>
        <w:t> (CC); </w:t>
      </w:r>
      <w:hyperlink r:id="rId5" w:tooltip="View LawCiteRecord" w:history="1">
        <w:r w:rsidRPr="002D0AEB">
          <w:rPr>
            <w:rStyle w:val="Hyperlink"/>
            <w:rFonts w:ascii="Arial" w:hAnsi="Arial" w:cs="Arial"/>
            <w:bCs/>
            <w:color w:val="000000" w:themeColor="text1"/>
            <w:sz w:val="18"/>
            <w:szCs w:val="18"/>
            <w:u w:val="none"/>
            <w:shd w:val="clear" w:color="auto" w:fill="FFFFFF"/>
          </w:rPr>
          <w:t>2012 (11) BCLR 1148</w:t>
        </w:r>
      </w:hyperlink>
      <w:r w:rsidRPr="002D0AEB">
        <w:rPr>
          <w:rFonts w:ascii="Arial" w:hAnsi="Arial" w:cs="Arial"/>
          <w:color w:val="000000" w:themeColor="text1"/>
          <w:sz w:val="18"/>
          <w:szCs w:val="18"/>
          <w:shd w:val="clear" w:color="auto" w:fill="FFFFFF"/>
        </w:rPr>
        <w:t> (CC) at para 41.</w:t>
      </w:r>
    </w:p>
  </w:footnote>
  <w:footnote w:id="12">
    <w:p w14:paraId="0977022E" w14:textId="77777777" w:rsidR="00090107" w:rsidRPr="002D0AEB" w:rsidRDefault="00090107">
      <w:pPr>
        <w:pStyle w:val="FootnoteText"/>
        <w:rPr>
          <w:rFonts w:ascii="Arial" w:hAnsi="Arial" w:cs="Arial"/>
          <w:sz w:val="18"/>
          <w:szCs w:val="18"/>
          <w:lang w:val="en-US"/>
        </w:rPr>
      </w:pPr>
      <w:r w:rsidRPr="002D0AEB">
        <w:rPr>
          <w:rStyle w:val="FootnoteReference"/>
          <w:rFonts w:ascii="Arial" w:hAnsi="Arial" w:cs="Arial"/>
          <w:sz w:val="18"/>
          <w:szCs w:val="18"/>
        </w:rPr>
        <w:footnoteRef/>
      </w:r>
      <w:r w:rsidRPr="002D0AEB">
        <w:rPr>
          <w:rFonts w:ascii="Arial" w:hAnsi="Arial" w:cs="Arial"/>
          <w:sz w:val="18"/>
          <w:szCs w:val="18"/>
        </w:rPr>
        <w:t xml:space="preserve">  </w:t>
      </w:r>
      <w:hyperlink r:id="rId6" w:tooltip="View LawCiteRecord" w:history="1">
        <w:r w:rsidRPr="002D0AEB">
          <w:rPr>
            <w:rStyle w:val="Hyperlink"/>
            <w:rFonts w:ascii="Arial" w:hAnsi="Arial" w:cs="Arial"/>
            <w:bCs/>
            <w:color w:val="0B4B0B"/>
            <w:sz w:val="18"/>
            <w:szCs w:val="18"/>
            <w:u w:val="none"/>
            <w:shd w:val="clear" w:color="auto" w:fill="FFFFFF"/>
          </w:rPr>
          <w:t>[2016] ZACC 48</w:t>
        </w:r>
      </w:hyperlink>
      <w:r w:rsidRPr="002D0AEB">
        <w:rPr>
          <w:rFonts w:ascii="Arial" w:hAnsi="Arial" w:cs="Arial"/>
          <w:sz w:val="18"/>
          <w:szCs w:val="18"/>
        </w:rPr>
        <w:t>.</w:t>
      </w:r>
    </w:p>
  </w:footnote>
  <w:footnote w:id="13">
    <w:p w14:paraId="359B4AD8" w14:textId="77777777" w:rsidR="00090107" w:rsidRPr="00A44170" w:rsidRDefault="00090107">
      <w:pPr>
        <w:pStyle w:val="FootnoteText"/>
        <w:rPr>
          <w:rFonts w:ascii="Arial" w:hAnsi="Arial" w:cs="Arial"/>
          <w:sz w:val="18"/>
          <w:szCs w:val="18"/>
          <w:lang w:val="en-US"/>
        </w:rPr>
      </w:pPr>
      <w:r w:rsidRPr="00A44170">
        <w:rPr>
          <w:rStyle w:val="FootnoteReference"/>
          <w:rFonts w:ascii="Arial" w:hAnsi="Arial" w:cs="Arial"/>
          <w:sz w:val="18"/>
          <w:szCs w:val="18"/>
        </w:rPr>
        <w:footnoteRef/>
      </w:r>
      <w:r w:rsidRPr="00A44170">
        <w:rPr>
          <w:rFonts w:ascii="Arial" w:hAnsi="Arial" w:cs="Arial"/>
          <w:i/>
          <w:sz w:val="18"/>
          <w:szCs w:val="18"/>
        </w:rPr>
        <w:t xml:space="preserve"> Storti v Nugent and others</w:t>
      </w:r>
      <w:r w:rsidRPr="00A44170">
        <w:rPr>
          <w:rFonts w:ascii="Arial" w:hAnsi="Arial" w:cs="Arial"/>
          <w:sz w:val="18"/>
          <w:szCs w:val="18"/>
        </w:rPr>
        <w:t xml:space="preserve"> 2001(3) SA 783 (W) at 794D-E. </w:t>
      </w:r>
    </w:p>
  </w:footnote>
  <w:footnote w:id="14">
    <w:p w14:paraId="219319C9" w14:textId="77777777" w:rsidR="00090107" w:rsidRPr="00B1152D" w:rsidRDefault="00090107">
      <w:pPr>
        <w:pStyle w:val="FootnoteText"/>
        <w:rPr>
          <w:rFonts w:ascii="Arial" w:hAnsi="Arial" w:cs="Arial"/>
          <w:sz w:val="18"/>
          <w:szCs w:val="18"/>
          <w:lang w:val="en-US"/>
        </w:rPr>
      </w:pPr>
      <w:r w:rsidRPr="00B1152D">
        <w:rPr>
          <w:rStyle w:val="FootnoteReference"/>
          <w:rFonts w:ascii="Arial" w:hAnsi="Arial" w:cs="Arial"/>
          <w:sz w:val="18"/>
          <w:szCs w:val="18"/>
        </w:rPr>
        <w:footnoteRef/>
      </w:r>
      <w:r w:rsidRPr="00B1152D">
        <w:rPr>
          <w:rFonts w:ascii="Arial" w:hAnsi="Arial" w:cs="Arial"/>
          <w:i/>
          <w:sz w:val="18"/>
          <w:szCs w:val="18"/>
        </w:rPr>
        <w:t xml:space="preserve"> </w:t>
      </w:r>
      <w:r w:rsidRPr="00B1152D">
        <w:rPr>
          <w:rFonts w:ascii="Arial" w:hAnsi="Arial" w:cs="Arial"/>
          <w:i/>
          <w:sz w:val="18"/>
          <w:szCs w:val="18"/>
          <w:lang w:val="en-US"/>
        </w:rPr>
        <w:t>Van Wyk v Unitas Hospital and another (Open Democratic Advice Centre as Amicus Curiae)</w:t>
      </w:r>
      <w:r>
        <w:rPr>
          <w:rFonts w:ascii="Arial" w:hAnsi="Arial" w:cs="Arial"/>
          <w:i/>
          <w:sz w:val="18"/>
          <w:szCs w:val="18"/>
          <w:lang w:val="en-US"/>
        </w:rPr>
        <w:t xml:space="preserve"> </w:t>
      </w:r>
      <w:r>
        <w:rPr>
          <w:rFonts w:ascii="Arial" w:hAnsi="Arial" w:cs="Arial"/>
          <w:sz w:val="18"/>
          <w:szCs w:val="18"/>
          <w:lang w:val="en-US"/>
        </w:rPr>
        <w:t>2008(2) SA 472 (CC).</w:t>
      </w:r>
    </w:p>
  </w:footnote>
  <w:footnote w:id="15">
    <w:p w14:paraId="2350FB47" w14:textId="77777777" w:rsidR="00090107" w:rsidRPr="00C70C1A" w:rsidRDefault="00090107">
      <w:pPr>
        <w:pStyle w:val="FootnoteText"/>
        <w:rPr>
          <w:rFonts w:ascii="Arial" w:hAnsi="Arial" w:cs="Arial"/>
          <w:sz w:val="18"/>
          <w:szCs w:val="18"/>
          <w:lang w:val="en-US"/>
        </w:rPr>
      </w:pPr>
      <w:r w:rsidRPr="00C70C1A">
        <w:rPr>
          <w:rStyle w:val="FootnoteReference"/>
          <w:rFonts w:ascii="Arial" w:hAnsi="Arial" w:cs="Arial"/>
          <w:sz w:val="18"/>
          <w:szCs w:val="18"/>
        </w:rPr>
        <w:footnoteRef/>
      </w:r>
      <w:r w:rsidRPr="00C70C1A">
        <w:rPr>
          <w:rFonts w:ascii="Arial" w:hAnsi="Arial" w:cs="Arial"/>
          <w:sz w:val="18"/>
          <w:szCs w:val="18"/>
        </w:rPr>
        <w:t xml:space="preserve"> </w:t>
      </w:r>
      <w:r>
        <w:rPr>
          <w:rFonts w:ascii="Arial" w:hAnsi="Arial" w:cs="Arial"/>
          <w:sz w:val="18"/>
          <w:szCs w:val="18"/>
          <w:lang w:val="en-US"/>
        </w:rPr>
        <w:t>A few days before this judgment</w:t>
      </w:r>
      <w:r w:rsidRPr="00C70C1A">
        <w:rPr>
          <w:rFonts w:ascii="Arial" w:hAnsi="Arial" w:cs="Arial"/>
          <w:sz w:val="18"/>
          <w:szCs w:val="18"/>
          <w:lang w:val="en-US"/>
        </w:rPr>
        <w:t xml:space="preserve"> was delivered, an application for leave to appeal was uploaded onto </w:t>
      </w:r>
      <w:proofErr w:type="spellStart"/>
      <w:r w:rsidRPr="00C70C1A">
        <w:rPr>
          <w:rFonts w:ascii="Arial" w:hAnsi="Arial" w:cs="Arial"/>
          <w:sz w:val="18"/>
          <w:szCs w:val="18"/>
          <w:lang w:val="en-US"/>
        </w:rPr>
        <w:t>Caselines</w:t>
      </w:r>
      <w:proofErr w:type="spellEnd"/>
      <w:r w:rsidRPr="00C70C1A">
        <w:rPr>
          <w:rFonts w:ascii="Arial" w:hAnsi="Arial" w:cs="Arial"/>
          <w:sz w:val="18"/>
          <w:szCs w:val="18"/>
          <w:lang w:val="en-US"/>
        </w:rPr>
        <w:t>.</w:t>
      </w:r>
    </w:p>
  </w:footnote>
  <w:footnote w:id="16">
    <w:p w14:paraId="74C4A2AA" w14:textId="77777777" w:rsidR="00090107" w:rsidRPr="00FB4EA8" w:rsidRDefault="00090107" w:rsidP="009F5CC9">
      <w:pPr>
        <w:pStyle w:val="NormalWeb"/>
        <w:shd w:val="clear" w:color="auto" w:fill="FFFFFF"/>
        <w:spacing w:before="144" w:beforeAutospacing="0" w:after="0" w:afterAutospacing="0"/>
        <w:jc w:val="both"/>
        <w:rPr>
          <w:rFonts w:ascii="Arial" w:hAnsi="Arial" w:cs="Arial"/>
          <w:color w:val="242121"/>
          <w:sz w:val="18"/>
          <w:szCs w:val="18"/>
        </w:rPr>
      </w:pPr>
      <w:r w:rsidRPr="00FB4EA8">
        <w:rPr>
          <w:rStyle w:val="FootnoteReference"/>
          <w:rFonts w:ascii="Arial" w:hAnsi="Arial" w:cs="Arial"/>
          <w:sz w:val="18"/>
          <w:szCs w:val="18"/>
        </w:rPr>
        <w:footnoteRef/>
      </w:r>
      <w:r w:rsidRPr="00FB4EA8">
        <w:rPr>
          <w:rFonts w:ascii="Arial" w:hAnsi="Arial" w:cs="Arial"/>
          <w:sz w:val="18"/>
          <w:szCs w:val="18"/>
        </w:rPr>
        <w:t xml:space="preserve"> </w:t>
      </w:r>
      <w:proofErr w:type="spellStart"/>
      <w:r w:rsidRPr="00FB4EA8">
        <w:rPr>
          <w:rFonts w:ascii="Arial" w:hAnsi="Arial" w:cs="Arial"/>
          <w:i/>
          <w:iCs/>
          <w:color w:val="242121"/>
          <w:sz w:val="18"/>
          <w:szCs w:val="18"/>
          <w:lang w:val="en-US"/>
        </w:rPr>
        <w:t>Plascon</w:t>
      </w:r>
      <w:proofErr w:type="spellEnd"/>
      <w:r w:rsidRPr="00FB4EA8">
        <w:rPr>
          <w:rFonts w:ascii="Arial" w:hAnsi="Arial" w:cs="Arial"/>
          <w:i/>
          <w:iCs/>
          <w:color w:val="242121"/>
          <w:sz w:val="18"/>
          <w:szCs w:val="18"/>
          <w:lang w:val="en-US"/>
        </w:rPr>
        <w:t xml:space="preserve">-Evans Paints v Van </w:t>
      </w:r>
      <w:proofErr w:type="spellStart"/>
      <w:r w:rsidRPr="00FB4EA8">
        <w:rPr>
          <w:rFonts w:ascii="Arial" w:hAnsi="Arial" w:cs="Arial"/>
          <w:i/>
          <w:iCs/>
          <w:color w:val="242121"/>
          <w:sz w:val="18"/>
          <w:szCs w:val="18"/>
          <w:lang w:val="en-US"/>
        </w:rPr>
        <w:t>Riebeeck</w:t>
      </w:r>
      <w:proofErr w:type="spellEnd"/>
      <w:r w:rsidRPr="00FB4EA8">
        <w:rPr>
          <w:rFonts w:ascii="Arial" w:hAnsi="Arial" w:cs="Arial"/>
          <w:i/>
          <w:iCs/>
          <w:color w:val="242121"/>
          <w:sz w:val="18"/>
          <w:szCs w:val="18"/>
          <w:lang w:val="en-US"/>
        </w:rPr>
        <w:t xml:space="preserve"> Paints </w:t>
      </w:r>
      <w:r w:rsidRPr="00FB4EA8">
        <w:rPr>
          <w:rFonts w:ascii="Arial" w:hAnsi="Arial" w:cs="Arial"/>
          <w:color w:val="242121"/>
          <w:sz w:val="18"/>
          <w:szCs w:val="18"/>
          <w:lang w:val="en-US"/>
        </w:rPr>
        <w:t>1984(3) 623 (A) at 634H-635C.</w:t>
      </w:r>
    </w:p>
  </w:footnote>
  <w:footnote w:id="17">
    <w:p w14:paraId="36A145BA" w14:textId="77777777" w:rsidR="00090107" w:rsidRPr="00FB4EA8" w:rsidRDefault="00090107" w:rsidP="009F5CC9">
      <w:pPr>
        <w:pStyle w:val="FootnoteText"/>
        <w:rPr>
          <w:rFonts w:ascii="Arial" w:hAnsi="Arial" w:cs="Arial"/>
          <w:sz w:val="18"/>
          <w:szCs w:val="18"/>
          <w:lang w:val="en-US"/>
        </w:rPr>
      </w:pPr>
      <w:r w:rsidRPr="00FB4EA8">
        <w:rPr>
          <w:rStyle w:val="FootnoteReference"/>
          <w:rFonts w:ascii="Arial" w:hAnsi="Arial" w:cs="Arial"/>
          <w:sz w:val="18"/>
          <w:szCs w:val="18"/>
        </w:rPr>
        <w:footnoteRef/>
      </w:r>
      <w:r w:rsidRPr="00FB4EA8">
        <w:rPr>
          <w:rFonts w:ascii="Arial" w:hAnsi="Arial" w:cs="Arial"/>
          <w:sz w:val="18"/>
          <w:szCs w:val="18"/>
        </w:rPr>
        <w:t xml:space="preserve"> </w:t>
      </w:r>
      <w:r w:rsidRPr="00FB4EA8">
        <w:rPr>
          <w:rFonts w:ascii="Arial" w:hAnsi="Arial" w:cs="Arial"/>
          <w:i/>
          <w:iCs/>
          <w:color w:val="242121"/>
          <w:sz w:val="18"/>
          <w:szCs w:val="18"/>
          <w:lang w:val="en-US"/>
        </w:rPr>
        <w:t xml:space="preserve">Wightman t/a JW Construction v </w:t>
      </w:r>
      <w:proofErr w:type="spellStart"/>
      <w:r w:rsidRPr="00FB4EA8">
        <w:rPr>
          <w:rFonts w:ascii="Arial" w:hAnsi="Arial" w:cs="Arial"/>
          <w:i/>
          <w:iCs/>
          <w:color w:val="242121"/>
          <w:sz w:val="18"/>
          <w:szCs w:val="18"/>
          <w:lang w:val="en-US"/>
        </w:rPr>
        <w:t>Headfour</w:t>
      </w:r>
      <w:proofErr w:type="spellEnd"/>
      <w:r w:rsidRPr="00FB4EA8">
        <w:rPr>
          <w:rFonts w:ascii="Arial" w:hAnsi="Arial" w:cs="Arial"/>
          <w:i/>
          <w:iCs/>
          <w:color w:val="242121"/>
          <w:sz w:val="18"/>
          <w:szCs w:val="18"/>
          <w:lang w:val="en-US"/>
        </w:rPr>
        <w:t xml:space="preserve"> (Pty) Ltd and </w:t>
      </w:r>
      <w:proofErr w:type="spellStart"/>
      <w:r w:rsidRPr="00FB4EA8">
        <w:rPr>
          <w:rFonts w:ascii="Arial" w:hAnsi="Arial" w:cs="Arial"/>
          <w:i/>
          <w:iCs/>
          <w:color w:val="242121"/>
          <w:sz w:val="18"/>
          <w:szCs w:val="18"/>
          <w:lang w:val="en-US"/>
        </w:rPr>
        <w:t>ano</w:t>
      </w:r>
      <w:proofErr w:type="spellEnd"/>
      <w:r w:rsidRPr="00FB4EA8">
        <w:rPr>
          <w:rFonts w:ascii="Arial" w:hAnsi="Arial" w:cs="Arial"/>
          <w:i/>
          <w:iCs/>
          <w:color w:val="242121"/>
          <w:sz w:val="18"/>
          <w:szCs w:val="18"/>
          <w:lang w:val="en-US"/>
        </w:rPr>
        <w:t> </w:t>
      </w:r>
      <w:r>
        <w:rPr>
          <w:rFonts w:ascii="Arial" w:hAnsi="Arial" w:cs="Arial"/>
          <w:color w:val="242121"/>
          <w:sz w:val="18"/>
          <w:szCs w:val="18"/>
          <w:lang w:val="en-US"/>
        </w:rPr>
        <w:t>2008(3) SA 371 (SCA)</w:t>
      </w:r>
      <w:r w:rsidRPr="00FB4EA8">
        <w:rPr>
          <w:rFonts w:ascii="Arial" w:hAnsi="Arial" w:cs="Arial"/>
          <w:color w:val="242121"/>
          <w:sz w:val="18"/>
          <w:szCs w:val="18"/>
          <w:lang w:val="en-US"/>
        </w:rPr>
        <w:t xml:space="preserve"> para 13.</w:t>
      </w:r>
    </w:p>
  </w:footnote>
  <w:footnote w:id="18">
    <w:p w14:paraId="63FCAEAF" w14:textId="77777777" w:rsidR="00090107" w:rsidRPr="00361E8C" w:rsidRDefault="00090107" w:rsidP="00361E8C">
      <w:pPr>
        <w:pStyle w:val="FootnoteText"/>
        <w:jc w:val="both"/>
        <w:rPr>
          <w:rFonts w:ascii="Arial" w:hAnsi="Arial" w:cs="Arial"/>
          <w:sz w:val="18"/>
          <w:szCs w:val="18"/>
          <w:lang w:val="en-US"/>
        </w:rPr>
      </w:pPr>
      <w:r w:rsidRPr="00361E8C">
        <w:rPr>
          <w:rStyle w:val="FootnoteReference"/>
          <w:rFonts w:ascii="Arial" w:hAnsi="Arial" w:cs="Arial"/>
          <w:sz w:val="18"/>
          <w:szCs w:val="18"/>
        </w:rPr>
        <w:footnoteRef/>
      </w:r>
      <w:r w:rsidRPr="00361E8C">
        <w:rPr>
          <w:rFonts w:ascii="Arial" w:hAnsi="Arial" w:cs="Arial"/>
          <w:sz w:val="18"/>
          <w:szCs w:val="18"/>
        </w:rPr>
        <w:t xml:space="preserve"> Rule 6(5)</w:t>
      </w:r>
      <w:r w:rsidRPr="00361E8C">
        <w:rPr>
          <w:rFonts w:ascii="Arial" w:hAnsi="Arial" w:cs="Arial"/>
          <w:i/>
          <w:iCs/>
          <w:color w:val="000000"/>
          <w:sz w:val="18"/>
          <w:szCs w:val="18"/>
        </w:rPr>
        <w:t xml:space="preserve">(g) </w:t>
      </w:r>
      <w:r w:rsidRPr="00361E8C">
        <w:rPr>
          <w:rFonts w:ascii="Arial" w:hAnsi="Arial" w:cs="Arial"/>
          <w:iCs/>
          <w:color w:val="000000"/>
          <w:sz w:val="18"/>
          <w:szCs w:val="18"/>
        </w:rPr>
        <w:t>provides: ‘</w:t>
      </w:r>
      <w:r w:rsidRPr="00361E8C">
        <w:rPr>
          <w:rFonts w:ascii="Arial" w:hAnsi="Arial" w:cs="Arial"/>
          <w:color w:val="000000"/>
          <w:sz w:val="18"/>
          <w:szCs w:val="18"/>
        </w:rPr>
        <w:t xml:space="preserve">Where an application cannot properly be decided on affidavit the court may dismiss the application or make such order as it deems fit with a view to ensuring a just and expeditious decision. In particular, but without affecting the generality of the </w:t>
      </w:r>
      <w:proofErr w:type="spellStart"/>
      <w:r w:rsidRPr="00361E8C">
        <w:rPr>
          <w:rFonts w:ascii="Arial" w:hAnsi="Arial" w:cs="Arial"/>
          <w:color w:val="000000"/>
          <w:sz w:val="18"/>
          <w:szCs w:val="18"/>
        </w:rPr>
        <w:t>aforegoing</w:t>
      </w:r>
      <w:proofErr w:type="spellEnd"/>
      <w:r w:rsidRPr="00361E8C">
        <w:rPr>
          <w:rFonts w:ascii="Arial" w:hAnsi="Arial" w:cs="Arial"/>
          <w:color w:val="000000"/>
          <w:sz w:val="18"/>
          <w:szCs w:val="18"/>
        </w:rPr>
        <w:t>, it may direct that oral evidence 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p>
  </w:footnote>
  <w:footnote w:id="19">
    <w:p w14:paraId="6FC65FAA" w14:textId="77777777" w:rsidR="00090107" w:rsidRPr="00FE7259" w:rsidRDefault="00090107" w:rsidP="00FE7259">
      <w:pPr>
        <w:pStyle w:val="FootnoteText"/>
        <w:jc w:val="both"/>
        <w:rPr>
          <w:rFonts w:ascii="Arial" w:hAnsi="Arial" w:cs="Arial"/>
          <w:sz w:val="18"/>
          <w:szCs w:val="18"/>
          <w:lang w:val="en-US"/>
        </w:rPr>
      </w:pPr>
      <w:r w:rsidRPr="00FE7259">
        <w:rPr>
          <w:rStyle w:val="FootnoteReference"/>
          <w:rFonts w:ascii="Arial" w:hAnsi="Arial" w:cs="Arial"/>
          <w:sz w:val="18"/>
          <w:szCs w:val="18"/>
        </w:rPr>
        <w:footnoteRef/>
      </w:r>
      <w:r w:rsidRPr="00FE7259">
        <w:rPr>
          <w:rFonts w:ascii="Arial" w:hAnsi="Arial" w:cs="Arial"/>
          <w:sz w:val="18"/>
          <w:szCs w:val="18"/>
        </w:rPr>
        <w:t xml:space="preserve"> </w:t>
      </w:r>
      <w:r w:rsidRPr="00FE7259">
        <w:rPr>
          <w:rFonts w:ascii="Arial" w:hAnsi="Arial" w:cs="Arial"/>
          <w:i/>
          <w:iCs/>
          <w:color w:val="242121"/>
          <w:sz w:val="18"/>
          <w:szCs w:val="18"/>
          <w:shd w:val="clear" w:color="auto" w:fill="FFFFFF"/>
        </w:rPr>
        <w:t>Home Talk Developments (Pty) Ltd and Others v Ekurhuleni Metropolitan Municipality</w:t>
      </w:r>
      <w:r w:rsidRPr="00FE7259">
        <w:rPr>
          <w:rFonts w:ascii="Arial" w:hAnsi="Arial" w:cs="Arial"/>
          <w:color w:val="242121"/>
          <w:sz w:val="18"/>
          <w:szCs w:val="18"/>
          <w:shd w:val="clear" w:color="auto" w:fill="FFFFFF"/>
        </w:rPr>
        <w:t xml:space="preserve"> [2017] ZASCA 77; [2017] 3 All SA 382 (SCA); 2018 (1) SA 391 (SCA) at paras 40 and 42.  At para 40 it is held</w:t>
      </w:r>
      <w:proofErr w:type="gramStart"/>
      <w:r w:rsidRPr="00FE7259">
        <w:rPr>
          <w:rFonts w:ascii="Arial" w:hAnsi="Arial" w:cs="Arial"/>
          <w:color w:val="242121"/>
          <w:sz w:val="18"/>
          <w:szCs w:val="18"/>
          <w:shd w:val="clear" w:color="auto" w:fill="FFFFFF"/>
        </w:rPr>
        <w:t>:  ‘</w:t>
      </w:r>
      <w:proofErr w:type="gramEnd"/>
      <w:r w:rsidRPr="00FE7259">
        <w:rPr>
          <w:rFonts w:ascii="Arial" w:hAnsi="Arial" w:cs="Arial"/>
          <w:color w:val="242121"/>
          <w:sz w:val="18"/>
          <w:szCs w:val="18"/>
          <w:shd w:val="clear" w:color="auto" w:fill="FFFFFF"/>
        </w:rPr>
        <w:t>The process of inferential reasoning calls for an evaluation of all the evidence and not merely selected parts.’  At para 42 (footnotes omitted): ‘Any inference sought to be drawn must be 'consistent with all the proved facts: If it is not, then the inference cannot be drawn’, moreover, ‘it must be the “more natural, or plausible, conclusion from amongst several conceivable ones' when measured against the probabilities. In this respect, it is important to distinguish inference from conjecture or speculation.</w:t>
      </w:r>
      <w:r w:rsidRPr="00FE7259">
        <w:rPr>
          <w:rFonts w:ascii="Arial" w:hAnsi="Arial" w:cs="Arial"/>
          <w:b/>
          <w:bCs/>
          <w:sz w:val="18"/>
          <w:szCs w:val="18"/>
          <w:shd w:val="clear" w:color="auto" w:fill="FFFFFF"/>
        </w:rPr>
        <w:t>’</w:t>
      </w:r>
      <w:r w:rsidRPr="00FE7259">
        <w:rPr>
          <w:rFonts w:ascii="Arial" w:hAnsi="Arial" w:cs="Arial"/>
          <w:color w:val="242121"/>
          <w:sz w:val="18"/>
          <w:szCs w:val="18"/>
          <w:shd w:val="clear" w:color="auto" w:fill="FFFFFF"/>
        </w:rPr>
        <w:t> </w:t>
      </w:r>
    </w:p>
  </w:footnote>
  <w:footnote w:id="20">
    <w:p w14:paraId="2850F2C6" w14:textId="77777777" w:rsidR="00090107" w:rsidRPr="001F31EB" w:rsidRDefault="00090107" w:rsidP="001F31EB">
      <w:pPr>
        <w:pStyle w:val="FootnoteText"/>
        <w:jc w:val="both"/>
        <w:rPr>
          <w:rFonts w:ascii="Arial" w:hAnsi="Arial" w:cs="Arial"/>
          <w:sz w:val="18"/>
          <w:szCs w:val="18"/>
          <w:lang w:val="en-US"/>
        </w:rPr>
      </w:pPr>
      <w:r w:rsidRPr="001F31EB">
        <w:rPr>
          <w:rStyle w:val="FootnoteReference"/>
          <w:rFonts w:ascii="Arial" w:hAnsi="Arial" w:cs="Arial"/>
          <w:sz w:val="18"/>
          <w:szCs w:val="18"/>
        </w:rPr>
        <w:footnoteRef/>
      </w:r>
      <w:r w:rsidRPr="001F31EB">
        <w:rPr>
          <w:rFonts w:ascii="Arial" w:hAnsi="Arial" w:cs="Arial"/>
          <w:sz w:val="18"/>
          <w:szCs w:val="18"/>
        </w:rPr>
        <w:t xml:space="preserve"> </w:t>
      </w:r>
      <w:r w:rsidRPr="00F40F20">
        <w:rPr>
          <w:rFonts w:ascii="Arial" w:hAnsi="Arial" w:cs="Arial"/>
          <w:i/>
          <w:sz w:val="18"/>
          <w:szCs w:val="18"/>
        </w:rPr>
        <w:t>Plastic Converters Association of SA obo Members v National Union of Metalworkers of SA</w:t>
      </w:r>
      <w:r>
        <w:rPr>
          <w:rFonts w:ascii="Arial" w:hAnsi="Arial" w:cs="Arial"/>
          <w:sz w:val="18"/>
          <w:szCs w:val="18"/>
        </w:rPr>
        <w:t xml:space="preserve"> [2020] ZALAC 39; (2016) 37 ILJ 2815 (LAC) at para 46; </w:t>
      </w:r>
      <w:r w:rsidRPr="00F40F20">
        <w:rPr>
          <w:rFonts w:ascii="Arial" w:hAnsi="Arial" w:cs="Arial"/>
          <w:i/>
          <w:sz w:val="18"/>
          <w:szCs w:val="18"/>
          <w:lang w:val="en-US"/>
        </w:rPr>
        <w:t xml:space="preserve">Public Protector v South African Reserve Bank </w:t>
      </w:r>
      <w:r w:rsidRPr="00901718">
        <w:rPr>
          <w:rFonts w:ascii="Arial" w:hAnsi="Arial" w:cs="Arial"/>
          <w:sz w:val="18"/>
          <w:szCs w:val="18"/>
          <w:lang w:val="en-US"/>
        </w:rPr>
        <w:t xml:space="preserve">[2019] ZACC 29 </w:t>
      </w:r>
      <w:r>
        <w:rPr>
          <w:rFonts w:ascii="Arial" w:hAnsi="Arial" w:cs="Arial"/>
          <w:sz w:val="18"/>
          <w:szCs w:val="18"/>
          <w:lang w:val="en-US"/>
        </w:rPr>
        <w:t xml:space="preserve">(SARB) </w:t>
      </w:r>
      <w:r w:rsidRPr="00901718">
        <w:rPr>
          <w:rFonts w:ascii="Arial" w:hAnsi="Arial" w:cs="Arial"/>
          <w:sz w:val="18"/>
          <w:szCs w:val="18"/>
          <w:lang w:val="en-US"/>
        </w:rPr>
        <w:t>at para 8</w:t>
      </w:r>
      <w:r>
        <w:rPr>
          <w:rFonts w:ascii="Arial" w:hAnsi="Arial" w:cs="Arial"/>
          <w:sz w:val="18"/>
          <w:szCs w:val="18"/>
          <w:lang w:val="en-US"/>
        </w:rPr>
        <w:t xml:space="preserve"> and 225; </w:t>
      </w:r>
      <w:proofErr w:type="spellStart"/>
      <w:r w:rsidRPr="00F40F20">
        <w:rPr>
          <w:rFonts w:ascii="Arial" w:hAnsi="Arial" w:cs="Arial"/>
          <w:i/>
          <w:sz w:val="18"/>
          <w:szCs w:val="18"/>
          <w:lang w:val="en-US"/>
        </w:rPr>
        <w:t>Tjiroze</w:t>
      </w:r>
      <w:proofErr w:type="spellEnd"/>
      <w:r w:rsidRPr="00F40F20">
        <w:rPr>
          <w:rFonts w:ascii="Arial" w:hAnsi="Arial" w:cs="Arial"/>
          <w:i/>
          <w:sz w:val="18"/>
          <w:szCs w:val="18"/>
          <w:lang w:val="en-US"/>
        </w:rPr>
        <w:t xml:space="preserve"> v Appeal Board of the Financial Services Board</w:t>
      </w:r>
      <w:r>
        <w:rPr>
          <w:rFonts w:ascii="Arial" w:hAnsi="Arial" w:cs="Arial"/>
          <w:sz w:val="18"/>
          <w:szCs w:val="18"/>
          <w:lang w:val="en-US"/>
        </w:rPr>
        <w:t xml:space="preserve"> [2020] ZACC 18 at para 23.</w:t>
      </w:r>
    </w:p>
  </w:footnote>
  <w:footnote w:id="21">
    <w:p w14:paraId="447E4CB4" w14:textId="77777777" w:rsidR="00C704A9" w:rsidRPr="00E850CC" w:rsidRDefault="00C704A9">
      <w:pPr>
        <w:pStyle w:val="FootnoteText"/>
        <w:rPr>
          <w:rFonts w:ascii="Arial" w:hAnsi="Arial" w:cs="Arial"/>
          <w:sz w:val="18"/>
          <w:szCs w:val="18"/>
          <w:lang w:val="en-US"/>
        </w:rPr>
      </w:pPr>
      <w:r w:rsidRPr="00A7269F">
        <w:rPr>
          <w:rStyle w:val="FootnoteReference"/>
          <w:rFonts w:ascii="Arial" w:hAnsi="Arial" w:cs="Arial"/>
          <w:sz w:val="18"/>
          <w:szCs w:val="18"/>
        </w:rPr>
        <w:footnoteRef/>
      </w:r>
      <w:r w:rsidRPr="00A7269F">
        <w:rPr>
          <w:rFonts w:ascii="Arial" w:hAnsi="Arial" w:cs="Arial"/>
          <w:sz w:val="18"/>
          <w:szCs w:val="18"/>
        </w:rPr>
        <w:t xml:space="preserve"> </w:t>
      </w:r>
      <w:proofErr w:type="spellStart"/>
      <w:r w:rsidRPr="00A7269F">
        <w:rPr>
          <w:rFonts w:ascii="Arial" w:hAnsi="Arial" w:cs="Arial"/>
          <w:i/>
          <w:sz w:val="18"/>
          <w:szCs w:val="18"/>
          <w:lang w:val="en-US"/>
        </w:rPr>
        <w:t>Orestisolve</w:t>
      </w:r>
      <w:proofErr w:type="spellEnd"/>
      <w:r w:rsidRPr="00A7269F">
        <w:rPr>
          <w:rFonts w:ascii="Arial" w:hAnsi="Arial" w:cs="Arial"/>
          <w:i/>
          <w:sz w:val="18"/>
          <w:szCs w:val="18"/>
          <w:lang w:val="en-US"/>
        </w:rPr>
        <w:t xml:space="preserve"> (Pty) ltd t/a Essa Investments v NDFT Investment Holdings (Pty) </w:t>
      </w:r>
      <w:proofErr w:type="gramStart"/>
      <w:r w:rsidRPr="00A7269F">
        <w:rPr>
          <w:rFonts w:ascii="Arial" w:hAnsi="Arial" w:cs="Arial"/>
          <w:i/>
          <w:sz w:val="18"/>
          <w:szCs w:val="18"/>
          <w:lang w:val="en-US"/>
        </w:rPr>
        <w:t xml:space="preserve">Ltd </w:t>
      </w:r>
      <w:r w:rsidRPr="00A7269F">
        <w:rPr>
          <w:rFonts w:ascii="Arial" w:hAnsi="Arial" w:cs="Arial"/>
          <w:sz w:val="18"/>
          <w:szCs w:val="18"/>
          <w:lang w:val="en-US"/>
        </w:rPr>
        <w:t xml:space="preserve"> 2015</w:t>
      </w:r>
      <w:proofErr w:type="gramEnd"/>
      <w:r w:rsidRPr="00A7269F">
        <w:rPr>
          <w:rFonts w:ascii="Arial" w:hAnsi="Arial" w:cs="Arial"/>
          <w:sz w:val="18"/>
          <w:szCs w:val="18"/>
          <w:lang w:val="en-US"/>
        </w:rPr>
        <w:t>(4) SA 449 9WCC) at para 11</w:t>
      </w:r>
      <w:r w:rsidR="00A7269F" w:rsidRPr="00A7269F">
        <w:rPr>
          <w:rFonts w:ascii="Arial" w:hAnsi="Arial" w:cs="Arial"/>
          <w:sz w:val="18"/>
          <w:szCs w:val="18"/>
          <w:lang w:val="en-US"/>
        </w:rPr>
        <w:t xml:space="preserve">. </w:t>
      </w:r>
    </w:p>
  </w:footnote>
  <w:footnote w:id="22">
    <w:p w14:paraId="3C5166C3" w14:textId="77777777" w:rsidR="00E850CC" w:rsidRPr="00E850CC" w:rsidRDefault="00E850CC">
      <w:pPr>
        <w:pStyle w:val="FootnoteText"/>
        <w:rPr>
          <w:lang w:val="en-US"/>
        </w:rPr>
      </w:pPr>
      <w:r w:rsidRPr="00E850CC">
        <w:rPr>
          <w:rStyle w:val="FootnoteReference"/>
          <w:rFonts w:ascii="Arial" w:hAnsi="Arial" w:cs="Arial"/>
          <w:sz w:val="18"/>
          <w:szCs w:val="18"/>
        </w:rPr>
        <w:footnoteRef/>
      </w:r>
      <w:r w:rsidRPr="00E850CC">
        <w:rPr>
          <w:rFonts w:ascii="Arial" w:hAnsi="Arial" w:cs="Arial"/>
          <w:sz w:val="18"/>
          <w:szCs w:val="18"/>
        </w:rPr>
        <w:t xml:space="preserve"> </w:t>
      </w:r>
      <w:proofErr w:type="spellStart"/>
      <w:r w:rsidRPr="0011163A">
        <w:rPr>
          <w:rFonts w:ascii="Arial" w:hAnsi="Arial" w:cs="Arial"/>
          <w:i/>
          <w:sz w:val="18"/>
          <w:szCs w:val="18"/>
          <w:lang w:val="en-US"/>
        </w:rPr>
        <w:t>Afgri</w:t>
      </w:r>
      <w:proofErr w:type="spellEnd"/>
      <w:r w:rsidRPr="0011163A">
        <w:rPr>
          <w:rFonts w:ascii="Arial" w:hAnsi="Arial" w:cs="Arial"/>
          <w:i/>
          <w:sz w:val="18"/>
          <w:szCs w:val="18"/>
          <w:lang w:val="en-US"/>
        </w:rPr>
        <w:t xml:space="preserve"> Operations Ltd v Hamba Fleet (Pty) Ltd </w:t>
      </w:r>
      <w:r w:rsidRPr="00E850CC">
        <w:rPr>
          <w:rFonts w:ascii="Arial" w:hAnsi="Arial" w:cs="Arial"/>
          <w:sz w:val="18"/>
          <w:szCs w:val="18"/>
          <w:lang w:val="en-US"/>
        </w:rPr>
        <w:t xml:space="preserve">2022(1) SA 91 (SCA) para </w:t>
      </w:r>
      <w:r>
        <w:rPr>
          <w:rFonts w:ascii="Arial" w:hAnsi="Arial" w:cs="Arial"/>
          <w:sz w:val="18"/>
          <w:szCs w:val="18"/>
          <w:lang w:val="en-US"/>
        </w:rPr>
        <w:t xml:space="preserve">12 and </w:t>
      </w:r>
      <w:proofErr w:type="gramStart"/>
      <w:r w:rsidRPr="00E850CC">
        <w:rPr>
          <w:rFonts w:ascii="Arial" w:hAnsi="Arial" w:cs="Arial"/>
          <w:sz w:val="18"/>
          <w:szCs w:val="18"/>
          <w:lang w:val="en-US"/>
        </w:rPr>
        <w:t>13 .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AB2"/>
    <w:multiLevelType w:val="hybridMultilevel"/>
    <w:tmpl w:val="C296ABAA"/>
    <w:lvl w:ilvl="0" w:tplc="16B6A0F8">
      <w:start w:val="3"/>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A132429"/>
    <w:multiLevelType w:val="hybridMultilevel"/>
    <w:tmpl w:val="97A4099A"/>
    <w:lvl w:ilvl="0" w:tplc="568CB88E">
      <w:start w:val="1"/>
      <w:numFmt w:val="decimal"/>
      <w:lvlText w:val="%1."/>
      <w:lvlJc w:val="left"/>
      <w:pPr>
        <w:tabs>
          <w:tab w:val="num" w:pos="900"/>
        </w:tabs>
        <w:ind w:left="900" w:hanging="720"/>
      </w:pPr>
      <w:rPr>
        <w:rFonts w:ascii="Arial" w:eastAsia="Times" w:hAnsi="Arial" w:cs="Arial"/>
      </w:rPr>
    </w:lvl>
    <w:lvl w:ilvl="1" w:tplc="BBC06C92">
      <w:start w:val="1"/>
      <w:numFmt w:val="lowerLetter"/>
      <w:lvlText w:val="%2."/>
      <w:lvlJc w:val="left"/>
      <w:pPr>
        <w:tabs>
          <w:tab w:val="num" w:pos="1260"/>
        </w:tabs>
        <w:ind w:left="1260" w:hanging="360"/>
      </w:pPr>
      <w:rPr>
        <w:rFonts w:cs="Times New Roman"/>
      </w:rPr>
    </w:lvl>
    <w:lvl w:ilvl="2" w:tplc="ACA8391C">
      <w:start w:val="1"/>
      <w:numFmt w:val="lowerRoman"/>
      <w:lvlText w:val="%3."/>
      <w:lvlJc w:val="right"/>
      <w:pPr>
        <w:tabs>
          <w:tab w:val="num" w:pos="1980"/>
        </w:tabs>
        <w:ind w:left="1980" w:hanging="180"/>
      </w:pPr>
      <w:rPr>
        <w:rFonts w:cs="Times New Roman"/>
      </w:rPr>
    </w:lvl>
    <w:lvl w:ilvl="3" w:tplc="57886D22">
      <w:start w:val="1"/>
      <w:numFmt w:val="decimal"/>
      <w:lvlText w:val="%4."/>
      <w:lvlJc w:val="left"/>
      <w:pPr>
        <w:tabs>
          <w:tab w:val="num" w:pos="2700"/>
        </w:tabs>
        <w:ind w:left="2700" w:hanging="360"/>
      </w:pPr>
      <w:rPr>
        <w:rFonts w:cs="Times New Roman"/>
      </w:rPr>
    </w:lvl>
    <w:lvl w:ilvl="4" w:tplc="2E2E02E8">
      <w:start w:val="1"/>
      <w:numFmt w:val="lowerLetter"/>
      <w:lvlText w:val="%5."/>
      <w:lvlJc w:val="left"/>
      <w:pPr>
        <w:tabs>
          <w:tab w:val="num" w:pos="3420"/>
        </w:tabs>
        <w:ind w:left="3420" w:hanging="360"/>
      </w:pPr>
      <w:rPr>
        <w:rFonts w:cs="Times New Roman"/>
      </w:rPr>
    </w:lvl>
    <w:lvl w:ilvl="5" w:tplc="C1D48986">
      <w:start w:val="1"/>
      <w:numFmt w:val="lowerRoman"/>
      <w:lvlText w:val="%6."/>
      <w:lvlJc w:val="right"/>
      <w:pPr>
        <w:tabs>
          <w:tab w:val="num" w:pos="4140"/>
        </w:tabs>
        <w:ind w:left="4140" w:hanging="180"/>
      </w:pPr>
      <w:rPr>
        <w:rFonts w:cs="Times New Roman"/>
      </w:rPr>
    </w:lvl>
    <w:lvl w:ilvl="6" w:tplc="82C2AAB6">
      <w:start w:val="1"/>
      <w:numFmt w:val="decimal"/>
      <w:lvlText w:val="%7."/>
      <w:lvlJc w:val="left"/>
      <w:pPr>
        <w:tabs>
          <w:tab w:val="num" w:pos="4860"/>
        </w:tabs>
        <w:ind w:left="4860" w:hanging="360"/>
      </w:pPr>
      <w:rPr>
        <w:rFonts w:cs="Times New Roman"/>
      </w:rPr>
    </w:lvl>
    <w:lvl w:ilvl="7" w:tplc="76C028BA">
      <w:start w:val="1"/>
      <w:numFmt w:val="lowerLetter"/>
      <w:lvlText w:val="%8."/>
      <w:lvlJc w:val="left"/>
      <w:pPr>
        <w:tabs>
          <w:tab w:val="num" w:pos="5580"/>
        </w:tabs>
        <w:ind w:left="5580" w:hanging="360"/>
      </w:pPr>
      <w:rPr>
        <w:rFonts w:cs="Times New Roman"/>
      </w:rPr>
    </w:lvl>
    <w:lvl w:ilvl="8" w:tplc="D9FE8D14">
      <w:start w:val="1"/>
      <w:numFmt w:val="lowerRoman"/>
      <w:lvlText w:val="%9."/>
      <w:lvlJc w:val="right"/>
      <w:pPr>
        <w:tabs>
          <w:tab w:val="num" w:pos="6300"/>
        </w:tabs>
        <w:ind w:left="6300" w:hanging="180"/>
      </w:pPr>
      <w:rPr>
        <w:rFonts w:cs="Times New Roman"/>
      </w:rPr>
    </w:lvl>
  </w:abstractNum>
  <w:abstractNum w:abstractNumId="2" w15:restartNumberingAfterBreak="0">
    <w:nsid w:val="133935AE"/>
    <w:multiLevelType w:val="multilevel"/>
    <w:tmpl w:val="47783452"/>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15:restartNumberingAfterBreak="0">
    <w:nsid w:val="140533D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A7D6B"/>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B61F1F"/>
    <w:multiLevelType w:val="hybridMultilevel"/>
    <w:tmpl w:val="6D860C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29190363">
    <w:abstractNumId w:val="4"/>
  </w:num>
  <w:num w:numId="2" w16cid:durableId="369453274">
    <w:abstractNumId w:val="5"/>
  </w:num>
  <w:num w:numId="3" w16cid:durableId="1450197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396554">
    <w:abstractNumId w:val="3"/>
  </w:num>
  <w:num w:numId="5" w16cid:durableId="1373923414">
    <w:abstractNumId w:val="0"/>
  </w:num>
  <w:num w:numId="6" w16cid:durableId="1707753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58"/>
    <w:rsid w:val="00005A4C"/>
    <w:rsid w:val="000129EC"/>
    <w:rsid w:val="00013322"/>
    <w:rsid w:val="0001616E"/>
    <w:rsid w:val="000402DA"/>
    <w:rsid w:val="00054515"/>
    <w:rsid w:val="00072C96"/>
    <w:rsid w:val="000808F2"/>
    <w:rsid w:val="00090107"/>
    <w:rsid w:val="000917A2"/>
    <w:rsid w:val="000B02F5"/>
    <w:rsid w:val="000B1CE0"/>
    <w:rsid w:val="000C1190"/>
    <w:rsid w:val="000C444C"/>
    <w:rsid w:val="000E6485"/>
    <w:rsid w:val="0011163A"/>
    <w:rsid w:val="00116400"/>
    <w:rsid w:val="00154FA5"/>
    <w:rsid w:val="001558FE"/>
    <w:rsid w:val="00161CF9"/>
    <w:rsid w:val="00176443"/>
    <w:rsid w:val="00186139"/>
    <w:rsid w:val="001A0C1C"/>
    <w:rsid w:val="001F31EB"/>
    <w:rsid w:val="00213A8D"/>
    <w:rsid w:val="00223247"/>
    <w:rsid w:val="0023405E"/>
    <w:rsid w:val="00242845"/>
    <w:rsid w:val="00245C85"/>
    <w:rsid w:val="0025131D"/>
    <w:rsid w:val="00256ED7"/>
    <w:rsid w:val="00280830"/>
    <w:rsid w:val="00287FE2"/>
    <w:rsid w:val="00292301"/>
    <w:rsid w:val="002B4182"/>
    <w:rsid w:val="002D0AEB"/>
    <w:rsid w:val="002D2C31"/>
    <w:rsid w:val="0033747E"/>
    <w:rsid w:val="0034639E"/>
    <w:rsid w:val="0036006D"/>
    <w:rsid w:val="00361E8C"/>
    <w:rsid w:val="0036606A"/>
    <w:rsid w:val="00380384"/>
    <w:rsid w:val="003A4CF3"/>
    <w:rsid w:val="003D4271"/>
    <w:rsid w:val="003D7A9C"/>
    <w:rsid w:val="003F2947"/>
    <w:rsid w:val="004421B5"/>
    <w:rsid w:val="00453F8D"/>
    <w:rsid w:val="00461B43"/>
    <w:rsid w:val="004868EA"/>
    <w:rsid w:val="004A6703"/>
    <w:rsid w:val="004E207B"/>
    <w:rsid w:val="0050682A"/>
    <w:rsid w:val="00511AB5"/>
    <w:rsid w:val="00520661"/>
    <w:rsid w:val="00563197"/>
    <w:rsid w:val="00575059"/>
    <w:rsid w:val="00585F01"/>
    <w:rsid w:val="005B719B"/>
    <w:rsid w:val="005D6156"/>
    <w:rsid w:val="005E1B3E"/>
    <w:rsid w:val="005E6791"/>
    <w:rsid w:val="005F46B0"/>
    <w:rsid w:val="006130E0"/>
    <w:rsid w:val="00621984"/>
    <w:rsid w:val="00623E4E"/>
    <w:rsid w:val="00636D15"/>
    <w:rsid w:val="00643E15"/>
    <w:rsid w:val="006564A3"/>
    <w:rsid w:val="0066663D"/>
    <w:rsid w:val="006672ED"/>
    <w:rsid w:val="0068058F"/>
    <w:rsid w:val="006B34A5"/>
    <w:rsid w:val="0070124E"/>
    <w:rsid w:val="00715253"/>
    <w:rsid w:val="00723348"/>
    <w:rsid w:val="00754C83"/>
    <w:rsid w:val="00766212"/>
    <w:rsid w:val="0078147F"/>
    <w:rsid w:val="007B0158"/>
    <w:rsid w:val="007B0E5D"/>
    <w:rsid w:val="007D144D"/>
    <w:rsid w:val="007F3880"/>
    <w:rsid w:val="0082764F"/>
    <w:rsid w:val="008317CB"/>
    <w:rsid w:val="00837845"/>
    <w:rsid w:val="00845E1F"/>
    <w:rsid w:val="00846C97"/>
    <w:rsid w:val="00885A1C"/>
    <w:rsid w:val="0088775E"/>
    <w:rsid w:val="00890513"/>
    <w:rsid w:val="008C5077"/>
    <w:rsid w:val="00902660"/>
    <w:rsid w:val="00913289"/>
    <w:rsid w:val="00947786"/>
    <w:rsid w:val="00984626"/>
    <w:rsid w:val="009C322F"/>
    <w:rsid w:val="009D0D0C"/>
    <w:rsid w:val="009E4AC1"/>
    <w:rsid w:val="009F5CC9"/>
    <w:rsid w:val="00A11F9A"/>
    <w:rsid w:val="00A2156F"/>
    <w:rsid w:val="00A25E76"/>
    <w:rsid w:val="00A44170"/>
    <w:rsid w:val="00A479A8"/>
    <w:rsid w:val="00A7269F"/>
    <w:rsid w:val="00A87785"/>
    <w:rsid w:val="00A87B05"/>
    <w:rsid w:val="00AA0DFD"/>
    <w:rsid w:val="00AA46D3"/>
    <w:rsid w:val="00AD0C60"/>
    <w:rsid w:val="00AE1CF7"/>
    <w:rsid w:val="00B1152D"/>
    <w:rsid w:val="00B35C48"/>
    <w:rsid w:val="00B6008D"/>
    <w:rsid w:val="00B73C41"/>
    <w:rsid w:val="00BD5B4D"/>
    <w:rsid w:val="00BE65A5"/>
    <w:rsid w:val="00C05573"/>
    <w:rsid w:val="00C1338D"/>
    <w:rsid w:val="00C704A9"/>
    <w:rsid w:val="00C70C1A"/>
    <w:rsid w:val="00C84087"/>
    <w:rsid w:val="00C92247"/>
    <w:rsid w:val="00CB3EE2"/>
    <w:rsid w:val="00CE0D4F"/>
    <w:rsid w:val="00D02711"/>
    <w:rsid w:val="00D278C2"/>
    <w:rsid w:val="00D330DF"/>
    <w:rsid w:val="00DA3679"/>
    <w:rsid w:val="00DA3CA1"/>
    <w:rsid w:val="00DB4A6C"/>
    <w:rsid w:val="00E50FFB"/>
    <w:rsid w:val="00E578FD"/>
    <w:rsid w:val="00E75EE7"/>
    <w:rsid w:val="00E850CC"/>
    <w:rsid w:val="00EF2CCC"/>
    <w:rsid w:val="00F128B3"/>
    <w:rsid w:val="00F136AF"/>
    <w:rsid w:val="00F21371"/>
    <w:rsid w:val="00F40F20"/>
    <w:rsid w:val="00F51D37"/>
    <w:rsid w:val="00F608AB"/>
    <w:rsid w:val="00FB4EA8"/>
    <w:rsid w:val="00FE6D3A"/>
    <w:rsid w:val="00FE72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18D8"/>
  <w15:chartTrackingRefBased/>
  <w15:docId w15:val="{F7C8AF0A-C1E3-4014-8AC5-A4B40C4F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58"/>
    <w:pPr>
      <w:ind w:left="720"/>
      <w:contextualSpacing/>
    </w:pPr>
  </w:style>
  <w:style w:type="paragraph" w:styleId="FootnoteText">
    <w:name w:val="footnote text"/>
    <w:basedOn w:val="Normal"/>
    <w:link w:val="FootnoteTextChar"/>
    <w:uiPriority w:val="99"/>
    <w:semiHidden/>
    <w:unhideWhenUsed/>
    <w:rsid w:val="00575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059"/>
    <w:rPr>
      <w:sz w:val="20"/>
      <w:szCs w:val="20"/>
    </w:rPr>
  </w:style>
  <w:style w:type="character" w:styleId="FootnoteReference">
    <w:name w:val="footnote reference"/>
    <w:basedOn w:val="DefaultParagraphFont"/>
    <w:uiPriority w:val="99"/>
    <w:semiHidden/>
    <w:unhideWhenUsed/>
    <w:rsid w:val="00575059"/>
    <w:rPr>
      <w:vertAlign w:val="superscript"/>
    </w:rPr>
  </w:style>
  <w:style w:type="paragraph" w:customStyle="1" w:styleId="Bold">
    <w:name w:val="Bold"/>
    <w:aliases w:val="underline &amp; Centre"/>
    <w:basedOn w:val="Normal"/>
    <w:rsid w:val="00D278C2"/>
    <w:pPr>
      <w:spacing w:before="120" w:after="360" w:line="480" w:lineRule="auto"/>
      <w:jc w:val="center"/>
    </w:pPr>
    <w:rPr>
      <w:rFonts w:ascii="Arial" w:eastAsia="Times New Roman" w:hAnsi="Arial" w:cs="Times New Roman"/>
      <w:b/>
      <w:kern w:val="25"/>
      <w:szCs w:val="20"/>
      <w:u w:val="single"/>
      <w:lang w:val="en-GB" w:eastAsia="en-GB"/>
    </w:rPr>
  </w:style>
  <w:style w:type="character" w:styleId="Hyperlink">
    <w:name w:val="Hyperlink"/>
    <w:basedOn w:val="DefaultParagraphFont"/>
    <w:uiPriority w:val="99"/>
    <w:semiHidden/>
    <w:unhideWhenUsed/>
    <w:rsid w:val="00292301"/>
    <w:rPr>
      <w:color w:val="0000FF"/>
      <w:u w:val="single"/>
    </w:rPr>
  </w:style>
  <w:style w:type="paragraph" w:styleId="NormalWeb">
    <w:name w:val="Normal (Web)"/>
    <w:basedOn w:val="Normal"/>
    <w:uiPriority w:val="99"/>
    <w:unhideWhenUsed/>
    <w:rsid w:val="002D0AE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9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660"/>
  </w:style>
  <w:style w:type="paragraph" w:styleId="Footer">
    <w:name w:val="footer"/>
    <w:basedOn w:val="Normal"/>
    <w:link w:val="FooterChar"/>
    <w:uiPriority w:val="99"/>
    <w:unhideWhenUsed/>
    <w:rsid w:val="009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4268">
      <w:bodyDiv w:val="1"/>
      <w:marLeft w:val="0"/>
      <w:marRight w:val="0"/>
      <w:marTop w:val="0"/>
      <w:marBottom w:val="0"/>
      <w:divBdr>
        <w:top w:val="none" w:sz="0" w:space="0" w:color="auto"/>
        <w:left w:val="none" w:sz="0" w:space="0" w:color="auto"/>
        <w:bottom w:val="none" w:sz="0" w:space="0" w:color="auto"/>
        <w:right w:val="none" w:sz="0" w:space="0" w:color="auto"/>
      </w:divBdr>
      <w:divsChild>
        <w:div w:id="916938365">
          <w:marLeft w:val="0"/>
          <w:marRight w:val="0"/>
          <w:marTop w:val="240"/>
          <w:marBottom w:val="0"/>
          <w:divBdr>
            <w:top w:val="none" w:sz="0" w:space="0" w:color="auto"/>
            <w:left w:val="none" w:sz="0" w:space="0" w:color="auto"/>
            <w:bottom w:val="none" w:sz="0" w:space="0" w:color="auto"/>
            <w:right w:val="none" w:sz="0" w:space="0" w:color="auto"/>
          </w:divBdr>
        </w:div>
        <w:div w:id="303581997">
          <w:marLeft w:val="0"/>
          <w:marRight w:val="0"/>
          <w:marTop w:val="120"/>
          <w:marBottom w:val="0"/>
          <w:divBdr>
            <w:top w:val="none" w:sz="0" w:space="0" w:color="auto"/>
            <w:left w:val="none" w:sz="0" w:space="0" w:color="auto"/>
            <w:bottom w:val="none" w:sz="0" w:space="0" w:color="auto"/>
            <w:right w:val="none" w:sz="0" w:space="0" w:color="auto"/>
          </w:divBdr>
        </w:div>
        <w:div w:id="375659910">
          <w:marLeft w:val="1134"/>
          <w:marRight w:val="0"/>
          <w:marTop w:val="60"/>
          <w:marBottom w:val="0"/>
          <w:divBdr>
            <w:top w:val="none" w:sz="0" w:space="0" w:color="auto"/>
            <w:left w:val="none" w:sz="0" w:space="0" w:color="auto"/>
            <w:bottom w:val="none" w:sz="0" w:space="0" w:color="auto"/>
            <w:right w:val="none" w:sz="0" w:space="0" w:color="auto"/>
          </w:divBdr>
        </w:div>
        <w:div w:id="731729812">
          <w:marLeft w:val="1985"/>
          <w:marRight w:val="0"/>
          <w:marTop w:val="60"/>
          <w:marBottom w:val="0"/>
          <w:divBdr>
            <w:top w:val="none" w:sz="0" w:space="0" w:color="auto"/>
            <w:left w:val="none" w:sz="0" w:space="0" w:color="auto"/>
            <w:bottom w:val="none" w:sz="0" w:space="0" w:color="auto"/>
            <w:right w:val="none" w:sz="0" w:space="0" w:color="auto"/>
          </w:divBdr>
        </w:div>
        <w:div w:id="1982727679">
          <w:marLeft w:val="1985"/>
          <w:marRight w:val="0"/>
          <w:marTop w:val="60"/>
          <w:marBottom w:val="0"/>
          <w:divBdr>
            <w:top w:val="none" w:sz="0" w:space="0" w:color="auto"/>
            <w:left w:val="none" w:sz="0" w:space="0" w:color="auto"/>
            <w:bottom w:val="none" w:sz="0" w:space="0" w:color="auto"/>
            <w:right w:val="none" w:sz="0" w:space="0" w:color="auto"/>
          </w:divBdr>
        </w:div>
        <w:div w:id="43916415">
          <w:marLeft w:val="1134"/>
          <w:marRight w:val="0"/>
          <w:marTop w:val="60"/>
          <w:marBottom w:val="0"/>
          <w:divBdr>
            <w:top w:val="none" w:sz="0" w:space="0" w:color="auto"/>
            <w:left w:val="none" w:sz="0" w:space="0" w:color="auto"/>
            <w:bottom w:val="none" w:sz="0" w:space="0" w:color="auto"/>
            <w:right w:val="none" w:sz="0" w:space="0" w:color="auto"/>
          </w:divBdr>
        </w:div>
        <w:div w:id="918292460">
          <w:marLeft w:val="1134"/>
          <w:marRight w:val="0"/>
          <w:marTop w:val="60"/>
          <w:marBottom w:val="0"/>
          <w:divBdr>
            <w:top w:val="none" w:sz="0" w:space="0" w:color="auto"/>
            <w:left w:val="none" w:sz="0" w:space="0" w:color="auto"/>
            <w:bottom w:val="none" w:sz="0" w:space="0" w:color="auto"/>
            <w:right w:val="none" w:sz="0" w:space="0" w:color="auto"/>
          </w:divBdr>
        </w:div>
        <w:div w:id="1649742310">
          <w:marLeft w:val="567"/>
          <w:marRight w:val="567"/>
          <w:marTop w:val="20"/>
          <w:marBottom w:val="20"/>
          <w:divBdr>
            <w:top w:val="none" w:sz="0" w:space="0" w:color="auto"/>
            <w:left w:val="none" w:sz="0" w:space="0" w:color="auto"/>
            <w:bottom w:val="none" w:sz="0" w:space="0" w:color="auto"/>
            <w:right w:val="none" w:sz="0" w:space="0" w:color="auto"/>
          </w:divBdr>
        </w:div>
        <w:div w:id="889148458">
          <w:marLeft w:val="1134"/>
          <w:marRight w:val="0"/>
          <w:marTop w:val="60"/>
          <w:marBottom w:val="0"/>
          <w:divBdr>
            <w:top w:val="none" w:sz="0" w:space="0" w:color="auto"/>
            <w:left w:val="none" w:sz="0" w:space="0" w:color="auto"/>
            <w:bottom w:val="none" w:sz="0" w:space="0" w:color="auto"/>
            <w:right w:val="none" w:sz="0" w:space="0" w:color="auto"/>
          </w:divBdr>
        </w:div>
        <w:div w:id="1732001473">
          <w:marLeft w:val="0"/>
          <w:marRight w:val="0"/>
          <w:marTop w:val="120"/>
          <w:marBottom w:val="0"/>
          <w:divBdr>
            <w:top w:val="none" w:sz="0" w:space="0" w:color="auto"/>
            <w:left w:val="none" w:sz="0" w:space="0" w:color="auto"/>
            <w:bottom w:val="none" w:sz="0" w:space="0" w:color="auto"/>
            <w:right w:val="none" w:sz="0" w:space="0" w:color="auto"/>
          </w:divBdr>
        </w:div>
      </w:divsChild>
    </w:div>
    <w:div w:id="465703407">
      <w:bodyDiv w:val="1"/>
      <w:marLeft w:val="0"/>
      <w:marRight w:val="0"/>
      <w:marTop w:val="0"/>
      <w:marBottom w:val="0"/>
      <w:divBdr>
        <w:top w:val="none" w:sz="0" w:space="0" w:color="auto"/>
        <w:left w:val="none" w:sz="0" w:space="0" w:color="auto"/>
        <w:bottom w:val="none" w:sz="0" w:space="0" w:color="auto"/>
        <w:right w:val="none" w:sz="0" w:space="0" w:color="auto"/>
      </w:divBdr>
      <w:divsChild>
        <w:div w:id="605962516">
          <w:marLeft w:val="0"/>
          <w:marRight w:val="0"/>
          <w:marTop w:val="240"/>
          <w:marBottom w:val="0"/>
          <w:divBdr>
            <w:top w:val="none" w:sz="0" w:space="0" w:color="auto"/>
            <w:left w:val="none" w:sz="0" w:space="0" w:color="auto"/>
            <w:bottom w:val="none" w:sz="0" w:space="0" w:color="auto"/>
            <w:right w:val="none" w:sz="0" w:space="0" w:color="auto"/>
          </w:divBdr>
        </w:div>
        <w:div w:id="865217691">
          <w:marLeft w:val="0"/>
          <w:marRight w:val="0"/>
          <w:marTop w:val="120"/>
          <w:marBottom w:val="0"/>
          <w:divBdr>
            <w:top w:val="none" w:sz="0" w:space="0" w:color="auto"/>
            <w:left w:val="none" w:sz="0" w:space="0" w:color="auto"/>
            <w:bottom w:val="none" w:sz="0" w:space="0" w:color="auto"/>
            <w:right w:val="none" w:sz="0" w:space="0" w:color="auto"/>
          </w:divBdr>
        </w:div>
        <w:div w:id="1429035413">
          <w:marLeft w:val="1134"/>
          <w:marRight w:val="0"/>
          <w:marTop w:val="60"/>
          <w:marBottom w:val="0"/>
          <w:divBdr>
            <w:top w:val="none" w:sz="0" w:space="0" w:color="auto"/>
            <w:left w:val="none" w:sz="0" w:space="0" w:color="auto"/>
            <w:bottom w:val="none" w:sz="0" w:space="0" w:color="auto"/>
            <w:right w:val="none" w:sz="0" w:space="0" w:color="auto"/>
          </w:divBdr>
        </w:div>
        <w:div w:id="1007026526">
          <w:marLeft w:val="1134"/>
          <w:marRight w:val="0"/>
          <w:marTop w:val="60"/>
          <w:marBottom w:val="0"/>
          <w:divBdr>
            <w:top w:val="none" w:sz="0" w:space="0" w:color="auto"/>
            <w:left w:val="none" w:sz="0" w:space="0" w:color="auto"/>
            <w:bottom w:val="none" w:sz="0" w:space="0" w:color="auto"/>
            <w:right w:val="none" w:sz="0" w:space="0" w:color="auto"/>
          </w:divBdr>
        </w:div>
        <w:div w:id="90442468">
          <w:marLeft w:val="1134"/>
          <w:marRight w:val="0"/>
          <w:marTop w:val="60"/>
          <w:marBottom w:val="0"/>
          <w:divBdr>
            <w:top w:val="none" w:sz="0" w:space="0" w:color="auto"/>
            <w:left w:val="none" w:sz="0" w:space="0" w:color="auto"/>
            <w:bottom w:val="none" w:sz="0" w:space="0" w:color="auto"/>
            <w:right w:val="none" w:sz="0" w:space="0" w:color="auto"/>
          </w:divBdr>
        </w:div>
        <w:div w:id="1456169438">
          <w:marLeft w:val="1134"/>
          <w:marRight w:val="0"/>
          <w:marTop w:val="60"/>
          <w:marBottom w:val="0"/>
          <w:divBdr>
            <w:top w:val="none" w:sz="0" w:space="0" w:color="auto"/>
            <w:left w:val="none" w:sz="0" w:space="0" w:color="auto"/>
            <w:bottom w:val="none" w:sz="0" w:space="0" w:color="auto"/>
            <w:right w:val="none" w:sz="0" w:space="0" w:color="auto"/>
          </w:divBdr>
        </w:div>
        <w:div w:id="524171465">
          <w:marLeft w:val="1134"/>
          <w:marRight w:val="0"/>
          <w:marTop w:val="60"/>
          <w:marBottom w:val="0"/>
          <w:divBdr>
            <w:top w:val="none" w:sz="0" w:space="0" w:color="auto"/>
            <w:left w:val="none" w:sz="0" w:space="0" w:color="auto"/>
            <w:bottom w:val="none" w:sz="0" w:space="0" w:color="auto"/>
            <w:right w:val="none" w:sz="0" w:space="0" w:color="auto"/>
          </w:divBdr>
        </w:div>
        <w:div w:id="470831023">
          <w:marLeft w:val="1134"/>
          <w:marRight w:val="0"/>
          <w:marTop w:val="60"/>
          <w:marBottom w:val="0"/>
          <w:divBdr>
            <w:top w:val="none" w:sz="0" w:space="0" w:color="auto"/>
            <w:left w:val="none" w:sz="0" w:space="0" w:color="auto"/>
            <w:bottom w:val="none" w:sz="0" w:space="0" w:color="auto"/>
            <w:right w:val="none" w:sz="0" w:space="0" w:color="auto"/>
          </w:divBdr>
        </w:div>
        <w:div w:id="2082478178">
          <w:marLeft w:val="1134"/>
          <w:marRight w:val="0"/>
          <w:marTop w:val="60"/>
          <w:marBottom w:val="0"/>
          <w:divBdr>
            <w:top w:val="none" w:sz="0" w:space="0" w:color="auto"/>
            <w:left w:val="none" w:sz="0" w:space="0" w:color="auto"/>
            <w:bottom w:val="none" w:sz="0" w:space="0" w:color="auto"/>
            <w:right w:val="none" w:sz="0" w:space="0" w:color="auto"/>
          </w:divBdr>
        </w:div>
        <w:div w:id="2028865884">
          <w:marLeft w:val="1134"/>
          <w:marRight w:val="0"/>
          <w:marTop w:val="60"/>
          <w:marBottom w:val="0"/>
          <w:divBdr>
            <w:top w:val="none" w:sz="0" w:space="0" w:color="auto"/>
            <w:left w:val="none" w:sz="0" w:space="0" w:color="auto"/>
            <w:bottom w:val="none" w:sz="0" w:space="0" w:color="auto"/>
            <w:right w:val="none" w:sz="0" w:space="0" w:color="auto"/>
          </w:divBdr>
        </w:div>
      </w:divsChild>
    </w:div>
    <w:div w:id="787050414">
      <w:bodyDiv w:val="1"/>
      <w:marLeft w:val="0"/>
      <w:marRight w:val="0"/>
      <w:marTop w:val="0"/>
      <w:marBottom w:val="0"/>
      <w:divBdr>
        <w:top w:val="none" w:sz="0" w:space="0" w:color="auto"/>
        <w:left w:val="none" w:sz="0" w:space="0" w:color="auto"/>
        <w:bottom w:val="none" w:sz="0" w:space="0" w:color="auto"/>
        <w:right w:val="none" w:sz="0" w:space="0" w:color="auto"/>
      </w:divBdr>
    </w:div>
    <w:div w:id="1085494499">
      <w:bodyDiv w:val="1"/>
      <w:marLeft w:val="0"/>
      <w:marRight w:val="0"/>
      <w:marTop w:val="0"/>
      <w:marBottom w:val="0"/>
      <w:divBdr>
        <w:top w:val="none" w:sz="0" w:space="0" w:color="auto"/>
        <w:left w:val="none" w:sz="0" w:space="0" w:color="auto"/>
        <w:bottom w:val="none" w:sz="0" w:space="0" w:color="auto"/>
        <w:right w:val="none" w:sz="0" w:space="0" w:color="auto"/>
      </w:divBdr>
    </w:div>
    <w:div w:id="1181969595">
      <w:bodyDiv w:val="1"/>
      <w:marLeft w:val="0"/>
      <w:marRight w:val="0"/>
      <w:marTop w:val="0"/>
      <w:marBottom w:val="0"/>
      <w:divBdr>
        <w:top w:val="none" w:sz="0" w:space="0" w:color="auto"/>
        <w:left w:val="none" w:sz="0" w:space="0" w:color="auto"/>
        <w:bottom w:val="none" w:sz="0" w:space="0" w:color="auto"/>
        <w:right w:val="none" w:sz="0" w:space="0" w:color="auto"/>
      </w:divBdr>
      <w:divsChild>
        <w:div w:id="1765757156">
          <w:marLeft w:val="0"/>
          <w:marRight w:val="0"/>
          <w:marTop w:val="240"/>
          <w:marBottom w:val="0"/>
          <w:divBdr>
            <w:top w:val="none" w:sz="0" w:space="0" w:color="auto"/>
            <w:left w:val="none" w:sz="0" w:space="0" w:color="auto"/>
            <w:bottom w:val="none" w:sz="0" w:space="0" w:color="auto"/>
            <w:right w:val="none" w:sz="0" w:space="0" w:color="auto"/>
          </w:divBdr>
        </w:div>
        <w:div w:id="1807695695">
          <w:marLeft w:val="0"/>
          <w:marRight w:val="0"/>
          <w:marTop w:val="120"/>
          <w:marBottom w:val="0"/>
          <w:divBdr>
            <w:top w:val="none" w:sz="0" w:space="0" w:color="auto"/>
            <w:left w:val="none" w:sz="0" w:space="0" w:color="auto"/>
            <w:bottom w:val="none" w:sz="0" w:space="0" w:color="auto"/>
            <w:right w:val="none" w:sz="0" w:space="0" w:color="auto"/>
          </w:divBdr>
        </w:div>
        <w:div w:id="1687095358">
          <w:marLeft w:val="0"/>
          <w:marRight w:val="0"/>
          <w:marTop w:val="120"/>
          <w:marBottom w:val="0"/>
          <w:divBdr>
            <w:top w:val="none" w:sz="0" w:space="0" w:color="auto"/>
            <w:left w:val="none" w:sz="0" w:space="0" w:color="auto"/>
            <w:bottom w:val="none" w:sz="0" w:space="0" w:color="auto"/>
            <w:right w:val="none" w:sz="0" w:space="0" w:color="auto"/>
          </w:divBdr>
        </w:div>
      </w:divsChild>
    </w:div>
    <w:div w:id="1832329771">
      <w:bodyDiv w:val="1"/>
      <w:marLeft w:val="0"/>
      <w:marRight w:val="0"/>
      <w:marTop w:val="0"/>
      <w:marBottom w:val="0"/>
      <w:divBdr>
        <w:top w:val="none" w:sz="0" w:space="0" w:color="auto"/>
        <w:left w:val="none" w:sz="0" w:space="0" w:color="auto"/>
        <w:bottom w:val="none" w:sz="0" w:space="0" w:color="auto"/>
        <w:right w:val="none" w:sz="0" w:space="0" w:color="auto"/>
      </w:divBdr>
      <w:divsChild>
        <w:div w:id="2061781349">
          <w:marLeft w:val="0"/>
          <w:marRight w:val="0"/>
          <w:marTop w:val="240"/>
          <w:marBottom w:val="0"/>
          <w:divBdr>
            <w:top w:val="none" w:sz="0" w:space="0" w:color="auto"/>
            <w:left w:val="none" w:sz="0" w:space="0" w:color="auto"/>
            <w:bottom w:val="none" w:sz="0" w:space="0" w:color="auto"/>
            <w:right w:val="none" w:sz="0" w:space="0" w:color="auto"/>
          </w:divBdr>
        </w:div>
        <w:div w:id="1255823720">
          <w:marLeft w:val="0"/>
          <w:marRight w:val="0"/>
          <w:marTop w:val="120"/>
          <w:marBottom w:val="0"/>
          <w:divBdr>
            <w:top w:val="none" w:sz="0" w:space="0" w:color="auto"/>
            <w:left w:val="none" w:sz="0" w:space="0" w:color="auto"/>
            <w:bottom w:val="none" w:sz="0" w:space="0" w:color="auto"/>
            <w:right w:val="none" w:sz="0" w:space="0" w:color="auto"/>
          </w:divBdr>
        </w:div>
        <w:div w:id="4098168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5b2012%5d%20ZACC%2018" TargetMode="External"/><Relationship Id="rId2" Type="http://schemas.openxmlformats.org/officeDocument/2006/relationships/hyperlink" Target="https://www.saflii.org/cgi-bin/LawCite?cit=1955%20%282%29%20SA%20682" TargetMode="External"/><Relationship Id="rId1" Type="http://schemas.openxmlformats.org/officeDocument/2006/relationships/hyperlink" Target="https://www.saflii.org/cgi-bin/LawCite?cit=1948%20%281%29%20SA%201186" TargetMode="External"/><Relationship Id="rId6" Type="http://schemas.openxmlformats.org/officeDocument/2006/relationships/hyperlink" Target="https://www.saflii.org/cgi-bin/LawCite?cit=%5b2016%5d%20ZACC%2048" TargetMode="External"/><Relationship Id="rId5" Type="http://schemas.openxmlformats.org/officeDocument/2006/relationships/hyperlink" Target="https://www.saflii.org/cgi-bin/LawCite?cit=2012%20%2811%29%20BCLR%201148" TargetMode="External"/><Relationship Id="rId4" Type="http://schemas.openxmlformats.org/officeDocument/2006/relationships/hyperlink" Target="https://www.saflii.org/cgi-bin/LawCite?cit=2012%20%286%29%20SA%2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6903-0B8E-4453-A2AC-5EC1FCA8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Judge-Susannah Cowen</dc:creator>
  <cp:keywords/>
  <dc:description/>
  <cp:lastModifiedBy>Tshepang Mpuru</cp:lastModifiedBy>
  <cp:revision>2</cp:revision>
  <cp:lastPrinted>2023-11-06T12:54:00Z</cp:lastPrinted>
  <dcterms:created xsi:type="dcterms:W3CDTF">2023-11-07T13:09:00Z</dcterms:created>
  <dcterms:modified xsi:type="dcterms:W3CDTF">2023-11-07T13:09:00Z</dcterms:modified>
</cp:coreProperties>
</file>