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4852E" w14:textId="77777777" w:rsidR="00ED2FC5" w:rsidRPr="00B93312" w:rsidRDefault="004918D1" w:rsidP="006008AE">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REPUBLIC OF SOUTH AFRICA</w:t>
      </w:r>
    </w:p>
    <w:p w14:paraId="06460451" w14:textId="77777777" w:rsidR="00ED2FC5" w:rsidRPr="00B93312" w:rsidRDefault="004918D1" w:rsidP="00C160A1">
      <w:pPr>
        <w:spacing w:before="120" w:after="120" w:line="360" w:lineRule="auto"/>
        <w:ind w:left="661" w:hangingChars="236" w:hanging="661"/>
        <w:jc w:val="center"/>
        <w:rPr>
          <w:rFonts w:ascii="Arial" w:hAnsi="Arial" w:cs="Arial"/>
          <w:sz w:val="28"/>
          <w:szCs w:val="28"/>
        </w:rPr>
      </w:pPr>
      <w:r w:rsidRPr="00B93312">
        <w:rPr>
          <w:rFonts w:ascii="Arial" w:hAnsi="Arial" w:cs="Arial"/>
          <w:b/>
          <w:noProof/>
          <w:sz w:val="28"/>
          <w:szCs w:val="28"/>
          <w:lang w:eastAsia="en-ZA"/>
        </w:rPr>
        <w:drawing>
          <wp:inline distT="0" distB="0" distL="0" distR="0" wp14:anchorId="11FACC15" wp14:editId="5D73F614">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bookmarkStart w:id="0" w:name="_GoBack"/>
      <w:bookmarkEnd w:id="0"/>
    </w:p>
    <w:p w14:paraId="4720394B" w14:textId="77777777" w:rsidR="00ED2FC5" w:rsidRPr="00B93312" w:rsidRDefault="004918D1"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IN THE HIGH COURT OF SOUTH AFRICA</w:t>
      </w:r>
    </w:p>
    <w:p w14:paraId="3A42CFFB" w14:textId="77777777" w:rsidR="00ED2FC5" w:rsidRPr="00B93312" w:rsidRDefault="004918D1"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 xml:space="preserve">GAUTENG DIVISION, </w:t>
      </w:r>
      <w:r w:rsidR="007E1D08">
        <w:rPr>
          <w:rFonts w:ascii="Arial" w:hAnsi="Arial" w:cs="Arial"/>
          <w:sz w:val="28"/>
          <w:szCs w:val="28"/>
        </w:rPr>
        <w:t>PRETORIA</w:t>
      </w:r>
    </w:p>
    <w:p w14:paraId="3031B2F1" w14:textId="77777777" w:rsidR="00713972" w:rsidRPr="004234DD" w:rsidRDefault="004918D1" w:rsidP="004234DD">
      <w:pPr>
        <w:pStyle w:val="NormalWeb"/>
        <w:jc w:val="right"/>
        <w:rPr>
          <w:rFonts w:ascii="Arial" w:hAnsi="Arial" w:cs="Arial"/>
          <w:lang w:eastAsia="en-GB"/>
        </w:rPr>
      </w:pPr>
      <w:r w:rsidRPr="006704E0">
        <w:rPr>
          <w:rFonts w:ascii="Arial" w:hAnsi="Arial" w:cs="Arial"/>
          <w:lang w:eastAsia="en-GB"/>
        </w:rPr>
        <w:t>CASE NO:</w:t>
      </w:r>
      <w:r w:rsidR="00377FDC" w:rsidRPr="006704E0">
        <w:rPr>
          <w:rFonts w:ascii="Arial" w:hAnsi="Arial" w:cs="Arial"/>
          <w:lang w:eastAsia="en-GB"/>
        </w:rPr>
        <w:t xml:space="preserve"> </w:t>
      </w:r>
      <w:r w:rsidR="0084566F">
        <w:rPr>
          <w:rFonts w:ascii="Arial" w:hAnsi="Arial" w:cs="Arial"/>
          <w:lang w:eastAsia="en-GB"/>
        </w:rPr>
        <w:t>11417/</w:t>
      </w:r>
      <w:r w:rsidR="00D46EB6">
        <w:rPr>
          <w:rFonts w:ascii="Arial" w:hAnsi="Arial" w:cs="Arial"/>
          <w:lang w:eastAsia="en-GB"/>
        </w:rPr>
        <w:t>2</w:t>
      </w:r>
      <w:r w:rsidR="0084566F">
        <w:rPr>
          <w:rFonts w:ascii="Arial" w:hAnsi="Arial" w:cs="Arial"/>
          <w:lang w:eastAsia="en-GB"/>
        </w:rPr>
        <w:t>0</w:t>
      </w:r>
    </w:p>
    <w:p w14:paraId="7DAA8A75" w14:textId="77777777" w:rsidR="00665539" w:rsidRPr="00B93312" w:rsidRDefault="004918D1" w:rsidP="00FC3DC3">
      <w:pPr>
        <w:ind w:left="566" w:hangingChars="236" w:hanging="566"/>
        <w:jc w:val="right"/>
        <w:rPr>
          <w:rFonts w:ascii="Arial" w:hAnsi="Arial" w:cs="Arial"/>
          <w:sz w:val="28"/>
          <w:szCs w:val="28"/>
        </w:rPr>
      </w:pPr>
      <w:r w:rsidRPr="00B93312">
        <w:rPr>
          <w:rFonts w:ascii="Arial" w:hAnsi="Arial" w:cs="Arial"/>
          <w:noProof/>
          <w:lang w:eastAsia="en-ZA"/>
        </w:rPr>
        <mc:AlternateContent>
          <mc:Choice Requires="wps">
            <w:drawing>
              <wp:anchor distT="0" distB="0" distL="114300" distR="114300" simplePos="0" relativeHeight="251658240" behindDoc="0" locked="0" layoutInCell="1" allowOverlap="1" wp14:anchorId="44B43CCD" wp14:editId="518D4EA7">
                <wp:simplePos x="0" y="0"/>
                <wp:positionH relativeFrom="margin">
                  <wp:posOffset>0</wp:posOffset>
                </wp:positionH>
                <wp:positionV relativeFrom="paragraph">
                  <wp:posOffset>117985</wp:posOffset>
                </wp:positionV>
                <wp:extent cx="3232785" cy="1591143"/>
                <wp:effectExtent l="0" t="0" r="184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91143"/>
                        </a:xfrm>
                        <a:prstGeom prst="rect">
                          <a:avLst/>
                        </a:prstGeom>
                        <a:solidFill>
                          <a:srgbClr val="FFFFFF"/>
                        </a:solidFill>
                        <a:ln w="9525">
                          <a:solidFill>
                            <a:srgbClr val="000000"/>
                          </a:solidFill>
                          <a:miter lim="800000"/>
                          <a:headEnd/>
                          <a:tailEnd/>
                        </a:ln>
                      </wps:spPr>
                      <wps:txbx>
                        <w:txbxContent>
                          <w:p w14:paraId="795FFB3D" w14:textId="77777777" w:rsidR="000E009C" w:rsidRDefault="000E009C" w:rsidP="00ED2FC5">
                            <w:pPr>
                              <w:jc w:val="center"/>
                              <w:rPr>
                                <w:rFonts w:ascii="Century Gothic" w:hAnsi="Century Gothic"/>
                                <w:b/>
                                <w:sz w:val="20"/>
                                <w:szCs w:val="20"/>
                              </w:rPr>
                            </w:pPr>
                          </w:p>
                          <w:p w14:paraId="723651A3" w14:textId="77777777" w:rsidR="000E009C" w:rsidRDefault="004918D1" w:rsidP="00221ACF">
                            <w:pPr>
                              <w:numPr>
                                <w:ilvl w:val="0"/>
                                <w:numId w:val="1"/>
                              </w:numPr>
                              <w:rPr>
                                <w:rFonts w:ascii="Century Gothic" w:hAnsi="Century Gothic"/>
                                <w:sz w:val="20"/>
                                <w:szCs w:val="20"/>
                              </w:rPr>
                            </w:pPr>
                            <w:r>
                              <w:rPr>
                                <w:rFonts w:ascii="Century Gothic" w:hAnsi="Century Gothic"/>
                                <w:sz w:val="20"/>
                                <w:szCs w:val="20"/>
                              </w:rPr>
                              <w:t xml:space="preserve">REPORTABLE: </w:t>
                            </w:r>
                            <w:r w:rsidR="00037E6B">
                              <w:rPr>
                                <w:rFonts w:ascii="Century Gothic" w:hAnsi="Century Gothic"/>
                                <w:sz w:val="20"/>
                                <w:szCs w:val="20"/>
                              </w:rPr>
                              <w:t>NO</w:t>
                            </w:r>
                          </w:p>
                          <w:p w14:paraId="28E6CB6F" w14:textId="77777777" w:rsidR="000E009C" w:rsidRDefault="004918D1" w:rsidP="00221ACF">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004259A6">
                              <w:rPr>
                                <w:rFonts w:ascii="Century Gothic" w:hAnsi="Century Gothic"/>
                                <w:sz w:val="20"/>
                                <w:szCs w:val="20"/>
                              </w:rPr>
                              <w:t>NO</w:t>
                            </w:r>
                          </w:p>
                          <w:p w14:paraId="3917267C" w14:textId="77777777" w:rsidR="000E009C" w:rsidRDefault="004918D1" w:rsidP="00221ACF">
                            <w:pPr>
                              <w:numPr>
                                <w:ilvl w:val="0"/>
                                <w:numId w:val="1"/>
                              </w:numPr>
                              <w:rPr>
                                <w:rFonts w:ascii="Century Gothic" w:hAnsi="Century Gothic"/>
                                <w:sz w:val="20"/>
                                <w:szCs w:val="20"/>
                              </w:rPr>
                            </w:pPr>
                            <w:r>
                              <w:rPr>
                                <w:rFonts w:ascii="Century Gothic" w:hAnsi="Century Gothic"/>
                                <w:sz w:val="20"/>
                                <w:szCs w:val="20"/>
                              </w:rPr>
                              <w:t>REVISED: NO</w:t>
                            </w:r>
                          </w:p>
                          <w:p w14:paraId="482C2FA0" w14:textId="77777777" w:rsidR="00447182" w:rsidRDefault="004918D1" w:rsidP="00447182">
                            <w:pPr>
                              <w:ind w:left="180"/>
                              <w:jc w:val="right"/>
                              <w:rPr>
                                <w:rFonts w:ascii="Century Gothic" w:hAnsi="Century Gothic"/>
                                <w:sz w:val="20"/>
                                <w:szCs w:val="20"/>
                              </w:rPr>
                            </w:pPr>
                            <w:r>
                              <w:rPr>
                                <w:noProof/>
                                <w:lang w:eastAsia="en-ZA"/>
                              </w:rPr>
                              <w:drawing>
                                <wp:inline distT="0" distB="0" distL="0" distR="0" wp14:anchorId="16338F14" wp14:editId="5304A9A3">
                                  <wp:extent cx="907446" cy="481965"/>
                                  <wp:effectExtent l="0" t="0" r="0" b="0"/>
                                  <wp:docPr id="1658776407"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776407"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622BD907" w14:textId="77777777" w:rsidR="000E009C" w:rsidRDefault="004918D1" w:rsidP="00ED2FC5">
                            <w:pPr>
                              <w:ind w:firstLine="180"/>
                              <w:rPr>
                                <w:rFonts w:ascii="Century Gothic" w:hAnsi="Century Gothic"/>
                                <w:sz w:val="20"/>
                                <w:szCs w:val="20"/>
                              </w:rPr>
                            </w:pPr>
                            <w:r>
                              <w:rPr>
                                <w:rFonts w:ascii="Century Gothic" w:hAnsi="Century Gothic"/>
                                <w:sz w:val="20"/>
                                <w:szCs w:val="20"/>
                              </w:rPr>
                              <w:t xml:space="preserve"> </w:t>
                            </w:r>
                          </w:p>
                          <w:p w14:paraId="4731BB75" w14:textId="77777777" w:rsidR="000E009C" w:rsidRDefault="004918D1"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6F1606">
                              <w:rPr>
                                <w:rFonts w:ascii="Arial" w:hAnsi="Arial" w:cs="Arial"/>
                              </w:rPr>
                              <w:t>3</w:t>
                            </w:r>
                            <w:r w:rsidR="00FF6BD2">
                              <w:rPr>
                                <w:rFonts w:ascii="Arial" w:hAnsi="Arial" w:cs="Arial"/>
                              </w:rPr>
                              <w:t xml:space="preserve"> November</w:t>
                            </w:r>
                            <w:r w:rsidR="006F20C3">
                              <w:rPr>
                                <w:rFonts w:ascii="Arial" w:hAnsi="Arial" w:cs="Arial"/>
                              </w:rPr>
                              <w:t xml:space="preserve"> 2023</w:t>
                            </w:r>
                          </w:p>
                          <w:p w14:paraId="59F15025" w14:textId="77777777" w:rsidR="000E009C" w:rsidRDefault="004918D1"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B43CCD" id="_x0000_t202" coordsize="21600,21600" o:spt="202" path="m,l,21600r21600,l21600,xe">
                <v:stroke joinstyle="miter"/>
                <v:path gradientshapeok="t" o:connecttype="rect"/>
              </v:shapetype>
              <v:shape id="Text Box 2" o:spid="_x0000_s1026" type="#_x0000_t202" style="position:absolute;left:0;text-align:left;margin-left:0;margin-top:9.3pt;width:254.55pt;height:12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">
                <v:textbox>
                  <w:txbxContent>
                    <w:p w14:paraId="795FFB3D" w14:textId="77777777" w:rsidR="000E009C" w:rsidRDefault="000E009C" w:rsidP="00ED2FC5">
                      <w:pPr>
                        <w:jc w:val="center"/>
                        <w:rPr>
                          <w:rFonts w:ascii="Century Gothic" w:hAnsi="Century Gothic"/>
                          <w:b/>
                          <w:sz w:val="20"/>
                          <w:szCs w:val="20"/>
                        </w:rPr>
                      </w:pPr>
                    </w:p>
                    <w:p w14:paraId="723651A3" w14:textId="77777777" w:rsidR="000E009C" w:rsidRDefault="004918D1" w:rsidP="00221ACF">
                      <w:pPr>
                        <w:numPr>
                          <w:ilvl w:val="0"/>
                          <w:numId w:val="1"/>
                        </w:numPr>
                        <w:rPr>
                          <w:rFonts w:ascii="Century Gothic" w:hAnsi="Century Gothic"/>
                          <w:sz w:val="20"/>
                          <w:szCs w:val="20"/>
                        </w:rPr>
                      </w:pPr>
                      <w:r>
                        <w:rPr>
                          <w:rFonts w:ascii="Century Gothic" w:hAnsi="Century Gothic"/>
                          <w:sz w:val="20"/>
                          <w:szCs w:val="20"/>
                        </w:rPr>
                        <w:t xml:space="preserve">REPORTABLE: </w:t>
                      </w:r>
                      <w:r w:rsidR="00037E6B">
                        <w:rPr>
                          <w:rFonts w:ascii="Century Gothic" w:hAnsi="Century Gothic"/>
                          <w:sz w:val="20"/>
                          <w:szCs w:val="20"/>
                        </w:rPr>
                        <w:t>NO</w:t>
                      </w:r>
                    </w:p>
                    <w:p w14:paraId="28E6CB6F" w14:textId="77777777" w:rsidR="000E009C" w:rsidRDefault="004918D1" w:rsidP="00221ACF">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004259A6">
                        <w:rPr>
                          <w:rFonts w:ascii="Century Gothic" w:hAnsi="Century Gothic"/>
                          <w:sz w:val="20"/>
                          <w:szCs w:val="20"/>
                        </w:rPr>
                        <w:t>NO</w:t>
                      </w:r>
                    </w:p>
                    <w:p w14:paraId="3917267C" w14:textId="77777777" w:rsidR="000E009C" w:rsidRDefault="004918D1" w:rsidP="00221ACF">
                      <w:pPr>
                        <w:numPr>
                          <w:ilvl w:val="0"/>
                          <w:numId w:val="1"/>
                        </w:numPr>
                        <w:rPr>
                          <w:rFonts w:ascii="Century Gothic" w:hAnsi="Century Gothic"/>
                          <w:sz w:val="20"/>
                          <w:szCs w:val="20"/>
                        </w:rPr>
                      </w:pPr>
                      <w:r>
                        <w:rPr>
                          <w:rFonts w:ascii="Century Gothic" w:hAnsi="Century Gothic"/>
                          <w:sz w:val="20"/>
                          <w:szCs w:val="20"/>
                        </w:rPr>
                        <w:t>REVISED: NO</w:t>
                      </w:r>
                    </w:p>
                    <w:p w14:paraId="482C2FA0" w14:textId="77777777" w:rsidR="00447182" w:rsidRDefault="004918D1" w:rsidP="00447182">
                      <w:pPr>
                        <w:ind w:left="180"/>
                        <w:jc w:val="right"/>
                        <w:rPr>
                          <w:rFonts w:ascii="Century Gothic" w:hAnsi="Century Gothic"/>
                          <w:sz w:val="20"/>
                          <w:szCs w:val="20"/>
                        </w:rPr>
                      </w:pPr>
                      <w:r>
                        <w:rPr>
                          <w:noProof/>
                        </w:rPr>
                        <w:drawing>
                          <wp:inline distT="0" distB="0" distL="0" distR="0" wp14:anchorId="16338F14" wp14:editId="5304A9A3">
                            <wp:extent cx="907446" cy="481965"/>
                            <wp:effectExtent l="0" t="0" r="0" b="0"/>
                            <wp:docPr id="1658776407"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776407" name="Picture 179682764" descr="A close-up of a signature&#10;&#10;Description automatically generated"/>
                                    <pic:cNvPicPr/>
                                  </pic:nvPicPr>
                                  <pic:blipFill>
                                    <a:blip r:embed="rId13">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622BD907" w14:textId="77777777" w:rsidR="000E009C" w:rsidRDefault="004918D1" w:rsidP="00ED2FC5">
                      <w:pPr>
                        <w:ind w:firstLine="180"/>
                        <w:rPr>
                          <w:rFonts w:ascii="Century Gothic" w:hAnsi="Century Gothic"/>
                          <w:sz w:val="20"/>
                          <w:szCs w:val="20"/>
                        </w:rPr>
                      </w:pPr>
                      <w:r>
                        <w:rPr>
                          <w:rFonts w:ascii="Century Gothic" w:hAnsi="Century Gothic"/>
                          <w:sz w:val="20"/>
                          <w:szCs w:val="20"/>
                        </w:rPr>
                        <w:t xml:space="preserve"> </w:t>
                      </w:r>
                    </w:p>
                    <w:p w14:paraId="4731BB75" w14:textId="77777777" w:rsidR="000E009C" w:rsidRDefault="004918D1"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6F1606">
                        <w:rPr>
                          <w:rFonts w:ascii="Arial" w:hAnsi="Arial" w:cs="Arial"/>
                        </w:rPr>
                        <w:t>3</w:t>
                      </w:r>
                      <w:r w:rsidR="00FF6BD2">
                        <w:rPr>
                          <w:rFonts w:ascii="Arial" w:hAnsi="Arial" w:cs="Arial"/>
                        </w:rPr>
                        <w:t xml:space="preserve"> November</w:t>
                      </w:r>
                      <w:r w:rsidR="006F20C3">
                        <w:rPr>
                          <w:rFonts w:ascii="Arial" w:hAnsi="Arial" w:cs="Arial"/>
                        </w:rPr>
                        <w:t xml:space="preserve"> 2023</w:t>
                      </w:r>
                    </w:p>
                    <w:p w14:paraId="59F15025" w14:textId="77777777" w:rsidR="000E009C" w:rsidRDefault="004918D1"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128EB294" w14:textId="77777777" w:rsidR="002033C4" w:rsidRPr="00B93312" w:rsidRDefault="002033C4" w:rsidP="00E96154">
      <w:pPr>
        <w:ind w:left="661" w:hangingChars="236" w:hanging="661"/>
        <w:jc w:val="center"/>
        <w:rPr>
          <w:rFonts w:ascii="Arial" w:hAnsi="Arial" w:cs="Arial"/>
          <w:sz w:val="28"/>
          <w:szCs w:val="28"/>
        </w:rPr>
      </w:pPr>
    </w:p>
    <w:p w14:paraId="076585DA" w14:textId="77777777" w:rsidR="00C160A1" w:rsidRPr="00B93312" w:rsidRDefault="00C160A1" w:rsidP="00C160A1">
      <w:pPr>
        <w:spacing w:before="120" w:after="120" w:line="360" w:lineRule="auto"/>
        <w:jc w:val="center"/>
        <w:rPr>
          <w:rFonts w:ascii="Arial" w:hAnsi="Arial" w:cs="Arial"/>
        </w:rPr>
      </w:pPr>
    </w:p>
    <w:p w14:paraId="5CCCA481" w14:textId="77777777" w:rsidR="00ED2FC5" w:rsidRPr="00B93312" w:rsidRDefault="00ED2FC5" w:rsidP="00C160A1">
      <w:pPr>
        <w:tabs>
          <w:tab w:val="left" w:pos="4917"/>
        </w:tabs>
        <w:spacing w:before="120" w:after="120" w:line="360" w:lineRule="auto"/>
        <w:jc w:val="center"/>
        <w:rPr>
          <w:rFonts w:ascii="Arial" w:hAnsi="Arial" w:cs="Arial"/>
        </w:rPr>
      </w:pPr>
    </w:p>
    <w:p w14:paraId="31CFDE6D" w14:textId="77777777" w:rsidR="00ED2FC5" w:rsidRPr="00B93312" w:rsidRDefault="00ED2FC5" w:rsidP="00C160A1">
      <w:pPr>
        <w:tabs>
          <w:tab w:val="left" w:pos="4917"/>
        </w:tabs>
        <w:spacing w:before="120" w:after="120" w:line="360" w:lineRule="auto"/>
        <w:jc w:val="center"/>
        <w:rPr>
          <w:rFonts w:ascii="Arial" w:hAnsi="Arial" w:cs="Arial"/>
        </w:rPr>
      </w:pPr>
    </w:p>
    <w:p w14:paraId="0E94D537" w14:textId="77777777" w:rsidR="00C17911" w:rsidRPr="00B93312" w:rsidRDefault="00C17911" w:rsidP="00C85D57">
      <w:pPr>
        <w:tabs>
          <w:tab w:val="left" w:pos="4917"/>
        </w:tabs>
        <w:spacing w:before="120" w:after="120" w:line="360" w:lineRule="auto"/>
        <w:rPr>
          <w:rFonts w:ascii="Arial" w:hAnsi="Arial" w:cs="Arial"/>
        </w:rPr>
      </w:pPr>
    </w:p>
    <w:p w14:paraId="7EC45BBE" w14:textId="77777777" w:rsidR="00713972" w:rsidRDefault="00713972" w:rsidP="009C6780">
      <w:pPr>
        <w:tabs>
          <w:tab w:val="left" w:pos="4917"/>
        </w:tabs>
        <w:spacing w:before="120" w:after="120" w:line="360" w:lineRule="auto"/>
        <w:rPr>
          <w:rFonts w:ascii="Arial" w:hAnsi="Arial" w:cs="Arial"/>
        </w:rPr>
      </w:pPr>
    </w:p>
    <w:p w14:paraId="4E009424" w14:textId="77777777" w:rsidR="009C6780" w:rsidRPr="00B93312" w:rsidRDefault="004918D1" w:rsidP="009C6780">
      <w:pPr>
        <w:tabs>
          <w:tab w:val="left" w:pos="4917"/>
        </w:tabs>
        <w:spacing w:before="120" w:after="120" w:line="360" w:lineRule="auto"/>
        <w:rPr>
          <w:rFonts w:ascii="Arial" w:hAnsi="Arial" w:cs="Arial"/>
        </w:rPr>
      </w:pPr>
      <w:r w:rsidRPr="00B93312">
        <w:rPr>
          <w:rFonts w:ascii="Arial" w:hAnsi="Arial" w:cs="Arial"/>
        </w:rPr>
        <w:t>In the matter between:</w:t>
      </w:r>
    </w:p>
    <w:p w14:paraId="073FF655" w14:textId="77777777" w:rsidR="00BB506C" w:rsidRPr="001E75E8" w:rsidRDefault="004918D1" w:rsidP="009C6780">
      <w:pPr>
        <w:tabs>
          <w:tab w:val="left" w:pos="4917"/>
        </w:tabs>
        <w:spacing w:before="120" w:after="120" w:line="360" w:lineRule="auto"/>
        <w:rPr>
          <w:rFonts w:ascii="Arial" w:hAnsi="Arial" w:cs="Arial"/>
        </w:rPr>
      </w:pPr>
      <w:r>
        <w:rPr>
          <w:rFonts w:ascii="Arial" w:hAnsi="Arial" w:cs="Arial"/>
          <w:b/>
        </w:rPr>
        <w:t>NS MKHIZE</w:t>
      </w:r>
      <w:r w:rsidR="0051111F" w:rsidRPr="001E75E8">
        <w:rPr>
          <w:rFonts w:ascii="Arial" w:hAnsi="Arial" w:cs="Arial"/>
        </w:rPr>
        <w:tab/>
      </w:r>
      <w:r w:rsidR="0051111F" w:rsidRPr="001E75E8">
        <w:rPr>
          <w:rFonts w:ascii="Arial" w:hAnsi="Arial" w:cs="Arial"/>
        </w:rPr>
        <w:tab/>
      </w:r>
      <w:r w:rsidR="0051111F" w:rsidRPr="001E75E8">
        <w:rPr>
          <w:rFonts w:ascii="Arial" w:hAnsi="Arial" w:cs="Arial"/>
        </w:rPr>
        <w:tab/>
      </w:r>
      <w:r w:rsidR="001E75E8" w:rsidRPr="001E75E8">
        <w:rPr>
          <w:rFonts w:ascii="Arial" w:hAnsi="Arial" w:cs="Arial"/>
        </w:rPr>
        <w:t xml:space="preserve">       </w:t>
      </w:r>
      <w:r w:rsidR="005A1D49">
        <w:rPr>
          <w:rFonts w:ascii="Arial" w:hAnsi="Arial" w:cs="Arial"/>
        </w:rPr>
        <w:t xml:space="preserve"> </w:t>
      </w:r>
      <w:r w:rsidR="005A1D49">
        <w:rPr>
          <w:rFonts w:ascii="Arial" w:hAnsi="Arial" w:cs="Arial"/>
        </w:rPr>
        <w:tab/>
      </w:r>
      <w:r w:rsidR="005A1D49">
        <w:rPr>
          <w:rFonts w:ascii="Arial" w:hAnsi="Arial" w:cs="Arial"/>
        </w:rPr>
        <w:tab/>
      </w:r>
      <w:r w:rsidR="005A1D49">
        <w:rPr>
          <w:rFonts w:ascii="Arial" w:hAnsi="Arial" w:cs="Arial"/>
        </w:rPr>
        <w:tab/>
        <w:t xml:space="preserve">         </w:t>
      </w:r>
      <w:r>
        <w:rPr>
          <w:rFonts w:ascii="Arial" w:hAnsi="Arial" w:cs="Arial"/>
        </w:rPr>
        <w:t>Plaintiff</w:t>
      </w:r>
    </w:p>
    <w:p w14:paraId="3BD9D8C5" w14:textId="77777777" w:rsidR="00BB506C" w:rsidRPr="001E75E8" w:rsidRDefault="004918D1" w:rsidP="009C6780">
      <w:pPr>
        <w:tabs>
          <w:tab w:val="left" w:pos="4917"/>
        </w:tabs>
        <w:spacing w:before="120" w:after="120" w:line="360" w:lineRule="auto"/>
        <w:rPr>
          <w:rFonts w:ascii="Arial" w:hAnsi="Arial" w:cs="Arial"/>
        </w:rPr>
      </w:pPr>
      <w:r w:rsidRPr="001E75E8">
        <w:rPr>
          <w:rFonts w:ascii="Arial" w:hAnsi="Arial" w:cs="Arial"/>
        </w:rPr>
        <w:t>and</w:t>
      </w:r>
    </w:p>
    <w:p w14:paraId="2F5DD8C1" w14:textId="77777777" w:rsidR="005165DE" w:rsidRPr="006F1606" w:rsidRDefault="004918D1" w:rsidP="000A213D">
      <w:pPr>
        <w:spacing w:before="100" w:beforeAutospacing="1" w:after="100" w:afterAutospacing="1"/>
        <w:rPr>
          <w:rFonts w:ascii="Arial" w:hAnsi="Arial" w:cs="Arial"/>
          <w:b/>
        </w:rPr>
      </w:pPr>
      <w:r w:rsidRPr="006F1606">
        <w:rPr>
          <w:rFonts w:ascii="Arial" w:hAnsi="Arial" w:cs="Arial"/>
          <w:b/>
        </w:rPr>
        <w:t>PASSENGER RAIL AGENCY OF SOUTH AFRICA</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84566F">
        <w:rPr>
          <w:rFonts w:ascii="Arial" w:hAnsi="Arial" w:cs="Arial"/>
        </w:rPr>
        <w:t>Defendant</w:t>
      </w:r>
    </w:p>
    <w:p w14:paraId="3E514020" w14:textId="77777777" w:rsidR="00651BDA" w:rsidRPr="00072578" w:rsidRDefault="004918D1" w:rsidP="000A213D">
      <w:pPr>
        <w:spacing w:before="100" w:beforeAutospacing="1" w:after="100" w:afterAutospacing="1"/>
        <w:rPr>
          <w:rFonts w:ascii="Arial" w:hAnsi="Arial" w:cs="Arial"/>
          <w:b/>
          <w:bCs/>
        </w:rPr>
      </w:pPr>
      <w:r w:rsidRPr="00072578">
        <w:rPr>
          <w:rFonts w:ascii="Arial" w:hAnsi="Arial" w:cs="Arial"/>
          <w:b/>
          <w:bCs/>
        </w:rPr>
        <w:tab/>
      </w:r>
    </w:p>
    <w:p w14:paraId="4E15E790" w14:textId="77777777" w:rsidR="00194A07" w:rsidRDefault="00194A07" w:rsidP="00D9032E">
      <w:pPr>
        <w:pBdr>
          <w:top w:val="single" w:sz="12" w:space="1" w:color="auto"/>
          <w:bottom w:val="single" w:sz="12" w:space="1" w:color="auto"/>
        </w:pBdr>
        <w:tabs>
          <w:tab w:val="left" w:pos="4917"/>
        </w:tabs>
        <w:spacing w:before="120" w:after="120"/>
        <w:contextualSpacing/>
        <w:jc w:val="center"/>
        <w:rPr>
          <w:rFonts w:ascii="Arial" w:hAnsi="Arial" w:cs="Arial"/>
          <w:b/>
          <w:bCs/>
        </w:rPr>
      </w:pPr>
    </w:p>
    <w:p w14:paraId="39615448" w14:textId="77777777" w:rsidR="00194A07" w:rsidRPr="00B93312" w:rsidRDefault="004918D1" w:rsidP="00D9032E">
      <w:pPr>
        <w:pBdr>
          <w:top w:val="single" w:sz="12" w:space="1" w:color="auto"/>
          <w:bottom w:val="single" w:sz="12" w:space="1" w:color="auto"/>
        </w:pBdr>
        <w:tabs>
          <w:tab w:val="left" w:pos="4917"/>
        </w:tabs>
        <w:spacing w:before="120" w:after="120" w:line="360" w:lineRule="auto"/>
        <w:jc w:val="center"/>
        <w:rPr>
          <w:rFonts w:ascii="Arial" w:hAnsi="Arial" w:cs="Arial"/>
          <w:b/>
          <w:bCs/>
        </w:rPr>
      </w:pPr>
      <w:r w:rsidRPr="00B93312">
        <w:rPr>
          <w:rFonts w:ascii="Arial" w:hAnsi="Arial" w:cs="Arial"/>
          <w:b/>
          <w:bCs/>
        </w:rPr>
        <w:t>JUDGMENT</w:t>
      </w:r>
    </w:p>
    <w:p w14:paraId="65EB273E" w14:textId="77777777" w:rsidR="00194A07" w:rsidRDefault="004918D1" w:rsidP="00D9032E">
      <w:pPr>
        <w:pStyle w:val="Heading1"/>
      </w:pPr>
      <w:r>
        <w:t>DE VOS AJ</w:t>
      </w:r>
    </w:p>
    <w:p w14:paraId="094D749B" w14:textId="77777777" w:rsidR="006B2762" w:rsidRDefault="004918D1" w:rsidP="005C18EE">
      <w:pPr>
        <w:pStyle w:val="Judgmentparagraph"/>
        <w:ind w:left="567" w:hanging="567"/>
      </w:pPr>
      <w:r>
        <w:t xml:space="preserve">Ms Mkhize claims delictual damages for harm she suffered after being pushed out of the open door of a moving train. The parties </w:t>
      </w:r>
      <w:r w:rsidR="00A10119">
        <w:t>agreed</w:t>
      </w:r>
      <w:r>
        <w:t xml:space="preserve"> to separate quantum and merits.</w:t>
      </w:r>
      <w:r w:rsidR="00A10119">
        <w:t xml:space="preserve"> </w:t>
      </w:r>
      <w:r w:rsidR="00A10119">
        <w:lastRenderedPageBreak/>
        <w:t xml:space="preserve">At the commencement </w:t>
      </w:r>
      <w:r>
        <w:t xml:space="preserve">of the trial, </w:t>
      </w:r>
      <w:r w:rsidR="00A10119">
        <w:t xml:space="preserve">they requested this Court to order the separation of these issues. The Court granted the separation of </w:t>
      </w:r>
      <w:r w:rsidR="005C18EE">
        <w:t xml:space="preserve">quantum and liability, and </w:t>
      </w:r>
      <w:r>
        <w:t>the Court</w:t>
      </w:r>
      <w:r w:rsidR="005C18EE">
        <w:t xml:space="preserve">, therefore, only </w:t>
      </w:r>
      <w:r>
        <w:t xml:space="preserve">has </w:t>
      </w:r>
      <w:r w:rsidR="005C18EE">
        <w:t>to decide the liability</w:t>
      </w:r>
      <w:r>
        <w:t xml:space="preserve"> issue.  </w:t>
      </w:r>
    </w:p>
    <w:p w14:paraId="7B7F142E" w14:textId="77777777" w:rsidR="006B2762" w:rsidRDefault="004918D1" w:rsidP="006B2762">
      <w:pPr>
        <w:pStyle w:val="Judgmentparagraph"/>
        <w:ind w:left="567" w:hanging="567"/>
      </w:pPr>
      <w:r>
        <w:t xml:space="preserve">The issue of liability turns on the element of negligence. </w:t>
      </w:r>
      <w:r w:rsidR="006F1606">
        <w:t>The negligence, as pleaded, is that</w:t>
      </w:r>
      <w:r>
        <w:t xml:space="preserve"> the defendant (“PRASA”) operated </w:t>
      </w:r>
      <w:r w:rsidR="00015AF2">
        <w:t xml:space="preserve">a </w:t>
      </w:r>
      <w:r w:rsidR="006F1606">
        <w:t xml:space="preserve">train with its doors open. </w:t>
      </w:r>
      <w:r>
        <w:t xml:space="preserve">The sole controversy in this case is whether Ms Mkhize has shown that PRASA acted negligently.  </w:t>
      </w:r>
    </w:p>
    <w:p w14:paraId="5536198D" w14:textId="77777777" w:rsidR="00405566" w:rsidRDefault="004918D1" w:rsidP="006B2762">
      <w:pPr>
        <w:pStyle w:val="Judgmentparagraph"/>
        <w:ind w:left="567" w:hanging="567"/>
      </w:pPr>
      <w:r>
        <w:t>Ms Mkhize</w:t>
      </w:r>
      <w:r w:rsidR="006B2762">
        <w:t>’s case is that she was pushed out of the open doors of a moving train. She</w:t>
      </w:r>
      <w:r>
        <w:t xml:space="preserve"> testified that on Sunday, 27 August 2017, she </w:t>
      </w:r>
      <w:r w:rsidR="00E82FA5">
        <w:t>was on her way to work</w:t>
      </w:r>
      <w:r w:rsidR="006B2762">
        <w:t xml:space="preserve"> </w:t>
      </w:r>
      <w:r w:rsidR="00F40F43">
        <w:t xml:space="preserve">as a sorter at a reclaiming company. </w:t>
      </w:r>
      <w:r>
        <w:t xml:space="preserve">To get to work, she </w:t>
      </w:r>
      <w:r w:rsidRPr="00E37FBB">
        <w:t>travelled from Zwelethu station to Rossburgh station.</w:t>
      </w:r>
      <w:r w:rsidR="00F40F43">
        <w:t xml:space="preserve"> </w:t>
      </w:r>
      <w:r w:rsidR="00E82FA5">
        <w:t>As the train approached Rossburg</w:t>
      </w:r>
      <w:r w:rsidR="00F40F43">
        <w:t>h</w:t>
      </w:r>
      <w:r w:rsidR="00E82FA5">
        <w:t xml:space="preserve"> station, the</w:t>
      </w:r>
      <w:r w:rsidR="00F40F43">
        <w:t xml:space="preserve">re was another train waiting on the other side of the platform. Ms Mkhize was in the second row </w:t>
      </w:r>
      <w:r>
        <w:t xml:space="preserve">of commuters </w:t>
      </w:r>
      <w:r w:rsidR="00F40F43">
        <w:t>from the door</w:t>
      </w:r>
      <w:r w:rsidR="00015AF2">
        <w:t xml:space="preserve"> waiting to alight</w:t>
      </w:r>
      <w:r w:rsidR="00F40F43">
        <w:t>. Her fellow commuters were anxious to catch the train waiting at the platform. Ms Mkhize was not catching th</w:t>
      </w:r>
      <w:r w:rsidR="006F1606">
        <w:t xml:space="preserve">e waiting </w:t>
      </w:r>
      <w:r w:rsidR="00F40F43">
        <w:t xml:space="preserve">train and did not share their anxiety. The other commuters pushed past Ms Mkhize </w:t>
      </w:r>
      <w:r w:rsidR="006F1606">
        <w:t xml:space="preserve">“from behind” </w:t>
      </w:r>
      <w:r w:rsidR="00F40F43">
        <w:t>through the open door</w:t>
      </w:r>
      <w:r w:rsidR="00015AF2">
        <w:t xml:space="preserve"> in a</w:t>
      </w:r>
      <w:r>
        <w:t xml:space="preserve"> rush to catch the other train</w:t>
      </w:r>
      <w:r w:rsidR="00015AF2">
        <w:t xml:space="preserve">. </w:t>
      </w:r>
      <w:r w:rsidR="006F1606">
        <w:t>Ms Mkhize’s evidence was that the other commuters pushed her whilst “the train was still in motion”.</w:t>
      </w:r>
      <w:r w:rsidR="00E82FA5">
        <w:t xml:space="preserve"> </w:t>
      </w:r>
      <w:r w:rsidR="00015AF2">
        <w:t>Ms Mkhize, being pushed from behind, fell onto the platform.</w:t>
      </w:r>
    </w:p>
    <w:p w14:paraId="177F2558" w14:textId="77777777" w:rsidR="00F40F43" w:rsidRDefault="004918D1" w:rsidP="00405566">
      <w:pPr>
        <w:pStyle w:val="Judgmentparagraph"/>
        <w:ind w:left="567" w:hanging="567"/>
      </w:pPr>
      <w:r>
        <w:t xml:space="preserve">As a result of the fall, </w:t>
      </w:r>
      <w:r w:rsidR="00405566">
        <w:t>Ms Mkhize</w:t>
      </w:r>
      <w:r w:rsidR="00E82FA5">
        <w:t xml:space="preserve"> lost consciousness. </w:t>
      </w:r>
      <w:r>
        <w:t>She</w:t>
      </w:r>
      <w:r w:rsidR="00E82FA5">
        <w:t xml:space="preserve"> regained </w:t>
      </w:r>
      <w:r>
        <w:t>consciousness</w:t>
      </w:r>
      <w:r w:rsidR="00E82FA5">
        <w:t xml:space="preserve"> </w:t>
      </w:r>
      <w:r>
        <w:t xml:space="preserve">in the ticket office </w:t>
      </w:r>
      <w:r w:rsidR="00E82FA5">
        <w:t xml:space="preserve">as an official from PRASA was </w:t>
      </w:r>
      <w:r>
        <w:t>wiping</w:t>
      </w:r>
      <w:r w:rsidR="00E82FA5">
        <w:t xml:space="preserve"> </w:t>
      </w:r>
      <w:r>
        <w:t>blood</w:t>
      </w:r>
      <w:r w:rsidR="00E82FA5">
        <w:t xml:space="preserve"> from h</w:t>
      </w:r>
      <w:r>
        <w:t>e</w:t>
      </w:r>
      <w:r w:rsidR="00E82FA5">
        <w:t xml:space="preserve">r face. </w:t>
      </w:r>
      <w:r>
        <w:t xml:space="preserve">The bleeding came from her forehead. This injury bore a scar, which Ms Mkhize </w:t>
      </w:r>
      <w:r w:rsidR="005C18EE">
        <w:t>still carries and pointed out to the Court</w:t>
      </w:r>
      <w:r>
        <w:t>. She does not know how she got to the ticket office</w:t>
      </w:r>
      <w:r w:rsidR="006B2762">
        <w:t xml:space="preserve"> from the platform</w:t>
      </w:r>
      <w:r>
        <w:t xml:space="preserve"> but was subsequently told she had been taken to the ticket office by private security guards. From the ticket office, she was rushed to hospital, where she underwent surgery on her upper arm.</w:t>
      </w:r>
      <w:r w:rsidR="00E82FA5">
        <w:t xml:space="preserve"> </w:t>
      </w:r>
    </w:p>
    <w:p w14:paraId="03C862C3" w14:textId="77777777" w:rsidR="0084566F" w:rsidRDefault="004918D1" w:rsidP="00EE5119">
      <w:pPr>
        <w:pStyle w:val="Judgmentparagraph"/>
        <w:ind w:left="567" w:hanging="567"/>
      </w:pPr>
      <w:r>
        <w:t xml:space="preserve">PRASA </w:t>
      </w:r>
      <w:r w:rsidR="00EE5119">
        <w:t xml:space="preserve">submitted </w:t>
      </w:r>
      <w:r>
        <w:t>that there were</w:t>
      </w:r>
      <w:r w:rsidR="00EE5119">
        <w:t xml:space="preserve"> mutually destructive versions</w:t>
      </w:r>
      <w:r>
        <w:t xml:space="preserve"> before the Court</w:t>
      </w:r>
      <w:r w:rsidR="005C18EE">
        <w:t xml:space="preserve"> as a result of </w:t>
      </w:r>
      <w:r>
        <w:t xml:space="preserve">differences in Ms Mkhize’s </w:t>
      </w:r>
      <w:r w:rsidR="000A1B72">
        <w:t xml:space="preserve">version regarding the nature and extent to which the doors were open. </w:t>
      </w:r>
      <w:r w:rsidR="00EE5119">
        <w:t xml:space="preserve">PRASA refers to </w:t>
      </w:r>
      <w:r>
        <w:t>Ms Mkhize’s</w:t>
      </w:r>
      <w:r w:rsidR="00EE5119">
        <w:t xml:space="preserve"> pleaded case </w:t>
      </w:r>
      <w:r w:rsidR="000A1B72">
        <w:t xml:space="preserve">that the doors </w:t>
      </w:r>
      <w:r>
        <w:t>“</w:t>
      </w:r>
      <w:r w:rsidR="000A1B72">
        <w:t>unexpectedly opened</w:t>
      </w:r>
      <w:r>
        <w:t>”</w:t>
      </w:r>
      <w:r w:rsidR="000A1B72">
        <w:t xml:space="preserve"> when the train approached the platform</w:t>
      </w:r>
      <w:r w:rsidR="00EE5119">
        <w:t xml:space="preserve"> and contrasted this to Ms Mkhize's evidence at trial</w:t>
      </w:r>
      <w:r>
        <w:t xml:space="preserve">: </w:t>
      </w:r>
      <w:r w:rsidR="000A1B72">
        <w:t xml:space="preserve">the doors were open constantly from Zwelethu to Rossburgh station and </w:t>
      </w:r>
      <w:r w:rsidR="00EE5119">
        <w:t xml:space="preserve">were </w:t>
      </w:r>
      <w:r w:rsidR="000A1B72">
        <w:t xml:space="preserve">then forced open more by other passengers rushing to catch the next train.  </w:t>
      </w:r>
    </w:p>
    <w:p w14:paraId="39817263" w14:textId="77777777" w:rsidR="00EE5119" w:rsidRDefault="004918D1" w:rsidP="006F1606">
      <w:pPr>
        <w:pStyle w:val="Judgmentparagraph"/>
        <w:ind w:left="567" w:hanging="567"/>
      </w:pPr>
      <w:r>
        <w:lastRenderedPageBreak/>
        <w:t xml:space="preserve">PRASA contends that these are mutually destructive versions which the Court must resolve through the accepted test in </w:t>
      </w:r>
      <w:r w:rsidR="006F1606" w:rsidRPr="006F1606">
        <w:rPr>
          <w:i/>
          <w:iCs/>
        </w:rPr>
        <w:t>Stellenbosch Farmers’ Winery Group Ltd v Martell ET CIE</w:t>
      </w:r>
      <w:r w:rsidR="005C18EE">
        <w:t>.</w:t>
      </w:r>
      <w:r>
        <w:rPr>
          <w:rStyle w:val="FootnoteReference"/>
        </w:rPr>
        <w:footnoteReference w:id="1"/>
      </w:r>
      <w:r w:rsidR="006F1606" w:rsidRPr="006F1606">
        <w:t xml:space="preserve"> </w:t>
      </w:r>
      <w:r w:rsidR="005C18EE">
        <w:t xml:space="preserve">The test in </w:t>
      </w:r>
      <w:r w:rsidR="005C18EE" w:rsidRPr="005C18EE">
        <w:rPr>
          <w:i/>
          <w:iCs/>
        </w:rPr>
        <w:t>Stellenbos</w:t>
      </w:r>
      <w:r w:rsidR="005C18EE">
        <w:rPr>
          <w:i/>
          <w:iCs/>
        </w:rPr>
        <w:t>c</w:t>
      </w:r>
      <w:r w:rsidR="005C18EE" w:rsidRPr="005C18EE">
        <w:rPr>
          <w:i/>
          <w:iCs/>
        </w:rPr>
        <w:t>h</w:t>
      </w:r>
      <w:r w:rsidR="005C18EE">
        <w:t xml:space="preserve"> requires the Court</w:t>
      </w:r>
      <w:r w:rsidR="006F1606">
        <w:t xml:space="preserve"> to </w:t>
      </w:r>
      <w:r w:rsidR="006F1606" w:rsidRPr="006F1606">
        <w:t xml:space="preserve">make findings on (a) the credibility of the various factual witnesses, (b) their reliability; and (c) the probabilities. </w:t>
      </w:r>
      <w:r>
        <w:t xml:space="preserve">PRASA invites the Court to have regard to </w:t>
      </w:r>
      <w:r w:rsidRPr="00EE5119">
        <w:t xml:space="preserve">the credibility </w:t>
      </w:r>
      <w:r>
        <w:t>and</w:t>
      </w:r>
      <w:r w:rsidRPr="00EE5119">
        <w:t xml:space="preserve"> reliability of </w:t>
      </w:r>
      <w:r>
        <w:t>the</w:t>
      </w:r>
      <w:r w:rsidRPr="00EE5119">
        <w:t xml:space="preserve"> witnesses. Evidence that is reliable should be weighed against the evidence that is found to be false and, in the process, measured against the probabilities. </w:t>
      </w:r>
      <w:r>
        <w:t xml:space="preserve"> </w:t>
      </w:r>
    </w:p>
    <w:p w14:paraId="360E0580" w14:textId="77777777" w:rsidR="00EE5119" w:rsidRDefault="004918D1" w:rsidP="006F1606">
      <w:pPr>
        <w:pStyle w:val="Judgmentparagraph"/>
        <w:ind w:left="567" w:hanging="567"/>
      </w:pPr>
      <w:r>
        <w:t xml:space="preserve">The </w:t>
      </w:r>
      <w:r w:rsidRPr="005C18EE">
        <w:rPr>
          <w:i/>
          <w:iCs/>
        </w:rPr>
        <w:t>Stellenbosh</w:t>
      </w:r>
      <w:r>
        <w:t xml:space="preserve"> test usually finds application where the Court is confronted with two different versions from different persons. Essentially where the evidence amounts to one person’s word against anothers. In these situations, l</w:t>
      </w:r>
      <w:r w:rsidRPr="00EE5119">
        <w:t>ogic dictates that where there are conflicting versions or mutually destructive stories, both cannot be true. Only one can be true. Consequently, the other must be false.</w:t>
      </w:r>
      <w:r>
        <w:rPr>
          <w:rStyle w:val="FootnoteReference"/>
        </w:rPr>
        <w:footnoteReference w:id="2"/>
      </w:r>
      <w:r w:rsidRPr="00EE5119">
        <w:t xml:space="preserve"> </w:t>
      </w:r>
      <w:r w:rsidR="006B2762">
        <w:t xml:space="preserve">The </w:t>
      </w:r>
      <w:r w:rsidR="006B2762" w:rsidRPr="00015AF2">
        <w:rPr>
          <w:i/>
          <w:iCs/>
        </w:rPr>
        <w:t>Stellenbos</w:t>
      </w:r>
      <w:r w:rsidR="00015AF2" w:rsidRPr="00015AF2">
        <w:rPr>
          <w:i/>
          <w:iCs/>
        </w:rPr>
        <w:t>c</w:t>
      </w:r>
      <w:r w:rsidR="006B2762" w:rsidRPr="00015AF2">
        <w:rPr>
          <w:i/>
          <w:iCs/>
        </w:rPr>
        <w:t>h</w:t>
      </w:r>
      <w:r w:rsidR="006B2762">
        <w:t xml:space="preserve"> test provides the resolution when the Court is faced with two mutually destructive versions.</w:t>
      </w:r>
    </w:p>
    <w:p w14:paraId="52F5C88E" w14:textId="77777777" w:rsidR="005C18EE" w:rsidRDefault="004918D1" w:rsidP="006F1606">
      <w:pPr>
        <w:pStyle w:val="Judgmentparagraph"/>
        <w:ind w:left="567" w:hanging="567"/>
      </w:pPr>
      <w:r>
        <w:t xml:space="preserve">PRASA’s case hinges on the characterisation of the case as one involving two conflicting versions.   I am, however, not persuaded that there are conflicting versions before the Court, either on the pleadings or on the evidence presented to Court.  </w:t>
      </w:r>
    </w:p>
    <w:p w14:paraId="3A1BCD3F" w14:textId="77777777" w:rsidR="00FF6BD2" w:rsidRDefault="004918D1" w:rsidP="00405566">
      <w:pPr>
        <w:pStyle w:val="Judgmentparagraph"/>
        <w:ind w:left="567" w:hanging="567"/>
      </w:pPr>
      <w:r>
        <w:t xml:space="preserve">Both parties </w:t>
      </w:r>
      <w:r w:rsidR="006B2762">
        <w:t>have pleaded that</w:t>
      </w:r>
      <w:r>
        <w:t xml:space="preserve"> Ms Mkhize fell out of a moving train whilst the door was open. The plaintiff pleads that the doors of the coach were open as it was approaching the platform and that unknown persons pushed Ms Mkhize from the train. PRASA pleaded that Ms Mkhize "stood at the open door of a moving train".</w:t>
      </w:r>
      <w:r>
        <w:rPr>
          <w:rStyle w:val="FootnoteReference"/>
        </w:rPr>
        <w:footnoteReference w:id="3"/>
      </w:r>
      <w:r>
        <w:t xml:space="preserve">  On the papers, it is common cause that the doors of the train were open whilst it was in motion. </w:t>
      </w:r>
    </w:p>
    <w:p w14:paraId="579DC5AC" w14:textId="77777777" w:rsidR="00405566" w:rsidRDefault="004918D1" w:rsidP="00405566">
      <w:pPr>
        <w:pStyle w:val="Judgmentparagraph"/>
        <w:ind w:left="567" w:hanging="567"/>
      </w:pPr>
      <w:r>
        <w:t>The relevant issue is whether the train doors were open whilst it was in motion. PRASA's pleaded case concedes that the doors were open whilst the train was in motion. PRASA's pleaded case is congruent with Ms Mkhize's pleaded case. On the pleadings, there is only one version before the Court: the doors were open whilst the train was in motion.</w:t>
      </w:r>
    </w:p>
    <w:p w14:paraId="5AB544E1" w14:textId="77777777" w:rsidR="00EE5119" w:rsidRDefault="004918D1" w:rsidP="00345CB3">
      <w:pPr>
        <w:pStyle w:val="Judgmentparagraph"/>
        <w:ind w:left="567" w:hanging="567"/>
      </w:pPr>
      <w:r>
        <w:lastRenderedPageBreak/>
        <w:t>I then consider if there were different versions presented to the Court in the evidence led at trial. PRASA has not presented any evidence that the doors were closed or that the train was not in motion. PRASA led one witness, Ms Ngcobo, who works in the ticket office at Rossburgh station. Ms Ngcobo has been working at the station for 22 years. Ms Ngcobo did not witness the event and testified largely about her knowledge of the business of the train on a Sunday and the events as relayed to her by security guards. She also testified that she prepared a statement at the time – based on what was relayed to her on the day</w:t>
      </w:r>
      <w:r w:rsidR="00015AF2">
        <w:t>.</w:t>
      </w:r>
      <w:r>
        <w:t xml:space="preserve"> Ms Ngcobo conceded that she did not witness the incident, and her only knowledge of it is in terms of what was relayed to her. However, when asked what Ms Mkhize had done wrong, Ms Ngcobo said that Ms Mkhize "came out of the train whilst the train was in motion". Albeit hearsay, this evidence is co</w:t>
      </w:r>
      <w:r w:rsidR="00345CB3">
        <w:t>mpatible</w:t>
      </w:r>
      <w:r>
        <w:t xml:space="preserve"> with Ms Mkhize's evidence and does not provide a destructive version.</w:t>
      </w:r>
    </w:p>
    <w:p w14:paraId="77204D11" w14:textId="77777777" w:rsidR="006B2762" w:rsidRDefault="004918D1" w:rsidP="006B2762">
      <w:pPr>
        <w:pStyle w:val="Judgmentparagraph"/>
        <w:ind w:left="567" w:hanging="567"/>
      </w:pPr>
      <w:r>
        <w:t xml:space="preserve">PRASA invites the Court to elevate the discrepancies in Ms Mkhize’s versions to mutually destructive versions. I find that the discrepancies do not give rise to different versions before the Court. The Court has one version with minor discrepancies. The version is that the doors were open whilst the train was in motion. This version remained consistent. This is the factual basis on which the negligence finding hinges – whether they were completely open throughout or mostly open throughout and nudged open further closer to the station </w:t>
      </w:r>
      <w:r w:rsidR="00015AF2">
        <w:t xml:space="preserve">- </w:t>
      </w:r>
      <w:r>
        <w:t>does not alter the material fact that the doors were open. The core of the evidence, however, consistently</w:t>
      </w:r>
      <w:r w:rsidR="00015AF2">
        <w:t>,</w:t>
      </w:r>
      <w:r>
        <w:t xml:space="preserve"> was that the doors were open</w:t>
      </w:r>
      <w:r w:rsidR="00015AF2">
        <w:t xml:space="preserve"> whilst the train was moving</w:t>
      </w:r>
      <w:r>
        <w:t xml:space="preserve">.  </w:t>
      </w:r>
    </w:p>
    <w:p w14:paraId="2D398382" w14:textId="77777777" w:rsidR="006F1606" w:rsidRDefault="004918D1" w:rsidP="00EE5119">
      <w:pPr>
        <w:pStyle w:val="Judgmentparagraph"/>
        <w:ind w:left="567" w:hanging="567"/>
      </w:pPr>
      <w:r>
        <w:t xml:space="preserve">I cannot accept PRASA’s invitation to apply the test in </w:t>
      </w:r>
      <w:r w:rsidRPr="006F1606">
        <w:rPr>
          <w:i/>
          <w:iCs/>
        </w:rPr>
        <w:t>Stellenbosch</w:t>
      </w:r>
      <w:r>
        <w:t xml:space="preserve">.  </w:t>
      </w:r>
      <w:r w:rsidR="00345CB3">
        <w:t xml:space="preserve">PRASA’s incorrect characterisation of the case becomes clear when one considers the unsuitability of the </w:t>
      </w:r>
      <w:r w:rsidR="00015AF2" w:rsidRPr="00015AF2">
        <w:rPr>
          <w:i/>
          <w:iCs/>
        </w:rPr>
        <w:t>Stellenbosch</w:t>
      </w:r>
      <w:r w:rsidR="00015AF2">
        <w:t xml:space="preserve"> </w:t>
      </w:r>
      <w:r w:rsidR="00345CB3">
        <w:t xml:space="preserve">test in this case. </w:t>
      </w:r>
      <w:r>
        <w:t xml:space="preserve">As set out above, the </w:t>
      </w:r>
      <w:r w:rsidRPr="006F1606">
        <w:rPr>
          <w:i/>
          <w:iCs/>
        </w:rPr>
        <w:t>Stellenbosch</w:t>
      </w:r>
      <w:r>
        <w:t xml:space="preserve"> test resolves a dispute by requiring the </w:t>
      </w:r>
      <w:r w:rsidRPr="006F1606">
        <w:t>findings on (a) the credibility of the various factual witnesses, (b) their reliability; and (c) the probabilities</w:t>
      </w:r>
      <w:r>
        <w:t>. However, there is only one factual witness in this case</w:t>
      </w:r>
      <w:r w:rsidR="00EF0E3B">
        <w:t>:</w:t>
      </w:r>
      <w:r>
        <w:t xml:space="preserve"> Ms Mkhize. I can, therefore, not make a credible finding about the witnesses in order to determine which evidence weighs more. The same applies to the issue of reliability. There is only the evidence of Ms Mkhize, and I cannot test </w:t>
      </w:r>
      <w:r w:rsidR="00EF0E3B">
        <w:t>the</w:t>
      </w:r>
      <w:r>
        <w:t xml:space="preserve"> reliability </w:t>
      </w:r>
      <w:r w:rsidR="00EF0E3B">
        <w:t xml:space="preserve">of her evidence </w:t>
      </w:r>
      <w:r>
        <w:t xml:space="preserve">against the reliability of another witness who has contradicted her. Lastly, there is no need to consider the probabilities – as </w:t>
      </w:r>
      <w:r>
        <w:lastRenderedPageBreak/>
        <w:t>there is only one version before the Court – that Ms Mkhize fell through an open door of a moving train.</w:t>
      </w:r>
      <w:r w:rsidR="00FF2CA1">
        <w:t xml:space="preserve"> </w:t>
      </w:r>
    </w:p>
    <w:p w14:paraId="1276CF4C" w14:textId="77777777" w:rsidR="00CD5EF2" w:rsidRPr="00CD5EF2" w:rsidRDefault="004918D1" w:rsidP="00345CB3">
      <w:pPr>
        <w:pStyle w:val="Judgmentparagraph"/>
        <w:ind w:left="567" w:hanging="567"/>
      </w:pPr>
      <w:r>
        <w:t xml:space="preserve">The Court </w:t>
      </w:r>
      <w:r w:rsidR="00015AF2">
        <w:t xml:space="preserve">does not disregard </w:t>
      </w:r>
      <w:r>
        <w:t xml:space="preserve">the discrepancies in Ms Mkhize's evidence. </w:t>
      </w:r>
      <w:r w:rsidR="00015AF2">
        <w:t xml:space="preserve">The Court has considered the differences in Ms Mkhize's evidence regarding the extent to which the doors were open. The differences stand, regardless of whether Ms Mkhize's evidence is contradicted by another witness. In essence, </w:t>
      </w:r>
      <w:r>
        <w:t xml:space="preserve">Ms Mkhize is not freed from her onus just because her evidence is uncontested. In </w:t>
      </w:r>
      <w:r w:rsidRPr="00CD5EF2">
        <w:rPr>
          <w:i/>
          <w:iCs/>
        </w:rPr>
        <w:t>Denissora v Heyns Helicopters</w:t>
      </w:r>
      <w:r>
        <w:rPr>
          <w:rStyle w:val="FootnoteReference"/>
          <w:i/>
          <w:iCs/>
        </w:rPr>
        <w:footnoteReference w:id="4"/>
      </w:r>
      <w:r>
        <w:rPr>
          <w:i/>
          <w:iCs/>
        </w:rPr>
        <w:t xml:space="preserve"> the Court held -</w:t>
      </w:r>
    </w:p>
    <w:p w14:paraId="72FB4B82" w14:textId="77777777" w:rsidR="00CD5EF2" w:rsidRDefault="004918D1" w:rsidP="00CD5EF2">
      <w:pPr>
        <w:pStyle w:val="Judgmentparagraph"/>
        <w:numPr>
          <w:ilvl w:val="0"/>
          <w:numId w:val="0"/>
        </w:numPr>
        <w:spacing w:line="240" w:lineRule="auto"/>
        <w:ind w:left="720"/>
      </w:pPr>
      <w:r w:rsidRPr="00CD5EF2">
        <w:t xml:space="preserve">"It does not, however, follow that because evidence is uncontested, therefore, it is true. The evidence may be so impossible in the light of all other evidence that it cannot be accepted”. </w:t>
      </w:r>
    </w:p>
    <w:p w14:paraId="2D8C9D35" w14:textId="77777777" w:rsidR="00FF6BD2" w:rsidRDefault="004918D1" w:rsidP="00345CB3">
      <w:pPr>
        <w:pStyle w:val="Judgmentparagraph"/>
        <w:ind w:left="567" w:hanging="567"/>
      </w:pPr>
      <w:r w:rsidRPr="00CD5EF2">
        <w:t xml:space="preserve">The fact that evidence stands uncontradicted does not relieve </w:t>
      </w:r>
      <w:r w:rsidR="00345CB3">
        <w:t>Ms Mkhize</w:t>
      </w:r>
      <w:r w:rsidRPr="00CD5EF2">
        <w:t xml:space="preserve"> from the obligation to discharge the onus resting on </w:t>
      </w:r>
      <w:r>
        <w:t>them.</w:t>
      </w:r>
      <w:r>
        <w:rPr>
          <w:rStyle w:val="FootnoteReference"/>
        </w:rPr>
        <w:footnoteReference w:id="5"/>
      </w:r>
      <w:r>
        <w:t xml:space="preserve">  However, in these circumstances, </w:t>
      </w:r>
      <w:r w:rsidR="00345CB3">
        <w:t>PRASA</w:t>
      </w:r>
      <w:r>
        <w:t xml:space="preserve"> does not dispute that Ms Mkhize fell from the train</w:t>
      </w:r>
      <w:r w:rsidR="00345CB3">
        <w:t>. P</w:t>
      </w:r>
      <w:r w:rsidR="00015AF2">
        <w:t>R</w:t>
      </w:r>
      <w:r w:rsidR="00345CB3">
        <w:t xml:space="preserve">ASA also admits that the train was in motion with its </w:t>
      </w:r>
      <w:r>
        <w:t xml:space="preserve">doors open. The Court has objective evidence in the form of the injuries sustained and the report filed at the time of the incident which confirms Ms Mkhize was injured.  </w:t>
      </w:r>
    </w:p>
    <w:p w14:paraId="0677D226" w14:textId="77777777" w:rsidR="00CD5EF2" w:rsidRDefault="004918D1" w:rsidP="00345CB3">
      <w:pPr>
        <w:pStyle w:val="Judgmentparagraph"/>
        <w:ind w:left="567" w:hanging="567"/>
      </w:pPr>
      <w:r>
        <w:t xml:space="preserve">Counsel for the plaintiff invited the Court to consider the passage of time between the incident six years ago and today. Human memory is fallible, and some discrepancy is not abnormal nor indicative of deceit. Vitally, the differences between the versions </w:t>
      </w:r>
      <w:r w:rsidR="00345CB3">
        <w:t>were minor and Ms Mkhize remained constant</w:t>
      </w:r>
      <w:r>
        <w:t xml:space="preserve"> on the only relevant issue – that </w:t>
      </w:r>
      <w:r w:rsidR="00345CB3">
        <w:t>she was pushed through open doors of a moving train</w:t>
      </w:r>
      <w:r>
        <w:t xml:space="preserve">. </w:t>
      </w:r>
      <w:r w:rsidR="00015AF2">
        <w:t>There is thus an explanation for the minor discrepancies. Based on the totality of evidence, t</w:t>
      </w:r>
      <w:r w:rsidR="00345CB3">
        <w:t xml:space="preserve">he Court is therefore satisfied that Ms Mkhize’s evidence is, in material respects, true. </w:t>
      </w:r>
    </w:p>
    <w:p w14:paraId="3DC5B1C1" w14:textId="77777777" w:rsidR="006F1606" w:rsidRDefault="004918D1" w:rsidP="006F1606">
      <w:pPr>
        <w:pStyle w:val="Judgmentparagraph"/>
        <w:ind w:left="567" w:hanging="567"/>
      </w:pPr>
      <w:r>
        <w:t xml:space="preserve">I </w:t>
      </w:r>
      <w:r w:rsidR="00015AF2">
        <w:t xml:space="preserve">therefore </w:t>
      </w:r>
      <w:r>
        <w:t xml:space="preserve">decline PRASA’s invitation to elevate the minor discrepancies in Ms Mkhize’s evidence to mutually destructive versions which requires the application of the </w:t>
      </w:r>
      <w:r w:rsidRPr="00345CB3">
        <w:rPr>
          <w:i/>
          <w:iCs/>
        </w:rPr>
        <w:t>Stellenbosch</w:t>
      </w:r>
      <w:r>
        <w:t xml:space="preserve"> test. Having resolved the factual issue between the parties, the Court must apply the law. The legal principles that apply when a person falls from an open </w:t>
      </w:r>
      <w:r>
        <w:lastRenderedPageBreak/>
        <w:t xml:space="preserve">door of a moving </w:t>
      </w:r>
      <w:r w:rsidR="00FB45AA">
        <w:t>tr</w:t>
      </w:r>
      <w:r>
        <w:t xml:space="preserve">ain is settled, consistent and clear. A body of jurisprudence has been built on the issue, and the parties agreed on the applicable principles. </w:t>
      </w:r>
    </w:p>
    <w:p w14:paraId="64410A8F" w14:textId="77777777" w:rsidR="00C81DEC" w:rsidRDefault="004918D1" w:rsidP="006F1606">
      <w:pPr>
        <w:pStyle w:val="Judgmentparagraph"/>
        <w:ind w:left="567" w:hanging="567"/>
      </w:pPr>
      <w:r>
        <w:t>The authoritative position appears in the Constitutional Court’s judgment in</w:t>
      </w:r>
      <w:r w:rsidRPr="00122AA0">
        <w:t xml:space="preserve"> </w:t>
      </w:r>
      <w:r w:rsidRPr="006F1606">
        <w:rPr>
          <w:i/>
          <w:iCs/>
        </w:rPr>
        <w:t>Mashongwa</w:t>
      </w:r>
      <w:r>
        <w:t>:</w:t>
      </w:r>
      <w:r>
        <w:rPr>
          <w:rStyle w:val="FootnoteReference"/>
        </w:rPr>
        <w:footnoteReference w:id="6"/>
      </w:r>
      <w:r w:rsidRPr="00122AA0">
        <w:t xml:space="preserve"> </w:t>
      </w:r>
    </w:p>
    <w:p w14:paraId="2E3EFACC" w14:textId="77777777" w:rsidR="00E82FA5" w:rsidRDefault="004918D1" w:rsidP="006F1606">
      <w:pPr>
        <w:pStyle w:val="Judgmentparagraph"/>
        <w:numPr>
          <w:ilvl w:val="0"/>
          <w:numId w:val="0"/>
        </w:numPr>
        <w:spacing w:line="240" w:lineRule="auto"/>
        <w:ind w:left="567"/>
      </w:pPr>
      <w:r>
        <w:t>“</w:t>
      </w:r>
      <w:r w:rsidRPr="00E82FA5">
        <w:t>No additional resources were required for PRASA to do the obvious. And that mundane task was simply to comply with its own general operating instructions and ensure that the doors of all coaches, including the coach occupied by Mr Mashongwa, were closed. It is something so easy to accomplish and yet so necessary that any attempt to provide an "acceptable" excuse for not doing it would inevitably be met with resistance and likely rejection.</w:t>
      </w:r>
      <w:r>
        <w:t xml:space="preserve">” </w:t>
      </w:r>
    </w:p>
    <w:p w14:paraId="41283EB3" w14:textId="77777777" w:rsidR="00FF2CA1" w:rsidRDefault="004918D1" w:rsidP="006F1606">
      <w:pPr>
        <w:pStyle w:val="Judgmentparagraph"/>
        <w:ind w:left="567" w:hanging="567"/>
      </w:pPr>
      <w:r>
        <w:t xml:space="preserve">The Constitutional Court found that PRASA’s failure to ensure the train doors were closed gave rise to negligence due to the risk involved and PRASA’s duties to commuters.  </w:t>
      </w:r>
    </w:p>
    <w:p w14:paraId="3FFA23A8" w14:textId="77777777" w:rsidR="00122AA0" w:rsidRPr="00122AA0" w:rsidRDefault="004918D1" w:rsidP="006F1606">
      <w:pPr>
        <w:pStyle w:val="Judgmentparagraph"/>
        <w:ind w:left="567" w:hanging="567"/>
      </w:pPr>
      <w:r>
        <w:t>These findings have been applied consistently</w:t>
      </w:r>
      <w:r w:rsidR="00FF2CA1">
        <w:t xml:space="preserve">. In </w:t>
      </w:r>
      <w:r w:rsidRPr="00FF2CA1">
        <w:rPr>
          <w:i/>
          <w:iCs/>
        </w:rPr>
        <w:t>Maduna v Passenger Rail Agency of South Africa</w:t>
      </w:r>
      <w:r w:rsidR="00FF2CA1">
        <w:t xml:space="preserve">, the Court held - </w:t>
      </w:r>
    </w:p>
    <w:p w14:paraId="7A36BA92" w14:textId="77777777" w:rsidR="00122AA0" w:rsidRPr="006F1606" w:rsidRDefault="004918D1" w:rsidP="006F1606">
      <w:pPr>
        <w:pStyle w:val="Judgmentparagraph"/>
        <w:numPr>
          <w:ilvl w:val="0"/>
          <w:numId w:val="0"/>
        </w:numPr>
        <w:spacing w:line="240" w:lineRule="auto"/>
        <w:ind w:left="567"/>
      </w:pPr>
      <w:r w:rsidRPr="006F1606">
        <w:t>“Open train doors and injuries resulting from them have often received judicial attention. Unsurprisingly the cases all say that a rail operator who leaves train doors open while the train is in motion, acts negligently.”</w:t>
      </w:r>
      <w:r>
        <w:rPr>
          <w:rStyle w:val="FootnoteReference"/>
        </w:rPr>
        <w:footnoteReference w:id="7"/>
      </w:r>
      <w:r w:rsidRPr="006F1606">
        <w:t xml:space="preserve"> </w:t>
      </w:r>
    </w:p>
    <w:p w14:paraId="20A06B60" w14:textId="77777777" w:rsidR="00122AA0" w:rsidRDefault="004918D1" w:rsidP="006F1606">
      <w:pPr>
        <w:pStyle w:val="Judgmentparagraph"/>
        <w:ind w:left="567" w:hanging="567"/>
      </w:pPr>
      <w:r w:rsidRPr="00122AA0">
        <w:t>PRASA, operating a moving train with open doors is, in terms of our settled jurisprudence, a negligent act. The risk of serious injury to an intending commuter resulting from starting a train while persons are in the act of boarding the train is self-evident.</w:t>
      </w:r>
      <w:r>
        <w:rPr>
          <w:rStyle w:val="FootnoteReference"/>
        </w:rPr>
        <w:footnoteReference w:id="8"/>
      </w:r>
      <w:r w:rsidR="006F1606" w:rsidRPr="00122AA0">
        <w:t xml:space="preserve"> </w:t>
      </w:r>
      <w:r w:rsidRPr="00122AA0">
        <w:t>PRASA was negligent in allowing the train to start moving with its doors open.</w:t>
      </w:r>
      <w:r>
        <w:rPr>
          <w:rStyle w:val="FootnoteReference"/>
        </w:rPr>
        <w:footnoteReference w:id="9"/>
      </w:r>
      <w:r w:rsidR="006F1606">
        <w:t xml:space="preserve"> </w:t>
      </w:r>
    </w:p>
    <w:p w14:paraId="454410ED" w14:textId="77777777" w:rsidR="006F1606" w:rsidRDefault="004918D1" w:rsidP="006F1606">
      <w:pPr>
        <w:pStyle w:val="Judgmentparagraph"/>
        <w:ind w:left="567" w:hanging="567"/>
      </w:pPr>
      <w:r w:rsidRPr="006F1606">
        <w:t xml:space="preserve">In </w:t>
      </w:r>
      <w:r w:rsidRPr="006F1606">
        <w:rPr>
          <w:i/>
          <w:iCs/>
        </w:rPr>
        <w:t>Mthombeni v Passenger Rail Agency of South Africa</w:t>
      </w:r>
      <w:r>
        <w:rPr>
          <w:rStyle w:val="FootnoteReference"/>
        </w:rPr>
        <w:footnoteReference w:id="10"/>
      </w:r>
      <w:r>
        <w:t xml:space="preserve"> </w:t>
      </w:r>
      <w:r w:rsidRPr="006F1606">
        <w:t>the Court held -</w:t>
      </w:r>
    </w:p>
    <w:p w14:paraId="5F4A1FC6" w14:textId="77777777" w:rsidR="006F1606" w:rsidRDefault="004918D1" w:rsidP="006F1606">
      <w:pPr>
        <w:pStyle w:val="Judgmentparagraph"/>
        <w:numPr>
          <w:ilvl w:val="0"/>
          <w:numId w:val="0"/>
        </w:numPr>
        <w:spacing w:line="240" w:lineRule="auto"/>
        <w:ind w:left="567"/>
      </w:pPr>
      <w:r w:rsidRPr="006F1606">
        <w:t>"It bears yet another repetition that there is a high demand for the use of train since they are arguably the most affordable mode of transportation for the poorest members of society, for this reason, trains are often packed to the point where some passengers have to stand very close or even lean against doors. Leaving the doors of a moving train open, therefore, poses a potential danger to passengers on board.</w:t>
      </w:r>
      <w:r w:rsidRPr="006F1606">
        <w:rPr>
          <w:vertAlign w:val="superscript"/>
        </w:rPr>
        <w:t>8</w:t>
      </w:r>
    </w:p>
    <w:p w14:paraId="39B1DA4D" w14:textId="77777777" w:rsidR="006F1606" w:rsidRPr="006F1606" w:rsidRDefault="004918D1" w:rsidP="006F1606">
      <w:pPr>
        <w:pStyle w:val="Judgmentparagraph"/>
        <w:numPr>
          <w:ilvl w:val="0"/>
          <w:numId w:val="0"/>
        </w:numPr>
        <w:spacing w:line="240" w:lineRule="auto"/>
        <w:ind w:left="567"/>
      </w:pPr>
      <w:r w:rsidRPr="006F1606">
        <w:lastRenderedPageBreak/>
        <w:t>"Doors exist not merely to facilitate entry and exit of passengers, but also to secure those inside from danger. PRASA appreciated the importance of keeping the doors of a moving train closed as a necessary safety and security feature. This is borne out by a provision in its operating procedures requiring that doors be closed whenever the train is in motion. Leaving them open is thus an obvious and well known potential danger to passengers".</w:t>
      </w:r>
      <w:r w:rsidRPr="006F1606">
        <w:rPr>
          <w:vertAlign w:val="superscript"/>
        </w:rPr>
        <w:t>8</w:t>
      </w:r>
    </w:p>
    <w:p w14:paraId="7710A0F9" w14:textId="77777777" w:rsidR="006F1606" w:rsidRPr="006F1606" w:rsidRDefault="004918D1" w:rsidP="006F1606">
      <w:pPr>
        <w:pStyle w:val="Judgmentparagraph"/>
        <w:ind w:left="567" w:hanging="567"/>
      </w:pPr>
      <w:r w:rsidRPr="006F1606">
        <w:t xml:space="preserve">In </w:t>
      </w:r>
      <w:r w:rsidRPr="006F1606">
        <w:rPr>
          <w:i/>
          <w:iCs/>
        </w:rPr>
        <w:t>Baloyi v Passenger Rail Agency of South Africa</w:t>
      </w:r>
      <w:r>
        <w:rPr>
          <w:rStyle w:val="FootnoteReference"/>
        </w:rPr>
        <w:footnoteReference w:id="11"/>
      </w:r>
      <w:r w:rsidRPr="006F1606">
        <w:t xml:space="preserve"> it was repeated that </w:t>
      </w:r>
      <w:r w:rsidR="0022613D">
        <w:t>“</w:t>
      </w:r>
      <w:r w:rsidRPr="006F1606">
        <w:t>it was a basic fundamental requirement</w:t>
      </w:r>
      <w:r w:rsidR="0022613D">
        <w:t>”</w:t>
      </w:r>
      <w:r w:rsidRPr="006F1606">
        <w:t xml:space="preserve"> for the safe operation of a passenger train in any country that "a train should not depart with a door open". The prohibition of trains travelling with open doors keeping the doors of the train closed whilst in motion is an "essential safety procedure".</w:t>
      </w:r>
      <w:r>
        <w:rPr>
          <w:rStyle w:val="FootnoteReference"/>
        </w:rPr>
        <w:footnoteReference w:id="12"/>
      </w:r>
      <w:r w:rsidRPr="006F1606">
        <w:t xml:space="preserve"> Travelling with open train doors is a negligent act.</w:t>
      </w:r>
      <w:r>
        <w:rPr>
          <w:rStyle w:val="FootnoteReference"/>
        </w:rPr>
        <w:footnoteReference w:id="13"/>
      </w:r>
    </w:p>
    <w:p w14:paraId="53FC6AF7" w14:textId="77777777" w:rsidR="006F1606" w:rsidRPr="0022613D" w:rsidRDefault="004918D1" w:rsidP="0022613D">
      <w:pPr>
        <w:pStyle w:val="Judgmentparagraph"/>
        <w:ind w:left="567" w:hanging="567"/>
      </w:pPr>
      <w:r w:rsidRPr="006F1606">
        <w:t xml:space="preserve">The Supreme Court of Appeal in </w:t>
      </w:r>
      <w:r w:rsidRPr="006F1606">
        <w:rPr>
          <w:i/>
          <w:iCs/>
        </w:rPr>
        <w:t>Transnet Ltd t/a Metro Rail and Another v Witter</w:t>
      </w:r>
      <w:r>
        <w:rPr>
          <w:rStyle w:val="FootnoteReference"/>
          <w:i/>
          <w:iCs/>
        </w:rPr>
        <w:footnoteReference w:id="14"/>
      </w:r>
      <w:r>
        <w:rPr>
          <w:i/>
          <w:iCs/>
        </w:rPr>
        <w:t xml:space="preserve"> </w:t>
      </w:r>
      <w:r w:rsidRPr="006F1606">
        <w:t>has categorically stated that "a train leaving with open doors constitutes negligence".</w:t>
      </w:r>
      <w:r w:rsidR="0022613D">
        <w:t xml:space="preserve"> </w:t>
      </w:r>
      <w:r w:rsidRPr="0022613D">
        <w:rPr>
          <w:lang w:val="en-US"/>
        </w:rPr>
        <w:t xml:space="preserve">In </w:t>
      </w:r>
      <w:r w:rsidRPr="0022613D">
        <w:rPr>
          <w:i/>
          <w:iCs/>
          <w:lang w:val="en-US"/>
        </w:rPr>
        <w:t>Maruka v Passenger Rail Agency of South Africa</w:t>
      </w:r>
      <w:r>
        <w:rPr>
          <w:rStyle w:val="FootnoteReference"/>
          <w:lang w:val="en-US"/>
        </w:rPr>
        <w:footnoteReference w:id="15"/>
      </w:r>
      <w:r w:rsidRPr="0022613D">
        <w:rPr>
          <w:lang w:val="en-US"/>
        </w:rPr>
        <w:t xml:space="preserve"> the plaintiff was ejected from a moving train by the pushing and jostling for space from fellow commuters while the doors were open. The Court held that there is a “heavier burden” placed on PRASA “where greater risk exists”. </w:t>
      </w:r>
    </w:p>
    <w:p w14:paraId="15A05EF9" w14:textId="77777777" w:rsidR="006F1606" w:rsidRPr="006F1606" w:rsidRDefault="004918D1" w:rsidP="006F1606">
      <w:pPr>
        <w:pStyle w:val="Judgmentparagraph"/>
        <w:ind w:left="567" w:hanging="567"/>
      </w:pPr>
      <w:r>
        <w:t>The law is clear: PRASA operating a train with its doors open whilst in motion is a negligent act</w:t>
      </w:r>
      <w:r w:rsidR="0022613D">
        <w:t xml:space="preserve"> giving rise to </w:t>
      </w:r>
      <w:r w:rsidR="00FB45AA">
        <w:t xml:space="preserve">a </w:t>
      </w:r>
      <w:r w:rsidR="0022613D">
        <w:t xml:space="preserve">liability to </w:t>
      </w:r>
      <w:r w:rsidR="00FB45AA">
        <w:t xml:space="preserve">pay </w:t>
      </w:r>
      <w:r w:rsidR="0022613D">
        <w:t>compensatory damages.</w:t>
      </w:r>
      <w:r>
        <w:rPr>
          <w:rStyle w:val="FootnoteReference"/>
        </w:rPr>
        <w:footnoteReference w:id="16"/>
      </w:r>
      <w:r w:rsidR="0022613D">
        <w:t xml:space="preserve"> </w:t>
      </w:r>
      <w:r>
        <w:t xml:space="preserve">In this case, the pleaded facts were common cause, and the uncontroverted evidence before the Court was that Ms Mkhize </w:t>
      </w:r>
      <w:r w:rsidR="0022613D">
        <w:t>was pushed</w:t>
      </w:r>
      <w:r>
        <w:t xml:space="preserve"> through an open door of a moving train.</w:t>
      </w:r>
    </w:p>
    <w:p w14:paraId="446836BF" w14:textId="77777777" w:rsidR="006F1606" w:rsidRDefault="004918D1" w:rsidP="006F1606">
      <w:pPr>
        <w:pStyle w:val="Judgmentparagraph"/>
        <w:ind w:left="567" w:hanging="567"/>
      </w:pPr>
      <w:r>
        <w:t xml:space="preserve">Having decided on the issue of liability, the only outstanding issue is that of costs. I see no reason to deviate from the normal rule that costs should follow the result. There has been no request for punitive costs. </w:t>
      </w:r>
    </w:p>
    <w:p w14:paraId="6D091161" w14:textId="77777777" w:rsidR="00122AA0" w:rsidRPr="00122AA0" w:rsidRDefault="004918D1" w:rsidP="00EE4BB0">
      <w:pPr>
        <w:pStyle w:val="Judgmentparagraph"/>
        <w:numPr>
          <w:ilvl w:val="0"/>
          <w:numId w:val="0"/>
        </w:numPr>
        <w:rPr>
          <w:b/>
          <w:bCs/>
        </w:rPr>
      </w:pPr>
      <w:r w:rsidRPr="00122AA0">
        <w:rPr>
          <w:b/>
          <w:bCs/>
        </w:rPr>
        <w:t>Order</w:t>
      </w:r>
    </w:p>
    <w:p w14:paraId="0FECA7D5" w14:textId="77777777" w:rsidR="00122AA0" w:rsidRPr="00122AA0" w:rsidRDefault="004918D1" w:rsidP="00EE4BB0">
      <w:pPr>
        <w:pStyle w:val="Judgmentparagraph"/>
        <w:ind w:left="567" w:hanging="567"/>
      </w:pPr>
      <w:r w:rsidRPr="00122AA0">
        <w:t>As a result, the following order is granted:</w:t>
      </w:r>
    </w:p>
    <w:p w14:paraId="04EF57F2" w14:textId="77777777" w:rsidR="00122AA0" w:rsidRPr="00122AA0" w:rsidRDefault="004918D1" w:rsidP="00EE4BB0">
      <w:pPr>
        <w:pStyle w:val="Judgmentparagraph"/>
        <w:numPr>
          <w:ilvl w:val="1"/>
          <w:numId w:val="23"/>
        </w:numPr>
      </w:pPr>
      <w:r w:rsidRPr="00122AA0">
        <w:lastRenderedPageBreak/>
        <w:t>The defendant is liable for 100% of the plaintiff's proven or agreed damages.</w:t>
      </w:r>
    </w:p>
    <w:p w14:paraId="6D0D8FEA" w14:textId="77777777" w:rsidR="00122AA0" w:rsidRPr="00122AA0" w:rsidRDefault="004918D1" w:rsidP="00EE4BB0">
      <w:pPr>
        <w:pStyle w:val="Judgmentparagraph"/>
        <w:numPr>
          <w:ilvl w:val="1"/>
          <w:numId w:val="23"/>
        </w:numPr>
      </w:pPr>
      <w:r w:rsidRPr="00122AA0">
        <w:t>The defendant is ordered to pay the plaintiff’s costs on a party and party scale, including the costs of counsel.</w:t>
      </w:r>
    </w:p>
    <w:p w14:paraId="3C56FC45" w14:textId="77777777" w:rsidR="00E13006" w:rsidRDefault="004918D1" w:rsidP="001662D8">
      <w:pPr>
        <w:spacing w:before="120" w:after="120"/>
        <w:ind w:left="397" w:hanging="397"/>
        <w:jc w:val="right"/>
        <w:rPr>
          <w:rFonts w:ascii="Arial" w:hAnsi="Arial" w:cs="Arial"/>
        </w:rPr>
      </w:pPr>
      <w:r w:rsidRPr="00B93312">
        <w:rPr>
          <w:rFonts w:ascii="Arial" w:hAnsi="Arial" w:cs="Arial"/>
        </w:rPr>
        <w:tab/>
      </w:r>
      <w:r w:rsidR="001662D8">
        <w:rPr>
          <w:rFonts w:ascii="Arial" w:hAnsi="Arial" w:cs="Arial"/>
          <w:noProof/>
          <w:lang w:eastAsia="en-ZA"/>
        </w:rPr>
        <w:drawing>
          <wp:inline distT="0" distB="0" distL="0" distR="0" wp14:anchorId="350F2FC4" wp14:editId="22A8368A">
            <wp:extent cx="901700" cy="482600"/>
            <wp:effectExtent l="0" t="0" r="0" b="0"/>
            <wp:docPr id="1128707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07634" name="Picture 1128707634"/>
                    <pic:cNvPicPr/>
                  </pic:nvPicPr>
                  <pic:blipFill>
                    <a:blip r:embed="rId14">
                      <a:extLst>
                        <a:ext uri="{28A0092B-C50C-407E-A947-70E740481C1C}">
                          <a14:useLocalDpi xmlns:a14="http://schemas.microsoft.com/office/drawing/2010/main" val="0"/>
                        </a:ext>
                      </a:extLst>
                    </a:blip>
                    <a:stretch>
                      <a:fillRect/>
                    </a:stretch>
                  </pic:blipFill>
                  <pic:spPr>
                    <a:xfrm>
                      <a:off x="0" y="0"/>
                      <a:ext cx="901700" cy="482600"/>
                    </a:xfrm>
                    <a:prstGeom prst="rect">
                      <a:avLst/>
                    </a:prstGeom>
                  </pic:spPr>
                </pic:pic>
              </a:graphicData>
            </a:graphic>
          </wp:inline>
        </w:drawing>
      </w:r>
      <w:r w:rsidR="000970A9">
        <w:rPr>
          <w:rFonts w:ascii="Arial" w:hAnsi="Arial" w:cs="Arial"/>
        </w:rPr>
        <w:tab/>
      </w:r>
    </w:p>
    <w:p w14:paraId="7018AB12" w14:textId="77777777" w:rsidR="004F3075" w:rsidRPr="00B93312" w:rsidRDefault="004918D1" w:rsidP="000970A9">
      <w:pPr>
        <w:tabs>
          <w:tab w:val="left" w:pos="4917"/>
        </w:tabs>
        <w:spacing w:before="120" w:after="120"/>
        <w:ind w:left="397" w:hanging="397"/>
        <w:jc w:val="right"/>
        <w:rPr>
          <w:rFonts w:ascii="Arial" w:hAnsi="Arial" w:cs="Arial"/>
        </w:rPr>
      </w:pPr>
      <w:r w:rsidRPr="00B93312">
        <w:rPr>
          <w:rFonts w:ascii="Arial" w:hAnsi="Arial" w:cs="Arial"/>
        </w:rPr>
        <w:tab/>
        <w:t>____________________________</w:t>
      </w:r>
    </w:p>
    <w:p w14:paraId="7D67C0BB" w14:textId="77777777" w:rsidR="009C6441" w:rsidRPr="00B93312" w:rsidRDefault="004918D1" w:rsidP="00940E1B">
      <w:pPr>
        <w:tabs>
          <w:tab w:val="left" w:pos="4917"/>
        </w:tabs>
        <w:spacing w:before="120" w:after="120"/>
        <w:ind w:left="397" w:hanging="397"/>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w:t>
      </w:r>
      <w:r w:rsidR="00F212CB">
        <w:rPr>
          <w:rFonts w:ascii="Arial" w:hAnsi="Arial" w:cs="Arial"/>
        </w:rPr>
        <w:t>e</w:t>
      </w:r>
      <w:r w:rsidR="00622DB5">
        <w:rPr>
          <w:rFonts w:ascii="Arial" w:hAnsi="Arial" w:cs="Arial"/>
        </w:rPr>
        <w:t xml:space="preserve"> Vos</w:t>
      </w:r>
    </w:p>
    <w:p w14:paraId="1059B50E" w14:textId="77777777" w:rsidR="009C6441" w:rsidRDefault="004918D1" w:rsidP="00940E1B">
      <w:pPr>
        <w:tabs>
          <w:tab w:val="left" w:pos="4917"/>
        </w:tabs>
        <w:spacing w:before="120" w:after="120"/>
        <w:ind w:left="357"/>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Pr="00B93312">
        <w:rPr>
          <w:rFonts w:ascii="Arial" w:hAnsi="Arial" w:cs="Arial"/>
        </w:rPr>
        <w:t>Judge of t</w:t>
      </w:r>
      <w:r w:rsidR="00B7783F" w:rsidRPr="00B93312">
        <w:rPr>
          <w:rFonts w:ascii="Arial" w:hAnsi="Arial" w:cs="Arial"/>
        </w:rPr>
        <w:t>he High Court</w:t>
      </w:r>
    </w:p>
    <w:p w14:paraId="5C839BF2" w14:textId="77777777" w:rsidR="00E80311" w:rsidRDefault="00E80311" w:rsidP="00E80311">
      <w:pPr>
        <w:tabs>
          <w:tab w:val="left" w:pos="4917"/>
        </w:tabs>
        <w:spacing w:before="120" w:after="120"/>
        <w:ind w:left="397" w:hanging="397"/>
        <w:jc w:val="right"/>
        <w:rPr>
          <w:rFonts w:ascii="Arial" w:hAnsi="Arial" w:cs="Arial"/>
        </w:rPr>
      </w:pPr>
    </w:p>
    <w:p w14:paraId="40028627" w14:textId="77777777" w:rsidR="00A42BDA" w:rsidRPr="00B93312" w:rsidRDefault="00A42BDA" w:rsidP="003649CD">
      <w:pPr>
        <w:tabs>
          <w:tab w:val="left" w:pos="4917"/>
        </w:tabs>
        <w:spacing w:line="360" w:lineRule="auto"/>
        <w:ind w:left="357"/>
        <w:rPr>
          <w:rFonts w:ascii="Arial" w:hAnsi="Arial" w:cs="Arial"/>
        </w:rPr>
      </w:pPr>
    </w:p>
    <w:p w14:paraId="3BE16DF2" w14:textId="77777777" w:rsidR="002B0D1E" w:rsidRPr="00B93312" w:rsidRDefault="004918D1" w:rsidP="002B0D1E">
      <w:pPr>
        <w:tabs>
          <w:tab w:val="left" w:pos="4917"/>
        </w:tabs>
        <w:spacing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5243A658" w14:textId="77777777" w:rsidR="00A42BDA" w:rsidRPr="00B93312" w:rsidRDefault="00A42BDA" w:rsidP="003649CD">
      <w:pPr>
        <w:tabs>
          <w:tab w:val="left" w:pos="4917"/>
        </w:tabs>
        <w:spacing w:line="360" w:lineRule="auto"/>
        <w:ind w:left="357"/>
        <w:rPr>
          <w:rFonts w:ascii="Arial" w:hAnsi="Arial" w:cs="Arial"/>
        </w:rPr>
      </w:pPr>
    </w:p>
    <w:p w14:paraId="0851581C" w14:textId="77777777" w:rsidR="000F02BD" w:rsidRPr="00E80311" w:rsidRDefault="004918D1" w:rsidP="00F212CB">
      <w:pPr>
        <w:tabs>
          <w:tab w:val="left" w:pos="4917"/>
        </w:tabs>
        <w:spacing w:line="360" w:lineRule="auto"/>
        <w:ind w:left="357"/>
        <w:rPr>
          <w:rFonts w:ascii="Arial" w:hAnsi="Arial" w:cs="Arial"/>
          <w:b/>
          <w:bCs/>
        </w:rPr>
      </w:pPr>
      <w:r w:rsidRPr="00EF2C17">
        <w:rPr>
          <w:rFonts w:ascii="Arial" w:hAnsi="Arial" w:cs="Arial"/>
        </w:rPr>
        <w:t>C</w:t>
      </w:r>
      <w:r w:rsidR="00E66A18" w:rsidRPr="00EF2C17">
        <w:rPr>
          <w:rFonts w:ascii="Arial" w:hAnsi="Arial" w:cs="Arial"/>
        </w:rPr>
        <w:t>ounsel fo</w:t>
      </w:r>
      <w:r w:rsidR="00377FDC" w:rsidRPr="00EF2C17">
        <w:rPr>
          <w:rFonts w:ascii="Arial" w:hAnsi="Arial" w:cs="Arial"/>
        </w:rPr>
        <w:t xml:space="preserve">r the </w:t>
      </w:r>
      <w:r w:rsidR="00122AA0">
        <w:rPr>
          <w:rFonts w:ascii="Arial" w:hAnsi="Arial" w:cs="Arial"/>
        </w:rPr>
        <w:t>plaintiff</w:t>
      </w:r>
      <w:r w:rsidR="004716A2" w:rsidRPr="00EF2C17">
        <w:rPr>
          <w:rFonts w:ascii="Arial" w:hAnsi="Arial" w:cs="Arial"/>
        </w:rPr>
        <w:t>:</w:t>
      </w:r>
      <w:r w:rsidR="00A32C88">
        <w:rPr>
          <w:rFonts w:ascii="Arial" w:hAnsi="Arial" w:cs="Arial"/>
        </w:rPr>
        <w:tab/>
      </w:r>
      <w:r w:rsidR="00122AA0">
        <w:rPr>
          <w:rFonts w:ascii="Arial" w:hAnsi="Arial" w:cs="Arial"/>
        </w:rPr>
        <w:t>J van der Merwe</w:t>
      </w:r>
    </w:p>
    <w:p w14:paraId="33ADF15B" w14:textId="77777777" w:rsidR="000F02BD" w:rsidRDefault="004918D1" w:rsidP="000F02BD">
      <w:pPr>
        <w:tabs>
          <w:tab w:val="left" w:pos="4917"/>
        </w:tabs>
        <w:spacing w:line="360" w:lineRule="auto"/>
        <w:ind w:left="4917" w:hanging="4557"/>
        <w:rPr>
          <w:rFonts w:ascii="Arial" w:hAnsi="Arial" w:cs="Arial"/>
        </w:rPr>
      </w:pPr>
      <w:r w:rsidRPr="00E80311">
        <w:rPr>
          <w:rFonts w:ascii="Arial" w:hAnsi="Arial" w:cs="Arial"/>
        </w:rPr>
        <w:t>I</w:t>
      </w:r>
      <w:r w:rsidR="003649CD" w:rsidRPr="00E80311">
        <w:rPr>
          <w:rFonts w:ascii="Arial" w:hAnsi="Arial" w:cs="Arial"/>
        </w:rPr>
        <w:t xml:space="preserve">nstructed by: </w:t>
      </w:r>
      <w:r w:rsidR="00BB506C" w:rsidRPr="00E80311">
        <w:rPr>
          <w:rFonts w:ascii="Arial" w:hAnsi="Arial" w:cs="Arial"/>
        </w:rPr>
        <w:t xml:space="preserve"> </w:t>
      </w:r>
      <w:r w:rsidR="00F67537" w:rsidRPr="00E80311">
        <w:rPr>
          <w:rFonts w:ascii="Arial" w:hAnsi="Arial" w:cs="Arial"/>
        </w:rPr>
        <w:tab/>
      </w:r>
      <w:r w:rsidR="0081376A">
        <w:rPr>
          <w:rFonts w:ascii="Arial" w:hAnsi="Arial" w:cs="Arial"/>
        </w:rPr>
        <w:t>Gert Nel Inc</w:t>
      </w:r>
    </w:p>
    <w:p w14:paraId="3310F8F7" w14:textId="77777777" w:rsidR="000F02BD" w:rsidRPr="00E80311" w:rsidRDefault="004918D1" w:rsidP="00122AA0">
      <w:pPr>
        <w:tabs>
          <w:tab w:val="left" w:pos="4917"/>
        </w:tabs>
        <w:spacing w:line="360" w:lineRule="auto"/>
        <w:ind w:left="4917" w:hanging="4557"/>
        <w:rPr>
          <w:rFonts w:ascii="Arial" w:hAnsi="Arial" w:cs="Arial"/>
        </w:rPr>
      </w:pPr>
      <w:r>
        <w:rPr>
          <w:rFonts w:ascii="Arial" w:hAnsi="Arial" w:cs="Arial"/>
        </w:rPr>
        <w:t xml:space="preserve">Counsel for the </w:t>
      </w:r>
      <w:r w:rsidR="00122AA0">
        <w:rPr>
          <w:rFonts w:ascii="Arial" w:hAnsi="Arial" w:cs="Arial"/>
        </w:rPr>
        <w:t>defendant</w:t>
      </w:r>
      <w:r w:rsidR="00304D89">
        <w:rPr>
          <w:rFonts w:ascii="Arial" w:hAnsi="Arial" w:cs="Arial"/>
        </w:rPr>
        <w:t>:</w:t>
      </w:r>
      <w:r>
        <w:rPr>
          <w:rFonts w:ascii="Arial" w:hAnsi="Arial" w:cs="Arial"/>
        </w:rPr>
        <w:tab/>
      </w:r>
      <w:r w:rsidR="00122AA0">
        <w:rPr>
          <w:rFonts w:ascii="Arial" w:hAnsi="Arial" w:cs="Arial"/>
        </w:rPr>
        <w:t>WB Ridgard</w:t>
      </w:r>
    </w:p>
    <w:p w14:paraId="2D2BEB75" w14:textId="77777777" w:rsidR="009E3654" w:rsidRDefault="004918D1" w:rsidP="00304D89">
      <w:pPr>
        <w:tabs>
          <w:tab w:val="left" w:pos="4917"/>
        </w:tabs>
        <w:spacing w:line="360" w:lineRule="auto"/>
        <w:ind w:left="4917" w:hanging="4557"/>
        <w:rPr>
          <w:rFonts w:ascii="Arial" w:hAnsi="Arial" w:cs="Arial"/>
        </w:rPr>
      </w:pPr>
      <w:r w:rsidRPr="00E80311">
        <w:rPr>
          <w:rFonts w:ascii="Arial" w:hAnsi="Arial" w:cs="Arial"/>
        </w:rPr>
        <w:t xml:space="preserve">Instructed by: </w:t>
      </w:r>
      <w:r w:rsidR="00377FDC" w:rsidRPr="00E80311">
        <w:rPr>
          <w:rFonts w:ascii="Arial" w:hAnsi="Arial" w:cs="Arial"/>
        </w:rPr>
        <w:tab/>
      </w:r>
      <w:r w:rsidR="0081376A">
        <w:rPr>
          <w:rFonts w:ascii="Arial" w:hAnsi="Arial" w:cs="Arial"/>
        </w:rPr>
        <w:t>Makhubela Attorneys</w:t>
      </w:r>
    </w:p>
    <w:p w14:paraId="08F4A52C" w14:textId="77777777" w:rsidR="004F3075" w:rsidRDefault="004918D1" w:rsidP="008302A3">
      <w:pPr>
        <w:tabs>
          <w:tab w:val="left" w:pos="4917"/>
        </w:tabs>
        <w:spacing w:line="360" w:lineRule="auto"/>
        <w:ind w:left="360"/>
        <w:rPr>
          <w:rFonts w:ascii="Arial" w:hAnsi="Arial" w:cs="Arial"/>
        </w:rPr>
      </w:pPr>
      <w:r w:rsidRPr="00E80311">
        <w:rPr>
          <w:rFonts w:ascii="Arial" w:hAnsi="Arial" w:cs="Arial"/>
        </w:rPr>
        <w:t>D</w:t>
      </w:r>
      <w:r w:rsidR="002F1742" w:rsidRPr="00E80311">
        <w:rPr>
          <w:rFonts w:ascii="Arial" w:hAnsi="Arial" w:cs="Arial"/>
        </w:rPr>
        <w:t>ate of the hearing:</w:t>
      </w:r>
      <w:r w:rsidR="00F03EE2" w:rsidRPr="00E80311">
        <w:rPr>
          <w:rFonts w:ascii="Arial" w:hAnsi="Arial" w:cs="Arial"/>
        </w:rPr>
        <w:tab/>
      </w:r>
      <w:r w:rsidR="00122AA0">
        <w:rPr>
          <w:rFonts w:ascii="Arial" w:hAnsi="Arial" w:cs="Arial"/>
        </w:rPr>
        <w:t>24 October</w:t>
      </w:r>
      <w:r w:rsidR="008302A3">
        <w:rPr>
          <w:rFonts w:ascii="Arial" w:hAnsi="Arial" w:cs="Arial"/>
        </w:rPr>
        <w:t xml:space="preserve"> 2023</w:t>
      </w:r>
      <w:r>
        <w:rPr>
          <w:rFonts w:ascii="Arial" w:hAnsi="Arial" w:cs="Arial"/>
        </w:rPr>
        <w:t xml:space="preserve"> </w:t>
      </w:r>
    </w:p>
    <w:p w14:paraId="2C714F45" w14:textId="77777777" w:rsidR="00AB30C9" w:rsidRPr="001510B0" w:rsidRDefault="004918D1" w:rsidP="00EE4BB0">
      <w:pPr>
        <w:tabs>
          <w:tab w:val="left" w:pos="4917"/>
        </w:tabs>
        <w:spacing w:line="360" w:lineRule="auto"/>
        <w:ind w:left="360"/>
        <w:rPr>
          <w:rFonts w:ascii="Arial" w:hAnsi="Arial" w:cs="Arial"/>
        </w:rPr>
      </w:pPr>
      <w:r w:rsidRPr="008554B6">
        <w:rPr>
          <w:rFonts w:ascii="Arial" w:hAnsi="Arial" w:cs="Arial"/>
        </w:rPr>
        <w:t>Date of judgment:</w:t>
      </w:r>
      <w:r w:rsidRPr="008554B6">
        <w:rPr>
          <w:rFonts w:ascii="Arial" w:hAnsi="Arial" w:cs="Arial"/>
        </w:rPr>
        <w:tab/>
      </w:r>
      <w:r w:rsidR="00FF6BD2">
        <w:rPr>
          <w:rFonts w:ascii="Arial" w:hAnsi="Arial" w:cs="Arial"/>
        </w:rPr>
        <w:t>3 November</w:t>
      </w:r>
      <w:r w:rsidR="009E2D4C">
        <w:rPr>
          <w:rFonts w:ascii="Arial" w:hAnsi="Arial" w:cs="Arial"/>
        </w:rPr>
        <w:t xml:space="preserve"> 2023</w:t>
      </w:r>
    </w:p>
    <w:sectPr w:rsidR="00AB30C9" w:rsidRPr="001510B0" w:rsidSect="00065E8F">
      <w:headerReference w:type="default" r:id="rId15"/>
      <w:footerReference w:type="default" r:id="rId16"/>
      <w:footerReference w:type="first" r:id="rId17"/>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F18E3" w14:textId="77777777" w:rsidR="00E63EAB" w:rsidRDefault="00E63EAB">
      <w:r>
        <w:separator/>
      </w:r>
    </w:p>
  </w:endnote>
  <w:endnote w:type="continuationSeparator" w:id="0">
    <w:p w14:paraId="62D85801" w14:textId="77777777" w:rsidR="00E63EAB" w:rsidRDefault="00E6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23255380" w14:textId="1C342BF6" w:rsidR="000E009C" w:rsidRDefault="004918D1">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2534B1">
          <w:rPr>
            <w:rFonts w:ascii="Arial" w:hAnsi="Arial" w:cs="Arial"/>
            <w:noProof/>
          </w:rPr>
          <w:t>2</w:t>
        </w:r>
        <w:r w:rsidRPr="00CD0D31">
          <w:rPr>
            <w:rFonts w:ascii="Arial" w:hAnsi="Arial" w:cs="Arial"/>
            <w:noProof/>
          </w:rPr>
          <w:fldChar w:fldCharType="end"/>
        </w:r>
      </w:p>
    </w:sdtContent>
  </w:sdt>
  <w:p w14:paraId="6A012CA4" w14:textId="77777777" w:rsidR="000E009C" w:rsidRDefault="000E0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97486259"/>
      <w:docPartObj>
        <w:docPartGallery w:val="Page Numbers (Bottom of Page)"/>
        <w:docPartUnique/>
      </w:docPartObj>
    </w:sdtPr>
    <w:sdtEndPr/>
    <w:sdtContent>
      <w:p w14:paraId="73B80F1E" w14:textId="668C008D" w:rsidR="005F074E" w:rsidRPr="005F074E" w:rsidRDefault="004918D1">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002534B1" w:rsidRPr="002534B1">
          <w:rPr>
            <w:rFonts w:ascii="Arial" w:hAnsi="Arial" w:cs="Arial"/>
            <w:noProof/>
            <w:lang w:val="af-ZA"/>
          </w:rPr>
          <w:t>1</w:t>
        </w:r>
        <w:r w:rsidRPr="005F074E">
          <w:rPr>
            <w:rFonts w:ascii="Arial" w:hAnsi="Arial" w:cs="Arial"/>
          </w:rPr>
          <w:fldChar w:fldCharType="end"/>
        </w:r>
      </w:p>
    </w:sdtContent>
  </w:sdt>
  <w:p w14:paraId="7728D8FF"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C47DC" w14:textId="77777777" w:rsidR="00E63EAB" w:rsidRDefault="00E63EAB">
      <w:r>
        <w:separator/>
      </w:r>
    </w:p>
  </w:footnote>
  <w:footnote w:type="continuationSeparator" w:id="0">
    <w:p w14:paraId="42015305" w14:textId="77777777" w:rsidR="00E63EAB" w:rsidRDefault="00E63EAB">
      <w:r>
        <w:continuationSeparator/>
      </w:r>
    </w:p>
  </w:footnote>
  <w:footnote w:id="1">
    <w:p w14:paraId="19B23221" w14:textId="77777777" w:rsidR="006F1606" w:rsidRPr="00EF0E3B" w:rsidRDefault="004918D1">
      <w:pPr>
        <w:pStyle w:val="FootnoteText"/>
        <w:rPr>
          <w:color w:val="000000" w:themeColor="text1"/>
          <w:lang w:val="en-US"/>
        </w:rPr>
      </w:pPr>
      <w:r w:rsidRPr="00EF0E3B">
        <w:rPr>
          <w:rStyle w:val="FootnoteReference"/>
          <w:color w:val="000000" w:themeColor="text1"/>
        </w:rPr>
        <w:footnoteRef/>
      </w:r>
      <w:r w:rsidRPr="00EF0E3B">
        <w:rPr>
          <w:color w:val="000000" w:themeColor="text1"/>
        </w:rPr>
        <w:t xml:space="preserve"> </w:t>
      </w:r>
      <w:hyperlink r:id="rId1" w:tooltip="View LawCiteRecord" w:history="1">
        <w:r w:rsidRPr="006F1606">
          <w:rPr>
            <w:rStyle w:val="Hyperlink"/>
            <w:color w:val="000000" w:themeColor="text1"/>
            <w:u w:val="none"/>
            <w:lang w:val="en-ZA"/>
          </w:rPr>
          <w:t>2003 (1) SA 11</w:t>
        </w:r>
      </w:hyperlink>
      <w:r w:rsidRPr="006F1606">
        <w:rPr>
          <w:color w:val="000000" w:themeColor="text1"/>
          <w:lang w:val="en-ZA"/>
        </w:rPr>
        <w:t> (SCA)</w:t>
      </w:r>
    </w:p>
  </w:footnote>
  <w:footnote w:id="2">
    <w:p w14:paraId="6439E125" w14:textId="77777777" w:rsidR="00EE5119" w:rsidRPr="00EF0E3B" w:rsidRDefault="004918D1">
      <w:pPr>
        <w:pStyle w:val="FootnoteText"/>
        <w:rPr>
          <w:color w:val="000000" w:themeColor="text1"/>
          <w:lang w:val="en-US"/>
        </w:rPr>
      </w:pPr>
      <w:r w:rsidRPr="00EF0E3B">
        <w:rPr>
          <w:rStyle w:val="FootnoteReference"/>
          <w:color w:val="000000" w:themeColor="text1"/>
        </w:rPr>
        <w:footnoteRef/>
      </w:r>
      <w:r w:rsidRPr="00EF0E3B">
        <w:rPr>
          <w:color w:val="000000" w:themeColor="text1"/>
        </w:rPr>
        <w:t xml:space="preserve"> </w:t>
      </w:r>
      <w:r w:rsidRPr="00EF0E3B">
        <w:rPr>
          <w:color w:val="000000" w:themeColor="text1"/>
          <w:lang w:val="en-US"/>
        </w:rPr>
        <w:t xml:space="preserve">S v Janse van Rensburg </w:t>
      </w:r>
      <w:hyperlink r:id="rId2" w:tooltip="View LawCiteRecord" w:history="1">
        <w:r w:rsidRPr="00EF0E3B">
          <w:rPr>
            <w:rStyle w:val="Hyperlink"/>
            <w:color w:val="000000" w:themeColor="text1"/>
            <w:u w:val="none"/>
            <w:lang w:val="en-ZA"/>
          </w:rPr>
          <w:t>2009 (2) SACR 216</w:t>
        </w:r>
      </w:hyperlink>
      <w:r w:rsidRPr="00EF0E3B">
        <w:rPr>
          <w:color w:val="000000" w:themeColor="text1"/>
          <w:lang w:val="en-ZA"/>
        </w:rPr>
        <w:t> (C) at para 8</w:t>
      </w:r>
    </w:p>
  </w:footnote>
  <w:footnote w:id="3">
    <w:p w14:paraId="1B7F3B62" w14:textId="77777777" w:rsidR="00405566" w:rsidRPr="00EF0E3B" w:rsidRDefault="004918D1" w:rsidP="00405566">
      <w:pPr>
        <w:pStyle w:val="FootnoteText"/>
        <w:rPr>
          <w:color w:val="000000" w:themeColor="text1"/>
          <w:lang w:val="en-US"/>
        </w:rPr>
      </w:pPr>
      <w:r w:rsidRPr="00EF0E3B">
        <w:rPr>
          <w:rStyle w:val="FootnoteReference"/>
          <w:color w:val="000000" w:themeColor="text1"/>
        </w:rPr>
        <w:footnoteRef/>
      </w:r>
      <w:r w:rsidRPr="00EF0E3B">
        <w:rPr>
          <w:color w:val="000000" w:themeColor="text1"/>
        </w:rPr>
        <w:t xml:space="preserve"> </w:t>
      </w:r>
      <w:r w:rsidRPr="00EF0E3B">
        <w:rPr>
          <w:color w:val="000000" w:themeColor="text1"/>
          <w:lang w:val="en-US"/>
        </w:rPr>
        <w:t>Plea para 5.1</w:t>
      </w:r>
    </w:p>
  </w:footnote>
  <w:footnote w:id="4">
    <w:p w14:paraId="7B15EA80" w14:textId="77777777" w:rsidR="00CD5EF2" w:rsidRPr="00CD5EF2" w:rsidRDefault="004918D1">
      <w:pPr>
        <w:pStyle w:val="FootnoteText"/>
        <w:rPr>
          <w:lang w:val="en-US"/>
        </w:rPr>
      </w:pPr>
      <w:r>
        <w:rPr>
          <w:rStyle w:val="FootnoteReference"/>
        </w:rPr>
        <w:footnoteRef/>
      </w:r>
      <w:r>
        <w:t xml:space="preserve"> </w:t>
      </w:r>
      <w:hyperlink r:id="rId3" w:tooltip="View LawCiteRecord" w:history="1">
        <w:r w:rsidRPr="00CD5EF2">
          <w:rPr>
            <w:rStyle w:val="Hyperlink"/>
            <w:color w:val="000000" w:themeColor="text1"/>
            <w:u w:val="none"/>
            <w:lang w:val="en-ZA"/>
          </w:rPr>
          <w:t>2003 (4) All SA 74</w:t>
        </w:r>
      </w:hyperlink>
      <w:r w:rsidRPr="00CD5EF2">
        <w:rPr>
          <w:color w:val="000000" w:themeColor="text1"/>
          <w:lang w:val="en-ZA"/>
        </w:rPr>
        <w:t xml:space="preserve"> (C) </w:t>
      </w:r>
    </w:p>
  </w:footnote>
  <w:footnote w:id="5">
    <w:p w14:paraId="12D230C8" w14:textId="77777777" w:rsidR="00CD5EF2" w:rsidRPr="00CD5EF2" w:rsidRDefault="004918D1">
      <w:pPr>
        <w:pStyle w:val="FootnoteText"/>
        <w:rPr>
          <w:lang w:val="en-US"/>
        </w:rPr>
      </w:pPr>
      <w:r>
        <w:rPr>
          <w:rStyle w:val="FootnoteReference"/>
        </w:rPr>
        <w:footnoteRef/>
      </w:r>
      <w:r>
        <w:t xml:space="preserve"> </w:t>
      </w:r>
      <w:r w:rsidRPr="00CD5EF2">
        <w:rPr>
          <w:lang w:val="en-ZA"/>
        </w:rPr>
        <w:t>Minister of Justice v Saernetso  </w:t>
      </w:r>
      <w:hyperlink r:id="rId4" w:tooltip="View LawCiteRecord" w:history="1">
        <w:r w:rsidRPr="00CD5EF2">
          <w:rPr>
            <w:rStyle w:val="Hyperlink"/>
            <w:color w:val="000000" w:themeColor="text1"/>
            <w:u w:val="none"/>
            <w:lang w:val="en-ZA"/>
          </w:rPr>
          <w:t>1963 3 SA 530</w:t>
        </w:r>
      </w:hyperlink>
      <w:r w:rsidRPr="00CD5EF2">
        <w:rPr>
          <w:color w:val="000000" w:themeColor="text1"/>
          <w:lang w:val="en-ZA"/>
        </w:rPr>
        <w:t> (A) at 534 H</w:t>
      </w:r>
    </w:p>
  </w:footnote>
  <w:footnote w:id="6">
    <w:p w14:paraId="24A61AEF" w14:textId="77777777" w:rsidR="00122AA0" w:rsidRPr="00EF0E3B" w:rsidRDefault="004918D1">
      <w:pPr>
        <w:pStyle w:val="FootnoteText"/>
        <w:rPr>
          <w:color w:val="000000" w:themeColor="text1"/>
          <w:lang w:val="en-US"/>
        </w:rPr>
      </w:pPr>
      <w:r w:rsidRPr="00EF0E3B">
        <w:rPr>
          <w:rStyle w:val="FootnoteReference"/>
          <w:color w:val="000000" w:themeColor="text1"/>
        </w:rPr>
        <w:footnoteRef/>
      </w:r>
      <w:r w:rsidRPr="00EF0E3B">
        <w:rPr>
          <w:color w:val="000000" w:themeColor="text1"/>
        </w:rPr>
        <w:t xml:space="preserve"> </w:t>
      </w:r>
      <w:r w:rsidRPr="00EF0E3B">
        <w:rPr>
          <w:color w:val="000000" w:themeColor="text1"/>
          <w:lang w:val="en-ZA"/>
        </w:rPr>
        <w:t>Mashongwa v PRASA (CCT03/15) [2015] ZACC 36; 2016 (2) BCLR 204 (CC); 2016 (3) SA 528 (CC)</w:t>
      </w:r>
    </w:p>
  </w:footnote>
  <w:footnote w:id="7">
    <w:p w14:paraId="13641818" w14:textId="77777777" w:rsidR="00FF2CA1" w:rsidRPr="00EF0E3B" w:rsidRDefault="004918D1">
      <w:pPr>
        <w:pStyle w:val="FootnoteText"/>
        <w:rPr>
          <w:color w:val="000000" w:themeColor="text1"/>
          <w:lang w:val="en-US"/>
        </w:rPr>
      </w:pPr>
      <w:r w:rsidRPr="00EF0E3B">
        <w:rPr>
          <w:rStyle w:val="FootnoteReference"/>
          <w:color w:val="000000" w:themeColor="text1"/>
        </w:rPr>
        <w:footnoteRef/>
      </w:r>
      <w:r w:rsidRPr="00EF0E3B">
        <w:rPr>
          <w:color w:val="000000" w:themeColor="text1"/>
        </w:rPr>
        <w:t xml:space="preserve"> </w:t>
      </w:r>
      <w:r w:rsidRPr="00EF0E3B">
        <w:rPr>
          <w:color w:val="000000" w:themeColor="text1"/>
          <w:lang w:val="en-ZA"/>
        </w:rPr>
        <w:t>2017 JDR 1039 (GJ) par [28]</w:t>
      </w:r>
    </w:p>
  </w:footnote>
  <w:footnote w:id="8">
    <w:p w14:paraId="01FD1F53" w14:textId="77777777" w:rsidR="006F1606" w:rsidRPr="00EF0E3B" w:rsidRDefault="004918D1">
      <w:pPr>
        <w:pStyle w:val="FootnoteText"/>
        <w:rPr>
          <w:color w:val="000000" w:themeColor="text1"/>
          <w:lang w:val="en-US"/>
        </w:rPr>
      </w:pPr>
      <w:r w:rsidRPr="00EF0E3B">
        <w:rPr>
          <w:rStyle w:val="FootnoteReference"/>
          <w:color w:val="000000" w:themeColor="text1"/>
        </w:rPr>
        <w:footnoteRef/>
      </w:r>
      <w:r w:rsidRPr="00EF0E3B">
        <w:rPr>
          <w:color w:val="000000" w:themeColor="text1"/>
        </w:rPr>
        <w:t xml:space="preserve"> </w:t>
      </w:r>
      <w:r w:rsidRPr="00EF0E3B">
        <w:rPr>
          <w:color w:val="000000" w:themeColor="text1"/>
          <w:lang w:val="en-ZA"/>
        </w:rPr>
        <w:t>Ngubane v SA Transport Services </w:t>
      </w:r>
      <w:hyperlink r:id="rId5" w:tooltip="View Case" w:history="1">
        <w:r w:rsidRPr="00EF0E3B">
          <w:rPr>
            <w:rStyle w:val="Hyperlink"/>
            <w:color w:val="000000" w:themeColor="text1"/>
            <w:u w:val="none"/>
            <w:lang w:val="en-ZA"/>
          </w:rPr>
          <w:t>[1990] ZASCA 147</w:t>
        </w:r>
      </w:hyperlink>
      <w:r w:rsidRPr="00EF0E3B">
        <w:rPr>
          <w:color w:val="000000" w:themeColor="text1"/>
          <w:lang w:val="en-ZA"/>
        </w:rPr>
        <w:t>;  </w:t>
      </w:r>
      <w:hyperlink r:id="rId6" w:tooltip="View LawCiteRecord" w:history="1">
        <w:r w:rsidRPr="00EF0E3B">
          <w:rPr>
            <w:rStyle w:val="Hyperlink"/>
            <w:color w:val="000000" w:themeColor="text1"/>
            <w:u w:val="none"/>
            <w:lang w:val="en-ZA"/>
          </w:rPr>
          <w:t>1991 (1) SA 576</w:t>
        </w:r>
      </w:hyperlink>
      <w:r w:rsidRPr="00EF0E3B">
        <w:rPr>
          <w:color w:val="000000" w:themeColor="text1"/>
          <w:lang w:val="en-ZA"/>
        </w:rPr>
        <w:t> (A) at 777D</w:t>
      </w:r>
    </w:p>
  </w:footnote>
  <w:footnote w:id="9">
    <w:p w14:paraId="66A75505" w14:textId="77777777" w:rsidR="006F1606" w:rsidRPr="00EF0E3B" w:rsidRDefault="004918D1">
      <w:pPr>
        <w:pStyle w:val="FootnoteText"/>
        <w:rPr>
          <w:color w:val="000000" w:themeColor="text1"/>
          <w:lang w:val="en-US"/>
        </w:rPr>
      </w:pPr>
      <w:r w:rsidRPr="00EF0E3B">
        <w:rPr>
          <w:rStyle w:val="FootnoteReference"/>
          <w:color w:val="000000" w:themeColor="text1"/>
        </w:rPr>
        <w:footnoteRef/>
      </w:r>
      <w:r w:rsidRPr="00EF0E3B">
        <w:rPr>
          <w:color w:val="000000" w:themeColor="text1"/>
        </w:rPr>
        <w:t xml:space="preserve"> </w:t>
      </w:r>
      <w:r w:rsidRPr="00EF0E3B">
        <w:rPr>
          <w:color w:val="000000" w:themeColor="text1"/>
          <w:lang w:val="en-ZA"/>
        </w:rPr>
        <w:t>Transnet Ltd t/a Metrorail v Witter </w:t>
      </w:r>
      <w:hyperlink r:id="rId7" w:tooltip="View Case" w:history="1">
        <w:r w:rsidRPr="00EF0E3B">
          <w:rPr>
            <w:rStyle w:val="Hyperlink"/>
            <w:color w:val="000000" w:themeColor="text1"/>
            <w:u w:val="none"/>
            <w:lang w:val="en-ZA"/>
          </w:rPr>
          <w:t>[2008] ZASCA 95</w:t>
        </w:r>
      </w:hyperlink>
      <w:r w:rsidRPr="00EF0E3B">
        <w:rPr>
          <w:color w:val="000000" w:themeColor="text1"/>
          <w:lang w:val="en-ZA"/>
        </w:rPr>
        <w:t>;  </w:t>
      </w:r>
      <w:hyperlink r:id="rId8" w:tooltip="View LawCiteRecord" w:history="1">
        <w:r w:rsidRPr="00EF0E3B">
          <w:rPr>
            <w:rStyle w:val="Hyperlink"/>
            <w:color w:val="000000" w:themeColor="text1"/>
            <w:u w:val="none"/>
            <w:lang w:val="en-ZA"/>
          </w:rPr>
          <w:t>2008 (6) SA 549</w:t>
        </w:r>
      </w:hyperlink>
      <w:r w:rsidRPr="00EF0E3B">
        <w:rPr>
          <w:color w:val="000000" w:themeColor="text1"/>
          <w:lang w:val="en-ZA"/>
        </w:rPr>
        <w:t> (SCA) par [1] at 552 and par [5]-[11] at 555</w:t>
      </w:r>
    </w:p>
  </w:footnote>
  <w:footnote w:id="10">
    <w:p w14:paraId="3C757E8E" w14:textId="77777777" w:rsidR="006F1606" w:rsidRPr="00EF0E3B" w:rsidRDefault="004918D1">
      <w:pPr>
        <w:pStyle w:val="FootnoteText"/>
        <w:rPr>
          <w:color w:val="000000" w:themeColor="text1"/>
          <w:lang w:val="en-US"/>
        </w:rPr>
      </w:pPr>
      <w:r w:rsidRPr="00EF0E3B">
        <w:rPr>
          <w:rStyle w:val="FootnoteReference"/>
          <w:color w:val="000000" w:themeColor="text1"/>
        </w:rPr>
        <w:footnoteRef/>
      </w:r>
      <w:r w:rsidRPr="00EF0E3B">
        <w:rPr>
          <w:color w:val="000000" w:themeColor="text1"/>
        </w:rPr>
        <w:t xml:space="preserve"> </w:t>
      </w:r>
      <w:r w:rsidRPr="00EF0E3B">
        <w:rPr>
          <w:color w:val="000000" w:themeColor="text1"/>
          <w:lang w:val="en-ZA"/>
        </w:rPr>
        <w:t>(13304/17) [2021] ZAGPPHC 614 (27 September 2021)</w:t>
      </w:r>
    </w:p>
  </w:footnote>
  <w:footnote w:id="11">
    <w:p w14:paraId="0284E0FC" w14:textId="77777777" w:rsidR="006F1606" w:rsidRPr="00EF0E3B" w:rsidRDefault="004918D1">
      <w:pPr>
        <w:pStyle w:val="FootnoteText"/>
        <w:rPr>
          <w:color w:val="000000" w:themeColor="text1"/>
          <w:lang w:val="en-US"/>
        </w:rPr>
      </w:pPr>
      <w:r w:rsidRPr="00EF0E3B">
        <w:rPr>
          <w:rStyle w:val="FootnoteReference"/>
          <w:color w:val="000000" w:themeColor="text1"/>
        </w:rPr>
        <w:footnoteRef/>
      </w:r>
      <w:r w:rsidRPr="00EF0E3B">
        <w:rPr>
          <w:color w:val="000000" w:themeColor="text1"/>
        </w:rPr>
        <w:t xml:space="preserve"> </w:t>
      </w:r>
      <w:r w:rsidRPr="006F1606">
        <w:rPr>
          <w:color w:val="000000" w:themeColor="text1"/>
          <w:lang w:val="en-ZA"/>
        </w:rPr>
        <w:t>2018 JDR 2044 (GJ) para 20</w:t>
      </w:r>
    </w:p>
  </w:footnote>
  <w:footnote w:id="12">
    <w:p w14:paraId="3EB7DD64" w14:textId="77777777" w:rsidR="0022613D" w:rsidRPr="0022613D" w:rsidRDefault="004918D1">
      <w:pPr>
        <w:pStyle w:val="FootnoteText"/>
        <w:rPr>
          <w:lang w:val="en-US"/>
        </w:rPr>
      </w:pPr>
      <w:r>
        <w:rPr>
          <w:rStyle w:val="FootnoteReference"/>
        </w:rPr>
        <w:footnoteRef/>
      </w:r>
      <w:r>
        <w:t xml:space="preserve"> </w:t>
      </w:r>
      <w:r>
        <w:rPr>
          <w:lang w:val="en-US"/>
        </w:rPr>
        <w:t>Id at para 26</w:t>
      </w:r>
    </w:p>
  </w:footnote>
  <w:footnote w:id="13">
    <w:p w14:paraId="2EB527DD" w14:textId="77777777" w:rsidR="0022613D" w:rsidRPr="0022613D" w:rsidRDefault="004918D1">
      <w:pPr>
        <w:pStyle w:val="FootnoteText"/>
        <w:rPr>
          <w:lang w:val="en-US"/>
        </w:rPr>
      </w:pPr>
      <w:r>
        <w:rPr>
          <w:rStyle w:val="FootnoteReference"/>
        </w:rPr>
        <w:footnoteRef/>
      </w:r>
      <w:r>
        <w:t xml:space="preserve"> </w:t>
      </w:r>
      <w:r>
        <w:rPr>
          <w:lang w:val="en-US"/>
        </w:rPr>
        <w:t>Id at para 27</w:t>
      </w:r>
    </w:p>
  </w:footnote>
  <w:footnote w:id="14">
    <w:p w14:paraId="76C70E4B" w14:textId="77777777" w:rsidR="006F1606" w:rsidRPr="00EF0E3B" w:rsidRDefault="004918D1">
      <w:pPr>
        <w:pStyle w:val="FootnoteText"/>
        <w:rPr>
          <w:color w:val="000000" w:themeColor="text1"/>
          <w:lang w:val="en-US"/>
        </w:rPr>
      </w:pPr>
      <w:r w:rsidRPr="00EF0E3B">
        <w:rPr>
          <w:rStyle w:val="FootnoteReference"/>
          <w:color w:val="000000" w:themeColor="text1"/>
        </w:rPr>
        <w:footnoteRef/>
      </w:r>
      <w:r w:rsidRPr="00EF0E3B">
        <w:rPr>
          <w:color w:val="000000" w:themeColor="text1"/>
        </w:rPr>
        <w:t xml:space="preserve"> </w:t>
      </w:r>
      <w:r w:rsidRPr="006F1606">
        <w:rPr>
          <w:color w:val="000000" w:themeColor="text1"/>
          <w:lang w:val="en-ZA"/>
        </w:rPr>
        <w:t>(517/2007)  </w:t>
      </w:r>
      <w:hyperlink r:id="rId9" w:tooltip="View Case" w:history="1">
        <w:r w:rsidRPr="006F1606">
          <w:rPr>
            <w:rStyle w:val="Hyperlink"/>
            <w:color w:val="000000" w:themeColor="text1"/>
            <w:u w:val="none"/>
            <w:lang w:val="en-ZA"/>
          </w:rPr>
          <w:t>2008 ZASCA 95</w:t>
        </w:r>
      </w:hyperlink>
      <w:r w:rsidRPr="006F1606">
        <w:rPr>
          <w:color w:val="000000" w:themeColor="text1"/>
          <w:lang w:val="en-ZA"/>
        </w:rPr>
        <w:t> (16 September 2008)</w:t>
      </w:r>
    </w:p>
  </w:footnote>
  <w:footnote w:id="15">
    <w:p w14:paraId="4D7C3840" w14:textId="77777777" w:rsidR="00C22382" w:rsidRPr="00EF0E3B" w:rsidRDefault="004918D1">
      <w:pPr>
        <w:pStyle w:val="FootnoteText"/>
        <w:rPr>
          <w:color w:val="000000" w:themeColor="text1"/>
          <w:lang w:val="en-US"/>
        </w:rPr>
      </w:pPr>
      <w:r w:rsidRPr="00EF0E3B">
        <w:rPr>
          <w:rStyle w:val="FootnoteReference"/>
          <w:color w:val="000000" w:themeColor="text1"/>
        </w:rPr>
        <w:footnoteRef/>
      </w:r>
      <w:r w:rsidRPr="00EF0E3B">
        <w:rPr>
          <w:color w:val="000000" w:themeColor="text1"/>
        </w:rPr>
        <w:t xml:space="preserve"> </w:t>
      </w:r>
      <w:r w:rsidRPr="006F1606">
        <w:rPr>
          <w:color w:val="000000" w:themeColor="text1"/>
          <w:lang w:val="en-US"/>
        </w:rPr>
        <w:t>2016 JDR 0720 (GP) at 34</w:t>
      </w:r>
    </w:p>
  </w:footnote>
  <w:footnote w:id="16">
    <w:p w14:paraId="3186C365" w14:textId="77777777" w:rsidR="0022613D" w:rsidRPr="0022613D" w:rsidRDefault="004918D1">
      <w:pPr>
        <w:pStyle w:val="FootnoteText"/>
        <w:rPr>
          <w:lang w:val="en-US"/>
        </w:rPr>
      </w:pPr>
      <w:r>
        <w:rPr>
          <w:rStyle w:val="FootnoteReference"/>
        </w:rPr>
        <w:footnoteRef/>
      </w:r>
      <w:r>
        <w:t xml:space="preserve"> </w:t>
      </w:r>
      <w:r w:rsidRPr="0022613D">
        <w:rPr>
          <w:lang w:val="en-ZA"/>
        </w:rPr>
        <w:t xml:space="preserve">In </w:t>
      </w:r>
      <w:r w:rsidRPr="0022613D">
        <w:rPr>
          <w:i/>
          <w:iCs/>
          <w:lang w:val="en-ZA"/>
        </w:rPr>
        <w:t>Rodgers v Passenger Rail Agency of South Africa</w:t>
      </w:r>
      <w:r w:rsidRPr="0022613D">
        <w:rPr>
          <w:i/>
          <w:iCs/>
          <w:vertAlign w:val="superscript"/>
          <w:lang w:val="en-ZA"/>
        </w:rPr>
        <w:t xml:space="preserve"> </w:t>
      </w:r>
      <w:r w:rsidRPr="0022613D">
        <w:rPr>
          <w:lang w:val="en-ZA"/>
        </w:rPr>
        <w:t xml:space="preserve"> 2018 JDR 0347 (GP) at para 14 it was held that “PRASA has an obligation to protect its passenger's bodily integrity and failure to do so attracts liability to compensate for damages suffered as a result thereof.”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C19B" w14:textId="77777777" w:rsidR="000E009C" w:rsidRDefault="000E009C">
    <w:pPr>
      <w:pStyle w:val="Header"/>
      <w:jc w:val="center"/>
    </w:pPr>
  </w:p>
  <w:p w14:paraId="64D02395"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BFEEA1C8">
      <w:start w:val="1"/>
      <w:numFmt w:val="decimal"/>
      <w:lvlText w:val="(%1)"/>
      <w:lvlJc w:val="left"/>
      <w:pPr>
        <w:tabs>
          <w:tab w:val="num" w:pos="900"/>
        </w:tabs>
        <w:ind w:left="900" w:hanging="720"/>
      </w:pPr>
      <w:rPr>
        <w:rFonts w:cs="Times New Roman"/>
      </w:rPr>
    </w:lvl>
    <w:lvl w:ilvl="1" w:tplc="282CA772">
      <w:start w:val="1"/>
      <w:numFmt w:val="lowerLetter"/>
      <w:lvlText w:val="%2."/>
      <w:lvlJc w:val="left"/>
      <w:pPr>
        <w:tabs>
          <w:tab w:val="num" w:pos="1260"/>
        </w:tabs>
        <w:ind w:left="1260" w:hanging="360"/>
      </w:pPr>
      <w:rPr>
        <w:rFonts w:cs="Times New Roman"/>
      </w:rPr>
    </w:lvl>
    <w:lvl w:ilvl="2" w:tplc="2ADA438A">
      <w:start w:val="1"/>
      <w:numFmt w:val="lowerRoman"/>
      <w:lvlText w:val="%3."/>
      <w:lvlJc w:val="right"/>
      <w:pPr>
        <w:tabs>
          <w:tab w:val="num" w:pos="1980"/>
        </w:tabs>
        <w:ind w:left="1980" w:hanging="180"/>
      </w:pPr>
      <w:rPr>
        <w:rFonts w:cs="Times New Roman"/>
      </w:rPr>
    </w:lvl>
    <w:lvl w:ilvl="3" w:tplc="66F40A30">
      <w:start w:val="1"/>
      <w:numFmt w:val="decimal"/>
      <w:lvlText w:val="%4."/>
      <w:lvlJc w:val="left"/>
      <w:pPr>
        <w:tabs>
          <w:tab w:val="num" w:pos="2700"/>
        </w:tabs>
        <w:ind w:left="2700" w:hanging="360"/>
      </w:pPr>
      <w:rPr>
        <w:rFonts w:cs="Times New Roman"/>
      </w:rPr>
    </w:lvl>
    <w:lvl w:ilvl="4" w:tplc="38C687FE">
      <w:start w:val="1"/>
      <w:numFmt w:val="lowerLetter"/>
      <w:lvlText w:val="%5."/>
      <w:lvlJc w:val="left"/>
      <w:pPr>
        <w:tabs>
          <w:tab w:val="num" w:pos="3420"/>
        </w:tabs>
        <w:ind w:left="3420" w:hanging="360"/>
      </w:pPr>
      <w:rPr>
        <w:rFonts w:cs="Times New Roman"/>
      </w:rPr>
    </w:lvl>
    <w:lvl w:ilvl="5" w:tplc="A704B27A">
      <w:start w:val="1"/>
      <w:numFmt w:val="lowerRoman"/>
      <w:lvlText w:val="%6."/>
      <w:lvlJc w:val="right"/>
      <w:pPr>
        <w:tabs>
          <w:tab w:val="num" w:pos="4140"/>
        </w:tabs>
        <w:ind w:left="4140" w:hanging="180"/>
      </w:pPr>
      <w:rPr>
        <w:rFonts w:cs="Times New Roman"/>
      </w:rPr>
    </w:lvl>
    <w:lvl w:ilvl="6" w:tplc="917497C2">
      <w:start w:val="1"/>
      <w:numFmt w:val="decimal"/>
      <w:lvlText w:val="%7."/>
      <w:lvlJc w:val="left"/>
      <w:pPr>
        <w:tabs>
          <w:tab w:val="num" w:pos="4860"/>
        </w:tabs>
        <w:ind w:left="4860" w:hanging="360"/>
      </w:pPr>
      <w:rPr>
        <w:rFonts w:cs="Times New Roman"/>
      </w:rPr>
    </w:lvl>
    <w:lvl w:ilvl="7" w:tplc="51A6C5AE">
      <w:start w:val="1"/>
      <w:numFmt w:val="lowerLetter"/>
      <w:lvlText w:val="%8."/>
      <w:lvlJc w:val="left"/>
      <w:pPr>
        <w:tabs>
          <w:tab w:val="num" w:pos="5580"/>
        </w:tabs>
        <w:ind w:left="5580" w:hanging="360"/>
      </w:pPr>
      <w:rPr>
        <w:rFonts w:cs="Times New Roman"/>
      </w:rPr>
    </w:lvl>
    <w:lvl w:ilvl="8" w:tplc="17E29DF4">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926CC010">
      <w:start w:val="1"/>
      <w:numFmt w:val="lowerRoman"/>
      <w:pStyle w:val="Heading2"/>
      <w:lvlText w:val="(%1)"/>
      <w:lvlJc w:val="left"/>
      <w:pPr>
        <w:ind w:left="1080" w:hanging="720"/>
      </w:pPr>
      <w:rPr>
        <w:rFonts w:hint="default"/>
      </w:rPr>
    </w:lvl>
    <w:lvl w:ilvl="1" w:tplc="DDD27C2C" w:tentative="1">
      <w:start w:val="1"/>
      <w:numFmt w:val="lowerLetter"/>
      <w:lvlText w:val="%2."/>
      <w:lvlJc w:val="left"/>
      <w:pPr>
        <w:ind w:left="1440" w:hanging="360"/>
      </w:pPr>
    </w:lvl>
    <w:lvl w:ilvl="2" w:tplc="325C7EC0" w:tentative="1">
      <w:start w:val="1"/>
      <w:numFmt w:val="lowerRoman"/>
      <w:lvlText w:val="%3."/>
      <w:lvlJc w:val="right"/>
      <w:pPr>
        <w:ind w:left="2160" w:hanging="180"/>
      </w:pPr>
    </w:lvl>
    <w:lvl w:ilvl="3" w:tplc="F59859AE" w:tentative="1">
      <w:start w:val="1"/>
      <w:numFmt w:val="decimal"/>
      <w:lvlText w:val="%4."/>
      <w:lvlJc w:val="left"/>
      <w:pPr>
        <w:ind w:left="2880" w:hanging="360"/>
      </w:pPr>
    </w:lvl>
    <w:lvl w:ilvl="4" w:tplc="EE247CCA" w:tentative="1">
      <w:start w:val="1"/>
      <w:numFmt w:val="lowerLetter"/>
      <w:lvlText w:val="%5."/>
      <w:lvlJc w:val="left"/>
      <w:pPr>
        <w:ind w:left="3600" w:hanging="360"/>
      </w:pPr>
    </w:lvl>
    <w:lvl w:ilvl="5" w:tplc="F866FDDC" w:tentative="1">
      <w:start w:val="1"/>
      <w:numFmt w:val="lowerRoman"/>
      <w:lvlText w:val="%6."/>
      <w:lvlJc w:val="right"/>
      <w:pPr>
        <w:ind w:left="4320" w:hanging="180"/>
      </w:pPr>
    </w:lvl>
    <w:lvl w:ilvl="6" w:tplc="897E14CC" w:tentative="1">
      <w:start w:val="1"/>
      <w:numFmt w:val="decimal"/>
      <w:lvlText w:val="%7."/>
      <w:lvlJc w:val="left"/>
      <w:pPr>
        <w:ind w:left="5040" w:hanging="360"/>
      </w:pPr>
    </w:lvl>
    <w:lvl w:ilvl="7" w:tplc="381289A6" w:tentative="1">
      <w:start w:val="1"/>
      <w:numFmt w:val="lowerLetter"/>
      <w:lvlText w:val="%8."/>
      <w:lvlJc w:val="left"/>
      <w:pPr>
        <w:ind w:left="5760" w:hanging="360"/>
      </w:pPr>
    </w:lvl>
    <w:lvl w:ilvl="8" w:tplc="1D36F9B8" w:tentative="1">
      <w:start w:val="1"/>
      <w:numFmt w:val="lowerRoman"/>
      <w:lvlText w:val="%9."/>
      <w:lvlJc w:val="right"/>
      <w:pPr>
        <w:ind w:left="6480" w:hanging="180"/>
      </w:p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9AF2D3AE">
      <w:start w:val="1"/>
      <w:numFmt w:val="bullet"/>
      <w:pStyle w:val="Heading4"/>
      <w:lvlText w:val=""/>
      <w:lvlJc w:val="left"/>
      <w:pPr>
        <w:ind w:left="360" w:hanging="360"/>
      </w:pPr>
      <w:rPr>
        <w:rFonts w:ascii="Symbol" w:hAnsi="Symbol" w:hint="default"/>
      </w:rPr>
    </w:lvl>
    <w:lvl w:ilvl="1" w:tplc="5A9C8B1C" w:tentative="1">
      <w:start w:val="1"/>
      <w:numFmt w:val="bullet"/>
      <w:lvlText w:val="o"/>
      <w:lvlJc w:val="left"/>
      <w:pPr>
        <w:ind w:left="1080" w:hanging="360"/>
      </w:pPr>
      <w:rPr>
        <w:rFonts w:ascii="Courier New" w:hAnsi="Courier New" w:cs="Courier New" w:hint="default"/>
      </w:rPr>
    </w:lvl>
    <w:lvl w:ilvl="2" w:tplc="4580AAAE" w:tentative="1">
      <w:start w:val="1"/>
      <w:numFmt w:val="bullet"/>
      <w:lvlText w:val=""/>
      <w:lvlJc w:val="left"/>
      <w:pPr>
        <w:ind w:left="1800" w:hanging="360"/>
      </w:pPr>
      <w:rPr>
        <w:rFonts w:ascii="Wingdings" w:hAnsi="Wingdings" w:hint="default"/>
      </w:rPr>
    </w:lvl>
    <w:lvl w:ilvl="3" w:tplc="535EBC7C" w:tentative="1">
      <w:start w:val="1"/>
      <w:numFmt w:val="bullet"/>
      <w:lvlText w:val=""/>
      <w:lvlJc w:val="left"/>
      <w:pPr>
        <w:ind w:left="2520" w:hanging="360"/>
      </w:pPr>
      <w:rPr>
        <w:rFonts w:ascii="Symbol" w:hAnsi="Symbol" w:hint="default"/>
      </w:rPr>
    </w:lvl>
    <w:lvl w:ilvl="4" w:tplc="92B25E30" w:tentative="1">
      <w:start w:val="1"/>
      <w:numFmt w:val="bullet"/>
      <w:lvlText w:val="o"/>
      <w:lvlJc w:val="left"/>
      <w:pPr>
        <w:ind w:left="3240" w:hanging="360"/>
      </w:pPr>
      <w:rPr>
        <w:rFonts w:ascii="Courier New" w:hAnsi="Courier New" w:cs="Courier New" w:hint="default"/>
      </w:rPr>
    </w:lvl>
    <w:lvl w:ilvl="5" w:tplc="ADDE8E18" w:tentative="1">
      <w:start w:val="1"/>
      <w:numFmt w:val="bullet"/>
      <w:lvlText w:val=""/>
      <w:lvlJc w:val="left"/>
      <w:pPr>
        <w:ind w:left="3960" w:hanging="360"/>
      </w:pPr>
      <w:rPr>
        <w:rFonts w:ascii="Wingdings" w:hAnsi="Wingdings" w:hint="default"/>
      </w:rPr>
    </w:lvl>
    <w:lvl w:ilvl="6" w:tplc="BBA2E300" w:tentative="1">
      <w:start w:val="1"/>
      <w:numFmt w:val="bullet"/>
      <w:lvlText w:val=""/>
      <w:lvlJc w:val="left"/>
      <w:pPr>
        <w:ind w:left="4680" w:hanging="360"/>
      </w:pPr>
      <w:rPr>
        <w:rFonts w:ascii="Symbol" w:hAnsi="Symbol" w:hint="default"/>
      </w:rPr>
    </w:lvl>
    <w:lvl w:ilvl="7" w:tplc="1A687C32" w:tentative="1">
      <w:start w:val="1"/>
      <w:numFmt w:val="bullet"/>
      <w:lvlText w:val="o"/>
      <w:lvlJc w:val="left"/>
      <w:pPr>
        <w:ind w:left="5400" w:hanging="360"/>
      </w:pPr>
      <w:rPr>
        <w:rFonts w:ascii="Courier New" w:hAnsi="Courier New" w:cs="Courier New" w:hint="default"/>
      </w:rPr>
    </w:lvl>
    <w:lvl w:ilvl="8" w:tplc="24D44D68"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21DB0"/>
    <w:multiLevelType w:val="hybridMultilevel"/>
    <w:tmpl w:val="CDBC2CB4"/>
    <w:lvl w:ilvl="0" w:tplc="3D6850DC">
      <w:start w:val="1"/>
      <w:numFmt w:val="decimal"/>
      <w:pStyle w:val="ListParagraph"/>
      <w:lvlText w:val="[%1]"/>
      <w:lvlJc w:val="left"/>
      <w:pPr>
        <w:ind w:left="785" w:hanging="360"/>
      </w:pPr>
      <w:rPr>
        <w:rFonts w:hint="default"/>
      </w:rPr>
    </w:lvl>
    <w:lvl w:ilvl="1" w:tplc="691CB3AE">
      <w:start w:val="1"/>
      <w:numFmt w:val="lowerRoman"/>
      <w:lvlText w:val="%2."/>
      <w:lvlJc w:val="right"/>
      <w:pPr>
        <w:ind w:left="1440" w:hanging="360"/>
      </w:pPr>
    </w:lvl>
    <w:lvl w:ilvl="2" w:tplc="C41E7062">
      <w:start w:val="1"/>
      <w:numFmt w:val="lowerLetter"/>
      <w:lvlText w:val="%3."/>
      <w:lvlJc w:val="left"/>
      <w:pPr>
        <w:ind w:left="2160" w:hanging="180"/>
      </w:pPr>
    </w:lvl>
    <w:lvl w:ilvl="3" w:tplc="BD1C80C6" w:tentative="1">
      <w:start w:val="1"/>
      <w:numFmt w:val="decimal"/>
      <w:lvlText w:val="%4."/>
      <w:lvlJc w:val="left"/>
      <w:pPr>
        <w:ind w:left="2880" w:hanging="360"/>
      </w:pPr>
    </w:lvl>
    <w:lvl w:ilvl="4" w:tplc="C6762EE8" w:tentative="1">
      <w:start w:val="1"/>
      <w:numFmt w:val="lowerLetter"/>
      <w:lvlText w:val="%5."/>
      <w:lvlJc w:val="left"/>
      <w:pPr>
        <w:ind w:left="3600" w:hanging="360"/>
      </w:pPr>
    </w:lvl>
    <w:lvl w:ilvl="5" w:tplc="E9E6DD34" w:tentative="1">
      <w:start w:val="1"/>
      <w:numFmt w:val="lowerRoman"/>
      <w:lvlText w:val="%6."/>
      <w:lvlJc w:val="right"/>
      <w:pPr>
        <w:ind w:left="4320" w:hanging="180"/>
      </w:pPr>
    </w:lvl>
    <w:lvl w:ilvl="6" w:tplc="B1104850" w:tentative="1">
      <w:start w:val="1"/>
      <w:numFmt w:val="decimal"/>
      <w:lvlText w:val="%7."/>
      <w:lvlJc w:val="left"/>
      <w:pPr>
        <w:ind w:left="5040" w:hanging="360"/>
      </w:pPr>
    </w:lvl>
    <w:lvl w:ilvl="7" w:tplc="8DDCBAEA" w:tentative="1">
      <w:start w:val="1"/>
      <w:numFmt w:val="lowerLetter"/>
      <w:lvlText w:val="%8."/>
      <w:lvlJc w:val="left"/>
      <w:pPr>
        <w:ind w:left="5760" w:hanging="360"/>
      </w:pPr>
    </w:lvl>
    <w:lvl w:ilvl="8" w:tplc="2ECEED40" w:tentative="1">
      <w:start w:val="1"/>
      <w:numFmt w:val="lowerRoman"/>
      <w:lvlText w:val="%9."/>
      <w:lvlJc w:val="right"/>
      <w:pPr>
        <w:ind w:left="6480" w:hanging="180"/>
      </w:pPr>
    </w:lvl>
  </w:abstractNum>
  <w:abstractNum w:abstractNumId="28"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13"/>
  </w:num>
  <w:num w:numId="5">
    <w:abstractNumId w:val="8"/>
  </w:num>
  <w:num w:numId="6">
    <w:abstractNumId w:val="10"/>
  </w:num>
  <w:num w:numId="7">
    <w:abstractNumId w:val="7"/>
  </w:num>
  <w:num w:numId="8">
    <w:abstractNumId w:val="18"/>
  </w:num>
  <w:num w:numId="9">
    <w:abstractNumId w:val="5"/>
  </w:num>
  <w:num w:numId="10">
    <w:abstractNumId w:val="9"/>
  </w:num>
  <w:num w:numId="11">
    <w:abstractNumId w:val="19"/>
  </w:num>
  <w:num w:numId="12">
    <w:abstractNumId w:val="15"/>
  </w:num>
  <w:num w:numId="13">
    <w:abstractNumId w:val="26"/>
  </w:num>
  <w:num w:numId="14">
    <w:abstractNumId w:val="12"/>
  </w:num>
  <w:num w:numId="15">
    <w:abstractNumId w:val="2"/>
  </w:num>
  <w:num w:numId="16">
    <w:abstractNumId w:val="11"/>
  </w:num>
  <w:num w:numId="17">
    <w:abstractNumId w:val="14"/>
  </w:num>
  <w:num w:numId="18">
    <w:abstractNumId w:val="25"/>
  </w:num>
  <w:num w:numId="19">
    <w:abstractNumId w:val="22"/>
  </w:num>
  <w:num w:numId="20">
    <w:abstractNumId w:val="24"/>
  </w:num>
  <w:num w:numId="21">
    <w:abstractNumId w:val="0"/>
  </w:num>
  <w:num w:numId="22">
    <w:abstractNumId w:val="17"/>
  </w:num>
  <w:num w:numId="23">
    <w:abstractNumId w:val="20"/>
  </w:num>
  <w:num w:numId="24">
    <w:abstractNumId w:val="21"/>
  </w:num>
  <w:num w:numId="25">
    <w:abstractNumId w:val="16"/>
  </w:num>
  <w:num w:numId="26">
    <w:abstractNumId w:val="3"/>
  </w:num>
  <w:num w:numId="27">
    <w:abstractNumId w:val="29"/>
  </w:num>
  <w:num w:numId="28">
    <w:abstractNumId w:val="6"/>
  </w:num>
  <w:num w:numId="29">
    <w:abstractNumId w:val="28"/>
  </w:num>
  <w:num w:numId="30">
    <w:abstractNumId w:val="4"/>
  </w:num>
  <w:num w:numId="31">
    <w:abstractNumId w:val="31"/>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4FB0"/>
    <w:rsid w:val="000150D3"/>
    <w:rsid w:val="000156C4"/>
    <w:rsid w:val="00015828"/>
    <w:rsid w:val="00015AF2"/>
    <w:rsid w:val="00015FFE"/>
    <w:rsid w:val="00016E18"/>
    <w:rsid w:val="000171DB"/>
    <w:rsid w:val="000176C9"/>
    <w:rsid w:val="000179BF"/>
    <w:rsid w:val="000203E2"/>
    <w:rsid w:val="00020B23"/>
    <w:rsid w:val="00021D10"/>
    <w:rsid w:val="00021ECC"/>
    <w:rsid w:val="000220F6"/>
    <w:rsid w:val="0002299D"/>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37E6B"/>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615"/>
    <w:rsid w:val="0006181E"/>
    <w:rsid w:val="00062130"/>
    <w:rsid w:val="00062922"/>
    <w:rsid w:val="0006377B"/>
    <w:rsid w:val="00063C69"/>
    <w:rsid w:val="00064222"/>
    <w:rsid w:val="00064763"/>
    <w:rsid w:val="000649D6"/>
    <w:rsid w:val="00064E5B"/>
    <w:rsid w:val="00065E8F"/>
    <w:rsid w:val="000664E5"/>
    <w:rsid w:val="000676A8"/>
    <w:rsid w:val="00070056"/>
    <w:rsid w:val="0007035B"/>
    <w:rsid w:val="0007071D"/>
    <w:rsid w:val="00070B59"/>
    <w:rsid w:val="00070EB1"/>
    <w:rsid w:val="00072578"/>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944"/>
    <w:rsid w:val="00085CA1"/>
    <w:rsid w:val="0008603D"/>
    <w:rsid w:val="000874CE"/>
    <w:rsid w:val="00087A9C"/>
    <w:rsid w:val="00090049"/>
    <w:rsid w:val="00090328"/>
    <w:rsid w:val="0009046E"/>
    <w:rsid w:val="00091185"/>
    <w:rsid w:val="00091A89"/>
    <w:rsid w:val="00092153"/>
    <w:rsid w:val="0009232A"/>
    <w:rsid w:val="0009290D"/>
    <w:rsid w:val="00094B43"/>
    <w:rsid w:val="000956BC"/>
    <w:rsid w:val="000958FE"/>
    <w:rsid w:val="000961DB"/>
    <w:rsid w:val="00096DAE"/>
    <w:rsid w:val="00096FFF"/>
    <w:rsid w:val="000970A9"/>
    <w:rsid w:val="0009779B"/>
    <w:rsid w:val="0009793C"/>
    <w:rsid w:val="00097F30"/>
    <w:rsid w:val="000A03DD"/>
    <w:rsid w:val="000A0887"/>
    <w:rsid w:val="000A0E23"/>
    <w:rsid w:val="000A0FE8"/>
    <w:rsid w:val="000A1207"/>
    <w:rsid w:val="000A1B72"/>
    <w:rsid w:val="000A213D"/>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C02F7"/>
    <w:rsid w:val="000C0753"/>
    <w:rsid w:val="000C0904"/>
    <w:rsid w:val="000C0ADF"/>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0E5"/>
    <w:rsid w:val="000C6853"/>
    <w:rsid w:val="000C69AB"/>
    <w:rsid w:val="000C6A50"/>
    <w:rsid w:val="000C6AC9"/>
    <w:rsid w:val="000C7964"/>
    <w:rsid w:val="000C7ED3"/>
    <w:rsid w:val="000D085B"/>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2B5F"/>
    <w:rsid w:val="000E39C4"/>
    <w:rsid w:val="000E49A8"/>
    <w:rsid w:val="000E4A8C"/>
    <w:rsid w:val="000E4D1A"/>
    <w:rsid w:val="000E4DD3"/>
    <w:rsid w:val="000E4E88"/>
    <w:rsid w:val="000E5467"/>
    <w:rsid w:val="000E599D"/>
    <w:rsid w:val="000E5E05"/>
    <w:rsid w:val="000E5F0E"/>
    <w:rsid w:val="000E62AF"/>
    <w:rsid w:val="000E7367"/>
    <w:rsid w:val="000E7A00"/>
    <w:rsid w:val="000E7EF8"/>
    <w:rsid w:val="000F020C"/>
    <w:rsid w:val="000F02BD"/>
    <w:rsid w:val="000F209F"/>
    <w:rsid w:val="000F2B61"/>
    <w:rsid w:val="000F382D"/>
    <w:rsid w:val="000F40B7"/>
    <w:rsid w:val="000F40EC"/>
    <w:rsid w:val="000F4953"/>
    <w:rsid w:val="000F5301"/>
    <w:rsid w:val="000F5A1C"/>
    <w:rsid w:val="000F66DD"/>
    <w:rsid w:val="000F680D"/>
    <w:rsid w:val="000F6F37"/>
    <w:rsid w:val="000F7E3B"/>
    <w:rsid w:val="000F7E48"/>
    <w:rsid w:val="00100B12"/>
    <w:rsid w:val="00100C1F"/>
    <w:rsid w:val="00100F2D"/>
    <w:rsid w:val="00101200"/>
    <w:rsid w:val="0010234A"/>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A01"/>
    <w:rsid w:val="00122A26"/>
    <w:rsid w:val="00122AA0"/>
    <w:rsid w:val="00122B9F"/>
    <w:rsid w:val="00122D3B"/>
    <w:rsid w:val="00122EE8"/>
    <w:rsid w:val="00123AF6"/>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5F85"/>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A37"/>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B19"/>
    <w:rsid w:val="00164F9F"/>
    <w:rsid w:val="00166262"/>
    <w:rsid w:val="001662D8"/>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90C"/>
    <w:rsid w:val="00185BF9"/>
    <w:rsid w:val="0018606E"/>
    <w:rsid w:val="0018677F"/>
    <w:rsid w:val="00186C60"/>
    <w:rsid w:val="00186DD7"/>
    <w:rsid w:val="00187295"/>
    <w:rsid w:val="001875A5"/>
    <w:rsid w:val="0018763D"/>
    <w:rsid w:val="00187D7E"/>
    <w:rsid w:val="0019021B"/>
    <w:rsid w:val="0019113E"/>
    <w:rsid w:val="00191A65"/>
    <w:rsid w:val="00191FEC"/>
    <w:rsid w:val="001933C6"/>
    <w:rsid w:val="001933F8"/>
    <w:rsid w:val="00193443"/>
    <w:rsid w:val="001939BF"/>
    <w:rsid w:val="00194A07"/>
    <w:rsid w:val="00194CC3"/>
    <w:rsid w:val="001964FD"/>
    <w:rsid w:val="00196F99"/>
    <w:rsid w:val="00197841"/>
    <w:rsid w:val="001A090F"/>
    <w:rsid w:val="001A164D"/>
    <w:rsid w:val="001A1AF2"/>
    <w:rsid w:val="001A256F"/>
    <w:rsid w:val="001A2AA5"/>
    <w:rsid w:val="001A2B12"/>
    <w:rsid w:val="001A31CC"/>
    <w:rsid w:val="001A32B7"/>
    <w:rsid w:val="001A378D"/>
    <w:rsid w:val="001A3B2C"/>
    <w:rsid w:val="001A417D"/>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864"/>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564D"/>
    <w:rsid w:val="001D6772"/>
    <w:rsid w:val="001D67F1"/>
    <w:rsid w:val="001D7577"/>
    <w:rsid w:val="001D779C"/>
    <w:rsid w:val="001D7828"/>
    <w:rsid w:val="001D7FDC"/>
    <w:rsid w:val="001E1A37"/>
    <w:rsid w:val="001E1B80"/>
    <w:rsid w:val="001E1F9C"/>
    <w:rsid w:val="001E2B6C"/>
    <w:rsid w:val="001E2BFA"/>
    <w:rsid w:val="001E2FEF"/>
    <w:rsid w:val="001E39CE"/>
    <w:rsid w:val="001E4659"/>
    <w:rsid w:val="001E4737"/>
    <w:rsid w:val="001E4C5C"/>
    <w:rsid w:val="001E571B"/>
    <w:rsid w:val="001E59B4"/>
    <w:rsid w:val="001E60BC"/>
    <w:rsid w:val="001E61C5"/>
    <w:rsid w:val="001E6423"/>
    <w:rsid w:val="001E696E"/>
    <w:rsid w:val="001E7386"/>
    <w:rsid w:val="001E746D"/>
    <w:rsid w:val="001E75E8"/>
    <w:rsid w:val="001E7A69"/>
    <w:rsid w:val="001E7D62"/>
    <w:rsid w:val="001F0E03"/>
    <w:rsid w:val="001F1093"/>
    <w:rsid w:val="001F1652"/>
    <w:rsid w:val="001F169D"/>
    <w:rsid w:val="001F1C20"/>
    <w:rsid w:val="001F1C4D"/>
    <w:rsid w:val="001F2AA1"/>
    <w:rsid w:val="001F2E33"/>
    <w:rsid w:val="001F3159"/>
    <w:rsid w:val="001F317C"/>
    <w:rsid w:val="001F31B4"/>
    <w:rsid w:val="001F429F"/>
    <w:rsid w:val="001F42F4"/>
    <w:rsid w:val="001F53B4"/>
    <w:rsid w:val="001F5EAD"/>
    <w:rsid w:val="001F6A6D"/>
    <w:rsid w:val="001F6CC4"/>
    <w:rsid w:val="001F7084"/>
    <w:rsid w:val="001F7AF6"/>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5F8E"/>
    <w:rsid w:val="00206991"/>
    <w:rsid w:val="00206C97"/>
    <w:rsid w:val="00206DB5"/>
    <w:rsid w:val="00207ACE"/>
    <w:rsid w:val="00207C68"/>
    <w:rsid w:val="00207C77"/>
    <w:rsid w:val="0021023C"/>
    <w:rsid w:val="00210730"/>
    <w:rsid w:val="00210D30"/>
    <w:rsid w:val="00211178"/>
    <w:rsid w:val="0021121F"/>
    <w:rsid w:val="0021162E"/>
    <w:rsid w:val="00211776"/>
    <w:rsid w:val="002117D5"/>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613D"/>
    <w:rsid w:val="002268C7"/>
    <w:rsid w:val="0022761F"/>
    <w:rsid w:val="0022794A"/>
    <w:rsid w:val="00227A67"/>
    <w:rsid w:val="00227A76"/>
    <w:rsid w:val="00230074"/>
    <w:rsid w:val="002309DD"/>
    <w:rsid w:val="00230B6F"/>
    <w:rsid w:val="00231029"/>
    <w:rsid w:val="00231210"/>
    <w:rsid w:val="00231BCF"/>
    <w:rsid w:val="0023204A"/>
    <w:rsid w:val="002329D3"/>
    <w:rsid w:val="00232B01"/>
    <w:rsid w:val="00232C3E"/>
    <w:rsid w:val="00232C6A"/>
    <w:rsid w:val="002330E1"/>
    <w:rsid w:val="002333A8"/>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525F"/>
    <w:rsid w:val="00245F4F"/>
    <w:rsid w:val="0024604F"/>
    <w:rsid w:val="002464C8"/>
    <w:rsid w:val="0024660E"/>
    <w:rsid w:val="00246AFF"/>
    <w:rsid w:val="0024763E"/>
    <w:rsid w:val="00247716"/>
    <w:rsid w:val="00247761"/>
    <w:rsid w:val="002478CE"/>
    <w:rsid w:val="002503AB"/>
    <w:rsid w:val="00251021"/>
    <w:rsid w:val="0025195C"/>
    <w:rsid w:val="00251E93"/>
    <w:rsid w:val="00252206"/>
    <w:rsid w:val="00252E1D"/>
    <w:rsid w:val="002533FE"/>
    <w:rsid w:val="00253492"/>
    <w:rsid w:val="002534B1"/>
    <w:rsid w:val="0025398F"/>
    <w:rsid w:val="00253FB7"/>
    <w:rsid w:val="00254721"/>
    <w:rsid w:val="00254819"/>
    <w:rsid w:val="00254995"/>
    <w:rsid w:val="0025519C"/>
    <w:rsid w:val="002555D2"/>
    <w:rsid w:val="00255B62"/>
    <w:rsid w:val="00256340"/>
    <w:rsid w:val="00256C8F"/>
    <w:rsid w:val="0025719A"/>
    <w:rsid w:val="002573B3"/>
    <w:rsid w:val="00257BCD"/>
    <w:rsid w:val="00257BE5"/>
    <w:rsid w:val="00260A42"/>
    <w:rsid w:val="00260C42"/>
    <w:rsid w:val="00260E95"/>
    <w:rsid w:val="002610C4"/>
    <w:rsid w:val="0026249D"/>
    <w:rsid w:val="002626AB"/>
    <w:rsid w:val="00262781"/>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537B"/>
    <w:rsid w:val="0029565D"/>
    <w:rsid w:val="002957C9"/>
    <w:rsid w:val="00295CF6"/>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974"/>
    <w:rsid w:val="002A699E"/>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23"/>
    <w:rsid w:val="002C0BEA"/>
    <w:rsid w:val="002C0FDF"/>
    <w:rsid w:val="002C117A"/>
    <w:rsid w:val="002C1939"/>
    <w:rsid w:val="002C1C08"/>
    <w:rsid w:val="002C1C62"/>
    <w:rsid w:val="002C1ECC"/>
    <w:rsid w:val="002C2149"/>
    <w:rsid w:val="002C288A"/>
    <w:rsid w:val="002C28C6"/>
    <w:rsid w:val="002C2B9A"/>
    <w:rsid w:val="002C37E3"/>
    <w:rsid w:val="002C3C8C"/>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0C98"/>
    <w:rsid w:val="002D1306"/>
    <w:rsid w:val="002D1539"/>
    <w:rsid w:val="002D1BCA"/>
    <w:rsid w:val="002D33EE"/>
    <w:rsid w:val="002D3E36"/>
    <w:rsid w:val="002D4FC2"/>
    <w:rsid w:val="002D50D6"/>
    <w:rsid w:val="002D5B73"/>
    <w:rsid w:val="002D6DA3"/>
    <w:rsid w:val="002D6F91"/>
    <w:rsid w:val="002D760B"/>
    <w:rsid w:val="002D7FE5"/>
    <w:rsid w:val="002E040F"/>
    <w:rsid w:val="002E080F"/>
    <w:rsid w:val="002E0DEE"/>
    <w:rsid w:val="002E0E51"/>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1D88"/>
    <w:rsid w:val="002F216F"/>
    <w:rsid w:val="002F3636"/>
    <w:rsid w:val="002F4264"/>
    <w:rsid w:val="002F5F1D"/>
    <w:rsid w:val="002F65EC"/>
    <w:rsid w:val="002F6A79"/>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2DCB"/>
    <w:rsid w:val="003034E1"/>
    <w:rsid w:val="00303909"/>
    <w:rsid w:val="0030390F"/>
    <w:rsid w:val="0030422C"/>
    <w:rsid w:val="003047B7"/>
    <w:rsid w:val="00304B84"/>
    <w:rsid w:val="00304D89"/>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201"/>
    <w:rsid w:val="00324460"/>
    <w:rsid w:val="0032526F"/>
    <w:rsid w:val="00325448"/>
    <w:rsid w:val="0032653D"/>
    <w:rsid w:val="00326E18"/>
    <w:rsid w:val="00326F07"/>
    <w:rsid w:val="00327114"/>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5CB3"/>
    <w:rsid w:val="003460F9"/>
    <w:rsid w:val="00347214"/>
    <w:rsid w:val="003473FB"/>
    <w:rsid w:val="0034741B"/>
    <w:rsid w:val="003478A2"/>
    <w:rsid w:val="00347E19"/>
    <w:rsid w:val="00347E91"/>
    <w:rsid w:val="00350127"/>
    <w:rsid w:val="00350751"/>
    <w:rsid w:val="003513A2"/>
    <w:rsid w:val="003515C7"/>
    <w:rsid w:val="003517C7"/>
    <w:rsid w:val="00351E4B"/>
    <w:rsid w:val="0035237C"/>
    <w:rsid w:val="0035256C"/>
    <w:rsid w:val="0035318B"/>
    <w:rsid w:val="003531AA"/>
    <w:rsid w:val="00353451"/>
    <w:rsid w:val="00353B52"/>
    <w:rsid w:val="00353C5E"/>
    <w:rsid w:val="00354B9C"/>
    <w:rsid w:val="003552CD"/>
    <w:rsid w:val="00356012"/>
    <w:rsid w:val="00356319"/>
    <w:rsid w:val="00356F80"/>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E6"/>
    <w:rsid w:val="00364536"/>
    <w:rsid w:val="003645E0"/>
    <w:rsid w:val="00364864"/>
    <w:rsid w:val="003649CD"/>
    <w:rsid w:val="00364C2A"/>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DBB"/>
    <w:rsid w:val="0037375E"/>
    <w:rsid w:val="0037379C"/>
    <w:rsid w:val="00373BD3"/>
    <w:rsid w:val="003758C1"/>
    <w:rsid w:val="00375FBD"/>
    <w:rsid w:val="003767B3"/>
    <w:rsid w:val="00376CF4"/>
    <w:rsid w:val="00377B8D"/>
    <w:rsid w:val="00377FDC"/>
    <w:rsid w:val="00381D07"/>
    <w:rsid w:val="0038236A"/>
    <w:rsid w:val="00382CCF"/>
    <w:rsid w:val="00382E58"/>
    <w:rsid w:val="00382F84"/>
    <w:rsid w:val="0038317E"/>
    <w:rsid w:val="003832A4"/>
    <w:rsid w:val="003835CF"/>
    <w:rsid w:val="003846D0"/>
    <w:rsid w:val="00384E67"/>
    <w:rsid w:val="00385087"/>
    <w:rsid w:val="0038522C"/>
    <w:rsid w:val="003858FF"/>
    <w:rsid w:val="00386296"/>
    <w:rsid w:val="00387956"/>
    <w:rsid w:val="003879E3"/>
    <w:rsid w:val="00390A38"/>
    <w:rsid w:val="00390AA1"/>
    <w:rsid w:val="0039103E"/>
    <w:rsid w:val="003911D9"/>
    <w:rsid w:val="00391500"/>
    <w:rsid w:val="00391835"/>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3B1D"/>
    <w:rsid w:val="003A4796"/>
    <w:rsid w:val="003A4CAF"/>
    <w:rsid w:val="003A4E74"/>
    <w:rsid w:val="003A531A"/>
    <w:rsid w:val="003A6E81"/>
    <w:rsid w:val="003A7A57"/>
    <w:rsid w:val="003B0BB2"/>
    <w:rsid w:val="003B0C3A"/>
    <w:rsid w:val="003B12FE"/>
    <w:rsid w:val="003B1590"/>
    <w:rsid w:val="003B15C4"/>
    <w:rsid w:val="003B1E8D"/>
    <w:rsid w:val="003B2313"/>
    <w:rsid w:val="003B240B"/>
    <w:rsid w:val="003B2646"/>
    <w:rsid w:val="003B27FF"/>
    <w:rsid w:val="003B2E9C"/>
    <w:rsid w:val="003B32AD"/>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FEF"/>
    <w:rsid w:val="003C429F"/>
    <w:rsid w:val="003C4A48"/>
    <w:rsid w:val="003C502E"/>
    <w:rsid w:val="003C50E7"/>
    <w:rsid w:val="003C5733"/>
    <w:rsid w:val="003C59B2"/>
    <w:rsid w:val="003C60E4"/>
    <w:rsid w:val="003C67C5"/>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45E4"/>
    <w:rsid w:val="003E4676"/>
    <w:rsid w:val="003E534B"/>
    <w:rsid w:val="003E583D"/>
    <w:rsid w:val="003E5F74"/>
    <w:rsid w:val="003E6276"/>
    <w:rsid w:val="003E6969"/>
    <w:rsid w:val="003E705E"/>
    <w:rsid w:val="003E7884"/>
    <w:rsid w:val="003E79B1"/>
    <w:rsid w:val="003E7CE0"/>
    <w:rsid w:val="003F0A9C"/>
    <w:rsid w:val="003F0D9F"/>
    <w:rsid w:val="003F1064"/>
    <w:rsid w:val="003F131C"/>
    <w:rsid w:val="003F1FB4"/>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566"/>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34DD"/>
    <w:rsid w:val="0042492A"/>
    <w:rsid w:val="004249CB"/>
    <w:rsid w:val="00424C15"/>
    <w:rsid w:val="004251F6"/>
    <w:rsid w:val="0042535C"/>
    <w:rsid w:val="0042572D"/>
    <w:rsid w:val="004258BA"/>
    <w:rsid w:val="004259A6"/>
    <w:rsid w:val="004263F6"/>
    <w:rsid w:val="00426C08"/>
    <w:rsid w:val="004279BA"/>
    <w:rsid w:val="00430E9A"/>
    <w:rsid w:val="00430F1C"/>
    <w:rsid w:val="00431036"/>
    <w:rsid w:val="0043115F"/>
    <w:rsid w:val="004312A0"/>
    <w:rsid w:val="004313C4"/>
    <w:rsid w:val="004318BB"/>
    <w:rsid w:val="00431F9F"/>
    <w:rsid w:val="004327BE"/>
    <w:rsid w:val="00433EAE"/>
    <w:rsid w:val="00434199"/>
    <w:rsid w:val="004343D2"/>
    <w:rsid w:val="004346AA"/>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029"/>
    <w:rsid w:val="00445420"/>
    <w:rsid w:val="00445763"/>
    <w:rsid w:val="00445EEB"/>
    <w:rsid w:val="0044629B"/>
    <w:rsid w:val="00446933"/>
    <w:rsid w:val="00447061"/>
    <w:rsid w:val="00447182"/>
    <w:rsid w:val="00447A70"/>
    <w:rsid w:val="00447D02"/>
    <w:rsid w:val="00447DCA"/>
    <w:rsid w:val="004503B9"/>
    <w:rsid w:val="0045147F"/>
    <w:rsid w:val="00451616"/>
    <w:rsid w:val="0045181C"/>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18D1"/>
    <w:rsid w:val="0049255B"/>
    <w:rsid w:val="00492898"/>
    <w:rsid w:val="00492C00"/>
    <w:rsid w:val="00492F0F"/>
    <w:rsid w:val="004952B8"/>
    <w:rsid w:val="00495A7A"/>
    <w:rsid w:val="0049637A"/>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14D"/>
    <w:rsid w:val="004A7F43"/>
    <w:rsid w:val="004A7FB2"/>
    <w:rsid w:val="004B054A"/>
    <w:rsid w:val="004B0562"/>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A32"/>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568"/>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64E"/>
    <w:rsid w:val="00512839"/>
    <w:rsid w:val="005130A7"/>
    <w:rsid w:val="00513342"/>
    <w:rsid w:val="00514362"/>
    <w:rsid w:val="00514EC9"/>
    <w:rsid w:val="00515777"/>
    <w:rsid w:val="00515918"/>
    <w:rsid w:val="00515A23"/>
    <w:rsid w:val="00515CC4"/>
    <w:rsid w:val="00515F91"/>
    <w:rsid w:val="00516250"/>
    <w:rsid w:val="005165DE"/>
    <w:rsid w:val="0052064F"/>
    <w:rsid w:val="0052191A"/>
    <w:rsid w:val="0052382C"/>
    <w:rsid w:val="00523EEC"/>
    <w:rsid w:val="00524718"/>
    <w:rsid w:val="00524746"/>
    <w:rsid w:val="00524CC4"/>
    <w:rsid w:val="00525DD1"/>
    <w:rsid w:val="00525F03"/>
    <w:rsid w:val="00526511"/>
    <w:rsid w:val="00527084"/>
    <w:rsid w:val="005277B4"/>
    <w:rsid w:val="00527927"/>
    <w:rsid w:val="0053017F"/>
    <w:rsid w:val="00530FD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854"/>
    <w:rsid w:val="00551F73"/>
    <w:rsid w:val="00552301"/>
    <w:rsid w:val="0055269F"/>
    <w:rsid w:val="00553046"/>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1E59"/>
    <w:rsid w:val="0056222E"/>
    <w:rsid w:val="00562528"/>
    <w:rsid w:val="0056324C"/>
    <w:rsid w:val="005647D1"/>
    <w:rsid w:val="00565011"/>
    <w:rsid w:val="0056506E"/>
    <w:rsid w:val="00565EBC"/>
    <w:rsid w:val="0056662F"/>
    <w:rsid w:val="00566C78"/>
    <w:rsid w:val="00566D53"/>
    <w:rsid w:val="0056708A"/>
    <w:rsid w:val="00567242"/>
    <w:rsid w:val="00567755"/>
    <w:rsid w:val="005704E4"/>
    <w:rsid w:val="00570AB7"/>
    <w:rsid w:val="00570C55"/>
    <w:rsid w:val="00570E2C"/>
    <w:rsid w:val="00571964"/>
    <w:rsid w:val="00571BB7"/>
    <w:rsid w:val="00571E22"/>
    <w:rsid w:val="00572CB4"/>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2E23"/>
    <w:rsid w:val="00583542"/>
    <w:rsid w:val="00583B31"/>
    <w:rsid w:val="00583FEE"/>
    <w:rsid w:val="00584380"/>
    <w:rsid w:val="00584A01"/>
    <w:rsid w:val="00584A5C"/>
    <w:rsid w:val="00584DCA"/>
    <w:rsid w:val="00586108"/>
    <w:rsid w:val="00586BF6"/>
    <w:rsid w:val="00586C50"/>
    <w:rsid w:val="00590860"/>
    <w:rsid w:val="00592FE7"/>
    <w:rsid w:val="00593058"/>
    <w:rsid w:val="00593173"/>
    <w:rsid w:val="005931E2"/>
    <w:rsid w:val="005939D5"/>
    <w:rsid w:val="00593E99"/>
    <w:rsid w:val="005941EF"/>
    <w:rsid w:val="00594F48"/>
    <w:rsid w:val="00595A3C"/>
    <w:rsid w:val="005962B0"/>
    <w:rsid w:val="00596491"/>
    <w:rsid w:val="005977F1"/>
    <w:rsid w:val="005A0446"/>
    <w:rsid w:val="005A0590"/>
    <w:rsid w:val="005A09D8"/>
    <w:rsid w:val="005A0C57"/>
    <w:rsid w:val="005A0C98"/>
    <w:rsid w:val="005A1D49"/>
    <w:rsid w:val="005A2FF5"/>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8DD"/>
    <w:rsid w:val="005A7A04"/>
    <w:rsid w:val="005A7C9B"/>
    <w:rsid w:val="005B0B37"/>
    <w:rsid w:val="005B0E94"/>
    <w:rsid w:val="005B18A8"/>
    <w:rsid w:val="005B1A7C"/>
    <w:rsid w:val="005B23C6"/>
    <w:rsid w:val="005B271F"/>
    <w:rsid w:val="005B2964"/>
    <w:rsid w:val="005B2C4B"/>
    <w:rsid w:val="005B3221"/>
    <w:rsid w:val="005B39CB"/>
    <w:rsid w:val="005B404C"/>
    <w:rsid w:val="005B442D"/>
    <w:rsid w:val="005B4660"/>
    <w:rsid w:val="005B485D"/>
    <w:rsid w:val="005B569E"/>
    <w:rsid w:val="005B5859"/>
    <w:rsid w:val="005B5D13"/>
    <w:rsid w:val="005B6275"/>
    <w:rsid w:val="005B7466"/>
    <w:rsid w:val="005B7F13"/>
    <w:rsid w:val="005C0472"/>
    <w:rsid w:val="005C05AE"/>
    <w:rsid w:val="005C113B"/>
    <w:rsid w:val="005C1523"/>
    <w:rsid w:val="005C1882"/>
    <w:rsid w:val="005C18EE"/>
    <w:rsid w:val="005C1E39"/>
    <w:rsid w:val="005C21A6"/>
    <w:rsid w:val="005C22CF"/>
    <w:rsid w:val="005C2AC9"/>
    <w:rsid w:val="005C3156"/>
    <w:rsid w:val="005C3922"/>
    <w:rsid w:val="005C3A0F"/>
    <w:rsid w:val="005C52A2"/>
    <w:rsid w:val="005C58A6"/>
    <w:rsid w:val="005C598D"/>
    <w:rsid w:val="005C5C02"/>
    <w:rsid w:val="005C6D14"/>
    <w:rsid w:val="005C7540"/>
    <w:rsid w:val="005D128F"/>
    <w:rsid w:val="005D15B1"/>
    <w:rsid w:val="005D16CB"/>
    <w:rsid w:val="005D1AB5"/>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DDB"/>
    <w:rsid w:val="005E4FDA"/>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E8E"/>
    <w:rsid w:val="005F2F2D"/>
    <w:rsid w:val="005F4535"/>
    <w:rsid w:val="005F5795"/>
    <w:rsid w:val="005F58D3"/>
    <w:rsid w:val="005F6328"/>
    <w:rsid w:val="005F6347"/>
    <w:rsid w:val="005F72AB"/>
    <w:rsid w:val="005F76B9"/>
    <w:rsid w:val="005F770C"/>
    <w:rsid w:val="006008AE"/>
    <w:rsid w:val="006010A9"/>
    <w:rsid w:val="00602044"/>
    <w:rsid w:val="00602F96"/>
    <w:rsid w:val="0060366A"/>
    <w:rsid w:val="006038D0"/>
    <w:rsid w:val="006043B4"/>
    <w:rsid w:val="006044F8"/>
    <w:rsid w:val="00605B49"/>
    <w:rsid w:val="0060633E"/>
    <w:rsid w:val="0060662C"/>
    <w:rsid w:val="006066C1"/>
    <w:rsid w:val="00606F4C"/>
    <w:rsid w:val="00606FED"/>
    <w:rsid w:val="00607592"/>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6CCC"/>
    <w:rsid w:val="006217FA"/>
    <w:rsid w:val="006225F0"/>
    <w:rsid w:val="00622DB5"/>
    <w:rsid w:val="00623AD0"/>
    <w:rsid w:val="0062486B"/>
    <w:rsid w:val="00624CE5"/>
    <w:rsid w:val="00624DB9"/>
    <w:rsid w:val="00625C02"/>
    <w:rsid w:val="00626415"/>
    <w:rsid w:val="00626ED8"/>
    <w:rsid w:val="00627BC8"/>
    <w:rsid w:val="00627F68"/>
    <w:rsid w:val="00630049"/>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061"/>
    <w:rsid w:val="00646451"/>
    <w:rsid w:val="00646D05"/>
    <w:rsid w:val="0065021B"/>
    <w:rsid w:val="006508B5"/>
    <w:rsid w:val="00650A33"/>
    <w:rsid w:val="00651A12"/>
    <w:rsid w:val="00651BDA"/>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BC4"/>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830"/>
    <w:rsid w:val="00697E5C"/>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762"/>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08BF"/>
    <w:rsid w:val="006C0BD3"/>
    <w:rsid w:val="006C14D2"/>
    <w:rsid w:val="006C1A94"/>
    <w:rsid w:val="006C1FCA"/>
    <w:rsid w:val="006C2359"/>
    <w:rsid w:val="006C24DD"/>
    <w:rsid w:val="006C2C99"/>
    <w:rsid w:val="006C375E"/>
    <w:rsid w:val="006C3A88"/>
    <w:rsid w:val="006C4242"/>
    <w:rsid w:val="006C66BF"/>
    <w:rsid w:val="006C6DAF"/>
    <w:rsid w:val="006C7366"/>
    <w:rsid w:val="006C7FA2"/>
    <w:rsid w:val="006D01D1"/>
    <w:rsid w:val="006D0DE3"/>
    <w:rsid w:val="006D122F"/>
    <w:rsid w:val="006D12E7"/>
    <w:rsid w:val="006D1CA6"/>
    <w:rsid w:val="006D1D47"/>
    <w:rsid w:val="006D23E1"/>
    <w:rsid w:val="006D30E8"/>
    <w:rsid w:val="006D3366"/>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466"/>
    <w:rsid w:val="006E6B8E"/>
    <w:rsid w:val="006E6BFD"/>
    <w:rsid w:val="006E7754"/>
    <w:rsid w:val="006E7883"/>
    <w:rsid w:val="006E7CFC"/>
    <w:rsid w:val="006E7ECB"/>
    <w:rsid w:val="006F00F9"/>
    <w:rsid w:val="006F0CEB"/>
    <w:rsid w:val="006F1589"/>
    <w:rsid w:val="006F1606"/>
    <w:rsid w:val="006F20C3"/>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72"/>
    <w:rsid w:val="00713998"/>
    <w:rsid w:val="00713E3C"/>
    <w:rsid w:val="00714643"/>
    <w:rsid w:val="00714F85"/>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0C9"/>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1DCD"/>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738"/>
    <w:rsid w:val="00737B9F"/>
    <w:rsid w:val="00737E99"/>
    <w:rsid w:val="00741091"/>
    <w:rsid w:val="0074183C"/>
    <w:rsid w:val="007424CB"/>
    <w:rsid w:val="007431E3"/>
    <w:rsid w:val="00743AA8"/>
    <w:rsid w:val="00744E00"/>
    <w:rsid w:val="00744FF0"/>
    <w:rsid w:val="0074571B"/>
    <w:rsid w:val="00745A49"/>
    <w:rsid w:val="00745ADF"/>
    <w:rsid w:val="00745E67"/>
    <w:rsid w:val="00745F17"/>
    <w:rsid w:val="0075002F"/>
    <w:rsid w:val="007503C7"/>
    <w:rsid w:val="0075069A"/>
    <w:rsid w:val="007513FE"/>
    <w:rsid w:val="00752378"/>
    <w:rsid w:val="00752B38"/>
    <w:rsid w:val="00752E4B"/>
    <w:rsid w:val="0075346A"/>
    <w:rsid w:val="00753D7E"/>
    <w:rsid w:val="00753FA6"/>
    <w:rsid w:val="00756057"/>
    <w:rsid w:val="00756202"/>
    <w:rsid w:val="00756225"/>
    <w:rsid w:val="0075638F"/>
    <w:rsid w:val="0076001D"/>
    <w:rsid w:val="00760C1D"/>
    <w:rsid w:val="00761426"/>
    <w:rsid w:val="00761770"/>
    <w:rsid w:val="00761B70"/>
    <w:rsid w:val="00761F23"/>
    <w:rsid w:val="007622A4"/>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785"/>
    <w:rsid w:val="007B59D4"/>
    <w:rsid w:val="007B5A1C"/>
    <w:rsid w:val="007B5A90"/>
    <w:rsid w:val="007B5BB2"/>
    <w:rsid w:val="007B68DE"/>
    <w:rsid w:val="007B705F"/>
    <w:rsid w:val="007B7149"/>
    <w:rsid w:val="007B75DA"/>
    <w:rsid w:val="007B7733"/>
    <w:rsid w:val="007B7E77"/>
    <w:rsid w:val="007C0658"/>
    <w:rsid w:val="007C0734"/>
    <w:rsid w:val="007C0B10"/>
    <w:rsid w:val="007C2260"/>
    <w:rsid w:val="007C25F3"/>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1D08"/>
    <w:rsid w:val="007E295A"/>
    <w:rsid w:val="007E2E11"/>
    <w:rsid w:val="007E359C"/>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36D8"/>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1EFF"/>
    <w:rsid w:val="00813019"/>
    <w:rsid w:val="00813027"/>
    <w:rsid w:val="008135BC"/>
    <w:rsid w:val="00813636"/>
    <w:rsid w:val="0081376A"/>
    <w:rsid w:val="0081399D"/>
    <w:rsid w:val="008148CE"/>
    <w:rsid w:val="00814E3D"/>
    <w:rsid w:val="00814FF0"/>
    <w:rsid w:val="00815291"/>
    <w:rsid w:val="0081567D"/>
    <w:rsid w:val="00815F71"/>
    <w:rsid w:val="00816704"/>
    <w:rsid w:val="00816EDC"/>
    <w:rsid w:val="00817228"/>
    <w:rsid w:val="0082076A"/>
    <w:rsid w:val="00820AC0"/>
    <w:rsid w:val="008211CC"/>
    <w:rsid w:val="0082165E"/>
    <w:rsid w:val="00821CD6"/>
    <w:rsid w:val="00821F20"/>
    <w:rsid w:val="008222B9"/>
    <w:rsid w:val="00822573"/>
    <w:rsid w:val="00822D1E"/>
    <w:rsid w:val="00823857"/>
    <w:rsid w:val="00823AD7"/>
    <w:rsid w:val="00823D9E"/>
    <w:rsid w:val="00823DBE"/>
    <w:rsid w:val="00824678"/>
    <w:rsid w:val="0082495C"/>
    <w:rsid w:val="008253AA"/>
    <w:rsid w:val="008258D7"/>
    <w:rsid w:val="008259EA"/>
    <w:rsid w:val="00825CED"/>
    <w:rsid w:val="00826E02"/>
    <w:rsid w:val="00827747"/>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707D"/>
    <w:rsid w:val="008376F3"/>
    <w:rsid w:val="00837AF0"/>
    <w:rsid w:val="008403A2"/>
    <w:rsid w:val="008406E6"/>
    <w:rsid w:val="0084072C"/>
    <w:rsid w:val="008409AF"/>
    <w:rsid w:val="00840A08"/>
    <w:rsid w:val="00840A65"/>
    <w:rsid w:val="0084112D"/>
    <w:rsid w:val="008413DA"/>
    <w:rsid w:val="00841EEB"/>
    <w:rsid w:val="00843137"/>
    <w:rsid w:val="008436AC"/>
    <w:rsid w:val="00843971"/>
    <w:rsid w:val="0084408A"/>
    <w:rsid w:val="0084437E"/>
    <w:rsid w:val="0084441B"/>
    <w:rsid w:val="008449D9"/>
    <w:rsid w:val="008451AD"/>
    <w:rsid w:val="00845430"/>
    <w:rsid w:val="0084566F"/>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E1C"/>
    <w:rsid w:val="008554B6"/>
    <w:rsid w:val="00855557"/>
    <w:rsid w:val="00855F2F"/>
    <w:rsid w:val="008562F3"/>
    <w:rsid w:val="0085654E"/>
    <w:rsid w:val="00856A76"/>
    <w:rsid w:val="008573D5"/>
    <w:rsid w:val="00857940"/>
    <w:rsid w:val="008608C8"/>
    <w:rsid w:val="00860963"/>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554"/>
    <w:rsid w:val="00875A0C"/>
    <w:rsid w:val="00875DEC"/>
    <w:rsid w:val="00876C80"/>
    <w:rsid w:val="00876F80"/>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46B"/>
    <w:rsid w:val="00884625"/>
    <w:rsid w:val="0088488A"/>
    <w:rsid w:val="00884DFF"/>
    <w:rsid w:val="00885AE1"/>
    <w:rsid w:val="0088618D"/>
    <w:rsid w:val="008862C8"/>
    <w:rsid w:val="008871C8"/>
    <w:rsid w:val="00887C94"/>
    <w:rsid w:val="00887F9D"/>
    <w:rsid w:val="00890C2F"/>
    <w:rsid w:val="0089127A"/>
    <w:rsid w:val="00891679"/>
    <w:rsid w:val="00892214"/>
    <w:rsid w:val="00892426"/>
    <w:rsid w:val="00893C7D"/>
    <w:rsid w:val="00893CD6"/>
    <w:rsid w:val="00893E0F"/>
    <w:rsid w:val="00894515"/>
    <w:rsid w:val="00894A2A"/>
    <w:rsid w:val="00895DDD"/>
    <w:rsid w:val="008963EC"/>
    <w:rsid w:val="008964A5"/>
    <w:rsid w:val="00896A99"/>
    <w:rsid w:val="00897DA5"/>
    <w:rsid w:val="008A0079"/>
    <w:rsid w:val="008A01B6"/>
    <w:rsid w:val="008A0293"/>
    <w:rsid w:val="008A0432"/>
    <w:rsid w:val="008A080B"/>
    <w:rsid w:val="008A0D8A"/>
    <w:rsid w:val="008A0EDC"/>
    <w:rsid w:val="008A1743"/>
    <w:rsid w:val="008A199C"/>
    <w:rsid w:val="008A233C"/>
    <w:rsid w:val="008A2545"/>
    <w:rsid w:val="008A2F79"/>
    <w:rsid w:val="008A3B5D"/>
    <w:rsid w:val="008A3B9A"/>
    <w:rsid w:val="008A42E9"/>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8B2"/>
    <w:rsid w:val="008B39C0"/>
    <w:rsid w:val="008B3AC9"/>
    <w:rsid w:val="008B4184"/>
    <w:rsid w:val="008B4425"/>
    <w:rsid w:val="008B44E3"/>
    <w:rsid w:val="008B47C1"/>
    <w:rsid w:val="008B4928"/>
    <w:rsid w:val="008B4EFE"/>
    <w:rsid w:val="008B5A90"/>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5E9"/>
    <w:rsid w:val="008F7A9B"/>
    <w:rsid w:val="00900240"/>
    <w:rsid w:val="00900559"/>
    <w:rsid w:val="00900E44"/>
    <w:rsid w:val="009012D4"/>
    <w:rsid w:val="009023CF"/>
    <w:rsid w:val="009023E7"/>
    <w:rsid w:val="009025F4"/>
    <w:rsid w:val="009026E0"/>
    <w:rsid w:val="00902771"/>
    <w:rsid w:val="00902D15"/>
    <w:rsid w:val="00903188"/>
    <w:rsid w:val="0090375F"/>
    <w:rsid w:val="00903AA2"/>
    <w:rsid w:val="00903B0C"/>
    <w:rsid w:val="00904257"/>
    <w:rsid w:val="00904277"/>
    <w:rsid w:val="009046B3"/>
    <w:rsid w:val="00905530"/>
    <w:rsid w:val="009058B9"/>
    <w:rsid w:val="009062EA"/>
    <w:rsid w:val="00906BC0"/>
    <w:rsid w:val="00906F03"/>
    <w:rsid w:val="00907004"/>
    <w:rsid w:val="00907526"/>
    <w:rsid w:val="0091053B"/>
    <w:rsid w:val="0091054D"/>
    <w:rsid w:val="009111C9"/>
    <w:rsid w:val="00911306"/>
    <w:rsid w:val="00911B6F"/>
    <w:rsid w:val="009124BE"/>
    <w:rsid w:val="00912E6A"/>
    <w:rsid w:val="009131DD"/>
    <w:rsid w:val="00914204"/>
    <w:rsid w:val="00914645"/>
    <w:rsid w:val="009146AA"/>
    <w:rsid w:val="009147AD"/>
    <w:rsid w:val="009149B9"/>
    <w:rsid w:val="00915462"/>
    <w:rsid w:val="009156E2"/>
    <w:rsid w:val="009157DB"/>
    <w:rsid w:val="0091668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4E7"/>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134"/>
    <w:rsid w:val="009515A7"/>
    <w:rsid w:val="009515DF"/>
    <w:rsid w:val="00951885"/>
    <w:rsid w:val="009519B1"/>
    <w:rsid w:val="00951B23"/>
    <w:rsid w:val="00951B82"/>
    <w:rsid w:val="00951F54"/>
    <w:rsid w:val="00952C09"/>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577F7"/>
    <w:rsid w:val="0096012C"/>
    <w:rsid w:val="00960F48"/>
    <w:rsid w:val="00961B6F"/>
    <w:rsid w:val="00961F5A"/>
    <w:rsid w:val="009622D2"/>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402"/>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19F"/>
    <w:rsid w:val="00982232"/>
    <w:rsid w:val="00982426"/>
    <w:rsid w:val="00982479"/>
    <w:rsid w:val="00982AA1"/>
    <w:rsid w:val="0098341B"/>
    <w:rsid w:val="0098527A"/>
    <w:rsid w:val="009852C5"/>
    <w:rsid w:val="0098598C"/>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556"/>
    <w:rsid w:val="009A6A5C"/>
    <w:rsid w:val="009A6B59"/>
    <w:rsid w:val="009A6F02"/>
    <w:rsid w:val="009A75A3"/>
    <w:rsid w:val="009B11E7"/>
    <w:rsid w:val="009B179F"/>
    <w:rsid w:val="009B195B"/>
    <w:rsid w:val="009B1E54"/>
    <w:rsid w:val="009B1EA1"/>
    <w:rsid w:val="009B2AAE"/>
    <w:rsid w:val="009B2C03"/>
    <w:rsid w:val="009B3067"/>
    <w:rsid w:val="009B3399"/>
    <w:rsid w:val="009B3690"/>
    <w:rsid w:val="009B5AB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1DF4"/>
    <w:rsid w:val="009E22D1"/>
    <w:rsid w:val="009E2D4C"/>
    <w:rsid w:val="009E3654"/>
    <w:rsid w:val="009E365D"/>
    <w:rsid w:val="009E3881"/>
    <w:rsid w:val="009E3ED2"/>
    <w:rsid w:val="009E410E"/>
    <w:rsid w:val="009E433D"/>
    <w:rsid w:val="009E454F"/>
    <w:rsid w:val="009E4BB1"/>
    <w:rsid w:val="009E51C3"/>
    <w:rsid w:val="009E53FF"/>
    <w:rsid w:val="009E55B8"/>
    <w:rsid w:val="009E5EEB"/>
    <w:rsid w:val="009E5FCC"/>
    <w:rsid w:val="009E6D0F"/>
    <w:rsid w:val="009E7C18"/>
    <w:rsid w:val="009F01E5"/>
    <w:rsid w:val="009F0221"/>
    <w:rsid w:val="009F12A8"/>
    <w:rsid w:val="009F14EF"/>
    <w:rsid w:val="009F233A"/>
    <w:rsid w:val="009F3121"/>
    <w:rsid w:val="009F397E"/>
    <w:rsid w:val="009F39A1"/>
    <w:rsid w:val="009F3A0B"/>
    <w:rsid w:val="009F3C64"/>
    <w:rsid w:val="009F4536"/>
    <w:rsid w:val="009F5B19"/>
    <w:rsid w:val="009F71D8"/>
    <w:rsid w:val="00A0035C"/>
    <w:rsid w:val="00A00860"/>
    <w:rsid w:val="00A0089B"/>
    <w:rsid w:val="00A00BC6"/>
    <w:rsid w:val="00A00CD8"/>
    <w:rsid w:val="00A01150"/>
    <w:rsid w:val="00A01A42"/>
    <w:rsid w:val="00A01A50"/>
    <w:rsid w:val="00A02448"/>
    <w:rsid w:val="00A026EA"/>
    <w:rsid w:val="00A032B3"/>
    <w:rsid w:val="00A037C9"/>
    <w:rsid w:val="00A03A2C"/>
    <w:rsid w:val="00A04A14"/>
    <w:rsid w:val="00A04F38"/>
    <w:rsid w:val="00A0535B"/>
    <w:rsid w:val="00A05838"/>
    <w:rsid w:val="00A10119"/>
    <w:rsid w:val="00A103C9"/>
    <w:rsid w:val="00A118EE"/>
    <w:rsid w:val="00A12C61"/>
    <w:rsid w:val="00A14016"/>
    <w:rsid w:val="00A14B5C"/>
    <w:rsid w:val="00A15373"/>
    <w:rsid w:val="00A156D4"/>
    <w:rsid w:val="00A16808"/>
    <w:rsid w:val="00A16AC7"/>
    <w:rsid w:val="00A16AFB"/>
    <w:rsid w:val="00A17BE4"/>
    <w:rsid w:val="00A2083F"/>
    <w:rsid w:val="00A2172C"/>
    <w:rsid w:val="00A21990"/>
    <w:rsid w:val="00A2199D"/>
    <w:rsid w:val="00A21AD0"/>
    <w:rsid w:val="00A21D10"/>
    <w:rsid w:val="00A21E28"/>
    <w:rsid w:val="00A21F97"/>
    <w:rsid w:val="00A21FF0"/>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5F2"/>
    <w:rsid w:val="00A31D3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ACB"/>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6DC"/>
    <w:rsid w:val="00A60C2B"/>
    <w:rsid w:val="00A617C5"/>
    <w:rsid w:val="00A63B5D"/>
    <w:rsid w:val="00A63B87"/>
    <w:rsid w:val="00A65B37"/>
    <w:rsid w:val="00A65F4B"/>
    <w:rsid w:val="00A66064"/>
    <w:rsid w:val="00A66AA6"/>
    <w:rsid w:val="00A67AB7"/>
    <w:rsid w:val="00A67D95"/>
    <w:rsid w:val="00A70939"/>
    <w:rsid w:val="00A71042"/>
    <w:rsid w:val="00A71594"/>
    <w:rsid w:val="00A7213A"/>
    <w:rsid w:val="00A722EE"/>
    <w:rsid w:val="00A72827"/>
    <w:rsid w:val="00A72F62"/>
    <w:rsid w:val="00A731DD"/>
    <w:rsid w:val="00A73869"/>
    <w:rsid w:val="00A74D18"/>
    <w:rsid w:val="00A74FBC"/>
    <w:rsid w:val="00A74FED"/>
    <w:rsid w:val="00A75311"/>
    <w:rsid w:val="00A7560A"/>
    <w:rsid w:val="00A75A3C"/>
    <w:rsid w:val="00A75A90"/>
    <w:rsid w:val="00A768CB"/>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1B4"/>
    <w:rsid w:val="00A93759"/>
    <w:rsid w:val="00A93B03"/>
    <w:rsid w:val="00A93E09"/>
    <w:rsid w:val="00A93F66"/>
    <w:rsid w:val="00A9421C"/>
    <w:rsid w:val="00A948F8"/>
    <w:rsid w:val="00A94CBE"/>
    <w:rsid w:val="00A9619A"/>
    <w:rsid w:val="00A96C68"/>
    <w:rsid w:val="00A96E8D"/>
    <w:rsid w:val="00A97627"/>
    <w:rsid w:val="00A97913"/>
    <w:rsid w:val="00AA0E84"/>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1EC9"/>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345"/>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3783"/>
    <w:rsid w:val="00AD40AA"/>
    <w:rsid w:val="00AD429E"/>
    <w:rsid w:val="00AD520B"/>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5D5E"/>
    <w:rsid w:val="00AE6CE0"/>
    <w:rsid w:val="00AE7276"/>
    <w:rsid w:val="00AE72E5"/>
    <w:rsid w:val="00AE749E"/>
    <w:rsid w:val="00AE756E"/>
    <w:rsid w:val="00AF0909"/>
    <w:rsid w:val="00AF0910"/>
    <w:rsid w:val="00AF0F0D"/>
    <w:rsid w:val="00AF108C"/>
    <w:rsid w:val="00AF1132"/>
    <w:rsid w:val="00AF1F58"/>
    <w:rsid w:val="00AF22B8"/>
    <w:rsid w:val="00AF2539"/>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147"/>
    <w:rsid w:val="00B13295"/>
    <w:rsid w:val="00B132F9"/>
    <w:rsid w:val="00B13350"/>
    <w:rsid w:val="00B13372"/>
    <w:rsid w:val="00B135BA"/>
    <w:rsid w:val="00B141D9"/>
    <w:rsid w:val="00B14397"/>
    <w:rsid w:val="00B15238"/>
    <w:rsid w:val="00B1535F"/>
    <w:rsid w:val="00B153EA"/>
    <w:rsid w:val="00B154B4"/>
    <w:rsid w:val="00B156EB"/>
    <w:rsid w:val="00B16070"/>
    <w:rsid w:val="00B161A4"/>
    <w:rsid w:val="00B171DC"/>
    <w:rsid w:val="00B17625"/>
    <w:rsid w:val="00B17BC2"/>
    <w:rsid w:val="00B2159F"/>
    <w:rsid w:val="00B22812"/>
    <w:rsid w:val="00B22A5D"/>
    <w:rsid w:val="00B235C8"/>
    <w:rsid w:val="00B23EEE"/>
    <w:rsid w:val="00B24099"/>
    <w:rsid w:val="00B245F7"/>
    <w:rsid w:val="00B25456"/>
    <w:rsid w:val="00B2547F"/>
    <w:rsid w:val="00B25D54"/>
    <w:rsid w:val="00B279BE"/>
    <w:rsid w:val="00B27C6F"/>
    <w:rsid w:val="00B30021"/>
    <w:rsid w:val="00B31348"/>
    <w:rsid w:val="00B3155A"/>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F8B"/>
    <w:rsid w:val="00B43E19"/>
    <w:rsid w:val="00B43EDB"/>
    <w:rsid w:val="00B44107"/>
    <w:rsid w:val="00B44A91"/>
    <w:rsid w:val="00B44BFE"/>
    <w:rsid w:val="00B44D6C"/>
    <w:rsid w:val="00B451C1"/>
    <w:rsid w:val="00B45715"/>
    <w:rsid w:val="00B465C8"/>
    <w:rsid w:val="00B466D7"/>
    <w:rsid w:val="00B46A88"/>
    <w:rsid w:val="00B4792A"/>
    <w:rsid w:val="00B503DB"/>
    <w:rsid w:val="00B505F7"/>
    <w:rsid w:val="00B51560"/>
    <w:rsid w:val="00B51E24"/>
    <w:rsid w:val="00B520EE"/>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21"/>
    <w:rsid w:val="00B6443C"/>
    <w:rsid w:val="00B64A18"/>
    <w:rsid w:val="00B64F79"/>
    <w:rsid w:val="00B65FEC"/>
    <w:rsid w:val="00B67086"/>
    <w:rsid w:val="00B67191"/>
    <w:rsid w:val="00B67332"/>
    <w:rsid w:val="00B676E9"/>
    <w:rsid w:val="00B67737"/>
    <w:rsid w:val="00B67A42"/>
    <w:rsid w:val="00B67F05"/>
    <w:rsid w:val="00B70AE6"/>
    <w:rsid w:val="00B70DFD"/>
    <w:rsid w:val="00B712FA"/>
    <w:rsid w:val="00B7186B"/>
    <w:rsid w:val="00B72046"/>
    <w:rsid w:val="00B720B9"/>
    <w:rsid w:val="00B72594"/>
    <w:rsid w:val="00B7337A"/>
    <w:rsid w:val="00B7378E"/>
    <w:rsid w:val="00B73C7F"/>
    <w:rsid w:val="00B745FE"/>
    <w:rsid w:val="00B74829"/>
    <w:rsid w:val="00B769F6"/>
    <w:rsid w:val="00B76D20"/>
    <w:rsid w:val="00B76E1F"/>
    <w:rsid w:val="00B7783F"/>
    <w:rsid w:val="00B778A3"/>
    <w:rsid w:val="00B8002C"/>
    <w:rsid w:val="00B808B8"/>
    <w:rsid w:val="00B808C3"/>
    <w:rsid w:val="00B81235"/>
    <w:rsid w:val="00B814C7"/>
    <w:rsid w:val="00B8188E"/>
    <w:rsid w:val="00B8225E"/>
    <w:rsid w:val="00B82E10"/>
    <w:rsid w:val="00B833FD"/>
    <w:rsid w:val="00B83E99"/>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293"/>
    <w:rsid w:val="00BA1301"/>
    <w:rsid w:val="00BA1F10"/>
    <w:rsid w:val="00BA2018"/>
    <w:rsid w:val="00BA252E"/>
    <w:rsid w:val="00BA2622"/>
    <w:rsid w:val="00BA2BC7"/>
    <w:rsid w:val="00BA316A"/>
    <w:rsid w:val="00BA335B"/>
    <w:rsid w:val="00BA3E01"/>
    <w:rsid w:val="00BA3E9C"/>
    <w:rsid w:val="00BA47B2"/>
    <w:rsid w:val="00BA5DB2"/>
    <w:rsid w:val="00BA62E9"/>
    <w:rsid w:val="00BA6CBA"/>
    <w:rsid w:val="00BA71ED"/>
    <w:rsid w:val="00BA73A2"/>
    <w:rsid w:val="00BA760F"/>
    <w:rsid w:val="00BA7D4A"/>
    <w:rsid w:val="00BB0001"/>
    <w:rsid w:val="00BB0165"/>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B63"/>
    <w:rsid w:val="00BF1CAB"/>
    <w:rsid w:val="00BF207B"/>
    <w:rsid w:val="00BF257C"/>
    <w:rsid w:val="00BF2A8A"/>
    <w:rsid w:val="00BF2BBE"/>
    <w:rsid w:val="00BF311B"/>
    <w:rsid w:val="00BF3300"/>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5559"/>
    <w:rsid w:val="00C065B3"/>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9E6"/>
    <w:rsid w:val="00C21880"/>
    <w:rsid w:val="00C2202C"/>
    <w:rsid w:val="00C220CB"/>
    <w:rsid w:val="00C22382"/>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0AA2"/>
    <w:rsid w:val="00C31471"/>
    <w:rsid w:val="00C32590"/>
    <w:rsid w:val="00C3263D"/>
    <w:rsid w:val="00C32F9C"/>
    <w:rsid w:val="00C337D4"/>
    <w:rsid w:val="00C338B8"/>
    <w:rsid w:val="00C33C9C"/>
    <w:rsid w:val="00C33EFD"/>
    <w:rsid w:val="00C3402D"/>
    <w:rsid w:val="00C3443A"/>
    <w:rsid w:val="00C344EF"/>
    <w:rsid w:val="00C3487B"/>
    <w:rsid w:val="00C34BF0"/>
    <w:rsid w:val="00C353B0"/>
    <w:rsid w:val="00C35405"/>
    <w:rsid w:val="00C35466"/>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5688"/>
    <w:rsid w:val="00C46144"/>
    <w:rsid w:val="00C464AE"/>
    <w:rsid w:val="00C46707"/>
    <w:rsid w:val="00C46D9C"/>
    <w:rsid w:val="00C47971"/>
    <w:rsid w:val="00C50791"/>
    <w:rsid w:val="00C50893"/>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1043"/>
    <w:rsid w:val="00C623B2"/>
    <w:rsid w:val="00C623FA"/>
    <w:rsid w:val="00C62472"/>
    <w:rsid w:val="00C62CE8"/>
    <w:rsid w:val="00C643E5"/>
    <w:rsid w:val="00C6479D"/>
    <w:rsid w:val="00C648B0"/>
    <w:rsid w:val="00C64DA1"/>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3006"/>
    <w:rsid w:val="00C740D1"/>
    <w:rsid w:val="00C741B9"/>
    <w:rsid w:val="00C74670"/>
    <w:rsid w:val="00C74805"/>
    <w:rsid w:val="00C7485D"/>
    <w:rsid w:val="00C74C16"/>
    <w:rsid w:val="00C7501C"/>
    <w:rsid w:val="00C7633A"/>
    <w:rsid w:val="00C7661B"/>
    <w:rsid w:val="00C77100"/>
    <w:rsid w:val="00C77117"/>
    <w:rsid w:val="00C77C6A"/>
    <w:rsid w:val="00C8048B"/>
    <w:rsid w:val="00C81DEC"/>
    <w:rsid w:val="00C821B3"/>
    <w:rsid w:val="00C8287D"/>
    <w:rsid w:val="00C8388E"/>
    <w:rsid w:val="00C8420A"/>
    <w:rsid w:val="00C8447C"/>
    <w:rsid w:val="00C85236"/>
    <w:rsid w:val="00C854B1"/>
    <w:rsid w:val="00C85D57"/>
    <w:rsid w:val="00C86226"/>
    <w:rsid w:val="00C86FBF"/>
    <w:rsid w:val="00C875D1"/>
    <w:rsid w:val="00C87FF6"/>
    <w:rsid w:val="00C900A7"/>
    <w:rsid w:val="00C90309"/>
    <w:rsid w:val="00C90A63"/>
    <w:rsid w:val="00C912AC"/>
    <w:rsid w:val="00C92732"/>
    <w:rsid w:val="00C9368F"/>
    <w:rsid w:val="00C937C7"/>
    <w:rsid w:val="00C93EC5"/>
    <w:rsid w:val="00C95080"/>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56D"/>
    <w:rsid w:val="00CA505B"/>
    <w:rsid w:val="00CA51C2"/>
    <w:rsid w:val="00CA56FF"/>
    <w:rsid w:val="00CA6F65"/>
    <w:rsid w:val="00CA7B55"/>
    <w:rsid w:val="00CB036F"/>
    <w:rsid w:val="00CB075F"/>
    <w:rsid w:val="00CB192F"/>
    <w:rsid w:val="00CB26E0"/>
    <w:rsid w:val="00CB2AF8"/>
    <w:rsid w:val="00CB2B1A"/>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269"/>
    <w:rsid w:val="00CC1387"/>
    <w:rsid w:val="00CC144C"/>
    <w:rsid w:val="00CC148A"/>
    <w:rsid w:val="00CC2105"/>
    <w:rsid w:val="00CC2946"/>
    <w:rsid w:val="00CC2FA4"/>
    <w:rsid w:val="00CC325E"/>
    <w:rsid w:val="00CC42F6"/>
    <w:rsid w:val="00CC469C"/>
    <w:rsid w:val="00CC4A02"/>
    <w:rsid w:val="00CC4DC0"/>
    <w:rsid w:val="00CC4FE4"/>
    <w:rsid w:val="00CC558E"/>
    <w:rsid w:val="00CC5CC6"/>
    <w:rsid w:val="00CC5D2C"/>
    <w:rsid w:val="00CC5E3D"/>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824"/>
    <w:rsid w:val="00CD4949"/>
    <w:rsid w:val="00CD4DAE"/>
    <w:rsid w:val="00CD5056"/>
    <w:rsid w:val="00CD5EF2"/>
    <w:rsid w:val="00CD60D5"/>
    <w:rsid w:val="00CD6213"/>
    <w:rsid w:val="00CD6926"/>
    <w:rsid w:val="00CD7186"/>
    <w:rsid w:val="00CE2887"/>
    <w:rsid w:val="00CE3745"/>
    <w:rsid w:val="00CE3E81"/>
    <w:rsid w:val="00CE4B0A"/>
    <w:rsid w:val="00CE4D8F"/>
    <w:rsid w:val="00CE5D0C"/>
    <w:rsid w:val="00CE7762"/>
    <w:rsid w:val="00CE7D3E"/>
    <w:rsid w:val="00CF055D"/>
    <w:rsid w:val="00CF07B5"/>
    <w:rsid w:val="00CF2231"/>
    <w:rsid w:val="00CF27CE"/>
    <w:rsid w:val="00CF2A71"/>
    <w:rsid w:val="00CF2FBF"/>
    <w:rsid w:val="00CF303D"/>
    <w:rsid w:val="00CF3699"/>
    <w:rsid w:val="00CF3DD0"/>
    <w:rsid w:val="00CF45B0"/>
    <w:rsid w:val="00CF46EA"/>
    <w:rsid w:val="00CF4E1A"/>
    <w:rsid w:val="00CF518C"/>
    <w:rsid w:val="00CF5A3E"/>
    <w:rsid w:val="00CF64B4"/>
    <w:rsid w:val="00CF6AC2"/>
    <w:rsid w:val="00CF73C8"/>
    <w:rsid w:val="00CF7942"/>
    <w:rsid w:val="00D000EC"/>
    <w:rsid w:val="00D006B1"/>
    <w:rsid w:val="00D0096B"/>
    <w:rsid w:val="00D00991"/>
    <w:rsid w:val="00D01C44"/>
    <w:rsid w:val="00D02478"/>
    <w:rsid w:val="00D025DF"/>
    <w:rsid w:val="00D0289E"/>
    <w:rsid w:val="00D03F51"/>
    <w:rsid w:val="00D04499"/>
    <w:rsid w:val="00D04C0D"/>
    <w:rsid w:val="00D04E69"/>
    <w:rsid w:val="00D04FBC"/>
    <w:rsid w:val="00D05901"/>
    <w:rsid w:val="00D05C51"/>
    <w:rsid w:val="00D05C6A"/>
    <w:rsid w:val="00D060BB"/>
    <w:rsid w:val="00D062BB"/>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3C9"/>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1F0"/>
    <w:rsid w:val="00D362BD"/>
    <w:rsid w:val="00D36835"/>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6EB6"/>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6757A"/>
    <w:rsid w:val="00D70821"/>
    <w:rsid w:val="00D70922"/>
    <w:rsid w:val="00D70F2A"/>
    <w:rsid w:val="00D713BE"/>
    <w:rsid w:val="00D71FAA"/>
    <w:rsid w:val="00D7220E"/>
    <w:rsid w:val="00D724E1"/>
    <w:rsid w:val="00D72B25"/>
    <w:rsid w:val="00D72C0C"/>
    <w:rsid w:val="00D72C27"/>
    <w:rsid w:val="00D732E4"/>
    <w:rsid w:val="00D744D2"/>
    <w:rsid w:val="00D74640"/>
    <w:rsid w:val="00D74649"/>
    <w:rsid w:val="00D74BD5"/>
    <w:rsid w:val="00D7518C"/>
    <w:rsid w:val="00D75831"/>
    <w:rsid w:val="00D75A13"/>
    <w:rsid w:val="00D75E9C"/>
    <w:rsid w:val="00D7612B"/>
    <w:rsid w:val="00D7764F"/>
    <w:rsid w:val="00D77A43"/>
    <w:rsid w:val="00D77D08"/>
    <w:rsid w:val="00D80193"/>
    <w:rsid w:val="00D805F8"/>
    <w:rsid w:val="00D8072C"/>
    <w:rsid w:val="00D808D8"/>
    <w:rsid w:val="00D81668"/>
    <w:rsid w:val="00D831A4"/>
    <w:rsid w:val="00D83460"/>
    <w:rsid w:val="00D836D9"/>
    <w:rsid w:val="00D83AD5"/>
    <w:rsid w:val="00D852E9"/>
    <w:rsid w:val="00D85BA4"/>
    <w:rsid w:val="00D85DC2"/>
    <w:rsid w:val="00D8689E"/>
    <w:rsid w:val="00D872E6"/>
    <w:rsid w:val="00D87561"/>
    <w:rsid w:val="00D87E89"/>
    <w:rsid w:val="00D9032E"/>
    <w:rsid w:val="00D90F8C"/>
    <w:rsid w:val="00D91ED0"/>
    <w:rsid w:val="00D922CA"/>
    <w:rsid w:val="00D923F8"/>
    <w:rsid w:val="00D926B6"/>
    <w:rsid w:val="00D92EF7"/>
    <w:rsid w:val="00D93473"/>
    <w:rsid w:val="00D93AE7"/>
    <w:rsid w:val="00D93D66"/>
    <w:rsid w:val="00D943BA"/>
    <w:rsid w:val="00D94A64"/>
    <w:rsid w:val="00D957A8"/>
    <w:rsid w:val="00D957E7"/>
    <w:rsid w:val="00D9588B"/>
    <w:rsid w:val="00D95951"/>
    <w:rsid w:val="00D96073"/>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673"/>
    <w:rsid w:val="00DB1790"/>
    <w:rsid w:val="00DB24FE"/>
    <w:rsid w:val="00DB26E2"/>
    <w:rsid w:val="00DB27EA"/>
    <w:rsid w:val="00DB2FDC"/>
    <w:rsid w:val="00DB395E"/>
    <w:rsid w:val="00DB3C96"/>
    <w:rsid w:val="00DB4195"/>
    <w:rsid w:val="00DB4248"/>
    <w:rsid w:val="00DB4D0C"/>
    <w:rsid w:val="00DB5143"/>
    <w:rsid w:val="00DB5220"/>
    <w:rsid w:val="00DB55F1"/>
    <w:rsid w:val="00DB5A9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397"/>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5189"/>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006"/>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E7C"/>
    <w:rsid w:val="00E33CEE"/>
    <w:rsid w:val="00E36042"/>
    <w:rsid w:val="00E360B3"/>
    <w:rsid w:val="00E369AA"/>
    <w:rsid w:val="00E373A7"/>
    <w:rsid w:val="00E37FBB"/>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DC7"/>
    <w:rsid w:val="00E44FCB"/>
    <w:rsid w:val="00E45953"/>
    <w:rsid w:val="00E45C52"/>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3A"/>
    <w:rsid w:val="00E56A66"/>
    <w:rsid w:val="00E57DF4"/>
    <w:rsid w:val="00E600FC"/>
    <w:rsid w:val="00E607C9"/>
    <w:rsid w:val="00E60DA5"/>
    <w:rsid w:val="00E61879"/>
    <w:rsid w:val="00E619F6"/>
    <w:rsid w:val="00E61D89"/>
    <w:rsid w:val="00E61DAF"/>
    <w:rsid w:val="00E61E3E"/>
    <w:rsid w:val="00E62981"/>
    <w:rsid w:val="00E62F55"/>
    <w:rsid w:val="00E630F2"/>
    <w:rsid w:val="00E63807"/>
    <w:rsid w:val="00E63DC1"/>
    <w:rsid w:val="00E63EAB"/>
    <w:rsid w:val="00E64268"/>
    <w:rsid w:val="00E65208"/>
    <w:rsid w:val="00E66475"/>
    <w:rsid w:val="00E66488"/>
    <w:rsid w:val="00E665FF"/>
    <w:rsid w:val="00E66A18"/>
    <w:rsid w:val="00E67634"/>
    <w:rsid w:val="00E677C7"/>
    <w:rsid w:val="00E6798F"/>
    <w:rsid w:val="00E70255"/>
    <w:rsid w:val="00E703A8"/>
    <w:rsid w:val="00E70C46"/>
    <w:rsid w:val="00E720A1"/>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A5"/>
    <w:rsid w:val="00E82FCC"/>
    <w:rsid w:val="00E846EA"/>
    <w:rsid w:val="00E8471C"/>
    <w:rsid w:val="00E84799"/>
    <w:rsid w:val="00E84B05"/>
    <w:rsid w:val="00E84DEE"/>
    <w:rsid w:val="00E85962"/>
    <w:rsid w:val="00E86644"/>
    <w:rsid w:val="00E86668"/>
    <w:rsid w:val="00E866CA"/>
    <w:rsid w:val="00E87183"/>
    <w:rsid w:val="00E8732E"/>
    <w:rsid w:val="00E87F8A"/>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97AB4"/>
    <w:rsid w:val="00EA03D7"/>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C04AC"/>
    <w:rsid w:val="00EC0B99"/>
    <w:rsid w:val="00EC0FC6"/>
    <w:rsid w:val="00EC19E2"/>
    <w:rsid w:val="00EC277D"/>
    <w:rsid w:val="00EC2B15"/>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09D8"/>
    <w:rsid w:val="00EE1A2A"/>
    <w:rsid w:val="00EE1B88"/>
    <w:rsid w:val="00EE1C05"/>
    <w:rsid w:val="00EE1CA4"/>
    <w:rsid w:val="00EE27E9"/>
    <w:rsid w:val="00EE34B3"/>
    <w:rsid w:val="00EE35CB"/>
    <w:rsid w:val="00EE39EF"/>
    <w:rsid w:val="00EE3DDE"/>
    <w:rsid w:val="00EE4016"/>
    <w:rsid w:val="00EE478F"/>
    <w:rsid w:val="00EE4AD2"/>
    <w:rsid w:val="00EE4BB0"/>
    <w:rsid w:val="00EE5119"/>
    <w:rsid w:val="00EE5650"/>
    <w:rsid w:val="00EE5916"/>
    <w:rsid w:val="00EE5938"/>
    <w:rsid w:val="00EE6198"/>
    <w:rsid w:val="00EE67CD"/>
    <w:rsid w:val="00EE67D4"/>
    <w:rsid w:val="00EE6920"/>
    <w:rsid w:val="00EE70B1"/>
    <w:rsid w:val="00EE773D"/>
    <w:rsid w:val="00EE7C6C"/>
    <w:rsid w:val="00EF04ED"/>
    <w:rsid w:val="00EF0B99"/>
    <w:rsid w:val="00EF0CDB"/>
    <w:rsid w:val="00EF0E3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F2F"/>
    <w:rsid w:val="00F0790A"/>
    <w:rsid w:val="00F07D4D"/>
    <w:rsid w:val="00F1000F"/>
    <w:rsid w:val="00F10095"/>
    <w:rsid w:val="00F1066E"/>
    <w:rsid w:val="00F10CBE"/>
    <w:rsid w:val="00F10EF3"/>
    <w:rsid w:val="00F12B2D"/>
    <w:rsid w:val="00F12D9A"/>
    <w:rsid w:val="00F12E85"/>
    <w:rsid w:val="00F12F10"/>
    <w:rsid w:val="00F13318"/>
    <w:rsid w:val="00F13F90"/>
    <w:rsid w:val="00F14223"/>
    <w:rsid w:val="00F142B1"/>
    <w:rsid w:val="00F1479C"/>
    <w:rsid w:val="00F1490E"/>
    <w:rsid w:val="00F15658"/>
    <w:rsid w:val="00F16190"/>
    <w:rsid w:val="00F2022E"/>
    <w:rsid w:val="00F2035F"/>
    <w:rsid w:val="00F203DA"/>
    <w:rsid w:val="00F203DC"/>
    <w:rsid w:val="00F20549"/>
    <w:rsid w:val="00F209E2"/>
    <w:rsid w:val="00F212CB"/>
    <w:rsid w:val="00F21414"/>
    <w:rsid w:val="00F21727"/>
    <w:rsid w:val="00F218ED"/>
    <w:rsid w:val="00F218F8"/>
    <w:rsid w:val="00F225A0"/>
    <w:rsid w:val="00F23150"/>
    <w:rsid w:val="00F231EF"/>
    <w:rsid w:val="00F2325C"/>
    <w:rsid w:val="00F23316"/>
    <w:rsid w:val="00F23730"/>
    <w:rsid w:val="00F23BCA"/>
    <w:rsid w:val="00F24752"/>
    <w:rsid w:val="00F24A6F"/>
    <w:rsid w:val="00F24C2A"/>
    <w:rsid w:val="00F25AB1"/>
    <w:rsid w:val="00F26673"/>
    <w:rsid w:val="00F309AF"/>
    <w:rsid w:val="00F30F61"/>
    <w:rsid w:val="00F30F82"/>
    <w:rsid w:val="00F311A7"/>
    <w:rsid w:val="00F3145D"/>
    <w:rsid w:val="00F3148C"/>
    <w:rsid w:val="00F31E74"/>
    <w:rsid w:val="00F32515"/>
    <w:rsid w:val="00F32548"/>
    <w:rsid w:val="00F32DA0"/>
    <w:rsid w:val="00F330D3"/>
    <w:rsid w:val="00F339E1"/>
    <w:rsid w:val="00F33C82"/>
    <w:rsid w:val="00F34380"/>
    <w:rsid w:val="00F3452B"/>
    <w:rsid w:val="00F348E1"/>
    <w:rsid w:val="00F349BE"/>
    <w:rsid w:val="00F35B55"/>
    <w:rsid w:val="00F35B99"/>
    <w:rsid w:val="00F36850"/>
    <w:rsid w:val="00F36CDA"/>
    <w:rsid w:val="00F36E23"/>
    <w:rsid w:val="00F3790D"/>
    <w:rsid w:val="00F408A1"/>
    <w:rsid w:val="00F40F43"/>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1613"/>
    <w:rsid w:val="00F520F5"/>
    <w:rsid w:val="00F5255C"/>
    <w:rsid w:val="00F52C2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FC9"/>
    <w:rsid w:val="00F664FB"/>
    <w:rsid w:val="00F665AF"/>
    <w:rsid w:val="00F67051"/>
    <w:rsid w:val="00F67249"/>
    <w:rsid w:val="00F674DC"/>
    <w:rsid w:val="00F67537"/>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2F2"/>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29B"/>
    <w:rsid w:val="00F95738"/>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54E"/>
    <w:rsid w:val="00FA386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285"/>
    <w:rsid w:val="00FB378C"/>
    <w:rsid w:val="00FB3EE7"/>
    <w:rsid w:val="00FB3FC7"/>
    <w:rsid w:val="00FB45AA"/>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C6ECB"/>
    <w:rsid w:val="00FD0364"/>
    <w:rsid w:val="00FD068B"/>
    <w:rsid w:val="00FD0886"/>
    <w:rsid w:val="00FD0E3E"/>
    <w:rsid w:val="00FD124F"/>
    <w:rsid w:val="00FD16F7"/>
    <w:rsid w:val="00FD178E"/>
    <w:rsid w:val="00FD1E4B"/>
    <w:rsid w:val="00FD2185"/>
    <w:rsid w:val="00FD288A"/>
    <w:rsid w:val="00FD2B30"/>
    <w:rsid w:val="00FD2EDC"/>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D26"/>
    <w:rsid w:val="00FE7FC3"/>
    <w:rsid w:val="00FF034F"/>
    <w:rsid w:val="00FF043A"/>
    <w:rsid w:val="00FF1146"/>
    <w:rsid w:val="00FF19C7"/>
    <w:rsid w:val="00FF2879"/>
    <w:rsid w:val="00FF2934"/>
    <w:rsid w:val="00FF29D9"/>
    <w:rsid w:val="00FF2B0C"/>
    <w:rsid w:val="00FF2CA1"/>
    <w:rsid w:val="00FF3150"/>
    <w:rsid w:val="00FF31CF"/>
    <w:rsid w:val="00FF3649"/>
    <w:rsid w:val="00FF3F77"/>
    <w:rsid w:val="00FF44D8"/>
    <w:rsid w:val="00FF4954"/>
    <w:rsid w:val="00FF4C65"/>
    <w:rsid w:val="00FF55F1"/>
    <w:rsid w:val="00FF6BD2"/>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775E"/>
  <w15:docId w15:val="{F00390B1-4AB0-7C4A-8B21-CF05ACA7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6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ascii="Arial" w:eastAsiaTheme="majorEastAsia" w:hAnsi="Arial" w:cs="Arial"/>
      <w:b/>
    </w:rPr>
  </w:style>
  <w:style w:type="paragraph" w:styleId="Heading5">
    <w:name w:val="heading 5"/>
    <w:basedOn w:val="Normal"/>
    <w:next w:val="Normal"/>
    <w:link w:val="Heading5Char"/>
    <w:uiPriority w:val="9"/>
    <w:semiHidden/>
    <w:unhideWhenUsed/>
    <w:qFormat/>
    <w:rsid w:val="00EE51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eastAsia="Times New Roman" w:hAnsi="Arial" w:cs="Arial"/>
      <w:b/>
      <w:sz w:val="24"/>
      <w:szCs w:val="24"/>
      <w:lang w:eastAsia="en-GB"/>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lang w:eastAsia="en-GB"/>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character" w:customStyle="1" w:styleId="Heading5Char">
    <w:name w:val="Heading 5 Char"/>
    <w:basedOn w:val="DefaultParagraphFont"/>
    <w:link w:val="Heading5"/>
    <w:uiPriority w:val="9"/>
    <w:semiHidden/>
    <w:rsid w:val="00EE5119"/>
    <w:rPr>
      <w:rFonts w:asciiTheme="majorHAnsi" w:eastAsiaTheme="majorEastAsia" w:hAnsiTheme="majorHAnsi" w:cstheme="majorBidi"/>
      <w:color w:val="2F5496"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saflii.org/cgi-bin/LawCite?cit=2008%20%286%29%20SA%20549" TargetMode="External"/><Relationship Id="rId3" Type="http://schemas.openxmlformats.org/officeDocument/2006/relationships/hyperlink" Target="https://www.saflii.org/cgi-bin/LawCite?cit=2003%20%284%29%20All%20SA%2074" TargetMode="External"/><Relationship Id="rId7" Type="http://schemas.openxmlformats.org/officeDocument/2006/relationships/hyperlink" Target="http://www.saflii.org/za/cases/ZASCA/2008/95.html" TargetMode="External"/><Relationship Id="rId2" Type="http://schemas.openxmlformats.org/officeDocument/2006/relationships/hyperlink" Target="https://www.saflii.org/cgi-bin/LawCite?cit=2009%20%282%29%20SACR%20216" TargetMode="External"/><Relationship Id="rId1" Type="http://schemas.openxmlformats.org/officeDocument/2006/relationships/hyperlink" Target="https://www.saflii.org/cgi-bin/LawCite?cit=2003%20%281%29%20SA%2011" TargetMode="External"/><Relationship Id="rId6" Type="http://schemas.openxmlformats.org/officeDocument/2006/relationships/hyperlink" Target="https://www.saflii.org/cgi-bin/LawCite?cit=1991%20%281%29%20SA%20576" TargetMode="External"/><Relationship Id="rId5" Type="http://schemas.openxmlformats.org/officeDocument/2006/relationships/hyperlink" Target="http://www.saflii.org/za/cases/ZASCA/1990/147.html" TargetMode="External"/><Relationship Id="rId4" Type="http://schemas.openxmlformats.org/officeDocument/2006/relationships/hyperlink" Target="https://www.saflii.org/cgi-bin/LawCite?cit=1963%203%20SA%20530" TargetMode="External"/><Relationship Id="rId9" Type="http://schemas.openxmlformats.org/officeDocument/2006/relationships/hyperlink" Target="http://www.saflii.org/za/cases/ZASCA/2008/9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ACEFFD41-9EAB-487F-B724-F3E56CB4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0</TotalTime>
  <Pages>8</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Thobile Ngcobo</cp:lastModifiedBy>
  <cp:revision>2</cp:revision>
  <cp:lastPrinted>2023-10-28T10:34:00Z</cp:lastPrinted>
  <dcterms:created xsi:type="dcterms:W3CDTF">2023-11-06T15:43:00Z</dcterms:created>
  <dcterms:modified xsi:type="dcterms:W3CDTF">2023-11-06T15:43:00Z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