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7B" w:rsidRDefault="0047057B" w:rsidP="0047057B">
      <w:pPr>
        <w:spacing w:line="360" w:lineRule="auto"/>
        <w:jc w:val="center"/>
        <w:rPr>
          <w:rFonts w:ascii="Raavi" w:eastAsia="Calibri" w:hAnsi="Raavi" w:cs="Raavi"/>
          <w:b/>
          <w:sz w:val="28"/>
          <w:szCs w:val="28"/>
          <w:u w:val="single"/>
        </w:rPr>
      </w:pPr>
      <w:r>
        <w:rPr>
          <w:noProof/>
          <w:lang w:eastAsia="en-ZA"/>
        </w:rPr>
        <w:drawing>
          <wp:inline distT="0" distB="0" distL="0" distR="0" wp14:anchorId="6729C59B" wp14:editId="488EC358">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47057B" w:rsidRPr="00D14312" w:rsidRDefault="0047057B" w:rsidP="0047057B">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47057B" w:rsidRPr="00D14312" w:rsidRDefault="0047057B" w:rsidP="0047057B">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7057B" w:rsidRPr="00D14312" w:rsidTr="009328EA">
        <w:tc>
          <w:tcPr>
            <w:tcW w:w="4428" w:type="dxa"/>
          </w:tcPr>
          <w:p w:rsidR="0047057B" w:rsidRPr="00D14312" w:rsidRDefault="0047057B" w:rsidP="009328EA">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47057B" w:rsidRPr="00D14312" w:rsidRDefault="0047057B" w:rsidP="009328EA">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Pr="00D14312">
              <w:rPr>
                <w:rFonts w:ascii="Arial" w:eastAsia="Calibri" w:hAnsi="Arial" w:cs="Arial"/>
                <w:b/>
                <w:sz w:val="18"/>
                <w:szCs w:val="18"/>
              </w:rPr>
              <w:t>NO.</w:t>
            </w:r>
          </w:p>
          <w:p w:rsidR="0047057B" w:rsidRPr="00D14312" w:rsidRDefault="0047057B" w:rsidP="009328EA">
            <w:pPr>
              <w:spacing w:line="240" w:lineRule="auto"/>
              <w:rPr>
                <w:rFonts w:ascii="Arial" w:eastAsia="Calibri" w:hAnsi="Arial" w:cs="Arial"/>
                <w:b/>
                <w:sz w:val="18"/>
                <w:szCs w:val="18"/>
              </w:rPr>
            </w:pPr>
            <w:r w:rsidRPr="00D14312">
              <w:rPr>
                <w:rFonts w:ascii="Arial" w:eastAsia="Calibri" w:hAnsi="Arial" w:cs="Arial"/>
                <w:b/>
                <w:sz w:val="18"/>
                <w:szCs w:val="18"/>
              </w:rPr>
              <w:t>(2) OF I</w:t>
            </w:r>
            <w:r>
              <w:rPr>
                <w:rFonts w:ascii="Arial" w:eastAsia="Calibri" w:hAnsi="Arial" w:cs="Arial"/>
                <w:b/>
                <w:sz w:val="18"/>
                <w:szCs w:val="18"/>
              </w:rPr>
              <w:t xml:space="preserve">NTEREST TO OTHER JUDGES:  </w:t>
            </w:r>
            <w:r w:rsidRPr="00D14312">
              <w:rPr>
                <w:rFonts w:ascii="Arial" w:eastAsia="Calibri" w:hAnsi="Arial" w:cs="Arial"/>
                <w:b/>
                <w:sz w:val="18"/>
                <w:szCs w:val="18"/>
              </w:rPr>
              <w:t>NO.</w:t>
            </w:r>
          </w:p>
          <w:p w:rsidR="0085646A" w:rsidRDefault="0047057B" w:rsidP="009328EA">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96428B" w:rsidRPr="0096428B" w:rsidRDefault="0096428B" w:rsidP="009328EA">
            <w:pPr>
              <w:spacing w:line="240" w:lineRule="auto"/>
              <w:rPr>
                <w:rFonts w:ascii="Arial" w:eastAsia="Calibri" w:hAnsi="Arial" w:cs="Arial"/>
                <w:sz w:val="18"/>
                <w:szCs w:val="18"/>
              </w:rPr>
            </w:pPr>
            <w:r>
              <w:rPr>
                <w:rFonts w:ascii="Arial" w:eastAsia="Calibri" w:hAnsi="Arial" w:cs="Arial"/>
                <w:sz w:val="18"/>
                <w:szCs w:val="18"/>
              </w:rPr>
              <w:t>2023-11-06</w:t>
            </w:r>
          </w:p>
          <w:p w:rsidR="0047057B" w:rsidRPr="00D14312" w:rsidRDefault="0047057B" w:rsidP="009328EA">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47057B" w:rsidRPr="00722437" w:rsidRDefault="0047057B" w:rsidP="0047057B">
      <w:pPr>
        <w:spacing w:line="360" w:lineRule="auto"/>
        <w:jc w:val="right"/>
        <w:rPr>
          <w:rFonts w:ascii="Arial" w:eastAsia="Calibri" w:hAnsi="Arial" w:cs="Arial"/>
          <w:sz w:val="28"/>
          <w:szCs w:val="28"/>
        </w:rPr>
      </w:pPr>
      <w:r>
        <w:rPr>
          <w:rFonts w:ascii="Arial" w:eastAsia="Calibri" w:hAnsi="Arial" w:cs="Arial"/>
          <w:sz w:val="28"/>
          <w:szCs w:val="28"/>
        </w:rPr>
        <w:t>Case Number:  2022-035973</w:t>
      </w:r>
      <w:r w:rsidRPr="00722437">
        <w:rPr>
          <w:rFonts w:ascii="Arial" w:eastAsia="Calibri" w:hAnsi="Arial" w:cs="Arial"/>
          <w:sz w:val="28"/>
          <w:szCs w:val="28"/>
        </w:rPr>
        <w:t xml:space="preserve">  </w:t>
      </w:r>
    </w:p>
    <w:p w:rsidR="0047057B" w:rsidRPr="00722437" w:rsidRDefault="0047057B" w:rsidP="0047057B">
      <w:pPr>
        <w:spacing w:line="360" w:lineRule="auto"/>
        <w:jc w:val="both"/>
        <w:rPr>
          <w:rFonts w:ascii="Arial" w:eastAsia="Calibri" w:hAnsi="Arial" w:cs="Arial"/>
          <w:sz w:val="28"/>
          <w:szCs w:val="28"/>
        </w:rPr>
      </w:pPr>
      <w:r w:rsidRPr="00722437">
        <w:rPr>
          <w:rFonts w:ascii="Arial" w:eastAsia="Calibri" w:hAnsi="Arial" w:cs="Arial"/>
          <w:sz w:val="28"/>
          <w:szCs w:val="28"/>
        </w:rPr>
        <w:t>In the matter between:</w:t>
      </w:r>
    </w:p>
    <w:p w:rsidR="0047057B" w:rsidRDefault="0047057B" w:rsidP="0047057B">
      <w:pPr>
        <w:spacing w:line="360" w:lineRule="auto"/>
        <w:jc w:val="both"/>
        <w:rPr>
          <w:rFonts w:ascii="Arial" w:eastAsia="Calibri" w:hAnsi="Arial" w:cs="Arial"/>
          <w:sz w:val="28"/>
          <w:szCs w:val="28"/>
        </w:rPr>
      </w:pPr>
      <w:r>
        <w:rPr>
          <w:rFonts w:ascii="Arial" w:eastAsia="Calibri" w:hAnsi="Arial" w:cs="Arial"/>
          <w:b/>
          <w:sz w:val="28"/>
          <w:szCs w:val="28"/>
        </w:rPr>
        <w:t xml:space="preserve">THE MASTER OF THE HIGH COURT, PRETORIA           </w:t>
      </w:r>
      <w:r>
        <w:rPr>
          <w:rFonts w:ascii="Arial" w:eastAsia="Calibri" w:hAnsi="Arial" w:cs="Arial"/>
          <w:b/>
          <w:sz w:val="28"/>
          <w:szCs w:val="28"/>
        </w:rPr>
        <w:t xml:space="preserve"> </w:t>
      </w:r>
      <w:r>
        <w:rPr>
          <w:rFonts w:ascii="Arial" w:eastAsia="Calibri" w:hAnsi="Arial" w:cs="Arial"/>
          <w:sz w:val="28"/>
          <w:szCs w:val="28"/>
        </w:rPr>
        <w:t>First Applica</w:t>
      </w:r>
      <w:r>
        <w:rPr>
          <w:rFonts w:ascii="Arial" w:eastAsia="Calibri" w:hAnsi="Arial" w:cs="Arial"/>
          <w:sz w:val="28"/>
          <w:szCs w:val="28"/>
        </w:rPr>
        <w:t>nt</w:t>
      </w:r>
    </w:p>
    <w:p w:rsidR="0047057B" w:rsidRDefault="0047057B" w:rsidP="0047057B">
      <w:pPr>
        <w:spacing w:line="360" w:lineRule="auto"/>
        <w:jc w:val="both"/>
        <w:rPr>
          <w:rFonts w:ascii="Arial" w:eastAsia="Calibri" w:hAnsi="Arial" w:cs="Arial"/>
          <w:sz w:val="28"/>
          <w:szCs w:val="28"/>
        </w:rPr>
      </w:pPr>
      <w:r>
        <w:rPr>
          <w:rFonts w:ascii="Arial" w:eastAsia="Calibri" w:hAnsi="Arial" w:cs="Arial"/>
          <w:b/>
          <w:sz w:val="28"/>
          <w:szCs w:val="28"/>
        </w:rPr>
        <w:t xml:space="preserve">NGAKO SERUMOLA N.O.                                         </w:t>
      </w:r>
      <w:r>
        <w:rPr>
          <w:rFonts w:ascii="Arial" w:eastAsia="Calibri" w:hAnsi="Arial" w:cs="Arial"/>
          <w:b/>
          <w:sz w:val="28"/>
          <w:szCs w:val="28"/>
        </w:rPr>
        <w:t xml:space="preserve">     </w:t>
      </w:r>
      <w:r>
        <w:rPr>
          <w:rFonts w:ascii="Arial" w:eastAsia="Calibri" w:hAnsi="Arial" w:cs="Arial"/>
          <w:sz w:val="28"/>
          <w:szCs w:val="28"/>
        </w:rPr>
        <w:t>Second Applica</w:t>
      </w:r>
      <w:r>
        <w:rPr>
          <w:rFonts w:ascii="Arial" w:eastAsia="Calibri" w:hAnsi="Arial" w:cs="Arial"/>
          <w:sz w:val="28"/>
          <w:szCs w:val="28"/>
        </w:rPr>
        <w:t>nt</w:t>
      </w:r>
    </w:p>
    <w:p w:rsidR="0047057B" w:rsidRDefault="0047057B" w:rsidP="0047057B">
      <w:pPr>
        <w:spacing w:line="360" w:lineRule="auto"/>
        <w:jc w:val="both"/>
        <w:rPr>
          <w:rFonts w:ascii="Arial" w:eastAsia="Calibri" w:hAnsi="Arial" w:cs="Arial"/>
          <w:sz w:val="28"/>
          <w:szCs w:val="28"/>
        </w:rPr>
      </w:pPr>
      <w:r>
        <w:rPr>
          <w:rFonts w:ascii="Arial" w:eastAsia="Calibri" w:hAnsi="Arial" w:cs="Arial"/>
          <w:sz w:val="28"/>
          <w:szCs w:val="28"/>
        </w:rPr>
        <w:t>and</w:t>
      </w:r>
    </w:p>
    <w:p w:rsidR="0047057B" w:rsidRPr="0047057B" w:rsidRDefault="0047057B" w:rsidP="0047057B">
      <w:pPr>
        <w:spacing w:line="360" w:lineRule="auto"/>
        <w:jc w:val="both"/>
        <w:rPr>
          <w:rFonts w:ascii="Arial" w:eastAsia="Calibri" w:hAnsi="Arial" w:cs="Arial"/>
          <w:b/>
          <w:sz w:val="28"/>
          <w:szCs w:val="28"/>
        </w:rPr>
      </w:pPr>
      <w:r>
        <w:rPr>
          <w:rFonts w:ascii="Arial" w:eastAsia="Calibri" w:hAnsi="Arial" w:cs="Arial"/>
          <w:b/>
          <w:sz w:val="28"/>
          <w:szCs w:val="28"/>
        </w:rPr>
        <w:t xml:space="preserve">FIRSTRAND BANK LIMITED                                                       </w:t>
      </w:r>
      <w:r>
        <w:rPr>
          <w:rFonts w:ascii="Arial" w:eastAsia="Calibri" w:hAnsi="Arial" w:cs="Arial"/>
          <w:sz w:val="28"/>
          <w:szCs w:val="28"/>
        </w:rPr>
        <w:t>Respondent</w:t>
      </w:r>
    </w:p>
    <w:p w:rsidR="0047057B" w:rsidRPr="00722437" w:rsidRDefault="0047057B" w:rsidP="0047057B">
      <w:pPr>
        <w:spacing w:line="240" w:lineRule="auto"/>
        <w:jc w:val="both"/>
        <w:rPr>
          <w:rFonts w:ascii="Arial" w:hAnsi="Arial" w:cs="Arial"/>
          <w:b/>
          <w:sz w:val="28"/>
          <w:szCs w:val="28"/>
        </w:rPr>
      </w:pPr>
      <w:r>
        <w:rPr>
          <w:rFonts w:ascii="Arial" w:hAnsi="Arial" w:cs="Arial"/>
          <w:i/>
          <w:sz w:val="24"/>
          <w:szCs w:val="24"/>
        </w:rPr>
        <w:t>This judgment was prepared and authored by the Judge whose name is reflected and is handed down electronically by circulation to the Parties/their legal representatives by email and by uploading it to the electronic file of this matter on CaseLines.  The date for handing down is deemed to b</w:t>
      </w:r>
      <w:r>
        <w:rPr>
          <w:rFonts w:ascii="Arial" w:hAnsi="Arial" w:cs="Arial"/>
          <w:i/>
          <w:sz w:val="24"/>
          <w:szCs w:val="24"/>
        </w:rPr>
        <w:t xml:space="preserve">e </w:t>
      </w:r>
      <w:r w:rsidR="00E42C61">
        <w:rPr>
          <w:rFonts w:ascii="Arial" w:hAnsi="Arial" w:cs="Arial"/>
          <w:i/>
          <w:sz w:val="24"/>
          <w:szCs w:val="24"/>
        </w:rPr>
        <w:t xml:space="preserve">6 November </w:t>
      </w:r>
      <w:bookmarkStart w:id="0" w:name="_GoBack"/>
      <w:bookmarkEnd w:id="0"/>
      <w:r>
        <w:rPr>
          <w:rFonts w:ascii="Arial" w:hAnsi="Arial" w:cs="Arial"/>
          <w:i/>
          <w:sz w:val="24"/>
          <w:szCs w:val="24"/>
        </w:rPr>
        <w:t>2023.</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Pr="00722437">
        <w:rPr>
          <w:rFonts w:ascii="Arial" w:hAnsi="Arial" w:cs="Arial"/>
          <w:b/>
          <w:sz w:val="28"/>
          <w:szCs w:val="28"/>
        </w:rPr>
        <w:tab/>
      </w:r>
      <w:r w:rsidRPr="00722437">
        <w:rPr>
          <w:rFonts w:ascii="Arial" w:hAnsi="Arial" w:cs="Arial"/>
          <w:b/>
          <w:sz w:val="28"/>
          <w:szCs w:val="28"/>
        </w:rPr>
        <w:tab/>
      </w:r>
    </w:p>
    <w:p w:rsidR="0047057B" w:rsidRPr="00722437" w:rsidRDefault="0047057B" w:rsidP="0047057B">
      <w:pPr>
        <w:pBdr>
          <w:top w:val="single" w:sz="12" w:space="1" w:color="auto"/>
          <w:bottom w:val="single" w:sz="12" w:space="1" w:color="auto"/>
        </w:pBdr>
        <w:spacing w:line="240" w:lineRule="auto"/>
        <w:jc w:val="center"/>
        <w:rPr>
          <w:rFonts w:ascii="Arial" w:hAnsi="Arial" w:cs="Arial"/>
          <w:b/>
          <w:sz w:val="28"/>
          <w:szCs w:val="28"/>
        </w:rPr>
      </w:pPr>
    </w:p>
    <w:p w:rsidR="0047057B" w:rsidRPr="00722437" w:rsidRDefault="0047057B" w:rsidP="0047057B">
      <w:pPr>
        <w:pBdr>
          <w:top w:val="single" w:sz="12" w:space="1" w:color="auto"/>
          <w:bottom w:val="single" w:sz="12" w:space="1" w:color="auto"/>
        </w:pBdr>
        <w:spacing w:line="240" w:lineRule="auto"/>
        <w:jc w:val="center"/>
        <w:rPr>
          <w:rFonts w:ascii="Arial" w:hAnsi="Arial" w:cs="Arial"/>
          <w:b/>
          <w:sz w:val="28"/>
          <w:szCs w:val="28"/>
        </w:rPr>
      </w:pPr>
      <w:r w:rsidRPr="00722437">
        <w:rPr>
          <w:rFonts w:ascii="Arial" w:hAnsi="Arial" w:cs="Arial"/>
          <w:b/>
          <w:sz w:val="28"/>
          <w:szCs w:val="28"/>
        </w:rPr>
        <w:t>JUDGMENT</w:t>
      </w:r>
      <w:r>
        <w:rPr>
          <w:rFonts w:ascii="Arial" w:hAnsi="Arial" w:cs="Arial"/>
          <w:b/>
          <w:sz w:val="28"/>
          <w:szCs w:val="28"/>
        </w:rPr>
        <w:t>:  APPLICATION FOR LEAVE TO APPEAL</w:t>
      </w:r>
    </w:p>
    <w:p w:rsidR="0047057B" w:rsidRPr="00722437" w:rsidRDefault="0047057B" w:rsidP="0047057B">
      <w:pPr>
        <w:pBdr>
          <w:top w:val="single" w:sz="12" w:space="1" w:color="auto"/>
          <w:bottom w:val="single" w:sz="12" w:space="1" w:color="auto"/>
        </w:pBdr>
        <w:spacing w:line="240" w:lineRule="auto"/>
        <w:jc w:val="center"/>
        <w:rPr>
          <w:rFonts w:ascii="Arial" w:hAnsi="Arial" w:cs="Arial"/>
          <w:b/>
          <w:sz w:val="28"/>
          <w:szCs w:val="28"/>
        </w:rPr>
      </w:pPr>
    </w:p>
    <w:p w:rsidR="0047057B" w:rsidRPr="00722437" w:rsidRDefault="0047057B" w:rsidP="0047057B">
      <w:pPr>
        <w:spacing w:line="360" w:lineRule="auto"/>
        <w:jc w:val="both"/>
        <w:rPr>
          <w:rFonts w:ascii="Arial" w:hAnsi="Arial" w:cs="Arial"/>
          <w:b/>
          <w:sz w:val="28"/>
          <w:szCs w:val="28"/>
        </w:rPr>
      </w:pPr>
    </w:p>
    <w:p w:rsidR="0047057B" w:rsidRDefault="0047057B" w:rsidP="0047057B">
      <w:pPr>
        <w:spacing w:line="360" w:lineRule="auto"/>
        <w:rPr>
          <w:rFonts w:ascii="Arial" w:hAnsi="Arial" w:cs="Arial"/>
          <w:b/>
          <w:sz w:val="28"/>
          <w:szCs w:val="28"/>
        </w:rPr>
      </w:pPr>
      <w:r w:rsidRPr="00722437">
        <w:rPr>
          <w:rFonts w:ascii="Arial" w:hAnsi="Arial" w:cs="Arial"/>
          <w:b/>
          <w:sz w:val="28"/>
          <w:szCs w:val="28"/>
        </w:rPr>
        <w:lastRenderedPageBreak/>
        <w:t>POTTERILL J</w:t>
      </w:r>
    </w:p>
    <w:p w:rsidR="002752D0" w:rsidRDefault="002752D0" w:rsidP="0047057B">
      <w:pPr>
        <w:spacing w:line="360" w:lineRule="auto"/>
        <w:rPr>
          <w:rFonts w:ascii="Arial" w:hAnsi="Arial" w:cs="Arial"/>
          <w:b/>
          <w:sz w:val="28"/>
          <w:szCs w:val="28"/>
        </w:rPr>
      </w:pPr>
    </w:p>
    <w:p w:rsidR="002752D0" w:rsidRPr="002752D0" w:rsidRDefault="002752D0" w:rsidP="0047057B">
      <w:pPr>
        <w:spacing w:line="360" w:lineRule="auto"/>
        <w:rPr>
          <w:rFonts w:ascii="Arial" w:hAnsi="Arial" w:cs="Arial"/>
          <w:sz w:val="24"/>
          <w:szCs w:val="24"/>
        </w:rPr>
      </w:pPr>
      <w:r w:rsidRPr="002752D0">
        <w:rPr>
          <w:rFonts w:ascii="Arial" w:hAnsi="Arial" w:cs="Arial"/>
          <w:sz w:val="24"/>
          <w:szCs w:val="24"/>
        </w:rPr>
        <w:t>[1]</w:t>
      </w:r>
      <w:r w:rsidRPr="002752D0">
        <w:rPr>
          <w:rFonts w:ascii="Arial" w:hAnsi="Arial" w:cs="Arial"/>
          <w:sz w:val="24"/>
          <w:szCs w:val="24"/>
        </w:rPr>
        <w:tab/>
        <w:t>I have read the grounds of appeal, the heads of argument of all the parties and listened to argument.</w:t>
      </w:r>
    </w:p>
    <w:p w:rsidR="002752D0" w:rsidRPr="002752D0" w:rsidRDefault="002752D0" w:rsidP="0047057B">
      <w:pPr>
        <w:spacing w:line="360" w:lineRule="auto"/>
        <w:rPr>
          <w:rFonts w:ascii="Arial" w:hAnsi="Arial" w:cs="Arial"/>
          <w:sz w:val="24"/>
          <w:szCs w:val="24"/>
        </w:rPr>
      </w:pPr>
    </w:p>
    <w:p w:rsidR="002752D0" w:rsidRPr="002752D0" w:rsidRDefault="002752D0" w:rsidP="002752D0">
      <w:pPr>
        <w:spacing w:line="360" w:lineRule="auto"/>
        <w:jc w:val="both"/>
        <w:rPr>
          <w:rFonts w:ascii="Arial" w:hAnsi="Arial" w:cs="Arial"/>
          <w:sz w:val="24"/>
          <w:szCs w:val="24"/>
        </w:rPr>
      </w:pPr>
      <w:r w:rsidRPr="002752D0">
        <w:rPr>
          <w:rFonts w:ascii="Arial" w:hAnsi="Arial" w:cs="Arial"/>
          <w:sz w:val="24"/>
          <w:szCs w:val="24"/>
        </w:rPr>
        <w:t>[2]</w:t>
      </w:r>
      <w:r w:rsidRPr="002752D0">
        <w:rPr>
          <w:rFonts w:ascii="Arial" w:hAnsi="Arial" w:cs="Arial"/>
          <w:sz w:val="24"/>
          <w:szCs w:val="24"/>
        </w:rPr>
        <w:tab/>
        <w:t>The applicants to this application seek leave on reasonable prospects of success and compelling reasons.</w:t>
      </w:r>
    </w:p>
    <w:p w:rsidR="002752D0" w:rsidRPr="002752D0" w:rsidRDefault="002752D0" w:rsidP="0047057B">
      <w:pPr>
        <w:spacing w:line="360" w:lineRule="auto"/>
        <w:rPr>
          <w:rFonts w:ascii="Arial" w:hAnsi="Arial" w:cs="Arial"/>
          <w:sz w:val="24"/>
          <w:szCs w:val="24"/>
        </w:rPr>
      </w:pPr>
    </w:p>
    <w:p w:rsidR="002752D0" w:rsidRPr="002752D0" w:rsidRDefault="002752D0" w:rsidP="002752D0">
      <w:pPr>
        <w:spacing w:line="360" w:lineRule="auto"/>
        <w:jc w:val="both"/>
        <w:rPr>
          <w:rFonts w:ascii="Arial" w:hAnsi="Arial" w:cs="Arial"/>
          <w:sz w:val="24"/>
          <w:szCs w:val="24"/>
        </w:rPr>
      </w:pPr>
      <w:r w:rsidRPr="002752D0">
        <w:rPr>
          <w:rFonts w:ascii="Arial" w:hAnsi="Arial" w:cs="Arial"/>
          <w:sz w:val="24"/>
          <w:szCs w:val="24"/>
        </w:rPr>
        <w:t>[3]</w:t>
      </w:r>
      <w:r w:rsidRPr="002752D0">
        <w:rPr>
          <w:rFonts w:ascii="Arial" w:hAnsi="Arial" w:cs="Arial"/>
          <w:sz w:val="24"/>
          <w:szCs w:val="24"/>
        </w:rPr>
        <w:tab/>
        <w:t>The compelling issues raised are generic and not based on the facts or merits of this matter and thus do not comply with:</w:t>
      </w:r>
    </w:p>
    <w:p w:rsidR="002752D0" w:rsidRPr="002752D0" w:rsidRDefault="002752D0" w:rsidP="002752D0">
      <w:pPr>
        <w:spacing w:line="360" w:lineRule="auto"/>
        <w:ind w:left="720"/>
        <w:jc w:val="both"/>
        <w:rPr>
          <w:rFonts w:ascii="Arial" w:hAnsi="Arial" w:cs="Arial"/>
          <w:sz w:val="24"/>
          <w:szCs w:val="24"/>
        </w:rPr>
      </w:pPr>
      <w:r w:rsidRPr="002752D0">
        <w:rPr>
          <w:rFonts w:ascii="Arial" w:hAnsi="Arial" w:cs="Arial"/>
          <w:sz w:val="24"/>
          <w:szCs w:val="24"/>
        </w:rPr>
        <w:t>“Compelling reason include</w:t>
      </w:r>
      <w:r>
        <w:rPr>
          <w:rFonts w:ascii="Arial" w:hAnsi="Arial" w:cs="Arial"/>
          <w:sz w:val="24"/>
          <w:szCs w:val="24"/>
        </w:rPr>
        <w:t>s</w:t>
      </w:r>
      <w:r w:rsidRPr="002752D0">
        <w:rPr>
          <w:rFonts w:ascii="Arial" w:hAnsi="Arial" w:cs="Arial"/>
          <w:sz w:val="24"/>
          <w:szCs w:val="24"/>
        </w:rPr>
        <w:t xml:space="preserve"> an import</w:t>
      </w:r>
      <w:r>
        <w:rPr>
          <w:rFonts w:ascii="Arial" w:hAnsi="Arial" w:cs="Arial"/>
          <w:sz w:val="24"/>
          <w:szCs w:val="24"/>
        </w:rPr>
        <w:t>ant question of law or a discre</w:t>
      </w:r>
      <w:r w:rsidRPr="002752D0">
        <w:rPr>
          <w:rFonts w:ascii="Arial" w:hAnsi="Arial" w:cs="Arial"/>
          <w:sz w:val="24"/>
          <w:szCs w:val="24"/>
        </w:rPr>
        <w:t>t</w:t>
      </w:r>
      <w:r>
        <w:rPr>
          <w:rFonts w:ascii="Arial" w:hAnsi="Arial" w:cs="Arial"/>
          <w:sz w:val="24"/>
          <w:szCs w:val="24"/>
        </w:rPr>
        <w:t>e</w:t>
      </w:r>
      <w:r w:rsidRPr="002752D0">
        <w:rPr>
          <w:rFonts w:ascii="Arial" w:hAnsi="Arial" w:cs="Arial"/>
          <w:sz w:val="24"/>
          <w:szCs w:val="24"/>
        </w:rPr>
        <w:t xml:space="preserve"> issue of public importance that will have an effect on future dispu</w:t>
      </w:r>
      <w:r w:rsidR="00041F00">
        <w:rPr>
          <w:rFonts w:ascii="Arial" w:hAnsi="Arial" w:cs="Arial"/>
          <w:sz w:val="24"/>
          <w:szCs w:val="24"/>
        </w:rPr>
        <w:t>tes.  But here too,</w:t>
      </w:r>
      <w:r w:rsidRPr="002752D0">
        <w:rPr>
          <w:rFonts w:ascii="Arial" w:hAnsi="Arial" w:cs="Arial"/>
          <w:sz w:val="24"/>
          <w:szCs w:val="24"/>
        </w:rPr>
        <w:t xml:space="preserve"> the merits remain vitally important and are often decisive.”</w:t>
      </w:r>
      <w:r w:rsidRPr="002752D0">
        <w:rPr>
          <w:rStyle w:val="FootnoteReference"/>
          <w:rFonts w:ascii="Arial" w:hAnsi="Arial" w:cs="Arial"/>
          <w:sz w:val="24"/>
          <w:szCs w:val="24"/>
        </w:rPr>
        <w:footnoteReference w:id="1"/>
      </w:r>
    </w:p>
    <w:p w:rsidR="002752D0" w:rsidRPr="002752D0" w:rsidRDefault="002752D0" w:rsidP="002752D0">
      <w:pPr>
        <w:spacing w:line="360" w:lineRule="auto"/>
        <w:jc w:val="both"/>
        <w:rPr>
          <w:rFonts w:ascii="Arial" w:hAnsi="Arial" w:cs="Arial"/>
          <w:sz w:val="24"/>
          <w:szCs w:val="24"/>
        </w:rPr>
      </w:pPr>
    </w:p>
    <w:p w:rsidR="002752D0" w:rsidRPr="00041F00" w:rsidRDefault="002752D0" w:rsidP="002752D0">
      <w:pPr>
        <w:spacing w:line="360" w:lineRule="auto"/>
        <w:jc w:val="both"/>
        <w:rPr>
          <w:rFonts w:ascii="Arial" w:hAnsi="Arial" w:cs="Arial"/>
          <w:sz w:val="24"/>
          <w:szCs w:val="24"/>
        </w:rPr>
      </w:pPr>
      <w:r w:rsidRPr="002752D0">
        <w:rPr>
          <w:rFonts w:ascii="Arial" w:hAnsi="Arial" w:cs="Arial"/>
          <w:sz w:val="24"/>
          <w:szCs w:val="24"/>
        </w:rPr>
        <w:t>[4]</w:t>
      </w:r>
      <w:r w:rsidR="00041F00">
        <w:rPr>
          <w:rFonts w:ascii="Arial" w:hAnsi="Arial" w:cs="Arial"/>
          <w:sz w:val="24"/>
          <w:szCs w:val="24"/>
        </w:rPr>
        <w:tab/>
        <w:t>As for the prospects of success, I am satisfied that no other court will find there are reasonable prospects of success.  The case-law confirms that the Master does not have a general discretion.  I did not accept any hearsay evidence in coming to my finding, only direct evidence.  Even without the acceptance of the supplementary affidavit the findings will stay the same as the same evidence appears in the founding and replying affidavits.  The respondents never denied that the applicant’</w:t>
      </w:r>
      <w:r w:rsidR="00144DE0">
        <w:rPr>
          <w:rFonts w:ascii="Arial" w:hAnsi="Arial" w:cs="Arial"/>
          <w:sz w:val="24"/>
          <w:szCs w:val="24"/>
        </w:rPr>
        <w:t>s claim was filed at 08h55, with RA1 confirming</w:t>
      </w:r>
      <w:r w:rsidR="00041F00">
        <w:rPr>
          <w:rFonts w:ascii="Arial" w:hAnsi="Arial" w:cs="Arial"/>
          <w:sz w:val="24"/>
          <w:szCs w:val="24"/>
        </w:rPr>
        <w:t xml:space="preserve"> same.  There were no </w:t>
      </w:r>
      <w:r w:rsidR="00041F00">
        <w:rPr>
          <w:rFonts w:ascii="Arial" w:hAnsi="Arial" w:cs="Arial"/>
          <w:i/>
          <w:sz w:val="24"/>
          <w:szCs w:val="24"/>
        </w:rPr>
        <w:t xml:space="preserve">bona fide </w:t>
      </w:r>
      <w:r w:rsidR="00041F00">
        <w:rPr>
          <w:rFonts w:ascii="Arial" w:hAnsi="Arial" w:cs="Arial"/>
          <w:sz w:val="24"/>
          <w:szCs w:val="24"/>
        </w:rPr>
        <w:t xml:space="preserve">factual disputes put up by the Master requiring the principles of </w:t>
      </w:r>
      <w:r w:rsidR="00041F00">
        <w:rPr>
          <w:rFonts w:ascii="Arial" w:hAnsi="Arial" w:cs="Arial"/>
          <w:i/>
          <w:sz w:val="24"/>
          <w:szCs w:val="24"/>
        </w:rPr>
        <w:t xml:space="preserve">Plascon-Evans </w:t>
      </w:r>
      <w:r w:rsidR="00041F00">
        <w:rPr>
          <w:rFonts w:ascii="Arial" w:hAnsi="Arial" w:cs="Arial"/>
          <w:sz w:val="24"/>
          <w:szCs w:val="24"/>
        </w:rPr>
        <w:t xml:space="preserve">to be applied. </w:t>
      </w:r>
    </w:p>
    <w:p w:rsidR="002752D0" w:rsidRPr="002752D0" w:rsidRDefault="002752D0" w:rsidP="002752D0">
      <w:pPr>
        <w:spacing w:line="360" w:lineRule="auto"/>
        <w:jc w:val="both"/>
        <w:rPr>
          <w:rFonts w:ascii="Arial" w:hAnsi="Arial" w:cs="Arial"/>
          <w:sz w:val="24"/>
          <w:szCs w:val="24"/>
        </w:rPr>
      </w:pPr>
    </w:p>
    <w:p w:rsidR="002752D0" w:rsidRDefault="002752D0" w:rsidP="002752D0">
      <w:pPr>
        <w:spacing w:line="360" w:lineRule="auto"/>
        <w:jc w:val="both"/>
        <w:rPr>
          <w:rFonts w:ascii="Arial" w:hAnsi="Arial" w:cs="Arial"/>
          <w:sz w:val="24"/>
          <w:szCs w:val="24"/>
        </w:rPr>
      </w:pPr>
      <w:r w:rsidRPr="002752D0">
        <w:rPr>
          <w:rFonts w:ascii="Arial" w:hAnsi="Arial" w:cs="Arial"/>
          <w:sz w:val="24"/>
          <w:szCs w:val="24"/>
        </w:rPr>
        <w:t>[5]</w:t>
      </w:r>
      <w:r w:rsidR="00041F00">
        <w:rPr>
          <w:rFonts w:ascii="Arial" w:hAnsi="Arial" w:cs="Arial"/>
          <w:sz w:val="24"/>
          <w:szCs w:val="24"/>
        </w:rPr>
        <w:tab/>
      </w:r>
      <w:r w:rsidR="003D6758">
        <w:rPr>
          <w:rFonts w:ascii="Arial" w:hAnsi="Arial" w:cs="Arial"/>
          <w:sz w:val="24"/>
          <w:szCs w:val="24"/>
        </w:rPr>
        <w:t>A review in terms of section 151 of the Insolvency Act 24 of 1936 is applicable and not a review in terms of the Promotion of Administrative Justice Act 3 of 2000.</w:t>
      </w:r>
    </w:p>
    <w:p w:rsidR="003C4C07" w:rsidRDefault="003C4C07" w:rsidP="002752D0">
      <w:pPr>
        <w:spacing w:line="360" w:lineRule="auto"/>
        <w:jc w:val="both"/>
        <w:rPr>
          <w:rFonts w:ascii="Arial" w:hAnsi="Arial" w:cs="Arial"/>
          <w:sz w:val="24"/>
          <w:szCs w:val="24"/>
        </w:rPr>
      </w:pPr>
    </w:p>
    <w:p w:rsidR="003C4C07" w:rsidRDefault="003C4C07" w:rsidP="002752D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3C4C07">
        <w:rPr>
          <w:rFonts w:ascii="Arial" w:hAnsi="Arial" w:cs="Arial"/>
          <w:i/>
          <w:sz w:val="24"/>
          <w:szCs w:val="24"/>
        </w:rPr>
        <w:t>The</w:t>
      </w:r>
      <w:r>
        <w:rPr>
          <w:rFonts w:ascii="Arial" w:hAnsi="Arial" w:cs="Arial"/>
          <w:i/>
          <w:sz w:val="24"/>
          <w:szCs w:val="24"/>
        </w:rPr>
        <w:t xml:space="preserve"> Master of </w:t>
      </w:r>
      <w:r w:rsidR="004318C2">
        <w:rPr>
          <w:rFonts w:ascii="Arial" w:hAnsi="Arial" w:cs="Arial"/>
          <w:i/>
          <w:sz w:val="24"/>
          <w:szCs w:val="24"/>
        </w:rPr>
        <w:t xml:space="preserve">NCA </w:t>
      </w:r>
      <w:r>
        <w:rPr>
          <w:rFonts w:ascii="Arial" w:hAnsi="Arial" w:cs="Arial"/>
          <w:i/>
          <w:sz w:val="24"/>
          <w:szCs w:val="24"/>
        </w:rPr>
        <w:t>Plant Hire CC v B</w:t>
      </w:r>
      <w:r w:rsidR="004318C2">
        <w:rPr>
          <w:rFonts w:ascii="Arial" w:hAnsi="Arial" w:cs="Arial"/>
          <w:i/>
          <w:sz w:val="24"/>
          <w:szCs w:val="24"/>
        </w:rPr>
        <w:t>la</w:t>
      </w:r>
      <w:r>
        <w:rPr>
          <w:rFonts w:ascii="Arial" w:hAnsi="Arial" w:cs="Arial"/>
          <w:i/>
          <w:sz w:val="24"/>
          <w:szCs w:val="24"/>
        </w:rPr>
        <w:t xml:space="preserve">ckfield Group Holdings (Pty) Limited </w:t>
      </w:r>
      <w:r>
        <w:rPr>
          <w:rFonts w:ascii="Arial" w:hAnsi="Arial" w:cs="Arial"/>
          <w:sz w:val="24"/>
          <w:szCs w:val="24"/>
        </w:rPr>
        <w:t>[2021] JOL 51810 (GJ) does not bind this Court and the facts differ</w:t>
      </w:r>
      <w:r w:rsidR="004318C2">
        <w:rPr>
          <w:rFonts w:ascii="Arial" w:hAnsi="Arial" w:cs="Arial"/>
          <w:sz w:val="24"/>
          <w:szCs w:val="24"/>
        </w:rPr>
        <w:t>s and the question to be decided differs.  The Court therein accepted that a settlement agreement was concluded between the parties and therefore the provisional order of sequestration was discharged.</w:t>
      </w:r>
    </w:p>
    <w:p w:rsidR="003C4C07" w:rsidRDefault="003C4C07" w:rsidP="002752D0">
      <w:pPr>
        <w:spacing w:line="360" w:lineRule="auto"/>
        <w:jc w:val="both"/>
        <w:rPr>
          <w:rFonts w:ascii="Arial" w:hAnsi="Arial" w:cs="Arial"/>
          <w:sz w:val="24"/>
          <w:szCs w:val="24"/>
        </w:rPr>
      </w:pPr>
    </w:p>
    <w:p w:rsidR="00144DE0" w:rsidRDefault="00144DE0" w:rsidP="002752D0">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Costs of two counsel will be addressed by the taxing master and will only be granted if so employed.</w:t>
      </w:r>
    </w:p>
    <w:p w:rsidR="00144DE0" w:rsidRDefault="00144DE0" w:rsidP="002752D0">
      <w:pPr>
        <w:spacing w:line="360" w:lineRule="auto"/>
        <w:jc w:val="both"/>
        <w:rPr>
          <w:rFonts w:ascii="Arial" w:hAnsi="Arial" w:cs="Arial"/>
          <w:sz w:val="24"/>
          <w:szCs w:val="24"/>
        </w:rPr>
      </w:pPr>
    </w:p>
    <w:p w:rsidR="003C4C07" w:rsidRDefault="00144DE0" w:rsidP="002752D0">
      <w:pPr>
        <w:spacing w:line="360" w:lineRule="auto"/>
        <w:jc w:val="both"/>
        <w:rPr>
          <w:rFonts w:ascii="Arial" w:hAnsi="Arial" w:cs="Arial"/>
          <w:sz w:val="24"/>
          <w:szCs w:val="24"/>
        </w:rPr>
      </w:pPr>
      <w:r>
        <w:rPr>
          <w:rFonts w:ascii="Arial" w:hAnsi="Arial" w:cs="Arial"/>
          <w:sz w:val="24"/>
          <w:szCs w:val="24"/>
        </w:rPr>
        <w:t>[8</w:t>
      </w:r>
      <w:r w:rsidR="003C4C07">
        <w:rPr>
          <w:rFonts w:ascii="Arial" w:hAnsi="Arial" w:cs="Arial"/>
          <w:sz w:val="24"/>
          <w:szCs w:val="24"/>
        </w:rPr>
        <w:t>]</w:t>
      </w:r>
      <w:r w:rsidR="004318C2">
        <w:rPr>
          <w:rFonts w:ascii="Arial" w:hAnsi="Arial" w:cs="Arial"/>
          <w:sz w:val="24"/>
          <w:szCs w:val="24"/>
        </w:rPr>
        <w:tab/>
        <w:t>I accordingly dismiss the application for leave to appeal.  The first and second respondents to pay the costs jointly and severally.</w:t>
      </w:r>
    </w:p>
    <w:p w:rsidR="00041F00" w:rsidRDefault="00041F00" w:rsidP="002752D0">
      <w:pPr>
        <w:spacing w:line="360" w:lineRule="auto"/>
        <w:jc w:val="both"/>
        <w:rPr>
          <w:rFonts w:ascii="Arial" w:hAnsi="Arial" w:cs="Arial"/>
          <w:sz w:val="24"/>
          <w:szCs w:val="24"/>
        </w:rPr>
      </w:pPr>
    </w:p>
    <w:p w:rsidR="0047057B" w:rsidRPr="007E5C02" w:rsidRDefault="0047057B" w:rsidP="002752D0">
      <w:pPr>
        <w:spacing w:line="360" w:lineRule="auto"/>
        <w:ind w:left="1440" w:hanging="720"/>
        <w:jc w:val="both"/>
        <w:rPr>
          <w:rFonts w:ascii="Arial" w:hAnsi="Arial" w:cs="Arial"/>
          <w:b/>
          <w:sz w:val="24"/>
          <w:szCs w:val="24"/>
        </w:rPr>
      </w:pPr>
    </w:p>
    <w:p w:rsidR="0047057B" w:rsidRPr="007E5C02" w:rsidRDefault="0047057B" w:rsidP="0047057B">
      <w:pPr>
        <w:spacing w:line="360" w:lineRule="auto"/>
        <w:jc w:val="both"/>
        <w:rPr>
          <w:rFonts w:ascii="Arial" w:eastAsiaTheme="minorHAnsi" w:hAnsi="Arial" w:cs="Arial"/>
          <w:b/>
          <w:sz w:val="24"/>
          <w:szCs w:val="24"/>
        </w:rPr>
      </w:pPr>
    </w:p>
    <w:p w:rsidR="0047057B" w:rsidRPr="007E5C02" w:rsidRDefault="0047057B" w:rsidP="0047057B">
      <w:pPr>
        <w:spacing w:line="360" w:lineRule="auto"/>
        <w:jc w:val="right"/>
        <w:rPr>
          <w:rFonts w:ascii="Arial" w:eastAsia="Calibri" w:hAnsi="Arial" w:cs="Arial"/>
          <w:sz w:val="24"/>
          <w:szCs w:val="24"/>
        </w:rPr>
      </w:pPr>
      <w:r w:rsidRPr="007E5C02">
        <w:rPr>
          <w:rFonts w:ascii="Arial" w:eastAsia="Calibri" w:hAnsi="Arial" w:cs="Arial"/>
          <w:b/>
          <w:sz w:val="24"/>
          <w:szCs w:val="24"/>
        </w:rPr>
        <w:t>__________________</w:t>
      </w:r>
    </w:p>
    <w:p w:rsidR="0047057B" w:rsidRPr="007E5C02" w:rsidRDefault="0047057B" w:rsidP="0047057B">
      <w:pPr>
        <w:spacing w:line="360" w:lineRule="auto"/>
        <w:jc w:val="right"/>
        <w:rPr>
          <w:rFonts w:ascii="Arial" w:eastAsia="Calibri" w:hAnsi="Arial" w:cs="Arial"/>
          <w:b/>
          <w:sz w:val="24"/>
          <w:szCs w:val="24"/>
        </w:rPr>
      </w:pPr>
      <w:r w:rsidRPr="007E5C02">
        <w:rPr>
          <w:rFonts w:ascii="Arial" w:eastAsia="Calibri" w:hAnsi="Arial" w:cs="Arial"/>
          <w:b/>
          <w:sz w:val="24"/>
          <w:szCs w:val="24"/>
        </w:rPr>
        <w:t>S. POTTERILL</w:t>
      </w:r>
    </w:p>
    <w:p w:rsidR="0047057B" w:rsidRPr="007E5C02" w:rsidRDefault="0047057B" w:rsidP="0047057B">
      <w:pPr>
        <w:spacing w:line="360" w:lineRule="auto"/>
        <w:jc w:val="right"/>
        <w:rPr>
          <w:rFonts w:ascii="Arial" w:eastAsia="Calibri" w:hAnsi="Arial" w:cs="Arial"/>
          <w:b/>
          <w:sz w:val="24"/>
          <w:szCs w:val="24"/>
        </w:rPr>
      </w:pPr>
      <w:r w:rsidRPr="007E5C02">
        <w:rPr>
          <w:rFonts w:ascii="Arial" w:eastAsia="Calibri" w:hAnsi="Arial" w:cs="Arial"/>
          <w:b/>
          <w:sz w:val="24"/>
          <w:szCs w:val="24"/>
        </w:rPr>
        <w:t>JUDGE OF THE HIGH COURT</w:t>
      </w:r>
    </w:p>
    <w:p w:rsidR="0047057B" w:rsidRPr="007E5C02" w:rsidRDefault="0047057B" w:rsidP="0047057B">
      <w:pPr>
        <w:spacing w:after="160" w:line="360" w:lineRule="auto"/>
        <w:jc w:val="both"/>
        <w:rPr>
          <w:rFonts w:ascii="Arial" w:eastAsia="Calibri" w:hAnsi="Arial" w:cs="Arial"/>
          <w:b/>
          <w:sz w:val="24"/>
          <w:szCs w:val="24"/>
        </w:rPr>
      </w:pPr>
      <w:r w:rsidRPr="007E5C02">
        <w:rPr>
          <w:rFonts w:ascii="Arial" w:eastAsia="Calibri" w:hAnsi="Arial" w:cs="Arial"/>
          <w:b/>
          <w:sz w:val="24"/>
          <w:szCs w:val="24"/>
        </w:rPr>
        <w:br w:type="page"/>
      </w:r>
    </w:p>
    <w:p w:rsidR="0047057B" w:rsidRPr="007E5C02" w:rsidRDefault="0047057B" w:rsidP="0047057B">
      <w:pPr>
        <w:spacing w:after="160" w:line="360" w:lineRule="auto"/>
        <w:jc w:val="both"/>
        <w:rPr>
          <w:rFonts w:ascii="Arial" w:eastAsia="Calibri" w:hAnsi="Arial" w:cs="Arial"/>
          <w:sz w:val="24"/>
          <w:szCs w:val="24"/>
        </w:rPr>
      </w:pPr>
      <w:r>
        <w:rPr>
          <w:rFonts w:ascii="Arial" w:eastAsia="Calibri" w:hAnsi="Arial" w:cs="Arial"/>
          <w:sz w:val="24"/>
          <w:szCs w:val="24"/>
        </w:rPr>
        <w:lastRenderedPageBreak/>
        <w:t>CASE NO:  2022-035973</w:t>
      </w:r>
    </w:p>
    <w:p w:rsidR="0047057B" w:rsidRPr="007E5C02" w:rsidRDefault="0047057B" w:rsidP="0047057B">
      <w:pPr>
        <w:spacing w:line="360" w:lineRule="auto"/>
        <w:jc w:val="both"/>
        <w:rPr>
          <w:rFonts w:ascii="Arial" w:eastAsia="Calibri" w:hAnsi="Arial" w:cs="Arial"/>
          <w:sz w:val="24"/>
          <w:szCs w:val="24"/>
        </w:rPr>
      </w:pPr>
    </w:p>
    <w:p w:rsidR="0047057B" w:rsidRPr="007E5C02" w:rsidRDefault="0047057B" w:rsidP="0047057B">
      <w:pPr>
        <w:spacing w:line="360" w:lineRule="auto"/>
        <w:jc w:val="both"/>
        <w:rPr>
          <w:rFonts w:ascii="Arial" w:eastAsia="Calibri" w:hAnsi="Arial" w:cs="Arial"/>
          <w:sz w:val="24"/>
          <w:szCs w:val="24"/>
        </w:rPr>
      </w:pPr>
      <w:r>
        <w:rPr>
          <w:rFonts w:ascii="Arial" w:eastAsia="Calibri" w:hAnsi="Arial" w:cs="Arial"/>
          <w:sz w:val="24"/>
          <w:szCs w:val="24"/>
        </w:rPr>
        <w:t xml:space="preserve">HEARD ON:    </w:t>
      </w:r>
      <w:r w:rsidR="004318C2">
        <w:rPr>
          <w:rFonts w:ascii="Arial" w:eastAsia="Calibri" w:hAnsi="Arial" w:cs="Arial"/>
          <w:sz w:val="24"/>
          <w:szCs w:val="24"/>
        </w:rPr>
        <w:t>3 November 2023</w:t>
      </w:r>
    </w:p>
    <w:p w:rsidR="0047057B" w:rsidRPr="007E5C02" w:rsidRDefault="0047057B" w:rsidP="0047057B">
      <w:pPr>
        <w:spacing w:line="360" w:lineRule="auto"/>
        <w:jc w:val="both"/>
        <w:rPr>
          <w:rFonts w:ascii="Arial" w:eastAsia="Calibri" w:hAnsi="Arial" w:cs="Arial"/>
          <w:sz w:val="24"/>
          <w:szCs w:val="24"/>
        </w:rPr>
      </w:pPr>
    </w:p>
    <w:p w:rsidR="0047057B" w:rsidRPr="007E5C02" w:rsidRDefault="0047057B" w:rsidP="0047057B">
      <w:pPr>
        <w:spacing w:line="360" w:lineRule="auto"/>
        <w:jc w:val="both"/>
        <w:rPr>
          <w:rFonts w:ascii="Arial" w:eastAsia="Calibri" w:hAnsi="Arial" w:cs="Arial"/>
          <w:sz w:val="24"/>
          <w:szCs w:val="24"/>
        </w:rPr>
      </w:pPr>
      <w:r w:rsidRPr="007E5C02">
        <w:rPr>
          <w:rFonts w:ascii="Arial" w:eastAsia="Calibri" w:hAnsi="Arial" w:cs="Arial"/>
          <w:sz w:val="24"/>
          <w:szCs w:val="24"/>
        </w:rPr>
        <w:t xml:space="preserve">FOR THE </w:t>
      </w:r>
      <w:r w:rsidR="004318C2">
        <w:rPr>
          <w:rFonts w:ascii="Arial" w:eastAsia="Calibri" w:hAnsi="Arial" w:cs="Arial"/>
          <w:sz w:val="24"/>
          <w:szCs w:val="24"/>
        </w:rPr>
        <w:t xml:space="preserve">FIRST AND SECOND </w:t>
      </w:r>
      <w:r w:rsidRPr="007E5C02">
        <w:rPr>
          <w:rFonts w:ascii="Arial" w:eastAsia="Calibri" w:hAnsi="Arial" w:cs="Arial"/>
          <w:sz w:val="24"/>
          <w:szCs w:val="24"/>
        </w:rPr>
        <w:t>APPLICANT</w:t>
      </w:r>
      <w:r w:rsidR="004318C2">
        <w:rPr>
          <w:rFonts w:ascii="Arial" w:eastAsia="Calibri" w:hAnsi="Arial" w:cs="Arial"/>
          <w:sz w:val="24"/>
          <w:szCs w:val="24"/>
        </w:rPr>
        <w:t>S</w:t>
      </w:r>
      <w:r w:rsidRPr="007E5C02">
        <w:rPr>
          <w:rFonts w:ascii="Arial" w:eastAsia="Calibri" w:hAnsi="Arial" w:cs="Arial"/>
          <w:sz w:val="24"/>
          <w:szCs w:val="24"/>
        </w:rPr>
        <w:t xml:space="preserve">:  </w:t>
      </w:r>
      <w:r w:rsidR="004318C2">
        <w:rPr>
          <w:rFonts w:ascii="Arial" w:eastAsia="Calibri" w:hAnsi="Arial" w:cs="Arial"/>
          <w:sz w:val="24"/>
          <w:szCs w:val="24"/>
        </w:rPr>
        <w:t>ADV. N. MATHLE-NDLAZI</w:t>
      </w:r>
      <w:r w:rsidR="004318C2" w:rsidRPr="007E5C02">
        <w:rPr>
          <w:rFonts w:ascii="Arial" w:eastAsia="Calibri" w:hAnsi="Arial" w:cs="Arial"/>
          <w:sz w:val="24"/>
          <w:szCs w:val="24"/>
        </w:rPr>
        <w:t xml:space="preserve"> </w:t>
      </w:r>
    </w:p>
    <w:p w:rsidR="004318C2" w:rsidRDefault="004318C2" w:rsidP="0047057B">
      <w:pPr>
        <w:spacing w:line="360" w:lineRule="auto"/>
        <w:jc w:val="both"/>
        <w:rPr>
          <w:rFonts w:ascii="Arial" w:eastAsia="Calibri" w:hAnsi="Arial" w:cs="Arial"/>
          <w:sz w:val="24"/>
          <w:szCs w:val="24"/>
        </w:rPr>
      </w:pPr>
    </w:p>
    <w:p w:rsidR="0047057B" w:rsidRPr="007E5C02" w:rsidRDefault="004318C2" w:rsidP="0047057B">
      <w:pPr>
        <w:spacing w:line="360" w:lineRule="auto"/>
        <w:jc w:val="both"/>
        <w:rPr>
          <w:rFonts w:ascii="Arial" w:eastAsia="Calibri" w:hAnsi="Arial" w:cs="Arial"/>
          <w:sz w:val="24"/>
          <w:szCs w:val="24"/>
        </w:rPr>
      </w:pPr>
      <w:r>
        <w:rPr>
          <w:rFonts w:ascii="Arial" w:eastAsia="Calibri" w:hAnsi="Arial" w:cs="Arial"/>
          <w:sz w:val="24"/>
          <w:szCs w:val="24"/>
        </w:rPr>
        <w:t>INSTRUCTED BY:  State Attorney, Pretoria</w:t>
      </w:r>
    </w:p>
    <w:p w:rsidR="004318C2" w:rsidRDefault="004318C2" w:rsidP="004318C2">
      <w:pPr>
        <w:spacing w:line="360" w:lineRule="auto"/>
        <w:jc w:val="both"/>
        <w:rPr>
          <w:rFonts w:ascii="Arial" w:eastAsia="Calibri" w:hAnsi="Arial" w:cs="Arial"/>
          <w:sz w:val="24"/>
          <w:szCs w:val="24"/>
        </w:rPr>
      </w:pPr>
    </w:p>
    <w:p w:rsidR="004318C2" w:rsidRPr="007E5C02" w:rsidRDefault="004318C2" w:rsidP="004318C2">
      <w:pPr>
        <w:spacing w:line="360" w:lineRule="auto"/>
        <w:jc w:val="both"/>
        <w:rPr>
          <w:rFonts w:ascii="Arial" w:eastAsia="Calibri" w:hAnsi="Arial" w:cs="Arial"/>
          <w:sz w:val="24"/>
          <w:szCs w:val="24"/>
        </w:rPr>
      </w:pPr>
      <w:r>
        <w:rPr>
          <w:rFonts w:ascii="Arial" w:eastAsia="Calibri" w:hAnsi="Arial" w:cs="Arial"/>
          <w:sz w:val="24"/>
          <w:szCs w:val="24"/>
        </w:rPr>
        <w:t>FOR THE RESPONDENT</w:t>
      </w:r>
      <w:r w:rsidR="0047057B" w:rsidRPr="007E5C02">
        <w:rPr>
          <w:rFonts w:ascii="Arial" w:eastAsia="Calibri" w:hAnsi="Arial" w:cs="Arial"/>
          <w:sz w:val="24"/>
          <w:szCs w:val="24"/>
        </w:rPr>
        <w:t xml:space="preserve">:  </w:t>
      </w:r>
      <w:r w:rsidRPr="007E5C02">
        <w:rPr>
          <w:rFonts w:ascii="Arial" w:eastAsia="Calibri" w:hAnsi="Arial" w:cs="Arial"/>
          <w:sz w:val="24"/>
          <w:szCs w:val="24"/>
        </w:rPr>
        <w:t xml:space="preserve">ADV. </w:t>
      </w:r>
      <w:r>
        <w:rPr>
          <w:rFonts w:ascii="Arial" w:eastAsia="Calibri" w:hAnsi="Arial" w:cs="Arial"/>
          <w:sz w:val="24"/>
          <w:szCs w:val="24"/>
        </w:rPr>
        <w:t>J. VORSTER</w:t>
      </w:r>
    </w:p>
    <w:p w:rsidR="0047057B" w:rsidRPr="007E5C02" w:rsidRDefault="0047057B" w:rsidP="0047057B">
      <w:pPr>
        <w:spacing w:line="360" w:lineRule="auto"/>
        <w:jc w:val="both"/>
        <w:rPr>
          <w:rFonts w:ascii="Arial" w:eastAsia="Calibri" w:hAnsi="Arial" w:cs="Arial"/>
          <w:sz w:val="24"/>
          <w:szCs w:val="24"/>
        </w:rPr>
      </w:pPr>
    </w:p>
    <w:p w:rsidR="004318C2" w:rsidRPr="007E5C02" w:rsidRDefault="0047057B" w:rsidP="004318C2">
      <w:pPr>
        <w:spacing w:line="360" w:lineRule="auto"/>
        <w:jc w:val="both"/>
        <w:rPr>
          <w:rFonts w:ascii="Arial" w:eastAsia="Calibri" w:hAnsi="Arial" w:cs="Arial"/>
          <w:sz w:val="24"/>
          <w:szCs w:val="24"/>
        </w:rPr>
      </w:pPr>
      <w:r w:rsidRPr="007E5C02">
        <w:rPr>
          <w:rFonts w:ascii="Arial" w:eastAsia="Calibri" w:hAnsi="Arial" w:cs="Arial"/>
          <w:sz w:val="24"/>
          <w:szCs w:val="24"/>
        </w:rPr>
        <w:t xml:space="preserve">INSTRUCTED BY:  </w:t>
      </w:r>
      <w:r w:rsidR="004318C2">
        <w:rPr>
          <w:rFonts w:ascii="Arial" w:eastAsia="Calibri" w:hAnsi="Arial" w:cs="Arial"/>
          <w:sz w:val="24"/>
          <w:szCs w:val="24"/>
        </w:rPr>
        <w:t>Werksmans Incorporated</w:t>
      </w:r>
    </w:p>
    <w:p w:rsidR="0047057B" w:rsidRPr="007E5C02" w:rsidRDefault="0047057B" w:rsidP="0047057B">
      <w:pPr>
        <w:spacing w:line="360" w:lineRule="auto"/>
        <w:jc w:val="both"/>
        <w:rPr>
          <w:rFonts w:ascii="Arial" w:eastAsia="Calibri" w:hAnsi="Arial" w:cs="Arial"/>
          <w:sz w:val="24"/>
          <w:szCs w:val="24"/>
        </w:rPr>
      </w:pPr>
    </w:p>
    <w:p w:rsidR="0047057B" w:rsidRPr="007E5C02" w:rsidRDefault="0047057B" w:rsidP="0047057B">
      <w:pPr>
        <w:spacing w:line="360" w:lineRule="auto"/>
        <w:jc w:val="both"/>
        <w:rPr>
          <w:rFonts w:ascii="Arial" w:eastAsia="Calibri" w:hAnsi="Arial" w:cs="Arial"/>
          <w:sz w:val="24"/>
          <w:szCs w:val="24"/>
        </w:rPr>
      </w:pPr>
      <w:r w:rsidRPr="007E5C02">
        <w:rPr>
          <w:rFonts w:ascii="Arial" w:eastAsia="Calibri" w:hAnsi="Arial" w:cs="Arial"/>
          <w:sz w:val="24"/>
          <w:szCs w:val="24"/>
        </w:rPr>
        <w:t xml:space="preserve">DATE OF JUDGMENT:   </w:t>
      </w:r>
      <w:r w:rsidR="00144DE0">
        <w:rPr>
          <w:rFonts w:ascii="Arial" w:eastAsia="Calibri" w:hAnsi="Arial" w:cs="Arial"/>
          <w:sz w:val="24"/>
          <w:szCs w:val="24"/>
        </w:rPr>
        <w:t>6 November 2023</w:t>
      </w:r>
    </w:p>
    <w:p w:rsidR="0047057B" w:rsidRPr="007E5C02" w:rsidRDefault="0047057B" w:rsidP="0047057B">
      <w:pPr>
        <w:spacing w:line="360" w:lineRule="auto"/>
        <w:jc w:val="both"/>
        <w:rPr>
          <w:rFonts w:ascii="Arial" w:hAnsi="Arial" w:cs="Arial"/>
          <w:sz w:val="24"/>
          <w:szCs w:val="24"/>
        </w:rPr>
      </w:pPr>
    </w:p>
    <w:p w:rsidR="0047057B" w:rsidRPr="003101C1" w:rsidRDefault="0047057B" w:rsidP="0047057B">
      <w:pPr>
        <w:spacing w:line="240" w:lineRule="auto"/>
        <w:jc w:val="right"/>
        <w:rPr>
          <w:rFonts w:ascii="Arial" w:eastAsia="Calibri" w:hAnsi="Arial" w:cs="Arial"/>
          <w:b/>
          <w:sz w:val="24"/>
          <w:szCs w:val="24"/>
        </w:rPr>
      </w:pPr>
    </w:p>
    <w:p w:rsidR="0047057B" w:rsidRPr="003101C1" w:rsidRDefault="0047057B" w:rsidP="0047057B">
      <w:pPr>
        <w:spacing w:line="240" w:lineRule="auto"/>
        <w:rPr>
          <w:rFonts w:ascii="Arial" w:eastAsia="Calibri" w:hAnsi="Arial" w:cs="Arial"/>
          <w:sz w:val="24"/>
          <w:szCs w:val="24"/>
        </w:rPr>
      </w:pPr>
    </w:p>
    <w:p w:rsidR="0047057B" w:rsidRPr="003101C1" w:rsidRDefault="0047057B" w:rsidP="0047057B">
      <w:pPr>
        <w:rPr>
          <w:rFonts w:ascii="Arial" w:hAnsi="Arial" w:cs="Arial"/>
          <w:b/>
          <w:sz w:val="24"/>
          <w:szCs w:val="24"/>
        </w:rPr>
      </w:pPr>
    </w:p>
    <w:p w:rsidR="0047057B" w:rsidRDefault="0047057B" w:rsidP="0047057B"/>
    <w:p w:rsidR="0047057B" w:rsidRDefault="0047057B" w:rsidP="0047057B"/>
    <w:p w:rsidR="0047057B" w:rsidRDefault="0047057B" w:rsidP="0047057B"/>
    <w:p w:rsidR="0047057B" w:rsidRDefault="0047057B" w:rsidP="0047057B"/>
    <w:p w:rsidR="0047057B" w:rsidRDefault="0047057B" w:rsidP="0047057B"/>
    <w:p w:rsidR="004928EA" w:rsidRDefault="00985B61"/>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61" w:rsidRDefault="00985B61" w:rsidP="0047057B">
      <w:pPr>
        <w:spacing w:after="0" w:line="240" w:lineRule="auto"/>
      </w:pPr>
      <w:r>
        <w:separator/>
      </w:r>
    </w:p>
  </w:endnote>
  <w:endnote w:type="continuationSeparator" w:id="0">
    <w:p w:rsidR="00985B61" w:rsidRDefault="00985B61" w:rsidP="0047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61" w:rsidRDefault="00985B61" w:rsidP="0047057B">
      <w:pPr>
        <w:spacing w:after="0" w:line="240" w:lineRule="auto"/>
      </w:pPr>
      <w:r>
        <w:separator/>
      </w:r>
    </w:p>
  </w:footnote>
  <w:footnote w:type="continuationSeparator" w:id="0">
    <w:p w:rsidR="00985B61" w:rsidRDefault="00985B61" w:rsidP="0047057B">
      <w:pPr>
        <w:spacing w:after="0" w:line="240" w:lineRule="auto"/>
      </w:pPr>
      <w:r>
        <w:continuationSeparator/>
      </w:r>
    </w:p>
  </w:footnote>
  <w:footnote w:id="1">
    <w:p w:rsidR="002752D0" w:rsidRPr="002752D0" w:rsidRDefault="002752D0">
      <w:pPr>
        <w:pStyle w:val="FootnoteText"/>
      </w:pPr>
      <w:r>
        <w:rPr>
          <w:rStyle w:val="FootnoteReference"/>
        </w:rPr>
        <w:footnoteRef/>
      </w:r>
      <w:r>
        <w:t xml:space="preserve"> </w:t>
      </w:r>
      <w:r>
        <w:rPr>
          <w:i/>
        </w:rPr>
        <w:t xml:space="preserve">Caratco (Pty) Ltd v Independent Advisory (Pty) Ltd </w:t>
      </w:r>
      <w:r>
        <w:t>2020 (5) SA 35 (SCA) paragraph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985B61">
        <w:pPr>
          <w:pStyle w:val="Header"/>
          <w:jc w:val="center"/>
        </w:pPr>
        <w:r>
          <w:fldChar w:fldCharType="begin"/>
        </w:r>
        <w:r>
          <w:instrText xml:space="preserve"> PAGE   \* MERGEFORMAT </w:instrText>
        </w:r>
        <w:r>
          <w:fldChar w:fldCharType="separate"/>
        </w:r>
        <w:r w:rsidR="00E42C61">
          <w:rPr>
            <w:noProof/>
          </w:rPr>
          <w:t>1</w:t>
        </w:r>
        <w:r>
          <w:rPr>
            <w:noProof/>
          </w:rPr>
          <w:fldChar w:fldCharType="end"/>
        </w:r>
      </w:p>
    </w:sdtContent>
  </w:sdt>
  <w:p w:rsidR="00040901" w:rsidRDefault="00985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F4"/>
    <w:multiLevelType w:val="multilevel"/>
    <w:tmpl w:val="2CB6B1E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7B"/>
    <w:rsid w:val="00041F00"/>
    <w:rsid w:val="00144DE0"/>
    <w:rsid w:val="002752D0"/>
    <w:rsid w:val="0031244D"/>
    <w:rsid w:val="003B77D9"/>
    <w:rsid w:val="003C4C07"/>
    <w:rsid w:val="003D6758"/>
    <w:rsid w:val="00416876"/>
    <w:rsid w:val="004318C2"/>
    <w:rsid w:val="0047057B"/>
    <w:rsid w:val="005414C0"/>
    <w:rsid w:val="0085646A"/>
    <w:rsid w:val="0096428B"/>
    <w:rsid w:val="00985B61"/>
    <w:rsid w:val="009D037C"/>
    <w:rsid w:val="00B40B58"/>
    <w:rsid w:val="00B55070"/>
    <w:rsid w:val="00BB5838"/>
    <w:rsid w:val="00DC466B"/>
    <w:rsid w:val="00E42C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5C97"/>
  <w15:chartTrackingRefBased/>
  <w15:docId w15:val="{BA05DE11-5455-4DEA-84CB-7BEDD268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7B"/>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57B"/>
    <w:rPr>
      <w:rFonts w:eastAsia="SimSun"/>
    </w:rPr>
  </w:style>
  <w:style w:type="character" w:customStyle="1" w:styleId="a">
    <w:name w:val="正文文本_"/>
    <w:basedOn w:val="DefaultParagraphFont"/>
    <w:link w:val="a0"/>
    <w:rsid w:val="0047057B"/>
    <w:rPr>
      <w:rFonts w:ascii="Arial" w:eastAsia="Arial" w:hAnsi="Arial" w:cs="Arial"/>
      <w:shd w:val="clear" w:color="auto" w:fill="FFFFFF"/>
    </w:rPr>
  </w:style>
  <w:style w:type="paragraph" w:customStyle="1" w:styleId="a0">
    <w:name w:val="正文文本"/>
    <w:basedOn w:val="Normal"/>
    <w:link w:val="a"/>
    <w:rsid w:val="0047057B"/>
    <w:pPr>
      <w:widowControl w:val="0"/>
      <w:shd w:val="clear" w:color="auto" w:fill="FFFFFF"/>
      <w:spacing w:after="540" w:line="480" w:lineRule="auto"/>
    </w:pPr>
    <w:rPr>
      <w:rFonts w:ascii="Arial" w:eastAsia="Arial" w:hAnsi="Arial" w:cs="Arial"/>
    </w:rPr>
  </w:style>
  <w:style w:type="character" w:customStyle="1" w:styleId="2">
    <w:name w:val="正文文本 (2)_"/>
    <w:basedOn w:val="DefaultParagraphFont"/>
    <w:link w:val="20"/>
    <w:rsid w:val="0047057B"/>
    <w:rPr>
      <w:rFonts w:ascii="Arial" w:eastAsia="Arial" w:hAnsi="Arial" w:cs="Arial"/>
      <w:sz w:val="13"/>
      <w:szCs w:val="13"/>
      <w:shd w:val="clear" w:color="auto" w:fill="FFFFFF"/>
      <w:lang w:val="zh-CN" w:eastAsia="zh-CN" w:bidi="zh-CN"/>
    </w:rPr>
  </w:style>
  <w:style w:type="paragraph" w:customStyle="1" w:styleId="20">
    <w:name w:val="正文文本 (2)"/>
    <w:basedOn w:val="Normal"/>
    <w:link w:val="2"/>
    <w:rsid w:val="0047057B"/>
    <w:pPr>
      <w:widowControl w:val="0"/>
      <w:shd w:val="clear" w:color="auto" w:fill="FFFFFF"/>
      <w:spacing w:after="0" w:line="240" w:lineRule="auto"/>
    </w:pPr>
    <w:rPr>
      <w:rFonts w:ascii="Arial" w:eastAsia="Arial" w:hAnsi="Arial" w:cs="Arial"/>
      <w:sz w:val="13"/>
      <w:szCs w:val="13"/>
      <w:lang w:val="zh-CN" w:eastAsia="zh-CN" w:bidi="zh-CN"/>
    </w:rPr>
  </w:style>
  <w:style w:type="paragraph" w:styleId="FootnoteText">
    <w:name w:val="footnote text"/>
    <w:basedOn w:val="Normal"/>
    <w:link w:val="FootnoteTextChar"/>
    <w:uiPriority w:val="99"/>
    <w:semiHidden/>
    <w:unhideWhenUsed/>
    <w:rsid w:val="00470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57B"/>
    <w:rPr>
      <w:rFonts w:eastAsia="SimSun"/>
      <w:sz w:val="20"/>
      <w:szCs w:val="20"/>
    </w:rPr>
  </w:style>
  <w:style w:type="character" w:styleId="FootnoteReference">
    <w:name w:val="footnote reference"/>
    <w:basedOn w:val="DefaultParagraphFont"/>
    <w:uiPriority w:val="99"/>
    <w:semiHidden/>
    <w:unhideWhenUsed/>
    <w:rsid w:val="0047057B"/>
    <w:rPr>
      <w:vertAlign w:val="superscript"/>
    </w:rPr>
  </w:style>
  <w:style w:type="paragraph" w:styleId="ListParagraph">
    <w:name w:val="List Paragraph"/>
    <w:basedOn w:val="Normal"/>
    <w:uiPriority w:val="34"/>
    <w:qFormat/>
    <w:rsid w:val="0047057B"/>
    <w:pPr>
      <w:ind w:left="720"/>
      <w:contextualSpacing/>
    </w:pPr>
  </w:style>
  <w:style w:type="paragraph" w:styleId="BalloonText">
    <w:name w:val="Balloon Text"/>
    <w:basedOn w:val="Normal"/>
    <w:link w:val="BalloonTextChar"/>
    <w:uiPriority w:val="99"/>
    <w:semiHidden/>
    <w:unhideWhenUsed/>
    <w:rsid w:val="00541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C0"/>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C11C-920F-47D1-B00E-7AB02B5E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16</cp:revision>
  <cp:lastPrinted>2023-11-06T09:07:00Z</cp:lastPrinted>
  <dcterms:created xsi:type="dcterms:W3CDTF">2023-11-06T06:51:00Z</dcterms:created>
  <dcterms:modified xsi:type="dcterms:W3CDTF">2023-11-06T11:43:00Z</dcterms:modified>
</cp:coreProperties>
</file>