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090A" w14:textId="77777777" w:rsidR="00413DA1" w:rsidRDefault="00EF1771">
      <w:pPr>
        <w:pStyle w:val="BodyA"/>
        <w:suppressAutoHyphens/>
        <w:spacing w:line="360" w:lineRule="auto"/>
        <w:jc w:val="center"/>
        <w:rPr>
          <w:b/>
          <w:bCs/>
          <w:sz w:val="28"/>
          <w:szCs w:val="28"/>
        </w:rPr>
      </w:pPr>
      <w:r>
        <w:rPr>
          <w:b/>
          <w:bCs/>
        </w:rPr>
        <w:t>REPUBLIC OF SOUTH AFRICA</w:t>
      </w:r>
    </w:p>
    <w:p w14:paraId="4ECE921C" w14:textId="77777777" w:rsidR="00413DA1" w:rsidRDefault="00EF1771">
      <w:pPr>
        <w:pStyle w:val="BodyA"/>
        <w:suppressAutoHyphens/>
        <w:spacing w:line="360" w:lineRule="auto"/>
        <w:jc w:val="center"/>
        <w:rPr>
          <w:b/>
          <w:bCs/>
        </w:rPr>
      </w:pPr>
      <w:r>
        <w:rPr>
          <w:rFonts w:ascii="Times New Roman" w:eastAsia="Times New Roman" w:hAnsi="Times New Roman" w:cs="Times New Roman"/>
          <w:b/>
          <w:bCs/>
          <w:noProof/>
          <w:lang w:val="en-ZA"/>
        </w:rPr>
        <w:drawing>
          <wp:inline distT="0" distB="0" distL="0" distR="0" wp14:anchorId="7FB544EA" wp14:editId="6821B40D">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inline>
        </w:drawing>
      </w:r>
    </w:p>
    <w:p w14:paraId="65C80EF7" w14:textId="77777777" w:rsidR="00413DA1" w:rsidRDefault="00EF1771">
      <w:pPr>
        <w:pStyle w:val="BodyA"/>
        <w:suppressAutoHyphens/>
        <w:spacing w:line="360" w:lineRule="auto"/>
        <w:jc w:val="center"/>
        <w:rPr>
          <w:b/>
          <w:bCs/>
        </w:rPr>
      </w:pPr>
      <w:r>
        <w:rPr>
          <w:b/>
          <w:bCs/>
        </w:rPr>
        <w:t>IN THE HIGH COURT OF SOUTH AFRICA</w:t>
      </w:r>
    </w:p>
    <w:p w14:paraId="46F30EEB" w14:textId="77777777" w:rsidR="00413DA1" w:rsidRDefault="00EF1771">
      <w:pPr>
        <w:pStyle w:val="BodyA"/>
        <w:suppressAutoHyphens/>
        <w:spacing w:line="360" w:lineRule="auto"/>
        <w:jc w:val="center"/>
        <w:rPr>
          <w:b/>
          <w:bCs/>
          <w:sz w:val="28"/>
          <w:szCs w:val="28"/>
          <w:lang w:val="de-DE"/>
        </w:rPr>
      </w:pPr>
      <w:r>
        <w:rPr>
          <w:b/>
          <w:bCs/>
          <w:lang w:val="de-DE"/>
        </w:rPr>
        <w:t>GAUTENG DIVISION PRETORIA</w:t>
      </w:r>
    </w:p>
    <w:p w14:paraId="75902A81" w14:textId="77777777" w:rsidR="00413DA1" w:rsidRDefault="00EF1771">
      <w:pPr>
        <w:pStyle w:val="BodyA"/>
        <w:tabs>
          <w:tab w:val="left" w:pos="780"/>
        </w:tabs>
        <w:suppressAutoHyphens/>
        <w:spacing w:line="360" w:lineRule="auto"/>
        <w:jc w:val="both"/>
      </w:pPr>
      <w:r>
        <w:tab/>
      </w:r>
    </w:p>
    <w:p w14:paraId="36BB8E99" w14:textId="77777777" w:rsidR="00413DA1" w:rsidRDefault="00EF1771">
      <w:pPr>
        <w:pStyle w:val="BodyA"/>
        <w:tabs>
          <w:tab w:val="left" w:pos="780"/>
        </w:tabs>
        <w:suppressAutoHyphens/>
        <w:spacing w:line="360" w:lineRule="auto"/>
        <w:jc w:val="right"/>
        <w:rPr>
          <w:b/>
          <w:bCs/>
          <w:sz w:val="26"/>
          <w:szCs w:val="26"/>
        </w:rPr>
      </w:pPr>
      <w:r>
        <w:tab/>
      </w:r>
      <w:r>
        <w:tab/>
      </w:r>
      <w:r>
        <w:tab/>
      </w:r>
      <w:r>
        <w:tab/>
      </w:r>
      <w:r>
        <w:tab/>
      </w:r>
      <w:r>
        <w:tab/>
      </w:r>
      <w:r>
        <w:tab/>
      </w:r>
      <w:r>
        <w:tab/>
      </w:r>
      <w:r>
        <w:rPr>
          <w:b/>
          <w:bCs/>
        </w:rPr>
        <w:tab/>
        <w:t>CASE NO: 65703/2020</w:t>
      </w:r>
    </w:p>
    <w:p w14:paraId="545A679C" w14:textId="77777777" w:rsidR="00413DA1" w:rsidRDefault="00EF1771">
      <w:pPr>
        <w:pStyle w:val="BodyA"/>
        <w:tabs>
          <w:tab w:val="left" w:pos="780"/>
        </w:tabs>
        <w:suppressAutoHyphens/>
        <w:spacing w:line="360" w:lineRule="auto"/>
        <w:jc w:val="right"/>
        <w:rPr>
          <w:b/>
          <w:bCs/>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483D94">
        <w:rPr>
          <w:b/>
          <w:bCs/>
          <w:szCs w:val="26"/>
        </w:rPr>
        <w:t>DOH:</w:t>
      </w:r>
      <w:r w:rsidR="00483D94" w:rsidRPr="00483D94">
        <w:rPr>
          <w:b/>
          <w:bCs/>
          <w:szCs w:val="26"/>
        </w:rPr>
        <w:t xml:space="preserve"> 01 November </w:t>
      </w:r>
      <w:r w:rsidRPr="00483D94">
        <w:rPr>
          <w:b/>
          <w:bCs/>
          <w:szCs w:val="26"/>
        </w:rPr>
        <w:t>2023</w:t>
      </w:r>
    </w:p>
    <w:p w14:paraId="2B45B852" w14:textId="77777777" w:rsidR="00483D94" w:rsidRDefault="00483D94">
      <w:pPr>
        <w:pStyle w:val="BodyA"/>
        <w:tabs>
          <w:tab w:val="left" w:pos="780"/>
        </w:tabs>
        <w:suppressAutoHyphens/>
        <w:spacing w:line="360" w:lineRule="auto"/>
        <w:jc w:val="right"/>
        <w:rPr>
          <w:b/>
          <w:bCs/>
          <w:sz w:val="28"/>
          <w:szCs w:val="28"/>
        </w:rPr>
      </w:pPr>
    </w:p>
    <w:p w14:paraId="2CBCE3CD" w14:textId="77777777" w:rsidR="00413DA1" w:rsidRDefault="00EF1771">
      <w:pPr>
        <w:pStyle w:val="BodyA"/>
        <w:suppressAutoHyphens/>
        <w:spacing w:line="360" w:lineRule="auto"/>
        <w:ind w:left="785"/>
        <w:jc w:val="both"/>
        <w:rPr>
          <w:b/>
          <w:bCs/>
          <w:kern w:val="25"/>
        </w:rPr>
      </w:pPr>
      <w:r>
        <w:rPr>
          <w:rFonts w:ascii="Times New Roman" w:eastAsia="Times New Roman" w:hAnsi="Times New Roman" w:cs="Times New Roman"/>
          <w:b/>
          <w:bCs/>
          <w:noProof/>
          <w:kern w:val="25"/>
          <w:lang w:val="en-ZA"/>
        </w:rPr>
        <mc:AlternateContent>
          <mc:Choice Requires="wpg">
            <w:drawing>
              <wp:anchor distT="0" distB="0" distL="0" distR="0" simplePos="0" relativeHeight="251659264" behindDoc="0" locked="0" layoutInCell="1" allowOverlap="1" wp14:anchorId="7005380D" wp14:editId="1344490E">
                <wp:simplePos x="0" y="0"/>
                <wp:positionH relativeFrom="page">
                  <wp:posOffset>656588</wp:posOffset>
                </wp:positionH>
                <wp:positionV relativeFrom="line">
                  <wp:posOffset>264159</wp:posOffset>
                </wp:positionV>
                <wp:extent cx="3816350" cy="1459236"/>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816350" cy="1459236"/>
                          <a:chOff x="0" y="0"/>
                          <a:chExt cx="3816350" cy="1459235"/>
                        </a:xfrm>
                      </wpg:grpSpPr>
                      <wps:wsp>
                        <wps:cNvPr id="1073741826" name="Rectangle"/>
                        <wps:cNvSpPr/>
                        <wps:spPr>
                          <a:xfrm>
                            <a:off x="0" y="-1"/>
                            <a:ext cx="3816350" cy="1459236"/>
                          </a:xfrm>
                          <a:prstGeom prst="rect">
                            <a:avLst/>
                          </a:prstGeom>
                          <a:solidFill>
                            <a:srgbClr val="FFFFFF"/>
                          </a:solidFill>
                          <a:ln w="10160" cap="flat">
                            <a:solidFill>
                              <a:srgbClr val="000000"/>
                            </a:solidFill>
                            <a:prstDash val="solid"/>
                            <a:round/>
                          </a:ln>
                          <a:effectLst/>
                        </wps:spPr>
                        <wps:bodyPr/>
                      </wps:wsp>
                      <wps:wsp>
                        <wps:cNvPr id="1073741827" name="REPORTABLE: YES…"/>
                        <wps:cNvSpPr txBox="1"/>
                        <wps:spPr>
                          <a:xfrm>
                            <a:off x="91437" y="-1"/>
                            <a:ext cx="3633475" cy="1459236"/>
                          </a:xfrm>
                          <a:prstGeom prst="rect">
                            <a:avLst/>
                          </a:prstGeom>
                          <a:noFill/>
                          <a:ln w="12700" cap="flat">
                            <a:noFill/>
                            <a:miter lim="400000"/>
                          </a:ln>
                          <a:effectLst/>
                        </wps:spPr>
                        <wps:txbx>
                          <w:txbxContent>
                            <w:p w14:paraId="5DC2A315" w14:textId="77777777" w:rsidR="00413DA1" w:rsidRDefault="00413DA1">
                              <w:pPr>
                                <w:pStyle w:val="BodyA"/>
                                <w:jc w:val="center"/>
                                <w:rPr>
                                  <w:rFonts w:ascii="Century Gothic" w:eastAsia="Century Gothic" w:hAnsi="Century Gothic" w:cs="Century Gothic"/>
                                  <w:b/>
                                  <w:bCs/>
                                  <w:sz w:val="2"/>
                                  <w:szCs w:val="2"/>
                                </w:rPr>
                              </w:pPr>
                            </w:p>
                            <w:p w14:paraId="0EF750B2" w14:textId="60E96520" w:rsidR="00413DA1" w:rsidRDefault="00DF26D0" w:rsidP="00DF26D0">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EF1771">
                                <w:rPr>
                                  <w:rFonts w:ascii="Century Gothic" w:hAnsi="Century Gothic"/>
                                  <w:sz w:val="20"/>
                                  <w:szCs w:val="20"/>
                                </w:rPr>
                                <w:t>REPORTABLE: YES</w:t>
                              </w:r>
                            </w:p>
                            <w:p w14:paraId="40DF7E00" w14:textId="4846D86B" w:rsidR="00413DA1" w:rsidRDefault="00DF26D0" w:rsidP="00DF26D0">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EF1771">
                                <w:rPr>
                                  <w:rFonts w:ascii="Century Gothic" w:hAnsi="Century Gothic"/>
                                  <w:sz w:val="20"/>
                                  <w:szCs w:val="20"/>
                                </w:rPr>
                                <w:t>OF INTEREST TO OTHER JUDGES: YES</w:t>
                              </w:r>
                            </w:p>
                            <w:p w14:paraId="58F1AED3" w14:textId="25FBCF27" w:rsidR="00413DA1" w:rsidRDefault="00DF26D0" w:rsidP="00DF26D0">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EF1771">
                                <w:rPr>
                                  <w:rFonts w:ascii="Century Gothic" w:hAnsi="Century Gothic"/>
                                  <w:sz w:val="20"/>
                                  <w:szCs w:val="20"/>
                                </w:rPr>
                                <w:t xml:space="preserve">REVISED. </w:t>
                              </w:r>
                            </w:p>
                            <w:p w14:paraId="4ACCB2E9" w14:textId="77777777" w:rsidR="00413DA1" w:rsidRDefault="00413DA1">
                              <w:pPr>
                                <w:pStyle w:val="BodyA"/>
                                <w:rPr>
                                  <w:rFonts w:ascii="Century Gothic" w:eastAsia="Century Gothic" w:hAnsi="Century Gothic" w:cs="Century Gothic"/>
                                  <w:b/>
                                  <w:bCs/>
                                  <w:sz w:val="18"/>
                                  <w:szCs w:val="18"/>
                                </w:rPr>
                              </w:pPr>
                            </w:p>
                            <w:p w14:paraId="29F881D1" w14:textId="77777777" w:rsidR="00413DA1" w:rsidRPr="00483D94" w:rsidRDefault="00EF1771">
                              <w:pPr>
                                <w:pStyle w:val="BodyA"/>
                                <w:rPr>
                                  <w:rFonts w:ascii="Century Gothic" w:eastAsia="Century Gothic" w:hAnsi="Century Gothic" w:cs="Century Gothic"/>
                                  <w:b/>
                                  <w:bCs/>
                                  <w:sz w:val="18"/>
                                  <w:szCs w:val="18"/>
                                  <w:u w:val="dotted"/>
                                </w:rPr>
                              </w:pPr>
                              <w:r>
                                <w:rPr>
                                  <w:rFonts w:ascii="Century Gothic" w:hAnsi="Century Gothic"/>
                                  <w:b/>
                                  <w:bCs/>
                                  <w:sz w:val="18"/>
                                  <w:szCs w:val="18"/>
                                </w:rPr>
                                <w:t>…………..…………</w:t>
                              </w:r>
                              <w:r w:rsidR="00483D94">
                                <w:rPr>
                                  <w:rFonts w:ascii="Century Gothic" w:hAnsi="Century Gothic"/>
                                  <w:b/>
                                  <w:bCs/>
                                  <w:sz w:val="18"/>
                                  <w:szCs w:val="18"/>
                                </w:rPr>
                                <w:t>.............</w:t>
                              </w:r>
                              <w:r w:rsidR="00483D94">
                                <w:rPr>
                                  <w:rFonts w:ascii="Century Gothic" w:hAnsi="Century Gothic"/>
                                  <w:b/>
                                  <w:bCs/>
                                  <w:sz w:val="18"/>
                                  <w:szCs w:val="18"/>
                                </w:rPr>
                                <w:tab/>
                              </w:r>
                              <w:r w:rsidR="00483D94">
                                <w:rPr>
                                  <w:rFonts w:ascii="Century Gothic" w:hAnsi="Century Gothic"/>
                                  <w:b/>
                                  <w:bCs/>
                                  <w:sz w:val="18"/>
                                  <w:szCs w:val="18"/>
                                  <w:u w:val="dotted"/>
                                </w:rPr>
                                <w:t>13 November 2023</w:t>
                              </w:r>
                            </w:p>
                            <w:p w14:paraId="3D98FB5A" w14:textId="77777777" w:rsidR="00413DA1" w:rsidRDefault="00EF1771">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w14:anchorId="7005380D" id="officeArt object" o:spid="_x0000_s1026" alt="Group" style="position:absolute;left:0;text-align:left;margin-left:51.7pt;margin-top:20.8pt;width:300.5pt;height:114.9pt;z-index:251659264;mso-wrap-distance-left:0;mso-wrap-distance-right:0;mso-position-horizontal-relative:page;mso-position-vertical-relative:line"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YES…" o:spid="_x0000_s1028" type="#_x0000_t202" style="position:absolute;left:914;width:36335;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5DC2A315" w14:textId="77777777" w:rsidR="00413DA1" w:rsidRDefault="00413DA1">
                        <w:pPr>
                          <w:pStyle w:val="BodyA"/>
                          <w:jc w:val="center"/>
                          <w:rPr>
                            <w:rFonts w:ascii="Century Gothic" w:eastAsia="Century Gothic" w:hAnsi="Century Gothic" w:cs="Century Gothic"/>
                            <w:b/>
                            <w:bCs/>
                            <w:sz w:val="2"/>
                            <w:szCs w:val="2"/>
                          </w:rPr>
                        </w:pPr>
                      </w:p>
                      <w:p w14:paraId="0EF750B2" w14:textId="60E96520" w:rsidR="00413DA1" w:rsidRDefault="00DF26D0" w:rsidP="00DF26D0">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EF1771">
                          <w:rPr>
                            <w:rFonts w:ascii="Century Gothic" w:hAnsi="Century Gothic"/>
                            <w:sz w:val="20"/>
                            <w:szCs w:val="20"/>
                          </w:rPr>
                          <w:t>REPORTABLE: YES</w:t>
                        </w:r>
                      </w:p>
                      <w:p w14:paraId="40DF7E00" w14:textId="4846D86B" w:rsidR="00413DA1" w:rsidRDefault="00DF26D0" w:rsidP="00DF26D0">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EF1771">
                          <w:rPr>
                            <w:rFonts w:ascii="Century Gothic" w:hAnsi="Century Gothic"/>
                            <w:sz w:val="20"/>
                            <w:szCs w:val="20"/>
                          </w:rPr>
                          <w:t>OF INTEREST TO OTHER JUDGES: YES</w:t>
                        </w:r>
                      </w:p>
                      <w:p w14:paraId="58F1AED3" w14:textId="25FBCF27" w:rsidR="00413DA1" w:rsidRDefault="00DF26D0" w:rsidP="00DF26D0">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EF1771">
                          <w:rPr>
                            <w:rFonts w:ascii="Century Gothic" w:hAnsi="Century Gothic"/>
                            <w:sz w:val="20"/>
                            <w:szCs w:val="20"/>
                          </w:rPr>
                          <w:t xml:space="preserve">REVISED. </w:t>
                        </w:r>
                      </w:p>
                      <w:p w14:paraId="4ACCB2E9" w14:textId="77777777" w:rsidR="00413DA1" w:rsidRDefault="00413DA1">
                        <w:pPr>
                          <w:pStyle w:val="BodyA"/>
                          <w:rPr>
                            <w:rFonts w:ascii="Century Gothic" w:eastAsia="Century Gothic" w:hAnsi="Century Gothic" w:cs="Century Gothic"/>
                            <w:b/>
                            <w:bCs/>
                            <w:sz w:val="18"/>
                            <w:szCs w:val="18"/>
                          </w:rPr>
                        </w:pPr>
                      </w:p>
                      <w:p w14:paraId="29F881D1" w14:textId="77777777" w:rsidR="00413DA1" w:rsidRPr="00483D94" w:rsidRDefault="00EF1771">
                        <w:pPr>
                          <w:pStyle w:val="BodyA"/>
                          <w:rPr>
                            <w:rFonts w:ascii="Century Gothic" w:eastAsia="Century Gothic" w:hAnsi="Century Gothic" w:cs="Century Gothic"/>
                            <w:b/>
                            <w:bCs/>
                            <w:sz w:val="18"/>
                            <w:szCs w:val="18"/>
                            <w:u w:val="dotted"/>
                          </w:rPr>
                        </w:pPr>
                        <w:r>
                          <w:rPr>
                            <w:rFonts w:ascii="Century Gothic" w:hAnsi="Century Gothic"/>
                            <w:b/>
                            <w:bCs/>
                            <w:sz w:val="18"/>
                            <w:szCs w:val="18"/>
                          </w:rPr>
                          <w:t>…………..…………</w:t>
                        </w:r>
                        <w:r w:rsidR="00483D94">
                          <w:rPr>
                            <w:rFonts w:ascii="Century Gothic" w:hAnsi="Century Gothic"/>
                            <w:b/>
                            <w:bCs/>
                            <w:sz w:val="18"/>
                            <w:szCs w:val="18"/>
                          </w:rPr>
                          <w:t>.............</w:t>
                        </w:r>
                        <w:r w:rsidR="00483D94">
                          <w:rPr>
                            <w:rFonts w:ascii="Century Gothic" w:hAnsi="Century Gothic"/>
                            <w:b/>
                            <w:bCs/>
                            <w:sz w:val="18"/>
                            <w:szCs w:val="18"/>
                          </w:rPr>
                          <w:tab/>
                        </w:r>
                        <w:r w:rsidR="00483D94">
                          <w:rPr>
                            <w:rFonts w:ascii="Century Gothic" w:hAnsi="Century Gothic"/>
                            <w:b/>
                            <w:bCs/>
                            <w:sz w:val="18"/>
                            <w:szCs w:val="18"/>
                            <w:u w:val="dotted"/>
                          </w:rPr>
                          <w:t>13 November 2023</w:t>
                        </w:r>
                      </w:p>
                      <w:p w14:paraId="3D98FB5A" w14:textId="77777777" w:rsidR="00413DA1" w:rsidRDefault="00EF1771">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r>
        <w:rPr>
          <w:b/>
          <w:bCs/>
          <w:kern w:val="25"/>
        </w:rPr>
        <w:tab/>
      </w:r>
      <w:r>
        <w:rPr>
          <w:b/>
          <w:bCs/>
          <w:kern w:val="25"/>
        </w:rPr>
        <w:tab/>
      </w:r>
      <w:r>
        <w:rPr>
          <w:b/>
          <w:bCs/>
          <w:kern w:val="25"/>
        </w:rPr>
        <w:tab/>
      </w:r>
      <w:r>
        <w:rPr>
          <w:b/>
          <w:bCs/>
          <w:kern w:val="25"/>
        </w:rPr>
        <w:tab/>
      </w:r>
    </w:p>
    <w:p w14:paraId="657C0A49" w14:textId="77777777" w:rsidR="00413DA1" w:rsidRDefault="00413DA1">
      <w:pPr>
        <w:pStyle w:val="BodyA"/>
        <w:suppressAutoHyphens/>
        <w:spacing w:line="360" w:lineRule="auto"/>
        <w:ind w:left="785"/>
        <w:jc w:val="both"/>
        <w:rPr>
          <w:kern w:val="25"/>
        </w:rPr>
      </w:pPr>
    </w:p>
    <w:p w14:paraId="62A3720D" w14:textId="77777777" w:rsidR="00413DA1" w:rsidRDefault="00413DA1">
      <w:pPr>
        <w:pStyle w:val="BodyA"/>
        <w:suppressAutoHyphens/>
        <w:spacing w:line="360" w:lineRule="auto"/>
        <w:jc w:val="both"/>
        <w:rPr>
          <w:u w:val="single"/>
        </w:rPr>
      </w:pPr>
    </w:p>
    <w:p w14:paraId="335B4D44" w14:textId="77777777" w:rsidR="00413DA1" w:rsidRDefault="00413DA1">
      <w:pPr>
        <w:pStyle w:val="BodyA"/>
        <w:suppressAutoHyphens/>
        <w:spacing w:line="360" w:lineRule="auto"/>
        <w:jc w:val="both"/>
        <w:rPr>
          <w:u w:val="single"/>
        </w:rPr>
      </w:pPr>
    </w:p>
    <w:p w14:paraId="50AFFCCC" w14:textId="77777777" w:rsidR="00413DA1" w:rsidRDefault="00413DA1">
      <w:pPr>
        <w:pStyle w:val="BodyA"/>
        <w:suppressAutoHyphens/>
        <w:spacing w:line="360" w:lineRule="auto"/>
        <w:jc w:val="both"/>
        <w:rPr>
          <w:u w:val="single"/>
        </w:rPr>
      </w:pPr>
    </w:p>
    <w:p w14:paraId="0A8208D0" w14:textId="77777777" w:rsidR="00413DA1" w:rsidRDefault="00EF1771">
      <w:pPr>
        <w:pStyle w:val="BodyA"/>
        <w:tabs>
          <w:tab w:val="left" w:pos="6253"/>
        </w:tabs>
        <w:suppressAutoHyphens/>
        <w:spacing w:line="360" w:lineRule="auto"/>
        <w:jc w:val="both"/>
      </w:pPr>
      <w:r>
        <w:tab/>
      </w:r>
    </w:p>
    <w:p w14:paraId="3998B9DA" w14:textId="77777777" w:rsidR="00413DA1" w:rsidRDefault="00413DA1">
      <w:pPr>
        <w:pStyle w:val="BodyA"/>
        <w:tabs>
          <w:tab w:val="left" w:pos="6253"/>
        </w:tabs>
        <w:suppressAutoHyphens/>
        <w:spacing w:line="360" w:lineRule="auto"/>
        <w:jc w:val="both"/>
      </w:pPr>
    </w:p>
    <w:p w14:paraId="331EB311" w14:textId="77777777" w:rsidR="00413DA1" w:rsidRDefault="00413DA1">
      <w:pPr>
        <w:pStyle w:val="BodyA"/>
        <w:tabs>
          <w:tab w:val="left" w:pos="6253"/>
        </w:tabs>
        <w:suppressAutoHyphens/>
        <w:spacing w:line="360" w:lineRule="auto"/>
        <w:jc w:val="both"/>
      </w:pPr>
    </w:p>
    <w:p w14:paraId="3BC868F8" w14:textId="77777777" w:rsidR="00413DA1" w:rsidRDefault="00EF1771">
      <w:pPr>
        <w:pStyle w:val="BodyA"/>
        <w:tabs>
          <w:tab w:val="left" w:pos="6253"/>
        </w:tabs>
        <w:suppressAutoHyphens/>
        <w:spacing w:line="360" w:lineRule="auto"/>
        <w:jc w:val="both"/>
      </w:pPr>
      <w:r>
        <w:t>In the matter of:</w:t>
      </w:r>
    </w:p>
    <w:p w14:paraId="126FCB1D" w14:textId="77777777" w:rsidR="00221B61" w:rsidRDefault="00221B61">
      <w:pPr>
        <w:pStyle w:val="BodyA"/>
        <w:tabs>
          <w:tab w:val="left" w:pos="6253"/>
        </w:tabs>
        <w:suppressAutoHyphens/>
        <w:spacing w:line="360" w:lineRule="auto"/>
        <w:jc w:val="both"/>
      </w:pPr>
    </w:p>
    <w:p w14:paraId="65CFC2EB" w14:textId="77777777" w:rsidR="00413DA1" w:rsidRDefault="00EF1771" w:rsidP="00483D94">
      <w:pPr>
        <w:pStyle w:val="BodyA"/>
        <w:tabs>
          <w:tab w:val="right" w:pos="9356"/>
        </w:tabs>
        <w:suppressAutoHyphens/>
        <w:spacing w:line="360" w:lineRule="auto"/>
        <w:rPr>
          <w:b/>
          <w:bCs/>
          <w:lang w:val="de-DE"/>
        </w:rPr>
      </w:pPr>
      <w:r>
        <w:rPr>
          <w:b/>
          <w:bCs/>
        </w:rPr>
        <w:t>ANDREW DAVID BARCLAY</w:t>
      </w:r>
      <w:r>
        <w:rPr>
          <w:b/>
          <w:bCs/>
          <w:sz w:val="28"/>
          <w:szCs w:val="28"/>
          <w:lang w:val="de-DE"/>
        </w:rPr>
        <w:tab/>
      </w:r>
      <w:r w:rsidR="00483D94">
        <w:rPr>
          <w:b/>
          <w:bCs/>
          <w:sz w:val="28"/>
          <w:szCs w:val="28"/>
          <w:lang w:val="de-DE"/>
        </w:rPr>
        <w:t xml:space="preserve">        </w:t>
      </w:r>
      <w:r>
        <w:rPr>
          <w:b/>
          <w:bCs/>
          <w:lang w:val="de-DE"/>
        </w:rPr>
        <w:t>First</w:t>
      </w:r>
      <w:r>
        <w:rPr>
          <w:b/>
          <w:bCs/>
          <w:sz w:val="28"/>
          <w:szCs w:val="28"/>
          <w:lang w:val="de-DE"/>
        </w:rPr>
        <w:t xml:space="preserve"> </w:t>
      </w:r>
      <w:r>
        <w:rPr>
          <w:b/>
          <w:bCs/>
          <w:lang w:val="de-DE"/>
        </w:rPr>
        <w:t xml:space="preserve">APPLICANT </w:t>
      </w:r>
    </w:p>
    <w:p w14:paraId="6E7591BA" w14:textId="77777777" w:rsidR="00413DA1" w:rsidRDefault="00EF1771" w:rsidP="00483D94">
      <w:pPr>
        <w:pStyle w:val="BodyA"/>
        <w:tabs>
          <w:tab w:val="right" w:pos="9356"/>
        </w:tabs>
        <w:suppressAutoHyphens/>
        <w:spacing w:line="360" w:lineRule="auto"/>
        <w:rPr>
          <w:b/>
          <w:bCs/>
          <w:sz w:val="28"/>
          <w:szCs w:val="28"/>
        </w:rPr>
      </w:pPr>
      <w:r>
        <w:rPr>
          <w:b/>
          <w:bCs/>
          <w:lang w:val="de-DE"/>
        </w:rPr>
        <w:t xml:space="preserve">BEVERLEY JANE BARCLAY </w:t>
      </w:r>
      <w:r>
        <w:rPr>
          <w:b/>
          <w:bCs/>
          <w:lang w:val="de-DE"/>
        </w:rPr>
        <w:tab/>
        <w:t>Second APPLICANT</w:t>
      </w:r>
    </w:p>
    <w:p w14:paraId="2F647D0A" w14:textId="77777777" w:rsidR="00413DA1" w:rsidRDefault="00EF1771">
      <w:pPr>
        <w:pStyle w:val="BodyA"/>
        <w:suppressAutoHyphens/>
        <w:spacing w:line="360" w:lineRule="auto"/>
        <w:jc w:val="both"/>
        <w:rPr>
          <w:b/>
          <w:bCs/>
        </w:rPr>
      </w:pPr>
      <w:r>
        <w:rPr>
          <w:b/>
          <w:bCs/>
        </w:rPr>
        <w:tab/>
      </w:r>
      <w:r>
        <w:rPr>
          <w:b/>
          <w:bCs/>
        </w:rPr>
        <w:tab/>
      </w:r>
      <w:r>
        <w:rPr>
          <w:b/>
          <w:bCs/>
        </w:rPr>
        <w:tab/>
      </w:r>
      <w:r>
        <w:rPr>
          <w:b/>
          <w:bCs/>
        </w:rPr>
        <w:tab/>
      </w:r>
      <w:r>
        <w:rPr>
          <w:b/>
          <w:bCs/>
        </w:rPr>
        <w:tab/>
      </w:r>
      <w:r>
        <w:rPr>
          <w:b/>
          <w:bCs/>
        </w:rPr>
        <w:tab/>
      </w:r>
      <w:r>
        <w:rPr>
          <w:b/>
          <w:bCs/>
        </w:rPr>
        <w:tab/>
      </w:r>
    </w:p>
    <w:p w14:paraId="3D1DB4D6" w14:textId="77777777" w:rsidR="00413DA1" w:rsidRDefault="00483D94">
      <w:pPr>
        <w:pStyle w:val="BodyA"/>
        <w:suppressAutoHyphens/>
        <w:spacing w:line="360" w:lineRule="auto"/>
        <w:jc w:val="both"/>
        <w:outlineLvl w:val="0"/>
      </w:pPr>
      <w:r>
        <w:t>A</w:t>
      </w:r>
      <w:r w:rsidR="00EF1771">
        <w:t>nd</w:t>
      </w:r>
    </w:p>
    <w:p w14:paraId="37AF452B" w14:textId="77777777" w:rsidR="00483D94" w:rsidRDefault="00483D94">
      <w:pPr>
        <w:pStyle w:val="BodyA"/>
        <w:suppressAutoHyphens/>
        <w:spacing w:line="360" w:lineRule="auto"/>
        <w:jc w:val="both"/>
        <w:outlineLvl w:val="0"/>
      </w:pPr>
    </w:p>
    <w:p w14:paraId="59FD4AC7" w14:textId="77777777" w:rsidR="00413DA1" w:rsidRDefault="00221B61" w:rsidP="00483D94">
      <w:pPr>
        <w:pStyle w:val="BodyA"/>
        <w:tabs>
          <w:tab w:val="right" w:pos="9356"/>
        </w:tabs>
        <w:suppressAutoHyphens/>
        <w:spacing w:line="360" w:lineRule="auto"/>
        <w:outlineLvl w:val="0"/>
        <w:rPr>
          <w:b/>
          <w:bCs/>
        </w:rPr>
      </w:pPr>
      <w:r>
        <w:rPr>
          <w:b/>
          <w:bCs/>
        </w:rPr>
        <w:t xml:space="preserve">THE </w:t>
      </w:r>
      <w:r w:rsidR="00EF1771">
        <w:rPr>
          <w:b/>
          <w:bCs/>
        </w:rPr>
        <w:t>STANDARD BANK OF SOUTH AFRICA LIMITED</w:t>
      </w:r>
      <w:r w:rsidR="00EF1771">
        <w:rPr>
          <w:b/>
          <w:bCs/>
        </w:rPr>
        <w:tab/>
      </w:r>
      <w:r w:rsidR="00483D94">
        <w:rPr>
          <w:b/>
          <w:bCs/>
        </w:rPr>
        <w:t xml:space="preserve"> </w:t>
      </w:r>
      <w:r w:rsidR="00EF1771">
        <w:rPr>
          <w:b/>
          <w:bCs/>
        </w:rPr>
        <w:t>RESPONDENT</w:t>
      </w:r>
    </w:p>
    <w:p w14:paraId="652A8B0F" w14:textId="77777777" w:rsidR="00614645" w:rsidRDefault="00614645" w:rsidP="00483D94">
      <w:pPr>
        <w:pStyle w:val="BodyA"/>
        <w:tabs>
          <w:tab w:val="right" w:pos="9356"/>
        </w:tabs>
        <w:suppressAutoHyphens/>
        <w:spacing w:line="360" w:lineRule="auto"/>
        <w:outlineLvl w:val="0"/>
        <w:rPr>
          <w:b/>
          <w:bCs/>
        </w:rPr>
      </w:pPr>
    </w:p>
    <w:p w14:paraId="2C25A554" w14:textId="77777777" w:rsidR="00221B61" w:rsidRDefault="00221B61" w:rsidP="00483D94">
      <w:pPr>
        <w:pStyle w:val="BodyA"/>
        <w:tabs>
          <w:tab w:val="right" w:pos="9356"/>
        </w:tabs>
        <w:suppressAutoHyphens/>
        <w:spacing w:line="360" w:lineRule="auto"/>
        <w:outlineLvl w:val="0"/>
        <w:rPr>
          <w:b/>
          <w:bCs/>
        </w:rPr>
      </w:pPr>
    </w:p>
    <w:p w14:paraId="3B444A0D" w14:textId="77777777" w:rsidR="00413DA1" w:rsidRPr="00614645" w:rsidRDefault="00EF1771" w:rsidP="00614645">
      <w:pPr>
        <w:pStyle w:val="BodyA"/>
        <w:suppressAutoHyphens/>
        <w:spacing w:line="360" w:lineRule="auto"/>
        <w:jc w:val="both"/>
        <w:outlineLvl w:val="0"/>
        <w:rPr>
          <w:b/>
          <w:bCs/>
        </w:rPr>
      </w:pPr>
      <w:r>
        <w:rPr>
          <w:b/>
          <w:bCs/>
        </w:rPr>
        <w:lastRenderedPageBreak/>
        <w:t>———————————————————————————————————————</w:t>
      </w:r>
    </w:p>
    <w:p w14:paraId="45D9B9F3" w14:textId="77777777" w:rsidR="00413DA1" w:rsidRDefault="00EF1771">
      <w:pPr>
        <w:pStyle w:val="BodyA"/>
        <w:suppressAutoHyphens/>
        <w:spacing w:line="360" w:lineRule="auto"/>
        <w:jc w:val="center"/>
        <w:outlineLvl w:val="0"/>
        <w:rPr>
          <w:b/>
          <w:bCs/>
        </w:rPr>
      </w:pPr>
      <w:r>
        <w:rPr>
          <w:b/>
          <w:bCs/>
        </w:rPr>
        <w:t>JUDG</w:t>
      </w:r>
      <w:r w:rsidR="00614645">
        <w:rPr>
          <w:b/>
          <w:bCs/>
        </w:rPr>
        <w:t>E</w:t>
      </w:r>
      <w:r>
        <w:rPr>
          <w:b/>
          <w:bCs/>
        </w:rPr>
        <w:t>MENT- APPLICATION FOR LEAVE TO APPEAL</w:t>
      </w:r>
    </w:p>
    <w:p w14:paraId="4CBF8854" w14:textId="77777777" w:rsidR="00413DA1" w:rsidRPr="00614645" w:rsidRDefault="00614645" w:rsidP="00614645">
      <w:pPr>
        <w:suppressAutoHyphens/>
        <w:spacing w:line="360" w:lineRule="auto"/>
        <w:jc w:val="center"/>
        <w:outlineLvl w:val="0"/>
        <w:rPr>
          <w:rFonts w:ascii="Arial" w:hAnsi="Arial" w:cs="Arial"/>
          <w:b/>
          <w:bCs/>
          <w:color w:val="000000"/>
          <w:kern w:val="28"/>
          <w:u w:color="000000"/>
          <w:lang w:eastAsia="en-ZA"/>
          <w14:textOutline w14:w="12700" w14:cap="flat" w14:cmpd="sng" w14:algn="ctr">
            <w14:noFill/>
            <w14:prstDash w14:val="solid"/>
            <w14:miter w14:lim="400000"/>
          </w14:textOutline>
        </w:rPr>
      </w:pPr>
      <w:r w:rsidRPr="001947C0">
        <w:rPr>
          <w:rFonts w:ascii="Arial" w:hAnsi="Arial" w:cs="Arial"/>
          <w:b/>
          <w:bCs/>
          <w:color w:val="000000"/>
          <w:kern w:val="28"/>
          <w:u w:color="000000"/>
          <w:lang w:eastAsia="en-ZA"/>
          <w14:textOutline w14:w="12700" w14:cap="flat" w14:cmpd="sng" w14:algn="ctr">
            <w14:noFill/>
            <w14:prstDash w14:val="solid"/>
            <w14:miter w14:lim="400000"/>
          </w14:textOutline>
        </w:rPr>
        <w:t xml:space="preserve">THIS JUDGEMENT HAS BEEN HANDED DOWN REMOTELY AND SHALL BE CIRCULATED TO THE PARTIES BY WAY OF EMAIL/ UPLOADED ON CASELINES. ITS DATE OF HAND DOWN SHALL </w:t>
      </w:r>
      <w:r>
        <w:rPr>
          <w:rFonts w:ascii="Arial" w:hAnsi="Arial" w:cs="Arial"/>
          <w:b/>
          <w:bCs/>
          <w:color w:val="000000"/>
          <w:kern w:val="28"/>
          <w:u w:color="000000"/>
          <w:lang w:eastAsia="en-ZA"/>
          <w14:textOutline w14:w="12700" w14:cap="flat" w14:cmpd="sng" w14:algn="ctr">
            <w14:noFill/>
            <w14:prstDash w14:val="solid"/>
            <w14:miter w14:lim="400000"/>
          </w14:textOutline>
        </w:rPr>
        <w:t>BE DEEMED TO BE 13 NOVEMBER 2023</w:t>
      </w:r>
    </w:p>
    <w:p w14:paraId="6ADDCB51" w14:textId="77777777" w:rsidR="00413DA1" w:rsidRDefault="00EF1771">
      <w:pPr>
        <w:pStyle w:val="BodyA"/>
        <w:tabs>
          <w:tab w:val="left" w:pos="720"/>
        </w:tabs>
        <w:suppressAutoHyphens/>
        <w:spacing w:line="360" w:lineRule="auto"/>
        <w:jc w:val="both"/>
        <w:outlineLvl w:val="0"/>
        <w:rPr>
          <w:b/>
          <w:bCs/>
        </w:rPr>
      </w:pPr>
      <w:r>
        <w:rPr>
          <w:b/>
          <w:bCs/>
        </w:rPr>
        <w:t>———————————————————————————————————————</w:t>
      </w:r>
    </w:p>
    <w:p w14:paraId="59CDC33B" w14:textId="77777777" w:rsidR="00413DA1" w:rsidRDefault="00EF1771">
      <w:pPr>
        <w:pStyle w:val="level1"/>
        <w:suppressAutoHyphens/>
        <w:spacing w:after="480"/>
        <w:rPr>
          <w:b/>
          <w:bCs/>
          <w:sz w:val="26"/>
          <w:szCs w:val="26"/>
          <w:u w:val="single"/>
        </w:rPr>
      </w:pPr>
      <w:r>
        <w:rPr>
          <w:b/>
          <w:bCs/>
          <w:sz w:val="26"/>
          <w:szCs w:val="26"/>
        </w:rPr>
        <w:t xml:space="preserve">Bam J </w:t>
      </w:r>
      <w:r w:rsidR="00614645">
        <w:rPr>
          <w:b/>
          <w:bCs/>
          <w:sz w:val="26"/>
          <w:szCs w:val="26"/>
        </w:rPr>
        <w:tab/>
      </w:r>
      <w:r w:rsidR="00614645">
        <w:rPr>
          <w:b/>
          <w:bCs/>
          <w:sz w:val="26"/>
          <w:szCs w:val="26"/>
        </w:rPr>
        <w:tab/>
      </w:r>
    </w:p>
    <w:p w14:paraId="45C7A259" w14:textId="77777777" w:rsidR="00413DA1" w:rsidRDefault="00EF1771" w:rsidP="00614645">
      <w:pPr>
        <w:pStyle w:val="level1"/>
        <w:suppressAutoHyphens/>
        <w:spacing w:after="480"/>
        <w:rPr>
          <w:b/>
          <w:bCs/>
          <w:sz w:val="26"/>
          <w:szCs w:val="26"/>
        </w:rPr>
      </w:pPr>
      <w:r>
        <w:rPr>
          <w:b/>
          <w:bCs/>
          <w:sz w:val="26"/>
          <w:szCs w:val="26"/>
        </w:rPr>
        <w:t xml:space="preserve">A. </w:t>
      </w:r>
      <w:r>
        <w:rPr>
          <w:b/>
          <w:bCs/>
        </w:rPr>
        <w:t>Introduction</w:t>
      </w:r>
    </w:p>
    <w:p w14:paraId="16AC0A19" w14:textId="311C4E7D" w:rsidR="00614645"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w:t>
      </w:r>
      <w:r>
        <w:rPr>
          <w:rFonts w:ascii="Arial" w:hAnsi="Arial Unicode MS"/>
          <w:sz w:val="24"/>
          <w:szCs w:val="24"/>
        </w:rPr>
        <w:tab/>
      </w:r>
      <w:r w:rsidR="00EF1771">
        <w:rPr>
          <w:rFonts w:ascii="Arial" w:hAnsi="Arial"/>
          <w:sz w:val="24"/>
          <w:szCs w:val="24"/>
        </w:rPr>
        <w:t xml:space="preserve">This is an application for leave to appeal the order of this court of 6 September 2021. The order was granted unopposed. The application for leave to appeal was lodged on 26 October 2021 along with an application for condonation. Both applications for leave to appeal and condonation are opposed. Since the application for leave can only be entertained upon condonation being granted, it is wise to first consider the application for condonation. </w:t>
      </w:r>
    </w:p>
    <w:p w14:paraId="610C2BC9" w14:textId="77777777" w:rsidR="00614645" w:rsidRPr="00614645" w:rsidRDefault="00614645" w:rsidP="00614645">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14:paraId="2AF89B88" w14:textId="77777777" w:rsidR="00413DA1" w:rsidRDefault="00614645">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B.</w:t>
      </w:r>
      <w:r>
        <w:rPr>
          <w:rFonts w:ascii="Arial" w:hAnsi="Arial"/>
          <w:b/>
          <w:bCs/>
          <w:sz w:val="24"/>
          <w:szCs w:val="24"/>
        </w:rPr>
        <w:tab/>
      </w:r>
      <w:r w:rsidR="00EF1771">
        <w:rPr>
          <w:rFonts w:ascii="Arial" w:hAnsi="Arial"/>
          <w:b/>
          <w:bCs/>
          <w:sz w:val="24"/>
          <w:szCs w:val="24"/>
        </w:rPr>
        <w:t>Condonation</w:t>
      </w:r>
    </w:p>
    <w:p w14:paraId="1E737E42" w14:textId="42CF988E"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w:t>
      </w:r>
      <w:r>
        <w:rPr>
          <w:rFonts w:ascii="Arial" w:hAnsi="Arial Unicode MS"/>
          <w:sz w:val="24"/>
          <w:szCs w:val="24"/>
        </w:rPr>
        <w:tab/>
      </w:r>
      <w:r w:rsidR="00EF1771">
        <w:rPr>
          <w:rFonts w:ascii="Arial" w:hAnsi="Arial"/>
          <w:sz w:val="24"/>
          <w:szCs w:val="24"/>
        </w:rPr>
        <w:t xml:space="preserve">It is now established law that the test for condonation is the interest of justice. The point is espoused in </w:t>
      </w:r>
      <w:r w:rsidR="00EF1771">
        <w:rPr>
          <w:rFonts w:ascii="Arial" w:hAnsi="Arial"/>
          <w:i/>
          <w:iCs/>
          <w:sz w:val="24"/>
          <w:szCs w:val="24"/>
        </w:rPr>
        <w:t xml:space="preserve">Nair </w:t>
      </w:r>
      <w:r w:rsidR="00EF1771">
        <w:rPr>
          <w:rFonts w:ascii="Arial" w:hAnsi="Arial"/>
          <w:sz w:val="24"/>
          <w:szCs w:val="24"/>
        </w:rPr>
        <w:t xml:space="preserve">v </w:t>
      </w:r>
      <w:r w:rsidR="00EF1771">
        <w:rPr>
          <w:rFonts w:ascii="Arial" w:hAnsi="Arial"/>
          <w:i/>
          <w:iCs/>
          <w:sz w:val="24"/>
          <w:szCs w:val="24"/>
        </w:rPr>
        <w:t>Telkom SOC Ltd and Others</w:t>
      </w:r>
      <w:r w:rsidR="00EF1771">
        <w:rPr>
          <w:rFonts w:ascii="Arial" w:hAnsi="Arial"/>
          <w:sz w:val="24"/>
          <w:szCs w:val="24"/>
        </w:rPr>
        <w:t xml:space="preserve">, where the Court relied on the decision of </w:t>
      </w:r>
      <w:r w:rsidR="00EF1771">
        <w:rPr>
          <w:rFonts w:ascii="Arial" w:hAnsi="Arial"/>
          <w:i/>
          <w:iCs/>
          <w:sz w:val="24"/>
          <w:szCs w:val="24"/>
        </w:rPr>
        <w:t xml:space="preserve">Melane </w:t>
      </w:r>
      <w:r w:rsidR="00EF1771">
        <w:rPr>
          <w:rFonts w:ascii="Arial" w:hAnsi="Arial"/>
          <w:sz w:val="24"/>
          <w:szCs w:val="24"/>
        </w:rPr>
        <w:t xml:space="preserve">v </w:t>
      </w:r>
      <w:r w:rsidR="00EF1771">
        <w:rPr>
          <w:rFonts w:ascii="Arial" w:hAnsi="Arial"/>
          <w:i/>
          <w:iCs/>
          <w:sz w:val="24"/>
          <w:szCs w:val="24"/>
        </w:rPr>
        <w:t xml:space="preserve">Santam Insurance Co. Ltd </w:t>
      </w:r>
      <w:r w:rsidR="00EF1771">
        <w:rPr>
          <w:rFonts w:ascii="Arial" w:hAnsi="Arial"/>
          <w:sz w:val="24"/>
          <w:szCs w:val="24"/>
        </w:rPr>
        <w:t>1962 (4) SA 531 (A) at 532 C - F:</w:t>
      </w:r>
    </w:p>
    <w:p w14:paraId="4FBF7940" w14:textId="77777777" w:rsidR="00413DA1" w:rsidRDefault="00EF177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 xml:space="preserve">“In deciding whether sufficient cause has been shown, the basic principle is that the court has a discretion to be exercised judicially upon a consideration of all the facts and, in essence, is a matter of fairness to both sides. Among the facts usually relevant are the degree of lateness, the explanation therefore, the prospects of success, and the importance </w:t>
      </w:r>
      <w:r>
        <w:rPr>
          <w:rFonts w:ascii="Arial" w:hAnsi="Arial"/>
        </w:rPr>
        <w:lastRenderedPageBreak/>
        <w:t>of the case. Ordinarily these facts are inter-related; they are not individually decisive, for that would be a piecemeal approach incompatible with a true discretion ...”</w:t>
      </w:r>
      <w:r>
        <w:rPr>
          <w:rFonts w:ascii="Arial" w:eastAsia="Arial" w:hAnsi="Arial" w:cs="Arial"/>
          <w:vertAlign w:val="superscript"/>
        </w:rPr>
        <w:footnoteReference w:id="2"/>
      </w:r>
    </w:p>
    <w:p w14:paraId="7F9B6CD4" w14:textId="77777777" w:rsidR="00413DA1" w:rsidRDefault="00413DA1">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08AB0664" w14:textId="0ACBAD9A"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3.</w:t>
      </w:r>
      <w:r>
        <w:rPr>
          <w:rFonts w:ascii="Arial" w:hAnsi="Arial Unicode MS"/>
          <w:sz w:val="24"/>
          <w:szCs w:val="24"/>
        </w:rPr>
        <w:tab/>
      </w:r>
      <w:r w:rsidR="00EF1771">
        <w:rPr>
          <w:rFonts w:ascii="Arial" w:hAnsi="Arial"/>
          <w:sz w:val="24"/>
          <w:szCs w:val="24"/>
        </w:rPr>
        <w:t xml:space="preserve">In </w:t>
      </w:r>
      <w:r w:rsidR="00EF1771">
        <w:rPr>
          <w:rFonts w:ascii="Arial" w:hAnsi="Arial"/>
          <w:i/>
          <w:iCs/>
          <w:sz w:val="24"/>
          <w:szCs w:val="24"/>
        </w:rPr>
        <w:t>Brummer</w:t>
      </w:r>
      <w:r w:rsidR="00EF1771">
        <w:rPr>
          <w:rFonts w:ascii="Arial" w:hAnsi="Arial"/>
          <w:sz w:val="24"/>
          <w:szCs w:val="24"/>
        </w:rPr>
        <w:t xml:space="preserve"> v </w:t>
      </w:r>
      <w:proofErr w:type="spellStart"/>
      <w:r w:rsidR="00EF1771">
        <w:rPr>
          <w:rFonts w:ascii="Arial" w:hAnsi="Arial"/>
          <w:i/>
          <w:iCs/>
          <w:sz w:val="24"/>
          <w:szCs w:val="24"/>
        </w:rPr>
        <w:t>Gorfil</w:t>
      </w:r>
      <w:proofErr w:type="spellEnd"/>
      <w:r w:rsidR="00EF1771">
        <w:rPr>
          <w:rFonts w:ascii="Arial" w:hAnsi="Arial"/>
          <w:i/>
          <w:iCs/>
          <w:sz w:val="24"/>
          <w:szCs w:val="24"/>
        </w:rPr>
        <w:t xml:space="preserve"> Brothers Investments (Pty) Ltd and Others</w:t>
      </w:r>
      <w:r w:rsidR="00EF1771">
        <w:rPr>
          <w:rFonts w:ascii="Arial" w:hAnsi="Arial"/>
          <w:sz w:val="24"/>
          <w:szCs w:val="24"/>
        </w:rPr>
        <w:t>:</w:t>
      </w:r>
    </w:p>
    <w:p w14:paraId="2420EA18" w14:textId="77777777" w:rsidR="00413DA1" w:rsidRDefault="00EF177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‘It is first necessary to consider the circumstances in which this Court will grant applications for condonation for special leave to appeal. This Court has held that an application for leave to appeal will be granted if it is in the interests of justice to do so and that the existence of prospects of success, though an important consideration in deciding whether to grant leave to appeal, is not the only factor in the determination of the interests of justice. It is appropriate that an application for condonation be considered on the same basis and that such an application should be granted if that is in the interests of justice and refused if it is not. The interests of justice must be determined by reference to all relevant factors including the nature of the relief sought, the extent and cause of the delay, the nature and cause of any other defect in respect of which condonation is sought, the effect on the administration of justice, prejudice and the reasonableness of the applicant’s explanation for the delay or defect.’</w:t>
      </w:r>
      <w:r>
        <w:rPr>
          <w:rFonts w:ascii="Arial" w:eastAsia="Arial" w:hAnsi="Arial" w:cs="Arial"/>
          <w:vertAlign w:val="superscript"/>
        </w:rPr>
        <w:footnoteReference w:id="3"/>
      </w:r>
    </w:p>
    <w:p w14:paraId="1DC1644D" w14:textId="77777777" w:rsidR="00413DA1" w:rsidRDefault="00413DA1">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1F319FB0" w14:textId="3E98E666"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4.</w:t>
      </w:r>
      <w:r>
        <w:rPr>
          <w:rFonts w:ascii="Arial" w:hAnsi="Arial Unicode MS"/>
          <w:sz w:val="24"/>
          <w:szCs w:val="24"/>
        </w:rPr>
        <w:tab/>
      </w:r>
      <w:r w:rsidR="00EF1771">
        <w:rPr>
          <w:rFonts w:ascii="Arial" w:hAnsi="Arial"/>
          <w:sz w:val="24"/>
          <w:szCs w:val="24"/>
        </w:rPr>
        <w:t>The affidavit in support of the application for condonation is deposed to by the second applicant. From what I could glean of the details, a great deal of time was lost based on the withdrawal of legal representatives owing to the applicants’ precarious financial position. It appears that at some point, the applicants regained financial strength and sought assistance from their erstwhile attorneys. Those attorneys were later replaced by another firm of attorneys. The applicants submit in their heads of argument that their application has prospects of success. I am of the view that the application has prospects of success. It is in the interests of justice that condonation be granted.</w:t>
      </w:r>
    </w:p>
    <w:p w14:paraId="4DC7E1E0" w14:textId="77777777" w:rsidR="00413DA1" w:rsidRDefault="00614645">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lastRenderedPageBreak/>
        <w:t>C.</w:t>
      </w:r>
      <w:r>
        <w:rPr>
          <w:rFonts w:ascii="Arial" w:hAnsi="Arial"/>
          <w:b/>
          <w:bCs/>
          <w:sz w:val="24"/>
          <w:szCs w:val="24"/>
        </w:rPr>
        <w:tab/>
      </w:r>
      <w:r w:rsidR="00EF1771">
        <w:rPr>
          <w:rFonts w:ascii="Arial" w:hAnsi="Arial"/>
          <w:b/>
          <w:bCs/>
          <w:sz w:val="24"/>
          <w:szCs w:val="24"/>
        </w:rPr>
        <w:t>Leave to appeal</w:t>
      </w:r>
    </w:p>
    <w:p w14:paraId="08313E66" w14:textId="79E0C2AA"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5.</w:t>
      </w:r>
      <w:r>
        <w:rPr>
          <w:rFonts w:ascii="Arial" w:hAnsi="Arial Unicode MS"/>
          <w:sz w:val="24"/>
          <w:szCs w:val="24"/>
        </w:rPr>
        <w:tab/>
      </w:r>
      <w:r w:rsidR="00EF1771">
        <w:rPr>
          <w:rFonts w:ascii="Arial" w:hAnsi="Arial"/>
          <w:sz w:val="24"/>
          <w:szCs w:val="24"/>
        </w:rPr>
        <w:t>Leave to appeal is governed by the provisions of Section 17 (1) (a) (i) and (ii) of the Superior Courts Act</w:t>
      </w:r>
      <w:r w:rsidR="00EF1771">
        <w:rPr>
          <w:rFonts w:ascii="Arial" w:eastAsia="Arial" w:hAnsi="Arial" w:cs="Arial"/>
          <w:sz w:val="24"/>
          <w:szCs w:val="24"/>
          <w:vertAlign w:val="superscript"/>
        </w:rPr>
        <w:footnoteReference w:id="4"/>
      </w:r>
      <w:r w:rsidR="00EF1771">
        <w:rPr>
          <w:rFonts w:ascii="Arial" w:hAnsi="Arial"/>
          <w:sz w:val="24"/>
          <w:szCs w:val="24"/>
        </w:rPr>
        <w:t xml:space="preserve">. The applicants’ grounds are set out in their Notice of Application for leave to appeal and may be </w:t>
      </w:r>
      <w:proofErr w:type="spellStart"/>
      <w:r w:rsidR="00EF1771">
        <w:rPr>
          <w:rFonts w:ascii="Arial" w:hAnsi="Arial"/>
          <w:sz w:val="24"/>
          <w:szCs w:val="24"/>
        </w:rPr>
        <w:t>summarised</w:t>
      </w:r>
      <w:proofErr w:type="spellEnd"/>
      <w:r w:rsidR="00EF1771">
        <w:rPr>
          <w:rFonts w:ascii="Arial" w:hAnsi="Arial"/>
          <w:sz w:val="24"/>
          <w:szCs w:val="24"/>
        </w:rPr>
        <w:t xml:space="preserve"> as follows: (</w:t>
      </w:r>
      <w:proofErr w:type="spellStart"/>
      <w:r w:rsidR="00EF1771">
        <w:rPr>
          <w:rFonts w:ascii="Arial" w:hAnsi="Arial"/>
          <w:sz w:val="24"/>
          <w:szCs w:val="24"/>
        </w:rPr>
        <w:t>i</w:t>
      </w:r>
      <w:proofErr w:type="spellEnd"/>
      <w:r w:rsidR="00EF1771">
        <w:rPr>
          <w:rFonts w:ascii="Arial" w:hAnsi="Arial"/>
          <w:sz w:val="24"/>
          <w:szCs w:val="24"/>
        </w:rPr>
        <w:t xml:space="preserve">) The court erred in granting summary judgement, in circumstances where the respondent had sought to invoke the acceleration clause without cancelling the underlying credit agreement. (ii) The debt relied on for summary judgement is not a liquidated debt since it carries legal costs and interests attributed to such legal costs. </w:t>
      </w:r>
    </w:p>
    <w:p w14:paraId="6433715F" w14:textId="77777777" w:rsidR="00614645" w:rsidRDefault="00614645" w:rsidP="00614645">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14:paraId="24912AB2" w14:textId="2B5513AE"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6.</w:t>
      </w:r>
      <w:r>
        <w:rPr>
          <w:rFonts w:ascii="Arial" w:hAnsi="Arial Unicode MS"/>
          <w:sz w:val="24"/>
          <w:szCs w:val="24"/>
        </w:rPr>
        <w:tab/>
      </w:r>
      <w:r w:rsidR="00EF1771">
        <w:rPr>
          <w:rFonts w:ascii="Arial" w:hAnsi="Arial"/>
          <w:sz w:val="24"/>
          <w:szCs w:val="24"/>
        </w:rPr>
        <w:t xml:space="preserve">The test as to whether a court should grant leave to appeal is set out in </w:t>
      </w:r>
      <w:r w:rsidR="00EF1771">
        <w:rPr>
          <w:rFonts w:ascii="Arial" w:hAnsi="Arial"/>
          <w:i/>
          <w:iCs/>
          <w:sz w:val="24"/>
          <w:szCs w:val="24"/>
        </w:rPr>
        <w:t>MEC for Health, Eastern Cape</w:t>
      </w:r>
      <w:r w:rsidR="00EF1771">
        <w:rPr>
          <w:rFonts w:ascii="Arial" w:hAnsi="Arial"/>
          <w:sz w:val="24"/>
          <w:szCs w:val="24"/>
        </w:rPr>
        <w:t xml:space="preserve"> v </w:t>
      </w:r>
      <w:proofErr w:type="spellStart"/>
      <w:r w:rsidR="00EF1771">
        <w:rPr>
          <w:rFonts w:ascii="Arial" w:hAnsi="Arial"/>
          <w:i/>
          <w:iCs/>
          <w:sz w:val="24"/>
          <w:szCs w:val="24"/>
        </w:rPr>
        <w:t>Mkhitha</w:t>
      </w:r>
      <w:proofErr w:type="spellEnd"/>
      <w:r w:rsidR="00EF1771">
        <w:rPr>
          <w:rFonts w:ascii="Arial" w:hAnsi="Arial"/>
          <w:i/>
          <w:iCs/>
          <w:sz w:val="24"/>
          <w:szCs w:val="24"/>
        </w:rPr>
        <w:t xml:space="preserve"> and Another</w:t>
      </w:r>
      <w:r w:rsidR="00EF1771">
        <w:rPr>
          <w:rFonts w:ascii="Arial" w:hAnsi="Arial"/>
          <w:sz w:val="24"/>
          <w:szCs w:val="24"/>
        </w:rPr>
        <w:t>:</w:t>
      </w:r>
    </w:p>
    <w:p w14:paraId="701FB8B1" w14:textId="77777777" w:rsidR="00413DA1" w:rsidRDefault="00EF177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‘Once gain it is necessary to say that leave to appeal, especially to this court, must not be granted unless there truly is a reasonable prospect of success. Section 17(1)(a) of the Superior Courts Act 10 of 2013 makes it clear that leave to appeal may only be given where the judge concerned is of the opinion that the appeal would have a reasonable prospect of success; or there is some other compelling reason why it should be heard. 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 [18] In this case the requirements of 17(1)(a) of the Superior Courts Act were simply not met….’</w:t>
      </w:r>
      <w:r>
        <w:rPr>
          <w:rFonts w:ascii="Arial" w:eastAsia="Arial" w:hAnsi="Arial" w:cs="Arial"/>
          <w:vertAlign w:val="superscript"/>
        </w:rPr>
        <w:footnoteReference w:id="5"/>
      </w:r>
      <w:r>
        <w:rPr>
          <w:rFonts w:ascii="Arial" w:hAnsi="Arial"/>
        </w:rPr>
        <w:t xml:space="preserve">  </w:t>
      </w:r>
    </w:p>
    <w:p w14:paraId="0BFD49D4" w14:textId="77777777" w:rsidR="00413DA1" w:rsidRDefault="00413DA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0F05F04F" w14:textId="14DE32F1"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7.</w:t>
      </w:r>
      <w:r>
        <w:rPr>
          <w:rFonts w:ascii="Arial" w:hAnsi="Arial Unicode MS"/>
          <w:sz w:val="24"/>
          <w:szCs w:val="24"/>
        </w:rPr>
        <w:tab/>
      </w:r>
      <w:r w:rsidR="00EF1771">
        <w:rPr>
          <w:rFonts w:ascii="Arial" w:hAnsi="Arial"/>
          <w:sz w:val="24"/>
          <w:szCs w:val="24"/>
        </w:rPr>
        <w:t xml:space="preserve">In </w:t>
      </w:r>
      <w:proofErr w:type="spellStart"/>
      <w:r w:rsidR="00EF1771" w:rsidRPr="00614645">
        <w:rPr>
          <w:rFonts w:ascii="Arial" w:hAnsi="Arial"/>
          <w:i/>
          <w:sz w:val="24"/>
          <w:szCs w:val="24"/>
        </w:rPr>
        <w:t>Ramakatsa</w:t>
      </w:r>
      <w:proofErr w:type="spellEnd"/>
      <w:r w:rsidR="00EF1771" w:rsidRPr="00614645">
        <w:rPr>
          <w:rFonts w:ascii="Arial" w:hAnsi="Arial"/>
          <w:i/>
          <w:sz w:val="24"/>
          <w:szCs w:val="24"/>
        </w:rPr>
        <w:t xml:space="preserve"> and Others v African National Congress and Another</w:t>
      </w:r>
      <w:r w:rsidR="00EF1771">
        <w:rPr>
          <w:rFonts w:ascii="Arial" w:hAnsi="Arial"/>
          <w:sz w:val="24"/>
          <w:szCs w:val="24"/>
        </w:rPr>
        <w:t>, it was said that:</w:t>
      </w:r>
    </w:p>
    <w:p w14:paraId="71E0B334" w14:textId="77777777" w:rsidR="00413DA1" w:rsidRDefault="00EF177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lastRenderedPageBreak/>
        <w:t xml:space="preserve">‘Turning the focus to the relevant provisions of the Superior Courts Act (the SC Act), leave to appeal may only be granted where the judges concerned are of the opinion that the appeal would have a reasonable prospect of success or there are compelling reasons which exist why the appeal should be heard such as the interests of justice. This Court in </w:t>
      </w:r>
      <w:proofErr w:type="spellStart"/>
      <w:r>
        <w:rPr>
          <w:rFonts w:ascii="Arial" w:hAnsi="Arial"/>
        </w:rPr>
        <w:t>Caratco</w:t>
      </w:r>
      <w:proofErr w:type="spellEnd"/>
      <w:r>
        <w:rPr>
          <w:rFonts w:ascii="Arial" w:hAnsi="Arial"/>
        </w:rPr>
        <w:t>,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w:t>
      </w:r>
      <w:r>
        <w:rPr>
          <w:rFonts w:ascii="Arial" w:eastAsia="Arial" w:hAnsi="Arial" w:cs="Arial"/>
          <w:vertAlign w:val="superscript"/>
        </w:rPr>
        <w:footnoteReference w:id="6"/>
      </w:r>
    </w:p>
    <w:p w14:paraId="5447CE0C" w14:textId="77777777" w:rsidR="00413DA1" w:rsidRDefault="00413DA1">
      <w:pPr>
        <w:pStyle w:val="Default"/>
        <w:tabs>
          <w:tab w:val="left" w:pos="303"/>
          <w:tab w:val="left" w:pos="330"/>
          <w:tab w:val="left" w:pos="360"/>
          <w:tab w:val="left" w:pos="393"/>
        </w:tabs>
        <w:suppressAutoHyphens/>
        <w:spacing w:after="119" w:line="360" w:lineRule="auto"/>
        <w:ind w:left="567"/>
        <w:jc w:val="both"/>
        <w:rPr>
          <w:rFonts w:ascii="Arial" w:eastAsia="Arial" w:hAnsi="Arial" w:cs="Arial"/>
          <w:sz w:val="24"/>
          <w:szCs w:val="24"/>
        </w:rPr>
      </w:pPr>
    </w:p>
    <w:p w14:paraId="61B87B73" w14:textId="77777777" w:rsidR="00413DA1" w:rsidRDefault="00614645" w:rsidP="00614645">
      <w:pPr>
        <w:pStyle w:val="Default"/>
        <w:tabs>
          <w:tab w:val="left" w:pos="303"/>
          <w:tab w:val="left" w:pos="330"/>
          <w:tab w:val="left" w:pos="360"/>
          <w:tab w:val="left" w:pos="393"/>
        </w:tabs>
        <w:suppressAutoHyphens/>
        <w:spacing w:after="119" w:line="360" w:lineRule="auto"/>
        <w:jc w:val="both"/>
        <w:rPr>
          <w:rFonts w:ascii="Arial" w:eastAsia="Arial" w:hAnsi="Arial" w:cs="Arial"/>
          <w:b/>
          <w:bCs/>
          <w:sz w:val="24"/>
          <w:szCs w:val="24"/>
        </w:rPr>
      </w:pPr>
      <w:r>
        <w:rPr>
          <w:rFonts w:ascii="Arial" w:hAnsi="Arial"/>
          <w:b/>
          <w:bCs/>
          <w:sz w:val="24"/>
          <w:szCs w:val="24"/>
        </w:rPr>
        <w:t>D.</w:t>
      </w:r>
      <w:r>
        <w:rPr>
          <w:rFonts w:ascii="Arial" w:hAnsi="Arial"/>
          <w:b/>
          <w:bCs/>
          <w:sz w:val="24"/>
          <w:szCs w:val="24"/>
        </w:rPr>
        <w:tab/>
      </w:r>
      <w:r w:rsidR="00EF1771">
        <w:rPr>
          <w:rFonts w:ascii="Arial" w:hAnsi="Arial"/>
          <w:b/>
          <w:bCs/>
          <w:sz w:val="24"/>
          <w:szCs w:val="24"/>
        </w:rPr>
        <w:t xml:space="preserve">Grounds of Appeal </w:t>
      </w:r>
    </w:p>
    <w:p w14:paraId="7D64C37D" w14:textId="77777777" w:rsidR="00413DA1" w:rsidRDefault="00EF1771">
      <w:pPr>
        <w:pStyle w:val="Default"/>
        <w:tabs>
          <w:tab w:val="left" w:pos="303"/>
          <w:tab w:val="left" w:pos="330"/>
          <w:tab w:val="left" w:pos="360"/>
          <w:tab w:val="left" w:pos="393"/>
        </w:tabs>
        <w:suppressAutoHyphens/>
        <w:spacing w:after="119" w:line="360" w:lineRule="auto"/>
        <w:ind w:left="567"/>
        <w:jc w:val="both"/>
        <w:rPr>
          <w:rFonts w:ascii="Arial" w:eastAsia="Arial" w:hAnsi="Arial" w:cs="Arial"/>
          <w:i/>
          <w:iCs/>
          <w:sz w:val="24"/>
          <w:szCs w:val="24"/>
        </w:rPr>
      </w:pPr>
      <w:r>
        <w:rPr>
          <w:rFonts w:ascii="Arial" w:hAnsi="Arial"/>
          <w:i/>
          <w:iCs/>
          <w:sz w:val="24"/>
          <w:szCs w:val="24"/>
        </w:rPr>
        <w:t>The incompetence of invoking the acceleration clause without cancelling the credit agreement</w:t>
      </w:r>
    </w:p>
    <w:p w14:paraId="1DAC9503" w14:textId="77777777" w:rsidR="00413DA1" w:rsidRDefault="00413DA1">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00DD5EA6" w14:textId="630012CD"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8.</w:t>
      </w:r>
      <w:r>
        <w:rPr>
          <w:rFonts w:ascii="Arial" w:hAnsi="Arial Unicode MS"/>
          <w:sz w:val="24"/>
          <w:szCs w:val="24"/>
        </w:rPr>
        <w:tab/>
      </w:r>
      <w:r w:rsidR="00EF1771">
        <w:rPr>
          <w:rFonts w:ascii="Arial" w:hAnsi="Arial"/>
          <w:sz w:val="24"/>
          <w:szCs w:val="24"/>
        </w:rPr>
        <w:t>The applicants submit that this court erred in granting summary judgment, in circumstances where the respondent had invoked the acceleration clause without cancelling the underlying credit agreement. I have carefully weighed the applicants’ submissions and considered the papers filed of record by the respondent. The jurisdictional requirements for invoking the acceleration clause are set out in the plaintiff’s particulars of claim</w:t>
      </w:r>
      <w:r w:rsidR="00EF1771">
        <w:rPr>
          <w:rFonts w:ascii="Arial" w:eastAsia="Arial" w:hAnsi="Arial" w:cs="Arial"/>
          <w:sz w:val="24"/>
          <w:szCs w:val="24"/>
          <w:vertAlign w:val="superscript"/>
        </w:rPr>
        <w:footnoteReference w:id="7"/>
      </w:r>
      <w:r w:rsidR="00EF1771">
        <w:rPr>
          <w:rFonts w:ascii="Arial" w:hAnsi="Arial"/>
          <w:sz w:val="24"/>
          <w:szCs w:val="24"/>
        </w:rPr>
        <w:t>. It follows that another court would come to a different decision on the same issue and that leave to appeal should be granted.</w:t>
      </w:r>
    </w:p>
    <w:p w14:paraId="4784AF84" w14:textId="77777777" w:rsidR="00614645" w:rsidRDefault="00614645" w:rsidP="00614645">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14:paraId="484E310C" w14:textId="77777777" w:rsidR="00614645" w:rsidRPr="00614645" w:rsidRDefault="00614645" w:rsidP="00614645">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14:paraId="7ABC7358" w14:textId="77777777" w:rsidR="00413DA1" w:rsidRDefault="00614645">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lastRenderedPageBreak/>
        <w:t>E</w:t>
      </w:r>
      <w:r w:rsidR="00EF1771">
        <w:rPr>
          <w:rFonts w:ascii="Arial" w:hAnsi="Arial"/>
          <w:b/>
          <w:bCs/>
          <w:sz w:val="24"/>
          <w:szCs w:val="24"/>
        </w:rPr>
        <w:t xml:space="preserve">. Order </w:t>
      </w:r>
    </w:p>
    <w:p w14:paraId="2AA1FCF1" w14:textId="271B589E" w:rsidR="00413DA1" w:rsidRDefault="00DF26D0" w:rsidP="00DF26D0">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9.</w:t>
      </w:r>
      <w:r>
        <w:rPr>
          <w:rFonts w:ascii="Arial" w:hAnsi="Arial Unicode MS"/>
          <w:sz w:val="24"/>
          <w:szCs w:val="24"/>
        </w:rPr>
        <w:tab/>
      </w:r>
      <w:r w:rsidR="00EF1771">
        <w:rPr>
          <w:rFonts w:ascii="Arial" w:hAnsi="Arial"/>
          <w:sz w:val="24"/>
          <w:szCs w:val="24"/>
        </w:rPr>
        <w:t>The application for leave to appeal to the Full Court of this Division succeeds.</w:t>
      </w:r>
    </w:p>
    <w:p w14:paraId="23717AB3" w14:textId="77777777" w:rsidR="00413DA1" w:rsidRDefault="00413DA1">
      <w:pPr>
        <w:pStyle w:val="BodyA"/>
        <w:suppressAutoHyphens/>
        <w:spacing w:line="360" w:lineRule="auto"/>
        <w:ind w:left="2880" w:firstLine="720"/>
        <w:jc w:val="both"/>
        <w:rPr>
          <w:sz w:val="26"/>
          <w:szCs w:val="26"/>
        </w:rPr>
      </w:pPr>
    </w:p>
    <w:p w14:paraId="537CF400" w14:textId="77777777" w:rsidR="00221B61" w:rsidRDefault="00221B61">
      <w:pPr>
        <w:pStyle w:val="BodyA"/>
        <w:suppressAutoHyphens/>
        <w:spacing w:line="360" w:lineRule="auto"/>
        <w:ind w:left="2880" w:firstLine="720"/>
        <w:jc w:val="both"/>
        <w:rPr>
          <w:sz w:val="26"/>
          <w:szCs w:val="26"/>
        </w:rPr>
      </w:pPr>
    </w:p>
    <w:p w14:paraId="7BA98F12" w14:textId="77777777" w:rsidR="00614645" w:rsidRDefault="00EF1771" w:rsidP="00614645">
      <w:pPr>
        <w:pStyle w:val="BodyA"/>
        <w:suppressAutoHyphens/>
        <w:spacing w:line="360" w:lineRule="auto"/>
        <w:ind w:left="3600" w:firstLine="720"/>
        <w:jc w:val="both"/>
        <w:rPr>
          <w:sz w:val="26"/>
          <w:szCs w:val="26"/>
        </w:rPr>
      </w:pPr>
      <w:r>
        <w:rPr>
          <w:sz w:val="26"/>
          <w:szCs w:val="26"/>
        </w:rPr>
        <w:t>———————————————————</w:t>
      </w:r>
    </w:p>
    <w:p w14:paraId="32E29509" w14:textId="77777777" w:rsidR="00614645" w:rsidRPr="00614645" w:rsidRDefault="00EF1771" w:rsidP="00614645">
      <w:pPr>
        <w:pStyle w:val="BodyA"/>
        <w:suppressAutoHyphens/>
        <w:spacing w:line="360" w:lineRule="auto"/>
        <w:ind w:left="3600" w:firstLine="720"/>
        <w:jc w:val="both"/>
        <w:rPr>
          <w:szCs w:val="26"/>
        </w:rPr>
      </w:pPr>
      <w:r w:rsidRPr="00614645">
        <w:rPr>
          <w:b/>
          <w:bCs/>
          <w:szCs w:val="26"/>
          <w:lang w:val="de-DE"/>
        </w:rPr>
        <w:t>BAM NN J</w:t>
      </w:r>
      <w:bookmarkStart w:id="0" w:name="_Hlk267640"/>
    </w:p>
    <w:p w14:paraId="397C3889" w14:textId="77777777" w:rsidR="00413DA1" w:rsidRPr="00614645" w:rsidRDefault="00EF1771" w:rsidP="00614645">
      <w:pPr>
        <w:pStyle w:val="BodyA"/>
        <w:suppressAutoHyphens/>
        <w:spacing w:line="360" w:lineRule="auto"/>
        <w:ind w:left="3600" w:firstLine="720"/>
        <w:jc w:val="both"/>
        <w:rPr>
          <w:b/>
          <w:bCs/>
          <w:szCs w:val="26"/>
        </w:rPr>
      </w:pPr>
      <w:r w:rsidRPr="00614645">
        <w:rPr>
          <w:b/>
          <w:bCs/>
          <w:szCs w:val="26"/>
        </w:rPr>
        <w:t>JUDGE OF THE HIGH COURT, P</w:t>
      </w:r>
      <w:bookmarkEnd w:id="0"/>
      <w:r w:rsidRPr="00614645">
        <w:rPr>
          <w:b/>
          <w:bCs/>
          <w:szCs w:val="26"/>
        </w:rPr>
        <w:t>RETORIA</w:t>
      </w:r>
    </w:p>
    <w:p w14:paraId="6D91B76F" w14:textId="77777777" w:rsidR="00413DA1" w:rsidRPr="00614645" w:rsidRDefault="00413DA1">
      <w:pPr>
        <w:pStyle w:val="BodyA"/>
        <w:suppressAutoHyphens/>
        <w:rPr>
          <w:szCs w:val="26"/>
          <w:u w:val="single"/>
        </w:rPr>
      </w:pPr>
    </w:p>
    <w:p w14:paraId="0A370B19" w14:textId="77777777" w:rsidR="00413DA1" w:rsidRPr="00614645" w:rsidRDefault="00413DA1">
      <w:pPr>
        <w:pStyle w:val="ListParagraph"/>
        <w:suppressAutoHyphens/>
        <w:spacing w:after="0" w:line="480" w:lineRule="auto"/>
        <w:ind w:left="0"/>
        <w:rPr>
          <w:b/>
          <w:bCs/>
          <w:szCs w:val="26"/>
          <w:u w:val="single"/>
        </w:rPr>
      </w:pPr>
    </w:p>
    <w:p w14:paraId="7CB1759A" w14:textId="77777777" w:rsidR="00413DA1" w:rsidRPr="00614645" w:rsidRDefault="00614645">
      <w:pPr>
        <w:pStyle w:val="BodyA"/>
        <w:suppressAutoHyphens/>
        <w:spacing w:line="480" w:lineRule="auto"/>
        <w:rPr>
          <w:sz w:val="22"/>
        </w:rPr>
      </w:pPr>
      <w:r>
        <w:rPr>
          <w:b/>
          <w:bCs/>
          <w:szCs w:val="26"/>
        </w:rPr>
        <w:t>Date of Hearing</w:t>
      </w:r>
      <w:r w:rsidR="00EF1771" w:rsidRPr="00614645">
        <w:rPr>
          <w:szCs w:val="26"/>
        </w:rPr>
        <w:t>:</w:t>
      </w:r>
      <w:r>
        <w:rPr>
          <w:szCs w:val="26"/>
        </w:rPr>
        <w:tab/>
      </w:r>
      <w:r>
        <w:rPr>
          <w:szCs w:val="26"/>
        </w:rPr>
        <w:tab/>
      </w:r>
      <w:r>
        <w:rPr>
          <w:szCs w:val="26"/>
        </w:rPr>
        <w:tab/>
      </w:r>
      <w:r>
        <w:rPr>
          <w:b/>
          <w:bCs/>
          <w:szCs w:val="26"/>
        </w:rPr>
        <w:tab/>
        <w:t>01 Novem</w:t>
      </w:r>
      <w:r w:rsidR="00EF1771" w:rsidRPr="00614645">
        <w:rPr>
          <w:b/>
          <w:bCs/>
          <w:szCs w:val="26"/>
        </w:rPr>
        <w:t>ber 2023</w:t>
      </w:r>
      <w:r w:rsidR="00EF1771" w:rsidRPr="00614645">
        <w:rPr>
          <w:b/>
          <w:bCs/>
          <w:szCs w:val="26"/>
        </w:rPr>
        <w:tab/>
      </w:r>
    </w:p>
    <w:p w14:paraId="3EF985A3" w14:textId="77777777" w:rsidR="00413DA1" w:rsidRPr="00614645" w:rsidRDefault="00614645">
      <w:pPr>
        <w:pStyle w:val="BodyA"/>
        <w:suppressAutoHyphens/>
        <w:spacing w:line="480" w:lineRule="auto"/>
        <w:rPr>
          <w:b/>
          <w:bCs/>
          <w:szCs w:val="26"/>
        </w:rPr>
      </w:pPr>
      <w:r>
        <w:rPr>
          <w:b/>
          <w:bCs/>
          <w:szCs w:val="26"/>
        </w:rPr>
        <w:t>Date of Judgement</w:t>
      </w:r>
      <w:r w:rsidR="00EF1771" w:rsidRPr="00614645">
        <w:rPr>
          <w:szCs w:val="26"/>
        </w:rPr>
        <w:t>:</w:t>
      </w:r>
      <w:r>
        <w:rPr>
          <w:szCs w:val="26"/>
        </w:rPr>
        <w:tab/>
      </w:r>
      <w:r>
        <w:rPr>
          <w:szCs w:val="26"/>
        </w:rPr>
        <w:tab/>
      </w:r>
      <w:r>
        <w:rPr>
          <w:szCs w:val="26"/>
        </w:rPr>
        <w:tab/>
      </w:r>
      <w:r w:rsidR="00EF1771" w:rsidRPr="00614645">
        <w:rPr>
          <w:b/>
          <w:bCs/>
          <w:szCs w:val="26"/>
        </w:rPr>
        <w:t>13 November 2023</w:t>
      </w:r>
      <w:r w:rsidR="00EF1771" w:rsidRPr="00614645">
        <w:rPr>
          <w:b/>
          <w:bCs/>
          <w:szCs w:val="26"/>
        </w:rPr>
        <w:tab/>
      </w:r>
      <w:r w:rsidR="00EF1771" w:rsidRPr="00614645">
        <w:rPr>
          <w:b/>
          <w:bCs/>
          <w:szCs w:val="26"/>
        </w:rPr>
        <w:tab/>
      </w:r>
    </w:p>
    <w:p w14:paraId="05889F40" w14:textId="77777777" w:rsidR="00413DA1" w:rsidRPr="00614645" w:rsidRDefault="00413DA1">
      <w:pPr>
        <w:pStyle w:val="BodyA"/>
        <w:suppressAutoHyphens/>
        <w:spacing w:line="480" w:lineRule="auto"/>
        <w:rPr>
          <w:b/>
          <w:bCs/>
          <w:szCs w:val="26"/>
        </w:rPr>
      </w:pPr>
    </w:p>
    <w:p w14:paraId="65521657" w14:textId="77777777" w:rsidR="00413DA1" w:rsidRPr="00614645" w:rsidRDefault="00614645">
      <w:pPr>
        <w:pStyle w:val="BodyA"/>
        <w:suppressAutoHyphens/>
        <w:spacing w:line="480" w:lineRule="auto"/>
        <w:rPr>
          <w:b/>
          <w:bCs/>
          <w:szCs w:val="26"/>
          <w:u w:val="single"/>
          <w:lang w:val="en-ZA"/>
        </w:rPr>
      </w:pPr>
      <w:r>
        <w:rPr>
          <w:b/>
          <w:bCs/>
          <w:szCs w:val="26"/>
          <w:u w:val="single"/>
          <w:lang w:val="en-ZA"/>
        </w:rPr>
        <w:t>Appearances:</w:t>
      </w:r>
    </w:p>
    <w:p w14:paraId="192FFB5F" w14:textId="77777777" w:rsidR="00413DA1" w:rsidRPr="00614645" w:rsidRDefault="00413DA1">
      <w:pPr>
        <w:pStyle w:val="BodyA"/>
        <w:suppressAutoHyphens/>
        <w:spacing w:line="480" w:lineRule="auto"/>
        <w:rPr>
          <w:b/>
          <w:bCs/>
          <w:szCs w:val="26"/>
        </w:rPr>
      </w:pPr>
    </w:p>
    <w:p w14:paraId="60CB3756" w14:textId="77777777" w:rsidR="00413DA1" w:rsidRPr="00614645" w:rsidRDefault="00614645">
      <w:pPr>
        <w:pStyle w:val="BodyA"/>
        <w:suppressAutoHyphens/>
        <w:spacing w:line="480" w:lineRule="auto"/>
        <w:rPr>
          <w:sz w:val="22"/>
        </w:rPr>
      </w:pPr>
      <w:r>
        <w:rPr>
          <w:b/>
          <w:bCs/>
          <w:szCs w:val="26"/>
        </w:rPr>
        <w:t>Applicants</w:t>
      </w:r>
      <w:r w:rsidR="00EF1771" w:rsidRPr="00614645">
        <w:rPr>
          <w:szCs w:val="26"/>
        </w:rPr>
        <w:t>:</w:t>
      </w:r>
      <w:r>
        <w:rPr>
          <w:szCs w:val="26"/>
        </w:rPr>
        <w:tab/>
      </w:r>
      <w:r>
        <w:rPr>
          <w:szCs w:val="26"/>
        </w:rPr>
        <w:tab/>
      </w:r>
      <w:r>
        <w:rPr>
          <w:szCs w:val="26"/>
        </w:rPr>
        <w:tab/>
      </w:r>
      <w:r w:rsidR="00EF1771" w:rsidRPr="00614645">
        <w:rPr>
          <w:szCs w:val="26"/>
        </w:rPr>
        <w:tab/>
      </w:r>
      <w:r w:rsidR="00EF1771" w:rsidRPr="00614645">
        <w:rPr>
          <w:szCs w:val="26"/>
        </w:rPr>
        <w:tab/>
      </w:r>
      <w:r w:rsidR="00EF1771" w:rsidRPr="00614645">
        <w:rPr>
          <w:b/>
          <w:bCs/>
          <w:szCs w:val="26"/>
        </w:rPr>
        <w:t>Adv X van Niekerk</w:t>
      </w:r>
    </w:p>
    <w:p w14:paraId="6F16D78C" w14:textId="77777777" w:rsidR="00221B61" w:rsidRDefault="00EF1771">
      <w:pPr>
        <w:pStyle w:val="BodyA"/>
        <w:suppressAutoHyphens/>
        <w:spacing w:line="480" w:lineRule="auto"/>
        <w:rPr>
          <w:szCs w:val="26"/>
        </w:rPr>
      </w:pPr>
      <w:r w:rsidRPr="00614645">
        <w:rPr>
          <w:szCs w:val="26"/>
        </w:rPr>
        <w:t>Instructed by:</w:t>
      </w:r>
      <w:r w:rsidR="00614645">
        <w:rPr>
          <w:szCs w:val="26"/>
        </w:rPr>
        <w:t xml:space="preserve"> </w:t>
      </w:r>
      <w:r w:rsidR="00614645">
        <w:rPr>
          <w:szCs w:val="26"/>
        </w:rPr>
        <w:tab/>
      </w:r>
      <w:r w:rsidR="00614645">
        <w:rPr>
          <w:szCs w:val="26"/>
        </w:rPr>
        <w:tab/>
      </w:r>
      <w:r w:rsidRPr="00614645">
        <w:rPr>
          <w:szCs w:val="26"/>
        </w:rPr>
        <w:tab/>
      </w:r>
      <w:r w:rsidRPr="00614645">
        <w:rPr>
          <w:szCs w:val="26"/>
        </w:rPr>
        <w:tab/>
      </w:r>
      <w:r w:rsidR="00221B61">
        <w:rPr>
          <w:szCs w:val="26"/>
        </w:rPr>
        <w:t>Pistorius Scheepers Attorneys</w:t>
      </w:r>
    </w:p>
    <w:p w14:paraId="5A5818FC" w14:textId="77777777" w:rsidR="00413DA1" w:rsidRDefault="00221B61">
      <w:pPr>
        <w:pStyle w:val="BodyA"/>
        <w:suppressAutoHyphens/>
        <w:spacing w:line="480" w:lineRule="auto"/>
        <w:rPr>
          <w:szCs w:val="26"/>
        </w:rPr>
      </w:pPr>
      <w:r>
        <w:rPr>
          <w:szCs w:val="26"/>
        </w:rPr>
        <w:tab/>
      </w:r>
      <w:r>
        <w:rPr>
          <w:szCs w:val="26"/>
        </w:rPr>
        <w:tab/>
      </w:r>
      <w:r>
        <w:rPr>
          <w:szCs w:val="26"/>
        </w:rPr>
        <w:tab/>
      </w:r>
      <w:r>
        <w:rPr>
          <w:szCs w:val="26"/>
        </w:rPr>
        <w:tab/>
      </w:r>
      <w:r>
        <w:rPr>
          <w:szCs w:val="26"/>
        </w:rPr>
        <w:tab/>
      </w:r>
      <w:r>
        <w:rPr>
          <w:szCs w:val="26"/>
        </w:rPr>
        <w:tab/>
        <w:t xml:space="preserve">Hatfield, </w:t>
      </w:r>
      <w:r w:rsidR="00EF1771" w:rsidRPr="00614645">
        <w:rPr>
          <w:szCs w:val="26"/>
        </w:rPr>
        <w:t xml:space="preserve">Pretoria </w:t>
      </w:r>
    </w:p>
    <w:p w14:paraId="00C35098" w14:textId="77777777" w:rsidR="00221B61" w:rsidRPr="00614645" w:rsidRDefault="00221B61">
      <w:pPr>
        <w:pStyle w:val="BodyA"/>
        <w:suppressAutoHyphens/>
        <w:spacing w:line="480" w:lineRule="auto"/>
        <w:rPr>
          <w:szCs w:val="26"/>
        </w:rPr>
      </w:pPr>
    </w:p>
    <w:p w14:paraId="5FF790E9" w14:textId="77777777" w:rsidR="00413DA1" w:rsidRPr="00614645" w:rsidRDefault="00614645">
      <w:pPr>
        <w:pStyle w:val="BodyA"/>
        <w:suppressAutoHyphens/>
        <w:spacing w:line="480" w:lineRule="auto"/>
        <w:rPr>
          <w:szCs w:val="26"/>
        </w:rPr>
      </w:pPr>
      <w:r>
        <w:rPr>
          <w:b/>
          <w:bCs/>
          <w:szCs w:val="26"/>
        </w:rPr>
        <w:t>Respondent</w:t>
      </w:r>
      <w:r w:rsidR="00EF1771" w:rsidRPr="00614645">
        <w:rPr>
          <w:b/>
          <w:bCs/>
          <w:szCs w:val="26"/>
        </w:rPr>
        <w:t>:</w:t>
      </w:r>
      <w:r w:rsidR="00EF1771" w:rsidRPr="00614645">
        <w:rPr>
          <w:szCs w:val="26"/>
        </w:rPr>
        <w:t xml:space="preserve"> </w:t>
      </w:r>
      <w:r w:rsidR="00EF1771" w:rsidRPr="00614645">
        <w:rPr>
          <w:szCs w:val="26"/>
        </w:rPr>
        <w:tab/>
      </w:r>
      <w:r w:rsidR="00EF1771" w:rsidRPr="00614645">
        <w:rPr>
          <w:szCs w:val="26"/>
        </w:rPr>
        <w:tab/>
      </w:r>
      <w:r>
        <w:rPr>
          <w:szCs w:val="26"/>
        </w:rPr>
        <w:tab/>
      </w:r>
      <w:r>
        <w:rPr>
          <w:szCs w:val="26"/>
        </w:rPr>
        <w:tab/>
      </w:r>
      <w:r w:rsidR="00EF1771" w:rsidRPr="00614645">
        <w:rPr>
          <w:b/>
          <w:bCs/>
          <w:szCs w:val="26"/>
        </w:rPr>
        <w:t xml:space="preserve">Adv </w:t>
      </w:r>
      <w:r>
        <w:rPr>
          <w:b/>
          <w:bCs/>
          <w:szCs w:val="26"/>
        </w:rPr>
        <w:t xml:space="preserve">M </w:t>
      </w:r>
      <w:r w:rsidR="00EF1771" w:rsidRPr="00614645">
        <w:rPr>
          <w:b/>
          <w:bCs/>
          <w:szCs w:val="26"/>
        </w:rPr>
        <w:t xml:space="preserve">Rakgoale </w:t>
      </w:r>
    </w:p>
    <w:p w14:paraId="377F359B" w14:textId="77777777" w:rsidR="00413DA1" w:rsidRDefault="00EF1771">
      <w:pPr>
        <w:pStyle w:val="BodyA"/>
        <w:suppressAutoHyphens/>
        <w:spacing w:line="480" w:lineRule="auto"/>
        <w:rPr>
          <w:szCs w:val="26"/>
        </w:rPr>
      </w:pPr>
      <w:r w:rsidRPr="00614645">
        <w:rPr>
          <w:szCs w:val="26"/>
        </w:rPr>
        <w:t xml:space="preserve">Instructed by: </w:t>
      </w:r>
      <w:r w:rsidRPr="00614645">
        <w:rPr>
          <w:szCs w:val="26"/>
        </w:rPr>
        <w:tab/>
      </w:r>
      <w:r w:rsidRPr="00614645">
        <w:rPr>
          <w:szCs w:val="26"/>
        </w:rPr>
        <w:tab/>
      </w:r>
      <w:r w:rsidRPr="00614645">
        <w:rPr>
          <w:szCs w:val="26"/>
        </w:rPr>
        <w:tab/>
      </w:r>
      <w:r w:rsidRPr="00614645">
        <w:rPr>
          <w:szCs w:val="26"/>
        </w:rPr>
        <w:tab/>
      </w:r>
      <w:proofErr w:type="spellStart"/>
      <w:r w:rsidRPr="00614645">
        <w:rPr>
          <w:szCs w:val="26"/>
        </w:rPr>
        <w:t>Vezi</w:t>
      </w:r>
      <w:proofErr w:type="spellEnd"/>
      <w:r w:rsidRPr="00614645">
        <w:rPr>
          <w:szCs w:val="26"/>
        </w:rPr>
        <w:t xml:space="preserve"> &amp; De Beer Inc</w:t>
      </w:r>
    </w:p>
    <w:p w14:paraId="26383D06" w14:textId="77777777" w:rsidR="00413DA1" w:rsidRPr="00614645" w:rsidRDefault="00EF1771">
      <w:pPr>
        <w:pStyle w:val="BodyA"/>
        <w:suppressAutoHyphens/>
        <w:spacing w:line="480" w:lineRule="auto"/>
        <w:rPr>
          <w:b/>
          <w:bCs/>
          <w:szCs w:val="26"/>
        </w:rPr>
      </w:pPr>
      <w:r w:rsidRPr="00614645">
        <w:rPr>
          <w:szCs w:val="26"/>
        </w:rPr>
        <w:tab/>
      </w:r>
      <w:r w:rsidRPr="00614645">
        <w:rPr>
          <w:szCs w:val="26"/>
        </w:rPr>
        <w:tab/>
      </w:r>
      <w:r w:rsidRPr="00614645">
        <w:rPr>
          <w:szCs w:val="26"/>
        </w:rPr>
        <w:tab/>
      </w:r>
      <w:r w:rsidRPr="00614645">
        <w:rPr>
          <w:szCs w:val="26"/>
        </w:rPr>
        <w:tab/>
      </w:r>
      <w:r w:rsidRPr="00614645">
        <w:rPr>
          <w:szCs w:val="26"/>
        </w:rPr>
        <w:tab/>
      </w:r>
      <w:r w:rsidRPr="00614645">
        <w:rPr>
          <w:szCs w:val="26"/>
        </w:rPr>
        <w:tab/>
      </w:r>
      <w:r w:rsidR="00614645">
        <w:rPr>
          <w:szCs w:val="26"/>
        </w:rPr>
        <w:t xml:space="preserve">Lynnwood, </w:t>
      </w:r>
      <w:r w:rsidRPr="00614645">
        <w:rPr>
          <w:szCs w:val="26"/>
        </w:rPr>
        <w:t>Pretoria</w:t>
      </w:r>
    </w:p>
    <w:p w14:paraId="5689CE1E" w14:textId="77777777" w:rsidR="00413DA1" w:rsidRPr="00614645" w:rsidRDefault="00EF1771">
      <w:pPr>
        <w:pStyle w:val="BodyA"/>
        <w:suppressAutoHyphens/>
        <w:spacing w:line="480" w:lineRule="auto"/>
        <w:rPr>
          <w:sz w:val="22"/>
        </w:rPr>
      </w:pPr>
      <w:r w:rsidRPr="00614645">
        <w:rPr>
          <w:b/>
          <w:bCs/>
          <w:szCs w:val="26"/>
        </w:rPr>
        <w:tab/>
      </w:r>
      <w:r w:rsidRPr="00614645">
        <w:rPr>
          <w:b/>
          <w:bCs/>
          <w:szCs w:val="26"/>
        </w:rPr>
        <w:tab/>
      </w:r>
      <w:r w:rsidRPr="00614645">
        <w:rPr>
          <w:b/>
          <w:bCs/>
          <w:szCs w:val="26"/>
        </w:rPr>
        <w:tab/>
      </w:r>
      <w:r w:rsidRPr="00614645">
        <w:rPr>
          <w:b/>
          <w:bCs/>
          <w:szCs w:val="26"/>
        </w:rPr>
        <w:tab/>
      </w:r>
    </w:p>
    <w:sectPr w:rsidR="00413DA1" w:rsidRPr="00614645">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AB94" w14:textId="77777777" w:rsidR="00857C0B" w:rsidRDefault="00857C0B">
      <w:r>
        <w:separator/>
      </w:r>
    </w:p>
  </w:endnote>
  <w:endnote w:type="continuationSeparator" w:id="0">
    <w:p w14:paraId="30E008B5" w14:textId="77777777" w:rsidR="00857C0B" w:rsidRDefault="0085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76C" w14:textId="77777777" w:rsidR="00413DA1" w:rsidRDefault="00413DA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820D" w14:textId="77777777" w:rsidR="00413DA1" w:rsidRDefault="00413D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7769" w14:textId="77777777" w:rsidR="00857C0B" w:rsidRDefault="00857C0B">
      <w:r>
        <w:separator/>
      </w:r>
    </w:p>
  </w:footnote>
  <w:footnote w:type="continuationSeparator" w:id="0">
    <w:p w14:paraId="08EEA2D3" w14:textId="77777777" w:rsidR="00857C0B" w:rsidRDefault="00857C0B">
      <w:r>
        <w:continuationSeparator/>
      </w:r>
    </w:p>
  </w:footnote>
  <w:footnote w:type="continuationNotice" w:id="1">
    <w:p w14:paraId="1D0CA2A3" w14:textId="77777777" w:rsidR="00857C0B" w:rsidRDefault="00857C0B"/>
  </w:footnote>
  <w:footnote w:id="2">
    <w:p w14:paraId="5D6E3712" w14:textId="77777777" w:rsidR="00413DA1" w:rsidRDefault="00EF1771">
      <w:pPr>
        <w:pStyle w:val="Footnote"/>
      </w:pPr>
      <w:r>
        <w:rPr>
          <w:sz w:val="18"/>
          <w:szCs w:val="18"/>
          <w:vertAlign w:val="superscript"/>
        </w:rPr>
        <w:footnoteRef/>
      </w:r>
      <w:r>
        <w:rPr>
          <w:sz w:val="18"/>
          <w:szCs w:val="18"/>
        </w:rPr>
        <w:t xml:space="preserve"> (JR59/2020) [2021] ZALCJHB 449 (7 December 2021), paragraph 13</w:t>
      </w:r>
    </w:p>
  </w:footnote>
  <w:footnote w:id="3">
    <w:p w14:paraId="68439204" w14:textId="77777777" w:rsidR="00413DA1" w:rsidRDefault="00EF1771">
      <w:pPr>
        <w:pStyle w:val="Footnote"/>
      </w:pPr>
      <w:r>
        <w:rPr>
          <w:sz w:val="18"/>
          <w:szCs w:val="18"/>
          <w:vertAlign w:val="superscript"/>
        </w:rPr>
        <w:footnoteRef/>
      </w:r>
      <w:r>
        <w:rPr>
          <w:sz w:val="18"/>
          <w:szCs w:val="18"/>
        </w:rPr>
        <w:t xml:space="preserve">  (CCT45/99) [</w:t>
      </w:r>
      <w:r w:rsidR="00614645">
        <w:rPr>
          <w:sz w:val="18"/>
          <w:szCs w:val="18"/>
        </w:rPr>
        <w:t>2000] ZACC 3; 2000 (5) BCLR 465</w:t>
      </w:r>
      <w:r>
        <w:rPr>
          <w:sz w:val="18"/>
          <w:szCs w:val="18"/>
        </w:rPr>
        <w:t>; 2000 (2) SA 837 (CC) (30 March 2000), paragraph 3</w:t>
      </w:r>
    </w:p>
  </w:footnote>
  <w:footnote w:id="4">
    <w:p w14:paraId="0345938D" w14:textId="77777777" w:rsidR="00413DA1" w:rsidRDefault="00EF1771">
      <w:pPr>
        <w:pStyle w:val="Footnote"/>
      </w:pPr>
      <w:r>
        <w:rPr>
          <w:sz w:val="18"/>
          <w:szCs w:val="18"/>
          <w:vertAlign w:val="superscript"/>
        </w:rPr>
        <w:footnoteRef/>
      </w:r>
      <w:r>
        <w:rPr>
          <w:sz w:val="18"/>
          <w:szCs w:val="18"/>
        </w:rPr>
        <w:t xml:space="preserve">  10 of 2013</w:t>
      </w:r>
    </w:p>
  </w:footnote>
  <w:footnote w:id="5">
    <w:p w14:paraId="1F3A3183" w14:textId="77777777" w:rsidR="00413DA1" w:rsidRDefault="00EF1771">
      <w:pPr>
        <w:pStyle w:val="Footnote"/>
      </w:pPr>
      <w:r>
        <w:rPr>
          <w:sz w:val="18"/>
          <w:szCs w:val="18"/>
          <w:vertAlign w:val="superscript"/>
        </w:rPr>
        <w:footnoteRef/>
      </w:r>
      <w:r>
        <w:rPr>
          <w:sz w:val="18"/>
          <w:szCs w:val="18"/>
        </w:rPr>
        <w:t xml:space="preserve"> (1221/2015) [2016] ZASCA 176 (25 November 2016) at paragraphs 16,17 and 18</w:t>
      </w:r>
    </w:p>
  </w:footnote>
  <w:footnote w:id="6">
    <w:p w14:paraId="168A254B" w14:textId="77777777" w:rsidR="00413DA1" w:rsidRDefault="00EF1771">
      <w:pPr>
        <w:pStyle w:val="Footnote"/>
      </w:pPr>
      <w:r>
        <w:rPr>
          <w:sz w:val="18"/>
          <w:szCs w:val="18"/>
          <w:vertAlign w:val="superscript"/>
        </w:rPr>
        <w:footnoteRef/>
      </w:r>
      <w:r>
        <w:rPr>
          <w:sz w:val="18"/>
          <w:szCs w:val="18"/>
        </w:rPr>
        <w:t xml:space="preserve">  (724/2019) [2021] ZASCA 31 (31 March 2021), paragraph 10</w:t>
      </w:r>
    </w:p>
  </w:footnote>
  <w:footnote w:id="7">
    <w:p w14:paraId="4CC5694A" w14:textId="77777777" w:rsidR="00413DA1" w:rsidRDefault="00EF1771">
      <w:pPr>
        <w:pStyle w:val="Footnote"/>
      </w:pPr>
      <w:r>
        <w:rPr>
          <w:sz w:val="18"/>
          <w:szCs w:val="18"/>
          <w:vertAlign w:val="superscript"/>
        </w:rPr>
        <w:footnoteRef/>
      </w:r>
      <w:r>
        <w:rPr>
          <w:sz w:val="18"/>
          <w:szCs w:val="18"/>
        </w:rPr>
        <w:t xml:space="preserve"> </w:t>
      </w:r>
      <w:r>
        <w:rPr>
          <w:sz w:val="18"/>
          <w:szCs w:val="18"/>
        </w:rPr>
        <w:t>Caselines A8</w:t>
      </w:r>
      <w:r w:rsidR="00614645">
        <w:rPr>
          <w:sz w:val="18"/>
          <w:szCs w:val="18"/>
        </w:rPr>
        <w:t xml:space="preserve"> </w:t>
      </w:r>
      <w:r>
        <w:rPr>
          <w:sz w:val="18"/>
          <w:szCs w:val="18"/>
        </w:rPr>
        <w:t>- paragraph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7BAA" w14:textId="77777777" w:rsidR="00413DA1" w:rsidRDefault="00EF1771">
    <w:pPr>
      <w:pStyle w:val="Header"/>
      <w:tabs>
        <w:tab w:val="clear" w:pos="9360"/>
        <w:tab w:val="right" w:pos="9340"/>
      </w:tabs>
      <w:jc w:val="right"/>
    </w:pPr>
    <w:r>
      <w:t xml:space="preserve">Page </w:t>
    </w:r>
    <w:r>
      <w:fldChar w:fldCharType="begin"/>
    </w:r>
    <w:r>
      <w:instrText xml:space="preserve"> PAGE </w:instrText>
    </w:r>
    <w:r>
      <w:fldChar w:fldCharType="separate"/>
    </w:r>
    <w:r w:rsidR="00221B61">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F834" w14:textId="77777777" w:rsidR="00413DA1" w:rsidRDefault="00413D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32D8"/>
    <w:multiLevelType w:val="hybridMultilevel"/>
    <w:tmpl w:val="037049DC"/>
    <w:numStyleLink w:val="ImportedStyle2"/>
  </w:abstractNum>
  <w:abstractNum w:abstractNumId="1" w15:restartNumberingAfterBreak="0">
    <w:nsid w:val="684D2644"/>
    <w:multiLevelType w:val="hybridMultilevel"/>
    <w:tmpl w:val="73089F20"/>
    <w:lvl w:ilvl="0" w:tplc="F8241CA6">
      <w:start w:val="1"/>
      <w:numFmt w:val="decimal"/>
      <w:lvlText w:val="(%1)"/>
      <w:lvlJc w:val="left"/>
      <w:pPr>
        <w:ind w:left="2834" w:hanging="2654"/>
      </w:pPr>
      <w:rPr>
        <w:rFonts w:hAnsi="Arial Unicode MS"/>
        <w:caps w:val="0"/>
        <w:smallCaps w:val="0"/>
        <w:strike w:val="0"/>
        <w:dstrike w:val="0"/>
        <w:outline w:val="0"/>
        <w:emboss w:val="0"/>
        <w:imprint w:val="0"/>
        <w:spacing w:val="0"/>
        <w:w w:val="100"/>
        <w:kern w:val="0"/>
        <w:position w:val="0"/>
        <w:highlight w:val="none"/>
        <w:vertAlign w:val="baseline"/>
      </w:rPr>
    </w:lvl>
    <w:lvl w:ilvl="1" w:tplc="82DA530A">
      <w:start w:val="1"/>
      <w:numFmt w:val="lowerLetter"/>
      <w:suff w:val="nothing"/>
      <w:lvlText w:val="%2."/>
      <w:lvlJc w:val="left"/>
      <w:pPr>
        <w:ind w:left="10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C928158">
      <w:start w:val="1"/>
      <w:numFmt w:val="lowerRoman"/>
      <w:suff w:val="nothing"/>
      <w:lvlText w:val="%3."/>
      <w:lvlJc w:val="left"/>
      <w:pPr>
        <w:ind w:left="179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E724E52">
      <w:start w:val="1"/>
      <w:numFmt w:val="decimal"/>
      <w:suff w:val="nothing"/>
      <w:lvlText w:val="%4."/>
      <w:lvlJc w:val="left"/>
      <w:pPr>
        <w:ind w:left="245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30766A5C">
      <w:start w:val="1"/>
      <w:numFmt w:val="lowerLetter"/>
      <w:suff w:val="nothing"/>
      <w:lvlText w:val="%5."/>
      <w:lvlJc w:val="left"/>
      <w:pPr>
        <w:ind w:left="317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C7F0CEDE">
      <w:start w:val="1"/>
      <w:numFmt w:val="lowerRoman"/>
      <w:suff w:val="nothing"/>
      <w:lvlText w:val="%6."/>
      <w:lvlJc w:val="left"/>
      <w:pPr>
        <w:ind w:left="395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B22023F4">
      <w:start w:val="1"/>
      <w:numFmt w:val="decimal"/>
      <w:suff w:val="nothing"/>
      <w:lvlText w:val="%7."/>
      <w:lvlJc w:val="left"/>
      <w:pPr>
        <w:ind w:left="46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F26A502">
      <w:start w:val="1"/>
      <w:numFmt w:val="lowerLetter"/>
      <w:suff w:val="nothing"/>
      <w:lvlText w:val="%8."/>
      <w:lvlJc w:val="left"/>
      <w:pPr>
        <w:ind w:left="533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C49E657A">
      <w:start w:val="1"/>
      <w:numFmt w:val="lowerRoman"/>
      <w:suff w:val="nothing"/>
      <w:lvlText w:val="%9."/>
      <w:lvlJc w:val="left"/>
      <w:pPr>
        <w:ind w:left="61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F071454"/>
    <w:multiLevelType w:val="hybridMultilevel"/>
    <w:tmpl w:val="037049DC"/>
    <w:styleLink w:val="ImportedStyle2"/>
    <w:lvl w:ilvl="0" w:tplc="F5C4E14C">
      <w:start w:val="1"/>
      <w:numFmt w:val="decimal"/>
      <w:lvlText w:val="%1."/>
      <w:lvlJc w:val="left"/>
      <w:pPr>
        <w:tabs>
          <w:tab w:val="left" w:pos="303"/>
          <w:tab w:val="left" w:pos="330"/>
          <w:tab w:val="left" w:pos="360"/>
          <w:tab w:val="left" w:pos="393"/>
        </w:tabs>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D082916E">
      <w:start w:val="1"/>
      <w:numFmt w:val="decimal"/>
      <w:lvlText w:val="%2."/>
      <w:lvlJc w:val="left"/>
      <w:pPr>
        <w:tabs>
          <w:tab w:val="left" w:pos="303"/>
          <w:tab w:val="left" w:pos="330"/>
          <w:tab w:val="left" w:pos="360"/>
          <w:tab w:val="left" w:pos="393"/>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F2A6EF4">
      <w:start w:val="1"/>
      <w:numFmt w:val="decimal"/>
      <w:lvlText w:val="%3."/>
      <w:lvlJc w:val="left"/>
      <w:pPr>
        <w:tabs>
          <w:tab w:val="left" w:pos="303"/>
          <w:tab w:val="left" w:pos="330"/>
          <w:tab w:val="left" w:pos="360"/>
          <w:tab w:val="left" w:pos="393"/>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E874658E">
      <w:start w:val="1"/>
      <w:numFmt w:val="decimal"/>
      <w:lvlText w:val="%4."/>
      <w:lvlJc w:val="left"/>
      <w:pPr>
        <w:tabs>
          <w:tab w:val="left" w:pos="303"/>
          <w:tab w:val="left" w:pos="330"/>
          <w:tab w:val="left" w:pos="360"/>
          <w:tab w:val="left" w:pos="393"/>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EDC3B06">
      <w:start w:val="1"/>
      <w:numFmt w:val="decimal"/>
      <w:lvlText w:val="%5."/>
      <w:lvlJc w:val="left"/>
      <w:pPr>
        <w:tabs>
          <w:tab w:val="left" w:pos="303"/>
          <w:tab w:val="left" w:pos="330"/>
          <w:tab w:val="left" w:pos="360"/>
          <w:tab w:val="left" w:pos="393"/>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C9E4646">
      <w:start w:val="1"/>
      <w:numFmt w:val="decimal"/>
      <w:lvlText w:val="%6."/>
      <w:lvlJc w:val="left"/>
      <w:pPr>
        <w:tabs>
          <w:tab w:val="left" w:pos="303"/>
          <w:tab w:val="left" w:pos="330"/>
          <w:tab w:val="left" w:pos="360"/>
          <w:tab w:val="left" w:pos="393"/>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831AFF5C">
      <w:start w:val="1"/>
      <w:numFmt w:val="decimal"/>
      <w:lvlText w:val="%7."/>
      <w:lvlJc w:val="left"/>
      <w:pPr>
        <w:tabs>
          <w:tab w:val="left" w:pos="303"/>
          <w:tab w:val="left" w:pos="330"/>
          <w:tab w:val="left" w:pos="360"/>
          <w:tab w:val="left" w:pos="393"/>
        </w:tabs>
        <w:ind w:left="2699"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02E00B0">
      <w:start w:val="1"/>
      <w:numFmt w:val="decimal"/>
      <w:lvlText w:val="%8."/>
      <w:lvlJc w:val="left"/>
      <w:pPr>
        <w:tabs>
          <w:tab w:val="left" w:pos="303"/>
          <w:tab w:val="left" w:pos="330"/>
          <w:tab w:val="left" w:pos="360"/>
          <w:tab w:val="left" w:pos="393"/>
        </w:tabs>
        <w:ind w:left="3059"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D1C925A">
      <w:start w:val="1"/>
      <w:numFmt w:val="decimal"/>
      <w:lvlText w:val="%9."/>
      <w:lvlJc w:val="left"/>
      <w:pPr>
        <w:tabs>
          <w:tab w:val="left" w:pos="303"/>
          <w:tab w:val="left" w:pos="330"/>
          <w:tab w:val="left" w:pos="360"/>
          <w:tab w:val="left" w:pos="393"/>
        </w:tabs>
        <w:ind w:left="3419" w:hanging="53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74670243">
    <w:abstractNumId w:val="1"/>
  </w:num>
  <w:num w:numId="2" w16cid:durableId="807087224">
    <w:abstractNumId w:val="2"/>
  </w:num>
  <w:num w:numId="3" w16cid:durableId="197021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1"/>
    <w:rsid w:val="00221B61"/>
    <w:rsid w:val="00413DA1"/>
    <w:rsid w:val="00483D94"/>
    <w:rsid w:val="00614645"/>
    <w:rsid w:val="00857C0B"/>
    <w:rsid w:val="00972384"/>
    <w:rsid w:val="00AD45D1"/>
    <w:rsid w:val="00DF26D0"/>
    <w:rsid w:val="00EF1771"/>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BBBD"/>
  <w15:docId w15:val="{80DF0BFC-53AB-4192-9B46-9584BC5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level1">
    <w:name w:val="level1"/>
    <w:rPr>
      <w:rFonts w:ascii="Arial" w:hAnsi="Arial" w:cs="Arial Unicode MS"/>
      <w:color w:val="000000"/>
      <w:kern w:val="28"/>
      <w:sz w:val="24"/>
      <w:szCs w:val="24"/>
      <w:u w:color="000000"/>
      <w:lang w:val="en-US"/>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Lilitha Mdleleni</cp:lastModifiedBy>
  <cp:revision>3</cp:revision>
  <dcterms:created xsi:type="dcterms:W3CDTF">2023-11-13T13:51:00Z</dcterms:created>
  <dcterms:modified xsi:type="dcterms:W3CDTF">2023-11-23T08:46:00Z</dcterms:modified>
</cp:coreProperties>
</file>