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0927C" w14:textId="416A953F" w:rsidR="0060557D" w:rsidRDefault="0060557D" w:rsidP="00B50E11">
      <w:pPr>
        <w:pStyle w:val="Body"/>
        <w:jc w:val="center"/>
      </w:pPr>
      <w:r>
        <w:rPr>
          <w:noProof/>
          <w:lang w:val="en-ZA" w:eastAsia="en-ZA"/>
        </w:rPr>
        <w:drawing>
          <wp:anchor distT="0" distB="0" distL="114300" distR="114300" simplePos="0" relativeHeight="251658240" behindDoc="0" locked="0" layoutInCell="1" allowOverlap="1" wp14:anchorId="6B5B6C71" wp14:editId="2807EC6A">
            <wp:simplePos x="0" y="0"/>
            <wp:positionH relativeFrom="column">
              <wp:posOffset>2195195</wp:posOffset>
            </wp:positionH>
            <wp:positionV relativeFrom="paragraph">
              <wp:posOffset>-462589</wp:posOffset>
            </wp:positionV>
            <wp:extent cx="1549920" cy="1339712"/>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49920" cy="1339712"/>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743FED8F" w14:textId="6A09418B" w:rsidR="0060557D" w:rsidRDefault="0060557D" w:rsidP="00B50E11">
      <w:pPr>
        <w:pStyle w:val="Body"/>
        <w:jc w:val="center"/>
      </w:pPr>
    </w:p>
    <w:p w14:paraId="6BDD1F2D" w14:textId="5310AA85" w:rsidR="00B50E11" w:rsidRDefault="00B50E11" w:rsidP="00B50E11">
      <w:pPr>
        <w:pStyle w:val="Body"/>
        <w:jc w:val="center"/>
      </w:pPr>
    </w:p>
    <w:p w14:paraId="1D01E514" w14:textId="52A01189" w:rsidR="00B50E11" w:rsidRPr="0031449E" w:rsidRDefault="00B50E11" w:rsidP="008E6813">
      <w:pPr>
        <w:pStyle w:val="Body"/>
        <w:spacing w:line="360" w:lineRule="auto"/>
        <w:jc w:val="center"/>
        <w:outlineLvl w:val="0"/>
        <w:rPr>
          <w:rFonts w:cs="Arial"/>
          <w:b/>
          <w:bCs/>
          <w:sz w:val="24"/>
          <w:szCs w:val="24"/>
        </w:rPr>
      </w:pPr>
      <w:r w:rsidRPr="0031449E">
        <w:rPr>
          <w:rFonts w:cs="Arial"/>
          <w:b/>
          <w:bCs/>
          <w:sz w:val="24"/>
          <w:szCs w:val="24"/>
          <w:u w:val="single"/>
        </w:rPr>
        <w:t>IN THE HIGH COURT OF SOUTH AFRICA</w:t>
      </w:r>
    </w:p>
    <w:p w14:paraId="350B431D" w14:textId="72E88555" w:rsidR="00C519B2" w:rsidRPr="008E6813" w:rsidRDefault="00B50E11" w:rsidP="008E6813">
      <w:pPr>
        <w:pStyle w:val="Body"/>
        <w:spacing w:line="360" w:lineRule="auto"/>
        <w:jc w:val="center"/>
        <w:rPr>
          <w:rFonts w:cs="Arial"/>
          <w:b/>
          <w:bCs/>
          <w:sz w:val="24"/>
          <w:szCs w:val="24"/>
          <w:u w:val="single"/>
        </w:rPr>
      </w:pPr>
      <w:r w:rsidRPr="0031449E">
        <w:rPr>
          <w:rFonts w:cs="Arial"/>
          <w:b/>
          <w:bCs/>
          <w:sz w:val="24"/>
          <w:szCs w:val="24"/>
          <w:u w:val="single"/>
          <w:lang w:val="de-DE"/>
        </w:rPr>
        <w:t>(GAUTENG DIVISION, PRETORIA)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tblGrid>
      <w:tr w:rsidR="00C519B2" w:rsidRPr="004164F3" w14:paraId="7564B942" w14:textId="77777777" w:rsidTr="002A681B">
        <w:trPr>
          <w:trHeight w:val="1997"/>
        </w:trPr>
        <w:tc>
          <w:tcPr>
            <w:tcW w:w="3856" w:type="dxa"/>
          </w:tcPr>
          <w:p w14:paraId="0C1A8C99"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719093FC" w14:textId="64B5F9B5"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r>
            <w:r w:rsidRPr="000C3AFA">
              <w:rPr>
                <w:rFonts w:ascii="Arial Unicode MS" w:eastAsia="Arial Unicode MS" w:hAnsi="Arial Unicode MS" w:cs="Arial Unicode MS"/>
                <w:strike/>
                <w:sz w:val="16"/>
                <w:szCs w:val="16"/>
              </w:rPr>
              <w:t>YES/</w:t>
            </w:r>
            <w:r w:rsidRPr="000C3AFA">
              <w:rPr>
                <w:rFonts w:ascii="Arial Unicode MS" w:eastAsia="Arial Unicode MS" w:hAnsi="Arial Unicode MS" w:cs="Arial Unicode MS"/>
                <w:b/>
                <w:bCs/>
                <w:sz w:val="16"/>
                <w:szCs w:val="16"/>
              </w:rPr>
              <w:t>NO</w:t>
            </w:r>
          </w:p>
          <w:p w14:paraId="528A128C" w14:textId="4608575A"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Pr="000C3AFA">
              <w:rPr>
                <w:rFonts w:ascii="Arial Unicode MS" w:eastAsia="Arial Unicode MS" w:hAnsi="Arial Unicode MS" w:cs="Arial Unicode MS"/>
                <w:strike/>
                <w:sz w:val="16"/>
                <w:szCs w:val="16"/>
              </w:rPr>
              <w:t>YES/</w:t>
            </w:r>
            <w:r w:rsidRPr="000C3AFA">
              <w:rPr>
                <w:rFonts w:ascii="Arial Unicode MS" w:eastAsia="Arial Unicode MS" w:hAnsi="Arial Unicode MS" w:cs="Arial Unicode MS"/>
                <w:b/>
                <w:bCs/>
                <w:sz w:val="16"/>
                <w:szCs w:val="16"/>
              </w:rPr>
              <w:t>NO</w:t>
            </w:r>
          </w:p>
          <w:p w14:paraId="15F66332" w14:textId="71280587"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r w:rsidR="000C3AFA">
              <w:rPr>
                <w:rFonts w:ascii="Arial Unicode MS" w:eastAsia="Arial Unicode MS" w:hAnsi="Arial Unicode MS" w:cs="Arial Unicode MS"/>
                <w:sz w:val="16"/>
                <w:szCs w:val="16"/>
              </w:rPr>
              <w:t xml:space="preserve">: </w:t>
            </w:r>
            <w:r w:rsidR="000C3AFA" w:rsidRPr="000C3AFA">
              <w:rPr>
                <w:rFonts w:ascii="Arial Unicode MS" w:eastAsia="Arial Unicode MS" w:hAnsi="Arial Unicode MS" w:cs="Arial Unicode MS"/>
                <w:b/>
                <w:bCs/>
                <w:sz w:val="16"/>
                <w:szCs w:val="16"/>
              </w:rPr>
              <w:t>NO</w:t>
            </w:r>
          </w:p>
          <w:p w14:paraId="284842F1" w14:textId="45DA7A1F" w:rsidR="00C519B2" w:rsidRPr="004164F3" w:rsidRDefault="00C519B2" w:rsidP="00C64B6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000C3AFA">
              <w:rPr>
                <w:rFonts w:ascii="Arial Unicode MS" w:eastAsia="Arial Unicode MS" w:hAnsi="Arial Unicode MS" w:cs="Arial Unicode MS"/>
                <w:sz w:val="16"/>
                <w:szCs w:val="16"/>
              </w:rPr>
              <w:t xml:space="preserve">  </w:t>
            </w:r>
            <w:r w:rsidR="000C3AFA" w:rsidRPr="000C3AFA">
              <w:rPr>
                <w:rFonts w:ascii="Arial Unicode MS" w:eastAsia="Arial Unicode MS" w:hAnsi="Arial Unicode MS" w:cs="Arial Unicode MS"/>
                <w:b/>
                <w:bCs/>
                <w:sz w:val="16"/>
                <w:szCs w:val="16"/>
              </w:rPr>
              <w:t>14 N</w:t>
            </w:r>
            <w:r w:rsidR="002B0901" w:rsidRPr="000C3AFA">
              <w:rPr>
                <w:rFonts w:ascii="Arial Unicode MS" w:eastAsia="Arial Unicode MS" w:hAnsi="Arial Unicode MS" w:cs="Arial Unicode MS"/>
                <w:b/>
                <w:bCs/>
                <w:sz w:val="16"/>
                <w:szCs w:val="16"/>
              </w:rPr>
              <w:t>ovember 2023</w:t>
            </w:r>
            <w:r>
              <w:rPr>
                <w:rFonts w:ascii="Arial Unicode MS" w:eastAsia="Arial Unicode MS" w:hAnsi="Arial Unicode MS" w:cs="Arial Unicode MS"/>
                <w:sz w:val="16"/>
                <w:szCs w:val="16"/>
              </w:rPr>
              <w:br/>
            </w:r>
          </w:p>
          <w:p w14:paraId="773CDFDB" w14:textId="38719BD2"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p>
        </w:tc>
      </w:tr>
    </w:tbl>
    <w:p w14:paraId="46E43E32" w14:textId="40198529" w:rsidR="00B50E11" w:rsidRPr="0031449E" w:rsidRDefault="00B50E11" w:rsidP="008E6813">
      <w:pPr>
        <w:pStyle w:val="Body"/>
        <w:spacing w:line="360" w:lineRule="auto"/>
        <w:jc w:val="right"/>
        <w:outlineLvl w:val="0"/>
        <w:rPr>
          <w:rFonts w:cs="Arial"/>
          <w:sz w:val="24"/>
          <w:szCs w:val="24"/>
        </w:rPr>
      </w:pPr>
      <w:r w:rsidRPr="0031449E">
        <w:rPr>
          <w:rFonts w:cs="Arial"/>
          <w:sz w:val="24"/>
          <w:szCs w:val="24"/>
        </w:rPr>
        <w:tab/>
      </w:r>
      <w:r w:rsidRPr="0031449E">
        <w:rPr>
          <w:rFonts w:cs="Arial"/>
          <w:b/>
          <w:bCs/>
          <w:sz w:val="24"/>
          <w:szCs w:val="24"/>
        </w:rPr>
        <w:t xml:space="preserve">Case No. </w:t>
      </w:r>
      <w:r w:rsidR="0032633A">
        <w:rPr>
          <w:rFonts w:cs="Arial"/>
          <w:b/>
          <w:bCs/>
          <w:sz w:val="24"/>
          <w:szCs w:val="24"/>
        </w:rPr>
        <w:t>32095/2020</w:t>
      </w:r>
    </w:p>
    <w:tbl>
      <w:tblPr>
        <w:tblStyle w:val="TableGrid"/>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122"/>
        <w:gridCol w:w="51"/>
      </w:tblGrid>
      <w:tr w:rsidR="00B50E11" w:rsidRPr="0031449E" w14:paraId="22698168" w14:textId="77777777" w:rsidTr="0032633A">
        <w:trPr>
          <w:gridAfter w:val="1"/>
          <w:wAfter w:w="51" w:type="dxa"/>
        </w:trPr>
        <w:tc>
          <w:tcPr>
            <w:tcW w:w="6521" w:type="dxa"/>
          </w:tcPr>
          <w:p w14:paraId="3D32D802" w14:textId="77777777" w:rsidR="00B50E11" w:rsidRPr="0031449E" w:rsidRDefault="00B50E11" w:rsidP="008E6813">
            <w:pPr>
              <w:pStyle w:val="Body"/>
              <w:spacing w:line="360" w:lineRule="auto"/>
              <w:jc w:val="both"/>
              <w:rPr>
                <w:rFonts w:cs="Arial"/>
                <w:sz w:val="24"/>
                <w:szCs w:val="24"/>
              </w:rPr>
            </w:pPr>
            <w:r w:rsidRPr="0031449E">
              <w:rPr>
                <w:rFonts w:cs="Arial"/>
                <w:sz w:val="24"/>
                <w:szCs w:val="24"/>
              </w:rPr>
              <w:t>In the matter between:</w:t>
            </w:r>
          </w:p>
        </w:tc>
        <w:tc>
          <w:tcPr>
            <w:tcW w:w="3122" w:type="dxa"/>
          </w:tcPr>
          <w:p w14:paraId="6295A861" w14:textId="77777777" w:rsidR="00B50E11" w:rsidRPr="0031449E"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sz w:val="24"/>
                <w:szCs w:val="24"/>
              </w:rPr>
            </w:pPr>
          </w:p>
        </w:tc>
      </w:tr>
      <w:tr w:rsidR="00B50E11" w:rsidRPr="0031449E" w14:paraId="4638A8A4" w14:textId="77777777" w:rsidTr="0032633A">
        <w:trPr>
          <w:gridAfter w:val="1"/>
          <w:wAfter w:w="51" w:type="dxa"/>
          <w:trHeight w:val="1045"/>
        </w:trPr>
        <w:tc>
          <w:tcPr>
            <w:tcW w:w="6521" w:type="dxa"/>
          </w:tcPr>
          <w:p w14:paraId="2456782D"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sz w:val="24"/>
                <w:szCs w:val="24"/>
              </w:rPr>
            </w:pPr>
          </w:p>
          <w:p w14:paraId="548AA6FE" w14:textId="35A418B0" w:rsidR="007F7FED" w:rsidRPr="0032633A"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32633A">
              <w:rPr>
                <w:rFonts w:cs="Arial"/>
                <w:b/>
                <w:bCs/>
                <w:sz w:val="24"/>
                <w:szCs w:val="24"/>
              </w:rPr>
              <w:t>ORGANISATION UNDOING TAX ABUSE NPC</w:t>
            </w:r>
          </w:p>
        </w:tc>
        <w:tc>
          <w:tcPr>
            <w:tcW w:w="3122" w:type="dxa"/>
          </w:tcPr>
          <w:p w14:paraId="66354F6A"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263479FD" w14:textId="529B75C9" w:rsidR="00B50E11" w:rsidRPr="0031449E" w:rsidRDefault="000218AC"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APPLICANT</w:t>
            </w:r>
          </w:p>
        </w:tc>
      </w:tr>
      <w:tr w:rsidR="00B50E11" w:rsidRPr="0031449E" w14:paraId="2DE3831D" w14:textId="77777777" w:rsidTr="0032633A">
        <w:trPr>
          <w:gridAfter w:val="1"/>
          <w:wAfter w:w="51" w:type="dxa"/>
        </w:trPr>
        <w:tc>
          <w:tcPr>
            <w:tcW w:w="6521" w:type="dxa"/>
          </w:tcPr>
          <w:p w14:paraId="52E06D21" w14:textId="65F278A7" w:rsidR="00B50E11" w:rsidRPr="0031449E" w:rsidRDefault="00416EA1" w:rsidP="008E6813">
            <w:pPr>
              <w:pStyle w:val="Body"/>
              <w:spacing w:line="360" w:lineRule="auto"/>
              <w:jc w:val="both"/>
              <w:rPr>
                <w:rFonts w:eastAsia="Tahoma" w:cs="Arial"/>
                <w:sz w:val="24"/>
                <w:szCs w:val="24"/>
              </w:rPr>
            </w:pPr>
            <w:r w:rsidRPr="0031449E">
              <w:rPr>
                <w:rFonts w:cs="Arial"/>
                <w:sz w:val="24"/>
                <w:szCs w:val="24"/>
              </w:rPr>
              <w:t>A</w:t>
            </w:r>
            <w:r w:rsidR="00B50E11" w:rsidRPr="0031449E">
              <w:rPr>
                <w:rFonts w:cs="Arial"/>
                <w:sz w:val="24"/>
                <w:szCs w:val="24"/>
              </w:rPr>
              <w:t>nd</w:t>
            </w:r>
          </w:p>
        </w:tc>
        <w:tc>
          <w:tcPr>
            <w:tcW w:w="3122" w:type="dxa"/>
          </w:tcPr>
          <w:p w14:paraId="06C77BC2" w14:textId="032FD205" w:rsidR="00B50E11" w:rsidRPr="0031449E"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tc>
      </w:tr>
      <w:tr w:rsidR="00B50E11" w:rsidRPr="0031449E" w14:paraId="4829D036" w14:textId="77777777" w:rsidTr="0032633A">
        <w:trPr>
          <w:gridAfter w:val="1"/>
          <w:wAfter w:w="51" w:type="dxa"/>
        </w:trPr>
        <w:tc>
          <w:tcPr>
            <w:tcW w:w="6521" w:type="dxa"/>
          </w:tcPr>
          <w:p w14:paraId="0C29CDE0"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3ACBB1CA" w14:textId="53055A99" w:rsidR="00B50E11" w:rsidRPr="00DA7A8D"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lang w:val="de-DE"/>
              </w:rPr>
            </w:pPr>
            <w:r>
              <w:rPr>
                <w:rFonts w:cs="Arial"/>
                <w:b/>
                <w:bCs/>
                <w:sz w:val="24"/>
                <w:szCs w:val="24"/>
                <w:lang w:val="de-DE"/>
              </w:rPr>
              <w:t>SOUTH AFRICAN NATIONAL ROADS AGENCY LTD</w:t>
            </w:r>
          </w:p>
        </w:tc>
        <w:tc>
          <w:tcPr>
            <w:tcW w:w="3122" w:type="dxa"/>
          </w:tcPr>
          <w:p w14:paraId="33705AB1"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7853F6A3" w14:textId="0BDDAC04" w:rsidR="00B50E11" w:rsidRPr="0031449E" w:rsidRDefault="001F07DD"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 xml:space="preserve">FIRST </w:t>
            </w:r>
            <w:r w:rsidR="000218AC">
              <w:rPr>
                <w:rFonts w:cs="Arial"/>
                <w:b/>
                <w:sz w:val="24"/>
                <w:szCs w:val="24"/>
              </w:rPr>
              <w:t>RESPONDENT</w:t>
            </w:r>
          </w:p>
        </w:tc>
      </w:tr>
      <w:tr w:rsidR="0027008F" w:rsidRPr="0031449E" w14:paraId="0432C152" w14:textId="77777777" w:rsidTr="0032633A">
        <w:trPr>
          <w:gridAfter w:val="1"/>
          <w:wAfter w:w="51" w:type="dxa"/>
        </w:trPr>
        <w:tc>
          <w:tcPr>
            <w:tcW w:w="6521" w:type="dxa"/>
          </w:tcPr>
          <w:p w14:paraId="25DA77DC" w14:textId="77777777" w:rsidR="0027008F" w:rsidRDefault="0027008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7F45D086" w14:textId="0BB7D1EB" w:rsidR="0027008F"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r>
              <w:rPr>
                <w:rFonts w:cs="Arial"/>
                <w:b/>
                <w:bCs/>
                <w:sz w:val="24"/>
                <w:szCs w:val="24"/>
                <w:lang w:val="de-DE"/>
              </w:rPr>
              <w:t>THE MINISTER OF TRANSPORT</w:t>
            </w:r>
          </w:p>
        </w:tc>
        <w:tc>
          <w:tcPr>
            <w:tcW w:w="3122" w:type="dxa"/>
          </w:tcPr>
          <w:p w14:paraId="12E9CA02" w14:textId="77777777" w:rsidR="0027008F" w:rsidRDefault="0027008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345D8E8F" w14:textId="09251848" w:rsidR="0027008F" w:rsidRDefault="0027008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SECOND RESPONDENT</w:t>
            </w:r>
          </w:p>
        </w:tc>
      </w:tr>
      <w:tr w:rsidR="0032633A" w:rsidRPr="0031449E" w14:paraId="3E6F2A28" w14:textId="77777777" w:rsidTr="0032633A">
        <w:trPr>
          <w:gridAfter w:val="1"/>
          <w:wAfter w:w="51" w:type="dxa"/>
        </w:trPr>
        <w:tc>
          <w:tcPr>
            <w:tcW w:w="6521" w:type="dxa"/>
          </w:tcPr>
          <w:p w14:paraId="28F48FB4" w14:textId="77777777" w:rsidR="0032633A"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40FF0E32" w14:textId="64D355CB" w:rsidR="0032633A"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r>
              <w:rPr>
                <w:rFonts w:cs="Arial"/>
                <w:b/>
                <w:bCs/>
                <w:sz w:val="24"/>
                <w:szCs w:val="24"/>
                <w:lang w:val="de-DE"/>
              </w:rPr>
              <w:t>ALLI, NAZIR</w:t>
            </w:r>
          </w:p>
        </w:tc>
        <w:tc>
          <w:tcPr>
            <w:tcW w:w="3122" w:type="dxa"/>
          </w:tcPr>
          <w:p w14:paraId="041AF3E3" w14:textId="77777777" w:rsidR="0032633A"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13D07041" w14:textId="5EC45916" w:rsidR="0032633A"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THIRD RESPONDENT</w:t>
            </w:r>
          </w:p>
        </w:tc>
      </w:tr>
      <w:tr w:rsidR="0032633A" w:rsidRPr="0031449E" w14:paraId="2EEA5CA8" w14:textId="77777777" w:rsidTr="0032633A">
        <w:trPr>
          <w:gridAfter w:val="1"/>
          <w:wAfter w:w="51" w:type="dxa"/>
        </w:trPr>
        <w:tc>
          <w:tcPr>
            <w:tcW w:w="6521" w:type="dxa"/>
          </w:tcPr>
          <w:p w14:paraId="180AFDA6" w14:textId="77777777" w:rsidR="0032633A"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6D0271E4" w14:textId="13DFA257" w:rsidR="0032633A"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r>
              <w:rPr>
                <w:rFonts w:cs="Arial"/>
                <w:b/>
                <w:bCs/>
                <w:sz w:val="24"/>
                <w:szCs w:val="24"/>
                <w:lang w:val="de-DE"/>
              </w:rPr>
              <w:t>MOTAUNG, DANIEL</w:t>
            </w:r>
          </w:p>
        </w:tc>
        <w:tc>
          <w:tcPr>
            <w:tcW w:w="3122" w:type="dxa"/>
          </w:tcPr>
          <w:p w14:paraId="5732231D" w14:textId="77777777" w:rsidR="0032633A"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11D83809" w14:textId="458504AF" w:rsidR="0032633A"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FOURTH RESPONDENT</w:t>
            </w:r>
          </w:p>
        </w:tc>
      </w:tr>
      <w:tr w:rsidR="0032633A" w:rsidRPr="0031449E" w14:paraId="558C50A4" w14:textId="77777777" w:rsidTr="0032633A">
        <w:trPr>
          <w:gridAfter w:val="1"/>
          <w:wAfter w:w="51" w:type="dxa"/>
        </w:trPr>
        <w:tc>
          <w:tcPr>
            <w:tcW w:w="6521" w:type="dxa"/>
          </w:tcPr>
          <w:p w14:paraId="785D80B2" w14:textId="77777777" w:rsidR="0032633A"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61110663" w14:textId="2CDEE8E4" w:rsidR="0032633A"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r>
              <w:rPr>
                <w:rFonts w:cs="Arial"/>
                <w:b/>
                <w:bCs/>
                <w:sz w:val="24"/>
                <w:szCs w:val="24"/>
                <w:lang w:val="de-DE"/>
              </w:rPr>
              <w:t>MACOZOMA, SKHUMBUZO N.O</w:t>
            </w:r>
          </w:p>
        </w:tc>
        <w:tc>
          <w:tcPr>
            <w:tcW w:w="3122" w:type="dxa"/>
          </w:tcPr>
          <w:p w14:paraId="57CEE86F" w14:textId="77777777" w:rsidR="0032633A"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652EF57B" w14:textId="01EA42F2" w:rsidR="0032633A"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FIFTH RESPONDENT</w:t>
            </w:r>
          </w:p>
        </w:tc>
      </w:tr>
      <w:tr w:rsidR="0032633A" w:rsidRPr="0031449E" w14:paraId="1573DA96" w14:textId="77777777" w:rsidTr="0032633A">
        <w:trPr>
          <w:gridAfter w:val="1"/>
          <w:wAfter w:w="51" w:type="dxa"/>
        </w:trPr>
        <w:tc>
          <w:tcPr>
            <w:tcW w:w="6521" w:type="dxa"/>
          </w:tcPr>
          <w:p w14:paraId="38D11943" w14:textId="77777777" w:rsidR="0032633A"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6A5D7D13" w14:textId="37F9F33D" w:rsidR="0032633A"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r>
              <w:rPr>
                <w:rFonts w:cs="Arial"/>
                <w:b/>
                <w:bCs/>
                <w:sz w:val="24"/>
                <w:szCs w:val="24"/>
                <w:lang w:val="de-DE"/>
              </w:rPr>
              <w:t>N3 TOLL CONCESSION (RF) (PTY) LTD</w:t>
            </w:r>
          </w:p>
        </w:tc>
        <w:tc>
          <w:tcPr>
            <w:tcW w:w="3122" w:type="dxa"/>
          </w:tcPr>
          <w:p w14:paraId="7F36B93A" w14:textId="77777777" w:rsidR="0032633A"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1F94404F" w14:textId="56A858EC" w:rsidR="0032633A" w:rsidRDefault="0032633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SIXTH RESPONDENT</w:t>
            </w:r>
          </w:p>
        </w:tc>
      </w:tr>
      <w:tr w:rsidR="001D7244" w:rsidRPr="00217B1F" w14:paraId="0BE69F19" w14:textId="77777777" w:rsidTr="0032633A">
        <w:trPr>
          <w:trHeight w:val="1045"/>
        </w:trPr>
        <w:tc>
          <w:tcPr>
            <w:tcW w:w="9694" w:type="dxa"/>
            <w:gridSpan w:val="3"/>
          </w:tcPr>
          <w:p w14:paraId="0CA1B4FB" w14:textId="0FEC6BF8" w:rsidR="001D7244" w:rsidRPr="00217B1F" w:rsidRDefault="00364832"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Pr>
                <w:rFonts w:cs="Arial"/>
                <w:b/>
                <w:bCs/>
                <w:sz w:val="24"/>
                <w:szCs w:val="24"/>
              </w:rPr>
              <w:t>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7513"/>
            </w:tblGrid>
            <w:tr w:rsidR="001D7244" w14:paraId="0E758531" w14:textId="77777777" w:rsidTr="00774AB9">
              <w:tc>
                <w:tcPr>
                  <w:tcW w:w="1734" w:type="dxa"/>
                </w:tcPr>
                <w:p w14:paraId="32A8A6B9" w14:textId="77777777" w:rsidR="001D7244" w:rsidRPr="00364832" w:rsidRDefault="001D7244" w:rsidP="0036483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364832">
                    <w:rPr>
                      <w:rFonts w:ascii="Times" w:eastAsia="Times New Roman" w:hAnsi="Times" w:cs="Arial"/>
                      <w:b/>
                      <w:bCs/>
                      <w:i/>
                      <w:iCs/>
                      <w:sz w:val="24"/>
                      <w:szCs w:val="24"/>
                      <w:lang w:val="en-ZA"/>
                    </w:rPr>
                    <w:t>Coram:</w:t>
                  </w:r>
                  <w:r w:rsidRPr="00364832">
                    <w:rPr>
                      <w:rFonts w:ascii="Times" w:eastAsia="Times New Roman" w:hAnsi="Times" w:cs="Arial"/>
                      <w:i/>
                      <w:iCs/>
                      <w:sz w:val="24"/>
                      <w:szCs w:val="24"/>
                      <w:lang w:val="en-ZA"/>
                    </w:rPr>
                    <w:t>          </w:t>
                  </w:r>
                </w:p>
              </w:tc>
              <w:tc>
                <w:tcPr>
                  <w:tcW w:w="7513" w:type="dxa"/>
                </w:tcPr>
                <w:p w14:paraId="0B10E120" w14:textId="77777777" w:rsidR="001D7244" w:rsidRPr="00217B1F" w:rsidRDefault="001D7244" w:rsidP="008E6813">
                  <w:pPr>
                    <w:tabs>
                      <w:tab w:val="left" w:pos="1417"/>
                    </w:tabs>
                    <w:spacing w:after="120" w:line="360" w:lineRule="auto"/>
                    <w:ind w:left="2268" w:hanging="2268"/>
                    <w:rPr>
                      <w:rFonts w:ascii="Arial" w:eastAsia="Times New Roman" w:hAnsi="Arial" w:cs="Arial"/>
                      <w:color w:val="000000"/>
                      <w:sz w:val="24"/>
                      <w:szCs w:val="24"/>
                    </w:rPr>
                  </w:pPr>
                  <w:r w:rsidRPr="00217B1F">
                    <w:rPr>
                      <w:rFonts w:ascii="Arial" w:eastAsia="Times New Roman" w:hAnsi="Arial" w:cs="Arial"/>
                      <w:color w:val="000000"/>
                      <w:sz w:val="24"/>
                      <w:szCs w:val="24"/>
                      <w:lang w:val="en-ZA"/>
                    </w:rPr>
                    <w:t>Millar J </w:t>
                  </w:r>
                </w:p>
                <w:p w14:paraId="21993AE7"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6DA38292" w14:textId="77777777" w:rsidTr="00774AB9">
              <w:tc>
                <w:tcPr>
                  <w:tcW w:w="1734" w:type="dxa"/>
                </w:tcPr>
                <w:p w14:paraId="4D835109" w14:textId="77777777" w:rsidR="001D7244" w:rsidRPr="00364832" w:rsidRDefault="001D7244" w:rsidP="0036483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364832">
                    <w:rPr>
                      <w:rFonts w:ascii="Times" w:eastAsia="Times New Roman" w:hAnsi="Times" w:cs="Arial"/>
                      <w:b/>
                      <w:bCs/>
                      <w:i/>
                      <w:iCs/>
                      <w:sz w:val="24"/>
                      <w:szCs w:val="24"/>
                      <w:lang w:val="en-ZA"/>
                    </w:rPr>
                    <w:lastRenderedPageBreak/>
                    <w:t>Heard on</w:t>
                  </w:r>
                  <w:r w:rsidRPr="00364832">
                    <w:rPr>
                      <w:rFonts w:ascii="Times" w:eastAsia="Times New Roman" w:hAnsi="Times" w:cs="Arial"/>
                      <w:i/>
                      <w:iCs/>
                      <w:sz w:val="24"/>
                      <w:szCs w:val="24"/>
                      <w:lang w:val="en-ZA"/>
                    </w:rPr>
                    <w:t>:      </w:t>
                  </w:r>
                </w:p>
              </w:tc>
              <w:tc>
                <w:tcPr>
                  <w:tcW w:w="7513" w:type="dxa"/>
                </w:tcPr>
                <w:p w14:paraId="41C8B4DD" w14:textId="64A57FD1" w:rsidR="001D7244" w:rsidRPr="00217B1F" w:rsidRDefault="0032633A" w:rsidP="008E6813">
                  <w:pPr>
                    <w:spacing w:after="120" w:line="360" w:lineRule="auto"/>
                    <w:ind w:left="2268" w:hanging="2268"/>
                    <w:jc w:val="both"/>
                    <w:rPr>
                      <w:rFonts w:ascii="Arial" w:eastAsia="Times New Roman" w:hAnsi="Arial" w:cs="Arial"/>
                      <w:color w:val="000000"/>
                      <w:sz w:val="24"/>
                      <w:szCs w:val="24"/>
                    </w:rPr>
                  </w:pPr>
                  <w:r>
                    <w:rPr>
                      <w:rFonts w:ascii="Arial" w:eastAsia="Times New Roman" w:hAnsi="Arial" w:cs="Arial"/>
                      <w:color w:val="000000"/>
                      <w:sz w:val="24"/>
                      <w:szCs w:val="24"/>
                      <w:lang w:val="en-ZA"/>
                    </w:rPr>
                    <w:t>10</w:t>
                  </w:r>
                  <w:r w:rsidR="007F7556">
                    <w:rPr>
                      <w:rFonts w:ascii="Arial" w:eastAsia="Times New Roman" w:hAnsi="Arial" w:cs="Arial"/>
                      <w:color w:val="000000"/>
                      <w:sz w:val="24"/>
                      <w:szCs w:val="24"/>
                      <w:lang w:val="en-ZA"/>
                    </w:rPr>
                    <w:t xml:space="preserve"> </w:t>
                  </w:r>
                  <w:r>
                    <w:rPr>
                      <w:rFonts w:ascii="Arial" w:eastAsia="Times New Roman" w:hAnsi="Arial" w:cs="Arial"/>
                      <w:color w:val="000000"/>
                      <w:sz w:val="24"/>
                      <w:szCs w:val="24"/>
                      <w:lang w:val="en-ZA"/>
                    </w:rPr>
                    <w:t xml:space="preserve"> October </w:t>
                  </w:r>
                  <w:r w:rsidR="001D7244" w:rsidRPr="00217B1F">
                    <w:rPr>
                      <w:rFonts w:ascii="Arial" w:eastAsia="Times New Roman" w:hAnsi="Arial" w:cs="Arial"/>
                      <w:color w:val="000000"/>
                      <w:sz w:val="24"/>
                      <w:szCs w:val="24"/>
                      <w:lang w:val="en-ZA"/>
                    </w:rPr>
                    <w:t>202</w:t>
                  </w:r>
                  <w:r>
                    <w:rPr>
                      <w:rFonts w:ascii="Arial" w:eastAsia="Times New Roman" w:hAnsi="Arial" w:cs="Arial"/>
                      <w:color w:val="000000"/>
                      <w:sz w:val="24"/>
                      <w:szCs w:val="24"/>
                      <w:lang w:val="en-ZA"/>
                    </w:rPr>
                    <w:t>3</w:t>
                  </w:r>
                  <w:r w:rsidR="001D7244" w:rsidRPr="00217B1F">
                    <w:rPr>
                      <w:rFonts w:ascii="Arial" w:eastAsia="Times New Roman" w:hAnsi="Arial" w:cs="Arial"/>
                      <w:color w:val="000000"/>
                      <w:sz w:val="24"/>
                      <w:szCs w:val="24"/>
                      <w:lang w:val="en-ZA"/>
                    </w:rPr>
                    <w:t xml:space="preserve"> </w:t>
                  </w:r>
                </w:p>
                <w:p w14:paraId="4BCF6005"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34C7BFA8" w14:textId="77777777" w:rsidTr="00774AB9">
              <w:tc>
                <w:tcPr>
                  <w:tcW w:w="1734" w:type="dxa"/>
                </w:tcPr>
                <w:p w14:paraId="34D50450" w14:textId="77777777" w:rsidR="001D7244" w:rsidRPr="00364832" w:rsidRDefault="001D7244" w:rsidP="0036483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364832">
                    <w:rPr>
                      <w:rFonts w:ascii="Times" w:eastAsia="Times New Roman" w:hAnsi="Times" w:cs="Arial"/>
                      <w:b/>
                      <w:bCs/>
                      <w:i/>
                      <w:iCs/>
                      <w:sz w:val="24"/>
                      <w:szCs w:val="24"/>
                      <w:lang w:val="en-ZA"/>
                    </w:rPr>
                    <w:t xml:space="preserve">Delivered:   </w:t>
                  </w:r>
                </w:p>
              </w:tc>
              <w:tc>
                <w:tcPr>
                  <w:tcW w:w="7513" w:type="dxa"/>
                </w:tcPr>
                <w:p w14:paraId="5F5E03E1" w14:textId="75B88F4D" w:rsidR="001D7244" w:rsidRPr="002A681B" w:rsidRDefault="000C3AFA" w:rsidP="002A681B">
                  <w:pPr>
                    <w:tabs>
                      <w:tab w:val="left" w:pos="0"/>
                    </w:tabs>
                    <w:spacing w:after="120" w:line="360" w:lineRule="auto"/>
                    <w:ind w:right="-113" w:hanging="21"/>
                    <w:jc w:val="both"/>
                    <w:rPr>
                      <w:rFonts w:ascii="Arial" w:eastAsia="Times New Roman" w:hAnsi="Arial" w:cs="Arial"/>
                      <w:color w:val="000000"/>
                      <w:sz w:val="24"/>
                      <w:szCs w:val="24"/>
                    </w:rPr>
                  </w:pPr>
                  <w:r>
                    <w:rPr>
                      <w:rFonts w:ascii="Arial" w:eastAsia="Times New Roman" w:hAnsi="Arial" w:cs="Arial"/>
                      <w:color w:val="000000"/>
                      <w:sz w:val="24"/>
                      <w:szCs w:val="24"/>
                      <w:lang w:val="en-ZA"/>
                    </w:rPr>
                    <w:t xml:space="preserve">14 </w:t>
                  </w:r>
                  <w:r w:rsidR="00301195">
                    <w:rPr>
                      <w:rFonts w:ascii="Arial" w:eastAsia="Times New Roman" w:hAnsi="Arial" w:cs="Arial"/>
                      <w:color w:val="000000"/>
                      <w:sz w:val="24"/>
                      <w:szCs w:val="24"/>
                      <w:lang w:val="en-ZA"/>
                    </w:rPr>
                    <w:t>November</w:t>
                  </w:r>
                  <w:r w:rsidR="0032633A">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202</w:t>
                  </w:r>
                  <w:r w:rsidR="0032633A">
                    <w:rPr>
                      <w:rFonts w:ascii="Arial" w:eastAsia="Times New Roman" w:hAnsi="Arial" w:cs="Arial"/>
                      <w:color w:val="000000"/>
                      <w:sz w:val="24"/>
                      <w:szCs w:val="24"/>
                      <w:lang w:val="en-ZA"/>
                    </w:rPr>
                    <w:t>3</w:t>
                  </w:r>
                  <w:r w:rsidR="001D7244">
                    <w:rPr>
                      <w:rFonts w:ascii="Arial" w:eastAsia="Times New Roman" w:hAnsi="Arial" w:cs="Arial"/>
                      <w:color w:val="000000"/>
                      <w:sz w:val="24"/>
                      <w:szCs w:val="24"/>
                      <w:lang w:val="en-ZA"/>
                    </w:rPr>
                    <w:t xml:space="preserve"> - T</w:t>
                  </w:r>
                  <w:r w:rsidR="001D7244" w:rsidRPr="00217B1F">
                    <w:rPr>
                      <w:rFonts w:ascii="Arial" w:eastAsia="Times New Roman" w:hAnsi="Arial" w:cs="Arial"/>
                      <w:color w:val="000000"/>
                      <w:sz w:val="24"/>
                      <w:szCs w:val="24"/>
                      <w:lang w:val="en-ZA"/>
                    </w:rPr>
                    <w:t>his judgment was handed down electronically by</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circulation to the</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parties' representatives by email, by being uploaded to the </w:t>
                  </w:r>
                  <w:r w:rsidR="001D7244" w:rsidRPr="00217B1F">
                    <w:rPr>
                      <w:rFonts w:ascii="Arial" w:eastAsia="Times New Roman" w:hAnsi="Arial" w:cs="Arial"/>
                      <w:i/>
                      <w:iCs/>
                      <w:color w:val="000000"/>
                      <w:sz w:val="24"/>
                      <w:szCs w:val="24"/>
                      <w:lang w:val="en-ZA"/>
                    </w:rPr>
                    <w:t>CaseLines</w:t>
                  </w:r>
                  <w:r w:rsidR="001D7244" w:rsidRPr="00217B1F">
                    <w:rPr>
                      <w:rFonts w:ascii="Arial" w:eastAsia="Times New Roman" w:hAnsi="Arial" w:cs="Arial"/>
                      <w:color w:val="000000"/>
                      <w:sz w:val="24"/>
                      <w:szCs w:val="24"/>
                      <w:lang w:val="en-ZA"/>
                    </w:rPr>
                    <w:t xml:space="preserve"> system of the GD and by release to SAFLII. The date and time for hand-down is deemed to be </w:t>
                  </w:r>
                  <w:r>
                    <w:rPr>
                      <w:rFonts w:ascii="Arial" w:eastAsia="Times New Roman" w:hAnsi="Arial" w:cs="Arial"/>
                      <w:color w:val="000000"/>
                      <w:sz w:val="24"/>
                      <w:szCs w:val="24"/>
                      <w:lang w:val="en-ZA"/>
                    </w:rPr>
                    <w:t>09</w:t>
                  </w:r>
                  <w:r w:rsidR="001D7244" w:rsidRPr="00217B1F">
                    <w:rPr>
                      <w:rFonts w:ascii="Arial" w:eastAsia="Times New Roman" w:hAnsi="Arial" w:cs="Arial"/>
                      <w:color w:val="000000"/>
                      <w:sz w:val="24"/>
                      <w:szCs w:val="24"/>
                      <w:lang w:val="en-ZA"/>
                    </w:rPr>
                    <w:t xml:space="preserve">H00 on </w:t>
                  </w:r>
                  <w:r>
                    <w:rPr>
                      <w:rFonts w:ascii="Arial" w:eastAsia="Times New Roman" w:hAnsi="Arial" w:cs="Arial"/>
                      <w:color w:val="000000"/>
                      <w:sz w:val="24"/>
                      <w:szCs w:val="24"/>
                      <w:lang w:val="en-ZA"/>
                    </w:rPr>
                    <w:t>14</w:t>
                  </w:r>
                  <w:r w:rsidR="001D7244">
                    <w:rPr>
                      <w:rFonts w:ascii="Arial" w:eastAsia="Times New Roman" w:hAnsi="Arial" w:cs="Arial"/>
                      <w:color w:val="000000"/>
                      <w:sz w:val="24"/>
                      <w:szCs w:val="24"/>
                      <w:lang w:val="en-ZA"/>
                    </w:rPr>
                    <w:t xml:space="preserve"> </w:t>
                  </w:r>
                  <w:r w:rsidR="00301195">
                    <w:rPr>
                      <w:rFonts w:ascii="Arial" w:eastAsia="Times New Roman" w:hAnsi="Arial" w:cs="Arial"/>
                      <w:color w:val="000000"/>
                      <w:sz w:val="24"/>
                      <w:szCs w:val="24"/>
                      <w:lang w:val="en-ZA"/>
                    </w:rPr>
                    <w:t>November</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202</w:t>
                  </w:r>
                  <w:r w:rsidR="0032633A">
                    <w:rPr>
                      <w:rFonts w:ascii="Arial" w:eastAsia="Times New Roman" w:hAnsi="Arial" w:cs="Arial"/>
                      <w:color w:val="000000"/>
                      <w:sz w:val="24"/>
                      <w:szCs w:val="24"/>
                      <w:lang w:val="en-ZA"/>
                    </w:rPr>
                    <w:t>3</w:t>
                  </w:r>
                  <w:r w:rsidR="001D7244" w:rsidRPr="00217B1F">
                    <w:rPr>
                      <w:rFonts w:ascii="Arial" w:eastAsia="Times New Roman" w:hAnsi="Arial" w:cs="Arial"/>
                      <w:color w:val="000000"/>
                      <w:sz w:val="24"/>
                      <w:szCs w:val="24"/>
                      <w:lang w:val="en-ZA"/>
                    </w:rPr>
                    <w:t>.</w:t>
                  </w:r>
                </w:p>
              </w:tc>
            </w:tr>
          </w:tbl>
          <w:p w14:paraId="422E790C" w14:textId="77777777" w:rsidR="001D7244" w:rsidRPr="00217B1F"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bl>
    <w:p w14:paraId="07259158" w14:textId="77777777" w:rsidR="00B50E11" w:rsidRPr="0031449E" w:rsidRDefault="00B50E11" w:rsidP="00B50E11">
      <w:pPr>
        <w:pStyle w:val="Body"/>
        <w:spacing w:line="360" w:lineRule="auto"/>
        <w:jc w:val="both"/>
        <w:rPr>
          <w:rFonts w:eastAsia="Tahoma" w:cs="Arial"/>
          <w:b/>
          <w:bCs/>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0E11" w:rsidRPr="0031449E" w14:paraId="5475438F" w14:textId="77777777" w:rsidTr="00774AB9">
        <w:tc>
          <w:tcPr>
            <w:tcW w:w="9350" w:type="dxa"/>
          </w:tcPr>
          <w:p w14:paraId="3A5115EF" w14:textId="77777777" w:rsidR="00650745" w:rsidRDefault="00650745" w:rsidP="00774AB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32"/>
                <w:szCs w:val="24"/>
                <w:lang w:val="de-DE"/>
              </w:rPr>
            </w:pPr>
          </w:p>
          <w:p w14:paraId="47459BC2" w14:textId="77777777" w:rsidR="00B50E11" w:rsidRPr="00B42F35" w:rsidRDefault="00B50E11" w:rsidP="00774AB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r w:rsidRPr="00B42F35">
              <w:rPr>
                <w:rFonts w:eastAsia="Tahoma" w:cs="Arial"/>
                <w:b/>
                <w:bCs/>
                <w:sz w:val="24"/>
                <w:szCs w:val="24"/>
                <w:lang w:val="de-DE"/>
              </w:rPr>
              <w:t>JUDGMENT</w:t>
            </w:r>
          </w:p>
        </w:tc>
      </w:tr>
    </w:tbl>
    <w:p w14:paraId="397DE03A" w14:textId="77777777" w:rsidR="00C519B2" w:rsidRDefault="00C519B2" w:rsidP="00B50E11">
      <w:pPr>
        <w:pStyle w:val="Body"/>
        <w:jc w:val="both"/>
        <w:rPr>
          <w:b/>
          <w:sz w:val="22"/>
          <w:szCs w:val="22"/>
        </w:rPr>
      </w:pPr>
    </w:p>
    <w:p w14:paraId="31AD95DF" w14:textId="69613071" w:rsidR="00B50E11" w:rsidRDefault="00B50E11" w:rsidP="008E6813">
      <w:pPr>
        <w:pStyle w:val="Body"/>
        <w:spacing w:line="360" w:lineRule="auto"/>
        <w:jc w:val="both"/>
        <w:rPr>
          <w:b/>
          <w:sz w:val="22"/>
          <w:szCs w:val="22"/>
          <w:u w:val="single"/>
        </w:rPr>
      </w:pPr>
      <w:r w:rsidRPr="00C519B2">
        <w:rPr>
          <w:b/>
          <w:sz w:val="22"/>
          <w:szCs w:val="22"/>
          <w:u w:val="single"/>
        </w:rPr>
        <w:t>MILLAR</w:t>
      </w:r>
      <w:r w:rsidR="004075F2">
        <w:rPr>
          <w:b/>
          <w:sz w:val="22"/>
          <w:szCs w:val="22"/>
          <w:u w:val="single"/>
        </w:rPr>
        <w:t xml:space="preserve"> </w:t>
      </w:r>
      <w:r w:rsidRPr="00C519B2">
        <w:rPr>
          <w:b/>
          <w:sz w:val="22"/>
          <w:szCs w:val="22"/>
          <w:u w:val="single"/>
        </w:rPr>
        <w:t>J</w:t>
      </w:r>
    </w:p>
    <w:p w14:paraId="3CDCAA74" w14:textId="77777777" w:rsidR="009727CD" w:rsidRPr="00F46C68" w:rsidRDefault="009727CD" w:rsidP="00B42F35">
      <w:pPr>
        <w:pStyle w:val="Body"/>
        <w:spacing w:line="360" w:lineRule="auto"/>
        <w:jc w:val="both"/>
        <w:rPr>
          <w:b/>
          <w:sz w:val="22"/>
          <w:szCs w:val="22"/>
          <w:u w:val="single"/>
        </w:rPr>
      </w:pPr>
    </w:p>
    <w:p w14:paraId="786FBD0F" w14:textId="7C5D5FD3" w:rsidR="00F46C68" w:rsidRPr="00F46C68" w:rsidRDefault="006A4649" w:rsidP="006A4649">
      <w:pPr>
        <w:pStyle w:val="Body"/>
        <w:spacing w:line="360" w:lineRule="auto"/>
        <w:ind w:left="851" w:hanging="851"/>
        <w:jc w:val="both"/>
        <w:rPr>
          <w:b/>
          <w:sz w:val="22"/>
          <w:szCs w:val="22"/>
          <w:u w:val="single"/>
        </w:rPr>
      </w:pPr>
      <w:r w:rsidRPr="00F46C68">
        <w:rPr>
          <w:sz w:val="24"/>
          <w:szCs w:val="24"/>
        </w:rPr>
        <w:t>[1]</w:t>
      </w:r>
      <w:r w:rsidRPr="00F46C68">
        <w:rPr>
          <w:sz w:val="24"/>
          <w:szCs w:val="24"/>
        </w:rPr>
        <w:tab/>
      </w:r>
      <w:r w:rsidR="00F46C68">
        <w:rPr>
          <w:bCs/>
          <w:sz w:val="24"/>
          <w:szCs w:val="24"/>
        </w:rPr>
        <w:t xml:space="preserve">This is an application in which the applicant (OUTA) seeks an order against the first respondent (SANRAL) </w:t>
      </w:r>
      <w:r w:rsidR="00F07943">
        <w:rPr>
          <w:bCs/>
          <w:sz w:val="24"/>
          <w:szCs w:val="24"/>
        </w:rPr>
        <w:t>to furnish</w:t>
      </w:r>
      <w:r w:rsidR="00F46C68">
        <w:rPr>
          <w:bCs/>
          <w:sz w:val="24"/>
          <w:szCs w:val="24"/>
        </w:rPr>
        <w:t xml:space="preserve"> certain </w:t>
      </w:r>
      <w:r w:rsidR="00CB79DD">
        <w:rPr>
          <w:bCs/>
          <w:sz w:val="24"/>
          <w:szCs w:val="24"/>
        </w:rPr>
        <w:t>information (in documentary form)</w:t>
      </w:r>
      <w:r w:rsidR="00F46C68">
        <w:rPr>
          <w:bCs/>
          <w:sz w:val="24"/>
          <w:szCs w:val="24"/>
        </w:rPr>
        <w:t xml:space="preserve"> said to be in its possession or under its control</w:t>
      </w:r>
      <w:r w:rsidR="00CB79DD">
        <w:rPr>
          <w:bCs/>
          <w:sz w:val="24"/>
          <w:szCs w:val="24"/>
        </w:rPr>
        <w:t>,</w:t>
      </w:r>
      <w:r w:rsidR="00F46C68">
        <w:rPr>
          <w:bCs/>
          <w:sz w:val="24"/>
          <w:szCs w:val="24"/>
        </w:rPr>
        <w:t xml:space="preserve"> to it</w:t>
      </w:r>
      <w:r w:rsidR="00F74042">
        <w:rPr>
          <w:bCs/>
          <w:sz w:val="24"/>
          <w:szCs w:val="24"/>
        </w:rPr>
        <w:t xml:space="preserve">. </w:t>
      </w:r>
      <w:r w:rsidR="00430AE1">
        <w:rPr>
          <w:bCs/>
          <w:sz w:val="24"/>
          <w:szCs w:val="24"/>
        </w:rPr>
        <w:t xml:space="preserve">The sixth respondent (N3TC) intervened in the application and opposed the furnishing of certain </w:t>
      </w:r>
      <w:r w:rsidR="00000883">
        <w:rPr>
          <w:bCs/>
          <w:sz w:val="24"/>
          <w:szCs w:val="24"/>
        </w:rPr>
        <w:t>of the documents.</w:t>
      </w:r>
    </w:p>
    <w:p w14:paraId="427F5550" w14:textId="77777777" w:rsidR="00F46C68" w:rsidRPr="00F46C68" w:rsidRDefault="00F46C68" w:rsidP="00F46C68">
      <w:pPr>
        <w:pStyle w:val="Body"/>
        <w:spacing w:line="360" w:lineRule="auto"/>
        <w:ind w:left="851"/>
        <w:jc w:val="both"/>
        <w:rPr>
          <w:b/>
          <w:sz w:val="22"/>
          <w:szCs w:val="22"/>
          <w:u w:val="single"/>
        </w:rPr>
      </w:pPr>
    </w:p>
    <w:p w14:paraId="58AB18E9" w14:textId="5F312B77" w:rsidR="00F46C68" w:rsidRPr="00F46C68" w:rsidRDefault="006A4649" w:rsidP="006A4649">
      <w:pPr>
        <w:pStyle w:val="Body"/>
        <w:spacing w:line="360" w:lineRule="auto"/>
        <w:ind w:left="851" w:hanging="851"/>
        <w:jc w:val="both"/>
        <w:rPr>
          <w:b/>
          <w:sz w:val="22"/>
          <w:szCs w:val="22"/>
          <w:u w:val="single"/>
        </w:rPr>
      </w:pPr>
      <w:r w:rsidRPr="00F46C68">
        <w:rPr>
          <w:sz w:val="24"/>
          <w:szCs w:val="24"/>
        </w:rPr>
        <w:t>[2]</w:t>
      </w:r>
      <w:r w:rsidRPr="00F46C68">
        <w:rPr>
          <w:sz w:val="24"/>
          <w:szCs w:val="24"/>
        </w:rPr>
        <w:tab/>
      </w:r>
      <w:r w:rsidR="00F46C68">
        <w:rPr>
          <w:bCs/>
          <w:sz w:val="24"/>
          <w:szCs w:val="24"/>
        </w:rPr>
        <w:t>OUTA describes itself as a “</w:t>
      </w:r>
      <w:r w:rsidR="00F46C68">
        <w:rPr>
          <w:bCs/>
          <w:i/>
          <w:iCs/>
          <w:sz w:val="22"/>
          <w:szCs w:val="22"/>
        </w:rPr>
        <w:t>proudly South African non-profit civil action organisation, comprising of and supported by people who are passionate about improving the prosperity of our nation</w:t>
      </w:r>
      <w:r w:rsidR="00F74042">
        <w:rPr>
          <w:bCs/>
          <w:i/>
          <w:iCs/>
          <w:sz w:val="22"/>
          <w:szCs w:val="22"/>
        </w:rPr>
        <w:t xml:space="preserve">. </w:t>
      </w:r>
      <w:r w:rsidR="00F46C68">
        <w:rPr>
          <w:bCs/>
          <w:i/>
          <w:iCs/>
          <w:sz w:val="22"/>
          <w:szCs w:val="22"/>
        </w:rPr>
        <w:t>OUTA was established to challenge the abuse of authority, in particular the abuse of taxpayers’ money.”</w:t>
      </w:r>
      <w:r w:rsidR="00F46C68">
        <w:rPr>
          <w:rStyle w:val="FootnoteReference"/>
          <w:bCs/>
          <w:i/>
          <w:iCs/>
          <w:sz w:val="22"/>
          <w:szCs w:val="22"/>
        </w:rPr>
        <w:footnoteReference w:id="1"/>
      </w:r>
    </w:p>
    <w:p w14:paraId="3F3FD6BE" w14:textId="77777777" w:rsidR="00F46C68" w:rsidRPr="00F46C68" w:rsidRDefault="00F46C68" w:rsidP="00F46C68">
      <w:pPr>
        <w:pStyle w:val="Body"/>
        <w:spacing w:line="360" w:lineRule="auto"/>
        <w:jc w:val="both"/>
        <w:rPr>
          <w:b/>
          <w:sz w:val="22"/>
          <w:szCs w:val="22"/>
          <w:u w:val="single"/>
        </w:rPr>
      </w:pPr>
    </w:p>
    <w:p w14:paraId="17EBCCD3" w14:textId="3588E11F" w:rsidR="00E513AE" w:rsidRDefault="006A4649" w:rsidP="006A4649">
      <w:pPr>
        <w:pStyle w:val="Body"/>
        <w:spacing w:line="360" w:lineRule="auto"/>
        <w:ind w:left="851" w:hanging="851"/>
        <w:jc w:val="both"/>
        <w:rPr>
          <w:bCs/>
          <w:sz w:val="24"/>
          <w:szCs w:val="24"/>
        </w:rPr>
      </w:pPr>
      <w:r>
        <w:rPr>
          <w:sz w:val="24"/>
          <w:szCs w:val="24"/>
        </w:rPr>
        <w:t>[3]</w:t>
      </w:r>
      <w:r>
        <w:rPr>
          <w:sz w:val="24"/>
          <w:szCs w:val="24"/>
        </w:rPr>
        <w:tab/>
      </w:r>
      <w:r w:rsidR="00E513AE" w:rsidRPr="00E513AE">
        <w:rPr>
          <w:bCs/>
          <w:sz w:val="24"/>
          <w:szCs w:val="24"/>
        </w:rPr>
        <w:t>SANRAL</w:t>
      </w:r>
      <w:r w:rsidR="00006288">
        <w:rPr>
          <w:bCs/>
          <w:sz w:val="24"/>
          <w:szCs w:val="24"/>
        </w:rPr>
        <w:t xml:space="preserve"> is the </w:t>
      </w:r>
      <w:r w:rsidR="00AC6FC7">
        <w:rPr>
          <w:bCs/>
          <w:sz w:val="24"/>
          <w:szCs w:val="24"/>
        </w:rPr>
        <w:t>state-owned</w:t>
      </w:r>
      <w:r w:rsidR="00006288">
        <w:rPr>
          <w:bCs/>
          <w:sz w:val="24"/>
          <w:szCs w:val="24"/>
        </w:rPr>
        <w:t xml:space="preserve"> entity established </w:t>
      </w:r>
      <w:r w:rsidR="00AC6FC7">
        <w:rPr>
          <w:bCs/>
          <w:sz w:val="24"/>
          <w:szCs w:val="24"/>
        </w:rPr>
        <w:t>in terms of the South African National Roads Agency Limited and National Roads Act.</w:t>
      </w:r>
      <w:r w:rsidR="00AC6FC7">
        <w:rPr>
          <w:rStyle w:val="FootnoteReference"/>
          <w:bCs/>
          <w:sz w:val="24"/>
          <w:szCs w:val="24"/>
        </w:rPr>
        <w:footnoteReference w:id="2"/>
      </w:r>
      <w:r w:rsidR="00AC6FC7">
        <w:rPr>
          <w:bCs/>
          <w:sz w:val="24"/>
          <w:szCs w:val="24"/>
        </w:rPr>
        <w:t xml:space="preserve">  </w:t>
      </w:r>
      <w:r w:rsidR="00025D2E">
        <w:rPr>
          <w:bCs/>
          <w:sz w:val="24"/>
          <w:szCs w:val="24"/>
        </w:rPr>
        <w:t xml:space="preserve">It is </w:t>
      </w:r>
      <w:r w:rsidR="00025D2E" w:rsidRPr="00025D2E">
        <w:rPr>
          <w:bCs/>
          <w:i/>
          <w:iCs/>
          <w:sz w:val="24"/>
          <w:szCs w:val="24"/>
        </w:rPr>
        <w:t xml:space="preserve">inter alia </w:t>
      </w:r>
      <w:r w:rsidR="00025D2E" w:rsidRPr="00025D2E">
        <w:rPr>
          <w:bCs/>
          <w:i/>
          <w:iCs/>
          <w:sz w:val="22"/>
          <w:szCs w:val="22"/>
        </w:rPr>
        <w:t>“responsible for, and is hereby given power to perform, all strategic planning with regard to the South African national roads system, as well as the planning, design, construction, operation, management, control, maintenance and rehabilitation of national roads for the Republic</w:t>
      </w:r>
      <w:r w:rsidR="00025D2E">
        <w:rPr>
          <w:bCs/>
          <w:i/>
          <w:iCs/>
          <w:sz w:val="22"/>
          <w:szCs w:val="22"/>
        </w:rPr>
        <w:t xml:space="preserve">, . . </w:t>
      </w:r>
      <w:r w:rsidR="00025D2E" w:rsidRPr="00025D2E">
        <w:rPr>
          <w:bCs/>
          <w:i/>
          <w:iCs/>
          <w:sz w:val="22"/>
          <w:szCs w:val="22"/>
        </w:rPr>
        <w:t>.”</w:t>
      </w:r>
      <w:r w:rsidR="004A7A56">
        <w:rPr>
          <w:bCs/>
          <w:i/>
          <w:iCs/>
          <w:sz w:val="22"/>
          <w:szCs w:val="22"/>
        </w:rPr>
        <w:t>.</w:t>
      </w:r>
      <w:r w:rsidR="00025D2E">
        <w:rPr>
          <w:rStyle w:val="FootnoteReference"/>
          <w:bCs/>
          <w:i/>
          <w:iCs/>
          <w:sz w:val="22"/>
          <w:szCs w:val="22"/>
        </w:rPr>
        <w:footnoteReference w:id="3"/>
      </w:r>
    </w:p>
    <w:p w14:paraId="6C4EEDF3" w14:textId="77777777" w:rsidR="00006288" w:rsidRDefault="00006288" w:rsidP="00006288">
      <w:pPr>
        <w:pStyle w:val="ListParagraph"/>
        <w:rPr>
          <w:bCs/>
        </w:rPr>
      </w:pPr>
    </w:p>
    <w:p w14:paraId="399EE9B1" w14:textId="23C0C66C" w:rsidR="000E5E25" w:rsidRPr="000E5E25" w:rsidRDefault="006A4649" w:rsidP="006A4649">
      <w:pPr>
        <w:pStyle w:val="Body"/>
        <w:spacing w:line="360" w:lineRule="auto"/>
        <w:ind w:left="851" w:hanging="851"/>
        <w:jc w:val="both"/>
        <w:rPr>
          <w:bCs/>
          <w:sz w:val="22"/>
          <w:szCs w:val="22"/>
        </w:rPr>
      </w:pPr>
      <w:r w:rsidRPr="000E5E25">
        <w:rPr>
          <w:sz w:val="24"/>
          <w:szCs w:val="24"/>
        </w:rPr>
        <w:t>[4]</w:t>
      </w:r>
      <w:r w:rsidRPr="000E5E25">
        <w:rPr>
          <w:sz w:val="24"/>
          <w:szCs w:val="24"/>
        </w:rPr>
        <w:tab/>
      </w:r>
      <w:r w:rsidR="00025D2E" w:rsidRPr="0006551C">
        <w:rPr>
          <w:bCs/>
          <w:sz w:val="24"/>
          <w:szCs w:val="24"/>
        </w:rPr>
        <w:t xml:space="preserve">N3TC is </w:t>
      </w:r>
      <w:r w:rsidR="000E5E25" w:rsidRPr="0006551C">
        <w:rPr>
          <w:bCs/>
          <w:sz w:val="24"/>
          <w:szCs w:val="24"/>
        </w:rPr>
        <w:t>a private company</w:t>
      </w:r>
      <w:r w:rsidR="00534F0B" w:rsidRPr="0006551C">
        <w:rPr>
          <w:bCs/>
          <w:sz w:val="24"/>
          <w:szCs w:val="24"/>
        </w:rPr>
        <w:t xml:space="preserve"> with whom SANRAL </w:t>
      </w:r>
      <w:r w:rsidR="00F74042" w:rsidRPr="0006551C">
        <w:rPr>
          <w:bCs/>
          <w:sz w:val="24"/>
          <w:szCs w:val="24"/>
        </w:rPr>
        <w:t>contracted,</w:t>
      </w:r>
      <w:r w:rsidR="00534F0B" w:rsidRPr="0006551C">
        <w:rPr>
          <w:bCs/>
          <w:sz w:val="24"/>
          <w:szCs w:val="24"/>
        </w:rPr>
        <w:t xml:space="preserve"> and which has over the last 24 years to attend to </w:t>
      </w:r>
      <w:r w:rsidR="00534F0B" w:rsidRPr="00971C33">
        <w:rPr>
          <w:bCs/>
          <w:i/>
          <w:iCs/>
          <w:sz w:val="24"/>
          <w:szCs w:val="24"/>
        </w:rPr>
        <w:t>inter alia</w:t>
      </w:r>
      <w:r w:rsidR="00534F0B" w:rsidRPr="00971C33">
        <w:rPr>
          <w:bCs/>
          <w:sz w:val="24"/>
          <w:szCs w:val="24"/>
        </w:rPr>
        <w:t xml:space="preserve"> </w:t>
      </w:r>
      <w:r w:rsidR="00534F0B" w:rsidRPr="0006551C">
        <w:rPr>
          <w:bCs/>
          <w:sz w:val="24"/>
          <w:szCs w:val="24"/>
        </w:rPr>
        <w:t>the construction, operation, management and control of a section of the N3 highway.  The information which OUTA has requested from SANRAL, all relates to the contract between SANRAL and N3TC</w:t>
      </w:r>
      <w:r w:rsidR="00534F0B">
        <w:rPr>
          <w:bCs/>
          <w:sz w:val="22"/>
          <w:szCs w:val="22"/>
        </w:rPr>
        <w:t>.</w:t>
      </w:r>
    </w:p>
    <w:p w14:paraId="776530CC" w14:textId="302924F3" w:rsidR="00025D2E" w:rsidRDefault="00025D2E" w:rsidP="00904AFB">
      <w:pPr>
        <w:rPr>
          <w:rFonts w:cs="Arial"/>
        </w:rPr>
      </w:pPr>
    </w:p>
    <w:p w14:paraId="357B434A" w14:textId="56C4BAF7" w:rsidR="00904AFB" w:rsidRPr="00904AFB" w:rsidRDefault="00904AFB" w:rsidP="00904AFB">
      <w:pPr>
        <w:rPr>
          <w:rFonts w:ascii="Arial" w:hAnsi="Arial" w:cs="Arial"/>
          <w:b/>
          <w:bCs/>
        </w:rPr>
      </w:pPr>
      <w:r w:rsidRPr="00904AFB">
        <w:rPr>
          <w:rFonts w:ascii="Arial" w:hAnsi="Arial" w:cs="Arial"/>
          <w:b/>
          <w:bCs/>
        </w:rPr>
        <w:t>THIS APPLICATION</w:t>
      </w:r>
    </w:p>
    <w:p w14:paraId="54456BBF" w14:textId="50B8F612" w:rsidR="00904AFB" w:rsidRDefault="00904AFB" w:rsidP="00904AFB">
      <w:pPr>
        <w:rPr>
          <w:rFonts w:cs="Arial"/>
        </w:rPr>
      </w:pPr>
    </w:p>
    <w:p w14:paraId="62C4EF3F" w14:textId="77777777" w:rsidR="00914972" w:rsidRPr="00904AFB" w:rsidRDefault="00914972" w:rsidP="00904AFB">
      <w:pPr>
        <w:rPr>
          <w:rFonts w:cs="Arial"/>
        </w:rPr>
      </w:pPr>
    </w:p>
    <w:p w14:paraId="03389D71" w14:textId="1F3DDFD6" w:rsidR="00006288" w:rsidRPr="000E5E25" w:rsidRDefault="006A4649" w:rsidP="006A4649">
      <w:pPr>
        <w:pStyle w:val="Body"/>
        <w:spacing w:line="360" w:lineRule="auto"/>
        <w:ind w:left="851" w:hanging="851"/>
        <w:jc w:val="both"/>
        <w:rPr>
          <w:bCs/>
          <w:sz w:val="22"/>
          <w:szCs w:val="22"/>
        </w:rPr>
      </w:pPr>
      <w:r w:rsidRPr="000E5E25">
        <w:rPr>
          <w:sz w:val="24"/>
          <w:szCs w:val="24"/>
        </w:rPr>
        <w:t>[5]</w:t>
      </w:r>
      <w:r w:rsidRPr="000E5E25">
        <w:rPr>
          <w:sz w:val="24"/>
          <w:szCs w:val="24"/>
        </w:rPr>
        <w:tab/>
      </w:r>
      <w:r w:rsidR="00F46C68" w:rsidRPr="00006288">
        <w:rPr>
          <w:rFonts w:cs="Arial"/>
          <w:sz w:val="24"/>
          <w:szCs w:val="24"/>
        </w:rPr>
        <w:t xml:space="preserve">The present proceedings are brought by </w:t>
      </w:r>
      <w:r w:rsidR="00006288" w:rsidRPr="00006288">
        <w:rPr>
          <w:rFonts w:cs="Arial"/>
          <w:sz w:val="24"/>
          <w:szCs w:val="24"/>
        </w:rPr>
        <w:t xml:space="preserve">OUTA </w:t>
      </w:r>
      <w:r w:rsidR="00F46C68" w:rsidRPr="00006288">
        <w:rPr>
          <w:rFonts w:cs="Arial"/>
          <w:sz w:val="24"/>
          <w:szCs w:val="24"/>
        </w:rPr>
        <w:t>in terms of the Promotion of Access to Information Act</w:t>
      </w:r>
      <w:r w:rsidR="00F46C68" w:rsidRPr="00006288">
        <w:rPr>
          <w:rStyle w:val="FootnoteReference"/>
          <w:rFonts w:cs="Arial"/>
          <w:sz w:val="24"/>
          <w:szCs w:val="24"/>
        </w:rPr>
        <w:footnoteReference w:id="4"/>
      </w:r>
      <w:r w:rsidR="00F46C68" w:rsidRPr="00006288">
        <w:rPr>
          <w:rFonts w:cs="Arial"/>
          <w:sz w:val="24"/>
          <w:szCs w:val="24"/>
        </w:rPr>
        <w:t xml:space="preserve"> (PAIA) for access</w:t>
      </w:r>
      <w:r w:rsidR="00F46C68" w:rsidRPr="00006288">
        <w:rPr>
          <w:rStyle w:val="FootnoteReference"/>
          <w:rFonts w:cs="Arial"/>
          <w:sz w:val="24"/>
          <w:szCs w:val="24"/>
        </w:rPr>
        <w:footnoteReference w:id="5"/>
      </w:r>
      <w:r w:rsidR="00F46C68" w:rsidRPr="00006288">
        <w:rPr>
          <w:rFonts w:cs="Arial"/>
          <w:sz w:val="24"/>
          <w:szCs w:val="24"/>
        </w:rPr>
        <w:t xml:space="preserve"> to copies of documents relating to </w:t>
      </w:r>
      <w:r w:rsidR="00006288" w:rsidRPr="00006288">
        <w:rPr>
          <w:rFonts w:cs="Arial"/>
          <w:sz w:val="24"/>
          <w:szCs w:val="24"/>
        </w:rPr>
        <w:t>a tender awarded to N3TC for the construction and management</w:t>
      </w:r>
      <w:r w:rsidR="00006288">
        <w:rPr>
          <w:rFonts w:cs="Arial"/>
          <w:sz w:val="24"/>
          <w:szCs w:val="24"/>
        </w:rPr>
        <w:t xml:space="preserve"> of a portion of the N3 highway between Heidelberg South in Gauteng and Cedara in KwaZulu Natal</w:t>
      </w:r>
      <w:r w:rsidR="00F74042">
        <w:rPr>
          <w:rFonts w:cs="Arial"/>
          <w:sz w:val="24"/>
          <w:szCs w:val="24"/>
        </w:rPr>
        <w:t xml:space="preserve">. </w:t>
      </w:r>
      <w:r w:rsidR="00904AFB">
        <w:rPr>
          <w:rFonts w:cs="Arial"/>
          <w:sz w:val="24"/>
          <w:szCs w:val="24"/>
        </w:rPr>
        <w:t xml:space="preserve">Included in this construction and management is also the collection of tolls </w:t>
      </w:r>
      <w:r w:rsidR="007173F3">
        <w:rPr>
          <w:rFonts w:cs="Arial"/>
          <w:sz w:val="24"/>
          <w:szCs w:val="24"/>
        </w:rPr>
        <w:t xml:space="preserve">at various points </w:t>
      </w:r>
      <w:r w:rsidR="00904AFB">
        <w:rPr>
          <w:rFonts w:cs="Arial"/>
          <w:sz w:val="24"/>
          <w:szCs w:val="24"/>
        </w:rPr>
        <w:t>from users of the road</w:t>
      </w:r>
      <w:r w:rsidR="007173F3">
        <w:rPr>
          <w:rFonts w:cs="Arial"/>
          <w:sz w:val="24"/>
          <w:szCs w:val="24"/>
        </w:rPr>
        <w:t xml:space="preserve"> concerned.</w:t>
      </w:r>
    </w:p>
    <w:p w14:paraId="50E70541" w14:textId="77777777" w:rsidR="000E5E25" w:rsidRPr="000E5E25" w:rsidRDefault="000E5E25" w:rsidP="000E5E25">
      <w:pPr>
        <w:pStyle w:val="Body"/>
        <w:spacing w:line="360" w:lineRule="auto"/>
        <w:ind w:left="851"/>
        <w:jc w:val="both"/>
        <w:rPr>
          <w:bCs/>
          <w:sz w:val="22"/>
          <w:szCs w:val="22"/>
        </w:rPr>
      </w:pPr>
    </w:p>
    <w:p w14:paraId="448308B5" w14:textId="7D18107F" w:rsidR="00006288" w:rsidRPr="0006551C" w:rsidRDefault="006A4649" w:rsidP="006A4649">
      <w:pPr>
        <w:pStyle w:val="Body"/>
        <w:spacing w:line="360" w:lineRule="auto"/>
        <w:ind w:left="851" w:hanging="851"/>
        <w:jc w:val="both"/>
        <w:rPr>
          <w:bCs/>
          <w:sz w:val="24"/>
          <w:szCs w:val="24"/>
        </w:rPr>
      </w:pPr>
      <w:r w:rsidRPr="0006551C">
        <w:rPr>
          <w:sz w:val="24"/>
          <w:szCs w:val="24"/>
        </w:rPr>
        <w:t>[6]</w:t>
      </w:r>
      <w:r w:rsidRPr="0006551C">
        <w:rPr>
          <w:sz w:val="24"/>
          <w:szCs w:val="24"/>
        </w:rPr>
        <w:tab/>
      </w:r>
      <w:r w:rsidR="000E5E25" w:rsidRPr="0006551C">
        <w:rPr>
          <w:bCs/>
          <w:sz w:val="24"/>
          <w:szCs w:val="24"/>
        </w:rPr>
        <w:t>The application is brought by OUTA against SANRAL</w:t>
      </w:r>
      <w:r w:rsidR="00F74042" w:rsidRPr="0006551C">
        <w:rPr>
          <w:bCs/>
          <w:sz w:val="24"/>
          <w:szCs w:val="24"/>
        </w:rPr>
        <w:t xml:space="preserve">. </w:t>
      </w:r>
      <w:r w:rsidR="000E5E25" w:rsidRPr="0006551C">
        <w:rPr>
          <w:bCs/>
          <w:sz w:val="24"/>
          <w:szCs w:val="24"/>
        </w:rPr>
        <w:t>While SANRAL is a public body in terms of PAIA, N3TC is not</w:t>
      </w:r>
      <w:r w:rsidR="00F74042" w:rsidRPr="0006551C">
        <w:rPr>
          <w:bCs/>
          <w:sz w:val="24"/>
          <w:szCs w:val="24"/>
        </w:rPr>
        <w:t xml:space="preserve">. </w:t>
      </w:r>
      <w:r w:rsidR="000E5E25" w:rsidRPr="0006551C">
        <w:rPr>
          <w:bCs/>
          <w:sz w:val="24"/>
          <w:szCs w:val="24"/>
        </w:rPr>
        <w:t>It is a private company.</w:t>
      </w:r>
    </w:p>
    <w:p w14:paraId="59865911" w14:textId="77777777" w:rsidR="000E5E25" w:rsidRDefault="000E5E25" w:rsidP="000E5E25">
      <w:pPr>
        <w:pStyle w:val="ListParagraph"/>
        <w:rPr>
          <w:bCs/>
          <w:sz w:val="22"/>
          <w:szCs w:val="22"/>
        </w:rPr>
      </w:pPr>
    </w:p>
    <w:p w14:paraId="0AC5D951" w14:textId="0DB1E7D8" w:rsidR="00F46C68" w:rsidRPr="000E5E25" w:rsidRDefault="006A4649" w:rsidP="006A4649">
      <w:pPr>
        <w:pStyle w:val="Body"/>
        <w:spacing w:line="360" w:lineRule="auto"/>
        <w:ind w:left="851" w:hanging="851"/>
        <w:jc w:val="both"/>
        <w:rPr>
          <w:bCs/>
          <w:sz w:val="22"/>
          <w:szCs w:val="22"/>
        </w:rPr>
      </w:pPr>
      <w:r w:rsidRPr="000E5E25">
        <w:rPr>
          <w:sz w:val="24"/>
          <w:szCs w:val="24"/>
        </w:rPr>
        <w:t>[7]</w:t>
      </w:r>
      <w:r w:rsidRPr="000E5E25">
        <w:rPr>
          <w:sz w:val="24"/>
          <w:szCs w:val="24"/>
        </w:rPr>
        <w:tab/>
      </w:r>
      <w:r w:rsidR="00F46C68" w:rsidRPr="000E5E25">
        <w:rPr>
          <w:rFonts w:cs="Arial"/>
          <w:sz w:val="24"/>
          <w:szCs w:val="24"/>
        </w:rPr>
        <w:t xml:space="preserve">PAIA is the means whereby effect is given to </w:t>
      </w:r>
      <w:r w:rsidR="00F46C68" w:rsidRPr="000E5E25">
        <w:rPr>
          <w:rFonts w:cs="Arial"/>
          <w:i/>
          <w:iCs/>
          <w:sz w:val="22"/>
          <w:szCs w:val="22"/>
        </w:rPr>
        <w:t>“the constitutional right to access information held by the State and any information that is held by another person and that is required for the exercise or protection of any rights.</w:t>
      </w:r>
      <w:r w:rsidR="00F46C68" w:rsidRPr="000E5E25">
        <w:rPr>
          <w:rFonts w:cs="Arial"/>
        </w:rPr>
        <w:t>”</w:t>
      </w:r>
      <w:r w:rsidR="004A7A56">
        <w:rPr>
          <w:rFonts w:cs="Arial"/>
        </w:rPr>
        <w:t>.</w:t>
      </w:r>
      <w:r w:rsidR="00F46C68">
        <w:rPr>
          <w:rStyle w:val="FootnoteReference"/>
          <w:rFonts w:cs="Arial"/>
        </w:rPr>
        <w:footnoteReference w:id="6"/>
      </w:r>
      <w:r w:rsidR="001F60F2" w:rsidRPr="000E5E25">
        <w:rPr>
          <w:rFonts w:cs="Arial"/>
        </w:rPr>
        <w:t xml:space="preserve"> </w:t>
      </w:r>
      <w:r w:rsidR="001F60F2" w:rsidRPr="000E5E25">
        <w:rPr>
          <w:rFonts w:cs="Arial"/>
          <w:sz w:val="24"/>
          <w:szCs w:val="24"/>
        </w:rPr>
        <w:t xml:space="preserve"> </w:t>
      </w:r>
      <w:r w:rsidR="00286748" w:rsidRPr="000E5E25">
        <w:rPr>
          <w:rFonts w:cs="Arial"/>
          <w:sz w:val="24"/>
          <w:szCs w:val="24"/>
        </w:rPr>
        <w:t xml:space="preserve">The present application is not a review of the refusal by SANRAL to furnish OUTA with the documents that it requested but rather a reconsideration </w:t>
      </w:r>
      <w:r w:rsidR="00286748" w:rsidRPr="00971C33">
        <w:rPr>
          <w:rFonts w:cs="Arial"/>
          <w:i/>
          <w:iCs/>
          <w:sz w:val="24"/>
          <w:szCs w:val="24"/>
        </w:rPr>
        <w:t>de novo</w:t>
      </w:r>
      <w:r w:rsidR="00286748" w:rsidRPr="00971C33">
        <w:rPr>
          <w:rFonts w:cs="Arial"/>
          <w:sz w:val="24"/>
          <w:szCs w:val="24"/>
        </w:rPr>
        <w:t xml:space="preserve"> </w:t>
      </w:r>
      <w:r w:rsidR="00286748" w:rsidRPr="000E5E25">
        <w:rPr>
          <w:rFonts w:cs="Arial"/>
          <w:sz w:val="24"/>
          <w:szCs w:val="24"/>
        </w:rPr>
        <w:t>of the request</w:t>
      </w:r>
      <w:r w:rsidR="004A7A56">
        <w:rPr>
          <w:rFonts w:cs="Arial"/>
          <w:sz w:val="24"/>
          <w:szCs w:val="24"/>
        </w:rPr>
        <w:t>.</w:t>
      </w:r>
      <w:r w:rsidR="00286748">
        <w:rPr>
          <w:rStyle w:val="FootnoteReference"/>
          <w:rFonts w:cs="Arial"/>
        </w:rPr>
        <w:footnoteReference w:id="7"/>
      </w:r>
      <w:r w:rsidR="006E4E6A" w:rsidRPr="000E5E25">
        <w:rPr>
          <w:rFonts w:cs="Arial"/>
        </w:rPr>
        <w:t xml:space="preserve">  </w:t>
      </w:r>
      <w:r w:rsidR="006E4E6A" w:rsidRPr="000E5E25">
        <w:rPr>
          <w:rFonts w:cs="Arial"/>
          <w:sz w:val="24"/>
          <w:szCs w:val="24"/>
        </w:rPr>
        <w:t>The reconsideration</w:t>
      </w:r>
      <w:r w:rsidR="00E74C41" w:rsidRPr="000E5E25">
        <w:rPr>
          <w:rFonts w:cs="Arial"/>
          <w:sz w:val="24"/>
          <w:szCs w:val="24"/>
        </w:rPr>
        <w:t xml:space="preserve"> of the request is not limited to what was before SANRAL at the time that the request was made but must now be undertaken on what is presently before the Court.</w:t>
      </w:r>
      <w:r w:rsidR="00E74C41">
        <w:rPr>
          <w:rStyle w:val="FootnoteReference"/>
          <w:rFonts w:cs="Arial"/>
          <w:sz w:val="24"/>
          <w:szCs w:val="24"/>
        </w:rPr>
        <w:footnoteReference w:id="8"/>
      </w:r>
    </w:p>
    <w:p w14:paraId="4D590246" w14:textId="77777777" w:rsidR="00006288" w:rsidRPr="00006288" w:rsidRDefault="00006288" w:rsidP="00006288">
      <w:pPr>
        <w:pStyle w:val="ListParagraph"/>
        <w:rPr>
          <w:bCs/>
        </w:rPr>
      </w:pPr>
    </w:p>
    <w:p w14:paraId="10783A7F" w14:textId="55AA9F66" w:rsidR="00006288" w:rsidRPr="00006288" w:rsidRDefault="006A4649" w:rsidP="006A4649">
      <w:pPr>
        <w:pStyle w:val="Body"/>
        <w:spacing w:line="360" w:lineRule="auto"/>
        <w:ind w:left="851" w:hanging="851"/>
        <w:jc w:val="both"/>
        <w:rPr>
          <w:b/>
          <w:bCs/>
          <w:sz w:val="22"/>
          <w:szCs w:val="22"/>
          <w:u w:val="single"/>
        </w:rPr>
      </w:pPr>
      <w:r w:rsidRPr="00006288">
        <w:rPr>
          <w:sz w:val="24"/>
          <w:szCs w:val="24"/>
        </w:rPr>
        <w:lastRenderedPageBreak/>
        <w:t>[8]</w:t>
      </w:r>
      <w:r w:rsidRPr="00006288">
        <w:rPr>
          <w:sz w:val="24"/>
          <w:szCs w:val="24"/>
        </w:rPr>
        <w:tab/>
      </w:r>
      <w:r w:rsidR="00006288" w:rsidRPr="00006288">
        <w:rPr>
          <w:bCs/>
          <w:sz w:val="24"/>
          <w:szCs w:val="24"/>
        </w:rPr>
        <w:t>It is not in issue between the parties</w:t>
      </w:r>
      <w:r w:rsidR="0006551C">
        <w:rPr>
          <w:bCs/>
          <w:sz w:val="24"/>
          <w:szCs w:val="24"/>
        </w:rPr>
        <w:t xml:space="preserve"> </w:t>
      </w:r>
      <w:r w:rsidR="00006288" w:rsidRPr="00006288">
        <w:rPr>
          <w:bCs/>
          <w:sz w:val="24"/>
          <w:szCs w:val="24"/>
        </w:rPr>
        <w:t>that at least insofar as OUTA and SANRAL are concerned, OUTA is entitled to request access to information in terms of PAIA</w:t>
      </w:r>
      <w:r w:rsidR="00F74042" w:rsidRPr="00006288">
        <w:rPr>
          <w:bCs/>
          <w:sz w:val="24"/>
          <w:szCs w:val="24"/>
        </w:rPr>
        <w:t xml:space="preserve">. </w:t>
      </w:r>
      <w:r w:rsidR="00006288" w:rsidRPr="00006288">
        <w:rPr>
          <w:bCs/>
          <w:sz w:val="24"/>
          <w:szCs w:val="24"/>
        </w:rPr>
        <w:t xml:space="preserve">In issue between the parties is </w:t>
      </w:r>
      <w:r w:rsidR="00006288">
        <w:rPr>
          <w:bCs/>
          <w:sz w:val="24"/>
          <w:szCs w:val="24"/>
        </w:rPr>
        <w:t>whether all the information which has been requested should be furnished</w:t>
      </w:r>
      <w:r w:rsidR="00F74042">
        <w:rPr>
          <w:bCs/>
          <w:sz w:val="24"/>
          <w:szCs w:val="24"/>
        </w:rPr>
        <w:t xml:space="preserve">. </w:t>
      </w:r>
      <w:r w:rsidR="00006288">
        <w:rPr>
          <w:bCs/>
          <w:sz w:val="24"/>
          <w:szCs w:val="24"/>
        </w:rPr>
        <w:t>There is no dispute in respect of certain of the information which SANRAL has agreed to provide and ha</w:t>
      </w:r>
      <w:r w:rsidR="007675A3">
        <w:rPr>
          <w:bCs/>
          <w:sz w:val="24"/>
          <w:szCs w:val="24"/>
        </w:rPr>
        <w:t>d</w:t>
      </w:r>
      <w:r w:rsidR="00006288">
        <w:rPr>
          <w:bCs/>
          <w:sz w:val="24"/>
          <w:szCs w:val="24"/>
        </w:rPr>
        <w:t xml:space="preserve"> already provided</w:t>
      </w:r>
      <w:r w:rsidR="007675A3">
        <w:rPr>
          <w:bCs/>
          <w:sz w:val="24"/>
          <w:szCs w:val="24"/>
        </w:rPr>
        <w:t xml:space="preserve"> by the time this application was heard</w:t>
      </w:r>
      <w:r w:rsidR="00006288">
        <w:rPr>
          <w:bCs/>
          <w:sz w:val="24"/>
          <w:szCs w:val="24"/>
        </w:rPr>
        <w:t>.</w:t>
      </w:r>
    </w:p>
    <w:p w14:paraId="6F68E37D" w14:textId="77777777" w:rsidR="00006288" w:rsidRDefault="00006288" w:rsidP="00006288">
      <w:pPr>
        <w:pStyle w:val="ListParagraph"/>
        <w:rPr>
          <w:bCs/>
        </w:rPr>
      </w:pPr>
    </w:p>
    <w:p w14:paraId="6DAE289D" w14:textId="575792E1" w:rsidR="00006288" w:rsidRPr="00695299" w:rsidRDefault="006A4649" w:rsidP="006A4649">
      <w:pPr>
        <w:pStyle w:val="Body"/>
        <w:spacing w:line="360" w:lineRule="auto"/>
        <w:ind w:left="851" w:hanging="851"/>
        <w:jc w:val="both"/>
        <w:rPr>
          <w:b/>
          <w:bCs/>
          <w:sz w:val="22"/>
          <w:szCs w:val="22"/>
          <w:u w:val="single"/>
        </w:rPr>
      </w:pPr>
      <w:r w:rsidRPr="00695299">
        <w:rPr>
          <w:sz w:val="24"/>
          <w:szCs w:val="24"/>
        </w:rPr>
        <w:t>[9]</w:t>
      </w:r>
      <w:r w:rsidRPr="00695299">
        <w:rPr>
          <w:sz w:val="24"/>
          <w:szCs w:val="24"/>
        </w:rPr>
        <w:tab/>
      </w:r>
      <w:r w:rsidR="00695299">
        <w:rPr>
          <w:bCs/>
          <w:sz w:val="24"/>
          <w:szCs w:val="24"/>
        </w:rPr>
        <w:t>Initially, OUTA sought an order in two parts – Part A and Part B, in the following terms:</w:t>
      </w:r>
    </w:p>
    <w:p w14:paraId="01637470" w14:textId="77777777" w:rsidR="00695299" w:rsidRPr="00695299" w:rsidRDefault="00695299" w:rsidP="00695299">
      <w:pPr>
        <w:pStyle w:val="ListParagraph"/>
        <w:rPr>
          <w:i/>
          <w:iCs/>
          <w:sz w:val="22"/>
          <w:szCs w:val="22"/>
        </w:rPr>
      </w:pPr>
    </w:p>
    <w:p w14:paraId="4B07B2CE" w14:textId="130FC6A2" w:rsidR="00695299" w:rsidRPr="00695299" w:rsidRDefault="00695299" w:rsidP="00DC0C06">
      <w:pPr>
        <w:pStyle w:val="Body"/>
        <w:spacing w:line="360" w:lineRule="auto"/>
        <w:ind w:left="1418"/>
        <w:jc w:val="both"/>
        <w:rPr>
          <w:i/>
          <w:iCs/>
          <w:sz w:val="22"/>
          <w:szCs w:val="22"/>
        </w:rPr>
      </w:pPr>
      <w:r w:rsidRPr="00695299">
        <w:rPr>
          <w:i/>
          <w:iCs/>
          <w:sz w:val="22"/>
          <w:szCs w:val="22"/>
        </w:rPr>
        <w:t>“</w:t>
      </w:r>
      <w:r w:rsidRPr="00695299">
        <w:rPr>
          <w:b/>
          <w:bCs/>
          <w:i/>
          <w:iCs/>
          <w:sz w:val="22"/>
          <w:szCs w:val="22"/>
          <w:u w:val="single"/>
        </w:rPr>
        <w:t>PART A</w:t>
      </w:r>
    </w:p>
    <w:p w14:paraId="389B0BCD" w14:textId="2F208626" w:rsidR="00695299" w:rsidRPr="00695299" w:rsidRDefault="00695299" w:rsidP="00695299">
      <w:pPr>
        <w:pStyle w:val="Body"/>
        <w:spacing w:line="360" w:lineRule="auto"/>
        <w:ind w:left="851"/>
        <w:jc w:val="both"/>
        <w:rPr>
          <w:i/>
          <w:iCs/>
          <w:sz w:val="22"/>
          <w:szCs w:val="22"/>
        </w:rPr>
      </w:pPr>
    </w:p>
    <w:p w14:paraId="0DC72F02" w14:textId="0F414DEF" w:rsidR="00695299" w:rsidRDefault="006A4649" w:rsidP="006A4649">
      <w:pPr>
        <w:pStyle w:val="Body"/>
        <w:spacing w:line="360" w:lineRule="auto"/>
        <w:ind w:left="2268" w:hanging="850"/>
        <w:jc w:val="both"/>
        <w:rPr>
          <w:i/>
          <w:iCs/>
          <w:sz w:val="22"/>
          <w:szCs w:val="22"/>
        </w:rPr>
      </w:pPr>
      <w:r>
        <w:rPr>
          <w:i/>
          <w:iCs/>
          <w:sz w:val="22"/>
          <w:szCs w:val="22"/>
        </w:rPr>
        <w:t>1.</w:t>
      </w:r>
      <w:r>
        <w:rPr>
          <w:i/>
          <w:iCs/>
          <w:sz w:val="22"/>
          <w:szCs w:val="22"/>
        </w:rPr>
        <w:tab/>
      </w:r>
      <w:r w:rsidR="00695299" w:rsidRPr="00695299">
        <w:rPr>
          <w:i/>
          <w:iCs/>
          <w:sz w:val="22"/>
          <w:szCs w:val="22"/>
        </w:rPr>
        <w:t>A copy of The Concession Contract No. SAPR N0304102/1, for a portion of National Route 3 from Cedara in Kwazulu-Natal to Heidelberg South interchange in Gauteng as a toll Highway (hereinafter referred to as the N3TC Concession Contract) duly signed on the 27</w:t>
      </w:r>
      <w:r w:rsidR="00695299" w:rsidRPr="00695299">
        <w:rPr>
          <w:i/>
          <w:iCs/>
          <w:sz w:val="22"/>
          <w:szCs w:val="22"/>
          <w:vertAlign w:val="superscript"/>
        </w:rPr>
        <w:t>th</w:t>
      </w:r>
      <w:r w:rsidR="00695299" w:rsidRPr="00695299">
        <w:rPr>
          <w:i/>
          <w:iCs/>
          <w:sz w:val="22"/>
          <w:szCs w:val="22"/>
        </w:rPr>
        <w:t xml:space="preserve"> of May 1999;</w:t>
      </w:r>
    </w:p>
    <w:p w14:paraId="6D3B5F9A" w14:textId="77777777" w:rsidR="00DC0C06" w:rsidRDefault="00DC0C06" w:rsidP="00DC0C06">
      <w:pPr>
        <w:pStyle w:val="Body"/>
        <w:spacing w:line="360" w:lineRule="auto"/>
        <w:ind w:left="2268"/>
        <w:jc w:val="both"/>
        <w:rPr>
          <w:i/>
          <w:iCs/>
          <w:sz w:val="22"/>
          <w:szCs w:val="22"/>
        </w:rPr>
      </w:pPr>
    </w:p>
    <w:p w14:paraId="4A34DBB2" w14:textId="03AC979E" w:rsidR="00695299" w:rsidRDefault="006A4649" w:rsidP="006A4649">
      <w:pPr>
        <w:pStyle w:val="Body"/>
        <w:spacing w:line="360" w:lineRule="auto"/>
        <w:ind w:left="2268" w:hanging="850"/>
        <w:jc w:val="both"/>
        <w:rPr>
          <w:i/>
          <w:iCs/>
          <w:sz w:val="22"/>
          <w:szCs w:val="22"/>
        </w:rPr>
      </w:pPr>
      <w:r>
        <w:rPr>
          <w:i/>
          <w:iCs/>
          <w:sz w:val="22"/>
          <w:szCs w:val="22"/>
        </w:rPr>
        <w:t>2.</w:t>
      </w:r>
      <w:r>
        <w:rPr>
          <w:i/>
          <w:iCs/>
          <w:sz w:val="22"/>
          <w:szCs w:val="22"/>
        </w:rPr>
        <w:tab/>
      </w:r>
      <w:r w:rsidR="00695299">
        <w:rPr>
          <w:i/>
          <w:iCs/>
          <w:sz w:val="22"/>
          <w:szCs w:val="22"/>
        </w:rPr>
        <w:t xml:space="preserve">A copy of all </w:t>
      </w:r>
      <w:r w:rsidR="00695299">
        <w:rPr>
          <w:i/>
          <w:iCs/>
          <w:sz w:val="22"/>
          <w:szCs w:val="22"/>
          <w:u w:val="single"/>
        </w:rPr>
        <w:t xml:space="preserve">Annexures and Addenda </w:t>
      </w:r>
      <w:r w:rsidR="00695299">
        <w:rPr>
          <w:i/>
          <w:iCs/>
          <w:sz w:val="22"/>
          <w:szCs w:val="22"/>
        </w:rPr>
        <w:t>to the N3TC Concession Contract</w:t>
      </w:r>
      <w:r w:rsidR="00DC0C06">
        <w:rPr>
          <w:i/>
          <w:iCs/>
          <w:sz w:val="22"/>
          <w:szCs w:val="22"/>
        </w:rPr>
        <w:t>;</w:t>
      </w:r>
    </w:p>
    <w:p w14:paraId="475A8B80" w14:textId="77777777" w:rsidR="00DC0C06" w:rsidRDefault="00DC0C06" w:rsidP="00DC0C06">
      <w:pPr>
        <w:pStyle w:val="ListParagraph"/>
        <w:rPr>
          <w:i/>
          <w:iCs/>
          <w:sz w:val="22"/>
          <w:szCs w:val="22"/>
        </w:rPr>
      </w:pPr>
    </w:p>
    <w:p w14:paraId="509932D7" w14:textId="1811F339" w:rsidR="00695299" w:rsidRDefault="006A4649" w:rsidP="006A4649">
      <w:pPr>
        <w:pStyle w:val="Body"/>
        <w:spacing w:line="360" w:lineRule="auto"/>
        <w:ind w:left="2268" w:hanging="850"/>
        <w:jc w:val="both"/>
        <w:rPr>
          <w:i/>
          <w:iCs/>
          <w:sz w:val="22"/>
          <w:szCs w:val="22"/>
        </w:rPr>
      </w:pPr>
      <w:r>
        <w:rPr>
          <w:i/>
          <w:iCs/>
          <w:sz w:val="22"/>
          <w:szCs w:val="22"/>
        </w:rPr>
        <w:t>3.</w:t>
      </w:r>
      <w:r>
        <w:rPr>
          <w:i/>
          <w:iCs/>
          <w:sz w:val="22"/>
          <w:szCs w:val="22"/>
        </w:rPr>
        <w:tab/>
      </w:r>
      <w:r w:rsidR="00695299" w:rsidRPr="00DC0C06">
        <w:rPr>
          <w:i/>
          <w:iCs/>
          <w:sz w:val="22"/>
          <w:szCs w:val="22"/>
        </w:rPr>
        <w:t xml:space="preserve">A copy of all </w:t>
      </w:r>
      <w:r w:rsidR="00695299" w:rsidRPr="00DC0C06">
        <w:rPr>
          <w:i/>
          <w:iCs/>
          <w:sz w:val="22"/>
          <w:szCs w:val="22"/>
          <w:u w:val="single"/>
        </w:rPr>
        <w:t>Amendments and Addenda</w:t>
      </w:r>
      <w:r w:rsidR="00695299" w:rsidRPr="00DC0C06">
        <w:rPr>
          <w:i/>
          <w:iCs/>
          <w:sz w:val="22"/>
          <w:szCs w:val="22"/>
        </w:rPr>
        <w:t xml:space="preserve"> (if any) to the N3TC Concession Contract;</w:t>
      </w:r>
    </w:p>
    <w:p w14:paraId="25177A0D" w14:textId="77777777" w:rsidR="00DC0C06" w:rsidRDefault="00DC0C06" w:rsidP="00DC0C06">
      <w:pPr>
        <w:pStyle w:val="ListParagraph"/>
        <w:rPr>
          <w:i/>
          <w:iCs/>
          <w:sz w:val="22"/>
          <w:szCs w:val="22"/>
        </w:rPr>
      </w:pPr>
    </w:p>
    <w:p w14:paraId="41FA2E6C" w14:textId="6E0A314B" w:rsidR="00695299" w:rsidRDefault="006A4649" w:rsidP="006A4649">
      <w:pPr>
        <w:pStyle w:val="Body"/>
        <w:spacing w:line="360" w:lineRule="auto"/>
        <w:ind w:left="2268" w:hanging="850"/>
        <w:jc w:val="both"/>
        <w:rPr>
          <w:i/>
          <w:iCs/>
          <w:sz w:val="22"/>
          <w:szCs w:val="22"/>
        </w:rPr>
      </w:pPr>
      <w:r>
        <w:rPr>
          <w:i/>
          <w:iCs/>
          <w:sz w:val="22"/>
          <w:szCs w:val="22"/>
        </w:rPr>
        <w:t>4.</w:t>
      </w:r>
      <w:r>
        <w:rPr>
          <w:i/>
          <w:iCs/>
          <w:sz w:val="22"/>
          <w:szCs w:val="22"/>
        </w:rPr>
        <w:tab/>
      </w:r>
      <w:r w:rsidR="00695299" w:rsidRPr="00DC0C06">
        <w:rPr>
          <w:i/>
          <w:iCs/>
          <w:sz w:val="22"/>
          <w:szCs w:val="22"/>
        </w:rPr>
        <w:t>A copy of all Operation and Maintenance contracts entered into between the Concessionaire and the O&amp;M Contractors, relating to the N3TC Concession Contract;</w:t>
      </w:r>
    </w:p>
    <w:p w14:paraId="215DF910" w14:textId="77777777" w:rsidR="00DC0C06" w:rsidRDefault="00DC0C06" w:rsidP="00DC0C06">
      <w:pPr>
        <w:pStyle w:val="ListParagraph"/>
        <w:rPr>
          <w:i/>
          <w:iCs/>
          <w:sz w:val="22"/>
          <w:szCs w:val="22"/>
        </w:rPr>
      </w:pPr>
    </w:p>
    <w:p w14:paraId="7667BB47" w14:textId="51DB8856" w:rsidR="00DC0C06" w:rsidRDefault="006A4649" w:rsidP="006A4649">
      <w:pPr>
        <w:pStyle w:val="Body"/>
        <w:spacing w:line="360" w:lineRule="auto"/>
        <w:ind w:left="2268" w:hanging="850"/>
        <w:jc w:val="both"/>
        <w:rPr>
          <w:i/>
          <w:iCs/>
          <w:sz w:val="22"/>
          <w:szCs w:val="22"/>
        </w:rPr>
      </w:pPr>
      <w:r>
        <w:rPr>
          <w:i/>
          <w:iCs/>
          <w:sz w:val="22"/>
          <w:szCs w:val="22"/>
        </w:rPr>
        <w:t>5.</w:t>
      </w:r>
      <w:r>
        <w:rPr>
          <w:i/>
          <w:iCs/>
          <w:sz w:val="22"/>
          <w:szCs w:val="22"/>
        </w:rPr>
        <w:tab/>
      </w:r>
      <w:r w:rsidR="00695299" w:rsidRPr="00DC0C06">
        <w:rPr>
          <w:i/>
          <w:iCs/>
          <w:sz w:val="22"/>
          <w:szCs w:val="22"/>
        </w:rPr>
        <w:t>A copy of the Operational and Maintenance Manual pertaining to the N3TC Concession Contract;</w:t>
      </w:r>
    </w:p>
    <w:p w14:paraId="04889A58" w14:textId="77777777" w:rsidR="00DC0C06" w:rsidRDefault="00DC0C06" w:rsidP="00DC0C06">
      <w:pPr>
        <w:pStyle w:val="ListParagraph"/>
        <w:rPr>
          <w:i/>
          <w:iCs/>
          <w:sz w:val="22"/>
          <w:szCs w:val="22"/>
        </w:rPr>
      </w:pPr>
    </w:p>
    <w:p w14:paraId="24D5A450" w14:textId="479FA075" w:rsidR="00DC0C06" w:rsidRDefault="006A4649" w:rsidP="006A4649">
      <w:pPr>
        <w:pStyle w:val="Body"/>
        <w:spacing w:line="360" w:lineRule="auto"/>
        <w:ind w:left="2268" w:hanging="850"/>
        <w:jc w:val="both"/>
        <w:rPr>
          <w:i/>
          <w:iCs/>
          <w:sz w:val="22"/>
          <w:szCs w:val="22"/>
        </w:rPr>
      </w:pPr>
      <w:r>
        <w:rPr>
          <w:i/>
          <w:iCs/>
          <w:sz w:val="22"/>
          <w:szCs w:val="22"/>
        </w:rPr>
        <w:t>6.</w:t>
      </w:r>
      <w:r>
        <w:rPr>
          <w:i/>
          <w:iCs/>
          <w:sz w:val="22"/>
          <w:szCs w:val="22"/>
        </w:rPr>
        <w:tab/>
      </w:r>
      <w:r w:rsidR="00695299" w:rsidRPr="00DC0C06">
        <w:rPr>
          <w:i/>
          <w:iCs/>
          <w:sz w:val="22"/>
          <w:szCs w:val="22"/>
        </w:rPr>
        <w:t>A copy of the contracts entered into with the Independent Engineer(s), pertaining to the N3TC Concession Contract, as specifically stipulated in clause 6.1;</w:t>
      </w:r>
    </w:p>
    <w:p w14:paraId="330D5E51" w14:textId="77777777" w:rsidR="00DC0C06" w:rsidRDefault="00DC0C06" w:rsidP="00DC0C06">
      <w:pPr>
        <w:pStyle w:val="ListParagraph"/>
        <w:rPr>
          <w:i/>
          <w:iCs/>
          <w:sz w:val="22"/>
          <w:szCs w:val="22"/>
        </w:rPr>
      </w:pPr>
    </w:p>
    <w:p w14:paraId="020619AC" w14:textId="1EC35BA6" w:rsidR="00DC0C06" w:rsidRDefault="006A4649" w:rsidP="006A4649">
      <w:pPr>
        <w:pStyle w:val="Body"/>
        <w:spacing w:line="360" w:lineRule="auto"/>
        <w:ind w:left="2268" w:hanging="850"/>
        <w:jc w:val="both"/>
        <w:rPr>
          <w:i/>
          <w:iCs/>
          <w:sz w:val="22"/>
          <w:szCs w:val="22"/>
        </w:rPr>
      </w:pPr>
      <w:r>
        <w:rPr>
          <w:i/>
          <w:iCs/>
          <w:sz w:val="22"/>
          <w:szCs w:val="22"/>
        </w:rPr>
        <w:t>7.</w:t>
      </w:r>
      <w:r>
        <w:rPr>
          <w:i/>
          <w:iCs/>
          <w:sz w:val="22"/>
          <w:szCs w:val="22"/>
        </w:rPr>
        <w:tab/>
      </w:r>
      <w:r w:rsidR="00695299" w:rsidRPr="00DC0C06">
        <w:rPr>
          <w:i/>
          <w:iCs/>
          <w:sz w:val="22"/>
          <w:szCs w:val="22"/>
        </w:rPr>
        <w:t>A copy of all the Independent Engineer(s) Reports submitted to SANRAL, pertaining to the N3TC Concession Contract;</w:t>
      </w:r>
    </w:p>
    <w:p w14:paraId="3F137F9A" w14:textId="77777777" w:rsidR="00DC0C06" w:rsidRDefault="00DC0C06" w:rsidP="00DC0C06">
      <w:pPr>
        <w:pStyle w:val="ListParagraph"/>
        <w:rPr>
          <w:i/>
          <w:iCs/>
          <w:sz w:val="22"/>
          <w:szCs w:val="22"/>
        </w:rPr>
      </w:pPr>
    </w:p>
    <w:p w14:paraId="3C3D56BD" w14:textId="328E78F7" w:rsidR="00DC0C06" w:rsidRDefault="006A4649" w:rsidP="006A4649">
      <w:pPr>
        <w:pStyle w:val="Body"/>
        <w:spacing w:line="360" w:lineRule="auto"/>
        <w:ind w:left="2268" w:hanging="850"/>
        <w:jc w:val="both"/>
        <w:rPr>
          <w:i/>
          <w:iCs/>
          <w:sz w:val="22"/>
          <w:szCs w:val="22"/>
        </w:rPr>
      </w:pPr>
      <w:r>
        <w:rPr>
          <w:i/>
          <w:iCs/>
          <w:sz w:val="22"/>
          <w:szCs w:val="22"/>
        </w:rPr>
        <w:lastRenderedPageBreak/>
        <w:t>8.</w:t>
      </w:r>
      <w:r>
        <w:rPr>
          <w:i/>
          <w:iCs/>
          <w:sz w:val="22"/>
          <w:szCs w:val="22"/>
        </w:rPr>
        <w:tab/>
      </w:r>
      <w:r w:rsidR="00695299" w:rsidRPr="00DC0C06">
        <w:rPr>
          <w:i/>
          <w:iCs/>
          <w:sz w:val="22"/>
          <w:szCs w:val="22"/>
        </w:rPr>
        <w:t>A copy of all Construction Work contracts entered into by the Concessionaire relating to the N3TC Concession Contract, as set out in Clause 8.5.2;</w:t>
      </w:r>
    </w:p>
    <w:p w14:paraId="18355A8B" w14:textId="77777777" w:rsidR="00DC0C06" w:rsidRDefault="00DC0C06" w:rsidP="00DC0C06">
      <w:pPr>
        <w:pStyle w:val="ListParagraph"/>
        <w:rPr>
          <w:i/>
          <w:iCs/>
          <w:sz w:val="22"/>
          <w:szCs w:val="22"/>
        </w:rPr>
      </w:pPr>
    </w:p>
    <w:p w14:paraId="5DE13723" w14:textId="12B7DC63" w:rsidR="00DC0C06" w:rsidRDefault="006A4649" w:rsidP="006A4649">
      <w:pPr>
        <w:pStyle w:val="Body"/>
        <w:spacing w:line="360" w:lineRule="auto"/>
        <w:ind w:left="2268" w:hanging="850"/>
        <w:jc w:val="both"/>
        <w:rPr>
          <w:i/>
          <w:iCs/>
          <w:sz w:val="22"/>
          <w:szCs w:val="22"/>
        </w:rPr>
      </w:pPr>
      <w:r>
        <w:rPr>
          <w:i/>
          <w:iCs/>
          <w:sz w:val="22"/>
          <w:szCs w:val="22"/>
        </w:rPr>
        <w:t>9.</w:t>
      </w:r>
      <w:r>
        <w:rPr>
          <w:i/>
          <w:iCs/>
          <w:sz w:val="22"/>
          <w:szCs w:val="22"/>
        </w:rPr>
        <w:tab/>
      </w:r>
      <w:r w:rsidR="00695299" w:rsidRPr="00DC0C06">
        <w:rPr>
          <w:i/>
          <w:iCs/>
          <w:sz w:val="22"/>
          <w:szCs w:val="22"/>
        </w:rPr>
        <w:t>A copy of all “Performance Certificates” issued, relating to the Construction Works contracts entered into by the Concessionaire (as referred to in item 8, above);</w:t>
      </w:r>
    </w:p>
    <w:p w14:paraId="240D173A" w14:textId="77777777" w:rsidR="00DC0C06" w:rsidRDefault="00DC0C06" w:rsidP="00DC0C06">
      <w:pPr>
        <w:pStyle w:val="ListParagraph"/>
        <w:rPr>
          <w:i/>
          <w:iCs/>
          <w:sz w:val="22"/>
          <w:szCs w:val="22"/>
        </w:rPr>
      </w:pPr>
    </w:p>
    <w:p w14:paraId="7798426E" w14:textId="62953FA7" w:rsidR="00695299" w:rsidRPr="00DC0C06" w:rsidRDefault="006A4649" w:rsidP="006A4649">
      <w:pPr>
        <w:pStyle w:val="Body"/>
        <w:spacing w:line="360" w:lineRule="auto"/>
        <w:ind w:left="2268" w:hanging="850"/>
        <w:jc w:val="both"/>
        <w:rPr>
          <w:i/>
          <w:iCs/>
          <w:sz w:val="22"/>
          <w:szCs w:val="22"/>
        </w:rPr>
      </w:pPr>
      <w:r w:rsidRPr="00DC0C06">
        <w:rPr>
          <w:i/>
          <w:iCs/>
          <w:sz w:val="22"/>
          <w:szCs w:val="22"/>
        </w:rPr>
        <w:t>10.</w:t>
      </w:r>
      <w:r w:rsidRPr="00DC0C06">
        <w:rPr>
          <w:i/>
          <w:iCs/>
          <w:sz w:val="22"/>
          <w:szCs w:val="22"/>
        </w:rPr>
        <w:tab/>
      </w:r>
      <w:r w:rsidR="00695299" w:rsidRPr="00DC0C06">
        <w:rPr>
          <w:i/>
          <w:iCs/>
          <w:sz w:val="22"/>
          <w:szCs w:val="22"/>
        </w:rPr>
        <w:t>A copy of all “Taking Over certificates” that have been issued in terms of the N3TC Concession Contract, as set out in Clause 9.2;</w:t>
      </w:r>
    </w:p>
    <w:p w14:paraId="0E5F5E16" w14:textId="7BA92E4E" w:rsidR="00695299" w:rsidRDefault="00695299" w:rsidP="00695299">
      <w:pPr>
        <w:pStyle w:val="Body"/>
        <w:spacing w:line="360" w:lineRule="auto"/>
        <w:ind w:left="1211"/>
        <w:jc w:val="both"/>
        <w:rPr>
          <w:i/>
          <w:iCs/>
          <w:sz w:val="22"/>
          <w:szCs w:val="22"/>
        </w:rPr>
      </w:pPr>
    </w:p>
    <w:p w14:paraId="24626F02" w14:textId="45207FFA" w:rsidR="00695299" w:rsidRPr="00695299" w:rsidRDefault="00695299" w:rsidP="00DC0C06">
      <w:pPr>
        <w:pStyle w:val="Body"/>
        <w:spacing w:line="360" w:lineRule="auto"/>
        <w:ind w:left="1418"/>
        <w:jc w:val="both"/>
        <w:rPr>
          <w:b/>
          <w:bCs/>
          <w:i/>
          <w:iCs/>
          <w:sz w:val="22"/>
          <w:szCs w:val="22"/>
          <w:u w:val="single"/>
        </w:rPr>
      </w:pPr>
      <w:r w:rsidRPr="00695299">
        <w:rPr>
          <w:b/>
          <w:bCs/>
          <w:i/>
          <w:iCs/>
          <w:sz w:val="22"/>
          <w:szCs w:val="22"/>
          <w:u w:val="single"/>
        </w:rPr>
        <w:t>PART B</w:t>
      </w:r>
    </w:p>
    <w:p w14:paraId="0ADA7D8E" w14:textId="7B0F5AFE" w:rsidR="00695299" w:rsidRDefault="00695299" w:rsidP="00695299">
      <w:pPr>
        <w:pStyle w:val="Body"/>
        <w:spacing w:line="360" w:lineRule="auto"/>
        <w:jc w:val="both"/>
        <w:rPr>
          <w:i/>
          <w:iCs/>
          <w:sz w:val="22"/>
          <w:szCs w:val="22"/>
        </w:rPr>
      </w:pPr>
    </w:p>
    <w:p w14:paraId="1722BB23" w14:textId="347E0BBE" w:rsidR="00695299" w:rsidRDefault="006A4649" w:rsidP="006A4649">
      <w:pPr>
        <w:pStyle w:val="Body"/>
        <w:spacing w:line="360" w:lineRule="auto"/>
        <w:ind w:left="2268" w:hanging="850"/>
        <w:jc w:val="both"/>
        <w:rPr>
          <w:i/>
          <w:iCs/>
          <w:sz w:val="22"/>
          <w:szCs w:val="22"/>
        </w:rPr>
      </w:pPr>
      <w:r>
        <w:rPr>
          <w:i/>
          <w:iCs/>
          <w:sz w:val="22"/>
          <w:szCs w:val="22"/>
        </w:rPr>
        <w:t>1.</w:t>
      </w:r>
      <w:r>
        <w:rPr>
          <w:i/>
          <w:iCs/>
          <w:sz w:val="22"/>
          <w:szCs w:val="22"/>
        </w:rPr>
        <w:tab/>
      </w:r>
      <w:r w:rsidR="00695299">
        <w:rPr>
          <w:i/>
          <w:iCs/>
          <w:sz w:val="22"/>
          <w:szCs w:val="22"/>
        </w:rPr>
        <w:t>Copies of N3TC’s complete financial statements for each fiscal year, submitted to SANRAL in terms of the N3TC Concession Contract (as from 1999/2000 financial year to present) as specified in Clause 16.3.1(a);</w:t>
      </w:r>
    </w:p>
    <w:p w14:paraId="1FE3F416" w14:textId="77777777" w:rsidR="0017503D" w:rsidRDefault="0017503D" w:rsidP="0017503D">
      <w:pPr>
        <w:pStyle w:val="Body"/>
        <w:spacing w:line="360" w:lineRule="auto"/>
        <w:ind w:left="2268"/>
        <w:jc w:val="both"/>
        <w:rPr>
          <w:i/>
          <w:iCs/>
          <w:sz w:val="22"/>
          <w:szCs w:val="22"/>
        </w:rPr>
      </w:pPr>
    </w:p>
    <w:p w14:paraId="06610B0F" w14:textId="6A7C0FFB" w:rsidR="00695299" w:rsidRDefault="006A4649" w:rsidP="006A4649">
      <w:pPr>
        <w:pStyle w:val="Body"/>
        <w:spacing w:line="360" w:lineRule="auto"/>
        <w:ind w:left="2268" w:hanging="850"/>
        <w:jc w:val="both"/>
        <w:rPr>
          <w:i/>
          <w:iCs/>
          <w:sz w:val="22"/>
          <w:szCs w:val="22"/>
        </w:rPr>
      </w:pPr>
      <w:r>
        <w:rPr>
          <w:i/>
          <w:iCs/>
          <w:sz w:val="22"/>
          <w:szCs w:val="22"/>
        </w:rPr>
        <w:t>2.</w:t>
      </w:r>
      <w:r>
        <w:rPr>
          <w:i/>
          <w:iCs/>
          <w:sz w:val="22"/>
          <w:szCs w:val="22"/>
        </w:rPr>
        <w:tab/>
      </w:r>
      <w:r w:rsidR="00695299" w:rsidRPr="0017503D">
        <w:rPr>
          <w:i/>
          <w:iCs/>
          <w:sz w:val="22"/>
          <w:szCs w:val="22"/>
        </w:rPr>
        <w:t>Copies of all reconciliations of N3TC’s Profit &amp; Loss Accounts, together with their proposed budgets for each fiscal year, submitted to SANRAL, from 1999/2000 fiscal year to present in terms of the N3TC Concession Contract, with specific reference to Clause 16.3.1(d);</w:t>
      </w:r>
    </w:p>
    <w:p w14:paraId="26344D96" w14:textId="77777777" w:rsidR="0017503D" w:rsidRDefault="0017503D" w:rsidP="0017503D">
      <w:pPr>
        <w:pStyle w:val="ListParagraph"/>
        <w:rPr>
          <w:i/>
          <w:iCs/>
          <w:sz w:val="22"/>
          <w:szCs w:val="22"/>
        </w:rPr>
      </w:pPr>
    </w:p>
    <w:p w14:paraId="59515F59" w14:textId="6E3B0D59" w:rsidR="00695299" w:rsidRDefault="006A4649" w:rsidP="006A4649">
      <w:pPr>
        <w:pStyle w:val="Body"/>
        <w:spacing w:line="360" w:lineRule="auto"/>
        <w:ind w:left="2268" w:hanging="850"/>
        <w:jc w:val="both"/>
        <w:rPr>
          <w:i/>
          <w:iCs/>
          <w:sz w:val="22"/>
          <w:szCs w:val="22"/>
        </w:rPr>
      </w:pPr>
      <w:r>
        <w:rPr>
          <w:i/>
          <w:iCs/>
          <w:sz w:val="22"/>
          <w:szCs w:val="22"/>
        </w:rPr>
        <w:t>3.</w:t>
      </w:r>
      <w:r>
        <w:rPr>
          <w:i/>
          <w:iCs/>
          <w:sz w:val="22"/>
          <w:szCs w:val="22"/>
        </w:rPr>
        <w:tab/>
      </w:r>
      <w:r w:rsidR="00695299" w:rsidRPr="0017503D">
        <w:rPr>
          <w:i/>
          <w:iCs/>
          <w:sz w:val="22"/>
          <w:szCs w:val="22"/>
        </w:rPr>
        <w:t>Copies of all Annual Reports submitted to SANRAL, pertaining to the N3TC Concession Contract (as from the 1999/2000 financial year to present), issued by the N3TC’s appointed auditors, certifying that the computation of the Highway Usage Fee for the previous year was correctly calculated, as specified in Clause 16.3.1(e);</w:t>
      </w:r>
    </w:p>
    <w:p w14:paraId="107FA103" w14:textId="77777777" w:rsidR="0017503D" w:rsidRDefault="0017503D" w:rsidP="0017503D">
      <w:pPr>
        <w:pStyle w:val="ListParagraph"/>
        <w:rPr>
          <w:i/>
          <w:iCs/>
          <w:sz w:val="22"/>
          <w:szCs w:val="22"/>
        </w:rPr>
      </w:pPr>
    </w:p>
    <w:p w14:paraId="6C451F39" w14:textId="08A99EBA" w:rsidR="00695299" w:rsidRPr="0017503D" w:rsidRDefault="006A4649" w:rsidP="006A4649">
      <w:pPr>
        <w:pStyle w:val="Body"/>
        <w:spacing w:line="360" w:lineRule="auto"/>
        <w:ind w:left="2268" w:hanging="850"/>
        <w:jc w:val="both"/>
        <w:rPr>
          <w:i/>
          <w:iCs/>
          <w:sz w:val="22"/>
          <w:szCs w:val="22"/>
        </w:rPr>
      </w:pPr>
      <w:r w:rsidRPr="0017503D">
        <w:rPr>
          <w:i/>
          <w:iCs/>
          <w:sz w:val="22"/>
          <w:szCs w:val="22"/>
        </w:rPr>
        <w:t>4.</w:t>
      </w:r>
      <w:r w:rsidRPr="0017503D">
        <w:rPr>
          <w:i/>
          <w:iCs/>
          <w:sz w:val="22"/>
          <w:szCs w:val="22"/>
        </w:rPr>
        <w:tab/>
      </w:r>
      <w:r w:rsidR="00695299" w:rsidRPr="0017503D">
        <w:rPr>
          <w:i/>
          <w:iCs/>
          <w:sz w:val="22"/>
          <w:szCs w:val="22"/>
        </w:rPr>
        <w:t>Copies of the lists, submitted to SANRAL in terms of the N3TC Concession Contract (as from 1999 to present), of N3TC’s lenders and creditors to which N3TC owns a sum in excess of the equivalent of R10 000 000 (ten million Rand), including the amounts due to each of them, as stipulated in Clause 16.3.2(c);”</w:t>
      </w:r>
    </w:p>
    <w:p w14:paraId="49053F13" w14:textId="77777777" w:rsidR="00695299" w:rsidRPr="00006288" w:rsidRDefault="00695299" w:rsidP="00695299">
      <w:pPr>
        <w:pStyle w:val="Body"/>
        <w:spacing w:line="360" w:lineRule="auto"/>
        <w:jc w:val="both"/>
        <w:rPr>
          <w:b/>
          <w:bCs/>
          <w:sz w:val="22"/>
          <w:szCs w:val="22"/>
          <w:u w:val="single"/>
        </w:rPr>
      </w:pPr>
    </w:p>
    <w:p w14:paraId="4EE10358" w14:textId="3FE32906" w:rsidR="006350CE" w:rsidRDefault="006A4649" w:rsidP="006A4649">
      <w:pPr>
        <w:pStyle w:val="Body"/>
        <w:spacing w:line="360" w:lineRule="auto"/>
        <w:ind w:left="851" w:hanging="851"/>
        <w:jc w:val="both"/>
        <w:rPr>
          <w:bCs/>
          <w:sz w:val="24"/>
          <w:szCs w:val="24"/>
        </w:rPr>
      </w:pPr>
      <w:r>
        <w:rPr>
          <w:sz w:val="24"/>
          <w:szCs w:val="24"/>
        </w:rPr>
        <w:lastRenderedPageBreak/>
        <w:t>[10]</w:t>
      </w:r>
      <w:r>
        <w:rPr>
          <w:sz w:val="24"/>
          <w:szCs w:val="24"/>
        </w:rPr>
        <w:tab/>
      </w:r>
      <w:r w:rsidR="0017503D" w:rsidRPr="0017503D">
        <w:rPr>
          <w:bCs/>
          <w:sz w:val="24"/>
          <w:szCs w:val="24"/>
        </w:rPr>
        <w:t xml:space="preserve">Initially, </w:t>
      </w:r>
      <w:r w:rsidR="0017503D">
        <w:rPr>
          <w:bCs/>
          <w:sz w:val="24"/>
          <w:szCs w:val="24"/>
        </w:rPr>
        <w:t>the information sought by OUTA in its request was not furnished, in part because N3TC had not agreed to this</w:t>
      </w:r>
      <w:r w:rsidR="00F74042">
        <w:rPr>
          <w:bCs/>
          <w:sz w:val="24"/>
          <w:szCs w:val="24"/>
        </w:rPr>
        <w:t xml:space="preserve">. </w:t>
      </w:r>
      <w:r w:rsidR="00695299" w:rsidRPr="0017503D">
        <w:rPr>
          <w:bCs/>
          <w:sz w:val="24"/>
          <w:szCs w:val="24"/>
        </w:rPr>
        <w:t xml:space="preserve">By the time this application was heard, </w:t>
      </w:r>
      <w:r w:rsidR="0017503D">
        <w:rPr>
          <w:bCs/>
          <w:sz w:val="24"/>
          <w:szCs w:val="24"/>
        </w:rPr>
        <w:t>however</w:t>
      </w:r>
      <w:r w:rsidR="006350CE">
        <w:rPr>
          <w:bCs/>
          <w:sz w:val="24"/>
          <w:szCs w:val="24"/>
        </w:rPr>
        <w:t>:</w:t>
      </w:r>
    </w:p>
    <w:p w14:paraId="1C3292DD" w14:textId="77777777" w:rsidR="006350CE" w:rsidRDefault="006350CE" w:rsidP="006350CE">
      <w:pPr>
        <w:pStyle w:val="Body"/>
        <w:spacing w:line="360" w:lineRule="auto"/>
        <w:ind w:left="851"/>
        <w:jc w:val="both"/>
        <w:rPr>
          <w:bCs/>
          <w:sz w:val="24"/>
          <w:szCs w:val="24"/>
        </w:rPr>
      </w:pPr>
    </w:p>
    <w:p w14:paraId="53BE4056" w14:textId="0F40D2DD" w:rsidR="006350CE" w:rsidRDefault="006350CE" w:rsidP="006350CE">
      <w:pPr>
        <w:pStyle w:val="Body"/>
        <w:spacing w:line="360" w:lineRule="auto"/>
        <w:ind w:left="1701" w:hanging="850"/>
        <w:jc w:val="both"/>
        <w:rPr>
          <w:bCs/>
          <w:sz w:val="24"/>
          <w:szCs w:val="24"/>
        </w:rPr>
      </w:pPr>
      <w:r>
        <w:rPr>
          <w:bCs/>
          <w:sz w:val="24"/>
          <w:szCs w:val="24"/>
        </w:rPr>
        <w:t>[</w:t>
      </w:r>
      <w:r w:rsidR="000176E1">
        <w:rPr>
          <w:bCs/>
          <w:sz w:val="24"/>
          <w:szCs w:val="24"/>
        </w:rPr>
        <w:t>10</w:t>
      </w:r>
      <w:r>
        <w:rPr>
          <w:bCs/>
          <w:sz w:val="24"/>
          <w:szCs w:val="24"/>
        </w:rPr>
        <w:t>.1]</w:t>
      </w:r>
      <w:r>
        <w:rPr>
          <w:bCs/>
          <w:sz w:val="24"/>
          <w:szCs w:val="24"/>
        </w:rPr>
        <w:tab/>
        <w:t>In respect of PART A:</w:t>
      </w:r>
    </w:p>
    <w:p w14:paraId="3CF7EAB4" w14:textId="77777777" w:rsidR="006350CE" w:rsidRDefault="006350CE" w:rsidP="006350CE">
      <w:pPr>
        <w:pStyle w:val="Body"/>
        <w:spacing w:line="360" w:lineRule="auto"/>
        <w:ind w:left="2835" w:hanging="1134"/>
        <w:jc w:val="both"/>
        <w:rPr>
          <w:bCs/>
          <w:sz w:val="24"/>
          <w:szCs w:val="24"/>
        </w:rPr>
      </w:pPr>
    </w:p>
    <w:p w14:paraId="7D7183D4" w14:textId="4DAEC3FE" w:rsidR="006350CE" w:rsidRDefault="006350CE" w:rsidP="006350CE">
      <w:pPr>
        <w:pStyle w:val="Body"/>
        <w:spacing w:line="360" w:lineRule="auto"/>
        <w:ind w:left="2835" w:hanging="1134"/>
        <w:jc w:val="both"/>
        <w:rPr>
          <w:bCs/>
          <w:sz w:val="24"/>
          <w:szCs w:val="24"/>
        </w:rPr>
      </w:pPr>
      <w:r>
        <w:rPr>
          <w:bCs/>
          <w:sz w:val="24"/>
          <w:szCs w:val="24"/>
        </w:rPr>
        <w:t>[</w:t>
      </w:r>
      <w:r w:rsidR="000176E1">
        <w:rPr>
          <w:bCs/>
          <w:sz w:val="24"/>
          <w:szCs w:val="24"/>
        </w:rPr>
        <w:t>10</w:t>
      </w:r>
      <w:r>
        <w:rPr>
          <w:bCs/>
          <w:sz w:val="24"/>
          <w:szCs w:val="24"/>
        </w:rPr>
        <w:t>.1.1]</w:t>
      </w:r>
      <w:r>
        <w:rPr>
          <w:bCs/>
          <w:sz w:val="24"/>
          <w:szCs w:val="24"/>
        </w:rPr>
        <w:tab/>
        <w:t>T</w:t>
      </w:r>
      <w:r w:rsidR="0017503D">
        <w:rPr>
          <w:bCs/>
          <w:sz w:val="24"/>
          <w:szCs w:val="24"/>
        </w:rPr>
        <w:t>he furnishing of items 1, 2, 5 and 6 was no longer opposed and was tendered.</w:t>
      </w:r>
      <w:r w:rsidR="00C31981">
        <w:rPr>
          <w:rStyle w:val="FootnoteReference"/>
          <w:bCs/>
          <w:sz w:val="24"/>
          <w:szCs w:val="24"/>
        </w:rPr>
        <w:footnoteReference w:id="9"/>
      </w:r>
      <w:r>
        <w:rPr>
          <w:bCs/>
          <w:sz w:val="24"/>
          <w:szCs w:val="24"/>
        </w:rPr>
        <w:t xml:space="preserve">  </w:t>
      </w:r>
    </w:p>
    <w:p w14:paraId="28A9FF4D" w14:textId="77777777" w:rsidR="006350CE" w:rsidRDefault="006350CE" w:rsidP="006350CE">
      <w:pPr>
        <w:pStyle w:val="Body"/>
        <w:spacing w:line="360" w:lineRule="auto"/>
        <w:ind w:left="2835" w:hanging="1134"/>
        <w:jc w:val="both"/>
        <w:rPr>
          <w:bCs/>
          <w:sz w:val="24"/>
          <w:szCs w:val="24"/>
        </w:rPr>
      </w:pPr>
    </w:p>
    <w:p w14:paraId="3B7476A9" w14:textId="0828A767" w:rsidR="006350CE" w:rsidRDefault="006350CE" w:rsidP="006350CE">
      <w:pPr>
        <w:pStyle w:val="Body"/>
        <w:spacing w:line="360" w:lineRule="auto"/>
        <w:ind w:left="2835" w:hanging="1134"/>
        <w:jc w:val="both"/>
        <w:rPr>
          <w:bCs/>
          <w:sz w:val="24"/>
          <w:szCs w:val="24"/>
        </w:rPr>
      </w:pPr>
      <w:r>
        <w:rPr>
          <w:bCs/>
          <w:sz w:val="24"/>
          <w:szCs w:val="24"/>
        </w:rPr>
        <w:t>[</w:t>
      </w:r>
      <w:r w:rsidR="000176E1">
        <w:rPr>
          <w:bCs/>
          <w:sz w:val="24"/>
          <w:szCs w:val="24"/>
        </w:rPr>
        <w:t>10</w:t>
      </w:r>
      <w:r>
        <w:rPr>
          <w:bCs/>
          <w:sz w:val="24"/>
          <w:szCs w:val="24"/>
        </w:rPr>
        <w:t>.1.2]</w:t>
      </w:r>
      <w:r>
        <w:rPr>
          <w:bCs/>
          <w:sz w:val="24"/>
          <w:szCs w:val="24"/>
        </w:rPr>
        <w:tab/>
        <w:t xml:space="preserve">In respect of items 3, 4, 7 and 9, SANRAL asserted that it did not have this information in its possession and for this reason it could not be furnished; and </w:t>
      </w:r>
    </w:p>
    <w:p w14:paraId="1E4BB38D" w14:textId="77777777" w:rsidR="00661BD9" w:rsidRDefault="00661BD9" w:rsidP="006350CE">
      <w:pPr>
        <w:pStyle w:val="Body"/>
        <w:spacing w:line="360" w:lineRule="auto"/>
        <w:ind w:left="2835" w:hanging="1134"/>
        <w:jc w:val="both"/>
        <w:rPr>
          <w:bCs/>
          <w:sz w:val="24"/>
          <w:szCs w:val="24"/>
        </w:rPr>
      </w:pPr>
    </w:p>
    <w:p w14:paraId="424C8A0B" w14:textId="4736136E" w:rsidR="006350CE" w:rsidRDefault="006350CE" w:rsidP="006350CE">
      <w:pPr>
        <w:pStyle w:val="Body"/>
        <w:spacing w:line="360" w:lineRule="auto"/>
        <w:ind w:left="2835" w:hanging="1134"/>
        <w:jc w:val="both"/>
        <w:rPr>
          <w:bCs/>
          <w:sz w:val="24"/>
          <w:szCs w:val="24"/>
        </w:rPr>
      </w:pPr>
      <w:r>
        <w:rPr>
          <w:bCs/>
          <w:sz w:val="24"/>
          <w:szCs w:val="24"/>
        </w:rPr>
        <w:t>[</w:t>
      </w:r>
      <w:r w:rsidR="000176E1">
        <w:rPr>
          <w:bCs/>
          <w:sz w:val="24"/>
          <w:szCs w:val="24"/>
        </w:rPr>
        <w:t>10</w:t>
      </w:r>
      <w:r>
        <w:rPr>
          <w:bCs/>
          <w:sz w:val="24"/>
          <w:szCs w:val="24"/>
        </w:rPr>
        <w:t>.1.3]</w:t>
      </w:r>
      <w:r>
        <w:rPr>
          <w:bCs/>
          <w:sz w:val="24"/>
          <w:szCs w:val="24"/>
        </w:rPr>
        <w:tab/>
        <w:t>In respect of item 8, the furnishing of this was opposed.</w:t>
      </w:r>
    </w:p>
    <w:p w14:paraId="12D6AE87" w14:textId="267A6D46" w:rsidR="00416EA1" w:rsidRDefault="00416EA1" w:rsidP="006350CE">
      <w:pPr>
        <w:pStyle w:val="Body"/>
        <w:spacing w:line="360" w:lineRule="auto"/>
        <w:rPr>
          <w:rFonts w:cs="Arial"/>
          <w:b/>
          <w:bCs/>
          <w:sz w:val="24"/>
          <w:szCs w:val="24"/>
        </w:rPr>
      </w:pPr>
    </w:p>
    <w:p w14:paraId="41BEEC99" w14:textId="59A4BD8B" w:rsidR="006350CE" w:rsidRPr="006350CE" w:rsidRDefault="006350CE" w:rsidP="006350CE">
      <w:pPr>
        <w:pStyle w:val="Body"/>
        <w:spacing w:line="360" w:lineRule="auto"/>
        <w:ind w:left="1701" w:hanging="850"/>
        <w:rPr>
          <w:rFonts w:cs="Arial"/>
          <w:sz w:val="24"/>
          <w:szCs w:val="24"/>
        </w:rPr>
      </w:pPr>
      <w:r w:rsidRPr="006350CE">
        <w:rPr>
          <w:rFonts w:cs="Arial"/>
          <w:sz w:val="24"/>
          <w:szCs w:val="24"/>
        </w:rPr>
        <w:t>[</w:t>
      </w:r>
      <w:r w:rsidR="000176E1">
        <w:rPr>
          <w:rFonts w:cs="Arial"/>
          <w:sz w:val="24"/>
          <w:szCs w:val="24"/>
        </w:rPr>
        <w:t>10</w:t>
      </w:r>
      <w:r w:rsidRPr="006350CE">
        <w:rPr>
          <w:rFonts w:cs="Arial"/>
          <w:sz w:val="24"/>
          <w:szCs w:val="24"/>
        </w:rPr>
        <w:t>.2]</w:t>
      </w:r>
      <w:r w:rsidRPr="006350CE">
        <w:rPr>
          <w:rFonts w:cs="Arial"/>
          <w:sz w:val="24"/>
          <w:szCs w:val="24"/>
        </w:rPr>
        <w:tab/>
        <w:t>In respect of PART B:</w:t>
      </w:r>
    </w:p>
    <w:p w14:paraId="4C8948E7" w14:textId="49BEA467" w:rsidR="006350CE" w:rsidRPr="006350CE" w:rsidRDefault="006350CE" w:rsidP="006350CE">
      <w:pPr>
        <w:pStyle w:val="Body"/>
        <w:spacing w:line="360" w:lineRule="auto"/>
        <w:rPr>
          <w:rFonts w:cs="Arial"/>
          <w:sz w:val="24"/>
          <w:szCs w:val="24"/>
        </w:rPr>
      </w:pPr>
    </w:p>
    <w:p w14:paraId="31B5DF22" w14:textId="48BFBF22" w:rsidR="006350CE" w:rsidRDefault="006350CE" w:rsidP="006350CE">
      <w:pPr>
        <w:pStyle w:val="Body"/>
        <w:spacing w:line="360" w:lineRule="auto"/>
        <w:ind w:left="1701"/>
        <w:rPr>
          <w:rFonts w:cs="Arial"/>
          <w:sz w:val="24"/>
          <w:szCs w:val="24"/>
        </w:rPr>
      </w:pPr>
      <w:r w:rsidRPr="006350CE">
        <w:rPr>
          <w:rFonts w:cs="Arial"/>
          <w:sz w:val="24"/>
          <w:szCs w:val="24"/>
        </w:rPr>
        <w:t>[</w:t>
      </w:r>
      <w:r w:rsidR="000176E1">
        <w:rPr>
          <w:rFonts w:cs="Arial"/>
          <w:sz w:val="24"/>
          <w:szCs w:val="24"/>
        </w:rPr>
        <w:t>10</w:t>
      </w:r>
      <w:r w:rsidRPr="006350CE">
        <w:rPr>
          <w:rFonts w:cs="Arial"/>
          <w:sz w:val="24"/>
          <w:szCs w:val="24"/>
        </w:rPr>
        <w:t>.2.1]</w:t>
      </w:r>
      <w:r w:rsidRPr="006350CE">
        <w:rPr>
          <w:rFonts w:cs="Arial"/>
          <w:sz w:val="24"/>
          <w:szCs w:val="24"/>
        </w:rPr>
        <w:tab/>
      </w:r>
      <w:r>
        <w:rPr>
          <w:rFonts w:cs="Arial"/>
          <w:sz w:val="24"/>
          <w:szCs w:val="24"/>
        </w:rPr>
        <w:t>The furnishing of items 1, 2, 3 and 4 was opposed.</w:t>
      </w:r>
    </w:p>
    <w:p w14:paraId="5D93F0C4" w14:textId="29A536BC" w:rsidR="006350CE" w:rsidRDefault="006350CE" w:rsidP="00F655FD">
      <w:pPr>
        <w:pStyle w:val="Body"/>
        <w:spacing w:line="360" w:lineRule="auto"/>
        <w:rPr>
          <w:rFonts w:cs="Arial"/>
          <w:sz w:val="24"/>
          <w:szCs w:val="24"/>
        </w:rPr>
      </w:pPr>
    </w:p>
    <w:p w14:paraId="423182F1" w14:textId="11EE34D9" w:rsidR="00775501" w:rsidRPr="00775501" w:rsidRDefault="00775501" w:rsidP="00F655FD">
      <w:pPr>
        <w:pStyle w:val="Body"/>
        <w:spacing w:line="360" w:lineRule="auto"/>
        <w:rPr>
          <w:rFonts w:cs="Arial"/>
          <w:b/>
          <w:bCs/>
          <w:sz w:val="24"/>
          <w:szCs w:val="24"/>
        </w:rPr>
      </w:pPr>
      <w:r w:rsidRPr="00775501">
        <w:rPr>
          <w:rFonts w:cs="Arial"/>
          <w:b/>
          <w:bCs/>
          <w:sz w:val="24"/>
          <w:szCs w:val="24"/>
        </w:rPr>
        <w:t>BACKGROUND</w:t>
      </w:r>
    </w:p>
    <w:p w14:paraId="4CC3E327" w14:textId="77777777" w:rsidR="00775501" w:rsidRPr="006350CE" w:rsidRDefault="00775501" w:rsidP="00F655FD">
      <w:pPr>
        <w:pStyle w:val="Body"/>
        <w:spacing w:line="360" w:lineRule="auto"/>
        <w:rPr>
          <w:rFonts w:cs="Arial"/>
          <w:sz w:val="24"/>
          <w:szCs w:val="24"/>
        </w:rPr>
      </w:pPr>
    </w:p>
    <w:p w14:paraId="700C942B" w14:textId="5C90F3BB" w:rsidR="00775501" w:rsidRPr="00BC6449" w:rsidRDefault="006A4649" w:rsidP="006A4649">
      <w:pPr>
        <w:pStyle w:val="Body"/>
        <w:spacing w:line="360" w:lineRule="auto"/>
        <w:ind w:left="851" w:hanging="851"/>
        <w:jc w:val="both"/>
        <w:rPr>
          <w:rFonts w:cs="Arial"/>
          <w:b/>
          <w:bCs/>
          <w:sz w:val="24"/>
          <w:szCs w:val="24"/>
        </w:rPr>
      </w:pPr>
      <w:r w:rsidRPr="00BC6449">
        <w:rPr>
          <w:rFonts w:cs="Arial"/>
          <w:sz w:val="24"/>
          <w:szCs w:val="24"/>
        </w:rPr>
        <w:t>[11]</w:t>
      </w:r>
      <w:r w:rsidRPr="00BC6449">
        <w:rPr>
          <w:rFonts w:cs="Arial"/>
          <w:sz w:val="24"/>
          <w:szCs w:val="24"/>
        </w:rPr>
        <w:tab/>
      </w:r>
      <w:r w:rsidR="00BC6449">
        <w:rPr>
          <w:rFonts w:cs="Arial"/>
          <w:sz w:val="24"/>
          <w:szCs w:val="24"/>
        </w:rPr>
        <w:t xml:space="preserve">OUTA asserts that it conducted an investigation into a series of irregularities </w:t>
      </w:r>
      <w:r w:rsidR="00BC6449" w:rsidRPr="00BC6449">
        <w:rPr>
          <w:rFonts w:cs="Arial"/>
          <w:i/>
          <w:iCs/>
          <w:sz w:val="22"/>
          <w:szCs w:val="22"/>
        </w:rPr>
        <w:t>“following a concessionaire agreement entered into between SANRAL and N3TC.”</w:t>
      </w:r>
      <w:r w:rsidR="00BC6449">
        <w:rPr>
          <w:rFonts w:cs="Arial"/>
          <w:i/>
          <w:iCs/>
          <w:sz w:val="22"/>
          <w:szCs w:val="22"/>
        </w:rPr>
        <w:t xml:space="preserve">  </w:t>
      </w:r>
      <w:r w:rsidR="00BC6449">
        <w:rPr>
          <w:rFonts w:cs="Arial"/>
          <w:sz w:val="24"/>
          <w:szCs w:val="24"/>
        </w:rPr>
        <w:t>OUTA sought to give some indication</w:t>
      </w:r>
      <w:r w:rsidR="00036175">
        <w:rPr>
          <w:rFonts w:cs="Arial"/>
          <w:sz w:val="24"/>
          <w:szCs w:val="24"/>
        </w:rPr>
        <w:t xml:space="preserve"> </w:t>
      </w:r>
      <w:r w:rsidR="00986DBF">
        <w:rPr>
          <w:rFonts w:cs="Arial"/>
          <w:sz w:val="24"/>
          <w:szCs w:val="24"/>
        </w:rPr>
        <w:t xml:space="preserve">of </w:t>
      </w:r>
      <w:r w:rsidR="00BC6449">
        <w:rPr>
          <w:rFonts w:cs="Arial"/>
          <w:sz w:val="24"/>
          <w:szCs w:val="24"/>
        </w:rPr>
        <w:t>what this investigation had revealed</w:t>
      </w:r>
      <w:r w:rsidR="00F74042">
        <w:rPr>
          <w:rFonts w:cs="Arial"/>
          <w:sz w:val="24"/>
          <w:szCs w:val="24"/>
        </w:rPr>
        <w:t xml:space="preserve">. </w:t>
      </w:r>
      <w:r w:rsidR="00B97924">
        <w:rPr>
          <w:rFonts w:cs="Arial"/>
          <w:sz w:val="24"/>
          <w:szCs w:val="24"/>
        </w:rPr>
        <w:t>It contended, somewhat illogically, that</w:t>
      </w:r>
      <w:r w:rsidR="00BC6449">
        <w:rPr>
          <w:rFonts w:cs="Arial"/>
          <w:sz w:val="24"/>
          <w:szCs w:val="24"/>
        </w:rPr>
        <w:t>:</w:t>
      </w:r>
    </w:p>
    <w:p w14:paraId="345967E5" w14:textId="77777777" w:rsidR="00BC6449" w:rsidRPr="00BC6449" w:rsidRDefault="00BC6449" w:rsidP="00BC6449">
      <w:pPr>
        <w:pStyle w:val="Body"/>
        <w:spacing w:line="360" w:lineRule="auto"/>
        <w:ind w:left="851"/>
        <w:jc w:val="both"/>
        <w:rPr>
          <w:rFonts w:cs="Arial"/>
          <w:b/>
          <w:bCs/>
          <w:sz w:val="24"/>
          <w:szCs w:val="24"/>
        </w:rPr>
      </w:pPr>
    </w:p>
    <w:p w14:paraId="2CC74A15" w14:textId="2F802990" w:rsidR="00BC6449" w:rsidRDefault="00BC6449" w:rsidP="00BC6449">
      <w:pPr>
        <w:pStyle w:val="Body"/>
        <w:spacing w:line="360" w:lineRule="auto"/>
        <w:ind w:left="1440"/>
        <w:jc w:val="both"/>
        <w:rPr>
          <w:rFonts w:cs="Arial"/>
          <w:i/>
          <w:iCs/>
          <w:sz w:val="22"/>
          <w:szCs w:val="22"/>
        </w:rPr>
      </w:pPr>
      <w:r>
        <w:rPr>
          <w:rFonts w:cs="Arial"/>
          <w:sz w:val="24"/>
          <w:szCs w:val="24"/>
        </w:rPr>
        <w:t>“</w:t>
      </w:r>
      <w:r>
        <w:rPr>
          <w:rFonts w:cs="Arial"/>
          <w:i/>
          <w:iCs/>
          <w:sz w:val="22"/>
          <w:szCs w:val="22"/>
        </w:rPr>
        <w:t>Without elaborating on the merits of the above-mentioned agreement, OUTA has established that the agreement will lapse during the course of May 2029</w:t>
      </w:r>
      <w:r w:rsidR="00F74042">
        <w:rPr>
          <w:rFonts w:cs="Arial"/>
          <w:i/>
          <w:iCs/>
          <w:sz w:val="22"/>
          <w:szCs w:val="22"/>
        </w:rPr>
        <w:t xml:space="preserve">. </w:t>
      </w:r>
      <w:r>
        <w:rPr>
          <w:rFonts w:cs="Arial"/>
          <w:i/>
          <w:iCs/>
          <w:sz w:val="22"/>
          <w:szCs w:val="22"/>
        </w:rPr>
        <w:lastRenderedPageBreak/>
        <w:t>Notwithstanding, SANRAL has continued to implement the agreement, in the absence of justifiable extension to that effect, potentially in contravention of the Public Finance Management Act, 1999 (“PFMA”).</w:t>
      </w:r>
    </w:p>
    <w:p w14:paraId="1D1E216B" w14:textId="77777777" w:rsidR="00BC6449" w:rsidRPr="00775501" w:rsidRDefault="00BC6449" w:rsidP="00BC6449">
      <w:pPr>
        <w:pStyle w:val="Body"/>
        <w:spacing w:line="360" w:lineRule="auto"/>
        <w:jc w:val="both"/>
        <w:rPr>
          <w:rFonts w:cs="Arial"/>
          <w:b/>
          <w:bCs/>
          <w:sz w:val="24"/>
          <w:szCs w:val="24"/>
        </w:rPr>
      </w:pPr>
    </w:p>
    <w:p w14:paraId="72E93FFD" w14:textId="02F06CF7" w:rsidR="00BC6449" w:rsidRPr="00986DBF" w:rsidRDefault="006A4649" w:rsidP="006A4649">
      <w:pPr>
        <w:pStyle w:val="Body"/>
        <w:spacing w:line="360" w:lineRule="auto"/>
        <w:ind w:left="851" w:hanging="851"/>
        <w:jc w:val="both"/>
        <w:rPr>
          <w:rFonts w:cs="Arial"/>
          <w:sz w:val="24"/>
          <w:szCs w:val="24"/>
        </w:rPr>
      </w:pPr>
      <w:r w:rsidRPr="00986DBF">
        <w:rPr>
          <w:rFonts w:cs="Arial"/>
          <w:sz w:val="24"/>
          <w:szCs w:val="24"/>
        </w:rPr>
        <w:t>[12]</w:t>
      </w:r>
      <w:r w:rsidRPr="00986DBF">
        <w:rPr>
          <w:rFonts w:cs="Arial"/>
          <w:sz w:val="24"/>
          <w:szCs w:val="24"/>
        </w:rPr>
        <w:tab/>
      </w:r>
      <w:r w:rsidR="00894128">
        <w:rPr>
          <w:rFonts w:cs="Arial"/>
          <w:sz w:val="24"/>
          <w:szCs w:val="24"/>
        </w:rPr>
        <w:t>T</w:t>
      </w:r>
      <w:r w:rsidR="00B97924">
        <w:rPr>
          <w:rFonts w:cs="Arial"/>
          <w:sz w:val="24"/>
          <w:szCs w:val="24"/>
        </w:rPr>
        <w:t>he agreement has not yet run its course</w:t>
      </w:r>
      <w:r w:rsidR="00894128">
        <w:rPr>
          <w:rFonts w:cs="Arial"/>
          <w:sz w:val="24"/>
          <w:szCs w:val="24"/>
        </w:rPr>
        <w:t xml:space="preserve"> and so self-evidently</w:t>
      </w:r>
      <w:r w:rsidR="00B97924">
        <w:rPr>
          <w:rFonts w:cs="Arial"/>
          <w:sz w:val="24"/>
          <w:szCs w:val="24"/>
        </w:rPr>
        <w:t>, there is no need for any extension for the continued performance of obligations in terms of the agreement</w:t>
      </w:r>
      <w:r w:rsidR="00F74042">
        <w:rPr>
          <w:rFonts w:cs="Arial"/>
          <w:sz w:val="24"/>
          <w:szCs w:val="24"/>
        </w:rPr>
        <w:t xml:space="preserve">. </w:t>
      </w:r>
      <w:r w:rsidR="00BC6449" w:rsidRPr="00986DBF">
        <w:rPr>
          <w:rFonts w:cs="Arial"/>
          <w:sz w:val="24"/>
          <w:szCs w:val="24"/>
        </w:rPr>
        <w:t>OUTA went on to assert that the legality of the agreement entered into between SANRAL and N3TC could only be established upon consulting all relevant annexures and addend</w:t>
      </w:r>
      <w:r w:rsidR="003B577B" w:rsidRPr="00986DBF">
        <w:rPr>
          <w:rFonts w:cs="Arial"/>
          <w:sz w:val="24"/>
          <w:szCs w:val="24"/>
        </w:rPr>
        <w:t>a</w:t>
      </w:r>
      <w:r w:rsidR="00BC6449" w:rsidRPr="00986DBF">
        <w:rPr>
          <w:rFonts w:cs="Arial"/>
          <w:sz w:val="24"/>
          <w:szCs w:val="24"/>
        </w:rPr>
        <w:t xml:space="preserve"> to th</w:t>
      </w:r>
      <w:r w:rsidR="00B97924" w:rsidRPr="00986DBF">
        <w:rPr>
          <w:rFonts w:cs="Arial"/>
          <w:sz w:val="24"/>
          <w:szCs w:val="24"/>
        </w:rPr>
        <w:t>e</w:t>
      </w:r>
      <w:r w:rsidR="00BC6449" w:rsidRPr="00986DBF">
        <w:rPr>
          <w:rFonts w:cs="Arial"/>
          <w:sz w:val="24"/>
          <w:szCs w:val="24"/>
        </w:rPr>
        <w:t xml:space="preserve"> agreement</w:t>
      </w:r>
      <w:r w:rsidR="00F74042" w:rsidRPr="00986DBF">
        <w:rPr>
          <w:rFonts w:cs="Arial"/>
          <w:sz w:val="24"/>
          <w:szCs w:val="24"/>
        </w:rPr>
        <w:t xml:space="preserve">. </w:t>
      </w:r>
    </w:p>
    <w:p w14:paraId="659BBB5A" w14:textId="77777777" w:rsidR="00066505" w:rsidRDefault="00066505" w:rsidP="00066505">
      <w:pPr>
        <w:pStyle w:val="ListParagraph"/>
        <w:rPr>
          <w:rFonts w:cs="Arial"/>
        </w:rPr>
      </w:pPr>
    </w:p>
    <w:p w14:paraId="6F14158F" w14:textId="2D0DBBF5" w:rsidR="00066505" w:rsidRDefault="006A4649" w:rsidP="006A4649">
      <w:pPr>
        <w:pStyle w:val="Body"/>
        <w:spacing w:line="360" w:lineRule="auto"/>
        <w:ind w:left="851" w:hanging="851"/>
        <w:jc w:val="both"/>
        <w:rPr>
          <w:rFonts w:eastAsiaTheme="minorHAnsi" w:cs="Arial"/>
          <w:color w:val="auto"/>
          <w:sz w:val="24"/>
          <w:szCs w:val="24"/>
          <w:bdr w:val="none" w:sz="0" w:space="0" w:color="auto"/>
        </w:rPr>
      </w:pPr>
      <w:r>
        <w:rPr>
          <w:rFonts w:eastAsiaTheme="minorHAnsi" w:cs="Arial"/>
          <w:color w:val="auto"/>
          <w:sz w:val="24"/>
          <w:szCs w:val="24"/>
          <w:bdr w:val="none" w:sz="0" w:space="0" w:color="auto"/>
        </w:rPr>
        <w:t>[13]</w:t>
      </w:r>
      <w:r>
        <w:rPr>
          <w:rFonts w:eastAsiaTheme="minorHAnsi" w:cs="Arial"/>
          <w:color w:val="auto"/>
          <w:sz w:val="24"/>
          <w:szCs w:val="24"/>
          <w:bdr w:val="none" w:sz="0" w:space="0" w:color="auto"/>
        </w:rPr>
        <w:tab/>
      </w:r>
      <w:r w:rsidR="00AE2CBF">
        <w:rPr>
          <w:rFonts w:cs="Arial"/>
          <w:sz w:val="24"/>
          <w:szCs w:val="24"/>
        </w:rPr>
        <w:t xml:space="preserve">It is not necessary </w:t>
      </w:r>
      <w:r w:rsidR="00066505" w:rsidRPr="00066505">
        <w:rPr>
          <w:rFonts w:eastAsiaTheme="minorHAnsi" w:cs="Arial"/>
          <w:color w:val="auto"/>
          <w:sz w:val="24"/>
          <w:szCs w:val="24"/>
          <w:bdr w:val="none" w:sz="0" w:space="0" w:color="auto"/>
        </w:rPr>
        <w:t>for purposes of the request in terms of</w:t>
      </w:r>
      <w:r w:rsidR="00066505">
        <w:rPr>
          <w:rFonts w:eastAsiaTheme="minorHAnsi" w:cs="Arial"/>
          <w:color w:val="auto"/>
          <w:sz w:val="24"/>
          <w:szCs w:val="24"/>
          <w:bdr w:val="none" w:sz="0" w:space="0" w:color="auto"/>
        </w:rPr>
        <w:t xml:space="preserve"> </w:t>
      </w:r>
      <w:r w:rsidR="00066505" w:rsidRPr="00066505">
        <w:rPr>
          <w:rFonts w:eastAsiaTheme="minorHAnsi" w:cs="Arial"/>
          <w:color w:val="auto"/>
          <w:sz w:val="24"/>
          <w:szCs w:val="24"/>
          <w:bdr w:val="none" w:sz="0" w:space="0" w:color="auto"/>
        </w:rPr>
        <w:t>PAIA</w:t>
      </w:r>
      <w:r w:rsidR="00986DBF">
        <w:rPr>
          <w:rFonts w:cs="Arial"/>
          <w:sz w:val="24"/>
          <w:szCs w:val="24"/>
        </w:rPr>
        <w:t>,</w:t>
      </w:r>
      <w:r w:rsidR="00986DBF">
        <w:rPr>
          <w:rStyle w:val="FootnoteReference"/>
          <w:rFonts w:cs="Arial"/>
          <w:sz w:val="24"/>
          <w:szCs w:val="24"/>
        </w:rPr>
        <w:footnoteReference w:id="10"/>
      </w:r>
      <w:r w:rsidR="00066505" w:rsidRPr="00066505">
        <w:rPr>
          <w:rFonts w:eastAsiaTheme="minorHAnsi" w:cs="Arial"/>
          <w:color w:val="auto"/>
          <w:sz w:val="24"/>
          <w:szCs w:val="24"/>
          <w:bdr w:val="none" w:sz="0" w:space="0" w:color="auto"/>
        </w:rPr>
        <w:t xml:space="preserve"> </w:t>
      </w:r>
      <w:r w:rsidR="00AE2CBF">
        <w:rPr>
          <w:rFonts w:eastAsiaTheme="minorHAnsi" w:cs="Arial"/>
          <w:color w:val="auto"/>
          <w:sz w:val="24"/>
          <w:szCs w:val="24"/>
          <w:bdr w:val="none" w:sz="0" w:space="0" w:color="auto"/>
        </w:rPr>
        <w:t xml:space="preserve">to furnish any reason </w:t>
      </w:r>
      <w:r w:rsidR="00066505">
        <w:rPr>
          <w:rFonts w:eastAsiaTheme="minorHAnsi" w:cs="Arial"/>
          <w:color w:val="auto"/>
          <w:sz w:val="24"/>
          <w:szCs w:val="24"/>
          <w:bdr w:val="none" w:sz="0" w:space="0" w:color="auto"/>
        </w:rPr>
        <w:t>for which the information is required</w:t>
      </w:r>
      <w:r w:rsidR="00F74042">
        <w:rPr>
          <w:rFonts w:eastAsiaTheme="minorHAnsi" w:cs="Arial"/>
          <w:color w:val="auto"/>
          <w:sz w:val="24"/>
          <w:szCs w:val="24"/>
          <w:bdr w:val="none" w:sz="0" w:space="0" w:color="auto"/>
        </w:rPr>
        <w:t xml:space="preserve">. </w:t>
      </w:r>
      <w:r w:rsidR="00AE2CBF">
        <w:rPr>
          <w:rFonts w:eastAsiaTheme="minorHAnsi" w:cs="Arial"/>
          <w:color w:val="auto"/>
          <w:sz w:val="24"/>
          <w:szCs w:val="24"/>
          <w:bdr w:val="none" w:sz="0" w:space="0" w:color="auto"/>
        </w:rPr>
        <w:t>However,</w:t>
      </w:r>
      <w:r w:rsidR="00066505">
        <w:rPr>
          <w:rFonts w:eastAsiaTheme="minorHAnsi" w:cs="Arial"/>
          <w:color w:val="auto"/>
          <w:sz w:val="24"/>
          <w:szCs w:val="24"/>
          <w:bdr w:val="none" w:sz="0" w:space="0" w:color="auto"/>
        </w:rPr>
        <w:t xml:space="preserve"> the reference </w:t>
      </w:r>
      <w:r w:rsidR="00AE2CBF">
        <w:rPr>
          <w:rFonts w:eastAsiaTheme="minorHAnsi" w:cs="Arial"/>
          <w:color w:val="auto"/>
          <w:sz w:val="24"/>
          <w:szCs w:val="24"/>
          <w:bdr w:val="none" w:sz="0" w:space="0" w:color="auto"/>
        </w:rPr>
        <w:t xml:space="preserve">by OUTA </w:t>
      </w:r>
      <w:r w:rsidR="00066505">
        <w:rPr>
          <w:rFonts w:eastAsiaTheme="minorHAnsi" w:cs="Arial"/>
          <w:color w:val="auto"/>
          <w:sz w:val="24"/>
          <w:szCs w:val="24"/>
          <w:bdr w:val="none" w:sz="0" w:space="0" w:color="auto"/>
        </w:rPr>
        <w:t xml:space="preserve">to both the investigation as well as to specific clauses in the agreement </w:t>
      </w:r>
      <w:r w:rsidR="00CA2847">
        <w:rPr>
          <w:rFonts w:eastAsiaTheme="minorHAnsi" w:cs="Arial"/>
          <w:color w:val="auto"/>
          <w:sz w:val="24"/>
          <w:szCs w:val="24"/>
          <w:bdr w:val="none" w:sz="0" w:space="0" w:color="auto"/>
        </w:rPr>
        <w:t>(</w:t>
      </w:r>
      <w:r w:rsidR="00066505">
        <w:rPr>
          <w:rFonts w:eastAsiaTheme="minorHAnsi" w:cs="Arial"/>
          <w:color w:val="auto"/>
          <w:sz w:val="24"/>
          <w:szCs w:val="24"/>
          <w:bdr w:val="none" w:sz="0" w:space="0" w:color="auto"/>
        </w:rPr>
        <w:t>in the relief sought in PARTS A and B</w:t>
      </w:r>
      <w:r w:rsidR="00CA2847">
        <w:rPr>
          <w:rFonts w:eastAsiaTheme="minorHAnsi" w:cs="Arial"/>
          <w:color w:val="auto"/>
          <w:sz w:val="24"/>
          <w:szCs w:val="24"/>
          <w:bdr w:val="none" w:sz="0" w:space="0" w:color="auto"/>
        </w:rPr>
        <w:t>)</w:t>
      </w:r>
      <w:r w:rsidR="00066505">
        <w:rPr>
          <w:rFonts w:eastAsiaTheme="minorHAnsi" w:cs="Arial"/>
          <w:color w:val="auto"/>
          <w:sz w:val="24"/>
          <w:szCs w:val="24"/>
          <w:bdr w:val="none" w:sz="0" w:space="0" w:color="auto"/>
        </w:rPr>
        <w:t xml:space="preserve"> make it </w:t>
      </w:r>
      <w:r w:rsidR="00CA2847">
        <w:rPr>
          <w:rFonts w:eastAsiaTheme="minorHAnsi" w:cs="Arial"/>
          <w:color w:val="auto"/>
          <w:sz w:val="24"/>
          <w:szCs w:val="24"/>
          <w:bdr w:val="none" w:sz="0" w:space="0" w:color="auto"/>
        </w:rPr>
        <w:t xml:space="preserve">apparent </w:t>
      </w:r>
      <w:r w:rsidR="00066505">
        <w:rPr>
          <w:rFonts w:eastAsiaTheme="minorHAnsi" w:cs="Arial"/>
          <w:color w:val="auto"/>
          <w:sz w:val="24"/>
          <w:szCs w:val="24"/>
          <w:bdr w:val="none" w:sz="0" w:space="0" w:color="auto"/>
        </w:rPr>
        <w:t xml:space="preserve">that OUTA </w:t>
      </w:r>
      <w:r w:rsidR="002E7EEE">
        <w:rPr>
          <w:rFonts w:eastAsiaTheme="minorHAnsi" w:cs="Arial"/>
          <w:color w:val="auto"/>
          <w:sz w:val="24"/>
          <w:szCs w:val="24"/>
          <w:bdr w:val="none" w:sz="0" w:space="0" w:color="auto"/>
        </w:rPr>
        <w:t xml:space="preserve">at the time it brought the present application </w:t>
      </w:r>
      <w:r w:rsidR="00066505">
        <w:rPr>
          <w:rFonts w:eastAsiaTheme="minorHAnsi" w:cs="Arial"/>
          <w:color w:val="auto"/>
          <w:sz w:val="24"/>
          <w:szCs w:val="24"/>
          <w:bdr w:val="none" w:sz="0" w:space="0" w:color="auto"/>
        </w:rPr>
        <w:t>already ha</w:t>
      </w:r>
      <w:r w:rsidR="002E7EEE">
        <w:rPr>
          <w:rFonts w:eastAsiaTheme="minorHAnsi" w:cs="Arial"/>
          <w:color w:val="auto"/>
          <w:sz w:val="24"/>
          <w:szCs w:val="24"/>
          <w:bdr w:val="none" w:sz="0" w:space="0" w:color="auto"/>
        </w:rPr>
        <w:t>d</w:t>
      </w:r>
      <w:r w:rsidR="00066505">
        <w:rPr>
          <w:rFonts w:eastAsiaTheme="minorHAnsi" w:cs="Arial"/>
          <w:color w:val="auto"/>
          <w:sz w:val="24"/>
          <w:szCs w:val="24"/>
          <w:bdr w:val="none" w:sz="0" w:space="0" w:color="auto"/>
        </w:rPr>
        <w:t xml:space="preserve"> the agreement</w:t>
      </w:r>
      <w:r w:rsidR="002E7EEE">
        <w:rPr>
          <w:rFonts w:eastAsiaTheme="minorHAnsi" w:cs="Arial"/>
          <w:color w:val="auto"/>
          <w:sz w:val="24"/>
          <w:szCs w:val="24"/>
          <w:bdr w:val="none" w:sz="0" w:space="0" w:color="auto"/>
        </w:rPr>
        <w:t>, or at least substantial parts of it,</w:t>
      </w:r>
      <w:r w:rsidR="00066505">
        <w:rPr>
          <w:rFonts w:eastAsiaTheme="minorHAnsi" w:cs="Arial"/>
          <w:color w:val="auto"/>
          <w:sz w:val="24"/>
          <w:szCs w:val="24"/>
          <w:bdr w:val="none" w:sz="0" w:space="0" w:color="auto"/>
        </w:rPr>
        <w:t xml:space="preserve"> in its possession.  N3TC asserted th</w:t>
      </w:r>
      <w:r w:rsidR="001A44B8">
        <w:rPr>
          <w:rFonts w:eastAsiaTheme="minorHAnsi" w:cs="Arial"/>
          <w:color w:val="auto"/>
          <w:sz w:val="24"/>
          <w:szCs w:val="24"/>
          <w:bdr w:val="none" w:sz="0" w:space="0" w:color="auto"/>
        </w:rPr>
        <w:t xml:space="preserve">at this was already publicly available </w:t>
      </w:r>
      <w:r w:rsidR="00066505">
        <w:rPr>
          <w:rFonts w:eastAsiaTheme="minorHAnsi" w:cs="Arial"/>
          <w:color w:val="auto"/>
          <w:sz w:val="24"/>
          <w:szCs w:val="24"/>
          <w:bdr w:val="none" w:sz="0" w:space="0" w:color="auto"/>
        </w:rPr>
        <w:t>and hence the withdrawal of its opposition to the furnishing of certain of the information</w:t>
      </w:r>
      <w:r w:rsidR="001A44B8">
        <w:rPr>
          <w:rFonts w:eastAsiaTheme="minorHAnsi" w:cs="Arial"/>
          <w:color w:val="auto"/>
          <w:sz w:val="24"/>
          <w:szCs w:val="24"/>
          <w:bdr w:val="none" w:sz="0" w:space="0" w:color="auto"/>
        </w:rPr>
        <w:t>.</w:t>
      </w:r>
      <w:r w:rsidR="00066505">
        <w:rPr>
          <w:rFonts w:eastAsiaTheme="minorHAnsi" w:cs="Arial"/>
          <w:color w:val="auto"/>
          <w:sz w:val="24"/>
          <w:szCs w:val="24"/>
          <w:bdr w:val="none" w:sz="0" w:space="0" w:color="auto"/>
        </w:rPr>
        <w:t xml:space="preserve"> </w:t>
      </w:r>
    </w:p>
    <w:p w14:paraId="5BF3694F" w14:textId="77777777" w:rsidR="00337009" w:rsidRDefault="00337009" w:rsidP="00337009">
      <w:pPr>
        <w:pStyle w:val="ListParagraph"/>
        <w:rPr>
          <w:rFonts w:cs="Arial"/>
        </w:rPr>
      </w:pPr>
    </w:p>
    <w:p w14:paraId="1A3AC710" w14:textId="4FFCB738" w:rsidR="00337009" w:rsidRPr="00066505" w:rsidRDefault="006A4649" w:rsidP="006A4649">
      <w:pPr>
        <w:pStyle w:val="Body"/>
        <w:spacing w:line="360" w:lineRule="auto"/>
        <w:ind w:left="851" w:hanging="851"/>
        <w:jc w:val="both"/>
        <w:rPr>
          <w:rFonts w:eastAsiaTheme="minorHAnsi" w:cs="Arial"/>
          <w:color w:val="auto"/>
          <w:sz w:val="24"/>
          <w:szCs w:val="24"/>
          <w:bdr w:val="none" w:sz="0" w:space="0" w:color="auto"/>
        </w:rPr>
      </w:pPr>
      <w:r w:rsidRPr="00066505">
        <w:rPr>
          <w:rFonts w:eastAsiaTheme="minorHAnsi" w:cs="Arial"/>
          <w:color w:val="auto"/>
          <w:sz w:val="24"/>
          <w:szCs w:val="24"/>
          <w:bdr w:val="none" w:sz="0" w:space="0" w:color="auto"/>
        </w:rPr>
        <w:t>[14]</w:t>
      </w:r>
      <w:r w:rsidRPr="00066505">
        <w:rPr>
          <w:rFonts w:eastAsiaTheme="minorHAnsi" w:cs="Arial"/>
          <w:color w:val="auto"/>
          <w:sz w:val="24"/>
          <w:szCs w:val="24"/>
          <w:bdr w:val="none" w:sz="0" w:space="0" w:color="auto"/>
        </w:rPr>
        <w:tab/>
      </w:r>
      <w:r w:rsidR="00337009">
        <w:rPr>
          <w:rFonts w:eastAsiaTheme="minorHAnsi" w:cs="Arial"/>
          <w:color w:val="auto"/>
          <w:sz w:val="24"/>
          <w:szCs w:val="24"/>
          <w:bdr w:val="none" w:sz="0" w:space="0" w:color="auto"/>
        </w:rPr>
        <w:t>It bears mentioning at this stage, that despite the entire application being predicated on item 1 of Part A – the main contract – being made available, OUTA, although it was apparently already publicly available, did not disclose this in its application</w:t>
      </w:r>
      <w:r w:rsidR="00F74042">
        <w:rPr>
          <w:rFonts w:eastAsiaTheme="minorHAnsi" w:cs="Arial"/>
          <w:color w:val="auto"/>
          <w:sz w:val="24"/>
          <w:szCs w:val="24"/>
          <w:bdr w:val="none" w:sz="0" w:space="0" w:color="auto"/>
        </w:rPr>
        <w:t xml:space="preserve">. </w:t>
      </w:r>
      <w:r w:rsidR="00337009">
        <w:rPr>
          <w:rFonts w:eastAsiaTheme="minorHAnsi" w:cs="Arial"/>
          <w:color w:val="auto"/>
          <w:sz w:val="24"/>
          <w:szCs w:val="24"/>
          <w:bdr w:val="none" w:sz="0" w:space="0" w:color="auto"/>
        </w:rPr>
        <w:t>What it did disclose through the request, was its knowledge of specific parts of the main contract</w:t>
      </w:r>
      <w:r w:rsidR="00F74042">
        <w:rPr>
          <w:rFonts w:eastAsiaTheme="minorHAnsi" w:cs="Arial"/>
          <w:color w:val="auto"/>
          <w:sz w:val="24"/>
          <w:szCs w:val="24"/>
          <w:bdr w:val="none" w:sz="0" w:space="0" w:color="auto"/>
        </w:rPr>
        <w:t xml:space="preserve">. </w:t>
      </w:r>
      <w:r w:rsidR="00337009">
        <w:rPr>
          <w:rFonts w:eastAsiaTheme="minorHAnsi" w:cs="Arial"/>
          <w:color w:val="auto"/>
          <w:sz w:val="24"/>
          <w:szCs w:val="24"/>
          <w:bdr w:val="none" w:sz="0" w:space="0" w:color="auto"/>
        </w:rPr>
        <w:t xml:space="preserve">Of the 14 items requested in Parts A and B, </w:t>
      </w:r>
      <w:r w:rsidR="00D5446D">
        <w:rPr>
          <w:rFonts w:eastAsiaTheme="minorHAnsi" w:cs="Arial"/>
          <w:color w:val="auto"/>
          <w:sz w:val="24"/>
          <w:szCs w:val="24"/>
          <w:bdr w:val="none" w:sz="0" w:space="0" w:color="auto"/>
        </w:rPr>
        <w:t>8 of the items are specifically referenced in the main contract</w:t>
      </w:r>
      <w:r w:rsidR="00C82CFB">
        <w:rPr>
          <w:rFonts w:eastAsiaTheme="minorHAnsi" w:cs="Arial"/>
          <w:color w:val="auto"/>
          <w:sz w:val="24"/>
          <w:szCs w:val="24"/>
          <w:bdr w:val="none" w:sz="0" w:space="0" w:color="auto"/>
        </w:rPr>
        <w:t>.</w:t>
      </w:r>
      <w:r w:rsidR="00D5446D">
        <w:rPr>
          <w:rStyle w:val="FootnoteReference"/>
          <w:rFonts w:eastAsiaTheme="minorHAnsi" w:cs="Arial"/>
          <w:color w:val="auto"/>
          <w:sz w:val="24"/>
          <w:szCs w:val="24"/>
          <w:bdr w:val="none" w:sz="0" w:space="0" w:color="auto"/>
        </w:rPr>
        <w:footnoteReference w:id="11"/>
      </w:r>
    </w:p>
    <w:p w14:paraId="708C1046" w14:textId="77777777" w:rsidR="00066505" w:rsidRDefault="00066505" w:rsidP="003B577B">
      <w:pPr>
        <w:pStyle w:val="ListParagraph"/>
        <w:ind w:left="851" w:hanging="851"/>
        <w:rPr>
          <w:rFonts w:cs="Arial"/>
        </w:rPr>
      </w:pPr>
    </w:p>
    <w:p w14:paraId="621EFA45" w14:textId="4ED80320" w:rsidR="006E25F1" w:rsidRDefault="006A4649" w:rsidP="006A4649">
      <w:pPr>
        <w:pStyle w:val="Body"/>
        <w:spacing w:line="360" w:lineRule="auto"/>
        <w:ind w:left="851" w:hanging="851"/>
        <w:jc w:val="both"/>
        <w:rPr>
          <w:rFonts w:cs="Arial"/>
          <w:sz w:val="24"/>
          <w:szCs w:val="24"/>
        </w:rPr>
      </w:pPr>
      <w:r>
        <w:rPr>
          <w:rFonts w:cs="Arial"/>
          <w:sz w:val="24"/>
          <w:szCs w:val="24"/>
        </w:rPr>
        <w:t>[15]</w:t>
      </w:r>
      <w:r>
        <w:rPr>
          <w:rFonts w:cs="Arial"/>
          <w:sz w:val="24"/>
          <w:szCs w:val="24"/>
        </w:rPr>
        <w:tab/>
      </w:r>
      <w:r w:rsidR="006E25F1">
        <w:rPr>
          <w:rFonts w:cs="Arial"/>
          <w:sz w:val="24"/>
          <w:szCs w:val="24"/>
        </w:rPr>
        <w:t>It is access to the information that was not publicly available before OUTA’s request to SANRAL on 30 July 2019, that is the crux of this application</w:t>
      </w:r>
      <w:r w:rsidR="00661BD9">
        <w:rPr>
          <w:rFonts w:cs="Arial"/>
          <w:sz w:val="24"/>
          <w:szCs w:val="24"/>
        </w:rPr>
        <w:t xml:space="preserve"> – item</w:t>
      </w:r>
      <w:r w:rsidR="0009477A">
        <w:rPr>
          <w:rFonts w:cs="Arial"/>
          <w:sz w:val="24"/>
          <w:szCs w:val="24"/>
        </w:rPr>
        <w:t>s 3, 4, 7, 8 and 9</w:t>
      </w:r>
      <w:r w:rsidR="00661BD9">
        <w:rPr>
          <w:rFonts w:cs="Arial"/>
          <w:sz w:val="24"/>
          <w:szCs w:val="24"/>
        </w:rPr>
        <w:t xml:space="preserve"> in Part A and items 1 to 4 in Part B.</w:t>
      </w:r>
    </w:p>
    <w:p w14:paraId="39F0E94E" w14:textId="77777777" w:rsidR="00827402" w:rsidRDefault="00827402" w:rsidP="00827402">
      <w:pPr>
        <w:pStyle w:val="ListParagraph"/>
        <w:rPr>
          <w:rFonts w:cs="Arial"/>
        </w:rPr>
      </w:pPr>
    </w:p>
    <w:p w14:paraId="728A2D18" w14:textId="439F3C45" w:rsidR="00827402" w:rsidRDefault="006A4649" w:rsidP="006A4649">
      <w:pPr>
        <w:pStyle w:val="Body"/>
        <w:spacing w:line="360" w:lineRule="auto"/>
        <w:ind w:left="851" w:hanging="851"/>
        <w:jc w:val="both"/>
        <w:rPr>
          <w:rFonts w:cs="Arial"/>
          <w:sz w:val="24"/>
          <w:szCs w:val="24"/>
        </w:rPr>
      </w:pPr>
      <w:r>
        <w:rPr>
          <w:rFonts w:cs="Arial"/>
          <w:sz w:val="24"/>
          <w:szCs w:val="24"/>
        </w:rPr>
        <w:lastRenderedPageBreak/>
        <w:t>[16]</w:t>
      </w:r>
      <w:r>
        <w:rPr>
          <w:rFonts w:cs="Arial"/>
          <w:sz w:val="24"/>
          <w:szCs w:val="24"/>
        </w:rPr>
        <w:tab/>
      </w:r>
      <w:r w:rsidR="00827402">
        <w:rPr>
          <w:rFonts w:cs="Arial"/>
          <w:sz w:val="24"/>
          <w:szCs w:val="24"/>
        </w:rPr>
        <w:t>It is OUTA’s case that notwithstanding the refusal of access to the information which has not been tendered, that this Court should nevertheless</w:t>
      </w:r>
      <w:r w:rsidR="004A7A56">
        <w:rPr>
          <w:rFonts w:cs="Arial"/>
          <w:sz w:val="24"/>
          <w:szCs w:val="24"/>
        </w:rPr>
        <w:t>,</w:t>
      </w:r>
      <w:r w:rsidR="00827402">
        <w:rPr>
          <w:rFonts w:cs="Arial"/>
          <w:sz w:val="24"/>
          <w:szCs w:val="24"/>
        </w:rPr>
        <w:t xml:space="preserve"> and having regard to the public interest override set out in s 46 of PAIA, order SANRAL to make all the information it has requested, available to it.</w:t>
      </w:r>
    </w:p>
    <w:p w14:paraId="65E5616A" w14:textId="77777777" w:rsidR="00827402" w:rsidRDefault="00827402" w:rsidP="005E3D20">
      <w:pPr>
        <w:pStyle w:val="ListParagraph"/>
        <w:ind w:left="851" w:hanging="851"/>
        <w:rPr>
          <w:rFonts w:ascii="Arial" w:hAnsi="Arial" w:cs="Arial"/>
          <w:b/>
          <w:bCs/>
        </w:rPr>
      </w:pPr>
    </w:p>
    <w:p w14:paraId="5974066D" w14:textId="3D78FF42" w:rsidR="006E25F1" w:rsidRDefault="008E7AC8" w:rsidP="005E3D20">
      <w:pPr>
        <w:pStyle w:val="ListParagraph"/>
        <w:ind w:left="851" w:hanging="851"/>
        <w:rPr>
          <w:rFonts w:ascii="Arial" w:hAnsi="Arial" w:cs="Arial"/>
          <w:b/>
          <w:bCs/>
        </w:rPr>
      </w:pPr>
      <w:r>
        <w:rPr>
          <w:rFonts w:ascii="Arial" w:hAnsi="Arial" w:cs="Arial"/>
          <w:b/>
          <w:bCs/>
        </w:rPr>
        <w:t>CONDONATION</w:t>
      </w:r>
    </w:p>
    <w:p w14:paraId="253AF732" w14:textId="6229F0E9" w:rsidR="008E7AC8" w:rsidRDefault="008E7AC8" w:rsidP="005E3D20">
      <w:pPr>
        <w:pStyle w:val="ListParagraph"/>
        <w:ind w:left="851" w:hanging="851"/>
        <w:rPr>
          <w:rFonts w:ascii="Arial" w:hAnsi="Arial" w:cs="Arial"/>
          <w:b/>
          <w:bCs/>
        </w:rPr>
      </w:pPr>
    </w:p>
    <w:p w14:paraId="7E0BF9E0" w14:textId="77777777" w:rsidR="008E7AC8" w:rsidRPr="008E7AC8" w:rsidRDefault="008E7AC8" w:rsidP="005E3D20">
      <w:pPr>
        <w:pStyle w:val="ListParagraph"/>
        <w:ind w:left="851" w:hanging="851"/>
        <w:rPr>
          <w:rFonts w:ascii="Arial" w:hAnsi="Arial" w:cs="Arial"/>
          <w:b/>
          <w:bCs/>
        </w:rPr>
      </w:pPr>
    </w:p>
    <w:p w14:paraId="2116B59F" w14:textId="3F33DC82" w:rsidR="008E7AC8" w:rsidRPr="0006551C" w:rsidRDefault="006A4649" w:rsidP="006A4649">
      <w:pPr>
        <w:pStyle w:val="Body"/>
        <w:spacing w:line="360" w:lineRule="auto"/>
        <w:ind w:left="851" w:hanging="851"/>
        <w:jc w:val="both"/>
        <w:rPr>
          <w:rFonts w:cs="Arial"/>
          <w:sz w:val="24"/>
          <w:szCs w:val="24"/>
        </w:rPr>
      </w:pPr>
      <w:r w:rsidRPr="0006551C">
        <w:rPr>
          <w:rFonts w:cs="Arial"/>
          <w:sz w:val="24"/>
          <w:szCs w:val="24"/>
        </w:rPr>
        <w:t>[17]</w:t>
      </w:r>
      <w:r w:rsidRPr="0006551C">
        <w:rPr>
          <w:rFonts w:cs="Arial"/>
          <w:sz w:val="24"/>
          <w:szCs w:val="24"/>
        </w:rPr>
        <w:tab/>
      </w:r>
      <w:r w:rsidR="00F655FD" w:rsidRPr="0006551C">
        <w:rPr>
          <w:rFonts w:cs="Arial"/>
          <w:sz w:val="24"/>
          <w:szCs w:val="24"/>
        </w:rPr>
        <w:t xml:space="preserve">There was initially some </w:t>
      </w:r>
      <w:r w:rsidR="000176E1" w:rsidRPr="0006551C">
        <w:rPr>
          <w:rFonts w:cs="Arial"/>
          <w:sz w:val="24"/>
          <w:szCs w:val="24"/>
        </w:rPr>
        <w:t xml:space="preserve">concern about whether or not the present application had been brought timeously. </w:t>
      </w:r>
      <w:r w:rsidR="00F655FD" w:rsidRPr="0006551C">
        <w:rPr>
          <w:rFonts w:cs="Arial"/>
          <w:sz w:val="24"/>
          <w:szCs w:val="24"/>
        </w:rPr>
        <w:t>Th</w:t>
      </w:r>
      <w:r w:rsidR="000176E1" w:rsidRPr="0006551C">
        <w:rPr>
          <w:rFonts w:cs="Arial"/>
          <w:sz w:val="24"/>
          <w:szCs w:val="24"/>
        </w:rPr>
        <w:t xml:space="preserve">e genesis of this </w:t>
      </w:r>
      <w:r w:rsidR="00F655FD" w:rsidRPr="0006551C">
        <w:rPr>
          <w:rFonts w:cs="Arial"/>
          <w:sz w:val="24"/>
          <w:szCs w:val="24"/>
        </w:rPr>
        <w:t>arose out of the apparent failure on the part of SANRAL to update its PAIA manual</w:t>
      </w:r>
      <w:r w:rsidR="00F655FD" w:rsidRPr="0006551C">
        <w:rPr>
          <w:rStyle w:val="FootnoteReference"/>
          <w:rFonts w:cs="Arial"/>
          <w:sz w:val="24"/>
          <w:szCs w:val="24"/>
        </w:rPr>
        <w:footnoteReference w:id="12"/>
      </w:r>
      <w:r w:rsidR="00F655FD" w:rsidRPr="0006551C">
        <w:rPr>
          <w:rFonts w:cs="Arial"/>
          <w:sz w:val="24"/>
          <w:szCs w:val="24"/>
        </w:rPr>
        <w:t xml:space="preserve"> on its website to reflect the correct details of its Information Officer</w:t>
      </w:r>
      <w:r w:rsidR="008E7AC8" w:rsidRPr="0006551C">
        <w:rPr>
          <w:rFonts w:cs="Arial"/>
          <w:sz w:val="24"/>
          <w:szCs w:val="24"/>
        </w:rPr>
        <w:t>.</w:t>
      </w:r>
    </w:p>
    <w:p w14:paraId="31BC8594" w14:textId="77777777" w:rsidR="008E7AC8" w:rsidRPr="0006551C" w:rsidRDefault="008E7AC8" w:rsidP="008E7AC8">
      <w:pPr>
        <w:pStyle w:val="Body"/>
        <w:spacing w:line="360" w:lineRule="auto"/>
        <w:ind w:left="851"/>
        <w:jc w:val="both"/>
        <w:rPr>
          <w:rFonts w:cs="Arial"/>
          <w:sz w:val="24"/>
          <w:szCs w:val="24"/>
        </w:rPr>
      </w:pPr>
    </w:p>
    <w:p w14:paraId="7EBE326D" w14:textId="77F9A4CA" w:rsidR="008E7AC8" w:rsidRPr="0006551C" w:rsidRDefault="006A4649" w:rsidP="006A4649">
      <w:pPr>
        <w:pStyle w:val="Body"/>
        <w:spacing w:line="360" w:lineRule="auto"/>
        <w:ind w:left="851" w:hanging="851"/>
        <w:jc w:val="both"/>
        <w:rPr>
          <w:rFonts w:cs="Arial"/>
          <w:sz w:val="24"/>
          <w:szCs w:val="24"/>
        </w:rPr>
      </w:pPr>
      <w:r w:rsidRPr="0006551C">
        <w:rPr>
          <w:rFonts w:cs="Arial"/>
          <w:sz w:val="24"/>
          <w:szCs w:val="24"/>
        </w:rPr>
        <w:t>[18]</w:t>
      </w:r>
      <w:r w:rsidRPr="0006551C">
        <w:rPr>
          <w:rFonts w:cs="Arial"/>
          <w:sz w:val="24"/>
          <w:szCs w:val="24"/>
        </w:rPr>
        <w:tab/>
      </w:r>
      <w:r w:rsidR="008E7AC8" w:rsidRPr="0006551C">
        <w:rPr>
          <w:rFonts w:cs="Arial"/>
          <w:sz w:val="24"/>
          <w:szCs w:val="24"/>
        </w:rPr>
        <w:t>The dat</w:t>
      </w:r>
      <w:r w:rsidR="00AA175A" w:rsidRPr="0006551C">
        <w:rPr>
          <w:rFonts w:cs="Arial"/>
          <w:sz w:val="24"/>
          <w:szCs w:val="24"/>
        </w:rPr>
        <w:t>e on which the request was made and the failure on the part of SANRAL to communicate a decision within 30 days of the request</w:t>
      </w:r>
      <w:r w:rsidR="004A7A56">
        <w:rPr>
          <w:rFonts w:cs="Arial"/>
          <w:sz w:val="24"/>
          <w:szCs w:val="24"/>
        </w:rPr>
        <w:t>,</w:t>
      </w:r>
      <w:r w:rsidR="00AA175A" w:rsidRPr="0006551C">
        <w:rPr>
          <w:rStyle w:val="FootnoteReference"/>
          <w:rFonts w:cs="Arial"/>
          <w:sz w:val="24"/>
          <w:szCs w:val="24"/>
        </w:rPr>
        <w:footnoteReference w:id="13"/>
      </w:r>
      <w:r w:rsidR="00AA175A" w:rsidRPr="0006551C">
        <w:rPr>
          <w:rFonts w:cs="Arial"/>
          <w:sz w:val="24"/>
          <w:szCs w:val="24"/>
        </w:rPr>
        <w:t xml:space="preserve"> </w:t>
      </w:r>
      <w:r w:rsidR="00CF2821">
        <w:rPr>
          <w:rFonts w:cs="Arial"/>
          <w:sz w:val="24"/>
          <w:szCs w:val="24"/>
        </w:rPr>
        <w:t>obfuscated when it</w:t>
      </w:r>
      <w:r w:rsidR="00AA175A" w:rsidRPr="0006551C">
        <w:rPr>
          <w:rFonts w:cs="Arial"/>
          <w:sz w:val="24"/>
          <w:szCs w:val="24"/>
        </w:rPr>
        <w:t xml:space="preserve"> had actually been received</w:t>
      </w:r>
      <w:r w:rsidR="000E1AC8">
        <w:rPr>
          <w:rFonts w:cs="Arial"/>
          <w:sz w:val="24"/>
          <w:szCs w:val="24"/>
        </w:rPr>
        <w:t>.</w:t>
      </w:r>
      <w:r w:rsidR="00AA175A" w:rsidRPr="0006551C">
        <w:rPr>
          <w:rFonts w:cs="Arial"/>
          <w:sz w:val="24"/>
          <w:szCs w:val="24"/>
        </w:rPr>
        <w:t xml:space="preserve"> </w:t>
      </w:r>
      <w:r w:rsidR="000E1AC8">
        <w:rPr>
          <w:rFonts w:cs="Arial"/>
          <w:sz w:val="24"/>
          <w:szCs w:val="24"/>
        </w:rPr>
        <w:t>This</w:t>
      </w:r>
      <w:r w:rsidR="00AA175A" w:rsidRPr="0006551C">
        <w:rPr>
          <w:rFonts w:cs="Arial"/>
          <w:sz w:val="24"/>
          <w:szCs w:val="24"/>
        </w:rPr>
        <w:t xml:space="preserve"> had a consequential effect</w:t>
      </w:r>
      <w:r w:rsidR="00F74042" w:rsidRPr="0006551C">
        <w:rPr>
          <w:rFonts w:cs="Arial"/>
          <w:sz w:val="24"/>
          <w:szCs w:val="24"/>
        </w:rPr>
        <w:t xml:space="preserve">. </w:t>
      </w:r>
      <w:r w:rsidR="000176E1" w:rsidRPr="0006551C">
        <w:rPr>
          <w:rFonts w:cs="Arial"/>
          <w:sz w:val="24"/>
          <w:szCs w:val="24"/>
        </w:rPr>
        <w:t xml:space="preserve">One consequence was that OUTA embarked upon an internal appeal process in respect of the deemed refusal on the part of SANRAL and another </w:t>
      </w:r>
      <w:r w:rsidR="00914972" w:rsidRPr="0006551C">
        <w:rPr>
          <w:rFonts w:cs="Arial"/>
          <w:sz w:val="24"/>
          <w:szCs w:val="24"/>
        </w:rPr>
        <w:t>was the joinder of the third and fifth respondents, Mr. All</w:t>
      </w:r>
      <w:r w:rsidR="001223D2" w:rsidRPr="0006551C">
        <w:rPr>
          <w:rFonts w:cs="Arial"/>
          <w:sz w:val="24"/>
          <w:szCs w:val="24"/>
        </w:rPr>
        <w:t>i</w:t>
      </w:r>
      <w:r w:rsidR="00914972" w:rsidRPr="0006551C">
        <w:rPr>
          <w:rFonts w:cs="Arial"/>
          <w:sz w:val="24"/>
          <w:szCs w:val="24"/>
        </w:rPr>
        <w:t xml:space="preserve"> and Mr. Macozoma respectively.</w:t>
      </w:r>
    </w:p>
    <w:p w14:paraId="24103187" w14:textId="77777777" w:rsidR="00581180" w:rsidRPr="00596AD7" w:rsidRDefault="00581180" w:rsidP="00581180">
      <w:pPr>
        <w:pStyle w:val="ListParagraph"/>
        <w:rPr>
          <w:rFonts w:cs="Arial"/>
          <w:b/>
          <w:bCs/>
        </w:rPr>
      </w:pPr>
    </w:p>
    <w:p w14:paraId="277A90C2" w14:textId="2A8629AD" w:rsidR="00581180" w:rsidRDefault="006A4649" w:rsidP="006A4649">
      <w:pPr>
        <w:pStyle w:val="Body"/>
        <w:spacing w:line="360" w:lineRule="auto"/>
        <w:ind w:left="851" w:hanging="851"/>
        <w:jc w:val="both"/>
        <w:rPr>
          <w:rFonts w:cs="Arial"/>
          <w:sz w:val="24"/>
          <w:szCs w:val="24"/>
        </w:rPr>
      </w:pPr>
      <w:r>
        <w:rPr>
          <w:rFonts w:cs="Arial"/>
          <w:sz w:val="24"/>
          <w:szCs w:val="24"/>
        </w:rPr>
        <w:t>[19]</w:t>
      </w:r>
      <w:r>
        <w:rPr>
          <w:rFonts w:cs="Arial"/>
          <w:sz w:val="24"/>
          <w:szCs w:val="24"/>
        </w:rPr>
        <w:tab/>
      </w:r>
      <w:r w:rsidR="00581180">
        <w:rPr>
          <w:rFonts w:cs="Arial"/>
          <w:sz w:val="24"/>
          <w:szCs w:val="24"/>
        </w:rPr>
        <w:t>It bears mentioning that the initial request, which was made on 30 July 2019, was forwarded by SANRAL to N3TC which in turn had communicated its agreement to the furnishing of certain documents and objection to the furnishing of others</w:t>
      </w:r>
      <w:r w:rsidR="007B56E1">
        <w:rPr>
          <w:rFonts w:cs="Arial"/>
          <w:sz w:val="24"/>
          <w:szCs w:val="24"/>
        </w:rPr>
        <w:t>.</w:t>
      </w:r>
      <w:r w:rsidR="00581180">
        <w:rPr>
          <w:rFonts w:cs="Arial"/>
          <w:sz w:val="24"/>
          <w:szCs w:val="24"/>
        </w:rPr>
        <w:t xml:space="preserve"> SANRAL for its part failed to respond to the request of OUTA timeously.</w:t>
      </w:r>
      <w:r w:rsidR="00581180" w:rsidRPr="00581180">
        <w:rPr>
          <w:rFonts w:cs="Arial"/>
          <w:sz w:val="24"/>
          <w:szCs w:val="24"/>
        </w:rPr>
        <w:t xml:space="preserve"> </w:t>
      </w:r>
      <w:r w:rsidR="00581180">
        <w:rPr>
          <w:rFonts w:cs="Arial"/>
          <w:sz w:val="24"/>
          <w:szCs w:val="24"/>
        </w:rPr>
        <w:t>SANRAL did not refuse the request in express terms or provide reasons and hence the failure to communicate its decision resulted in it being a deemed refusal</w:t>
      </w:r>
      <w:r w:rsidR="004A7A56">
        <w:rPr>
          <w:rFonts w:cs="Arial"/>
          <w:sz w:val="24"/>
          <w:szCs w:val="24"/>
        </w:rPr>
        <w:t>.</w:t>
      </w:r>
      <w:r w:rsidR="00581180">
        <w:rPr>
          <w:rStyle w:val="FootnoteReference"/>
          <w:rFonts w:cs="Arial"/>
          <w:sz w:val="24"/>
          <w:szCs w:val="24"/>
        </w:rPr>
        <w:footnoteReference w:id="14"/>
      </w:r>
    </w:p>
    <w:p w14:paraId="441008B3" w14:textId="77777777" w:rsidR="00AA175A" w:rsidRPr="00AA175A" w:rsidRDefault="00AA175A" w:rsidP="00AA175A">
      <w:pPr>
        <w:pStyle w:val="Body"/>
        <w:spacing w:line="360" w:lineRule="auto"/>
        <w:jc w:val="both"/>
        <w:rPr>
          <w:rFonts w:cs="Arial"/>
          <w:sz w:val="24"/>
          <w:szCs w:val="24"/>
        </w:rPr>
      </w:pPr>
    </w:p>
    <w:p w14:paraId="65416376" w14:textId="6BE425AC" w:rsidR="008E6813" w:rsidRPr="006E25F1" w:rsidRDefault="006A4649" w:rsidP="006A4649">
      <w:pPr>
        <w:pStyle w:val="Body"/>
        <w:spacing w:line="360" w:lineRule="auto"/>
        <w:ind w:left="851" w:hanging="851"/>
        <w:jc w:val="both"/>
        <w:rPr>
          <w:rFonts w:cs="Arial"/>
          <w:sz w:val="24"/>
          <w:szCs w:val="24"/>
        </w:rPr>
      </w:pPr>
      <w:r w:rsidRPr="006E25F1">
        <w:rPr>
          <w:rFonts w:cs="Arial"/>
          <w:sz w:val="24"/>
          <w:szCs w:val="24"/>
        </w:rPr>
        <w:t>[20]</w:t>
      </w:r>
      <w:r w:rsidRPr="006E25F1">
        <w:rPr>
          <w:rFonts w:cs="Arial"/>
          <w:sz w:val="24"/>
          <w:szCs w:val="24"/>
        </w:rPr>
        <w:tab/>
      </w:r>
      <w:r w:rsidR="00F655FD" w:rsidRPr="006E25F1">
        <w:rPr>
          <w:rFonts w:cs="Arial"/>
          <w:sz w:val="24"/>
          <w:szCs w:val="24"/>
        </w:rPr>
        <w:t>In consequence of this, OUTA sought condonation in respect of its non-compliance with the 180-day period referred to in s 78(2)(c)(i) of PAIA</w:t>
      </w:r>
      <w:r w:rsidR="00136033">
        <w:rPr>
          <w:rFonts w:cs="Arial"/>
          <w:sz w:val="24"/>
          <w:szCs w:val="24"/>
        </w:rPr>
        <w:t>, insofar as there may have been any non-compliance,</w:t>
      </w:r>
      <w:r w:rsidR="00661BD9">
        <w:rPr>
          <w:rFonts w:cs="Arial"/>
          <w:sz w:val="24"/>
          <w:szCs w:val="24"/>
        </w:rPr>
        <w:t xml:space="preserve"> for the bringing of this application</w:t>
      </w:r>
      <w:r w:rsidR="00914972">
        <w:rPr>
          <w:rFonts w:cs="Arial"/>
          <w:sz w:val="24"/>
          <w:szCs w:val="24"/>
        </w:rPr>
        <w:t>.</w:t>
      </w:r>
    </w:p>
    <w:p w14:paraId="1786A72B" w14:textId="77777777" w:rsidR="00F655FD" w:rsidRPr="00F655FD" w:rsidRDefault="00F655FD" w:rsidP="005E3D20">
      <w:pPr>
        <w:pStyle w:val="Body"/>
        <w:spacing w:line="360" w:lineRule="auto"/>
        <w:ind w:left="851" w:hanging="851"/>
        <w:rPr>
          <w:rFonts w:cs="Arial"/>
          <w:b/>
          <w:bCs/>
          <w:sz w:val="24"/>
          <w:szCs w:val="24"/>
        </w:rPr>
      </w:pPr>
    </w:p>
    <w:p w14:paraId="386E82C3" w14:textId="0CD1E8FF" w:rsidR="00F655FD" w:rsidRPr="00106DE2" w:rsidRDefault="006A4649" w:rsidP="006A4649">
      <w:pPr>
        <w:pStyle w:val="Body"/>
        <w:spacing w:line="360" w:lineRule="auto"/>
        <w:ind w:left="851" w:hanging="851"/>
        <w:jc w:val="both"/>
        <w:rPr>
          <w:rFonts w:cs="Arial"/>
          <w:b/>
          <w:bCs/>
          <w:sz w:val="24"/>
          <w:szCs w:val="24"/>
        </w:rPr>
      </w:pPr>
      <w:r w:rsidRPr="00106DE2">
        <w:rPr>
          <w:rFonts w:cs="Arial"/>
          <w:sz w:val="24"/>
          <w:szCs w:val="24"/>
        </w:rPr>
        <w:lastRenderedPageBreak/>
        <w:t>[21]</w:t>
      </w:r>
      <w:r w:rsidRPr="00106DE2">
        <w:rPr>
          <w:rFonts w:cs="Arial"/>
          <w:sz w:val="24"/>
          <w:szCs w:val="24"/>
        </w:rPr>
        <w:tab/>
      </w:r>
      <w:r w:rsidR="002A150C">
        <w:rPr>
          <w:rFonts w:cs="Arial"/>
          <w:sz w:val="24"/>
          <w:szCs w:val="24"/>
        </w:rPr>
        <w:t>The reasons for the bringing of the present application when it was, make plain that there was no tardiness on the part of OUTA in its pursuit of this matter</w:t>
      </w:r>
      <w:r w:rsidR="004F66D5">
        <w:rPr>
          <w:rFonts w:cs="Arial"/>
          <w:sz w:val="24"/>
          <w:szCs w:val="24"/>
        </w:rPr>
        <w:t xml:space="preserve">. </w:t>
      </w:r>
      <w:r w:rsidR="00914972">
        <w:rPr>
          <w:rFonts w:cs="Arial"/>
          <w:sz w:val="24"/>
          <w:szCs w:val="24"/>
        </w:rPr>
        <w:t>However, neither Mr. Alli nor Mr. Macozoma ought to have been joined in these proceedings even though no relief was sought against them</w:t>
      </w:r>
      <w:r w:rsidR="00F74042">
        <w:rPr>
          <w:rFonts w:cs="Arial"/>
          <w:sz w:val="24"/>
          <w:szCs w:val="24"/>
        </w:rPr>
        <w:t xml:space="preserve">. </w:t>
      </w:r>
      <w:r w:rsidR="002A150C">
        <w:rPr>
          <w:rFonts w:cs="Arial"/>
          <w:sz w:val="24"/>
          <w:szCs w:val="24"/>
        </w:rPr>
        <w:t>I am of the view that condonation, insofar as it may be required, should be granted</w:t>
      </w:r>
      <w:r w:rsidR="001223D2">
        <w:rPr>
          <w:rFonts w:cs="Arial"/>
          <w:sz w:val="24"/>
          <w:szCs w:val="24"/>
        </w:rPr>
        <w:t>,</w:t>
      </w:r>
      <w:r w:rsidR="002A150C">
        <w:rPr>
          <w:rStyle w:val="FootnoteReference"/>
          <w:rFonts w:cs="Arial"/>
          <w:sz w:val="24"/>
          <w:szCs w:val="24"/>
        </w:rPr>
        <w:footnoteReference w:id="15"/>
      </w:r>
      <w:r w:rsidR="001223D2">
        <w:rPr>
          <w:rFonts w:cs="Arial"/>
          <w:sz w:val="24"/>
          <w:szCs w:val="24"/>
        </w:rPr>
        <w:t xml:space="preserve"> and also that the references to both Mr. Alli and Mr. Macozoma in these proceedings be struck out.</w:t>
      </w:r>
      <w:r w:rsidR="002A150C">
        <w:rPr>
          <w:rFonts w:cs="Arial"/>
          <w:sz w:val="24"/>
          <w:szCs w:val="24"/>
        </w:rPr>
        <w:t xml:space="preserve"> </w:t>
      </w:r>
    </w:p>
    <w:p w14:paraId="687F364A" w14:textId="77777777" w:rsidR="00106DE2" w:rsidRDefault="00106DE2" w:rsidP="00106DE2">
      <w:pPr>
        <w:pStyle w:val="ListParagraph"/>
        <w:rPr>
          <w:rFonts w:cs="Arial"/>
          <w:b/>
          <w:bCs/>
        </w:rPr>
      </w:pPr>
    </w:p>
    <w:p w14:paraId="471E17AE" w14:textId="7E72952D" w:rsidR="00106DE2" w:rsidRDefault="006A4649" w:rsidP="006A4649">
      <w:pPr>
        <w:pStyle w:val="Body"/>
        <w:spacing w:line="360" w:lineRule="auto"/>
        <w:ind w:left="851" w:hanging="851"/>
        <w:jc w:val="both"/>
        <w:rPr>
          <w:rFonts w:cs="Arial"/>
          <w:sz w:val="24"/>
          <w:szCs w:val="24"/>
        </w:rPr>
      </w:pPr>
      <w:r>
        <w:rPr>
          <w:rFonts w:cs="Arial"/>
          <w:sz w:val="24"/>
          <w:szCs w:val="24"/>
        </w:rPr>
        <w:t>[22]</w:t>
      </w:r>
      <w:r>
        <w:rPr>
          <w:rFonts w:cs="Arial"/>
          <w:sz w:val="24"/>
          <w:szCs w:val="24"/>
        </w:rPr>
        <w:tab/>
      </w:r>
      <w:r w:rsidR="00106DE2" w:rsidRPr="00857559">
        <w:rPr>
          <w:rFonts w:cs="Arial"/>
          <w:sz w:val="24"/>
          <w:szCs w:val="24"/>
        </w:rPr>
        <w:t>The grounds of refusal, although not furnished before the institution of this application, have now been furnished by SANRAL</w:t>
      </w:r>
      <w:r w:rsidR="0006551C">
        <w:rPr>
          <w:rFonts w:cs="Arial"/>
          <w:sz w:val="24"/>
          <w:szCs w:val="24"/>
        </w:rPr>
        <w:t>.</w:t>
      </w:r>
      <w:r w:rsidR="00DF604F">
        <w:rPr>
          <w:rStyle w:val="FootnoteReference"/>
          <w:rFonts w:cs="Arial"/>
          <w:sz w:val="24"/>
          <w:szCs w:val="24"/>
        </w:rPr>
        <w:footnoteReference w:id="16"/>
      </w:r>
      <w:r w:rsidR="00106DE2" w:rsidRPr="00857559">
        <w:rPr>
          <w:rFonts w:cs="Arial"/>
          <w:sz w:val="24"/>
          <w:szCs w:val="24"/>
        </w:rPr>
        <w:t xml:space="preserve">  There are two main grounds – firstly, that information has been requested from SANRAL that is not in its possession and secondly, that information that is in its possession is confidential and that it is entitled to refuse access to that information</w:t>
      </w:r>
      <w:r w:rsidR="00245687">
        <w:rPr>
          <w:rFonts w:cs="Arial"/>
          <w:sz w:val="24"/>
          <w:szCs w:val="24"/>
        </w:rPr>
        <w:t>.  OUTA for its part argues that notwithstanding the confidentiality, disclosure should be ordered in the public interest</w:t>
      </w:r>
      <w:r w:rsidR="00F74042">
        <w:rPr>
          <w:rFonts w:cs="Arial"/>
          <w:sz w:val="24"/>
          <w:szCs w:val="24"/>
        </w:rPr>
        <w:t xml:space="preserve">. </w:t>
      </w:r>
      <w:r w:rsidR="00245687">
        <w:rPr>
          <w:rFonts w:cs="Arial"/>
          <w:sz w:val="24"/>
          <w:szCs w:val="24"/>
        </w:rPr>
        <w:t>I propose dealing with each of these in turn.</w:t>
      </w:r>
    </w:p>
    <w:p w14:paraId="46F28B3A" w14:textId="77777777" w:rsidR="003F2048" w:rsidRDefault="003F2048" w:rsidP="003F2048">
      <w:pPr>
        <w:pStyle w:val="ListParagraph"/>
        <w:rPr>
          <w:rFonts w:cs="Arial"/>
        </w:rPr>
      </w:pPr>
    </w:p>
    <w:p w14:paraId="4C85E016" w14:textId="170D90A4" w:rsidR="003F2048" w:rsidRPr="00857559" w:rsidRDefault="006A4649" w:rsidP="006A4649">
      <w:pPr>
        <w:pStyle w:val="Body"/>
        <w:spacing w:line="360" w:lineRule="auto"/>
        <w:ind w:left="851" w:hanging="851"/>
        <w:jc w:val="both"/>
        <w:rPr>
          <w:rFonts w:cs="Arial"/>
          <w:sz w:val="24"/>
          <w:szCs w:val="24"/>
        </w:rPr>
      </w:pPr>
      <w:r w:rsidRPr="00857559">
        <w:rPr>
          <w:rFonts w:cs="Arial"/>
          <w:sz w:val="24"/>
          <w:szCs w:val="24"/>
        </w:rPr>
        <w:t>[23]</w:t>
      </w:r>
      <w:r w:rsidRPr="00857559">
        <w:rPr>
          <w:rFonts w:cs="Arial"/>
          <w:sz w:val="24"/>
          <w:szCs w:val="24"/>
        </w:rPr>
        <w:tab/>
      </w:r>
      <w:r w:rsidR="003F2048">
        <w:rPr>
          <w:rFonts w:cs="Arial"/>
          <w:sz w:val="24"/>
          <w:szCs w:val="24"/>
        </w:rPr>
        <w:t>It is at this juncture and before dealing with the reasons for the refusal, to deal briefly with what are considered to be “adequate reasons” for the refusal of access to information</w:t>
      </w:r>
      <w:r w:rsidR="00F74042">
        <w:rPr>
          <w:rFonts w:cs="Arial"/>
          <w:sz w:val="24"/>
          <w:szCs w:val="24"/>
        </w:rPr>
        <w:t xml:space="preserve">. </w:t>
      </w:r>
      <w:r w:rsidR="003F2048">
        <w:rPr>
          <w:rFonts w:cs="Arial"/>
          <w:sz w:val="24"/>
          <w:szCs w:val="24"/>
        </w:rPr>
        <w:t>In the present matter, the reasons proferred fall squarely within the provisions of s</w:t>
      </w:r>
      <w:r w:rsidR="0006551C">
        <w:rPr>
          <w:rFonts w:cs="Arial"/>
          <w:sz w:val="24"/>
          <w:szCs w:val="24"/>
        </w:rPr>
        <w:t xml:space="preserve"> </w:t>
      </w:r>
      <w:r w:rsidR="003F2048">
        <w:rPr>
          <w:rFonts w:cs="Arial"/>
          <w:sz w:val="24"/>
          <w:szCs w:val="24"/>
        </w:rPr>
        <w:t>36 alternatively s</w:t>
      </w:r>
      <w:r w:rsidR="0006551C">
        <w:rPr>
          <w:rFonts w:cs="Arial"/>
          <w:sz w:val="24"/>
          <w:szCs w:val="24"/>
        </w:rPr>
        <w:t xml:space="preserve"> </w:t>
      </w:r>
      <w:r w:rsidR="003F2048">
        <w:rPr>
          <w:rFonts w:cs="Arial"/>
          <w:sz w:val="24"/>
          <w:szCs w:val="24"/>
        </w:rPr>
        <w:t>38 of the Act</w:t>
      </w:r>
      <w:r w:rsidR="00F74042">
        <w:rPr>
          <w:rFonts w:cs="Arial"/>
          <w:sz w:val="24"/>
          <w:szCs w:val="24"/>
        </w:rPr>
        <w:t xml:space="preserve">. </w:t>
      </w:r>
      <w:r w:rsidR="003F2048">
        <w:rPr>
          <w:rFonts w:cs="Arial"/>
          <w:sz w:val="24"/>
          <w:szCs w:val="24"/>
        </w:rPr>
        <w:t>In the present matter, the re</w:t>
      </w:r>
      <w:r w:rsidR="00CB0076">
        <w:rPr>
          <w:rFonts w:cs="Arial"/>
          <w:sz w:val="24"/>
          <w:szCs w:val="24"/>
        </w:rPr>
        <w:t>asons for the refusal of the request have been cogently set out.</w:t>
      </w:r>
      <w:r w:rsidR="00CB0076">
        <w:rPr>
          <w:rStyle w:val="FootnoteReference"/>
          <w:rFonts w:cs="Arial"/>
          <w:sz w:val="24"/>
          <w:szCs w:val="24"/>
        </w:rPr>
        <w:footnoteReference w:id="17"/>
      </w:r>
    </w:p>
    <w:p w14:paraId="6A678C0F" w14:textId="3D591B47" w:rsidR="002E5B2F" w:rsidRDefault="002E5B2F" w:rsidP="006E25F1">
      <w:pPr>
        <w:rPr>
          <w:rFonts w:cs="Arial"/>
          <w:b/>
          <w:bCs/>
        </w:rPr>
      </w:pPr>
    </w:p>
    <w:p w14:paraId="38FD994F" w14:textId="77777777" w:rsidR="00245687" w:rsidRDefault="00245687" w:rsidP="006E25F1">
      <w:pPr>
        <w:rPr>
          <w:rFonts w:ascii="Arial" w:hAnsi="Arial" w:cs="Arial"/>
          <w:b/>
          <w:bCs/>
        </w:rPr>
      </w:pPr>
      <w:r>
        <w:rPr>
          <w:rFonts w:ascii="Arial" w:hAnsi="Arial" w:cs="Arial"/>
          <w:b/>
          <w:bCs/>
        </w:rPr>
        <w:t>THE DOCUMENTS THAT SANRAL DOES NOT HAVE</w:t>
      </w:r>
    </w:p>
    <w:p w14:paraId="3A465398" w14:textId="1E7D2C55" w:rsidR="00245687" w:rsidRDefault="00245687" w:rsidP="006E25F1">
      <w:pPr>
        <w:rPr>
          <w:rFonts w:ascii="Arial" w:hAnsi="Arial" w:cs="Arial"/>
          <w:b/>
          <w:bCs/>
        </w:rPr>
      </w:pPr>
    </w:p>
    <w:p w14:paraId="431A72CC" w14:textId="77777777" w:rsidR="00CE6E59" w:rsidRDefault="00CE6E59" w:rsidP="006E25F1">
      <w:pPr>
        <w:rPr>
          <w:rFonts w:ascii="Arial" w:hAnsi="Arial" w:cs="Arial"/>
          <w:b/>
          <w:bCs/>
        </w:rPr>
      </w:pPr>
    </w:p>
    <w:p w14:paraId="7EA338C0" w14:textId="218C1BA7" w:rsidR="00245687" w:rsidRPr="0078101C" w:rsidRDefault="006A4649" w:rsidP="006A4649">
      <w:pPr>
        <w:pStyle w:val="Body"/>
        <w:tabs>
          <w:tab w:val="left" w:pos="851"/>
        </w:tabs>
        <w:spacing w:line="360" w:lineRule="auto"/>
        <w:ind w:left="851" w:hanging="851"/>
        <w:jc w:val="both"/>
        <w:rPr>
          <w:rFonts w:cs="Arial"/>
          <w:sz w:val="24"/>
          <w:szCs w:val="24"/>
        </w:rPr>
      </w:pPr>
      <w:r w:rsidRPr="0078101C">
        <w:rPr>
          <w:rFonts w:cs="Arial"/>
          <w:sz w:val="24"/>
          <w:szCs w:val="24"/>
        </w:rPr>
        <w:t>[24]</w:t>
      </w:r>
      <w:r w:rsidRPr="0078101C">
        <w:rPr>
          <w:rFonts w:cs="Arial"/>
          <w:sz w:val="24"/>
          <w:szCs w:val="24"/>
        </w:rPr>
        <w:tab/>
      </w:r>
      <w:r w:rsidR="0078101C" w:rsidRPr="0078101C">
        <w:rPr>
          <w:rFonts w:cs="Arial"/>
          <w:sz w:val="24"/>
          <w:szCs w:val="24"/>
        </w:rPr>
        <w:t>It was the case</w:t>
      </w:r>
      <w:r w:rsidR="0078101C">
        <w:rPr>
          <w:rFonts w:cs="Arial"/>
          <w:sz w:val="24"/>
          <w:szCs w:val="24"/>
        </w:rPr>
        <w:t xml:space="preserve"> for both SANRAL and N3TC that items 3, 4, 7 and 9 of the information requested in Part A was not in its possession and for that reason, could not be furnished to OUTA.</w:t>
      </w:r>
    </w:p>
    <w:p w14:paraId="56C50A2C" w14:textId="77777777" w:rsidR="00245687" w:rsidRDefault="00245687" w:rsidP="00BE6555">
      <w:pPr>
        <w:pStyle w:val="ListParagraph"/>
        <w:tabs>
          <w:tab w:val="left" w:pos="851"/>
        </w:tabs>
        <w:ind w:left="851" w:hanging="851"/>
        <w:jc w:val="both"/>
        <w:rPr>
          <w:rFonts w:cs="Arial"/>
          <w:b/>
          <w:bCs/>
        </w:rPr>
      </w:pPr>
    </w:p>
    <w:p w14:paraId="0CD01D8C" w14:textId="76727F57" w:rsidR="0078101C" w:rsidRDefault="006A4649" w:rsidP="006A4649">
      <w:pPr>
        <w:pStyle w:val="Body"/>
        <w:tabs>
          <w:tab w:val="left" w:pos="851"/>
        </w:tabs>
        <w:spacing w:line="360" w:lineRule="auto"/>
        <w:ind w:left="851" w:hanging="851"/>
        <w:jc w:val="both"/>
        <w:rPr>
          <w:rFonts w:cs="Arial"/>
          <w:sz w:val="24"/>
          <w:szCs w:val="24"/>
        </w:rPr>
      </w:pPr>
      <w:r>
        <w:rPr>
          <w:rFonts w:cs="Arial"/>
          <w:sz w:val="24"/>
          <w:szCs w:val="24"/>
        </w:rPr>
        <w:t>[25]</w:t>
      </w:r>
      <w:r>
        <w:rPr>
          <w:rFonts w:cs="Arial"/>
          <w:sz w:val="24"/>
          <w:szCs w:val="24"/>
        </w:rPr>
        <w:tab/>
      </w:r>
      <w:r w:rsidR="0078101C">
        <w:rPr>
          <w:rFonts w:cs="Arial"/>
          <w:sz w:val="24"/>
          <w:szCs w:val="24"/>
        </w:rPr>
        <w:t xml:space="preserve">The specific documents are: </w:t>
      </w:r>
    </w:p>
    <w:p w14:paraId="270A41FA" w14:textId="77777777" w:rsidR="0078101C" w:rsidRDefault="0078101C" w:rsidP="00BE6555">
      <w:pPr>
        <w:pStyle w:val="ListParagraph"/>
        <w:jc w:val="both"/>
        <w:rPr>
          <w:rFonts w:cs="Arial"/>
        </w:rPr>
      </w:pPr>
    </w:p>
    <w:p w14:paraId="59BE009F" w14:textId="7C98A2A2" w:rsidR="00245687" w:rsidRDefault="0078101C" w:rsidP="00BE6555">
      <w:pPr>
        <w:pStyle w:val="Body"/>
        <w:tabs>
          <w:tab w:val="left" w:pos="851"/>
        </w:tabs>
        <w:spacing w:line="360" w:lineRule="auto"/>
        <w:ind w:left="1701" w:hanging="850"/>
        <w:jc w:val="both"/>
        <w:rPr>
          <w:rFonts w:cs="Arial"/>
          <w:sz w:val="24"/>
          <w:szCs w:val="24"/>
        </w:rPr>
      </w:pPr>
      <w:r>
        <w:rPr>
          <w:rFonts w:cs="Arial"/>
          <w:sz w:val="24"/>
          <w:szCs w:val="24"/>
        </w:rPr>
        <w:lastRenderedPageBreak/>
        <w:t>[2</w:t>
      </w:r>
      <w:r w:rsidR="00676C37">
        <w:rPr>
          <w:rFonts w:cs="Arial"/>
          <w:sz w:val="24"/>
          <w:szCs w:val="24"/>
        </w:rPr>
        <w:t>5</w:t>
      </w:r>
      <w:r>
        <w:rPr>
          <w:rFonts w:cs="Arial"/>
          <w:sz w:val="24"/>
          <w:szCs w:val="24"/>
        </w:rPr>
        <w:t>.1]</w:t>
      </w:r>
      <w:r>
        <w:rPr>
          <w:rFonts w:cs="Arial"/>
          <w:sz w:val="24"/>
          <w:szCs w:val="24"/>
        </w:rPr>
        <w:tab/>
        <w:t>Item 3</w:t>
      </w:r>
      <w:r w:rsidR="0006551C">
        <w:rPr>
          <w:rFonts w:cs="Arial"/>
          <w:sz w:val="24"/>
          <w:szCs w:val="24"/>
        </w:rPr>
        <w:t xml:space="preserve"> -</w:t>
      </w:r>
      <w:r w:rsidRPr="001F60F2">
        <w:rPr>
          <w:rFonts w:cs="Arial"/>
          <w:i/>
          <w:iCs/>
          <w:sz w:val="24"/>
          <w:szCs w:val="24"/>
        </w:rPr>
        <w:t xml:space="preserve"> “amendments and addenda (if any) to the main contract”</w:t>
      </w:r>
      <w:r w:rsidR="00F74042" w:rsidRPr="001F60F2">
        <w:rPr>
          <w:rFonts w:cs="Arial"/>
          <w:i/>
          <w:iCs/>
          <w:sz w:val="24"/>
          <w:szCs w:val="24"/>
        </w:rPr>
        <w:t xml:space="preserve">. </w:t>
      </w:r>
      <w:r>
        <w:rPr>
          <w:rFonts w:cs="Arial"/>
          <w:sz w:val="24"/>
          <w:szCs w:val="24"/>
        </w:rPr>
        <w:t>The possibility that the document/s requested does not exist was recognised by OUTA in its request</w:t>
      </w:r>
      <w:r w:rsidR="00BE6555">
        <w:rPr>
          <w:rFonts w:cs="Arial"/>
          <w:sz w:val="24"/>
          <w:szCs w:val="24"/>
        </w:rPr>
        <w:t>.</w:t>
      </w:r>
      <w:r>
        <w:rPr>
          <w:rFonts w:cs="Arial"/>
          <w:sz w:val="24"/>
          <w:szCs w:val="24"/>
        </w:rPr>
        <w:t xml:space="preserve"> </w:t>
      </w:r>
    </w:p>
    <w:p w14:paraId="3C5E7DB4" w14:textId="1009447A" w:rsidR="00BE6555" w:rsidRDefault="00BE6555" w:rsidP="00BE6555">
      <w:pPr>
        <w:pStyle w:val="Body"/>
        <w:tabs>
          <w:tab w:val="left" w:pos="851"/>
        </w:tabs>
        <w:spacing w:line="360" w:lineRule="auto"/>
        <w:ind w:left="1701" w:hanging="850"/>
        <w:jc w:val="both"/>
        <w:rPr>
          <w:rFonts w:cs="Arial"/>
          <w:sz w:val="24"/>
          <w:szCs w:val="24"/>
        </w:rPr>
      </w:pPr>
    </w:p>
    <w:p w14:paraId="4E94A6E1" w14:textId="06A418E4" w:rsidR="00BE6555" w:rsidRDefault="00BE6555" w:rsidP="00BE6555">
      <w:pPr>
        <w:pStyle w:val="Body"/>
        <w:tabs>
          <w:tab w:val="left" w:pos="851"/>
        </w:tabs>
        <w:spacing w:line="360" w:lineRule="auto"/>
        <w:ind w:left="1701" w:hanging="850"/>
        <w:jc w:val="both"/>
        <w:rPr>
          <w:rFonts w:cs="Arial"/>
          <w:sz w:val="24"/>
          <w:szCs w:val="24"/>
        </w:rPr>
      </w:pPr>
      <w:r>
        <w:rPr>
          <w:rFonts w:cs="Arial"/>
          <w:sz w:val="24"/>
          <w:szCs w:val="24"/>
        </w:rPr>
        <w:t>[2</w:t>
      </w:r>
      <w:r w:rsidR="00676C37">
        <w:rPr>
          <w:rFonts w:cs="Arial"/>
          <w:sz w:val="24"/>
          <w:szCs w:val="24"/>
        </w:rPr>
        <w:t>5</w:t>
      </w:r>
      <w:r>
        <w:rPr>
          <w:rFonts w:cs="Arial"/>
          <w:sz w:val="24"/>
          <w:szCs w:val="24"/>
        </w:rPr>
        <w:t>.2]</w:t>
      </w:r>
      <w:r>
        <w:rPr>
          <w:rFonts w:cs="Arial"/>
          <w:sz w:val="24"/>
          <w:szCs w:val="24"/>
        </w:rPr>
        <w:tab/>
        <w:t xml:space="preserve">Item 4 </w:t>
      </w:r>
      <w:r w:rsidR="0006551C">
        <w:rPr>
          <w:rFonts w:cs="Arial"/>
          <w:sz w:val="24"/>
          <w:szCs w:val="24"/>
        </w:rPr>
        <w:t>-</w:t>
      </w:r>
      <w:r>
        <w:rPr>
          <w:rFonts w:cs="Arial"/>
          <w:sz w:val="24"/>
          <w:szCs w:val="24"/>
        </w:rPr>
        <w:t xml:space="preserve"> contracts entered into between N3TC and third parties</w:t>
      </w:r>
      <w:r w:rsidR="00F74042">
        <w:rPr>
          <w:rFonts w:cs="Arial"/>
          <w:sz w:val="24"/>
          <w:szCs w:val="24"/>
        </w:rPr>
        <w:t xml:space="preserve">. </w:t>
      </w:r>
    </w:p>
    <w:p w14:paraId="629B27E7" w14:textId="7556B509" w:rsidR="00BE6555" w:rsidRDefault="00BE6555" w:rsidP="00BE6555">
      <w:pPr>
        <w:pStyle w:val="Body"/>
        <w:tabs>
          <w:tab w:val="left" w:pos="851"/>
        </w:tabs>
        <w:spacing w:line="360" w:lineRule="auto"/>
        <w:ind w:left="1701" w:hanging="850"/>
        <w:jc w:val="both"/>
        <w:rPr>
          <w:rFonts w:cs="Arial"/>
          <w:sz w:val="24"/>
          <w:szCs w:val="24"/>
        </w:rPr>
      </w:pPr>
    </w:p>
    <w:p w14:paraId="1A6C1E98" w14:textId="03C3BAE6" w:rsidR="00BE6555" w:rsidRDefault="00BE6555" w:rsidP="00BE6555">
      <w:pPr>
        <w:pStyle w:val="Body"/>
        <w:tabs>
          <w:tab w:val="left" w:pos="851"/>
        </w:tabs>
        <w:spacing w:line="360" w:lineRule="auto"/>
        <w:ind w:left="1701" w:hanging="850"/>
        <w:jc w:val="both"/>
        <w:rPr>
          <w:rFonts w:cs="Arial"/>
          <w:sz w:val="24"/>
          <w:szCs w:val="24"/>
        </w:rPr>
      </w:pPr>
      <w:r>
        <w:rPr>
          <w:rFonts w:cs="Arial"/>
          <w:sz w:val="24"/>
          <w:szCs w:val="24"/>
        </w:rPr>
        <w:t>[2</w:t>
      </w:r>
      <w:r w:rsidR="00676C37">
        <w:rPr>
          <w:rFonts w:cs="Arial"/>
          <w:sz w:val="24"/>
          <w:szCs w:val="24"/>
        </w:rPr>
        <w:t>5</w:t>
      </w:r>
      <w:r>
        <w:rPr>
          <w:rFonts w:cs="Arial"/>
          <w:sz w:val="24"/>
          <w:szCs w:val="24"/>
        </w:rPr>
        <w:t>.3]</w:t>
      </w:r>
      <w:r>
        <w:rPr>
          <w:rFonts w:cs="Arial"/>
          <w:sz w:val="24"/>
          <w:szCs w:val="24"/>
        </w:rPr>
        <w:tab/>
        <w:t xml:space="preserve">Item 7 </w:t>
      </w:r>
      <w:r w:rsidR="00EA1D75">
        <w:rPr>
          <w:rFonts w:cs="Arial"/>
          <w:sz w:val="24"/>
          <w:szCs w:val="24"/>
        </w:rPr>
        <w:t>- independent</w:t>
      </w:r>
      <w:r>
        <w:rPr>
          <w:rFonts w:cs="Arial"/>
          <w:sz w:val="24"/>
          <w:szCs w:val="24"/>
        </w:rPr>
        <w:t xml:space="preserve"> engineers reports submitted to SANRAL in respect of the N3TC concession contract.</w:t>
      </w:r>
    </w:p>
    <w:p w14:paraId="6FBF2CDE" w14:textId="24F99170" w:rsidR="00BE6555" w:rsidRDefault="00BE6555" w:rsidP="00BE6555">
      <w:pPr>
        <w:pStyle w:val="Body"/>
        <w:tabs>
          <w:tab w:val="left" w:pos="851"/>
        </w:tabs>
        <w:spacing w:line="360" w:lineRule="auto"/>
        <w:ind w:left="1701" w:hanging="850"/>
        <w:jc w:val="both"/>
        <w:rPr>
          <w:rFonts w:cs="Arial"/>
          <w:sz w:val="24"/>
          <w:szCs w:val="24"/>
        </w:rPr>
      </w:pPr>
    </w:p>
    <w:p w14:paraId="154D4663" w14:textId="68345320" w:rsidR="00BE6555" w:rsidRDefault="00BE6555" w:rsidP="00BE6555">
      <w:pPr>
        <w:pStyle w:val="Body"/>
        <w:tabs>
          <w:tab w:val="left" w:pos="851"/>
        </w:tabs>
        <w:spacing w:line="360" w:lineRule="auto"/>
        <w:ind w:left="1701" w:hanging="850"/>
        <w:jc w:val="both"/>
        <w:rPr>
          <w:rFonts w:cs="Arial"/>
          <w:sz w:val="24"/>
          <w:szCs w:val="24"/>
        </w:rPr>
      </w:pPr>
      <w:r>
        <w:rPr>
          <w:rFonts w:cs="Arial"/>
          <w:sz w:val="24"/>
          <w:szCs w:val="24"/>
        </w:rPr>
        <w:t>[2</w:t>
      </w:r>
      <w:r w:rsidR="00676C37">
        <w:rPr>
          <w:rFonts w:cs="Arial"/>
          <w:sz w:val="24"/>
          <w:szCs w:val="24"/>
        </w:rPr>
        <w:t>5</w:t>
      </w:r>
      <w:r>
        <w:rPr>
          <w:rFonts w:cs="Arial"/>
          <w:sz w:val="24"/>
          <w:szCs w:val="24"/>
        </w:rPr>
        <w:t>.4]</w:t>
      </w:r>
      <w:r>
        <w:rPr>
          <w:rFonts w:cs="Arial"/>
          <w:sz w:val="24"/>
          <w:szCs w:val="24"/>
        </w:rPr>
        <w:tab/>
        <w:t>Item 9</w:t>
      </w:r>
      <w:r w:rsidR="0006551C">
        <w:rPr>
          <w:rFonts w:cs="Arial"/>
          <w:sz w:val="24"/>
          <w:szCs w:val="24"/>
        </w:rPr>
        <w:t xml:space="preserve"> - </w:t>
      </w:r>
      <w:r>
        <w:rPr>
          <w:rFonts w:cs="Arial"/>
          <w:sz w:val="24"/>
          <w:szCs w:val="24"/>
        </w:rPr>
        <w:t>a copy of all “performance certificates” which were issued relating to the construction works undertaken by N3TC.</w:t>
      </w:r>
    </w:p>
    <w:p w14:paraId="4AA23B87" w14:textId="77777777" w:rsidR="0078101C" w:rsidRDefault="0078101C" w:rsidP="0078101C">
      <w:pPr>
        <w:pStyle w:val="ListParagraph"/>
        <w:rPr>
          <w:rFonts w:cs="Arial"/>
        </w:rPr>
      </w:pPr>
    </w:p>
    <w:p w14:paraId="75AF73D0" w14:textId="05DFD171" w:rsidR="006531F2" w:rsidRDefault="006A4649" w:rsidP="006A4649">
      <w:pPr>
        <w:pStyle w:val="Body"/>
        <w:tabs>
          <w:tab w:val="left" w:pos="851"/>
        </w:tabs>
        <w:spacing w:line="360" w:lineRule="auto"/>
        <w:ind w:left="851" w:hanging="851"/>
        <w:jc w:val="both"/>
        <w:rPr>
          <w:rFonts w:cs="Arial"/>
          <w:sz w:val="24"/>
          <w:szCs w:val="24"/>
        </w:rPr>
      </w:pPr>
      <w:r>
        <w:rPr>
          <w:rFonts w:cs="Arial"/>
          <w:sz w:val="24"/>
          <w:szCs w:val="24"/>
        </w:rPr>
        <w:t>[26]</w:t>
      </w:r>
      <w:r>
        <w:rPr>
          <w:rFonts w:cs="Arial"/>
          <w:sz w:val="24"/>
          <w:szCs w:val="24"/>
        </w:rPr>
        <w:tab/>
      </w:r>
      <w:r w:rsidR="00BE6555">
        <w:rPr>
          <w:rFonts w:cs="Arial"/>
          <w:sz w:val="24"/>
          <w:szCs w:val="24"/>
        </w:rPr>
        <w:t>On consideration of the items reflected in paragraphs [2</w:t>
      </w:r>
      <w:r w:rsidR="00676C37">
        <w:rPr>
          <w:rFonts w:cs="Arial"/>
          <w:sz w:val="24"/>
          <w:szCs w:val="24"/>
        </w:rPr>
        <w:t>5</w:t>
      </w:r>
      <w:r w:rsidR="00BE6555">
        <w:rPr>
          <w:rFonts w:cs="Arial"/>
          <w:sz w:val="24"/>
          <w:szCs w:val="24"/>
        </w:rPr>
        <w:t>.1]</w:t>
      </w:r>
      <w:r w:rsidR="000E5E25">
        <w:rPr>
          <w:rFonts w:cs="Arial"/>
          <w:sz w:val="24"/>
          <w:szCs w:val="24"/>
        </w:rPr>
        <w:t>, [2</w:t>
      </w:r>
      <w:r w:rsidR="00676C37">
        <w:rPr>
          <w:rFonts w:cs="Arial"/>
          <w:sz w:val="24"/>
          <w:szCs w:val="24"/>
        </w:rPr>
        <w:t>5</w:t>
      </w:r>
      <w:r w:rsidR="000E5E25">
        <w:rPr>
          <w:rFonts w:cs="Arial"/>
          <w:sz w:val="24"/>
          <w:szCs w:val="24"/>
        </w:rPr>
        <w:t>.3] and</w:t>
      </w:r>
      <w:r w:rsidR="00BE6555">
        <w:rPr>
          <w:rFonts w:cs="Arial"/>
          <w:sz w:val="24"/>
          <w:szCs w:val="24"/>
        </w:rPr>
        <w:t xml:space="preserve"> [2</w:t>
      </w:r>
      <w:r w:rsidR="00676C37">
        <w:rPr>
          <w:rFonts w:cs="Arial"/>
          <w:sz w:val="24"/>
          <w:szCs w:val="24"/>
        </w:rPr>
        <w:t>5</w:t>
      </w:r>
      <w:r w:rsidR="00BE6555">
        <w:rPr>
          <w:rFonts w:cs="Arial"/>
          <w:sz w:val="24"/>
          <w:szCs w:val="24"/>
        </w:rPr>
        <w:t>.4] above, it is readily apparent that if, insofar as any of those documents were to exist</w:t>
      </w:r>
      <w:r w:rsidR="006531F2">
        <w:rPr>
          <w:rFonts w:cs="Arial"/>
          <w:sz w:val="24"/>
          <w:szCs w:val="24"/>
        </w:rPr>
        <w:t xml:space="preserve"> and have been submitted to SANRAL, this would have fallen squarely within the knowledge of both SANRAL and N3TC</w:t>
      </w:r>
      <w:r w:rsidR="00F74042">
        <w:rPr>
          <w:rFonts w:cs="Arial"/>
          <w:sz w:val="24"/>
          <w:szCs w:val="24"/>
        </w:rPr>
        <w:t xml:space="preserve">. </w:t>
      </w:r>
    </w:p>
    <w:p w14:paraId="44C45500" w14:textId="77777777" w:rsidR="006531F2" w:rsidRDefault="006531F2" w:rsidP="00EE45BF">
      <w:pPr>
        <w:pStyle w:val="Body"/>
        <w:tabs>
          <w:tab w:val="left" w:pos="851"/>
        </w:tabs>
        <w:spacing w:line="360" w:lineRule="auto"/>
        <w:ind w:left="851"/>
        <w:jc w:val="both"/>
        <w:rPr>
          <w:rFonts w:cs="Arial"/>
          <w:sz w:val="24"/>
          <w:szCs w:val="24"/>
        </w:rPr>
      </w:pPr>
    </w:p>
    <w:p w14:paraId="22F6A1AB" w14:textId="6197568A" w:rsidR="009263C3" w:rsidRDefault="006A4649" w:rsidP="006A4649">
      <w:pPr>
        <w:pStyle w:val="Body"/>
        <w:tabs>
          <w:tab w:val="left" w:pos="851"/>
        </w:tabs>
        <w:spacing w:line="360" w:lineRule="auto"/>
        <w:ind w:left="851" w:hanging="851"/>
        <w:jc w:val="both"/>
        <w:rPr>
          <w:rFonts w:cs="Arial"/>
          <w:sz w:val="24"/>
          <w:szCs w:val="24"/>
        </w:rPr>
      </w:pPr>
      <w:r>
        <w:rPr>
          <w:rFonts w:cs="Arial"/>
          <w:sz w:val="24"/>
          <w:szCs w:val="24"/>
        </w:rPr>
        <w:t>[27]</w:t>
      </w:r>
      <w:r>
        <w:rPr>
          <w:rFonts w:cs="Arial"/>
          <w:sz w:val="24"/>
          <w:szCs w:val="24"/>
        </w:rPr>
        <w:tab/>
      </w:r>
      <w:r w:rsidR="006531F2">
        <w:rPr>
          <w:rFonts w:cs="Arial"/>
          <w:sz w:val="24"/>
          <w:szCs w:val="24"/>
        </w:rPr>
        <w:t>Since both SANRAL and N3TC deny that SANRAL is in possession of these specific items of information, there is no obligation upon SANRAL to furnish to OUTA that which it does not have</w:t>
      </w:r>
      <w:r w:rsidR="00F74042">
        <w:rPr>
          <w:rFonts w:cs="Arial"/>
          <w:sz w:val="24"/>
          <w:szCs w:val="24"/>
        </w:rPr>
        <w:t xml:space="preserve">. </w:t>
      </w:r>
      <w:r w:rsidR="0094414A">
        <w:rPr>
          <w:rFonts w:cs="Arial"/>
          <w:sz w:val="24"/>
          <w:szCs w:val="24"/>
        </w:rPr>
        <w:t>It was argued for OUTA that the contention that the specific documents were not in the possession of SANRAL should not be accepted</w:t>
      </w:r>
      <w:r w:rsidR="00F74042">
        <w:rPr>
          <w:rFonts w:cs="Arial"/>
          <w:sz w:val="24"/>
          <w:szCs w:val="24"/>
        </w:rPr>
        <w:t xml:space="preserve">. </w:t>
      </w:r>
    </w:p>
    <w:p w14:paraId="6AA4DC95" w14:textId="77777777" w:rsidR="009263C3" w:rsidRDefault="009263C3" w:rsidP="009263C3">
      <w:pPr>
        <w:pStyle w:val="ListParagraph"/>
        <w:rPr>
          <w:rFonts w:cs="Arial"/>
        </w:rPr>
      </w:pPr>
    </w:p>
    <w:p w14:paraId="624D4D7A" w14:textId="2F6F72E4" w:rsidR="0078101C" w:rsidRDefault="006A4649" w:rsidP="006A4649">
      <w:pPr>
        <w:pStyle w:val="Body"/>
        <w:tabs>
          <w:tab w:val="left" w:pos="851"/>
        </w:tabs>
        <w:spacing w:line="360" w:lineRule="auto"/>
        <w:ind w:left="851" w:hanging="851"/>
        <w:jc w:val="both"/>
        <w:rPr>
          <w:rFonts w:cs="Arial"/>
          <w:sz w:val="24"/>
          <w:szCs w:val="24"/>
        </w:rPr>
      </w:pPr>
      <w:r>
        <w:rPr>
          <w:rFonts w:cs="Arial"/>
          <w:sz w:val="24"/>
          <w:szCs w:val="24"/>
        </w:rPr>
        <w:t>[28]</w:t>
      </w:r>
      <w:r>
        <w:rPr>
          <w:rFonts w:cs="Arial"/>
          <w:sz w:val="24"/>
          <w:szCs w:val="24"/>
        </w:rPr>
        <w:tab/>
      </w:r>
      <w:r w:rsidR="009263C3">
        <w:rPr>
          <w:rFonts w:cs="Arial"/>
          <w:sz w:val="24"/>
          <w:szCs w:val="24"/>
        </w:rPr>
        <w:t>While it may not suit the case for OUTA that SANRAL either no longer has documents it once had in its possession or has never been furnished with documents by N3TC, these are operational issues falling within the exclusive purview of both SANRAL and N3TC</w:t>
      </w:r>
      <w:r w:rsidR="00F74042">
        <w:rPr>
          <w:rFonts w:cs="Arial"/>
          <w:sz w:val="24"/>
          <w:szCs w:val="24"/>
        </w:rPr>
        <w:t xml:space="preserve">. </w:t>
      </w:r>
      <w:r w:rsidR="009263C3">
        <w:rPr>
          <w:rFonts w:cs="Arial"/>
          <w:sz w:val="24"/>
          <w:szCs w:val="24"/>
        </w:rPr>
        <w:t>This Court is in no position, absent a case being made out for it, to not accept this.</w:t>
      </w:r>
      <w:r w:rsidR="009F6A13">
        <w:rPr>
          <w:rStyle w:val="FootnoteReference"/>
          <w:rFonts w:cs="Arial"/>
          <w:sz w:val="24"/>
          <w:szCs w:val="24"/>
        </w:rPr>
        <w:footnoteReference w:id="18"/>
      </w:r>
    </w:p>
    <w:p w14:paraId="1FE4A9F1" w14:textId="77777777" w:rsidR="006531F2" w:rsidRDefault="006531F2" w:rsidP="00EE45BF">
      <w:pPr>
        <w:pStyle w:val="ListParagraph"/>
        <w:jc w:val="both"/>
        <w:rPr>
          <w:rFonts w:cs="Arial"/>
        </w:rPr>
      </w:pPr>
    </w:p>
    <w:p w14:paraId="61AEBB4C" w14:textId="1A043B9B" w:rsidR="003A4F7A" w:rsidRPr="003A4F7A" w:rsidRDefault="006A4649" w:rsidP="006A4649">
      <w:pPr>
        <w:pStyle w:val="Body"/>
        <w:tabs>
          <w:tab w:val="left" w:pos="851"/>
        </w:tabs>
        <w:spacing w:line="360" w:lineRule="auto"/>
        <w:ind w:left="851" w:hanging="851"/>
        <w:jc w:val="both"/>
        <w:rPr>
          <w:rFonts w:cs="Arial"/>
          <w:b/>
          <w:bCs/>
          <w:sz w:val="24"/>
          <w:szCs w:val="24"/>
        </w:rPr>
      </w:pPr>
      <w:r w:rsidRPr="003A4F7A">
        <w:rPr>
          <w:rFonts w:cs="Arial"/>
          <w:sz w:val="24"/>
          <w:szCs w:val="24"/>
        </w:rPr>
        <w:t>[29]</w:t>
      </w:r>
      <w:r w:rsidRPr="003A4F7A">
        <w:rPr>
          <w:rFonts w:cs="Arial"/>
          <w:sz w:val="24"/>
          <w:szCs w:val="24"/>
        </w:rPr>
        <w:tab/>
      </w:r>
      <w:r w:rsidR="003A4F7A">
        <w:rPr>
          <w:rFonts w:cs="Arial"/>
          <w:sz w:val="24"/>
          <w:szCs w:val="24"/>
        </w:rPr>
        <w:t>Insofar as the documents referred to in paragraph [2</w:t>
      </w:r>
      <w:r w:rsidR="00790BAD">
        <w:rPr>
          <w:rFonts w:cs="Arial"/>
          <w:sz w:val="24"/>
          <w:szCs w:val="24"/>
        </w:rPr>
        <w:t>5</w:t>
      </w:r>
      <w:r w:rsidR="003A4F7A">
        <w:rPr>
          <w:rFonts w:cs="Arial"/>
          <w:sz w:val="24"/>
          <w:szCs w:val="24"/>
        </w:rPr>
        <w:t>.2] above are concerned, it is the case for SANRAL and N3TC that SANRAL does not have these documents in its possession</w:t>
      </w:r>
      <w:r w:rsidR="00F74042">
        <w:rPr>
          <w:rFonts w:cs="Arial"/>
          <w:sz w:val="24"/>
          <w:szCs w:val="24"/>
        </w:rPr>
        <w:t xml:space="preserve">. </w:t>
      </w:r>
      <w:r w:rsidR="003A4F7A">
        <w:rPr>
          <w:rFonts w:cs="Arial"/>
          <w:sz w:val="24"/>
          <w:szCs w:val="24"/>
        </w:rPr>
        <w:t xml:space="preserve">In any event, those contracts are private contracts entered into </w:t>
      </w:r>
      <w:r w:rsidR="003A4F7A">
        <w:rPr>
          <w:rFonts w:cs="Arial"/>
          <w:sz w:val="24"/>
          <w:szCs w:val="24"/>
        </w:rPr>
        <w:lastRenderedPageBreak/>
        <w:t>between N3TC and other parties</w:t>
      </w:r>
      <w:r w:rsidR="00F74042">
        <w:rPr>
          <w:rFonts w:cs="Arial"/>
          <w:sz w:val="24"/>
          <w:szCs w:val="24"/>
        </w:rPr>
        <w:t xml:space="preserve">. </w:t>
      </w:r>
      <w:r w:rsidR="003A4F7A">
        <w:rPr>
          <w:rFonts w:cs="Arial"/>
          <w:sz w:val="24"/>
          <w:szCs w:val="24"/>
        </w:rPr>
        <w:t>SANRAL is not a party to those private contracts.</w:t>
      </w:r>
    </w:p>
    <w:p w14:paraId="07543B83" w14:textId="77777777" w:rsidR="003A4F7A" w:rsidRDefault="003A4F7A" w:rsidP="003A4F7A">
      <w:pPr>
        <w:pStyle w:val="ListParagraph"/>
        <w:rPr>
          <w:rFonts w:cs="Arial"/>
        </w:rPr>
      </w:pPr>
    </w:p>
    <w:p w14:paraId="381F3297" w14:textId="35B91FC3" w:rsidR="006531F2" w:rsidRPr="006531F2" w:rsidRDefault="006A4649" w:rsidP="006A4649">
      <w:pPr>
        <w:pStyle w:val="Body"/>
        <w:tabs>
          <w:tab w:val="left" w:pos="851"/>
        </w:tabs>
        <w:spacing w:line="360" w:lineRule="auto"/>
        <w:ind w:left="851" w:hanging="851"/>
        <w:jc w:val="both"/>
        <w:rPr>
          <w:rFonts w:cs="Arial"/>
          <w:b/>
          <w:bCs/>
          <w:sz w:val="24"/>
          <w:szCs w:val="24"/>
        </w:rPr>
      </w:pPr>
      <w:r w:rsidRPr="006531F2">
        <w:rPr>
          <w:rFonts w:cs="Arial"/>
          <w:sz w:val="24"/>
          <w:szCs w:val="24"/>
        </w:rPr>
        <w:t>[30]</w:t>
      </w:r>
      <w:r w:rsidRPr="006531F2">
        <w:rPr>
          <w:rFonts w:cs="Arial"/>
          <w:sz w:val="24"/>
          <w:szCs w:val="24"/>
        </w:rPr>
        <w:tab/>
      </w:r>
      <w:r w:rsidR="006531F2" w:rsidRPr="00C841A1">
        <w:rPr>
          <w:rFonts w:cs="Arial"/>
          <w:sz w:val="24"/>
          <w:szCs w:val="24"/>
        </w:rPr>
        <w:t>PAIA does not require that the party from whom information is requested must embark upon a process to obtain information or documents that are not already in their possession.</w:t>
      </w:r>
      <w:r w:rsidR="00F00D28">
        <w:rPr>
          <w:rStyle w:val="FootnoteReference"/>
          <w:rFonts w:cs="Arial"/>
          <w:b/>
          <w:bCs/>
          <w:sz w:val="24"/>
          <w:szCs w:val="24"/>
        </w:rPr>
        <w:footnoteReference w:id="19"/>
      </w:r>
      <w:r w:rsidR="00F00D28">
        <w:rPr>
          <w:rFonts w:cs="Arial"/>
          <w:b/>
          <w:bCs/>
          <w:sz w:val="24"/>
          <w:szCs w:val="24"/>
        </w:rPr>
        <w:t xml:space="preserve"> </w:t>
      </w:r>
    </w:p>
    <w:p w14:paraId="1E40EC12" w14:textId="77777777" w:rsidR="00BE6555" w:rsidRPr="0078101C" w:rsidRDefault="00BE6555" w:rsidP="00827402">
      <w:pPr>
        <w:pStyle w:val="Body"/>
        <w:tabs>
          <w:tab w:val="left" w:pos="851"/>
        </w:tabs>
        <w:spacing w:line="360" w:lineRule="auto"/>
        <w:rPr>
          <w:rFonts w:cs="Arial"/>
          <w:sz w:val="24"/>
          <w:szCs w:val="24"/>
        </w:rPr>
      </w:pPr>
    </w:p>
    <w:p w14:paraId="1E78545A" w14:textId="297F4C5D" w:rsidR="006E25F1" w:rsidRDefault="006E25F1" w:rsidP="00337009">
      <w:pPr>
        <w:jc w:val="both"/>
        <w:rPr>
          <w:rFonts w:ascii="Arial" w:hAnsi="Arial" w:cs="Arial"/>
          <w:b/>
          <w:bCs/>
        </w:rPr>
      </w:pPr>
      <w:r>
        <w:rPr>
          <w:rFonts w:ascii="Arial" w:hAnsi="Arial" w:cs="Arial"/>
          <w:b/>
          <w:bCs/>
        </w:rPr>
        <w:t xml:space="preserve">REFUSAL BY SANRAL IN TERMS OF </w:t>
      </w:r>
      <w:r w:rsidR="00245687">
        <w:rPr>
          <w:rFonts w:ascii="Arial" w:hAnsi="Arial" w:cs="Arial"/>
          <w:b/>
          <w:bCs/>
        </w:rPr>
        <w:t xml:space="preserve">THE ACT </w:t>
      </w:r>
    </w:p>
    <w:p w14:paraId="42C1337E" w14:textId="77777777" w:rsidR="00106DE2" w:rsidRDefault="00106DE2" w:rsidP="00337009">
      <w:pPr>
        <w:jc w:val="both"/>
        <w:rPr>
          <w:rFonts w:ascii="Arial" w:hAnsi="Arial" w:cs="Arial"/>
          <w:b/>
          <w:bCs/>
        </w:rPr>
      </w:pPr>
    </w:p>
    <w:p w14:paraId="2A857A43" w14:textId="77777777" w:rsidR="006E25F1" w:rsidRPr="006E25F1" w:rsidRDefault="006E25F1" w:rsidP="00337009">
      <w:pPr>
        <w:jc w:val="both"/>
        <w:rPr>
          <w:rFonts w:ascii="Arial" w:hAnsi="Arial" w:cs="Arial"/>
          <w:b/>
          <w:bCs/>
        </w:rPr>
      </w:pPr>
    </w:p>
    <w:p w14:paraId="49695ED2" w14:textId="637FB7C0" w:rsidR="002E5B2F" w:rsidRDefault="006A4649" w:rsidP="006A4649">
      <w:pPr>
        <w:pStyle w:val="Body"/>
        <w:tabs>
          <w:tab w:val="left" w:pos="851"/>
        </w:tabs>
        <w:spacing w:line="360" w:lineRule="auto"/>
        <w:ind w:left="851" w:hanging="851"/>
        <w:jc w:val="both"/>
        <w:rPr>
          <w:rFonts w:cs="Arial"/>
          <w:sz w:val="24"/>
          <w:szCs w:val="24"/>
        </w:rPr>
      </w:pPr>
      <w:r>
        <w:rPr>
          <w:rFonts w:cs="Arial"/>
          <w:sz w:val="24"/>
          <w:szCs w:val="24"/>
        </w:rPr>
        <w:t>[31]</w:t>
      </w:r>
      <w:r>
        <w:rPr>
          <w:rFonts w:cs="Arial"/>
          <w:sz w:val="24"/>
          <w:szCs w:val="24"/>
        </w:rPr>
        <w:tab/>
      </w:r>
      <w:r w:rsidR="00EE45BF" w:rsidRPr="00EE45BF">
        <w:rPr>
          <w:rFonts w:cs="Arial"/>
          <w:sz w:val="24"/>
          <w:szCs w:val="24"/>
        </w:rPr>
        <w:t>SANRAL</w:t>
      </w:r>
      <w:r w:rsidR="00EE45BF">
        <w:rPr>
          <w:rFonts w:cs="Arial"/>
          <w:sz w:val="24"/>
          <w:szCs w:val="24"/>
        </w:rPr>
        <w:t xml:space="preserve"> refused to furnish item 8 of Part A – </w:t>
      </w:r>
      <w:r w:rsidR="00EE45BF" w:rsidRPr="00EE45BF">
        <w:rPr>
          <w:rFonts w:cs="Arial"/>
          <w:i/>
          <w:iCs/>
          <w:sz w:val="22"/>
          <w:szCs w:val="22"/>
        </w:rPr>
        <w:t>“a copy of all Construction Work contracts entered into by the concessionaire relating to the N3TC Concession Contract, as set out in clause 8.5.2”</w:t>
      </w:r>
      <w:r w:rsidR="002E5B2F" w:rsidRPr="00EE45BF">
        <w:rPr>
          <w:rFonts w:cs="Arial"/>
          <w:sz w:val="24"/>
          <w:szCs w:val="24"/>
        </w:rPr>
        <w:t>.</w:t>
      </w:r>
    </w:p>
    <w:p w14:paraId="03B1DA2A" w14:textId="77777777" w:rsidR="00EE45BF" w:rsidRDefault="00EE45BF" w:rsidP="00337009">
      <w:pPr>
        <w:pStyle w:val="Body"/>
        <w:tabs>
          <w:tab w:val="left" w:pos="851"/>
        </w:tabs>
        <w:spacing w:line="360" w:lineRule="auto"/>
        <w:ind w:left="851"/>
        <w:jc w:val="both"/>
        <w:rPr>
          <w:rFonts w:cs="Arial"/>
          <w:sz w:val="24"/>
          <w:szCs w:val="24"/>
        </w:rPr>
      </w:pPr>
    </w:p>
    <w:p w14:paraId="1FDECADD" w14:textId="07730B28" w:rsidR="00EE45BF" w:rsidRDefault="006A4649" w:rsidP="006A4649">
      <w:pPr>
        <w:pStyle w:val="Body"/>
        <w:tabs>
          <w:tab w:val="left" w:pos="851"/>
        </w:tabs>
        <w:spacing w:line="360" w:lineRule="auto"/>
        <w:ind w:left="851" w:hanging="851"/>
        <w:jc w:val="both"/>
        <w:rPr>
          <w:rFonts w:cs="Arial"/>
          <w:sz w:val="24"/>
          <w:szCs w:val="24"/>
        </w:rPr>
      </w:pPr>
      <w:r>
        <w:rPr>
          <w:rFonts w:cs="Arial"/>
          <w:sz w:val="24"/>
          <w:szCs w:val="24"/>
        </w:rPr>
        <w:t>[32]</w:t>
      </w:r>
      <w:r>
        <w:rPr>
          <w:rFonts w:cs="Arial"/>
          <w:sz w:val="24"/>
          <w:szCs w:val="24"/>
        </w:rPr>
        <w:tab/>
      </w:r>
      <w:r w:rsidR="00774AB9">
        <w:rPr>
          <w:rFonts w:cs="Arial"/>
          <w:sz w:val="24"/>
          <w:szCs w:val="24"/>
        </w:rPr>
        <w:t xml:space="preserve">It similarly also refused to furnish any of the items referred to in Part </w:t>
      </w:r>
      <w:r w:rsidR="00F74042">
        <w:rPr>
          <w:rFonts w:cs="Arial"/>
          <w:sz w:val="24"/>
          <w:szCs w:val="24"/>
        </w:rPr>
        <w:t xml:space="preserve">B. </w:t>
      </w:r>
      <w:r w:rsidR="00337009">
        <w:rPr>
          <w:rFonts w:cs="Arial"/>
          <w:sz w:val="24"/>
          <w:szCs w:val="24"/>
        </w:rPr>
        <w:t>All the items in Part B relate to the financial records of N3TC and OUTA relies upon specific clauses in the concession agreement for its contention that SANRAL is in fact in possession of this information</w:t>
      </w:r>
      <w:r w:rsidR="00F74042">
        <w:rPr>
          <w:rFonts w:cs="Arial"/>
          <w:sz w:val="24"/>
          <w:szCs w:val="24"/>
        </w:rPr>
        <w:t xml:space="preserve">. </w:t>
      </w:r>
    </w:p>
    <w:p w14:paraId="4F6D6917" w14:textId="77777777" w:rsidR="00337009" w:rsidRPr="006C196B" w:rsidRDefault="00337009" w:rsidP="00337009">
      <w:pPr>
        <w:pStyle w:val="ListParagraph"/>
        <w:jc w:val="both"/>
        <w:rPr>
          <w:rFonts w:cs="Arial"/>
        </w:rPr>
      </w:pPr>
    </w:p>
    <w:p w14:paraId="3595D086" w14:textId="701F9A65" w:rsidR="00337009" w:rsidRPr="006C196B" w:rsidRDefault="006A4649" w:rsidP="006A4649">
      <w:pPr>
        <w:pStyle w:val="Body"/>
        <w:tabs>
          <w:tab w:val="left" w:pos="851"/>
        </w:tabs>
        <w:spacing w:line="360" w:lineRule="auto"/>
        <w:ind w:left="851" w:hanging="851"/>
        <w:jc w:val="both"/>
        <w:rPr>
          <w:rFonts w:cs="Arial"/>
          <w:sz w:val="24"/>
          <w:szCs w:val="24"/>
        </w:rPr>
      </w:pPr>
      <w:r w:rsidRPr="006C196B">
        <w:rPr>
          <w:rFonts w:cs="Arial"/>
          <w:sz w:val="24"/>
          <w:szCs w:val="24"/>
        </w:rPr>
        <w:t>[33]</w:t>
      </w:r>
      <w:r w:rsidRPr="006C196B">
        <w:rPr>
          <w:rFonts w:cs="Arial"/>
          <w:sz w:val="24"/>
          <w:szCs w:val="24"/>
        </w:rPr>
        <w:tab/>
      </w:r>
      <w:r w:rsidR="0019345E" w:rsidRPr="006C196B">
        <w:rPr>
          <w:rFonts w:cs="Arial"/>
          <w:sz w:val="24"/>
          <w:szCs w:val="24"/>
        </w:rPr>
        <w:t>The refusal by SANRAL to furnish OUTA with the disputed documents is predicated on the fact that it either does not have the documents in question in its possession alternatively that it is obligated to refuse access in consequence of the objection in doing so by N3TC.</w:t>
      </w:r>
    </w:p>
    <w:p w14:paraId="2D72BA7B" w14:textId="77777777" w:rsidR="00412577" w:rsidRDefault="00412577" w:rsidP="00AA175A">
      <w:pPr>
        <w:pStyle w:val="ListParagraph"/>
        <w:tabs>
          <w:tab w:val="left" w:pos="851"/>
        </w:tabs>
        <w:ind w:left="851" w:hanging="851"/>
        <w:rPr>
          <w:rFonts w:ascii="Arial" w:hAnsi="Arial" w:cs="Arial"/>
          <w:b/>
          <w:bCs/>
        </w:rPr>
      </w:pPr>
    </w:p>
    <w:p w14:paraId="392FCEAB" w14:textId="77777777" w:rsidR="004D5403" w:rsidRDefault="004D5403" w:rsidP="00AA175A">
      <w:pPr>
        <w:pStyle w:val="ListParagraph"/>
        <w:tabs>
          <w:tab w:val="left" w:pos="851"/>
        </w:tabs>
        <w:ind w:left="851" w:hanging="851"/>
        <w:rPr>
          <w:rFonts w:ascii="Arial" w:hAnsi="Arial" w:cs="Arial"/>
          <w:b/>
          <w:bCs/>
        </w:rPr>
      </w:pPr>
    </w:p>
    <w:p w14:paraId="132EA421" w14:textId="52EFA239" w:rsidR="002E5B2F" w:rsidRDefault="00245687" w:rsidP="00AA175A">
      <w:pPr>
        <w:pStyle w:val="ListParagraph"/>
        <w:tabs>
          <w:tab w:val="left" w:pos="851"/>
        </w:tabs>
        <w:ind w:left="851" w:hanging="851"/>
        <w:rPr>
          <w:rFonts w:ascii="Arial" w:hAnsi="Arial" w:cs="Arial"/>
          <w:b/>
          <w:bCs/>
        </w:rPr>
      </w:pPr>
      <w:r>
        <w:rPr>
          <w:rFonts w:ascii="Arial" w:hAnsi="Arial" w:cs="Arial"/>
          <w:b/>
          <w:bCs/>
        </w:rPr>
        <w:t>SECTION</w:t>
      </w:r>
      <w:r w:rsidR="006C196B">
        <w:rPr>
          <w:rFonts w:ascii="Arial" w:hAnsi="Arial" w:cs="Arial"/>
          <w:b/>
          <w:bCs/>
        </w:rPr>
        <w:t>S</w:t>
      </w:r>
      <w:r>
        <w:rPr>
          <w:rFonts w:ascii="Arial" w:hAnsi="Arial" w:cs="Arial"/>
          <w:b/>
          <w:bCs/>
        </w:rPr>
        <w:t xml:space="preserve"> 36(1)(b) and (c) of PAIA</w:t>
      </w:r>
    </w:p>
    <w:p w14:paraId="3D0FC338" w14:textId="7A1836C8" w:rsidR="00245687" w:rsidRDefault="00245687" w:rsidP="00AA175A">
      <w:pPr>
        <w:pStyle w:val="ListParagraph"/>
        <w:tabs>
          <w:tab w:val="left" w:pos="851"/>
        </w:tabs>
        <w:ind w:left="851" w:hanging="851"/>
        <w:rPr>
          <w:rFonts w:cs="Arial"/>
          <w:b/>
          <w:bCs/>
        </w:rPr>
      </w:pPr>
    </w:p>
    <w:p w14:paraId="0DFA8D7F" w14:textId="77777777" w:rsidR="004D5403" w:rsidRDefault="004D5403" w:rsidP="00AA175A">
      <w:pPr>
        <w:pStyle w:val="ListParagraph"/>
        <w:tabs>
          <w:tab w:val="left" w:pos="851"/>
        </w:tabs>
        <w:ind w:left="851" w:hanging="851"/>
        <w:rPr>
          <w:rFonts w:cs="Arial"/>
          <w:b/>
          <w:bCs/>
        </w:rPr>
      </w:pPr>
    </w:p>
    <w:p w14:paraId="3257CDC6" w14:textId="536BF840" w:rsidR="00412577" w:rsidRDefault="006A4649" w:rsidP="006A4649">
      <w:pPr>
        <w:pStyle w:val="Body"/>
        <w:tabs>
          <w:tab w:val="left" w:pos="851"/>
        </w:tabs>
        <w:spacing w:line="360" w:lineRule="auto"/>
        <w:ind w:left="851" w:hanging="851"/>
        <w:rPr>
          <w:rFonts w:cs="Arial"/>
          <w:sz w:val="24"/>
          <w:szCs w:val="24"/>
        </w:rPr>
      </w:pPr>
      <w:r>
        <w:rPr>
          <w:rFonts w:cs="Arial"/>
          <w:sz w:val="24"/>
          <w:szCs w:val="24"/>
        </w:rPr>
        <w:t>[34]</w:t>
      </w:r>
      <w:r>
        <w:rPr>
          <w:rFonts w:cs="Arial"/>
          <w:sz w:val="24"/>
          <w:szCs w:val="24"/>
        </w:rPr>
        <w:tab/>
      </w:r>
      <w:r w:rsidR="00412577" w:rsidRPr="00412577">
        <w:rPr>
          <w:rFonts w:cs="Arial"/>
          <w:sz w:val="24"/>
          <w:szCs w:val="24"/>
        </w:rPr>
        <w:t>Section 36(1)</w:t>
      </w:r>
      <w:r w:rsidR="00412577">
        <w:rPr>
          <w:rFonts w:cs="Arial"/>
          <w:sz w:val="24"/>
          <w:szCs w:val="24"/>
        </w:rPr>
        <w:t xml:space="preserve"> provides that access to a record must be refused if it contains:</w:t>
      </w:r>
    </w:p>
    <w:p w14:paraId="402DDC07" w14:textId="77777777" w:rsidR="00412577" w:rsidRDefault="00412577" w:rsidP="00412577">
      <w:pPr>
        <w:pStyle w:val="Body"/>
        <w:tabs>
          <w:tab w:val="left" w:pos="851"/>
        </w:tabs>
        <w:spacing w:line="360" w:lineRule="auto"/>
        <w:ind w:left="851"/>
        <w:rPr>
          <w:rFonts w:cs="Arial"/>
          <w:sz w:val="24"/>
          <w:szCs w:val="24"/>
        </w:rPr>
      </w:pPr>
    </w:p>
    <w:p w14:paraId="3737BE18" w14:textId="3A5ED4C8" w:rsidR="00412577" w:rsidRPr="00412577" w:rsidRDefault="00412577" w:rsidP="00412577">
      <w:pPr>
        <w:pStyle w:val="Body"/>
        <w:tabs>
          <w:tab w:val="left" w:pos="851"/>
        </w:tabs>
        <w:spacing w:line="360" w:lineRule="auto"/>
        <w:ind w:left="2268" w:hanging="850"/>
        <w:jc w:val="both"/>
        <w:rPr>
          <w:rFonts w:cs="Arial"/>
          <w:i/>
          <w:iCs/>
          <w:sz w:val="22"/>
          <w:szCs w:val="22"/>
        </w:rPr>
      </w:pPr>
      <w:r w:rsidRPr="00412577">
        <w:rPr>
          <w:rFonts w:cs="Arial"/>
          <w:i/>
          <w:iCs/>
          <w:sz w:val="22"/>
          <w:szCs w:val="22"/>
        </w:rPr>
        <w:t>“(b)</w:t>
      </w:r>
      <w:r w:rsidRPr="00412577">
        <w:rPr>
          <w:rFonts w:cs="Arial"/>
          <w:i/>
          <w:iCs/>
          <w:sz w:val="22"/>
          <w:szCs w:val="22"/>
        </w:rPr>
        <w:tab/>
        <w:t>financial, commercial, scientific or technical information, other than trade secrets, of a third party, the disclosure of which would be likely to cause harm to the commercial or financial interests of that third party; or</w:t>
      </w:r>
    </w:p>
    <w:p w14:paraId="3419D412" w14:textId="5DE995C5" w:rsidR="00412577" w:rsidRPr="00412577" w:rsidRDefault="00412577" w:rsidP="00412577">
      <w:pPr>
        <w:pStyle w:val="Body"/>
        <w:tabs>
          <w:tab w:val="left" w:pos="851"/>
        </w:tabs>
        <w:spacing w:line="360" w:lineRule="auto"/>
        <w:ind w:left="2268" w:hanging="850"/>
        <w:jc w:val="both"/>
        <w:rPr>
          <w:rFonts w:cs="Arial"/>
          <w:i/>
          <w:iCs/>
          <w:sz w:val="22"/>
          <w:szCs w:val="22"/>
        </w:rPr>
      </w:pPr>
    </w:p>
    <w:p w14:paraId="6523A199" w14:textId="49C534B7" w:rsidR="00412577" w:rsidRPr="00412577" w:rsidRDefault="00412577" w:rsidP="00412577">
      <w:pPr>
        <w:pStyle w:val="Body"/>
        <w:tabs>
          <w:tab w:val="left" w:pos="851"/>
        </w:tabs>
        <w:spacing w:line="360" w:lineRule="auto"/>
        <w:ind w:left="2268" w:hanging="850"/>
        <w:jc w:val="both"/>
        <w:rPr>
          <w:rFonts w:cs="Arial"/>
          <w:i/>
          <w:iCs/>
          <w:sz w:val="22"/>
          <w:szCs w:val="22"/>
        </w:rPr>
      </w:pPr>
      <w:r w:rsidRPr="00412577">
        <w:rPr>
          <w:rFonts w:cs="Arial"/>
          <w:i/>
          <w:iCs/>
          <w:sz w:val="22"/>
          <w:szCs w:val="22"/>
        </w:rPr>
        <w:t>(c)</w:t>
      </w:r>
      <w:r w:rsidRPr="00412577">
        <w:rPr>
          <w:rFonts w:cs="Arial"/>
          <w:i/>
          <w:iCs/>
          <w:sz w:val="22"/>
          <w:szCs w:val="22"/>
        </w:rPr>
        <w:tab/>
        <w:t xml:space="preserve">information supplied in confidence by a third party, the disclosure of which could reasonably be expected – </w:t>
      </w:r>
    </w:p>
    <w:p w14:paraId="2D842AD8" w14:textId="77777777" w:rsidR="00412577" w:rsidRPr="00412577" w:rsidRDefault="00412577" w:rsidP="00412577">
      <w:pPr>
        <w:pStyle w:val="Body"/>
        <w:tabs>
          <w:tab w:val="left" w:pos="851"/>
        </w:tabs>
        <w:spacing w:line="360" w:lineRule="auto"/>
        <w:ind w:left="2268" w:hanging="850"/>
        <w:jc w:val="both"/>
        <w:rPr>
          <w:rFonts w:cs="Arial"/>
          <w:i/>
          <w:iCs/>
          <w:sz w:val="22"/>
          <w:szCs w:val="22"/>
        </w:rPr>
      </w:pPr>
    </w:p>
    <w:p w14:paraId="3CE23E5C" w14:textId="0945BCE3" w:rsidR="00412577" w:rsidRPr="00412577" w:rsidRDefault="006A4649" w:rsidP="006A4649">
      <w:pPr>
        <w:pStyle w:val="Body"/>
        <w:tabs>
          <w:tab w:val="left" w:pos="851"/>
        </w:tabs>
        <w:spacing w:line="360" w:lineRule="auto"/>
        <w:ind w:left="2835" w:hanging="567"/>
        <w:jc w:val="both"/>
        <w:rPr>
          <w:rFonts w:cs="Arial"/>
          <w:i/>
          <w:iCs/>
          <w:sz w:val="22"/>
          <w:szCs w:val="22"/>
        </w:rPr>
      </w:pPr>
      <w:r w:rsidRPr="00412577">
        <w:rPr>
          <w:rFonts w:cs="Arial"/>
          <w:i/>
          <w:iCs/>
          <w:sz w:val="22"/>
          <w:szCs w:val="22"/>
        </w:rPr>
        <w:t>(i)</w:t>
      </w:r>
      <w:r w:rsidRPr="00412577">
        <w:rPr>
          <w:rFonts w:cs="Arial"/>
          <w:i/>
          <w:iCs/>
          <w:sz w:val="22"/>
          <w:szCs w:val="22"/>
        </w:rPr>
        <w:tab/>
      </w:r>
      <w:r w:rsidR="00412577" w:rsidRPr="00412577">
        <w:rPr>
          <w:rFonts w:cs="Arial"/>
          <w:i/>
          <w:iCs/>
          <w:sz w:val="22"/>
          <w:szCs w:val="22"/>
        </w:rPr>
        <w:t>To put that third party at a disadvantage in contractual or other negotiations; or</w:t>
      </w:r>
    </w:p>
    <w:p w14:paraId="56F3367D" w14:textId="77777777" w:rsidR="00412577" w:rsidRPr="00412577" w:rsidRDefault="00412577" w:rsidP="00412577">
      <w:pPr>
        <w:pStyle w:val="Body"/>
        <w:tabs>
          <w:tab w:val="left" w:pos="851"/>
        </w:tabs>
        <w:spacing w:line="360" w:lineRule="auto"/>
        <w:ind w:left="2835" w:hanging="567"/>
        <w:jc w:val="both"/>
        <w:rPr>
          <w:rFonts w:cs="Arial"/>
          <w:i/>
          <w:iCs/>
          <w:sz w:val="22"/>
          <w:szCs w:val="22"/>
        </w:rPr>
      </w:pPr>
    </w:p>
    <w:p w14:paraId="78F36704" w14:textId="7B15AAC8" w:rsidR="00412577" w:rsidRPr="00412577" w:rsidRDefault="006A4649" w:rsidP="006A4649">
      <w:pPr>
        <w:pStyle w:val="Body"/>
        <w:tabs>
          <w:tab w:val="left" w:pos="851"/>
        </w:tabs>
        <w:spacing w:line="360" w:lineRule="auto"/>
        <w:ind w:left="2835" w:hanging="567"/>
        <w:jc w:val="both"/>
        <w:rPr>
          <w:rFonts w:cs="Arial"/>
          <w:i/>
          <w:iCs/>
          <w:sz w:val="22"/>
          <w:szCs w:val="22"/>
        </w:rPr>
      </w:pPr>
      <w:r w:rsidRPr="00412577">
        <w:rPr>
          <w:rFonts w:cs="Arial"/>
          <w:i/>
          <w:iCs/>
          <w:sz w:val="22"/>
          <w:szCs w:val="22"/>
        </w:rPr>
        <w:t>(ii)</w:t>
      </w:r>
      <w:r w:rsidRPr="00412577">
        <w:rPr>
          <w:rFonts w:cs="Arial"/>
          <w:i/>
          <w:iCs/>
          <w:sz w:val="22"/>
          <w:szCs w:val="22"/>
        </w:rPr>
        <w:tab/>
      </w:r>
      <w:r w:rsidR="00412577" w:rsidRPr="00412577">
        <w:rPr>
          <w:rFonts w:cs="Arial"/>
          <w:i/>
          <w:iCs/>
          <w:sz w:val="22"/>
          <w:szCs w:val="22"/>
        </w:rPr>
        <w:t>To prejudice that third party in commercial competition</w:t>
      </w:r>
      <w:r w:rsidR="004F66D5" w:rsidRPr="00412577">
        <w:rPr>
          <w:rFonts w:cs="Arial"/>
          <w:i/>
          <w:iCs/>
          <w:sz w:val="22"/>
          <w:szCs w:val="22"/>
        </w:rPr>
        <w:t>.”</w:t>
      </w:r>
    </w:p>
    <w:p w14:paraId="44DCB2CD" w14:textId="77777777" w:rsidR="00412577" w:rsidRDefault="00412577" w:rsidP="001E5FEA">
      <w:pPr>
        <w:pStyle w:val="Body"/>
        <w:tabs>
          <w:tab w:val="left" w:pos="851"/>
        </w:tabs>
        <w:spacing w:line="360" w:lineRule="auto"/>
        <w:ind w:left="2151"/>
        <w:jc w:val="both"/>
        <w:rPr>
          <w:rFonts w:cs="Arial"/>
          <w:sz w:val="24"/>
          <w:szCs w:val="24"/>
        </w:rPr>
      </w:pPr>
    </w:p>
    <w:p w14:paraId="2C80CACF" w14:textId="4DCAE08F" w:rsidR="004D5403" w:rsidRPr="006A4649" w:rsidRDefault="006A4649" w:rsidP="006A4649">
      <w:pPr>
        <w:spacing w:line="360" w:lineRule="auto"/>
        <w:ind w:left="851" w:right="50" w:hanging="851"/>
        <w:jc w:val="both"/>
        <w:rPr>
          <w:rFonts w:ascii="Arial" w:hAnsi="Arial" w:cs="Arial"/>
        </w:rPr>
      </w:pPr>
      <w:r w:rsidRPr="00790BAD">
        <w:rPr>
          <w:rFonts w:ascii="Arial" w:hAnsi="Arial" w:cs="Arial"/>
        </w:rPr>
        <w:t>[35]</w:t>
      </w:r>
      <w:r w:rsidRPr="00790BAD">
        <w:rPr>
          <w:rFonts w:ascii="Arial" w:hAnsi="Arial" w:cs="Arial"/>
        </w:rPr>
        <w:tab/>
      </w:r>
      <w:r w:rsidR="00CB0076" w:rsidRPr="006A4649">
        <w:rPr>
          <w:rFonts w:ascii="Arial" w:hAnsi="Arial" w:cs="Arial"/>
        </w:rPr>
        <w:t>I</w:t>
      </w:r>
      <w:r w:rsidR="00574C09" w:rsidRPr="006A4649">
        <w:rPr>
          <w:rFonts w:ascii="Arial" w:hAnsi="Arial" w:cs="Arial"/>
        </w:rPr>
        <w:t>n</w:t>
      </w:r>
      <w:r w:rsidR="00CB0076" w:rsidRPr="006A4649">
        <w:rPr>
          <w:rFonts w:ascii="Arial" w:hAnsi="Arial" w:cs="Arial"/>
        </w:rPr>
        <w:t xml:space="preserve"> </w:t>
      </w:r>
      <w:r w:rsidR="004D5403" w:rsidRPr="006A4649">
        <w:rPr>
          <w:rFonts w:ascii="Arial" w:hAnsi="Arial" w:cs="Arial"/>
          <w:i/>
          <w:iCs/>
        </w:rPr>
        <w:t>SA Metal and Machinery Company v Transnet Ltd,</w:t>
      </w:r>
      <w:r w:rsidR="004D5403">
        <w:rPr>
          <w:rStyle w:val="FootnoteReference"/>
          <w:rFonts w:ascii="Arial" w:hAnsi="Arial" w:cs="Arial"/>
        </w:rPr>
        <w:footnoteReference w:id="20"/>
      </w:r>
      <w:r w:rsidR="004D5403" w:rsidRPr="006A4649">
        <w:rPr>
          <w:rFonts w:ascii="Arial" w:hAnsi="Arial" w:cs="Arial"/>
          <w:i/>
          <w:iCs/>
        </w:rPr>
        <w:t xml:space="preserve"> </w:t>
      </w:r>
      <w:r w:rsidR="004D5403" w:rsidRPr="006A4649">
        <w:rPr>
          <w:rFonts w:ascii="Arial" w:hAnsi="Arial" w:cs="Arial"/>
        </w:rPr>
        <w:t>the Court held that:</w:t>
      </w:r>
    </w:p>
    <w:p w14:paraId="787D50FA" w14:textId="77777777" w:rsidR="004D5403" w:rsidRDefault="004D5403" w:rsidP="004D5403">
      <w:pPr>
        <w:pStyle w:val="ListParagraph"/>
        <w:spacing w:line="360" w:lineRule="auto"/>
        <w:ind w:left="851" w:right="50"/>
        <w:jc w:val="both"/>
        <w:rPr>
          <w:rFonts w:ascii="Arial" w:hAnsi="Arial" w:cs="Arial"/>
        </w:rPr>
      </w:pPr>
    </w:p>
    <w:p w14:paraId="034A1B4B" w14:textId="16FE95E8" w:rsidR="004D5403" w:rsidRPr="006C196B" w:rsidRDefault="004D5403" w:rsidP="004D5403">
      <w:pPr>
        <w:pStyle w:val="ListParagraph"/>
        <w:spacing w:line="360" w:lineRule="auto"/>
        <w:ind w:left="1440" w:right="50"/>
        <w:jc w:val="both"/>
        <w:rPr>
          <w:rFonts w:ascii="Arial" w:hAnsi="Arial" w:cs="Arial"/>
          <w:i/>
          <w:iCs/>
          <w:sz w:val="22"/>
          <w:szCs w:val="22"/>
        </w:rPr>
      </w:pPr>
      <w:r w:rsidRPr="006C196B">
        <w:rPr>
          <w:rFonts w:ascii="Arial" w:hAnsi="Arial" w:cs="Arial"/>
        </w:rPr>
        <w:t>“</w:t>
      </w:r>
      <w:r w:rsidRPr="006C196B">
        <w:rPr>
          <w:rFonts w:ascii="Arial" w:hAnsi="Arial" w:cs="Arial"/>
          <w:i/>
          <w:iCs/>
          <w:sz w:val="22"/>
          <w:szCs w:val="22"/>
        </w:rPr>
        <w:t>to cause harm to the commercial and financial interests of the third party by disclosure of the information, the information must obviously have an objective market value</w:t>
      </w:r>
      <w:r w:rsidR="004F66D5" w:rsidRPr="006C196B">
        <w:rPr>
          <w:rFonts w:ascii="Arial" w:hAnsi="Arial" w:cs="Arial"/>
          <w:i/>
          <w:iCs/>
          <w:sz w:val="22"/>
          <w:szCs w:val="22"/>
        </w:rPr>
        <w:t xml:space="preserve">. </w:t>
      </w:r>
      <w:r w:rsidRPr="006C196B">
        <w:rPr>
          <w:rFonts w:ascii="Arial" w:hAnsi="Arial" w:cs="Arial"/>
          <w:i/>
          <w:iCs/>
          <w:sz w:val="22"/>
          <w:szCs w:val="22"/>
        </w:rPr>
        <w:t>This will be the case where the information sought is ‘important or essential to the profitability, viability or competitiveness of a commercial operation.’”</w:t>
      </w:r>
    </w:p>
    <w:p w14:paraId="39DA487C" w14:textId="77777777" w:rsidR="004D5403" w:rsidRPr="006C196B" w:rsidRDefault="004D5403" w:rsidP="004D5403">
      <w:pPr>
        <w:pStyle w:val="ListParagraph"/>
        <w:spacing w:line="360" w:lineRule="auto"/>
        <w:ind w:left="851" w:right="50"/>
        <w:jc w:val="both"/>
        <w:rPr>
          <w:rFonts w:ascii="Arial" w:hAnsi="Arial" w:cs="Arial"/>
        </w:rPr>
      </w:pPr>
    </w:p>
    <w:p w14:paraId="3413EF81" w14:textId="22FC90F4" w:rsidR="0009635D" w:rsidRPr="006A4649" w:rsidRDefault="006A4649" w:rsidP="006A4649">
      <w:pPr>
        <w:spacing w:line="360" w:lineRule="auto"/>
        <w:ind w:left="851" w:right="50" w:hanging="851"/>
        <w:jc w:val="both"/>
        <w:rPr>
          <w:rFonts w:ascii="Arial" w:hAnsi="Arial" w:cs="Arial"/>
        </w:rPr>
      </w:pPr>
      <w:r>
        <w:rPr>
          <w:rFonts w:ascii="Arial" w:hAnsi="Arial" w:cs="Arial"/>
        </w:rPr>
        <w:t>[36]</w:t>
      </w:r>
      <w:r>
        <w:rPr>
          <w:rFonts w:ascii="Arial" w:hAnsi="Arial" w:cs="Arial"/>
        </w:rPr>
        <w:tab/>
      </w:r>
      <w:r w:rsidR="00574C09" w:rsidRPr="006A4649">
        <w:rPr>
          <w:rFonts w:ascii="Arial" w:hAnsi="Arial" w:cs="Arial"/>
        </w:rPr>
        <w:t>In addition to the argument that the disclosure of the records would cause harm to N3TC</w:t>
      </w:r>
      <w:r w:rsidR="004F66D5" w:rsidRPr="006A4649">
        <w:rPr>
          <w:rFonts w:ascii="Arial" w:hAnsi="Arial" w:cs="Arial"/>
        </w:rPr>
        <w:t xml:space="preserve">. </w:t>
      </w:r>
      <w:r w:rsidR="007F672C" w:rsidRPr="006A4649">
        <w:rPr>
          <w:rFonts w:ascii="Arial" w:hAnsi="Arial" w:cs="Arial"/>
        </w:rPr>
        <w:t xml:space="preserve">Although it was not necessary for it </w:t>
      </w:r>
      <w:r w:rsidR="00F74042" w:rsidRPr="006A4649">
        <w:rPr>
          <w:rFonts w:ascii="Arial" w:hAnsi="Arial" w:cs="Arial"/>
        </w:rPr>
        <w:t>to do</w:t>
      </w:r>
      <w:r w:rsidR="007F672C" w:rsidRPr="006A4649">
        <w:rPr>
          <w:rFonts w:ascii="Arial" w:hAnsi="Arial" w:cs="Arial"/>
        </w:rPr>
        <w:t xml:space="preserve"> so, it demonstrated clearly and unequivocally to my mind, that the disclosure of its commercial</w:t>
      </w:r>
      <w:r w:rsidR="0009635D" w:rsidRPr="006A4649">
        <w:rPr>
          <w:rFonts w:ascii="Arial" w:hAnsi="Arial" w:cs="Arial"/>
        </w:rPr>
        <w:t xml:space="preserve"> </w:t>
      </w:r>
      <w:r w:rsidR="007F672C" w:rsidRPr="006A4649">
        <w:rPr>
          <w:rFonts w:ascii="Arial" w:hAnsi="Arial" w:cs="Arial"/>
        </w:rPr>
        <w:t xml:space="preserve">or financial information fell squarely within the ambit of the section. </w:t>
      </w:r>
    </w:p>
    <w:p w14:paraId="2481E4B6" w14:textId="77777777" w:rsidR="0009635D" w:rsidRDefault="0009635D" w:rsidP="0009635D">
      <w:pPr>
        <w:pStyle w:val="ListParagraph"/>
        <w:spacing w:line="360" w:lineRule="auto"/>
        <w:ind w:left="851" w:right="50"/>
        <w:jc w:val="both"/>
        <w:rPr>
          <w:rFonts w:ascii="Arial" w:hAnsi="Arial" w:cs="Arial"/>
        </w:rPr>
      </w:pPr>
    </w:p>
    <w:p w14:paraId="30F15423" w14:textId="6066201B" w:rsidR="005B15C3" w:rsidRPr="006A4649" w:rsidRDefault="006A4649" w:rsidP="006A4649">
      <w:pPr>
        <w:spacing w:line="360" w:lineRule="auto"/>
        <w:ind w:left="851" w:right="50" w:hanging="851"/>
        <w:jc w:val="both"/>
        <w:rPr>
          <w:rFonts w:ascii="Arial" w:hAnsi="Arial" w:cs="Arial"/>
          <w:sz w:val="36"/>
          <w:szCs w:val="36"/>
        </w:rPr>
      </w:pPr>
      <w:r w:rsidRPr="005B15C3">
        <w:rPr>
          <w:rFonts w:ascii="Arial" w:hAnsi="Arial" w:cs="Arial"/>
        </w:rPr>
        <w:t>[37]</w:t>
      </w:r>
      <w:r w:rsidRPr="005B15C3">
        <w:rPr>
          <w:rFonts w:ascii="Arial" w:hAnsi="Arial" w:cs="Arial"/>
        </w:rPr>
        <w:tab/>
      </w:r>
      <w:r w:rsidR="0009635D" w:rsidRPr="006A4649">
        <w:rPr>
          <w:rFonts w:ascii="Arial" w:hAnsi="Arial" w:cs="Arial"/>
        </w:rPr>
        <w:t xml:space="preserve">It argued </w:t>
      </w:r>
      <w:r w:rsidR="0009635D" w:rsidRPr="006A4649">
        <w:rPr>
          <w:rFonts w:ascii="Arial" w:hAnsi="Arial" w:cs="Arial"/>
          <w:i/>
          <w:iCs/>
        </w:rPr>
        <w:t>inter alia</w:t>
      </w:r>
      <w:r w:rsidR="0009635D" w:rsidRPr="006A4649">
        <w:rPr>
          <w:rFonts w:ascii="Arial" w:hAnsi="Arial" w:cs="Arial"/>
        </w:rPr>
        <w:t xml:space="preserve"> that it would within the next few years be required to undertake and perform a competitive </w:t>
      </w:r>
      <w:r w:rsidR="00262A5B" w:rsidRPr="006A4649">
        <w:rPr>
          <w:rFonts w:ascii="Arial" w:hAnsi="Arial" w:cs="Arial"/>
        </w:rPr>
        <w:t>arm’s length</w:t>
      </w:r>
      <w:r w:rsidR="0009635D" w:rsidRPr="006A4649">
        <w:rPr>
          <w:rFonts w:ascii="Arial" w:hAnsi="Arial" w:cs="Arial"/>
        </w:rPr>
        <w:t xml:space="preserve"> tender process when the main contract came up for renewal besides concluding other contracts before then</w:t>
      </w:r>
      <w:r w:rsidR="004F66D5" w:rsidRPr="006A4649">
        <w:rPr>
          <w:rFonts w:ascii="Arial" w:hAnsi="Arial" w:cs="Arial"/>
        </w:rPr>
        <w:t xml:space="preserve">. </w:t>
      </w:r>
      <w:r w:rsidR="005B15C3" w:rsidRPr="006A4649">
        <w:rPr>
          <w:rFonts w:ascii="Arial" w:hAnsi="Arial" w:cs="Arial"/>
        </w:rPr>
        <w:t>G</w:t>
      </w:r>
      <w:r w:rsidR="0009635D" w:rsidRPr="006A4649">
        <w:rPr>
          <w:rFonts w:ascii="Arial" w:hAnsi="Arial" w:cs="Arial"/>
        </w:rPr>
        <w:t>iven the particularly small and competitive market within which it operates, its private financial information which, if disclosed to a competitor, would likely cause harm to it had not even been disclosed to SANRAL</w:t>
      </w:r>
      <w:r w:rsidR="004F66D5" w:rsidRPr="006A4649">
        <w:rPr>
          <w:rFonts w:ascii="Arial" w:hAnsi="Arial" w:cs="Arial"/>
        </w:rPr>
        <w:t xml:space="preserve">. </w:t>
      </w:r>
    </w:p>
    <w:p w14:paraId="3535955D" w14:textId="77777777" w:rsidR="005B15C3" w:rsidRPr="005B15C3" w:rsidRDefault="005B15C3" w:rsidP="00CD292A">
      <w:pPr>
        <w:pStyle w:val="ListParagraph"/>
        <w:ind w:left="851" w:hanging="851"/>
        <w:rPr>
          <w:rFonts w:ascii="Arial" w:hAnsi="Arial" w:cs="Arial"/>
        </w:rPr>
      </w:pPr>
    </w:p>
    <w:p w14:paraId="1408C538" w14:textId="520F3408" w:rsidR="0009635D" w:rsidRPr="006A4649" w:rsidRDefault="006A4649" w:rsidP="006A4649">
      <w:pPr>
        <w:spacing w:line="360" w:lineRule="auto"/>
        <w:ind w:left="851" w:right="50" w:hanging="851"/>
        <w:jc w:val="both"/>
        <w:rPr>
          <w:rFonts w:ascii="Arial" w:hAnsi="Arial" w:cs="Arial"/>
          <w:sz w:val="36"/>
          <w:szCs w:val="36"/>
        </w:rPr>
      </w:pPr>
      <w:r w:rsidRPr="0009635D">
        <w:rPr>
          <w:rFonts w:ascii="Arial" w:hAnsi="Arial" w:cs="Arial"/>
        </w:rPr>
        <w:t>[38]</w:t>
      </w:r>
      <w:r w:rsidRPr="0009635D">
        <w:rPr>
          <w:rFonts w:ascii="Arial" w:hAnsi="Arial" w:cs="Arial"/>
        </w:rPr>
        <w:tab/>
      </w:r>
      <w:r w:rsidR="005B15C3" w:rsidRPr="006A4649">
        <w:rPr>
          <w:rFonts w:ascii="Arial" w:hAnsi="Arial" w:cs="Arial"/>
        </w:rPr>
        <w:t>Furthermore, t</w:t>
      </w:r>
      <w:r w:rsidR="0009635D" w:rsidRPr="006A4649">
        <w:rPr>
          <w:rFonts w:ascii="Arial" w:hAnsi="Arial" w:cs="Arial"/>
        </w:rPr>
        <w:t>he disclosure of commercial records in their raw form would prejudice N3TC in its ability to tender fairly and competitively</w:t>
      </w:r>
      <w:r w:rsidR="004F66D5" w:rsidRPr="006A4649">
        <w:rPr>
          <w:rFonts w:ascii="Arial" w:hAnsi="Arial" w:cs="Arial"/>
        </w:rPr>
        <w:t xml:space="preserve">. </w:t>
      </w:r>
      <w:r w:rsidR="0009635D" w:rsidRPr="006A4649">
        <w:rPr>
          <w:rFonts w:ascii="Arial" w:hAnsi="Arial" w:cs="Arial"/>
        </w:rPr>
        <w:t xml:space="preserve">Insofar as its </w:t>
      </w:r>
      <w:r w:rsidR="0009635D" w:rsidRPr="006A4649">
        <w:rPr>
          <w:rFonts w:ascii="Arial" w:hAnsi="Arial" w:cs="Arial"/>
        </w:rPr>
        <w:lastRenderedPageBreak/>
        <w:t>financial records are concerned, besides the records relating to the day</w:t>
      </w:r>
      <w:r w:rsidR="006C196B" w:rsidRPr="006A4649">
        <w:rPr>
          <w:rFonts w:ascii="Arial" w:hAnsi="Arial" w:cs="Arial"/>
        </w:rPr>
        <w:t>-</w:t>
      </w:r>
      <w:r w:rsidR="0009635D" w:rsidRPr="006A4649">
        <w:rPr>
          <w:rFonts w:ascii="Arial" w:hAnsi="Arial" w:cs="Arial"/>
        </w:rPr>
        <w:t>to</w:t>
      </w:r>
      <w:r w:rsidR="006C196B" w:rsidRPr="006A4649">
        <w:rPr>
          <w:rFonts w:ascii="Arial" w:hAnsi="Arial" w:cs="Arial"/>
        </w:rPr>
        <w:t>-</w:t>
      </w:r>
      <w:r w:rsidR="0009635D" w:rsidRPr="006A4649">
        <w:rPr>
          <w:rFonts w:ascii="Arial" w:hAnsi="Arial" w:cs="Arial"/>
        </w:rPr>
        <w:t xml:space="preserve">day operations, N3TC had had to develop a </w:t>
      </w:r>
      <w:r w:rsidR="000C6322" w:rsidRPr="006A4649">
        <w:rPr>
          <w:rFonts w:ascii="Arial" w:hAnsi="Arial" w:cs="Arial"/>
        </w:rPr>
        <w:t xml:space="preserve">bespoke and discreet </w:t>
      </w:r>
      <w:r w:rsidR="0009635D" w:rsidRPr="006A4649">
        <w:rPr>
          <w:rFonts w:ascii="Arial" w:hAnsi="Arial" w:cs="Arial"/>
        </w:rPr>
        <w:t xml:space="preserve">financial model </w:t>
      </w:r>
      <w:r w:rsidR="000C6322" w:rsidRPr="006A4649">
        <w:rPr>
          <w:rFonts w:ascii="Arial" w:hAnsi="Arial" w:cs="Arial"/>
        </w:rPr>
        <w:t xml:space="preserve">that could accommodate the specific </w:t>
      </w:r>
      <w:r w:rsidR="0009635D" w:rsidRPr="006A4649">
        <w:rPr>
          <w:rFonts w:ascii="Arial" w:hAnsi="Arial" w:cs="Arial"/>
        </w:rPr>
        <w:t xml:space="preserve">financing requirements </w:t>
      </w:r>
      <w:r w:rsidR="000C6322" w:rsidRPr="006A4649">
        <w:rPr>
          <w:rFonts w:ascii="Arial" w:hAnsi="Arial" w:cs="Arial"/>
        </w:rPr>
        <w:t xml:space="preserve">of the main contract </w:t>
      </w:r>
      <w:r w:rsidR="0009635D" w:rsidRPr="006A4649">
        <w:rPr>
          <w:rFonts w:ascii="Arial" w:hAnsi="Arial" w:cs="Arial"/>
        </w:rPr>
        <w:t xml:space="preserve">to enable it to perform its obligations in terms </w:t>
      </w:r>
      <w:r w:rsidR="000C6322" w:rsidRPr="006A4649">
        <w:rPr>
          <w:rFonts w:ascii="Arial" w:hAnsi="Arial" w:cs="Arial"/>
        </w:rPr>
        <w:t>thereof</w:t>
      </w:r>
      <w:r w:rsidR="004F66D5" w:rsidRPr="006A4649">
        <w:rPr>
          <w:rFonts w:ascii="Arial" w:hAnsi="Arial" w:cs="Arial"/>
        </w:rPr>
        <w:t xml:space="preserve">. </w:t>
      </w:r>
      <w:r w:rsidR="0009635D" w:rsidRPr="006A4649">
        <w:rPr>
          <w:rFonts w:ascii="Arial" w:hAnsi="Arial" w:cs="Arial"/>
        </w:rPr>
        <w:t>This information, if disclosed, would especially cause commercial and financial harm to N3TC.</w:t>
      </w:r>
      <w:r w:rsidR="00790BAD">
        <w:rPr>
          <w:rStyle w:val="FootnoteReference"/>
          <w:rFonts w:ascii="Arial" w:hAnsi="Arial" w:cs="Arial"/>
        </w:rPr>
        <w:footnoteReference w:id="21"/>
      </w:r>
    </w:p>
    <w:p w14:paraId="2F82BA81" w14:textId="77777777" w:rsidR="0009635D" w:rsidRPr="0009635D" w:rsidRDefault="0009635D" w:rsidP="00CD292A">
      <w:pPr>
        <w:pStyle w:val="ListParagraph"/>
        <w:ind w:left="851" w:hanging="851"/>
        <w:rPr>
          <w:rFonts w:ascii="Arial" w:hAnsi="Arial" w:cs="Arial"/>
        </w:rPr>
      </w:pPr>
    </w:p>
    <w:p w14:paraId="5EAF2310" w14:textId="76C5D360" w:rsidR="001360A5" w:rsidRPr="006A4649" w:rsidRDefault="006A4649" w:rsidP="006A4649">
      <w:pPr>
        <w:spacing w:line="360" w:lineRule="auto"/>
        <w:ind w:left="851" w:right="50" w:hanging="851"/>
        <w:jc w:val="both"/>
        <w:rPr>
          <w:rFonts w:ascii="Arial" w:hAnsi="Arial" w:cs="Arial"/>
        </w:rPr>
      </w:pPr>
      <w:r>
        <w:rPr>
          <w:rFonts w:ascii="Arial" w:hAnsi="Arial" w:cs="Arial"/>
        </w:rPr>
        <w:t>[39]</w:t>
      </w:r>
      <w:r>
        <w:rPr>
          <w:rFonts w:ascii="Arial" w:hAnsi="Arial" w:cs="Arial"/>
        </w:rPr>
        <w:tab/>
      </w:r>
      <w:r w:rsidR="007F672C" w:rsidRPr="006A4649">
        <w:rPr>
          <w:rFonts w:ascii="Arial" w:hAnsi="Arial" w:cs="Arial"/>
        </w:rPr>
        <w:t>It was also</w:t>
      </w:r>
      <w:r w:rsidR="00574C09" w:rsidRPr="006A4649">
        <w:rPr>
          <w:rFonts w:ascii="Arial" w:hAnsi="Arial" w:cs="Arial"/>
        </w:rPr>
        <w:t xml:space="preserve"> argued that the request for the disclosure of these confidential documents, given the reasons proferred by OUTA for bringing the application, after having already conducted an investigation, </w:t>
      </w:r>
      <w:r w:rsidR="001A626F" w:rsidRPr="006A4649">
        <w:rPr>
          <w:rFonts w:ascii="Arial" w:hAnsi="Arial" w:cs="Arial"/>
        </w:rPr>
        <w:t>was nothing more than an attempt to compel pre-litigation discovery</w:t>
      </w:r>
      <w:r w:rsidR="002933AB" w:rsidRPr="006A4649">
        <w:rPr>
          <w:rFonts w:ascii="Arial" w:hAnsi="Arial" w:cs="Arial"/>
        </w:rPr>
        <w:t xml:space="preserve"> </w:t>
      </w:r>
      <w:r w:rsidR="0049365A" w:rsidRPr="006A4649">
        <w:rPr>
          <w:rFonts w:ascii="Arial" w:hAnsi="Arial" w:cs="Arial"/>
        </w:rPr>
        <w:t>–</w:t>
      </w:r>
      <w:r w:rsidR="002933AB" w:rsidRPr="006A4649">
        <w:rPr>
          <w:rFonts w:ascii="Arial" w:hAnsi="Arial" w:cs="Arial"/>
        </w:rPr>
        <w:t xml:space="preserve"> a</w:t>
      </w:r>
      <w:r w:rsidR="0049365A" w:rsidRPr="006A4649">
        <w:rPr>
          <w:rFonts w:ascii="Arial" w:hAnsi="Arial" w:cs="Arial"/>
        </w:rPr>
        <w:t xml:space="preserve"> situation </w:t>
      </w:r>
      <w:r w:rsidR="00DB4529" w:rsidRPr="006A4649">
        <w:rPr>
          <w:rFonts w:ascii="Arial" w:hAnsi="Arial" w:cs="Arial"/>
        </w:rPr>
        <w:t>which PAIA specifically provides in s 7(1)(a).</w:t>
      </w:r>
      <w:r w:rsidR="00DB4529">
        <w:rPr>
          <w:rStyle w:val="FootnoteReference"/>
          <w:rFonts w:ascii="Arial" w:hAnsi="Arial" w:cs="Arial"/>
        </w:rPr>
        <w:footnoteReference w:id="22"/>
      </w:r>
    </w:p>
    <w:p w14:paraId="76D5DA25" w14:textId="77777777" w:rsidR="001360A5" w:rsidRDefault="001360A5" w:rsidP="001360A5">
      <w:pPr>
        <w:pStyle w:val="ListParagraph"/>
        <w:spacing w:line="360" w:lineRule="auto"/>
        <w:ind w:left="851" w:right="50"/>
        <w:jc w:val="both"/>
        <w:rPr>
          <w:rFonts w:ascii="Arial" w:hAnsi="Arial" w:cs="Arial"/>
        </w:rPr>
      </w:pPr>
    </w:p>
    <w:p w14:paraId="5DBDA6A9" w14:textId="26A2C539" w:rsidR="00A6155A" w:rsidRPr="006A4649" w:rsidRDefault="006A4649" w:rsidP="006A4649">
      <w:pPr>
        <w:spacing w:line="360" w:lineRule="auto"/>
        <w:ind w:left="851" w:right="50" w:hanging="851"/>
        <w:jc w:val="both"/>
        <w:rPr>
          <w:rFonts w:ascii="Arial" w:hAnsi="Arial" w:cs="Arial"/>
        </w:rPr>
      </w:pPr>
      <w:r>
        <w:rPr>
          <w:rFonts w:ascii="Arial" w:hAnsi="Arial" w:cs="Arial"/>
        </w:rPr>
        <w:t>[40]</w:t>
      </w:r>
      <w:r>
        <w:rPr>
          <w:rFonts w:ascii="Arial" w:hAnsi="Arial" w:cs="Arial"/>
        </w:rPr>
        <w:tab/>
      </w:r>
      <w:r w:rsidR="00130075" w:rsidRPr="006A4649">
        <w:rPr>
          <w:rFonts w:ascii="Arial" w:hAnsi="Arial" w:cs="Arial"/>
        </w:rPr>
        <w:t>It was argued by OUTA that insofar as SANRAL had refused access on the basis of the confidentiality of the disputed information, that if there were a confidentiality clause and it were relied upon, this would negate the spirit and purpose of PAIA</w:t>
      </w:r>
      <w:r w:rsidR="004F66D5" w:rsidRPr="006A4649">
        <w:rPr>
          <w:rFonts w:ascii="Arial" w:hAnsi="Arial" w:cs="Arial"/>
        </w:rPr>
        <w:t xml:space="preserve">. </w:t>
      </w:r>
      <w:r w:rsidR="00130075" w:rsidRPr="006A4649">
        <w:rPr>
          <w:rFonts w:ascii="Arial" w:hAnsi="Arial" w:cs="Arial"/>
        </w:rPr>
        <w:t>I agree with this proposition.</w:t>
      </w:r>
      <w:r w:rsidR="00130075">
        <w:rPr>
          <w:rStyle w:val="FootnoteReference"/>
          <w:rFonts w:ascii="Arial" w:hAnsi="Arial" w:cs="Arial"/>
        </w:rPr>
        <w:footnoteReference w:id="23"/>
      </w:r>
      <w:r w:rsidR="00130075" w:rsidRPr="006A4649">
        <w:rPr>
          <w:rFonts w:ascii="Arial" w:hAnsi="Arial" w:cs="Arial"/>
        </w:rPr>
        <w:t xml:space="preserve">  </w:t>
      </w:r>
    </w:p>
    <w:p w14:paraId="4FAF9C20" w14:textId="77777777" w:rsidR="00A6155A" w:rsidRPr="00A6155A" w:rsidRDefault="00A6155A" w:rsidP="00790BAD">
      <w:pPr>
        <w:pStyle w:val="ListParagraph"/>
        <w:ind w:left="851" w:hanging="851"/>
        <w:rPr>
          <w:rFonts w:ascii="Arial" w:hAnsi="Arial" w:cs="Arial"/>
        </w:rPr>
      </w:pPr>
    </w:p>
    <w:p w14:paraId="6C767A2D" w14:textId="12875499" w:rsidR="00AC1C80" w:rsidRPr="006A4649" w:rsidRDefault="006A4649" w:rsidP="006A4649">
      <w:pPr>
        <w:spacing w:line="360" w:lineRule="auto"/>
        <w:ind w:left="851" w:right="50" w:hanging="851"/>
        <w:jc w:val="both"/>
        <w:rPr>
          <w:rFonts w:ascii="Arial" w:hAnsi="Arial" w:cs="Arial"/>
        </w:rPr>
      </w:pPr>
      <w:r>
        <w:rPr>
          <w:rFonts w:ascii="Arial" w:hAnsi="Arial" w:cs="Arial"/>
        </w:rPr>
        <w:t>[41]</w:t>
      </w:r>
      <w:r>
        <w:rPr>
          <w:rFonts w:ascii="Arial" w:hAnsi="Arial" w:cs="Arial"/>
        </w:rPr>
        <w:tab/>
      </w:r>
      <w:r w:rsidR="00130075" w:rsidRPr="006A4649">
        <w:rPr>
          <w:rFonts w:ascii="Arial" w:hAnsi="Arial" w:cs="Arial"/>
        </w:rPr>
        <w:t>However, s 36 expressly enjoins SANRAL to refuse access if N3TC does not consent to its furnishing and that is precisely the situation that prevails in the present matter</w:t>
      </w:r>
      <w:r w:rsidR="004F66D5" w:rsidRPr="006A4649">
        <w:rPr>
          <w:rFonts w:ascii="Arial" w:hAnsi="Arial" w:cs="Arial"/>
        </w:rPr>
        <w:t xml:space="preserve">. </w:t>
      </w:r>
    </w:p>
    <w:p w14:paraId="183A01B8" w14:textId="77777777" w:rsidR="00AC1C80" w:rsidRPr="00AC1C80" w:rsidRDefault="00AC1C80" w:rsidP="00790BAD">
      <w:pPr>
        <w:pStyle w:val="ListParagraph"/>
        <w:ind w:left="851" w:hanging="851"/>
        <w:rPr>
          <w:rFonts w:ascii="Arial" w:hAnsi="Arial" w:cs="Arial"/>
        </w:rPr>
      </w:pPr>
    </w:p>
    <w:p w14:paraId="0782053B" w14:textId="7F0D130D" w:rsidR="00AC1C80" w:rsidRPr="006A4649" w:rsidRDefault="006A4649" w:rsidP="006A4649">
      <w:pPr>
        <w:spacing w:line="360" w:lineRule="auto"/>
        <w:ind w:left="851" w:right="50" w:hanging="851"/>
        <w:jc w:val="both"/>
        <w:rPr>
          <w:rFonts w:ascii="Arial" w:hAnsi="Arial" w:cs="Arial"/>
        </w:rPr>
      </w:pPr>
      <w:r w:rsidRPr="00AC1C80">
        <w:rPr>
          <w:rFonts w:ascii="Arial" w:hAnsi="Arial" w:cs="Arial"/>
        </w:rPr>
        <w:t>[42]</w:t>
      </w:r>
      <w:r w:rsidRPr="00AC1C80">
        <w:rPr>
          <w:rFonts w:ascii="Arial" w:hAnsi="Arial" w:cs="Arial"/>
        </w:rPr>
        <w:tab/>
      </w:r>
      <w:r w:rsidR="00AC1C80" w:rsidRPr="006A4649">
        <w:rPr>
          <w:rFonts w:ascii="Arial" w:hAnsi="Arial" w:cs="Arial"/>
        </w:rPr>
        <w:t>N3TC asserted that insofar as information and documentation relating to its operations but also contract/s with third parties had been furnished by it to SANRAL, this had been done on the basis that its confidentiality would be kept.</w:t>
      </w:r>
    </w:p>
    <w:p w14:paraId="220F4D27" w14:textId="77777777" w:rsidR="00AC1C80" w:rsidRPr="00AC1C80" w:rsidRDefault="00AC1C80" w:rsidP="00790BAD">
      <w:pPr>
        <w:pStyle w:val="ListParagraph"/>
        <w:ind w:left="851" w:hanging="851"/>
        <w:rPr>
          <w:rFonts w:ascii="Arial" w:hAnsi="Arial" w:cs="Arial"/>
        </w:rPr>
      </w:pPr>
    </w:p>
    <w:p w14:paraId="48EEE9FD" w14:textId="172CA371" w:rsidR="001A003E" w:rsidRPr="006A4649" w:rsidRDefault="006A4649" w:rsidP="006A4649">
      <w:pPr>
        <w:spacing w:line="360" w:lineRule="auto"/>
        <w:ind w:left="851" w:right="50" w:hanging="851"/>
        <w:jc w:val="both"/>
        <w:rPr>
          <w:rFonts w:ascii="Arial" w:hAnsi="Arial" w:cs="Arial"/>
        </w:rPr>
      </w:pPr>
      <w:r>
        <w:rPr>
          <w:rFonts w:ascii="Arial" w:hAnsi="Arial" w:cs="Arial"/>
        </w:rPr>
        <w:t>[43]</w:t>
      </w:r>
      <w:r>
        <w:rPr>
          <w:rFonts w:ascii="Arial" w:hAnsi="Arial" w:cs="Arial"/>
        </w:rPr>
        <w:tab/>
      </w:r>
      <w:r w:rsidR="001A003E" w:rsidRPr="006A4649">
        <w:rPr>
          <w:rFonts w:ascii="Arial" w:hAnsi="Arial" w:cs="Arial"/>
        </w:rPr>
        <w:t xml:space="preserve">In </w:t>
      </w:r>
      <w:r w:rsidR="001A003E" w:rsidRPr="006A4649">
        <w:rPr>
          <w:rFonts w:ascii="Arial" w:hAnsi="Arial" w:cs="Arial"/>
          <w:i/>
          <w:iCs/>
        </w:rPr>
        <w:t>South African History Archive Trust v South African Reserve Bank</w:t>
      </w:r>
      <w:r w:rsidR="00CD7E1C" w:rsidRPr="006A4649">
        <w:rPr>
          <w:rFonts w:ascii="Arial" w:hAnsi="Arial" w:cs="Arial"/>
        </w:rPr>
        <w:t>,</w:t>
      </w:r>
      <w:r w:rsidR="001A003E">
        <w:rPr>
          <w:rStyle w:val="FootnoteReference"/>
          <w:rFonts w:ascii="Arial" w:hAnsi="Arial" w:cs="Arial"/>
        </w:rPr>
        <w:footnoteReference w:id="24"/>
      </w:r>
      <w:r w:rsidR="00CD7E1C" w:rsidRPr="006A4649">
        <w:rPr>
          <w:rFonts w:ascii="Arial" w:hAnsi="Arial" w:cs="Arial"/>
        </w:rPr>
        <w:t xml:space="preserve"> it was held:</w:t>
      </w:r>
    </w:p>
    <w:p w14:paraId="1FFBD715" w14:textId="77777777" w:rsidR="00CD7E1C" w:rsidRPr="00CD7E1C" w:rsidRDefault="00CD7E1C" w:rsidP="00CD7E1C">
      <w:pPr>
        <w:pStyle w:val="ListParagraph"/>
        <w:rPr>
          <w:rFonts w:ascii="Arial" w:hAnsi="Arial" w:cs="Arial"/>
        </w:rPr>
      </w:pPr>
    </w:p>
    <w:p w14:paraId="3B5AA86B" w14:textId="745422A5" w:rsidR="00CD7E1C" w:rsidRPr="00CD7E1C" w:rsidRDefault="00CD7E1C" w:rsidP="00CD7E1C">
      <w:pPr>
        <w:pStyle w:val="ListParagraph"/>
        <w:spacing w:line="360" w:lineRule="auto"/>
        <w:ind w:left="2268" w:right="50" w:hanging="828"/>
        <w:jc w:val="both"/>
        <w:rPr>
          <w:rFonts w:ascii="Arial" w:hAnsi="Arial" w:cs="Arial"/>
          <w:i/>
          <w:iCs/>
          <w:sz w:val="22"/>
          <w:szCs w:val="22"/>
        </w:rPr>
      </w:pPr>
      <w:r w:rsidRPr="00CD7E1C">
        <w:rPr>
          <w:rFonts w:ascii="Arial" w:hAnsi="Arial" w:cs="Arial"/>
          <w:sz w:val="22"/>
          <w:szCs w:val="22"/>
        </w:rPr>
        <w:lastRenderedPageBreak/>
        <w:t>“</w:t>
      </w:r>
      <w:r w:rsidRPr="00CD7E1C">
        <w:rPr>
          <w:rFonts w:ascii="Arial" w:hAnsi="Arial" w:cs="Arial"/>
          <w:i/>
          <w:iCs/>
          <w:sz w:val="22"/>
          <w:szCs w:val="22"/>
        </w:rPr>
        <w:t>[40]</w:t>
      </w:r>
      <w:r w:rsidRPr="00CD7E1C">
        <w:rPr>
          <w:rFonts w:ascii="Arial" w:hAnsi="Arial" w:cs="Arial"/>
          <w:i/>
          <w:iCs/>
          <w:sz w:val="22"/>
          <w:szCs w:val="22"/>
        </w:rPr>
        <w:tab/>
        <w:t>Section 37(1)(b) gives rise to a discretionary refusal as opposed to a mandatory one.  The discretion must be based on facts before it can be said to have been properly exercised.  First, the record must consist of information which was supplied in confidence by a third party.  Secondly, it must be proved that the disclosure could reasonably be expected to prejudice the future supply of similar information or information from the same source.  Thirdly, it must be in the public interest that such information, or information from the same source should continue to be supplied.”</w:t>
      </w:r>
    </w:p>
    <w:p w14:paraId="7EDA0604" w14:textId="72503835" w:rsidR="006E25F1" w:rsidRDefault="006E25F1" w:rsidP="006E25F1">
      <w:pPr>
        <w:rPr>
          <w:rFonts w:cs="Arial"/>
          <w:b/>
          <w:bCs/>
        </w:rPr>
      </w:pPr>
    </w:p>
    <w:p w14:paraId="0A894BB6" w14:textId="493EE9B3" w:rsidR="00FD653B" w:rsidRDefault="00FD653B" w:rsidP="006E25F1">
      <w:pPr>
        <w:rPr>
          <w:rFonts w:ascii="Arial" w:hAnsi="Arial" w:cs="Arial"/>
          <w:b/>
          <w:bCs/>
        </w:rPr>
      </w:pPr>
      <w:r>
        <w:rPr>
          <w:rFonts w:ascii="Arial" w:hAnsi="Arial" w:cs="Arial"/>
          <w:b/>
          <w:bCs/>
        </w:rPr>
        <w:t xml:space="preserve">THE </w:t>
      </w:r>
      <w:r w:rsidR="00A16888">
        <w:rPr>
          <w:rFonts w:ascii="Arial" w:hAnsi="Arial" w:cs="Arial"/>
          <w:b/>
          <w:bCs/>
        </w:rPr>
        <w:t>PUBLIC INTEREST OVERRIDE</w:t>
      </w:r>
      <w:r w:rsidR="001867CE">
        <w:rPr>
          <w:rFonts w:ascii="Arial" w:hAnsi="Arial" w:cs="Arial"/>
          <w:b/>
          <w:bCs/>
        </w:rPr>
        <w:t xml:space="preserve"> </w:t>
      </w:r>
      <w:r w:rsidR="00906597">
        <w:rPr>
          <w:rFonts w:ascii="Arial" w:hAnsi="Arial" w:cs="Arial"/>
          <w:b/>
          <w:bCs/>
        </w:rPr>
        <w:t>– SECTION</w:t>
      </w:r>
      <w:r w:rsidR="00773D8D">
        <w:rPr>
          <w:rFonts w:ascii="Arial" w:hAnsi="Arial" w:cs="Arial"/>
          <w:b/>
          <w:bCs/>
        </w:rPr>
        <w:t xml:space="preserve"> </w:t>
      </w:r>
      <w:r w:rsidR="001867CE">
        <w:rPr>
          <w:rFonts w:ascii="Arial" w:hAnsi="Arial" w:cs="Arial"/>
          <w:b/>
          <w:bCs/>
        </w:rPr>
        <w:t>46</w:t>
      </w:r>
      <w:r w:rsidR="00773D8D">
        <w:rPr>
          <w:rFonts w:ascii="Arial" w:hAnsi="Arial" w:cs="Arial"/>
          <w:b/>
          <w:bCs/>
        </w:rPr>
        <w:t xml:space="preserve"> OF PAIA</w:t>
      </w:r>
    </w:p>
    <w:p w14:paraId="4BAF7318" w14:textId="0686FD6C" w:rsidR="00CB0076" w:rsidRDefault="00CB0076" w:rsidP="006E25F1">
      <w:pPr>
        <w:rPr>
          <w:rFonts w:ascii="Arial" w:hAnsi="Arial" w:cs="Arial"/>
          <w:b/>
          <w:bCs/>
        </w:rPr>
      </w:pPr>
    </w:p>
    <w:p w14:paraId="03B4C220" w14:textId="77777777" w:rsidR="00CE6E59" w:rsidRPr="00FD653B" w:rsidRDefault="00CE6E59" w:rsidP="006E25F1">
      <w:pPr>
        <w:rPr>
          <w:rFonts w:ascii="Arial" w:hAnsi="Arial" w:cs="Arial"/>
          <w:b/>
          <w:bCs/>
        </w:rPr>
      </w:pPr>
    </w:p>
    <w:p w14:paraId="507DE25F" w14:textId="4B5F16C5" w:rsidR="0094414A" w:rsidRPr="006A4649" w:rsidRDefault="006A4649" w:rsidP="006A4649">
      <w:pPr>
        <w:spacing w:line="360" w:lineRule="auto"/>
        <w:ind w:left="851" w:right="50" w:hanging="851"/>
        <w:jc w:val="both"/>
        <w:rPr>
          <w:rFonts w:ascii="Arial" w:hAnsi="Arial" w:cs="Arial"/>
        </w:rPr>
      </w:pPr>
      <w:r w:rsidRPr="00130075">
        <w:rPr>
          <w:rFonts w:ascii="Arial" w:hAnsi="Arial" w:cs="Arial"/>
        </w:rPr>
        <w:t>[44]</w:t>
      </w:r>
      <w:r w:rsidRPr="00130075">
        <w:rPr>
          <w:rFonts w:ascii="Arial" w:hAnsi="Arial" w:cs="Arial"/>
        </w:rPr>
        <w:tab/>
      </w:r>
      <w:r w:rsidR="007B7FBF" w:rsidRPr="006A4649">
        <w:rPr>
          <w:rFonts w:ascii="Arial" w:hAnsi="Arial" w:cs="Arial"/>
        </w:rPr>
        <w:t>It was argued for OUTA that it “</w:t>
      </w:r>
      <w:r w:rsidR="007B7FBF" w:rsidRPr="006A4649">
        <w:rPr>
          <w:rFonts w:ascii="Arial" w:hAnsi="Arial" w:cs="Arial"/>
          <w:i/>
          <w:iCs/>
          <w:sz w:val="22"/>
          <w:szCs w:val="22"/>
        </w:rPr>
        <w:t>wishes to evaluate the legality of an agreement that is of public interest, however, OUTA will only be in a position to do so upon the production of the records referred to in its request</w:t>
      </w:r>
      <w:r w:rsidR="004F66D5" w:rsidRPr="006A4649">
        <w:rPr>
          <w:rFonts w:ascii="Arial" w:hAnsi="Arial" w:cs="Arial"/>
          <w:i/>
          <w:iCs/>
          <w:sz w:val="22"/>
          <w:szCs w:val="22"/>
        </w:rPr>
        <w:t xml:space="preserve">. </w:t>
      </w:r>
      <w:r w:rsidR="007B7FBF" w:rsidRPr="006A4649">
        <w:rPr>
          <w:rFonts w:ascii="Arial" w:hAnsi="Arial" w:cs="Arial"/>
          <w:i/>
          <w:iCs/>
          <w:sz w:val="22"/>
          <w:szCs w:val="22"/>
        </w:rPr>
        <w:t xml:space="preserve">Should OUTA determine that SANRAL had acted unlawfully in the implementation of its agreement with N3TC, OUTA ultimately wishes to institute the relevant proceedings in a court of law.”  </w:t>
      </w:r>
    </w:p>
    <w:p w14:paraId="3BF6A692" w14:textId="77777777" w:rsidR="0094414A" w:rsidRPr="0094414A" w:rsidRDefault="0094414A" w:rsidP="0094414A">
      <w:pPr>
        <w:pStyle w:val="ListParagraph"/>
        <w:spacing w:line="360" w:lineRule="auto"/>
        <w:ind w:left="851" w:right="50"/>
        <w:jc w:val="both"/>
        <w:rPr>
          <w:rFonts w:ascii="Arial" w:hAnsi="Arial" w:cs="Arial"/>
        </w:rPr>
      </w:pPr>
    </w:p>
    <w:p w14:paraId="48378BBE" w14:textId="2130E96E" w:rsidR="007B7FBF" w:rsidRPr="006A4649" w:rsidRDefault="006A4649" w:rsidP="006A4649">
      <w:pPr>
        <w:spacing w:line="360" w:lineRule="auto"/>
        <w:ind w:left="851" w:right="50" w:hanging="851"/>
        <w:jc w:val="both"/>
        <w:rPr>
          <w:rFonts w:ascii="Arial" w:hAnsi="Arial" w:cs="Arial"/>
        </w:rPr>
      </w:pPr>
      <w:r w:rsidRPr="0094414A">
        <w:rPr>
          <w:rFonts w:ascii="Arial" w:hAnsi="Arial" w:cs="Arial"/>
        </w:rPr>
        <w:t>[45]</w:t>
      </w:r>
      <w:r w:rsidRPr="0094414A">
        <w:rPr>
          <w:rFonts w:ascii="Arial" w:hAnsi="Arial" w:cs="Arial"/>
        </w:rPr>
        <w:tab/>
      </w:r>
      <w:r w:rsidR="007B7FBF" w:rsidRPr="006A4649">
        <w:rPr>
          <w:rFonts w:ascii="Arial" w:hAnsi="Arial" w:cs="Arial"/>
        </w:rPr>
        <w:t>Section 46 of PAIA provides for the:</w:t>
      </w:r>
    </w:p>
    <w:p w14:paraId="15F8D3D0" w14:textId="77777777" w:rsidR="007B7FBF" w:rsidRPr="007B7FBF" w:rsidRDefault="007B7FBF" w:rsidP="007B7FBF">
      <w:pPr>
        <w:pStyle w:val="ListParagraph"/>
        <w:rPr>
          <w:rFonts w:ascii="Arial" w:hAnsi="Arial" w:cs="Arial"/>
        </w:rPr>
      </w:pPr>
    </w:p>
    <w:p w14:paraId="07E132A6" w14:textId="5A37A3F3" w:rsidR="007B7FBF" w:rsidRPr="005C6C96" w:rsidRDefault="007B7FBF" w:rsidP="007B7FBF">
      <w:pPr>
        <w:pStyle w:val="ListParagraph"/>
        <w:spacing w:line="360" w:lineRule="auto"/>
        <w:ind w:left="1418" w:right="50"/>
        <w:jc w:val="both"/>
        <w:rPr>
          <w:rFonts w:ascii="Arial" w:hAnsi="Arial" w:cs="Arial"/>
          <w:sz w:val="32"/>
          <w:szCs w:val="32"/>
        </w:rPr>
      </w:pPr>
      <w:r w:rsidRPr="005C6C96">
        <w:rPr>
          <w:rFonts w:ascii="Arial" w:hAnsi="Arial" w:cs="Arial"/>
          <w:i/>
          <w:iCs/>
          <w:sz w:val="22"/>
          <w:szCs w:val="22"/>
        </w:rPr>
        <w:t>“Mandatory disclosure in the public interest – Despite any other provision of this Chapter, the information officer of a public body must grant a request for access to a record of the body contemplated in section 34(1), 36(1), 37(1)(a) or (b), 38(a) or (b), 39(1)(a) or (b), 40, 41(1)(a) or (b), 42(1) or (3), 43(1) or (2), 44(1) or (2) or 45, if –</w:t>
      </w:r>
    </w:p>
    <w:p w14:paraId="6AB048AE" w14:textId="77777777" w:rsidR="007B7FBF" w:rsidRPr="005C6C96" w:rsidRDefault="007B7FBF" w:rsidP="007B7FBF">
      <w:pPr>
        <w:pStyle w:val="ListParagraph"/>
        <w:spacing w:line="360" w:lineRule="auto"/>
        <w:ind w:left="1985" w:right="50" w:hanging="567"/>
        <w:jc w:val="both"/>
        <w:rPr>
          <w:rFonts w:ascii="Arial" w:hAnsi="Arial" w:cs="Arial"/>
          <w:sz w:val="32"/>
          <w:szCs w:val="32"/>
        </w:rPr>
      </w:pPr>
    </w:p>
    <w:p w14:paraId="7D222346" w14:textId="0D78DA39" w:rsidR="007B7FBF" w:rsidRPr="005C6C96" w:rsidRDefault="006A4649" w:rsidP="006A4649">
      <w:pPr>
        <w:pStyle w:val="FootnoteText"/>
        <w:tabs>
          <w:tab w:val="center" w:pos="1985"/>
        </w:tabs>
        <w:spacing w:line="360" w:lineRule="auto"/>
        <w:ind w:left="1985" w:hanging="567"/>
        <w:jc w:val="both"/>
        <w:rPr>
          <w:rFonts w:ascii="Arial" w:hAnsi="Arial" w:cs="Arial"/>
          <w:i/>
          <w:iCs/>
          <w:sz w:val="22"/>
          <w:szCs w:val="22"/>
        </w:rPr>
      </w:pPr>
      <w:r w:rsidRPr="005C6C96">
        <w:rPr>
          <w:rFonts w:ascii="Arial" w:hAnsi="Arial" w:cs="Arial"/>
          <w:bCs/>
          <w:i/>
          <w:iCs/>
          <w:sz w:val="20"/>
          <w:szCs w:val="22"/>
        </w:rPr>
        <w:t>(a)</w:t>
      </w:r>
      <w:r w:rsidRPr="005C6C96">
        <w:rPr>
          <w:rFonts w:ascii="Arial" w:hAnsi="Arial" w:cs="Arial"/>
          <w:bCs/>
          <w:i/>
          <w:iCs/>
          <w:sz w:val="20"/>
          <w:szCs w:val="22"/>
        </w:rPr>
        <w:tab/>
      </w:r>
      <w:r w:rsidR="007B7FBF" w:rsidRPr="005C6C96">
        <w:rPr>
          <w:rFonts w:ascii="Arial" w:hAnsi="Arial" w:cs="Arial"/>
          <w:i/>
          <w:iCs/>
          <w:sz w:val="22"/>
          <w:szCs w:val="22"/>
        </w:rPr>
        <w:t>The disclosure of the record would reveal evidence of –</w:t>
      </w:r>
    </w:p>
    <w:p w14:paraId="55791883" w14:textId="77777777" w:rsidR="007B7FBF" w:rsidRPr="005C6C96" w:rsidRDefault="007B7FBF" w:rsidP="007B7FBF">
      <w:pPr>
        <w:pStyle w:val="FootnoteText"/>
        <w:tabs>
          <w:tab w:val="left" w:pos="1701"/>
          <w:tab w:val="center" w:pos="1985"/>
        </w:tabs>
        <w:spacing w:line="360" w:lineRule="auto"/>
        <w:jc w:val="both"/>
        <w:rPr>
          <w:rFonts w:ascii="Arial" w:hAnsi="Arial" w:cs="Arial"/>
          <w:i/>
          <w:iCs/>
          <w:sz w:val="22"/>
          <w:szCs w:val="22"/>
        </w:rPr>
      </w:pPr>
    </w:p>
    <w:p w14:paraId="21B027F9" w14:textId="19488090" w:rsidR="007B7FBF" w:rsidRPr="005C6C96" w:rsidRDefault="006A4649" w:rsidP="006A4649">
      <w:pPr>
        <w:pStyle w:val="FootnoteText"/>
        <w:tabs>
          <w:tab w:val="center" w:pos="851"/>
        </w:tabs>
        <w:spacing w:line="360" w:lineRule="auto"/>
        <w:ind w:left="2552" w:hanging="567"/>
        <w:jc w:val="both"/>
        <w:rPr>
          <w:rFonts w:ascii="Arial" w:hAnsi="Arial" w:cs="Arial"/>
          <w:i/>
          <w:iCs/>
          <w:sz w:val="22"/>
          <w:szCs w:val="22"/>
        </w:rPr>
      </w:pPr>
      <w:r w:rsidRPr="005C6C96">
        <w:rPr>
          <w:rFonts w:ascii="Arial" w:hAnsi="Arial" w:cs="Arial"/>
          <w:bCs/>
          <w:i/>
          <w:iCs/>
          <w:sz w:val="20"/>
          <w:szCs w:val="22"/>
        </w:rPr>
        <w:t>(i)</w:t>
      </w:r>
      <w:r w:rsidRPr="005C6C96">
        <w:rPr>
          <w:rFonts w:ascii="Arial" w:hAnsi="Arial" w:cs="Arial"/>
          <w:bCs/>
          <w:i/>
          <w:iCs/>
          <w:sz w:val="20"/>
          <w:szCs w:val="22"/>
        </w:rPr>
        <w:tab/>
      </w:r>
      <w:r w:rsidR="007B7FBF" w:rsidRPr="005C6C96">
        <w:rPr>
          <w:rFonts w:ascii="Arial" w:hAnsi="Arial" w:cs="Arial"/>
          <w:i/>
          <w:iCs/>
          <w:sz w:val="22"/>
          <w:szCs w:val="22"/>
        </w:rPr>
        <w:t xml:space="preserve">a substantial contravention of, or failure to comply with, the law; or </w:t>
      </w:r>
    </w:p>
    <w:p w14:paraId="361CB06C" w14:textId="77777777" w:rsidR="007B7FBF" w:rsidRPr="005C6C96" w:rsidRDefault="007B7FBF" w:rsidP="007B7FBF">
      <w:pPr>
        <w:pStyle w:val="FootnoteText"/>
        <w:tabs>
          <w:tab w:val="center" w:pos="851"/>
        </w:tabs>
        <w:spacing w:line="360" w:lineRule="auto"/>
        <w:jc w:val="both"/>
        <w:rPr>
          <w:rFonts w:ascii="Arial" w:hAnsi="Arial" w:cs="Arial"/>
          <w:i/>
          <w:iCs/>
          <w:sz w:val="22"/>
          <w:szCs w:val="22"/>
        </w:rPr>
      </w:pPr>
    </w:p>
    <w:p w14:paraId="615646CF" w14:textId="40E4817D" w:rsidR="007B7FBF" w:rsidRPr="005C6C96" w:rsidRDefault="006A4649" w:rsidP="006A4649">
      <w:pPr>
        <w:pStyle w:val="FootnoteText"/>
        <w:tabs>
          <w:tab w:val="center" w:pos="851"/>
        </w:tabs>
        <w:spacing w:line="360" w:lineRule="auto"/>
        <w:ind w:left="2552" w:hanging="567"/>
        <w:jc w:val="both"/>
        <w:rPr>
          <w:rFonts w:ascii="Arial" w:hAnsi="Arial" w:cs="Arial"/>
          <w:i/>
          <w:iCs/>
          <w:sz w:val="22"/>
          <w:szCs w:val="22"/>
        </w:rPr>
      </w:pPr>
      <w:r w:rsidRPr="005C6C96">
        <w:rPr>
          <w:rFonts w:ascii="Arial" w:hAnsi="Arial" w:cs="Arial"/>
          <w:bCs/>
          <w:i/>
          <w:iCs/>
          <w:sz w:val="20"/>
          <w:szCs w:val="22"/>
        </w:rPr>
        <w:t>(ii)</w:t>
      </w:r>
      <w:r w:rsidRPr="005C6C96">
        <w:rPr>
          <w:rFonts w:ascii="Arial" w:hAnsi="Arial" w:cs="Arial"/>
          <w:bCs/>
          <w:i/>
          <w:iCs/>
          <w:sz w:val="20"/>
          <w:szCs w:val="22"/>
        </w:rPr>
        <w:tab/>
      </w:r>
      <w:r w:rsidR="007B7FBF" w:rsidRPr="005C6C96">
        <w:rPr>
          <w:rFonts w:ascii="Arial" w:hAnsi="Arial" w:cs="Arial"/>
          <w:i/>
          <w:iCs/>
          <w:sz w:val="22"/>
          <w:szCs w:val="22"/>
        </w:rPr>
        <w:t>an imminent and serious public safety or environmental risk; and the public interest in the disclosure of the record clearly outweighs the harm in the provision in question.”</w:t>
      </w:r>
    </w:p>
    <w:p w14:paraId="45E75AFA" w14:textId="77777777" w:rsidR="007B7FBF" w:rsidRPr="007B7FBF" w:rsidRDefault="007B7FBF" w:rsidP="007B7FBF">
      <w:pPr>
        <w:pStyle w:val="ListParagraph"/>
        <w:rPr>
          <w:rFonts w:ascii="Arial" w:hAnsi="Arial" w:cs="Arial"/>
        </w:rPr>
      </w:pPr>
    </w:p>
    <w:p w14:paraId="69BE546C" w14:textId="432A17EC" w:rsidR="00790BAD" w:rsidRPr="006A4649" w:rsidRDefault="006A4649" w:rsidP="006A4649">
      <w:pPr>
        <w:spacing w:line="360" w:lineRule="auto"/>
        <w:ind w:left="851" w:right="50" w:hanging="851"/>
        <w:jc w:val="both"/>
        <w:rPr>
          <w:rFonts w:ascii="Arial" w:hAnsi="Arial" w:cs="Arial"/>
        </w:rPr>
      </w:pPr>
      <w:r>
        <w:rPr>
          <w:rFonts w:ascii="Arial" w:hAnsi="Arial" w:cs="Arial"/>
        </w:rPr>
        <w:lastRenderedPageBreak/>
        <w:t>[46]</w:t>
      </w:r>
      <w:r>
        <w:rPr>
          <w:rFonts w:ascii="Arial" w:hAnsi="Arial" w:cs="Arial"/>
        </w:rPr>
        <w:tab/>
      </w:r>
      <w:r w:rsidR="008321DE" w:rsidRPr="006A4649">
        <w:rPr>
          <w:rFonts w:ascii="Arial" w:hAnsi="Arial" w:cs="Arial"/>
        </w:rPr>
        <w:t>OUTA argued that having regard to s 195</w:t>
      </w:r>
      <w:r w:rsidR="009F13C6">
        <w:rPr>
          <w:rStyle w:val="FootnoteReference"/>
          <w:rFonts w:ascii="Arial" w:hAnsi="Arial" w:cs="Arial"/>
        </w:rPr>
        <w:footnoteReference w:id="25"/>
      </w:r>
      <w:r w:rsidR="009F13C6" w:rsidRPr="006A4649">
        <w:rPr>
          <w:rFonts w:ascii="Arial" w:hAnsi="Arial" w:cs="Arial"/>
        </w:rPr>
        <w:t xml:space="preserve"> and </w:t>
      </w:r>
      <w:r w:rsidR="00DC7BB6" w:rsidRPr="006A4649">
        <w:rPr>
          <w:rFonts w:ascii="Arial" w:hAnsi="Arial" w:cs="Arial"/>
        </w:rPr>
        <w:t xml:space="preserve">s </w:t>
      </w:r>
      <w:r w:rsidR="009F13C6" w:rsidRPr="006A4649">
        <w:rPr>
          <w:rFonts w:ascii="Arial" w:hAnsi="Arial" w:cs="Arial"/>
        </w:rPr>
        <w:t>217</w:t>
      </w:r>
      <w:r w:rsidR="000D0442">
        <w:rPr>
          <w:rStyle w:val="FootnoteReference"/>
          <w:rFonts w:ascii="Arial" w:hAnsi="Arial" w:cs="Arial"/>
        </w:rPr>
        <w:footnoteReference w:id="26"/>
      </w:r>
      <w:r w:rsidR="008321DE" w:rsidRPr="006A4649">
        <w:rPr>
          <w:rFonts w:ascii="Arial" w:hAnsi="Arial" w:cs="Arial"/>
        </w:rPr>
        <w:t xml:space="preserve"> of the Constitution</w:t>
      </w:r>
      <w:r w:rsidR="00B309C9" w:rsidRPr="006A4649">
        <w:rPr>
          <w:rFonts w:ascii="Arial" w:hAnsi="Arial" w:cs="Arial"/>
        </w:rPr>
        <w:t xml:space="preserve"> of the Republic of South Africa, 1996</w:t>
      </w:r>
      <w:r w:rsidR="008321DE" w:rsidRPr="006A4649">
        <w:rPr>
          <w:rFonts w:ascii="Arial" w:hAnsi="Arial" w:cs="Arial"/>
        </w:rPr>
        <w:t xml:space="preserve">, which deal with </w:t>
      </w:r>
      <w:r w:rsidR="009F13C6" w:rsidRPr="006A4649">
        <w:rPr>
          <w:rFonts w:ascii="Arial" w:hAnsi="Arial" w:cs="Arial"/>
        </w:rPr>
        <w:t>basic values in principles governing public administration</w:t>
      </w:r>
      <w:r w:rsidR="00DF76AF" w:rsidRPr="006A4649">
        <w:rPr>
          <w:rFonts w:ascii="Arial" w:hAnsi="Arial" w:cs="Arial"/>
        </w:rPr>
        <w:t xml:space="preserve"> and </w:t>
      </w:r>
      <w:r w:rsidR="004F66D5" w:rsidRPr="006A4649">
        <w:rPr>
          <w:rFonts w:ascii="Arial" w:hAnsi="Arial" w:cs="Arial"/>
        </w:rPr>
        <w:t>procurement,</w:t>
      </w:r>
      <w:r w:rsidR="00DF76AF" w:rsidRPr="006A4649">
        <w:rPr>
          <w:rFonts w:ascii="Arial" w:hAnsi="Arial" w:cs="Arial"/>
        </w:rPr>
        <w:t xml:space="preserve"> </w:t>
      </w:r>
      <w:r w:rsidR="008321DE" w:rsidRPr="006A4649">
        <w:rPr>
          <w:rFonts w:ascii="Arial" w:hAnsi="Arial" w:cs="Arial"/>
        </w:rPr>
        <w:t>respectively</w:t>
      </w:r>
      <w:r w:rsidR="004F66D5" w:rsidRPr="006A4649">
        <w:rPr>
          <w:rFonts w:ascii="Arial" w:hAnsi="Arial" w:cs="Arial"/>
        </w:rPr>
        <w:t xml:space="preserve">. </w:t>
      </w:r>
      <w:r w:rsidR="00DF76AF" w:rsidRPr="006A4649">
        <w:rPr>
          <w:rFonts w:ascii="Arial" w:hAnsi="Arial" w:cs="Arial"/>
        </w:rPr>
        <w:t>It was argued that</w:t>
      </w:r>
      <w:r w:rsidR="008321DE" w:rsidRPr="006A4649">
        <w:rPr>
          <w:rFonts w:ascii="Arial" w:hAnsi="Arial" w:cs="Arial"/>
        </w:rPr>
        <w:t xml:space="preserve"> the reliance by SANRAL on </w:t>
      </w:r>
      <w:r w:rsidR="00DC7BB6" w:rsidRPr="006A4649">
        <w:rPr>
          <w:rFonts w:ascii="Arial" w:hAnsi="Arial" w:cs="Arial"/>
        </w:rPr>
        <w:t>s</w:t>
      </w:r>
      <w:r w:rsidR="008321DE" w:rsidRPr="006A4649">
        <w:rPr>
          <w:rFonts w:ascii="Arial" w:hAnsi="Arial" w:cs="Arial"/>
        </w:rPr>
        <w:t xml:space="preserve"> 36(1)(b) and (c) of PAIA as the basis for refusing to make the information in its possession available is at odds with its constitutional obligations</w:t>
      </w:r>
      <w:r w:rsidR="004F66D5" w:rsidRPr="006A4649">
        <w:rPr>
          <w:rFonts w:ascii="Arial" w:hAnsi="Arial" w:cs="Arial"/>
        </w:rPr>
        <w:t xml:space="preserve">. </w:t>
      </w:r>
    </w:p>
    <w:p w14:paraId="7D5701B0" w14:textId="77777777" w:rsidR="00790BAD" w:rsidRDefault="00790BAD" w:rsidP="00790BAD">
      <w:pPr>
        <w:pStyle w:val="ListParagraph"/>
        <w:spacing w:line="360" w:lineRule="auto"/>
        <w:ind w:left="851" w:right="50"/>
        <w:jc w:val="both"/>
        <w:rPr>
          <w:rFonts w:ascii="Arial" w:hAnsi="Arial" w:cs="Arial"/>
        </w:rPr>
      </w:pPr>
    </w:p>
    <w:p w14:paraId="31F1A3D3" w14:textId="11D29964" w:rsidR="00483489" w:rsidRPr="006A4649" w:rsidRDefault="006A4649" w:rsidP="006A4649">
      <w:pPr>
        <w:spacing w:line="360" w:lineRule="auto"/>
        <w:ind w:left="851" w:right="50" w:hanging="851"/>
        <w:jc w:val="both"/>
        <w:rPr>
          <w:rFonts w:ascii="Arial" w:hAnsi="Arial" w:cs="Arial"/>
        </w:rPr>
      </w:pPr>
      <w:r>
        <w:rPr>
          <w:rFonts w:ascii="Arial" w:hAnsi="Arial" w:cs="Arial"/>
        </w:rPr>
        <w:t>[47]</w:t>
      </w:r>
      <w:r>
        <w:rPr>
          <w:rFonts w:ascii="Arial" w:hAnsi="Arial" w:cs="Arial"/>
        </w:rPr>
        <w:tab/>
      </w:r>
      <w:r w:rsidR="00790BAD" w:rsidRPr="006A4649">
        <w:rPr>
          <w:rFonts w:ascii="Arial" w:hAnsi="Arial" w:cs="Arial"/>
        </w:rPr>
        <w:t>It was argued for SANRAL that neither s 195 nor s 217 are actionable (in the sense that they cannot ground a cause of action) and the principle of subsidiarity in any event prevented OUTA from relying directly on the provisions of these sections</w:t>
      </w:r>
      <w:r w:rsidR="00044121" w:rsidRPr="006A4649">
        <w:rPr>
          <w:rFonts w:ascii="Arial" w:hAnsi="Arial" w:cs="Arial"/>
        </w:rPr>
        <w:t xml:space="preserve"> in the present application.</w:t>
      </w:r>
      <w:r w:rsidR="00044121">
        <w:rPr>
          <w:rStyle w:val="FootnoteReference"/>
          <w:rFonts w:ascii="Arial" w:hAnsi="Arial" w:cs="Arial"/>
        </w:rPr>
        <w:footnoteReference w:id="27"/>
      </w:r>
      <w:r w:rsidR="00790BAD" w:rsidRPr="006A4649">
        <w:rPr>
          <w:rFonts w:ascii="Arial" w:hAnsi="Arial" w:cs="Arial"/>
        </w:rPr>
        <w:t xml:space="preserve"> </w:t>
      </w:r>
    </w:p>
    <w:p w14:paraId="69DF355A" w14:textId="77777777" w:rsidR="00483489" w:rsidRDefault="00483489" w:rsidP="00483489">
      <w:pPr>
        <w:pStyle w:val="ListParagraph"/>
        <w:spacing w:line="360" w:lineRule="auto"/>
        <w:ind w:left="851" w:right="50" w:hanging="851"/>
        <w:jc w:val="both"/>
        <w:rPr>
          <w:rFonts w:ascii="Arial" w:hAnsi="Arial" w:cs="Arial"/>
        </w:rPr>
      </w:pPr>
    </w:p>
    <w:p w14:paraId="63C95BC8" w14:textId="7097FAFA" w:rsidR="00483489" w:rsidRPr="006A4649" w:rsidRDefault="006A4649" w:rsidP="006A4649">
      <w:pPr>
        <w:spacing w:line="360" w:lineRule="auto"/>
        <w:ind w:left="851" w:right="50" w:hanging="851"/>
        <w:jc w:val="both"/>
        <w:rPr>
          <w:rFonts w:ascii="Arial" w:hAnsi="Arial" w:cs="Arial"/>
        </w:rPr>
      </w:pPr>
      <w:r>
        <w:rPr>
          <w:rFonts w:ascii="Arial" w:hAnsi="Arial" w:cs="Arial"/>
        </w:rPr>
        <w:t>[48]</w:t>
      </w:r>
      <w:r>
        <w:rPr>
          <w:rFonts w:ascii="Arial" w:hAnsi="Arial" w:cs="Arial"/>
        </w:rPr>
        <w:tab/>
      </w:r>
      <w:r w:rsidR="00906597" w:rsidRPr="006A4649">
        <w:rPr>
          <w:rFonts w:ascii="Arial" w:hAnsi="Arial" w:cs="Arial"/>
        </w:rPr>
        <w:t>SANRAL AND N3TC</w:t>
      </w:r>
      <w:r w:rsidR="00CB0076" w:rsidRPr="006A4649">
        <w:rPr>
          <w:rFonts w:ascii="Arial" w:hAnsi="Arial" w:cs="Arial"/>
        </w:rPr>
        <w:t xml:space="preserve"> argued that there is no basis for the application of the public interest override provided for in </w:t>
      </w:r>
      <w:r w:rsidR="008321DE" w:rsidRPr="006A4649">
        <w:rPr>
          <w:rFonts w:ascii="Arial" w:hAnsi="Arial" w:cs="Arial"/>
        </w:rPr>
        <w:t>s</w:t>
      </w:r>
      <w:r w:rsidR="00CB0076" w:rsidRPr="006A4649">
        <w:rPr>
          <w:rFonts w:ascii="Arial" w:hAnsi="Arial" w:cs="Arial"/>
        </w:rPr>
        <w:t xml:space="preserve"> 46 of PAIA</w:t>
      </w:r>
      <w:r w:rsidR="004F66D5" w:rsidRPr="006A4649">
        <w:rPr>
          <w:rFonts w:ascii="Arial" w:hAnsi="Arial" w:cs="Arial"/>
        </w:rPr>
        <w:t xml:space="preserve">. </w:t>
      </w:r>
    </w:p>
    <w:p w14:paraId="3ED30144" w14:textId="77777777" w:rsidR="00483489" w:rsidRPr="00483489" w:rsidRDefault="00483489" w:rsidP="00483489">
      <w:pPr>
        <w:pStyle w:val="ListParagraph"/>
        <w:ind w:left="851" w:hanging="851"/>
        <w:rPr>
          <w:rFonts w:ascii="Arial" w:hAnsi="Arial" w:cs="Arial"/>
        </w:rPr>
      </w:pPr>
    </w:p>
    <w:p w14:paraId="63D6C3DC" w14:textId="248C743A" w:rsidR="008321DE" w:rsidRPr="006A4649" w:rsidRDefault="006A4649" w:rsidP="006A4649">
      <w:pPr>
        <w:spacing w:line="360" w:lineRule="auto"/>
        <w:ind w:left="851" w:right="50" w:hanging="851"/>
        <w:jc w:val="both"/>
        <w:rPr>
          <w:rFonts w:ascii="Arial" w:hAnsi="Arial" w:cs="Arial"/>
        </w:rPr>
      </w:pPr>
      <w:r w:rsidRPr="00483489">
        <w:rPr>
          <w:rFonts w:ascii="Arial" w:hAnsi="Arial" w:cs="Arial"/>
        </w:rPr>
        <w:t>[49]</w:t>
      </w:r>
      <w:r w:rsidRPr="00483489">
        <w:rPr>
          <w:rFonts w:ascii="Arial" w:hAnsi="Arial" w:cs="Arial"/>
        </w:rPr>
        <w:tab/>
      </w:r>
      <w:r w:rsidR="008321DE" w:rsidRPr="006A4649">
        <w:rPr>
          <w:rFonts w:ascii="Arial" w:hAnsi="Arial" w:cs="Arial"/>
        </w:rPr>
        <w:t>In</w:t>
      </w:r>
      <w:r w:rsidR="00CB0076" w:rsidRPr="006A4649">
        <w:rPr>
          <w:rFonts w:ascii="Arial" w:hAnsi="Arial" w:cs="Arial"/>
        </w:rPr>
        <w:t xml:space="preserve"> </w:t>
      </w:r>
      <w:r w:rsidR="00CB0076" w:rsidRPr="006A4649">
        <w:rPr>
          <w:rFonts w:ascii="Arial" w:hAnsi="Arial" w:cs="Arial"/>
          <w:i/>
          <w:iCs/>
        </w:rPr>
        <w:t>Centre for Social Accountability v Secretary of Parliament</w:t>
      </w:r>
      <w:r w:rsidR="008321DE" w:rsidRPr="006A4649">
        <w:rPr>
          <w:rFonts w:ascii="Arial" w:hAnsi="Arial" w:cs="Arial"/>
          <w:i/>
          <w:iCs/>
        </w:rPr>
        <w:t>,</w:t>
      </w:r>
      <w:r w:rsidR="00CB0076">
        <w:rPr>
          <w:rStyle w:val="FootnoteReference"/>
          <w:rFonts w:ascii="Arial" w:hAnsi="Arial" w:cs="Arial"/>
        </w:rPr>
        <w:footnoteReference w:id="28"/>
      </w:r>
      <w:r w:rsidR="008321DE" w:rsidRPr="006A4649">
        <w:rPr>
          <w:rFonts w:ascii="Arial" w:hAnsi="Arial" w:cs="Arial"/>
          <w:i/>
          <w:iCs/>
        </w:rPr>
        <w:t xml:space="preserve"> </w:t>
      </w:r>
      <w:r w:rsidR="008321DE" w:rsidRPr="006A4649">
        <w:rPr>
          <w:rFonts w:ascii="Arial" w:hAnsi="Arial" w:cs="Arial"/>
        </w:rPr>
        <w:t>it was held that:</w:t>
      </w:r>
    </w:p>
    <w:p w14:paraId="4124B50D" w14:textId="168AA0D4" w:rsidR="008321DE" w:rsidRDefault="008321DE" w:rsidP="008321DE">
      <w:pPr>
        <w:pStyle w:val="ListParagraph"/>
        <w:rPr>
          <w:rFonts w:ascii="Arial" w:hAnsi="Arial" w:cs="Arial"/>
          <w:i/>
          <w:iCs/>
        </w:rPr>
      </w:pPr>
    </w:p>
    <w:p w14:paraId="5F4898A4" w14:textId="3D7E004F" w:rsidR="008321DE" w:rsidRPr="00E31A36" w:rsidRDefault="00E31A36" w:rsidP="00331DC2">
      <w:pPr>
        <w:pStyle w:val="ListParagraph"/>
        <w:spacing w:line="360" w:lineRule="auto"/>
        <w:ind w:left="2268" w:hanging="850"/>
        <w:jc w:val="both"/>
        <w:rPr>
          <w:rFonts w:ascii="Arial" w:hAnsi="Arial" w:cs="Arial"/>
          <w:i/>
          <w:iCs/>
          <w:sz w:val="22"/>
          <w:szCs w:val="22"/>
        </w:rPr>
      </w:pPr>
      <w:r>
        <w:rPr>
          <w:rFonts w:ascii="Arial" w:hAnsi="Arial" w:cs="Arial"/>
          <w:i/>
          <w:iCs/>
          <w:sz w:val="22"/>
          <w:szCs w:val="22"/>
        </w:rPr>
        <w:t>“</w:t>
      </w:r>
      <w:r w:rsidRPr="00E31A36">
        <w:rPr>
          <w:rFonts w:ascii="Arial" w:hAnsi="Arial" w:cs="Arial"/>
          <w:i/>
          <w:iCs/>
          <w:sz w:val="22"/>
          <w:szCs w:val="22"/>
        </w:rPr>
        <w:t>[92]</w:t>
      </w:r>
      <w:r w:rsidRPr="00E31A36">
        <w:rPr>
          <w:rFonts w:ascii="Arial" w:hAnsi="Arial" w:cs="Arial"/>
          <w:i/>
          <w:iCs/>
          <w:sz w:val="22"/>
          <w:szCs w:val="22"/>
        </w:rPr>
        <w:tab/>
      </w:r>
      <w:r>
        <w:rPr>
          <w:rFonts w:ascii="Arial" w:hAnsi="Arial" w:cs="Arial"/>
          <w:i/>
          <w:iCs/>
          <w:sz w:val="22"/>
          <w:szCs w:val="22"/>
        </w:rPr>
        <w:t>In order to give effect to the constitutional right of access to information held by the State, qualified only by the limitation clause 36 of the Constitution and other rights, the restrictive wording used by s 46 of PAIA must be read subject to s 81 of PAIA</w:t>
      </w:r>
      <w:r w:rsidR="004F66D5">
        <w:rPr>
          <w:rFonts w:ascii="Arial" w:hAnsi="Arial" w:cs="Arial"/>
          <w:i/>
          <w:iCs/>
          <w:sz w:val="22"/>
          <w:szCs w:val="22"/>
        </w:rPr>
        <w:t xml:space="preserve">. </w:t>
      </w:r>
      <w:r>
        <w:rPr>
          <w:rFonts w:ascii="Arial" w:hAnsi="Arial" w:cs="Arial"/>
          <w:i/>
          <w:iCs/>
          <w:sz w:val="22"/>
          <w:szCs w:val="22"/>
        </w:rPr>
        <w:t>Section 81 stipulates that the rules of evidence applicable in civil proceedings apply to the proceedings on application in terms of s 78</w:t>
      </w:r>
      <w:r w:rsidR="004F66D5">
        <w:rPr>
          <w:rFonts w:ascii="Arial" w:hAnsi="Arial" w:cs="Arial"/>
          <w:i/>
          <w:iCs/>
          <w:sz w:val="22"/>
          <w:szCs w:val="22"/>
        </w:rPr>
        <w:t xml:space="preserve">. </w:t>
      </w:r>
      <w:r>
        <w:rPr>
          <w:rFonts w:ascii="Arial" w:hAnsi="Arial" w:cs="Arial"/>
          <w:i/>
          <w:iCs/>
          <w:sz w:val="22"/>
          <w:szCs w:val="22"/>
        </w:rPr>
        <w:t>This is an application under s 78 and the civil onus for the discharging of the burden of proof referred to in s 81(2) is proof on a balance of probabilities</w:t>
      </w:r>
      <w:r w:rsidR="004F66D5">
        <w:rPr>
          <w:rFonts w:ascii="Arial" w:hAnsi="Arial" w:cs="Arial"/>
          <w:i/>
          <w:iCs/>
          <w:sz w:val="22"/>
          <w:szCs w:val="22"/>
        </w:rPr>
        <w:t xml:space="preserve">. </w:t>
      </w:r>
      <w:r>
        <w:rPr>
          <w:rFonts w:ascii="Arial" w:hAnsi="Arial" w:cs="Arial"/>
          <w:i/>
          <w:iCs/>
          <w:sz w:val="22"/>
          <w:szCs w:val="22"/>
        </w:rPr>
        <w:t>It follows that the applicant in this case</w:t>
      </w:r>
      <w:r w:rsidR="00331DC2">
        <w:rPr>
          <w:rFonts w:ascii="Arial" w:hAnsi="Arial" w:cs="Arial"/>
          <w:i/>
          <w:iCs/>
          <w:sz w:val="22"/>
          <w:szCs w:val="22"/>
        </w:rPr>
        <w:t xml:space="preserve"> must prove on a balance of probabilities that the disclosure of the schedules would reveal evidence of a substantial contravention of, or failure to comply with, the law.</w:t>
      </w:r>
    </w:p>
    <w:p w14:paraId="4281551A" w14:textId="76AA927F" w:rsidR="00E31A36" w:rsidRPr="00E31A36" w:rsidRDefault="00E31A36" w:rsidP="00331DC2">
      <w:pPr>
        <w:pStyle w:val="ListParagraph"/>
        <w:spacing w:line="360" w:lineRule="auto"/>
        <w:ind w:left="2268" w:hanging="708"/>
        <w:jc w:val="both"/>
        <w:rPr>
          <w:rFonts w:ascii="Arial" w:hAnsi="Arial" w:cs="Arial"/>
          <w:i/>
          <w:iCs/>
          <w:sz w:val="22"/>
          <w:szCs w:val="22"/>
        </w:rPr>
      </w:pPr>
    </w:p>
    <w:p w14:paraId="08C2F9FE" w14:textId="216C600A" w:rsidR="00E31A36" w:rsidRPr="00E31A36" w:rsidRDefault="00E31A36" w:rsidP="00331DC2">
      <w:pPr>
        <w:pStyle w:val="ListParagraph"/>
        <w:spacing w:line="360" w:lineRule="auto"/>
        <w:ind w:left="2268" w:hanging="708"/>
        <w:jc w:val="both"/>
        <w:rPr>
          <w:rFonts w:ascii="Arial" w:hAnsi="Arial" w:cs="Arial"/>
          <w:i/>
          <w:iCs/>
          <w:sz w:val="22"/>
          <w:szCs w:val="22"/>
        </w:rPr>
      </w:pPr>
      <w:r w:rsidRPr="00E31A36">
        <w:rPr>
          <w:rFonts w:ascii="Arial" w:hAnsi="Arial" w:cs="Arial"/>
          <w:i/>
          <w:iCs/>
          <w:sz w:val="22"/>
          <w:szCs w:val="22"/>
        </w:rPr>
        <w:t>[93]</w:t>
      </w:r>
      <w:r w:rsidR="00331DC2">
        <w:rPr>
          <w:rFonts w:ascii="Arial" w:hAnsi="Arial" w:cs="Arial"/>
          <w:i/>
          <w:iCs/>
          <w:sz w:val="22"/>
          <w:szCs w:val="22"/>
        </w:rPr>
        <w:tab/>
      </w:r>
      <w:r w:rsidRPr="00E31A36">
        <w:rPr>
          <w:rFonts w:ascii="Arial" w:hAnsi="Arial" w:cs="Arial"/>
          <w:i/>
          <w:iCs/>
          <w:sz w:val="22"/>
          <w:szCs w:val="22"/>
        </w:rPr>
        <w:t xml:space="preserve"> . . .</w:t>
      </w:r>
    </w:p>
    <w:p w14:paraId="43EA63EB" w14:textId="12081001" w:rsidR="00E31A36" w:rsidRPr="00E31A36" w:rsidRDefault="00E31A36" w:rsidP="00331DC2">
      <w:pPr>
        <w:pStyle w:val="ListParagraph"/>
        <w:spacing w:line="360" w:lineRule="auto"/>
        <w:ind w:left="2268" w:hanging="708"/>
        <w:jc w:val="both"/>
        <w:rPr>
          <w:rFonts w:ascii="Arial" w:hAnsi="Arial" w:cs="Arial"/>
          <w:i/>
          <w:iCs/>
          <w:sz w:val="22"/>
          <w:szCs w:val="22"/>
        </w:rPr>
      </w:pPr>
    </w:p>
    <w:p w14:paraId="4234034B" w14:textId="77777777" w:rsidR="009F13C6" w:rsidRDefault="00E31A36" w:rsidP="009F13C6">
      <w:pPr>
        <w:pStyle w:val="ListParagraph"/>
        <w:spacing w:line="360" w:lineRule="auto"/>
        <w:ind w:left="2268" w:hanging="708"/>
        <w:jc w:val="both"/>
        <w:rPr>
          <w:rFonts w:ascii="Arial" w:hAnsi="Arial" w:cs="Arial"/>
          <w:i/>
          <w:iCs/>
          <w:sz w:val="22"/>
          <w:szCs w:val="22"/>
        </w:rPr>
      </w:pPr>
      <w:r w:rsidRPr="00E31A36">
        <w:rPr>
          <w:rFonts w:ascii="Arial" w:hAnsi="Arial" w:cs="Arial"/>
          <w:i/>
          <w:iCs/>
          <w:sz w:val="22"/>
          <w:szCs w:val="22"/>
        </w:rPr>
        <w:t xml:space="preserve">[94] </w:t>
      </w:r>
      <w:r w:rsidR="00331DC2">
        <w:rPr>
          <w:rFonts w:ascii="Arial" w:hAnsi="Arial" w:cs="Arial"/>
          <w:i/>
          <w:iCs/>
          <w:sz w:val="22"/>
          <w:szCs w:val="22"/>
        </w:rPr>
        <w:tab/>
        <w:t>In these circumstances a requestor is called upon to show on a balance of probability that the disclosure would reveal evidence of the required contravention or failure – not that the disclosure would, as a fact, show such contravention or failure.”</w:t>
      </w:r>
    </w:p>
    <w:p w14:paraId="1D9DC477" w14:textId="77777777" w:rsidR="009F13C6" w:rsidRDefault="009F13C6" w:rsidP="009F13C6">
      <w:pPr>
        <w:spacing w:line="360" w:lineRule="auto"/>
        <w:jc w:val="both"/>
        <w:rPr>
          <w:rFonts w:ascii="Arial" w:hAnsi="Arial" w:cs="Arial"/>
        </w:rPr>
      </w:pPr>
    </w:p>
    <w:p w14:paraId="42AC6EF5" w14:textId="52A54D55" w:rsidR="00FC5ACE" w:rsidRPr="006A4649" w:rsidRDefault="006A4649" w:rsidP="006A4649">
      <w:pPr>
        <w:spacing w:line="360" w:lineRule="auto"/>
        <w:ind w:left="851" w:hanging="851"/>
        <w:jc w:val="both"/>
        <w:rPr>
          <w:rFonts w:ascii="Arial" w:hAnsi="Arial" w:cs="Arial"/>
          <w:i/>
          <w:iCs/>
          <w:sz w:val="22"/>
          <w:szCs w:val="22"/>
        </w:rPr>
      </w:pPr>
      <w:r w:rsidRPr="009F13C6">
        <w:rPr>
          <w:rFonts w:ascii="Arial" w:hAnsi="Arial" w:cs="Arial"/>
        </w:rPr>
        <w:t>[50]</w:t>
      </w:r>
      <w:r w:rsidRPr="009F13C6">
        <w:rPr>
          <w:rFonts w:ascii="Arial" w:hAnsi="Arial" w:cs="Arial"/>
        </w:rPr>
        <w:tab/>
      </w:r>
      <w:r w:rsidR="00E31A36" w:rsidRPr="006A4649">
        <w:rPr>
          <w:rFonts w:ascii="Arial" w:hAnsi="Arial" w:cs="Arial"/>
        </w:rPr>
        <w:t>T</w:t>
      </w:r>
      <w:r w:rsidR="00CB0076" w:rsidRPr="006A4649">
        <w:rPr>
          <w:rFonts w:ascii="Arial" w:hAnsi="Arial" w:cs="Arial"/>
        </w:rPr>
        <w:t xml:space="preserve">here is an onus on </w:t>
      </w:r>
      <w:r w:rsidR="00906597" w:rsidRPr="006A4649">
        <w:rPr>
          <w:rFonts w:ascii="Arial" w:hAnsi="Arial" w:cs="Arial"/>
        </w:rPr>
        <w:t>OUTA</w:t>
      </w:r>
      <w:r w:rsidR="00CB0076" w:rsidRPr="006A4649">
        <w:rPr>
          <w:rFonts w:ascii="Arial" w:hAnsi="Arial" w:cs="Arial"/>
        </w:rPr>
        <w:t xml:space="preserve"> to show on a balance of probabilit</w:t>
      </w:r>
      <w:r w:rsidR="00FF6376" w:rsidRPr="006A4649">
        <w:rPr>
          <w:rFonts w:ascii="Arial" w:hAnsi="Arial" w:cs="Arial"/>
        </w:rPr>
        <w:t>ies</w:t>
      </w:r>
      <w:r w:rsidR="00CB0076" w:rsidRPr="006A4649">
        <w:rPr>
          <w:rFonts w:ascii="Arial" w:hAnsi="Arial" w:cs="Arial"/>
        </w:rPr>
        <w:t xml:space="preserve"> that the disclosure would reveal evidence of either a substantial contravention of or failure to comply with the law, imminent or serious public safety or environmental risk or that the public interest in the disclosure would clearly outweigh the harm</w:t>
      </w:r>
      <w:r w:rsidR="004F66D5" w:rsidRPr="006A4649">
        <w:rPr>
          <w:rFonts w:ascii="Arial" w:hAnsi="Arial" w:cs="Arial"/>
        </w:rPr>
        <w:t xml:space="preserve">. </w:t>
      </w:r>
    </w:p>
    <w:p w14:paraId="126E63E4" w14:textId="77777777" w:rsidR="00FC5ACE" w:rsidRDefault="00FC5ACE" w:rsidP="00B10A75">
      <w:pPr>
        <w:pStyle w:val="ListParagraph"/>
        <w:spacing w:line="360" w:lineRule="auto"/>
        <w:ind w:left="851" w:right="50" w:hanging="851"/>
        <w:jc w:val="both"/>
        <w:rPr>
          <w:rFonts w:ascii="Arial" w:hAnsi="Arial" w:cs="Arial"/>
        </w:rPr>
      </w:pPr>
    </w:p>
    <w:p w14:paraId="56BC139E" w14:textId="3783030D" w:rsidR="00D9200F" w:rsidRPr="006A4649" w:rsidRDefault="006A4649" w:rsidP="006A4649">
      <w:pPr>
        <w:spacing w:line="360" w:lineRule="auto"/>
        <w:ind w:left="851" w:right="50" w:hanging="851"/>
        <w:jc w:val="both"/>
        <w:rPr>
          <w:rFonts w:ascii="Arial" w:hAnsi="Arial" w:cs="Arial"/>
        </w:rPr>
      </w:pPr>
      <w:r>
        <w:rPr>
          <w:rFonts w:ascii="Arial" w:hAnsi="Arial" w:cs="Arial"/>
        </w:rPr>
        <w:t>[51]</w:t>
      </w:r>
      <w:r>
        <w:rPr>
          <w:rFonts w:ascii="Arial" w:hAnsi="Arial" w:cs="Arial"/>
        </w:rPr>
        <w:tab/>
      </w:r>
      <w:r w:rsidR="00FC5ACE" w:rsidRPr="006A4649">
        <w:rPr>
          <w:rFonts w:ascii="Arial" w:hAnsi="Arial" w:cs="Arial"/>
        </w:rPr>
        <w:t>The entirety of the argument made by OUTA on this score was predicated on its “</w:t>
      </w:r>
      <w:r w:rsidR="00FC5ACE" w:rsidRPr="006A4649">
        <w:rPr>
          <w:rFonts w:ascii="Arial" w:hAnsi="Arial" w:cs="Arial"/>
          <w:i/>
          <w:iCs/>
          <w:sz w:val="22"/>
          <w:szCs w:val="22"/>
        </w:rPr>
        <w:t xml:space="preserve">evaluation of the legality of the agreement” </w:t>
      </w:r>
      <w:r w:rsidR="00FC5ACE" w:rsidRPr="006A4649">
        <w:rPr>
          <w:rFonts w:ascii="Arial" w:hAnsi="Arial" w:cs="Arial"/>
        </w:rPr>
        <w:t>and a determination in consequence of such evaluation as to whether or not SANRAL had “</w:t>
      </w:r>
      <w:r w:rsidR="00FC5ACE" w:rsidRPr="006A4649">
        <w:rPr>
          <w:rFonts w:ascii="Arial" w:hAnsi="Arial" w:cs="Arial"/>
          <w:i/>
          <w:iCs/>
          <w:sz w:val="22"/>
          <w:szCs w:val="22"/>
        </w:rPr>
        <w:t xml:space="preserve">acted unlawfully in the implementation” </w:t>
      </w:r>
      <w:r w:rsidR="00FC5ACE" w:rsidRPr="006A4649">
        <w:rPr>
          <w:rFonts w:ascii="Arial" w:hAnsi="Arial" w:cs="Arial"/>
        </w:rPr>
        <w:t>of the agreement.</w:t>
      </w:r>
      <w:r w:rsidR="00D9200F" w:rsidRPr="006A4649">
        <w:rPr>
          <w:rFonts w:ascii="Arial" w:hAnsi="Arial" w:cs="Arial"/>
        </w:rPr>
        <w:t xml:space="preserve"> </w:t>
      </w:r>
    </w:p>
    <w:p w14:paraId="08497A3B" w14:textId="77777777" w:rsidR="00D9200F" w:rsidRPr="00D9200F" w:rsidRDefault="00D9200F" w:rsidP="00B10A75">
      <w:pPr>
        <w:pStyle w:val="ListParagraph"/>
        <w:ind w:left="851" w:hanging="851"/>
        <w:rPr>
          <w:rFonts w:ascii="Arial" w:hAnsi="Arial" w:cs="Arial"/>
        </w:rPr>
      </w:pPr>
    </w:p>
    <w:p w14:paraId="6BA95188" w14:textId="12439483" w:rsidR="005759EF" w:rsidRPr="006A4649" w:rsidRDefault="006A4649" w:rsidP="006A4649">
      <w:pPr>
        <w:spacing w:line="360" w:lineRule="auto"/>
        <w:ind w:left="851" w:right="50" w:hanging="851"/>
        <w:jc w:val="both"/>
        <w:rPr>
          <w:rFonts w:ascii="Arial" w:hAnsi="Arial" w:cs="Arial"/>
        </w:rPr>
      </w:pPr>
      <w:r>
        <w:rPr>
          <w:rFonts w:ascii="Arial" w:hAnsi="Arial" w:cs="Arial"/>
        </w:rPr>
        <w:t>[52]</w:t>
      </w:r>
      <w:r>
        <w:rPr>
          <w:rFonts w:ascii="Arial" w:hAnsi="Arial" w:cs="Arial"/>
        </w:rPr>
        <w:tab/>
      </w:r>
      <w:r w:rsidR="00D9200F" w:rsidRPr="006A4649">
        <w:rPr>
          <w:rFonts w:ascii="Arial" w:hAnsi="Arial" w:cs="Arial"/>
        </w:rPr>
        <w:t xml:space="preserve">In argument I was directed </w:t>
      </w:r>
      <w:r w:rsidR="005759EF" w:rsidRPr="006A4649">
        <w:rPr>
          <w:rFonts w:ascii="Arial" w:hAnsi="Arial" w:cs="Arial"/>
        </w:rPr>
        <w:t xml:space="preserve">by OUTA </w:t>
      </w:r>
      <w:r w:rsidR="00D9200F" w:rsidRPr="006A4649">
        <w:rPr>
          <w:rFonts w:ascii="Arial" w:hAnsi="Arial" w:cs="Arial"/>
        </w:rPr>
        <w:t>to the provisions of s 80</w:t>
      </w:r>
      <w:r w:rsidR="005759EF" w:rsidRPr="006A4649">
        <w:rPr>
          <w:rFonts w:ascii="Arial" w:hAnsi="Arial" w:cs="Arial"/>
        </w:rPr>
        <w:t>(1) of PAIA which provides that:</w:t>
      </w:r>
    </w:p>
    <w:p w14:paraId="59A9BA27" w14:textId="77777777" w:rsidR="005759EF" w:rsidRPr="005759EF" w:rsidRDefault="005759EF" w:rsidP="005759EF">
      <w:pPr>
        <w:pStyle w:val="ListParagraph"/>
        <w:rPr>
          <w:rFonts w:ascii="Arial" w:hAnsi="Arial" w:cs="Arial"/>
        </w:rPr>
      </w:pPr>
    </w:p>
    <w:p w14:paraId="579EF365" w14:textId="38B0A2DF" w:rsidR="00FC5ACE" w:rsidRPr="005759EF" w:rsidRDefault="005759EF" w:rsidP="005759EF">
      <w:pPr>
        <w:pStyle w:val="ListParagraph"/>
        <w:spacing w:line="360" w:lineRule="auto"/>
        <w:ind w:left="1418" w:right="50"/>
        <w:jc w:val="both"/>
        <w:rPr>
          <w:rFonts w:ascii="Arial" w:hAnsi="Arial" w:cs="Arial"/>
          <w:i/>
          <w:iCs/>
          <w:sz w:val="22"/>
          <w:szCs w:val="22"/>
        </w:rPr>
      </w:pPr>
      <w:r w:rsidRPr="005759EF">
        <w:rPr>
          <w:rFonts w:ascii="Arial" w:hAnsi="Arial" w:cs="Arial"/>
          <w:i/>
          <w:iCs/>
          <w:sz w:val="22"/>
          <w:szCs w:val="22"/>
        </w:rPr>
        <w:t>“</w:t>
      </w:r>
      <w:r>
        <w:rPr>
          <w:rFonts w:ascii="Arial" w:hAnsi="Arial" w:cs="Arial"/>
          <w:i/>
          <w:iCs/>
          <w:sz w:val="22"/>
          <w:szCs w:val="22"/>
        </w:rPr>
        <w:t>Despite this Act and any other law, any court hearing an application, or an appeal against a decision on that application, may examine any record of a public or private body to which this Act applies, and no such record may be withheld from the court on any grounds.”</w:t>
      </w:r>
    </w:p>
    <w:p w14:paraId="07EC4A0E" w14:textId="77777777" w:rsidR="00FC5ACE" w:rsidRPr="00FC5ACE" w:rsidRDefault="00FC5ACE" w:rsidP="00FC5ACE">
      <w:pPr>
        <w:pStyle w:val="ListParagraph"/>
        <w:rPr>
          <w:rFonts w:ascii="Arial" w:hAnsi="Arial" w:cs="Arial"/>
        </w:rPr>
      </w:pPr>
    </w:p>
    <w:p w14:paraId="087A89D5" w14:textId="046A852D" w:rsidR="00961E27" w:rsidRPr="006A4649" w:rsidRDefault="006A4649" w:rsidP="006A4649">
      <w:pPr>
        <w:tabs>
          <w:tab w:val="center" w:pos="851"/>
        </w:tabs>
        <w:spacing w:line="360" w:lineRule="auto"/>
        <w:ind w:left="851" w:right="50" w:hanging="851"/>
        <w:jc w:val="both"/>
        <w:rPr>
          <w:rFonts w:ascii="Arial" w:hAnsi="Arial" w:cs="Arial"/>
        </w:rPr>
      </w:pPr>
      <w:r>
        <w:rPr>
          <w:rFonts w:ascii="Arial" w:hAnsi="Arial" w:cs="Arial"/>
        </w:rPr>
        <w:t>[53]</w:t>
      </w:r>
      <w:r>
        <w:rPr>
          <w:rFonts w:ascii="Arial" w:hAnsi="Arial" w:cs="Arial"/>
        </w:rPr>
        <w:tab/>
      </w:r>
      <w:r w:rsidR="005759EF" w:rsidRPr="006A4649">
        <w:rPr>
          <w:rFonts w:ascii="Arial" w:hAnsi="Arial" w:cs="Arial"/>
        </w:rPr>
        <w:t>Notwithstanding the invitation to call for any of the disputed documents, OUTA inexplicably failed to place before the Court, when it was clearly able to do so, the main agreement or portions thereof that it had in its possession. The highwater mark of OUTA’s argument that the disputed contract/s and financial records ought to be furnished in the public interes</w:t>
      </w:r>
      <w:r w:rsidR="005C6C96" w:rsidRPr="006A4649">
        <w:rPr>
          <w:rFonts w:ascii="Arial" w:hAnsi="Arial" w:cs="Arial"/>
        </w:rPr>
        <w:t xml:space="preserve">t was the argument and conclusion, made and reached </w:t>
      </w:r>
      <w:r w:rsidR="005C6C96" w:rsidRPr="006A4649">
        <w:rPr>
          <w:rFonts w:ascii="Arial" w:hAnsi="Arial" w:cs="Arial"/>
          <w:i/>
          <w:iCs/>
        </w:rPr>
        <w:t>in vacuo</w:t>
      </w:r>
      <w:r w:rsidR="005C6C96" w:rsidRPr="006A4649">
        <w:rPr>
          <w:rFonts w:ascii="Arial" w:hAnsi="Arial" w:cs="Arial"/>
        </w:rPr>
        <w:t xml:space="preserve"> without any basis</w:t>
      </w:r>
      <w:r w:rsidR="009202FE">
        <w:rPr>
          <w:rStyle w:val="FootnoteReference"/>
          <w:rFonts w:ascii="Arial" w:hAnsi="Arial" w:cs="Arial"/>
        </w:rPr>
        <w:footnoteReference w:id="29"/>
      </w:r>
      <w:r w:rsidR="005C6C96" w:rsidRPr="006A4649">
        <w:rPr>
          <w:rFonts w:ascii="Arial" w:hAnsi="Arial" w:cs="Arial"/>
        </w:rPr>
        <w:t xml:space="preserve"> having been laid for it</w:t>
      </w:r>
      <w:r w:rsidR="00C24CCA">
        <w:rPr>
          <w:rStyle w:val="FootnoteReference"/>
          <w:rFonts w:ascii="Arial" w:hAnsi="Arial" w:cs="Arial"/>
        </w:rPr>
        <w:footnoteReference w:id="30"/>
      </w:r>
      <w:r w:rsidR="005C6C96" w:rsidRPr="006A4649">
        <w:rPr>
          <w:rFonts w:ascii="Arial" w:hAnsi="Arial" w:cs="Arial"/>
        </w:rPr>
        <w:t xml:space="preserve"> that: </w:t>
      </w:r>
    </w:p>
    <w:p w14:paraId="5B0C2C4E" w14:textId="045CAAAD" w:rsidR="00B10A75" w:rsidRDefault="00B10A75" w:rsidP="00B10A75">
      <w:pPr>
        <w:pStyle w:val="ListParagraph"/>
        <w:tabs>
          <w:tab w:val="center" w:pos="851"/>
        </w:tabs>
        <w:spacing w:line="360" w:lineRule="auto"/>
        <w:ind w:left="851" w:right="50"/>
        <w:jc w:val="both"/>
        <w:rPr>
          <w:rFonts w:ascii="Arial" w:hAnsi="Arial" w:cs="Arial"/>
        </w:rPr>
      </w:pPr>
    </w:p>
    <w:p w14:paraId="720C59A1" w14:textId="15B5A051" w:rsidR="00201CB3" w:rsidRDefault="00201CB3" w:rsidP="00201CB3">
      <w:pPr>
        <w:pStyle w:val="ListParagraph"/>
        <w:spacing w:line="360" w:lineRule="auto"/>
        <w:ind w:left="1418" w:right="50"/>
        <w:jc w:val="both"/>
        <w:rPr>
          <w:rFonts w:ascii="Arial" w:hAnsi="Arial" w:cs="Arial"/>
          <w:i/>
          <w:iCs/>
          <w:sz w:val="22"/>
          <w:szCs w:val="22"/>
        </w:rPr>
      </w:pPr>
      <w:r>
        <w:rPr>
          <w:rFonts w:ascii="Arial" w:hAnsi="Arial" w:cs="Arial"/>
        </w:rPr>
        <w:tab/>
      </w:r>
      <w:r>
        <w:rPr>
          <w:rFonts w:ascii="Arial" w:hAnsi="Arial" w:cs="Arial"/>
          <w:i/>
          <w:iCs/>
          <w:sz w:val="22"/>
          <w:szCs w:val="22"/>
        </w:rPr>
        <w:t>“The competitive tender process must be understood in the context of South Africa’s small and competitive construction and toll operation sectors, particularly so when having regard to the recent demise of a number of participants.”</w:t>
      </w:r>
    </w:p>
    <w:p w14:paraId="73D4062F" w14:textId="27FE3336" w:rsidR="00201CB3" w:rsidRDefault="00201CB3" w:rsidP="00B10A75">
      <w:pPr>
        <w:pStyle w:val="ListParagraph"/>
        <w:tabs>
          <w:tab w:val="center" w:pos="851"/>
        </w:tabs>
        <w:spacing w:line="360" w:lineRule="auto"/>
        <w:ind w:left="851" w:right="50"/>
        <w:jc w:val="both"/>
        <w:rPr>
          <w:rFonts w:ascii="Arial" w:hAnsi="Arial" w:cs="Arial"/>
          <w:i/>
          <w:iCs/>
          <w:sz w:val="22"/>
          <w:szCs w:val="22"/>
        </w:rPr>
      </w:pPr>
    </w:p>
    <w:p w14:paraId="5DFF5517" w14:textId="66F0C030" w:rsidR="00201CB3" w:rsidRPr="00201CB3" w:rsidRDefault="00201CB3" w:rsidP="00B10A75">
      <w:pPr>
        <w:pStyle w:val="ListParagraph"/>
        <w:tabs>
          <w:tab w:val="center" w:pos="851"/>
        </w:tabs>
        <w:spacing w:line="360" w:lineRule="auto"/>
        <w:ind w:left="851" w:right="50"/>
        <w:jc w:val="both"/>
        <w:rPr>
          <w:rFonts w:ascii="Arial" w:hAnsi="Arial" w:cs="Arial"/>
        </w:rPr>
      </w:pPr>
      <w:r w:rsidRPr="00201CB3">
        <w:rPr>
          <w:rFonts w:ascii="Arial" w:hAnsi="Arial" w:cs="Arial"/>
        </w:rPr>
        <w:t>And</w:t>
      </w:r>
    </w:p>
    <w:p w14:paraId="174F098F" w14:textId="77777777" w:rsidR="00201CB3" w:rsidRPr="00201CB3" w:rsidRDefault="00201CB3" w:rsidP="00B10A75">
      <w:pPr>
        <w:pStyle w:val="ListParagraph"/>
        <w:tabs>
          <w:tab w:val="center" w:pos="851"/>
        </w:tabs>
        <w:spacing w:line="360" w:lineRule="auto"/>
        <w:ind w:left="851" w:right="50"/>
        <w:jc w:val="both"/>
        <w:rPr>
          <w:rFonts w:ascii="Arial" w:hAnsi="Arial" w:cs="Arial"/>
          <w:i/>
          <w:iCs/>
          <w:sz w:val="22"/>
          <w:szCs w:val="22"/>
        </w:rPr>
      </w:pPr>
    </w:p>
    <w:p w14:paraId="5B7A75AE" w14:textId="68C32B59" w:rsidR="005C6C96" w:rsidRPr="005C6C96" w:rsidRDefault="005C6C96" w:rsidP="005C6C96">
      <w:pPr>
        <w:pStyle w:val="ListParagraph"/>
        <w:spacing w:line="360" w:lineRule="auto"/>
        <w:ind w:left="1440" w:right="50"/>
        <w:jc w:val="both"/>
        <w:rPr>
          <w:rFonts w:ascii="Arial" w:hAnsi="Arial" w:cs="Arial"/>
          <w:i/>
          <w:iCs/>
          <w:sz w:val="22"/>
          <w:szCs w:val="22"/>
        </w:rPr>
      </w:pPr>
      <w:r>
        <w:rPr>
          <w:rFonts w:ascii="Arial" w:hAnsi="Arial" w:cs="Arial"/>
        </w:rPr>
        <w:t>“</w:t>
      </w:r>
      <w:r>
        <w:rPr>
          <w:rFonts w:ascii="Arial" w:hAnsi="Arial" w:cs="Arial"/>
          <w:i/>
          <w:iCs/>
          <w:sz w:val="22"/>
          <w:szCs w:val="22"/>
        </w:rPr>
        <w:t>The astronomical profit made by the concessionaire cannot be said to be cost effective</w:t>
      </w:r>
      <w:r w:rsidR="004F66D5">
        <w:rPr>
          <w:rFonts w:ascii="Arial" w:hAnsi="Arial" w:cs="Arial"/>
          <w:i/>
          <w:iCs/>
          <w:sz w:val="22"/>
          <w:szCs w:val="22"/>
        </w:rPr>
        <w:t xml:space="preserve">. </w:t>
      </w:r>
      <w:r>
        <w:rPr>
          <w:rFonts w:ascii="Arial" w:hAnsi="Arial" w:cs="Arial"/>
          <w:i/>
          <w:iCs/>
          <w:sz w:val="22"/>
          <w:szCs w:val="22"/>
        </w:rPr>
        <w:t>The motoring public are not furnished with timeously accessible and accurate information, and yet they have to pay these increases on the say so of SANRAL, whom, 99% of the time, accepts the recommendation given to them by the consultant”.</w:t>
      </w:r>
    </w:p>
    <w:p w14:paraId="518A6C14" w14:textId="77777777" w:rsidR="005C6C96" w:rsidRDefault="005759EF" w:rsidP="005C6C96">
      <w:pPr>
        <w:pStyle w:val="ListParagraph"/>
        <w:spacing w:line="360" w:lineRule="auto"/>
        <w:ind w:left="851" w:right="50"/>
        <w:jc w:val="both"/>
        <w:rPr>
          <w:rFonts w:ascii="Arial" w:hAnsi="Arial" w:cs="Arial"/>
        </w:rPr>
      </w:pPr>
      <w:r>
        <w:rPr>
          <w:rFonts w:ascii="Arial" w:hAnsi="Arial" w:cs="Arial"/>
        </w:rPr>
        <w:t xml:space="preserve"> </w:t>
      </w:r>
    </w:p>
    <w:p w14:paraId="4110F2F7" w14:textId="12C0BB85" w:rsidR="00BB0BE0" w:rsidRPr="006A4649" w:rsidRDefault="006A4649" w:rsidP="006A4649">
      <w:pPr>
        <w:spacing w:line="360" w:lineRule="auto"/>
        <w:ind w:left="851" w:right="50" w:hanging="851"/>
        <w:jc w:val="both"/>
        <w:rPr>
          <w:rFonts w:ascii="Arial" w:hAnsi="Arial" w:cs="Arial"/>
        </w:rPr>
      </w:pPr>
      <w:r w:rsidRPr="00483489">
        <w:rPr>
          <w:rFonts w:ascii="Arial" w:hAnsi="Arial" w:cs="Arial"/>
        </w:rPr>
        <w:t>[54]</w:t>
      </w:r>
      <w:r w:rsidRPr="00483489">
        <w:rPr>
          <w:rFonts w:ascii="Arial" w:hAnsi="Arial" w:cs="Arial"/>
        </w:rPr>
        <w:tab/>
      </w:r>
      <w:r w:rsidR="005C6C96" w:rsidRPr="006A4649">
        <w:rPr>
          <w:rFonts w:ascii="Arial" w:hAnsi="Arial" w:cs="Arial"/>
        </w:rPr>
        <w:t xml:space="preserve">Both SANRAL and N3TC argued that OUTA failed to </w:t>
      </w:r>
      <w:r w:rsidR="00CB0076" w:rsidRPr="006A4649">
        <w:rPr>
          <w:rFonts w:ascii="Arial" w:hAnsi="Arial" w:cs="Arial"/>
        </w:rPr>
        <w:t xml:space="preserve">demonstrate </w:t>
      </w:r>
      <w:r w:rsidR="005C6C96" w:rsidRPr="006A4649">
        <w:rPr>
          <w:rFonts w:ascii="Arial" w:hAnsi="Arial" w:cs="Arial"/>
        </w:rPr>
        <w:t xml:space="preserve">that the non-disclosure of N3TC’s confidential financial information would </w:t>
      </w:r>
      <w:r w:rsidR="00BB0BE0" w:rsidRPr="006A4649">
        <w:rPr>
          <w:rFonts w:ascii="Arial" w:hAnsi="Arial" w:cs="Arial"/>
        </w:rPr>
        <w:t>reveal</w:t>
      </w:r>
      <w:r w:rsidR="005C6C96" w:rsidRPr="006A4649">
        <w:rPr>
          <w:rFonts w:ascii="Arial" w:hAnsi="Arial" w:cs="Arial"/>
        </w:rPr>
        <w:t xml:space="preserve"> either “</w:t>
      </w:r>
      <w:r w:rsidR="005C6C96" w:rsidRPr="006A4649">
        <w:rPr>
          <w:rFonts w:ascii="Arial" w:hAnsi="Arial" w:cs="Arial"/>
          <w:i/>
          <w:iCs/>
          <w:sz w:val="22"/>
          <w:szCs w:val="22"/>
        </w:rPr>
        <w:t>a substantial contravention of, or failure to comply with, the law; or an imminent and serious public safety or environmental risk”;</w:t>
      </w:r>
      <w:r w:rsidR="00F74042">
        <w:rPr>
          <w:rStyle w:val="FootnoteReference"/>
          <w:rFonts w:ascii="Arial" w:hAnsi="Arial" w:cs="Arial"/>
          <w:i/>
          <w:iCs/>
          <w:sz w:val="22"/>
          <w:szCs w:val="22"/>
        </w:rPr>
        <w:footnoteReference w:id="31"/>
      </w:r>
      <w:r w:rsidR="005C6C96" w:rsidRPr="006A4649">
        <w:rPr>
          <w:rFonts w:ascii="Arial" w:hAnsi="Arial" w:cs="Arial"/>
          <w:i/>
          <w:iCs/>
          <w:sz w:val="22"/>
          <w:szCs w:val="22"/>
        </w:rPr>
        <w:t xml:space="preserve"> </w:t>
      </w:r>
      <w:r w:rsidR="005C6C96" w:rsidRPr="006A4649">
        <w:rPr>
          <w:rFonts w:ascii="Arial" w:hAnsi="Arial" w:cs="Arial"/>
        </w:rPr>
        <w:t>and</w:t>
      </w:r>
      <w:r w:rsidR="00BB0BE0" w:rsidRPr="006A4649">
        <w:rPr>
          <w:rFonts w:ascii="Arial" w:hAnsi="Arial" w:cs="Arial"/>
        </w:rPr>
        <w:t xml:space="preserve"> that</w:t>
      </w:r>
      <w:r w:rsidR="005C6C96" w:rsidRPr="006A4649">
        <w:rPr>
          <w:rFonts w:ascii="Arial" w:hAnsi="Arial" w:cs="Arial"/>
          <w:i/>
          <w:iCs/>
        </w:rPr>
        <w:t xml:space="preserve"> </w:t>
      </w:r>
      <w:r w:rsidR="00BB0BE0" w:rsidRPr="006A4649">
        <w:rPr>
          <w:rFonts w:ascii="Arial" w:hAnsi="Arial" w:cs="Arial"/>
          <w:i/>
          <w:iCs/>
          <w:sz w:val="22"/>
          <w:szCs w:val="22"/>
        </w:rPr>
        <w:t>“</w:t>
      </w:r>
      <w:r w:rsidR="005C6C96" w:rsidRPr="006A4649">
        <w:rPr>
          <w:rFonts w:ascii="Arial" w:hAnsi="Arial" w:cs="Arial"/>
          <w:i/>
          <w:iCs/>
          <w:sz w:val="22"/>
          <w:szCs w:val="22"/>
        </w:rPr>
        <w:t>the public interest in the disclosure of the record clearly outweighs the harm</w:t>
      </w:r>
      <w:r w:rsidR="00B309C9" w:rsidRPr="006A4649">
        <w:rPr>
          <w:rFonts w:ascii="Arial" w:hAnsi="Arial" w:cs="Arial"/>
          <w:i/>
          <w:iCs/>
          <w:sz w:val="22"/>
          <w:szCs w:val="22"/>
        </w:rPr>
        <w:t xml:space="preserve"> contemplated</w:t>
      </w:r>
      <w:r w:rsidR="005C6C96" w:rsidRPr="006A4649">
        <w:rPr>
          <w:rFonts w:ascii="Arial" w:hAnsi="Arial" w:cs="Arial"/>
          <w:i/>
          <w:iCs/>
          <w:sz w:val="22"/>
          <w:szCs w:val="22"/>
        </w:rPr>
        <w:t xml:space="preserve"> in the provision in question.”</w:t>
      </w:r>
      <w:r w:rsidR="00483489">
        <w:rPr>
          <w:rStyle w:val="FootnoteReference"/>
          <w:rFonts w:ascii="Arial" w:hAnsi="Arial" w:cs="Arial"/>
          <w:i/>
          <w:iCs/>
          <w:sz w:val="22"/>
          <w:szCs w:val="22"/>
        </w:rPr>
        <w:footnoteReference w:id="32"/>
      </w:r>
    </w:p>
    <w:p w14:paraId="4F3BF50D" w14:textId="77777777" w:rsidR="00483489" w:rsidRPr="00EC6120" w:rsidRDefault="00483489" w:rsidP="00153B46">
      <w:pPr>
        <w:pStyle w:val="ListParagraph"/>
        <w:spacing w:line="360" w:lineRule="auto"/>
        <w:ind w:left="851" w:right="50" w:hanging="851"/>
        <w:jc w:val="both"/>
        <w:rPr>
          <w:rFonts w:ascii="Arial" w:hAnsi="Arial" w:cs="Arial"/>
        </w:rPr>
      </w:pPr>
    </w:p>
    <w:p w14:paraId="46B7B55A" w14:textId="1D2323A4" w:rsidR="00EC6120" w:rsidRPr="006A4649" w:rsidRDefault="006A4649" w:rsidP="006A4649">
      <w:pPr>
        <w:spacing w:line="360" w:lineRule="auto"/>
        <w:ind w:left="851" w:right="50" w:hanging="851"/>
        <w:jc w:val="both"/>
        <w:rPr>
          <w:rFonts w:ascii="Arial" w:hAnsi="Arial" w:cs="Arial"/>
        </w:rPr>
      </w:pPr>
      <w:r>
        <w:rPr>
          <w:rFonts w:ascii="Arial" w:hAnsi="Arial" w:cs="Arial"/>
        </w:rPr>
        <w:t>[55]</w:t>
      </w:r>
      <w:r>
        <w:rPr>
          <w:rFonts w:ascii="Arial" w:hAnsi="Arial" w:cs="Arial"/>
        </w:rPr>
        <w:tab/>
      </w:r>
      <w:r w:rsidR="00AB0FC0" w:rsidRPr="006A4649">
        <w:rPr>
          <w:rFonts w:ascii="Arial" w:hAnsi="Arial" w:cs="Arial"/>
        </w:rPr>
        <w:t>OUTA’s claim that the disclosure of the disputed documents is in the public interest is, properly construed on the case before me, predicated entirely, not upon any irregularity with the contract that was concluded in 1999 between SANRAL and N3TC but rather upon on the perception</w:t>
      </w:r>
      <w:r w:rsidR="00153B46" w:rsidRPr="006A4649">
        <w:rPr>
          <w:rFonts w:ascii="Arial" w:hAnsi="Arial" w:cs="Arial"/>
        </w:rPr>
        <w:t>, after an investigation conducted some 20 years after the fact,</w:t>
      </w:r>
      <w:r w:rsidR="00AB0FC0" w:rsidRPr="006A4649">
        <w:rPr>
          <w:rFonts w:ascii="Arial" w:hAnsi="Arial" w:cs="Arial"/>
        </w:rPr>
        <w:t xml:space="preserve"> that N3TC in the performance of its obligations in terms of the contract may well have made profit.  </w:t>
      </w:r>
    </w:p>
    <w:p w14:paraId="78098245" w14:textId="77777777" w:rsidR="00AB0FC0" w:rsidRDefault="00AB0FC0" w:rsidP="00153B46">
      <w:pPr>
        <w:pStyle w:val="ListParagraph"/>
        <w:spacing w:line="360" w:lineRule="auto"/>
        <w:ind w:left="851" w:right="50" w:hanging="851"/>
        <w:jc w:val="both"/>
        <w:rPr>
          <w:rFonts w:ascii="Arial" w:hAnsi="Arial" w:cs="Arial"/>
        </w:rPr>
      </w:pPr>
    </w:p>
    <w:p w14:paraId="7C90691E" w14:textId="4D151883" w:rsidR="00B84C51" w:rsidRPr="006A4649" w:rsidRDefault="006A4649" w:rsidP="006A4649">
      <w:pPr>
        <w:spacing w:line="360" w:lineRule="auto"/>
        <w:ind w:left="851" w:right="50" w:hanging="851"/>
        <w:jc w:val="both"/>
        <w:rPr>
          <w:rFonts w:ascii="Arial" w:hAnsi="Arial" w:cs="Arial"/>
        </w:rPr>
      </w:pPr>
      <w:r>
        <w:rPr>
          <w:rFonts w:ascii="Arial" w:hAnsi="Arial" w:cs="Arial"/>
        </w:rPr>
        <w:t>[56]</w:t>
      </w:r>
      <w:r>
        <w:rPr>
          <w:rFonts w:ascii="Arial" w:hAnsi="Arial" w:cs="Arial"/>
        </w:rPr>
        <w:tab/>
      </w:r>
      <w:r w:rsidR="00AB0FC0" w:rsidRPr="006A4649">
        <w:rPr>
          <w:rFonts w:ascii="Arial" w:hAnsi="Arial" w:cs="Arial"/>
        </w:rPr>
        <w:t>There is no provision in our law that any private third party which contracts with the State is prohibited, within the confines of a lawfully made and awarded tender, to make a profit</w:t>
      </w:r>
      <w:r w:rsidR="004F66D5" w:rsidRPr="006A4649">
        <w:rPr>
          <w:rFonts w:ascii="Arial" w:hAnsi="Arial" w:cs="Arial"/>
        </w:rPr>
        <w:t xml:space="preserve">. </w:t>
      </w:r>
      <w:r w:rsidR="00AB0FC0" w:rsidRPr="006A4649">
        <w:rPr>
          <w:rFonts w:ascii="Arial" w:hAnsi="Arial" w:cs="Arial"/>
        </w:rPr>
        <w:t xml:space="preserve">In its terms, s 46 of </w:t>
      </w:r>
      <w:r w:rsidR="00F74042" w:rsidRPr="006A4649">
        <w:rPr>
          <w:rFonts w:ascii="Arial" w:hAnsi="Arial" w:cs="Arial"/>
        </w:rPr>
        <w:t>PAIA</w:t>
      </w:r>
      <w:r w:rsidR="00AB0FC0" w:rsidRPr="006A4649">
        <w:rPr>
          <w:rFonts w:ascii="Arial" w:hAnsi="Arial" w:cs="Arial"/>
        </w:rPr>
        <w:t xml:space="preserve"> </w:t>
      </w:r>
      <w:r w:rsidR="00041A1F" w:rsidRPr="006A4649">
        <w:rPr>
          <w:rFonts w:ascii="Arial" w:hAnsi="Arial" w:cs="Arial"/>
        </w:rPr>
        <w:t xml:space="preserve">applies only to contraventions </w:t>
      </w:r>
      <w:r w:rsidR="00041A1F" w:rsidRPr="006A4649">
        <w:rPr>
          <w:rFonts w:ascii="Arial" w:hAnsi="Arial" w:cs="Arial"/>
        </w:rPr>
        <w:lastRenderedPageBreak/>
        <w:t>or failure to comply with the law or</w:t>
      </w:r>
      <w:r w:rsidR="00B84C51" w:rsidRPr="006A4649">
        <w:rPr>
          <w:rFonts w:ascii="Arial" w:hAnsi="Arial" w:cs="Arial"/>
        </w:rPr>
        <w:t xml:space="preserve"> public safety or environmental risk</w:t>
      </w:r>
      <w:r w:rsidR="004F66D5" w:rsidRPr="006A4649">
        <w:rPr>
          <w:rFonts w:ascii="Arial" w:hAnsi="Arial" w:cs="Arial"/>
        </w:rPr>
        <w:t xml:space="preserve">. </w:t>
      </w:r>
      <w:r w:rsidR="00B84C51" w:rsidRPr="006A4649">
        <w:rPr>
          <w:rFonts w:ascii="Arial" w:hAnsi="Arial" w:cs="Arial"/>
        </w:rPr>
        <w:t>None of these apply in the present case</w:t>
      </w:r>
      <w:r w:rsidR="004F66D5" w:rsidRPr="006A4649">
        <w:rPr>
          <w:rFonts w:ascii="Arial" w:hAnsi="Arial" w:cs="Arial"/>
        </w:rPr>
        <w:t xml:space="preserve">. </w:t>
      </w:r>
    </w:p>
    <w:p w14:paraId="4B1D9E2E" w14:textId="77777777" w:rsidR="00B84C51" w:rsidRPr="00B84C51" w:rsidRDefault="00B84C51" w:rsidP="00B84C51">
      <w:pPr>
        <w:pStyle w:val="ListParagraph"/>
        <w:rPr>
          <w:rFonts w:ascii="Arial" w:hAnsi="Arial" w:cs="Arial"/>
        </w:rPr>
      </w:pPr>
    </w:p>
    <w:p w14:paraId="5028AB9F" w14:textId="2DBD6C31" w:rsidR="00AB0FC0" w:rsidRPr="006A4649" w:rsidRDefault="006A4649" w:rsidP="006A4649">
      <w:pPr>
        <w:spacing w:line="360" w:lineRule="auto"/>
        <w:ind w:left="851" w:right="50" w:hanging="851"/>
        <w:jc w:val="both"/>
        <w:rPr>
          <w:rFonts w:ascii="Arial" w:hAnsi="Arial" w:cs="Arial"/>
        </w:rPr>
      </w:pPr>
      <w:r>
        <w:rPr>
          <w:rFonts w:ascii="Arial" w:hAnsi="Arial" w:cs="Arial"/>
        </w:rPr>
        <w:t>[57]</w:t>
      </w:r>
      <w:r>
        <w:rPr>
          <w:rFonts w:ascii="Arial" w:hAnsi="Arial" w:cs="Arial"/>
        </w:rPr>
        <w:tab/>
      </w:r>
      <w:r w:rsidR="00B84C51" w:rsidRPr="006A4649">
        <w:rPr>
          <w:rFonts w:ascii="Arial" w:hAnsi="Arial" w:cs="Arial"/>
        </w:rPr>
        <w:t>However, does the public interest in the disclosure of the contract/s and confidential information of N3TC which is ancillary to the main contract, outweigh the harm to N3T</w:t>
      </w:r>
      <w:r w:rsidR="00F74042" w:rsidRPr="006A4649">
        <w:rPr>
          <w:rFonts w:ascii="Arial" w:hAnsi="Arial" w:cs="Arial"/>
        </w:rPr>
        <w:t>C</w:t>
      </w:r>
      <w:r w:rsidR="00B84C51" w:rsidRPr="006A4649">
        <w:rPr>
          <w:rFonts w:ascii="Arial" w:hAnsi="Arial" w:cs="Arial"/>
        </w:rPr>
        <w:t>’s present and future financial interests and would it prejudice them in their future commercial endeavours?</w:t>
      </w:r>
    </w:p>
    <w:p w14:paraId="55173F8B" w14:textId="77777777" w:rsidR="00B84C51" w:rsidRPr="00B84C51" w:rsidRDefault="00B84C51" w:rsidP="00153B46">
      <w:pPr>
        <w:pStyle w:val="ListParagraph"/>
        <w:ind w:left="851" w:hanging="851"/>
        <w:rPr>
          <w:rFonts w:ascii="Arial" w:hAnsi="Arial" w:cs="Arial"/>
        </w:rPr>
      </w:pPr>
    </w:p>
    <w:p w14:paraId="13B67615" w14:textId="60E14AE7" w:rsidR="00EA1D75" w:rsidRPr="006A4649" w:rsidRDefault="006A4649" w:rsidP="006A4649">
      <w:pPr>
        <w:spacing w:line="360" w:lineRule="auto"/>
        <w:ind w:left="851" w:right="50" w:hanging="851"/>
        <w:jc w:val="both"/>
        <w:rPr>
          <w:rFonts w:ascii="Arial" w:hAnsi="Arial" w:cs="Arial"/>
        </w:rPr>
      </w:pPr>
      <w:r w:rsidRPr="00B256A7">
        <w:rPr>
          <w:rFonts w:ascii="Arial" w:hAnsi="Arial" w:cs="Arial"/>
        </w:rPr>
        <w:t>[58]</w:t>
      </w:r>
      <w:r w:rsidRPr="00B256A7">
        <w:rPr>
          <w:rFonts w:ascii="Arial" w:hAnsi="Arial" w:cs="Arial"/>
        </w:rPr>
        <w:tab/>
      </w:r>
      <w:r w:rsidR="002A4BB0" w:rsidRPr="006A4649">
        <w:rPr>
          <w:rFonts w:ascii="Arial" w:hAnsi="Arial" w:cs="Arial"/>
        </w:rPr>
        <w:t xml:space="preserve">In the </w:t>
      </w:r>
      <w:r w:rsidR="002A4BB0" w:rsidRPr="006A4649">
        <w:rPr>
          <w:rFonts w:ascii="Arial" w:hAnsi="Arial" w:cs="Arial"/>
          <w:i/>
          <w:iCs/>
        </w:rPr>
        <w:t>Health Justice Initiative v Minister of Health,</w:t>
      </w:r>
      <w:r w:rsidR="002A4BB0">
        <w:rPr>
          <w:rStyle w:val="FootnoteReference"/>
          <w:rFonts w:ascii="Arial" w:hAnsi="Arial" w:cs="Arial"/>
        </w:rPr>
        <w:footnoteReference w:id="33"/>
      </w:r>
      <w:r w:rsidR="002A4BB0" w:rsidRPr="006A4649">
        <w:rPr>
          <w:rFonts w:ascii="Arial" w:hAnsi="Arial" w:cs="Arial"/>
          <w:i/>
          <w:iCs/>
        </w:rPr>
        <w:t xml:space="preserve"> </w:t>
      </w:r>
      <w:r w:rsidR="002A4BB0" w:rsidRPr="006A4649">
        <w:rPr>
          <w:rFonts w:ascii="Arial" w:hAnsi="Arial" w:cs="Arial"/>
        </w:rPr>
        <w:t>the public interest override was found to be of application in respect of contracts that had been negotiated by the Ministry of Health for the provision of Covid-19 vaccines</w:t>
      </w:r>
      <w:r w:rsidR="00F74042" w:rsidRPr="006A4649">
        <w:rPr>
          <w:rFonts w:ascii="Arial" w:hAnsi="Arial" w:cs="Arial"/>
        </w:rPr>
        <w:t xml:space="preserve">. </w:t>
      </w:r>
      <w:r w:rsidR="002A4BB0" w:rsidRPr="006A4649">
        <w:rPr>
          <w:rFonts w:ascii="Arial" w:hAnsi="Arial" w:cs="Arial"/>
        </w:rPr>
        <w:t xml:space="preserve">In that case, </w:t>
      </w:r>
      <w:r w:rsidR="00F31571" w:rsidRPr="006A4649">
        <w:rPr>
          <w:rFonts w:ascii="Arial" w:hAnsi="Arial" w:cs="Arial"/>
        </w:rPr>
        <w:t>the Minister of Health had been compelled to agree to onerous confidentiality clauses</w:t>
      </w:r>
      <w:r w:rsidR="002A4BB0" w:rsidRPr="006A4649">
        <w:rPr>
          <w:rFonts w:ascii="Arial" w:hAnsi="Arial" w:cs="Arial"/>
        </w:rPr>
        <w:t xml:space="preserve"> </w:t>
      </w:r>
      <w:r w:rsidR="00F31571" w:rsidRPr="006A4649">
        <w:rPr>
          <w:rFonts w:ascii="Arial" w:hAnsi="Arial" w:cs="Arial"/>
        </w:rPr>
        <w:t>which shrouded the entire procurement and contracting process in secrecy</w:t>
      </w:r>
      <w:r w:rsidR="00F74042" w:rsidRPr="006A4649">
        <w:rPr>
          <w:rFonts w:ascii="Arial" w:hAnsi="Arial" w:cs="Arial"/>
        </w:rPr>
        <w:t xml:space="preserve">. </w:t>
      </w:r>
      <w:r w:rsidR="00F31571" w:rsidRPr="006A4649">
        <w:rPr>
          <w:rFonts w:ascii="Arial" w:hAnsi="Arial" w:cs="Arial"/>
        </w:rPr>
        <w:t>In that case, even the identities of the parties with whom the Ministry and contracted, were withheld in terms of the confidentiality clauses.</w:t>
      </w:r>
    </w:p>
    <w:p w14:paraId="04A58A42" w14:textId="5DB5C00B" w:rsidR="00EA1D75" w:rsidRDefault="00EA1D75" w:rsidP="00153B46">
      <w:pPr>
        <w:pStyle w:val="ListParagraph"/>
        <w:ind w:left="851" w:hanging="851"/>
        <w:rPr>
          <w:rFonts w:ascii="Arial" w:hAnsi="Arial" w:cs="Arial"/>
        </w:rPr>
      </w:pPr>
    </w:p>
    <w:p w14:paraId="20955D6F" w14:textId="77777777" w:rsidR="00EA1D75" w:rsidRPr="002A4BB0" w:rsidRDefault="00EA1D75" w:rsidP="00153B46">
      <w:pPr>
        <w:pStyle w:val="ListParagraph"/>
        <w:ind w:left="851" w:hanging="851"/>
        <w:rPr>
          <w:rFonts w:ascii="Arial" w:hAnsi="Arial" w:cs="Arial"/>
        </w:rPr>
      </w:pPr>
    </w:p>
    <w:p w14:paraId="5F582F30" w14:textId="1BDE1249" w:rsidR="00B84C51" w:rsidRPr="006A4649" w:rsidRDefault="006A4649" w:rsidP="006A4649">
      <w:pPr>
        <w:spacing w:line="360" w:lineRule="auto"/>
        <w:ind w:left="851" w:right="50" w:hanging="851"/>
        <w:jc w:val="both"/>
        <w:rPr>
          <w:rFonts w:ascii="Arial" w:hAnsi="Arial" w:cs="Arial"/>
        </w:rPr>
      </w:pPr>
      <w:r>
        <w:rPr>
          <w:rFonts w:ascii="Arial" w:hAnsi="Arial" w:cs="Arial"/>
        </w:rPr>
        <w:t>[59]</w:t>
      </w:r>
      <w:r>
        <w:rPr>
          <w:rFonts w:ascii="Arial" w:hAnsi="Arial" w:cs="Arial"/>
        </w:rPr>
        <w:tab/>
      </w:r>
      <w:r w:rsidR="002A4BB0" w:rsidRPr="006A4649">
        <w:rPr>
          <w:rFonts w:ascii="Arial" w:hAnsi="Arial" w:cs="Arial"/>
        </w:rPr>
        <w:t>The circumstances of the present case</w:t>
      </w:r>
      <w:r w:rsidR="00F31571" w:rsidRPr="006A4649">
        <w:rPr>
          <w:rFonts w:ascii="Arial" w:hAnsi="Arial" w:cs="Arial"/>
        </w:rPr>
        <w:t xml:space="preserve"> are entirely distinguishable</w:t>
      </w:r>
      <w:r w:rsidR="00F74042" w:rsidRPr="006A4649">
        <w:rPr>
          <w:rFonts w:ascii="Arial" w:hAnsi="Arial" w:cs="Arial"/>
        </w:rPr>
        <w:t xml:space="preserve">. </w:t>
      </w:r>
      <w:r w:rsidR="00F31571" w:rsidRPr="006A4649">
        <w:rPr>
          <w:rFonts w:ascii="Arial" w:hAnsi="Arial" w:cs="Arial"/>
        </w:rPr>
        <w:t>The main contract for which SANRAL issued and awarded a tender was already a public document by the time the present proceedings were brought</w:t>
      </w:r>
      <w:r w:rsidR="00F74042" w:rsidRPr="006A4649">
        <w:rPr>
          <w:rFonts w:ascii="Arial" w:hAnsi="Arial" w:cs="Arial"/>
        </w:rPr>
        <w:t xml:space="preserve">. </w:t>
      </w:r>
      <w:r w:rsidR="00F31571" w:rsidRPr="006A4649">
        <w:rPr>
          <w:rFonts w:ascii="Arial" w:hAnsi="Arial" w:cs="Arial"/>
        </w:rPr>
        <w:t>Having found that OUTA already had the main contract or at least substantial portions of it, it is apparent that the present application has nothing to do with the award of that contract.</w:t>
      </w:r>
    </w:p>
    <w:p w14:paraId="33BEA4B5" w14:textId="77777777" w:rsidR="00F31571" w:rsidRPr="00F31571" w:rsidRDefault="00F31571" w:rsidP="00F31571">
      <w:pPr>
        <w:pStyle w:val="ListParagraph"/>
        <w:rPr>
          <w:rFonts w:ascii="Arial" w:hAnsi="Arial" w:cs="Arial"/>
        </w:rPr>
      </w:pPr>
    </w:p>
    <w:p w14:paraId="6FBB6807" w14:textId="651AA7E7" w:rsidR="006E25F1" w:rsidRPr="006A4649" w:rsidRDefault="006A4649" w:rsidP="006A4649">
      <w:pPr>
        <w:spacing w:line="360" w:lineRule="auto"/>
        <w:ind w:left="851" w:right="50" w:hanging="851"/>
        <w:jc w:val="both"/>
        <w:rPr>
          <w:rFonts w:cs="Arial"/>
          <w:b/>
          <w:bCs/>
        </w:rPr>
      </w:pPr>
      <w:r w:rsidRPr="002A1684">
        <w:rPr>
          <w:rFonts w:ascii="Arial" w:hAnsi="Arial" w:cs="Arial"/>
        </w:rPr>
        <w:t>[60]</w:t>
      </w:r>
      <w:r w:rsidRPr="002A1684">
        <w:rPr>
          <w:rFonts w:ascii="Arial" w:hAnsi="Arial" w:cs="Arial"/>
        </w:rPr>
        <w:tab/>
      </w:r>
      <w:r w:rsidR="00F31571" w:rsidRPr="006A4649">
        <w:rPr>
          <w:rFonts w:ascii="Arial" w:hAnsi="Arial" w:cs="Arial"/>
        </w:rPr>
        <w:t>The present case</w:t>
      </w:r>
      <w:r w:rsidR="00046FAD" w:rsidRPr="006A4649">
        <w:rPr>
          <w:rFonts w:ascii="Arial" w:hAnsi="Arial" w:cs="Arial"/>
        </w:rPr>
        <w:t xml:space="preserve"> concerns the implementation of the contract</w:t>
      </w:r>
      <w:r w:rsidR="00F74042" w:rsidRPr="006A4649">
        <w:rPr>
          <w:rFonts w:ascii="Arial" w:hAnsi="Arial" w:cs="Arial"/>
        </w:rPr>
        <w:t xml:space="preserve">. </w:t>
      </w:r>
      <w:r w:rsidR="00046FAD" w:rsidRPr="006A4649">
        <w:rPr>
          <w:rFonts w:ascii="Arial" w:hAnsi="Arial" w:cs="Arial"/>
        </w:rPr>
        <w:t>It was neither argued nor was any case made out that N3TC had failed to comply with its obligations in terms of the main agreement and to deliver that for which it had been contracted</w:t>
      </w:r>
      <w:r w:rsidR="00F74042" w:rsidRPr="006A4649">
        <w:rPr>
          <w:rFonts w:ascii="Arial" w:hAnsi="Arial" w:cs="Arial"/>
        </w:rPr>
        <w:t xml:space="preserve">. </w:t>
      </w:r>
      <w:r w:rsidR="00046FAD" w:rsidRPr="006A4649">
        <w:rPr>
          <w:rFonts w:ascii="Arial" w:hAnsi="Arial" w:cs="Arial"/>
        </w:rPr>
        <w:t>The making of profit</w:t>
      </w:r>
      <w:r w:rsidR="0094414A" w:rsidRPr="006A4649">
        <w:rPr>
          <w:rFonts w:ascii="Arial" w:hAnsi="Arial" w:cs="Arial"/>
        </w:rPr>
        <w:t xml:space="preserve">, in a private </w:t>
      </w:r>
      <w:r w:rsidR="00F74042" w:rsidRPr="006A4649">
        <w:rPr>
          <w:rFonts w:ascii="Arial" w:hAnsi="Arial" w:cs="Arial"/>
        </w:rPr>
        <w:t>company,</w:t>
      </w:r>
      <w:r w:rsidR="0094414A" w:rsidRPr="006A4649">
        <w:rPr>
          <w:rFonts w:ascii="Arial" w:hAnsi="Arial" w:cs="Arial"/>
        </w:rPr>
        <w:t xml:space="preserve"> is an everyday commercial consequence and is not in and of itself a matter which requires disclosure in the public interest</w:t>
      </w:r>
      <w:r w:rsidR="00F74042" w:rsidRPr="006A4649">
        <w:rPr>
          <w:rFonts w:ascii="Arial" w:hAnsi="Arial" w:cs="Arial"/>
        </w:rPr>
        <w:t xml:space="preserve">. </w:t>
      </w:r>
    </w:p>
    <w:p w14:paraId="2EFF6C09" w14:textId="77777777" w:rsidR="002A1684" w:rsidRPr="002A1684" w:rsidRDefault="002A1684" w:rsidP="002A1684">
      <w:pPr>
        <w:pStyle w:val="ListParagraph"/>
        <w:rPr>
          <w:rFonts w:cs="Arial"/>
          <w:b/>
          <w:bCs/>
        </w:rPr>
      </w:pPr>
    </w:p>
    <w:p w14:paraId="3A5A230D" w14:textId="42B5ED2D" w:rsidR="002A1684" w:rsidRPr="006A4649" w:rsidRDefault="006A4649" w:rsidP="006A4649">
      <w:pPr>
        <w:spacing w:line="360" w:lineRule="auto"/>
        <w:ind w:left="851" w:right="50" w:hanging="851"/>
        <w:jc w:val="both"/>
        <w:rPr>
          <w:rFonts w:ascii="Arial" w:hAnsi="Arial" w:cs="Arial"/>
        </w:rPr>
      </w:pPr>
      <w:r>
        <w:rPr>
          <w:rFonts w:ascii="Arial" w:hAnsi="Arial" w:cs="Arial"/>
        </w:rPr>
        <w:lastRenderedPageBreak/>
        <w:t>[61]</w:t>
      </w:r>
      <w:r>
        <w:rPr>
          <w:rFonts w:ascii="Arial" w:hAnsi="Arial" w:cs="Arial"/>
        </w:rPr>
        <w:tab/>
      </w:r>
      <w:r w:rsidR="002A1684" w:rsidRPr="006A4649">
        <w:rPr>
          <w:rFonts w:ascii="Arial" w:hAnsi="Arial" w:cs="Arial"/>
        </w:rPr>
        <w:t>For the reasons set out above, I find that the public interest override finds no application in respect of the disputed documents and accordingly the application fails.</w:t>
      </w:r>
    </w:p>
    <w:p w14:paraId="02D7E5FE" w14:textId="77777777" w:rsidR="002A1684" w:rsidRPr="002A1684" w:rsidRDefault="002A1684" w:rsidP="002A1684">
      <w:pPr>
        <w:pStyle w:val="ListParagraph"/>
        <w:rPr>
          <w:rFonts w:ascii="Arial" w:hAnsi="Arial" w:cs="Arial"/>
        </w:rPr>
      </w:pPr>
    </w:p>
    <w:p w14:paraId="0945B405" w14:textId="77777777" w:rsidR="002A1684" w:rsidRPr="002A1684" w:rsidRDefault="002A1684" w:rsidP="002A1684">
      <w:pPr>
        <w:pStyle w:val="ListParagraph"/>
        <w:rPr>
          <w:rFonts w:ascii="Arial" w:hAnsi="Arial" w:cs="Arial"/>
        </w:rPr>
      </w:pPr>
    </w:p>
    <w:p w14:paraId="615E68B7" w14:textId="7ACD6F6C" w:rsidR="00FD653B" w:rsidRDefault="00FD653B" w:rsidP="00FD653B">
      <w:pPr>
        <w:rPr>
          <w:rFonts w:ascii="Arial" w:hAnsi="Arial" w:cs="Arial"/>
          <w:b/>
          <w:bCs/>
        </w:rPr>
      </w:pPr>
      <w:r>
        <w:rPr>
          <w:rFonts w:ascii="Arial" w:hAnsi="Arial" w:cs="Arial"/>
          <w:b/>
          <w:bCs/>
        </w:rPr>
        <w:t>COSTS</w:t>
      </w:r>
    </w:p>
    <w:p w14:paraId="0B4EF937" w14:textId="35E7A1E4" w:rsidR="006E25F1" w:rsidRDefault="006E25F1" w:rsidP="00773D8D">
      <w:pPr>
        <w:pStyle w:val="Body"/>
        <w:spacing w:line="360" w:lineRule="auto"/>
        <w:rPr>
          <w:rFonts w:cs="Arial"/>
          <w:b/>
          <w:bCs/>
          <w:sz w:val="24"/>
          <w:szCs w:val="24"/>
        </w:rPr>
      </w:pPr>
    </w:p>
    <w:p w14:paraId="123A6C64" w14:textId="77777777" w:rsidR="00EA1D75" w:rsidRDefault="00EA1D75" w:rsidP="00773D8D">
      <w:pPr>
        <w:pStyle w:val="Body"/>
        <w:spacing w:line="360" w:lineRule="auto"/>
        <w:rPr>
          <w:rFonts w:cs="Arial"/>
          <w:b/>
          <w:bCs/>
          <w:sz w:val="24"/>
          <w:szCs w:val="24"/>
        </w:rPr>
      </w:pPr>
    </w:p>
    <w:p w14:paraId="3813586F" w14:textId="6B57FDF5" w:rsidR="00336667" w:rsidRDefault="006A4649" w:rsidP="006A4649">
      <w:pPr>
        <w:pStyle w:val="Body"/>
        <w:spacing w:line="360" w:lineRule="auto"/>
        <w:ind w:left="851" w:hanging="851"/>
        <w:jc w:val="both"/>
        <w:rPr>
          <w:rFonts w:cs="Arial"/>
          <w:sz w:val="24"/>
          <w:szCs w:val="24"/>
        </w:rPr>
      </w:pPr>
      <w:r>
        <w:rPr>
          <w:rFonts w:cs="Arial"/>
          <w:sz w:val="24"/>
          <w:szCs w:val="24"/>
        </w:rPr>
        <w:t>[62]</w:t>
      </w:r>
      <w:r>
        <w:rPr>
          <w:rFonts w:cs="Arial"/>
          <w:sz w:val="24"/>
          <w:szCs w:val="24"/>
        </w:rPr>
        <w:tab/>
      </w:r>
      <w:r w:rsidR="005B2DFF">
        <w:rPr>
          <w:rFonts w:cs="Arial"/>
          <w:sz w:val="24"/>
          <w:szCs w:val="24"/>
        </w:rPr>
        <w:t xml:space="preserve">All the parties who appeared in this matter were </w:t>
      </w:r>
      <w:r w:rsidR="005B2DFF" w:rsidRPr="00336667">
        <w:rPr>
          <w:rFonts w:cs="Arial"/>
          <w:i/>
          <w:iCs/>
          <w:sz w:val="24"/>
          <w:szCs w:val="24"/>
        </w:rPr>
        <w:t>ad idem</w:t>
      </w:r>
      <w:r w:rsidR="005B2DFF">
        <w:rPr>
          <w:rFonts w:cs="Arial"/>
          <w:sz w:val="24"/>
          <w:szCs w:val="24"/>
        </w:rPr>
        <w:t xml:space="preserve"> that in the event that they </w:t>
      </w:r>
      <w:r w:rsidR="00336667">
        <w:rPr>
          <w:rFonts w:cs="Arial"/>
          <w:sz w:val="24"/>
          <w:szCs w:val="24"/>
        </w:rPr>
        <w:t xml:space="preserve">were </w:t>
      </w:r>
      <w:r w:rsidR="005B2DFF">
        <w:rPr>
          <w:rFonts w:cs="Arial"/>
          <w:sz w:val="24"/>
          <w:szCs w:val="24"/>
        </w:rPr>
        <w:t>succ</w:t>
      </w:r>
      <w:r w:rsidR="00336667">
        <w:rPr>
          <w:rFonts w:cs="Arial"/>
          <w:sz w:val="24"/>
          <w:szCs w:val="24"/>
        </w:rPr>
        <w:t xml:space="preserve">essful, that a punitive order for costs should be awarded against the losing party.  </w:t>
      </w:r>
    </w:p>
    <w:p w14:paraId="4D701462" w14:textId="77777777" w:rsidR="00336667" w:rsidRDefault="00336667" w:rsidP="00153B46">
      <w:pPr>
        <w:pStyle w:val="Body"/>
        <w:spacing w:line="360" w:lineRule="auto"/>
        <w:ind w:left="851" w:hanging="851"/>
        <w:jc w:val="both"/>
        <w:rPr>
          <w:rFonts w:cs="Arial"/>
          <w:sz w:val="24"/>
          <w:szCs w:val="24"/>
        </w:rPr>
      </w:pPr>
    </w:p>
    <w:p w14:paraId="54155E5F" w14:textId="72E236AA" w:rsidR="005B2DFF" w:rsidRDefault="006A4649" w:rsidP="006A4649">
      <w:pPr>
        <w:pStyle w:val="Body"/>
        <w:spacing w:line="360" w:lineRule="auto"/>
        <w:ind w:left="851" w:hanging="851"/>
        <w:jc w:val="both"/>
        <w:rPr>
          <w:rFonts w:cs="Arial"/>
          <w:sz w:val="24"/>
          <w:szCs w:val="24"/>
        </w:rPr>
      </w:pPr>
      <w:r>
        <w:rPr>
          <w:rFonts w:cs="Arial"/>
          <w:sz w:val="24"/>
          <w:szCs w:val="24"/>
        </w:rPr>
        <w:t>[63]</w:t>
      </w:r>
      <w:r>
        <w:rPr>
          <w:rFonts w:cs="Arial"/>
          <w:sz w:val="24"/>
          <w:szCs w:val="24"/>
        </w:rPr>
        <w:tab/>
      </w:r>
      <w:r w:rsidR="00336667">
        <w:rPr>
          <w:rFonts w:cs="Arial"/>
          <w:sz w:val="24"/>
          <w:szCs w:val="24"/>
        </w:rPr>
        <w:t xml:space="preserve">OUTA argued that the refusal to furnish the information that it had sought from SANRAL together with N3TC’s refusal to consent was to be construed as </w:t>
      </w:r>
      <w:r w:rsidR="00336667" w:rsidRPr="00336667">
        <w:rPr>
          <w:rFonts w:cs="Arial"/>
          <w:i/>
          <w:iCs/>
          <w:sz w:val="24"/>
          <w:szCs w:val="24"/>
        </w:rPr>
        <w:t>“nefarious”</w:t>
      </w:r>
      <w:r w:rsidR="00336667">
        <w:rPr>
          <w:rFonts w:cs="Arial"/>
          <w:sz w:val="24"/>
          <w:szCs w:val="24"/>
        </w:rPr>
        <w:t xml:space="preserve"> and nothing other than an attempt to subvert the operation of PAIA and to hide wrongdoing from public scrutiny</w:t>
      </w:r>
      <w:r w:rsidR="00F74042">
        <w:rPr>
          <w:rFonts w:cs="Arial"/>
          <w:sz w:val="24"/>
          <w:szCs w:val="24"/>
        </w:rPr>
        <w:t xml:space="preserve">. </w:t>
      </w:r>
      <w:r w:rsidR="00336667">
        <w:rPr>
          <w:rFonts w:cs="Arial"/>
          <w:sz w:val="24"/>
          <w:szCs w:val="24"/>
        </w:rPr>
        <w:t>It was argued by OUTA that the fact that it even had to bring an application evidenced this.</w:t>
      </w:r>
      <w:r w:rsidR="00336667">
        <w:rPr>
          <w:rStyle w:val="FootnoteReference"/>
          <w:rFonts w:cs="Arial"/>
          <w:sz w:val="24"/>
          <w:szCs w:val="24"/>
        </w:rPr>
        <w:footnoteReference w:id="34"/>
      </w:r>
    </w:p>
    <w:p w14:paraId="1E1CF14D" w14:textId="77777777" w:rsidR="00336667" w:rsidRDefault="00336667" w:rsidP="00153B46">
      <w:pPr>
        <w:pStyle w:val="Body"/>
        <w:spacing w:line="360" w:lineRule="auto"/>
        <w:ind w:left="851" w:hanging="851"/>
        <w:jc w:val="both"/>
        <w:rPr>
          <w:rFonts w:cs="Arial"/>
          <w:sz w:val="24"/>
          <w:szCs w:val="24"/>
        </w:rPr>
      </w:pPr>
    </w:p>
    <w:p w14:paraId="7AF06201" w14:textId="1A0004E7" w:rsidR="00BB0BE0" w:rsidRDefault="006A4649" w:rsidP="006A4649">
      <w:pPr>
        <w:pStyle w:val="Body"/>
        <w:spacing w:line="360" w:lineRule="auto"/>
        <w:ind w:left="851" w:hanging="851"/>
        <w:jc w:val="both"/>
        <w:rPr>
          <w:rFonts w:cs="Arial"/>
          <w:sz w:val="24"/>
          <w:szCs w:val="24"/>
        </w:rPr>
      </w:pPr>
      <w:r>
        <w:rPr>
          <w:rFonts w:cs="Arial"/>
          <w:sz w:val="24"/>
          <w:szCs w:val="24"/>
        </w:rPr>
        <w:t>[64]</w:t>
      </w:r>
      <w:r>
        <w:rPr>
          <w:rFonts w:cs="Arial"/>
          <w:sz w:val="24"/>
          <w:szCs w:val="24"/>
        </w:rPr>
        <w:tab/>
      </w:r>
      <w:r w:rsidR="005B2DFF">
        <w:rPr>
          <w:rFonts w:cs="Arial"/>
          <w:sz w:val="24"/>
          <w:szCs w:val="24"/>
        </w:rPr>
        <w:t>It was argued by SANRAL and N3TC that should the Court find that the application brought by OUTA was without merit, that a punitive order for costs should be made against them</w:t>
      </w:r>
      <w:r w:rsidR="00F74042">
        <w:rPr>
          <w:rFonts w:cs="Arial"/>
          <w:sz w:val="24"/>
          <w:szCs w:val="24"/>
        </w:rPr>
        <w:t xml:space="preserve">. </w:t>
      </w:r>
      <w:r w:rsidR="005B2DFF">
        <w:rPr>
          <w:rFonts w:cs="Arial"/>
          <w:sz w:val="24"/>
          <w:szCs w:val="24"/>
        </w:rPr>
        <w:t>OUTA for its part argued that in the event that it did not succeed, since it was acting in the public interest, there ought to be no costs order against it.</w:t>
      </w:r>
    </w:p>
    <w:p w14:paraId="7DF5B3B4" w14:textId="77777777" w:rsidR="00153B46" w:rsidRDefault="00153B46" w:rsidP="00153B46">
      <w:pPr>
        <w:pStyle w:val="ListParagraph"/>
        <w:rPr>
          <w:rFonts w:cs="Arial"/>
        </w:rPr>
      </w:pPr>
    </w:p>
    <w:p w14:paraId="312545DB" w14:textId="302CAD04" w:rsidR="00153B46" w:rsidRDefault="00153B46" w:rsidP="002458A4">
      <w:pPr>
        <w:pStyle w:val="Body"/>
        <w:spacing w:line="360" w:lineRule="auto"/>
        <w:ind w:left="851"/>
        <w:jc w:val="both"/>
        <w:rPr>
          <w:rFonts w:cs="Arial"/>
          <w:sz w:val="24"/>
          <w:szCs w:val="24"/>
        </w:rPr>
      </w:pPr>
      <w:r w:rsidRPr="00F74042">
        <w:rPr>
          <w:rFonts w:cs="Arial"/>
          <w:sz w:val="24"/>
          <w:szCs w:val="24"/>
        </w:rPr>
        <w:t>In my view, the costs should follow the result</w:t>
      </w:r>
      <w:r w:rsidR="00F74042" w:rsidRPr="00F74042">
        <w:rPr>
          <w:rFonts w:cs="Arial"/>
          <w:sz w:val="24"/>
          <w:szCs w:val="24"/>
        </w:rPr>
        <w:t xml:space="preserve">. </w:t>
      </w:r>
      <w:r w:rsidRPr="00F74042">
        <w:rPr>
          <w:rFonts w:cs="Arial"/>
          <w:sz w:val="24"/>
          <w:szCs w:val="24"/>
        </w:rPr>
        <w:t xml:space="preserve">However, notwithstanding that OUTA was in possession of the main contract or parts thereof before these proceedings were instituted, it only became aware when the respective </w:t>
      </w:r>
      <w:r>
        <w:rPr>
          <w:rFonts w:cs="Arial"/>
          <w:sz w:val="24"/>
          <w:szCs w:val="24"/>
        </w:rPr>
        <w:t>answering affidavits were delivered by SANRAL and N3TC</w:t>
      </w:r>
      <w:r w:rsidR="00C05949">
        <w:rPr>
          <w:rFonts w:cs="Arial"/>
          <w:sz w:val="24"/>
          <w:szCs w:val="24"/>
        </w:rPr>
        <w:t xml:space="preserve"> of the reasons for the refusal of the disputed documents</w:t>
      </w:r>
      <w:r w:rsidR="00F74042">
        <w:rPr>
          <w:rFonts w:cs="Arial"/>
          <w:sz w:val="24"/>
          <w:szCs w:val="24"/>
        </w:rPr>
        <w:t xml:space="preserve">. </w:t>
      </w:r>
      <w:r w:rsidR="00C05949">
        <w:rPr>
          <w:rFonts w:cs="Arial"/>
          <w:sz w:val="24"/>
          <w:szCs w:val="24"/>
        </w:rPr>
        <w:t>For this reason, the institution of the proceedings was not unreasonable</w:t>
      </w:r>
      <w:r w:rsidR="00F74042">
        <w:rPr>
          <w:rFonts w:cs="Arial"/>
          <w:sz w:val="24"/>
          <w:szCs w:val="24"/>
        </w:rPr>
        <w:t xml:space="preserve">. </w:t>
      </w:r>
      <w:r w:rsidR="00C05949">
        <w:rPr>
          <w:rFonts w:cs="Arial"/>
          <w:sz w:val="24"/>
          <w:szCs w:val="24"/>
        </w:rPr>
        <w:t>I am of the view that a punitive order for costs is, in the circumstances, not warranted</w:t>
      </w:r>
      <w:r w:rsidR="00F74042">
        <w:rPr>
          <w:rFonts w:cs="Arial"/>
          <w:sz w:val="24"/>
          <w:szCs w:val="24"/>
        </w:rPr>
        <w:t xml:space="preserve">. </w:t>
      </w:r>
      <w:r w:rsidR="00C05949">
        <w:rPr>
          <w:rFonts w:cs="Arial"/>
          <w:sz w:val="24"/>
          <w:szCs w:val="24"/>
        </w:rPr>
        <w:t xml:space="preserve">However, given the nature and </w:t>
      </w:r>
      <w:r w:rsidR="00C05949">
        <w:rPr>
          <w:rFonts w:cs="Arial"/>
          <w:sz w:val="24"/>
          <w:szCs w:val="24"/>
        </w:rPr>
        <w:lastRenderedPageBreak/>
        <w:t>importance of the disputed information, the engagement of more than one counsel by N3TC was appropriate and hence the order for costs that will follow.</w:t>
      </w:r>
    </w:p>
    <w:p w14:paraId="362F154D" w14:textId="77777777" w:rsidR="00153B46" w:rsidRDefault="00153B46" w:rsidP="00153B46">
      <w:pPr>
        <w:pStyle w:val="ListParagraph"/>
        <w:rPr>
          <w:rFonts w:cs="Arial"/>
        </w:rPr>
      </w:pPr>
    </w:p>
    <w:p w14:paraId="79CD1886" w14:textId="4C32C816" w:rsidR="00BB0BE0" w:rsidRDefault="00BB0BE0" w:rsidP="00BB0BE0">
      <w:pPr>
        <w:pStyle w:val="Body"/>
        <w:spacing w:line="360" w:lineRule="auto"/>
        <w:rPr>
          <w:rFonts w:cs="Arial"/>
          <w:sz w:val="24"/>
          <w:szCs w:val="24"/>
        </w:rPr>
      </w:pPr>
    </w:p>
    <w:p w14:paraId="5332D420" w14:textId="217E3F06" w:rsidR="00BB0BE0" w:rsidRDefault="00BB0BE0" w:rsidP="00BB0BE0">
      <w:pPr>
        <w:pStyle w:val="Body"/>
        <w:spacing w:line="360" w:lineRule="auto"/>
        <w:rPr>
          <w:rFonts w:cs="Arial"/>
          <w:b/>
          <w:bCs/>
          <w:sz w:val="24"/>
          <w:szCs w:val="24"/>
        </w:rPr>
      </w:pPr>
      <w:r>
        <w:rPr>
          <w:rFonts w:cs="Arial"/>
          <w:b/>
          <w:bCs/>
          <w:sz w:val="24"/>
          <w:szCs w:val="24"/>
        </w:rPr>
        <w:t>ORDER</w:t>
      </w:r>
    </w:p>
    <w:p w14:paraId="03448880" w14:textId="77777777" w:rsidR="00BB0BE0" w:rsidRPr="00BB0BE0" w:rsidRDefault="00BB0BE0" w:rsidP="00BB0BE0">
      <w:pPr>
        <w:pStyle w:val="Body"/>
        <w:spacing w:line="360" w:lineRule="auto"/>
        <w:rPr>
          <w:rFonts w:cs="Arial"/>
          <w:b/>
          <w:bCs/>
          <w:sz w:val="24"/>
          <w:szCs w:val="24"/>
        </w:rPr>
      </w:pPr>
    </w:p>
    <w:p w14:paraId="088A12E0" w14:textId="2F70EB4F" w:rsidR="006C34F6" w:rsidRDefault="006A4649" w:rsidP="006A4649">
      <w:pPr>
        <w:pStyle w:val="Body"/>
        <w:spacing w:line="360" w:lineRule="auto"/>
        <w:ind w:left="851" w:hanging="851"/>
        <w:rPr>
          <w:rFonts w:cs="Arial"/>
          <w:sz w:val="24"/>
          <w:szCs w:val="24"/>
        </w:rPr>
      </w:pPr>
      <w:r>
        <w:rPr>
          <w:rFonts w:cs="Arial"/>
          <w:sz w:val="24"/>
          <w:szCs w:val="24"/>
        </w:rPr>
        <w:t>[65]</w:t>
      </w:r>
      <w:r>
        <w:rPr>
          <w:rFonts w:cs="Arial"/>
          <w:sz w:val="24"/>
          <w:szCs w:val="24"/>
        </w:rPr>
        <w:tab/>
      </w:r>
      <w:r w:rsidR="006C34F6">
        <w:rPr>
          <w:rFonts w:cs="Arial"/>
          <w:sz w:val="24"/>
          <w:szCs w:val="24"/>
        </w:rPr>
        <w:t>It is ordered:</w:t>
      </w:r>
      <w:r w:rsidR="00FF6376">
        <w:rPr>
          <w:rFonts w:cs="Arial"/>
          <w:sz w:val="24"/>
          <w:szCs w:val="24"/>
        </w:rPr>
        <w:t xml:space="preserve"> - </w:t>
      </w:r>
    </w:p>
    <w:p w14:paraId="6BAF2864" w14:textId="77777777" w:rsidR="006C34F6" w:rsidRDefault="006C34F6" w:rsidP="006C34F6">
      <w:pPr>
        <w:pStyle w:val="Body"/>
        <w:spacing w:line="360" w:lineRule="auto"/>
        <w:ind w:left="851"/>
        <w:jc w:val="both"/>
        <w:rPr>
          <w:rFonts w:cs="Arial"/>
          <w:sz w:val="24"/>
          <w:szCs w:val="24"/>
        </w:rPr>
      </w:pPr>
    </w:p>
    <w:p w14:paraId="37B53AB4" w14:textId="30E31CA3" w:rsidR="006C34F6" w:rsidRDefault="006C34F6" w:rsidP="00676C37">
      <w:pPr>
        <w:pStyle w:val="Body"/>
        <w:spacing w:line="360" w:lineRule="auto"/>
        <w:ind w:left="1985" w:hanging="1134"/>
        <w:jc w:val="both"/>
        <w:rPr>
          <w:rFonts w:cs="Arial"/>
          <w:sz w:val="24"/>
          <w:szCs w:val="24"/>
        </w:rPr>
      </w:pPr>
      <w:r>
        <w:rPr>
          <w:rFonts w:cs="Arial"/>
          <w:sz w:val="24"/>
          <w:szCs w:val="24"/>
        </w:rPr>
        <w:t>[</w:t>
      </w:r>
      <w:r w:rsidR="0019345E">
        <w:rPr>
          <w:rFonts w:cs="Arial"/>
          <w:sz w:val="24"/>
          <w:szCs w:val="24"/>
        </w:rPr>
        <w:t>6</w:t>
      </w:r>
      <w:r w:rsidR="00297350">
        <w:rPr>
          <w:rFonts w:cs="Arial"/>
          <w:sz w:val="24"/>
          <w:szCs w:val="24"/>
        </w:rPr>
        <w:t>5</w:t>
      </w:r>
      <w:r>
        <w:rPr>
          <w:rFonts w:cs="Arial"/>
          <w:sz w:val="24"/>
          <w:szCs w:val="24"/>
        </w:rPr>
        <w:t>.1]</w:t>
      </w:r>
      <w:r>
        <w:rPr>
          <w:rFonts w:cs="Arial"/>
          <w:sz w:val="24"/>
          <w:szCs w:val="24"/>
        </w:rPr>
        <w:tab/>
        <w:t xml:space="preserve">The applicant is granted condonation </w:t>
      </w:r>
      <w:r w:rsidR="00676C37">
        <w:rPr>
          <w:rFonts w:cs="Arial"/>
          <w:sz w:val="24"/>
          <w:szCs w:val="24"/>
        </w:rPr>
        <w:t>for non-compliance with the 180-day period referred to in s 78(2)(c)(i) of PAIA.</w:t>
      </w:r>
    </w:p>
    <w:p w14:paraId="370E022D" w14:textId="77777777" w:rsidR="00676C37" w:rsidRDefault="00676C37" w:rsidP="00676C37">
      <w:pPr>
        <w:pStyle w:val="Body"/>
        <w:spacing w:line="360" w:lineRule="auto"/>
        <w:ind w:left="1985" w:hanging="1134"/>
        <w:jc w:val="both"/>
        <w:rPr>
          <w:rFonts w:cs="Arial"/>
          <w:sz w:val="24"/>
          <w:szCs w:val="24"/>
        </w:rPr>
      </w:pPr>
    </w:p>
    <w:p w14:paraId="0AE09B82" w14:textId="17DB1754" w:rsidR="001223D2" w:rsidRDefault="006C34F6" w:rsidP="006C34F6">
      <w:pPr>
        <w:pStyle w:val="Body"/>
        <w:spacing w:line="360" w:lineRule="auto"/>
        <w:ind w:left="1985" w:hanging="1134"/>
        <w:jc w:val="both"/>
        <w:rPr>
          <w:rFonts w:cs="Arial"/>
          <w:sz w:val="24"/>
          <w:szCs w:val="24"/>
        </w:rPr>
      </w:pPr>
      <w:r>
        <w:rPr>
          <w:rFonts w:cs="Arial"/>
          <w:sz w:val="24"/>
          <w:szCs w:val="24"/>
        </w:rPr>
        <w:t>[</w:t>
      </w:r>
      <w:r w:rsidR="0019345E">
        <w:rPr>
          <w:rFonts w:cs="Arial"/>
          <w:sz w:val="24"/>
          <w:szCs w:val="24"/>
        </w:rPr>
        <w:t>6</w:t>
      </w:r>
      <w:r w:rsidR="00297350">
        <w:rPr>
          <w:rFonts w:cs="Arial"/>
          <w:sz w:val="24"/>
          <w:szCs w:val="24"/>
        </w:rPr>
        <w:t>5</w:t>
      </w:r>
      <w:r>
        <w:rPr>
          <w:rFonts w:cs="Arial"/>
          <w:sz w:val="24"/>
          <w:szCs w:val="24"/>
        </w:rPr>
        <w:t>.2]</w:t>
      </w:r>
      <w:r>
        <w:rPr>
          <w:rFonts w:cs="Arial"/>
          <w:sz w:val="24"/>
          <w:szCs w:val="24"/>
        </w:rPr>
        <w:tab/>
      </w:r>
      <w:r w:rsidR="001223D2">
        <w:rPr>
          <w:rFonts w:cs="Arial"/>
          <w:sz w:val="24"/>
          <w:szCs w:val="24"/>
        </w:rPr>
        <w:t>All references in the present application to the third and fifth respondents are struck out.</w:t>
      </w:r>
    </w:p>
    <w:p w14:paraId="0B9A2971" w14:textId="3434867B" w:rsidR="001223D2" w:rsidRDefault="001223D2" w:rsidP="006C34F6">
      <w:pPr>
        <w:pStyle w:val="Body"/>
        <w:spacing w:line="360" w:lineRule="auto"/>
        <w:ind w:left="1985" w:hanging="1134"/>
        <w:jc w:val="both"/>
        <w:rPr>
          <w:rFonts w:cs="Arial"/>
          <w:sz w:val="24"/>
          <w:szCs w:val="24"/>
        </w:rPr>
      </w:pPr>
    </w:p>
    <w:p w14:paraId="2FC91F70" w14:textId="50B280A8" w:rsidR="006C34F6" w:rsidRDefault="001223D2" w:rsidP="001223D2">
      <w:pPr>
        <w:pStyle w:val="Body"/>
        <w:spacing w:line="360" w:lineRule="auto"/>
        <w:ind w:left="1985" w:hanging="1134"/>
        <w:jc w:val="both"/>
        <w:rPr>
          <w:rFonts w:cs="Arial"/>
          <w:sz w:val="24"/>
          <w:szCs w:val="24"/>
        </w:rPr>
      </w:pPr>
      <w:r>
        <w:rPr>
          <w:rFonts w:cs="Arial"/>
          <w:sz w:val="24"/>
          <w:szCs w:val="24"/>
        </w:rPr>
        <w:t>[</w:t>
      </w:r>
      <w:r w:rsidR="0019345E">
        <w:rPr>
          <w:rFonts w:cs="Arial"/>
          <w:sz w:val="24"/>
          <w:szCs w:val="24"/>
        </w:rPr>
        <w:t>6</w:t>
      </w:r>
      <w:r w:rsidR="00297350">
        <w:rPr>
          <w:rFonts w:cs="Arial"/>
          <w:sz w:val="24"/>
          <w:szCs w:val="24"/>
        </w:rPr>
        <w:t>5</w:t>
      </w:r>
      <w:r>
        <w:rPr>
          <w:rFonts w:cs="Arial"/>
          <w:sz w:val="24"/>
          <w:szCs w:val="24"/>
        </w:rPr>
        <w:t>.3]</w:t>
      </w:r>
      <w:r>
        <w:rPr>
          <w:rFonts w:cs="Arial"/>
          <w:sz w:val="24"/>
          <w:szCs w:val="24"/>
        </w:rPr>
        <w:tab/>
      </w:r>
      <w:r w:rsidR="006C34F6">
        <w:rPr>
          <w:rFonts w:cs="Arial"/>
          <w:sz w:val="24"/>
          <w:szCs w:val="24"/>
        </w:rPr>
        <w:t>The application is dismissed.</w:t>
      </w:r>
    </w:p>
    <w:p w14:paraId="1ED4BC80" w14:textId="625046ED" w:rsidR="006C34F6" w:rsidRDefault="006C34F6" w:rsidP="006C34F6">
      <w:pPr>
        <w:pStyle w:val="Body"/>
        <w:spacing w:line="360" w:lineRule="auto"/>
        <w:ind w:left="1985" w:hanging="1134"/>
        <w:jc w:val="both"/>
        <w:rPr>
          <w:rFonts w:cs="Arial"/>
          <w:sz w:val="24"/>
          <w:szCs w:val="24"/>
        </w:rPr>
      </w:pPr>
    </w:p>
    <w:p w14:paraId="74A0400D" w14:textId="182393E8" w:rsidR="00773D8D" w:rsidRPr="00EA1D75" w:rsidRDefault="006C34F6" w:rsidP="00EA1D75">
      <w:pPr>
        <w:pStyle w:val="Body"/>
        <w:spacing w:line="360" w:lineRule="auto"/>
        <w:ind w:left="1985" w:hanging="1134"/>
        <w:jc w:val="both"/>
        <w:rPr>
          <w:rFonts w:cs="Arial"/>
          <w:sz w:val="24"/>
          <w:szCs w:val="24"/>
        </w:rPr>
      </w:pPr>
      <w:r>
        <w:rPr>
          <w:rFonts w:cs="Arial"/>
          <w:sz w:val="24"/>
          <w:szCs w:val="24"/>
        </w:rPr>
        <w:t>[</w:t>
      </w:r>
      <w:r w:rsidR="0019345E">
        <w:rPr>
          <w:rFonts w:cs="Arial"/>
          <w:sz w:val="24"/>
          <w:szCs w:val="24"/>
        </w:rPr>
        <w:t>6</w:t>
      </w:r>
      <w:r w:rsidR="00297350">
        <w:rPr>
          <w:rFonts w:cs="Arial"/>
          <w:sz w:val="24"/>
          <w:szCs w:val="24"/>
        </w:rPr>
        <w:t>5</w:t>
      </w:r>
      <w:r>
        <w:rPr>
          <w:rFonts w:cs="Arial"/>
          <w:sz w:val="24"/>
          <w:szCs w:val="24"/>
        </w:rPr>
        <w:t>.</w:t>
      </w:r>
      <w:r w:rsidR="001223D2">
        <w:rPr>
          <w:rFonts w:cs="Arial"/>
          <w:sz w:val="24"/>
          <w:szCs w:val="24"/>
        </w:rPr>
        <w:t>4</w:t>
      </w:r>
      <w:r>
        <w:rPr>
          <w:rFonts w:cs="Arial"/>
          <w:sz w:val="24"/>
          <w:szCs w:val="24"/>
        </w:rPr>
        <w:t>]</w:t>
      </w:r>
      <w:r>
        <w:rPr>
          <w:rFonts w:cs="Arial"/>
          <w:sz w:val="24"/>
          <w:szCs w:val="24"/>
        </w:rPr>
        <w:tab/>
        <w:t>The applicant is ordered to pay the costs of the respondents who opposed this application on the scale as between party and party, such costs to include the costs consequent upon the employment of two counsel, where so employed.</w:t>
      </w:r>
    </w:p>
    <w:p w14:paraId="4BE2FC40" w14:textId="3659D393" w:rsidR="006E25F1" w:rsidRDefault="006E25F1" w:rsidP="00FD653B">
      <w:pPr>
        <w:rPr>
          <w:rFonts w:cs="Arial"/>
          <w:b/>
          <w:bCs/>
        </w:rPr>
      </w:pPr>
    </w:p>
    <w:p w14:paraId="24E22621" w14:textId="77777777" w:rsidR="008E6813" w:rsidRDefault="008E6813" w:rsidP="00413603">
      <w:pPr>
        <w:pStyle w:val="Body"/>
        <w:ind w:left="720"/>
        <w:jc w:val="right"/>
        <w:rPr>
          <w:rFonts w:cs="Arial"/>
          <w:b/>
          <w:bCs/>
          <w:sz w:val="24"/>
          <w:szCs w:val="24"/>
        </w:rPr>
      </w:pPr>
    </w:p>
    <w:p w14:paraId="75814BE3" w14:textId="18919A89" w:rsidR="00101D88" w:rsidRPr="00413603" w:rsidRDefault="00101D88" w:rsidP="008E6813">
      <w:pPr>
        <w:pStyle w:val="Body"/>
        <w:spacing w:line="360" w:lineRule="auto"/>
        <w:ind w:left="720"/>
        <w:jc w:val="right"/>
        <w:rPr>
          <w:rFonts w:cs="Arial"/>
          <w:sz w:val="24"/>
          <w:szCs w:val="24"/>
        </w:rPr>
      </w:pPr>
      <w:r w:rsidRPr="00413603">
        <w:rPr>
          <w:rFonts w:cs="Arial"/>
          <w:b/>
          <w:bCs/>
          <w:sz w:val="24"/>
          <w:szCs w:val="24"/>
        </w:rPr>
        <w:t>_____________________________</w:t>
      </w:r>
    </w:p>
    <w:p w14:paraId="67B4416D" w14:textId="77777777" w:rsidR="001D6C62" w:rsidRDefault="001D6C62" w:rsidP="008E6813">
      <w:pPr>
        <w:pStyle w:val="BodyA"/>
        <w:spacing w:line="360" w:lineRule="auto"/>
        <w:ind w:left="720"/>
        <w:jc w:val="right"/>
        <w:rPr>
          <w:rFonts w:ascii="Arial" w:hAnsi="Arial" w:cs="Arial"/>
          <w:b/>
          <w:bCs/>
        </w:rPr>
      </w:pPr>
    </w:p>
    <w:p w14:paraId="7C493B1F" w14:textId="65ACEF1C" w:rsidR="00101D88" w:rsidRPr="00242E76" w:rsidRDefault="00101D88" w:rsidP="008E6813">
      <w:pPr>
        <w:pStyle w:val="BodyA"/>
        <w:spacing w:line="360" w:lineRule="auto"/>
        <w:ind w:left="7920"/>
        <w:jc w:val="right"/>
        <w:rPr>
          <w:rFonts w:ascii="Arial" w:hAnsi="Arial" w:cs="Arial"/>
          <w:b/>
          <w:bCs/>
        </w:rPr>
      </w:pPr>
      <w:r w:rsidRPr="00242E76">
        <w:rPr>
          <w:rFonts w:ascii="Arial" w:hAnsi="Arial" w:cs="Arial"/>
          <w:b/>
          <w:bCs/>
        </w:rPr>
        <w:t>A MILLAR</w:t>
      </w:r>
    </w:p>
    <w:p w14:paraId="206E179D" w14:textId="76294E94" w:rsidR="00101D88" w:rsidRPr="00242E76" w:rsidRDefault="00101D88" w:rsidP="00CF796A">
      <w:pPr>
        <w:pStyle w:val="BodyA"/>
        <w:spacing w:before="120"/>
        <w:ind w:left="720"/>
        <w:jc w:val="right"/>
        <w:rPr>
          <w:rFonts w:ascii="Arial" w:hAnsi="Arial" w:cs="Arial"/>
          <w:b/>
          <w:bCs/>
        </w:rPr>
      </w:pPr>
      <w:r w:rsidRPr="00242E76">
        <w:rPr>
          <w:rFonts w:ascii="Arial" w:hAnsi="Arial" w:cs="Arial"/>
          <w:b/>
          <w:bCs/>
        </w:rPr>
        <w:t xml:space="preserve"> JUDGE OF THE HIGH COURT</w:t>
      </w:r>
    </w:p>
    <w:p w14:paraId="4EBF1408" w14:textId="77777777" w:rsidR="00416EA1" w:rsidRPr="00242E76" w:rsidRDefault="00416EA1" w:rsidP="00CF796A">
      <w:pPr>
        <w:spacing w:before="120"/>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365DFCFC" w14:textId="77777777" w:rsidR="00416EA1" w:rsidRPr="00077E92" w:rsidRDefault="00416EA1" w:rsidP="008E6813">
      <w:pPr>
        <w:pStyle w:val="BodyA"/>
        <w:spacing w:line="360" w:lineRule="auto"/>
        <w:ind w:left="720"/>
        <w:jc w:val="right"/>
        <w:rPr>
          <w:rFonts w:ascii="Arial" w:eastAsia="Tahoma" w:hAnsi="Arial" w:cs="Arial"/>
          <w:b/>
          <w:bCs/>
        </w:rPr>
      </w:pPr>
    </w:p>
    <w:p w14:paraId="4A2A3FBF" w14:textId="51DC6B83" w:rsidR="00E55848" w:rsidRDefault="00E55848" w:rsidP="008E6813">
      <w:pPr>
        <w:spacing w:line="360" w:lineRule="auto"/>
        <w:ind w:left="567" w:hanging="567"/>
        <w:jc w:val="both"/>
        <w:rPr>
          <w:rFonts w:ascii="Arial" w:hAnsi="Arial" w:cs="Arial"/>
        </w:rPr>
      </w:pPr>
    </w:p>
    <w:p w14:paraId="6370866B" w14:textId="77777777" w:rsidR="00416EA1" w:rsidRDefault="00416EA1" w:rsidP="008E6813">
      <w:pPr>
        <w:spacing w:line="360" w:lineRule="auto"/>
        <w:ind w:left="567" w:hanging="567"/>
        <w:jc w:val="both"/>
        <w:rPr>
          <w:rFonts w:ascii="Arial" w:hAnsi="Arial" w:cs="Arial"/>
        </w:rPr>
      </w:pPr>
    </w:p>
    <w:p w14:paraId="6B7491D6" w14:textId="77777777" w:rsidR="00F74042" w:rsidRDefault="00F74042" w:rsidP="008E6813">
      <w:pPr>
        <w:spacing w:line="360" w:lineRule="auto"/>
        <w:ind w:left="567" w:hanging="567"/>
        <w:jc w:val="both"/>
        <w:rPr>
          <w:rFonts w:ascii="Arial" w:hAnsi="Arial" w:cs="Arial"/>
          <w:sz w:val="22"/>
          <w:szCs w:val="22"/>
        </w:rPr>
      </w:pPr>
    </w:p>
    <w:p w14:paraId="463A9639" w14:textId="77777777" w:rsidR="00F74042" w:rsidRDefault="00F74042" w:rsidP="008E6813">
      <w:pPr>
        <w:spacing w:line="360" w:lineRule="auto"/>
        <w:ind w:left="567" w:hanging="567"/>
        <w:jc w:val="both"/>
        <w:rPr>
          <w:rFonts w:ascii="Arial" w:hAnsi="Arial" w:cs="Arial"/>
          <w:sz w:val="22"/>
          <w:szCs w:val="22"/>
        </w:rPr>
      </w:pPr>
    </w:p>
    <w:p w14:paraId="56C2E606" w14:textId="77777777" w:rsidR="00F74042" w:rsidRDefault="00F74042" w:rsidP="008E6813">
      <w:pPr>
        <w:spacing w:line="360" w:lineRule="auto"/>
        <w:ind w:left="567" w:hanging="567"/>
        <w:jc w:val="both"/>
        <w:rPr>
          <w:rFonts w:ascii="Arial" w:hAnsi="Arial" w:cs="Arial"/>
          <w:sz w:val="22"/>
          <w:szCs w:val="22"/>
        </w:rPr>
      </w:pPr>
    </w:p>
    <w:p w14:paraId="5ACDA854" w14:textId="6604872E" w:rsidR="002040D5" w:rsidRPr="00242E76" w:rsidRDefault="00412E0C" w:rsidP="008E6813">
      <w:pPr>
        <w:spacing w:line="360" w:lineRule="auto"/>
        <w:ind w:left="567" w:hanging="567"/>
        <w:jc w:val="both"/>
        <w:rPr>
          <w:rFonts w:ascii="Arial" w:hAnsi="Arial" w:cs="Arial"/>
          <w:sz w:val="22"/>
          <w:szCs w:val="22"/>
        </w:rPr>
      </w:pPr>
      <w:r w:rsidRPr="00242E76">
        <w:rPr>
          <w:rFonts w:ascii="Arial" w:hAnsi="Arial" w:cs="Arial"/>
          <w:sz w:val="22"/>
          <w:szCs w:val="22"/>
        </w:rPr>
        <w:lastRenderedPageBreak/>
        <w:t>HEARD ON:</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32633A">
        <w:rPr>
          <w:rFonts w:ascii="Arial" w:hAnsi="Arial" w:cs="Arial"/>
          <w:sz w:val="22"/>
          <w:szCs w:val="22"/>
        </w:rPr>
        <w:tab/>
        <w:t>10 OCTOBER 2023</w:t>
      </w:r>
    </w:p>
    <w:p w14:paraId="7E6457D4" w14:textId="0B840BEC" w:rsidR="002040D5"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J</w:t>
      </w:r>
      <w:r w:rsidR="008D34A8">
        <w:rPr>
          <w:rFonts w:ascii="Arial" w:hAnsi="Arial" w:cs="Arial"/>
          <w:sz w:val="22"/>
          <w:szCs w:val="22"/>
        </w:rPr>
        <w:t>UDGMENT DELIVERED ON:</w:t>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32633A">
        <w:rPr>
          <w:rFonts w:ascii="Arial" w:hAnsi="Arial" w:cs="Arial"/>
          <w:sz w:val="22"/>
          <w:szCs w:val="22"/>
        </w:rPr>
        <w:tab/>
      </w:r>
      <w:r w:rsidR="000C3AFA">
        <w:rPr>
          <w:rFonts w:ascii="Arial" w:hAnsi="Arial" w:cs="Arial"/>
          <w:sz w:val="22"/>
          <w:szCs w:val="22"/>
        </w:rPr>
        <w:t xml:space="preserve">14 </w:t>
      </w:r>
      <w:r w:rsidR="00301195">
        <w:rPr>
          <w:rFonts w:ascii="Arial" w:hAnsi="Arial" w:cs="Arial"/>
          <w:sz w:val="22"/>
          <w:szCs w:val="22"/>
        </w:rPr>
        <w:t>NOVEMBER 2023</w:t>
      </w:r>
    </w:p>
    <w:p w14:paraId="70B75637" w14:textId="77777777" w:rsidR="006710DC" w:rsidRDefault="006710DC" w:rsidP="008E6813">
      <w:pPr>
        <w:spacing w:line="360" w:lineRule="auto"/>
        <w:ind w:left="567" w:hanging="567"/>
        <w:jc w:val="both"/>
        <w:rPr>
          <w:rFonts w:ascii="Arial" w:hAnsi="Arial" w:cs="Arial"/>
          <w:sz w:val="22"/>
          <w:szCs w:val="22"/>
        </w:rPr>
      </w:pPr>
    </w:p>
    <w:p w14:paraId="02474508" w14:textId="3FFFC689" w:rsidR="006630FB"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COUNSEL</w:t>
      </w:r>
      <w:r w:rsidR="000E6633" w:rsidRPr="00242E76">
        <w:rPr>
          <w:rFonts w:ascii="Arial" w:hAnsi="Arial" w:cs="Arial"/>
          <w:sz w:val="22"/>
          <w:szCs w:val="22"/>
        </w:rPr>
        <w:t xml:space="preserve"> FOR THE </w:t>
      </w:r>
      <w:r w:rsidR="000218AC">
        <w:rPr>
          <w:rFonts w:ascii="Arial" w:hAnsi="Arial" w:cs="Arial"/>
          <w:sz w:val="22"/>
          <w:szCs w:val="22"/>
        </w:rPr>
        <w:t>APPLICANT</w:t>
      </w:r>
      <w:r w:rsidR="00412E0C" w:rsidRPr="00242E76">
        <w:rPr>
          <w:rFonts w:ascii="Arial" w:hAnsi="Arial" w:cs="Arial"/>
          <w:sz w:val="22"/>
          <w:szCs w:val="22"/>
        </w:rPr>
        <w:t>:</w:t>
      </w:r>
      <w:r w:rsidR="00242E76">
        <w:rPr>
          <w:rFonts w:ascii="Arial" w:hAnsi="Arial" w:cs="Arial"/>
          <w:sz w:val="22"/>
          <w:szCs w:val="22"/>
        </w:rPr>
        <w:tab/>
      </w:r>
      <w:r w:rsidR="00D77C76">
        <w:rPr>
          <w:rFonts w:ascii="Arial" w:hAnsi="Arial" w:cs="Arial"/>
          <w:sz w:val="22"/>
          <w:szCs w:val="22"/>
        </w:rPr>
        <w:tab/>
      </w:r>
      <w:r w:rsidR="0027008F">
        <w:rPr>
          <w:rFonts w:ascii="Arial" w:hAnsi="Arial" w:cs="Arial"/>
          <w:sz w:val="22"/>
          <w:szCs w:val="22"/>
        </w:rPr>
        <w:tab/>
      </w:r>
      <w:r w:rsidR="0032633A">
        <w:rPr>
          <w:rFonts w:ascii="Arial" w:hAnsi="Arial" w:cs="Arial"/>
          <w:sz w:val="22"/>
          <w:szCs w:val="22"/>
        </w:rPr>
        <w:tab/>
      </w:r>
      <w:r w:rsidR="00D77C76">
        <w:rPr>
          <w:rFonts w:ascii="Arial" w:hAnsi="Arial" w:cs="Arial"/>
          <w:sz w:val="22"/>
          <w:szCs w:val="22"/>
        </w:rPr>
        <w:t>ADV.</w:t>
      </w:r>
      <w:r w:rsidR="001F07DD">
        <w:rPr>
          <w:rFonts w:ascii="Arial" w:hAnsi="Arial" w:cs="Arial"/>
          <w:sz w:val="22"/>
          <w:szCs w:val="22"/>
        </w:rPr>
        <w:t xml:space="preserve"> </w:t>
      </w:r>
      <w:r w:rsidR="0032633A">
        <w:rPr>
          <w:rFonts w:ascii="Arial" w:hAnsi="Arial" w:cs="Arial"/>
          <w:sz w:val="22"/>
          <w:szCs w:val="22"/>
        </w:rPr>
        <w:t>E PROPHY</w:t>
      </w:r>
    </w:p>
    <w:p w14:paraId="6434C520" w14:textId="05FED528" w:rsidR="006630FB"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7008F">
        <w:rPr>
          <w:rFonts w:ascii="Arial" w:hAnsi="Arial" w:cs="Arial"/>
          <w:sz w:val="22"/>
          <w:szCs w:val="22"/>
        </w:rPr>
        <w:tab/>
      </w:r>
      <w:r w:rsidR="0032633A">
        <w:rPr>
          <w:rFonts w:ascii="Arial" w:hAnsi="Arial" w:cs="Arial"/>
          <w:sz w:val="22"/>
          <w:szCs w:val="22"/>
        </w:rPr>
        <w:tab/>
        <w:t>JENNINGS INCORPORATED</w:t>
      </w:r>
    </w:p>
    <w:p w14:paraId="7383FC0C" w14:textId="1C4401ED" w:rsidR="000E6633" w:rsidRPr="00242E76" w:rsidRDefault="000E6633" w:rsidP="008E6813">
      <w:pPr>
        <w:spacing w:line="360" w:lineRule="auto"/>
        <w:ind w:left="567" w:hanging="567"/>
        <w:jc w:val="both"/>
        <w:rPr>
          <w:rFonts w:ascii="Arial" w:hAnsi="Arial" w:cs="Arial"/>
          <w:sz w:val="22"/>
          <w:szCs w:val="22"/>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27008F">
        <w:rPr>
          <w:rFonts w:ascii="Arial" w:hAnsi="Arial" w:cs="Arial"/>
          <w:sz w:val="22"/>
          <w:szCs w:val="22"/>
        </w:rPr>
        <w:tab/>
      </w:r>
      <w:r w:rsidR="0032633A">
        <w:rPr>
          <w:rFonts w:ascii="Arial" w:hAnsi="Arial" w:cs="Arial"/>
          <w:sz w:val="22"/>
          <w:szCs w:val="22"/>
        </w:rPr>
        <w:tab/>
        <w:t>MR. A JENNINGS</w:t>
      </w:r>
    </w:p>
    <w:p w14:paraId="4502317A" w14:textId="77777777" w:rsidR="000E6633" w:rsidRPr="00242E76" w:rsidRDefault="000E6633" w:rsidP="008E6813">
      <w:pPr>
        <w:spacing w:line="360" w:lineRule="auto"/>
        <w:ind w:left="567" w:hanging="567"/>
        <w:jc w:val="both"/>
        <w:rPr>
          <w:rFonts w:ascii="Arial" w:hAnsi="Arial" w:cs="Arial"/>
          <w:sz w:val="22"/>
          <w:szCs w:val="22"/>
        </w:rPr>
      </w:pPr>
    </w:p>
    <w:p w14:paraId="577B443F" w14:textId="64DEA960" w:rsidR="006630FB" w:rsidRPr="00242E76" w:rsidRDefault="002A6A3F" w:rsidP="008E6813">
      <w:pPr>
        <w:spacing w:line="360" w:lineRule="auto"/>
        <w:ind w:left="567" w:hanging="567"/>
        <w:jc w:val="both"/>
        <w:rPr>
          <w:rFonts w:ascii="Arial" w:hAnsi="Arial" w:cs="Arial"/>
          <w:sz w:val="22"/>
          <w:szCs w:val="22"/>
        </w:rPr>
      </w:pPr>
      <w:r w:rsidRPr="00242E76">
        <w:rPr>
          <w:rFonts w:ascii="Arial" w:hAnsi="Arial" w:cs="Arial"/>
          <w:sz w:val="22"/>
          <w:szCs w:val="22"/>
        </w:rPr>
        <w:t xml:space="preserve">COUNSEL FOR </w:t>
      </w:r>
      <w:r w:rsidR="00D77C76" w:rsidRPr="00242E76">
        <w:rPr>
          <w:rFonts w:ascii="Arial" w:hAnsi="Arial" w:cs="Arial"/>
          <w:sz w:val="22"/>
          <w:szCs w:val="22"/>
        </w:rPr>
        <w:t xml:space="preserve">THE </w:t>
      </w:r>
      <w:r w:rsidR="0032633A">
        <w:rPr>
          <w:rFonts w:ascii="Arial" w:hAnsi="Arial" w:cs="Arial"/>
          <w:sz w:val="22"/>
          <w:szCs w:val="22"/>
        </w:rPr>
        <w:t>1</w:t>
      </w:r>
      <w:r w:rsidR="0032633A" w:rsidRPr="0032633A">
        <w:rPr>
          <w:rFonts w:ascii="Arial" w:hAnsi="Arial" w:cs="Arial"/>
          <w:sz w:val="22"/>
          <w:szCs w:val="22"/>
          <w:vertAlign w:val="superscript"/>
        </w:rPr>
        <w:t>ST</w:t>
      </w:r>
      <w:r w:rsidR="0032633A">
        <w:rPr>
          <w:rFonts w:ascii="Arial" w:hAnsi="Arial" w:cs="Arial"/>
          <w:sz w:val="22"/>
          <w:szCs w:val="22"/>
        </w:rPr>
        <w:t>,4</w:t>
      </w:r>
      <w:r w:rsidR="0032633A" w:rsidRPr="0032633A">
        <w:rPr>
          <w:rFonts w:ascii="Arial" w:hAnsi="Arial" w:cs="Arial"/>
          <w:sz w:val="22"/>
          <w:szCs w:val="22"/>
          <w:vertAlign w:val="superscript"/>
        </w:rPr>
        <w:t>TH</w:t>
      </w:r>
      <w:r w:rsidR="0032633A">
        <w:rPr>
          <w:rFonts w:ascii="Arial" w:hAnsi="Arial" w:cs="Arial"/>
          <w:sz w:val="22"/>
          <w:szCs w:val="22"/>
        </w:rPr>
        <w:t xml:space="preserve"> &amp; 5</w:t>
      </w:r>
      <w:r w:rsidR="0032633A" w:rsidRPr="0032633A">
        <w:rPr>
          <w:rFonts w:ascii="Arial" w:hAnsi="Arial" w:cs="Arial"/>
          <w:sz w:val="22"/>
          <w:szCs w:val="22"/>
          <w:vertAlign w:val="superscript"/>
        </w:rPr>
        <w:t>TH</w:t>
      </w:r>
      <w:r w:rsidR="0032633A">
        <w:rPr>
          <w:rFonts w:ascii="Arial" w:hAnsi="Arial" w:cs="Arial"/>
          <w:sz w:val="22"/>
          <w:szCs w:val="22"/>
        </w:rPr>
        <w:t xml:space="preserve"> </w:t>
      </w:r>
      <w:r w:rsidR="000218AC">
        <w:rPr>
          <w:rFonts w:ascii="Arial" w:hAnsi="Arial" w:cs="Arial"/>
          <w:sz w:val="22"/>
          <w:szCs w:val="22"/>
        </w:rPr>
        <w:t>RESPONDENT</w:t>
      </w:r>
      <w:r w:rsidR="0032633A">
        <w:rPr>
          <w:rFonts w:ascii="Arial" w:hAnsi="Arial" w:cs="Arial"/>
          <w:sz w:val="22"/>
          <w:szCs w:val="22"/>
        </w:rPr>
        <w:t>S</w:t>
      </w:r>
      <w:r w:rsidR="006630FB" w:rsidRPr="00242E76">
        <w:rPr>
          <w:rFonts w:ascii="Arial" w:hAnsi="Arial" w:cs="Arial"/>
          <w:sz w:val="22"/>
          <w:szCs w:val="22"/>
        </w:rPr>
        <w:t>:</w:t>
      </w:r>
      <w:r w:rsidR="000E07B1">
        <w:rPr>
          <w:rFonts w:ascii="Arial" w:hAnsi="Arial" w:cs="Arial"/>
          <w:sz w:val="22"/>
          <w:szCs w:val="22"/>
        </w:rPr>
        <w:tab/>
      </w:r>
      <w:r w:rsidR="006630FB" w:rsidRPr="00242E76">
        <w:rPr>
          <w:rFonts w:ascii="Arial" w:hAnsi="Arial" w:cs="Arial"/>
          <w:sz w:val="22"/>
          <w:szCs w:val="22"/>
        </w:rPr>
        <w:t>ADV</w:t>
      </w:r>
      <w:r w:rsidR="00D77C76">
        <w:rPr>
          <w:rFonts w:ascii="Arial" w:hAnsi="Arial" w:cs="Arial"/>
          <w:sz w:val="22"/>
          <w:szCs w:val="22"/>
        </w:rPr>
        <w:t xml:space="preserve">. </w:t>
      </w:r>
      <w:r w:rsidR="0032633A">
        <w:rPr>
          <w:rFonts w:ascii="Arial" w:hAnsi="Arial" w:cs="Arial"/>
          <w:sz w:val="22"/>
          <w:szCs w:val="22"/>
        </w:rPr>
        <w:t>A MILOVANOVIC-BITTER</w:t>
      </w:r>
    </w:p>
    <w:p w14:paraId="6EEF6A02" w14:textId="6B3D428C" w:rsidR="008465D6"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D77C76">
        <w:rPr>
          <w:rFonts w:ascii="Arial" w:hAnsi="Arial" w:cs="Arial"/>
          <w:sz w:val="22"/>
          <w:szCs w:val="22"/>
        </w:rPr>
        <w:tab/>
      </w:r>
      <w:r w:rsidR="0032633A">
        <w:rPr>
          <w:rFonts w:ascii="Arial" w:hAnsi="Arial" w:cs="Arial"/>
          <w:sz w:val="22"/>
          <w:szCs w:val="22"/>
        </w:rPr>
        <w:t xml:space="preserve">     </w:t>
      </w:r>
      <w:r w:rsidR="0032633A">
        <w:rPr>
          <w:rFonts w:ascii="Arial" w:hAnsi="Arial" w:cs="Arial"/>
          <w:sz w:val="22"/>
          <w:szCs w:val="22"/>
        </w:rPr>
        <w:tab/>
        <w:t>ENS AFRICA</w:t>
      </w:r>
      <w:r w:rsidR="007F7556">
        <w:rPr>
          <w:rFonts w:ascii="Arial" w:hAnsi="Arial" w:cs="Arial"/>
          <w:sz w:val="22"/>
          <w:szCs w:val="22"/>
        </w:rPr>
        <w:t xml:space="preserve"> ATTORNEYS</w:t>
      </w:r>
      <w:r w:rsidR="0032633A">
        <w:rPr>
          <w:rFonts w:ascii="Arial" w:hAnsi="Arial" w:cs="Arial"/>
          <w:sz w:val="22"/>
          <w:szCs w:val="22"/>
        </w:rPr>
        <w:tab/>
      </w:r>
    </w:p>
    <w:p w14:paraId="0030EF17" w14:textId="62FC846E" w:rsidR="000E6633" w:rsidRDefault="000E6633" w:rsidP="008E6813">
      <w:pPr>
        <w:spacing w:line="360" w:lineRule="auto"/>
        <w:ind w:left="567" w:hanging="567"/>
        <w:jc w:val="both"/>
        <w:rPr>
          <w:rFonts w:ascii="Arial" w:hAnsi="Arial" w:cs="Arial"/>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D77C76">
        <w:rPr>
          <w:rFonts w:ascii="Arial" w:hAnsi="Arial" w:cs="Arial"/>
          <w:sz w:val="22"/>
          <w:szCs w:val="22"/>
        </w:rPr>
        <w:tab/>
      </w:r>
      <w:r w:rsidR="0032633A">
        <w:rPr>
          <w:rFonts w:ascii="Arial" w:hAnsi="Arial" w:cs="Arial"/>
          <w:sz w:val="22"/>
          <w:szCs w:val="22"/>
        </w:rPr>
        <w:tab/>
        <w:t>MR. T MODUBU</w:t>
      </w:r>
    </w:p>
    <w:p w14:paraId="748D69AA" w14:textId="7969D0B6" w:rsidR="00A56BC1" w:rsidRDefault="00A56BC1" w:rsidP="008E6813">
      <w:pPr>
        <w:spacing w:line="360" w:lineRule="auto"/>
        <w:jc w:val="both"/>
        <w:rPr>
          <w:rFonts w:ascii="Arial" w:hAnsi="Arial"/>
          <w:sz w:val="22"/>
          <w:szCs w:val="22"/>
        </w:rPr>
      </w:pPr>
    </w:p>
    <w:p w14:paraId="6072C765" w14:textId="3902A2A7" w:rsidR="0027008F" w:rsidRDefault="0027008F" w:rsidP="008E6813">
      <w:pPr>
        <w:spacing w:line="360" w:lineRule="auto"/>
        <w:ind w:left="567" w:hanging="567"/>
        <w:jc w:val="both"/>
        <w:rPr>
          <w:rFonts w:ascii="Arial" w:hAnsi="Arial" w:cs="Arial"/>
        </w:rPr>
      </w:pPr>
      <w:r>
        <w:rPr>
          <w:rFonts w:ascii="Arial" w:hAnsi="Arial" w:cs="Arial"/>
          <w:sz w:val="22"/>
          <w:szCs w:val="22"/>
        </w:rPr>
        <w:tab/>
      </w:r>
    </w:p>
    <w:p w14:paraId="78D193DD" w14:textId="16051CFC" w:rsidR="0032633A" w:rsidRDefault="0032633A" w:rsidP="0032633A">
      <w:pPr>
        <w:spacing w:line="360" w:lineRule="auto"/>
        <w:ind w:left="567" w:hanging="567"/>
        <w:jc w:val="both"/>
        <w:rPr>
          <w:rFonts w:ascii="Arial" w:hAnsi="Arial" w:cs="Arial"/>
          <w:sz w:val="22"/>
          <w:szCs w:val="22"/>
        </w:rPr>
      </w:pPr>
      <w:r w:rsidRPr="00242E76">
        <w:rPr>
          <w:rFonts w:ascii="Arial" w:hAnsi="Arial" w:cs="Arial"/>
          <w:sz w:val="22"/>
          <w:szCs w:val="22"/>
        </w:rPr>
        <w:t xml:space="preserve">COUNSEL FOR THE </w:t>
      </w:r>
      <w:r>
        <w:rPr>
          <w:rFonts w:ascii="Arial" w:hAnsi="Arial" w:cs="Arial"/>
          <w:sz w:val="22"/>
          <w:szCs w:val="22"/>
        </w:rPr>
        <w:t>6</w:t>
      </w:r>
      <w:r w:rsidRPr="0032633A">
        <w:rPr>
          <w:rFonts w:ascii="Arial" w:hAnsi="Arial" w:cs="Arial"/>
          <w:sz w:val="22"/>
          <w:szCs w:val="22"/>
          <w:vertAlign w:val="superscript"/>
        </w:rPr>
        <w:t>TH</w:t>
      </w:r>
      <w:r>
        <w:rPr>
          <w:rFonts w:ascii="Arial" w:hAnsi="Arial" w:cs="Arial"/>
          <w:sz w:val="22"/>
          <w:szCs w:val="22"/>
        </w:rPr>
        <w:t xml:space="preserve"> RESPONDENT</w:t>
      </w:r>
      <w:r w:rsidRPr="00242E76">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ADV. B LEECH SC</w:t>
      </w:r>
    </w:p>
    <w:p w14:paraId="6E3A6929" w14:textId="01B9EFF7" w:rsidR="0032633A" w:rsidRPr="00242E76" w:rsidRDefault="0032633A" w:rsidP="0032633A">
      <w:pPr>
        <w:spacing w:line="360" w:lineRule="auto"/>
        <w:ind w:left="567" w:hanging="56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ADV. T MPHALWA</w:t>
      </w:r>
    </w:p>
    <w:p w14:paraId="1B228C75" w14:textId="0B0D0E62" w:rsidR="0032633A" w:rsidRPr="00242E76" w:rsidRDefault="0032633A" w:rsidP="0032633A">
      <w:pPr>
        <w:spacing w:line="36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Pr>
          <w:rFonts w:ascii="Arial" w:hAnsi="Arial" w:cs="Arial"/>
          <w:sz w:val="22"/>
          <w:szCs w:val="22"/>
        </w:rPr>
        <w:tab/>
      </w:r>
      <w:r>
        <w:rPr>
          <w:rFonts w:ascii="Arial" w:hAnsi="Arial" w:cs="Arial"/>
          <w:sz w:val="22"/>
          <w:szCs w:val="22"/>
        </w:rPr>
        <w:tab/>
        <w:t>WERKSMANS ATTORNEYS</w:t>
      </w:r>
    </w:p>
    <w:p w14:paraId="1773320F" w14:textId="4F7A7D5C" w:rsidR="0032633A" w:rsidRPr="00242E76" w:rsidRDefault="0032633A" w:rsidP="0032633A">
      <w:pPr>
        <w:spacing w:line="360" w:lineRule="auto"/>
        <w:ind w:left="567" w:hanging="567"/>
        <w:jc w:val="both"/>
        <w:rPr>
          <w:rFonts w:ascii="Arial" w:hAnsi="Arial" w:cs="Arial"/>
          <w:sz w:val="22"/>
          <w:szCs w:val="22"/>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MR. </w:t>
      </w:r>
      <w:r w:rsidR="007F7556">
        <w:rPr>
          <w:rFonts w:ascii="Arial" w:hAnsi="Arial" w:cs="Arial"/>
          <w:sz w:val="22"/>
          <w:szCs w:val="22"/>
        </w:rPr>
        <w:t>B MOTI</w:t>
      </w:r>
    </w:p>
    <w:p w14:paraId="56023C2B" w14:textId="77777777" w:rsidR="0027008F" w:rsidRPr="00CB6F8A" w:rsidRDefault="0027008F" w:rsidP="00CB6F8A">
      <w:pPr>
        <w:spacing w:line="480" w:lineRule="auto"/>
        <w:jc w:val="both"/>
        <w:rPr>
          <w:rFonts w:ascii="Arial" w:hAnsi="Arial"/>
          <w:sz w:val="22"/>
          <w:szCs w:val="22"/>
        </w:rPr>
      </w:pPr>
    </w:p>
    <w:sectPr w:rsidR="0027008F" w:rsidRPr="00CB6F8A" w:rsidSect="005F6B33">
      <w:headerReference w:type="even" r:id="rId9"/>
      <w:headerReference w:type="default" r:id="rId10"/>
      <w:pgSz w:w="12240" w:h="15840"/>
      <w:pgMar w:top="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249A8" w14:textId="77777777" w:rsidR="00CC77EF" w:rsidRDefault="00CC77EF" w:rsidP="008C18AE">
      <w:r>
        <w:separator/>
      </w:r>
    </w:p>
  </w:endnote>
  <w:endnote w:type="continuationSeparator" w:id="0">
    <w:p w14:paraId="22F6E542" w14:textId="77777777" w:rsidR="00CC77EF" w:rsidRDefault="00CC77EF"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96152" w14:textId="77777777" w:rsidR="00CC77EF" w:rsidRDefault="00CC77EF" w:rsidP="008C18AE">
      <w:r>
        <w:separator/>
      </w:r>
    </w:p>
  </w:footnote>
  <w:footnote w:type="continuationSeparator" w:id="0">
    <w:p w14:paraId="0657677D" w14:textId="77777777" w:rsidR="00CC77EF" w:rsidRDefault="00CC77EF" w:rsidP="008C18AE">
      <w:r>
        <w:continuationSeparator/>
      </w:r>
    </w:p>
  </w:footnote>
  <w:footnote w:id="1">
    <w:p w14:paraId="0B163731" w14:textId="0D603825" w:rsidR="007F672C" w:rsidRPr="00971C33" w:rsidRDefault="007F672C" w:rsidP="00F46C68">
      <w:pPr>
        <w:pStyle w:val="FootnoteText"/>
        <w:ind w:left="284" w:hanging="284"/>
        <w:jc w:val="both"/>
        <w:rPr>
          <w:rFonts w:ascii="Arial" w:hAnsi="Arial" w:cs="Arial"/>
          <w:sz w:val="18"/>
          <w:szCs w:val="18"/>
        </w:rPr>
      </w:pPr>
      <w:r w:rsidRPr="00971C33">
        <w:rPr>
          <w:rStyle w:val="FootnoteReference"/>
          <w:rFonts w:ascii="Arial" w:hAnsi="Arial" w:cs="Arial"/>
          <w:sz w:val="18"/>
          <w:szCs w:val="18"/>
        </w:rPr>
        <w:footnoteRef/>
      </w:r>
      <w:r w:rsidRPr="00971C33">
        <w:rPr>
          <w:rFonts w:ascii="Arial" w:hAnsi="Arial" w:cs="Arial"/>
          <w:sz w:val="18"/>
          <w:szCs w:val="18"/>
        </w:rPr>
        <w:t xml:space="preserve"> </w:t>
      </w:r>
      <w:r w:rsidRPr="00971C33">
        <w:rPr>
          <w:rFonts w:ascii="Arial" w:hAnsi="Arial" w:cs="Arial"/>
          <w:sz w:val="18"/>
          <w:szCs w:val="18"/>
        </w:rPr>
        <w:tab/>
        <w:t>A self-description set out in paragraph 2 of a letter sent by OUTA to the Information Officer of SANRAL on 30 July 2019.</w:t>
      </w:r>
    </w:p>
  </w:footnote>
  <w:footnote w:id="2">
    <w:p w14:paraId="2E649B0A" w14:textId="090B859F" w:rsidR="007F672C" w:rsidRPr="00971C33" w:rsidRDefault="007F672C" w:rsidP="007173F3">
      <w:pPr>
        <w:pStyle w:val="FootnoteText"/>
        <w:ind w:left="284" w:hanging="284"/>
        <w:rPr>
          <w:rFonts w:ascii="Arial" w:hAnsi="Arial" w:cs="Arial"/>
          <w:sz w:val="18"/>
          <w:szCs w:val="18"/>
        </w:rPr>
      </w:pPr>
      <w:r w:rsidRPr="00971C33">
        <w:rPr>
          <w:rStyle w:val="FootnoteReference"/>
          <w:rFonts w:ascii="Arial" w:hAnsi="Arial" w:cs="Arial"/>
          <w:sz w:val="18"/>
          <w:szCs w:val="18"/>
        </w:rPr>
        <w:footnoteRef/>
      </w:r>
      <w:r w:rsidRPr="00971C33">
        <w:rPr>
          <w:rFonts w:ascii="Arial" w:hAnsi="Arial" w:cs="Arial"/>
          <w:sz w:val="18"/>
          <w:szCs w:val="18"/>
        </w:rPr>
        <w:t xml:space="preserve"> </w:t>
      </w:r>
      <w:r w:rsidRPr="00971C33">
        <w:rPr>
          <w:rFonts w:ascii="Arial" w:hAnsi="Arial" w:cs="Arial"/>
          <w:sz w:val="18"/>
          <w:szCs w:val="18"/>
        </w:rPr>
        <w:tab/>
        <w:t>7 of 1998.</w:t>
      </w:r>
    </w:p>
  </w:footnote>
  <w:footnote w:id="3">
    <w:p w14:paraId="16D58037" w14:textId="047FF574" w:rsidR="007F672C" w:rsidRDefault="007F672C" w:rsidP="007173F3">
      <w:pPr>
        <w:pStyle w:val="FootnoteText"/>
        <w:ind w:left="284" w:hanging="284"/>
      </w:pPr>
      <w:r w:rsidRPr="00971C33">
        <w:rPr>
          <w:rStyle w:val="FootnoteReference"/>
          <w:rFonts w:ascii="Arial" w:hAnsi="Arial" w:cs="Arial"/>
          <w:sz w:val="18"/>
          <w:szCs w:val="18"/>
        </w:rPr>
        <w:footnoteRef/>
      </w:r>
      <w:r w:rsidRPr="00971C33">
        <w:rPr>
          <w:rFonts w:ascii="Arial" w:hAnsi="Arial" w:cs="Arial"/>
          <w:sz w:val="18"/>
          <w:szCs w:val="18"/>
        </w:rPr>
        <w:t xml:space="preserve"> </w:t>
      </w:r>
      <w:r w:rsidRPr="00971C33">
        <w:rPr>
          <w:rFonts w:ascii="Arial" w:hAnsi="Arial" w:cs="Arial"/>
          <w:sz w:val="18"/>
          <w:szCs w:val="18"/>
        </w:rPr>
        <w:tab/>
      </w:r>
      <w:r w:rsidRPr="00971C33">
        <w:rPr>
          <w:rFonts w:ascii="Arial" w:hAnsi="Arial" w:cs="Arial"/>
          <w:i/>
          <w:iCs/>
          <w:sz w:val="18"/>
          <w:szCs w:val="18"/>
        </w:rPr>
        <w:t xml:space="preserve">Ibid </w:t>
      </w:r>
      <w:r w:rsidRPr="00971C33">
        <w:rPr>
          <w:rFonts w:ascii="Arial" w:hAnsi="Arial" w:cs="Arial"/>
          <w:sz w:val="18"/>
          <w:szCs w:val="18"/>
        </w:rPr>
        <w:t>s 25(1).</w:t>
      </w:r>
    </w:p>
  </w:footnote>
  <w:footnote w:id="4">
    <w:p w14:paraId="632EBFD5" w14:textId="29297E55" w:rsidR="007F672C" w:rsidRPr="00971C33" w:rsidRDefault="007F672C" w:rsidP="00F46C68">
      <w:pPr>
        <w:pStyle w:val="FootnoteText"/>
        <w:ind w:left="284" w:hanging="284"/>
        <w:jc w:val="both"/>
        <w:rPr>
          <w:rFonts w:ascii="Arial" w:hAnsi="Arial" w:cs="Arial"/>
          <w:sz w:val="18"/>
          <w:szCs w:val="18"/>
        </w:rPr>
      </w:pPr>
      <w:r w:rsidRPr="00971C33">
        <w:rPr>
          <w:rStyle w:val="FootnoteReference"/>
          <w:rFonts w:ascii="Arial" w:hAnsi="Arial" w:cs="Arial"/>
          <w:sz w:val="18"/>
          <w:szCs w:val="18"/>
        </w:rPr>
        <w:footnoteRef/>
      </w:r>
      <w:r w:rsidRPr="00971C33">
        <w:rPr>
          <w:rFonts w:ascii="Arial" w:hAnsi="Arial" w:cs="Arial"/>
          <w:sz w:val="18"/>
          <w:szCs w:val="18"/>
        </w:rPr>
        <w:t xml:space="preserve"> </w:t>
      </w:r>
      <w:r w:rsidRPr="00971C33">
        <w:rPr>
          <w:rFonts w:ascii="Arial" w:hAnsi="Arial" w:cs="Arial"/>
          <w:sz w:val="18"/>
          <w:szCs w:val="18"/>
        </w:rPr>
        <w:tab/>
        <w:t>2 of 2000 and in particular s 78(2) read together with s 82 which permit a party who has been unsuccessful in procuring the information sought to apply to Court.</w:t>
      </w:r>
    </w:p>
  </w:footnote>
  <w:footnote w:id="5">
    <w:p w14:paraId="13822C31" w14:textId="77777777" w:rsidR="007F672C" w:rsidRPr="00971C33" w:rsidRDefault="007F672C" w:rsidP="00F46C68">
      <w:pPr>
        <w:pStyle w:val="FootnoteText"/>
        <w:ind w:left="284" w:hanging="284"/>
        <w:jc w:val="both"/>
        <w:rPr>
          <w:rFonts w:ascii="Arial" w:hAnsi="Arial" w:cs="Arial"/>
          <w:sz w:val="18"/>
          <w:szCs w:val="18"/>
        </w:rPr>
      </w:pPr>
      <w:r w:rsidRPr="00971C33">
        <w:rPr>
          <w:rStyle w:val="FootnoteReference"/>
          <w:rFonts w:ascii="Arial" w:hAnsi="Arial" w:cs="Arial"/>
          <w:sz w:val="18"/>
          <w:szCs w:val="18"/>
        </w:rPr>
        <w:footnoteRef/>
      </w:r>
      <w:r w:rsidRPr="00971C33">
        <w:rPr>
          <w:rFonts w:ascii="Arial" w:hAnsi="Arial" w:cs="Arial"/>
          <w:sz w:val="18"/>
          <w:szCs w:val="18"/>
        </w:rPr>
        <w:t xml:space="preserve"> </w:t>
      </w:r>
      <w:r w:rsidRPr="00971C33">
        <w:rPr>
          <w:rFonts w:ascii="Arial" w:hAnsi="Arial" w:cs="Arial"/>
          <w:sz w:val="18"/>
          <w:szCs w:val="18"/>
        </w:rPr>
        <w:tab/>
      </w:r>
      <w:r w:rsidRPr="00971C33">
        <w:rPr>
          <w:rFonts w:ascii="Arial" w:hAnsi="Arial" w:cs="Arial"/>
          <w:i/>
          <w:iCs/>
          <w:sz w:val="18"/>
          <w:szCs w:val="18"/>
        </w:rPr>
        <w:t>Brummer v Minister of Social Development and</w:t>
      </w:r>
      <w:r w:rsidRPr="00971C33">
        <w:rPr>
          <w:rFonts w:ascii="Arial" w:hAnsi="Arial" w:cs="Arial"/>
          <w:sz w:val="18"/>
          <w:szCs w:val="18"/>
        </w:rPr>
        <w:t xml:space="preserve"> </w:t>
      </w:r>
      <w:r w:rsidRPr="00971C33">
        <w:rPr>
          <w:rFonts w:ascii="Arial" w:hAnsi="Arial" w:cs="Arial"/>
          <w:i/>
          <w:iCs/>
          <w:sz w:val="18"/>
          <w:szCs w:val="18"/>
        </w:rPr>
        <w:t>Others</w:t>
      </w:r>
      <w:r w:rsidRPr="00971C33">
        <w:rPr>
          <w:rFonts w:ascii="Arial" w:hAnsi="Arial" w:cs="Arial"/>
          <w:sz w:val="18"/>
          <w:szCs w:val="18"/>
        </w:rPr>
        <w:t xml:space="preserve"> 2009 (6) SA 323 (CC) at paras [62] to [63] in which the Court said “</w:t>
      </w:r>
      <w:r w:rsidRPr="00971C33">
        <w:rPr>
          <w:rFonts w:ascii="Arial" w:hAnsi="Arial" w:cs="Arial"/>
          <w:i/>
          <w:iCs/>
          <w:sz w:val="18"/>
          <w:szCs w:val="18"/>
        </w:rPr>
        <w:t>access to information is crucial to the right of freedom of expression which includes freedom of the press and other media and freedom to receive or impart information or ideas.”</w:t>
      </w:r>
    </w:p>
  </w:footnote>
  <w:footnote w:id="6">
    <w:p w14:paraId="03E6172A" w14:textId="77777777" w:rsidR="007F672C" w:rsidRPr="00971C33" w:rsidRDefault="007F672C" w:rsidP="00F46C68">
      <w:pPr>
        <w:pStyle w:val="FootnoteText"/>
        <w:ind w:left="284" w:hanging="284"/>
        <w:jc w:val="both"/>
        <w:rPr>
          <w:rFonts w:ascii="Arial" w:hAnsi="Arial" w:cs="Arial"/>
          <w:sz w:val="18"/>
          <w:szCs w:val="18"/>
        </w:rPr>
      </w:pPr>
      <w:r w:rsidRPr="00971C33">
        <w:rPr>
          <w:rStyle w:val="FootnoteReference"/>
          <w:rFonts w:ascii="Arial" w:hAnsi="Arial" w:cs="Arial"/>
          <w:sz w:val="18"/>
          <w:szCs w:val="18"/>
        </w:rPr>
        <w:footnoteRef/>
      </w:r>
      <w:r w:rsidRPr="00971C33">
        <w:rPr>
          <w:rFonts w:ascii="Arial" w:hAnsi="Arial" w:cs="Arial"/>
          <w:sz w:val="18"/>
          <w:szCs w:val="18"/>
        </w:rPr>
        <w:t xml:space="preserve"> </w:t>
      </w:r>
      <w:r w:rsidRPr="00971C33">
        <w:rPr>
          <w:rFonts w:ascii="Arial" w:hAnsi="Arial" w:cs="Arial"/>
          <w:sz w:val="18"/>
          <w:szCs w:val="18"/>
        </w:rPr>
        <w:tab/>
        <w:t>The part of the preamble to PAIA relevant in this matter.</w:t>
      </w:r>
    </w:p>
  </w:footnote>
  <w:footnote w:id="7">
    <w:p w14:paraId="420A5BCB" w14:textId="7D9006EB" w:rsidR="007F672C" w:rsidRPr="00971C33" w:rsidRDefault="007F672C" w:rsidP="00E74C41">
      <w:pPr>
        <w:pStyle w:val="FootnoteText"/>
        <w:ind w:left="284" w:hanging="284"/>
        <w:jc w:val="both"/>
        <w:rPr>
          <w:rFonts w:ascii="Arial" w:hAnsi="Arial" w:cs="Arial"/>
          <w:sz w:val="18"/>
          <w:szCs w:val="18"/>
        </w:rPr>
      </w:pPr>
      <w:r w:rsidRPr="00971C33">
        <w:rPr>
          <w:rStyle w:val="FootnoteReference"/>
          <w:rFonts w:ascii="Arial" w:hAnsi="Arial" w:cs="Arial"/>
          <w:sz w:val="18"/>
          <w:szCs w:val="18"/>
        </w:rPr>
        <w:footnoteRef/>
      </w:r>
      <w:r w:rsidRPr="00971C33">
        <w:rPr>
          <w:rFonts w:ascii="Arial" w:hAnsi="Arial" w:cs="Arial"/>
          <w:sz w:val="18"/>
          <w:szCs w:val="18"/>
        </w:rPr>
        <w:t xml:space="preserve"> </w:t>
      </w:r>
      <w:r w:rsidRPr="00971C33">
        <w:rPr>
          <w:rFonts w:ascii="Arial" w:hAnsi="Arial" w:cs="Arial"/>
          <w:sz w:val="18"/>
          <w:szCs w:val="18"/>
        </w:rPr>
        <w:tab/>
      </w:r>
      <w:r w:rsidRPr="00971C33">
        <w:rPr>
          <w:rFonts w:ascii="Arial" w:hAnsi="Arial" w:cs="Arial"/>
          <w:i/>
          <w:iCs/>
          <w:sz w:val="18"/>
          <w:szCs w:val="18"/>
        </w:rPr>
        <w:t>President of the Republic of South Africa and Others v M &amp; G Media Ltd</w:t>
      </w:r>
      <w:r w:rsidRPr="00971C33">
        <w:rPr>
          <w:rFonts w:ascii="Arial" w:hAnsi="Arial" w:cs="Arial"/>
          <w:sz w:val="18"/>
          <w:szCs w:val="18"/>
        </w:rPr>
        <w:t xml:space="preserve"> 2012 (2) SA 50 (CC) paras [13] – [14].</w:t>
      </w:r>
    </w:p>
  </w:footnote>
  <w:footnote w:id="8">
    <w:p w14:paraId="07CF6BC6" w14:textId="7B877A69" w:rsidR="007F672C" w:rsidRDefault="007F672C" w:rsidP="00E74C41">
      <w:pPr>
        <w:pStyle w:val="FootnoteText"/>
        <w:ind w:left="284" w:hanging="284"/>
        <w:jc w:val="both"/>
      </w:pPr>
      <w:r w:rsidRPr="00971C33">
        <w:rPr>
          <w:rStyle w:val="FootnoteReference"/>
          <w:rFonts w:ascii="Arial" w:hAnsi="Arial" w:cs="Arial"/>
          <w:sz w:val="18"/>
          <w:szCs w:val="18"/>
        </w:rPr>
        <w:footnoteRef/>
      </w:r>
      <w:r w:rsidRPr="00971C33">
        <w:rPr>
          <w:rFonts w:ascii="Arial" w:hAnsi="Arial" w:cs="Arial"/>
          <w:sz w:val="18"/>
          <w:szCs w:val="18"/>
        </w:rPr>
        <w:t xml:space="preserve"> </w:t>
      </w:r>
      <w:r w:rsidRPr="00971C33">
        <w:rPr>
          <w:rFonts w:ascii="Arial" w:hAnsi="Arial" w:cs="Arial"/>
          <w:sz w:val="18"/>
          <w:szCs w:val="18"/>
        </w:rPr>
        <w:tab/>
      </w:r>
      <w:r w:rsidRPr="00971C33">
        <w:rPr>
          <w:rFonts w:ascii="Arial" w:hAnsi="Arial" w:cs="Arial"/>
          <w:i/>
          <w:iCs/>
          <w:sz w:val="18"/>
          <w:szCs w:val="18"/>
        </w:rPr>
        <w:t>Transnet Ltd and Another v SA Metal Company Co (Pty) Ltd</w:t>
      </w:r>
      <w:r w:rsidRPr="00971C33">
        <w:rPr>
          <w:rFonts w:ascii="Arial" w:hAnsi="Arial" w:cs="Arial"/>
          <w:sz w:val="18"/>
          <w:szCs w:val="18"/>
        </w:rPr>
        <w:t xml:space="preserve"> 2006 (6) SA 285 (SCA) para [24].</w:t>
      </w:r>
    </w:p>
  </w:footnote>
  <w:footnote w:id="9">
    <w:p w14:paraId="4D0DA456" w14:textId="4B89DC94" w:rsidR="00C31981" w:rsidRPr="00971C33" w:rsidRDefault="00C31981" w:rsidP="00C31981">
      <w:pPr>
        <w:pStyle w:val="ListParagraph"/>
        <w:ind w:left="284" w:right="50" w:hanging="284"/>
        <w:jc w:val="both"/>
        <w:rPr>
          <w:rFonts w:ascii="Arial" w:hAnsi="Arial" w:cs="Arial"/>
          <w:sz w:val="18"/>
          <w:szCs w:val="18"/>
        </w:rPr>
      </w:pPr>
      <w:r w:rsidRPr="00971C33">
        <w:rPr>
          <w:rStyle w:val="FootnoteReference"/>
          <w:rFonts w:ascii="Arial" w:hAnsi="Arial" w:cs="Arial"/>
          <w:sz w:val="18"/>
          <w:szCs w:val="18"/>
        </w:rPr>
        <w:footnoteRef/>
      </w:r>
      <w:r w:rsidRPr="00971C33">
        <w:rPr>
          <w:rFonts w:ascii="Arial" w:hAnsi="Arial" w:cs="Arial"/>
          <w:sz w:val="18"/>
          <w:szCs w:val="18"/>
        </w:rPr>
        <w:t xml:space="preserve"> </w:t>
      </w:r>
      <w:r w:rsidRPr="00971C33">
        <w:rPr>
          <w:rFonts w:ascii="Arial" w:hAnsi="Arial" w:cs="Arial"/>
          <w:sz w:val="18"/>
          <w:szCs w:val="18"/>
        </w:rPr>
        <w:tab/>
        <w:t>A complaint was made by OUTA that the tendered documents had not been received from SANRAL sufficiently far in advance of the hearing by OUTA to enable it to consider them and to make further submissions in respect of the disputed documents</w:t>
      </w:r>
      <w:r w:rsidR="00F74042" w:rsidRPr="00F74042">
        <w:rPr>
          <w:rFonts w:ascii="Arial" w:hAnsi="Arial" w:cs="Arial"/>
          <w:sz w:val="18"/>
          <w:szCs w:val="18"/>
        </w:rPr>
        <w:t xml:space="preserve">. </w:t>
      </w:r>
      <w:r w:rsidRPr="00971C33">
        <w:rPr>
          <w:rFonts w:ascii="Arial" w:hAnsi="Arial" w:cs="Arial"/>
          <w:sz w:val="18"/>
          <w:szCs w:val="18"/>
        </w:rPr>
        <w:t>I invited the parties to make further submissions in writing which invitation was accepted by OUTA, SANRAL and N3TC</w:t>
      </w:r>
      <w:r w:rsidR="00F74042" w:rsidRPr="00F74042">
        <w:rPr>
          <w:rFonts w:ascii="Arial" w:hAnsi="Arial" w:cs="Arial"/>
          <w:sz w:val="18"/>
          <w:szCs w:val="18"/>
        </w:rPr>
        <w:t xml:space="preserve">. </w:t>
      </w:r>
      <w:r w:rsidRPr="00971C33">
        <w:rPr>
          <w:rFonts w:ascii="Arial" w:hAnsi="Arial" w:cs="Arial"/>
          <w:sz w:val="18"/>
          <w:szCs w:val="18"/>
        </w:rPr>
        <w:t>Those submissions were considered together with all the other papers filed of record and the arguments advanced at the hearing in the preparation of this judgment.</w:t>
      </w:r>
    </w:p>
    <w:p w14:paraId="44A1CB27" w14:textId="1F665DD3" w:rsidR="00C31981" w:rsidRDefault="00C31981">
      <w:pPr>
        <w:pStyle w:val="FootnoteText"/>
      </w:pPr>
    </w:p>
  </w:footnote>
  <w:footnote w:id="10">
    <w:p w14:paraId="5128B23C" w14:textId="14DF3893" w:rsidR="007F672C" w:rsidRPr="00971C33" w:rsidRDefault="007F672C" w:rsidP="00986DBF">
      <w:pPr>
        <w:pStyle w:val="FootnoteText"/>
        <w:ind w:left="284" w:hanging="284"/>
        <w:jc w:val="both"/>
        <w:rPr>
          <w:rFonts w:ascii="Arial" w:hAnsi="Arial" w:cs="Arial"/>
          <w:sz w:val="18"/>
          <w:szCs w:val="18"/>
        </w:rPr>
      </w:pPr>
      <w:r w:rsidRPr="00971C33">
        <w:rPr>
          <w:rStyle w:val="FootnoteReference"/>
          <w:rFonts w:ascii="Arial" w:hAnsi="Arial" w:cs="Arial"/>
          <w:sz w:val="18"/>
          <w:szCs w:val="18"/>
        </w:rPr>
        <w:footnoteRef/>
      </w:r>
      <w:r w:rsidRPr="00971C33">
        <w:rPr>
          <w:rFonts w:ascii="Arial" w:hAnsi="Arial" w:cs="Arial"/>
          <w:sz w:val="18"/>
          <w:szCs w:val="18"/>
        </w:rPr>
        <w:t xml:space="preserve"> </w:t>
      </w:r>
      <w:r w:rsidRPr="00971C33">
        <w:rPr>
          <w:rFonts w:ascii="Arial" w:hAnsi="Arial" w:cs="Arial"/>
          <w:sz w:val="18"/>
          <w:szCs w:val="18"/>
        </w:rPr>
        <w:tab/>
        <w:t>Section 11(3)</w:t>
      </w:r>
      <w:r w:rsidR="0006551C" w:rsidRPr="00971C33">
        <w:rPr>
          <w:rFonts w:ascii="Arial" w:hAnsi="Arial" w:cs="Arial"/>
          <w:sz w:val="18"/>
          <w:szCs w:val="18"/>
        </w:rPr>
        <w:t>(a)</w:t>
      </w:r>
      <w:r w:rsidRPr="00971C33">
        <w:rPr>
          <w:rFonts w:ascii="Arial" w:hAnsi="Arial" w:cs="Arial"/>
          <w:sz w:val="18"/>
          <w:szCs w:val="18"/>
        </w:rPr>
        <w:t xml:space="preserve"> of the Act provides that: “</w:t>
      </w:r>
      <w:r w:rsidRPr="00971C33">
        <w:rPr>
          <w:rFonts w:ascii="Arial" w:hAnsi="Arial" w:cs="Arial"/>
          <w:i/>
          <w:iCs/>
          <w:sz w:val="18"/>
          <w:szCs w:val="18"/>
        </w:rPr>
        <w:t>A requester’s right of access contemplated in subsection (1) is, subject to this Act, not affected by- (a) any reasons the requester gives for requesting access.”</w:t>
      </w:r>
      <w:r w:rsidR="00F07943">
        <w:rPr>
          <w:rFonts w:ascii="Arial" w:hAnsi="Arial" w:cs="Arial"/>
          <w:i/>
          <w:iCs/>
          <w:sz w:val="18"/>
          <w:szCs w:val="18"/>
        </w:rPr>
        <w:t>.</w:t>
      </w:r>
    </w:p>
  </w:footnote>
  <w:footnote w:id="11">
    <w:p w14:paraId="04B28BC1" w14:textId="270120B3" w:rsidR="007F672C" w:rsidRPr="00AB2A0E" w:rsidRDefault="007F672C" w:rsidP="00AB2A0E">
      <w:pPr>
        <w:pStyle w:val="FootnoteText"/>
        <w:ind w:left="284" w:hanging="284"/>
        <w:jc w:val="both"/>
        <w:rPr>
          <w:rFonts w:ascii="Arial" w:hAnsi="Arial" w:cs="Arial"/>
          <w:sz w:val="20"/>
          <w:szCs w:val="20"/>
        </w:rPr>
      </w:pPr>
      <w:r w:rsidRPr="00971C33">
        <w:rPr>
          <w:rStyle w:val="FootnoteReference"/>
          <w:rFonts w:ascii="Arial" w:hAnsi="Arial" w:cs="Arial"/>
          <w:sz w:val="18"/>
          <w:szCs w:val="18"/>
        </w:rPr>
        <w:footnoteRef/>
      </w:r>
      <w:r w:rsidRPr="00971C33">
        <w:rPr>
          <w:rFonts w:ascii="Arial" w:hAnsi="Arial" w:cs="Arial"/>
          <w:sz w:val="18"/>
          <w:szCs w:val="18"/>
        </w:rPr>
        <w:t xml:space="preserve"> </w:t>
      </w:r>
      <w:r w:rsidRPr="00971C33">
        <w:rPr>
          <w:rFonts w:ascii="Arial" w:hAnsi="Arial" w:cs="Arial"/>
          <w:sz w:val="18"/>
          <w:szCs w:val="18"/>
        </w:rPr>
        <w:tab/>
        <w:t>In Part A, item 6 refers to clause 6.1, item 8 refers to clause 8.5.2, item 9 refers to clause 8, item 10 refers to clause 9.2 and in Part B, item 1 refers to clause 16.3.1 (a), item 2 refers to clause 16.3.1(d), item 3 refers to clause 16.3.1(e) and item 4 refers to clause 16.3.2(c).</w:t>
      </w:r>
    </w:p>
  </w:footnote>
  <w:footnote w:id="12">
    <w:p w14:paraId="3C39E05A" w14:textId="715030EA" w:rsidR="007F672C" w:rsidRPr="00971C33" w:rsidRDefault="007F672C" w:rsidP="00AB2A0E">
      <w:pPr>
        <w:pStyle w:val="FootnoteText"/>
        <w:ind w:left="284" w:hanging="284"/>
        <w:jc w:val="both"/>
        <w:rPr>
          <w:rFonts w:ascii="Arial" w:hAnsi="Arial" w:cs="Arial"/>
          <w:sz w:val="18"/>
          <w:szCs w:val="18"/>
        </w:rPr>
      </w:pPr>
      <w:r w:rsidRPr="00971C33">
        <w:rPr>
          <w:rStyle w:val="FootnoteReference"/>
          <w:rFonts w:ascii="Arial" w:hAnsi="Arial" w:cs="Arial"/>
          <w:sz w:val="18"/>
          <w:szCs w:val="18"/>
        </w:rPr>
        <w:footnoteRef/>
      </w:r>
      <w:r w:rsidRPr="00971C33">
        <w:rPr>
          <w:rFonts w:ascii="Arial" w:hAnsi="Arial" w:cs="Arial"/>
          <w:sz w:val="18"/>
          <w:szCs w:val="18"/>
        </w:rPr>
        <w:t xml:space="preserve"> </w:t>
      </w:r>
      <w:r w:rsidRPr="00971C33">
        <w:rPr>
          <w:rFonts w:ascii="Arial" w:hAnsi="Arial" w:cs="Arial"/>
          <w:sz w:val="18"/>
          <w:szCs w:val="18"/>
        </w:rPr>
        <w:tab/>
        <w:t>In terms of sections 14 and 51 of PAIA, it is required to update its manual annually.</w:t>
      </w:r>
    </w:p>
  </w:footnote>
  <w:footnote w:id="13">
    <w:p w14:paraId="0A19897A" w14:textId="2C71828F" w:rsidR="007F672C" w:rsidRPr="00971C33" w:rsidRDefault="007F672C" w:rsidP="00AB2A0E">
      <w:pPr>
        <w:pStyle w:val="FootnoteText"/>
        <w:ind w:left="284" w:hanging="284"/>
        <w:jc w:val="both"/>
        <w:rPr>
          <w:rFonts w:ascii="Arial" w:hAnsi="Arial" w:cs="Arial"/>
          <w:sz w:val="18"/>
          <w:szCs w:val="18"/>
        </w:rPr>
      </w:pPr>
      <w:r w:rsidRPr="00971C33">
        <w:rPr>
          <w:rStyle w:val="FootnoteReference"/>
          <w:rFonts w:ascii="Arial" w:hAnsi="Arial" w:cs="Arial"/>
          <w:sz w:val="18"/>
          <w:szCs w:val="18"/>
        </w:rPr>
        <w:footnoteRef/>
      </w:r>
      <w:r w:rsidRPr="00971C33">
        <w:rPr>
          <w:rFonts w:ascii="Arial" w:hAnsi="Arial" w:cs="Arial"/>
          <w:sz w:val="18"/>
          <w:szCs w:val="18"/>
        </w:rPr>
        <w:t xml:space="preserve"> </w:t>
      </w:r>
      <w:r w:rsidRPr="00971C33">
        <w:rPr>
          <w:rFonts w:ascii="Arial" w:hAnsi="Arial" w:cs="Arial"/>
          <w:sz w:val="18"/>
          <w:szCs w:val="18"/>
        </w:rPr>
        <w:tab/>
        <w:t>Section 25 of the Act.</w:t>
      </w:r>
    </w:p>
  </w:footnote>
  <w:footnote w:id="14">
    <w:p w14:paraId="31F64C0A" w14:textId="77777777" w:rsidR="007F672C" w:rsidRPr="00245687" w:rsidRDefault="007F672C" w:rsidP="00581180">
      <w:pPr>
        <w:pStyle w:val="FootnoteText"/>
        <w:ind w:left="284" w:hanging="284"/>
        <w:jc w:val="both"/>
        <w:rPr>
          <w:rFonts w:ascii="Arial" w:hAnsi="Arial" w:cs="Arial"/>
          <w:sz w:val="20"/>
          <w:szCs w:val="20"/>
        </w:rPr>
      </w:pPr>
      <w:r w:rsidRPr="00971C33">
        <w:rPr>
          <w:rStyle w:val="FootnoteReference"/>
          <w:rFonts w:ascii="Arial" w:hAnsi="Arial" w:cs="Arial"/>
          <w:sz w:val="18"/>
          <w:szCs w:val="18"/>
        </w:rPr>
        <w:footnoteRef/>
      </w:r>
      <w:r w:rsidRPr="00971C33">
        <w:rPr>
          <w:rFonts w:ascii="Arial" w:hAnsi="Arial" w:cs="Arial"/>
          <w:sz w:val="18"/>
          <w:szCs w:val="18"/>
        </w:rPr>
        <w:t xml:space="preserve"> </w:t>
      </w:r>
      <w:r w:rsidRPr="00971C33">
        <w:rPr>
          <w:rFonts w:ascii="Arial" w:hAnsi="Arial" w:cs="Arial"/>
          <w:sz w:val="18"/>
          <w:szCs w:val="18"/>
        </w:rPr>
        <w:tab/>
        <w:t>Section 27 of the Act.</w:t>
      </w:r>
    </w:p>
  </w:footnote>
  <w:footnote w:id="15">
    <w:p w14:paraId="38E9180A" w14:textId="0AACBB02" w:rsidR="007F672C" w:rsidRPr="00971C33" w:rsidRDefault="007F672C" w:rsidP="00773D8D">
      <w:pPr>
        <w:pStyle w:val="FootnoteText"/>
        <w:ind w:left="284" w:hanging="284"/>
        <w:jc w:val="both"/>
        <w:rPr>
          <w:rFonts w:ascii="Arial" w:hAnsi="Arial" w:cs="Arial"/>
          <w:sz w:val="18"/>
          <w:szCs w:val="18"/>
        </w:rPr>
      </w:pPr>
      <w:r w:rsidRPr="00971C33">
        <w:rPr>
          <w:rStyle w:val="FootnoteReference"/>
          <w:rFonts w:ascii="Arial" w:hAnsi="Arial" w:cs="Arial"/>
          <w:sz w:val="18"/>
          <w:szCs w:val="18"/>
        </w:rPr>
        <w:footnoteRef/>
      </w:r>
      <w:r w:rsidRPr="00971C33">
        <w:rPr>
          <w:rFonts w:ascii="Arial" w:hAnsi="Arial" w:cs="Arial"/>
          <w:sz w:val="18"/>
          <w:szCs w:val="18"/>
        </w:rPr>
        <w:t xml:space="preserve"> </w:t>
      </w:r>
      <w:r w:rsidRPr="00971C33">
        <w:rPr>
          <w:rFonts w:ascii="Arial" w:hAnsi="Arial" w:cs="Arial"/>
          <w:sz w:val="18"/>
          <w:szCs w:val="18"/>
        </w:rPr>
        <w:tab/>
        <w:t>Section 82(e) of the Act.</w:t>
      </w:r>
    </w:p>
  </w:footnote>
  <w:footnote w:id="16">
    <w:p w14:paraId="6E9144EB" w14:textId="34C1D06C" w:rsidR="007F672C" w:rsidRPr="00971C33" w:rsidRDefault="007F672C" w:rsidP="00773D8D">
      <w:pPr>
        <w:pStyle w:val="FootnoteText"/>
        <w:ind w:left="284" w:hanging="284"/>
        <w:jc w:val="both"/>
        <w:rPr>
          <w:sz w:val="22"/>
          <w:szCs w:val="22"/>
        </w:rPr>
      </w:pPr>
      <w:r w:rsidRPr="00971C33">
        <w:rPr>
          <w:rStyle w:val="FootnoteReference"/>
          <w:rFonts w:ascii="Arial" w:hAnsi="Arial" w:cs="Arial"/>
          <w:sz w:val="18"/>
          <w:szCs w:val="18"/>
        </w:rPr>
        <w:footnoteRef/>
      </w:r>
      <w:r w:rsidRPr="00971C33">
        <w:rPr>
          <w:rFonts w:ascii="Arial" w:hAnsi="Arial" w:cs="Arial"/>
          <w:sz w:val="18"/>
          <w:szCs w:val="18"/>
        </w:rPr>
        <w:t xml:space="preserve"> </w:t>
      </w:r>
      <w:r w:rsidRPr="00971C33">
        <w:rPr>
          <w:rFonts w:ascii="Arial" w:hAnsi="Arial" w:cs="Arial"/>
          <w:sz w:val="18"/>
          <w:szCs w:val="18"/>
        </w:rPr>
        <w:tab/>
        <w:t xml:space="preserve">In terms of s 25(3)(a) of the Act, when access is refused, the party refusing access is required to </w:t>
      </w:r>
      <w:r w:rsidRPr="00971C33">
        <w:rPr>
          <w:rFonts w:ascii="Arial" w:hAnsi="Arial" w:cs="Arial"/>
          <w:i/>
          <w:iCs/>
          <w:sz w:val="18"/>
          <w:szCs w:val="18"/>
        </w:rPr>
        <w:t>“state adequate reasons for the refusal, including the provisions of the Act relied upon.”</w:t>
      </w:r>
      <w:r w:rsidR="00F07943">
        <w:rPr>
          <w:rFonts w:ascii="Arial" w:hAnsi="Arial" w:cs="Arial"/>
          <w:i/>
          <w:iCs/>
          <w:sz w:val="18"/>
          <w:szCs w:val="18"/>
        </w:rPr>
        <w:t>.</w:t>
      </w:r>
    </w:p>
  </w:footnote>
  <w:footnote w:id="17">
    <w:p w14:paraId="5E183D84" w14:textId="02DFFCC0" w:rsidR="007F672C" w:rsidRPr="00DD4D6C" w:rsidRDefault="007F672C" w:rsidP="00DD4D6C">
      <w:pPr>
        <w:pStyle w:val="FootnoteText"/>
        <w:ind w:left="284" w:hanging="284"/>
        <w:jc w:val="both"/>
        <w:rPr>
          <w:rFonts w:ascii="Arial" w:hAnsi="Arial" w:cs="Arial"/>
          <w:sz w:val="20"/>
          <w:szCs w:val="20"/>
        </w:rPr>
      </w:pPr>
      <w:r w:rsidRPr="00971C33">
        <w:rPr>
          <w:rStyle w:val="FootnoteReference"/>
          <w:rFonts w:ascii="Arial" w:hAnsi="Arial" w:cs="Arial"/>
          <w:sz w:val="18"/>
          <w:szCs w:val="18"/>
        </w:rPr>
        <w:footnoteRef/>
      </w:r>
      <w:r w:rsidRPr="00971C33">
        <w:rPr>
          <w:rFonts w:ascii="Arial" w:hAnsi="Arial" w:cs="Arial"/>
          <w:sz w:val="18"/>
          <w:szCs w:val="18"/>
        </w:rPr>
        <w:t xml:space="preserve"> </w:t>
      </w:r>
      <w:r w:rsidRPr="00971C33">
        <w:rPr>
          <w:rFonts w:ascii="Arial" w:hAnsi="Arial" w:cs="Arial"/>
          <w:sz w:val="18"/>
          <w:szCs w:val="18"/>
        </w:rPr>
        <w:tab/>
        <w:t xml:space="preserve">For this </w:t>
      </w:r>
      <w:r w:rsidR="004A7A56" w:rsidRPr="004A7A56">
        <w:rPr>
          <w:rFonts w:ascii="Arial" w:hAnsi="Arial" w:cs="Arial"/>
          <w:sz w:val="18"/>
          <w:szCs w:val="18"/>
        </w:rPr>
        <w:t>reason,</w:t>
      </w:r>
      <w:r w:rsidRPr="00971C33">
        <w:rPr>
          <w:rFonts w:ascii="Arial" w:hAnsi="Arial" w:cs="Arial"/>
          <w:sz w:val="18"/>
          <w:szCs w:val="18"/>
        </w:rPr>
        <w:t xml:space="preserve"> the present matter is distinguishable from </w:t>
      </w:r>
      <w:r w:rsidRPr="00971C33">
        <w:rPr>
          <w:rFonts w:ascii="Arial" w:hAnsi="Arial" w:cs="Arial"/>
          <w:i/>
          <w:iCs/>
          <w:sz w:val="18"/>
          <w:szCs w:val="18"/>
        </w:rPr>
        <w:t>CCII Systems (Pty) Ltd v Fakie and Others NNO</w:t>
      </w:r>
      <w:r w:rsidRPr="00971C33">
        <w:rPr>
          <w:rFonts w:ascii="Arial" w:hAnsi="Arial" w:cs="Arial"/>
          <w:sz w:val="18"/>
          <w:szCs w:val="18"/>
        </w:rPr>
        <w:t xml:space="preserve"> 2003 (2) 325 (T) para [16]; </w:t>
      </w:r>
      <w:r w:rsidRPr="00971C33">
        <w:rPr>
          <w:rFonts w:ascii="Arial" w:hAnsi="Arial" w:cs="Arial"/>
          <w:i/>
          <w:iCs/>
          <w:sz w:val="18"/>
          <w:szCs w:val="18"/>
        </w:rPr>
        <w:t xml:space="preserve">President of the Republic of South Africa and Others v M &amp; G Media Ltd </w:t>
      </w:r>
      <w:r w:rsidRPr="00971C33">
        <w:rPr>
          <w:rFonts w:ascii="Arial" w:hAnsi="Arial" w:cs="Arial"/>
          <w:sz w:val="18"/>
          <w:szCs w:val="18"/>
        </w:rPr>
        <w:t>2011 (2) SA 1 (SCA) para [19]</w:t>
      </w:r>
      <w:r w:rsidR="006C196B" w:rsidRPr="00971C33">
        <w:rPr>
          <w:rFonts w:ascii="Arial" w:hAnsi="Arial" w:cs="Arial"/>
          <w:sz w:val="18"/>
          <w:szCs w:val="18"/>
        </w:rPr>
        <w:t xml:space="preserve">; </w:t>
      </w:r>
      <w:r w:rsidRPr="00971C33">
        <w:rPr>
          <w:rFonts w:ascii="Arial" w:hAnsi="Arial" w:cs="Arial"/>
          <w:i/>
          <w:iCs/>
          <w:sz w:val="18"/>
          <w:szCs w:val="18"/>
        </w:rPr>
        <w:t xml:space="preserve">South African History Archive Trust v South African Reserve Bank and Another </w:t>
      </w:r>
      <w:r w:rsidRPr="00971C33">
        <w:rPr>
          <w:rFonts w:ascii="Arial" w:hAnsi="Arial" w:cs="Arial"/>
          <w:sz w:val="18"/>
          <w:szCs w:val="18"/>
        </w:rPr>
        <w:t>2020 (6) SA 127 (SCA) para [36].</w:t>
      </w:r>
    </w:p>
  </w:footnote>
  <w:footnote w:id="18">
    <w:p w14:paraId="6E4191CD" w14:textId="289CA0DE" w:rsidR="007F672C" w:rsidRPr="009F6A13" w:rsidRDefault="007F672C" w:rsidP="009F6A13">
      <w:pPr>
        <w:pStyle w:val="FootnoteText"/>
        <w:ind w:left="284" w:hanging="284"/>
        <w:jc w:val="both"/>
        <w:rPr>
          <w:rFonts w:ascii="Arial" w:hAnsi="Arial" w:cs="Arial"/>
        </w:rPr>
      </w:pPr>
      <w:r w:rsidRPr="00971C33">
        <w:rPr>
          <w:rStyle w:val="FootnoteReference"/>
          <w:rFonts w:ascii="Arial" w:hAnsi="Arial" w:cs="Arial"/>
          <w:sz w:val="18"/>
          <w:szCs w:val="18"/>
        </w:rPr>
        <w:footnoteRef/>
      </w:r>
      <w:r w:rsidRPr="00971C33">
        <w:rPr>
          <w:rFonts w:ascii="Arial" w:hAnsi="Arial" w:cs="Arial"/>
          <w:sz w:val="18"/>
          <w:szCs w:val="18"/>
        </w:rPr>
        <w:t xml:space="preserve"> </w:t>
      </w:r>
      <w:r w:rsidRPr="00971C33">
        <w:rPr>
          <w:rFonts w:ascii="Arial" w:hAnsi="Arial" w:cs="Arial"/>
          <w:sz w:val="18"/>
          <w:szCs w:val="18"/>
        </w:rPr>
        <w:tab/>
      </w:r>
      <w:r w:rsidRPr="00971C33">
        <w:rPr>
          <w:rFonts w:ascii="Arial" w:hAnsi="Arial" w:cs="Arial"/>
          <w:i/>
          <w:iCs/>
          <w:sz w:val="18"/>
          <w:szCs w:val="18"/>
        </w:rPr>
        <w:t>Plascon-Evans Paints Ltd v Van Riebeeck Paints (Pty) Ltd</w:t>
      </w:r>
      <w:r w:rsidRPr="00971C33">
        <w:rPr>
          <w:rFonts w:ascii="Arial" w:hAnsi="Arial" w:cs="Arial"/>
          <w:sz w:val="18"/>
          <w:szCs w:val="18"/>
        </w:rPr>
        <w:t xml:space="preserve"> 1984 (3) SA 623 (A) at 634–635.</w:t>
      </w:r>
    </w:p>
  </w:footnote>
  <w:footnote w:id="19">
    <w:p w14:paraId="1F866B0D" w14:textId="65F00333" w:rsidR="00F00D28" w:rsidRPr="00F00D28" w:rsidRDefault="00F00D28" w:rsidP="00F00D28">
      <w:pPr>
        <w:pStyle w:val="FootnoteText"/>
        <w:ind w:left="284" w:hanging="284"/>
        <w:jc w:val="both"/>
        <w:rPr>
          <w:rFonts w:ascii="Arial" w:hAnsi="Arial" w:cs="Arial"/>
          <w:sz w:val="20"/>
          <w:szCs w:val="20"/>
        </w:rPr>
      </w:pPr>
      <w:r w:rsidRPr="00971C33">
        <w:rPr>
          <w:rStyle w:val="FootnoteReference"/>
          <w:rFonts w:ascii="Arial" w:hAnsi="Arial" w:cs="Arial"/>
          <w:sz w:val="18"/>
          <w:szCs w:val="18"/>
        </w:rPr>
        <w:footnoteRef/>
      </w:r>
      <w:r w:rsidRPr="00971C33">
        <w:rPr>
          <w:rFonts w:ascii="Arial" w:hAnsi="Arial" w:cs="Arial"/>
          <w:sz w:val="18"/>
          <w:szCs w:val="18"/>
        </w:rPr>
        <w:t xml:space="preserve"> </w:t>
      </w:r>
      <w:r w:rsidRPr="00971C33">
        <w:rPr>
          <w:rFonts w:ascii="Arial" w:hAnsi="Arial" w:cs="Arial"/>
          <w:sz w:val="18"/>
          <w:szCs w:val="18"/>
        </w:rPr>
        <w:tab/>
        <w:t>Section 23 provides that if a record cannot be found or does not exist then an affidavit must be furnished setting out that it is not possible to give access to the record</w:t>
      </w:r>
      <w:r w:rsidR="00F74042" w:rsidRPr="00F74042">
        <w:rPr>
          <w:rFonts w:ascii="Arial" w:hAnsi="Arial" w:cs="Arial"/>
          <w:sz w:val="18"/>
          <w:szCs w:val="18"/>
        </w:rPr>
        <w:t xml:space="preserve">. </w:t>
      </w:r>
      <w:r w:rsidRPr="00971C33">
        <w:rPr>
          <w:rFonts w:ascii="Arial" w:hAnsi="Arial" w:cs="Arial"/>
          <w:sz w:val="18"/>
          <w:szCs w:val="18"/>
        </w:rPr>
        <w:t>In the present matter, SANRAL has confirmed on oath that it does not have certain of the documents in its possession.  Insofar as those documents do exist, N3TC has confirmed that it has the documents but objects on the grounds that it has stated to the furnishing of those documents.</w:t>
      </w:r>
    </w:p>
  </w:footnote>
  <w:footnote w:id="20">
    <w:p w14:paraId="006C021A" w14:textId="43B7B73D" w:rsidR="007F672C" w:rsidRPr="00971C33" w:rsidRDefault="007F672C" w:rsidP="004D5403">
      <w:pPr>
        <w:pStyle w:val="FootnoteText"/>
        <w:ind w:left="284" w:hanging="284"/>
        <w:jc w:val="both"/>
        <w:rPr>
          <w:rFonts w:ascii="Arial" w:hAnsi="Arial" w:cs="Arial"/>
          <w:sz w:val="18"/>
          <w:szCs w:val="18"/>
        </w:rPr>
      </w:pPr>
      <w:r w:rsidRPr="00971C33">
        <w:rPr>
          <w:rStyle w:val="FootnoteReference"/>
          <w:rFonts w:ascii="Arial" w:hAnsi="Arial" w:cs="Arial"/>
          <w:sz w:val="18"/>
          <w:szCs w:val="18"/>
        </w:rPr>
        <w:footnoteRef/>
      </w:r>
      <w:r w:rsidRPr="00971C33">
        <w:rPr>
          <w:rFonts w:ascii="Arial" w:hAnsi="Arial" w:cs="Arial"/>
          <w:sz w:val="18"/>
          <w:szCs w:val="18"/>
        </w:rPr>
        <w:t xml:space="preserve"> </w:t>
      </w:r>
      <w:r w:rsidRPr="00971C33">
        <w:rPr>
          <w:rFonts w:ascii="Arial" w:hAnsi="Arial" w:cs="Arial"/>
          <w:sz w:val="18"/>
          <w:szCs w:val="18"/>
        </w:rPr>
        <w:tab/>
        <w:t>[2003] 1 ALL SA 335 (W) para [12]</w:t>
      </w:r>
      <w:r w:rsidR="00F74042" w:rsidRPr="00F74042">
        <w:rPr>
          <w:rFonts w:ascii="Arial" w:hAnsi="Arial" w:cs="Arial"/>
          <w:sz w:val="18"/>
          <w:szCs w:val="18"/>
        </w:rPr>
        <w:t xml:space="preserve">. </w:t>
      </w:r>
      <w:r w:rsidRPr="00971C33">
        <w:rPr>
          <w:rFonts w:ascii="Arial" w:hAnsi="Arial" w:cs="Arial"/>
          <w:sz w:val="18"/>
          <w:szCs w:val="18"/>
        </w:rPr>
        <w:t xml:space="preserve">See also </w:t>
      </w:r>
      <w:r w:rsidRPr="00971C33">
        <w:rPr>
          <w:rFonts w:ascii="Arial" w:hAnsi="Arial" w:cs="Arial"/>
          <w:i/>
          <w:iCs/>
          <w:sz w:val="18"/>
          <w:szCs w:val="18"/>
        </w:rPr>
        <w:t xml:space="preserve">Transnet Ltd and Another v SA Metal Machinery Co (Pty) Ltd </w:t>
      </w:r>
      <w:r w:rsidRPr="00971C33">
        <w:rPr>
          <w:rFonts w:ascii="Arial" w:hAnsi="Arial" w:cs="Arial"/>
          <w:sz w:val="18"/>
          <w:szCs w:val="18"/>
        </w:rPr>
        <w:t xml:space="preserve">2006 (6) SA 285 (SCA) para [42]; </w:t>
      </w:r>
      <w:r w:rsidRPr="00971C33">
        <w:rPr>
          <w:rFonts w:ascii="Arial" w:hAnsi="Arial" w:cs="Arial"/>
          <w:i/>
          <w:iCs/>
          <w:sz w:val="18"/>
          <w:szCs w:val="18"/>
        </w:rPr>
        <w:t>Van der Merwe v National Lotteries Board 2014 JDR 08</w:t>
      </w:r>
      <w:r w:rsidRPr="00971C33">
        <w:rPr>
          <w:rFonts w:ascii="Arial" w:hAnsi="Arial" w:cs="Arial"/>
          <w:sz w:val="18"/>
          <w:szCs w:val="18"/>
        </w:rPr>
        <w:t>44 (GP) para [32]-[36].</w:t>
      </w:r>
    </w:p>
  </w:footnote>
  <w:footnote w:id="21">
    <w:p w14:paraId="4BC6192C" w14:textId="79FD655D" w:rsidR="00790BAD" w:rsidRPr="00971C33" w:rsidRDefault="00790BAD" w:rsidP="006C196B">
      <w:pPr>
        <w:pStyle w:val="FootnoteText"/>
        <w:ind w:left="284" w:hanging="284"/>
        <w:rPr>
          <w:rFonts w:ascii="Arial" w:hAnsi="Arial" w:cs="Arial"/>
          <w:sz w:val="18"/>
          <w:szCs w:val="18"/>
        </w:rPr>
      </w:pPr>
      <w:r w:rsidRPr="00971C33">
        <w:rPr>
          <w:rStyle w:val="FootnoteReference"/>
          <w:rFonts w:ascii="Arial" w:hAnsi="Arial" w:cs="Arial"/>
          <w:sz w:val="18"/>
          <w:szCs w:val="18"/>
        </w:rPr>
        <w:footnoteRef/>
      </w:r>
      <w:r w:rsidRPr="00971C33">
        <w:rPr>
          <w:rFonts w:ascii="Arial" w:hAnsi="Arial" w:cs="Arial"/>
          <w:sz w:val="18"/>
          <w:szCs w:val="18"/>
        </w:rPr>
        <w:t xml:space="preserve"> </w:t>
      </w:r>
      <w:r w:rsidR="006C196B" w:rsidRPr="00971C33">
        <w:rPr>
          <w:rFonts w:ascii="Arial" w:hAnsi="Arial" w:cs="Arial"/>
          <w:sz w:val="18"/>
          <w:szCs w:val="18"/>
        </w:rPr>
        <w:tab/>
      </w:r>
      <w:r w:rsidRPr="00971C33">
        <w:rPr>
          <w:rFonts w:ascii="Arial" w:hAnsi="Arial" w:cs="Arial"/>
          <w:i/>
          <w:iCs/>
          <w:sz w:val="18"/>
          <w:szCs w:val="18"/>
        </w:rPr>
        <w:t>BHP Billiton PLC Incorporated v De Langa</w:t>
      </w:r>
      <w:r w:rsidRPr="00971C33">
        <w:rPr>
          <w:rFonts w:ascii="Arial" w:hAnsi="Arial" w:cs="Arial"/>
          <w:sz w:val="18"/>
          <w:szCs w:val="18"/>
        </w:rPr>
        <w:t xml:space="preserve"> </w:t>
      </w:r>
      <w:r w:rsidR="00B309C9">
        <w:rPr>
          <w:rFonts w:ascii="Arial" w:hAnsi="Arial" w:cs="Arial"/>
          <w:sz w:val="18"/>
          <w:szCs w:val="18"/>
        </w:rPr>
        <w:t xml:space="preserve">[2013] </w:t>
      </w:r>
      <w:r w:rsidRPr="00971C33">
        <w:rPr>
          <w:rFonts w:ascii="Arial" w:hAnsi="Arial" w:cs="Arial"/>
          <w:sz w:val="18"/>
          <w:szCs w:val="18"/>
        </w:rPr>
        <w:t xml:space="preserve">ZASCA 11 </w:t>
      </w:r>
      <w:r w:rsidR="00B309C9">
        <w:rPr>
          <w:rFonts w:ascii="Arial" w:hAnsi="Arial" w:cs="Arial"/>
          <w:sz w:val="18"/>
          <w:szCs w:val="18"/>
        </w:rPr>
        <w:t>(SCA</w:t>
      </w:r>
      <w:r w:rsidRPr="00971C33">
        <w:rPr>
          <w:rFonts w:ascii="Arial" w:hAnsi="Arial" w:cs="Arial"/>
          <w:sz w:val="18"/>
          <w:szCs w:val="18"/>
        </w:rPr>
        <w:t>).</w:t>
      </w:r>
    </w:p>
  </w:footnote>
  <w:footnote w:id="22">
    <w:p w14:paraId="2DEDF666" w14:textId="3BFABD35" w:rsidR="007F672C" w:rsidRPr="00971C33" w:rsidRDefault="007F672C" w:rsidP="00DB4529">
      <w:pPr>
        <w:pStyle w:val="FootnoteText"/>
        <w:ind w:left="284" w:hanging="284"/>
        <w:jc w:val="both"/>
        <w:rPr>
          <w:sz w:val="22"/>
          <w:szCs w:val="22"/>
        </w:rPr>
      </w:pPr>
      <w:r w:rsidRPr="00971C33">
        <w:rPr>
          <w:rStyle w:val="FootnoteReference"/>
          <w:rFonts w:ascii="Arial" w:hAnsi="Arial" w:cs="Arial"/>
          <w:sz w:val="18"/>
          <w:szCs w:val="18"/>
        </w:rPr>
        <w:footnoteRef/>
      </w:r>
      <w:r w:rsidRPr="00971C33">
        <w:rPr>
          <w:rFonts w:ascii="Arial" w:hAnsi="Arial" w:cs="Arial"/>
          <w:sz w:val="18"/>
          <w:szCs w:val="18"/>
        </w:rPr>
        <w:t xml:space="preserve"> </w:t>
      </w:r>
      <w:r w:rsidRPr="00971C33">
        <w:rPr>
          <w:rFonts w:ascii="Arial" w:hAnsi="Arial" w:cs="Arial"/>
          <w:sz w:val="18"/>
          <w:szCs w:val="18"/>
        </w:rPr>
        <w:tab/>
        <w:t xml:space="preserve">This section provides that PAIA does not apply to records for criminal or civil proceedings if </w:t>
      </w:r>
      <w:r w:rsidRPr="00971C33">
        <w:rPr>
          <w:rFonts w:ascii="Arial" w:hAnsi="Arial" w:cs="Arial"/>
          <w:i/>
          <w:iCs/>
          <w:sz w:val="18"/>
          <w:szCs w:val="18"/>
        </w:rPr>
        <w:t xml:space="preserve">“(a) that record is requested for the purpose of criminal or civil proceedings.” </w:t>
      </w:r>
      <w:r w:rsidRPr="00971C33">
        <w:rPr>
          <w:rFonts w:ascii="Arial" w:hAnsi="Arial" w:cs="Arial"/>
          <w:sz w:val="18"/>
          <w:szCs w:val="18"/>
        </w:rPr>
        <w:t xml:space="preserve">See also </w:t>
      </w:r>
      <w:r w:rsidRPr="00971C33">
        <w:rPr>
          <w:rFonts w:ascii="Arial" w:hAnsi="Arial" w:cs="Arial"/>
          <w:i/>
          <w:iCs/>
          <w:sz w:val="18"/>
          <w:szCs w:val="18"/>
        </w:rPr>
        <w:t xml:space="preserve">Unitas Hospital v Van Wyk </w:t>
      </w:r>
      <w:r w:rsidRPr="00971C33">
        <w:rPr>
          <w:rFonts w:ascii="Arial" w:hAnsi="Arial" w:cs="Arial"/>
          <w:sz w:val="18"/>
          <w:szCs w:val="18"/>
        </w:rPr>
        <w:t xml:space="preserve">2006 (4) SA 436 (SCA) para [21]-[22]; </w:t>
      </w:r>
      <w:r w:rsidRPr="00971C33">
        <w:rPr>
          <w:rFonts w:ascii="Arial" w:hAnsi="Arial" w:cs="Arial"/>
          <w:i/>
          <w:iCs/>
          <w:sz w:val="18"/>
          <w:szCs w:val="18"/>
        </w:rPr>
        <w:t>Inkatha Freedom Party v Truth and Reconciliation Commission</w:t>
      </w:r>
      <w:r w:rsidRPr="00971C33">
        <w:rPr>
          <w:rFonts w:ascii="Arial" w:hAnsi="Arial" w:cs="Arial"/>
          <w:sz w:val="18"/>
          <w:szCs w:val="18"/>
        </w:rPr>
        <w:t xml:space="preserve"> 2000 (3) SA 119 (C) at 135E-136A.</w:t>
      </w:r>
    </w:p>
  </w:footnote>
  <w:footnote w:id="23">
    <w:p w14:paraId="6FC20EB4" w14:textId="66730C02" w:rsidR="007F672C" w:rsidRPr="006C196B" w:rsidRDefault="007F672C" w:rsidP="003F4462">
      <w:pPr>
        <w:pStyle w:val="FootnoteText"/>
        <w:ind w:left="284" w:hanging="284"/>
        <w:jc w:val="both"/>
        <w:rPr>
          <w:rFonts w:ascii="Arial" w:hAnsi="Arial" w:cs="Arial"/>
          <w:sz w:val="20"/>
          <w:szCs w:val="20"/>
        </w:rPr>
      </w:pPr>
      <w:r w:rsidRPr="00971C33">
        <w:rPr>
          <w:rStyle w:val="FootnoteReference"/>
          <w:rFonts w:ascii="Arial" w:hAnsi="Arial" w:cs="Arial"/>
          <w:sz w:val="18"/>
          <w:szCs w:val="18"/>
        </w:rPr>
        <w:footnoteRef/>
      </w:r>
      <w:r w:rsidRPr="00971C33">
        <w:rPr>
          <w:rFonts w:ascii="Arial" w:hAnsi="Arial" w:cs="Arial"/>
          <w:sz w:val="18"/>
          <w:szCs w:val="18"/>
        </w:rPr>
        <w:t xml:space="preserve"> </w:t>
      </w:r>
      <w:r w:rsidRPr="00971C33">
        <w:rPr>
          <w:rFonts w:ascii="Arial" w:hAnsi="Arial" w:cs="Arial"/>
          <w:sz w:val="18"/>
          <w:szCs w:val="18"/>
        </w:rPr>
        <w:tab/>
      </w:r>
      <w:r w:rsidRPr="00971C33">
        <w:rPr>
          <w:rFonts w:ascii="Arial" w:hAnsi="Arial" w:cs="Arial"/>
          <w:i/>
          <w:iCs/>
          <w:sz w:val="18"/>
          <w:szCs w:val="18"/>
        </w:rPr>
        <w:t>SA Airlink (Pty) Ltd v Mpumalanga Tourism and Parks Agency and Others</w:t>
      </w:r>
      <w:r w:rsidRPr="00971C33">
        <w:rPr>
          <w:rFonts w:ascii="Arial" w:hAnsi="Arial" w:cs="Arial"/>
          <w:sz w:val="18"/>
          <w:szCs w:val="18"/>
        </w:rPr>
        <w:t xml:space="preserve"> 2013 (3) SA 112 (GSJ)</w:t>
      </w:r>
      <w:r w:rsidR="009858F3" w:rsidRPr="00971C33">
        <w:rPr>
          <w:rFonts w:ascii="Arial" w:hAnsi="Arial" w:cs="Arial"/>
          <w:sz w:val="18"/>
          <w:szCs w:val="18"/>
        </w:rPr>
        <w:t>.</w:t>
      </w:r>
      <w:r w:rsidRPr="00971C33">
        <w:rPr>
          <w:rFonts w:ascii="Arial" w:hAnsi="Arial" w:cs="Arial"/>
          <w:b/>
          <w:bCs/>
          <w:sz w:val="18"/>
          <w:szCs w:val="18"/>
        </w:rPr>
        <w:t xml:space="preserve"> </w:t>
      </w:r>
    </w:p>
  </w:footnote>
  <w:footnote w:id="24">
    <w:p w14:paraId="61DC9CCC" w14:textId="75C14A98" w:rsidR="001A003E" w:rsidRPr="00971C33" w:rsidRDefault="001A003E" w:rsidP="00993535">
      <w:pPr>
        <w:pStyle w:val="FootnoteText"/>
        <w:ind w:left="284" w:hanging="284"/>
        <w:jc w:val="both"/>
        <w:rPr>
          <w:rFonts w:ascii="Arial" w:hAnsi="Arial" w:cs="Arial"/>
          <w:sz w:val="18"/>
          <w:szCs w:val="18"/>
        </w:rPr>
      </w:pPr>
      <w:r w:rsidRPr="00971C33">
        <w:rPr>
          <w:rStyle w:val="FootnoteReference"/>
          <w:rFonts w:ascii="Arial" w:hAnsi="Arial" w:cs="Arial"/>
          <w:sz w:val="18"/>
          <w:szCs w:val="18"/>
        </w:rPr>
        <w:footnoteRef/>
      </w:r>
      <w:r w:rsidRPr="00971C33">
        <w:rPr>
          <w:rFonts w:ascii="Arial" w:hAnsi="Arial" w:cs="Arial"/>
          <w:sz w:val="18"/>
          <w:szCs w:val="18"/>
        </w:rPr>
        <w:t xml:space="preserve"> </w:t>
      </w:r>
      <w:r w:rsidR="00993535" w:rsidRPr="00971C33">
        <w:rPr>
          <w:rFonts w:ascii="Arial" w:hAnsi="Arial" w:cs="Arial"/>
          <w:sz w:val="18"/>
          <w:szCs w:val="18"/>
        </w:rPr>
        <w:tab/>
      </w:r>
      <w:r w:rsidR="00CD7E1C" w:rsidRPr="00971C33">
        <w:rPr>
          <w:rFonts w:ascii="Arial" w:hAnsi="Arial" w:cs="Arial"/>
          <w:sz w:val="18"/>
          <w:szCs w:val="18"/>
        </w:rPr>
        <w:t>2020 (6) SA 127 (SCA) para [40].</w:t>
      </w:r>
      <w:r w:rsidR="00AC1C80" w:rsidRPr="00971C33">
        <w:rPr>
          <w:rFonts w:ascii="Arial" w:hAnsi="Arial" w:cs="Arial"/>
          <w:sz w:val="18"/>
          <w:szCs w:val="18"/>
        </w:rPr>
        <w:t xml:space="preserve"> </w:t>
      </w:r>
    </w:p>
  </w:footnote>
  <w:footnote w:id="25">
    <w:p w14:paraId="64A05194" w14:textId="664723CE" w:rsidR="007F672C" w:rsidRPr="00971C33" w:rsidRDefault="007F672C" w:rsidP="00FF6376">
      <w:pPr>
        <w:pStyle w:val="FootnoteText"/>
        <w:ind w:left="284" w:hanging="284"/>
        <w:jc w:val="both"/>
        <w:rPr>
          <w:rFonts w:ascii="Arial" w:hAnsi="Arial" w:cs="Arial"/>
          <w:sz w:val="18"/>
          <w:szCs w:val="18"/>
        </w:rPr>
      </w:pPr>
      <w:r w:rsidRPr="00971C33">
        <w:rPr>
          <w:rStyle w:val="FootnoteReference"/>
          <w:rFonts w:ascii="Arial" w:hAnsi="Arial" w:cs="Arial"/>
          <w:sz w:val="18"/>
          <w:szCs w:val="18"/>
        </w:rPr>
        <w:footnoteRef/>
      </w:r>
      <w:r w:rsidRPr="00971C33">
        <w:rPr>
          <w:rFonts w:ascii="Arial" w:hAnsi="Arial" w:cs="Arial"/>
          <w:sz w:val="18"/>
          <w:szCs w:val="18"/>
        </w:rPr>
        <w:t xml:space="preserve"> </w:t>
      </w:r>
      <w:r w:rsidRPr="00971C33">
        <w:rPr>
          <w:rFonts w:ascii="Arial" w:hAnsi="Arial" w:cs="Arial"/>
          <w:sz w:val="18"/>
          <w:szCs w:val="18"/>
        </w:rPr>
        <w:tab/>
        <w:t>These are set out in s 195(1) and are in terms of s 195(2)(b) applicable to organs of state.</w:t>
      </w:r>
    </w:p>
  </w:footnote>
  <w:footnote w:id="26">
    <w:p w14:paraId="2F1E49A0" w14:textId="52357106" w:rsidR="007F672C" w:rsidRPr="00971C33" w:rsidRDefault="007F672C" w:rsidP="00FF6376">
      <w:pPr>
        <w:pStyle w:val="FootnoteText"/>
        <w:ind w:left="284" w:hanging="284"/>
        <w:jc w:val="both"/>
        <w:rPr>
          <w:rFonts w:ascii="Arial" w:hAnsi="Arial" w:cs="Arial"/>
          <w:sz w:val="18"/>
          <w:szCs w:val="18"/>
        </w:rPr>
      </w:pPr>
      <w:r w:rsidRPr="00971C33">
        <w:rPr>
          <w:rStyle w:val="FootnoteReference"/>
          <w:rFonts w:ascii="Arial" w:hAnsi="Arial" w:cs="Arial"/>
          <w:sz w:val="18"/>
          <w:szCs w:val="18"/>
        </w:rPr>
        <w:footnoteRef/>
      </w:r>
      <w:r w:rsidRPr="00971C33">
        <w:rPr>
          <w:rFonts w:ascii="Arial" w:hAnsi="Arial" w:cs="Arial"/>
          <w:sz w:val="18"/>
          <w:szCs w:val="18"/>
        </w:rPr>
        <w:t xml:space="preserve"> </w:t>
      </w:r>
      <w:r w:rsidRPr="00971C33">
        <w:rPr>
          <w:rFonts w:ascii="Arial" w:hAnsi="Arial" w:cs="Arial"/>
          <w:sz w:val="18"/>
          <w:szCs w:val="18"/>
        </w:rPr>
        <w:tab/>
        <w:t>S 217(1) provides that when contracting for goods or services, an organ of state “</w:t>
      </w:r>
      <w:r w:rsidRPr="00971C33">
        <w:rPr>
          <w:rFonts w:ascii="Arial" w:hAnsi="Arial" w:cs="Arial"/>
          <w:i/>
          <w:iCs/>
          <w:sz w:val="18"/>
          <w:szCs w:val="18"/>
        </w:rPr>
        <w:t>must do so in accordance with a system which is fair, equitable, transparent, competitive and cost effective.”</w:t>
      </w:r>
    </w:p>
  </w:footnote>
  <w:footnote w:id="27">
    <w:p w14:paraId="4ED8A35D" w14:textId="1802D331" w:rsidR="00044121" w:rsidRPr="00971C33" w:rsidRDefault="00044121" w:rsidP="00FF6376">
      <w:pPr>
        <w:pStyle w:val="FootnoteText"/>
        <w:ind w:left="284" w:hanging="284"/>
        <w:rPr>
          <w:sz w:val="22"/>
          <w:szCs w:val="22"/>
        </w:rPr>
      </w:pPr>
      <w:r w:rsidRPr="00971C33">
        <w:rPr>
          <w:rStyle w:val="FootnoteReference"/>
          <w:rFonts w:ascii="Arial" w:hAnsi="Arial" w:cs="Arial"/>
          <w:sz w:val="18"/>
          <w:szCs w:val="18"/>
        </w:rPr>
        <w:footnoteRef/>
      </w:r>
      <w:r w:rsidRPr="00971C33">
        <w:rPr>
          <w:rFonts w:ascii="Arial" w:hAnsi="Arial" w:cs="Arial"/>
          <w:sz w:val="18"/>
          <w:szCs w:val="18"/>
        </w:rPr>
        <w:t xml:space="preserve"> </w:t>
      </w:r>
      <w:r w:rsidR="00FF6376" w:rsidRPr="00971C33">
        <w:rPr>
          <w:rFonts w:ascii="Arial" w:hAnsi="Arial" w:cs="Arial"/>
          <w:sz w:val="18"/>
          <w:szCs w:val="18"/>
        </w:rPr>
        <w:tab/>
      </w:r>
      <w:r w:rsidRPr="00971C33">
        <w:rPr>
          <w:rFonts w:ascii="Arial" w:hAnsi="Arial" w:cs="Arial"/>
          <w:i/>
          <w:iCs/>
          <w:sz w:val="18"/>
          <w:szCs w:val="18"/>
        </w:rPr>
        <w:t>My Vote Counts v The Speaker of the National Assembly and</w:t>
      </w:r>
      <w:r w:rsidRPr="00971C33">
        <w:rPr>
          <w:rFonts w:ascii="Arial" w:hAnsi="Arial" w:cs="Arial"/>
          <w:sz w:val="18"/>
          <w:szCs w:val="18"/>
        </w:rPr>
        <w:t xml:space="preserve"> </w:t>
      </w:r>
      <w:r w:rsidRPr="00971C33">
        <w:rPr>
          <w:rFonts w:ascii="Arial" w:hAnsi="Arial" w:cs="Arial"/>
          <w:i/>
          <w:iCs/>
          <w:sz w:val="18"/>
          <w:szCs w:val="18"/>
        </w:rPr>
        <w:t>Others</w:t>
      </w:r>
      <w:r w:rsidRPr="00971C33">
        <w:rPr>
          <w:rFonts w:ascii="Arial" w:hAnsi="Arial" w:cs="Arial"/>
          <w:sz w:val="18"/>
          <w:szCs w:val="18"/>
        </w:rPr>
        <w:t xml:space="preserve"> 2016 (1) SA 132 (CC) para [44]-[66].</w:t>
      </w:r>
    </w:p>
  </w:footnote>
  <w:footnote w:id="28">
    <w:p w14:paraId="6495BF83" w14:textId="3965125A" w:rsidR="007F672C" w:rsidRPr="00971C33" w:rsidRDefault="007F672C" w:rsidP="001339EB">
      <w:pPr>
        <w:pStyle w:val="FootnoteText"/>
        <w:ind w:left="284" w:hanging="284"/>
        <w:jc w:val="both"/>
        <w:rPr>
          <w:sz w:val="22"/>
          <w:szCs w:val="22"/>
        </w:rPr>
      </w:pPr>
      <w:r w:rsidRPr="00971C33">
        <w:rPr>
          <w:rStyle w:val="FootnoteReference"/>
          <w:rFonts w:ascii="Arial" w:hAnsi="Arial" w:cs="Arial"/>
          <w:sz w:val="18"/>
          <w:szCs w:val="18"/>
        </w:rPr>
        <w:footnoteRef/>
      </w:r>
      <w:r w:rsidRPr="00971C33">
        <w:rPr>
          <w:rFonts w:ascii="Arial" w:hAnsi="Arial" w:cs="Arial"/>
          <w:sz w:val="18"/>
          <w:szCs w:val="18"/>
        </w:rPr>
        <w:t xml:space="preserve"> </w:t>
      </w:r>
      <w:r w:rsidRPr="00971C33">
        <w:rPr>
          <w:rFonts w:ascii="Arial" w:hAnsi="Arial" w:cs="Arial"/>
          <w:sz w:val="18"/>
          <w:szCs w:val="18"/>
        </w:rPr>
        <w:tab/>
        <w:t>2011 (5) SA 279 (ECG) paras [92] and [94].</w:t>
      </w:r>
    </w:p>
  </w:footnote>
  <w:footnote w:id="29">
    <w:p w14:paraId="682CD8F7" w14:textId="6584ADD6" w:rsidR="009202FE" w:rsidRPr="00971C33" w:rsidRDefault="009202FE" w:rsidP="009202FE">
      <w:pPr>
        <w:pStyle w:val="FootnoteText"/>
        <w:ind w:left="284" w:hanging="284"/>
        <w:jc w:val="both"/>
        <w:rPr>
          <w:rFonts w:ascii="Arial" w:hAnsi="Arial" w:cs="Arial"/>
          <w:sz w:val="18"/>
          <w:szCs w:val="18"/>
        </w:rPr>
      </w:pPr>
      <w:r w:rsidRPr="00971C33">
        <w:rPr>
          <w:rStyle w:val="FootnoteReference"/>
          <w:rFonts w:ascii="Arial" w:hAnsi="Arial" w:cs="Arial"/>
          <w:sz w:val="18"/>
          <w:szCs w:val="18"/>
        </w:rPr>
        <w:footnoteRef/>
      </w:r>
      <w:r w:rsidRPr="00971C33">
        <w:rPr>
          <w:rFonts w:ascii="Arial" w:hAnsi="Arial" w:cs="Arial"/>
          <w:sz w:val="18"/>
          <w:szCs w:val="18"/>
        </w:rPr>
        <w:t xml:space="preserve"> </w:t>
      </w:r>
      <w:r w:rsidRPr="00971C33">
        <w:rPr>
          <w:rFonts w:ascii="Arial" w:hAnsi="Arial" w:cs="Arial"/>
          <w:sz w:val="18"/>
          <w:szCs w:val="18"/>
        </w:rPr>
        <w:tab/>
        <w:t>Somewhat belatedly and in reply, OUTA sought to rely, 7 years after the fact, on an article published in the Sunday Times Newspaper on 25 November 2012 in which issue had been taken with the main contract concluded 13 years earlier.</w:t>
      </w:r>
    </w:p>
  </w:footnote>
  <w:footnote w:id="30">
    <w:p w14:paraId="4C6100E4" w14:textId="59324598" w:rsidR="007F672C" w:rsidRPr="00971C33" w:rsidRDefault="007F672C" w:rsidP="00C24CCA">
      <w:pPr>
        <w:pStyle w:val="FootnoteText"/>
        <w:ind w:left="284" w:hanging="284"/>
        <w:jc w:val="both"/>
        <w:rPr>
          <w:rFonts w:ascii="Arial" w:hAnsi="Arial" w:cs="Arial"/>
          <w:b/>
          <w:bCs/>
          <w:sz w:val="18"/>
          <w:szCs w:val="18"/>
        </w:rPr>
      </w:pPr>
      <w:r w:rsidRPr="00971C33">
        <w:rPr>
          <w:rStyle w:val="FootnoteReference"/>
          <w:rFonts w:ascii="Arial" w:hAnsi="Arial" w:cs="Arial"/>
          <w:sz w:val="18"/>
          <w:szCs w:val="18"/>
        </w:rPr>
        <w:footnoteRef/>
      </w:r>
      <w:r w:rsidRPr="00971C33">
        <w:rPr>
          <w:rFonts w:ascii="Arial" w:hAnsi="Arial" w:cs="Arial"/>
          <w:sz w:val="18"/>
          <w:szCs w:val="18"/>
        </w:rPr>
        <w:t xml:space="preserve"> </w:t>
      </w:r>
      <w:r w:rsidRPr="00971C33">
        <w:rPr>
          <w:rFonts w:ascii="Arial" w:hAnsi="Arial" w:cs="Arial"/>
          <w:sz w:val="18"/>
          <w:szCs w:val="18"/>
        </w:rPr>
        <w:tab/>
      </w:r>
      <w:r w:rsidRPr="00971C33">
        <w:rPr>
          <w:rFonts w:ascii="Arial" w:hAnsi="Arial" w:cs="Arial"/>
          <w:i/>
          <w:iCs/>
          <w:sz w:val="18"/>
          <w:szCs w:val="18"/>
        </w:rPr>
        <w:t>Mostert v FirstRand Bank t/a RMB Private Bank</w:t>
      </w:r>
      <w:r w:rsidRPr="00971C33">
        <w:rPr>
          <w:rFonts w:ascii="Arial" w:hAnsi="Arial" w:cs="Arial"/>
          <w:sz w:val="18"/>
          <w:szCs w:val="18"/>
        </w:rPr>
        <w:t xml:space="preserve"> 2018 (4) SA 443 (SCA) para [13].</w:t>
      </w:r>
    </w:p>
  </w:footnote>
  <w:footnote w:id="31">
    <w:p w14:paraId="6FBF57FF" w14:textId="0B8BA0F5" w:rsidR="00F74042" w:rsidRPr="00971C33" w:rsidRDefault="00F74042">
      <w:pPr>
        <w:pStyle w:val="FootnoteText"/>
        <w:rPr>
          <w:rFonts w:ascii="Arial" w:hAnsi="Arial" w:cs="Arial"/>
          <w:sz w:val="18"/>
          <w:szCs w:val="18"/>
          <w:lang w:val="en-ZA"/>
        </w:rPr>
      </w:pPr>
      <w:r w:rsidRPr="00971C33">
        <w:rPr>
          <w:rStyle w:val="FootnoteReference"/>
          <w:rFonts w:ascii="Arial" w:hAnsi="Arial" w:cs="Arial"/>
          <w:sz w:val="18"/>
          <w:szCs w:val="18"/>
        </w:rPr>
        <w:footnoteRef/>
      </w:r>
      <w:r w:rsidRPr="00971C33">
        <w:rPr>
          <w:rFonts w:ascii="Arial" w:hAnsi="Arial" w:cs="Arial"/>
          <w:sz w:val="18"/>
          <w:szCs w:val="18"/>
        </w:rPr>
        <w:t xml:space="preserve"> </w:t>
      </w:r>
      <w:r w:rsidRPr="00F74042">
        <w:rPr>
          <w:rFonts w:ascii="Arial" w:hAnsi="Arial" w:cs="Arial"/>
          <w:i/>
          <w:iCs/>
          <w:sz w:val="18"/>
          <w:szCs w:val="18"/>
        </w:rPr>
        <w:t xml:space="preserve">De Lange and Another v Eskom Holdings Ltd and Others </w:t>
      </w:r>
      <w:r w:rsidRPr="00F74042">
        <w:rPr>
          <w:rFonts w:ascii="Arial" w:hAnsi="Arial" w:cs="Arial"/>
          <w:sz w:val="18"/>
          <w:szCs w:val="18"/>
        </w:rPr>
        <w:t>2012 (1) SA 280 (GSJ) para [40].</w:t>
      </w:r>
    </w:p>
  </w:footnote>
  <w:footnote w:id="32">
    <w:p w14:paraId="657CED78" w14:textId="198E837A" w:rsidR="007F672C" w:rsidRPr="00153B46" w:rsidRDefault="007F672C" w:rsidP="00153B46">
      <w:pPr>
        <w:pStyle w:val="FootnoteText"/>
        <w:ind w:left="284" w:hanging="284"/>
        <w:rPr>
          <w:rFonts w:ascii="Arial" w:hAnsi="Arial" w:cs="Arial"/>
          <w:sz w:val="20"/>
          <w:szCs w:val="20"/>
        </w:rPr>
      </w:pPr>
      <w:r w:rsidRPr="00971C33">
        <w:rPr>
          <w:rStyle w:val="FootnoteReference"/>
          <w:rFonts w:ascii="Arial" w:hAnsi="Arial" w:cs="Arial"/>
          <w:sz w:val="18"/>
          <w:szCs w:val="18"/>
        </w:rPr>
        <w:footnoteRef/>
      </w:r>
      <w:r w:rsidRPr="00971C33">
        <w:rPr>
          <w:rFonts w:ascii="Arial" w:hAnsi="Arial" w:cs="Arial"/>
          <w:sz w:val="18"/>
          <w:szCs w:val="18"/>
        </w:rPr>
        <w:t xml:space="preserve"> </w:t>
      </w:r>
      <w:r w:rsidR="00F74042" w:rsidRPr="00F74042">
        <w:rPr>
          <w:rFonts w:ascii="Arial" w:hAnsi="Arial" w:cs="Arial"/>
          <w:i/>
          <w:iCs/>
          <w:sz w:val="18"/>
          <w:szCs w:val="18"/>
        </w:rPr>
        <w:t>ibid</w:t>
      </w:r>
      <w:r w:rsidR="00F74042" w:rsidRPr="00F74042">
        <w:rPr>
          <w:rFonts w:ascii="Arial" w:hAnsi="Arial" w:cs="Arial"/>
          <w:sz w:val="18"/>
          <w:szCs w:val="18"/>
        </w:rPr>
        <w:t xml:space="preserve"> para [40]</w:t>
      </w:r>
      <w:r w:rsidRPr="00971C33">
        <w:rPr>
          <w:rFonts w:ascii="Arial" w:hAnsi="Arial" w:cs="Arial"/>
          <w:sz w:val="18"/>
          <w:szCs w:val="18"/>
        </w:rPr>
        <w:t>.</w:t>
      </w:r>
    </w:p>
  </w:footnote>
  <w:footnote w:id="33">
    <w:p w14:paraId="536A5893" w14:textId="2C1737D9" w:rsidR="007F672C" w:rsidRPr="00405AEE" w:rsidRDefault="007F672C" w:rsidP="00947466">
      <w:pPr>
        <w:pStyle w:val="FootnoteText"/>
        <w:ind w:left="284" w:hanging="284"/>
        <w:rPr>
          <w:rFonts w:ascii="Arial" w:hAnsi="Arial" w:cs="Arial"/>
          <w:sz w:val="20"/>
          <w:szCs w:val="20"/>
        </w:rPr>
      </w:pPr>
      <w:r w:rsidRPr="00971C33">
        <w:rPr>
          <w:rStyle w:val="FootnoteReference"/>
          <w:rFonts w:ascii="Arial" w:hAnsi="Arial" w:cs="Arial"/>
          <w:sz w:val="18"/>
          <w:szCs w:val="18"/>
        </w:rPr>
        <w:footnoteRef/>
      </w:r>
      <w:r w:rsidRPr="00971C33">
        <w:rPr>
          <w:rFonts w:ascii="Arial" w:hAnsi="Arial" w:cs="Arial"/>
          <w:sz w:val="18"/>
          <w:szCs w:val="18"/>
        </w:rPr>
        <w:t xml:space="preserve"> </w:t>
      </w:r>
      <w:r w:rsidRPr="00971C33">
        <w:rPr>
          <w:rFonts w:ascii="Arial" w:hAnsi="Arial" w:cs="Arial"/>
          <w:sz w:val="18"/>
          <w:szCs w:val="18"/>
        </w:rPr>
        <w:tab/>
        <w:t>2023 JDR 3132 (GP).</w:t>
      </w:r>
    </w:p>
  </w:footnote>
  <w:footnote w:id="34">
    <w:p w14:paraId="0F251673" w14:textId="704DF3B5" w:rsidR="007F672C" w:rsidRPr="00130075" w:rsidRDefault="007F672C" w:rsidP="00130075">
      <w:pPr>
        <w:pStyle w:val="FootnoteText"/>
        <w:ind w:left="284" w:hanging="284"/>
        <w:jc w:val="both"/>
        <w:rPr>
          <w:rFonts w:ascii="Arial" w:hAnsi="Arial" w:cs="Arial"/>
          <w:b/>
          <w:bCs/>
          <w:sz w:val="20"/>
          <w:szCs w:val="20"/>
        </w:rPr>
      </w:pPr>
      <w:r w:rsidRPr="00971C33">
        <w:rPr>
          <w:rStyle w:val="FootnoteReference"/>
          <w:rFonts w:ascii="Arial" w:hAnsi="Arial" w:cs="Arial"/>
          <w:sz w:val="18"/>
          <w:szCs w:val="18"/>
        </w:rPr>
        <w:footnoteRef/>
      </w:r>
      <w:r w:rsidRPr="00971C33">
        <w:rPr>
          <w:rFonts w:ascii="Arial" w:hAnsi="Arial" w:cs="Arial"/>
          <w:b/>
          <w:bCs/>
          <w:sz w:val="18"/>
          <w:szCs w:val="18"/>
        </w:rPr>
        <w:t xml:space="preserve"> </w:t>
      </w:r>
      <w:r w:rsidR="00B256A7" w:rsidRPr="00971C33">
        <w:rPr>
          <w:rFonts w:ascii="Arial" w:hAnsi="Arial" w:cs="Arial"/>
          <w:b/>
          <w:bCs/>
          <w:sz w:val="18"/>
          <w:szCs w:val="18"/>
        </w:rPr>
        <w:t xml:space="preserve"> </w:t>
      </w:r>
      <w:r w:rsidRPr="00971C33">
        <w:rPr>
          <w:rFonts w:ascii="Arial" w:hAnsi="Arial" w:cs="Arial"/>
          <w:sz w:val="18"/>
          <w:szCs w:val="18"/>
        </w:rPr>
        <w:t xml:space="preserve">On this specific point the Court was referred to </w:t>
      </w:r>
      <w:r w:rsidRPr="00971C33">
        <w:rPr>
          <w:rFonts w:ascii="Arial" w:hAnsi="Arial" w:cs="Arial"/>
          <w:i/>
          <w:iCs/>
          <w:sz w:val="18"/>
          <w:szCs w:val="18"/>
        </w:rPr>
        <w:t xml:space="preserve">Bato Star Fishing (Pty) Ltd v Minister of Environmental Affairs and Tourism and Others </w:t>
      </w:r>
      <w:r w:rsidRPr="00971C33">
        <w:rPr>
          <w:rFonts w:ascii="Arial" w:hAnsi="Arial" w:cs="Arial"/>
          <w:sz w:val="18"/>
          <w:szCs w:val="18"/>
        </w:rPr>
        <w:t>2004 (4) SA 492 (CC)</w:t>
      </w:r>
      <w:r w:rsidR="00B256A7" w:rsidRPr="00971C33">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A27A" w14:textId="77777777" w:rsidR="007F672C" w:rsidRDefault="007F672C" w:rsidP="00774AB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7F672C" w:rsidRDefault="007F672C" w:rsidP="00B50E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28D8" w14:textId="53DE5A17" w:rsidR="007F672C" w:rsidRDefault="007F672C" w:rsidP="00774AB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7350">
      <w:rPr>
        <w:rStyle w:val="PageNumber"/>
        <w:noProof/>
      </w:rPr>
      <w:t>21</w:t>
    </w:r>
    <w:r>
      <w:rPr>
        <w:rStyle w:val="PageNumber"/>
      </w:rPr>
      <w:fldChar w:fldCharType="end"/>
    </w:r>
  </w:p>
  <w:p w14:paraId="7E704A95" w14:textId="77777777" w:rsidR="007F672C" w:rsidRDefault="007F672C" w:rsidP="00B50E1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3D9B"/>
    <w:multiLevelType w:val="hybridMultilevel"/>
    <w:tmpl w:val="71E2788E"/>
    <w:lvl w:ilvl="0" w:tplc="40205FF8">
      <w:start w:val="1"/>
      <w:numFmt w:val="lowerRoman"/>
      <w:lvlText w:val="(%1)"/>
      <w:lvlJc w:val="left"/>
      <w:pPr>
        <w:ind w:left="2151" w:hanging="720"/>
      </w:pPr>
      <w:rPr>
        <w:rFonts w:hint="default"/>
      </w:r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1" w15:restartNumberingAfterBreak="0">
    <w:nsid w:val="24DD7ACC"/>
    <w:multiLevelType w:val="hybridMultilevel"/>
    <w:tmpl w:val="E402D206"/>
    <w:lvl w:ilvl="0" w:tplc="F112F3E0">
      <w:start w:val="1"/>
      <w:numFmt w:val="lowerRoman"/>
      <w:lvlText w:val="(%1)"/>
      <w:lvlJc w:val="left"/>
      <w:pPr>
        <w:ind w:left="2008" w:hanging="720"/>
      </w:pPr>
      <w:rPr>
        <w:rFonts w:ascii="Arial" w:eastAsiaTheme="minorHAnsi" w:hAnsi="Arial" w:cs="Arial"/>
        <w:b w:val="0"/>
        <w:bCs/>
        <w:sz w:val="20"/>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 w15:restartNumberingAfterBreak="0">
    <w:nsid w:val="255D2C42"/>
    <w:multiLevelType w:val="hybridMultilevel"/>
    <w:tmpl w:val="ABCC6564"/>
    <w:lvl w:ilvl="0" w:tplc="1EC859AA">
      <w:start w:val="35"/>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E33BE"/>
    <w:multiLevelType w:val="hybridMultilevel"/>
    <w:tmpl w:val="F30841E6"/>
    <w:lvl w:ilvl="0" w:tplc="B6789EAE">
      <w:start w:val="62"/>
      <w:numFmt w:val="decimal"/>
      <w:lvlText w:val="[%1]"/>
      <w:lvlJc w:val="left"/>
      <w:pPr>
        <w:ind w:left="1648"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BF27F3"/>
    <w:multiLevelType w:val="hybridMultilevel"/>
    <w:tmpl w:val="F9946BEA"/>
    <w:lvl w:ilvl="0" w:tplc="9912F424">
      <w:start w:val="1"/>
      <w:numFmt w:val="decimal"/>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AE3777"/>
    <w:multiLevelType w:val="hybridMultilevel"/>
    <w:tmpl w:val="176E3312"/>
    <w:lvl w:ilvl="0" w:tplc="B448C258">
      <w:start w:val="1"/>
      <w:numFmt w:val="lowerLetter"/>
      <w:lvlText w:val="(%1)"/>
      <w:lvlJc w:val="left"/>
      <w:pPr>
        <w:ind w:left="896" w:hanging="360"/>
      </w:pPr>
      <w:rPr>
        <w:rFonts w:ascii="Arial" w:hAnsi="Arial" w:cs="Arial" w:hint="default"/>
        <w:b w:val="0"/>
        <w:bCs/>
        <w:i/>
        <w:iCs/>
        <w:sz w:val="20"/>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6" w15:restartNumberingAfterBreak="0">
    <w:nsid w:val="3C6F3063"/>
    <w:multiLevelType w:val="hybridMultilevel"/>
    <w:tmpl w:val="C4C0A36C"/>
    <w:lvl w:ilvl="0" w:tplc="5ACC9C9E">
      <w:start w:val="46"/>
      <w:numFmt w:val="decimal"/>
      <w:lvlText w:val="[%1]"/>
      <w:lvlJc w:val="left"/>
      <w:pPr>
        <w:ind w:left="1648" w:hanging="36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50658"/>
    <w:multiLevelType w:val="hybridMultilevel"/>
    <w:tmpl w:val="1C984746"/>
    <w:lvl w:ilvl="0" w:tplc="57086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8D0C54"/>
    <w:multiLevelType w:val="hybridMultilevel"/>
    <w:tmpl w:val="458C672A"/>
    <w:lvl w:ilvl="0" w:tplc="83141B1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20933395">
    <w:abstractNumId w:val="4"/>
  </w:num>
  <w:num w:numId="2" w16cid:durableId="2027709682">
    <w:abstractNumId w:val="8"/>
  </w:num>
  <w:num w:numId="3" w16cid:durableId="846989135">
    <w:abstractNumId w:val="7"/>
  </w:num>
  <w:num w:numId="4" w16cid:durableId="1555894979">
    <w:abstractNumId w:val="0"/>
  </w:num>
  <w:num w:numId="5" w16cid:durableId="1118062596">
    <w:abstractNumId w:val="5"/>
  </w:num>
  <w:num w:numId="6" w16cid:durableId="1128888233">
    <w:abstractNumId w:val="1"/>
  </w:num>
  <w:num w:numId="7" w16cid:durableId="647516375">
    <w:abstractNumId w:val="6"/>
  </w:num>
  <w:num w:numId="8" w16cid:durableId="164249307">
    <w:abstractNumId w:val="3"/>
  </w:num>
  <w:num w:numId="9" w16cid:durableId="70198206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8C6"/>
    <w:rsid w:val="00000883"/>
    <w:rsid w:val="00004A9C"/>
    <w:rsid w:val="000060CB"/>
    <w:rsid w:val="00006288"/>
    <w:rsid w:val="000104B4"/>
    <w:rsid w:val="000176E1"/>
    <w:rsid w:val="000218AC"/>
    <w:rsid w:val="0002295E"/>
    <w:rsid w:val="00022E29"/>
    <w:rsid w:val="00025D2E"/>
    <w:rsid w:val="00030EDB"/>
    <w:rsid w:val="00036175"/>
    <w:rsid w:val="00041A1F"/>
    <w:rsid w:val="00044121"/>
    <w:rsid w:val="00046FAD"/>
    <w:rsid w:val="00050078"/>
    <w:rsid w:val="00052547"/>
    <w:rsid w:val="000578D1"/>
    <w:rsid w:val="00062CEF"/>
    <w:rsid w:val="0006302B"/>
    <w:rsid w:val="0006551C"/>
    <w:rsid w:val="00066505"/>
    <w:rsid w:val="00070EA4"/>
    <w:rsid w:val="000730BB"/>
    <w:rsid w:val="0008376B"/>
    <w:rsid w:val="0008544C"/>
    <w:rsid w:val="00085E25"/>
    <w:rsid w:val="0008693D"/>
    <w:rsid w:val="0009477A"/>
    <w:rsid w:val="0009635D"/>
    <w:rsid w:val="000964D1"/>
    <w:rsid w:val="000971DB"/>
    <w:rsid w:val="000A132E"/>
    <w:rsid w:val="000A26D7"/>
    <w:rsid w:val="000A5272"/>
    <w:rsid w:val="000C091F"/>
    <w:rsid w:val="000C1577"/>
    <w:rsid w:val="000C1D16"/>
    <w:rsid w:val="000C3AFA"/>
    <w:rsid w:val="000C4554"/>
    <w:rsid w:val="000C6322"/>
    <w:rsid w:val="000D0136"/>
    <w:rsid w:val="000D0442"/>
    <w:rsid w:val="000E07B1"/>
    <w:rsid w:val="000E1AC8"/>
    <w:rsid w:val="000E5109"/>
    <w:rsid w:val="000E5543"/>
    <w:rsid w:val="000E5E25"/>
    <w:rsid w:val="000E5FB9"/>
    <w:rsid w:val="000E6633"/>
    <w:rsid w:val="000E7A86"/>
    <w:rsid w:val="00101D88"/>
    <w:rsid w:val="001021EE"/>
    <w:rsid w:val="00103EC1"/>
    <w:rsid w:val="00106DE2"/>
    <w:rsid w:val="00114724"/>
    <w:rsid w:val="00121456"/>
    <w:rsid w:val="001223D2"/>
    <w:rsid w:val="00130075"/>
    <w:rsid w:val="001339EB"/>
    <w:rsid w:val="0013492F"/>
    <w:rsid w:val="00136033"/>
    <w:rsid w:val="001360A5"/>
    <w:rsid w:val="00144EA8"/>
    <w:rsid w:val="00151F35"/>
    <w:rsid w:val="00153B46"/>
    <w:rsid w:val="00155668"/>
    <w:rsid w:val="0016046F"/>
    <w:rsid w:val="00161F55"/>
    <w:rsid w:val="00163683"/>
    <w:rsid w:val="001721F5"/>
    <w:rsid w:val="0017465D"/>
    <w:rsid w:val="0017503D"/>
    <w:rsid w:val="001867CE"/>
    <w:rsid w:val="0019345E"/>
    <w:rsid w:val="00194AFD"/>
    <w:rsid w:val="00194BAE"/>
    <w:rsid w:val="001A003E"/>
    <w:rsid w:val="001A21CD"/>
    <w:rsid w:val="001A44B8"/>
    <w:rsid w:val="001A626F"/>
    <w:rsid w:val="001A7F86"/>
    <w:rsid w:val="001B288A"/>
    <w:rsid w:val="001B487B"/>
    <w:rsid w:val="001C5140"/>
    <w:rsid w:val="001D6C62"/>
    <w:rsid w:val="001D6F4F"/>
    <w:rsid w:val="001D7244"/>
    <w:rsid w:val="001E32FC"/>
    <w:rsid w:val="001E4AC5"/>
    <w:rsid w:val="001E5FEA"/>
    <w:rsid w:val="001E6710"/>
    <w:rsid w:val="001F07DD"/>
    <w:rsid w:val="001F450A"/>
    <w:rsid w:val="001F4AE5"/>
    <w:rsid w:val="001F60F2"/>
    <w:rsid w:val="002003EF"/>
    <w:rsid w:val="00201A93"/>
    <w:rsid w:val="00201CB3"/>
    <w:rsid w:val="002040D5"/>
    <w:rsid w:val="00205098"/>
    <w:rsid w:val="0020751F"/>
    <w:rsid w:val="0021216F"/>
    <w:rsid w:val="002129F5"/>
    <w:rsid w:val="00232BFD"/>
    <w:rsid w:val="00232EA0"/>
    <w:rsid w:val="002332DE"/>
    <w:rsid w:val="00235638"/>
    <w:rsid w:val="00242E76"/>
    <w:rsid w:val="00244901"/>
    <w:rsid w:val="00245687"/>
    <w:rsid w:val="002458A4"/>
    <w:rsid w:val="00254146"/>
    <w:rsid w:val="00255485"/>
    <w:rsid w:val="00262A5B"/>
    <w:rsid w:val="00264079"/>
    <w:rsid w:val="00265336"/>
    <w:rsid w:val="00267036"/>
    <w:rsid w:val="0027008F"/>
    <w:rsid w:val="00280528"/>
    <w:rsid w:val="00281CA0"/>
    <w:rsid w:val="00283B34"/>
    <w:rsid w:val="00286748"/>
    <w:rsid w:val="00287E6E"/>
    <w:rsid w:val="002914E5"/>
    <w:rsid w:val="002933AB"/>
    <w:rsid w:val="00297350"/>
    <w:rsid w:val="0029767F"/>
    <w:rsid w:val="002A150C"/>
    <w:rsid w:val="002A1684"/>
    <w:rsid w:val="002A4135"/>
    <w:rsid w:val="002A4BB0"/>
    <w:rsid w:val="002A4E4F"/>
    <w:rsid w:val="002A51AF"/>
    <w:rsid w:val="002A53F8"/>
    <w:rsid w:val="002A681B"/>
    <w:rsid w:val="002A6A3F"/>
    <w:rsid w:val="002B0901"/>
    <w:rsid w:val="002B0A35"/>
    <w:rsid w:val="002B4437"/>
    <w:rsid w:val="002B69B1"/>
    <w:rsid w:val="002C413A"/>
    <w:rsid w:val="002C4D4E"/>
    <w:rsid w:val="002C7527"/>
    <w:rsid w:val="002D6A2A"/>
    <w:rsid w:val="002D6BF0"/>
    <w:rsid w:val="002E1F21"/>
    <w:rsid w:val="002E2986"/>
    <w:rsid w:val="002E5B2F"/>
    <w:rsid w:val="002E7EEE"/>
    <w:rsid w:val="00301195"/>
    <w:rsid w:val="003050C8"/>
    <w:rsid w:val="00307191"/>
    <w:rsid w:val="00313396"/>
    <w:rsid w:val="003155D7"/>
    <w:rsid w:val="00316515"/>
    <w:rsid w:val="00322298"/>
    <w:rsid w:val="00323F5E"/>
    <w:rsid w:val="0032633A"/>
    <w:rsid w:val="00331DC2"/>
    <w:rsid w:val="00333325"/>
    <w:rsid w:val="003348C6"/>
    <w:rsid w:val="00334F20"/>
    <w:rsid w:val="00335D42"/>
    <w:rsid w:val="00336667"/>
    <w:rsid w:val="00337009"/>
    <w:rsid w:val="00342015"/>
    <w:rsid w:val="00360697"/>
    <w:rsid w:val="00363165"/>
    <w:rsid w:val="00364832"/>
    <w:rsid w:val="00371BE5"/>
    <w:rsid w:val="00375DC6"/>
    <w:rsid w:val="00385391"/>
    <w:rsid w:val="00385FBC"/>
    <w:rsid w:val="003A14B0"/>
    <w:rsid w:val="003A20FB"/>
    <w:rsid w:val="003A3574"/>
    <w:rsid w:val="003A4F7A"/>
    <w:rsid w:val="003A5BC8"/>
    <w:rsid w:val="003B577B"/>
    <w:rsid w:val="003B6C23"/>
    <w:rsid w:val="003C415E"/>
    <w:rsid w:val="003C432D"/>
    <w:rsid w:val="003E6BDA"/>
    <w:rsid w:val="003F2048"/>
    <w:rsid w:val="003F37AE"/>
    <w:rsid w:val="003F4462"/>
    <w:rsid w:val="003F46D7"/>
    <w:rsid w:val="00405AEE"/>
    <w:rsid w:val="00406F88"/>
    <w:rsid w:val="004075F2"/>
    <w:rsid w:val="00412577"/>
    <w:rsid w:val="00412E0C"/>
    <w:rsid w:val="00413603"/>
    <w:rsid w:val="00413E2B"/>
    <w:rsid w:val="00416EA1"/>
    <w:rsid w:val="00417BE7"/>
    <w:rsid w:val="0042184A"/>
    <w:rsid w:val="004247F2"/>
    <w:rsid w:val="00425F53"/>
    <w:rsid w:val="00430AE1"/>
    <w:rsid w:val="00432B66"/>
    <w:rsid w:val="00440D4B"/>
    <w:rsid w:val="0044117D"/>
    <w:rsid w:val="0044361B"/>
    <w:rsid w:val="00443ADE"/>
    <w:rsid w:val="00444C8B"/>
    <w:rsid w:val="0045149D"/>
    <w:rsid w:val="00452A4C"/>
    <w:rsid w:val="00454072"/>
    <w:rsid w:val="00460F1A"/>
    <w:rsid w:val="00461E12"/>
    <w:rsid w:val="00475569"/>
    <w:rsid w:val="00475A8E"/>
    <w:rsid w:val="0048191C"/>
    <w:rsid w:val="004822F1"/>
    <w:rsid w:val="00482966"/>
    <w:rsid w:val="00483489"/>
    <w:rsid w:val="004854D5"/>
    <w:rsid w:val="0049074E"/>
    <w:rsid w:val="0049313B"/>
    <w:rsid w:val="0049365A"/>
    <w:rsid w:val="00496985"/>
    <w:rsid w:val="004A7A56"/>
    <w:rsid w:val="004B0696"/>
    <w:rsid w:val="004C2031"/>
    <w:rsid w:val="004C6A1E"/>
    <w:rsid w:val="004D12FE"/>
    <w:rsid w:val="004D3845"/>
    <w:rsid w:val="004D5403"/>
    <w:rsid w:val="004E581A"/>
    <w:rsid w:val="004F0167"/>
    <w:rsid w:val="004F66D5"/>
    <w:rsid w:val="00500DA0"/>
    <w:rsid w:val="005069D9"/>
    <w:rsid w:val="00514611"/>
    <w:rsid w:val="0051651C"/>
    <w:rsid w:val="005171E9"/>
    <w:rsid w:val="00534F0B"/>
    <w:rsid w:val="00540198"/>
    <w:rsid w:val="00547AC7"/>
    <w:rsid w:val="00551B4C"/>
    <w:rsid w:val="0055431B"/>
    <w:rsid w:val="005560EF"/>
    <w:rsid w:val="0057074A"/>
    <w:rsid w:val="005720E9"/>
    <w:rsid w:val="00574C09"/>
    <w:rsid w:val="005759EF"/>
    <w:rsid w:val="00581180"/>
    <w:rsid w:val="00587548"/>
    <w:rsid w:val="00587BF3"/>
    <w:rsid w:val="00595099"/>
    <w:rsid w:val="00596AD7"/>
    <w:rsid w:val="00597CDE"/>
    <w:rsid w:val="005A2F73"/>
    <w:rsid w:val="005B0DB3"/>
    <w:rsid w:val="005B118D"/>
    <w:rsid w:val="005B15C3"/>
    <w:rsid w:val="005B2DFF"/>
    <w:rsid w:val="005B6266"/>
    <w:rsid w:val="005B75C1"/>
    <w:rsid w:val="005C56A4"/>
    <w:rsid w:val="005C6C96"/>
    <w:rsid w:val="005D3007"/>
    <w:rsid w:val="005D4790"/>
    <w:rsid w:val="005E2259"/>
    <w:rsid w:val="005E230C"/>
    <w:rsid w:val="005E39CF"/>
    <w:rsid w:val="005E3D20"/>
    <w:rsid w:val="005E448E"/>
    <w:rsid w:val="005F49B3"/>
    <w:rsid w:val="005F653D"/>
    <w:rsid w:val="005F6B33"/>
    <w:rsid w:val="006036F8"/>
    <w:rsid w:val="00605316"/>
    <w:rsid w:val="0060557D"/>
    <w:rsid w:val="006077A9"/>
    <w:rsid w:val="00613E4D"/>
    <w:rsid w:val="00615A0C"/>
    <w:rsid w:val="006216B4"/>
    <w:rsid w:val="006350CE"/>
    <w:rsid w:val="006430C0"/>
    <w:rsid w:val="00644BB3"/>
    <w:rsid w:val="00646138"/>
    <w:rsid w:val="00650745"/>
    <w:rsid w:val="00651B9B"/>
    <w:rsid w:val="006531F2"/>
    <w:rsid w:val="00653433"/>
    <w:rsid w:val="00655236"/>
    <w:rsid w:val="00661BD9"/>
    <w:rsid w:val="006630FB"/>
    <w:rsid w:val="006710DC"/>
    <w:rsid w:val="00675035"/>
    <w:rsid w:val="00676987"/>
    <w:rsid w:val="00676C37"/>
    <w:rsid w:val="00677BC9"/>
    <w:rsid w:val="00683071"/>
    <w:rsid w:val="00686AFF"/>
    <w:rsid w:val="006876B6"/>
    <w:rsid w:val="00690FEC"/>
    <w:rsid w:val="00695299"/>
    <w:rsid w:val="00695533"/>
    <w:rsid w:val="006A1AA8"/>
    <w:rsid w:val="006A37E3"/>
    <w:rsid w:val="006A4649"/>
    <w:rsid w:val="006A6DDB"/>
    <w:rsid w:val="006A770C"/>
    <w:rsid w:val="006B0014"/>
    <w:rsid w:val="006B3D1D"/>
    <w:rsid w:val="006B67ED"/>
    <w:rsid w:val="006C196B"/>
    <w:rsid w:val="006C34F6"/>
    <w:rsid w:val="006C705A"/>
    <w:rsid w:val="006E0D13"/>
    <w:rsid w:val="006E25F1"/>
    <w:rsid w:val="006E4415"/>
    <w:rsid w:val="006E462C"/>
    <w:rsid w:val="006E4E6A"/>
    <w:rsid w:val="006F2787"/>
    <w:rsid w:val="006F40B5"/>
    <w:rsid w:val="00707C51"/>
    <w:rsid w:val="00713A5D"/>
    <w:rsid w:val="007173F3"/>
    <w:rsid w:val="00720FEF"/>
    <w:rsid w:val="0072221F"/>
    <w:rsid w:val="007240E6"/>
    <w:rsid w:val="007300BB"/>
    <w:rsid w:val="0073212D"/>
    <w:rsid w:val="00733746"/>
    <w:rsid w:val="00735EB8"/>
    <w:rsid w:val="00736CDA"/>
    <w:rsid w:val="00737291"/>
    <w:rsid w:val="00742BAE"/>
    <w:rsid w:val="00750CC1"/>
    <w:rsid w:val="00753AD4"/>
    <w:rsid w:val="00755484"/>
    <w:rsid w:val="00761713"/>
    <w:rsid w:val="00763002"/>
    <w:rsid w:val="007675A3"/>
    <w:rsid w:val="007679D5"/>
    <w:rsid w:val="00771E0F"/>
    <w:rsid w:val="007728D2"/>
    <w:rsid w:val="00773D8D"/>
    <w:rsid w:val="00774AB9"/>
    <w:rsid w:val="00775501"/>
    <w:rsid w:val="0078101C"/>
    <w:rsid w:val="00785866"/>
    <w:rsid w:val="007875AE"/>
    <w:rsid w:val="0078777C"/>
    <w:rsid w:val="00790BAD"/>
    <w:rsid w:val="007970E1"/>
    <w:rsid w:val="007A288E"/>
    <w:rsid w:val="007A53BB"/>
    <w:rsid w:val="007B2C1E"/>
    <w:rsid w:val="007B46F6"/>
    <w:rsid w:val="007B56E1"/>
    <w:rsid w:val="007B63CD"/>
    <w:rsid w:val="007B7FBF"/>
    <w:rsid w:val="007C373C"/>
    <w:rsid w:val="007C7D36"/>
    <w:rsid w:val="007D17B5"/>
    <w:rsid w:val="007D24A3"/>
    <w:rsid w:val="007E14BF"/>
    <w:rsid w:val="007E7B98"/>
    <w:rsid w:val="007F0BBF"/>
    <w:rsid w:val="007F672C"/>
    <w:rsid w:val="007F7556"/>
    <w:rsid w:val="007F7FED"/>
    <w:rsid w:val="0080634A"/>
    <w:rsid w:val="00806DFA"/>
    <w:rsid w:val="00821962"/>
    <w:rsid w:val="00822511"/>
    <w:rsid w:val="00827402"/>
    <w:rsid w:val="0083215B"/>
    <w:rsid w:val="008321DE"/>
    <w:rsid w:val="0083710F"/>
    <w:rsid w:val="00837200"/>
    <w:rsid w:val="00840547"/>
    <w:rsid w:val="0084332A"/>
    <w:rsid w:val="008465D6"/>
    <w:rsid w:val="00857559"/>
    <w:rsid w:val="00860899"/>
    <w:rsid w:val="00863BF8"/>
    <w:rsid w:val="00866025"/>
    <w:rsid w:val="0088233C"/>
    <w:rsid w:val="00894128"/>
    <w:rsid w:val="008A3877"/>
    <w:rsid w:val="008B1A58"/>
    <w:rsid w:val="008B1B71"/>
    <w:rsid w:val="008B2182"/>
    <w:rsid w:val="008C18AE"/>
    <w:rsid w:val="008C3603"/>
    <w:rsid w:val="008C45A5"/>
    <w:rsid w:val="008D34A8"/>
    <w:rsid w:val="008D4FD5"/>
    <w:rsid w:val="008E4705"/>
    <w:rsid w:val="008E5BBF"/>
    <w:rsid w:val="008E6813"/>
    <w:rsid w:val="008E7AC8"/>
    <w:rsid w:val="008F2EA2"/>
    <w:rsid w:val="009007B6"/>
    <w:rsid w:val="00901159"/>
    <w:rsid w:val="009026AA"/>
    <w:rsid w:val="00904AFB"/>
    <w:rsid w:val="00906597"/>
    <w:rsid w:val="00911000"/>
    <w:rsid w:val="00911F9D"/>
    <w:rsid w:val="00914972"/>
    <w:rsid w:val="009155B3"/>
    <w:rsid w:val="00916812"/>
    <w:rsid w:val="00916FDE"/>
    <w:rsid w:val="009202FE"/>
    <w:rsid w:val="009227A6"/>
    <w:rsid w:val="00923678"/>
    <w:rsid w:val="009263C3"/>
    <w:rsid w:val="00926EAA"/>
    <w:rsid w:val="0093492C"/>
    <w:rsid w:val="0093762E"/>
    <w:rsid w:val="00940B57"/>
    <w:rsid w:val="00941562"/>
    <w:rsid w:val="0094414A"/>
    <w:rsid w:val="00944BDE"/>
    <w:rsid w:val="0094618C"/>
    <w:rsid w:val="00947466"/>
    <w:rsid w:val="0095576C"/>
    <w:rsid w:val="00961E27"/>
    <w:rsid w:val="00971C33"/>
    <w:rsid w:val="009727CD"/>
    <w:rsid w:val="009732B6"/>
    <w:rsid w:val="00974554"/>
    <w:rsid w:val="00976D15"/>
    <w:rsid w:val="00977E1A"/>
    <w:rsid w:val="009838D5"/>
    <w:rsid w:val="009858F3"/>
    <w:rsid w:val="00986DBF"/>
    <w:rsid w:val="00987290"/>
    <w:rsid w:val="00993535"/>
    <w:rsid w:val="009950C9"/>
    <w:rsid w:val="009A269B"/>
    <w:rsid w:val="009A33C1"/>
    <w:rsid w:val="009A79F1"/>
    <w:rsid w:val="009B099B"/>
    <w:rsid w:val="009B2BC9"/>
    <w:rsid w:val="009B36AA"/>
    <w:rsid w:val="009B4C31"/>
    <w:rsid w:val="009C133F"/>
    <w:rsid w:val="009D57DB"/>
    <w:rsid w:val="009E1EF1"/>
    <w:rsid w:val="009F13C6"/>
    <w:rsid w:val="009F22F0"/>
    <w:rsid w:val="009F43A4"/>
    <w:rsid w:val="009F5E83"/>
    <w:rsid w:val="009F6A13"/>
    <w:rsid w:val="00A01777"/>
    <w:rsid w:val="00A06E43"/>
    <w:rsid w:val="00A07432"/>
    <w:rsid w:val="00A12932"/>
    <w:rsid w:val="00A13793"/>
    <w:rsid w:val="00A156AE"/>
    <w:rsid w:val="00A15E04"/>
    <w:rsid w:val="00A165EA"/>
    <w:rsid w:val="00A16888"/>
    <w:rsid w:val="00A22388"/>
    <w:rsid w:val="00A24B93"/>
    <w:rsid w:val="00A337E6"/>
    <w:rsid w:val="00A34F55"/>
    <w:rsid w:val="00A3600A"/>
    <w:rsid w:val="00A43F9C"/>
    <w:rsid w:val="00A4634B"/>
    <w:rsid w:val="00A52FDF"/>
    <w:rsid w:val="00A54C36"/>
    <w:rsid w:val="00A56BC1"/>
    <w:rsid w:val="00A600CF"/>
    <w:rsid w:val="00A6155A"/>
    <w:rsid w:val="00A62353"/>
    <w:rsid w:val="00A62975"/>
    <w:rsid w:val="00A63F51"/>
    <w:rsid w:val="00A75EF4"/>
    <w:rsid w:val="00A77551"/>
    <w:rsid w:val="00A9010C"/>
    <w:rsid w:val="00A901C5"/>
    <w:rsid w:val="00AA175A"/>
    <w:rsid w:val="00AA663B"/>
    <w:rsid w:val="00AB0FC0"/>
    <w:rsid w:val="00AB1510"/>
    <w:rsid w:val="00AB2A0E"/>
    <w:rsid w:val="00AB2DE7"/>
    <w:rsid w:val="00AB4CA7"/>
    <w:rsid w:val="00AB636E"/>
    <w:rsid w:val="00AB6798"/>
    <w:rsid w:val="00AC1C80"/>
    <w:rsid w:val="00AC6FC7"/>
    <w:rsid w:val="00AD49F8"/>
    <w:rsid w:val="00AE1E5D"/>
    <w:rsid w:val="00AE2CBF"/>
    <w:rsid w:val="00AE4E9C"/>
    <w:rsid w:val="00AF1688"/>
    <w:rsid w:val="00AF3194"/>
    <w:rsid w:val="00B10A75"/>
    <w:rsid w:val="00B11DEB"/>
    <w:rsid w:val="00B120C9"/>
    <w:rsid w:val="00B20170"/>
    <w:rsid w:val="00B21489"/>
    <w:rsid w:val="00B22495"/>
    <w:rsid w:val="00B244B7"/>
    <w:rsid w:val="00B256A7"/>
    <w:rsid w:val="00B3097A"/>
    <w:rsid w:val="00B309C9"/>
    <w:rsid w:val="00B3106B"/>
    <w:rsid w:val="00B404D0"/>
    <w:rsid w:val="00B42F35"/>
    <w:rsid w:val="00B44F10"/>
    <w:rsid w:val="00B50E11"/>
    <w:rsid w:val="00B51CEC"/>
    <w:rsid w:val="00B64D36"/>
    <w:rsid w:val="00B70181"/>
    <w:rsid w:val="00B73443"/>
    <w:rsid w:val="00B8347D"/>
    <w:rsid w:val="00B84C51"/>
    <w:rsid w:val="00B862D2"/>
    <w:rsid w:val="00B908DF"/>
    <w:rsid w:val="00B92A41"/>
    <w:rsid w:val="00B9551D"/>
    <w:rsid w:val="00B95693"/>
    <w:rsid w:val="00B95E84"/>
    <w:rsid w:val="00B97924"/>
    <w:rsid w:val="00BA1F62"/>
    <w:rsid w:val="00BB0BE0"/>
    <w:rsid w:val="00BB3F9A"/>
    <w:rsid w:val="00BC6449"/>
    <w:rsid w:val="00BD2454"/>
    <w:rsid w:val="00BE6555"/>
    <w:rsid w:val="00BF09B4"/>
    <w:rsid w:val="00BF35B1"/>
    <w:rsid w:val="00C04C43"/>
    <w:rsid w:val="00C05949"/>
    <w:rsid w:val="00C11D38"/>
    <w:rsid w:val="00C21CBB"/>
    <w:rsid w:val="00C24CCA"/>
    <w:rsid w:val="00C31981"/>
    <w:rsid w:val="00C33AAD"/>
    <w:rsid w:val="00C4185B"/>
    <w:rsid w:val="00C45291"/>
    <w:rsid w:val="00C519B2"/>
    <w:rsid w:val="00C52737"/>
    <w:rsid w:val="00C53B19"/>
    <w:rsid w:val="00C5727B"/>
    <w:rsid w:val="00C63FFA"/>
    <w:rsid w:val="00C64B6A"/>
    <w:rsid w:val="00C72A6C"/>
    <w:rsid w:val="00C7361A"/>
    <w:rsid w:val="00C7460D"/>
    <w:rsid w:val="00C82CFB"/>
    <w:rsid w:val="00C841A1"/>
    <w:rsid w:val="00C8430A"/>
    <w:rsid w:val="00C9262D"/>
    <w:rsid w:val="00CA2847"/>
    <w:rsid w:val="00CA6C2A"/>
    <w:rsid w:val="00CA6F4A"/>
    <w:rsid w:val="00CB0076"/>
    <w:rsid w:val="00CB2381"/>
    <w:rsid w:val="00CB2439"/>
    <w:rsid w:val="00CB6F8A"/>
    <w:rsid w:val="00CB79DD"/>
    <w:rsid w:val="00CC3AB3"/>
    <w:rsid w:val="00CC77EF"/>
    <w:rsid w:val="00CD1BDD"/>
    <w:rsid w:val="00CD292A"/>
    <w:rsid w:val="00CD7E1C"/>
    <w:rsid w:val="00CE09E5"/>
    <w:rsid w:val="00CE0CC7"/>
    <w:rsid w:val="00CE30E0"/>
    <w:rsid w:val="00CE3BED"/>
    <w:rsid w:val="00CE6E59"/>
    <w:rsid w:val="00CF05BE"/>
    <w:rsid w:val="00CF2821"/>
    <w:rsid w:val="00CF796A"/>
    <w:rsid w:val="00CF7D86"/>
    <w:rsid w:val="00CF7D99"/>
    <w:rsid w:val="00D00B2E"/>
    <w:rsid w:val="00D026E5"/>
    <w:rsid w:val="00D0642F"/>
    <w:rsid w:val="00D1542D"/>
    <w:rsid w:val="00D16120"/>
    <w:rsid w:val="00D16320"/>
    <w:rsid w:val="00D2145B"/>
    <w:rsid w:val="00D23AB6"/>
    <w:rsid w:val="00D2698D"/>
    <w:rsid w:val="00D31928"/>
    <w:rsid w:val="00D344C1"/>
    <w:rsid w:val="00D42295"/>
    <w:rsid w:val="00D42B06"/>
    <w:rsid w:val="00D523A1"/>
    <w:rsid w:val="00D526DF"/>
    <w:rsid w:val="00D5446D"/>
    <w:rsid w:val="00D61362"/>
    <w:rsid w:val="00D77C76"/>
    <w:rsid w:val="00D91BA3"/>
    <w:rsid w:val="00D9200F"/>
    <w:rsid w:val="00DA44A9"/>
    <w:rsid w:val="00DA7A8D"/>
    <w:rsid w:val="00DB19FF"/>
    <w:rsid w:val="00DB4529"/>
    <w:rsid w:val="00DB4A9F"/>
    <w:rsid w:val="00DC0738"/>
    <w:rsid w:val="00DC0C06"/>
    <w:rsid w:val="00DC73E8"/>
    <w:rsid w:val="00DC7BB6"/>
    <w:rsid w:val="00DD0D2F"/>
    <w:rsid w:val="00DD35F7"/>
    <w:rsid w:val="00DD4D3D"/>
    <w:rsid w:val="00DD4D6C"/>
    <w:rsid w:val="00DE0282"/>
    <w:rsid w:val="00DE1587"/>
    <w:rsid w:val="00DE39D7"/>
    <w:rsid w:val="00DF0D64"/>
    <w:rsid w:val="00DF1032"/>
    <w:rsid w:val="00DF4D83"/>
    <w:rsid w:val="00DF604F"/>
    <w:rsid w:val="00DF76AF"/>
    <w:rsid w:val="00E01835"/>
    <w:rsid w:val="00E02EAF"/>
    <w:rsid w:val="00E03204"/>
    <w:rsid w:val="00E03B46"/>
    <w:rsid w:val="00E067A2"/>
    <w:rsid w:val="00E077DF"/>
    <w:rsid w:val="00E07A72"/>
    <w:rsid w:val="00E15BCC"/>
    <w:rsid w:val="00E3052B"/>
    <w:rsid w:val="00E31629"/>
    <w:rsid w:val="00E31A36"/>
    <w:rsid w:val="00E43F8E"/>
    <w:rsid w:val="00E45186"/>
    <w:rsid w:val="00E50554"/>
    <w:rsid w:val="00E507F0"/>
    <w:rsid w:val="00E51144"/>
    <w:rsid w:val="00E513AE"/>
    <w:rsid w:val="00E55848"/>
    <w:rsid w:val="00E63F2E"/>
    <w:rsid w:val="00E65FD4"/>
    <w:rsid w:val="00E7210A"/>
    <w:rsid w:val="00E72A79"/>
    <w:rsid w:val="00E74C41"/>
    <w:rsid w:val="00E802B6"/>
    <w:rsid w:val="00E82E00"/>
    <w:rsid w:val="00E8500B"/>
    <w:rsid w:val="00E8695C"/>
    <w:rsid w:val="00E86AD4"/>
    <w:rsid w:val="00E904E4"/>
    <w:rsid w:val="00E932B5"/>
    <w:rsid w:val="00E94C86"/>
    <w:rsid w:val="00E95904"/>
    <w:rsid w:val="00E972D3"/>
    <w:rsid w:val="00EA1D75"/>
    <w:rsid w:val="00EB239A"/>
    <w:rsid w:val="00EB6D92"/>
    <w:rsid w:val="00EC6120"/>
    <w:rsid w:val="00EC7937"/>
    <w:rsid w:val="00EC7C52"/>
    <w:rsid w:val="00ED011F"/>
    <w:rsid w:val="00ED23AA"/>
    <w:rsid w:val="00ED58E4"/>
    <w:rsid w:val="00ED68B8"/>
    <w:rsid w:val="00EE0738"/>
    <w:rsid w:val="00EE0DBB"/>
    <w:rsid w:val="00EE45BF"/>
    <w:rsid w:val="00EE7699"/>
    <w:rsid w:val="00EE7C9E"/>
    <w:rsid w:val="00EF0C48"/>
    <w:rsid w:val="00EF46E6"/>
    <w:rsid w:val="00EF5F44"/>
    <w:rsid w:val="00EF626F"/>
    <w:rsid w:val="00F00B18"/>
    <w:rsid w:val="00F00D28"/>
    <w:rsid w:val="00F07943"/>
    <w:rsid w:val="00F12440"/>
    <w:rsid w:val="00F142DB"/>
    <w:rsid w:val="00F16056"/>
    <w:rsid w:val="00F21520"/>
    <w:rsid w:val="00F25D67"/>
    <w:rsid w:val="00F26354"/>
    <w:rsid w:val="00F31571"/>
    <w:rsid w:val="00F3578B"/>
    <w:rsid w:val="00F43A15"/>
    <w:rsid w:val="00F43C52"/>
    <w:rsid w:val="00F44185"/>
    <w:rsid w:val="00F46C68"/>
    <w:rsid w:val="00F471C4"/>
    <w:rsid w:val="00F53553"/>
    <w:rsid w:val="00F5420B"/>
    <w:rsid w:val="00F55C9B"/>
    <w:rsid w:val="00F56324"/>
    <w:rsid w:val="00F57032"/>
    <w:rsid w:val="00F63187"/>
    <w:rsid w:val="00F655FD"/>
    <w:rsid w:val="00F71C68"/>
    <w:rsid w:val="00F71DD4"/>
    <w:rsid w:val="00F74042"/>
    <w:rsid w:val="00F85632"/>
    <w:rsid w:val="00F87163"/>
    <w:rsid w:val="00F90936"/>
    <w:rsid w:val="00F93BA4"/>
    <w:rsid w:val="00F95B0D"/>
    <w:rsid w:val="00F96145"/>
    <w:rsid w:val="00F97E13"/>
    <w:rsid w:val="00FC01F2"/>
    <w:rsid w:val="00FC0385"/>
    <w:rsid w:val="00FC5ACE"/>
    <w:rsid w:val="00FC76E7"/>
    <w:rsid w:val="00FD07EE"/>
    <w:rsid w:val="00FD36CE"/>
    <w:rsid w:val="00FD48A0"/>
    <w:rsid w:val="00FD653B"/>
    <w:rsid w:val="00FE07D3"/>
    <w:rsid w:val="00FE53D2"/>
    <w:rsid w:val="00FF07BC"/>
    <w:rsid w:val="00FF1218"/>
    <w:rsid w:val="00FF6376"/>
    <w:rsid w:val="00FF68C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customStyle="1" w:styleId="LegalMAINHEADING">
    <w:name w:val="Legal_MAINHEADING"/>
    <w:basedOn w:val="Normal"/>
    <w:next w:val="Normal"/>
    <w:semiHidden/>
    <w:rsid w:val="001D7244"/>
    <w:pPr>
      <w:keepNext/>
      <w:suppressAutoHyphens/>
      <w:spacing w:before="480" w:after="360" w:line="480" w:lineRule="auto"/>
      <w:jc w:val="both"/>
    </w:pPr>
    <w:rPr>
      <w:rFonts w:ascii="Arial" w:eastAsia="Times New Roman" w:hAnsi="Arial" w:cs="Times New Roman"/>
      <w:b/>
      <w:caps/>
      <w:lang w:val="en-GB" w:eastAsia="en-GB"/>
    </w:rPr>
  </w:style>
  <w:style w:type="paragraph" w:customStyle="1" w:styleId="LegalTramLines">
    <w:name w:val="Legal_TramLines"/>
    <w:basedOn w:val="Normal"/>
    <w:next w:val="Normal"/>
    <w:semiHidden/>
    <w:rsid w:val="001D7244"/>
    <w:pPr>
      <w:pBdr>
        <w:top w:val="single" w:sz="4" w:space="18" w:color="auto"/>
        <w:bottom w:val="single" w:sz="4" w:space="18" w:color="auto"/>
      </w:pBdr>
      <w:suppressAutoHyphens/>
      <w:spacing w:after="480"/>
      <w:jc w:val="center"/>
    </w:pPr>
    <w:rPr>
      <w:rFonts w:ascii="Arial Bold" w:eastAsia="Times New Roman" w:hAnsi="Arial Bold" w:cs="Times New Roman"/>
      <w:b/>
      <w:lang w:val="en-GB" w:eastAsia="en-GB"/>
    </w:rPr>
  </w:style>
  <w:style w:type="paragraph" w:styleId="Revision">
    <w:name w:val="Revision"/>
    <w:hidden/>
    <w:uiPriority w:val="99"/>
    <w:semiHidden/>
    <w:rsid w:val="00F0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91F0F6-DED9-4D20-8AD6-41991DF5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4620</Words>
  <Characters>26334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Millar</dc:creator>
  <cp:lastModifiedBy>Lilitha Mdleleni</cp:lastModifiedBy>
  <cp:revision>5</cp:revision>
  <cp:lastPrinted>2023-11-14T07:38:00Z</cp:lastPrinted>
  <dcterms:created xsi:type="dcterms:W3CDTF">2023-11-14T07:21:00Z</dcterms:created>
  <dcterms:modified xsi:type="dcterms:W3CDTF">2023-11-27T12:39:00Z</dcterms:modified>
</cp:coreProperties>
</file>