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522" w:rsidRPr="000C7880" w:rsidRDefault="00E85522" w:rsidP="00E85522">
      <w:pPr>
        <w:rPr>
          <w:rFonts w:ascii="Times New Roman" w:hAnsi="Times New Roman" w:cs="Times New Roman"/>
          <w:sz w:val="28"/>
          <w:szCs w:val="28"/>
        </w:rPr>
      </w:pPr>
      <w:r w:rsidRPr="000C7880">
        <w:rPr>
          <w:rFonts w:ascii="Times New Roman" w:hAnsi="Times New Roman" w:cs="Times New Roman"/>
          <w:noProof/>
          <w:color w:val="000000" w:themeColor="text1"/>
          <w:sz w:val="28"/>
          <w:szCs w:val="28"/>
          <w:lang w:eastAsia="en-ZA"/>
        </w:rPr>
        <w:drawing>
          <wp:anchor distT="0" distB="0" distL="114300" distR="114300" simplePos="0" relativeHeight="251659264" behindDoc="0" locked="0" layoutInCell="1" allowOverlap="1" wp14:anchorId="3A653D40" wp14:editId="58EB98D0">
            <wp:simplePos x="0" y="0"/>
            <wp:positionH relativeFrom="column">
              <wp:posOffset>2295525</wp:posOffset>
            </wp:positionH>
            <wp:positionV relativeFrom="paragraph">
              <wp:posOffset>52705</wp:posOffset>
            </wp:positionV>
            <wp:extent cx="1247775" cy="1247775"/>
            <wp:effectExtent l="0" t="0" r="9525" b="9525"/>
            <wp:wrapSquare wrapText="bothSides"/>
            <wp:docPr id="1"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anchor>
        </w:drawing>
      </w:r>
    </w:p>
    <w:p w:rsidR="00E85522" w:rsidRPr="000C7880" w:rsidRDefault="00E85522" w:rsidP="00E85522">
      <w:pPr>
        <w:tabs>
          <w:tab w:val="left" w:pos="2415"/>
        </w:tabs>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p>
    <w:p w:rsidR="00E85522" w:rsidRPr="000C7880" w:rsidRDefault="00E85522" w:rsidP="00E85522">
      <w:pPr>
        <w:spacing w:after="0"/>
        <w:rPr>
          <w:rFonts w:ascii="Times New Roman" w:hAnsi="Times New Roman" w:cs="Times New Roman"/>
          <w:color w:val="000000" w:themeColor="text1"/>
          <w:sz w:val="28"/>
          <w:szCs w:val="28"/>
        </w:rPr>
      </w:pPr>
    </w:p>
    <w:p w:rsidR="00E85522" w:rsidRPr="000C7880" w:rsidRDefault="00E85522" w:rsidP="00E85522">
      <w:pPr>
        <w:spacing w:after="0"/>
        <w:rPr>
          <w:rFonts w:ascii="Times New Roman" w:hAnsi="Times New Roman" w:cs="Times New Roman"/>
          <w:b/>
          <w:color w:val="000000" w:themeColor="text1"/>
          <w:sz w:val="28"/>
          <w:szCs w:val="28"/>
        </w:rPr>
      </w:pPr>
      <w:r w:rsidRPr="000C788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0C7880">
        <w:rPr>
          <w:rFonts w:ascii="Times New Roman" w:hAnsi="Times New Roman" w:cs="Times New Roman"/>
          <w:b/>
          <w:color w:val="000000" w:themeColor="text1"/>
          <w:sz w:val="28"/>
          <w:szCs w:val="28"/>
        </w:rPr>
        <w:t>HIGH COURT OF SOUTH AFRICA</w:t>
      </w:r>
    </w:p>
    <w:p w:rsidR="00E85522" w:rsidRPr="00D72A63" w:rsidRDefault="00E85522" w:rsidP="00D72A63">
      <w:pPr>
        <w:tabs>
          <w:tab w:val="center" w:pos="4513"/>
          <w:tab w:val="left" w:pos="7826"/>
        </w:tabs>
        <w:spacing w:after="120"/>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 xml:space="preserve">                             </w:t>
      </w:r>
      <w:r w:rsidRPr="000C7880">
        <w:rPr>
          <w:rFonts w:ascii="Times New Roman" w:hAnsi="Times New Roman" w:cs="Times New Roman"/>
          <w:b/>
          <w:color w:val="000000" w:themeColor="text1"/>
          <w:sz w:val="28"/>
          <w:szCs w:val="28"/>
        </w:rPr>
        <w:t>(GAUTENG DIVISION, PRETORIA)</w:t>
      </w:r>
      <w:r>
        <w:rPr>
          <w:rFonts w:ascii="Times New Roman" w:hAnsi="Times New Roman" w:cs="Times New Roman"/>
          <w:b/>
          <w:color w:val="000000" w:themeColor="text1"/>
          <w:sz w:val="28"/>
          <w:szCs w:val="28"/>
        </w:rPr>
        <w:tab/>
      </w:r>
      <w:r>
        <w:rPr>
          <w:rFonts w:ascii="Times New Roman" w:hAnsi="Times New Roman" w:cs="Times New Roman"/>
          <w:b/>
          <w:color w:val="000000" w:themeColor="text1"/>
          <w:sz w:val="28"/>
          <w:szCs w:val="28"/>
        </w:rPr>
        <w:tab/>
      </w:r>
      <w:r w:rsidRPr="000C7880">
        <w:rPr>
          <w:rFonts w:ascii="Times New Roman" w:hAnsi="Times New Roman" w:cs="Times New Roman"/>
          <w:b/>
          <w:color w:val="000000" w:themeColor="text1"/>
          <w:sz w:val="28"/>
          <w:szCs w:val="28"/>
          <w:highlight w:val="yellow"/>
        </w:rPr>
        <w:t xml:space="preserve">                                                                    </w:t>
      </w:r>
    </w:p>
    <w:p w:rsidR="00AC3D9A" w:rsidRDefault="00D72A63" w:rsidP="00E85522">
      <w:pPr>
        <w:spacing w:after="240"/>
        <w:ind w:right="-46"/>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 xml:space="preserve">                   </w:t>
      </w:r>
      <w:r w:rsidR="0015347A">
        <w:rPr>
          <w:rFonts w:ascii="Times New Roman" w:hAnsi="Times New Roman" w:cs="Times New Roman"/>
          <w:b/>
          <w:color w:val="000000" w:themeColor="text1"/>
          <w:sz w:val="28"/>
          <w:szCs w:val="28"/>
        </w:rPr>
        <w:tab/>
        <w:t xml:space="preserve">       </w:t>
      </w:r>
      <w:r w:rsidR="001B1CE7">
        <w:rPr>
          <w:rFonts w:ascii="Times New Roman" w:hAnsi="Times New Roman" w:cs="Times New Roman"/>
          <w:b/>
          <w:color w:val="000000" w:themeColor="text1"/>
          <w:sz w:val="28"/>
          <w:szCs w:val="28"/>
        </w:rPr>
        <w:t xml:space="preserve"> </w:t>
      </w:r>
      <w:r w:rsidR="00E85522">
        <w:rPr>
          <w:rFonts w:ascii="Times New Roman" w:hAnsi="Times New Roman" w:cs="Times New Roman"/>
          <w:b/>
          <w:color w:val="000000" w:themeColor="text1"/>
          <w:sz w:val="28"/>
          <w:szCs w:val="28"/>
        </w:rPr>
        <w:t>CASE NO:</w:t>
      </w:r>
      <w:r w:rsidR="004E0A01">
        <w:rPr>
          <w:rFonts w:ascii="Times New Roman" w:hAnsi="Times New Roman" w:cs="Times New Roman"/>
          <w:b/>
          <w:color w:val="000000" w:themeColor="text1"/>
          <w:sz w:val="28"/>
          <w:szCs w:val="28"/>
        </w:rPr>
        <w:t xml:space="preserve"> </w:t>
      </w:r>
      <w:r w:rsidR="001A6AB6">
        <w:rPr>
          <w:rFonts w:ascii="Times New Roman" w:hAnsi="Times New Roman" w:cs="Times New Roman"/>
          <w:b/>
          <w:color w:val="000000" w:themeColor="text1"/>
          <w:sz w:val="28"/>
          <w:szCs w:val="28"/>
        </w:rPr>
        <w:t>37766/2021</w:t>
      </w:r>
    </w:p>
    <w:tbl>
      <w:tblPr>
        <w:tblpPr w:leftFromText="180" w:rightFromText="180" w:vertAnchor="text" w:horzAnchor="margin" w:tblpXSpec="right"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tblGrid>
      <w:tr w:rsidR="00D72A63" w:rsidRPr="00D72A63" w:rsidTr="00C53475">
        <w:tc>
          <w:tcPr>
            <w:tcW w:w="4428" w:type="dxa"/>
          </w:tcPr>
          <w:p w:rsidR="00D72A63" w:rsidRPr="00D72A63" w:rsidRDefault="00016BC0" w:rsidP="00D72A63">
            <w:pPr>
              <w:spacing w:after="0"/>
              <w:jc w:val="left"/>
              <w:rPr>
                <w:rFonts w:ascii="Times New Roman" w:eastAsia="Calibri" w:hAnsi="Times New Roman" w:cs="Arial"/>
                <w:b/>
                <w:spacing w:val="3"/>
                <w:w w:val="104"/>
                <w:kern w:val="24"/>
                <w:sz w:val="18"/>
                <w:szCs w:val="18"/>
                <w:lang w:val="en-GB"/>
              </w:rPr>
            </w:pPr>
            <w:bookmarkStart w:id="0" w:name="OLE_LINK1"/>
            <w:bookmarkStart w:id="1" w:name="OLE_LINK2"/>
            <w:bookmarkStart w:id="2" w:name="OLE_LINK3"/>
            <w:bookmarkStart w:id="3" w:name="OLE_LINK4"/>
            <w:r>
              <w:rPr>
                <w:rFonts w:ascii="Times New Roman" w:eastAsia="Calibri" w:hAnsi="Times New Roman" w:cs="Arial"/>
                <w:b/>
                <w:spacing w:val="3"/>
                <w:w w:val="104"/>
                <w:kern w:val="24"/>
                <w:sz w:val="18"/>
                <w:szCs w:val="18"/>
                <w:lang w:val="en-GB"/>
              </w:rPr>
              <w:t xml:space="preserve">(1) REPORTABLE: </w:t>
            </w:r>
            <w:r w:rsidR="00D72A63" w:rsidRPr="00D72A63">
              <w:rPr>
                <w:rFonts w:ascii="Times New Roman" w:eastAsia="Calibri" w:hAnsi="Times New Roman" w:cs="Arial"/>
                <w:b/>
                <w:spacing w:val="3"/>
                <w:w w:val="104"/>
                <w:kern w:val="24"/>
                <w:sz w:val="18"/>
                <w:szCs w:val="18"/>
                <w:lang w:val="en-GB"/>
              </w:rPr>
              <w:t xml:space="preserve"> NO.</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(2) OF INTE</w:t>
            </w:r>
            <w:r w:rsidR="00016BC0">
              <w:rPr>
                <w:rFonts w:ascii="Times New Roman" w:eastAsia="Calibri" w:hAnsi="Times New Roman" w:cs="Arial"/>
                <w:b/>
                <w:spacing w:val="3"/>
                <w:w w:val="104"/>
                <w:kern w:val="24"/>
                <w:sz w:val="18"/>
                <w:szCs w:val="18"/>
                <w:lang w:val="en-GB"/>
              </w:rPr>
              <w:t xml:space="preserve">REST TO OTHER JUDGES:  </w:t>
            </w:r>
            <w:r w:rsidR="00D15B69">
              <w:rPr>
                <w:rFonts w:ascii="Times New Roman" w:eastAsia="Calibri" w:hAnsi="Times New Roman" w:cs="Arial"/>
                <w:b/>
                <w:spacing w:val="3"/>
                <w:w w:val="104"/>
                <w:kern w:val="24"/>
                <w:sz w:val="18"/>
                <w:szCs w:val="18"/>
                <w:lang w:val="en-GB"/>
              </w:rPr>
              <w:t>NO</w:t>
            </w:r>
            <w:r w:rsidR="00016BC0">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(3) REVISED.</w:t>
            </w:r>
          </w:p>
          <w:p w:rsidR="00E82EE6" w:rsidRDefault="006122C4"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u w:val="single"/>
                <w:lang w:val="en-GB"/>
              </w:rPr>
              <w:t>DATE</w:t>
            </w:r>
            <w:r w:rsidR="002B0B14" w:rsidRPr="002B0B14">
              <w:rPr>
                <w:rFonts w:ascii="Times New Roman" w:eastAsia="Calibri" w:hAnsi="Times New Roman" w:cs="Arial"/>
                <w:b/>
                <w:spacing w:val="3"/>
                <w:w w:val="104"/>
                <w:kern w:val="24"/>
                <w:sz w:val="18"/>
                <w:szCs w:val="18"/>
                <w:lang w:val="en-GB"/>
              </w:rPr>
              <w:t>:</w:t>
            </w:r>
            <w:r w:rsidR="00F95F12">
              <w:rPr>
                <w:rFonts w:ascii="Times New Roman" w:eastAsia="Calibri" w:hAnsi="Times New Roman" w:cs="Arial"/>
                <w:b/>
                <w:spacing w:val="3"/>
                <w:w w:val="104"/>
                <w:kern w:val="24"/>
                <w:sz w:val="18"/>
                <w:szCs w:val="18"/>
                <w:lang w:val="en-GB"/>
              </w:rPr>
              <w:t xml:space="preserve"> </w:t>
            </w:r>
            <w:r w:rsidR="007D0BBF">
              <w:rPr>
                <w:rFonts w:ascii="Times New Roman" w:eastAsia="Calibri" w:hAnsi="Times New Roman" w:cs="Arial"/>
                <w:b/>
                <w:spacing w:val="3"/>
                <w:w w:val="104"/>
                <w:kern w:val="24"/>
                <w:sz w:val="18"/>
                <w:szCs w:val="18"/>
                <w:lang w:val="en-GB"/>
              </w:rPr>
              <w:t>13 DECEMBER 2023</w:t>
            </w:r>
          </w:p>
          <w:p w:rsidR="00D72A63" w:rsidRPr="00D72A63" w:rsidRDefault="00D72A63" w:rsidP="00D72A63">
            <w:pPr>
              <w:spacing w:after="0"/>
              <w:jc w:val="left"/>
              <w:rPr>
                <w:rFonts w:ascii="Times New Roman" w:eastAsia="Calibri" w:hAnsi="Times New Roman" w:cs="Arial"/>
                <w:b/>
                <w:spacing w:val="3"/>
                <w:w w:val="104"/>
                <w:kern w:val="24"/>
                <w:sz w:val="18"/>
                <w:szCs w:val="18"/>
                <w:lang w:val="en-GB"/>
              </w:rPr>
            </w:pPr>
            <w:r w:rsidRPr="00D72A63">
              <w:rPr>
                <w:rFonts w:ascii="Times New Roman" w:eastAsia="Calibri" w:hAnsi="Times New Roman" w:cs="Arial"/>
                <w:b/>
                <w:spacing w:val="3"/>
                <w:w w:val="104"/>
                <w:kern w:val="24"/>
                <w:sz w:val="18"/>
                <w:szCs w:val="18"/>
                <w:lang w:val="en-GB"/>
              </w:rPr>
              <w:t xml:space="preserve">                      </w:t>
            </w:r>
          </w:p>
          <w:p w:rsidR="00D72A63" w:rsidRPr="00D72A63" w:rsidRDefault="00D72A63" w:rsidP="00D72A63">
            <w:pPr>
              <w:spacing w:after="0"/>
              <w:jc w:val="left"/>
              <w:rPr>
                <w:rFonts w:ascii="Times New Roman" w:eastAsia="Calibri" w:hAnsi="Times New Roman" w:cs="Arial"/>
                <w:b/>
                <w:spacing w:val="3"/>
                <w:w w:val="104"/>
                <w:kern w:val="24"/>
                <w:sz w:val="18"/>
                <w:szCs w:val="18"/>
                <w:u w:val="single"/>
                <w:lang w:val="en-GB"/>
              </w:rPr>
            </w:pPr>
            <w:r w:rsidRPr="00D72A63">
              <w:rPr>
                <w:rFonts w:ascii="Times New Roman" w:eastAsia="Calibri" w:hAnsi="Times New Roman" w:cs="Arial"/>
                <w:b/>
                <w:spacing w:val="3"/>
                <w:w w:val="104"/>
                <w:kern w:val="24"/>
                <w:sz w:val="18"/>
                <w:szCs w:val="18"/>
                <w:u w:val="single"/>
                <w:lang w:val="en-GB"/>
              </w:rPr>
              <w:t>SIGNATURE</w:t>
            </w:r>
            <w:r w:rsidR="009461F2">
              <w:rPr>
                <w:rFonts w:ascii="Times New Roman" w:eastAsia="Calibri" w:hAnsi="Times New Roman" w:cs="Arial"/>
                <w:b/>
                <w:spacing w:val="3"/>
                <w:w w:val="104"/>
                <w:kern w:val="24"/>
                <w:sz w:val="18"/>
                <w:szCs w:val="18"/>
                <w:u w:val="single"/>
                <w:lang w:val="en-GB"/>
              </w:rPr>
              <w:t xml:space="preserve">  </w:t>
            </w:r>
          </w:p>
        </w:tc>
      </w:tr>
      <w:bookmarkEnd w:id="0"/>
      <w:bookmarkEnd w:id="1"/>
      <w:bookmarkEnd w:id="2"/>
      <w:bookmarkEnd w:id="3"/>
    </w:tbl>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D72A63">
      <w:pPr>
        <w:spacing w:after="240"/>
        <w:ind w:right="-46"/>
        <w:jc w:val="right"/>
        <w:rPr>
          <w:rFonts w:ascii="Times New Roman" w:hAnsi="Times New Roman" w:cs="Times New Roman"/>
          <w:b/>
          <w:color w:val="000000" w:themeColor="text1"/>
          <w:sz w:val="28"/>
          <w:szCs w:val="28"/>
        </w:rPr>
      </w:pPr>
    </w:p>
    <w:p w:rsidR="00D72A63" w:rsidRDefault="00D72A63" w:rsidP="00E85522">
      <w:pPr>
        <w:spacing w:after="240"/>
        <w:ind w:right="-46"/>
        <w:rPr>
          <w:rFonts w:ascii="Times New Roman" w:hAnsi="Times New Roman" w:cs="Times New Roman"/>
          <w:b/>
          <w:color w:val="000000" w:themeColor="text1"/>
          <w:sz w:val="28"/>
          <w:szCs w:val="28"/>
        </w:rPr>
      </w:pPr>
    </w:p>
    <w:p w:rsidR="00D72A63" w:rsidRPr="00D72A63" w:rsidRDefault="00D72A63" w:rsidP="00E85522">
      <w:pPr>
        <w:spacing w:after="240"/>
        <w:ind w:right="-46"/>
        <w:rPr>
          <w:rFonts w:ascii="Times New Roman" w:hAnsi="Times New Roman" w:cs="Times New Roman"/>
          <w:color w:val="000000" w:themeColor="text1"/>
          <w:sz w:val="28"/>
          <w:szCs w:val="28"/>
        </w:rPr>
      </w:pPr>
    </w:p>
    <w:p w:rsidR="004C58F4" w:rsidRDefault="00D72A63" w:rsidP="004C58F4">
      <w:pPr>
        <w:spacing w:after="120"/>
        <w:ind w:right="-45"/>
        <w:rPr>
          <w:rFonts w:ascii="Times New Roman" w:hAnsi="Times New Roman" w:cs="Times New Roman"/>
          <w:color w:val="000000" w:themeColor="text1"/>
          <w:sz w:val="28"/>
          <w:szCs w:val="28"/>
        </w:rPr>
      </w:pPr>
      <w:r w:rsidRPr="00D72A63">
        <w:rPr>
          <w:rFonts w:ascii="Times New Roman" w:hAnsi="Times New Roman" w:cs="Times New Roman"/>
          <w:color w:val="000000" w:themeColor="text1"/>
          <w:sz w:val="28"/>
          <w:szCs w:val="28"/>
        </w:rPr>
        <w:t>In the matter between:</w:t>
      </w:r>
    </w:p>
    <w:p w:rsidR="00FF214C" w:rsidRDefault="00FF0772" w:rsidP="00FF214C">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CRRC E-LOC</w:t>
      </w:r>
      <w:r w:rsidR="000B15A4">
        <w:rPr>
          <w:rFonts w:ascii="Times New Roman" w:hAnsi="Times New Roman" w:cs="Times New Roman"/>
          <w:b/>
          <w:color w:val="000000" w:themeColor="text1"/>
          <w:sz w:val="28"/>
          <w:szCs w:val="28"/>
        </w:rPr>
        <w:t>O SUPP</w:t>
      </w:r>
      <w:r w:rsidR="00487967">
        <w:rPr>
          <w:rFonts w:ascii="Times New Roman" w:hAnsi="Times New Roman" w:cs="Times New Roman"/>
          <w:b/>
          <w:color w:val="000000" w:themeColor="text1"/>
          <w:sz w:val="28"/>
          <w:szCs w:val="28"/>
        </w:rPr>
        <w:t>L</w:t>
      </w:r>
      <w:r w:rsidR="000B15A4">
        <w:rPr>
          <w:rFonts w:ascii="Times New Roman" w:hAnsi="Times New Roman" w:cs="Times New Roman"/>
          <w:b/>
          <w:color w:val="000000" w:themeColor="text1"/>
          <w:sz w:val="28"/>
          <w:szCs w:val="28"/>
        </w:rPr>
        <w:t>Y (PTY) LTD</w:t>
      </w:r>
      <w:r w:rsidR="004E0A01">
        <w:rPr>
          <w:rFonts w:ascii="Times New Roman" w:hAnsi="Times New Roman" w:cs="Times New Roman"/>
          <w:color w:val="000000" w:themeColor="text1"/>
          <w:sz w:val="28"/>
          <w:szCs w:val="28"/>
        </w:rPr>
        <w:tab/>
      </w:r>
      <w:r w:rsidR="005B758D">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b/>
      </w:r>
      <w:r w:rsidR="000B15A4">
        <w:rPr>
          <w:rFonts w:ascii="Times New Roman" w:hAnsi="Times New Roman" w:cs="Times New Roman"/>
          <w:color w:val="000000" w:themeColor="text1"/>
          <w:sz w:val="28"/>
          <w:szCs w:val="28"/>
        </w:rPr>
        <w:tab/>
      </w:r>
      <w:r w:rsidR="0056465B">
        <w:rPr>
          <w:rFonts w:ascii="Times New Roman" w:hAnsi="Times New Roman" w:cs="Times New Roman"/>
          <w:color w:val="000000" w:themeColor="text1"/>
          <w:sz w:val="28"/>
          <w:szCs w:val="28"/>
        </w:rPr>
        <w:t>App</w:t>
      </w:r>
      <w:r w:rsidR="000B15A4">
        <w:rPr>
          <w:rFonts w:ascii="Times New Roman" w:hAnsi="Times New Roman" w:cs="Times New Roman"/>
          <w:color w:val="000000" w:themeColor="text1"/>
          <w:sz w:val="28"/>
          <w:szCs w:val="28"/>
        </w:rPr>
        <w:t>licant</w:t>
      </w:r>
      <w:r w:rsidR="005B758D">
        <w:rPr>
          <w:rFonts w:ascii="Times New Roman" w:hAnsi="Times New Roman" w:cs="Times New Roman"/>
          <w:color w:val="000000" w:themeColor="text1"/>
          <w:sz w:val="28"/>
          <w:szCs w:val="28"/>
        </w:rPr>
        <w:t xml:space="preserve"> </w:t>
      </w:r>
    </w:p>
    <w:p w:rsidR="00A3586D" w:rsidRDefault="00A3586D" w:rsidP="00FF214C">
      <w:pPr>
        <w:spacing w:after="120"/>
        <w:ind w:right="-45"/>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and</w:t>
      </w:r>
    </w:p>
    <w:p w:rsidR="000B15A4" w:rsidRDefault="000B15A4" w:rsidP="000B15A4">
      <w:pPr>
        <w:spacing w:after="0"/>
        <w:ind w:right="-45"/>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COMMISSIONER FOR THE SOUTH </w:t>
      </w:r>
    </w:p>
    <w:p w:rsidR="00370E37" w:rsidRDefault="000B15A4" w:rsidP="00042FF2">
      <w:pPr>
        <w:spacing w:after="120"/>
        <w:ind w:right="-4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AFRICAN REVENUE SERVICE</w:t>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r>
      <w:r w:rsidR="00042FF2">
        <w:rPr>
          <w:rFonts w:ascii="Times New Roman" w:hAnsi="Times New Roman" w:cs="Times New Roman"/>
          <w:b/>
          <w:color w:val="000000" w:themeColor="text1"/>
          <w:sz w:val="28"/>
          <w:szCs w:val="28"/>
        </w:rPr>
        <w:tab/>
        <w:t xml:space="preserve">       </w:t>
      </w:r>
      <w:r w:rsidR="00FA6C6B">
        <w:rPr>
          <w:rFonts w:ascii="Times New Roman" w:hAnsi="Times New Roman" w:cs="Times New Roman"/>
          <w:b/>
          <w:color w:val="000000" w:themeColor="text1"/>
          <w:sz w:val="28"/>
          <w:szCs w:val="28"/>
        </w:rPr>
        <w:tab/>
      </w:r>
      <w:r w:rsidR="00FA6C6B">
        <w:rPr>
          <w:rFonts w:ascii="Times New Roman" w:hAnsi="Times New Roman" w:cs="Times New Roman"/>
          <w:b/>
          <w:color w:val="000000" w:themeColor="text1"/>
          <w:sz w:val="28"/>
          <w:szCs w:val="28"/>
        </w:rPr>
        <w:tab/>
        <w:t xml:space="preserve">       </w:t>
      </w:r>
      <w:r w:rsidR="00042FF2" w:rsidRPr="00042FF2">
        <w:rPr>
          <w:rFonts w:ascii="Times New Roman" w:hAnsi="Times New Roman" w:cs="Times New Roman"/>
          <w:color w:val="000000" w:themeColor="text1"/>
          <w:sz w:val="28"/>
          <w:szCs w:val="28"/>
        </w:rPr>
        <w:t>Respondent</w:t>
      </w:r>
    </w:p>
    <w:p w:rsidR="00902205" w:rsidRDefault="00902205" w:rsidP="007D0BBF">
      <w:pPr>
        <w:pBdr>
          <w:bottom w:val="single" w:sz="12" w:space="1" w:color="auto"/>
        </w:pBdr>
        <w:spacing w:after="0"/>
        <w:ind w:right="-45"/>
        <w:rPr>
          <w:rFonts w:ascii="Times New Roman" w:hAnsi="Times New Roman" w:cs="Times New Roman"/>
          <w:color w:val="000000" w:themeColor="text1"/>
          <w:sz w:val="28"/>
          <w:szCs w:val="28"/>
        </w:rPr>
      </w:pPr>
    </w:p>
    <w:p w:rsidR="005B1CBB" w:rsidRDefault="005B1CBB" w:rsidP="005B1CBB">
      <w:pPr>
        <w:spacing w:after="0"/>
        <w:ind w:left="1440" w:right="-45" w:hanging="1440"/>
        <w:rPr>
          <w:rFonts w:ascii="Times New Roman" w:hAnsi="Times New Roman" w:cs="Times New Roman"/>
          <w:color w:val="000000" w:themeColor="text1"/>
          <w:sz w:val="28"/>
          <w:szCs w:val="28"/>
        </w:rPr>
      </w:pPr>
    </w:p>
    <w:p w:rsidR="005B1CBB" w:rsidRDefault="005B1CBB" w:rsidP="005B1CBB">
      <w:pPr>
        <w:pBdr>
          <w:bottom w:val="single" w:sz="12" w:space="1" w:color="auto"/>
        </w:pBdr>
        <w:spacing w:after="0"/>
        <w:ind w:left="1440" w:right="-45" w:hanging="1440"/>
        <w:jc w:val="center"/>
        <w:rPr>
          <w:rFonts w:ascii="Times New Roman" w:hAnsi="Times New Roman" w:cs="Times New Roman"/>
          <w:b/>
          <w:color w:val="000000" w:themeColor="text1"/>
          <w:sz w:val="28"/>
          <w:szCs w:val="28"/>
        </w:rPr>
      </w:pPr>
      <w:r w:rsidRPr="005B1CBB">
        <w:rPr>
          <w:rFonts w:ascii="Times New Roman" w:hAnsi="Times New Roman" w:cs="Times New Roman"/>
          <w:b/>
          <w:color w:val="000000" w:themeColor="text1"/>
          <w:sz w:val="28"/>
          <w:szCs w:val="28"/>
        </w:rPr>
        <w:t>ORDER</w:t>
      </w:r>
    </w:p>
    <w:p w:rsidR="000B15A4" w:rsidRDefault="000B15A4" w:rsidP="00FF214C">
      <w:pPr>
        <w:spacing w:after="120"/>
        <w:ind w:right="-45"/>
        <w:rPr>
          <w:rFonts w:ascii="Times New Roman" w:hAnsi="Times New Roman" w:cs="Times New Roman"/>
          <w:b/>
          <w:color w:val="000000" w:themeColor="text1"/>
          <w:sz w:val="28"/>
          <w:szCs w:val="28"/>
        </w:rPr>
      </w:pPr>
    </w:p>
    <w:p w:rsidR="000B15A4" w:rsidRPr="000B15A4" w:rsidRDefault="000B15A4" w:rsidP="00FF214C">
      <w:pPr>
        <w:spacing w:after="120"/>
        <w:ind w:right="-45"/>
        <w:rPr>
          <w:rFonts w:ascii="Times New Roman" w:hAnsi="Times New Roman" w:cs="Times New Roman"/>
          <w:color w:val="000000" w:themeColor="text1"/>
          <w:sz w:val="28"/>
          <w:szCs w:val="28"/>
        </w:rPr>
      </w:pPr>
      <w:r w:rsidRPr="000B15A4">
        <w:rPr>
          <w:rFonts w:ascii="Times New Roman" w:hAnsi="Times New Roman" w:cs="Times New Roman"/>
          <w:color w:val="000000" w:themeColor="text1"/>
          <w:sz w:val="28"/>
          <w:szCs w:val="28"/>
        </w:rPr>
        <w:t>The application</w:t>
      </w:r>
      <w:r w:rsidR="007D0BBF">
        <w:rPr>
          <w:rFonts w:ascii="Times New Roman" w:hAnsi="Times New Roman" w:cs="Times New Roman"/>
          <w:color w:val="000000" w:themeColor="text1"/>
          <w:sz w:val="28"/>
          <w:szCs w:val="28"/>
        </w:rPr>
        <w:t xml:space="preserve"> for leave to appeal is refused</w:t>
      </w:r>
      <w:r w:rsidRPr="000B15A4">
        <w:rPr>
          <w:rFonts w:ascii="Times New Roman" w:hAnsi="Times New Roman" w:cs="Times New Roman"/>
          <w:color w:val="000000" w:themeColor="text1"/>
          <w:sz w:val="28"/>
          <w:szCs w:val="28"/>
        </w:rPr>
        <w:t xml:space="preserve"> with costs, including the costs of two counsel.</w:t>
      </w:r>
    </w:p>
    <w:p w:rsidR="00E85522" w:rsidRPr="00FF214C" w:rsidRDefault="000B15A4" w:rsidP="00FF214C">
      <w:pPr>
        <w:spacing w:after="120"/>
        <w:ind w:right="-45"/>
        <w:rPr>
          <w:rFonts w:ascii="Times New Roman" w:hAnsi="Times New Roman" w:cs="Times New Roman"/>
          <w:color w:val="000000" w:themeColor="text1"/>
          <w:sz w:val="28"/>
          <w:szCs w:val="28"/>
        </w:rPr>
      </w:pPr>
      <w:r w:rsidRPr="000B15A4">
        <w:rPr>
          <w:rFonts w:ascii="Times New Roman" w:hAnsi="Times New Roman" w:cs="Times New Roman"/>
          <w:b/>
          <w:color w:val="000000" w:themeColor="text1"/>
          <w:sz w:val="28"/>
          <w:szCs w:val="28"/>
        </w:rPr>
        <w:t xml:space="preserve"> </w:t>
      </w:r>
      <w:r w:rsidR="00E85522" w:rsidRPr="000C7880">
        <w:rPr>
          <w:rFonts w:ascii="Times New Roman" w:hAnsi="Times New Roman" w:cs="Times New Roman"/>
          <w:b/>
          <w:color w:val="000000" w:themeColor="text1"/>
          <w:sz w:val="28"/>
          <w:szCs w:val="28"/>
        </w:rPr>
        <w:t>__________________________________</w:t>
      </w:r>
      <w:r w:rsidR="00E85522">
        <w:rPr>
          <w:rFonts w:ascii="Times New Roman" w:hAnsi="Times New Roman" w:cs="Times New Roman"/>
          <w:b/>
          <w:color w:val="000000" w:themeColor="text1"/>
          <w:sz w:val="28"/>
          <w:szCs w:val="28"/>
        </w:rPr>
        <w:t>______________________________</w:t>
      </w:r>
      <w:r w:rsidR="00E85522" w:rsidRPr="000C7880">
        <w:rPr>
          <w:rFonts w:ascii="Times New Roman" w:hAnsi="Times New Roman" w:cs="Times New Roman"/>
          <w:b/>
          <w:color w:val="000000" w:themeColor="text1"/>
          <w:sz w:val="28"/>
          <w:szCs w:val="28"/>
        </w:rPr>
        <w:t xml:space="preserve">                                                     </w:t>
      </w:r>
    </w:p>
    <w:p w:rsidR="00E85522" w:rsidRPr="000C7880" w:rsidRDefault="00E85522" w:rsidP="00E85522">
      <w:pPr>
        <w:spacing w:after="120" w:line="240" w:lineRule="auto"/>
        <w:ind w:right="-57"/>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J</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U</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G</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M</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E</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N</w:t>
      </w:r>
      <w:r w:rsidR="00FF214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T</w:t>
      </w:r>
      <w:r w:rsidR="00DE7A19">
        <w:rPr>
          <w:rFonts w:ascii="Times New Roman" w:hAnsi="Times New Roman" w:cs="Times New Roman"/>
          <w:b/>
          <w:color w:val="000000" w:themeColor="text1"/>
          <w:sz w:val="28"/>
          <w:szCs w:val="28"/>
        </w:rPr>
        <w:t xml:space="preserve"> </w:t>
      </w:r>
    </w:p>
    <w:p w:rsidR="00E85522" w:rsidRPr="000C7880" w:rsidRDefault="00E85522" w:rsidP="00E85522">
      <w:pPr>
        <w:spacing w:after="240"/>
        <w:ind w:right="-57"/>
        <w:rPr>
          <w:rFonts w:ascii="Times New Roman" w:hAnsi="Times New Roman" w:cs="Times New Roman"/>
          <w:b/>
          <w:color w:val="000000" w:themeColor="text1"/>
          <w:sz w:val="28"/>
          <w:szCs w:val="28"/>
        </w:rPr>
      </w:pPr>
      <w:r w:rsidRPr="000C7880">
        <w:rPr>
          <w:rFonts w:ascii="Times New Roman" w:hAnsi="Times New Roman" w:cs="Times New Roman"/>
          <w:b/>
          <w:color w:val="000000" w:themeColor="text1"/>
          <w:sz w:val="28"/>
          <w:szCs w:val="28"/>
        </w:rPr>
        <w:lastRenderedPageBreak/>
        <w:t>__________________________________</w:t>
      </w:r>
      <w:r>
        <w:rPr>
          <w:rFonts w:ascii="Times New Roman" w:hAnsi="Times New Roman" w:cs="Times New Roman"/>
          <w:b/>
          <w:color w:val="000000" w:themeColor="text1"/>
          <w:sz w:val="28"/>
          <w:szCs w:val="28"/>
        </w:rPr>
        <w:t>______________________________</w:t>
      </w:r>
    </w:p>
    <w:p w:rsidR="005F291D" w:rsidRDefault="007D16EB" w:rsidP="007D16EB">
      <w:pPr>
        <w:pStyle w:val="MEMONUMBERED"/>
        <w:numPr>
          <w:ilvl w:val="0"/>
          <w:numId w:val="0"/>
        </w:numPr>
        <w:spacing w:after="360" w:line="360" w:lineRule="auto"/>
        <w:rPr>
          <w:b/>
          <w:color w:val="000000" w:themeColor="text1"/>
          <w:sz w:val="28"/>
          <w:szCs w:val="28"/>
          <w:u w:val="single"/>
        </w:rPr>
      </w:pPr>
      <w:r>
        <w:rPr>
          <w:i/>
          <w:color w:val="000000" w:themeColor="text1"/>
          <w:sz w:val="28"/>
          <w:szCs w:val="28"/>
        </w:rPr>
        <w:t xml:space="preserve">This </w:t>
      </w:r>
      <w:r w:rsidR="00B1466D">
        <w:rPr>
          <w:i/>
          <w:color w:val="000000" w:themeColor="text1"/>
          <w:sz w:val="28"/>
          <w:szCs w:val="28"/>
        </w:rPr>
        <w:t>matter has been heard</w:t>
      </w:r>
      <w:r w:rsidR="00080C2F">
        <w:rPr>
          <w:i/>
          <w:color w:val="000000" w:themeColor="text1"/>
          <w:sz w:val="28"/>
          <w:szCs w:val="28"/>
        </w:rPr>
        <w:t xml:space="preserve"> </w:t>
      </w:r>
      <w:r w:rsidR="00487967">
        <w:rPr>
          <w:i/>
          <w:color w:val="000000" w:themeColor="text1"/>
          <w:sz w:val="28"/>
          <w:szCs w:val="28"/>
        </w:rPr>
        <w:t>on a virtual platform</w:t>
      </w:r>
      <w:r w:rsidR="000B15A4">
        <w:rPr>
          <w:i/>
          <w:color w:val="000000" w:themeColor="text1"/>
          <w:sz w:val="28"/>
          <w:szCs w:val="28"/>
        </w:rPr>
        <w:t xml:space="preserve"> </w:t>
      </w:r>
      <w:r w:rsidR="00185667">
        <w:rPr>
          <w:i/>
          <w:color w:val="000000" w:themeColor="text1"/>
          <w:sz w:val="28"/>
          <w:szCs w:val="28"/>
        </w:rPr>
        <w:t>and</w:t>
      </w:r>
      <w:r w:rsidR="00D55B6B">
        <w:rPr>
          <w:i/>
          <w:color w:val="000000" w:themeColor="text1"/>
          <w:sz w:val="28"/>
          <w:szCs w:val="28"/>
        </w:rPr>
        <w:t xml:space="preserve"> is otherwise</w:t>
      </w:r>
      <w:r>
        <w:rPr>
          <w:i/>
          <w:color w:val="000000" w:themeColor="text1"/>
          <w:sz w:val="28"/>
          <w:szCs w:val="28"/>
        </w:rPr>
        <w:t xml:space="preserve"> disposed of in terms of the </w:t>
      </w:r>
      <w:r w:rsidRPr="00CD187A">
        <w:rPr>
          <w:i/>
          <w:color w:val="000000" w:themeColor="text1"/>
          <w:sz w:val="28"/>
          <w:szCs w:val="28"/>
        </w:rPr>
        <w:t>Directives of the Judge President of this Division</w:t>
      </w:r>
      <w:r>
        <w:rPr>
          <w:i/>
          <w:color w:val="000000" w:themeColor="text1"/>
          <w:sz w:val="28"/>
          <w:szCs w:val="28"/>
        </w:rPr>
        <w:t xml:space="preserve">. </w:t>
      </w:r>
      <w:r w:rsidRPr="00CD187A">
        <w:rPr>
          <w:i/>
          <w:color w:val="000000" w:themeColor="text1"/>
          <w:sz w:val="28"/>
          <w:szCs w:val="28"/>
        </w:rPr>
        <w:t xml:space="preserve"> </w:t>
      </w:r>
      <w:r w:rsidR="005F291D" w:rsidRPr="00CD187A">
        <w:rPr>
          <w:i/>
          <w:color w:val="000000" w:themeColor="text1"/>
          <w:sz w:val="28"/>
          <w:szCs w:val="28"/>
        </w:rPr>
        <w:t>The judgment and order are accordingly published and distributed electronically.</w:t>
      </w:r>
    </w:p>
    <w:p w:rsidR="00E85522" w:rsidRDefault="00834376" w:rsidP="00B875CA">
      <w:pPr>
        <w:pStyle w:val="MEMONUMBERED"/>
        <w:numPr>
          <w:ilvl w:val="0"/>
          <w:numId w:val="0"/>
        </w:numPr>
        <w:spacing w:after="360" w:line="240" w:lineRule="auto"/>
        <w:rPr>
          <w:b/>
          <w:color w:val="000000" w:themeColor="text1"/>
          <w:sz w:val="28"/>
          <w:szCs w:val="28"/>
          <w:u w:val="single"/>
        </w:rPr>
      </w:pPr>
      <w:r>
        <w:rPr>
          <w:b/>
          <w:color w:val="000000" w:themeColor="text1"/>
          <w:sz w:val="28"/>
          <w:szCs w:val="28"/>
          <w:u w:val="single"/>
        </w:rPr>
        <w:t>DAVIS</w:t>
      </w:r>
      <w:r w:rsidR="00E85522" w:rsidRPr="000C7880">
        <w:rPr>
          <w:b/>
          <w:color w:val="000000" w:themeColor="text1"/>
          <w:sz w:val="28"/>
          <w:szCs w:val="28"/>
          <w:u w:val="single"/>
        </w:rPr>
        <w:t>, J</w:t>
      </w:r>
    </w:p>
    <w:p w:rsidR="0007495A" w:rsidRPr="0007495A" w:rsidRDefault="0007495A" w:rsidP="0007495A">
      <w:pPr>
        <w:pStyle w:val="MEMONUMBERED"/>
        <w:numPr>
          <w:ilvl w:val="0"/>
          <w:numId w:val="0"/>
        </w:numPr>
        <w:spacing w:after="120" w:line="360" w:lineRule="auto"/>
        <w:rPr>
          <w:b/>
          <w:color w:val="000000" w:themeColor="text1"/>
          <w:sz w:val="28"/>
          <w:szCs w:val="28"/>
        </w:rPr>
      </w:pPr>
      <w:r>
        <w:rPr>
          <w:b/>
          <w:color w:val="000000" w:themeColor="text1"/>
          <w:sz w:val="28"/>
          <w:szCs w:val="28"/>
        </w:rPr>
        <w:t xml:space="preserve">Introduction </w:t>
      </w:r>
    </w:p>
    <w:p w:rsidR="00DB275E" w:rsidRPr="0007495A" w:rsidRDefault="0007495A" w:rsidP="0007495A">
      <w:pPr>
        <w:pStyle w:val="MEMONUMBERED"/>
        <w:spacing w:after="360" w:line="360" w:lineRule="auto"/>
        <w:rPr>
          <w:u w:val="single"/>
        </w:rPr>
      </w:pPr>
      <w:r w:rsidRPr="0007495A">
        <w:rPr>
          <w:color w:val="000000" w:themeColor="text1"/>
          <w:sz w:val="28"/>
          <w:szCs w:val="28"/>
        </w:rPr>
        <w:t>On 18 July 2022 this court dismissed an application by CRRC E-Loco Supply (Pty) Ltd (CRRC) to have the recovery by SARS of unpaid taxes by way of the issuing of notices to CRRC’s bankers in terms of section 179(6) of the Tax Administration Act 28 of 2</w:t>
      </w:r>
      <w:r w:rsidR="00487967">
        <w:rPr>
          <w:color w:val="000000" w:themeColor="text1"/>
          <w:sz w:val="28"/>
          <w:szCs w:val="28"/>
        </w:rPr>
        <w:t>0</w:t>
      </w:r>
      <w:r w:rsidRPr="0007495A">
        <w:rPr>
          <w:color w:val="000000" w:themeColor="text1"/>
          <w:sz w:val="28"/>
          <w:szCs w:val="28"/>
        </w:rPr>
        <w:t>11 (the TAA) reviewed and set aside.</w:t>
      </w:r>
    </w:p>
    <w:p w:rsidR="0007495A" w:rsidRPr="0007495A" w:rsidRDefault="0007495A" w:rsidP="0007495A">
      <w:pPr>
        <w:pStyle w:val="MEMONUMBERED"/>
        <w:spacing w:after="360" w:line="360" w:lineRule="auto"/>
        <w:rPr>
          <w:u w:val="single"/>
        </w:rPr>
      </w:pPr>
      <w:r>
        <w:rPr>
          <w:color w:val="000000" w:themeColor="text1"/>
          <w:sz w:val="28"/>
          <w:szCs w:val="28"/>
        </w:rPr>
        <w:t>On 27 July 2022 CRRC served an application for leave to appeal on SARS and “uploaded”</w:t>
      </w:r>
      <w:r w:rsidR="00487967">
        <w:rPr>
          <w:color w:val="000000" w:themeColor="text1"/>
          <w:sz w:val="28"/>
          <w:szCs w:val="28"/>
        </w:rPr>
        <w:t xml:space="preserve"> it u</w:t>
      </w:r>
      <w:r>
        <w:rPr>
          <w:color w:val="000000" w:themeColor="text1"/>
          <w:sz w:val="28"/>
          <w:szCs w:val="28"/>
        </w:rPr>
        <w:t>nto Caselines.  It appears, however, that the application was never served on the registrar and, more particularly, never brought to the attention of the relevant appeals section.  The application was therefore never properly “delivered” as contemplated in the Uniforms Rules.</w:t>
      </w:r>
    </w:p>
    <w:p w:rsidR="0007495A" w:rsidRPr="0007495A" w:rsidRDefault="0007495A" w:rsidP="0007495A">
      <w:pPr>
        <w:pStyle w:val="MEMONUMBERED"/>
        <w:spacing w:after="360" w:line="360" w:lineRule="auto"/>
        <w:rPr>
          <w:u w:val="single"/>
        </w:rPr>
      </w:pPr>
      <w:r>
        <w:rPr>
          <w:color w:val="000000" w:themeColor="text1"/>
          <w:sz w:val="28"/>
          <w:szCs w:val="28"/>
        </w:rPr>
        <w:t>Despite heads of argument having been filed on behalf of CRRC some</w:t>
      </w:r>
      <w:r w:rsidR="00487967">
        <w:rPr>
          <w:color w:val="000000" w:themeColor="text1"/>
          <w:sz w:val="28"/>
          <w:szCs w:val="28"/>
        </w:rPr>
        <w:t xml:space="preserve"> six months later and responded</w:t>
      </w:r>
      <w:r>
        <w:rPr>
          <w:color w:val="000000" w:themeColor="text1"/>
          <w:sz w:val="28"/>
          <w:szCs w:val="28"/>
        </w:rPr>
        <w:t xml:space="preserve"> to on behalf of SARS shortly thereafter, the matter languished without attention for an inordinately long period.</w:t>
      </w:r>
    </w:p>
    <w:p w:rsidR="0007495A" w:rsidRPr="0007495A" w:rsidRDefault="0007495A" w:rsidP="0007495A">
      <w:pPr>
        <w:pStyle w:val="MEMONUMBERED"/>
        <w:spacing w:after="360" w:line="360" w:lineRule="auto"/>
        <w:rPr>
          <w:u w:val="single"/>
        </w:rPr>
      </w:pPr>
      <w:r>
        <w:rPr>
          <w:color w:val="000000" w:themeColor="text1"/>
          <w:sz w:val="28"/>
          <w:szCs w:val="28"/>
        </w:rPr>
        <w:t>It was only when enquiries were made by the parties late in 2023 that the application came to the attention of this court, whereafter it was expeditiously enrolled for hearing on 12 December 2023.</w:t>
      </w:r>
    </w:p>
    <w:p w:rsidR="0007495A" w:rsidRPr="0007495A" w:rsidRDefault="0007495A" w:rsidP="0007495A">
      <w:pPr>
        <w:pStyle w:val="MEMONUMBERED"/>
        <w:spacing w:after="360" w:line="360" w:lineRule="auto"/>
        <w:rPr>
          <w:u w:val="single"/>
        </w:rPr>
      </w:pPr>
      <w:r>
        <w:rPr>
          <w:color w:val="000000" w:themeColor="text1"/>
          <w:sz w:val="28"/>
          <w:szCs w:val="28"/>
        </w:rPr>
        <w:t xml:space="preserve">Despite the </w:t>
      </w:r>
      <w:r w:rsidR="00487967">
        <w:rPr>
          <w:color w:val="000000" w:themeColor="text1"/>
          <w:sz w:val="28"/>
          <w:szCs w:val="28"/>
        </w:rPr>
        <w:t>im</w:t>
      </w:r>
      <w:r>
        <w:rPr>
          <w:color w:val="000000" w:themeColor="text1"/>
          <w:sz w:val="28"/>
          <w:szCs w:val="28"/>
        </w:rPr>
        <w:t>proper delivery of the application and the delay caused thereby, in the interest</w:t>
      </w:r>
      <w:r w:rsidR="00487967">
        <w:rPr>
          <w:color w:val="000000" w:themeColor="text1"/>
          <w:sz w:val="28"/>
          <w:szCs w:val="28"/>
        </w:rPr>
        <w:t>s</w:t>
      </w:r>
      <w:r>
        <w:rPr>
          <w:color w:val="000000" w:themeColor="text1"/>
          <w:sz w:val="28"/>
          <w:szCs w:val="28"/>
        </w:rPr>
        <w:t xml:space="preserve"> of justice and finality, this court resolved to hear the matter, which it did.</w:t>
      </w:r>
    </w:p>
    <w:p w:rsidR="0007495A" w:rsidRPr="0007495A" w:rsidRDefault="0007495A" w:rsidP="0007495A">
      <w:pPr>
        <w:pStyle w:val="MEMONUMBERED"/>
        <w:numPr>
          <w:ilvl w:val="0"/>
          <w:numId w:val="0"/>
        </w:numPr>
        <w:spacing w:after="120" w:line="360" w:lineRule="auto"/>
        <w:rPr>
          <w:b/>
          <w:u w:val="single"/>
        </w:rPr>
      </w:pPr>
      <w:r w:rsidRPr="0007495A">
        <w:rPr>
          <w:b/>
          <w:color w:val="000000" w:themeColor="text1"/>
          <w:sz w:val="28"/>
          <w:szCs w:val="28"/>
        </w:rPr>
        <w:t xml:space="preserve">Grounds </w:t>
      </w:r>
    </w:p>
    <w:p w:rsidR="0007495A" w:rsidRDefault="0007495A" w:rsidP="0007495A">
      <w:pPr>
        <w:pStyle w:val="MEMONUMBERED"/>
        <w:spacing w:after="360" w:line="360" w:lineRule="auto"/>
        <w:rPr>
          <w:sz w:val="28"/>
          <w:szCs w:val="28"/>
        </w:rPr>
      </w:pPr>
      <w:r>
        <w:rPr>
          <w:sz w:val="28"/>
          <w:szCs w:val="28"/>
        </w:rPr>
        <w:t xml:space="preserve">In its notice of application for leave to appeal CRRC raised a number of grounds </w:t>
      </w:r>
      <w:r w:rsidR="00487967">
        <w:rPr>
          <w:sz w:val="28"/>
          <w:szCs w:val="28"/>
        </w:rPr>
        <w:t>on which it sought to rely</w:t>
      </w:r>
      <w:r>
        <w:rPr>
          <w:sz w:val="28"/>
          <w:szCs w:val="28"/>
        </w:rPr>
        <w:t xml:space="preserve"> in terms of Section 17(1)(a)(i) of the Superior Courts Act</w:t>
      </w:r>
      <w:r w:rsidR="00487967">
        <w:rPr>
          <w:rStyle w:val="FootnoteReference"/>
          <w:sz w:val="28"/>
          <w:szCs w:val="28"/>
        </w:rPr>
        <w:footnoteReference w:id="1"/>
      </w:r>
      <w:r>
        <w:rPr>
          <w:sz w:val="28"/>
          <w:szCs w:val="28"/>
        </w:rPr>
        <w:t xml:space="preserve"> for the argument that it would have a reasonable prospect of success on appeal.</w:t>
      </w:r>
    </w:p>
    <w:p w:rsidR="005A0BB0" w:rsidRDefault="0007495A" w:rsidP="0007495A">
      <w:pPr>
        <w:pStyle w:val="MEMONUMBERED"/>
        <w:spacing w:after="360" w:line="360" w:lineRule="auto"/>
        <w:rPr>
          <w:sz w:val="28"/>
          <w:szCs w:val="28"/>
        </w:rPr>
      </w:pPr>
      <w:r>
        <w:rPr>
          <w:sz w:val="28"/>
          <w:szCs w:val="28"/>
        </w:rPr>
        <w:t>In heads of argument filed on behalf of CRRC, these grounds were distilled to the following: (1) that the court had incorrectly interpreted section 179(6) of the TAA, (2) that there was a factual absence of any prejudice to the collection of the tax debt,</w:t>
      </w:r>
      <w:r w:rsidR="00CD6BEF">
        <w:rPr>
          <w:sz w:val="28"/>
          <w:szCs w:val="28"/>
        </w:rPr>
        <w:t xml:space="preserve"> (3) that the so-called </w:t>
      </w:r>
      <w:r w:rsidR="00CD6BEF" w:rsidRPr="00CD6BEF">
        <w:rPr>
          <w:i/>
          <w:sz w:val="28"/>
          <w:szCs w:val="28"/>
        </w:rPr>
        <w:t>Hindry</w:t>
      </w:r>
      <w:r w:rsidR="00CD6BEF">
        <w:rPr>
          <w:sz w:val="28"/>
          <w:szCs w:val="28"/>
        </w:rPr>
        <w:t xml:space="preserve"> judgment had no bearing on the case and (4) that the decision sought on appeal would have a practical effect.</w:t>
      </w:r>
      <w:r>
        <w:rPr>
          <w:sz w:val="28"/>
          <w:szCs w:val="28"/>
        </w:rPr>
        <w:t xml:space="preserve"> </w:t>
      </w:r>
    </w:p>
    <w:p w:rsidR="00CD6BEF" w:rsidRPr="00CD6BEF" w:rsidRDefault="00CD6BEF" w:rsidP="00CD6BEF">
      <w:pPr>
        <w:pStyle w:val="MEMONUMBERED"/>
        <w:numPr>
          <w:ilvl w:val="0"/>
          <w:numId w:val="0"/>
        </w:numPr>
        <w:spacing w:after="120" w:line="360" w:lineRule="auto"/>
        <w:rPr>
          <w:b/>
          <w:sz w:val="28"/>
          <w:szCs w:val="28"/>
        </w:rPr>
      </w:pPr>
      <w:r w:rsidRPr="00CD6BEF">
        <w:rPr>
          <w:b/>
          <w:sz w:val="28"/>
          <w:szCs w:val="28"/>
        </w:rPr>
        <w:t>The interpretation of section 179(6) of the TAA</w:t>
      </w:r>
    </w:p>
    <w:p w:rsidR="00CD6BEF" w:rsidRDefault="00CD6BEF" w:rsidP="00CD6BEF">
      <w:pPr>
        <w:pStyle w:val="MEMONUMBERED"/>
        <w:spacing w:after="360" w:line="360" w:lineRule="auto"/>
        <w:rPr>
          <w:sz w:val="28"/>
          <w:szCs w:val="28"/>
        </w:rPr>
      </w:pPr>
      <w:r>
        <w:rPr>
          <w:sz w:val="28"/>
          <w:szCs w:val="28"/>
        </w:rPr>
        <w:t xml:space="preserve">Section 179(1) of the TAA provides that SARS may issue a notice to a third party who holds money on behalf of a tax payer (in this case CRRC’s bankers) requiring such person to pay over the money required to settle a taxpayer’s outstanding tax debt (in this case CRRC’s outstanding tax debt of some R </w:t>
      </w:r>
      <w:r w:rsidR="00487967">
        <w:rPr>
          <w:sz w:val="28"/>
          <w:szCs w:val="28"/>
        </w:rPr>
        <w:t>4</w:t>
      </w:r>
      <w:r>
        <w:rPr>
          <w:sz w:val="28"/>
          <w:szCs w:val="28"/>
        </w:rPr>
        <w:t xml:space="preserve"> billion).</w:t>
      </w:r>
    </w:p>
    <w:p w:rsidR="00CD6BEF" w:rsidRDefault="00CD6BEF" w:rsidP="00CD6BEF">
      <w:pPr>
        <w:pStyle w:val="MEMONUMBERED"/>
        <w:spacing w:after="360" w:line="360" w:lineRule="auto"/>
        <w:rPr>
          <w:sz w:val="28"/>
          <w:szCs w:val="28"/>
        </w:rPr>
      </w:pPr>
      <w:r>
        <w:rPr>
          <w:sz w:val="28"/>
          <w:szCs w:val="28"/>
        </w:rPr>
        <w:t>In terms of section 179(5) SARS is obliged to deliver a final demand to the tax debtor 10 days prior to the issuing of third party notices contemplated in section 179(1).</w:t>
      </w:r>
    </w:p>
    <w:p w:rsidR="00CD6BEF" w:rsidRDefault="00CD6BEF" w:rsidP="00CD6BEF">
      <w:pPr>
        <w:pStyle w:val="MEMONUMBERED"/>
        <w:spacing w:after="360" w:line="360" w:lineRule="auto"/>
        <w:rPr>
          <w:sz w:val="28"/>
          <w:szCs w:val="28"/>
        </w:rPr>
      </w:pPr>
      <w:r>
        <w:rPr>
          <w:sz w:val="28"/>
          <w:szCs w:val="28"/>
        </w:rPr>
        <w:t>In terms of section 179(6) however, “</w:t>
      </w:r>
      <w:r w:rsidRPr="00CD6BEF">
        <w:rPr>
          <w:i/>
          <w:sz w:val="28"/>
          <w:szCs w:val="28"/>
        </w:rPr>
        <w:t xml:space="preserve">SARS need not issue a final demand if a senior SARS official is satisfied that to do so </w:t>
      </w:r>
      <w:r w:rsidRPr="00CD6BEF">
        <w:rPr>
          <w:i/>
          <w:sz w:val="28"/>
          <w:szCs w:val="28"/>
          <w:u w:val="single"/>
        </w:rPr>
        <w:t>would</w:t>
      </w:r>
      <w:r w:rsidRPr="00CD6BEF">
        <w:rPr>
          <w:i/>
          <w:sz w:val="28"/>
          <w:szCs w:val="28"/>
        </w:rPr>
        <w:t xml:space="preserve"> prejudice the collection of the tax debt</w:t>
      </w:r>
      <w:r>
        <w:rPr>
          <w:sz w:val="28"/>
          <w:szCs w:val="28"/>
        </w:rPr>
        <w:t>” (my underlining).</w:t>
      </w:r>
    </w:p>
    <w:p w:rsidR="00CD6BEF" w:rsidRDefault="00CD6BEF" w:rsidP="00CD6BEF">
      <w:pPr>
        <w:pStyle w:val="MEMONUMBERED"/>
        <w:spacing w:after="360" w:line="360" w:lineRule="auto"/>
        <w:rPr>
          <w:sz w:val="28"/>
          <w:szCs w:val="28"/>
        </w:rPr>
      </w:pPr>
      <w:r>
        <w:rPr>
          <w:sz w:val="28"/>
          <w:szCs w:val="28"/>
        </w:rPr>
        <w:t>CRRC complains that in the introductory paragraph of the judgment under attack, this court used the word “might” instead of the word “would” used in section 179(6).</w:t>
      </w:r>
    </w:p>
    <w:p w:rsidR="00CD6BEF" w:rsidRDefault="00CD6BEF" w:rsidP="00CD6BEF">
      <w:pPr>
        <w:pStyle w:val="MEMONUMBERED"/>
        <w:spacing w:after="360" w:line="360" w:lineRule="auto"/>
        <w:rPr>
          <w:sz w:val="28"/>
          <w:szCs w:val="28"/>
        </w:rPr>
      </w:pPr>
      <w:r>
        <w:rPr>
          <w:sz w:val="28"/>
          <w:szCs w:val="28"/>
        </w:rPr>
        <w:t>Upon a reading of the judgment as a whole and the cases quoted, it however becomes abundantly clear that the court was not only alive to the wording of the re</w:t>
      </w:r>
      <w:r w:rsidR="00487967">
        <w:rPr>
          <w:sz w:val="28"/>
          <w:szCs w:val="28"/>
        </w:rPr>
        <w:t>levant section (which was quoted</w:t>
      </w:r>
      <w:r>
        <w:rPr>
          <w:sz w:val="28"/>
          <w:szCs w:val="28"/>
        </w:rPr>
        <w:t xml:space="preserve"> in full in paragraph 3.1 of the judgment under the heading: “The decision sought to be reviewed”) but interpreted and treated it correctly.  Reference was also made in the judgment to a memorandum by SARS’ Criminal and Illicit Economics Activities Division, Illicit Economy Unit, which memorandum was placed before the senior SARS official</w:t>
      </w:r>
      <w:r w:rsidR="00961C77">
        <w:rPr>
          <w:sz w:val="28"/>
          <w:szCs w:val="28"/>
        </w:rPr>
        <w:t xml:space="preserve"> who took the impugned decision.</w:t>
      </w:r>
    </w:p>
    <w:p w:rsidR="00961C77" w:rsidRDefault="00961C77" w:rsidP="00CD6BEF">
      <w:pPr>
        <w:pStyle w:val="MEMONUMBERED"/>
        <w:spacing w:after="360" w:line="360" w:lineRule="auto"/>
        <w:rPr>
          <w:sz w:val="28"/>
          <w:szCs w:val="28"/>
        </w:rPr>
      </w:pPr>
      <w:r>
        <w:rPr>
          <w:sz w:val="28"/>
          <w:szCs w:val="28"/>
        </w:rPr>
        <w:t xml:space="preserve">That memorandum, despite the contents thereof being criticised by CRRC, expressed the opinion that unless third party notices were issued the recovery of tax debt </w:t>
      </w:r>
      <w:r w:rsidRPr="00961C77">
        <w:rPr>
          <w:sz w:val="28"/>
          <w:szCs w:val="28"/>
          <w:u w:val="single"/>
        </w:rPr>
        <w:t>would</w:t>
      </w:r>
      <w:r>
        <w:rPr>
          <w:sz w:val="28"/>
          <w:szCs w:val="28"/>
        </w:rPr>
        <w:t xml:space="preserve"> be prejudiced.  This was dealt with in paragraph 5.4. of the judgment and further. </w:t>
      </w:r>
    </w:p>
    <w:p w:rsidR="00961C77" w:rsidRDefault="00961C77" w:rsidP="00CD6BEF">
      <w:pPr>
        <w:pStyle w:val="MEMONUMBERED"/>
        <w:spacing w:after="360" w:line="360" w:lineRule="auto"/>
        <w:rPr>
          <w:sz w:val="28"/>
          <w:szCs w:val="28"/>
        </w:rPr>
      </w:pPr>
      <w:r>
        <w:rPr>
          <w:sz w:val="28"/>
          <w:szCs w:val="28"/>
        </w:rPr>
        <w:t>After various case law had been examined and been referred to, the conclusion reached in par 5.9 of the judgment was as follows:</w:t>
      </w:r>
    </w:p>
    <w:p w:rsidR="00961C77" w:rsidRDefault="00961C77" w:rsidP="00961C77">
      <w:pPr>
        <w:pStyle w:val="MEMONUMBERED"/>
        <w:numPr>
          <w:ilvl w:val="0"/>
          <w:numId w:val="0"/>
        </w:numPr>
        <w:spacing w:after="360" w:line="360" w:lineRule="auto"/>
        <w:ind w:left="2159" w:hanging="730"/>
        <w:rPr>
          <w:sz w:val="28"/>
          <w:szCs w:val="28"/>
        </w:rPr>
      </w:pPr>
      <w:r>
        <w:rPr>
          <w:sz w:val="28"/>
          <w:szCs w:val="28"/>
        </w:rPr>
        <w:t>“</w:t>
      </w:r>
      <w:r w:rsidRPr="00961C77">
        <w:rPr>
          <w:i/>
          <w:sz w:val="28"/>
          <w:szCs w:val="28"/>
        </w:rPr>
        <w:t>5.9</w:t>
      </w:r>
      <w:r w:rsidRPr="00961C77">
        <w:rPr>
          <w:i/>
          <w:sz w:val="28"/>
          <w:szCs w:val="28"/>
        </w:rPr>
        <w:tab/>
      </w:r>
      <w:r w:rsidR="00487967">
        <w:rPr>
          <w:i/>
          <w:sz w:val="28"/>
          <w:szCs w:val="28"/>
        </w:rPr>
        <w:t>The highwater-</w:t>
      </w:r>
      <w:r w:rsidRPr="00961C77">
        <w:rPr>
          <w:i/>
          <w:sz w:val="28"/>
          <w:szCs w:val="28"/>
        </w:rPr>
        <w:t>mark of CRRC’s complaint, is that the third party notices had not been preceeded by a final demand.  On the facts of this case, I conclude that the senior SARS official in question had sufficient grounds to justify his decision to issue the notices without such demand as contemplated in section 179(6) of this TAA</w:t>
      </w:r>
      <w:r>
        <w:rPr>
          <w:sz w:val="28"/>
          <w:szCs w:val="28"/>
        </w:rPr>
        <w:t>”</w:t>
      </w:r>
      <w:r w:rsidRPr="00961C77">
        <w:rPr>
          <w:sz w:val="28"/>
          <w:szCs w:val="28"/>
        </w:rPr>
        <w:t>.</w:t>
      </w:r>
    </w:p>
    <w:p w:rsidR="00961C77" w:rsidRDefault="00961C77" w:rsidP="00CD6BEF">
      <w:pPr>
        <w:pStyle w:val="MEMONUMBERED"/>
        <w:spacing w:after="360" w:line="360" w:lineRule="auto"/>
        <w:rPr>
          <w:sz w:val="28"/>
          <w:szCs w:val="28"/>
        </w:rPr>
      </w:pPr>
      <w:r>
        <w:rPr>
          <w:sz w:val="28"/>
          <w:szCs w:val="28"/>
        </w:rPr>
        <w:t>The alleged misinterpretation of the relevant statutory provision is therefore without substance and I find that it has no reasonable prospect of success on appeal.</w:t>
      </w:r>
    </w:p>
    <w:p w:rsidR="00961C77" w:rsidRPr="00961C77" w:rsidRDefault="00961C77" w:rsidP="00961C77">
      <w:pPr>
        <w:pStyle w:val="MEMONUMBERED"/>
        <w:numPr>
          <w:ilvl w:val="0"/>
          <w:numId w:val="0"/>
        </w:numPr>
        <w:spacing w:after="120" w:line="360" w:lineRule="auto"/>
        <w:rPr>
          <w:b/>
          <w:sz w:val="28"/>
          <w:szCs w:val="28"/>
        </w:rPr>
      </w:pPr>
      <w:r w:rsidRPr="00961C77">
        <w:rPr>
          <w:b/>
          <w:sz w:val="28"/>
          <w:szCs w:val="28"/>
        </w:rPr>
        <w:t>The alleged absence of prejudice to the tax debt recovery</w:t>
      </w:r>
    </w:p>
    <w:p w:rsidR="00961C77" w:rsidRDefault="00961C77" w:rsidP="00961C77">
      <w:pPr>
        <w:pStyle w:val="MEMONUMBERED"/>
        <w:spacing w:after="360" w:line="360" w:lineRule="auto"/>
        <w:rPr>
          <w:sz w:val="28"/>
          <w:szCs w:val="28"/>
        </w:rPr>
      </w:pPr>
      <w:r>
        <w:rPr>
          <w:sz w:val="28"/>
          <w:szCs w:val="28"/>
        </w:rPr>
        <w:t>CRRC’s argument was that since the funds in question were the subject of preservation orders this court erred in finding that despite this SARS had still been entitled to issue third party notices.</w:t>
      </w:r>
    </w:p>
    <w:p w:rsidR="00961C77" w:rsidRDefault="00961C77" w:rsidP="00961C77">
      <w:pPr>
        <w:pStyle w:val="MEMONUMBERED"/>
        <w:spacing w:after="360" w:line="360" w:lineRule="auto"/>
        <w:rPr>
          <w:sz w:val="28"/>
          <w:szCs w:val="28"/>
        </w:rPr>
      </w:pPr>
      <w:r>
        <w:rPr>
          <w:sz w:val="28"/>
          <w:szCs w:val="28"/>
        </w:rPr>
        <w:t xml:space="preserve">This argument </w:t>
      </w:r>
      <w:r w:rsidR="00487967">
        <w:rPr>
          <w:sz w:val="28"/>
          <w:szCs w:val="28"/>
        </w:rPr>
        <w:t>sidestep</w:t>
      </w:r>
      <w:r>
        <w:rPr>
          <w:sz w:val="28"/>
          <w:szCs w:val="28"/>
        </w:rPr>
        <w:t>s SARS</w:t>
      </w:r>
      <w:r w:rsidR="00487967">
        <w:rPr>
          <w:sz w:val="28"/>
          <w:szCs w:val="28"/>
        </w:rPr>
        <w:t>’</w:t>
      </w:r>
      <w:r>
        <w:rPr>
          <w:sz w:val="28"/>
          <w:szCs w:val="28"/>
        </w:rPr>
        <w:t xml:space="preserve"> complaint made out in its papers: despite the funds being kept</w:t>
      </w:r>
      <w:r w:rsidR="006C6043">
        <w:rPr>
          <w:sz w:val="28"/>
          <w:szCs w:val="28"/>
        </w:rPr>
        <w:t xml:space="preserve"> out the hands of CRRC, that did not safeguard it from attachment by other creditors.  Were that to take place, recovery of the tax debt would certainly be prejudic</w:t>
      </w:r>
      <w:bookmarkStart w:id="4" w:name="_GoBack"/>
      <w:bookmarkEnd w:id="4"/>
      <w:r w:rsidR="006C6043">
        <w:rPr>
          <w:sz w:val="28"/>
          <w:szCs w:val="28"/>
        </w:rPr>
        <w:t>ed.</w:t>
      </w:r>
    </w:p>
    <w:p w:rsidR="006C6043" w:rsidRDefault="006C6043" w:rsidP="00961C77">
      <w:pPr>
        <w:pStyle w:val="MEMONUMBERED"/>
        <w:spacing w:after="360" w:line="360" w:lineRule="auto"/>
        <w:rPr>
          <w:sz w:val="28"/>
          <w:szCs w:val="28"/>
        </w:rPr>
      </w:pPr>
      <w:r>
        <w:rPr>
          <w:sz w:val="28"/>
          <w:szCs w:val="28"/>
        </w:rPr>
        <w:t xml:space="preserve">SARS’ </w:t>
      </w:r>
      <w:r w:rsidR="00487967">
        <w:rPr>
          <w:sz w:val="28"/>
          <w:szCs w:val="28"/>
        </w:rPr>
        <w:t xml:space="preserve">further </w:t>
      </w:r>
      <w:r>
        <w:rPr>
          <w:sz w:val="28"/>
          <w:szCs w:val="28"/>
        </w:rPr>
        <w:t xml:space="preserve">argument, made out extensively in its </w:t>
      </w:r>
      <w:r w:rsidR="00487967">
        <w:rPr>
          <w:sz w:val="28"/>
          <w:szCs w:val="28"/>
        </w:rPr>
        <w:t>answering affidavit</w:t>
      </w:r>
      <w:r>
        <w:rPr>
          <w:sz w:val="28"/>
          <w:szCs w:val="28"/>
        </w:rPr>
        <w:t xml:space="preserve"> by the same senior SARS official who had deposed to the founding affidavit in respect of the preservation order, was that it was dealing with a delinquent tax payer who had sought to defraud organs of state as part of </w:t>
      </w:r>
      <w:r w:rsidR="00487967">
        <w:rPr>
          <w:sz w:val="28"/>
          <w:szCs w:val="28"/>
        </w:rPr>
        <w:t xml:space="preserve">the </w:t>
      </w:r>
      <w:r>
        <w:rPr>
          <w:sz w:val="28"/>
          <w:szCs w:val="28"/>
        </w:rPr>
        <w:t>so-called State Capture</w:t>
      </w:r>
      <w:r w:rsidR="00487967">
        <w:rPr>
          <w:sz w:val="28"/>
          <w:szCs w:val="28"/>
        </w:rPr>
        <w:t>,</w:t>
      </w:r>
      <w:r>
        <w:rPr>
          <w:sz w:val="28"/>
          <w:szCs w:val="28"/>
        </w:rPr>
        <w:t xml:space="preserve"> relating to Transnet.  As a subsidiary company of a </w:t>
      </w:r>
      <w:r w:rsidR="001565EB">
        <w:rPr>
          <w:sz w:val="28"/>
          <w:szCs w:val="28"/>
        </w:rPr>
        <w:t>Chinese</w:t>
      </w:r>
      <w:r>
        <w:rPr>
          <w:sz w:val="28"/>
          <w:szCs w:val="28"/>
        </w:rPr>
        <w:t xml:space="preserve"> holding group of companies, incorporated shortly before the award of the Transnet tenders and with litigation ongoing regarding fronting allegations of it</w:t>
      </w:r>
      <w:r w:rsidR="00487967">
        <w:rPr>
          <w:sz w:val="28"/>
          <w:szCs w:val="28"/>
        </w:rPr>
        <w:t>s</w:t>
      </w:r>
      <w:r>
        <w:rPr>
          <w:sz w:val="28"/>
          <w:szCs w:val="28"/>
        </w:rPr>
        <w:t xml:space="preserve"> BEE component, SARS concluded that the giving of prior notice by way of a final demand, would put the funds which were up to that stage only protected by the preservation orders, at other attachment risks, let alone the rep</w:t>
      </w:r>
      <w:r w:rsidR="00487967">
        <w:rPr>
          <w:sz w:val="28"/>
          <w:szCs w:val="28"/>
        </w:rPr>
        <w:t>atriation</w:t>
      </w:r>
      <w:r>
        <w:rPr>
          <w:sz w:val="28"/>
          <w:szCs w:val="28"/>
        </w:rPr>
        <w:t xml:space="preserve"> risks to China should the preservation order at any stage lapse or be lifted.</w:t>
      </w:r>
    </w:p>
    <w:p w:rsidR="006C6043" w:rsidRDefault="006C6043" w:rsidP="00961C77">
      <w:pPr>
        <w:pStyle w:val="MEMONUMBERED"/>
        <w:spacing w:after="360" w:line="360" w:lineRule="auto"/>
        <w:rPr>
          <w:sz w:val="28"/>
          <w:szCs w:val="28"/>
        </w:rPr>
      </w:pPr>
      <w:r>
        <w:rPr>
          <w:sz w:val="28"/>
          <w:szCs w:val="28"/>
        </w:rPr>
        <w:t>As pointed out in the judgment, none of these weighty accusations were refuted (and neither had they been addressed in the application for the preservation order) by the taxpayer.  At best, the court was presented by an affidavit by CRRC’s attorney, containing bald denials but no evidence of fact or substance.</w:t>
      </w:r>
    </w:p>
    <w:p w:rsidR="003B53C7" w:rsidRDefault="006C6043" w:rsidP="00961C77">
      <w:pPr>
        <w:pStyle w:val="MEMONUMBERED"/>
        <w:spacing w:after="360" w:line="360" w:lineRule="auto"/>
        <w:rPr>
          <w:sz w:val="28"/>
          <w:szCs w:val="28"/>
        </w:rPr>
      </w:pPr>
      <w:r>
        <w:rPr>
          <w:sz w:val="28"/>
          <w:szCs w:val="28"/>
        </w:rPr>
        <w:t>As to the prospects of success on appeal, senior counsel for SARS laconically remarked that CRRC’s evidence</w:t>
      </w:r>
      <w:r w:rsidR="00487967">
        <w:rPr>
          <w:sz w:val="28"/>
          <w:szCs w:val="28"/>
        </w:rPr>
        <w:t xml:space="preserve"> (or rather the lack thereof)</w:t>
      </w:r>
      <w:r>
        <w:rPr>
          <w:sz w:val="28"/>
          <w:szCs w:val="28"/>
        </w:rPr>
        <w:t xml:space="preserve"> was not going to get “better” on appeal.</w:t>
      </w:r>
    </w:p>
    <w:p w:rsidR="003B53C7" w:rsidRPr="003B53C7" w:rsidRDefault="003B53C7" w:rsidP="003B53C7">
      <w:pPr>
        <w:pStyle w:val="MEMONUMBERED"/>
        <w:numPr>
          <w:ilvl w:val="0"/>
          <w:numId w:val="0"/>
        </w:numPr>
        <w:spacing w:after="120" w:line="360" w:lineRule="auto"/>
        <w:rPr>
          <w:b/>
          <w:sz w:val="28"/>
          <w:szCs w:val="28"/>
        </w:rPr>
      </w:pPr>
      <w:r w:rsidRPr="003B53C7">
        <w:rPr>
          <w:b/>
          <w:sz w:val="28"/>
          <w:szCs w:val="28"/>
        </w:rPr>
        <w:t>The</w:t>
      </w:r>
      <w:r w:rsidRPr="003B53C7">
        <w:rPr>
          <w:b/>
          <w:i/>
          <w:sz w:val="28"/>
          <w:szCs w:val="28"/>
        </w:rPr>
        <w:t xml:space="preserve"> Hindry</w:t>
      </w:r>
      <w:r w:rsidRPr="003B53C7">
        <w:rPr>
          <w:b/>
          <w:sz w:val="28"/>
          <w:szCs w:val="28"/>
        </w:rPr>
        <w:t xml:space="preserve"> principle</w:t>
      </w:r>
    </w:p>
    <w:p w:rsidR="006C6043" w:rsidRDefault="003B53C7" w:rsidP="003B53C7">
      <w:pPr>
        <w:pStyle w:val="MEMONUMBERED"/>
        <w:spacing w:after="360" w:line="360" w:lineRule="auto"/>
        <w:rPr>
          <w:sz w:val="28"/>
          <w:szCs w:val="28"/>
        </w:rPr>
      </w:pPr>
      <w:r>
        <w:rPr>
          <w:sz w:val="28"/>
          <w:szCs w:val="28"/>
        </w:rPr>
        <w:t>SARS</w:t>
      </w:r>
      <w:r w:rsidR="006C6043">
        <w:rPr>
          <w:sz w:val="28"/>
          <w:szCs w:val="28"/>
        </w:rPr>
        <w:t xml:space="preserve"> </w:t>
      </w:r>
      <w:r>
        <w:rPr>
          <w:sz w:val="28"/>
          <w:szCs w:val="28"/>
        </w:rPr>
        <w:t xml:space="preserve">relied on the decision in </w:t>
      </w:r>
      <w:r w:rsidRPr="003B53C7">
        <w:rPr>
          <w:i/>
          <w:sz w:val="28"/>
          <w:szCs w:val="28"/>
        </w:rPr>
        <w:t>Hindry v Nedco</w:t>
      </w:r>
      <w:r w:rsidR="00487967">
        <w:rPr>
          <w:i/>
          <w:sz w:val="28"/>
          <w:szCs w:val="28"/>
        </w:rPr>
        <w:t>r</w:t>
      </w:r>
      <w:r w:rsidRPr="003B53C7">
        <w:rPr>
          <w:i/>
          <w:sz w:val="28"/>
          <w:szCs w:val="28"/>
        </w:rPr>
        <w:t xml:space="preserve"> Bank Ltd and Another</w:t>
      </w:r>
      <w:r>
        <w:rPr>
          <w:rStyle w:val="FootnoteReference"/>
          <w:sz w:val="28"/>
          <w:szCs w:val="28"/>
        </w:rPr>
        <w:footnoteReference w:id="2"/>
      </w:r>
      <w:r>
        <w:rPr>
          <w:i/>
          <w:sz w:val="28"/>
          <w:szCs w:val="28"/>
        </w:rPr>
        <w:t xml:space="preserve"> </w:t>
      </w:r>
      <w:r w:rsidRPr="003B53C7">
        <w:rPr>
          <w:sz w:val="28"/>
          <w:szCs w:val="28"/>
        </w:rPr>
        <w:t>(</w:t>
      </w:r>
      <w:r>
        <w:rPr>
          <w:i/>
          <w:sz w:val="28"/>
          <w:szCs w:val="28"/>
        </w:rPr>
        <w:t>Hindry</w:t>
      </w:r>
      <w:r w:rsidRPr="003B53C7">
        <w:rPr>
          <w:sz w:val="28"/>
          <w:szCs w:val="28"/>
        </w:rPr>
        <w:t>)</w:t>
      </w:r>
      <w:r>
        <w:rPr>
          <w:sz w:val="28"/>
          <w:szCs w:val="28"/>
        </w:rPr>
        <w:t xml:space="preserve"> in support of its argument that sufficient opportunity had been furnished to the taxpayer to be heard in the extensive prior correspondence exchanged between the parties.  CRRC argued that this court had erroneously accepted this argument (dealt with in paragraph 4.6, 5.7 – 5.9 of the Judgment).</w:t>
      </w:r>
    </w:p>
    <w:p w:rsidR="003B53C7" w:rsidRDefault="003B53C7" w:rsidP="003B53C7">
      <w:pPr>
        <w:pStyle w:val="MEMONUMBERED"/>
        <w:spacing w:after="360" w:line="360" w:lineRule="auto"/>
        <w:rPr>
          <w:sz w:val="28"/>
          <w:szCs w:val="28"/>
        </w:rPr>
      </w:pPr>
      <w:r>
        <w:rPr>
          <w:sz w:val="28"/>
          <w:szCs w:val="28"/>
        </w:rPr>
        <w:t xml:space="preserve">In oral argument, this point was not as strenuously advanced as in the written heads of argument and understandably so.  Despite </w:t>
      </w:r>
      <w:r w:rsidRPr="003B53C7">
        <w:rPr>
          <w:i/>
          <w:sz w:val="28"/>
          <w:szCs w:val="28"/>
        </w:rPr>
        <w:t>Hindry</w:t>
      </w:r>
      <w:r>
        <w:rPr>
          <w:sz w:val="28"/>
          <w:szCs w:val="28"/>
        </w:rPr>
        <w:t xml:space="preserve"> having dealt with the predecessor of section 179</w:t>
      </w:r>
      <w:r>
        <w:rPr>
          <w:rStyle w:val="FootnoteReference"/>
          <w:sz w:val="28"/>
          <w:szCs w:val="28"/>
        </w:rPr>
        <w:footnoteReference w:id="3"/>
      </w:r>
      <w:r>
        <w:rPr>
          <w:sz w:val="28"/>
          <w:szCs w:val="28"/>
        </w:rPr>
        <w:t xml:space="preserve">, the question of a requirement of prior notice and the obligation to provide a taxpayer with </w:t>
      </w:r>
      <w:r w:rsidRPr="003B53C7">
        <w:rPr>
          <w:i/>
          <w:sz w:val="28"/>
          <w:szCs w:val="28"/>
        </w:rPr>
        <w:t>audi alterem partem</w:t>
      </w:r>
      <w:r>
        <w:rPr>
          <w:sz w:val="28"/>
          <w:szCs w:val="28"/>
        </w:rPr>
        <w:t xml:space="preserve"> rights was squarely dealt with therein and SARS was in similar fashion as in the case of CRRC, relieved of that obligation as a result of the obligation having been sufficiently satisfied by way of prior correspondence. </w:t>
      </w:r>
    </w:p>
    <w:p w:rsidR="003B53C7" w:rsidRPr="003B53C7" w:rsidRDefault="003B53C7" w:rsidP="003B53C7">
      <w:pPr>
        <w:pStyle w:val="MEMONUMBERED"/>
        <w:numPr>
          <w:ilvl w:val="0"/>
          <w:numId w:val="0"/>
        </w:numPr>
        <w:spacing w:after="120" w:line="360" w:lineRule="auto"/>
        <w:rPr>
          <w:b/>
          <w:sz w:val="28"/>
          <w:szCs w:val="28"/>
        </w:rPr>
      </w:pPr>
      <w:r w:rsidRPr="003B53C7">
        <w:rPr>
          <w:b/>
          <w:sz w:val="28"/>
          <w:szCs w:val="28"/>
        </w:rPr>
        <w:t>The just and equitable argument</w:t>
      </w:r>
    </w:p>
    <w:p w:rsidR="00DF0EE9" w:rsidRDefault="003B53C7" w:rsidP="003B53C7">
      <w:pPr>
        <w:pStyle w:val="MEMONUMBERED"/>
        <w:spacing w:after="360" w:line="360" w:lineRule="auto"/>
        <w:rPr>
          <w:sz w:val="28"/>
          <w:szCs w:val="28"/>
        </w:rPr>
      </w:pPr>
      <w:r>
        <w:rPr>
          <w:sz w:val="28"/>
          <w:szCs w:val="28"/>
        </w:rPr>
        <w:t>In the main argument</w:t>
      </w:r>
      <w:r w:rsidR="009A68C3">
        <w:rPr>
          <w:sz w:val="28"/>
          <w:szCs w:val="28"/>
        </w:rPr>
        <w:t>, SAR</w:t>
      </w:r>
      <w:r w:rsidR="00DF0EE9">
        <w:rPr>
          <w:sz w:val="28"/>
          <w:szCs w:val="28"/>
        </w:rPr>
        <w:t>S had argue</w:t>
      </w:r>
      <w:r>
        <w:rPr>
          <w:sz w:val="28"/>
          <w:szCs w:val="28"/>
        </w:rPr>
        <w:t>d that, should the original third party notices be set aside, al</w:t>
      </w:r>
      <w:r w:rsidR="00DF0EE9">
        <w:rPr>
          <w:sz w:val="28"/>
          <w:szCs w:val="28"/>
        </w:rPr>
        <w:t>l that would happen is that new notices, albeit then preceded by a final demand</w:t>
      </w:r>
      <w:r w:rsidR="00487967">
        <w:rPr>
          <w:sz w:val="28"/>
          <w:szCs w:val="28"/>
        </w:rPr>
        <w:t>, would be issued.  I</w:t>
      </w:r>
      <w:r w:rsidR="00DF0EE9">
        <w:rPr>
          <w:sz w:val="28"/>
          <w:szCs w:val="28"/>
        </w:rPr>
        <w:t>t was clear from the fact that CRRC was not trading and that it had no other funds from which it could satisfy the tax debt, that the same result of payment of the funds by CRRC’s bankers in compliance with such notices would result.  Therefore, now that the funds had in any event been paid over to no prejudice of a non-trading company, just and equitable relief would be that SARS retain the funds.</w:t>
      </w:r>
    </w:p>
    <w:p w:rsidR="00DF0EE9" w:rsidRDefault="00DF0EE9" w:rsidP="003B53C7">
      <w:pPr>
        <w:pStyle w:val="MEMONUMBERED"/>
        <w:spacing w:after="360" w:line="360" w:lineRule="auto"/>
        <w:rPr>
          <w:sz w:val="28"/>
          <w:szCs w:val="28"/>
        </w:rPr>
      </w:pPr>
      <w:r>
        <w:rPr>
          <w:sz w:val="28"/>
          <w:szCs w:val="28"/>
        </w:rPr>
        <w:t>SARS</w:t>
      </w:r>
      <w:r w:rsidR="00487967">
        <w:rPr>
          <w:sz w:val="28"/>
          <w:szCs w:val="28"/>
        </w:rPr>
        <w:t>’</w:t>
      </w:r>
      <w:r>
        <w:rPr>
          <w:sz w:val="28"/>
          <w:szCs w:val="28"/>
        </w:rPr>
        <w:t xml:space="preserve"> argument found favour with this court (dealt with in par 5.10 of the judgment) and when it was debated with Adv Mastenbroek who appeared for CRRC at the hearing of the application for leave to appeal, he maintained that despite SARS’ argument and despite the fact that the just and equitable relief would have the same result as that achieved by a refusal of the main application, a finding of a review of the section 197(6) notices should still have been made.</w:t>
      </w:r>
    </w:p>
    <w:p w:rsidR="009A68C3" w:rsidRDefault="00DF0EE9" w:rsidP="003B53C7">
      <w:pPr>
        <w:pStyle w:val="MEMONUMBERED"/>
        <w:spacing w:after="360" w:line="360" w:lineRule="auto"/>
        <w:rPr>
          <w:sz w:val="28"/>
          <w:szCs w:val="28"/>
        </w:rPr>
      </w:pPr>
      <w:r>
        <w:rPr>
          <w:sz w:val="28"/>
          <w:szCs w:val="28"/>
        </w:rPr>
        <w:t xml:space="preserve">In my view, where no practical result would be achieved even if CRRC were to be successful on appeal, the </w:t>
      </w:r>
      <w:r w:rsidR="00487967">
        <w:rPr>
          <w:sz w:val="28"/>
          <w:szCs w:val="28"/>
        </w:rPr>
        <w:t>spectre</w:t>
      </w:r>
      <w:r>
        <w:rPr>
          <w:sz w:val="28"/>
          <w:szCs w:val="28"/>
        </w:rPr>
        <w:t xml:space="preserve"> of mootness envisaged by section 16(2)(a)(i) of the Superior Court</w:t>
      </w:r>
      <w:r w:rsidR="00487967">
        <w:rPr>
          <w:sz w:val="28"/>
          <w:szCs w:val="28"/>
        </w:rPr>
        <w:t>s</w:t>
      </w:r>
      <w:r>
        <w:rPr>
          <w:sz w:val="28"/>
          <w:szCs w:val="28"/>
        </w:rPr>
        <w:t xml:space="preserve"> Act looms large.  If this is the case, as I find it is, it must be emphasized that no alterate exceptional circumstances or grounds have been advanced by CRRC </w:t>
      </w:r>
      <w:r w:rsidR="00487967">
        <w:rPr>
          <w:sz w:val="28"/>
          <w:szCs w:val="28"/>
        </w:rPr>
        <w:t xml:space="preserve">to justify the hearing of a moot issue </w:t>
      </w:r>
      <w:r>
        <w:rPr>
          <w:sz w:val="28"/>
          <w:szCs w:val="28"/>
        </w:rPr>
        <w:t>and neither did it rely on any “compelling reasons” as contemplated in Section 17(1)(a)(ii) of the Superior Court’s Act</w:t>
      </w:r>
      <w:r w:rsidR="00487967">
        <w:rPr>
          <w:sz w:val="28"/>
          <w:szCs w:val="28"/>
        </w:rPr>
        <w:t>,</w:t>
      </w:r>
      <w:r>
        <w:rPr>
          <w:sz w:val="28"/>
          <w:szCs w:val="28"/>
        </w:rPr>
        <w:t xml:space="preserve"> as to why an appeal should be heard.</w:t>
      </w:r>
    </w:p>
    <w:p w:rsidR="00DF0EE9" w:rsidRPr="009A68C3" w:rsidRDefault="009A68C3" w:rsidP="009A68C3">
      <w:pPr>
        <w:pStyle w:val="MEMONUMBERED"/>
        <w:numPr>
          <w:ilvl w:val="0"/>
          <w:numId w:val="0"/>
        </w:numPr>
        <w:spacing w:after="120" w:line="360" w:lineRule="auto"/>
        <w:rPr>
          <w:b/>
          <w:sz w:val="28"/>
          <w:szCs w:val="28"/>
        </w:rPr>
      </w:pPr>
      <w:r w:rsidRPr="009A68C3">
        <w:rPr>
          <w:b/>
          <w:sz w:val="28"/>
          <w:szCs w:val="28"/>
        </w:rPr>
        <w:t>Conclusion</w:t>
      </w:r>
      <w:r>
        <w:rPr>
          <w:b/>
          <w:sz w:val="28"/>
          <w:szCs w:val="28"/>
        </w:rPr>
        <w:t xml:space="preserve"> </w:t>
      </w:r>
      <w:r w:rsidR="00DF0EE9" w:rsidRPr="009A68C3">
        <w:rPr>
          <w:b/>
          <w:sz w:val="28"/>
          <w:szCs w:val="28"/>
        </w:rPr>
        <w:t xml:space="preserve"> </w:t>
      </w:r>
      <w:r>
        <w:rPr>
          <w:b/>
          <w:sz w:val="28"/>
          <w:szCs w:val="28"/>
        </w:rPr>
        <w:t xml:space="preserve"> </w:t>
      </w:r>
    </w:p>
    <w:p w:rsidR="003B53C7" w:rsidRPr="0007495A" w:rsidRDefault="009A68C3" w:rsidP="003B53C7">
      <w:pPr>
        <w:pStyle w:val="MEMONUMBERED"/>
        <w:spacing w:after="360" w:line="360" w:lineRule="auto"/>
        <w:rPr>
          <w:sz w:val="28"/>
          <w:szCs w:val="28"/>
        </w:rPr>
      </w:pPr>
      <w:r>
        <w:rPr>
          <w:sz w:val="28"/>
          <w:szCs w:val="28"/>
        </w:rPr>
        <w:t>I therefore conclude that an appeal would have no reasonable prospect of success.</w:t>
      </w:r>
      <w:r w:rsidR="00DF0EE9">
        <w:rPr>
          <w:sz w:val="28"/>
          <w:szCs w:val="28"/>
        </w:rPr>
        <w:t xml:space="preserve"> </w:t>
      </w:r>
    </w:p>
    <w:p w:rsidR="00E90D2B" w:rsidRPr="009A68C3" w:rsidRDefault="00495527" w:rsidP="009A68C3">
      <w:pPr>
        <w:pStyle w:val="MEMONUMBERED"/>
        <w:numPr>
          <w:ilvl w:val="0"/>
          <w:numId w:val="0"/>
        </w:numPr>
        <w:spacing w:after="120" w:line="360" w:lineRule="auto"/>
        <w:rPr>
          <w:b/>
          <w:sz w:val="28"/>
          <w:szCs w:val="28"/>
        </w:rPr>
      </w:pPr>
      <w:r w:rsidRPr="009A68C3">
        <w:rPr>
          <w:b/>
          <w:sz w:val="28"/>
          <w:szCs w:val="28"/>
        </w:rPr>
        <w:t xml:space="preserve">Order </w:t>
      </w:r>
    </w:p>
    <w:p w:rsidR="005012AD" w:rsidRDefault="00495527" w:rsidP="009A68C3">
      <w:pPr>
        <w:pStyle w:val="MEMONUMBERED"/>
        <w:rPr>
          <w:sz w:val="28"/>
          <w:szCs w:val="28"/>
        </w:rPr>
      </w:pPr>
      <w:r w:rsidRPr="009A68C3">
        <w:rPr>
          <w:sz w:val="28"/>
          <w:szCs w:val="28"/>
        </w:rPr>
        <w:t xml:space="preserve">The </w:t>
      </w:r>
      <w:r w:rsidR="00253906" w:rsidRPr="009A68C3">
        <w:rPr>
          <w:sz w:val="28"/>
          <w:szCs w:val="28"/>
        </w:rPr>
        <w:t xml:space="preserve">application </w:t>
      </w:r>
      <w:r w:rsidR="009A68C3" w:rsidRPr="009A68C3">
        <w:rPr>
          <w:sz w:val="28"/>
          <w:szCs w:val="28"/>
        </w:rPr>
        <w:t>for leave to appeal is refused</w:t>
      </w:r>
      <w:r w:rsidR="00253906" w:rsidRPr="009A68C3">
        <w:rPr>
          <w:sz w:val="28"/>
          <w:szCs w:val="28"/>
        </w:rPr>
        <w:t xml:space="preserve"> with costs, including the costs of two counsel.</w:t>
      </w:r>
    </w:p>
    <w:p w:rsidR="009A68C3" w:rsidRPr="009A68C3" w:rsidRDefault="009A68C3" w:rsidP="009A68C3">
      <w:pPr>
        <w:pStyle w:val="MEMONUMBERED"/>
        <w:numPr>
          <w:ilvl w:val="0"/>
          <w:numId w:val="0"/>
        </w:numPr>
        <w:rPr>
          <w:sz w:val="28"/>
          <w:szCs w:val="28"/>
        </w:rPr>
      </w:pPr>
    </w:p>
    <w:p w:rsidR="00D553BE" w:rsidRPr="00457350" w:rsidRDefault="00D553BE" w:rsidP="00457350">
      <w:pPr>
        <w:pStyle w:val="MEMONUMBERED"/>
        <w:numPr>
          <w:ilvl w:val="0"/>
          <w:numId w:val="0"/>
        </w:numPr>
        <w:spacing w:after="120" w:line="360" w:lineRule="auto"/>
        <w:ind w:left="709"/>
        <w:rPr>
          <w:sz w:val="28"/>
          <w:szCs w:val="28"/>
        </w:rPr>
      </w:pPr>
    </w:p>
    <w:p w:rsidR="007103CD" w:rsidRPr="007332AE" w:rsidRDefault="007103CD" w:rsidP="007103CD">
      <w:pPr>
        <w:pStyle w:val="MEMONUMBERED"/>
        <w:numPr>
          <w:ilvl w:val="0"/>
          <w:numId w:val="0"/>
        </w:numPr>
        <w:spacing w:line="240" w:lineRule="auto"/>
        <w:jc w:val="right"/>
        <w:rPr>
          <w:sz w:val="28"/>
          <w:szCs w:val="28"/>
        </w:rPr>
      </w:pPr>
      <w:r>
        <w:t xml:space="preserve">                                                                                               </w:t>
      </w:r>
      <w:r w:rsidRPr="007332AE">
        <w:rPr>
          <w:sz w:val="28"/>
          <w:szCs w:val="28"/>
        </w:rPr>
        <w:t>____________________</w:t>
      </w:r>
      <w:r w:rsidR="00F33886">
        <w:rPr>
          <w:sz w:val="28"/>
          <w:szCs w:val="28"/>
        </w:rPr>
        <w:t>__</w:t>
      </w:r>
    </w:p>
    <w:p w:rsidR="007103CD" w:rsidRPr="007332AE" w:rsidRDefault="007103CD" w:rsidP="007103CD">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40DCF">
        <w:rPr>
          <w:sz w:val="28"/>
          <w:szCs w:val="28"/>
        </w:rPr>
        <w:t xml:space="preserve">    </w:t>
      </w:r>
      <w:r w:rsidR="00F33886">
        <w:rPr>
          <w:sz w:val="28"/>
          <w:szCs w:val="28"/>
        </w:rPr>
        <w:t xml:space="preserve">   </w:t>
      </w:r>
      <w:r>
        <w:rPr>
          <w:sz w:val="28"/>
          <w:szCs w:val="28"/>
        </w:rPr>
        <w:t>N DAVIS</w:t>
      </w:r>
    </w:p>
    <w:p w:rsidR="007103CD" w:rsidRDefault="007103CD" w:rsidP="007103CD">
      <w:pPr>
        <w:pStyle w:val="MEMONUMBERED"/>
        <w:numPr>
          <w:ilvl w:val="0"/>
          <w:numId w:val="0"/>
        </w:numPr>
        <w:spacing w:line="240" w:lineRule="auto"/>
        <w:jc w:val="center"/>
        <w:rPr>
          <w:sz w:val="28"/>
          <w:szCs w:val="28"/>
        </w:rPr>
      </w:pPr>
      <w:r w:rsidRPr="007332AE">
        <w:rPr>
          <w:sz w:val="28"/>
          <w:szCs w:val="28"/>
        </w:rPr>
        <w:t xml:space="preserve">                                                                            </w:t>
      </w:r>
      <w:r>
        <w:rPr>
          <w:sz w:val="28"/>
          <w:szCs w:val="28"/>
        </w:rPr>
        <w:t xml:space="preserve"> </w:t>
      </w:r>
      <w:r w:rsidR="00D40DCF">
        <w:rPr>
          <w:sz w:val="28"/>
          <w:szCs w:val="28"/>
        </w:rPr>
        <w:t xml:space="preserve">      </w:t>
      </w:r>
      <w:r w:rsidRPr="007332AE">
        <w:rPr>
          <w:sz w:val="28"/>
          <w:szCs w:val="28"/>
        </w:rPr>
        <w:t>Judge of the High Court</w:t>
      </w:r>
    </w:p>
    <w:p w:rsidR="000D6B2B" w:rsidRDefault="007103CD" w:rsidP="000D6B2B">
      <w:pPr>
        <w:pStyle w:val="MEMONUMBERED"/>
        <w:numPr>
          <w:ilvl w:val="0"/>
          <w:numId w:val="0"/>
        </w:numPr>
        <w:spacing w:line="240" w:lineRule="auto"/>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Gauteng Division, Pretoria</w:t>
      </w:r>
    </w:p>
    <w:p w:rsidR="00D553BE" w:rsidRDefault="00D553BE" w:rsidP="000D6B2B">
      <w:pPr>
        <w:pStyle w:val="MEMONUMBERED"/>
        <w:numPr>
          <w:ilvl w:val="0"/>
          <w:numId w:val="0"/>
        </w:numPr>
        <w:spacing w:line="240" w:lineRule="auto"/>
        <w:jc w:val="left"/>
      </w:pPr>
    </w:p>
    <w:p w:rsidR="00D553BE" w:rsidRDefault="00D553BE" w:rsidP="000D6B2B">
      <w:pPr>
        <w:pStyle w:val="MEMONUMBERED"/>
        <w:numPr>
          <w:ilvl w:val="0"/>
          <w:numId w:val="0"/>
        </w:numPr>
        <w:spacing w:line="240" w:lineRule="auto"/>
        <w:jc w:val="left"/>
      </w:pPr>
    </w:p>
    <w:p w:rsidR="000D6B2B" w:rsidRDefault="000D6B2B" w:rsidP="00F77237">
      <w:pPr>
        <w:pStyle w:val="MEMONUMBERED"/>
        <w:numPr>
          <w:ilvl w:val="0"/>
          <w:numId w:val="0"/>
        </w:numPr>
        <w:spacing w:line="240" w:lineRule="auto"/>
        <w:rPr>
          <w:sz w:val="28"/>
          <w:szCs w:val="28"/>
        </w:rPr>
      </w:pPr>
      <w:r w:rsidRPr="007332AE">
        <w:rPr>
          <w:sz w:val="28"/>
          <w:szCs w:val="28"/>
        </w:rPr>
        <w:t xml:space="preserve">                                                          </w:t>
      </w:r>
      <w:r>
        <w:rPr>
          <w:sz w:val="28"/>
          <w:szCs w:val="28"/>
        </w:rPr>
        <w:t xml:space="preserve">                                </w:t>
      </w:r>
      <w:r w:rsidR="00D553BE">
        <w:rPr>
          <w:sz w:val="28"/>
          <w:szCs w:val="28"/>
        </w:rPr>
        <w:t xml:space="preserve"> </w:t>
      </w:r>
    </w:p>
    <w:p w:rsidR="001A0E70" w:rsidRDefault="007103CD" w:rsidP="008A4A6E">
      <w:pPr>
        <w:pStyle w:val="MEMONUMBERED"/>
        <w:numPr>
          <w:ilvl w:val="0"/>
          <w:numId w:val="0"/>
        </w:numPr>
        <w:spacing w:line="240" w:lineRule="auto"/>
        <w:jc w:val="center"/>
        <w:rPr>
          <w:sz w:val="28"/>
          <w:szCs w:val="28"/>
        </w:rPr>
      </w:pPr>
      <w:r>
        <w:t xml:space="preserve">                                                                                         </w:t>
      </w:r>
    </w:p>
    <w:p w:rsidR="007103CD" w:rsidRDefault="007103CD" w:rsidP="007103CD">
      <w:pPr>
        <w:pStyle w:val="MEMONUMBERED"/>
        <w:numPr>
          <w:ilvl w:val="0"/>
          <w:numId w:val="0"/>
        </w:numPr>
        <w:rPr>
          <w:sz w:val="28"/>
          <w:szCs w:val="28"/>
        </w:rPr>
      </w:pPr>
      <w:r>
        <w:rPr>
          <w:sz w:val="28"/>
          <w:szCs w:val="28"/>
        </w:rPr>
        <w:t>Date of Hearing:</w:t>
      </w:r>
      <w:r w:rsidR="00042FF2">
        <w:rPr>
          <w:sz w:val="28"/>
          <w:szCs w:val="28"/>
        </w:rPr>
        <w:t xml:space="preserve"> </w:t>
      </w:r>
      <w:r w:rsidR="009A68C3">
        <w:rPr>
          <w:sz w:val="28"/>
          <w:szCs w:val="28"/>
        </w:rPr>
        <w:t>12 December 2023</w:t>
      </w:r>
    </w:p>
    <w:p w:rsidR="007103CD" w:rsidRDefault="007103CD" w:rsidP="007103CD">
      <w:pPr>
        <w:pStyle w:val="MEMONUMBERED"/>
        <w:numPr>
          <w:ilvl w:val="0"/>
          <w:numId w:val="0"/>
        </w:numPr>
        <w:rPr>
          <w:sz w:val="28"/>
          <w:szCs w:val="28"/>
        </w:rPr>
      </w:pPr>
      <w:r>
        <w:rPr>
          <w:sz w:val="28"/>
          <w:szCs w:val="28"/>
        </w:rPr>
        <w:t>Judgment delivered:</w:t>
      </w:r>
      <w:r w:rsidR="00E073A6">
        <w:rPr>
          <w:sz w:val="28"/>
          <w:szCs w:val="28"/>
        </w:rPr>
        <w:t xml:space="preserve"> </w:t>
      </w:r>
      <w:r w:rsidR="009A68C3">
        <w:rPr>
          <w:sz w:val="28"/>
          <w:szCs w:val="28"/>
        </w:rPr>
        <w:t>13 December 2023</w:t>
      </w:r>
      <w:r w:rsidR="000A6F67">
        <w:rPr>
          <w:sz w:val="28"/>
          <w:szCs w:val="28"/>
        </w:rPr>
        <w:t xml:space="preserve">  </w:t>
      </w:r>
    </w:p>
    <w:p w:rsidR="003349B5" w:rsidRDefault="003349B5" w:rsidP="00C02EAC">
      <w:pPr>
        <w:pStyle w:val="MEMONUMBERED"/>
        <w:numPr>
          <w:ilvl w:val="0"/>
          <w:numId w:val="0"/>
        </w:numPr>
        <w:rPr>
          <w:sz w:val="28"/>
          <w:szCs w:val="28"/>
        </w:rPr>
      </w:pPr>
    </w:p>
    <w:p w:rsidR="006B0512" w:rsidRDefault="000A6F67" w:rsidP="00C02EAC">
      <w:pPr>
        <w:pStyle w:val="MEMONUMBERED"/>
        <w:numPr>
          <w:ilvl w:val="0"/>
          <w:numId w:val="0"/>
        </w:numPr>
        <w:rPr>
          <w:sz w:val="28"/>
          <w:szCs w:val="28"/>
        </w:rPr>
      </w:pPr>
      <w:r w:rsidRPr="003E4489">
        <w:rPr>
          <w:sz w:val="28"/>
          <w:szCs w:val="28"/>
        </w:rPr>
        <w:t>APPEARANCES:</w:t>
      </w:r>
    </w:p>
    <w:p w:rsidR="00D553BE" w:rsidRDefault="00A4455E" w:rsidP="009A68C3">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F76B6F">
        <w:rPr>
          <w:rFonts w:ascii="Times New Roman" w:hAnsi="Times New Roman" w:cs="Times New Roman"/>
          <w:sz w:val="28"/>
          <w:szCs w:val="28"/>
        </w:rPr>
        <w:t>App</w:t>
      </w:r>
      <w:r w:rsidR="009A68C3">
        <w:rPr>
          <w:rFonts w:ascii="Times New Roman" w:hAnsi="Times New Roman" w:cs="Times New Roman"/>
          <w:sz w:val="28"/>
          <w:szCs w:val="28"/>
        </w:rPr>
        <w:t>licant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F77237">
        <w:rPr>
          <w:rFonts w:ascii="Times New Roman" w:hAnsi="Times New Roman" w:cs="Times New Roman"/>
          <w:sz w:val="28"/>
          <w:szCs w:val="28"/>
        </w:rPr>
        <w:t xml:space="preserve">Adv R Mastenbroek </w:t>
      </w:r>
    </w:p>
    <w:p w:rsidR="00042FF2" w:rsidRDefault="005A0C31" w:rsidP="00EC5C57">
      <w:pPr>
        <w:spacing w:after="0"/>
        <w:rPr>
          <w:rFonts w:ascii="Times New Roman" w:hAnsi="Times New Roman" w:cs="Times New Roman"/>
          <w:sz w:val="28"/>
          <w:szCs w:val="28"/>
        </w:rPr>
      </w:pPr>
      <w:r>
        <w:rPr>
          <w:rFonts w:ascii="Times New Roman" w:hAnsi="Times New Roman" w:cs="Times New Roman"/>
          <w:sz w:val="28"/>
          <w:szCs w:val="28"/>
        </w:rPr>
        <w:t xml:space="preserve">Attorney for </w:t>
      </w:r>
      <w:r w:rsidR="00311426">
        <w:rPr>
          <w:rFonts w:ascii="Times New Roman" w:hAnsi="Times New Roman" w:cs="Times New Roman"/>
          <w:sz w:val="28"/>
          <w:szCs w:val="28"/>
        </w:rPr>
        <w:t>App</w:t>
      </w:r>
      <w:r w:rsidR="009A68C3">
        <w:rPr>
          <w:rFonts w:ascii="Times New Roman" w:hAnsi="Times New Roman" w:cs="Times New Roman"/>
          <w:sz w:val="28"/>
          <w:szCs w:val="28"/>
        </w:rPr>
        <w:t>licant</w:t>
      </w:r>
      <w:r w:rsidR="00A4455E">
        <w:rPr>
          <w:rFonts w:ascii="Times New Roman" w:hAnsi="Times New Roman" w:cs="Times New Roman"/>
          <w:sz w:val="28"/>
          <w:szCs w:val="28"/>
        </w:rPr>
        <w:t>:</w:t>
      </w:r>
      <w:r>
        <w:rPr>
          <w:rFonts w:ascii="Times New Roman" w:hAnsi="Times New Roman" w:cs="Times New Roman"/>
          <w:sz w:val="28"/>
          <w:szCs w:val="28"/>
        </w:rPr>
        <w:tab/>
      </w:r>
      <w:r w:rsidR="00F76B6F">
        <w:rPr>
          <w:rFonts w:ascii="Times New Roman" w:hAnsi="Times New Roman" w:cs="Times New Roman"/>
          <w:sz w:val="28"/>
          <w:szCs w:val="28"/>
        </w:rPr>
        <w:tab/>
      </w:r>
      <w:r w:rsidR="00F76B6F">
        <w:rPr>
          <w:rFonts w:ascii="Times New Roman" w:hAnsi="Times New Roman" w:cs="Times New Roman"/>
          <w:sz w:val="28"/>
          <w:szCs w:val="28"/>
        </w:rPr>
        <w:tab/>
      </w:r>
      <w:r w:rsidR="00F77237">
        <w:rPr>
          <w:rFonts w:ascii="Times New Roman" w:hAnsi="Times New Roman" w:cs="Times New Roman"/>
          <w:sz w:val="28"/>
          <w:szCs w:val="28"/>
        </w:rPr>
        <w:t>B Makukunzva</w:t>
      </w:r>
      <w:r w:rsidR="00D553BE">
        <w:rPr>
          <w:rFonts w:ascii="Times New Roman" w:hAnsi="Times New Roman" w:cs="Times New Roman"/>
          <w:sz w:val="28"/>
          <w:szCs w:val="28"/>
        </w:rPr>
        <w:t xml:space="preserve"> Attorneys,</w:t>
      </w:r>
      <w:r w:rsidR="00F77237">
        <w:rPr>
          <w:rFonts w:ascii="Times New Roman" w:hAnsi="Times New Roman" w:cs="Times New Roman"/>
          <w:sz w:val="28"/>
          <w:szCs w:val="28"/>
        </w:rPr>
        <w:t xml:space="preserve"> Sandton</w:t>
      </w:r>
    </w:p>
    <w:p w:rsidR="00042FF2" w:rsidRPr="00457350" w:rsidRDefault="00042FF2" w:rsidP="00042FF2">
      <w:pPr>
        <w:spacing w:after="0"/>
        <w:ind w:left="4320"/>
        <w:rPr>
          <w:rFonts w:ascii="Times New Roman" w:hAnsi="Times New Roman" w:cs="Times New Roman"/>
          <w:sz w:val="28"/>
          <w:szCs w:val="28"/>
        </w:rPr>
      </w:pPr>
      <w:r>
        <w:rPr>
          <w:rFonts w:ascii="Times New Roman" w:hAnsi="Times New Roman" w:cs="Times New Roman"/>
          <w:sz w:val="28"/>
          <w:szCs w:val="28"/>
        </w:rPr>
        <w:t xml:space="preserve">c/o </w:t>
      </w:r>
      <w:r w:rsidR="00F77237">
        <w:rPr>
          <w:rFonts w:ascii="Times New Roman" w:hAnsi="Times New Roman" w:cs="Times New Roman"/>
          <w:sz w:val="28"/>
          <w:szCs w:val="28"/>
        </w:rPr>
        <w:t>Phosa Loots Inc Attorneys</w:t>
      </w:r>
      <w:r>
        <w:rPr>
          <w:rFonts w:ascii="Times New Roman" w:hAnsi="Times New Roman" w:cs="Times New Roman"/>
          <w:sz w:val="28"/>
          <w:szCs w:val="28"/>
        </w:rPr>
        <w:t>, Pretoria</w:t>
      </w:r>
    </w:p>
    <w:p w:rsidR="00A4455E" w:rsidRDefault="00A4455E" w:rsidP="00C02EAC">
      <w:pPr>
        <w:pStyle w:val="MEMONUMBERED"/>
        <w:numPr>
          <w:ilvl w:val="0"/>
          <w:numId w:val="0"/>
        </w:numPr>
        <w:rPr>
          <w:sz w:val="28"/>
          <w:szCs w:val="28"/>
        </w:rPr>
      </w:pPr>
    </w:p>
    <w:p w:rsidR="000305A5" w:rsidRDefault="00B1466D" w:rsidP="00D553BE">
      <w:pPr>
        <w:spacing w:after="0"/>
        <w:rPr>
          <w:rFonts w:ascii="Times New Roman" w:hAnsi="Times New Roman" w:cs="Times New Roman"/>
          <w:sz w:val="28"/>
          <w:szCs w:val="28"/>
        </w:rPr>
      </w:pPr>
      <w:r>
        <w:rPr>
          <w:rFonts w:ascii="Times New Roman" w:hAnsi="Times New Roman" w:cs="Times New Roman"/>
          <w:sz w:val="28"/>
          <w:szCs w:val="28"/>
        </w:rPr>
        <w:t xml:space="preserve">For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0A6F67">
        <w:rPr>
          <w:rFonts w:ascii="Times New Roman" w:hAnsi="Times New Roman" w:cs="Times New Roman"/>
          <w:sz w:val="28"/>
          <w:szCs w:val="28"/>
        </w:rPr>
        <w:t>:</w:t>
      </w:r>
      <w:r w:rsidR="00BF06C8">
        <w:rPr>
          <w:rFonts w:ascii="Times New Roman" w:hAnsi="Times New Roman" w:cs="Times New Roman"/>
          <w:sz w:val="28"/>
          <w:szCs w:val="28"/>
        </w:rPr>
        <w:tab/>
      </w:r>
      <w:r w:rsidR="00BF06C8">
        <w:rPr>
          <w:rFonts w:ascii="Times New Roman" w:hAnsi="Times New Roman" w:cs="Times New Roman"/>
          <w:sz w:val="28"/>
          <w:szCs w:val="28"/>
        </w:rPr>
        <w:tab/>
      </w:r>
      <w:r w:rsidR="00042FF2">
        <w:rPr>
          <w:rFonts w:ascii="Times New Roman" w:hAnsi="Times New Roman" w:cs="Times New Roman"/>
          <w:sz w:val="28"/>
          <w:szCs w:val="28"/>
        </w:rPr>
        <w:tab/>
      </w:r>
      <w:r w:rsidR="00042FF2">
        <w:rPr>
          <w:rFonts w:ascii="Times New Roman" w:hAnsi="Times New Roman" w:cs="Times New Roman"/>
          <w:sz w:val="28"/>
          <w:szCs w:val="28"/>
        </w:rPr>
        <w:tab/>
      </w:r>
      <w:r w:rsidR="00BF06C8">
        <w:rPr>
          <w:rFonts w:ascii="Times New Roman" w:hAnsi="Times New Roman" w:cs="Times New Roman"/>
          <w:sz w:val="28"/>
          <w:szCs w:val="28"/>
        </w:rPr>
        <w:t xml:space="preserve">Adv </w:t>
      </w:r>
      <w:r w:rsidR="00F77237">
        <w:rPr>
          <w:rFonts w:ascii="Times New Roman" w:hAnsi="Times New Roman" w:cs="Times New Roman"/>
          <w:sz w:val="28"/>
          <w:szCs w:val="28"/>
        </w:rPr>
        <w:t>H G A Snyman</w:t>
      </w:r>
      <w:r w:rsidR="00D553BE">
        <w:rPr>
          <w:rFonts w:ascii="Times New Roman" w:hAnsi="Times New Roman" w:cs="Times New Roman"/>
          <w:sz w:val="28"/>
          <w:szCs w:val="28"/>
        </w:rPr>
        <w:t xml:space="preserve"> SC</w:t>
      </w:r>
      <w:r w:rsidR="00F77237">
        <w:rPr>
          <w:rFonts w:ascii="Times New Roman" w:hAnsi="Times New Roman" w:cs="Times New Roman"/>
          <w:sz w:val="28"/>
          <w:szCs w:val="28"/>
        </w:rPr>
        <w:t xml:space="preserve"> together with </w:t>
      </w:r>
    </w:p>
    <w:p w:rsidR="00F77237" w:rsidRDefault="00F77237" w:rsidP="00D553BE">
      <w:pPr>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Adv F Storm</w:t>
      </w:r>
    </w:p>
    <w:p w:rsidR="00D553BE" w:rsidRDefault="00A4455E" w:rsidP="00BF06C8">
      <w:pPr>
        <w:spacing w:after="0"/>
        <w:ind w:left="3686" w:hanging="3686"/>
        <w:rPr>
          <w:rFonts w:ascii="Times New Roman" w:hAnsi="Times New Roman" w:cs="Times New Roman"/>
          <w:sz w:val="28"/>
          <w:szCs w:val="28"/>
        </w:rPr>
      </w:pPr>
      <w:r>
        <w:rPr>
          <w:rFonts w:ascii="Times New Roman" w:hAnsi="Times New Roman" w:cs="Times New Roman"/>
          <w:sz w:val="28"/>
          <w:szCs w:val="28"/>
        </w:rPr>
        <w:t>Attorneys for</w:t>
      </w:r>
      <w:r w:rsidR="000305A5">
        <w:rPr>
          <w:rFonts w:ascii="Times New Roman" w:hAnsi="Times New Roman" w:cs="Times New Roman"/>
          <w:sz w:val="28"/>
          <w:szCs w:val="28"/>
        </w:rPr>
        <w:t xml:space="preserve"> </w:t>
      </w:r>
      <w:r w:rsidR="00BF06C8">
        <w:rPr>
          <w:rFonts w:ascii="Times New Roman" w:hAnsi="Times New Roman" w:cs="Times New Roman"/>
          <w:sz w:val="28"/>
          <w:szCs w:val="28"/>
        </w:rPr>
        <w:t>Respondent</w:t>
      </w:r>
      <w:r w:rsidR="000305A5">
        <w:rPr>
          <w:rFonts w:ascii="Times New Roman" w:hAnsi="Times New Roman" w:cs="Times New Roman"/>
          <w:sz w:val="28"/>
          <w:szCs w:val="28"/>
        </w:rPr>
        <w:t>s</w:t>
      </w:r>
      <w:r w:rsidR="00EA0C3D">
        <w:rPr>
          <w:rFonts w:ascii="Times New Roman" w:hAnsi="Times New Roman" w:cs="Times New Roman"/>
          <w:sz w:val="28"/>
          <w:szCs w:val="28"/>
        </w:rPr>
        <w:t>:</w:t>
      </w:r>
      <w:r w:rsidR="00042FF2">
        <w:rPr>
          <w:rFonts w:ascii="Times New Roman" w:hAnsi="Times New Roman" w:cs="Times New Roman"/>
          <w:sz w:val="28"/>
          <w:szCs w:val="28"/>
        </w:rPr>
        <w:tab/>
      </w:r>
      <w:r w:rsidR="00BF06C8">
        <w:rPr>
          <w:rFonts w:ascii="Times New Roman" w:hAnsi="Times New Roman" w:cs="Times New Roman"/>
          <w:sz w:val="28"/>
          <w:szCs w:val="28"/>
        </w:rPr>
        <w:tab/>
      </w:r>
      <w:r w:rsidR="00F77237">
        <w:rPr>
          <w:rFonts w:ascii="Times New Roman" w:hAnsi="Times New Roman" w:cs="Times New Roman"/>
          <w:sz w:val="28"/>
          <w:szCs w:val="28"/>
        </w:rPr>
        <w:t>Savage Jooste</w:t>
      </w:r>
      <w:r w:rsidR="006D5DA4">
        <w:rPr>
          <w:rFonts w:ascii="Times New Roman" w:hAnsi="Times New Roman" w:cs="Times New Roman"/>
          <w:sz w:val="28"/>
          <w:szCs w:val="28"/>
        </w:rPr>
        <w:t xml:space="preserve"> &amp; Adams</w:t>
      </w:r>
      <w:r w:rsidR="00F77237">
        <w:rPr>
          <w:rFonts w:ascii="Times New Roman" w:hAnsi="Times New Roman" w:cs="Times New Roman"/>
          <w:sz w:val="28"/>
          <w:szCs w:val="28"/>
        </w:rPr>
        <w:t xml:space="preserve"> Attorneys</w:t>
      </w:r>
      <w:r w:rsidR="000E671B">
        <w:rPr>
          <w:rFonts w:ascii="Times New Roman" w:hAnsi="Times New Roman" w:cs="Times New Roman"/>
          <w:sz w:val="28"/>
          <w:szCs w:val="28"/>
        </w:rPr>
        <w:t xml:space="preserve">, </w:t>
      </w:r>
    </w:p>
    <w:p w:rsidR="00C02EAC" w:rsidRDefault="000E671B" w:rsidP="003349B5">
      <w:pPr>
        <w:spacing w:after="0"/>
        <w:ind w:left="3686" w:firstLine="634"/>
        <w:rPr>
          <w:rFonts w:ascii="Times New Roman" w:eastAsia="Times New Roman" w:hAnsi="Times New Roman" w:cs="Times New Roman"/>
          <w:sz w:val="28"/>
          <w:szCs w:val="28"/>
          <w:lang w:val="en-US" w:eastAsia="en-ZA"/>
        </w:rPr>
      </w:pPr>
      <w:r>
        <w:rPr>
          <w:rFonts w:ascii="Times New Roman" w:hAnsi="Times New Roman" w:cs="Times New Roman"/>
          <w:sz w:val="28"/>
          <w:szCs w:val="28"/>
        </w:rPr>
        <w:t>Pretoria</w:t>
      </w:r>
    </w:p>
    <w:sectPr w:rsidR="00C02EAC" w:rsidSect="00617015">
      <w:headerReference w:type="default" r:id="rId9"/>
      <w:pgSz w:w="11906" w:h="16838"/>
      <w:pgMar w:top="1440"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27" w:rsidRDefault="00575727" w:rsidP="00AA0559">
      <w:pPr>
        <w:spacing w:after="0" w:line="240" w:lineRule="auto"/>
      </w:pPr>
      <w:r>
        <w:separator/>
      </w:r>
    </w:p>
  </w:endnote>
  <w:endnote w:type="continuationSeparator" w:id="0">
    <w:p w:rsidR="00575727" w:rsidRDefault="00575727" w:rsidP="00AA0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27" w:rsidRDefault="00575727" w:rsidP="00AA0559">
      <w:pPr>
        <w:spacing w:after="0" w:line="240" w:lineRule="auto"/>
      </w:pPr>
      <w:r>
        <w:separator/>
      </w:r>
    </w:p>
  </w:footnote>
  <w:footnote w:type="continuationSeparator" w:id="0">
    <w:p w:rsidR="00575727" w:rsidRDefault="00575727" w:rsidP="00AA0559">
      <w:pPr>
        <w:spacing w:after="0" w:line="240" w:lineRule="auto"/>
      </w:pPr>
      <w:r>
        <w:continuationSeparator/>
      </w:r>
    </w:p>
  </w:footnote>
  <w:footnote w:id="1">
    <w:p w:rsidR="00487967" w:rsidRDefault="00487967">
      <w:pPr>
        <w:pStyle w:val="FootnoteText"/>
      </w:pPr>
      <w:r>
        <w:rPr>
          <w:rStyle w:val="FootnoteReference"/>
        </w:rPr>
        <w:footnoteRef/>
      </w:r>
      <w:r>
        <w:t xml:space="preserve"> 10 of 2013.</w:t>
      </w:r>
    </w:p>
  </w:footnote>
  <w:footnote w:id="2">
    <w:p w:rsidR="003B53C7" w:rsidRDefault="003B53C7">
      <w:pPr>
        <w:pStyle w:val="FootnoteText"/>
      </w:pPr>
      <w:r>
        <w:rPr>
          <w:rStyle w:val="FootnoteReference"/>
        </w:rPr>
        <w:footnoteRef/>
      </w:r>
      <w:r>
        <w:t xml:space="preserve"> 1999 (2) SA 757 (W).</w:t>
      </w:r>
    </w:p>
  </w:footnote>
  <w:footnote w:id="3">
    <w:p w:rsidR="003B53C7" w:rsidRDefault="003B53C7">
      <w:pPr>
        <w:pStyle w:val="FootnoteText"/>
      </w:pPr>
      <w:r>
        <w:rPr>
          <w:rStyle w:val="FootnoteReference"/>
        </w:rPr>
        <w:footnoteRef/>
      </w:r>
      <w:r>
        <w:t xml:space="preserve"> Being section 99 of the Income Tax Act 58 of 1962.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479817"/>
      <w:docPartObj>
        <w:docPartGallery w:val="Page Numbers (Top of Page)"/>
        <w:docPartUnique/>
      </w:docPartObj>
    </w:sdtPr>
    <w:sdtEndPr>
      <w:rPr>
        <w:noProof/>
      </w:rPr>
    </w:sdtEndPr>
    <w:sdtContent>
      <w:p w:rsidR="00CA7894" w:rsidRDefault="00CA7894">
        <w:pPr>
          <w:pStyle w:val="Header"/>
          <w:jc w:val="right"/>
        </w:pPr>
        <w:r>
          <w:fldChar w:fldCharType="begin"/>
        </w:r>
        <w:r>
          <w:instrText xml:space="preserve"> PAGE   \* MERGEFORMAT </w:instrText>
        </w:r>
        <w:r>
          <w:fldChar w:fldCharType="separate"/>
        </w:r>
        <w:r w:rsidR="00575727">
          <w:rPr>
            <w:noProof/>
          </w:rPr>
          <w:t>1</w:t>
        </w:r>
        <w:r>
          <w:rPr>
            <w:noProof/>
          </w:rPr>
          <w:fldChar w:fldCharType="end"/>
        </w:r>
      </w:p>
    </w:sdtContent>
  </w:sdt>
  <w:p w:rsidR="00CA7894" w:rsidRDefault="00CA78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7626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03752D"/>
    <w:multiLevelType w:val="hybridMultilevel"/>
    <w:tmpl w:val="C5805DBA"/>
    <w:lvl w:ilvl="0" w:tplc="AC46AB4A">
      <w:start w:val="1"/>
      <w:numFmt w:val="decimal"/>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 w15:restartNumberingAfterBreak="0">
    <w:nsid w:val="095A7A26"/>
    <w:multiLevelType w:val="hybridMultilevel"/>
    <w:tmpl w:val="D09CA578"/>
    <w:lvl w:ilvl="0" w:tplc="258A7F1E">
      <w:start w:val="1"/>
      <w:numFmt w:val="decimal"/>
      <w:pStyle w:val="MEMONUMBERED"/>
      <w:lvlText w:val="[%1]"/>
      <w:lvlJc w:val="left"/>
      <w:rPr>
        <w:rFonts w:ascii="Times New Roman" w:hAnsi="Times New Roman" w:cs="Times New Roman"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27B0D4B0">
      <w:start w:val="1"/>
      <w:numFmt w:val="lowerLetter"/>
      <w:lvlText w:val="%2."/>
      <w:lvlJc w:val="left"/>
      <w:pPr>
        <w:ind w:left="2215" w:hanging="360"/>
      </w:pPr>
      <w:rPr>
        <w:rFonts w:cs="Times New Roman"/>
      </w:rPr>
    </w:lvl>
    <w:lvl w:ilvl="2" w:tplc="0409001B">
      <w:start w:val="1"/>
      <w:numFmt w:val="lowerRoman"/>
      <w:lvlText w:val="%3."/>
      <w:lvlJc w:val="right"/>
      <w:pPr>
        <w:ind w:left="2880" w:hanging="180"/>
      </w:pPr>
      <w:rPr>
        <w:rFonts w:cs="Times New Roman"/>
      </w:rPr>
    </w:lvl>
    <w:lvl w:ilvl="3" w:tplc="4B2A1C24">
      <w:start w:val="1"/>
      <w:numFmt w:val="decimal"/>
      <w:lvlText w:val="%4."/>
      <w:lvlJc w:val="left"/>
      <w:pPr>
        <w:ind w:left="1080" w:hanging="360"/>
      </w:pPr>
      <w:rPr>
        <w:rFonts w:ascii="Arial" w:hAnsi="Arial" w:cs="Arial" w:hint="default"/>
        <w:b w:val="0"/>
        <w:i w:val="0"/>
        <w:strike w:val="0"/>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BC6DC2"/>
    <w:multiLevelType w:val="multilevel"/>
    <w:tmpl w:val="C546BA8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9E8110A"/>
    <w:multiLevelType w:val="hybridMultilevel"/>
    <w:tmpl w:val="D7A43CB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5" w15:restartNumberingAfterBreak="0">
    <w:nsid w:val="1B7632BE"/>
    <w:multiLevelType w:val="multilevel"/>
    <w:tmpl w:val="C546BA8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72C7ED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881114F"/>
    <w:multiLevelType w:val="multilevel"/>
    <w:tmpl w:val="52BC614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1A9525D"/>
    <w:multiLevelType w:val="multilevel"/>
    <w:tmpl w:val="C546BA8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7D22C96"/>
    <w:multiLevelType w:val="multilevel"/>
    <w:tmpl w:val="6C26499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3C320FE9"/>
    <w:multiLevelType w:val="multilevel"/>
    <w:tmpl w:val="AA60B49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971A87"/>
    <w:multiLevelType w:val="multilevel"/>
    <w:tmpl w:val="B5A27A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3542F8A"/>
    <w:multiLevelType w:val="hybridMultilevel"/>
    <w:tmpl w:val="88D605F8"/>
    <w:lvl w:ilvl="0" w:tplc="7A62951A">
      <w:start w:val="1"/>
      <w:numFmt w:val="bullet"/>
      <w:lvlText w:val="-"/>
      <w:lvlJc w:val="left"/>
      <w:pPr>
        <w:ind w:left="1069" w:hanging="360"/>
      </w:pPr>
      <w:rPr>
        <w:rFonts w:ascii="Times New Roman" w:eastAsia="Times New Roman" w:hAnsi="Times New Roman" w:cs="Times New Roman" w:hint="default"/>
        <w:u w:val="none"/>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3" w15:restartNumberingAfterBreak="0">
    <w:nsid w:val="497A0BBA"/>
    <w:multiLevelType w:val="multilevel"/>
    <w:tmpl w:val="2EF85C0E"/>
    <w:lvl w:ilvl="0">
      <w:start w:val="1"/>
      <w:numFmt w:val="decimal"/>
      <w:lvlText w:val="%1"/>
      <w:lvlJc w:val="left"/>
      <w:pPr>
        <w:ind w:left="360" w:hanging="360"/>
      </w:pPr>
      <w:rPr>
        <w:rFonts w:hint="default"/>
        <w:color w:val="000000" w:themeColor="text1"/>
        <w:sz w:val="28"/>
      </w:rPr>
    </w:lvl>
    <w:lvl w:ilvl="1">
      <w:start w:val="1"/>
      <w:numFmt w:val="decimal"/>
      <w:lvlText w:val="%1.%2"/>
      <w:lvlJc w:val="left"/>
      <w:pPr>
        <w:ind w:left="360" w:hanging="360"/>
      </w:pPr>
      <w:rPr>
        <w:rFonts w:hint="default"/>
        <w:color w:val="000000" w:themeColor="text1"/>
        <w:sz w:val="28"/>
      </w:rPr>
    </w:lvl>
    <w:lvl w:ilvl="2">
      <w:start w:val="1"/>
      <w:numFmt w:val="decimal"/>
      <w:lvlText w:val="%1.%2.%3"/>
      <w:lvlJc w:val="left"/>
      <w:pPr>
        <w:ind w:left="720" w:hanging="720"/>
      </w:pPr>
      <w:rPr>
        <w:rFonts w:hint="default"/>
        <w:color w:val="000000" w:themeColor="text1"/>
        <w:sz w:val="28"/>
      </w:rPr>
    </w:lvl>
    <w:lvl w:ilvl="3">
      <w:start w:val="1"/>
      <w:numFmt w:val="decimal"/>
      <w:lvlText w:val="%1.%2.%3.%4"/>
      <w:lvlJc w:val="left"/>
      <w:pPr>
        <w:ind w:left="720" w:hanging="720"/>
      </w:pPr>
      <w:rPr>
        <w:rFonts w:hint="default"/>
        <w:color w:val="000000" w:themeColor="text1"/>
        <w:sz w:val="28"/>
      </w:rPr>
    </w:lvl>
    <w:lvl w:ilvl="4">
      <w:start w:val="1"/>
      <w:numFmt w:val="decimal"/>
      <w:lvlText w:val="%1.%2.%3.%4.%5"/>
      <w:lvlJc w:val="left"/>
      <w:pPr>
        <w:ind w:left="1080" w:hanging="1080"/>
      </w:pPr>
      <w:rPr>
        <w:rFonts w:hint="default"/>
        <w:color w:val="000000" w:themeColor="text1"/>
        <w:sz w:val="28"/>
      </w:rPr>
    </w:lvl>
    <w:lvl w:ilvl="5">
      <w:start w:val="1"/>
      <w:numFmt w:val="decimal"/>
      <w:lvlText w:val="%1.%2.%3.%4.%5.%6"/>
      <w:lvlJc w:val="left"/>
      <w:pPr>
        <w:ind w:left="1080" w:hanging="1080"/>
      </w:pPr>
      <w:rPr>
        <w:rFonts w:hint="default"/>
        <w:color w:val="000000" w:themeColor="text1"/>
        <w:sz w:val="28"/>
      </w:rPr>
    </w:lvl>
    <w:lvl w:ilvl="6">
      <w:start w:val="1"/>
      <w:numFmt w:val="decimal"/>
      <w:lvlText w:val="%1.%2.%3.%4.%5.%6.%7"/>
      <w:lvlJc w:val="left"/>
      <w:pPr>
        <w:ind w:left="1440" w:hanging="1440"/>
      </w:pPr>
      <w:rPr>
        <w:rFonts w:hint="default"/>
        <w:color w:val="000000" w:themeColor="text1"/>
        <w:sz w:val="28"/>
      </w:rPr>
    </w:lvl>
    <w:lvl w:ilvl="7">
      <w:start w:val="1"/>
      <w:numFmt w:val="decimal"/>
      <w:lvlText w:val="%1.%2.%3.%4.%5.%6.%7.%8"/>
      <w:lvlJc w:val="left"/>
      <w:pPr>
        <w:ind w:left="1440" w:hanging="1440"/>
      </w:pPr>
      <w:rPr>
        <w:rFonts w:hint="default"/>
        <w:color w:val="000000" w:themeColor="text1"/>
        <w:sz w:val="28"/>
      </w:rPr>
    </w:lvl>
    <w:lvl w:ilvl="8">
      <w:start w:val="1"/>
      <w:numFmt w:val="decimal"/>
      <w:lvlText w:val="%1.%2.%3.%4.%5.%6.%7.%8.%9"/>
      <w:lvlJc w:val="left"/>
      <w:pPr>
        <w:ind w:left="1800" w:hanging="1800"/>
      </w:pPr>
      <w:rPr>
        <w:rFonts w:hint="default"/>
        <w:color w:val="000000" w:themeColor="text1"/>
        <w:sz w:val="28"/>
      </w:rPr>
    </w:lvl>
  </w:abstractNum>
  <w:abstractNum w:abstractNumId="14" w15:restartNumberingAfterBreak="0">
    <w:nsid w:val="4C3266D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722D9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11F47A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D63151"/>
    <w:multiLevelType w:val="multilevel"/>
    <w:tmpl w:val="6040DE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6FE13D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2C2294"/>
    <w:multiLevelType w:val="multilevel"/>
    <w:tmpl w:val="6B82BEEC"/>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20" w15:restartNumberingAfterBreak="0">
    <w:nsid w:val="615C62E5"/>
    <w:multiLevelType w:val="multilevel"/>
    <w:tmpl w:val="6C2649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3213802"/>
    <w:multiLevelType w:val="hybridMultilevel"/>
    <w:tmpl w:val="DC44B9C2"/>
    <w:lvl w:ilvl="0" w:tplc="0E30AED0">
      <w:start w:val="4"/>
      <w:numFmt w:val="bullet"/>
      <w:lvlText w:val="-"/>
      <w:lvlJc w:val="left"/>
      <w:pPr>
        <w:ind w:left="1069" w:hanging="360"/>
      </w:pPr>
      <w:rPr>
        <w:rFonts w:ascii="Times New Roman" w:eastAsia="Times New Roman" w:hAnsi="Times New Roman"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22" w15:restartNumberingAfterBreak="0">
    <w:nsid w:val="675D1E0D"/>
    <w:multiLevelType w:val="hybridMultilevel"/>
    <w:tmpl w:val="443AB0BC"/>
    <w:lvl w:ilvl="0" w:tplc="D30E7D8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ABA413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F2228F"/>
    <w:multiLevelType w:val="hybridMultilevel"/>
    <w:tmpl w:val="FD044834"/>
    <w:lvl w:ilvl="0" w:tplc="1C09000F">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5" w15:restartNumberingAfterBreak="0">
    <w:nsid w:val="787D1F28"/>
    <w:multiLevelType w:val="multilevel"/>
    <w:tmpl w:val="EB9C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0"/>
  </w:num>
  <w:num w:numId="3">
    <w:abstractNumId w:val="19"/>
  </w:num>
  <w:num w:numId="4">
    <w:abstractNumId w:val="13"/>
  </w:num>
  <w:num w:numId="5">
    <w:abstractNumId w:val="25"/>
  </w:num>
  <w:num w:numId="6">
    <w:abstractNumId w:val="5"/>
  </w:num>
  <w:num w:numId="7">
    <w:abstractNumId w:val="8"/>
  </w:num>
  <w:num w:numId="8">
    <w:abstractNumId w:val="3"/>
  </w:num>
  <w:num w:numId="9">
    <w:abstractNumId w:val="16"/>
  </w:num>
  <w:num w:numId="10">
    <w:abstractNumId w:val="6"/>
  </w:num>
  <w:num w:numId="11">
    <w:abstractNumId w:val="20"/>
  </w:num>
  <w:num w:numId="12">
    <w:abstractNumId w:val="9"/>
  </w:num>
  <w:num w:numId="13">
    <w:abstractNumId w:val="1"/>
  </w:num>
  <w:num w:numId="14">
    <w:abstractNumId w:val="12"/>
  </w:num>
  <w:num w:numId="15">
    <w:abstractNumId w:val="23"/>
  </w:num>
  <w:num w:numId="16">
    <w:abstractNumId w:val="11"/>
  </w:num>
  <w:num w:numId="17">
    <w:abstractNumId w:val="4"/>
  </w:num>
  <w:num w:numId="18">
    <w:abstractNumId w:val="24"/>
  </w:num>
  <w:num w:numId="19">
    <w:abstractNumId w:val="18"/>
  </w:num>
  <w:num w:numId="20">
    <w:abstractNumId w:val="0"/>
  </w:num>
  <w:num w:numId="21">
    <w:abstractNumId w:val="15"/>
  </w:num>
  <w:num w:numId="22">
    <w:abstractNumId w:val="7"/>
  </w:num>
  <w:num w:numId="23">
    <w:abstractNumId w:val="21"/>
  </w:num>
  <w:num w:numId="24">
    <w:abstractNumId w:val="14"/>
  </w:num>
  <w:num w:numId="25">
    <w:abstractNumId w:val="17"/>
  </w:num>
  <w:num w:numId="26">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522"/>
    <w:rsid w:val="00001250"/>
    <w:rsid w:val="000057B6"/>
    <w:rsid w:val="00005E47"/>
    <w:rsid w:val="00006413"/>
    <w:rsid w:val="000114F9"/>
    <w:rsid w:val="00011CFB"/>
    <w:rsid w:val="00011D11"/>
    <w:rsid w:val="00012788"/>
    <w:rsid w:val="00015A97"/>
    <w:rsid w:val="00016209"/>
    <w:rsid w:val="00016BC0"/>
    <w:rsid w:val="00017C97"/>
    <w:rsid w:val="00022E9F"/>
    <w:rsid w:val="00023CF2"/>
    <w:rsid w:val="00025281"/>
    <w:rsid w:val="00025297"/>
    <w:rsid w:val="000305A5"/>
    <w:rsid w:val="00030A67"/>
    <w:rsid w:val="000317C6"/>
    <w:rsid w:val="00034412"/>
    <w:rsid w:val="00035B9F"/>
    <w:rsid w:val="0003669C"/>
    <w:rsid w:val="00037F5C"/>
    <w:rsid w:val="00042C2E"/>
    <w:rsid w:val="00042FF2"/>
    <w:rsid w:val="00043182"/>
    <w:rsid w:val="000434D3"/>
    <w:rsid w:val="00045BD7"/>
    <w:rsid w:val="00045D96"/>
    <w:rsid w:val="00046C79"/>
    <w:rsid w:val="00047933"/>
    <w:rsid w:val="00047B2B"/>
    <w:rsid w:val="00047E03"/>
    <w:rsid w:val="000516D4"/>
    <w:rsid w:val="000532CD"/>
    <w:rsid w:val="000542FF"/>
    <w:rsid w:val="00055BE0"/>
    <w:rsid w:val="000566E3"/>
    <w:rsid w:val="00057A72"/>
    <w:rsid w:val="00057E9E"/>
    <w:rsid w:val="00060A8C"/>
    <w:rsid w:val="00061EFE"/>
    <w:rsid w:val="000624C5"/>
    <w:rsid w:val="0006355E"/>
    <w:rsid w:val="000639A7"/>
    <w:rsid w:val="0006707B"/>
    <w:rsid w:val="000703AC"/>
    <w:rsid w:val="00072BFD"/>
    <w:rsid w:val="00072CBF"/>
    <w:rsid w:val="0007495A"/>
    <w:rsid w:val="0007523E"/>
    <w:rsid w:val="00075525"/>
    <w:rsid w:val="000770ED"/>
    <w:rsid w:val="000806F6"/>
    <w:rsid w:val="00080C2F"/>
    <w:rsid w:val="000825E2"/>
    <w:rsid w:val="00083384"/>
    <w:rsid w:val="00083FBA"/>
    <w:rsid w:val="00084CCD"/>
    <w:rsid w:val="00086D93"/>
    <w:rsid w:val="00087699"/>
    <w:rsid w:val="00090A9E"/>
    <w:rsid w:val="000917D0"/>
    <w:rsid w:val="00091D60"/>
    <w:rsid w:val="000963FB"/>
    <w:rsid w:val="00097E48"/>
    <w:rsid w:val="000A0CAC"/>
    <w:rsid w:val="000A0EDC"/>
    <w:rsid w:val="000A17D7"/>
    <w:rsid w:val="000A1D68"/>
    <w:rsid w:val="000A2ECD"/>
    <w:rsid w:val="000A36D5"/>
    <w:rsid w:val="000A4C26"/>
    <w:rsid w:val="000A51AA"/>
    <w:rsid w:val="000A58D6"/>
    <w:rsid w:val="000A6C85"/>
    <w:rsid w:val="000A6F67"/>
    <w:rsid w:val="000A7AF5"/>
    <w:rsid w:val="000B15A4"/>
    <w:rsid w:val="000B1F53"/>
    <w:rsid w:val="000B4277"/>
    <w:rsid w:val="000B4EAB"/>
    <w:rsid w:val="000B5D09"/>
    <w:rsid w:val="000B6EA0"/>
    <w:rsid w:val="000B710E"/>
    <w:rsid w:val="000B7286"/>
    <w:rsid w:val="000B72C9"/>
    <w:rsid w:val="000C0769"/>
    <w:rsid w:val="000C2192"/>
    <w:rsid w:val="000C39B9"/>
    <w:rsid w:val="000C4B4E"/>
    <w:rsid w:val="000C6D5D"/>
    <w:rsid w:val="000C70D0"/>
    <w:rsid w:val="000D280A"/>
    <w:rsid w:val="000D2DFB"/>
    <w:rsid w:val="000D4E82"/>
    <w:rsid w:val="000D53E7"/>
    <w:rsid w:val="000D697B"/>
    <w:rsid w:val="000D6B2B"/>
    <w:rsid w:val="000E145E"/>
    <w:rsid w:val="000E289C"/>
    <w:rsid w:val="000E2BB2"/>
    <w:rsid w:val="000E2E36"/>
    <w:rsid w:val="000E3B71"/>
    <w:rsid w:val="000E3C72"/>
    <w:rsid w:val="000E4D8F"/>
    <w:rsid w:val="000E671B"/>
    <w:rsid w:val="000F2E64"/>
    <w:rsid w:val="000F3B5F"/>
    <w:rsid w:val="000F4F83"/>
    <w:rsid w:val="000F5981"/>
    <w:rsid w:val="000F5CFF"/>
    <w:rsid w:val="000F6ADD"/>
    <w:rsid w:val="000F6F0B"/>
    <w:rsid w:val="000F72F9"/>
    <w:rsid w:val="001005DA"/>
    <w:rsid w:val="00100B4D"/>
    <w:rsid w:val="001026BF"/>
    <w:rsid w:val="001029BE"/>
    <w:rsid w:val="00105745"/>
    <w:rsid w:val="00112C06"/>
    <w:rsid w:val="00113BAA"/>
    <w:rsid w:val="00114297"/>
    <w:rsid w:val="001154F7"/>
    <w:rsid w:val="00115843"/>
    <w:rsid w:val="00115A7D"/>
    <w:rsid w:val="00120752"/>
    <w:rsid w:val="0012123B"/>
    <w:rsid w:val="00122F2A"/>
    <w:rsid w:val="00125D4D"/>
    <w:rsid w:val="00126BE3"/>
    <w:rsid w:val="00127156"/>
    <w:rsid w:val="00127979"/>
    <w:rsid w:val="00127BE5"/>
    <w:rsid w:val="00130162"/>
    <w:rsid w:val="001328BC"/>
    <w:rsid w:val="00132E4B"/>
    <w:rsid w:val="00133B51"/>
    <w:rsid w:val="00133E05"/>
    <w:rsid w:val="00134102"/>
    <w:rsid w:val="00134508"/>
    <w:rsid w:val="001348C0"/>
    <w:rsid w:val="001379F2"/>
    <w:rsid w:val="00137CD2"/>
    <w:rsid w:val="00141A99"/>
    <w:rsid w:val="00142AB8"/>
    <w:rsid w:val="001430D2"/>
    <w:rsid w:val="0014349A"/>
    <w:rsid w:val="001451A4"/>
    <w:rsid w:val="00145921"/>
    <w:rsid w:val="00145B15"/>
    <w:rsid w:val="00145E2C"/>
    <w:rsid w:val="00146336"/>
    <w:rsid w:val="00147D17"/>
    <w:rsid w:val="0015347A"/>
    <w:rsid w:val="001555BF"/>
    <w:rsid w:val="001565EB"/>
    <w:rsid w:val="00167EC4"/>
    <w:rsid w:val="00172A0C"/>
    <w:rsid w:val="0017796A"/>
    <w:rsid w:val="0018055B"/>
    <w:rsid w:val="00182869"/>
    <w:rsid w:val="00182A50"/>
    <w:rsid w:val="001835BA"/>
    <w:rsid w:val="00184B1E"/>
    <w:rsid w:val="00184CA2"/>
    <w:rsid w:val="00185350"/>
    <w:rsid w:val="00185667"/>
    <w:rsid w:val="00185A2C"/>
    <w:rsid w:val="00190131"/>
    <w:rsid w:val="00193794"/>
    <w:rsid w:val="00193798"/>
    <w:rsid w:val="0019651B"/>
    <w:rsid w:val="00197D01"/>
    <w:rsid w:val="001A0E70"/>
    <w:rsid w:val="001A22E2"/>
    <w:rsid w:val="001A4F3D"/>
    <w:rsid w:val="001A587F"/>
    <w:rsid w:val="001A5B15"/>
    <w:rsid w:val="001A6AB6"/>
    <w:rsid w:val="001A6F9C"/>
    <w:rsid w:val="001B0C22"/>
    <w:rsid w:val="001B1570"/>
    <w:rsid w:val="001B1C76"/>
    <w:rsid w:val="001B1CE7"/>
    <w:rsid w:val="001B2F0C"/>
    <w:rsid w:val="001B322B"/>
    <w:rsid w:val="001B5257"/>
    <w:rsid w:val="001B7AF5"/>
    <w:rsid w:val="001C11DE"/>
    <w:rsid w:val="001C25C0"/>
    <w:rsid w:val="001C2F6E"/>
    <w:rsid w:val="001C3B85"/>
    <w:rsid w:val="001C470D"/>
    <w:rsid w:val="001C6A75"/>
    <w:rsid w:val="001C7785"/>
    <w:rsid w:val="001D0E42"/>
    <w:rsid w:val="001D173A"/>
    <w:rsid w:val="001D621F"/>
    <w:rsid w:val="001D6D2E"/>
    <w:rsid w:val="001D7D46"/>
    <w:rsid w:val="001E0669"/>
    <w:rsid w:val="001E0CE1"/>
    <w:rsid w:val="001E0F19"/>
    <w:rsid w:val="001E1A55"/>
    <w:rsid w:val="001E3ED7"/>
    <w:rsid w:val="001E5486"/>
    <w:rsid w:val="001F127F"/>
    <w:rsid w:val="001F2EFB"/>
    <w:rsid w:val="001F4F2B"/>
    <w:rsid w:val="001F56C4"/>
    <w:rsid w:val="001F6A2A"/>
    <w:rsid w:val="001F7DA3"/>
    <w:rsid w:val="00200552"/>
    <w:rsid w:val="002008BB"/>
    <w:rsid w:val="00200E99"/>
    <w:rsid w:val="00204FE1"/>
    <w:rsid w:val="002100DA"/>
    <w:rsid w:val="002116B4"/>
    <w:rsid w:val="00212E7A"/>
    <w:rsid w:val="00213148"/>
    <w:rsid w:val="00213674"/>
    <w:rsid w:val="00213C67"/>
    <w:rsid w:val="00214CD5"/>
    <w:rsid w:val="002162B8"/>
    <w:rsid w:val="00216D5F"/>
    <w:rsid w:val="00216E77"/>
    <w:rsid w:val="00217DD9"/>
    <w:rsid w:val="00220D0C"/>
    <w:rsid w:val="00222B7F"/>
    <w:rsid w:val="00222C8D"/>
    <w:rsid w:val="002239A2"/>
    <w:rsid w:val="00223DCD"/>
    <w:rsid w:val="0023155E"/>
    <w:rsid w:val="00240B2C"/>
    <w:rsid w:val="002434A7"/>
    <w:rsid w:val="002438D1"/>
    <w:rsid w:val="00245618"/>
    <w:rsid w:val="002465F4"/>
    <w:rsid w:val="002537BA"/>
    <w:rsid w:val="00253906"/>
    <w:rsid w:val="00253FFE"/>
    <w:rsid w:val="00254203"/>
    <w:rsid w:val="0025596C"/>
    <w:rsid w:val="00255C64"/>
    <w:rsid w:val="00257018"/>
    <w:rsid w:val="002577E4"/>
    <w:rsid w:val="00267BED"/>
    <w:rsid w:val="00270A14"/>
    <w:rsid w:val="0027160E"/>
    <w:rsid w:val="00272C77"/>
    <w:rsid w:val="00273A27"/>
    <w:rsid w:val="00274C56"/>
    <w:rsid w:val="00274CED"/>
    <w:rsid w:val="00276F39"/>
    <w:rsid w:val="00282FE1"/>
    <w:rsid w:val="002856D3"/>
    <w:rsid w:val="00286AD5"/>
    <w:rsid w:val="0029581B"/>
    <w:rsid w:val="00295981"/>
    <w:rsid w:val="002A3FB2"/>
    <w:rsid w:val="002A546E"/>
    <w:rsid w:val="002A63A5"/>
    <w:rsid w:val="002A6D98"/>
    <w:rsid w:val="002A7021"/>
    <w:rsid w:val="002B0B14"/>
    <w:rsid w:val="002B3C88"/>
    <w:rsid w:val="002B5A11"/>
    <w:rsid w:val="002B5F01"/>
    <w:rsid w:val="002B692B"/>
    <w:rsid w:val="002C0DDC"/>
    <w:rsid w:val="002C322C"/>
    <w:rsid w:val="002C33A2"/>
    <w:rsid w:val="002C379B"/>
    <w:rsid w:val="002C45C1"/>
    <w:rsid w:val="002C5CFD"/>
    <w:rsid w:val="002C5F49"/>
    <w:rsid w:val="002C7C07"/>
    <w:rsid w:val="002D1B78"/>
    <w:rsid w:val="002D2FD8"/>
    <w:rsid w:val="002D3433"/>
    <w:rsid w:val="002D5469"/>
    <w:rsid w:val="002E0F9C"/>
    <w:rsid w:val="002E2287"/>
    <w:rsid w:val="002E3D6A"/>
    <w:rsid w:val="002E3E99"/>
    <w:rsid w:val="002E546D"/>
    <w:rsid w:val="002E62F6"/>
    <w:rsid w:val="002E791C"/>
    <w:rsid w:val="002F11D4"/>
    <w:rsid w:val="002F55F6"/>
    <w:rsid w:val="002F63E1"/>
    <w:rsid w:val="002F6F7E"/>
    <w:rsid w:val="002F7FC9"/>
    <w:rsid w:val="003037F4"/>
    <w:rsid w:val="003043A5"/>
    <w:rsid w:val="003100A9"/>
    <w:rsid w:val="003102DE"/>
    <w:rsid w:val="00311426"/>
    <w:rsid w:val="00312DD5"/>
    <w:rsid w:val="00315DF2"/>
    <w:rsid w:val="00316280"/>
    <w:rsid w:val="003177A0"/>
    <w:rsid w:val="00320E7B"/>
    <w:rsid w:val="003259BF"/>
    <w:rsid w:val="00326058"/>
    <w:rsid w:val="0032722B"/>
    <w:rsid w:val="003311A3"/>
    <w:rsid w:val="00331307"/>
    <w:rsid w:val="00331946"/>
    <w:rsid w:val="00333616"/>
    <w:rsid w:val="003349B5"/>
    <w:rsid w:val="0033543A"/>
    <w:rsid w:val="00335F0B"/>
    <w:rsid w:val="00336CFE"/>
    <w:rsid w:val="003378DF"/>
    <w:rsid w:val="00337E9C"/>
    <w:rsid w:val="003415EC"/>
    <w:rsid w:val="0034203B"/>
    <w:rsid w:val="00342B69"/>
    <w:rsid w:val="003434DB"/>
    <w:rsid w:val="00345CC4"/>
    <w:rsid w:val="00351B20"/>
    <w:rsid w:val="003532DB"/>
    <w:rsid w:val="003540E5"/>
    <w:rsid w:val="003542D6"/>
    <w:rsid w:val="00354462"/>
    <w:rsid w:val="003551DF"/>
    <w:rsid w:val="0035534D"/>
    <w:rsid w:val="0036071F"/>
    <w:rsid w:val="003608F6"/>
    <w:rsid w:val="00363643"/>
    <w:rsid w:val="003648BA"/>
    <w:rsid w:val="003650D9"/>
    <w:rsid w:val="00366C84"/>
    <w:rsid w:val="00370E37"/>
    <w:rsid w:val="00371395"/>
    <w:rsid w:val="00374CC3"/>
    <w:rsid w:val="003759C0"/>
    <w:rsid w:val="00375CC0"/>
    <w:rsid w:val="003769BB"/>
    <w:rsid w:val="00376F2E"/>
    <w:rsid w:val="003809D1"/>
    <w:rsid w:val="003818E8"/>
    <w:rsid w:val="00381DCC"/>
    <w:rsid w:val="00382FDC"/>
    <w:rsid w:val="00385D25"/>
    <w:rsid w:val="00391CA3"/>
    <w:rsid w:val="00393057"/>
    <w:rsid w:val="00397C42"/>
    <w:rsid w:val="003A0859"/>
    <w:rsid w:val="003A1568"/>
    <w:rsid w:val="003A4D7A"/>
    <w:rsid w:val="003A75D0"/>
    <w:rsid w:val="003A7831"/>
    <w:rsid w:val="003A7990"/>
    <w:rsid w:val="003B0968"/>
    <w:rsid w:val="003B1932"/>
    <w:rsid w:val="003B2C23"/>
    <w:rsid w:val="003B3ACB"/>
    <w:rsid w:val="003B4628"/>
    <w:rsid w:val="003B53C7"/>
    <w:rsid w:val="003B663E"/>
    <w:rsid w:val="003B78D9"/>
    <w:rsid w:val="003C419C"/>
    <w:rsid w:val="003C50B4"/>
    <w:rsid w:val="003D0F00"/>
    <w:rsid w:val="003D4011"/>
    <w:rsid w:val="003D46D7"/>
    <w:rsid w:val="003D4E22"/>
    <w:rsid w:val="003D77CC"/>
    <w:rsid w:val="003E1931"/>
    <w:rsid w:val="003E26DA"/>
    <w:rsid w:val="003E3B9F"/>
    <w:rsid w:val="003E4489"/>
    <w:rsid w:val="003E4EC2"/>
    <w:rsid w:val="003E5AFA"/>
    <w:rsid w:val="003E6E23"/>
    <w:rsid w:val="003F239E"/>
    <w:rsid w:val="003F3B5A"/>
    <w:rsid w:val="003F3FFF"/>
    <w:rsid w:val="003F4598"/>
    <w:rsid w:val="003F5C30"/>
    <w:rsid w:val="0040206E"/>
    <w:rsid w:val="004033C6"/>
    <w:rsid w:val="00403849"/>
    <w:rsid w:val="004040BB"/>
    <w:rsid w:val="00404DEE"/>
    <w:rsid w:val="00410EB3"/>
    <w:rsid w:val="004135FD"/>
    <w:rsid w:val="00413917"/>
    <w:rsid w:val="00413F27"/>
    <w:rsid w:val="00415832"/>
    <w:rsid w:val="00415CEE"/>
    <w:rsid w:val="004160C3"/>
    <w:rsid w:val="00423311"/>
    <w:rsid w:val="004238BC"/>
    <w:rsid w:val="00427325"/>
    <w:rsid w:val="004276AC"/>
    <w:rsid w:val="00430743"/>
    <w:rsid w:val="004321F6"/>
    <w:rsid w:val="0043243C"/>
    <w:rsid w:val="00432496"/>
    <w:rsid w:val="0043287B"/>
    <w:rsid w:val="00435E00"/>
    <w:rsid w:val="004402F6"/>
    <w:rsid w:val="0044155F"/>
    <w:rsid w:val="0044208E"/>
    <w:rsid w:val="004425E6"/>
    <w:rsid w:val="0044324A"/>
    <w:rsid w:val="00443C72"/>
    <w:rsid w:val="00443E13"/>
    <w:rsid w:val="00443F15"/>
    <w:rsid w:val="00451AFA"/>
    <w:rsid w:val="00451FD9"/>
    <w:rsid w:val="00451FE6"/>
    <w:rsid w:val="0045437C"/>
    <w:rsid w:val="00454D02"/>
    <w:rsid w:val="004559E9"/>
    <w:rsid w:val="00457350"/>
    <w:rsid w:val="004573C2"/>
    <w:rsid w:val="00457C74"/>
    <w:rsid w:val="00461C12"/>
    <w:rsid w:val="0046244D"/>
    <w:rsid w:val="004631C6"/>
    <w:rsid w:val="00463533"/>
    <w:rsid w:val="004635B0"/>
    <w:rsid w:val="0046655B"/>
    <w:rsid w:val="00470A69"/>
    <w:rsid w:val="00470DDD"/>
    <w:rsid w:val="0047222F"/>
    <w:rsid w:val="00474359"/>
    <w:rsid w:val="004744DE"/>
    <w:rsid w:val="00474BB5"/>
    <w:rsid w:val="00475438"/>
    <w:rsid w:val="004754F5"/>
    <w:rsid w:val="0047564F"/>
    <w:rsid w:val="00475E75"/>
    <w:rsid w:val="004762A0"/>
    <w:rsid w:val="00477416"/>
    <w:rsid w:val="004812FC"/>
    <w:rsid w:val="00481794"/>
    <w:rsid w:val="00481BF7"/>
    <w:rsid w:val="004821A0"/>
    <w:rsid w:val="004846FD"/>
    <w:rsid w:val="00484DFC"/>
    <w:rsid w:val="00484FB9"/>
    <w:rsid w:val="004864B6"/>
    <w:rsid w:val="00486E9D"/>
    <w:rsid w:val="00487967"/>
    <w:rsid w:val="00490F69"/>
    <w:rsid w:val="0049411B"/>
    <w:rsid w:val="00495527"/>
    <w:rsid w:val="00496968"/>
    <w:rsid w:val="004A2304"/>
    <w:rsid w:val="004A2A32"/>
    <w:rsid w:val="004A2B93"/>
    <w:rsid w:val="004A3590"/>
    <w:rsid w:val="004A4EEA"/>
    <w:rsid w:val="004A53D7"/>
    <w:rsid w:val="004A5A2E"/>
    <w:rsid w:val="004A6391"/>
    <w:rsid w:val="004A79E5"/>
    <w:rsid w:val="004A7EF9"/>
    <w:rsid w:val="004B0324"/>
    <w:rsid w:val="004B1C79"/>
    <w:rsid w:val="004B226D"/>
    <w:rsid w:val="004B2765"/>
    <w:rsid w:val="004B34FC"/>
    <w:rsid w:val="004B60D8"/>
    <w:rsid w:val="004B710D"/>
    <w:rsid w:val="004B7F28"/>
    <w:rsid w:val="004C0209"/>
    <w:rsid w:val="004C26BF"/>
    <w:rsid w:val="004C347D"/>
    <w:rsid w:val="004C4B76"/>
    <w:rsid w:val="004C4CAE"/>
    <w:rsid w:val="004C58F4"/>
    <w:rsid w:val="004C5C24"/>
    <w:rsid w:val="004C7915"/>
    <w:rsid w:val="004C7B21"/>
    <w:rsid w:val="004C7D2B"/>
    <w:rsid w:val="004D0992"/>
    <w:rsid w:val="004D21ED"/>
    <w:rsid w:val="004E0A01"/>
    <w:rsid w:val="004E1905"/>
    <w:rsid w:val="004E40BC"/>
    <w:rsid w:val="004E4ABC"/>
    <w:rsid w:val="004E55A9"/>
    <w:rsid w:val="004E577E"/>
    <w:rsid w:val="004E61F2"/>
    <w:rsid w:val="004E6738"/>
    <w:rsid w:val="004E7693"/>
    <w:rsid w:val="004F0D00"/>
    <w:rsid w:val="004F15B0"/>
    <w:rsid w:val="004F1791"/>
    <w:rsid w:val="004F3303"/>
    <w:rsid w:val="004F5130"/>
    <w:rsid w:val="004F576F"/>
    <w:rsid w:val="00500C18"/>
    <w:rsid w:val="005012AD"/>
    <w:rsid w:val="0050255C"/>
    <w:rsid w:val="00503949"/>
    <w:rsid w:val="00503A80"/>
    <w:rsid w:val="005061A3"/>
    <w:rsid w:val="00506A45"/>
    <w:rsid w:val="00506AB9"/>
    <w:rsid w:val="00510415"/>
    <w:rsid w:val="005107AB"/>
    <w:rsid w:val="00513010"/>
    <w:rsid w:val="00516F7E"/>
    <w:rsid w:val="0051793E"/>
    <w:rsid w:val="0052100E"/>
    <w:rsid w:val="00524020"/>
    <w:rsid w:val="00527336"/>
    <w:rsid w:val="00527BC0"/>
    <w:rsid w:val="005320DF"/>
    <w:rsid w:val="00532CFD"/>
    <w:rsid w:val="00532D17"/>
    <w:rsid w:val="00541570"/>
    <w:rsid w:val="00541D87"/>
    <w:rsid w:val="00541E26"/>
    <w:rsid w:val="005431B6"/>
    <w:rsid w:val="00543216"/>
    <w:rsid w:val="005534FA"/>
    <w:rsid w:val="00553D63"/>
    <w:rsid w:val="00556A9F"/>
    <w:rsid w:val="005624F2"/>
    <w:rsid w:val="00563DDA"/>
    <w:rsid w:val="0056465B"/>
    <w:rsid w:val="00564E18"/>
    <w:rsid w:val="00571327"/>
    <w:rsid w:val="00571602"/>
    <w:rsid w:val="00571944"/>
    <w:rsid w:val="00575727"/>
    <w:rsid w:val="00576695"/>
    <w:rsid w:val="00576B66"/>
    <w:rsid w:val="005775D4"/>
    <w:rsid w:val="00577E87"/>
    <w:rsid w:val="0058101D"/>
    <w:rsid w:val="00582084"/>
    <w:rsid w:val="00582786"/>
    <w:rsid w:val="00583D93"/>
    <w:rsid w:val="0058433C"/>
    <w:rsid w:val="005845AF"/>
    <w:rsid w:val="005857F0"/>
    <w:rsid w:val="005910C8"/>
    <w:rsid w:val="0059193B"/>
    <w:rsid w:val="00593F39"/>
    <w:rsid w:val="00594550"/>
    <w:rsid w:val="00594B4F"/>
    <w:rsid w:val="00595AC8"/>
    <w:rsid w:val="0059602E"/>
    <w:rsid w:val="00596461"/>
    <w:rsid w:val="005A081F"/>
    <w:rsid w:val="005A0B18"/>
    <w:rsid w:val="005A0BB0"/>
    <w:rsid w:val="005A0C31"/>
    <w:rsid w:val="005A0C53"/>
    <w:rsid w:val="005A1ED7"/>
    <w:rsid w:val="005A20F3"/>
    <w:rsid w:val="005A59D5"/>
    <w:rsid w:val="005A650C"/>
    <w:rsid w:val="005A7A58"/>
    <w:rsid w:val="005B1CBB"/>
    <w:rsid w:val="005B3393"/>
    <w:rsid w:val="005B3CDD"/>
    <w:rsid w:val="005B4583"/>
    <w:rsid w:val="005B4907"/>
    <w:rsid w:val="005B4921"/>
    <w:rsid w:val="005B49C2"/>
    <w:rsid w:val="005B758D"/>
    <w:rsid w:val="005B78D3"/>
    <w:rsid w:val="005C1C1A"/>
    <w:rsid w:val="005C617D"/>
    <w:rsid w:val="005C62B8"/>
    <w:rsid w:val="005D3618"/>
    <w:rsid w:val="005D3C81"/>
    <w:rsid w:val="005D47F9"/>
    <w:rsid w:val="005D5321"/>
    <w:rsid w:val="005E03BD"/>
    <w:rsid w:val="005E0A5F"/>
    <w:rsid w:val="005E1627"/>
    <w:rsid w:val="005E2A9F"/>
    <w:rsid w:val="005E2E4D"/>
    <w:rsid w:val="005E5538"/>
    <w:rsid w:val="005F1FA1"/>
    <w:rsid w:val="005F291D"/>
    <w:rsid w:val="005F2A87"/>
    <w:rsid w:val="005F326D"/>
    <w:rsid w:val="005F3FF1"/>
    <w:rsid w:val="005F4190"/>
    <w:rsid w:val="005F5E51"/>
    <w:rsid w:val="005F65D2"/>
    <w:rsid w:val="005F662B"/>
    <w:rsid w:val="00600038"/>
    <w:rsid w:val="00601FF5"/>
    <w:rsid w:val="0060200B"/>
    <w:rsid w:val="00602A9C"/>
    <w:rsid w:val="00603219"/>
    <w:rsid w:val="0060399B"/>
    <w:rsid w:val="006044DD"/>
    <w:rsid w:val="00611CEE"/>
    <w:rsid w:val="006122C4"/>
    <w:rsid w:val="00613321"/>
    <w:rsid w:val="006144C0"/>
    <w:rsid w:val="00615545"/>
    <w:rsid w:val="00617015"/>
    <w:rsid w:val="00620477"/>
    <w:rsid w:val="006205B7"/>
    <w:rsid w:val="00621099"/>
    <w:rsid w:val="006221BC"/>
    <w:rsid w:val="006228B9"/>
    <w:rsid w:val="00624082"/>
    <w:rsid w:val="00624317"/>
    <w:rsid w:val="00624B64"/>
    <w:rsid w:val="0063155B"/>
    <w:rsid w:val="00631B34"/>
    <w:rsid w:val="006329ED"/>
    <w:rsid w:val="00634114"/>
    <w:rsid w:val="006356BF"/>
    <w:rsid w:val="006366BA"/>
    <w:rsid w:val="006376F2"/>
    <w:rsid w:val="00637EFE"/>
    <w:rsid w:val="0064001F"/>
    <w:rsid w:val="006422CF"/>
    <w:rsid w:val="00642757"/>
    <w:rsid w:val="00642CA8"/>
    <w:rsid w:val="00645580"/>
    <w:rsid w:val="00645B7E"/>
    <w:rsid w:val="006471D9"/>
    <w:rsid w:val="00647E02"/>
    <w:rsid w:val="00650540"/>
    <w:rsid w:val="00650F70"/>
    <w:rsid w:val="006520BB"/>
    <w:rsid w:val="00652C41"/>
    <w:rsid w:val="00655242"/>
    <w:rsid w:val="0065570B"/>
    <w:rsid w:val="00655737"/>
    <w:rsid w:val="006559C3"/>
    <w:rsid w:val="00661C05"/>
    <w:rsid w:val="00661E0F"/>
    <w:rsid w:val="00663010"/>
    <w:rsid w:val="00664F68"/>
    <w:rsid w:val="00666982"/>
    <w:rsid w:val="00667864"/>
    <w:rsid w:val="00671123"/>
    <w:rsid w:val="00672C28"/>
    <w:rsid w:val="006755EC"/>
    <w:rsid w:val="00675A37"/>
    <w:rsid w:val="00675F16"/>
    <w:rsid w:val="00676904"/>
    <w:rsid w:val="006834B7"/>
    <w:rsid w:val="00684668"/>
    <w:rsid w:val="00684BAC"/>
    <w:rsid w:val="00686976"/>
    <w:rsid w:val="00687A2C"/>
    <w:rsid w:val="00693F97"/>
    <w:rsid w:val="006941C5"/>
    <w:rsid w:val="00694E64"/>
    <w:rsid w:val="006955BB"/>
    <w:rsid w:val="00695A24"/>
    <w:rsid w:val="00697479"/>
    <w:rsid w:val="00697626"/>
    <w:rsid w:val="00697685"/>
    <w:rsid w:val="00697A20"/>
    <w:rsid w:val="006A00DA"/>
    <w:rsid w:val="006A2CC6"/>
    <w:rsid w:val="006A3265"/>
    <w:rsid w:val="006A5A6B"/>
    <w:rsid w:val="006A5FC3"/>
    <w:rsid w:val="006A6D3D"/>
    <w:rsid w:val="006A7C65"/>
    <w:rsid w:val="006B0512"/>
    <w:rsid w:val="006B06C6"/>
    <w:rsid w:val="006B29BF"/>
    <w:rsid w:val="006B2DDD"/>
    <w:rsid w:val="006B43C8"/>
    <w:rsid w:val="006B4BDA"/>
    <w:rsid w:val="006B5FB3"/>
    <w:rsid w:val="006B65D6"/>
    <w:rsid w:val="006C003B"/>
    <w:rsid w:val="006C0C89"/>
    <w:rsid w:val="006C198E"/>
    <w:rsid w:val="006C1EA5"/>
    <w:rsid w:val="006C21A9"/>
    <w:rsid w:val="006C2B85"/>
    <w:rsid w:val="006C3C8A"/>
    <w:rsid w:val="006C4CFF"/>
    <w:rsid w:val="006C56D6"/>
    <w:rsid w:val="006C5A73"/>
    <w:rsid w:val="006C6043"/>
    <w:rsid w:val="006D46B8"/>
    <w:rsid w:val="006D5AB3"/>
    <w:rsid w:val="006D5DA4"/>
    <w:rsid w:val="006D60DB"/>
    <w:rsid w:val="006D79B0"/>
    <w:rsid w:val="006E168A"/>
    <w:rsid w:val="006E1D96"/>
    <w:rsid w:val="006E1FAF"/>
    <w:rsid w:val="006E2533"/>
    <w:rsid w:val="006E28BC"/>
    <w:rsid w:val="006E2B00"/>
    <w:rsid w:val="006E5B15"/>
    <w:rsid w:val="006E5FF8"/>
    <w:rsid w:val="006E6423"/>
    <w:rsid w:val="006E7431"/>
    <w:rsid w:val="006F01F1"/>
    <w:rsid w:val="006F07EC"/>
    <w:rsid w:val="006F0B5A"/>
    <w:rsid w:val="006F2452"/>
    <w:rsid w:val="006F24EB"/>
    <w:rsid w:val="006F32E9"/>
    <w:rsid w:val="006F3D0A"/>
    <w:rsid w:val="006F3E17"/>
    <w:rsid w:val="006F4F1F"/>
    <w:rsid w:val="006F786F"/>
    <w:rsid w:val="00702CA0"/>
    <w:rsid w:val="00704D51"/>
    <w:rsid w:val="00705887"/>
    <w:rsid w:val="00707250"/>
    <w:rsid w:val="00710267"/>
    <w:rsid w:val="007103CD"/>
    <w:rsid w:val="0071098A"/>
    <w:rsid w:val="007154EC"/>
    <w:rsid w:val="007154FB"/>
    <w:rsid w:val="00716E6B"/>
    <w:rsid w:val="007206A6"/>
    <w:rsid w:val="00720D1F"/>
    <w:rsid w:val="00722C56"/>
    <w:rsid w:val="00723559"/>
    <w:rsid w:val="00724AF6"/>
    <w:rsid w:val="00725A3F"/>
    <w:rsid w:val="00725D66"/>
    <w:rsid w:val="0072611F"/>
    <w:rsid w:val="00730616"/>
    <w:rsid w:val="007334E6"/>
    <w:rsid w:val="00737B36"/>
    <w:rsid w:val="00737C90"/>
    <w:rsid w:val="007415E2"/>
    <w:rsid w:val="007416B9"/>
    <w:rsid w:val="007443C3"/>
    <w:rsid w:val="00744576"/>
    <w:rsid w:val="0074692B"/>
    <w:rsid w:val="00747504"/>
    <w:rsid w:val="00754B9F"/>
    <w:rsid w:val="00754E8E"/>
    <w:rsid w:val="00755A19"/>
    <w:rsid w:val="00756317"/>
    <w:rsid w:val="007608FA"/>
    <w:rsid w:val="007620DD"/>
    <w:rsid w:val="00767DF0"/>
    <w:rsid w:val="0077050B"/>
    <w:rsid w:val="0077059C"/>
    <w:rsid w:val="007736F3"/>
    <w:rsid w:val="007806DB"/>
    <w:rsid w:val="0078115B"/>
    <w:rsid w:val="00782356"/>
    <w:rsid w:val="0078533D"/>
    <w:rsid w:val="0079202F"/>
    <w:rsid w:val="00792C07"/>
    <w:rsid w:val="00792D3B"/>
    <w:rsid w:val="00793861"/>
    <w:rsid w:val="00794BAC"/>
    <w:rsid w:val="007A1708"/>
    <w:rsid w:val="007A3FE8"/>
    <w:rsid w:val="007A4DE1"/>
    <w:rsid w:val="007A60C4"/>
    <w:rsid w:val="007B2A66"/>
    <w:rsid w:val="007B5D39"/>
    <w:rsid w:val="007B626F"/>
    <w:rsid w:val="007C09E0"/>
    <w:rsid w:val="007C472A"/>
    <w:rsid w:val="007C5A85"/>
    <w:rsid w:val="007C6197"/>
    <w:rsid w:val="007D0BBF"/>
    <w:rsid w:val="007D10D4"/>
    <w:rsid w:val="007D16EB"/>
    <w:rsid w:val="007D175C"/>
    <w:rsid w:val="007D294C"/>
    <w:rsid w:val="007D447F"/>
    <w:rsid w:val="007D5363"/>
    <w:rsid w:val="007D7A41"/>
    <w:rsid w:val="007E09BC"/>
    <w:rsid w:val="007E129E"/>
    <w:rsid w:val="007E1B93"/>
    <w:rsid w:val="007E3256"/>
    <w:rsid w:val="007E3281"/>
    <w:rsid w:val="007E3B5C"/>
    <w:rsid w:val="007E4882"/>
    <w:rsid w:val="007E5210"/>
    <w:rsid w:val="007E606A"/>
    <w:rsid w:val="007E67CB"/>
    <w:rsid w:val="007E7BE6"/>
    <w:rsid w:val="007F1A93"/>
    <w:rsid w:val="007F2210"/>
    <w:rsid w:val="007F3385"/>
    <w:rsid w:val="007F7544"/>
    <w:rsid w:val="007F7FD5"/>
    <w:rsid w:val="00801C5E"/>
    <w:rsid w:val="0080320E"/>
    <w:rsid w:val="00803FE0"/>
    <w:rsid w:val="0081050C"/>
    <w:rsid w:val="00812F4A"/>
    <w:rsid w:val="00814577"/>
    <w:rsid w:val="008157DE"/>
    <w:rsid w:val="0081698E"/>
    <w:rsid w:val="00821A52"/>
    <w:rsid w:val="00821DFB"/>
    <w:rsid w:val="00822F4D"/>
    <w:rsid w:val="008230AA"/>
    <w:rsid w:val="008238F7"/>
    <w:rsid w:val="008246F1"/>
    <w:rsid w:val="00825FE7"/>
    <w:rsid w:val="00826B94"/>
    <w:rsid w:val="00827631"/>
    <w:rsid w:val="008277EB"/>
    <w:rsid w:val="00831177"/>
    <w:rsid w:val="00833B1F"/>
    <w:rsid w:val="008340F4"/>
    <w:rsid w:val="00834376"/>
    <w:rsid w:val="008345B1"/>
    <w:rsid w:val="00834DC3"/>
    <w:rsid w:val="00835836"/>
    <w:rsid w:val="00835F61"/>
    <w:rsid w:val="008360A9"/>
    <w:rsid w:val="00836AC4"/>
    <w:rsid w:val="00837A26"/>
    <w:rsid w:val="008408FD"/>
    <w:rsid w:val="00840DE1"/>
    <w:rsid w:val="0084132C"/>
    <w:rsid w:val="00841479"/>
    <w:rsid w:val="008414D3"/>
    <w:rsid w:val="00842CC6"/>
    <w:rsid w:val="0084316C"/>
    <w:rsid w:val="0084464F"/>
    <w:rsid w:val="008459D4"/>
    <w:rsid w:val="0085363B"/>
    <w:rsid w:val="008537CB"/>
    <w:rsid w:val="00856277"/>
    <w:rsid w:val="00860860"/>
    <w:rsid w:val="00862EB3"/>
    <w:rsid w:val="00864292"/>
    <w:rsid w:val="00864769"/>
    <w:rsid w:val="00871517"/>
    <w:rsid w:val="00871B8B"/>
    <w:rsid w:val="00874429"/>
    <w:rsid w:val="008762D7"/>
    <w:rsid w:val="00880BF5"/>
    <w:rsid w:val="008846D2"/>
    <w:rsid w:val="008850E8"/>
    <w:rsid w:val="0088679D"/>
    <w:rsid w:val="00893DEC"/>
    <w:rsid w:val="008968E0"/>
    <w:rsid w:val="008A268F"/>
    <w:rsid w:val="008A4A6E"/>
    <w:rsid w:val="008A6176"/>
    <w:rsid w:val="008A70AD"/>
    <w:rsid w:val="008B1518"/>
    <w:rsid w:val="008B4813"/>
    <w:rsid w:val="008B4FFA"/>
    <w:rsid w:val="008B6BB8"/>
    <w:rsid w:val="008C01A9"/>
    <w:rsid w:val="008C2808"/>
    <w:rsid w:val="008C36A7"/>
    <w:rsid w:val="008D1B8A"/>
    <w:rsid w:val="008D2F44"/>
    <w:rsid w:val="008D56CD"/>
    <w:rsid w:val="008E02C4"/>
    <w:rsid w:val="008E113C"/>
    <w:rsid w:val="008E129B"/>
    <w:rsid w:val="008E1471"/>
    <w:rsid w:val="008E2623"/>
    <w:rsid w:val="008E313D"/>
    <w:rsid w:val="008E71A4"/>
    <w:rsid w:val="008F105D"/>
    <w:rsid w:val="008F2983"/>
    <w:rsid w:val="008F2E39"/>
    <w:rsid w:val="008F34DA"/>
    <w:rsid w:val="008F38C2"/>
    <w:rsid w:val="008F3DF9"/>
    <w:rsid w:val="008F65C5"/>
    <w:rsid w:val="00901630"/>
    <w:rsid w:val="00902205"/>
    <w:rsid w:val="0090310E"/>
    <w:rsid w:val="00904CCE"/>
    <w:rsid w:val="00906593"/>
    <w:rsid w:val="00911651"/>
    <w:rsid w:val="00912E21"/>
    <w:rsid w:val="009167B6"/>
    <w:rsid w:val="00916E47"/>
    <w:rsid w:val="00922C62"/>
    <w:rsid w:val="00922EDD"/>
    <w:rsid w:val="00926111"/>
    <w:rsid w:val="00926C60"/>
    <w:rsid w:val="00930C3D"/>
    <w:rsid w:val="00933262"/>
    <w:rsid w:val="00933531"/>
    <w:rsid w:val="00934827"/>
    <w:rsid w:val="00935055"/>
    <w:rsid w:val="00935763"/>
    <w:rsid w:val="00937EC6"/>
    <w:rsid w:val="009416F9"/>
    <w:rsid w:val="0094226B"/>
    <w:rsid w:val="0094387D"/>
    <w:rsid w:val="009461F2"/>
    <w:rsid w:val="009467EC"/>
    <w:rsid w:val="00953D3F"/>
    <w:rsid w:val="00954143"/>
    <w:rsid w:val="00960982"/>
    <w:rsid w:val="00961C77"/>
    <w:rsid w:val="00964BF5"/>
    <w:rsid w:val="00965F81"/>
    <w:rsid w:val="009670E0"/>
    <w:rsid w:val="00967207"/>
    <w:rsid w:val="00967890"/>
    <w:rsid w:val="009722E6"/>
    <w:rsid w:val="00972E4E"/>
    <w:rsid w:val="0097388E"/>
    <w:rsid w:val="00973D5C"/>
    <w:rsid w:val="0097666D"/>
    <w:rsid w:val="009776A0"/>
    <w:rsid w:val="0098171D"/>
    <w:rsid w:val="0098237E"/>
    <w:rsid w:val="00982B0C"/>
    <w:rsid w:val="00983D3F"/>
    <w:rsid w:val="00983F5A"/>
    <w:rsid w:val="00984A6D"/>
    <w:rsid w:val="00985155"/>
    <w:rsid w:val="00993C5D"/>
    <w:rsid w:val="00995360"/>
    <w:rsid w:val="009978BD"/>
    <w:rsid w:val="009A2315"/>
    <w:rsid w:val="009A4B95"/>
    <w:rsid w:val="009A68C3"/>
    <w:rsid w:val="009A6E57"/>
    <w:rsid w:val="009A726C"/>
    <w:rsid w:val="009A784D"/>
    <w:rsid w:val="009B176A"/>
    <w:rsid w:val="009B232C"/>
    <w:rsid w:val="009B2B24"/>
    <w:rsid w:val="009B3852"/>
    <w:rsid w:val="009B3EEF"/>
    <w:rsid w:val="009B3FD7"/>
    <w:rsid w:val="009B5FBE"/>
    <w:rsid w:val="009B775C"/>
    <w:rsid w:val="009C30CF"/>
    <w:rsid w:val="009C5EE7"/>
    <w:rsid w:val="009C642D"/>
    <w:rsid w:val="009C6D08"/>
    <w:rsid w:val="009D0225"/>
    <w:rsid w:val="009D0AE0"/>
    <w:rsid w:val="009E1D39"/>
    <w:rsid w:val="009E1FA6"/>
    <w:rsid w:val="009E3346"/>
    <w:rsid w:val="009E3E04"/>
    <w:rsid w:val="009E41E9"/>
    <w:rsid w:val="009E6B1B"/>
    <w:rsid w:val="009F0F1A"/>
    <w:rsid w:val="009F1EFB"/>
    <w:rsid w:val="009F62B6"/>
    <w:rsid w:val="00A00CB5"/>
    <w:rsid w:val="00A02601"/>
    <w:rsid w:val="00A02E02"/>
    <w:rsid w:val="00A10B48"/>
    <w:rsid w:val="00A10E93"/>
    <w:rsid w:val="00A12DCC"/>
    <w:rsid w:val="00A12EBA"/>
    <w:rsid w:val="00A12FC7"/>
    <w:rsid w:val="00A1422D"/>
    <w:rsid w:val="00A142C0"/>
    <w:rsid w:val="00A15758"/>
    <w:rsid w:val="00A20301"/>
    <w:rsid w:val="00A20CD1"/>
    <w:rsid w:val="00A22BAF"/>
    <w:rsid w:val="00A23A35"/>
    <w:rsid w:val="00A24BDD"/>
    <w:rsid w:val="00A257CF"/>
    <w:rsid w:val="00A2671A"/>
    <w:rsid w:val="00A3226D"/>
    <w:rsid w:val="00A33C3B"/>
    <w:rsid w:val="00A3586D"/>
    <w:rsid w:val="00A35ECA"/>
    <w:rsid w:val="00A3648F"/>
    <w:rsid w:val="00A36FCB"/>
    <w:rsid w:val="00A370E6"/>
    <w:rsid w:val="00A37CEF"/>
    <w:rsid w:val="00A4455E"/>
    <w:rsid w:val="00A47F76"/>
    <w:rsid w:val="00A57E36"/>
    <w:rsid w:val="00A60206"/>
    <w:rsid w:val="00A6023F"/>
    <w:rsid w:val="00A6561C"/>
    <w:rsid w:val="00A679BA"/>
    <w:rsid w:val="00A717B4"/>
    <w:rsid w:val="00A74921"/>
    <w:rsid w:val="00A75A28"/>
    <w:rsid w:val="00A75BB6"/>
    <w:rsid w:val="00A778AE"/>
    <w:rsid w:val="00A8356E"/>
    <w:rsid w:val="00A84249"/>
    <w:rsid w:val="00A85F66"/>
    <w:rsid w:val="00A87B7B"/>
    <w:rsid w:val="00A90BC8"/>
    <w:rsid w:val="00A91788"/>
    <w:rsid w:val="00A92C38"/>
    <w:rsid w:val="00A946CE"/>
    <w:rsid w:val="00A9484B"/>
    <w:rsid w:val="00A95C57"/>
    <w:rsid w:val="00A966A7"/>
    <w:rsid w:val="00A97AF9"/>
    <w:rsid w:val="00A97CCB"/>
    <w:rsid w:val="00AA015B"/>
    <w:rsid w:val="00AA0559"/>
    <w:rsid w:val="00AA1AA0"/>
    <w:rsid w:val="00AA228B"/>
    <w:rsid w:val="00AA2619"/>
    <w:rsid w:val="00AA409C"/>
    <w:rsid w:val="00AA5EDC"/>
    <w:rsid w:val="00AA6E32"/>
    <w:rsid w:val="00AA7BB7"/>
    <w:rsid w:val="00AB057B"/>
    <w:rsid w:val="00AB1748"/>
    <w:rsid w:val="00AB17F0"/>
    <w:rsid w:val="00AB20DF"/>
    <w:rsid w:val="00AB3CEB"/>
    <w:rsid w:val="00AB585F"/>
    <w:rsid w:val="00AC0624"/>
    <w:rsid w:val="00AC0E3C"/>
    <w:rsid w:val="00AC18EC"/>
    <w:rsid w:val="00AC3ABF"/>
    <w:rsid w:val="00AC3D9A"/>
    <w:rsid w:val="00AC4350"/>
    <w:rsid w:val="00AC6E25"/>
    <w:rsid w:val="00AC70E3"/>
    <w:rsid w:val="00AC72EE"/>
    <w:rsid w:val="00AC789E"/>
    <w:rsid w:val="00AD3C72"/>
    <w:rsid w:val="00AD4457"/>
    <w:rsid w:val="00AD6B7F"/>
    <w:rsid w:val="00AD79AE"/>
    <w:rsid w:val="00AE0EC5"/>
    <w:rsid w:val="00AE13E3"/>
    <w:rsid w:val="00AE352C"/>
    <w:rsid w:val="00AE382F"/>
    <w:rsid w:val="00AE405A"/>
    <w:rsid w:val="00AE4C81"/>
    <w:rsid w:val="00AE57BB"/>
    <w:rsid w:val="00AE7ACB"/>
    <w:rsid w:val="00AF052F"/>
    <w:rsid w:val="00AF1A6F"/>
    <w:rsid w:val="00AF1DCE"/>
    <w:rsid w:val="00AF3545"/>
    <w:rsid w:val="00AF73ED"/>
    <w:rsid w:val="00AF7E2F"/>
    <w:rsid w:val="00B0050B"/>
    <w:rsid w:val="00B00D82"/>
    <w:rsid w:val="00B02E7E"/>
    <w:rsid w:val="00B03441"/>
    <w:rsid w:val="00B0454A"/>
    <w:rsid w:val="00B04AAC"/>
    <w:rsid w:val="00B053C8"/>
    <w:rsid w:val="00B05797"/>
    <w:rsid w:val="00B05EE5"/>
    <w:rsid w:val="00B07083"/>
    <w:rsid w:val="00B11799"/>
    <w:rsid w:val="00B12519"/>
    <w:rsid w:val="00B12E05"/>
    <w:rsid w:val="00B1368A"/>
    <w:rsid w:val="00B13DC5"/>
    <w:rsid w:val="00B142AE"/>
    <w:rsid w:val="00B1466D"/>
    <w:rsid w:val="00B16491"/>
    <w:rsid w:val="00B165DE"/>
    <w:rsid w:val="00B210D1"/>
    <w:rsid w:val="00B2316D"/>
    <w:rsid w:val="00B255AC"/>
    <w:rsid w:val="00B26737"/>
    <w:rsid w:val="00B276B2"/>
    <w:rsid w:val="00B27F6B"/>
    <w:rsid w:val="00B30175"/>
    <w:rsid w:val="00B30B66"/>
    <w:rsid w:val="00B3311D"/>
    <w:rsid w:val="00B33342"/>
    <w:rsid w:val="00B34822"/>
    <w:rsid w:val="00B3593D"/>
    <w:rsid w:val="00B36FBC"/>
    <w:rsid w:val="00B40FFB"/>
    <w:rsid w:val="00B4211D"/>
    <w:rsid w:val="00B43373"/>
    <w:rsid w:val="00B44056"/>
    <w:rsid w:val="00B44844"/>
    <w:rsid w:val="00B45DF0"/>
    <w:rsid w:val="00B474AB"/>
    <w:rsid w:val="00B47AEE"/>
    <w:rsid w:val="00B47CBF"/>
    <w:rsid w:val="00B50DF8"/>
    <w:rsid w:val="00B52559"/>
    <w:rsid w:val="00B53DDF"/>
    <w:rsid w:val="00B54335"/>
    <w:rsid w:val="00B54F07"/>
    <w:rsid w:val="00B55399"/>
    <w:rsid w:val="00B55F36"/>
    <w:rsid w:val="00B567F1"/>
    <w:rsid w:val="00B579F7"/>
    <w:rsid w:val="00B643DF"/>
    <w:rsid w:val="00B65A5F"/>
    <w:rsid w:val="00B6750C"/>
    <w:rsid w:val="00B70A17"/>
    <w:rsid w:val="00B7194C"/>
    <w:rsid w:val="00B71BC8"/>
    <w:rsid w:val="00B722D8"/>
    <w:rsid w:val="00B726AE"/>
    <w:rsid w:val="00B74BEF"/>
    <w:rsid w:val="00B74D56"/>
    <w:rsid w:val="00B776F5"/>
    <w:rsid w:val="00B819B0"/>
    <w:rsid w:val="00B81E1B"/>
    <w:rsid w:val="00B82F3F"/>
    <w:rsid w:val="00B835A1"/>
    <w:rsid w:val="00B859A9"/>
    <w:rsid w:val="00B85DB8"/>
    <w:rsid w:val="00B875CA"/>
    <w:rsid w:val="00B91DB1"/>
    <w:rsid w:val="00B92E13"/>
    <w:rsid w:val="00B93D38"/>
    <w:rsid w:val="00B94221"/>
    <w:rsid w:val="00B95B68"/>
    <w:rsid w:val="00B96472"/>
    <w:rsid w:val="00B97090"/>
    <w:rsid w:val="00BA05AE"/>
    <w:rsid w:val="00BA07EE"/>
    <w:rsid w:val="00BA082F"/>
    <w:rsid w:val="00BA13B6"/>
    <w:rsid w:val="00BA291C"/>
    <w:rsid w:val="00BA589A"/>
    <w:rsid w:val="00BA7CCC"/>
    <w:rsid w:val="00BB14BB"/>
    <w:rsid w:val="00BB1E97"/>
    <w:rsid w:val="00BB27BF"/>
    <w:rsid w:val="00BB2951"/>
    <w:rsid w:val="00BB5F95"/>
    <w:rsid w:val="00BB7231"/>
    <w:rsid w:val="00BB7E63"/>
    <w:rsid w:val="00BC127E"/>
    <w:rsid w:val="00BC143E"/>
    <w:rsid w:val="00BC7A42"/>
    <w:rsid w:val="00BD7AAA"/>
    <w:rsid w:val="00BE18B8"/>
    <w:rsid w:val="00BE19D7"/>
    <w:rsid w:val="00BE22C7"/>
    <w:rsid w:val="00BE6AE6"/>
    <w:rsid w:val="00BE766F"/>
    <w:rsid w:val="00BF06BB"/>
    <w:rsid w:val="00BF06C8"/>
    <w:rsid w:val="00BF0B85"/>
    <w:rsid w:val="00BF1BC5"/>
    <w:rsid w:val="00BF1EB4"/>
    <w:rsid w:val="00BF3208"/>
    <w:rsid w:val="00BF3F42"/>
    <w:rsid w:val="00BF456E"/>
    <w:rsid w:val="00BF4F0B"/>
    <w:rsid w:val="00BF5F62"/>
    <w:rsid w:val="00BF6E4D"/>
    <w:rsid w:val="00BF7949"/>
    <w:rsid w:val="00BF7B5F"/>
    <w:rsid w:val="00BF7CF9"/>
    <w:rsid w:val="00C001AB"/>
    <w:rsid w:val="00C00E37"/>
    <w:rsid w:val="00C01B2B"/>
    <w:rsid w:val="00C02EAC"/>
    <w:rsid w:val="00C05BEF"/>
    <w:rsid w:val="00C06D63"/>
    <w:rsid w:val="00C07A60"/>
    <w:rsid w:val="00C105F1"/>
    <w:rsid w:val="00C11962"/>
    <w:rsid w:val="00C15E96"/>
    <w:rsid w:val="00C1743B"/>
    <w:rsid w:val="00C21AA9"/>
    <w:rsid w:val="00C23D0E"/>
    <w:rsid w:val="00C2554A"/>
    <w:rsid w:val="00C2619E"/>
    <w:rsid w:val="00C27F69"/>
    <w:rsid w:val="00C30B0C"/>
    <w:rsid w:val="00C310A3"/>
    <w:rsid w:val="00C33606"/>
    <w:rsid w:val="00C40059"/>
    <w:rsid w:val="00C4125E"/>
    <w:rsid w:val="00C42D54"/>
    <w:rsid w:val="00C43ABF"/>
    <w:rsid w:val="00C456B2"/>
    <w:rsid w:val="00C51113"/>
    <w:rsid w:val="00C51738"/>
    <w:rsid w:val="00C5223D"/>
    <w:rsid w:val="00C53475"/>
    <w:rsid w:val="00C53DD0"/>
    <w:rsid w:val="00C5443F"/>
    <w:rsid w:val="00C56CAA"/>
    <w:rsid w:val="00C57563"/>
    <w:rsid w:val="00C57846"/>
    <w:rsid w:val="00C60F5C"/>
    <w:rsid w:val="00C61354"/>
    <w:rsid w:val="00C65FF7"/>
    <w:rsid w:val="00C66C36"/>
    <w:rsid w:val="00C7030D"/>
    <w:rsid w:val="00C718F6"/>
    <w:rsid w:val="00C723D2"/>
    <w:rsid w:val="00C73A3C"/>
    <w:rsid w:val="00C748F8"/>
    <w:rsid w:val="00C77190"/>
    <w:rsid w:val="00C80CA6"/>
    <w:rsid w:val="00C82ACB"/>
    <w:rsid w:val="00C83F01"/>
    <w:rsid w:val="00C8458B"/>
    <w:rsid w:val="00C8528D"/>
    <w:rsid w:val="00C90495"/>
    <w:rsid w:val="00C91C9D"/>
    <w:rsid w:val="00C92888"/>
    <w:rsid w:val="00C93741"/>
    <w:rsid w:val="00C93E3D"/>
    <w:rsid w:val="00C93E5D"/>
    <w:rsid w:val="00C9537B"/>
    <w:rsid w:val="00C9543C"/>
    <w:rsid w:val="00C974BE"/>
    <w:rsid w:val="00CA3540"/>
    <w:rsid w:val="00CA3576"/>
    <w:rsid w:val="00CA4BC5"/>
    <w:rsid w:val="00CA7114"/>
    <w:rsid w:val="00CA7435"/>
    <w:rsid w:val="00CA7894"/>
    <w:rsid w:val="00CB0BD7"/>
    <w:rsid w:val="00CB0E90"/>
    <w:rsid w:val="00CB166A"/>
    <w:rsid w:val="00CB34C0"/>
    <w:rsid w:val="00CB75CB"/>
    <w:rsid w:val="00CC04AA"/>
    <w:rsid w:val="00CC1EF2"/>
    <w:rsid w:val="00CC487F"/>
    <w:rsid w:val="00CD0C00"/>
    <w:rsid w:val="00CD27D6"/>
    <w:rsid w:val="00CD31F7"/>
    <w:rsid w:val="00CD3888"/>
    <w:rsid w:val="00CD447C"/>
    <w:rsid w:val="00CD4804"/>
    <w:rsid w:val="00CD6BEF"/>
    <w:rsid w:val="00CD6C8D"/>
    <w:rsid w:val="00CD7690"/>
    <w:rsid w:val="00CE03AA"/>
    <w:rsid w:val="00CE15D5"/>
    <w:rsid w:val="00CE2E45"/>
    <w:rsid w:val="00CE4A25"/>
    <w:rsid w:val="00CE501B"/>
    <w:rsid w:val="00CE57EB"/>
    <w:rsid w:val="00CE5B07"/>
    <w:rsid w:val="00CE6DCC"/>
    <w:rsid w:val="00CE7023"/>
    <w:rsid w:val="00CF552B"/>
    <w:rsid w:val="00CF56FB"/>
    <w:rsid w:val="00CF665B"/>
    <w:rsid w:val="00D02E71"/>
    <w:rsid w:val="00D04140"/>
    <w:rsid w:val="00D06637"/>
    <w:rsid w:val="00D07341"/>
    <w:rsid w:val="00D07F44"/>
    <w:rsid w:val="00D115A1"/>
    <w:rsid w:val="00D13583"/>
    <w:rsid w:val="00D138E6"/>
    <w:rsid w:val="00D149A9"/>
    <w:rsid w:val="00D150D4"/>
    <w:rsid w:val="00D15B69"/>
    <w:rsid w:val="00D2140D"/>
    <w:rsid w:val="00D217D3"/>
    <w:rsid w:val="00D21E96"/>
    <w:rsid w:val="00D23355"/>
    <w:rsid w:val="00D23397"/>
    <w:rsid w:val="00D246A0"/>
    <w:rsid w:val="00D258FB"/>
    <w:rsid w:val="00D276D6"/>
    <w:rsid w:val="00D27B96"/>
    <w:rsid w:val="00D3108F"/>
    <w:rsid w:val="00D3476D"/>
    <w:rsid w:val="00D34EF4"/>
    <w:rsid w:val="00D358E6"/>
    <w:rsid w:val="00D368E4"/>
    <w:rsid w:val="00D37D75"/>
    <w:rsid w:val="00D40DCF"/>
    <w:rsid w:val="00D432A3"/>
    <w:rsid w:val="00D45067"/>
    <w:rsid w:val="00D45154"/>
    <w:rsid w:val="00D45B38"/>
    <w:rsid w:val="00D46FFA"/>
    <w:rsid w:val="00D47D8D"/>
    <w:rsid w:val="00D5014A"/>
    <w:rsid w:val="00D51C65"/>
    <w:rsid w:val="00D51FF9"/>
    <w:rsid w:val="00D52CE2"/>
    <w:rsid w:val="00D553BE"/>
    <w:rsid w:val="00D55417"/>
    <w:rsid w:val="00D55B6B"/>
    <w:rsid w:val="00D5700A"/>
    <w:rsid w:val="00D6420C"/>
    <w:rsid w:val="00D64554"/>
    <w:rsid w:val="00D64B80"/>
    <w:rsid w:val="00D65295"/>
    <w:rsid w:val="00D66FC9"/>
    <w:rsid w:val="00D67576"/>
    <w:rsid w:val="00D71047"/>
    <w:rsid w:val="00D719C3"/>
    <w:rsid w:val="00D72A63"/>
    <w:rsid w:val="00D73449"/>
    <w:rsid w:val="00D8007B"/>
    <w:rsid w:val="00D80E4C"/>
    <w:rsid w:val="00D81ED7"/>
    <w:rsid w:val="00D82582"/>
    <w:rsid w:val="00D85127"/>
    <w:rsid w:val="00D8592A"/>
    <w:rsid w:val="00D85E77"/>
    <w:rsid w:val="00D8600B"/>
    <w:rsid w:val="00D8685E"/>
    <w:rsid w:val="00D90E83"/>
    <w:rsid w:val="00D91B71"/>
    <w:rsid w:val="00D9285E"/>
    <w:rsid w:val="00D97E96"/>
    <w:rsid w:val="00DA1421"/>
    <w:rsid w:val="00DA68D0"/>
    <w:rsid w:val="00DA6CDA"/>
    <w:rsid w:val="00DB06CA"/>
    <w:rsid w:val="00DB077A"/>
    <w:rsid w:val="00DB0C5D"/>
    <w:rsid w:val="00DB1B4A"/>
    <w:rsid w:val="00DB275E"/>
    <w:rsid w:val="00DB68D2"/>
    <w:rsid w:val="00DB6A87"/>
    <w:rsid w:val="00DC012F"/>
    <w:rsid w:val="00DC04A9"/>
    <w:rsid w:val="00DC1BC6"/>
    <w:rsid w:val="00DC30A1"/>
    <w:rsid w:val="00DC64D7"/>
    <w:rsid w:val="00DC7462"/>
    <w:rsid w:val="00DD0B11"/>
    <w:rsid w:val="00DD140D"/>
    <w:rsid w:val="00DD256C"/>
    <w:rsid w:val="00DD6E33"/>
    <w:rsid w:val="00DE42EE"/>
    <w:rsid w:val="00DE510D"/>
    <w:rsid w:val="00DE64E0"/>
    <w:rsid w:val="00DE67FD"/>
    <w:rsid w:val="00DE7640"/>
    <w:rsid w:val="00DE7A19"/>
    <w:rsid w:val="00DF0EE9"/>
    <w:rsid w:val="00DF2676"/>
    <w:rsid w:val="00DF4942"/>
    <w:rsid w:val="00DF73EC"/>
    <w:rsid w:val="00DF7577"/>
    <w:rsid w:val="00E00182"/>
    <w:rsid w:val="00E00E11"/>
    <w:rsid w:val="00E00E50"/>
    <w:rsid w:val="00E01BD7"/>
    <w:rsid w:val="00E03404"/>
    <w:rsid w:val="00E044FC"/>
    <w:rsid w:val="00E0506A"/>
    <w:rsid w:val="00E073A6"/>
    <w:rsid w:val="00E13409"/>
    <w:rsid w:val="00E1390E"/>
    <w:rsid w:val="00E1415E"/>
    <w:rsid w:val="00E1655E"/>
    <w:rsid w:val="00E20D9A"/>
    <w:rsid w:val="00E219CD"/>
    <w:rsid w:val="00E21DD7"/>
    <w:rsid w:val="00E27C7D"/>
    <w:rsid w:val="00E30B41"/>
    <w:rsid w:val="00E3174A"/>
    <w:rsid w:val="00E3276D"/>
    <w:rsid w:val="00E36302"/>
    <w:rsid w:val="00E36B5F"/>
    <w:rsid w:val="00E36E4B"/>
    <w:rsid w:val="00E4044E"/>
    <w:rsid w:val="00E42572"/>
    <w:rsid w:val="00E429CE"/>
    <w:rsid w:val="00E42AF7"/>
    <w:rsid w:val="00E42D8A"/>
    <w:rsid w:val="00E4348F"/>
    <w:rsid w:val="00E56499"/>
    <w:rsid w:val="00E565BA"/>
    <w:rsid w:val="00E56661"/>
    <w:rsid w:val="00E56C70"/>
    <w:rsid w:val="00E56D10"/>
    <w:rsid w:val="00E56D52"/>
    <w:rsid w:val="00E625CF"/>
    <w:rsid w:val="00E62710"/>
    <w:rsid w:val="00E64B23"/>
    <w:rsid w:val="00E664B6"/>
    <w:rsid w:val="00E71E4E"/>
    <w:rsid w:val="00E72A74"/>
    <w:rsid w:val="00E73E0D"/>
    <w:rsid w:val="00E7500D"/>
    <w:rsid w:val="00E8084C"/>
    <w:rsid w:val="00E81FD6"/>
    <w:rsid w:val="00E82404"/>
    <w:rsid w:val="00E82EE6"/>
    <w:rsid w:val="00E85522"/>
    <w:rsid w:val="00E86598"/>
    <w:rsid w:val="00E9076A"/>
    <w:rsid w:val="00E90D2B"/>
    <w:rsid w:val="00E96708"/>
    <w:rsid w:val="00E97637"/>
    <w:rsid w:val="00EA0606"/>
    <w:rsid w:val="00EA0C3D"/>
    <w:rsid w:val="00EA6364"/>
    <w:rsid w:val="00EA7043"/>
    <w:rsid w:val="00EA7FC1"/>
    <w:rsid w:val="00EB04F8"/>
    <w:rsid w:val="00EB053B"/>
    <w:rsid w:val="00EB4942"/>
    <w:rsid w:val="00EB6090"/>
    <w:rsid w:val="00EB6608"/>
    <w:rsid w:val="00EB67B0"/>
    <w:rsid w:val="00EC32BC"/>
    <w:rsid w:val="00EC465F"/>
    <w:rsid w:val="00EC530E"/>
    <w:rsid w:val="00EC5C57"/>
    <w:rsid w:val="00EC636D"/>
    <w:rsid w:val="00ED16E0"/>
    <w:rsid w:val="00ED26C1"/>
    <w:rsid w:val="00ED3032"/>
    <w:rsid w:val="00ED5A1C"/>
    <w:rsid w:val="00EE3695"/>
    <w:rsid w:val="00EE638D"/>
    <w:rsid w:val="00EF0085"/>
    <w:rsid w:val="00EF07A9"/>
    <w:rsid w:val="00EF2CE2"/>
    <w:rsid w:val="00EF3352"/>
    <w:rsid w:val="00EF43A6"/>
    <w:rsid w:val="00EF69A4"/>
    <w:rsid w:val="00EF7534"/>
    <w:rsid w:val="00F001A8"/>
    <w:rsid w:val="00F00B67"/>
    <w:rsid w:val="00F01785"/>
    <w:rsid w:val="00F01BD2"/>
    <w:rsid w:val="00F0411A"/>
    <w:rsid w:val="00F04A41"/>
    <w:rsid w:val="00F05406"/>
    <w:rsid w:val="00F054C0"/>
    <w:rsid w:val="00F06636"/>
    <w:rsid w:val="00F07DC5"/>
    <w:rsid w:val="00F117A7"/>
    <w:rsid w:val="00F11ED4"/>
    <w:rsid w:val="00F12012"/>
    <w:rsid w:val="00F12533"/>
    <w:rsid w:val="00F12910"/>
    <w:rsid w:val="00F1628D"/>
    <w:rsid w:val="00F17C8A"/>
    <w:rsid w:val="00F20CC2"/>
    <w:rsid w:val="00F20FC4"/>
    <w:rsid w:val="00F21E76"/>
    <w:rsid w:val="00F23343"/>
    <w:rsid w:val="00F24969"/>
    <w:rsid w:val="00F265D9"/>
    <w:rsid w:val="00F267DE"/>
    <w:rsid w:val="00F30EAA"/>
    <w:rsid w:val="00F33886"/>
    <w:rsid w:val="00F35FAF"/>
    <w:rsid w:val="00F37065"/>
    <w:rsid w:val="00F3722B"/>
    <w:rsid w:val="00F400EC"/>
    <w:rsid w:val="00F43E31"/>
    <w:rsid w:val="00F44AC2"/>
    <w:rsid w:val="00F45779"/>
    <w:rsid w:val="00F45993"/>
    <w:rsid w:val="00F50AAB"/>
    <w:rsid w:val="00F51241"/>
    <w:rsid w:val="00F527D0"/>
    <w:rsid w:val="00F53956"/>
    <w:rsid w:val="00F53D99"/>
    <w:rsid w:val="00F5524D"/>
    <w:rsid w:val="00F600AB"/>
    <w:rsid w:val="00F603DE"/>
    <w:rsid w:val="00F60F6F"/>
    <w:rsid w:val="00F61D8D"/>
    <w:rsid w:val="00F62027"/>
    <w:rsid w:val="00F64F8A"/>
    <w:rsid w:val="00F65D15"/>
    <w:rsid w:val="00F66D1F"/>
    <w:rsid w:val="00F676B1"/>
    <w:rsid w:val="00F70072"/>
    <w:rsid w:val="00F72A05"/>
    <w:rsid w:val="00F7350F"/>
    <w:rsid w:val="00F740B9"/>
    <w:rsid w:val="00F7640A"/>
    <w:rsid w:val="00F76B6F"/>
    <w:rsid w:val="00F76FD8"/>
    <w:rsid w:val="00F77237"/>
    <w:rsid w:val="00F803C2"/>
    <w:rsid w:val="00F81A93"/>
    <w:rsid w:val="00F824F5"/>
    <w:rsid w:val="00F84263"/>
    <w:rsid w:val="00F862FE"/>
    <w:rsid w:val="00F90EBE"/>
    <w:rsid w:val="00F916BF"/>
    <w:rsid w:val="00F9222D"/>
    <w:rsid w:val="00F932D2"/>
    <w:rsid w:val="00F9437C"/>
    <w:rsid w:val="00F945D5"/>
    <w:rsid w:val="00F95F12"/>
    <w:rsid w:val="00F96DF1"/>
    <w:rsid w:val="00FA061A"/>
    <w:rsid w:val="00FA43A3"/>
    <w:rsid w:val="00FA4C73"/>
    <w:rsid w:val="00FA6A49"/>
    <w:rsid w:val="00FA6C6B"/>
    <w:rsid w:val="00FB1C48"/>
    <w:rsid w:val="00FB2835"/>
    <w:rsid w:val="00FB6142"/>
    <w:rsid w:val="00FC44DB"/>
    <w:rsid w:val="00FC4ECD"/>
    <w:rsid w:val="00FC56B9"/>
    <w:rsid w:val="00FC5F75"/>
    <w:rsid w:val="00FD27C0"/>
    <w:rsid w:val="00FD2F39"/>
    <w:rsid w:val="00FD61A3"/>
    <w:rsid w:val="00FD61DB"/>
    <w:rsid w:val="00FD64E6"/>
    <w:rsid w:val="00FE4571"/>
    <w:rsid w:val="00FE4EDA"/>
    <w:rsid w:val="00FE5DFC"/>
    <w:rsid w:val="00FE7ED6"/>
    <w:rsid w:val="00FF01D9"/>
    <w:rsid w:val="00FF049B"/>
    <w:rsid w:val="00FF0772"/>
    <w:rsid w:val="00FF1D4A"/>
    <w:rsid w:val="00FF214C"/>
    <w:rsid w:val="00FF2B3F"/>
    <w:rsid w:val="00FF3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02833"/>
  <w15:docId w15:val="{27FBB1EE-1332-4681-AB1C-B0EA5F023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3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E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NUMBERED">
    <w:name w:val="MEMO NUMBERED"/>
    <w:basedOn w:val="Normal"/>
    <w:link w:val="MEMONUMBEREDChar"/>
    <w:qFormat/>
    <w:rsid w:val="00E85522"/>
    <w:pPr>
      <w:numPr>
        <w:numId w:val="1"/>
      </w:numPr>
      <w:spacing w:after="0" w:line="480" w:lineRule="auto"/>
    </w:pPr>
    <w:rPr>
      <w:rFonts w:ascii="Times New Roman" w:eastAsia="Times New Roman" w:hAnsi="Times New Roman" w:cs="Times New Roman"/>
      <w:sz w:val="24"/>
      <w:szCs w:val="24"/>
      <w:lang w:val="en-US" w:eastAsia="en-ZA"/>
    </w:rPr>
  </w:style>
  <w:style w:type="character" w:customStyle="1" w:styleId="MEMONUMBEREDChar">
    <w:name w:val="MEMO NUMBERED Char"/>
    <w:basedOn w:val="DefaultParagraphFont"/>
    <w:link w:val="MEMONUMBERED"/>
    <w:locked/>
    <w:rsid w:val="00E85522"/>
    <w:rPr>
      <w:rFonts w:ascii="Times New Roman" w:eastAsia="Times New Roman" w:hAnsi="Times New Roman" w:cs="Times New Roman"/>
      <w:sz w:val="24"/>
      <w:szCs w:val="24"/>
      <w:lang w:val="en-US" w:eastAsia="en-ZA"/>
    </w:rPr>
  </w:style>
  <w:style w:type="character" w:styleId="CommentReference">
    <w:name w:val="annotation reference"/>
    <w:basedOn w:val="DefaultParagraphFont"/>
    <w:uiPriority w:val="99"/>
    <w:semiHidden/>
    <w:unhideWhenUsed/>
    <w:rsid w:val="00600038"/>
    <w:rPr>
      <w:sz w:val="16"/>
      <w:szCs w:val="16"/>
    </w:rPr>
  </w:style>
  <w:style w:type="paragraph" w:styleId="CommentText">
    <w:name w:val="annotation text"/>
    <w:basedOn w:val="Normal"/>
    <w:link w:val="CommentTextChar"/>
    <w:uiPriority w:val="99"/>
    <w:semiHidden/>
    <w:unhideWhenUsed/>
    <w:rsid w:val="00600038"/>
    <w:pPr>
      <w:spacing w:line="240" w:lineRule="auto"/>
    </w:pPr>
    <w:rPr>
      <w:sz w:val="20"/>
      <w:szCs w:val="20"/>
    </w:rPr>
  </w:style>
  <w:style w:type="character" w:customStyle="1" w:styleId="CommentTextChar">
    <w:name w:val="Comment Text Char"/>
    <w:basedOn w:val="DefaultParagraphFont"/>
    <w:link w:val="CommentText"/>
    <w:uiPriority w:val="99"/>
    <w:semiHidden/>
    <w:rsid w:val="00600038"/>
    <w:rPr>
      <w:sz w:val="20"/>
      <w:szCs w:val="20"/>
    </w:rPr>
  </w:style>
  <w:style w:type="paragraph" w:styleId="CommentSubject">
    <w:name w:val="annotation subject"/>
    <w:basedOn w:val="CommentText"/>
    <w:next w:val="CommentText"/>
    <w:link w:val="CommentSubjectChar"/>
    <w:uiPriority w:val="99"/>
    <w:semiHidden/>
    <w:unhideWhenUsed/>
    <w:rsid w:val="00600038"/>
    <w:rPr>
      <w:b/>
      <w:bCs/>
    </w:rPr>
  </w:style>
  <w:style w:type="character" w:customStyle="1" w:styleId="CommentSubjectChar">
    <w:name w:val="Comment Subject Char"/>
    <w:basedOn w:val="CommentTextChar"/>
    <w:link w:val="CommentSubject"/>
    <w:uiPriority w:val="99"/>
    <w:semiHidden/>
    <w:rsid w:val="00600038"/>
    <w:rPr>
      <w:b/>
      <w:bCs/>
      <w:sz w:val="20"/>
      <w:szCs w:val="20"/>
    </w:rPr>
  </w:style>
  <w:style w:type="paragraph" w:styleId="BalloonText">
    <w:name w:val="Balloon Text"/>
    <w:basedOn w:val="Normal"/>
    <w:link w:val="BalloonTextChar"/>
    <w:uiPriority w:val="99"/>
    <w:semiHidden/>
    <w:unhideWhenUsed/>
    <w:rsid w:val="00600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038"/>
    <w:rPr>
      <w:rFonts w:ascii="Segoe UI" w:hAnsi="Segoe UI" w:cs="Segoe UI"/>
      <w:sz w:val="18"/>
      <w:szCs w:val="18"/>
    </w:rPr>
  </w:style>
  <w:style w:type="paragraph" w:styleId="FootnoteText">
    <w:name w:val="footnote text"/>
    <w:basedOn w:val="Normal"/>
    <w:link w:val="FootnoteTextChar"/>
    <w:uiPriority w:val="99"/>
    <w:semiHidden/>
    <w:unhideWhenUsed/>
    <w:rsid w:val="00AA05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0559"/>
    <w:rPr>
      <w:sz w:val="20"/>
      <w:szCs w:val="20"/>
    </w:rPr>
  </w:style>
  <w:style w:type="character" w:styleId="FootnoteReference">
    <w:name w:val="footnote reference"/>
    <w:basedOn w:val="DefaultParagraphFont"/>
    <w:uiPriority w:val="99"/>
    <w:semiHidden/>
    <w:unhideWhenUsed/>
    <w:rsid w:val="00AA0559"/>
    <w:rPr>
      <w:vertAlign w:val="superscript"/>
    </w:rPr>
  </w:style>
  <w:style w:type="paragraph" w:styleId="Header">
    <w:name w:val="header"/>
    <w:basedOn w:val="Normal"/>
    <w:link w:val="HeaderChar"/>
    <w:uiPriority w:val="99"/>
    <w:unhideWhenUsed/>
    <w:rsid w:val="00D9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85E"/>
  </w:style>
  <w:style w:type="paragraph" w:styleId="Footer">
    <w:name w:val="footer"/>
    <w:basedOn w:val="Normal"/>
    <w:link w:val="FooterChar"/>
    <w:uiPriority w:val="99"/>
    <w:unhideWhenUsed/>
    <w:rsid w:val="00D9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85E"/>
  </w:style>
  <w:style w:type="paragraph" w:styleId="ListParagraph">
    <w:name w:val="List Paragraph"/>
    <w:basedOn w:val="Normal"/>
    <w:uiPriority w:val="34"/>
    <w:qFormat/>
    <w:rsid w:val="002C5F49"/>
    <w:pPr>
      <w:ind w:left="720"/>
      <w:contextualSpacing/>
    </w:pPr>
  </w:style>
  <w:style w:type="character" w:styleId="Hyperlink">
    <w:name w:val="Hyperlink"/>
    <w:rsid w:val="00AA5EDC"/>
    <w:rPr>
      <w:color w:val="0563C1"/>
      <w:u w:val="single"/>
    </w:rPr>
  </w:style>
  <w:style w:type="paragraph" w:styleId="Revision">
    <w:name w:val="Revision"/>
    <w:hidden/>
    <w:uiPriority w:val="99"/>
    <w:semiHidden/>
    <w:rsid w:val="00090A9E"/>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58B70-596A-42F6-B887-24C1FF0C3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Tumi Maponya</dc:creator>
  <cp:lastModifiedBy>Tumi T. Mabona</cp:lastModifiedBy>
  <cp:revision>5</cp:revision>
  <cp:lastPrinted>2023-12-13T13:59:00Z</cp:lastPrinted>
  <dcterms:created xsi:type="dcterms:W3CDTF">2023-12-13T12:20:00Z</dcterms:created>
  <dcterms:modified xsi:type="dcterms:W3CDTF">2023-12-13T14:09:00Z</dcterms:modified>
</cp:coreProperties>
</file>