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D1F2D" w14:textId="77777777" w:rsidR="00B50E11" w:rsidRDefault="00B50E11" w:rsidP="00B50E11">
      <w:pPr>
        <w:pStyle w:val="Body"/>
        <w:jc w:val="center"/>
      </w:pPr>
      <w:r>
        <w:rPr>
          <w:noProof/>
        </w:rPr>
        <w:drawing>
          <wp:inline distT="0" distB="0" distL="0" distR="0" wp14:anchorId="6B5B6C71" wp14:editId="2D5C227D">
            <wp:extent cx="1495425" cy="1495425"/>
            <wp:effectExtent l="0" t="0" r="3175" b="3175"/>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8"/>
                    <a:stretch>
                      <a:fillRect/>
                    </a:stretch>
                  </pic:blipFill>
                  <pic:spPr>
                    <a:xfrm>
                      <a:off x="0" y="0"/>
                      <a:ext cx="1495425" cy="1495425"/>
                    </a:xfrm>
                    <a:prstGeom prst="rect">
                      <a:avLst/>
                    </a:prstGeom>
                    <a:ln w="12700" cap="flat">
                      <a:noFill/>
                      <a:miter lim="400000"/>
                    </a:ln>
                    <a:effectLst/>
                  </pic:spPr>
                </pic:pic>
              </a:graphicData>
            </a:graphic>
          </wp:inline>
        </w:drawing>
      </w:r>
    </w:p>
    <w:p w14:paraId="1D01E514" w14:textId="52A01189" w:rsidR="00B50E11" w:rsidRPr="0031449E" w:rsidRDefault="00B50E11" w:rsidP="008E6813">
      <w:pPr>
        <w:pStyle w:val="Body"/>
        <w:spacing w:line="360" w:lineRule="auto"/>
        <w:jc w:val="center"/>
        <w:outlineLvl w:val="0"/>
        <w:rPr>
          <w:rFonts w:cs="Arial"/>
          <w:b/>
          <w:bCs/>
          <w:sz w:val="24"/>
          <w:szCs w:val="24"/>
        </w:rPr>
      </w:pPr>
      <w:r w:rsidRPr="0031449E">
        <w:rPr>
          <w:rFonts w:cs="Arial"/>
          <w:b/>
          <w:bCs/>
          <w:sz w:val="24"/>
          <w:szCs w:val="24"/>
          <w:u w:val="single"/>
        </w:rPr>
        <w:t>IN THE HIGH COURT OF SOUTH AFRICA</w:t>
      </w:r>
    </w:p>
    <w:p w14:paraId="350B431D" w14:textId="72E88555" w:rsidR="00C519B2" w:rsidRPr="008E6813" w:rsidRDefault="00B50E11" w:rsidP="008E6813">
      <w:pPr>
        <w:pStyle w:val="Body"/>
        <w:spacing w:line="360" w:lineRule="auto"/>
        <w:jc w:val="center"/>
        <w:rPr>
          <w:rFonts w:cs="Arial"/>
          <w:b/>
          <w:bCs/>
          <w:sz w:val="24"/>
          <w:szCs w:val="24"/>
          <w:u w:val="single"/>
        </w:rPr>
      </w:pPr>
      <w:r w:rsidRPr="0031449E">
        <w:rPr>
          <w:rFonts w:cs="Arial"/>
          <w:b/>
          <w:bCs/>
          <w:sz w:val="24"/>
          <w:szCs w:val="24"/>
          <w:u w:val="single"/>
          <w:lang w:val="de-DE"/>
        </w:rPr>
        <w:t>(GAUTENG DIVISION, PRETORIA)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tblGrid>
      <w:tr w:rsidR="00C519B2" w:rsidRPr="004164F3" w14:paraId="7564B942" w14:textId="77777777" w:rsidTr="00916A67">
        <w:trPr>
          <w:trHeight w:val="1997"/>
        </w:trPr>
        <w:tc>
          <w:tcPr>
            <w:tcW w:w="4536" w:type="dxa"/>
          </w:tcPr>
          <w:p w14:paraId="0C1A8C99" w14:textId="77777777" w:rsidR="00C519B2" w:rsidRPr="004164F3" w:rsidRDefault="00C519B2" w:rsidP="00C64B6A">
            <w:pPr>
              <w:rPr>
                <w:rFonts w:ascii="Arial Unicode MS" w:eastAsia="Arial Unicode MS" w:hAnsi="Arial Unicode MS" w:cs="Arial Unicode MS"/>
                <w:b/>
                <w:sz w:val="16"/>
                <w:szCs w:val="16"/>
              </w:rPr>
            </w:pPr>
            <w:r w:rsidRPr="004164F3">
              <w:rPr>
                <w:rFonts w:ascii="Arial Unicode MS" w:eastAsia="Arial Unicode MS" w:hAnsi="Arial Unicode MS" w:cs="Arial Unicode MS"/>
                <w:b/>
                <w:sz w:val="16"/>
                <w:szCs w:val="16"/>
              </w:rPr>
              <w:t>DELETE WHICHEVER IS NOT APPLICABLE</w:t>
            </w:r>
          </w:p>
          <w:p w14:paraId="719093FC" w14:textId="64B5F9B5"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(1)</w:t>
            </w:r>
            <w:r w:rsidR="008E6813">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REPORTABLE:</w:t>
            </w:r>
            <w:r w:rsidRPr="004164F3">
              <w:rPr>
                <w:rFonts w:ascii="Arial Unicode MS" w:eastAsia="Arial Unicode MS" w:hAnsi="Arial Unicode MS" w:cs="Arial Unicode MS"/>
                <w:sz w:val="16"/>
                <w:szCs w:val="16"/>
              </w:rPr>
              <w:tab/>
            </w:r>
            <w:r w:rsidRPr="003F709B">
              <w:rPr>
                <w:rFonts w:ascii="Arial Unicode MS" w:eastAsia="Arial Unicode MS" w:hAnsi="Arial Unicode MS" w:cs="Arial Unicode MS"/>
                <w:strike/>
                <w:sz w:val="16"/>
                <w:szCs w:val="16"/>
              </w:rPr>
              <w:t>YES</w:t>
            </w:r>
            <w:r w:rsidRPr="004164F3">
              <w:rPr>
                <w:rFonts w:ascii="Arial Unicode MS" w:eastAsia="Arial Unicode MS" w:hAnsi="Arial Unicode MS" w:cs="Arial Unicode MS"/>
                <w:sz w:val="16"/>
                <w:szCs w:val="16"/>
              </w:rPr>
              <w:t>/</w:t>
            </w:r>
            <w:r w:rsidRPr="003F709B">
              <w:rPr>
                <w:rFonts w:ascii="Arial Unicode MS" w:eastAsia="Arial Unicode MS" w:hAnsi="Arial Unicode MS" w:cs="Arial Unicode MS"/>
                <w:b/>
                <w:bCs/>
                <w:sz w:val="16"/>
                <w:szCs w:val="16"/>
              </w:rPr>
              <w:t>NO</w:t>
            </w:r>
          </w:p>
          <w:p w14:paraId="528A128C" w14:textId="4608575A"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(2)</w:t>
            </w:r>
            <w:r w:rsidR="008E6813">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 xml:space="preserve">OF INTEREST TO OTHER JUDGES: </w:t>
            </w:r>
            <w:r w:rsidRPr="003F709B">
              <w:rPr>
                <w:rFonts w:ascii="Arial Unicode MS" w:eastAsia="Arial Unicode MS" w:hAnsi="Arial Unicode MS" w:cs="Arial Unicode MS"/>
                <w:strike/>
                <w:sz w:val="16"/>
                <w:szCs w:val="16"/>
              </w:rPr>
              <w:t>YES</w:t>
            </w:r>
            <w:r w:rsidRPr="004164F3">
              <w:rPr>
                <w:rFonts w:ascii="Arial Unicode MS" w:eastAsia="Arial Unicode MS" w:hAnsi="Arial Unicode MS" w:cs="Arial Unicode MS"/>
                <w:sz w:val="16"/>
                <w:szCs w:val="16"/>
              </w:rPr>
              <w:t>/</w:t>
            </w:r>
            <w:r w:rsidRPr="003F709B">
              <w:rPr>
                <w:rFonts w:ascii="Arial Unicode MS" w:eastAsia="Arial Unicode MS" w:hAnsi="Arial Unicode MS" w:cs="Arial Unicode MS"/>
                <w:b/>
                <w:bCs/>
                <w:sz w:val="16"/>
                <w:szCs w:val="16"/>
              </w:rPr>
              <w:t>NO</w:t>
            </w:r>
          </w:p>
          <w:p w14:paraId="15F66332" w14:textId="18B9FE90"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(3)</w:t>
            </w:r>
            <w:r w:rsidR="008E6813">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REVISED</w:t>
            </w:r>
            <w:r w:rsidR="003F709B">
              <w:rPr>
                <w:rFonts w:ascii="Arial Unicode MS" w:eastAsia="Arial Unicode MS" w:hAnsi="Arial Unicode MS" w:cs="Arial Unicode MS"/>
                <w:sz w:val="16"/>
                <w:szCs w:val="16"/>
              </w:rPr>
              <w:t xml:space="preserve"> </w:t>
            </w:r>
            <w:r w:rsidR="003F709B" w:rsidRPr="003F709B">
              <w:rPr>
                <w:rFonts w:ascii="Arial Unicode MS" w:eastAsia="Arial Unicode MS" w:hAnsi="Arial Unicode MS" w:cs="Arial Unicode MS"/>
                <w:b/>
                <w:bCs/>
                <w:sz w:val="16"/>
                <w:szCs w:val="16"/>
              </w:rPr>
              <w:t>NO</w:t>
            </w:r>
          </w:p>
          <w:p w14:paraId="284842F1" w14:textId="7E6846EB" w:rsidR="00C519B2" w:rsidRPr="004164F3" w:rsidRDefault="00C519B2" w:rsidP="00C64B6A">
            <w:pPr>
              <w:spacing w:before="120"/>
              <w:rPr>
                <w:rFonts w:ascii="Arial Unicode MS" w:eastAsia="Arial Unicode MS" w:hAnsi="Arial Unicode MS" w:cs="Arial Unicode MS"/>
                <w:sz w:val="16"/>
                <w:szCs w:val="16"/>
              </w:rPr>
            </w:pPr>
            <w:proofErr w:type="gramStart"/>
            <w:r w:rsidRPr="004164F3">
              <w:rPr>
                <w:rFonts w:ascii="Arial Unicode MS" w:eastAsia="Arial Unicode MS" w:hAnsi="Arial Unicode MS" w:cs="Arial Unicode MS"/>
                <w:sz w:val="16"/>
                <w:szCs w:val="16"/>
              </w:rPr>
              <w:t>DATE:…</w:t>
            </w:r>
            <w:proofErr w:type="gramEnd"/>
            <w:r w:rsidRPr="004164F3">
              <w:rPr>
                <w:rFonts w:ascii="Arial Unicode MS" w:eastAsia="Arial Unicode MS" w:hAnsi="Arial Unicode MS" w:cs="Arial Unicode MS"/>
                <w:sz w:val="16"/>
                <w:szCs w:val="16"/>
              </w:rPr>
              <w:t>…..</w:t>
            </w:r>
            <w:r w:rsidR="00916A67" w:rsidRPr="00916A67">
              <w:rPr>
                <w:rFonts w:ascii="Arial Unicode MS" w:eastAsia="Arial Unicode MS" w:hAnsi="Arial Unicode MS" w:cs="Arial Unicode MS"/>
                <w:b/>
                <w:bCs/>
                <w:sz w:val="16"/>
                <w:szCs w:val="16"/>
              </w:rPr>
              <w:t>23 November 2023..</w:t>
            </w:r>
            <w:r>
              <w:rPr>
                <w:rFonts w:ascii="Arial Unicode MS" w:eastAsia="Arial Unicode MS" w:hAnsi="Arial Unicode MS" w:cs="Arial Unicode MS"/>
                <w:sz w:val="16"/>
                <w:szCs w:val="16"/>
              </w:rPr>
              <w:br/>
            </w:r>
          </w:p>
          <w:p w14:paraId="773CDFDB" w14:textId="38719BD2" w:rsidR="00C519B2" w:rsidRPr="004164F3" w:rsidRDefault="00C519B2" w:rsidP="00C64B6A">
            <w:pPr>
              <w:rPr>
                <w:rFonts w:ascii="Arial Unicode MS" w:eastAsia="Arial Unicode MS" w:hAnsi="Arial Unicode MS" w:cs="Arial Unicode MS"/>
                <w:sz w:val="16"/>
                <w:szCs w:val="16"/>
              </w:rPr>
            </w:pPr>
            <w:proofErr w:type="gramStart"/>
            <w:r w:rsidRPr="004164F3">
              <w:rPr>
                <w:rFonts w:ascii="Arial Unicode MS" w:eastAsia="Arial Unicode MS" w:hAnsi="Arial Unicode MS" w:cs="Arial Unicode MS"/>
                <w:sz w:val="16"/>
                <w:szCs w:val="16"/>
              </w:rPr>
              <w:t>SIGNATURE:.</w:t>
            </w:r>
            <w:proofErr w:type="gramEnd"/>
            <w:r w:rsidRPr="004164F3">
              <w:rPr>
                <w:rFonts w:ascii="Arial Unicode MS" w:eastAsia="Arial Unicode MS" w:hAnsi="Arial Unicode MS" w:cs="Arial Unicode MS"/>
                <w:sz w:val="16"/>
                <w:szCs w:val="16"/>
              </w:rPr>
              <w:t>……………………</w:t>
            </w:r>
          </w:p>
        </w:tc>
      </w:tr>
    </w:tbl>
    <w:p w14:paraId="46E43E32" w14:textId="6061DA80" w:rsidR="00B50E11" w:rsidRPr="0031449E" w:rsidRDefault="00B50E11" w:rsidP="008E6813">
      <w:pPr>
        <w:pStyle w:val="Body"/>
        <w:spacing w:line="360" w:lineRule="auto"/>
        <w:jc w:val="right"/>
        <w:outlineLvl w:val="0"/>
        <w:rPr>
          <w:rFonts w:cs="Arial"/>
          <w:sz w:val="24"/>
          <w:szCs w:val="24"/>
        </w:rPr>
      </w:pPr>
      <w:r w:rsidRPr="0031449E">
        <w:rPr>
          <w:rFonts w:cs="Arial"/>
          <w:sz w:val="24"/>
          <w:szCs w:val="24"/>
        </w:rPr>
        <w:tab/>
      </w:r>
      <w:r w:rsidRPr="0031449E">
        <w:rPr>
          <w:rFonts w:cs="Arial"/>
          <w:b/>
          <w:bCs/>
          <w:sz w:val="24"/>
          <w:szCs w:val="24"/>
        </w:rPr>
        <w:t xml:space="preserve">Case No. </w:t>
      </w:r>
      <w:r w:rsidR="000E0A01">
        <w:rPr>
          <w:rFonts w:cs="Arial"/>
          <w:b/>
          <w:bCs/>
          <w:sz w:val="24"/>
          <w:szCs w:val="24"/>
        </w:rPr>
        <w:t>52365/2020</w:t>
      </w:r>
    </w:p>
    <w:tbl>
      <w:tblPr>
        <w:tblStyle w:val="TableGrid"/>
        <w:tblW w:w="96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8"/>
        <w:gridCol w:w="4095"/>
        <w:gridCol w:w="50"/>
      </w:tblGrid>
      <w:tr w:rsidR="00B50E11" w:rsidRPr="0031449E" w14:paraId="22698168" w14:textId="77777777" w:rsidTr="003F709B">
        <w:trPr>
          <w:gridAfter w:val="1"/>
          <w:wAfter w:w="50" w:type="dxa"/>
        </w:trPr>
        <w:tc>
          <w:tcPr>
            <w:tcW w:w="5548" w:type="dxa"/>
          </w:tcPr>
          <w:p w14:paraId="3D32D802" w14:textId="77777777" w:rsidR="00B50E11" w:rsidRPr="0031449E" w:rsidRDefault="00B50E11" w:rsidP="008E6813">
            <w:pPr>
              <w:pStyle w:val="Body"/>
              <w:spacing w:line="360" w:lineRule="auto"/>
              <w:jc w:val="both"/>
              <w:rPr>
                <w:rFonts w:cs="Arial"/>
                <w:sz w:val="24"/>
                <w:szCs w:val="24"/>
              </w:rPr>
            </w:pPr>
            <w:r w:rsidRPr="0031449E">
              <w:rPr>
                <w:rFonts w:cs="Arial"/>
                <w:sz w:val="24"/>
                <w:szCs w:val="24"/>
              </w:rPr>
              <w:t>In the matter between:</w:t>
            </w:r>
          </w:p>
        </w:tc>
        <w:tc>
          <w:tcPr>
            <w:tcW w:w="4095" w:type="dxa"/>
          </w:tcPr>
          <w:p w14:paraId="6295A861" w14:textId="77777777" w:rsidR="00B50E11" w:rsidRPr="0031449E" w:rsidRDefault="00B50E11"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b/>
                <w:sz w:val="24"/>
                <w:szCs w:val="24"/>
              </w:rPr>
            </w:pPr>
          </w:p>
        </w:tc>
      </w:tr>
      <w:tr w:rsidR="00B50E11" w:rsidRPr="0031449E" w14:paraId="4638A8A4" w14:textId="77777777" w:rsidTr="003F709B">
        <w:trPr>
          <w:gridAfter w:val="1"/>
          <w:wAfter w:w="50" w:type="dxa"/>
          <w:trHeight w:val="1045"/>
        </w:trPr>
        <w:tc>
          <w:tcPr>
            <w:tcW w:w="5548" w:type="dxa"/>
          </w:tcPr>
          <w:p w14:paraId="2456782D" w14:textId="77777777" w:rsidR="00B50E11" w:rsidRPr="003F709B" w:rsidRDefault="00B50E11"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p w14:paraId="548AA6FE" w14:textId="2E2615DF" w:rsidR="007F7FED" w:rsidRPr="003F709B" w:rsidRDefault="007B2ED6"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r w:rsidRPr="003F709B">
              <w:rPr>
                <w:rFonts w:cs="Arial"/>
                <w:b/>
                <w:bCs/>
                <w:sz w:val="24"/>
                <w:szCs w:val="24"/>
              </w:rPr>
              <w:t>RABOTHATHA, ISHMAEL</w:t>
            </w:r>
          </w:p>
        </w:tc>
        <w:tc>
          <w:tcPr>
            <w:tcW w:w="4095" w:type="dxa"/>
          </w:tcPr>
          <w:p w14:paraId="66354F6A" w14:textId="77777777" w:rsidR="00B50E11" w:rsidRPr="003F709B" w:rsidRDefault="00B50E11"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Cs/>
                <w:sz w:val="24"/>
                <w:szCs w:val="24"/>
              </w:rPr>
            </w:pPr>
          </w:p>
          <w:p w14:paraId="263479FD" w14:textId="0928BCFD" w:rsidR="00B50E11" w:rsidRPr="003F709B" w:rsidRDefault="007B2ED6"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Cs/>
                <w:sz w:val="24"/>
                <w:szCs w:val="24"/>
              </w:rPr>
            </w:pPr>
            <w:r w:rsidRPr="003F709B">
              <w:rPr>
                <w:rFonts w:cs="Arial"/>
                <w:bCs/>
                <w:sz w:val="24"/>
                <w:szCs w:val="24"/>
              </w:rPr>
              <w:t>FIRST PLAINTIFF</w:t>
            </w:r>
          </w:p>
        </w:tc>
      </w:tr>
      <w:tr w:rsidR="007B2ED6" w:rsidRPr="0031449E" w14:paraId="7BAFDEC7" w14:textId="77777777" w:rsidTr="003F709B">
        <w:trPr>
          <w:gridAfter w:val="1"/>
          <w:wAfter w:w="50" w:type="dxa"/>
          <w:trHeight w:val="1045"/>
        </w:trPr>
        <w:tc>
          <w:tcPr>
            <w:tcW w:w="5548" w:type="dxa"/>
          </w:tcPr>
          <w:p w14:paraId="6803F244" w14:textId="77777777" w:rsidR="007B2ED6" w:rsidRPr="003F709B" w:rsidRDefault="007B2ED6"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p w14:paraId="18668A52" w14:textId="599B651B" w:rsidR="007B2ED6" w:rsidRPr="003F709B" w:rsidRDefault="007B2ED6"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r w:rsidRPr="003F709B">
              <w:rPr>
                <w:rFonts w:cs="Arial"/>
                <w:b/>
                <w:bCs/>
                <w:sz w:val="24"/>
                <w:szCs w:val="24"/>
              </w:rPr>
              <w:t xml:space="preserve">MOTSEPE, RACHEL MMAKETLO </w:t>
            </w:r>
          </w:p>
        </w:tc>
        <w:tc>
          <w:tcPr>
            <w:tcW w:w="4095" w:type="dxa"/>
          </w:tcPr>
          <w:p w14:paraId="62DFC435" w14:textId="77777777" w:rsidR="007B2ED6" w:rsidRPr="003F709B" w:rsidRDefault="007B2ED6"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Cs/>
                <w:sz w:val="24"/>
                <w:szCs w:val="24"/>
              </w:rPr>
            </w:pPr>
          </w:p>
          <w:p w14:paraId="30D52316" w14:textId="3F329CD4" w:rsidR="007B2ED6" w:rsidRPr="003F709B" w:rsidRDefault="007B2ED6"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Cs/>
                <w:sz w:val="24"/>
                <w:szCs w:val="24"/>
              </w:rPr>
            </w:pPr>
            <w:r w:rsidRPr="003F709B">
              <w:rPr>
                <w:rFonts w:cs="Arial"/>
                <w:bCs/>
                <w:sz w:val="24"/>
                <w:szCs w:val="24"/>
              </w:rPr>
              <w:t>SECOND PLAINTIFF</w:t>
            </w:r>
          </w:p>
        </w:tc>
      </w:tr>
      <w:tr w:rsidR="007B2ED6" w:rsidRPr="0031449E" w14:paraId="70BE7493" w14:textId="77777777" w:rsidTr="003F709B">
        <w:trPr>
          <w:gridAfter w:val="1"/>
          <w:wAfter w:w="50" w:type="dxa"/>
          <w:trHeight w:val="1045"/>
        </w:trPr>
        <w:tc>
          <w:tcPr>
            <w:tcW w:w="5548" w:type="dxa"/>
          </w:tcPr>
          <w:p w14:paraId="5320D894" w14:textId="77777777" w:rsidR="007B2ED6" w:rsidRPr="003F709B" w:rsidRDefault="007B2ED6"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p w14:paraId="590D7D2A" w14:textId="6E8E8A58" w:rsidR="007B2ED6" w:rsidRPr="003F709B" w:rsidRDefault="007B2ED6"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r w:rsidRPr="003F709B">
              <w:rPr>
                <w:rFonts w:cs="Arial"/>
                <w:b/>
                <w:bCs/>
                <w:sz w:val="24"/>
                <w:szCs w:val="24"/>
              </w:rPr>
              <w:t>TLHABADIRA, KGOTHATSO PETUNIA</w:t>
            </w:r>
          </w:p>
        </w:tc>
        <w:tc>
          <w:tcPr>
            <w:tcW w:w="4095" w:type="dxa"/>
          </w:tcPr>
          <w:p w14:paraId="54EB0618" w14:textId="77777777" w:rsidR="007B2ED6" w:rsidRPr="003F709B" w:rsidRDefault="007B2ED6"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Cs/>
                <w:sz w:val="24"/>
                <w:szCs w:val="24"/>
              </w:rPr>
            </w:pPr>
          </w:p>
          <w:p w14:paraId="7587AB2B" w14:textId="7C5B7FFC" w:rsidR="007B2ED6" w:rsidRPr="003F709B" w:rsidRDefault="007B2ED6"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Cs/>
                <w:sz w:val="24"/>
                <w:szCs w:val="24"/>
              </w:rPr>
            </w:pPr>
            <w:r w:rsidRPr="003F709B">
              <w:rPr>
                <w:rFonts w:cs="Arial"/>
                <w:bCs/>
                <w:sz w:val="24"/>
                <w:szCs w:val="24"/>
              </w:rPr>
              <w:t>THIRD PLAINTIFF</w:t>
            </w:r>
          </w:p>
        </w:tc>
      </w:tr>
      <w:tr w:rsidR="007B2ED6" w:rsidRPr="0031449E" w14:paraId="1ABB0CCC" w14:textId="77777777" w:rsidTr="003F709B">
        <w:trPr>
          <w:gridAfter w:val="1"/>
          <w:wAfter w:w="50" w:type="dxa"/>
          <w:trHeight w:val="1045"/>
        </w:trPr>
        <w:tc>
          <w:tcPr>
            <w:tcW w:w="5548" w:type="dxa"/>
          </w:tcPr>
          <w:p w14:paraId="6F6D022E" w14:textId="77777777" w:rsidR="007B2ED6" w:rsidRPr="003F709B" w:rsidRDefault="007B2ED6"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p w14:paraId="2303979B" w14:textId="15575894" w:rsidR="007B2ED6" w:rsidRPr="003F709B" w:rsidRDefault="007B2ED6"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r w:rsidRPr="003F709B">
              <w:rPr>
                <w:rFonts w:cs="Arial"/>
                <w:b/>
                <w:bCs/>
                <w:sz w:val="24"/>
                <w:szCs w:val="24"/>
              </w:rPr>
              <w:t>RAPHOLO, GOMOLEMO</w:t>
            </w:r>
          </w:p>
        </w:tc>
        <w:tc>
          <w:tcPr>
            <w:tcW w:w="4095" w:type="dxa"/>
          </w:tcPr>
          <w:p w14:paraId="0D9F2410" w14:textId="77777777" w:rsidR="007B2ED6" w:rsidRPr="003F709B" w:rsidRDefault="007B2ED6"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Cs/>
                <w:sz w:val="24"/>
                <w:szCs w:val="24"/>
              </w:rPr>
            </w:pPr>
          </w:p>
          <w:p w14:paraId="5BDBCFAD" w14:textId="00E631AA" w:rsidR="007B2ED6" w:rsidRPr="003F709B" w:rsidRDefault="007B2ED6"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Cs/>
                <w:sz w:val="24"/>
                <w:szCs w:val="24"/>
              </w:rPr>
            </w:pPr>
            <w:r w:rsidRPr="003F709B">
              <w:rPr>
                <w:rFonts w:cs="Arial"/>
                <w:bCs/>
                <w:sz w:val="24"/>
                <w:szCs w:val="24"/>
              </w:rPr>
              <w:t>FOURTH PLAINTIFF</w:t>
            </w:r>
          </w:p>
        </w:tc>
      </w:tr>
      <w:tr w:rsidR="007B2ED6" w:rsidRPr="0031449E" w14:paraId="6623421D" w14:textId="77777777" w:rsidTr="003F709B">
        <w:trPr>
          <w:gridAfter w:val="1"/>
          <w:wAfter w:w="50" w:type="dxa"/>
          <w:trHeight w:val="1045"/>
        </w:trPr>
        <w:tc>
          <w:tcPr>
            <w:tcW w:w="5548" w:type="dxa"/>
          </w:tcPr>
          <w:p w14:paraId="76AD7F58" w14:textId="77777777" w:rsidR="007B2ED6" w:rsidRPr="003F709B" w:rsidRDefault="007B2ED6"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p w14:paraId="07790ADA" w14:textId="2E61032B" w:rsidR="007B2ED6" w:rsidRPr="003F709B" w:rsidRDefault="007B2ED6"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r w:rsidRPr="003F709B">
              <w:rPr>
                <w:rFonts w:cs="Arial"/>
                <w:b/>
                <w:bCs/>
                <w:sz w:val="24"/>
                <w:szCs w:val="24"/>
              </w:rPr>
              <w:t>MOGALE, DUDZILE</w:t>
            </w:r>
          </w:p>
        </w:tc>
        <w:tc>
          <w:tcPr>
            <w:tcW w:w="4095" w:type="dxa"/>
          </w:tcPr>
          <w:p w14:paraId="1546134D" w14:textId="77777777" w:rsidR="007B2ED6" w:rsidRPr="003F709B" w:rsidRDefault="007B2ED6"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Cs/>
                <w:sz w:val="24"/>
                <w:szCs w:val="24"/>
              </w:rPr>
            </w:pPr>
          </w:p>
          <w:p w14:paraId="49A1FAE7" w14:textId="2D10E7EC" w:rsidR="007B2ED6" w:rsidRPr="003F709B" w:rsidRDefault="007B2ED6"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Cs/>
                <w:sz w:val="24"/>
                <w:szCs w:val="24"/>
              </w:rPr>
            </w:pPr>
            <w:r w:rsidRPr="003F709B">
              <w:rPr>
                <w:rFonts w:cs="Arial"/>
                <w:bCs/>
                <w:sz w:val="24"/>
                <w:szCs w:val="24"/>
              </w:rPr>
              <w:t>FIFTH PLAINTIFF</w:t>
            </w:r>
          </w:p>
        </w:tc>
      </w:tr>
      <w:tr w:rsidR="007B2ED6" w:rsidRPr="0031449E" w14:paraId="5847DEF7" w14:textId="77777777" w:rsidTr="003F709B">
        <w:trPr>
          <w:gridAfter w:val="1"/>
          <w:wAfter w:w="50" w:type="dxa"/>
          <w:trHeight w:val="1045"/>
        </w:trPr>
        <w:tc>
          <w:tcPr>
            <w:tcW w:w="5548" w:type="dxa"/>
          </w:tcPr>
          <w:p w14:paraId="674F87F4" w14:textId="77777777" w:rsidR="007B2ED6" w:rsidRPr="003F709B" w:rsidRDefault="007B2ED6"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p w14:paraId="514AE101" w14:textId="568328C4" w:rsidR="007B2ED6" w:rsidRPr="003F709B" w:rsidRDefault="007B2ED6"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r w:rsidRPr="003F709B">
              <w:rPr>
                <w:rFonts w:cs="Arial"/>
                <w:b/>
                <w:bCs/>
                <w:sz w:val="24"/>
                <w:szCs w:val="24"/>
              </w:rPr>
              <w:t>NETSHIFEFE, THABISO LUCAS</w:t>
            </w:r>
          </w:p>
        </w:tc>
        <w:tc>
          <w:tcPr>
            <w:tcW w:w="4095" w:type="dxa"/>
          </w:tcPr>
          <w:p w14:paraId="59D5F837" w14:textId="77777777" w:rsidR="007B2ED6" w:rsidRPr="003F709B" w:rsidRDefault="007B2ED6"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Cs/>
                <w:sz w:val="24"/>
                <w:szCs w:val="24"/>
              </w:rPr>
            </w:pPr>
          </w:p>
          <w:p w14:paraId="40A6C106" w14:textId="3F639E4D" w:rsidR="007B2ED6" w:rsidRPr="003F709B" w:rsidRDefault="007B2ED6"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Cs/>
                <w:sz w:val="24"/>
                <w:szCs w:val="24"/>
              </w:rPr>
            </w:pPr>
            <w:r w:rsidRPr="003F709B">
              <w:rPr>
                <w:rFonts w:cs="Arial"/>
                <w:bCs/>
                <w:sz w:val="24"/>
                <w:szCs w:val="24"/>
              </w:rPr>
              <w:t>SIXTH PLAINTIFF</w:t>
            </w:r>
          </w:p>
        </w:tc>
      </w:tr>
      <w:tr w:rsidR="007B2ED6" w:rsidRPr="0031449E" w14:paraId="6B23D764" w14:textId="77777777" w:rsidTr="003F709B">
        <w:trPr>
          <w:gridAfter w:val="1"/>
          <w:wAfter w:w="50" w:type="dxa"/>
          <w:trHeight w:val="1045"/>
        </w:trPr>
        <w:tc>
          <w:tcPr>
            <w:tcW w:w="5548" w:type="dxa"/>
          </w:tcPr>
          <w:p w14:paraId="18731B17" w14:textId="77777777" w:rsidR="007B2ED6" w:rsidRPr="003F709B" w:rsidRDefault="007B2ED6"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p w14:paraId="7E5AC9EF" w14:textId="524A2FC5" w:rsidR="007B2ED6" w:rsidRPr="003F709B" w:rsidRDefault="007B2ED6"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r w:rsidRPr="003F709B">
              <w:rPr>
                <w:rFonts w:cs="Arial"/>
                <w:b/>
                <w:bCs/>
                <w:sz w:val="24"/>
                <w:szCs w:val="24"/>
              </w:rPr>
              <w:t>MMAMATSHENYA, FRANK SELLO</w:t>
            </w:r>
          </w:p>
        </w:tc>
        <w:tc>
          <w:tcPr>
            <w:tcW w:w="4095" w:type="dxa"/>
          </w:tcPr>
          <w:p w14:paraId="38E84AC9" w14:textId="77777777" w:rsidR="007B2ED6" w:rsidRPr="003F709B" w:rsidRDefault="007B2ED6"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Cs/>
                <w:sz w:val="24"/>
                <w:szCs w:val="24"/>
              </w:rPr>
            </w:pPr>
          </w:p>
          <w:p w14:paraId="7C01C65D" w14:textId="67BDE984" w:rsidR="007B2ED6" w:rsidRPr="003F709B" w:rsidRDefault="007B2ED6"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Cs/>
                <w:sz w:val="24"/>
                <w:szCs w:val="24"/>
              </w:rPr>
            </w:pPr>
            <w:r w:rsidRPr="003F709B">
              <w:rPr>
                <w:rFonts w:cs="Arial"/>
                <w:bCs/>
                <w:sz w:val="24"/>
                <w:szCs w:val="24"/>
              </w:rPr>
              <w:t>SEVENTH PLAINTIFF</w:t>
            </w:r>
          </w:p>
        </w:tc>
      </w:tr>
      <w:tr w:rsidR="00B50E11" w:rsidRPr="0031449E" w14:paraId="2DE3831D" w14:textId="77777777" w:rsidTr="003F709B">
        <w:trPr>
          <w:gridAfter w:val="1"/>
          <w:wAfter w:w="50" w:type="dxa"/>
        </w:trPr>
        <w:tc>
          <w:tcPr>
            <w:tcW w:w="5548" w:type="dxa"/>
          </w:tcPr>
          <w:p w14:paraId="06AA6B3B" w14:textId="7CD9CC68" w:rsidR="00B50E11" w:rsidRDefault="00B50E11" w:rsidP="008E6813">
            <w:pPr>
              <w:pStyle w:val="Body"/>
              <w:spacing w:line="360" w:lineRule="auto"/>
              <w:jc w:val="both"/>
              <w:rPr>
                <w:rFonts w:cs="Arial"/>
                <w:b/>
                <w:sz w:val="24"/>
                <w:szCs w:val="24"/>
              </w:rPr>
            </w:pPr>
          </w:p>
          <w:p w14:paraId="44C2204B" w14:textId="77777777" w:rsidR="007B2ED6" w:rsidRPr="00F43C52" w:rsidRDefault="007B2ED6" w:rsidP="008E6813">
            <w:pPr>
              <w:pStyle w:val="Body"/>
              <w:spacing w:line="360" w:lineRule="auto"/>
              <w:jc w:val="both"/>
              <w:rPr>
                <w:rFonts w:cs="Arial"/>
                <w:b/>
                <w:sz w:val="24"/>
                <w:szCs w:val="24"/>
              </w:rPr>
            </w:pPr>
          </w:p>
          <w:p w14:paraId="52E06D21" w14:textId="65F278A7" w:rsidR="00B50E11" w:rsidRPr="0031449E" w:rsidRDefault="00416EA1" w:rsidP="008E6813">
            <w:pPr>
              <w:pStyle w:val="Body"/>
              <w:spacing w:line="360" w:lineRule="auto"/>
              <w:jc w:val="both"/>
              <w:rPr>
                <w:rFonts w:eastAsia="Tahoma" w:cs="Arial"/>
                <w:sz w:val="24"/>
                <w:szCs w:val="24"/>
              </w:rPr>
            </w:pPr>
            <w:r w:rsidRPr="0031449E">
              <w:rPr>
                <w:rFonts w:cs="Arial"/>
                <w:sz w:val="24"/>
                <w:szCs w:val="24"/>
              </w:rPr>
              <w:t>A</w:t>
            </w:r>
            <w:r w:rsidR="00B50E11" w:rsidRPr="0031449E">
              <w:rPr>
                <w:rFonts w:cs="Arial"/>
                <w:sz w:val="24"/>
                <w:szCs w:val="24"/>
              </w:rPr>
              <w:t>nd</w:t>
            </w:r>
          </w:p>
        </w:tc>
        <w:tc>
          <w:tcPr>
            <w:tcW w:w="4095" w:type="dxa"/>
          </w:tcPr>
          <w:p w14:paraId="06C77BC2" w14:textId="032FD205" w:rsidR="00B50E11" w:rsidRPr="003F709B" w:rsidRDefault="00B50E11"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Cs/>
                <w:sz w:val="24"/>
                <w:szCs w:val="24"/>
              </w:rPr>
            </w:pPr>
          </w:p>
        </w:tc>
      </w:tr>
      <w:tr w:rsidR="00B50E11" w:rsidRPr="0031449E" w14:paraId="4829D036" w14:textId="77777777" w:rsidTr="003F709B">
        <w:trPr>
          <w:gridAfter w:val="1"/>
          <w:wAfter w:w="50" w:type="dxa"/>
        </w:trPr>
        <w:tc>
          <w:tcPr>
            <w:tcW w:w="5548" w:type="dxa"/>
          </w:tcPr>
          <w:p w14:paraId="0C29CDE0" w14:textId="77777777" w:rsidR="00B50E11" w:rsidRDefault="00B50E11"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b/>
                <w:bCs/>
                <w:sz w:val="24"/>
                <w:szCs w:val="24"/>
                <w:lang w:val="de-DE"/>
              </w:rPr>
            </w:pPr>
          </w:p>
          <w:p w14:paraId="480DF639" w14:textId="74EFC5C2" w:rsidR="001F07DD" w:rsidRDefault="007B2ED6"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405"/>
              <w:jc w:val="both"/>
              <w:rPr>
                <w:rFonts w:cs="Arial"/>
                <w:b/>
                <w:bCs/>
                <w:sz w:val="24"/>
                <w:szCs w:val="24"/>
                <w:lang w:val="de-DE"/>
              </w:rPr>
            </w:pPr>
            <w:r>
              <w:rPr>
                <w:rFonts w:cs="Arial"/>
                <w:b/>
                <w:bCs/>
                <w:sz w:val="24"/>
                <w:szCs w:val="24"/>
                <w:lang w:val="de-DE"/>
              </w:rPr>
              <w:t>SUN INTERNATIONAL LIMITED</w:t>
            </w:r>
          </w:p>
          <w:p w14:paraId="3ACBB1CA" w14:textId="05144C07" w:rsidR="00B50E11" w:rsidRPr="00DA7A8D" w:rsidRDefault="00B50E11"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405"/>
              <w:jc w:val="both"/>
              <w:rPr>
                <w:rFonts w:cs="Arial"/>
                <w:b/>
                <w:bCs/>
                <w:sz w:val="24"/>
                <w:szCs w:val="24"/>
                <w:lang w:val="de-DE"/>
              </w:rPr>
            </w:pPr>
          </w:p>
        </w:tc>
        <w:tc>
          <w:tcPr>
            <w:tcW w:w="4095" w:type="dxa"/>
          </w:tcPr>
          <w:p w14:paraId="33705AB1" w14:textId="77777777" w:rsidR="00B50E11" w:rsidRPr="003F709B" w:rsidRDefault="00B50E11"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Cs/>
                <w:sz w:val="24"/>
                <w:szCs w:val="24"/>
              </w:rPr>
            </w:pPr>
          </w:p>
          <w:p w14:paraId="7853F6A3" w14:textId="53AA33D4" w:rsidR="00B50E11" w:rsidRPr="003F709B" w:rsidRDefault="001F07DD"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Cs/>
                <w:sz w:val="24"/>
                <w:szCs w:val="24"/>
              </w:rPr>
            </w:pPr>
            <w:r w:rsidRPr="003F709B">
              <w:rPr>
                <w:rFonts w:cs="Arial"/>
                <w:bCs/>
                <w:sz w:val="24"/>
                <w:szCs w:val="24"/>
              </w:rPr>
              <w:t xml:space="preserve">FIRST </w:t>
            </w:r>
            <w:r w:rsidR="000E0A01" w:rsidRPr="003F709B">
              <w:rPr>
                <w:rFonts w:cs="Arial"/>
                <w:bCs/>
                <w:sz w:val="24"/>
                <w:szCs w:val="24"/>
              </w:rPr>
              <w:t>DEFENDANT</w:t>
            </w:r>
          </w:p>
        </w:tc>
      </w:tr>
      <w:tr w:rsidR="0027008F" w:rsidRPr="0031449E" w14:paraId="0432C152" w14:textId="77777777" w:rsidTr="003F709B">
        <w:trPr>
          <w:gridAfter w:val="1"/>
          <w:wAfter w:w="50" w:type="dxa"/>
        </w:trPr>
        <w:tc>
          <w:tcPr>
            <w:tcW w:w="5548" w:type="dxa"/>
          </w:tcPr>
          <w:p w14:paraId="25DA77DC" w14:textId="77777777" w:rsidR="0027008F" w:rsidRDefault="0027008F"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b/>
                <w:bCs/>
                <w:sz w:val="24"/>
                <w:szCs w:val="24"/>
                <w:lang w:val="de-DE"/>
              </w:rPr>
            </w:pPr>
          </w:p>
          <w:p w14:paraId="7F45D086" w14:textId="5575B41B" w:rsidR="0027008F" w:rsidRDefault="007B2ED6"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b/>
                <w:bCs/>
                <w:sz w:val="24"/>
                <w:szCs w:val="24"/>
                <w:lang w:val="de-DE"/>
              </w:rPr>
            </w:pPr>
            <w:r>
              <w:rPr>
                <w:rFonts w:cs="Arial"/>
                <w:b/>
                <w:bCs/>
                <w:sz w:val="24"/>
                <w:szCs w:val="24"/>
                <w:lang w:val="de-DE"/>
              </w:rPr>
              <w:t>SUN TIMES SQUARE (PTY) LTD</w:t>
            </w:r>
          </w:p>
        </w:tc>
        <w:tc>
          <w:tcPr>
            <w:tcW w:w="4095" w:type="dxa"/>
          </w:tcPr>
          <w:p w14:paraId="12E9CA02" w14:textId="77777777" w:rsidR="0027008F" w:rsidRPr="003F709B" w:rsidRDefault="0027008F"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Cs/>
                <w:sz w:val="24"/>
                <w:szCs w:val="24"/>
              </w:rPr>
            </w:pPr>
          </w:p>
          <w:p w14:paraId="345D8E8F" w14:textId="5B748C7E" w:rsidR="0027008F" w:rsidRPr="003F709B" w:rsidRDefault="0027008F"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Cs/>
                <w:sz w:val="24"/>
                <w:szCs w:val="24"/>
              </w:rPr>
            </w:pPr>
            <w:r w:rsidRPr="003F709B">
              <w:rPr>
                <w:rFonts w:cs="Arial"/>
                <w:bCs/>
                <w:sz w:val="24"/>
                <w:szCs w:val="24"/>
              </w:rPr>
              <w:t xml:space="preserve">SECOND </w:t>
            </w:r>
            <w:r w:rsidR="000E0A01" w:rsidRPr="003F709B">
              <w:rPr>
                <w:rFonts w:cs="Arial"/>
                <w:bCs/>
                <w:sz w:val="24"/>
                <w:szCs w:val="24"/>
              </w:rPr>
              <w:t>DEFENDANT</w:t>
            </w:r>
          </w:p>
        </w:tc>
      </w:tr>
      <w:tr w:rsidR="001D7244" w:rsidRPr="00217B1F" w14:paraId="0BE69F19" w14:textId="77777777" w:rsidTr="003F709B">
        <w:trPr>
          <w:trHeight w:val="1045"/>
        </w:trPr>
        <w:tc>
          <w:tcPr>
            <w:tcW w:w="9693" w:type="dxa"/>
            <w:gridSpan w:val="3"/>
          </w:tcPr>
          <w:p w14:paraId="0CA1B4FB" w14:textId="0FEC6BF8" w:rsidR="001D7244" w:rsidRPr="00217B1F" w:rsidRDefault="00364832"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r>
              <w:rPr>
                <w:rFonts w:cs="Arial"/>
                <w:b/>
                <w:bCs/>
                <w:sz w:val="24"/>
                <w:szCs w:val="24"/>
              </w:rPr>
              <w:t>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4"/>
              <w:gridCol w:w="7513"/>
            </w:tblGrid>
            <w:tr w:rsidR="001D7244" w14:paraId="0E758531" w14:textId="77777777" w:rsidTr="00FA2702">
              <w:tc>
                <w:tcPr>
                  <w:tcW w:w="1734" w:type="dxa"/>
                </w:tcPr>
                <w:p w14:paraId="32A8A6B9" w14:textId="77777777" w:rsidR="001D7244" w:rsidRPr="00364832" w:rsidRDefault="001D7244" w:rsidP="0036483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w:hAnsi="Times" w:cs="Arial"/>
                      <w:b/>
                      <w:bCs/>
                      <w:i/>
                      <w:iCs/>
                      <w:sz w:val="24"/>
                      <w:szCs w:val="24"/>
                    </w:rPr>
                  </w:pPr>
                  <w:r w:rsidRPr="00364832">
                    <w:rPr>
                      <w:rFonts w:ascii="Times" w:eastAsia="Times New Roman" w:hAnsi="Times" w:cs="Arial"/>
                      <w:b/>
                      <w:bCs/>
                      <w:i/>
                      <w:iCs/>
                      <w:sz w:val="24"/>
                      <w:szCs w:val="24"/>
                      <w:lang w:val="en-ZA"/>
                    </w:rPr>
                    <w:t>Coram:</w:t>
                  </w:r>
                  <w:r w:rsidRPr="00364832">
                    <w:rPr>
                      <w:rFonts w:ascii="Times" w:eastAsia="Times New Roman" w:hAnsi="Times" w:cs="Arial"/>
                      <w:i/>
                      <w:iCs/>
                      <w:sz w:val="24"/>
                      <w:szCs w:val="24"/>
                      <w:lang w:val="en-ZA"/>
                    </w:rPr>
                    <w:t>          </w:t>
                  </w:r>
                </w:p>
              </w:tc>
              <w:tc>
                <w:tcPr>
                  <w:tcW w:w="7513" w:type="dxa"/>
                </w:tcPr>
                <w:p w14:paraId="0B10E120" w14:textId="77777777" w:rsidR="001D7244" w:rsidRPr="00217B1F" w:rsidRDefault="001D7244" w:rsidP="008E6813">
                  <w:pPr>
                    <w:tabs>
                      <w:tab w:val="left" w:pos="1417"/>
                    </w:tabs>
                    <w:spacing w:after="120" w:line="360" w:lineRule="auto"/>
                    <w:ind w:left="2268" w:hanging="2268"/>
                    <w:rPr>
                      <w:rFonts w:ascii="Arial" w:eastAsia="Times New Roman" w:hAnsi="Arial" w:cs="Arial"/>
                      <w:color w:val="000000"/>
                      <w:sz w:val="24"/>
                      <w:szCs w:val="24"/>
                    </w:rPr>
                  </w:pPr>
                  <w:r w:rsidRPr="00217B1F">
                    <w:rPr>
                      <w:rFonts w:ascii="Arial" w:eastAsia="Times New Roman" w:hAnsi="Arial" w:cs="Arial"/>
                      <w:color w:val="000000"/>
                      <w:sz w:val="24"/>
                      <w:szCs w:val="24"/>
                      <w:lang w:val="en-ZA"/>
                    </w:rPr>
                    <w:t>Millar J </w:t>
                  </w:r>
                </w:p>
                <w:p w14:paraId="21993AE7" w14:textId="77777777" w:rsidR="001D7244" w:rsidRDefault="001D7244"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r>
            <w:tr w:rsidR="001D7244" w14:paraId="6DA38292" w14:textId="77777777" w:rsidTr="00FA2702">
              <w:tc>
                <w:tcPr>
                  <w:tcW w:w="1734" w:type="dxa"/>
                </w:tcPr>
                <w:p w14:paraId="4D835109" w14:textId="77777777" w:rsidR="001D7244" w:rsidRPr="00364832" w:rsidRDefault="001D7244" w:rsidP="0036483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w:hAnsi="Times" w:cs="Arial"/>
                      <w:b/>
                      <w:bCs/>
                      <w:i/>
                      <w:iCs/>
                      <w:sz w:val="24"/>
                      <w:szCs w:val="24"/>
                    </w:rPr>
                  </w:pPr>
                  <w:r w:rsidRPr="00364832">
                    <w:rPr>
                      <w:rFonts w:ascii="Times" w:eastAsia="Times New Roman" w:hAnsi="Times" w:cs="Arial"/>
                      <w:b/>
                      <w:bCs/>
                      <w:i/>
                      <w:iCs/>
                      <w:sz w:val="24"/>
                      <w:szCs w:val="24"/>
                      <w:lang w:val="en-ZA"/>
                    </w:rPr>
                    <w:t>Heard on</w:t>
                  </w:r>
                  <w:r w:rsidRPr="00364832">
                    <w:rPr>
                      <w:rFonts w:ascii="Times" w:eastAsia="Times New Roman" w:hAnsi="Times" w:cs="Arial"/>
                      <w:i/>
                      <w:iCs/>
                      <w:sz w:val="24"/>
                      <w:szCs w:val="24"/>
                      <w:lang w:val="en-ZA"/>
                    </w:rPr>
                    <w:t>:      </w:t>
                  </w:r>
                </w:p>
              </w:tc>
              <w:tc>
                <w:tcPr>
                  <w:tcW w:w="7513" w:type="dxa"/>
                </w:tcPr>
                <w:p w14:paraId="41C8B4DD" w14:textId="2EF76574" w:rsidR="001D7244" w:rsidRPr="00217B1F" w:rsidRDefault="003F709B" w:rsidP="008E6813">
                  <w:pPr>
                    <w:spacing w:after="120" w:line="360" w:lineRule="auto"/>
                    <w:ind w:left="2268" w:hanging="2268"/>
                    <w:jc w:val="both"/>
                    <w:rPr>
                      <w:rFonts w:ascii="Arial" w:eastAsia="Times New Roman" w:hAnsi="Arial" w:cs="Arial"/>
                      <w:color w:val="000000"/>
                      <w:sz w:val="24"/>
                      <w:szCs w:val="24"/>
                    </w:rPr>
                  </w:pPr>
                  <w:r>
                    <w:rPr>
                      <w:rFonts w:ascii="Arial" w:eastAsia="Times New Roman" w:hAnsi="Arial" w:cs="Arial"/>
                      <w:color w:val="000000"/>
                      <w:sz w:val="24"/>
                      <w:szCs w:val="24"/>
                      <w:lang w:val="en-ZA"/>
                    </w:rPr>
                    <w:t>15 November</w:t>
                  </w:r>
                  <w:r w:rsidR="001D7244" w:rsidRPr="00217B1F">
                    <w:rPr>
                      <w:rFonts w:ascii="Arial" w:eastAsia="Times New Roman" w:hAnsi="Arial" w:cs="Arial"/>
                      <w:color w:val="000000"/>
                      <w:sz w:val="24"/>
                      <w:szCs w:val="24"/>
                      <w:lang w:val="en-ZA"/>
                    </w:rPr>
                    <w:t xml:space="preserve"> 202</w:t>
                  </w:r>
                  <w:r>
                    <w:rPr>
                      <w:rFonts w:ascii="Arial" w:eastAsia="Times New Roman" w:hAnsi="Arial" w:cs="Arial"/>
                      <w:color w:val="000000"/>
                      <w:sz w:val="24"/>
                      <w:szCs w:val="24"/>
                      <w:lang w:val="en-ZA"/>
                    </w:rPr>
                    <w:t>3</w:t>
                  </w:r>
                  <w:r w:rsidR="001D7244" w:rsidRPr="00217B1F">
                    <w:rPr>
                      <w:rFonts w:ascii="Arial" w:eastAsia="Times New Roman" w:hAnsi="Arial" w:cs="Arial"/>
                      <w:color w:val="000000"/>
                      <w:sz w:val="24"/>
                      <w:szCs w:val="24"/>
                      <w:lang w:val="en-ZA"/>
                    </w:rPr>
                    <w:t xml:space="preserve"> </w:t>
                  </w:r>
                </w:p>
                <w:p w14:paraId="4BCF6005" w14:textId="77777777" w:rsidR="001D7244" w:rsidRDefault="001D7244"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r>
            <w:tr w:rsidR="001D7244" w14:paraId="34C7BFA8" w14:textId="77777777" w:rsidTr="00FA2702">
              <w:tc>
                <w:tcPr>
                  <w:tcW w:w="1734" w:type="dxa"/>
                </w:tcPr>
                <w:p w14:paraId="34D50450" w14:textId="77777777" w:rsidR="001D7244" w:rsidRPr="00364832" w:rsidRDefault="001D7244" w:rsidP="0036483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w:hAnsi="Times" w:cs="Arial"/>
                      <w:b/>
                      <w:bCs/>
                      <w:i/>
                      <w:iCs/>
                      <w:sz w:val="24"/>
                      <w:szCs w:val="24"/>
                    </w:rPr>
                  </w:pPr>
                  <w:r w:rsidRPr="00364832">
                    <w:rPr>
                      <w:rFonts w:ascii="Times" w:eastAsia="Times New Roman" w:hAnsi="Times" w:cs="Arial"/>
                      <w:b/>
                      <w:bCs/>
                      <w:i/>
                      <w:iCs/>
                      <w:sz w:val="24"/>
                      <w:szCs w:val="24"/>
                      <w:lang w:val="en-ZA"/>
                    </w:rPr>
                    <w:t xml:space="preserve">Delivered:   </w:t>
                  </w:r>
                </w:p>
              </w:tc>
              <w:tc>
                <w:tcPr>
                  <w:tcW w:w="7513" w:type="dxa"/>
                </w:tcPr>
                <w:p w14:paraId="6B1352D7" w14:textId="5F514867" w:rsidR="001D7244" w:rsidRPr="00217B1F" w:rsidRDefault="00916A67" w:rsidP="008E6813">
                  <w:pPr>
                    <w:tabs>
                      <w:tab w:val="left" w:pos="0"/>
                    </w:tabs>
                    <w:spacing w:after="120" w:line="360" w:lineRule="auto"/>
                    <w:ind w:right="37" w:hanging="21"/>
                    <w:jc w:val="both"/>
                    <w:rPr>
                      <w:rFonts w:ascii="Arial" w:eastAsia="Times New Roman" w:hAnsi="Arial" w:cs="Arial"/>
                      <w:color w:val="000000"/>
                      <w:sz w:val="24"/>
                      <w:szCs w:val="24"/>
                    </w:rPr>
                  </w:pPr>
                  <w:r>
                    <w:rPr>
                      <w:rFonts w:ascii="Arial" w:eastAsia="Times New Roman" w:hAnsi="Arial" w:cs="Arial"/>
                      <w:color w:val="000000"/>
                      <w:sz w:val="24"/>
                      <w:szCs w:val="24"/>
                      <w:lang w:val="en-ZA"/>
                    </w:rPr>
                    <w:t>23</w:t>
                  </w:r>
                  <w:r w:rsidR="001D7244">
                    <w:rPr>
                      <w:rFonts w:ascii="Arial" w:eastAsia="Times New Roman" w:hAnsi="Arial" w:cs="Arial"/>
                      <w:color w:val="000000"/>
                      <w:sz w:val="24"/>
                      <w:szCs w:val="24"/>
                      <w:lang w:val="en-ZA"/>
                    </w:rPr>
                    <w:t xml:space="preserve"> </w:t>
                  </w:r>
                  <w:r w:rsidR="003F709B">
                    <w:rPr>
                      <w:rFonts w:ascii="Arial" w:eastAsia="Times New Roman" w:hAnsi="Arial" w:cs="Arial"/>
                      <w:color w:val="000000"/>
                      <w:sz w:val="24"/>
                      <w:szCs w:val="24"/>
                      <w:lang w:val="en-ZA"/>
                    </w:rPr>
                    <w:t>November</w:t>
                  </w:r>
                  <w:r w:rsidR="001D7244" w:rsidRPr="00217B1F">
                    <w:rPr>
                      <w:rFonts w:ascii="Arial" w:eastAsia="Times New Roman" w:hAnsi="Arial" w:cs="Arial"/>
                      <w:color w:val="000000"/>
                      <w:sz w:val="24"/>
                      <w:szCs w:val="24"/>
                      <w:lang w:val="en-ZA"/>
                    </w:rPr>
                    <w:t xml:space="preserve"> 202</w:t>
                  </w:r>
                  <w:r w:rsidR="003F709B">
                    <w:rPr>
                      <w:rFonts w:ascii="Arial" w:eastAsia="Times New Roman" w:hAnsi="Arial" w:cs="Arial"/>
                      <w:color w:val="000000"/>
                      <w:sz w:val="24"/>
                      <w:szCs w:val="24"/>
                      <w:lang w:val="en-ZA"/>
                    </w:rPr>
                    <w:t>3</w:t>
                  </w:r>
                  <w:r w:rsidR="001D7244">
                    <w:rPr>
                      <w:rFonts w:ascii="Arial" w:eastAsia="Times New Roman" w:hAnsi="Arial" w:cs="Arial"/>
                      <w:color w:val="000000"/>
                      <w:sz w:val="24"/>
                      <w:szCs w:val="24"/>
                      <w:lang w:val="en-ZA"/>
                    </w:rPr>
                    <w:t xml:space="preserve"> - T</w:t>
                  </w:r>
                  <w:r w:rsidR="001D7244" w:rsidRPr="00217B1F">
                    <w:rPr>
                      <w:rFonts w:ascii="Arial" w:eastAsia="Times New Roman" w:hAnsi="Arial" w:cs="Arial"/>
                      <w:color w:val="000000"/>
                      <w:sz w:val="24"/>
                      <w:szCs w:val="24"/>
                      <w:lang w:val="en-ZA"/>
                    </w:rPr>
                    <w:t>his judgment was handed down electronically by</w:t>
                  </w:r>
                  <w:r w:rsidR="001D7244">
                    <w:rPr>
                      <w:rFonts w:ascii="Arial" w:eastAsia="Times New Roman" w:hAnsi="Arial" w:cs="Arial"/>
                      <w:color w:val="000000"/>
                      <w:sz w:val="24"/>
                      <w:szCs w:val="24"/>
                      <w:lang w:val="en-ZA"/>
                    </w:rPr>
                    <w:t xml:space="preserve"> </w:t>
                  </w:r>
                  <w:r w:rsidR="001D7244" w:rsidRPr="00217B1F">
                    <w:rPr>
                      <w:rFonts w:ascii="Arial" w:eastAsia="Times New Roman" w:hAnsi="Arial" w:cs="Arial"/>
                      <w:color w:val="000000"/>
                      <w:sz w:val="24"/>
                      <w:szCs w:val="24"/>
                      <w:lang w:val="en-ZA"/>
                    </w:rPr>
                    <w:t>circulation to the</w:t>
                  </w:r>
                  <w:r w:rsidR="001D7244">
                    <w:rPr>
                      <w:rFonts w:ascii="Arial" w:eastAsia="Times New Roman" w:hAnsi="Arial" w:cs="Arial"/>
                      <w:color w:val="000000"/>
                      <w:sz w:val="24"/>
                      <w:szCs w:val="24"/>
                      <w:lang w:val="en-ZA"/>
                    </w:rPr>
                    <w:t xml:space="preserve"> </w:t>
                  </w:r>
                  <w:r w:rsidR="001D7244" w:rsidRPr="00217B1F">
                    <w:rPr>
                      <w:rFonts w:ascii="Arial" w:eastAsia="Times New Roman" w:hAnsi="Arial" w:cs="Arial"/>
                      <w:color w:val="000000"/>
                      <w:sz w:val="24"/>
                      <w:szCs w:val="24"/>
                      <w:lang w:val="en-ZA"/>
                    </w:rPr>
                    <w:t>parties' representatives by email, by being uploaded to the </w:t>
                  </w:r>
                  <w:r w:rsidR="001D7244" w:rsidRPr="00217B1F">
                    <w:rPr>
                      <w:rFonts w:ascii="Arial" w:eastAsia="Times New Roman" w:hAnsi="Arial" w:cs="Arial"/>
                      <w:i/>
                      <w:iCs/>
                      <w:color w:val="000000"/>
                      <w:sz w:val="24"/>
                      <w:szCs w:val="24"/>
                      <w:lang w:val="en-ZA"/>
                    </w:rPr>
                    <w:t>CaseLines</w:t>
                  </w:r>
                  <w:r w:rsidR="001D7244" w:rsidRPr="00217B1F">
                    <w:rPr>
                      <w:rFonts w:ascii="Arial" w:eastAsia="Times New Roman" w:hAnsi="Arial" w:cs="Arial"/>
                      <w:color w:val="000000"/>
                      <w:sz w:val="24"/>
                      <w:szCs w:val="24"/>
                      <w:lang w:val="en-ZA"/>
                    </w:rPr>
                    <w:t> system of the GD and by release to SAFLII. The date and time for hand-down is deemed to be 1</w:t>
                  </w:r>
                  <w:r w:rsidR="00F11220">
                    <w:rPr>
                      <w:rFonts w:ascii="Arial" w:eastAsia="Times New Roman" w:hAnsi="Arial" w:cs="Arial"/>
                      <w:color w:val="000000"/>
                      <w:sz w:val="24"/>
                      <w:szCs w:val="24"/>
                      <w:lang w:val="en-ZA"/>
                    </w:rPr>
                    <w:t>3</w:t>
                  </w:r>
                  <w:r w:rsidR="001D7244" w:rsidRPr="00217B1F">
                    <w:rPr>
                      <w:rFonts w:ascii="Arial" w:eastAsia="Times New Roman" w:hAnsi="Arial" w:cs="Arial"/>
                      <w:color w:val="000000"/>
                      <w:sz w:val="24"/>
                      <w:szCs w:val="24"/>
                      <w:lang w:val="en-ZA"/>
                    </w:rPr>
                    <w:t xml:space="preserve">H00 on </w:t>
                  </w:r>
                  <w:r w:rsidR="005044AB">
                    <w:rPr>
                      <w:rFonts w:ascii="Arial" w:eastAsia="Times New Roman" w:hAnsi="Arial" w:cs="Arial"/>
                      <w:color w:val="000000"/>
                      <w:sz w:val="24"/>
                      <w:szCs w:val="24"/>
                      <w:lang w:val="en-ZA"/>
                    </w:rPr>
                    <w:t>23</w:t>
                  </w:r>
                  <w:r w:rsidR="003F709B">
                    <w:rPr>
                      <w:rFonts w:ascii="Arial" w:eastAsia="Times New Roman" w:hAnsi="Arial" w:cs="Arial"/>
                      <w:color w:val="000000"/>
                      <w:sz w:val="24"/>
                      <w:szCs w:val="24"/>
                      <w:lang w:val="en-ZA"/>
                    </w:rPr>
                    <w:t xml:space="preserve"> November 2023.</w:t>
                  </w:r>
                </w:p>
                <w:p w14:paraId="5F5E03E1" w14:textId="77777777" w:rsidR="001D7244" w:rsidRDefault="001D7244"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r>
          </w:tbl>
          <w:p w14:paraId="422E790C" w14:textId="77777777" w:rsidR="001D7244" w:rsidRPr="00217B1F" w:rsidRDefault="001D7244"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r>
    </w:tbl>
    <w:p w14:paraId="07259158" w14:textId="77777777" w:rsidR="00B50E11" w:rsidRPr="0031449E" w:rsidRDefault="00B50E11" w:rsidP="00B50E11">
      <w:pPr>
        <w:pStyle w:val="Body"/>
        <w:spacing w:line="360" w:lineRule="auto"/>
        <w:jc w:val="both"/>
        <w:rPr>
          <w:rFonts w:eastAsia="Tahoma" w:cs="Arial"/>
          <w:b/>
          <w:bCs/>
          <w:sz w:val="24"/>
          <w:szCs w:val="24"/>
        </w:rPr>
      </w:pP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50E11" w:rsidRPr="0031449E" w14:paraId="5475438F" w14:textId="77777777" w:rsidTr="00F25A36">
        <w:tc>
          <w:tcPr>
            <w:tcW w:w="9350" w:type="dxa"/>
          </w:tcPr>
          <w:p w14:paraId="3A5115EF" w14:textId="77777777" w:rsidR="00650745" w:rsidRDefault="00650745" w:rsidP="00F25A3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ahoma" w:cs="Arial"/>
                <w:b/>
                <w:bCs/>
                <w:sz w:val="32"/>
                <w:szCs w:val="24"/>
                <w:lang w:val="de-DE"/>
              </w:rPr>
            </w:pPr>
          </w:p>
          <w:p w14:paraId="47459BC2" w14:textId="77777777" w:rsidR="00B50E11" w:rsidRPr="008E6813" w:rsidRDefault="00B50E11" w:rsidP="00F25A3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ahoma" w:cs="Arial"/>
                <w:b/>
                <w:bCs/>
                <w:sz w:val="24"/>
                <w:szCs w:val="24"/>
                <w:lang w:val="de-DE"/>
              </w:rPr>
            </w:pPr>
            <w:r w:rsidRPr="008E6813">
              <w:rPr>
                <w:rFonts w:eastAsia="Tahoma" w:cs="Arial"/>
                <w:b/>
                <w:bCs/>
                <w:sz w:val="32"/>
                <w:szCs w:val="32"/>
                <w:lang w:val="de-DE"/>
              </w:rPr>
              <w:t>JUDGMENT</w:t>
            </w:r>
          </w:p>
        </w:tc>
      </w:tr>
    </w:tbl>
    <w:p w14:paraId="397DE03A" w14:textId="77777777" w:rsidR="00C519B2" w:rsidRDefault="00C519B2" w:rsidP="00B50E11">
      <w:pPr>
        <w:pStyle w:val="Body"/>
        <w:jc w:val="both"/>
        <w:rPr>
          <w:b/>
          <w:sz w:val="22"/>
          <w:szCs w:val="22"/>
        </w:rPr>
      </w:pPr>
    </w:p>
    <w:p w14:paraId="31AD95DF" w14:textId="69613071" w:rsidR="00B50E11" w:rsidRDefault="00B50E11" w:rsidP="008E6813">
      <w:pPr>
        <w:pStyle w:val="Body"/>
        <w:spacing w:line="360" w:lineRule="auto"/>
        <w:jc w:val="both"/>
        <w:rPr>
          <w:b/>
          <w:sz w:val="22"/>
          <w:szCs w:val="22"/>
          <w:u w:val="single"/>
        </w:rPr>
      </w:pPr>
      <w:r w:rsidRPr="00C519B2">
        <w:rPr>
          <w:b/>
          <w:sz w:val="22"/>
          <w:szCs w:val="22"/>
          <w:u w:val="single"/>
        </w:rPr>
        <w:t>MILLAR</w:t>
      </w:r>
      <w:r w:rsidR="004075F2">
        <w:rPr>
          <w:b/>
          <w:sz w:val="22"/>
          <w:szCs w:val="22"/>
          <w:u w:val="single"/>
        </w:rPr>
        <w:t xml:space="preserve"> </w:t>
      </w:r>
      <w:r w:rsidRPr="00C519B2">
        <w:rPr>
          <w:b/>
          <w:sz w:val="22"/>
          <w:szCs w:val="22"/>
          <w:u w:val="single"/>
        </w:rPr>
        <w:t>J</w:t>
      </w:r>
    </w:p>
    <w:p w14:paraId="508C58F5" w14:textId="333D9D26" w:rsidR="008E6813" w:rsidRPr="008E6813" w:rsidRDefault="008E6813" w:rsidP="00364832">
      <w:pPr>
        <w:pStyle w:val="Body"/>
        <w:tabs>
          <w:tab w:val="center" w:pos="851"/>
          <w:tab w:val="center" w:pos="1701"/>
          <w:tab w:val="center" w:pos="2552"/>
        </w:tabs>
        <w:spacing w:line="360" w:lineRule="auto"/>
        <w:jc w:val="both"/>
        <w:rPr>
          <w:bCs/>
          <w:sz w:val="24"/>
          <w:szCs w:val="24"/>
        </w:rPr>
      </w:pPr>
    </w:p>
    <w:p w14:paraId="2A947B20" w14:textId="1D445358" w:rsidR="0035078C" w:rsidRDefault="0035078C" w:rsidP="008E6813">
      <w:pPr>
        <w:pStyle w:val="Body"/>
        <w:numPr>
          <w:ilvl w:val="0"/>
          <w:numId w:val="15"/>
        </w:numPr>
        <w:spacing w:line="360" w:lineRule="auto"/>
        <w:ind w:left="851" w:hanging="851"/>
        <w:jc w:val="both"/>
        <w:rPr>
          <w:bCs/>
          <w:sz w:val="24"/>
          <w:szCs w:val="24"/>
        </w:rPr>
      </w:pPr>
      <w:r w:rsidRPr="0035078C">
        <w:rPr>
          <w:bCs/>
          <w:sz w:val="24"/>
          <w:szCs w:val="24"/>
        </w:rPr>
        <w:t>The plaintiffs are all</w:t>
      </w:r>
      <w:r>
        <w:rPr>
          <w:bCs/>
          <w:sz w:val="24"/>
          <w:szCs w:val="24"/>
        </w:rPr>
        <w:t xml:space="preserve"> employed by the second defendant at its Sun Times Square Casino in Pretoria.  By the time the matter was called, the parties had narrowed the issues for determination significantly.   A statement of agreed facts and issues </w:t>
      </w:r>
      <w:r>
        <w:rPr>
          <w:bCs/>
          <w:sz w:val="24"/>
          <w:szCs w:val="24"/>
        </w:rPr>
        <w:lastRenderedPageBreak/>
        <w:t xml:space="preserve">was placed before the Court and this obviated the calling of any witnesses and the leading of any </w:t>
      </w:r>
      <w:r w:rsidRPr="0035078C">
        <w:rPr>
          <w:bCs/>
          <w:i/>
          <w:iCs/>
          <w:sz w:val="24"/>
          <w:szCs w:val="24"/>
        </w:rPr>
        <w:t>viva voce</w:t>
      </w:r>
      <w:r>
        <w:rPr>
          <w:bCs/>
          <w:sz w:val="24"/>
          <w:szCs w:val="24"/>
        </w:rPr>
        <w:t xml:space="preserve"> evidence.  </w:t>
      </w:r>
    </w:p>
    <w:p w14:paraId="613E0CD7" w14:textId="77777777" w:rsidR="0035078C" w:rsidRDefault="0035078C" w:rsidP="0035078C">
      <w:pPr>
        <w:pStyle w:val="Body"/>
        <w:spacing w:line="360" w:lineRule="auto"/>
        <w:ind w:left="851"/>
        <w:jc w:val="both"/>
        <w:rPr>
          <w:bCs/>
          <w:sz w:val="24"/>
          <w:szCs w:val="24"/>
        </w:rPr>
      </w:pPr>
    </w:p>
    <w:p w14:paraId="188AD1C4" w14:textId="42F669AD" w:rsidR="0035078C" w:rsidRDefault="0035078C" w:rsidP="008E6813">
      <w:pPr>
        <w:pStyle w:val="Body"/>
        <w:numPr>
          <w:ilvl w:val="0"/>
          <w:numId w:val="15"/>
        </w:numPr>
        <w:spacing w:line="360" w:lineRule="auto"/>
        <w:ind w:left="851" w:hanging="851"/>
        <w:jc w:val="both"/>
        <w:rPr>
          <w:bCs/>
          <w:sz w:val="24"/>
          <w:szCs w:val="24"/>
        </w:rPr>
      </w:pPr>
      <w:r>
        <w:rPr>
          <w:bCs/>
          <w:sz w:val="24"/>
          <w:szCs w:val="24"/>
        </w:rPr>
        <w:t>The parties also sought by agreement, an order separating the issues of liability and quantum.  I granted the order and so the matter proceeded for the determination of liability.</w:t>
      </w:r>
    </w:p>
    <w:p w14:paraId="25482DE1" w14:textId="149DF7CC" w:rsidR="0035078C" w:rsidRDefault="0035078C" w:rsidP="008353F3">
      <w:pPr>
        <w:rPr>
          <w:bCs/>
        </w:rPr>
      </w:pPr>
    </w:p>
    <w:p w14:paraId="0B38083B" w14:textId="4300D888" w:rsidR="008353F3" w:rsidRPr="008353F3" w:rsidRDefault="008353F3" w:rsidP="008353F3">
      <w:pPr>
        <w:rPr>
          <w:rFonts w:ascii="Arial" w:hAnsi="Arial" w:cs="Arial"/>
          <w:b/>
        </w:rPr>
      </w:pPr>
      <w:r>
        <w:rPr>
          <w:rFonts w:ascii="Arial" w:hAnsi="Arial" w:cs="Arial"/>
          <w:b/>
        </w:rPr>
        <w:t>BACKGROUND</w:t>
      </w:r>
    </w:p>
    <w:p w14:paraId="01FB3DFE" w14:textId="77777777" w:rsidR="008353F3" w:rsidRPr="008353F3" w:rsidRDefault="008353F3" w:rsidP="008353F3">
      <w:pPr>
        <w:rPr>
          <w:bCs/>
        </w:rPr>
      </w:pPr>
    </w:p>
    <w:p w14:paraId="12175C9A" w14:textId="78940D08" w:rsidR="0035078C" w:rsidRDefault="00847A62" w:rsidP="008E6813">
      <w:pPr>
        <w:pStyle w:val="Body"/>
        <w:numPr>
          <w:ilvl w:val="0"/>
          <w:numId w:val="15"/>
        </w:numPr>
        <w:spacing w:line="360" w:lineRule="auto"/>
        <w:ind w:left="851" w:hanging="851"/>
        <w:jc w:val="both"/>
        <w:rPr>
          <w:bCs/>
          <w:sz w:val="24"/>
          <w:szCs w:val="24"/>
        </w:rPr>
      </w:pPr>
      <w:r>
        <w:rPr>
          <w:bCs/>
          <w:sz w:val="24"/>
          <w:szCs w:val="24"/>
        </w:rPr>
        <w:t>The following were common cause:-</w:t>
      </w:r>
    </w:p>
    <w:p w14:paraId="384C6F4B" w14:textId="77777777" w:rsidR="00847A62" w:rsidRDefault="00847A62" w:rsidP="00847A62">
      <w:pPr>
        <w:pStyle w:val="ListParagraph"/>
        <w:rPr>
          <w:bCs/>
        </w:rPr>
      </w:pPr>
    </w:p>
    <w:p w14:paraId="62C4F088" w14:textId="47D06EAD" w:rsidR="00847A62" w:rsidRDefault="00847A62" w:rsidP="00847A62">
      <w:pPr>
        <w:pStyle w:val="Body"/>
        <w:spacing w:line="360" w:lineRule="auto"/>
        <w:ind w:left="1701" w:hanging="850"/>
        <w:jc w:val="both"/>
        <w:rPr>
          <w:bCs/>
          <w:sz w:val="24"/>
          <w:szCs w:val="24"/>
        </w:rPr>
      </w:pPr>
      <w:r>
        <w:rPr>
          <w:bCs/>
          <w:sz w:val="24"/>
          <w:szCs w:val="24"/>
        </w:rPr>
        <w:t>[3.1]</w:t>
      </w:r>
      <w:r>
        <w:rPr>
          <w:bCs/>
          <w:sz w:val="24"/>
          <w:szCs w:val="24"/>
        </w:rPr>
        <w:tab/>
        <w:t>that each of the plaintiffs were employed of the second defendant on 1 April 2018.</w:t>
      </w:r>
    </w:p>
    <w:p w14:paraId="1788EFD3" w14:textId="7B652653" w:rsidR="00847A62" w:rsidRDefault="00847A62" w:rsidP="00847A62">
      <w:pPr>
        <w:pStyle w:val="Body"/>
        <w:spacing w:line="360" w:lineRule="auto"/>
        <w:ind w:left="1701" w:hanging="850"/>
        <w:jc w:val="both"/>
        <w:rPr>
          <w:bCs/>
          <w:sz w:val="24"/>
          <w:szCs w:val="24"/>
        </w:rPr>
      </w:pPr>
    </w:p>
    <w:p w14:paraId="727C3297" w14:textId="73BA6C2E" w:rsidR="00847A62" w:rsidRDefault="00847A62" w:rsidP="00847A62">
      <w:pPr>
        <w:pStyle w:val="Body"/>
        <w:spacing w:line="360" w:lineRule="auto"/>
        <w:ind w:left="1701" w:hanging="850"/>
        <w:jc w:val="both"/>
        <w:rPr>
          <w:bCs/>
          <w:sz w:val="24"/>
          <w:szCs w:val="24"/>
        </w:rPr>
      </w:pPr>
      <w:r>
        <w:rPr>
          <w:bCs/>
          <w:sz w:val="24"/>
          <w:szCs w:val="24"/>
        </w:rPr>
        <w:t>[3.2]</w:t>
      </w:r>
      <w:r>
        <w:rPr>
          <w:bCs/>
          <w:sz w:val="24"/>
          <w:szCs w:val="24"/>
        </w:rPr>
        <w:tab/>
        <w:t>that the first defendant, second defendant and employer organi</w:t>
      </w:r>
      <w:r w:rsidR="004C3489">
        <w:rPr>
          <w:bCs/>
          <w:sz w:val="24"/>
          <w:szCs w:val="24"/>
        </w:rPr>
        <w:t>z</w:t>
      </w:r>
      <w:r>
        <w:rPr>
          <w:bCs/>
          <w:sz w:val="24"/>
          <w:szCs w:val="24"/>
        </w:rPr>
        <w:t>ations representing the plaintiffs had entered into a collective agreement with regards to remuneration of the employees of the second defendant.</w:t>
      </w:r>
    </w:p>
    <w:p w14:paraId="417CDA9F" w14:textId="6DDBDE2D" w:rsidR="00847A62" w:rsidRDefault="00847A62" w:rsidP="00847A62">
      <w:pPr>
        <w:pStyle w:val="Body"/>
        <w:spacing w:line="360" w:lineRule="auto"/>
        <w:ind w:left="1701" w:hanging="850"/>
        <w:jc w:val="both"/>
        <w:rPr>
          <w:bCs/>
          <w:sz w:val="24"/>
          <w:szCs w:val="24"/>
        </w:rPr>
      </w:pPr>
    </w:p>
    <w:p w14:paraId="26E74B14" w14:textId="6DB874AA" w:rsidR="00847A62" w:rsidRDefault="00847A62" w:rsidP="00847A62">
      <w:pPr>
        <w:pStyle w:val="Body"/>
        <w:spacing w:line="360" w:lineRule="auto"/>
        <w:ind w:left="1701" w:hanging="850"/>
        <w:jc w:val="both"/>
        <w:rPr>
          <w:bCs/>
          <w:sz w:val="24"/>
          <w:szCs w:val="24"/>
        </w:rPr>
      </w:pPr>
      <w:r>
        <w:rPr>
          <w:bCs/>
          <w:sz w:val="24"/>
          <w:szCs w:val="24"/>
        </w:rPr>
        <w:t>[3.3]</w:t>
      </w:r>
      <w:r>
        <w:rPr>
          <w:bCs/>
          <w:sz w:val="24"/>
          <w:szCs w:val="24"/>
        </w:rPr>
        <w:tab/>
        <w:t xml:space="preserve">that the collective agreement governed the period 1 </w:t>
      </w:r>
      <w:r w:rsidR="00921B53">
        <w:rPr>
          <w:bCs/>
          <w:sz w:val="24"/>
          <w:szCs w:val="24"/>
        </w:rPr>
        <w:t>March</w:t>
      </w:r>
      <w:r>
        <w:rPr>
          <w:bCs/>
          <w:sz w:val="24"/>
          <w:szCs w:val="24"/>
        </w:rPr>
        <w:t xml:space="preserve"> 2018 to </w:t>
      </w:r>
      <w:r w:rsidR="00921B53">
        <w:rPr>
          <w:bCs/>
          <w:sz w:val="24"/>
          <w:szCs w:val="24"/>
        </w:rPr>
        <w:t>28 February</w:t>
      </w:r>
      <w:r>
        <w:rPr>
          <w:bCs/>
          <w:sz w:val="24"/>
          <w:szCs w:val="24"/>
        </w:rPr>
        <w:t xml:space="preserve"> 2021</w:t>
      </w:r>
      <w:r w:rsidR="004662A7">
        <w:rPr>
          <w:bCs/>
          <w:sz w:val="24"/>
          <w:szCs w:val="24"/>
        </w:rPr>
        <w:t xml:space="preserve"> and all the plaintiffs had received increases in remuneration in terms thereof.</w:t>
      </w:r>
    </w:p>
    <w:p w14:paraId="0FB3119C" w14:textId="63B745DE" w:rsidR="00847A62" w:rsidRDefault="00847A62" w:rsidP="00847A62">
      <w:pPr>
        <w:pStyle w:val="Body"/>
        <w:spacing w:line="360" w:lineRule="auto"/>
        <w:ind w:left="1701" w:hanging="850"/>
        <w:jc w:val="both"/>
        <w:rPr>
          <w:bCs/>
          <w:sz w:val="24"/>
          <w:szCs w:val="24"/>
        </w:rPr>
      </w:pPr>
    </w:p>
    <w:p w14:paraId="3275FDE6" w14:textId="0B37436B" w:rsidR="00C92AF2" w:rsidRDefault="00847A62" w:rsidP="00C92AF2">
      <w:pPr>
        <w:pStyle w:val="Body"/>
        <w:spacing w:line="360" w:lineRule="auto"/>
        <w:ind w:left="1701" w:hanging="850"/>
        <w:jc w:val="both"/>
        <w:rPr>
          <w:bCs/>
          <w:sz w:val="24"/>
          <w:szCs w:val="24"/>
        </w:rPr>
      </w:pPr>
      <w:r>
        <w:rPr>
          <w:bCs/>
          <w:sz w:val="24"/>
          <w:szCs w:val="24"/>
        </w:rPr>
        <w:t>[3.4]</w:t>
      </w:r>
      <w:r>
        <w:rPr>
          <w:bCs/>
          <w:sz w:val="24"/>
          <w:szCs w:val="24"/>
        </w:rPr>
        <w:tab/>
        <w:t xml:space="preserve">that on 16 April 2018, the </w:t>
      </w:r>
      <w:r w:rsidR="00C92AF2">
        <w:rPr>
          <w:bCs/>
          <w:sz w:val="24"/>
          <w:szCs w:val="24"/>
        </w:rPr>
        <w:t>general manager together with the head of the human resources department had notified the plaintiffs of further increases to their respective remuneration (subject to conditions).</w:t>
      </w:r>
    </w:p>
    <w:p w14:paraId="62221033" w14:textId="4FD4546F" w:rsidR="00C92AF2" w:rsidRDefault="00C92AF2" w:rsidP="00C92AF2">
      <w:pPr>
        <w:pStyle w:val="Body"/>
        <w:spacing w:line="360" w:lineRule="auto"/>
        <w:ind w:left="1701" w:hanging="850"/>
        <w:jc w:val="both"/>
        <w:rPr>
          <w:bCs/>
          <w:sz w:val="24"/>
          <w:szCs w:val="24"/>
        </w:rPr>
      </w:pPr>
    </w:p>
    <w:p w14:paraId="1FB81359" w14:textId="2575517F" w:rsidR="00C92AF2" w:rsidRDefault="00C92AF2" w:rsidP="00C92AF2">
      <w:pPr>
        <w:pStyle w:val="Body"/>
        <w:spacing w:line="360" w:lineRule="auto"/>
        <w:ind w:left="1701" w:hanging="850"/>
        <w:jc w:val="both"/>
        <w:rPr>
          <w:bCs/>
          <w:sz w:val="24"/>
          <w:szCs w:val="24"/>
        </w:rPr>
      </w:pPr>
      <w:r>
        <w:rPr>
          <w:bCs/>
          <w:sz w:val="24"/>
          <w:szCs w:val="24"/>
        </w:rPr>
        <w:t>[3.5]</w:t>
      </w:r>
      <w:r>
        <w:rPr>
          <w:bCs/>
          <w:sz w:val="24"/>
          <w:szCs w:val="24"/>
        </w:rPr>
        <w:tab/>
        <w:t>that the increases had been implemented until</w:t>
      </w:r>
      <w:r w:rsidR="004662A7">
        <w:rPr>
          <w:bCs/>
          <w:sz w:val="24"/>
          <w:szCs w:val="24"/>
        </w:rPr>
        <w:t xml:space="preserve"> January 2019 when they had been revoked.</w:t>
      </w:r>
    </w:p>
    <w:p w14:paraId="20C43B32" w14:textId="231FC0A3" w:rsidR="004662A7" w:rsidRDefault="004662A7" w:rsidP="00C92AF2">
      <w:pPr>
        <w:pStyle w:val="Body"/>
        <w:spacing w:line="360" w:lineRule="auto"/>
        <w:ind w:left="1701" w:hanging="850"/>
        <w:jc w:val="both"/>
        <w:rPr>
          <w:bCs/>
          <w:sz w:val="24"/>
          <w:szCs w:val="24"/>
        </w:rPr>
      </w:pPr>
    </w:p>
    <w:p w14:paraId="142DEE08" w14:textId="7A7E69BE" w:rsidR="004662A7" w:rsidRDefault="004662A7" w:rsidP="00C92AF2">
      <w:pPr>
        <w:pStyle w:val="Body"/>
        <w:spacing w:line="360" w:lineRule="auto"/>
        <w:ind w:left="1701" w:hanging="850"/>
        <w:jc w:val="both"/>
        <w:rPr>
          <w:bCs/>
          <w:sz w:val="24"/>
          <w:szCs w:val="24"/>
        </w:rPr>
      </w:pPr>
      <w:r>
        <w:rPr>
          <w:bCs/>
          <w:sz w:val="24"/>
          <w:szCs w:val="24"/>
        </w:rPr>
        <w:t>[3.6]</w:t>
      </w:r>
      <w:r>
        <w:rPr>
          <w:bCs/>
          <w:sz w:val="24"/>
          <w:szCs w:val="24"/>
        </w:rPr>
        <w:tab/>
        <w:t>that</w:t>
      </w:r>
      <w:r w:rsidR="00CC08E4">
        <w:rPr>
          <w:bCs/>
          <w:sz w:val="24"/>
          <w:szCs w:val="24"/>
        </w:rPr>
        <w:t xml:space="preserve"> the revocation of the increases had been in consequence of an investigation into the way in which the performance evaluations of each of the plaintiffs had been conducted.</w:t>
      </w:r>
    </w:p>
    <w:p w14:paraId="209E0E11" w14:textId="77777777" w:rsidR="0035078C" w:rsidRDefault="0035078C" w:rsidP="0035078C">
      <w:pPr>
        <w:pStyle w:val="ListParagraph"/>
        <w:rPr>
          <w:bCs/>
        </w:rPr>
      </w:pPr>
    </w:p>
    <w:p w14:paraId="13AA8250" w14:textId="4D665B2D" w:rsidR="0035078C" w:rsidRDefault="00CC08E4" w:rsidP="008E6813">
      <w:pPr>
        <w:pStyle w:val="Body"/>
        <w:numPr>
          <w:ilvl w:val="0"/>
          <w:numId w:val="15"/>
        </w:numPr>
        <w:spacing w:line="360" w:lineRule="auto"/>
        <w:ind w:left="851" w:hanging="851"/>
        <w:jc w:val="both"/>
        <w:rPr>
          <w:bCs/>
          <w:sz w:val="24"/>
          <w:szCs w:val="24"/>
        </w:rPr>
      </w:pPr>
      <w:r>
        <w:rPr>
          <w:bCs/>
          <w:sz w:val="24"/>
          <w:szCs w:val="24"/>
        </w:rPr>
        <w:lastRenderedPageBreak/>
        <w:t>The plaintiffs, dissatisfied with the revocation of the increases, then instituted the present action for damages</w:t>
      </w:r>
      <w:r w:rsidR="004C3489">
        <w:rPr>
          <w:bCs/>
          <w:sz w:val="24"/>
          <w:szCs w:val="24"/>
        </w:rPr>
        <w:t xml:space="preserve"> arising out of what they contended was a unilateral change to the remuneration component of their terms and conditions of employment.</w:t>
      </w:r>
    </w:p>
    <w:p w14:paraId="6AC4BD97" w14:textId="77777777" w:rsidR="004C3489" w:rsidRDefault="004C3489" w:rsidP="004C3489">
      <w:pPr>
        <w:pStyle w:val="Body"/>
        <w:spacing w:line="360" w:lineRule="auto"/>
        <w:ind w:left="851"/>
        <w:jc w:val="both"/>
        <w:rPr>
          <w:bCs/>
          <w:sz w:val="24"/>
          <w:szCs w:val="24"/>
        </w:rPr>
      </w:pPr>
    </w:p>
    <w:p w14:paraId="5DC29517" w14:textId="246A06C0" w:rsidR="008E6813" w:rsidRDefault="004C3489" w:rsidP="008E6813">
      <w:pPr>
        <w:pStyle w:val="Body"/>
        <w:numPr>
          <w:ilvl w:val="0"/>
          <w:numId w:val="15"/>
        </w:numPr>
        <w:spacing w:line="360" w:lineRule="auto"/>
        <w:ind w:left="851" w:hanging="851"/>
        <w:jc w:val="both"/>
        <w:rPr>
          <w:bCs/>
          <w:sz w:val="24"/>
          <w:szCs w:val="24"/>
        </w:rPr>
      </w:pPr>
      <w:r>
        <w:rPr>
          <w:bCs/>
          <w:sz w:val="24"/>
          <w:szCs w:val="24"/>
        </w:rPr>
        <w:t>The defendants</w:t>
      </w:r>
      <w:r w:rsidR="008353F3">
        <w:rPr>
          <w:bCs/>
          <w:sz w:val="24"/>
          <w:szCs w:val="24"/>
        </w:rPr>
        <w:t xml:space="preserve"> raised 3 defences.  The first was </w:t>
      </w:r>
      <w:proofErr w:type="spellStart"/>
      <w:r w:rsidR="008353F3" w:rsidRPr="008353F3">
        <w:rPr>
          <w:bCs/>
          <w:i/>
          <w:iCs/>
          <w:sz w:val="24"/>
          <w:szCs w:val="24"/>
        </w:rPr>
        <w:t>iustus</w:t>
      </w:r>
      <w:proofErr w:type="spellEnd"/>
      <w:r w:rsidR="008353F3" w:rsidRPr="008353F3">
        <w:rPr>
          <w:bCs/>
          <w:i/>
          <w:iCs/>
          <w:sz w:val="24"/>
          <w:szCs w:val="24"/>
        </w:rPr>
        <w:t xml:space="preserve"> error</w:t>
      </w:r>
      <w:r w:rsidR="008353F3">
        <w:rPr>
          <w:bCs/>
          <w:sz w:val="24"/>
          <w:szCs w:val="24"/>
        </w:rPr>
        <w:t>, the second lack of authority on the part of the general manager and head of human resources and thirdly, public policy.  I intend to deal with each of these in turn.</w:t>
      </w:r>
    </w:p>
    <w:p w14:paraId="2EC08685" w14:textId="5F4C9E00" w:rsidR="008353F3" w:rsidRDefault="008353F3" w:rsidP="008353F3">
      <w:pPr>
        <w:rPr>
          <w:bCs/>
        </w:rPr>
      </w:pPr>
    </w:p>
    <w:p w14:paraId="282AC9FE" w14:textId="77777777" w:rsidR="005044AB" w:rsidRDefault="005044AB" w:rsidP="008353F3">
      <w:pPr>
        <w:rPr>
          <w:rFonts w:ascii="Arial" w:hAnsi="Arial" w:cs="Arial"/>
          <w:b/>
          <w:i/>
          <w:iCs/>
        </w:rPr>
      </w:pPr>
    </w:p>
    <w:p w14:paraId="195647DC" w14:textId="044D6510" w:rsidR="008353F3" w:rsidRDefault="008353F3" w:rsidP="008353F3">
      <w:pPr>
        <w:rPr>
          <w:rFonts w:ascii="Arial" w:hAnsi="Arial" w:cs="Arial"/>
          <w:b/>
        </w:rPr>
      </w:pPr>
      <w:r w:rsidRPr="008353F3">
        <w:rPr>
          <w:rFonts w:ascii="Arial" w:hAnsi="Arial" w:cs="Arial"/>
          <w:b/>
          <w:i/>
          <w:iCs/>
        </w:rPr>
        <w:t xml:space="preserve">IUSTUS </w:t>
      </w:r>
      <w:r w:rsidRPr="008353F3">
        <w:rPr>
          <w:rFonts w:ascii="Arial" w:hAnsi="Arial" w:cs="Arial"/>
          <w:b/>
        </w:rPr>
        <w:t>ERROR</w:t>
      </w:r>
      <w:r w:rsidR="00803C36">
        <w:rPr>
          <w:rFonts w:ascii="Arial" w:hAnsi="Arial" w:cs="Arial"/>
          <w:b/>
        </w:rPr>
        <w:t xml:space="preserve"> AND LACK OF AUTHORITY</w:t>
      </w:r>
    </w:p>
    <w:p w14:paraId="46A4F9B9" w14:textId="77777777" w:rsidR="008353F3" w:rsidRPr="008353F3" w:rsidRDefault="008353F3" w:rsidP="008353F3">
      <w:pPr>
        <w:rPr>
          <w:rFonts w:ascii="Arial" w:hAnsi="Arial" w:cs="Arial"/>
          <w:b/>
        </w:rPr>
      </w:pPr>
    </w:p>
    <w:p w14:paraId="692C66C7" w14:textId="77777777" w:rsidR="008353F3" w:rsidRPr="008353F3" w:rsidRDefault="008353F3" w:rsidP="008353F3">
      <w:pPr>
        <w:rPr>
          <w:bCs/>
        </w:rPr>
      </w:pPr>
    </w:p>
    <w:p w14:paraId="5BFCB006" w14:textId="0FA9654C" w:rsidR="00704EC9" w:rsidRDefault="0023457C" w:rsidP="008E6813">
      <w:pPr>
        <w:pStyle w:val="Body"/>
        <w:numPr>
          <w:ilvl w:val="0"/>
          <w:numId w:val="15"/>
        </w:numPr>
        <w:spacing w:line="360" w:lineRule="auto"/>
        <w:ind w:left="851" w:hanging="851"/>
        <w:jc w:val="both"/>
        <w:rPr>
          <w:bCs/>
          <w:sz w:val="24"/>
          <w:szCs w:val="24"/>
        </w:rPr>
      </w:pPr>
      <w:r>
        <w:rPr>
          <w:bCs/>
          <w:sz w:val="24"/>
          <w:szCs w:val="24"/>
        </w:rPr>
        <w:t xml:space="preserve">The plaintiffs argued that </w:t>
      </w:r>
      <w:r w:rsidR="00704EC9">
        <w:rPr>
          <w:bCs/>
          <w:sz w:val="24"/>
          <w:szCs w:val="24"/>
        </w:rPr>
        <w:t xml:space="preserve">the performance increases which were in addition to the increases that had been collectively negotiated, were separate and distinct.  </w:t>
      </w:r>
    </w:p>
    <w:p w14:paraId="1027A9E6" w14:textId="77777777" w:rsidR="00704EC9" w:rsidRDefault="00704EC9" w:rsidP="00704EC9">
      <w:pPr>
        <w:pStyle w:val="Body"/>
        <w:spacing w:line="360" w:lineRule="auto"/>
        <w:ind w:left="851"/>
        <w:jc w:val="both"/>
        <w:rPr>
          <w:bCs/>
          <w:sz w:val="24"/>
          <w:szCs w:val="24"/>
        </w:rPr>
      </w:pPr>
    </w:p>
    <w:p w14:paraId="2907E3F2" w14:textId="3E9DE250" w:rsidR="008353F3" w:rsidRDefault="00704EC9" w:rsidP="008E6813">
      <w:pPr>
        <w:pStyle w:val="Body"/>
        <w:numPr>
          <w:ilvl w:val="0"/>
          <w:numId w:val="15"/>
        </w:numPr>
        <w:spacing w:line="360" w:lineRule="auto"/>
        <w:ind w:left="851" w:hanging="851"/>
        <w:jc w:val="both"/>
        <w:rPr>
          <w:bCs/>
          <w:sz w:val="24"/>
          <w:szCs w:val="24"/>
        </w:rPr>
      </w:pPr>
      <w:r>
        <w:rPr>
          <w:bCs/>
          <w:sz w:val="24"/>
          <w:szCs w:val="24"/>
        </w:rPr>
        <w:t>It was argued for the defendants that once both the parties had all subordinated themselves to the collective bargaining process, it was only in terms of this process that changes to remuneration could be negotiated and affected.</w:t>
      </w:r>
    </w:p>
    <w:p w14:paraId="7C398F08" w14:textId="77777777" w:rsidR="00704EC9" w:rsidRDefault="00704EC9" w:rsidP="00704EC9">
      <w:pPr>
        <w:pStyle w:val="ListParagraph"/>
        <w:rPr>
          <w:bCs/>
        </w:rPr>
      </w:pPr>
    </w:p>
    <w:p w14:paraId="1E0A346C" w14:textId="77777777" w:rsidR="00DE7D50" w:rsidRDefault="00704EC9" w:rsidP="008E6813">
      <w:pPr>
        <w:pStyle w:val="Body"/>
        <w:numPr>
          <w:ilvl w:val="0"/>
          <w:numId w:val="15"/>
        </w:numPr>
        <w:spacing w:line="360" w:lineRule="auto"/>
        <w:ind w:left="851" w:hanging="851"/>
        <w:jc w:val="both"/>
        <w:rPr>
          <w:bCs/>
          <w:sz w:val="24"/>
          <w:szCs w:val="24"/>
        </w:rPr>
      </w:pPr>
      <w:r>
        <w:rPr>
          <w:bCs/>
          <w:sz w:val="24"/>
          <w:szCs w:val="24"/>
        </w:rPr>
        <w:t xml:space="preserve">The plaintiffs argued that the performance increases were given in consequence of individual performance and were beyond the scope of the collective agreement and that any such increase was in addition to that which had been negotiated collectively.   </w:t>
      </w:r>
    </w:p>
    <w:p w14:paraId="0889DE77" w14:textId="77777777" w:rsidR="00DE7D50" w:rsidRDefault="00DE7D50" w:rsidP="00DE7D50">
      <w:pPr>
        <w:pStyle w:val="ListParagraph"/>
        <w:rPr>
          <w:bCs/>
        </w:rPr>
      </w:pPr>
    </w:p>
    <w:p w14:paraId="51A25637" w14:textId="77777777" w:rsidR="00F6674E" w:rsidRDefault="00704EC9" w:rsidP="00F6674E">
      <w:pPr>
        <w:pStyle w:val="Body"/>
        <w:numPr>
          <w:ilvl w:val="0"/>
          <w:numId w:val="15"/>
        </w:numPr>
        <w:spacing w:line="360" w:lineRule="auto"/>
        <w:ind w:left="851" w:hanging="851"/>
        <w:jc w:val="both"/>
        <w:rPr>
          <w:bCs/>
          <w:sz w:val="24"/>
          <w:szCs w:val="24"/>
        </w:rPr>
      </w:pPr>
      <w:r>
        <w:rPr>
          <w:bCs/>
          <w:sz w:val="24"/>
          <w:szCs w:val="24"/>
        </w:rPr>
        <w:t xml:space="preserve">The defendants for their part argued that the collective </w:t>
      </w:r>
      <w:r w:rsidR="00EA78F7">
        <w:rPr>
          <w:bCs/>
          <w:sz w:val="24"/>
          <w:szCs w:val="24"/>
        </w:rPr>
        <w:t>bargaining process and acceptance of its benefits, which the plaintiffs had done, precluded either the plaintiffs or the defendants from concluding any agreement, unless it was done through the collective bargaining process.</w:t>
      </w:r>
    </w:p>
    <w:p w14:paraId="5BD266D4" w14:textId="77777777" w:rsidR="00F6674E" w:rsidRDefault="00F6674E" w:rsidP="00F6674E">
      <w:pPr>
        <w:pStyle w:val="ListParagraph"/>
        <w:rPr>
          <w:rFonts w:cs="Arial"/>
          <w:bCs/>
        </w:rPr>
      </w:pPr>
    </w:p>
    <w:p w14:paraId="6EFEADB4" w14:textId="1B458BD2" w:rsidR="00F6674E" w:rsidRPr="003F22FC" w:rsidRDefault="00F6674E" w:rsidP="00F6674E">
      <w:pPr>
        <w:pStyle w:val="Body"/>
        <w:numPr>
          <w:ilvl w:val="0"/>
          <w:numId w:val="15"/>
        </w:numPr>
        <w:spacing w:line="360" w:lineRule="auto"/>
        <w:ind w:left="851" w:hanging="851"/>
        <w:jc w:val="both"/>
        <w:rPr>
          <w:bCs/>
          <w:i/>
          <w:iCs/>
          <w:sz w:val="22"/>
          <w:szCs w:val="22"/>
        </w:rPr>
      </w:pPr>
      <w:r w:rsidRPr="003F22FC">
        <w:rPr>
          <w:rFonts w:cs="Arial"/>
          <w:bCs/>
          <w:sz w:val="22"/>
          <w:szCs w:val="22"/>
        </w:rPr>
        <w:t>“</w:t>
      </w:r>
      <w:r w:rsidRPr="003F22FC">
        <w:rPr>
          <w:rFonts w:cs="Arial"/>
          <w:bCs/>
          <w:i/>
          <w:iCs/>
          <w:sz w:val="22"/>
          <w:szCs w:val="22"/>
        </w:rPr>
        <w:t>The entire ambit of collective agreements are matters of “mutual interest.”   Axiomatically, such matters of mutual interest are matters that arise during and in consequence of the existence of the employment relationship between the employers and employees</w:t>
      </w:r>
      <w:r w:rsidR="00240741">
        <w:rPr>
          <w:rFonts w:cs="Arial"/>
          <w:bCs/>
          <w:i/>
          <w:iCs/>
          <w:sz w:val="22"/>
          <w:szCs w:val="22"/>
        </w:rPr>
        <w:t xml:space="preserve">. </w:t>
      </w:r>
      <w:r w:rsidRPr="003F22FC">
        <w:rPr>
          <w:rFonts w:cs="Arial"/>
          <w:bCs/>
          <w:i/>
          <w:iCs/>
          <w:sz w:val="22"/>
          <w:szCs w:val="22"/>
        </w:rPr>
        <w:t>This has been interpreted to mean:</w:t>
      </w:r>
    </w:p>
    <w:p w14:paraId="3B5AD165" w14:textId="77777777" w:rsidR="00F6674E" w:rsidRPr="003F22FC" w:rsidRDefault="00F6674E" w:rsidP="00F6674E">
      <w:pPr>
        <w:pStyle w:val="ListParagraph"/>
        <w:spacing w:line="360" w:lineRule="auto"/>
        <w:ind w:left="851"/>
        <w:jc w:val="both"/>
        <w:rPr>
          <w:rFonts w:ascii="Arial" w:hAnsi="Arial" w:cs="Arial"/>
          <w:bCs/>
          <w:i/>
          <w:iCs/>
          <w:sz w:val="22"/>
          <w:szCs w:val="22"/>
        </w:rPr>
      </w:pPr>
    </w:p>
    <w:p w14:paraId="61DDAFDF" w14:textId="1F1A2460" w:rsidR="00F6674E" w:rsidRPr="003F22FC" w:rsidRDefault="00240741" w:rsidP="00F6674E">
      <w:pPr>
        <w:pStyle w:val="ListParagraph"/>
        <w:spacing w:line="360" w:lineRule="auto"/>
        <w:ind w:left="1418"/>
        <w:jc w:val="both"/>
        <w:rPr>
          <w:rFonts w:ascii="Arial" w:hAnsi="Arial" w:cs="Arial"/>
          <w:bCs/>
          <w:i/>
          <w:iCs/>
          <w:sz w:val="22"/>
          <w:szCs w:val="22"/>
        </w:rPr>
      </w:pPr>
      <w:r>
        <w:rPr>
          <w:rFonts w:ascii="Arial" w:hAnsi="Arial" w:cs="Arial"/>
          <w:bCs/>
          <w:i/>
          <w:iCs/>
          <w:sz w:val="22"/>
          <w:szCs w:val="22"/>
        </w:rPr>
        <w:lastRenderedPageBreak/>
        <w:t>‘</w:t>
      </w:r>
      <w:r w:rsidR="00F6674E" w:rsidRPr="003F22FC">
        <w:rPr>
          <w:rFonts w:ascii="Arial" w:hAnsi="Arial" w:cs="Arial"/>
          <w:bCs/>
          <w:i/>
          <w:iCs/>
          <w:sz w:val="22"/>
          <w:szCs w:val="22"/>
        </w:rPr>
        <w:t xml:space="preserve">It brings the complete array of employment and labour relations matters within the scope of collective agreements.  Almost anything in which the parties have an interest – shared or opposing – </w:t>
      </w:r>
      <w:r w:rsidR="00F6674E" w:rsidRPr="003F22FC">
        <w:rPr>
          <w:rFonts w:ascii="Arial" w:hAnsi="Arial" w:cs="Arial"/>
          <w:b/>
          <w:i/>
          <w:iCs/>
          <w:sz w:val="22"/>
          <w:szCs w:val="22"/>
          <w:u w:val="single"/>
        </w:rPr>
        <w:t>and which is capable of joint and autonomous regulation,</w:t>
      </w:r>
      <w:r w:rsidR="00F6674E" w:rsidRPr="003F22FC">
        <w:rPr>
          <w:rFonts w:ascii="Arial" w:hAnsi="Arial" w:cs="Arial"/>
          <w:bCs/>
          <w:i/>
          <w:iCs/>
          <w:sz w:val="22"/>
          <w:szCs w:val="22"/>
          <w:u w:val="single"/>
        </w:rPr>
        <w:t xml:space="preserve"> </w:t>
      </w:r>
      <w:r w:rsidR="00F6674E" w:rsidRPr="003F22FC">
        <w:rPr>
          <w:rFonts w:ascii="Arial" w:hAnsi="Arial" w:cs="Arial"/>
          <w:bCs/>
          <w:i/>
          <w:iCs/>
          <w:sz w:val="22"/>
          <w:szCs w:val="22"/>
        </w:rPr>
        <w:t>is fit for inclusion in a collective agreement.</w:t>
      </w:r>
      <w:r>
        <w:rPr>
          <w:rFonts w:ascii="Arial" w:hAnsi="Arial" w:cs="Arial"/>
          <w:bCs/>
          <w:i/>
          <w:iCs/>
          <w:sz w:val="22"/>
          <w:szCs w:val="22"/>
        </w:rPr>
        <w:t>’</w:t>
      </w:r>
      <w:r w:rsidR="00F6674E" w:rsidRPr="003F22FC">
        <w:rPr>
          <w:rFonts w:ascii="Arial" w:hAnsi="Arial" w:cs="Arial"/>
          <w:bCs/>
          <w:i/>
          <w:iCs/>
          <w:sz w:val="22"/>
          <w:szCs w:val="22"/>
        </w:rPr>
        <w:t xml:space="preserve"> [My emphasis]</w:t>
      </w:r>
      <w:r w:rsidR="00F6674E" w:rsidRPr="003F22FC">
        <w:rPr>
          <w:rFonts w:ascii="Arial" w:hAnsi="Arial" w:cs="Arial"/>
          <w:bCs/>
          <w:i/>
          <w:iCs/>
          <w:sz w:val="22"/>
          <w:szCs w:val="22"/>
          <w:u w:val="single"/>
        </w:rPr>
        <w:t>.</w:t>
      </w:r>
      <w:r w:rsidR="00F6674E" w:rsidRPr="003F22FC">
        <w:rPr>
          <w:rFonts w:ascii="Arial" w:hAnsi="Arial" w:cs="Arial"/>
          <w:bCs/>
          <w:i/>
          <w:iCs/>
          <w:sz w:val="22"/>
          <w:szCs w:val="22"/>
        </w:rPr>
        <w:t>”</w:t>
      </w:r>
      <w:r>
        <w:rPr>
          <w:rStyle w:val="FootnoteReference"/>
          <w:rFonts w:ascii="Arial" w:hAnsi="Arial" w:cs="Arial"/>
          <w:bCs/>
          <w:i/>
          <w:iCs/>
          <w:sz w:val="22"/>
          <w:szCs w:val="22"/>
        </w:rPr>
        <w:footnoteReference w:id="1"/>
      </w:r>
    </w:p>
    <w:p w14:paraId="12C13B14" w14:textId="77777777" w:rsidR="00F6674E" w:rsidRPr="00F6674E" w:rsidRDefault="00F6674E" w:rsidP="00F6674E">
      <w:pPr>
        <w:pStyle w:val="ListParagraph"/>
        <w:spacing w:line="360" w:lineRule="auto"/>
        <w:ind w:left="1418"/>
        <w:jc w:val="both"/>
        <w:rPr>
          <w:rFonts w:ascii="Arial" w:hAnsi="Arial" w:cs="Arial"/>
          <w:bCs/>
        </w:rPr>
      </w:pPr>
    </w:p>
    <w:p w14:paraId="5E81C4EC" w14:textId="77777777" w:rsidR="00EA78F7" w:rsidRDefault="00EA78F7" w:rsidP="00EA78F7">
      <w:pPr>
        <w:pStyle w:val="ListParagraph"/>
        <w:rPr>
          <w:bCs/>
        </w:rPr>
      </w:pPr>
    </w:p>
    <w:p w14:paraId="3A165BC3" w14:textId="641C9EC1" w:rsidR="004641A0" w:rsidRDefault="00921B53" w:rsidP="008E6813">
      <w:pPr>
        <w:pStyle w:val="Body"/>
        <w:numPr>
          <w:ilvl w:val="0"/>
          <w:numId w:val="15"/>
        </w:numPr>
        <w:spacing w:line="360" w:lineRule="auto"/>
        <w:ind w:left="851" w:hanging="851"/>
        <w:jc w:val="both"/>
        <w:rPr>
          <w:bCs/>
          <w:sz w:val="24"/>
          <w:szCs w:val="24"/>
        </w:rPr>
      </w:pPr>
      <w:r>
        <w:rPr>
          <w:bCs/>
          <w:sz w:val="24"/>
          <w:szCs w:val="24"/>
        </w:rPr>
        <w:t xml:space="preserve">The </w:t>
      </w:r>
      <w:r w:rsidR="00511607">
        <w:rPr>
          <w:bCs/>
          <w:sz w:val="24"/>
          <w:szCs w:val="24"/>
        </w:rPr>
        <w:t>collective agreement was entered into in respect of “</w:t>
      </w:r>
      <w:r w:rsidR="00511607" w:rsidRPr="00511607">
        <w:rPr>
          <w:bCs/>
          <w:i/>
          <w:iCs/>
          <w:sz w:val="22"/>
          <w:szCs w:val="22"/>
        </w:rPr>
        <w:t>wage negotiations”</w:t>
      </w:r>
      <w:r w:rsidR="00511607" w:rsidRPr="00511607">
        <w:rPr>
          <w:bCs/>
          <w:sz w:val="22"/>
          <w:szCs w:val="22"/>
        </w:rPr>
        <w:t xml:space="preserve"> </w:t>
      </w:r>
      <w:r w:rsidR="00511607">
        <w:rPr>
          <w:bCs/>
          <w:sz w:val="24"/>
          <w:szCs w:val="24"/>
        </w:rPr>
        <w:t>and</w:t>
      </w:r>
      <w:r w:rsidR="004641A0">
        <w:rPr>
          <w:bCs/>
          <w:sz w:val="24"/>
          <w:szCs w:val="24"/>
        </w:rPr>
        <w:t xml:space="preserve"> provided </w:t>
      </w:r>
      <w:r w:rsidR="004641A0" w:rsidRPr="004641A0">
        <w:rPr>
          <w:bCs/>
          <w:i/>
          <w:iCs/>
          <w:sz w:val="24"/>
          <w:szCs w:val="24"/>
        </w:rPr>
        <w:t>inter alia</w:t>
      </w:r>
      <w:r w:rsidR="004641A0">
        <w:rPr>
          <w:bCs/>
          <w:sz w:val="24"/>
          <w:szCs w:val="24"/>
        </w:rPr>
        <w:t>, that:-</w:t>
      </w:r>
    </w:p>
    <w:p w14:paraId="06CB0BA7" w14:textId="77777777" w:rsidR="004641A0" w:rsidRDefault="004641A0" w:rsidP="004641A0">
      <w:pPr>
        <w:pStyle w:val="ListParagraph"/>
        <w:rPr>
          <w:bCs/>
        </w:rPr>
      </w:pPr>
    </w:p>
    <w:p w14:paraId="0D937F0B" w14:textId="33E8D5C6" w:rsidR="006878D5" w:rsidRDefault="004641A0" w:rsidP="007A740C">
      <w:pPr>
        <w:pStyle w:val="Body"/>
        <w:spacing w:line="360" w:lineRule="auto"/>
        <w:ind w:left="1701" w:hanging="850"/>
        <w:jc w:val="both"/>
        <w:rPr>
          <w:bCs/>
          <w:sz w:val="24"/>
          <w:szCs w:val="24"/>
        </w:rPr>
      </w:pPr>
      <w:r>
        <w:rPr>
          <w:bCs/>
          <w:sz w:val="24"/>
          <w:szCs w:val="24"/>
        </w:rPr>
        <w:t>[1</w:t>
      </w:r>
      <w:r w:rsidR="005044AB">
        <w:rPr>
          <w:bCs/>
          <w:sz w:val="24"/>
          <w:szCs w:val="24"/>
        </w:rPr>
        <w:t>1</w:t>
      </w:r>
      <w:r>
        <w:rPr>
          <w:bCs/>
          <w:sz w:val="24"/>
          <w:szCs w:val="24"/>
        </w:rPr>
        <w:t>.1]</w:t>
      </w:r>
      <w:r>
        <w:rPr>
          <w:bCs/>
          <w:sz w:val="24"/>
          <w:szCs w:val="24"/>
        </w:rPr>
        <w:tab/>
      </w:r>
      <w:r w:rsidR="006878D5">
        <w:rPr>
          <w:bCs/>
          <w:sz w:val="24"/>
          <w:szCs w:val="24"/>
        </w:rPr>
        <w:t xml:space="preserve">in terms of clause 2 that: </w:t>
      </w:r>
      <w:r w:rsidR="00A532A2">
        <w:rPr>
          <w:bCs/>
          <w:sz w:val="24"/>
          <w:szCs w:val="24"/>
        </w:rPr>
        <w:t>“</w:t>
      </w:r>
      <w:r w:rsidR="00A532A2">
        <w:rPr>
          <w:bCs/>
          <w:i/>
          <w:iCs/>
          <w:sz w:val="24"/>
          <w:szCs w:val="24"/>
        </w:rPr>
        <w:t xml:space="preserve">[t]he agreement shall be applicable to all </w:t>
      </w:r>
      <w:r w:rsidR="007A740C">
        <w:rPr>
          <w:bCs/>
          <w:i/>
          <w:iCs/>
          <w:sz w:val="24"/>
          <w:szCs w:val="24"/>
        </w:rPr>
        <w:t>employees.</w:t>
      </w:r>
      <w:r w:rsidR="00A532A2">
        <w:rPr>
          <w:bCs/>
          <w:i/>
          <w:iCs/>
          <w:sz w:val="24"/>
          <w:szCs w:val="24"/>
        </w:rPr>
        <w:t xml:space="preserve"> </w:t>
      </w:r>
      <w:r w:rsidR="006878D5">
        <w:rPr>
          <w:bCs/>
          <w:sz w:val="24"/>
          <w:szCs w:val="24"/>
        </w:rPr>
        <w:t>”</w:t>
      </w:r>
    </w:p>
    <w:p w14:paraId="5E484933" w14:textId="77777777" w:rsidR="006878D5" w:rsidRDefault="006878D5" w:rsidP="004641A0">
      <w:pPr>
        <w:pStyle w:val="Body"/>
        <w:spacing w:line="360" w:lineRule="auto"/>
        <w:ind w:left="851"/>
        <w:jc w:val="both"/>
        <w:rPr>
          <w:bCs/>
          <w:sz w:val="24"/>
          <w:szCs w:val="24"/>
        </w:rPr>
      </w:pPr>
    </w:p>
    <w:p w14:paraId="7550DD57" w14:textId="5B105950" w:rsidR="006878D5" w:rsidRDefault="006878D5" w:rsidP="007A740C">
      <w:pPr>
        <w:pStyle w:val="Body"/>
        <w:spacing w:line="360" w:lineRule="auto"/>
        <w:ind w:left="1701" w:hanging="850"/>
        <w:jc w:val="both"/>
        <w:rPr>
          <w:bCs/>
          <w:sz w:val="24"/>
          <w:szCs w:val="24"/>
        </w:rPr>
      </w:pPr>
      <w:r>
        <w:rPr>
          <w:bCs/>
          <w:sz w:val="24"/>
          <w:szCs w:val="24"/>
        </w:rPr>
        <w:t>[1</w:t>
      </w:r>
      <w:r w:rsidR="005044AB">
        <w:rPr>
          <w:bCs/>
          <w:sz w:val="24"/>
          <w:szCs w:val="24"/>
        </w:rPr>
        <w:t>1</w:t>
      </w:r>
      <w:r>
        <w:rPr>
          <w:bCs/>
          <w:sz w:val="24"/>
          <w:szCs w:val="24"/>
        </w:rPr>
        <w:t>.2]</w:t>
      </w:r>
      <w:r>
        <w:rPr>
          <w:bCs/>
          <w:sz w:val="24"/>
          <w:szCs w:val="24"/>
        </w:rPr>
        <w:tab/>
        <w:t xml:space="preserve">in terms of clause </w:t>
      </w:r>
      <w:r w:rsidR="003F22FC">
        <w:rPr>
          <w:bCs/>
          <w:sz w:val="24"/>
          <w:szCs w:val="24"/>
        </w:rPr>
        <w:t>13</w:t>
      </w:r>
      <w:r>
        <w:rPr>
          <w:bCs/>
          <w:sz w:val="24"/>
          <w:szCs w:val="24"/>
        </w:rPr>
        <w:t xml:space="preserve"> that “</w:t>
      </w:r>
      <w:r w:rsidR="002642C5">
        <w:rPr>
          <w:bCs/>
          <w:i/>
          <w:iCs/>
          <w:sz w:val="24"/>
          <w:szCs w:val="24"/>
        </w:rPr>
        <w:t>[a]</w:t>
      </w:r>
      <w:proofErr w:type="spellStart"/>
      <w:r w:rsidR="002642C5">
        <w:rPr>
          <w:bCs/>
          <w:i/>
          <w:iCs/>
          <w:sz w:val="24"/>
          <w:szCs w:val="24"/>
        </w:rPr>
        <w:t>ll</w:t>
      </w:r>
      <w:proofErr w:type="spellEnd"/>
      <w:r w:rsidR="002642C5">
        <w:rPr>
          <w:bCs/>
          <w:i/>
          <w:iCs/>
          <w:sz w:val="24"/>
          <w:szCs w:val="24"/>
        </w:rPr>
        <w:t xml:space="preserve"> other terms and/or conditions of employment are not altered by this agreement [and][sic] shall prevail</w:t>
      </w:r>
      <w:r>
        <w:rPr>
          <w:bCs/>
          <w:sz w:val="24"/>
          <w:szCs w:val="24"/>
        </w:rPr>
        <w:t>.”</w:t>
      </w:r>
    </w:p>
    <w:p w14:paraId="5BA287B8" w14:textId="77777777" w:rsidR="007A740C" w:rsidRDefault="007A740C" w:rsidP="007A740C">
      <w:pPr>
        <w:pStyle w:val="Body"/>
        <w:spacing w:line="360" w:lineRule="auto"/>
        <w:ind w:left="1701" w:hanging="850"/>
        <w:jc w:val="both"/>
        <w:rPr>
          <w:bCs/>
          <w:sz w:val="24"/>
          <w:szCs w:val="24"/>
        </w:rPr>
      </w:pPr>
    </w:p>
    <w:p w14:paraId="4803D94B" w14:textId="1AC7C707" w:rsidR="00511607" w:rsidRDefault="00A532A2" w:rsidP="007A740C">
      <w:pPr>
        <w:pStyle w:val="Body"/>
        <w:spacing w:line="360" w:lineRule="auto"/>
        <w:ind w:left="1701" w:hanging="850"/>
        <w:jc w:val="both"/>
        <w:rPr>
          <w:bCs/>
          <w:sz w:val="24"/>
          <w:szCs w:val="24"/>
        </w:rPr>
      </w:pPr>
      <w:r>
        <w:rPr>
          <w:bCs/>
          <w:sz w:val="24"/>
          <w:szCs w:val="24"/>
        </w:rPr>
        <w:t>[1</w:t>
      </w:r>
      <w:r w:rsidR="005044AB">
        <w:rPr>
          <w:bCs/>
          <w:sz w:val="24"/>
          <w:szCs w:val="24"/>
        </w:rPr>
        <w:t>1</w:t>
      </w:r>
      <w:r>
        <w:rPr>
          <w:bCs/>
          <w:sz w:val="24"/>
          <w:szCs w:val="24"/>
        </w:rPr>
        <w:t>.3]</w:t>
      </w:r>
      <w:r w:rsidR="007A740C">
        <w:rPr>
          <w:bCs/>
          <w:sz w:val="24"/>
          <w:szCs w:val="24"/>
        </w:rPr>
        <w:t xml:space="preserve">    </w:t>
      </w:r>
      <w:r>
        <w:rPr>
          <w:bCs/>
          <w:sz w:val="24"/>
          <w:szCs w:val="24"/>
        </w:rPr>
        <w:t>in terms of clause 15 that</w:t>
      </w:r>
      <w:r w:rsidR="002642C5">
        <w:rPr>
          <w:bCs/>
          <w:sz w:val="24"/>
          <w:szCs w:val="24"/>
        </w:rPr>
        <w:t xml:space="preserve"> the “</w:t>
      </w:r>
      <w:r w:rsidR="002642C5" w:rsidRPr="002642C5">
        <w:rPr>
          <w:bCs/>
          <w:i/>
          <w:iCs/>
          <w:sz w:val="24"/>
          <w:szCs w:val="24"/>
        </w:rPr>
        <w:t xml:space="preserve">agreement constituted the entire agreement between the parties in respect of the substantive </w:t>
      </w:r>
      <w:r w:rsidR="007A740C" w:rsidRPr="002642C5">
        <w:rPr>
          <w:bCs/>
          <w:i/>
          <w:iCs/>
          <w:sz w:val="24"/>
          <w:szCs w:val="24"/>
        </w:rPr>
        <w:t>issues.</w:t>
      </w:r>
      <w:r w:rsidR="002642C5">
        <w:rPr>
          <w:bCs/>
          <w:sz w:val="24"/>
          <w:szCs w:val="24"/>
        </w:rPr>
        <w:t xml:space="preserve">” </w:t>
      </w:r>
    </w:p>
    <w:p w14:paraId="48671019" w14:textId="77777777" w:rsidR="00F6674E" w:rsidRDefault="00F6674E" w:rsidP="007A740C">
      <w:pPr>
        <w:pStyle w:val="Body"/>
        <w:spacing w:line="360" w:lineRule="auto"/>
        <w:jc w:val="both"/>
        <w:rPr>
          <w:bCs/>
          <w:sz w:val="24"/>
          <w:szCs w:val="24"/>
        </w:rPr>
      </w:pPr>
    </w:p>
    <w:p w14:paraId="54D2182A" w14:textId="09AA9580" w:rsidR="006878D5" w:rsidRDefault="00511607" w:rsidP="00742547">
      <w:pPr>
        <w:pStyle w:val="Body"/>
        <w:numPr>
          <w:ilvl w:val="0"/>
          <w:numId w:val="15"/>
        </w:numPr>
        <w:spacing w:line="360" w:lineRule="auto"/>
        <w:ind w:left="851" w:hanging="851"/>
        <w:jc w:val="both"/>
        <w:rPr>
          <w:bCs/>
          <w:sz w:val="24"/>
          <w:szCs w:val="24"/>
        </w:rPr>
      </w:pPr>
      <w:r>
        <w:rPr>
          <w:bCs/>
          <w:sz w:val="24"/>
          <w:szCs w:val="24"/>
        </w:rPr>
        <w:t xml:space="preserve">It </w:t>
      </w:r>
      <w:r w:rsidR="006878D5" w:rsidRPr="006878D5">
        <w:rPr>
          <w:bCs/>
          <w:sz w:val="24"/>
          <w:szCs w:val="24"/>
        </w:rPr>
        <w:t xml:space="preserve">was argued for the defendants that the substantive issue dealt with the collective agreement was </w:t>
      </w:r>
      <w:r w:rsidR="006878D5" w:rsidRPr="00F11220">
        <w:rPr>
          <w:bCs/>
          <w:i/>
          <w:iCs/>
          <w:sz w:val="24"/>
          <w:szCs w:val="24"/>
        </w:rPr>
        <w:t>“the sole provision of increases”</w:t>
      </w:r>
      <w:r w:rsidR="006878D5" w:rsidRPr="00F11220">
        <w:rPr>
          <w:bCs/>
          <w:sz w:val="24"/>
          <w:szCs w:val="24"/>
        </w:rPr>
        <w:t xml:space="preserve"> </w:t>
      </w:r>
      <w:r w:rsidR="006878D5" w:rsidRPr="006878D5">
        <w:rPr>
          <w:bCs/>
          <w:sz w:val="24"/>
          <w:szCs w:val="24"/>
        </w:rPr>
        <w:t xml:space="preserve">and that </w:t>
      </w:r>
      <w:r w:rsidR="006878D5" w:rsidRPr="00F11220">
        <w:rPr>
          <w:bCs/>
          <w:i/>
          <w:iCs/>
          <w:sz w:val="24"/>
          <w:szCs w:val="24"/>
        </w:rPr>
        <w:t>“anything outside of the agreement, including purported performance related increases</w:t>
      </w:r>
      <w:r w:rsidR="006878D5" w:rsidRPr="00240741">
        <w:rPr>
          <w:bCs/>
          <w:sz w:val="24"/>
          <w:szCs w:val="24"/>
        </w:rPr>
        <w:t>”</w:t>
      </w:r>
      <w:r w:rsidR="006878D5" w:rsidRPr="006878D5">
        <w:rPr>
          <w:bCs/>
          <w:sz w:val="24"/>
          <w:szCs w:val="24"/>
        </w:rPr>
        <w:t xml:space="preserve"> was not permissible.  </w:t>
      </w:r>
      <w:r w:rsidR="006878D5">
        <w:rPr>
          <w:bCs/>
          <w:sz w:val="24"/>
          <w:szCs w:val="24"/>
        </w:rPr>
        <w:t xml:space="preserve"> The only way in which the plaintiffs could ever obtain any increase in their remuneration</w:t>
      </w:r>
      <w:r w:rsidR="00B75DA6">
        <w:rPr>
          <w:bCs/>
          <w:sz w:val="24"/>
          <w:szCs w:val="24"/>
        </w:rPr>
        <w:t>, so the argument went, was in terms of the collective agreement.</w:t>
      </w:r>
    </w:p>
    <w:p w14:paraId="36C2B000" w14:textId="77777777" w:rsidR="006878D5" w:rsidRPr="006878D5" w:rsidRDefault="006878D5" w:rsidP="006878D5">
      <w:pPr>
        <w:pStyle w:val="Body"/>
        <w:spacing w:line="360" w:lineRule="auto"/>
        <w:ind w:left="851"/>
        <w:jc w:val="both"/>
        <w:rPr>
          <w:bCs/>
          <w:sz w:val="24"/>
          <w:szCs w:val="24"/>
        </w:rPr>
      </w:pPr>
    </w:p>
    <w:p w14:paraId="12062740" w14:textId="77777777" w:rsidR="00411191" w:rsidRDefault="00B75DA6" w:rsidP="006878D5">
      <w:pPr>
        <w:pStyle w:val="Body"/>
        <w:numPr>
          <w:ilvl w:val="0"/>
          <w:numId w:val="15"/>
        </w:numPr>
        <w:spacing w:line="360" w:lineRule="auto"/>
        <w:ind w:left="851" w:hanging="851"/>
        <w:jc w:val="both"/>
        <w:rPr>
          <w:bCs/>
          <w:sz w:val="24"/>
          <w:szCs w:val="24"/>
        </w:rPr>
      </w:pPr>
      <w:r>
        <w:rPr>
          <w:bCs/>
          <w:sz w:val="24"/>
          <w:szCs w:val="24"/>
        </w:rPr>
        <w:t xml:space="preserve">Since both the plaintiffs and defendants had subordinated themselves to the collective bargaining process and had accepted the benefits of the collective agreement in question, neither (or any of their agents) had any authority to negotiate or agree for anything outside of that agreement.  </w:t>
      </w:r>
    </w:p>
    <w:p w14:paraId="111C7A86" w14:textId="77777777" w:rsidR="00411191" w:rsidRDefault="00411191" w:rsidP="00411191">
      <w:pPr>
        <w:pStyle w:val="ListParagraph"/>
        <w:rPr>
          <w:bCs/>
        </w:rPr>
      </w:pPr>
    </w:p>
    <w:p w14:paraId="676ADFF3" w14:textId="5177C6EA" w:rsidR="006878D5" w:rsidRDefault="00B75DA6" w:rsidP="006878D5">
      <w:pPr>
        <w:pStyle w:val="Body"/>
        <w:numPr>
          <w:ilvl w:val="0"/>
          <w:numId w:val="15"/>
        </w:numPr>
        <w:spacing w:line="360" w:lineRule="auto"/>
        <w:ind w:left="851" w:hanging="851"/>
        <w:jc w:val="both"/>
        <w:rPr>
          <w:bCs/>
          <w:sz w:val="24"/>
          <w:szCs w:val="24"/>
        </w:rPr>
      </w:pPr>
      <w:r>
        <w:rPr>
          <w:bCs/>
          <w:sz w:val="24"/>
          <w:szCs w:val="24"/>
        </w:rPr>
        <w:lastRenderedPageBreak/>
        <w:t>In the making of the offer to pay increased remuneration based on performance, the general manager and human resources manager had been mistaken in believing that they had the authority</w:t>
      </w:r>
      <w:r w:rsidR="00411191">
        <w:rPr>
          <w:rStyle w:val="FootnoteReference"/>
          <w:bCs/>
          <w:sz w:val="24"/>
          <w:szCs w:val="24"/>
        </w:rPr>
        <w:footnoteReference w:id="2"/>
      </w:r>
      <w:r>
        <w:rPr>
          <w:bCs/>
          <w:sz w:val="24"/>
          <w:szCs w:val="24"/>
        </w:rPr>
        <w:t xml:space="preserve"> to do so</w:t>
      </w:r>
      <w:r w:rsidR="00411191">
        <w:rPr>
          <w:bCs/>
          <w:sz w:val="24"/>
          <w:szCs w:val="24"/>
        </w:rPr>
        <w:t>,</w:t>
      </w:r>
      <w:r>
        <w:rPr>
          <w:bCs/>
          <w:sz w:val="24"/>
          <w:szCs w:val="24"/>
        </w:rPr>
        <w:t xml:space="preserve"> and in respect of the plaintiffs, in accepting the increased remuneration, they also had been mistaken in their entitlement to do so.</w:t>
      </w:r>
    </w:p>
    <w:p w14:paraId="4617B504" w14:textId="77777777" w:rsidR="00B75DA6" w:rsidRPr="003804E8" w:rsidRDefault="00B75DA6" w:rsidP="00B75DA6">
      <w:pPr>
        <w:pStyle w:val="ListParagraph"/>
        <w:rPr>
          <w:bCs/>
          <w:i/>
          <w:iCs/>
        </w:rPr>
      </w:pPr>
    </w:p>
    <w:p w14:paraId="7BF34D5C" w14:textId="77777777" w:rsidR="006878D5" w:rsidRDefault="006878D5" w:rsidP="006878D5">
      <w:pPr>
        <w:pStyle w:val="ListParagraph"/>
        <w:rPr>
          <w:bCs/>
        </w:rPr>
      </w:pPr>
    </w:p>
    <w:p w14:paraId="501CBA2D" w14:textId="77777777" w:rsidR="005044AB" w:rsidRDefault="003804E8" w:rsidP="00092EA0">
      <w:pPr>
        <w:pStyle w:val="Body"/>
        <w:numPr>
          <w:ilvl w:val="0"/>
          <w:numId w:val="15"/>
        </w:numPr>
        <w:spacing w:line="360" w:lineRule="auto"/>
        <w:ind w:left="851" w:hanging="851"/>
        <w:jc w:val="both"/>
        <w:rPr>
          <w:bCs/>
          <w:sz w:val="24"/>
          <w:szCs w:val="24"/>
        </w:rPr>
      </w:pPr>
      <w:r>
        <w:rPr>
          <w:bCs/>
          <w:sz w:val="24"/>
          <w:szCs w:val="24"/>
        </w:rPr>
        <w:t>The defendants furthermore  rel</w:t>
      </w:r>
      <w:r w:rsidR="005044AB">
        <w:rPr>
          <w:bCs/>
          <w:sz w:val="24"/>
          <w:szCs w:val="24"/>
        </w:rPr>
        <w:t>ied</w:t>
      </w:r>
      <w:r>
        <w:rPr>
          <w:bCs/>
          <w:sz w:val="24"/>
          <w:szCs w:val="24"/>
        </w:rPr>
        <w:t xml:space="preserve"> on 2 passages that appeared in all the letters of 16 April 2018.  </w:t>
      </w:r>
    </w:p>
    <w:p w14:paraId="3E2BE7E2" w14:textId="77777777" w:rsidR="005044AB" w:rsidRDefault="005044AB" w:rsidP="005044AB">
      <w:pPr>
        <w:pStyle w:val="Body"/>
        <w:spacing w:line="360" w:lineRule="auto"/>
        <w:ind w:left="851"/>
        <w:jc w:val="both"/>
        <w:rPr>
          <w:bCs/>
          <w:sz w:val="24"/>
          <w:szCs w:val="24"/>
        </w:rPr>
      </w:pPr>
    </w:p>
    <w:p w14:paraId="3D249681" w14:textId="77777777" w:rsidR="005044AB" w:rsidRPr="00F11220" w:rsidRDefault="003804E8" w:rsidP="00092EA0">
      <w:pPr>
        <w:pStyle w:val="Body"/>
        <w:numPr>
          <w:ilvl w:val="0"/>
          <w:numId w:val="15"/>
        </w:numPr>
        <w:spacing w:line="360" w:lineRule="auto"/>
        <w:ind w:left="851" w:hanging="851"/>
        <w:jc w:val="both"/>
        <w:rPr>
          <w:bCs/>
          <w:sz w:val="28"/>
        </w:rPr>
      </w:pPr>
      <w:r>
        <w:rPr>
          <w:bCs/>
          <w:sz w:val="24"/>
          <w:szCs w:val="24"/>
        </w:rPr>
        <w:t>The first was of the nature of a reservation on the part of the defendants in which it was stated “</w:t>
      </w:r>
      <w:r w:rsidRPr="00F11220">
        <w:rPr>
          <w:bCs/>
          <w:i/>
          <w:iCs/>
          <w:sz w:val="24"/>
          <w:szCs w:val="24"/>
        </w:rPr>
        <w:t xml:space="preserve">Any unilateral errors or commissions which may arise during implementation of the revised remuneration and other terms and conditions will need to be respected and rectified.” </w:t>
      </w:r>
      <w:r w:rsidRPr="00F11220">
        <w:rPr>
          <w:bCs/>
          <w:sz w:val="24"/>
          <w:szCs w:val="24"/>
        </w:rPr>
        <w:t xml:space="preserve"> </w:t>
      </w:r>
      <w:r w:rsidR="005044AB" w:rsidRPr="00F11220">
        <w:rPr>
          <w:bCs/>
          <w:sz w:val="24"/>
          <w:szCs w:val="24"/>
        </w:rPr>
        <w:t>This passage spoke to clause 13 of the collective agreement.</w:t>
      </w:r>
    </w:p>
    <w:p w14:paraId="3FAEAAE8" w14:textId="77777777" w:rsidR="005044AB" w:rsidRDefault="005044AB" w:rsidP="005044AB">
      <w:pPr>
        <w:pStyle w:val="ListParagraph"/>
        <w:rPr>
          <w:bCs/>
        </w:rPr>
      </w:pPr>
    </w:p>
    <w:p w14:paraId="1F542D79" w14:textId="6024AC8E" w:rsidR="007709C2" w:rsidRPr="005044AB" w:rsidRDefault="003804E8" w:rsidP="00092EA0">
      <w:pPr>
        <w:pStyle w:val="Body"/>
        <w:numPr>
          <w:ilvl w:val="0"/>
          <w:numId w:val="15"/>
        </w:numPr>
        <w:spacing w:line="360" w:lineRule="auto"/>
        <w:ind w:left="851" w:hanging="851"/>
        <w:jc w:val="both"/>
        <w:rPr>
          <w:bCs/>
          <w:sz w:val="28"/>
          <w:szCs w:val="28"/>
        </w:rPr>
      </w:pPr>
      <w:r w:rsidRPr="003804E8">
        <w:rPr>
          <w:bCs/>
          <w:sz w:val="24"/>
          <w:szCs w:val="24"/>
        </w:rPr>
        <w:t>The</w:t>
      </w:r>
      <w:r w:rsidR="005044AB">
        <w:rPr>
          <w:bCs/>
          <w:sz w:val="24"/>
          <w:szCs w:val="24"/>
        </w:rPr>
        <w:t xml:space="preserve"> </w:t>
      </w:r>
      <w:r w:rsidRPr="003804E8">
        <w:rPr>
          <w:bCs/>
          <w:sz w:val="24"/>
          <w:szCs w:val="24"/>
        </w:rPr>
        <w:t xml:space="preserve">second </w:t>
      </w:r>
      <w:r>
        <w:rPr>
          <w:bCs/>
          <w:sz w:val="24"/>
          <w:szCs w:val="24"/>
        </w:rPr>
        <w:t xml:space="preserve">was of the nature of a </w:t>
      </w:r>
      <w:r w:rsidR="00C22B53">
        <w:rPr>
          <w:bCs/>
          <w:sz w:val="24"/>
          <w:szCs w:val="24"/>
        </w:rPr>
        <w:t>notification which provided that “</w:t>
      </w:r>
      <w:r w:rsidR="00C22B53" w:rsidRPr="00F11220">
        <w:rPr>
          <w:bCs/>
          <w:i/>
          <w:iCs/>
          <w:sz w:val="24"/>
          <w:szCs w:val="24"/>
        </w:rPr>
        <w:t>You are reminded that the next annual remuneration review will be 1 March 2019.”</w:t>
      </w:r>
      <w:r w:rsidR="005044AB" w:rsidRPr="00F11220">
        <w:rPr>
          <w:bCs/>
          <w:sz w:val="24"/>
          <w:szCs w:val="24"/>
        </w:rPr>
        <w:t xml:space="preserve"> </w:t>
      </w:r>
      <w:r w:rsidR="005044AB" w:rsidRPr="005044AB">
        <w:rPr>
          <w:bCs/>
          <w:sz w:val="24"/>
          <w:szCs w:val="24"/>
        </w:rPr>
        <w:t>This clause spoke to clause 2 read together with clause 15 of the agreement.</w:t>
      </w:r>
    </w:p>
    <w:p w14:paraId="55AC6993" w14:textId="77777777" w:rsidR="007709C2" w:rsidRDefault="007709C2" w:rsidP="007709C2">
      <w:pPr>
        <w:pStyle w:val="ListParagraph"/>
        <w:rPr>
          <w:bCs/>
        </w:rPr>
      </w:pPr>
    </w:p>
    <w:p w14:paraId="7E996E98" w14:textId="3EE7F2F5" w:rsidR="00C22B53" w:rsidRDefault="003F22FC" w:rsidP="006878D5">
      <w:pPr>
        <w:pStyle w:val="Body"/>
        <w:numPr>
          <w:ilvl w:val="0"/>
          <w:numId w:val="15"/>
        </w:numPr>
        <w:spacing w:line="360" w:lineRule="auto"/>
        <w:ind w:left="851" w:hanging="851"/>
        <w:jc w:val="both"/>
        <w:rPr>
          <w:bCs/>
          <w:sz w:val="24"/>
          <w:szCs w:val="24"/>
        </w:rPr>
      </w:pPr>
      <w:r>
        <w:rPr>
          <w:bCs/>
          <w:sz w:val="24"/>
          <w:szCs w:val="24"/>
        </w:rPr>
        <w:t>Since neither party discovered nor included in the bundle of documents which were placed before me, any of the individual plaintiff’s employment contracts, I am left with no other choice but to conclude that those contracts do not contain any provision that would bring them within the scope of clause 13 and in so doing, the additi</w:t>
      </w:r>
      <w:r w:rsidR="002064D8">
        <w:rPr>
          <w:bCs/>
          <w:sz w:val="24"/>
          <w:szCs w:val="24"/>
        </w:rPr>
        <w:t>onal increases</w:t>
      </w:r>
      <w:r w:rsidR="005044AB">
        <w:rPr>
          <w:bCs/>
          <w:sz w:val="24"/>
          <w:szCs w:val="24"/>
        </w:rPr>
        <w:t>, whatever their nature,</w:t>
      </w:r>
      <w:r w:rsidR="002064D8">
        <w:rPr>
          <w:bCs/>
          <w:sz w:val="24"/>
          <w:szCs w:val="24"/>
        </w:rPr>
        <w:t xml:space="preserve"> outside the scope of the collective agreement.</w:t>
      </w:r>
    </w:p>
    <w:p w14:paraId="0952700E" w14:textId="77777777" w:rsidR="009E1929" w:rsidRDefault="009E1929" w:rsidP="009E1929">
      <w:pPr>
        <w:pStyle w:val="Body"/>
        <w:spacing w:line="360" w:lineRule="auto"/>
        <w:jc w:val="both"/>
        <w:rPr>
          <w:bCs/>
          <w:sz w:val="24"/>
          <w:szCs w:val="24"/>
        </w:rPr>
      </w:pPr>
    </w:p>
    <w:p w14:paraId="3E68FF8D" w14:textId="6360669C" w:rsidR="00092EA0" w:rsidRDefault="00092EA0" w:rsidP="006878D5">
      <w:pPr>
        <w:pStyle w:val="Body"/>
        <w:numPr>
          <w:ilvl w:val="0"/>
          <w:numId w:val="15"/>
        </w:numPr>
        <w:spacing w:line="360" w:lineRule="auto"/>
        <w:ind w:left="851" w:hanging="851"/>
        <w:jc w:val="both"/>
        <w:rPr>
          <w:bCs/>
          <w:sz w:val="24"/>
          <w:szCs w:val="24"/>
        </w:rPr>
      </w:pPr>
      <w:r>
        <w:rPr>
          <w:bCs/>
          <w:sz w:val="24"/>
          <w:szCs w:val="24"/>
        </w:rPr>
        <w:t xml:space="preserve">For this </w:t>
      </w:r>
      <w:r w:rsidR="009E1929">
        <w:rPr>
          <w:bCs/>
          <w:sz w:val="24"/>
          <w:szCs w:val="24"/>
        </w:rPr>
        <w:t>reason,</w:t>
      </w:r>
      <w:r>
        <w:rPr>
          <w:bCs/>
          <w:sz w:val="24"/>
          <w:szCs w:val="24"/>
        </w:rPr>
        <w:t xml:space="preserve"> I find that both the plaintiff’s and the second defendant erred when the offer of a further increase was made</w:t>
      </w:r>
      <w:r w:rsidR="005044AB">
        <w:rPr>
          <w:bCs/>
          <w:sz w:val="24"/>
          <w:szCs w:val="24"/>
        </w:rPr>
        <w:t>,</w:t>
      </w:r>
      <w:r>
        <w:rPr>
          <w:bCs/>
          <w:sz w:val="24"/>
          <w:szCs w:val="24"/>
        </w:rPr>
        <w:t xml:space="preserve"> and when it was accepted.</w:t>
      </w:r>
      <w:r>
        <w:rPr>
          <w:rStyle w:val="FootnoteReference"/>
          <w:bCs/>
          <w:sz w:val="24"/>
          <w:szCs w:val="24"/>
        </w:rPr>
        <w:footnoteReference w:id="3"/>
      </w:r>
    </w:p>
    <w:p w14:paraId="31F0D131" w14:textId="7E96047D" w:rsidR="008353F3" w:rsidRPr="008353F3" w:rsidRDefault="008353F3" w:rsidP="008353F3">
      <w:pPr>
        <w:pStyle w:val="Body"/>
        <w:spacing w:line="360" w:lineRule="auto"/>
        <w:jc w:val="both"/>
        <w:rPr>
          <w:b/>
          <w:sz w:val="24"/>
          <w:szCs w:val="24"/>
        </w:rPr>
      </w:pPr>
    </w:p>
    <w:p w14:paraId="5C371862" w14:textId="5BE75BBE" w:rsidR="008353F3" w:rsidRPr="008353F3" w:rsidRDefault="008353F3" w:rsidP="008353F3">
      <w:pPr>
        <w:pStyle w:val="Body"/>
        <w:spacing w:line="360" w:lineRule="auto"/>
        <w:jc w:val="both"/>
        <w:rPr>
          <w:b/>
          <w:sz w:val="24"/>
          <w:szCs w:val="24"/>
        </w:rPr>
      </w:pPr>
      <w:r w:rsidRPr="008353F3">
        <w:rPr>
          <w:b/>
          <w:sz w:val="24"/>
          <w:szCs w:val="24"/>
        </w:rPr>
        <w:lastRenderedPageBreak/>
        <w:t>PUBLIC POLICY</w:t>
      </w:r>
    </w:p>
    <w:p w14:paraId="55B769BB" w14:textId="77777777" w:rsidR="008353F3" w:rsidRDefault="008353F3" w:rsidP="008353F3">
      <w:pPr>
        <w:pStyle w:val="Body"/>
        <w:spacing w:line="360" w:lineRule="auto"/>
        <w:jc w:val="both"/>
        <w:rPr>
          <w:bCs/>
          <w:sz w:val="24"/>
          <w:szCs w:val="24"/>
        </w:rPr>
      </w:pPr>
    </w:p>
    <w:p w14:paraId="22DD7A0A" w14:textId="70D7E210" w:rsidR="00803C36" w:rsidRDefault="00803C36" w:rsidP="008E6813">
      <w:pPr>
        <w:pStyle w:val="Body"/>
        <w:numPr>
          <w:ilvl w:val="0"/>
          <w:numId w:val="15"/>
        </w:numPr>
        <w:spacing w:line="360" w:lineRule="auto"/>
        <w:ind w:left="851" w:hanging="851"/>
        <w:jc w:val="both"/>
        <w:rPr>
          <w:bCs/>
          <w:sz w:val="24"/>
          <w:szCs w:val="24"/>
        </w:rPr>
      </w:pPr>
      <w:r>
        <w:rPr>
          <w:bCs/>
          <w:sz w:val="24"/>
          <w:szCs w:val="24"/>
        </w:rPr>
        <w:t xml:space="preserve">This </w:t>
      </w:r>
      <w:r w:rsidR="00EE041F">
        <w:rPr>
          <w:bCs/>
          <w:sz w:val="24"/>
          <w:szCs w:val="24"/>
        </w:rPr>
        <w:t xml:space="preserve">defence was predicated upon the public policy considerations and benefits arising and deriving from the collective bargaining process between not only the defendants and the plaintiffs, but the defendants and all their employees and for that matter also between all employers and employees.  </w:t>
      </w:r>
    </w:p>
    <w:p w14:paraId="2508766D" w14:textId="77777777" w:rsidR="00EE041F" w:rsidRDefault="00EE041F" w:rsidP="00EE041F">
      <w:pPr>
        <w:pStyle w:val="Body"/>
        <w:spacing w:line="360" w:lineRule="auto"/>
        <w:ind w:left="851"/>
        <w:jc w:val="both"/>
        <w:rPr>
          <w:bCs/>
          <w:sz w:val="24"/>
          <w:szCs w:val="24"/>
        </w:rPr>
      </w:pPr>
    </w:p>
    <w:p w14:paraId="14763BEF" w14:textId="1B2B84A7" w:rsidR="008353F3" w:rsidRDefault="00EE041F" w:rsidP="008E6813">
      <w:pPr>
        <w:pStyle w:val="Body"/>
        <w:numPr>
          <w:ilvl w:val="0"/>
          <w:numId w:val="15"/>
        </w:numPr>
        <w:spacing w:line="360" w:lineRule="auto"/>
        <w:ind w:left="851" w:hanging="851"/>
        <w:jc w:val="both"/>
        <w:rPr>
          <w:bCs/>
          <w:sz w:val="24"/>
          <w:szCs w:val="24"/>
        </w:rPr>
      </w:pPr>
      <w:r>
        <w:rPr>
          <w:bCs/>
          <w:sz w:val="24"/>
          <w:szCs w:val="24"/>
        </w:rPr>
        <w:t xml:space="preserve">It was argued for the defendants that besides the decision to authorize the performance increases to the plaintiffs, which fell </w:t>
      </w:r>
      <w:r w:rsidR="00D32A27">
        <w:rPr>
          <w:bCs/>
          <w:sz w:val="24"/>
          <w:szCs w:val="24"/>
        </w:rPr>
        <w:t>afoul</w:t>
      </w:r>
      <w:r>
        <w:rPr>
          <w:bCs/>
          <w:sz w:val="24"/>
          <w:szCs w:val="24"/>
        </w:rPr>
        <w:t xml:space="preserve"> of the collective agreement, the process by which those increases had been determined was found to be fundamentally flawed and in this respect, was</w:t>
      </w:r>
      <w:r w:rsidR="007371A8">
        <w:rPr>
          <w:bCs/>
          <w:sz w:val="24"/>
          <w:szCs w:val="24"/>
        </w:rPr>
        <w:t xml:space="preserve"> an unreliable measure of the performance of the plaintiffs and also prejudicial to all the other employees doing the same or substantially the same work who were neither evaluated for nor offered any performance based increase.</w:t>
      </w:r>
    </w:p>
    <w:p w14:paraId="110C9D91" w14:textId="77777777" w:rsidR="00916A67" w:rsidRDefault="00916A67" w:rsidP="00916A67">
      <w:pPr>
        <w:pStyle w:val="ListParagraph"/>
        <w:rPr>
          <w:bCs/>
        </w:rPr>
      </w:pPr>
    </w:p>
    <w:p w14:paraId="755D22CA" w14:textId="0B82C09B" w:rsidR="00916A67" w:rsidRDefault="00916A67" w:rsidP="008E6813">
      <w:pPr>
        <w:pStyle w:val="Body"/>
        <w:numPr>
          <w:ilvl w:val="0"/>
          <w:numId w:val="15"/>
        </w:numPr>
        <w:spacing w:line="360" w:lineRule="auto"/>
        <w:ind w:left="851" w:hanging="851"/>
        <w:jc w:val="both"/>
        <w:rPr>
          <w:bCs/>
          <w:sz w:val="24"/>
          <w:szCs w:val="24"/>
        </w:rPr>
      </w:pPr>
      <w:r>
        <w:rPr>
          <w:bCs/>
          <w:sz w:val="24"/>
          <w:szCs w:val="24"/>
        </w:rPr>
        <w:t xml:space="preserve">The argument was essentially that the very purpose for which collective bargaining was undertaken, and the efficacy of collective agreements would be undermined if the present collective agreement was not applied. I agree – particularly in the circumstances of the present case where the collective agreement does not seek to exclude any other benefits which the plaintiffs are entitled </w:t>
      </w:r>
      <w:r w:rsidR="0065506B">
        <w:rPr>
          <w:bCs/>
          <w:sz w:val="24"/>
          <w:szCs w:val="24"/>
        </w:rPr>
        <w:t xml:space="preserve">to </w:t>
      </w:r>
      <w:r>
        <w:rPr>
          <w:bCs/>
          <w:sz w:val="24"/>
          <w:szCs w:val="24"/>
        </w:rPr>
        <w:t>in terms of their contracts of employment.</w:t>
      </w:r>
      <w:r>
        <w:rPr>
          <w:rStyle w:val="FootnoteReference"/>
          <w:bCs/>
          <w:sz w:val="24"/>
          <w:szCs w:val="24"/>
        </w:rPr>
        <w:footnoteReference w:id="4"/>
      </w:r>
    </w:p>
    <w:p w14:paraId="55E8E589" w14:textId="62BAAEB4" w:rsidR="00456AD1" w:rsidRDefault="00456AD1" w:rsidP="00456AD1">
      <w:pPr>
        <w:pStyle w:val="Body"/>
        <w:spacing w:line="360" w:lineRule="auto"/>
        <w:ind w:left="360"/>
        <w:rPr>
          <w:rFonts w:cs="Arial"/>
          <w:b/>
          <w:bCs/>
          <w:sz w:val="24"/>
          <w:szCs w:val="24"/>
        </w:rPr>
      </w:pPr>
    </w:p>
    <w:p w14:paraId="2ECD2BD9" w14:textId="3BD63327" w:rsidR="00456AD1" w:rsidRDefault="00456AD1" w:rsidP="00456AD1">
      <w:pPr>
        <w:pStyle w:val="Body"/>
        <w:spacing w:line="360" w:lineRule="auto"/>
        <w:ind w:left="360"/>
        <w:rPr>
          <w:rFonts w:cs="Arial"/>
          <w:b/>
          <w:bCs/>
          <w:sz w:val="24"/>
          <w:szCs w:val="24"/>
        </w:rPr>
      </w:pPr>
      <w:r>
        <w:rPr>
          <w:rFonts w:cs="Arial"/>
          <w:b/>
          <w:bCs/>
          <w:sz w:val="24"/>
          <w:szCs w:val="24"/>
        </w:rPr>
        <w:t xml:space="preserve">COSTS </w:t>
      </w:r>
    </w:p>
    <w:p w14:paraId="1B7C1D13" w14:textId="77777777" w:rsidR="0065506B" w:rsidRDefault="0065506B" w:rsidP="00F11220">
      <w:pPr>
        <w:pStyle w:val="Body"/>
        <w:spacing w:line="360" w:lineRule="auto"/>
        <w:rPr>
          <w:rFonts w:cs="Arial"/>
          <w:b/>
          <w:bCs/>
          <w:sz w:val="24"/>
          <w:szCs w:val="24"/>
        </w:rPr>
      </w:pPr>
    </w:p>
    <w:p w14:paraId="08A12C67" w14:textId="68C41F1C" w:rsidR="0065506B" w:rsidRDefault="0065506B" w:rsidP="00F11220">
      <w:pPr>
        <w:pStyle w:val="Body"/>
        <w:spacing w:line="360" w:lineRule="auto"/>
        <w:ind w:left="720" w:hanging="720"/>
        <w:jc w:val="both"/>
        <w:rPr>
          <w:rFonts w:cs="Arial"/>
          <w:sz w:val="24"/>
          <w:szCs w:val="24"/>
        </w:rPr>
      </w:pPr>
      <w:r>
        <w:rPr>
          <w:rFonts w:cs="Arial"/>
          <w:sz w:val="24"/>
          <w:szCs w:val="24"/>
        </w:rPr>
        <w:t xml:space="preserve">[23] </w:t>
      </w:r>
      <w:r>
        <w:rPr>
          <w:rFonts w:cs="Arial"/>
          <w:sz w:val="24"/>
          <w:szCs w:val="24"/>
        </w:rPr>
        <w:tab/>
      </w:r>
      <w:r>
        <w:rPr>
          <w:rFonts w:cs="Arial"/>
          <w:sz w:val="24"/>
          <w:szCs w:val="24"/>
        </w:rPr>
        <w:t>The usual order made in litigation is that costs are to follow the result. On consideration of the matter as a whole, I am of the view that this is an appropriate case in which there is to be no order as to costs.</w:t>
      </w:r>
      <w:r>
        <w:rPr>
          <w:rFonts w:cs="Arial"/>
          <w:sz w:val="24"/>
          <w:szCs w:val="24"/>
        </w:rPr>
        <w:t xml:space="preserve"> </w:t>
      </w:r>
    </w:p>
    <w:p w14:paraId="0F751E06" w14:textId="374B8F45" w:rsidR="00456AD1" w:rsidRDefault="00456AD1" w:rsidP="00F11220">
      <w:pPr>
        <w:pStyle w:val="Body"/>
        <w:spacing w:line="360" w:lineRule="auto"/>
        <w:ind w:left="360"/>
        <w:rPr>
          <w:rFonts w:cs="Arial"/>
          <w:b/>
          <w:bCs/>
          <w:sz w:val="24"/>
          <w:szCs w:val="24"/>
        </w:rPr>
      </w:pPr>
    </w:p>
    <w:p w14:paraId="419F29B2" w14:textId="66578A11" w:rsidR="00456AD1" w:rsidRDefault="00456AD1" w:rsidP="00456AD1">
      <w:pPr>
        <w:pStyle w:val="Body"/>
        <w:spacing w:line="360" w:lineRule="auto"/>
        <w:ind w:left="360"/>
        <w:rPr>
          <w:rFonts w:cs="Arial"/>
          <w:b/>
          <w:bCs/>
          <w:sz w:val="24"/>
          <w:szCs w:val="24"/>
        </w:rPr>
      </w:pPr>
      <w:r>
        <w:rPr>
          <w:rFonts w:cs="Arial"/>
          <w:b/>
          <w:bCs/>
          <w:sz w:val="24"/>
          <w:szCs w:val="24"/>
        </w:rPr>
        <w:t>ORDER</w:t>
      </w:r>
    </w:p>
    <w:p w14:paraId="4758A6CF" w14:textId="77777777" w:rsidR="00456AD1" w:rsidRDefault="00456AD1" w:rsidP="00456AD1">
      <w:pPr>
        <w:pStyle w:val="Body"/>
        <w:spacing w:line="360" w:lineRule="auto"/>
        <w:ind w:left="360"/>
        <w:rPr>
          <w:rFonts w:cs="Arial"/>
          <w:b/>
          <w:bCs/>
          <w:sz w:val="24"/>
          <w:szCs w:val="24"/>
        </w:rPr>
      </w:pPr>
    </w:p>
    <w:p w14:paraId="3A8D7A6E" w14:textId="1F9963F9" w:rsidR="00456AD1" w:rsidRPr="00456AD1" w:rsidRDefault="0065506B" w:rsidP="00F11220">
      <w:pPr>
        <w:pStyle w:val="Body"/>
        <w:spacing w:line="360" w:lineRule="auto"/>
        <w:ind w:left="360"/>
        <w:rPr>
          <w:rFonts w:cs="Arial"/>
          <w:b/>
          <w:bCs/>
          <w:sz w:val="24"/>
          <w:szCs w:val="24"/>
        </w:rPr>
      </w:pPr>
      <w:r>
        <w:rPr>
          <w:rFonts w:cs="Arial"/>
          <w:sz w:val="24"/>
          <w:szCs w:val="24"/>
        </w:rPr>
        <w:lastRenderedPageBreak/>
        <w:t xml:space="preserve">[24] </w:t>
      </w:r>
      <w:r>
        <w:rPr>
          <w:rFonts w:cs="Arial"/>
          <w:sz w:val="24"/>
          <w:szCs w:val="24"/>
        </w:rPr>
        <w:tab/>
      </w:r>
      <w:r w:rsidR="00456AD1">
        <w:rPr>
          <w:rFonts w:cs="Arial"/>
          <w:sz w:val="24"/>
          <w:szCs w:val="24"/>
        </w:rPr>
        <w:t>In the circumstances, I make the following order:</w:t>
      </w:r>
    </w:p>
    <w:p w14:paraId="42B1E879" w14:textId="77777777" w:rsidR="00456AD1" w:rsidRDefault="00456AD1" w:rsidP="00456AD1">
      <w:pPr>
        <w:pStyle w:val="Body"/>
        <w:spacing w:line="360" w:lineRule="auto"/>
        <w:ind w:left="720"/>
        <w:rPr>
          <w:rFonts w:cs="Arial"/>
          <w:sz w:val="24"/>
          <w:szCs w:val="24"/>
        </w:rPr>
      </w:pPr>
    </w:p>
    <w:p w14:paraId="5010FFC7" w14:textId="74100DBE" w:rsidR="00456AD1" w:rsidRDefault="00456AD1" w:rsidP="00456AD1">
      <w:pPr>
        <w:pStyle w:val="Body"/>
        <w:spacing w:line="360" w:lineRule="auto"/>
        <w:ind w:left="720"/>
        <w:rPr>
          <w:rFonts w:cs="Arial"/>
          <w:sz w:val="24"/>
          <w:szCs w:val="24"/>
        </w:rPr>
      </w:pPr>
      <w:r>
        <w:rPr>
          <w:rFonts w:cs="Arial"/>
          <w:sz w:val="24"/>
          <w:szCs w:val="24"/>
        </w:rPr>
        <w:t>[</w:t>
      </w:r>
      <w:r w:rsidR="0065506B">
        <w:rPr>
          <w:rFonts w:cs="Arial"/>
          <w:sz w:val="24"/>
          <w:szCs w:val="24"/>
        </w:rPr>
        <w:t>24</w:t>
      </w:r>
      <w:r>
        <w:rPr>
          <w:rFonts w:cs="Arial"/>
          <w:sz w:val="24"/>
          <w:szCs w:val="24"/>
        </w:rPr>
        <w:t>.1]</w:t>
      </w:r>
      <w:r>
        <w:rPr>
          <w:rFonts w:cs="Arial"/>
          <w:sz w:val="24"/>
          <w:szCs w:val="24"/>
        </w:rPr>
        <w:tab/>
      </w:r>
      <w:r w:rsidR="00D32A27">
        <w:rPr>
          <w:rFonts w:cs="Arial"/>
          <w:sz w:val="24"/>
          <w:szCs w:val="24"/>
        </w:rPr>
        <w:t>The action is dismissed.</w:t>
      </w:r>
    </w:p>
    <w:p w14:paraId="007BE8DC" w14:textId="77777777" w:rsidR="005044AB" w:rsidRDefault="005044AB" w:rsidP="00456AD1">
      <w:pPr>
        <w:pStyle w:val="Body"/>
        <w:spacing w:line="360" w:lineRule="auto"/>
        <w:ind w:left="720"/>
        <w:rPr>
          <w:rFonts w:cs="Arial"/>
          <w:sz w:val="24"/>
          <w:szCs w:val="24"/>
        </w:rPr>
      </w:pPr>
    </w:p>
    <w:p w14:paraId="67508D0E" w14:textId="4A3C3BB0" w:rsidR="00456AD1" w:rsidRPr="00D32A27" w:rsidRDefault="00456AD1" w:rsidP="00456AD1">
      <w:pPr>
        <w:pStyle w:val="Body"/>
        <w:spacing w:line="360" w:lineRule="auto"/>
        <w:ind w:left="720"/>
        <w:rPr>
          <w:rFonts w:cs="Arial"/>
          <w:sz w:val="24"/>
          <w:szCs w:val="24"/>
        </w:rPr>
      </w:pPr>
      <w:r>
        <w:rPr>
          <w:rFonts w:cs="Arial"/>
          <w:sz w:val="24"/>
          <w:szCs w:val="24"/>
        </w:rPr>
        <w:t>[</w:t>
      </w:r>
      <w:r w:rsidR="0065506B">
        <w:rPr>
          <w:rFonts w:cs="Arial"/>
          <w:sz w:val="24"/>
          <w:szCs w:val="24"/>
        </w:rPr>
        <w:t>24</w:t>
      </w:r>
      <w:r>
        <w:rPr>
          <w:rFonts w:cs="Arial"/>
          <w:sz w:val="24"/>
          <w:szCs w:val="24"/>
        </w:rPr>
        <w:t>.2]</w:t>
      </w:r>
      <w:r>
        <w:rPr>
          <w:rFonts w:cs="Arial"/>
          <w:sz w:val="24"/>
          <w:szCs w:val="24"/>
        </w:rPr>
        <w:tab/>
      </w:r>
      <w:r w:rsidR="00D32A27">
        <w:rPr>
          <w:rFonts w:cs="Arial"/>
          <w:sz w:val="24"/>
          <w:szCs w:val="24"/>
        </w:rPr>
        <w:t>There is no order as to costs.</w:t>
      </w:r>
    </w:p>
    <w:p w14:paraId="65416376" w14:textId="77777777" w:rsidR="008E6813" w:rsidRDefault="008E6813" w:rsidP="00413603">
      <w:pPr>
        <w:pStyle w:val="Body"/>
        <w:ind w:left="720"/>
        <w:jc w:val="right"/>
        <w:rPr>
          <w:rFonts w:cs="Arial"/>
          <w:b/>
          <w:bCs/>
          <w:sz w:val="24"/>
          <w:szCs w:val="24"/>
        </w:rPr>
      </w:pPr>
    </w:p>
    <w:p w14:paraId="24E22621" w14:textId="77777777" w:rsidR="008E6813" w:rsidRDefault="008E6813" w:rsidP="00413603">
      <w:pPr>
        <w:pStyle w:val="Body"/>
        <w:ind w:left="720"/>
        <w:jc w:val="right"/>
        <w:rPr>
          <w:rFonts w:cs="Arial"/>
          <w:b/>
          <w:bCs/>
          <w:sz w:val="24"/>
          <w:szCs w:val="24"/>
        </w:rPr>
      </w:pPr>
    </w:p>
    <w:p w14:paraId="75814BE3" w14:textId="18919A89" w:rsidR="00101D88" w:rsidRPr="00413603" w:rsidRDefault="00101D88" w:rsidP="008E6813">
      <w:pPr>
        <w:pStyle w:val="Body"/>
        <w:spacing w:line="360" w:lineRule="auto"/>
        <w:ind w:left="720"/>
        <w:jc w:val="right"/>
        <w:rPr>
          <w:rFonts w:cs="Arial"/>
          <w:sz w:val="24"/>
          <w:szCs w:val="24"/>
        </w:rPr>
      </w:pPr>
      <w:r w:rsidRPr="00413603">
        <w:rPr>
          <w:rFonts w:cs="Arial"/>
          <w:b/>
          <w:bCs/>
          <w:sz w:val="24"/>
          <w:szCs w:val="24"/>
        </w:rPr>
        <w:t>_____________________________</w:t>
      </w:r>
    </w:p>
    <w:p w14:paraId="67B4416D" w14:textId="77777777" w:rsidR="001D6C62" w:rsidRDefault="001D6C62" w:rsidP="008E6813">
      <w:pPr>
        <w:pStyle w:val="BodyA"/>
        <w:spacing w:line="360" w:lineRule="auto"/>
        <w:ind w:left="720"/>
        <w:jc w:val="right"/>
        <w:rPr>
          <w:rFonts w:ascii="Arial" w:hAnsi="Arial" w:cs="Arial"/>
          <w:b/>
          <w:bCs/>
        </w:rPr>
      </w:pPr>
    </w:p>
    <w:p w14:paraId="7C493B1F" w14:textId="65ACEF1C" w:rsidR="00101D88" w:rsidRPr="00242E76" w:rsidRDefault="00101D88" w:rsidP="008E6813">
      <w:pPr>
        <w:pStyle w:val="BodyA"/>
        <w:spacing w:line="360" w:lineRule="auto"/>
        <w:ind w:left="7920"/>
        <w:jc w:val="right"/>
        <w:rPr>
          <w:rFonts w:ascii="Arial" w:hAnsi="Arial" w:cs="Arial"/>
          <w:b/>
          <w:bCs/>
        </w:rPr>
      </w:pPr>
      <w:r w:rsidRPr="00242E76">
        <w:rPr>
          <w:rFonts w:ascii="Arial" w:hAnsi="Arial" w:cs="Arial"/>
          <w:b/>
          <w:bCs/>
        </w:rPr>
        <w:t>A MILLAR</w:t>
      </w:r>
    </w:p>
    <w:p w14:paraId="206E179D" w14:textId="76294E94" w:rsidR="00101D88" w:rsidRPr="00242E76" w:rsidRDefault="00101D88" w:rsidP="00B74EA9">
      <w:pPr>
        <w:pStyle w:val="BodyA"/>
        <w:spacing w:before="120"/>
        <w:ind w:left="720"/>
        <w:jc w:val="right"/>
        <w:rPr>
          <w:rFonts w:ascii="Arial" w:hAnsi="Arial" w:cs="Arial"/>
          <w:b/>
          <w:bCs/>
        </w:rPr>
      </w:pPr>
      <w:r w:rsidRPr="00242E76">
        <w:rPr>
          <w:rFonts w:ascii="Arial" w:hAnsi="Arial" w:cs="Arial"/>
          <w:b/>
          <w:bCs/>
        </w:rPr>
        <w:t xml:space="preserve"> JUDGE OF THE HIGH COURT</w:t>
      </w:r>
    </w:p>
    <w:p w14:paraId="4EBF1408" w14:textId="77777777" w:rsidR="00416EA1" w:rsidRPr="00242E76" w:rsidRDefault="00416EA1" w:rsidP="00B74EA9">
      <w:pPr>
        <w:spacing w:before="120"/>
        <w:ind w:left="720"/>
        <w:jc w:val="right"/>
        <w:rPr>
          <w:rFonts w:ascii="Arial" w:eastAsia="Arial Unicode MS" w:hAnsi="Arial" w:cs="Arial"/>
          <w:b/>
          <w:sz w:val="22"/>
          <w:szCs w:val="22"/>
        </w:rPr>
      </w:pPr>
      <w:r w:rsidRPr="00242E76">
        <w:rPr>
          <w:rFonts w:ascii="Arial" w:eastAsia="Arial Unicode MS" w:hAnsi="Arial" w:cs="Arial"/>
          <w:b/>
          <w:sz w:val="22"/>
          <w:szCs w:val="22"/>
        </w:rPr>
        <w:t>GAUTENG DIVISION, PRETORIA</w:t>
      </w:r>
    </w:p>
    <w:p w14:paraId="365DFCFC" w14:textId="77777777" w:rsidR="00416EA1" w:rsidRPr="00077E92" w:rsidRDefault="00416EA1" w:rsidP="008E6813">
      <w:pPr>
        <w:pStyle w:val="BodyA"/>
        <w:spacing w:line="360" w:lineRule="auto"/>
        <w:ind w:left="720"/>
        <w:jc w:val="right"/>
        <w:rPr>
          <w:rFonts w:ascii="Arial" w:eastAsia="Tahoma" w:hAnsi="Arial" w:cs="Arial"/>
          <w:b/>
          <w:bCs/>
        </w:rPr>
      </w:pPr>
    </w:p>
    <w:p w14:paraId="4A2A3FBF" w14:textId="51DC6B83" w:rsidR="00E55848" w:rsidRDefault="00E55848" w:rsidP="008E6813">
      <w:pPr>
        <w:spacing w:line="360" w:lineRule="auto"/>
        <w:ind w:left="567" w:hanging="567"/>
        <w:jc w:val="both"/>
        <w:rPr>
          <w:rFonts w:ascii="Arial" w:hAnsi="Arial" w:cs="Arial"/>
        </w:rPr>
      </w:pPr>
    </w:p>
    <w:p w14:paraId="6370866B" w14:textId="77777777" w:rsidR="00416EA1" w:rsidRDefault="00416EA1" w:rsidP="008E6813">
      <w:pPr>
        <w:spacing w:line="360" w:lineRule="auto"/>
        <w:ind w:left="567" w:hanging="567"/>
        <w:jc w:val="both"/>
        <w:rPr>
          <w:rFonts w:ascii="Arial" w:hAnsi="Arial" w:cs="Arial"/>
        </w:rPr>
      </w:pPr>
    </w:p>
    <w:p w14:paraId="5ACDA854" w14:textId="7349D8C6" w:rsidR="002040D5" w:rsidRPr="00242E76" w:rsidRDefault="00412E0C" w:rsidP="008E6813">
      <w:pPr>
        <w:spacing w:line="360" w:lineRule="auto"/>
        <w:ind w:left="567" w:hanging="567"/>
        <w:jc w:val="both"/>
        <w:rPr>
          <w:rFonts w:ascii="Arial" w:hAnsi="Arial" w:cs="Arial"/>
          <w:sz w:val="22"/>
          <w:szCs w:val="22"/>
        </w:rPr>
      </w:pPr>
      <w:r w:rsidRPr="00242E76">
        <w:rPr>
          <w:rFonts w:ascii="Arial" w:hAnsi="Arial" w:cs="Arial"/>
          <w:sz w:val="22"/>
          <w:szCs w:val="22"/>
        </w:rPr>
        <w:t>HEARD ON:</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8D34A8">
        <w:rPr>
          <w:rFonts w:ascii="Arial" w:hAnsi="Arial" w:cs="Arial"/>
          <w:sz w:val="22"/>
          <w:szCs w:val="22"/>
        </w:rPr>
        <w:tab/>
      </w:r>
      <w:r w:rsidR="008D34A8">
        <w:rPr>
          <w:rFonts w:ascii="Arial" w:hAnsi="Arial" w:cs="Arial"/>
          <w:sz w:val="22"/>
          <w:szCs w:val="22"/>
        </w:rPr>
        <w:tab/>
      </w:r>
      <w:r w:rsidR="0027008F">
        <w:rPr>
          <w:rFonts w:ascii="Arial" w:hAnsi="Arial" w:cs="Arial"/>
          <w:sz w:val="22"/>
          <w:szCs w:val="22"/>
        </w:rPr>
        <w:tab/>
      </w:r>
      <w:r w:rsidR="003F709B">
        <w:rPr>
          <w:rFonts w:ascii="Arial" w:hAnsi="Arial" w:cs="Arial"/>
          <w:sz w:val="22"/>
          <w:szCs w:val="22"/>
        </w:rPr>
        <w:t xml:space="preserve">15 </w:t>
      </w:r>
      <w:r w:rsidR="00D32A27">
        <w:rPr>
          <w:rFonts w:ascii="Arial" w:hAnsi="Arial" w:cs="Arial"/>
          <w:sz w:val="22"/>
          <w:szCs w:val="22"/>
        </w:rPr>
        <w:t xml:space="preserve"> </w:t>
      </w:r>
      <w:r w:rsidR="003F709B">
        <w:rPr>
          <w:rFonts w:ascii="Arial" w:hAnsi="Arial" w:cs="Arial"/>
          <w:sz w:val="22"/>
          <w:szCs w:val="22"/>
        </w:rPr>
        <w:t>NOVEMBER 2023</w:t>
      </w:r>
    </w:p>
    <w:p w14:paraId="7E6457D4" w14:textId="215C76E4" w:rsidR="002040D5" w:rsidRPr="00242E76" w:rsidRDefault="006630FB" w:rsidP="008E6813">
      <w:pPr>
        <w:spacing w:line="360" w:lineRule="auto"/>
        <w:ind w:left="567" w:hanging="567"/>
        <w:jc w:val="both"/>
        <w:rPr>
          <w:rFonts w:ascii="Arial" w:hAnsi="Arial" w:cs="Arial"/>
          <w:sz w:val="22"/>
          <w:szCs w:val="22"/>
        </w:rPr>
      </w:pPr>
      <w:r w:rsidRPr="00242E76">
        <w:rPr>
          <w:rFonts w:ascii="Arial" w:hAnsi="Arial" w:cs="Arial"/>
          <w:sz w:val="22"/>
          <w:szCs w:val="22"/>
        </w:rPr>
        <w:t>J</w:t>
      </w:r>
      <w:r w:rsidR="008D34A8">
        <w:rPr>
          <w:rFonts w:ascii="Arial" w:hAnsi="Arial" w:cs="Arial"/>
          <w:sz w:val="22"/>
          <w:szCs w:val="22"/>
        </w:rPr>
        <w:t>UDGMENT DELIVERED ON:</w:t>
      </w:r>
      <w:r w:rsidR="008D34A8">
        <w:rPr>
          <w:rFonts w:ascii="Arial" w:hAnsi="Arial" w:cs="Arial"/>
          <w:sz w:val="22"/>
          <w:szCs w:val="22"/>
        </w:rPr>
        <w:tab/>
      </w:r>
      <w:r w:rsidR="008D34A8">
        <w:rPr>
          <w:rFonts w:ascii="Arial" w:hAnsi="Arial" w:cs="Arial"/>
          <w:sz w:val="22"/>
          <w:szCs w:val="22"/>
        </w:rPr>
        <w:tab/>
      </w:r>
      <w:r w:rsidR="0027008F">
        <w:rPr>
          <w:rFonts w:ascii="Arial" w:hAnsi="Arial" w:cs="Arial"/>
          <w:sz w:val="22"/>
          <w:szCs w:val="22"/>
        </w:rPr>
        <w:tab/>
      </w:r>
      <w:r w:rsidR="00D32A27">
        <w:rPr>
          <w:rFonts w:ascii="Arial" w:hAnsi="Arial" w:cs="Arial"/>
          <w:sz w:val="22"/>
          <w:szCs w:val="22"/>
        </w:rPr>
        <w:t>23</w:t>
      </w:r>
      <w:r w:rsidR="003F709B">
        <w:rPr>
          <w:rFonts w:ascii="Arial" w:hAnsi="Arial" w:cs="Arial"/>
          <w:sz w:val="22"/>
          <w:szCs w:val="22"/>
        </w:rPr>
        <w:t xml:space="preserve">  NOVEMBER 2023</w:t>
      </w:r>
    </w:p>
    <w:p w14:paraId="70B75637" w14:textId="77777777" w:rsidR="006710DC" w:rsidRDefault="006710DC" w:rsidP="008E6813">
      <w:pPr>
        <w:spacing w:line="360" w:lineRule="auto"/>
        <w:ind w:left="567" w:hanging="567"/>
        <w:jc w:val="both"/>
        <w:rPr>
          <w:rFonts w:ascii="Arial" w:hAnsi="Arial" w:cs="Arial"/>
          <w:sz w:val="22"/>
          <w:szCs w:val="22"/>
        </w:rPr>
      </w:pPr>
    </w:p>
    <w:p w14:paraId="02474508" w14:textId="023BE8CD" w:rsidR="006630FB" w:rsidRPr="00242E76" w:rsidRDefault="006630FB" w:rsidP="008E6813">
      <w:pPr>
        <w:spacing w:line="360" w:lineRule="auto"/>
        <w:ind w:left="567" w:hanging="567"/>
        <w:jc w:val="both"/>
        <w:rPr>
          <w:rFonts w:ascii="Arial" w:hAnsi="Arial" w:cs="Arial"/>
          <w:sz w:val="22"/>
          <w:szCs w:val="22"/>
        </w:rPr>
      </w:pPr>
      <w:r w:rsidRPr="00242E76">
        <w:rPr>
          <w:rFonts w:ascii="Arial" w:hAnsi="Arial" w:cs="Arial"/>
          <w:sz w:val="22"/>
          <w:szCs w:val="22"/>
        </w:rPr>
        <w:t>COUNSEL</w:t>
      </w:r>
      <w:r w:rsidR="000E6633" w:rsidRPr="00242E76">
        <w:rPr>
          <w:rFonts w:ascii="Arial" w:hAnsi="Arial" w:cs="Arial"/>
          <w:sz w:val="22"/>
          <w:szCs w:val="22"/>
        </w:rPr>
        <w:t xml:space="preserve"> FOR THE </w:t>
      </w:r>
      <w:r w:rsidR="000218AC">
        <w:rPr>
          <w:rFonts w:ascii="Arial" w:hAnsi="Arial" w:cs="Arial"/>
          <w:sz w:val="22"/>
          <w:szCs w:val="22"/>
        </w:rPr>
        <w:t>APPLICANT</w:t>
      </w:r>
      <w:r w:rsidR="00412E0C" w:rsidRPr="00242E76">
        <w:rPr>
          <w:rFonts w:ascii="Arial" w:hAnsi="Arial" w:cs="Arial"/>
          <w:sz w:val="22"/>
          <w:szCs w:val="22"/>
        </w:rPr>
        <w:t>:</w:t>
      </w:r>
      <w:r w:rsidR="00242E76">
        <w:rPr>
          <w:rFonts w:ascii="Arial" w:hAnsi="Arial" w:cs="Arial"/>
          <w:sz w:val="22"/>
          <w:szCs w:val="22"/>
        </w:rPr>
        <w:tab/>
      </w:r>
      <w:r w:rsidR="00D77C76">
        <w:rPr>
          <w:rFonts w:ascii="Arial" w:hAnsi="Arial" w:cs="Arial"/>
          <w:sz w:val="22"/>
          <w:szCs w:val="22"/>
        </w:rPr>
        <w:tab/>
      </w:r>
      <w:r w:rsidR="0027008F">
        <w:rPr>
          <w:rFonts w:ascii="Arial" w:hAnsi="Arial" w:cs="Arial"/>
          <w:sz w:val="22"/>
          <w:szCs w:val="22"/>
        </w:rPr>
        <w:tab/>
      </w:r>
      <w:r w:rsidR="00D77C76">
        <w:rPr>
          <w:rFonts w:ascii="Arial" w:hAnsi="Arial" w:cs="Arial"/>
          <w:sz w:val="22"/>
          <w:szCs w:val="22"/>
        </w:rPr>
        <w:t>ADV.</w:t>
      </w:r>
      <w:r w:rsidR="001F07DD">
        <w:rPr>
          <w:rFonts w:ascii="Arial" w:hAnsi="Arial" w:cs="Arial"/>
          <w:sz w:val="22"/>
          <w:szCs w:val="22"/>
        </w:rPr>
        <w:t xml:space="preserve"> </w:t>
      </w:r>
      <w:r w:rsidR="003F709B">
        <w:rPr>
          <w:rFonts w:ascii="Arial" w:hAnsi="Arial" w:cs="Arial"/>
          <w:sz w:val="22"/>
          <w:szCs w:val="22"/>
        </w:rPr>
        <w:t>J MORAKA</w:t>
      </w:r>
    </w:p>
    <w:p w14:paraId="6434C520" w14:textId="33D4DDA6" w:rsidR="006630FB" w:rsidRPr="00242E76" w:rsidRDefault="006630FB" w:rsidP="008E6813">
      <w:pPr>
        <w:spacing w:line="360" w:lineRule="auto"/>
        <w:ind w:left="567" w:hanging="567"/>
        <w:jc w:val="both"/>
        <w:rPr>
          <w:rFonts w:ascii="Arial" w:hAnsi="Arial" w:cs="Arial"/>
          <w:sz w:val="22"/>
          <w:szCs w:val="22"/>
        </w:rPr>
      </w:pPr>
      <w:r w:rsidRPr="00242E76">
        <w:rPr>
          <w:rFonts w:ascii="Arial" w:hAnsi="Arial" w:cs="Arial"/>
          <w:sz w:val="22"/>
          <w:szCs w:val="22"/>
        </w:rPr>
        <w:t>INSTRUCTED BY:</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27008F">
        <w:rPr>
          <w:rFonts w:ascii="Arial" w:hAnsi="Arial" w:cs="Arial"/>
          <w:sz w:val="22"/>
          <w:szCs w:val="22"/>
        </w:rPr>
        <w:tab/>
      </w:r>
      <w:r w:rsidR="007B2ED6">
        <w:rPr>
          <w:rFonts w:ascii="Arial" w:hAnsi="Arial" w:cs="Arial"/>
          <w:sz w:val="22"/>
          <w:szCs w:val="22"/>
        </w:rPr>
        <w:t>TK BALOYI ATTORNEYS</w:t>
      </w:r>
    </w:p>
    <w:p w14:paraId="7383FC0C" w14:textId="3CE6E566" w:rsidR="000E6633" w:rsidRPr="00242E76" w:rsidRDefault="000E6633" w:rsidP="008E6813">
      <w:pPr>
        <w:spacing w:line="360" w:lineRule="auto"/>
        <w:ind w:left="567" w:hanging="567"/>
        <w:jc w:val="both"/>
        <w:rPr>
          <w:rFonts w:ascii="Arial" w:hAnsi="Arial" w:cs="Arial"/>
          <w:sz w:val="22"/>
          <w:szCs w:val="22"/>
        </w:rPr>
      </w:pPr>
      <w:r w:rsidRPr="00242E76">
        <w:rPr>
          <w:rFonts w:ascii="Arial" w:hAnsi="Arial" w:cs="Arial"/>
          <w:sz w:val="22"/>
          <w:szCs w:val="22"/>
        </w:rPr>
        <w:t>REFERENCE:</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242E76">
        <w:rPr>
          <w:rFonts w:ascii="Arial" w:hAnsi="Arial" w:cs="Arial"/>
          <w:sz w:val="22"/>
          <w:szCs w:val="22"/>
        </w:rPr>
        <w:tab/>
      </w:r>
      <w:r w:rsidR="0027008F">
        <w:rPr>
          <w:rFonts w:ascii="Arial" w:hAnsi="Arial" w:cs="Arial"/>
          <w:sz w:val="22"/>
          <w:szCs w:val="22"/>
        </w:rPr>
        <w:tab/>
      </w:r>
      <w:r w:rsidR="007B2ED6">
        <w:rPr>
          <w:rFonts w:ascii="Arial" w:hAnsi="Arial" w:cs="Arial"/>
          <w:sz w:val="22"/>
          <w:szCs w:val="22"/>
        </w:rPr>
        <w:t>MR. T BALOYI</w:t>
      </w:r>
    </w:p>
    <w:p w14:paraId="4502317A" w14:textId="77777777" w:rsidR="000E6633" w:rsidRPr="00242E76" w:rsidRDefault="000E6633" w:rsidP="008E6813">
      <w:pPr>
        <w:spacing w:line="360" w:lineRule="auto"/>
        <w:ind w:left="567" w:hanging="567"/>
        <w:jc w:val="both"/>
        <w:rPr>
          <w:rFonts w:ascii="Arial" w:hAnsi="Arial" w:cs="Arial"/>
          <w:sz w:val="22"/>
          <w:szCs w:val="22"/>
        </w:rPr>
      </w:pPr>
    </w:p>
    <w:p w14:paraId="577B443F" w14:textId="38F3A334" w:rsidR="006630FB" w:rsidRPr="00242E76" w:rsidRDefault="002A6A3F" w:rsidP="008E6813">
      <w:pPr>
        <w:spacing w:line="360" w:lineRule="auto"/>
        <w:ind w:left="567" w:hanging="567"/>
        <w:jc w:val="both"/>
        <w:rPr>
          <w:rFonts w:ascii="Arial" w:hAnsi="Arial" w:cs="Arial"/>
          <w:sz w:val="22"/>
          <w:szCs w:val="22"/>
        </w:rPr>
      </w:pPr>
      <w:r w:rsidRPr="00242E76">
        <w:rPr>
          <w:rFonts w:ascii="Arial" w:hAnsi="Arial" w:cs="Arial"/>
          <w:sz w:val="22"/>
          <w:szCs w:val="22"/>
        </w:rPr>
        <w:t xml:space="preserve">COUNSEL FOR </w:t>
      </w:r>
      <w:r w:rsidR="00D77C76" w:rsidRPr="00242E76">
        <w:rPr>
          <w:rFonts w:ascii="Arial" w:hAnsi="Arial" w:cs="Arial"/>
          <w:sz w:val="22"/>
          <w:szCs w:val="22"/>
        </w:rPr>
        <w:t xml:space="preserve">THE </w:t>
      </w:r>
      <w:r w:rsidR="007B2ED6">
        <w:rPr>
          <w:rFonts w:ascii="Arial" w:hAnsi="Arial" w:cs="Arial"/>
          <w:sz w:val="22"/>
          <w:szCs w:val="22"/>
        </w:rPr>
        <w:t>DEFENDANTS</w:t>
      </w:r>
      <w:r w:rsidR="006630FB" w:rsidRPr="00242E76">
        <w:rPr>
          <w:rFonts w:ascii="Arial" w:hAnsi="Arial" w:cs="Arial"/>
          <w:sz w:val="22"/>
          <w:szCs w:val="22"/>
        </w:rPr>
        <w:t>:</w:t>
      </w:r>
      <w:r w:rsidR="007B2ED6">
        <w:rPr>
          <w:rFonts w:ascii="Arial" w:hAnsi="Arial" w:cs="Arial"/>
          <w:sz w:val="22"/>
          <w:szCs w:val="22"/>
        </w:rPr>
        <w:tab/>
      </w:r>
      <w:r w:rsidR="000E07B1">
        <w:rPr>
          <w:rFonts w:ascii="Arial" w:hAnsi="Arial" w:cs="Arial"/>
          <w:sz w:val="22"/>
          <w:szCs w:val="22"/>
        </w:rPr>
        <w:tab/>
      </w:r>
      <w:r w:rsidR="006630FB" w:rsidRPr="00242E76">
        <w:rPr>
          <w:rFonts w:ascii="Arial" w:hAnsi="Arial" w:cs="Arial"/>
          <w:sz w:val="22"/>
          <w:szCs w:val="22"/>
        </w:rPr>
        <w:t>ADV</w:t>
      </w:r>
      <w:r w:rsidR="00D77C76">
        <w:rPr>
          <w:rFonts w:ascii="Arial" w:hAnsi="Arial" w:cs="Arial"/>
          <w:sz w:val="22"/>
          <w:szCs w:val="22"/>
        </w:rPr>
        <w:t xml:space="preserve">. </w:t>
      </w:r>
      <w:r w:rsidR="007B2ED6">
        <w:rPr>
          <w:rFonts w:ascii="Arial" w:hAnsi="Arial" w:cs="Arial"/>
          <w:sz w:val="22"/>
          <w:szCs w:val="22"/>
        </w:rPr>
        <w:t>Y PEER</w:t>
      </w:r>
    </w:p>
    <w:p w14:paraId="6EEF6A02" w14:textId="4F325B2D" w:rsidR="008465D6" w:rsidRPr="00242E76" w:rsidRDefault="006630FB" w:rsidP="008E6813">
      <w:pPr>
        <w:spacing w:line="360" w:lineRule="auto"/>
        <w:ind w:left="567" w:hanging="567"/>
        <w:jc w:val="both"/>
        <w:rPr>
          <w:rFonts w:ascii="Arial" w:hAnsi="Arial" w:cs="Arial"/>
          <w:sz w:val="22"/>
          <w:szCs w:val="22"/>
        </w:rPr>
      </w:pPr>
      <w:r w:rsidRPr="00242E76">
        <w:rPr>
          <w:rFonts w:ascii="Arial" w:hAnsi="Arial" w:cs="Arial"/>
          <w:sz w:val="22"/>
          <w:szCs w:val="22"/>
        </w:rPr>
        <w:t>INSTRUCTED BY:</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D77C76">
        <w:rPr>
          <w:rFonts w:ascii="Arial" w:hAnsi="Arial" w:cs="Arial"/>
          <w:sz w:val="22"/>
          <w:szCs w:val="22"/>
        </w:rPr>
        <w:tab/>
      </w:r>
      <w:r w:rsidR="007B2ED6">
        <w:rPr>
          <w:rFonts w:ascii="Arial" w:hAnsi="Arial" w:cs="Arial"/>
          <w:sz w:val="22"/>
          <w:szCs w:val="22"/>
        </w:rPr>
        <w:t>CLIFFE DEKKER HOFMEYR INC.</w:t>
      </w:r>
    </w:p>
    <w:p w14:paraId="0030EF17" w14:textId="24920681" w:rsidR="000E6633" w:rsidRDefault="000E6633" w:rsidP="008E6813">
      <w:pPr>
        <w:spacing w:line="360" w:lineRule="auto"/>
        <w:ind w:left="567" w:hanging="567"/>
        <w:jc w:val="both"/>
        <w:rPr>
          <w:rFonts w:ascii="Arial" w:hAnsi="Arial" w:cs="Arial"/>
        </w:rPr>
      </w:pPr>
      <w:r w:rsidRPr="00242E76">
        <w:rPr>
          <w:rFonts w:ascii="Arial" w:hAnsi="Arial" w:cs="Arial"/>
          <w:sz w:val="22"/>
          <w:szCs w:val="22"/>
        </w:rPr>
        <w:t>REFERENCE:</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242E76">
        <w:rPr>
          <w:rFonts w:ascii="Arial" w:hAnsi="Arial" w:cs="Arial"/>
          <w:sz w:val="22"/>
          <w:szCs w:val="22"/>
        </w:rPr>
        <w:tab/>
      </w:r>
      <w:r w:rsidR="00D77C76">
        <w:rPr>
          <w:rFonts w:ascii="Arial" w:hAnsi="Arial" w:cs="Arial"/>
          <w:sz w:val="22"/>
          <w:szCs w:val="22"/>
        </w:rPr>
        <w:tab/>
      </w:r>
      <w:r w:rsidR="007B2ED6">
        <w:rPr>
          <w:rFonts w:ascii="Arial" w:hAnsi="Arial" w:cs="Arial"/>
          <w:sz w:val="22"/>
          <w:szCs w:val="22"/>
        </w:rPr>
        <w:t>MS. D DURAND</w:t>
      </w:r>
    </w:p>
    <w:p w14:paraId="748D69AA" w14:textId="7969D0B6" w:rsidR="00A56BC1" w:rsidRDefault="00A56BC1" w:rsidP="008E6813">
      <w:pPr>
        <w:spacing w:line="360" w:lineRule="auto"/>
        <w:jc w:val="both"/>
        <w:rPr>
          <w:rFonts w:ascii="Arial" w:hAnsi="Arial"/>
          <w:sz w:val="22"/>
          <w:szCs w:val="22"/>
        </w:rPr>
      </w:pPr>
    </w:p>
    <w:p w14:paraId="6072C765" w14:textId="3902A2A7" w:rsidR="0027008F" w:rsidRDefault="0027008F" w:rsidP="008E6813">
      <w:pPr>
        <w:spacing w:line="360" w:lineRule="auto"/>
        <w:ind w:left="567" w:hanging="567"/>
        <w:jc w:val="both"/>
        <w:rPr>
          <w:rFonts w:ascii="Arial" w:hAnsi="Arial" w:cs="Arial"/>
        </w:rPr>
      </w:pPr>
      <w:r>
        <w:rPr>
          <w:rFonts w:ascii="Arial" w:hAnsi="Arial" w:cs="Arial"/>
          <w:sz w:val="22"/>
          <w:szCs w:val="22"/>
        </w:rPr>
        <w:tab/>
      </w:r>
    </w:p>
    <w:p w14:paraId="56023C2B" w14:textId="77777777" w:rsidR="0027008F" w:rsidRPr="00CB6F8A" w:rsidRDefault="0027008F" w:rsidP="00CB6F8A">
      <w:pPr>
        <w:spacing w:line="480" w:lineRule="auto"/>
        <w:jc w:val="both"/>
        <w:rPr>
          <w:rFonts w:ascii="Arial" w:hAnsi="Arial"/>
          <w:sz w:val="22"/>
          <w:szCs w:val="22"/>
        </w:rPr>
      </w:pPr>
    </w:p>
    <w:sectPr w:rsidR="0027008F" w:rsidRPr="00CB6F8A" w:rsidSect="008E6813">
      <w:headerReference w:type="even" r:id="rId9"/>
      <w:headerReference w:type="default" r:id="rId10"/>
      <w:pgSz w:w="12240" w:h="15840"/>
      <w:pgMar w:top="978"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9600C" w14:textId="77777777" w:rsidR="00FF6021" w:rsidRDefault="00FF6021" w:rsidP="008C18AE">
      <w:r>
        <w:separator/>
      </w:r>
    </w:p>
  </w:endnote>
  <w:endnote w:type="continuationSeparator" w:id="0">
    <w:p w14:paraId="15732A9E" w14:textId="77777777" w:rsidR="00FF6021" w:rsidRDefault="00FF6021" w:rsidP="008C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604020202020204"/>
    <w:charset w:val="00"/>
    <w:family w:val="swiss"/>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4D70C" w14:textId="77777777" w:rsidR="00FF6021" w:rsidRDefault="00FF6021" w:rsidP="008C18AE">
      <w:r>
        <w:separator/>
      </w:r>
    </w:p>
  </w:footnote>
  <w:footnote w:type="continuationSeparator" w:id="0">
    <w:p w14:paraId="738C0C5C" w14:textId="77777777" w:rsidR="00FF6021" w:rsidRDefault="00FF6021" w:rsidP="008C18AE">
      <w:r>
        <w:continuationSeparator/>
      </w:r>
    </w:p>
  </w:footnote>
  <w:footnote w:id="1">
    <w:p w14:paraId="212FA2B9" w14:textId="3B38B493" w:rsidR="00240741" w:rsidRPr="00240741" w:rsidRDefault="00240741">
      <w:pPr>
        <w:pStyle w:val="FootnoteText"/>
        <w:rPr>
          <w:lang w:val="en-ZA"/>
        </w:rPr>
      </w:pPr>
      <w:r w:rsidRPr="00F11220">
        <w:rPr>
          <w:rStyle w:val="FootnoteReference"/>
          <w:rFonts w:ascii="Arial" w:hAnsi="Arial" w:cs="Arial"/>
          <w:sz w:val="18"/>
          <w:szCs w:val="18"/>
        </w:rPr>
        <w:footnoteRef/>
      </w:r>
      <w:r w:rsidRPr="00F11220">
        <w:rPr>
          <w:rFonts w:ascii="Arial" w:hAnsi="Arial" w:cs="Arial"/>
          <w:sz w:val="18"/>
          <w:szCs w:val="18"/>
        </w:rPr>
        <w:t xml:space="preserve"> </w:t>
      </w:r>
      <w:r w:rsidRPr="00240741">
        <w:rPr>
          <w:rFonts w:ascii="Arial" w:hAnsi="Arial" w:cs="Arial"/>
          <w:i/>
          <w:iCs/>
          <w:sz w:val="18"/>
          <w:szCs w:val="18"/>
        </w:rPr>
        <w:t xml:space="preserve">Municipal Workers Retirement Fund v South African Local Government Bargaining Council and Others and Other Related Matters </w:t>
      </w:r>
      <w:r w:rsidRPr="00240741">
        <w:rPr>
          <w:rFonts w:ascii="Arial" w:hAnsi="Arial" w:cs="Arial"/>
          <w:sz w:val="18"/>
          <w:szCs w:val="18"/>
        </w:rPr>
        <w:t>[2023] ZAGPPHC 98; 2905/2022; 4580/2022; 30396/2022 at para 17</w:t>
      </w:r>
      <w:r>
        <w:rPr>
          <w:rFonts w:ascii="Arial" w:hAnsi="Arial" w:cs="Arial"/>
          <w:sz w:val="18"/>
          <w:szCs w:val="18"/>
        </w:rPr>
        <w:t>.</w:t>
      </w:r>
    </w:p>
  </w:footnote>
  <w:footnote w:id="2">
    <w:p w14:paraId="7B16E535" w14:textId="109FCD22" w:rsidR="00411191" w:rsidRPr="00F11220" w:rsidRDefault="00411191" w:rsidP="00411191">
      <w:pPr>
        <w:pStyle w:val="FootnoteText"/>
        <w:ind w:left="284" w:hanging="284"/>
        <w:rPr>
          <w:rFonts w:ascii="Arial" w:hAnsi="Arial" w:cs="Arial"/>
          <w:sz w:val="18"/>
          <w:szCs w:val="18"/>
        </w:rPr>
      </w:pPr>
      <w:r w:rsidRPr="00F11220">
        <w:rPr>
          <w:rStyle w:val="FootnoteReference"/>
          <w:rFonts w:ascii="Arial" w:hAnsi="Arial" w:cs="Arial"/>
          <w:sz w:val="18"/>
          <w:szCs w:val="18"/>
        </w:rPr>
        <w:footnoteRef/>
      </w:r>
      <w:r w:rsidRPr="00F11220">
        <w:rPr>
          <w:rFonts w:ascii="Arial" w:hAnsi="Arial" w:cs="Arial"/>
          <w:sz w:val="18"/>
          <w:szCs w:val="18"/>
        </w:rPr>
        <w:t xml:space="preserve"> </w:t>
      </w:r>
      <w:r w:rsidRPr="00F11220">
        <w:rPr>
          <w:rFonts w:ascii="Arial" w:hAnsi="Arial" w:cs="Arial"/>
          <w:i/>
          <w:iCs/>
          <w:sz w:val="18"/>
          <w:szCs w:val="18"/>
        </w:rPr>
        <w:t>Makate v Vodacom (Pty) Ltd</w:t>
      </w:r>
      <w:r w:rsidR="00092EA0" w:rsidRPr="00F11220">
        <w:rPr>
          <w:rFonts w:ascii="Arial" w:hAnsi="Arial" w:cs="Arial"/>
          <w:sz w:val="18"/>
          <w:szCs w:val="18"/>
        </w:rPr>
        <w:t xml:space="preserve"> 2016 (4) SA 121 (CC).</w:t>
      </w:r>
    </w:p>
  </w:footnote>
  <w:footnote w:id="3">
    <w:p w14:paraId="2B086303" w14:textId="52985A6C" w:rsidR="00092EA0" w:rsidRPr="009D4FF3" w:rsidRDefault="00092EA0" w:rsidP="00916A67">
      <w:pPr>
        <w:pStyle w:val="Body"/>
        <w:spacing w:line="240" w:lineRule="auto"/>
        <w:ind w:left="142" w:hanging="142"/>
        <w:jc w:val="both"/>
        <w:rPr>
          <w:rFonts w:cs="Arial"/>
          <w:i/>
          <w:iCs/>
          <w:sz w:val="20"/>
          <w:szCs w:val="20"/>
        </w:rPr>
      </w:pPr>
      <w:r w:rsidRPr="00F11220">
        <w:rPr>
          <w:rStyle w:val="FootnoteReference"/>
          <w:rFonts w:cs="Arial"/>
          <w:sz w:val="18"/>
          <w:szCs w:val="18"/>
        </w:rPr>
        <w:footnoteRef/>
      </w:r>
      <w:r w:rsidRPr="00F11220">
        <w:rPr>
          <w:rFonts w:cs="Arial"/>
          <w:sz w:val="18"/>
          <w:szCs w:val="18"/>
        </w:rPr>
        <w:t xml:space="preserve"> </w:t>
      </w:r>
      <w:r w:rsidRPr="00F11220">
        <w:rPr>
          <w:rFonts w:cs="Arial"/>
          <w:i/>
          <w:iCs/>
          <w:sz w:val="18"/>
          <w:szCs w:val="18"/>
        </w:rPr>
        <w:t xml:space="preserve">George v Fairmead (Pty) Ltd </w:t>
      </w:r>
      <w:r w:rsidRPr="00F11220">
        <w:rPr>
          <w:rFonts w:cs="Arial"/>
          <w:sz w:val="18"/>
          <w:szCs w:val="18"/>
        </w:rPr>
        <w:t>1958 (2) SA 465 (A).</w:t>
      </w:r>
      <w:r w:rsidR="009E1929" w:rsidRPr="00F11220">
        <w:rPr>
          <w:rFonts w:cs="Arial"/>
          <w:sz w:val="18"/>
          <w:szCs w:val="18"/>
        </w:rPr>
        <w:t xml:space="preserve"> </w:t>
      </w:r>
      <w:r w:rsidR="009D4FF3" w:rsidRPr="00F11220">
        <w:rPr>
          <w:rFonts w:cs="Arial"/>
          <w:sz w:val="18"/>
          <w:szCs w:val="18"/>
        </w:rPr>
        <w:t>Christie</w:t>
      </w:r>
      <w:r w:rsidR="00240741" w:rsidRPr="00F11220">
        <w:rPr>
          <w:rFonts w:cs="Arial"/>
          <w:sz w:val="18"/>
          <w:szCs w:val="18"/>
        </w:rPr>
        <w:t>’</w:t>
      </w:r>
      <w:r w:rsidR="009D4FF3" w:rsidRPr="00F11220">
        <w:rPr>
          <w:rFonts w:cs="Arial"/>
          <w:sz w:val="18"/>
          <w:szCs w:val="18"/>
        </w:rPr>
        <w:t xml:space="preserve">s </w:t>
      </w:r>
      <w:r w:rsidR="009E1929" w:rsidRPr="00F11220">
        <w:rPr>
          <w:rFonts w:cs="Arial"/>
          <w:i/>
          <w:iCs/>
          <w:sz w:val="18"/>
          <w:szCs w:val="18"/>
        </w:rPr>
        <w:t>The Law of Contract</w:t>
      </w:r>
      <w:r w:rsidR="009D4FF3" w:rsidRPr="00F11220">
        <w:rPr>
          <w:rFonts w:cs="Arial"/>
          <w:i/>
          <w:iCs/>
          <w:sz w:val="18"/>
          <w:szCs w:val="18"/>
        </w:rPr>
        <w:t xml:space="preserve"> in South Africa</w:t>
      </w:r>
      <w:r w:rsidR="009D4FF3" w:rsidRPr="00F11220">
        <w:rPr>
          <w:rFonts w:cs="Arial"/>
          <w:sz w:val="18"/>
          <w:szCs w:val="18"/>
        </w:rPr>
        <w:t xml:space="preserve"> </w:t>
      </w:r>
      <w:r w:rsidR="00240741" w:rsidRPr="00F11220">
        <w:rPr>
          <w:rFonts w:cs="Arial"/>
          <w:sz w:val="18"/>
          <w:szCs w:val="18"/>
        </w:rPr>
        <w:t>8 ed (LexisNexis, South Africa)</w:t>
      </w:r>
      <w:r w:rsidR="009D4FF3" w:rsidRPr="00F11220">
        <w:rPr>
          <w:rFonts w:cs="Arial"/>
          <w:sz w:val="18"/>
          <w:szCs w:val="18"/>
        </w:rPr>
        <w:t xml:space="preserve"> 2022</w:t>
      </w:r>
      <w:r w:rsidR="00240741" w:rsidRPr="00F11220">
        <w:rPr>
          <w:rFonts w:cs="Arial"/>
          <w:sz w:val="18"/>
          <w:szCs w:val="18"/>
        </w:rPr>
        <w:t xml:space="preserve"> </w:t>
      </w:r>
      <w:r w:rsidR="009E1929" w:rsidRPr="00F11220">
        <w:rPr>
          <w:rFonts w:cs="Arial"/>
          <w:sz w:val="18"/>
          <w:szCs w:val="18"/>
        </w:rPr>
        <w:t>at p</w:t>
      </w:r>
      <w:r w:rsidR="00240741" w:rsidRPr="00F11220">
        <w:rPr>
          <w:rFonts w:cs="Arial"/>
          <w:sz w:val="18"/>
          <w:szCs w:val="18"/>
        </w:rPr>
        <w:t>g.</w:t>
      </w:r>
      <w:r w:rsidR="009D4FF3" w:rsidRPr="00F11220">
        <w:rPr>
          <w:rFonts w:cs="Arial"/>
          <w:sz w:val="18"/>
          <w:szCs w:val="18"/>
        </w:rPr>
        <w:t xml:space="preserve"> 400</w:t>
      </w:r>
      <w:r w:rsidR="00240741" w:rsidRPr="00F11220">
        <w:rPr>
          <w:rFonts w:cs="Arial"/>
          <w:sz w:val="18"/>
          <w:szCs w:val="18"/>
        </w:rPr>
        <w:t xml:space="preserve"> </w:t>
      </w:r>
      <w:r w:rsidR="009E1929" w:rsidRPr="00F11220">
        <w:rPr>
          <w:rFonts w:cs="Arial"/>
          <w:sz w:val="18"/>
          <w:szCs w:val="18"/>
        </w:rPr>
        <w:t>-</w:t>
      </w:r>
      <w:r w:rsidR="00240741" w:rsidRPr="00F11220">
        <w:rPr>
          <w:rFonts w:cs="Arial"/>
          <w:sz w:val="18"/>
          <w:szCs w:val="18"/>
        </w:rPr>
        <w:t xml:space="preserve"> </w:t>
      </w:r>
      <w:r w:rsidR="009E1929" w:rsidRPr="00F11220">
        <w:rPr>
          <w:rFonts w:cs="Arial"/>
          <w:i/>
          <w:iCs/>
          <w:sz w:val="18"/>
          <w:szCs w:val="18"/>
        </w:rPr>
        <w:t>“When the parties expressly or tacitly make the contract depend on a past or present fact or state of affairs it is usual to say it is dependent on a common assumption or supposition, and if their assumption turns out to be mistaken the contract is unenforceable.”</w:t>
      </w:r>
    </w:p>
  </w:footnote>
  <w:footnote w:id="4">
    <w:p w14:paraId="06D741C4" w14:textId="39D1BD66" w:rsidR="00916A67" w:rsidRDefault="00916A67" w:rsidP="00916A67">
      <w:pPr>
        <w:pStyle w:val="FootnoteText"/>
        <w:ind w:left="142" w:hanging="142"/>
      </w:pPr>
      <w:r w:rsidRPr="00F11220">
        <w:rPr>
          <w:rStyle w:val="FootnoteReference"/>
          <w:rFonts w:ascii="Arial" w:hAnsi="Arial" w:cs="Arial"/>
          <w:sz w:val="18"/>
          <w:szCs w:val="18"/>
        </w:rPr>
        <w:footnoteRef/>
      </w:r>
      <w:r w:rsidRPr="00F11220">
        <w:rPr>
          <w:rFonts w:ascii="Arial" w:hAnsi="Arial" w:cs="Arial"/>
          <w:sz w:val="18"/>
          <w:szCs w:val="18"/>
        </w:rPr>
        <w:t xml:space="preserve"> </w:t>
      </w:r>
      <w:r w:rsidRPr="00F11220">
        <w:rPr>
          <w:rFonts w:ascii="Arial" w:hAnsi="Arial" w:cs="Arial"/>
          <w:i/>
          <w:iCs/>
          <w:sz w:val="18"/>
          <w:szCs w:val="18"/>
        </w:rPr>
        <w:t>Beadica 231</w:t>
      </w:r>
      <w:r w:rsidR="0065506B" w:rsidRPr="00F11220">
        <w:rPr>
          <w:rFonts w:ascii="Arial" w:hAnsi="Arial" w:cs="Arial"/>
          <w:i/>
          <w:iCs/>
          <w:sz w:val="18"/>
          <w:szCs w:val="18"/>
        </w:rPr>
        <w:t xml:space="preserve"> </w:t>
      </w:r>
      <w:r w:rsidRPr="00F11220">
        <w:rPr>
          <w:rFonts w:ascii="Arial" w:hAnsi="Arial" w:cs="Arial"/>
          <w:i/>
          <w:iCs/>
          <w:sz w:val="18"/>
          <w:szCs w:val="18"/>
        </w:rPr>
        <w:t xml:space="preserve">CC and Others v Trustees for the Time Being of the Oregon Trust and Others </w:t>
      </w:r>
      <w:r w:rsidRPr="00F11220">
        <w:rPr>
          <w:rFonts w:ascii="Arial" w:hAnsi="Arial" w:cs="Arial"/>
          <w:sz w:val="18"/>
          <w:szCs w:val="18"/>
        </w:rPr>
        <w:t xml:space="preserve">2020 (5) SA </w:t>
      </w:r>
      <w:r w:rsidRPr="00F11220">
        <w:rPr>
          <w:rFonts w:ascii="Arial" w:hAnsi="Arial" w:cs="Arial"/>
          <w:sz w:val="18"/>
          <w:szCs w:val="18"/>
        </w:rPr>
        <w:t>247 (CC) at para [87].</w:t>
      </w:r>
      <w:r w:rsidRPr="00F11220">
        <w:rPr>
          <w:rFonts w:ascii="Arial" w:hAnsi="Arial" w:cs="Arial"/>
          <w:i/>
          <w:iCs/>
          <w:sz w:val="18"/>
          <w:szCs w:val="18"/>
        </w:rPr>
        <w:t xml:space="preserve"> AB </w:t>
      </w:r>
      <w:r w:rsidR="0065506B" w:rsidRPr="00F11220">
        <w:rPr>
          <w:rFonts w:ascii="Arial" w:hAnsi="Arial" w:cs="Arial"/>
          <w:i/>
          <w:iCs/>
          <w:sz w:val="18"/>
          <w:szCs w:val="18"/>
        </w:rPr>
        <w:t xml:space="preserve">and Another </w:t>
      </w:r>
      <w:r w:rsidRPr="00F11220">
        <w:rPr>
          <w:rFonts w:ascii="Arial" w:hAnsi="Arial" w:cs="Arial"/>
          <w:i/>
          <w:iCs/>
          <w:sz w:val="18"/>
          <w:szCs w:val="18"/>
        </w:rPr>
        <w:t>v Pridwin Preparatory School</w:t>
      </w:r>
      <w:r w:rsidR="0065506B" w:rsidRPr="00F11220">
        <w:rPr>
          <w:rFonts w:ascii="Arial" w:hAnsi="Arial" w:cs="Arial"/>
          <w:i/>
          <w:iCs/>
          <w:sz w:val="18"/>
          <w:szCs w:val="18"/>
        </w:rPr>
        <w:t xml:space="preserve"> and Others</w:t>
      </w:r>
      <w:r w:rsidRPr="00F11220">
        <w:rPr>
          <w:rFonts w:ascii="Arial" w:hAnsi="Arial" w:cs="Arial"/>
          <w:i/>
          <w:iCs/>
          <w:sz w:val="18"/>
          <w:szCs w:val="18"/>
        </w:rPr>
        <w:t xml:space="preserve"> </w:t>
      </w:r>
      <w:r w:rsidRPr="00F11220">
        <w:rPr>
          <w:rFonts w:ascii="Arial" w:hAnsi="Arial" w:cs="Arial"/>
          <w:sz w:val="18"/>
          <w:szCs w:val="18"/>
        </w:rPr>
        <w:t>2019 (1) SA 327 (SCA) at para [27].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3A27A" w14:textId="77777777" w:rsidR="00B50E11" w:rsidRDefault="00B50E11" w:rsidP="003340F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98F6DF" w14:textId="77777777" w:rsidR="00B50E11" w:rsidRDefault="00B50E11" w:rsidP="00B50E1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A28D8" w14:textId="77777777" w:rsidR="00B50E11" w:rsidRDefault="00B50E11" w:rsidP="003340F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767F">
      <w:rPr>
        <w:rStyle w:val="PageNumber"/>
        <w:noProof/>
      </w:rPr>
      <w:t>19</w:t>
    </w:r>
    <w:r>
      <w:rPr>
        <w:rStyle w:val="PageNumber"/>
      </w:rPr>
      <w:fldChar w:fldCharType="end"/>
    </w:r>
  </w:p>
  <w:p w14:paraId="7E704A95" w14:textId="77777777" w:rsidR="00B50E11" w:rsidRDefault="00B50E11" w:rsidP="00B50E1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24185D"/>
    <w:multiLevelType w:val="hybridMultilevel"/>
    <w:tmpl w:val="D99AA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9B0F09"/>
    <w:multiLevelType w:val="multilevel"/>
    <w:tmpl w:val="1DF6BCBC"/>
    <w:lvl w:ilvl="0">
      <w:start w:val="1"/>
      <w:numFmt w:val="decimal"/>
      <w:lvlText w:val="[%1]"/>
      <w:lvlJc w:val="left"/>
      <w:pPr>
        <w:ind w:left="720" w:hanging="360"/>
      </w:pPr>
      <w:rPr>
        <w:rFonts w:hint="default"/>
        <w:b w:val="0"/>
        <w:bCs w:val="0"/>
        <w:sz w:val="24"/>
        <w:szCs w:val="24"/>
      </w:rPr>
    </w:lvl>
    <w:lvl w:ilvl="1">
      <w:start w:val="1"/>
      <w:numFmt w:val="decimal"/>
      <w:isLgl/>
      <w:lvlText w:val="%1.%2"/>
      <w:lvlJc w:val="left"/>
      <w:pPr>
        <w:ind w:left="2160" w:hanging="660"/>
      </w:pPr>
      <w:rPr>
        <w:rFonts w:hint="default"/>
      </w:rPr>
    </w:lvl>
    <w:lvl w:ilvl="2">
      <w:start w:val="1"/>
      <w:numFmt w:val="decimal"/>
      <w:isLgl/>
      <w:lvlText w:val="%1.%2.%3"/>
      <w:lvlJc w:val="left"/>
      <w:pPr>
        <w:ind w:left="3360" w:hanging="720"/>
      </w:pPr>
      <w:rPr>
        <w:rFonts w:hint="default"/>
      </w:rPr>
    </w:lvl>
    <w:lvl w:ilvl="3">
      <w:start w:val="1"/>
      <w:numFmt w:val="decimal"/>
      <w:isLgl/>
      <w:lvlText w:val="%1.%2.%3.%4"/>
      <w:lvlJc w:val="left"/>
      <w:pPr>
        <w:ind w:left="4500" w:hanging="720"/>
      </w:pPr>
      <w:rPr>
        <w:rFonts w:hint="default"/>
      </w:rPr>
    </w:lvl>
    <w:lvl w:ilvl="4">
      <w:start w:val="1"/>
      <w:numFmt w:val="decimal"/>
      <w:isLgl/>
      <w:lvlText w:val="%1.%2.%3.%4.%5"/>
      <w:lvlJc w:val="left"/>
      <w:pPr>
        <w:ind w:left="6000" w:hanging="1080"/>
      </w:pPr>
      <w:rPr>
        <w:rFonts w:hint="default"/>
      </w:rPr>
    </w:lvl>
    <w:lvl w:ilvl="5">
      <w:start w:val="1"/>
      <w:numFmt w:val="decimal"/>
      <w:isLgl/>
      <w:lvlText w:val="%1.%2.%3.%4.%5.%6"/>
      <w:lvlJc w:val="left"/>
      <w:pPr>
        <w:ind w:left="7140" w:hanging="1080"/>
      </w:pPr>
      <w:rPr>
        <w:rFonts w:hint="default"/>
      </w:rPr>
    </w:lvl>
    <w:lvl w:ilvl="6">
      <w:start w:val="1"/>
      <w:numFmt w:val="decimal"/>
      <w:isLgl/>
      <w:lvlText w:val="%1.%2.%3.%4.%5.%6.%7"/>
      <w:lvlJc w:val="left"/>
      <w:pPr>
        <w:ind w:left="8640" w:hanging="1440"/>
      </w:pPr>
      <w:rPr>
        <w:rFonts w:hint="default"/>
      </w:rPr>
    </w:lvl>
    <w:lvl w:ilvl="7">
      <w:start w:val="1"/>
      <w:numFmt w:val="decimal"/>
      <w:isLgl/>
      <w:lvlText w:val="%1.%2.%3.%4.%5.%6.%7.%8"/>
      <w:lvlJc w:val="left"/>
      <w:pPr>
        <w:ind w:left="9780" w:hanging="1440"/>
      </w:pPr>
      <w:rPr>
        <w:rFonts w:hint="default"/>
      </w:rPr>
    </w:lvl>
    <w:lvl w:ilvl="8">
      <w:start w:val="1"/>
      <w:numFmt w:val="decimal"/>
      <w:isLgl/>
      <w:lvlText w:val="%1.%2.%3.%4.%5.%6.%7.%8.%9"/>
      <w:lvlJc w:val="left"/>
      <w:pPr>
        <w:ind w:left="11280" w:hanging="1800"/>
      </w:pPr>
      <w:rPr>
        <w:rFonts w:hint="default"/>
      </w:rPr>
    </w:lvl>
  </w:abstractNum>
  <w:abstractNum w:abstractNumId="4" w15:restartNumberingAfterBreak="0">
    <w:nsid w:val="13083FEF"/>
    <w:multiLevelType w:val="hybridMultilevel"/>
    <w:tmpl w:val="F000B8FE"/>
    <w:lvl w:ilvl="0" w:tplc="93E8B0AC">
      <w:start w:val="2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C6EE2"/>
    <w:multiLevelType w:val="multilevel"/>
    <w:tmpl w:val="338A906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164E695C"/>
    <w:multiLevelType w:val="multilevel"/>
    <w:tmpl w:val="77348F4A"/>
    <w:lvl w:ilvl="0">
      <w:start w:val="2"/>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7" w15:restartNumberingAfterBreak="0">
    <w:nsid w:val="1BCE6B6E"/>
    <w:multiLevelType w:val="hybridMultilevel"/>
    <w:tmpl w:val="D97C0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A8013E"/>
    <w:multiLevelType w:val="multilevel"/>
    <w:tmpl w:val="96245C56"/>
    <w:lvl w:ilvl="0">
      <w:start w:val="1"/>
      <w:numFmt w:val="decimal"/>
      <w:lvlText w:val="%1."/>
      <w:lvlJc w:val="left"/>
      <w:pPr>
        <w:ind w:left="720" w:hanging="360"/>
      </w:pPr>
    </w:lvl>
    <w:lvl w:ilvl="1">
      <w:start w:val="1"/>
      <w:numFmt w:val="decimal"/>
      <w:isLgl/>
      <w:lvlText w:val="%1.%2"/>
      <w:lvlJc w:val="left"/>
      <w:pPr>
        <w:ind w:left="1007" w:hanging="44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15:restartNumberingAfterBreak="0">
    <w:nsid w:val="2F3304CF"/>
    <w:multiLevelType w:val="hybridMultilevel"/>
    <w:tmpl w:val="74F446A0"/>
    <w:lvl w:ilvl="0" w:tplc="D1F43B64">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BF27F3"/>
    <w:multiLevelType w:val="hybridMultilevel"/>
    <w:tmpl w:val="34D07F3E"/>
    <w:lvl w:ilvl="0" w:tplc="07EA0D48">
      <w:start w:val="1"/>
      <w:numFmt w:val="decimal"/>
      <w:lvlText w:val="[%1]"/>
      <w:lvlJc w:val="left"/>
      <w:pPr>
        <w:ind w:left="720" w:hanging="360"/>
      </w:pPr>
      <w:rPr>
        <w:rFonts w:hint="default"/>
        <w:b w:val="0"/>
        <w:bCs w:val="0"/>
        <w:i w:val="0"/>
        <w:i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8C37EF"/>
    <w:multiLevelType w:val="multilevel"/>
    <w:tmpl w:val="264ED5D0"/>
    <w:lvl w:ilvl="0">
      <w:start w:val="39"/>
      <w:numFmt w:val="decimal"/>
      <w:lvlText w:val="%1"/>
      <w:lvlJc w:val="left"/>
      <w:pPr>
        <w:ind w:left="420" w:hanging="420"/>
      </w:pPr>
      <w:rPr>
        <w:rFonts w:eastAsiaTheme="minorHAnsi" w:hint="default"/>
      </w:rPr>
    </w:lvl>
    <w:lvl w:ilvl="1">
      <w:start w:val="1"/>
      <w:numFmt w:val="decimal"/>
      <w:lvlText w:val="%1.%2"/>
      <w:lvlJc w:val="left"/>
      <w:pPr>
        <w:ind w:left="420" w:hanging="4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2" w15:restartNumberingAfterBreak="0">
    <w:nsid w:val="458F469F"/>
    <w:multiLevelType w:val="hybridMultilevel"/>
    <w:tmpl w:val="2B829F2A"/>
    <w:lvl w:ilvl="0" w:tplc="76CE295A">
      <w:start w:val="1"/>
      <w:numFmt w:val="decimal"/>
      <w:lvlText w:val="%1."/>
      <w:lvlJc w:val="left"/>
      <w:pPr>
        <w:ind w:left="720" w:hanging="360"/>
      </w:pPr>
      <w:rPr>
        <w:rFonts w:hint="default"/>
        <w:i w:val="0"/>
        <w:iCs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925935"/>
    <w:multiLevelType w:val="hybridMultilevel"/>
    <w:tmpl w:val="07CEC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2662AB"/>
    <w:multiLevelType w:val="hybridMultilevel"/>
    <w:tmpl w:val="421A48E8"/>
    <w:lvl w:ilvl="0" w:tplc="B2EEF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3149A4"/>
    <w:multiLevelType w:val="multilevel"/>
    <w:tmpl w:val="E58A65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EDF7EF0"/>
    <w:multiLevelType w:val="multilevel"/>
    <w:tmpl w:val="CB7CF62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7F4A12EC"/>
    <w:multiLevelType w:val="hybridMultilevel"/>
    <w:tmpl w:val="DC287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3698390">
    <w:abstractNumId w:val="14"/>
  </w:num>
  <w:num w:numId="2" w16cid:durableId="1592005583">
    <w:abstractNumId w:val="8"/>
  </w:num>
  <w:num w:numId="3" w16cid:durableId="788745457">
    <w:abstractNumId w:val="0"/>
  </w:num>
  <w:num w:numId="4" w16cid:durableId="885871504">
    <w:abstractNumId w:val="1"/>
  </w:num>
  <w:num w:numId="5" w16cid:durableId="1029718909">
    <w:abstractNumId w:val="6"/>
  </w:num>
  <w:num w:numId="6" w16cid:durableId="1860583353">
    <w:abstractNumId w:val="15"/>
  </w:num>
  <w:num w:numId="7" w16cid:durableId="1007367107">
    <w:abstractNumId w:val="17"/>
  </w:num>
  <w:num w:numId="8" w16cid:durableId="1459950072">
    <w:abstractNumId w:val="16"/>
  </w:num>
  <w:num w:numId="9" w16cid:durableId="2061781245">
    <w:abstractNumId w:val="5"/>
  </w:num>
  <w:num w:numId="10" w16cid:durableId="2026860299">
    <w:abstractNumId w:val="7"/>
  </w:num>
  <w:num w:numId="11" w16cid:durableId="774323655">
    <w:abstractNumId w:val="11"/>
  </w:num>
  <w:num w:numId="12" w16cid:durableId="257517841">
    <w:abstractNumId w:val="3"/>
  </w:num>
  <w:num w:numId="13" w16cid:durableId="1166440420">
    <w:abstractNumId w:val="9"/>
  </w:num>
  <w:num w:numId="14" w16cid:durableId="640773780">
    <w:abstractNumId w:val="2"/>
  </w:num>
  <w:num w:numId="15" w16cid:durableId="275479993">
    <w:abstractNumId w:val="10"/>
  </w:num>
  <w:num w:numId="16" w16cid:durableId="1445811458">
    <w:abstractNumId w:val="13"/>
  </w:num>
  <w:num w:numId="17" w16cid:durableId="137111119">
    <w:abstractNumId w:val="4"/>
  </w:num>
  <w:num w:numId="18" w16cid:durableId="11680225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8C6"/>
    <w:rsid w:val="00004A9C"/>
    <w:rsid w:val="000060CB"/>
    <w:rsid w:val="000104B4"/>
    <w:rsid w:val="0001505C"/>
    <w:rsid w:val="000218AC"/>
    <w:rsid w:val="0002295E"/>
    <w:rsid w:val="00022E29"/>
    <w:rsid w:val="00030EDB"/>
    <w:rsid w:val="00050078"/>
    <w:rsid w:val="00052547"/>
    <w:rsid w:val="000578D1"/>
    <w:rsid w:val="00062CEF"/>
    <w:rsid w:val="0006302B"/>
    <w:rsid w:val="00070EA4"/>
    <w:rsid w:val="000730BB"/>
    <w:rsid w:val="0008376B"/>
    <w:rsid w:val="0008544C"/>
    <w:rsid w:val="00085E25"/>
    <w:rsid w:val="0008693D"/>
    <w:rsid w:val="00092EA0"/>
    <w:rsid w:val="000964D1"/>
    <w:rsid w:val="000971DB"/>
    <w:rsid w:val="000A26D7"/>
    <w:rsid w:val="000A5272"/>
    <w:rsid w:val="000C091F"/>
    <w:rsid w:val="000C1577"/>
    <w:rsid w:val="000C1D16"/>
    <w:rsid w:val="000C27C5"/>
    <w:rsid w:val="000C4554"/>
    <w:rsid w:val="000D0136"/>
    <w:rsid w:val="000E07B1"/>
    <w:rsid w:val="000E0A01"/>
    <w:rsid w:val="000E5109"/>
    <w:rsid w:val="000E5543"/>
    <w:rsid w:val="000E5FB9"/>
    <w:rsid w:val="000E6633"/>
    <w:rsid w:val="00101D88"/>
    <w:rsid w:val="001021EE"/>
    <w:rsid w:val="00103EC1"/>
    <w:rsid w:val="00114724"/>
    <w:rsid w:val="00121456"/>
    <w:rsid w:val="0013492F"/>
    <w:rsid w:val="00144EA8"/>
    <w:rsid w:val="00151F35"/>
    <w:rsid w:val="00155668"/>
    <w:rsid w:val="0016046F"/>
    <w:rsid w:val="00161F55"/>
    <w:rsid w:val="00163683"/>
    <w:rsid w:val="001721F5"/>
    <w:rsid w:val="0017465D"/>
    <w:rsid w:val="00190665"/>
    <w:rsid w:val="00194AFD"/>
    <w:rsid w:val="00194BAE"/>
    <w:rsid w:val="001A21CD"/>
    <w:rsid w:val="001A7F86"/>
    <w:rsid w:val="001B288A"/>
    <w:rsid w:val="001B487B"/>
    <w:rsid w:val="001D6C62"/>
    <w:rsid w:val="001D6F4F"/>
    <w:rsid w:val="001D7244"/>
    <w:rsid w:val="001E6710"/>
    <w:rsid w:val="001F07DD"/>
    <w:rsid w:val="001F450A"/>
    <w:rsid w:val="001F4AE5"/>
    <w:rsid w:val="002003EF"/>
    <w:rsid w:val="00201A93"/>
    <w:rsid w:val="002040D5"/>
    <w:rsid w:val="00205098"/>
    <w:rsid w:val="002064D8"/>
    <w:rsid w:val="0020751F"/>
    <w:rsid w:val="0021216F"/>
    <w:rsid w:val="002129F5"/>
    <w:rsid w:val="00232BFD"/>
    <w:rsid w:val="00232EA0"/>
    <w:rsid w:val="002332DE"/>
    <w:rsid w:val="0023457C"/>
    <w:rsid w:val="00235638"/>
    <w:rsid w:val="00240741"/>
    <w:rsid w:val="00242E76"/>
    <w:rsid w:val="00244901"/>
    <w:rsid w:val="00254146"/>
    <w:rsid w:val="00255283"/>
    <w:rsid w:val="00255485"/>
    <w:rsid w:val="00264079"/>
    <w:rsid w:val="002642C5"/>
    <w:rsid w:val="00265336"/>
    <w:rsid w:val="00267036"/>
    <w:rsid w:val="0027008F"/>
    <w:rsid w:val="00280528"/>
    <w:rsid w:val="00281CA0"/>
    <w:rsid w:val="00283B34"/>
    <w:rsid w:val="00287E6E"/>
    <w:rsid w:val="002914E5"/>
    <w:rsid w:val="0029767F"/>
    <w:rsid w:val="002A51AF"/>
    <w:rsid w:val="002A53F8"/>
    <w:rsid w:val="002A6A3F"/>
    <w:rsid w:val="002B0A35"/>
    <w:rsid w:val="002B4437"/>
    <w:rsid w:val="002B69B1"/>
    <w:rsid w:val="002C413A"/>
    <w:rsid w:val="002C4D4E"/>
    <w:rsid w:val="002C7527"/>
    <w:rsid w:val="002D6A2A"/>
    <w:rsid w:val="002D6BF0"/>
    <w:rsid w:val="002E1F21"/>
    <w:rsid w:val="00307191"/>
    <w:rsid w:val="00313396"/>
    <w:rsid w:val="003155D7"/>
    <w:rsid w:val="00316515"/>
    <w:rsid w:val="00322298"/>
    <w:rsid w:val="00323F5E"/>
    <w:rsid w:val="00333325"/>
    <w:rsid w:val="003348C6"/>
    <w:rsid w:val="00334F20"/>
    <w:rsid w:val="00335D42"/>
    <w:rsid w:val="00342015"/>
    <w:rsid w:val="0035078C"/>
    <w:rsid w:val="00354B76"/>
    <w:rsid w:val="00360697"/>
    <w:rsid w:val="00363165"/>
    <w:rsid w:val="00364832"/>
    <w:rsid w:val="00371BE5"/>
    <w:rsid w:val="003755A2"/>
    <w:rsid w:val="00375DC6"/>
    <w:rsid w:val="003804E8"/>
    <w:rsid w:val="00385391"/>
    <w:rsid w:val="00385FBC"/>
    <w:rsid w:val="003A14B0"/>
    <w:rsid w:val="003A20FB"/>
    <w:rsid w:val="003A3574"/>
    <w:rsid w:val="003A5BC8"/>
    <w:rsid w:val="003B6C23"/>
    <w:rsid w:val="003C415E"/>
    <w:rsid w:val="003C432D"/>
    <w:rsid w:val="003E4B88"/>
    <w:rsid w:val="003E6BDA"/>
    <w:rsid w:val="003F22FC"/>
    <w:rsid w:val="003F37AE"/>
    <w:rsid w:val="003F46D7"/>
    <w:rsid w:val="003F709B"/>
    <w:rsid w:val="00406F88"/>
    <w:rsid w:val="004075F2"/>
    <w:rsid w:val="00411191"/>
    <w:rsid w:val="00412E0C"/>
    <w:rsid w:val="00413603"/>
    <w:rsid w:val="00413E2B"/>
    <w:rsid w:val="00416EA1"/>
    <w:rsid w:val="00417BE7"/>
    <w:rsid w:val="0042184A"/>
    <w:rsid w:val="004247F2"/>
    <w:rsid w:val="00425F53"/>
    <w:rsid w:val="00432B66"/>
    <w:rsid w:val="00440D4B"/>
    <w:rsid w:val="0044117D"/>
    <w:rsid w:val="0044361B"/>
    <w:rsid w:val="00443ADE"/>
    <w:rsid w:val="00444C8B"/>
    <w:rsid w:val="0045149D"/>
    <w:rsid w:val="00452A4C"/>
    <w:rsid w:val="00454072"/>
    <w:rsid w:val="00456AD1"/>
    <w:rsid w:val="00460F1A"/>
    <w:rsid w:val="00461E12"/>
    <w:rsid w:val="004641A0"/>
    <w:rsid w:val="004662A7"/>
    <w:rsid w:val="00475569"/>
    <w:rsid w:val="00475A8E"/>
    <w:rsid w:val="0048191C"/>
    <w:rsid w:val="00482966"/>
    <w:rsid w:val="004854D5"/>
    <w:rsid w:val="0049074E"/>
    <w:rsid w:val="0049313B"/>
    <w:rsid w:val="004C3489"/>
    <w:rsid w:val="004C6A1E"/>
    <w:rsid w:val="004D12FE"/>
    <w:rsid w:val="004D3845"/>
    <w:rsid w:val="004E581A"/>
    <w:rsid w:val="004F0167"/>
    <w:rsid w:val="00500DA0"/>
    <w:rsid w:val="005044AB"/>
    <w:rsid w:val="005069D9"/>
    <w:rsid w:val="00511607"/>
    <w:rsid w:val="00514611"/>
    <w:rsid w:val="0051651C"/>
    <w:rsid w:val="00540198"/>
    <w:rsid w:val="00547AC7"/>
    <w:rsid w:val="00551B4C"/>
    <w:rsid w:val="0055431B"/>
    <w:rsid w:val="005560EF"/>
    <w:rsid w:val="0057074A"/>
    <w:rsid w:val="005720E9"/>
    <w:rsid w:val="00587548"/>
    <w:rsid w:val="00587BF3"/>
    <w:rsid w:val="0059377C"/>
    <w:rsid w:val="00595099"/>
    <w:rsid w:val="005A2F73"/>
    <w:rsid w:val="005B0DB3"/>
    <w:rsid w:val="005B118D"/>
    <w:rsid w:val="005B6266"/>
    <w:rsid w:val="005B75C1"/>
    <w:rsid w:val="005D3007"/>
    <w:rsid w:val="005D4790"/>
    <w:rsid w:val="005E2259"/>
    <w:rsid w:val="005E230C"/>
    <w:rsid w:val="005E448E"/>
    <w:rsid w:val="005F49B3"/>
    <w:rsid w:val="005F653D"/>
    <w:rsid w:val="006036F8"/>
    <w:rsid w:val="00605316"/>
    <w:rsid w:val="006077A9"/>
    <w:rsid w:val="00613E4D"/>
    <w:rsid w:val="00615A0C"/>
    <w:rsid w:val="006216B4"/>
    <w:rsid w:val="006336E6"/>
    <w:rsid w:val="006430C0"/>
    <w:rsid w:val="00644BB3"/>
    <w:rsid w:val="00646138"/>
    <w:rsid w:val="00650745"/>
    <w:rsid w:val="00651B9B"/>
    <w:rsid w:val="00651F92"/>
    <w:rsid w:val="00653433"/>
    <w:rsid w:val="0065506B"/>
    <w:rsid w:val="00655236"/>
    <w:rsid w:val="006630FB"/>
    <w:rsid w:val="006710DC"/>
    <w:rsid w:val="00675035"/>
    <w:rsid w:val="00676987"/>
    <w:rsid w:val="00677BC9"/>
    <w:rsid w:val="00683071"/>
    <w:rsid w:val="00686AFF"/>
    <w:rsid w:val="006878D5"/>
    <w:rsid w:val="00695533"/>
    <w:rsid w:val="006A1AA8"/>
    <w:rsid w:val="006A37E3"/>
    <w:rsid w:val="006A6DDB"/>
    <w:rsid w:val="006A770C"/>
    <w:rsid w:val="006B0014"/>
    <w:rsid w:val="006B3D1D"/>
    <w:rsid w:val="006B67ED"/>
    <w:rsid w:val="006C705A"/>
    <w:rsid w:val="006E4415"/>
    <w:rsid w:val="006E462C"/>
    <w:rsid w:val="006F2787"/>
    <w:rsid w:val="006F40B5"/>
    <w:rsid w:val="00704EC9"/>
    <w:rsid w:val="00707C51"/>
    <w:rsid w:val="00713A5D"/>
    <w:rsid w:val="00720FEF"/>
    <w:rsid w:val="0072221F"/>
    <w:rsid w:val="007240E6"/>
    <w:rsid w:val="0073212D"/>
    <w:rsid w:val="00733746"/>
    <w:rsid w:val="00735EB8"/>
    <w:rsid w:val="00736CDA"/>
    <w:rsid w:val="007371A8"/>
    <w:rsid w:val="00737291"/>
    <w:rsid w:val="00742BAE"/>
    <w:rsid w:val="00750CC1"/>
    <w:rsid w:val="00753AD4"/>
    <w:rsid w:val="00755484"/>
    <w:rsid w:val="00763002"/>
    <w:rsid w:val="007679D5"/>
    <w:rsid w:val="007709C2"/>
    <w:rsid w:val="00771E0F"/>
    <w:rsid w:val="007728D2"/>
    <w:rsid w:val="00785866"/>
    <w:rsid w:val="007875AE"/>
    <w:rsid w:val="0078777C"/>
    <w:rsid w:val="007970E1"/>
    <w:rsid w:val="007A288E"/>
    <w:rsid w:val="007A53BB"/>
    <w:rsid w:val="007A740C"/>
    <w:rsid w:val="007B2C1E"/>
    <w:rsid w:val="007B2ED6"/>
    <w:rsid w:val="007B46F6"/>
    <w:rsid w:val="007B63CD"/>
    <w:rsid w:val="007C373C"/>
    <w:rsid w:val="007C7D36"/>
    <w:rsid w:val="007D17B5"/>
    <w:rsid w:val="007D24A3"/>
    <w:rsid w:val="007E14BF"/>
    <w:rsid w:val="007E7B98"/>
    <w:rsid w:val="007F0BBF"/>
    <w:rsid w:val="007F7FED"/>
    <w:rsid w:val="00802CFF"/>
    <w:rsid w:val="00803C36"/>
    <w:rsid w:val="0080634A"/>
    <w:rsid w:val="00806DFA"/>
    <w:rsid w:val="00821962"/>
    <w:rsid w:val="00822511"/>
    <w:rsid w:val="0083215B"/>
    <w:rsid w:val="008353F3"/>
    <w:rsid w:val="0083710F"/>
    <w:rsid w:val="00837200"/>
    <w:rsid w:val="00840547"/>
    <w:rsid w:val="0084332A"/>
    <w:rsid w:val="008465D6"/>
    <w:rsid w:val="00847A62"/>
    <w:rsid w:val="00860899"/>
    <w:rsid w:val="00866025"/>
    <w:rsid w:val="0088233C"/>
    <w:rsid w:val="008A3877"/>
    <w:rsid w:val="008B1A58"/>
    <w:rsid w:val="008B1B71"/>
    <w:rsid w:val="008B2182"/>
    <w:rsid w:val="008C18AE"/>
    <w:rsid w:val="008C3603"/>
    <w:rsid w:val="008C45A5"/>
    <w:rsid w:val="008D34A8"/>
    <w:rsid w:val="008D4FD5"/>
    <w:rsid w:val="008E4705"/>
    <w:rsid w:val="008E5BBF"/>
    <w:rsid w:val="008E6813"/>
    <w:rsid w:val="008F2EA2"/>
    <w:rsid w:val="009007B6"/>
    <w:rsid w:val="00901159"/>
    <w:rsid w:val="009026AA"/>
    <w:rsid w:val="00911000"/>
    <w:rsid w:val="00911F9D"/>
    <w:rsid w:val="009155B3"/>
    <w:rsid w:val="00916812"/>
    <w:rsid w:val="00916A67"/>
    <w:rsid w:val="00916FDE"/>
    <w:rsid w:val="00921B53"/>
    <w:rsid w:val="009227A6"/>
    <w:rsid w:val="00923678"/>
    <w:rsid w:val="00926EAA"/>
    <w:rsid w:val="0093492C"/>
    <w:rsid w:val="0093762E"/>
    <w:rsid w:val="00940B57"/>
    <w:rsid w:val="00941562"/>
    <w:rsid w:val="00944BDE"/>
    <w:rsid w:val="0094618C"/>
    <w:rsid w:val="0095576C"/>
    <w:rsid w:val="009732B6"/>
    <w:rsid w:val="00974554"/>
    <w:rsid w:val="00976D15"/>
    <w:rsid w:val="00977E1A"/>
    <w:rsid w:val="009838D5"/>
    <w:rsid w:val="00987290"/>
    <w:rsid w:val="009950C9"/>
    <w:rsid w:val="009A269B"/>
    <w:rsid w:val="009A33C1"/>
    <w:rsid w:val="009A79F1"/>
    <w:rsid w:val="009B099B"/>
    <w:rsid w:val="009B2BC9"/>
    <w:rsid w:val="009B36AA"/>
    <w:rsid w:val="009B4C31"/>
    <w:rsid w:val="009D4FF3"/>
    <w:rsid w:val="009D57DB"/>
    <w:rsid w:val="009E1929"/>
    <w:rsid w:val="009E1EF1"/>
    <w:rsid w:val="009F22F0"/>
    <w:rsid w:val="009F43A4"/>
    <w:rsid w:val="009F5E83"/>
    <w:rsid w:val="00A01777"/>
    <w:rsid w:val="00A06E43"/>
    <w:rsid w:val="00A07432"/>
    <w:rsid w:val="00A12932"/>
    <w:rsid w:val="00A13793"/>
    <w:rsid w:val="00A156AE"/>
    <w:rsid w:val="00A15E04"/>
    <w:rsid w:val="00A165EA"/>
    <w:rsid w:val="00A22388"/>
    <w:rsid w:val="00A24B93"/>
    <w:rsid w:val="00A337E6"/>
    <w:rsid w:val="00A3600A"/>
    <w:rsid w:val="00A43F9C"/>
    <w:rsid w:val="00A4634B"/>
    <w:rsid w:val="00A52FDF"/>
    <w:rsid w:val="00A532A2"/>
    <w:rsid w:val="00A54C36"/>
    <w:rsid w:val="00A56BC1"/>
    <w:rsid w:val="00A600CF"/>
    <w:rsid w:val="00A62353"/>
    <w:rsid w:val="00A63F51"/>
    <w:rsid w:val="00A75EF4"/>
    <w:rsid w:val="00A77551"/>
    <w:rsid w:val="00A9010C"/>
    <w:rsid w:val="00A901C5"/>
    <w:rsid w:val="00AA663B"/>
    <w:rsid w:val="00AB1510"/>
    <w:rsid w:val="00AB2DE7"/>
    <w:rsid w:val="00AB4CA7"/>
    <w:rsid w:val="00AB636E"/>
    <w:rsid w:val="00AB6798"/>
    <w:rsid w:val="00AD49F8"/>
    <w:rsid w:val="00AE1E5D"/>
    <w:rsid w:val="00AE4E9C"/>
    <w:rsid w:val="00AF1688"/>
    <w:rsid w:val="00AF3194"/>
    <w:rsid w:val="00B11DEB"/>
    <w:rsid w:val="00B120C9"/>
    <w:rsid w:val="00B20170"/>
    <w:rsid w:val="00B21489"/>
    <w:rsid w:val="00B22495"/>
    <w:rsid w:val="00B244B7"/>
    <w:rsid w:val="00B3097A"/>
    <w:rsid w:val="00B3106B"/>
    <w:rsid w:val="00B404D0"/>
    <w:rsid w:val="00B44F10"/>
    <w:rsid w:val="00B50E11"/>
    <w:rsid w:val="00B64D36"/>
    <w:rsid w:val="00B70181"/>
    <w:rsid w:val="00B73443"/>
    <w:rsid w:val="00B74EA9"/>
    <w:rsid w:val="00B75DA6"/>
    <w:rsid w:val="00B8347D"/>
    <w:rsid w:val="00B862D2"/>
    <w:rsid w:val="00B908DF"/>
    <w:rsid w:val="00B92A41"/>
    <w:rsid w:val="00B9551D"/>
    <w:rsid w:val="00B95693"/>
    <w:rsid w:val="00B95E84"/>
    <w:rsid w:val="00BA1F62"/>
    <w:rsid w:val="00BB3F9A"/>
    <w:rsid w:val="00BD2454"/>
    <w:rsid w:val="00BF09B4"/>
    <w:rsid w:val="00C04C43"/>
    <w:rsid w:val="00C11D38"/>
    <w:rsid w:val="00C22B53"/>
    <w:rsid w:val="00C33AAD"/>
    <w:rsid w:val="00C36E03"/>
    <w:rsid w:val="00C4185B"/>
    <w:rsid w:val="00C45291"/>
    <w:rsid w:val="00C519B2"/>
    <w:rsid w:val="00C52737"/>
    <w:rsid w:val="00C53B19"/>
    <w:rsid w:val="00C5727B"/>
    <w:rsid w:val="00C63FFA"/>
    <w:rsid w:val="00C64B6A"/>
    <w:rsid w:val="00C72A6C"/>
    <w:rsid w:val="00C7361A"/>
    <w:rsid w:val="00C7460D"/>
    <w:rsid w:val="00C8430A"/>
    <w:rsid w:val="00C9262D"/>
    <w:rsid w:val="00C92AF2"/>
    <w:rsid w:val="00C93D86"/>
    <w:rsid w:val="00CA6C2A"/>
    <w:rsid w:val="00CB2381"/>
    <w:rsid w:val="00CB2439"/>
    <w:rsid w:val="00CB6F8A"/>
    <w:rsid w:val="00CC08E4"/>
    <w:rsid w:val="00CC3AB3"/>
    <w:rsid w:val="00CD1BDD"/>
    <w:rsid w:val="00CE09E5"/>
    <w:rsid w:val="00CE0CC7"/>
    <w:rsid w:val="00CE30E0"/>
    <w:rsid w:val="00CE3BED"/>
    <w:rsid w:val="00CF05BE"/>
    <w:rsid w:val="00CF7D86"/>
    <w:rsid w:val="00CF7D99"/>
    <w:rsid w:val="00D00B2E"/>
    <w:rsid w:val="00D026E5"/>
    <w:rsid w:val="00D0642F"/>
    <w:rsid w:val="00D1542D"/>
    <w:rsid w:val="00D16320"/>
    <w:rsid w:val="00D2145B"/>
    <w:rsid w:val="00D23AB6"/>
    <w:rsid w:val="00D2698D"/>
    <w:rsid w:val="00D31928"/>
    <w:rsid w:val="00D32A27"/>
    <w:rsid w:val="00D344C1"/>
    <w:rsid w:val="00D42B06"/>
    <w:rsid w:val="00D523A1"/>
    <w:rsid w:val="00D526DF"/>
    <w:rsid w:val="00D61362"/>
    <w:rsid w:val="00D77C76"/>
    <w:rsid w:val="00D91BA3"/>
    <w:rsid w:val="00DA44A9"/>
    <w:rsid w:val="00DA7A8D"/>
    <w:rsid w:val="00DB19FF"/>
    <w:rsid w:val="00DC0738"/>
    <w:rsid w:val="00DD0D2F"/>
    <w:rsid w:val="00DD4D3D"/>
    <w:rsid w:val="00DE0282"/>
    <w:rsid w:val="00DE1587"/>
    <w:rsid w:val="00DE399D"/>
    <w:rsid w:val="00DE39D7"/>
    <w:rsid w:val="00DE7D50"/>
    <w:rsid w:val="00DF0D64"/>
    <w:rsid w:val="00DF1032"/>
    <w:rsid w:val="00DF4D83"/>
    <w:rsid w:val="00E01835"/>
    <w:rsid w:val="00E02EAF"/>
    <w:rsid w:val="00E03204"/>
    <w:rsid w:val="00E03B46"/>
    <w:rsid w:val="00E067A2"/>
    <w:rsid w:val="00E077DF"/>
    <w:rsid w:val="00E07A72"/>
    <w:rsid w:val="00E15BCC"/>
    <w:rsid w:val="00E302AB"/>
    <w:rsid w:val="00E3052B"/>
    <w:rsid w:val="00E31629"/>
    <w:rsid w:val="00E43F8E"/>
    <w:rsid w:val="00E45186"/>
    <w:rsid w:val="00E50554"/>
    <w:rsid w:val="00E507F0"/>
    <w:rsid w:val="00E51144"/>
    <w:rsid w:val="00E55848"/>
    <w:rsid w:val="00E63F2E"/>
    <w:rsid w:val="00E65FD4"/>
    <w:rsid w:val="00E7210A"/>
    <w:rsid w:val="00E72A79"/>
    <w:rsid w:val="00E802B6"/>
    <w:rsid w:val="00E82E00"/>
    <w:rsid w:val="00E8500B"/>
    <w:rsid w:val="00E8695C"/>
    <w:rsid w:val="00E86AD4"/>
    <w:rsid w:val="00E904E4"/>
    <w:rsid w:val="00E932B5"/>
    <w:rsid w:val="00E94C86"/>
    <w:rsid w:val="00E95904"/>
    <w:rsid w:val="00E972D3"/>
    <w:rsid w:val="00EA78F7"/>
    <w:rsid w:val="00EB239A"/>
    <w:rsid w:val="00EB6D92"/>
    <w:rsid w:val="00EC7C52"/>
    <w:rsid w:val="00ED011F"/>
    <w:rsid w:val="00ED23AA"/>
    <w:rsid w:val="00ED58E4"/>
    <w:rsid w:val="00ED68B8"/>
    <w:rsid w:val="00EE041F"/>
    <w:rsid w:val="00EE0738"/>
    <w:rsid w:val="00EE0DBB"/>
    <w:rsid w:val="00EE7699"/>
    <w:rsid w:val="00EE7C9E"/>
    <w:rsid w:val="00EF0C48"/>
    <w:rsid w:val="00EF46E6"/>
    <w:rsid w:val="00EF5F44"/>
    <w:rsid w:val="00EF626F"/>
    <w:rsid w:val="00F00B18"/>
    <w:rsid w:val="00F11220"/>
    <w:rsid w:val="00F12440"/>
    <w:rsid w:val="00F142DB"/>
    <w:rsid w:val="00F16056"/>
    <w:rsid w:val="00F21520"/>
    <w:rsid w:val="00F25D67"/>
    <w:rsid w:val="00F26354"/>
    <w:rsid w:val="00F300BB"/>
    <w:rsid w:val="00F3578B"/>
    <w:rsid w:val="00F43A15"/>
    <w:rsid w:val="00F43C52"/>
    <w:rsid w:val="00F44185"/>
    <w:rsid w:val="00F471C4"/>
    <w:rsid w:val="00F53553"/>
    <w:rsid w:val="00F5420B"/>
    <w:rsid w:val="00F55C9B"/>
    <w:rsid w:val="00F56324"/>
    <w:rsid w:val="00F57032"/>
    <w:rsid w:val="00F63187"/>
    <w:rsid w:val="00F6674E"/>
    <w:rsid w:val="00F71C68"/>
    <w:rsid w:val="00F85632"/>
    <w:rsid w:val="00F87163"/>
    <w:rsid w:val="00F90936"/>
    <w:rsid w:val="00F93BA4"/>
    <w:rsid w:val="00F95B0D"/>
    <w:rsid w:val="00F96145"/>
    <w:rsid w:val="00F97E13"/>
    <w:rsid w:val="00FC01F2"/>
    <w:rsid w:val="00FC0385"/>
    <w:rsid w:val="00FC76E7"/>
    <w:rsid w:val="00FD07EE"/>
    <w:rsid w:val="00FD36CE"/>
    <w:rsid w:val="00FD48A0"/>
    <w:rsid w:val="00FE07D3"/>
    <w:rsid w:val="00FE53D2"/>
    <w:rsid w:val="00FF07BC"/>
    <w:rsid w:val="00FF1218"/>
    <w:rsid w:val="00FF6021"/>
    <w:rsid w:val="00FF6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AE265"/>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52737"/>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C18AE"/>
  </w:style>
  <w:style w:type="character" w:customStyle="1" w:styleId="FootnoteTextChar">
    <w:name w:val="Footnote Text Char"/>
    <w:basedOn w:val="DefaultParagraphFont"/>
    <w:link w:val="FootnoteText"/>
    <w:uiPriority w:val="99"/>
    <w:rsid w:val="008C18AE"/>
  </w:style>
  <w:style w:type="character" w:styleId="FootnoteReference">
    <w:name w:val="footnote reference"/>
    <w:basedOn w:val="DefaultParagraphFont"/>
    <w:uiPriority w:val="99"/>
    <w:unhideWhenUsed/>
    <w:rsid w:val="008C18AE"/>
    <w:rPr>
      <w:vertAlign w:val="superscript"/>
    </w:rPr>
  </w:style>
  <w:style w:type="paragraph" w:styleId="ListParagraph">
    <w:name w:val="List Paragraph"/>
    <w:basedOn w:val="Normal"/>
    <w:uiPriority w:val="1"/>
    <w:qFormat/>
    <w:rsid w:val="00A165EA"/>
    <w:pPr>
      <w:ind w:left="720"/>
      <w:contextualSpacing/>
    </w:pPr>
  </w:style>
  <w:style w:type="paragraph" w:customStyle="1" w:styleId="Body">
    <w:name w:val="Body"/>
    <w:rsid w:val="00B50E11"/>
    <w:pPr>
      <w:pBdr>
        <w:top w:val="nil"/>
        <w:left w:val="nil"/>
        <w:bottom w:val="nil"/>
        <w:right w:val="nil"/>
        <w:between w:val="nil"/>
        <w:bar w:val="nil"/>
      </w:pBdr>
      <w:spacing w:line="480" w:lineRule="auto"/>
    </w:pPr>
    <w:rPr>
      <w:rFonts w:ascii="Arial" w:eastAsia="Arial Unicode MS" w:hAnsi="Arial" w:cs="Arial Unicode MS"/>
      <w:color w:val="000000"/>
      <w:sz w:val="26"/>
      <w:szCs w:val="26"/>
      <w:bdr w:val="nil"/>
    </w:rPr>
  </w:style>
  <w:style w:type="table" w:styleId="TableGrid">
    <w:name w:val="Table Grid"/>
    <w:basedOn w:val="TableNormal"/>
    <w:uiPriority w:val="39"/>
    <w:rsid w:val="00B50E11"/>
    <w:pPr>
      <w:pBdr>
        <w:top w:val="nil"/>
        <w:left w:val="nil"/>
        <w:bottom w:val="nil"/>
        <w:right w:val="nil"/>
        <w:between w:val="nil"/>
        <w:bar w:val="nil"/>
      </w:pBdr>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0E11"/>
    <w:pPr>
      <w:tabs>
        <w:tab w:val="center" w:pos="4513"/>
        <w:tab w:val="right" w:pos="9026"/>
      </w:tabs>
    </w:pPr>
  </w:style>
  <w:style w:type="character" w:customStyle="1" w:styleId="HeaderChar">
    <w:name w:val="Header Char"/>
    <w:basedOn w:val="DefaultParagraphFont"/>
    <w:link w:val="Header"/>
    <w:uiPriority w:val="99"/>
    <w:rsid w:val="00B50E11"/>
  </w:style>
  <w:style w:type="character" w:styleId="PageNumber">
    <w:name w:val="page number"/>
    <w:basedOn w:val="DefaultParagraphFont"/>
    <w:uiPriority w:val="99"/>
    <w:semiHidden/>
    <w:unhideWhenUsed/>
    <w:rsid w:val="00B50E11"/>
  </w:style>
  <w:style w:type="paragraph" w:customStyle="1" w:styleId="BodyA">
    <w:name w:val="Body A"/>
    <w:rsid w:val="00101D88"/>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styleId="NormalWeb">
    <w:name w:val="Normal (Web)"/>
    <w:basedOn w:val="Normal"/>
    <w:uiPriority w:val="99"/>
    <w:unhideWhenUsed/>
    <w:rsid w:val="00A56BC1"/>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C519B2"/>
    <w:rPr>
      <w:rFonts w:ascii="Tahoma" w:hAnsi="Tahoma" w:cs="Tahoma"/>
      <w:sz w:val="16"/>
      <w:szCs w:val="16"/>
    </w:rPr>
  </w:style>
  <w:style w:type="character" w:customStyle="1" w:styleId="BalloonTextChar">
    <w:name w:val="Balloon Text Char"/>
    <w:basedOn w:val="DefaultParagraphFont"/>
    <w:link w:val="BalloonText"/>
    <w:uiPriority w:val="99"/>
    <w:semiHidden/>
    <w:rsid w:val="00C519B2"/>
    <w:rPr>
      <w:rFonts w:ascii="Tahoma" w:hAnsi="Tahoma" w:cs="Tahoma"/>
      <w:sz w:val="16"/>
      <w:szCs w:val="16"/>
    </w:rPr>
  </w:style>
  <w:style w:type="character" w:customStyle="1" w:styleId="apple-converted-space">
    <w:name w:val="apple-converted-space"/>
    <w:basedOn w:val="DefaultParagraphFont"/>
    <w:rsid w:val="003F46D7"/>
  </w:style>
  <w:style w:type="character" w:styleId="Hyperlink">
    <w:name w:val="Hyperlink"/>
    <w:basedOn w:val="DefaultParagraphFont"/>
    <w:uiPriority w:val="99"/>
    <w:semiHidden/>
    <w:unhideWhenUsed/>
    <w:rsid w:val="003F46D7"/>
    <w:rPr>
      <w:color w:val="0000FF"/>
      <w:u w:val="single"/>
    </w:rPr>
  </w:style>
  <w:style w:type="character" w:customStyle="1" w:styleId="Heading2Char">
    <w:name w:val="Heading 2 Char"/>
    <w:basedOn w:val="DefaultParagraphFont"/>
    <w:link w:val="Heading2"/>
    <w:uiPriority w:val="9"/>
    <w:rsid w:val="00C52737"/>
    <w:rPr>
      <w:rFonts w:ascii="Times New Roman" w:hAnsi="Times New Roman" w:cs="Times New Roman"/>
      <w:b/>
      <w:bCs/>
      <w:sz w:val="36"/>
      <w:szCs w:val="36"/>
    </w:rPr>
  </w:style>
  <w:style w:type="paragraph" w:customStyle="1" w:styleId="LegalMAINHEADING">
    <w:name w:val="Legal_MAINHEADING"/>
    <w:basedOn w:val="Normal"/>
    <w:next w:val="Normal"/>
    <w:semiHidden/>
    <w:rsid w:val="001D7244"/>
    <w:pPr>
      <w:keepNext/>
      <w:suppressAutoHyphens/>
      <w:spacing w:before="480" w:after="360" w:line="480" w:lineRule="auto"/>
      <w:jc w:val="both"/>
    </w:pPr>
    <w:rPr>
      <w:rFonts w:ascii="Arial" w:eastAsia="Times New Roman" w:hAnsi="Arial" w:cs="Times New Roman"/>
      <w:b/>
      <w:caps/>
      <w:lang w:val="en-GB" w:eastAsia="en-GB"/>
    </w:rPr>
  </w:style>
  <w:style w:type="paragraph" w:customStyle="1" w:styleId="LegalTramLines">
    <w:name w:val="Legal_TramLines"/>
    <w:basedOn w:val="Normal"/>
    <w:next w:val="Normal"/>
    <w:semiHidden/>
    <w:rsid w:val="001D7244"/>
    <w:pPr>
      <w:pBdr>
        <w:top w:val="single" w:sz="4" w:space="18" w:color="auto"/>
        <w:bottom w:val="single" w:sz="4" w:space="18" w:color="auto"/>
      </w:pBdr>
      <w:suppressAutoHyphens/>
      <w:spacing w:after="480"/>
      <w:jc w:val="center"/>
    </w:pPr>
    <w:rPr>
      <w:rFonts w:ascii="Arial Bold" w:eastAsia="Times New Roman" w:hAnsi="Arial Bold" w:cs="Times New Roman"/>
      <w:b/>
      <w:lang w:val="en-GB" w:eastAsia="en-GB"/>
    </w:rPr>
  </w:style>
  <w:style w:type="paragraph" w:styleId="Revision">
    <w:name w:val="Revision"/>
    <w:hidden/>
    <w:uiPriority w:val="99"/>
    <w:semiHidden/>
    <w:rsid w:val="00240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8764">
      <w:bodyDiv w:val="1"/>
      <w:marLeft w:val="0"/>
      <w:marRight w:val="0"/>
      <w:marTop w:val="0"/>
      <w:marBottom w:val="0"/>
      <w:divBdr>
        <w:top w:val="none" w:sz="0" w:space="0" w:color="auto"/>
        <w:left w:val="none" w:sz="0" w:space="0" w:color="auto"/>
        <w:bottom w:val="none" w:sz="0" w:space="0" w:color="auto"/>
        <w:right w:val="none" w:sz="0" w:space="0" w:color="auto"/>
      </w:divBdr>
    </w:div>
    <w:div w:id="344865891">
      <w:bodyDiv w:val="1"/>
      <w:marLeft w:val="0"/>
      <w:marRight w:val="0"/>
      <w:marTop w:val="0"/>
      <w:marBottom w:val="0"/>
      <w:divBdr>
        <w:top w:val="none" w:sz="0" w:space="0" w:color="auto"/>
        <w:left w:val="none" w:sz="0" w:space="0" w:color="auto"/>
        <w:bottom w:val="none" w:sz="0" w:space="0" w:color="auto"/>
        <w:right w:val="none" w:sz="0" w:space="0" w:color="auto"/>
      </w:divBdr>
    </w:div>
    <w:div w:id="595023076">
      <w:bodyDiv w:val="1"/>
      <w:marLeft w:val="0"/>
      <w:marRight w:val="0"/>
      <w:marTop w:val="0"/>
      <w:marBottom w:val="0"/>
      <w:divBdr>
        <w:top w:val="none" w:sz="0" w:space="0" w:color="auto"/>
        <w:left w:val="none" w:sz="0" w:space="0" w:color="auto"/>
        <w:bottom w:val="none" w:sz="0" w:space="0" w:color="auto"/>
        <w:right w:val="none" w:sz="0" w:space="0" w:color="auto"/>
      </w:divBdr>
    </w:div>
    <w:div w:id="1854999173">
      <w:bodyDiv w:val="1"/>
      <w:marLeft w:val="0"/>
      <w:marRight w:val="0"/>
      <w:marTop w:val="0"/>
      <w:marBottom w:val="0"/>
      <w:divBdr>
        <w:top w:val="none" w:sz="0" w:space="0" w:color="auto"/>
        <w:left w:val="none" w:sz="0" w:space="0" w:color="auto"/>
        <w:bottom w:val="none" w:sz="0" w:space="0" w:color="auto"/>
        <w:right w:val="none" w:sz="0" w:space="0" w:color="auto"/>
      </w:divBdr>
      <w:divsChild>
        <w:div w:id="714280317">
          <w:marLeft w:val="0"/>
          <w:marRight w:val="0"/>
          <w:marTop w:val="0"/>
          <w:marBottom w:val="0"/>
          <w:divBdr>
            <w:top w:val="none" w:sz="0" w:space="0" w:color="auto"/>
            <w:left w:val="none" w:sz="0" w:space="0" w:color="auto"/>
            <w:bottom w:val="none" w:sz="0" w:space="0" w:color="auto"/>
            <w:right w:val="none" w:sz="0" w:space="0" w:color="auto"/>
          </w:divBdr>
          <w:divsChild>
            <w:div w:id="1372001312">
              <w:marLeft w:val="0"/>
              <w:marRight w:val="0"/>
              <w:marTop w:val="0"/>
              <w:marBottom w:val="0"/>
              <w:divBdr>
                <w:top w:val="none" w:sz="0" w:space="0" w:color="auto"/>
                <w:left w:val="none" w:sz="0" w:space="0" w:color="auto"/>
                <w:bottom w:val="none" w:sz="0" w:space="0" w:color="auto"/>
                <w:right w:val="none" w:sz="0" w:space="0" w:color="auto"/>
              </w:divBdr>
              <w:divsChild>
                <w:div w:id="1556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20857">
      <w:bodyDiv w:val="1"/>
      <w:marLeft w:val="0"/>
      <w:marRight w:val="0"/>
      <w:marTop w:val="0"/>
      <w:marBottom w:val="0"/>
      <w:divBdr>
        <w:top w:val="none" w:sz="0" w:space="0" w:color="auto"/>
        <w:left w:val="none" w:sz="0" w:space="0" w:color="auto"/>
        <w:bottom w:val="none" w:sz="0" w:space="0" w:color="auto"/>
        <w:right w:val="none" w:sz="0" w:space="0" w:color="auto"/>
      </w:divBdr>
    </w:div>
    <w:div w:id="2136822873">
      <w:bodyDiv w:val="1"/>
      <w:marLeft w:val="0"/>
      <w:marRight w:val="0"/>
      <w:marTop w:val="0"/>
      <w:marBottom w:val="0"/>
      <w:divBdr>
        <w:top w:val="none" w:sz="0" w:space="0" w:color="auto"/>
        <w:left w:val="none" w:sz="0" w:space="0" w:color="auto"/>
        <w:bottom w:val="none" w:sz="0" w:space="0" w:color="auto"/>
        <w:right w:val="none" w:sz="0" w:space="0" w:color="auto"/>
      </w:divBdr>
      <w:divsChild>
        <w:div w:id="909536353">
          <w:marLeft w:val="0"/>
          <w:marRight w:val="0"/>
          <w:marTop w:val="0"/>
          <w:marBottom w:val="0"/>
          <w:divBdr>
            <w:top w:val="none" w:sz="0" w:space="0" w:color="auto"/>
            <w:left w:val="none" w:sz="0" w:space="0" w:color="auto"/>
            <w:bottom w:val="none" w:sz="0" w:space="0" w:color="auto"/>
            <w:right w:val="none" w:sz="0" w:space="0" w:color="auto"/>
          </w:divBdr>
          <w:divsChild>
            <w:div w:id="67576162">
              <w:marLeft w:val="0"/>
              <w:marRight w:val="0"/>
              <w:marTop w:val="0"/>
              <w:marBottom w:val="0"/>
              <w:divBdr>
                <w:top w:val="none" w:sz="0" w:space="0" w:color="auto"/>
                <w:left w:val="none" w:sz="0" w:space="0" w:color="auto"/>
                <w:bottom w:val="none" w:sz="0" w:space="0" w:color="auto"/>
                <w:right w:val="none" w:sz="0" w:space="0" w:color="auto"/>
              </w:divBdr>
              <w:divsChild>
                <w:div w:id="9654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B5D6420-3B67-8A44-8D04-927767313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1426</Words>
  <Characters>8132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Millar</dc:creator>
  <cp:lastModifiedBy>Anthony Millar</cp:lastModifiedBy>
  <cp:revision>3</cp:revision>
  <cp:lastPrinted>2018-02-04T10:32:00Z</cp:lastPrinted>
  <dcterms:created xsi:type="dcterms:W3CDTF">2023-11-23T10:37:00Z</dcterms:created>
  <dcterms:modified xsi:type="dcterms:W3CDTF">2023-11-23T10:38:00Z</dcterms:modified>
</cp:coreProperties>
</file>