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22" w:rsidRPr="000C7880" w:rsidRDefault="00E85522" w:rsidP="00E85522">
      <w:pPr>
        <w:rPr>
          <w:rFonts w:ascii="Times New Roman" w:hAnsi="Times New Roman" w:cs="Times New Roman"/>
          <w:sz w:val="28"/>
          <w:szCs w:val="28"/>
        </w:rPr>
      </w:pPr>
      <w:bookmarkStart w:id="0" w:name="_GoBack"/>
      <w:bookmarkEnd w:id="0"/>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2E6A3A">
        <w:rPr>
          <w:rFonts w:ascii="Times New Roman" w:hAnsi="Times New Roman" w:cs="Times New Roman"/>
          <w:b/>
          <w:color w:val="000000" w:themeColor="text1"/>
          <w:sz w:val="28"/>
          <w:szCs w:val="28"/>
        </w:rPr>
        <w:tab/>
      </w:r>
      <w:r w:rsidR="002E6A3A">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C841D0">
        <w:rPr>
          <w:rFonts w:ascii="Times New Roman" w:hAnsi="Times New Roman" w:cs="Times New Roman"/>
          <w:b/>
          <w:color w:val="000000" w:themeColor="text1"/>
          <w:sz w:val="28"/>
          <w:szCs w:val="28"/>
        </w:rPr>
        <w:t xml:space="preserve"> </w:t>
      </w:r>
      <w:r w:rsidR="000D696A">
        <w:rPr>
          <w:rFonts w:ascii="Times New Roman" w:hAnsi="Times New Roman" w:cs="Times New Roman"/>
          <w:b/>
          <w:color w:val="000000" w:themeColor="text1"/>
          <w:sz w:val="28"/>
          <w:szCs w:val="28"/>
        </w:rPr>
        <w:t>38145/2022</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1" w:name="OLE_LINK1"/>
            <w:bookmarkStart w:id="2" w:name="OLE_LINK2"/>
            <w:bookmarkStart w:id="3" w:name="OLE_LINK3"/>
            <w:bookmarkStart w:id="4" w:name="OLE_LINK4"/>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DD6544">
              <w:rPr>
                <w:rFonts w:ascii="Times New Roman" w:eastAsia="Calibri" w:hAnsi="Times New Roman" w:cs="Arial"/>
                <w:b/>
                <w:spacing w:val="3"/>
                <w:w w:val="104"/>
                <w:kern w:val="24"/>
                <w:sz w:val="18"/>
                <w:szCs w:val="18"/>
                <w:lang w:val="en-GB"/>
              </w:rPr>
              <w:t xml:space="preserve"> 12</w:t>
            </w:r>
            <w:r w:rsidR="000D696A">
              <w:rPr>
                <w:rFonts w:ascii="Times New Roman" w:eastAsia="Calibri" w:hAnsi="Times New Roman" w:cs="Arial"/>
                <w:b/>
                <w:spacing w:val="3"/>
                <w:w w:val="104"/>
                <w:kern w:val="24"/>
                <w:sz w:val="18"/>
                <w:szCs w:val="18"/>
                <w:lang w:val="en-GB"/>
              </w:rPr>
              <w:t xml:space="preserve"> </w:t>
            </w:r>
            <w:r w:rsidR="00CE1E09">
              <w:rPr>
                <w:rFonts w:ascii="Times New Roman" w:eastAsia="Calibri" w:hAnsi="Times New Roman" w:cs="Arial"/>
                <w:b/>
                <w:spacing w:val="3"/>
                <w:w w:val="104"/>
                <w:kern w:val="24"/>
                <w:sz w:val="18"/>
                <w:szCs w:val="18"/>
                <w:lang w:val="en-GB"/>
              </w:rPr>
              <w:t>DECEMBER</w:t>
            </w:r>
            <w:r w:rsidR="00886B93">
              <w:rPr>
                <w:rFonts w:ascii="Times New Roman" w:eastAsia="Calibri" w:hAnsi="Times New Roman" w:cs="Arial"/>
                <w:b/>
                <w:spacing w:val="3"/>
                <w:w w:val="104"/>
                <w:kern w:val="24"/>
                <w:sz w:val="18"/>
                <w:szCs w:val="18"/>
                <w:lang w:val="en-GB"/>
              </w:rPr>
              <w:t xml:space="preserve"> </w:t>
            </w:r>
            <w:r w:rsidR="00395B4C">
              <w:rPr>
                <w:rFonts w:ascii="Times New Roman" w:eastAsia="Calibri" w:hAnsi="Times New Roman" w:cs="Arial"/>
                <w:b/>
                <w:spacing w:val="3"/>
                <w:w w:val="104"/>
                <w:kern w:val="24"/>
                <w:sz w:val="18"/>
                <w:szCs w:val="18"/>
                <w:lang w:val="en-GB"/>
              </w:rPr>
              <w:t>2023</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1"/>
      <w:bookmarkEnd w:id="2"/>
      <w:bookmarkEnd w:id="3"/>
      <w:bookmarkEnd w:id="4"/>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0D696A" w:rsidRDefault="007D6E61" w:rsidP="00AA0EFE">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KEE</w:t>
      </w:r>
      <w:r w:rsidR="000D696A">
        <w:rPr>
          <w:rFonts w:ascii="Times New Roman" w:hAnsi="Times New Roman" w:cs="Times New Roman"/>
          <w:b/>
          <w:color w:val="000000" w:themeColor="text1"/>
          <w:sz w:val="28"/>
          <w:szCs w:val="28"/>
        </w:rPr>
        <w:t xml:space="preserve">GANS AUTO SPARES AND ACCESSORIES CC </w:t>
      </w:r>
    </w:p>
    <w:p w:rsidR="00EE1DF4" w:rsidRDefault="000D696A" w:rsidP="00AD518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t/a JAYMEES MIDAS</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AD518C">
        <w:rPr>
          <w:rFonts w:ascii="Times New Roman" w:hAnsi="Times New Roman" w:cs="Times New Roman"/>
          <w:color w:val="000000" w:themeColor="text1"/>
          <w:sz w:val="28"/>
          <w:szCs w:val="28"/>
        </w:rPr>
        <w:tab/>
      </w:r>
      <w:r w:rsidR="00AD5705">
        <w:rPr>
          <w:rFonts w:ascii="Times New Roman" w:hAnsi="Times New Roman" w:cs="Times New Roman"/>
          <w:color w:val="000000" w:themeColor="text1"/>
          <w:sz w:val="28"/>
          <w:szCs w:val="28"/>
        </w:rPr>
        <w:tab/>
      </w:r>
      <w:r w:rsidR="001F11E5">
        <w:rPr>
          <w:rFonts w:ascii="Times New Roman" w:hAnsi="Times New Roman" w:cs="Times New Roman"/>
          <w:color w:val="000000" w:themeColor="text1"/>
          <w:sz w:val="28"/>
          <w:szCs w:val="28"/>
        </w:rPr>
        <w:t xml:space="preserve">            </w:t>
      </w:r>
      <w:r w:rsidR="001F11E5">
        <w:rPr>
          <w:rFonts w:ascii="Times New Roman" w:hAnsi="Times New Roman" w:cs="Times New Roman"/>
          <w:color w:val="000000" w:themeColor="text1"/>
          <w:sz w:val="28"/>
          <w:szCs w:val="28"/>
        </w:rPr>
        <w:tab/>
        <w:t xml:space="preserve">  </w:t>
      </w:r>
      <w:r w:rsidR="00886B93">
        <w:rPr>
          <w:rFonts w:ascii="Times New Roman" w:hAnsi="Times New Roman" w:cs="Times New Roman"/>
          <w:color w:val="000000" w:themeColor="text1"/>
          <w:sz w:val="28"/>
          <w:szCs w:val="28"/>
        </w:rPr>
        <w:tab/>
      </w:r>
      <w:r w:rsidR="00886B93">
        <w:rPr>
          <w:rFonts w:ascii="Times New Roman" w:hAnsi="Times New Roman" w:cs="Times New Roman"/>
          <w:color w:val="000000" w:themeColor="text1"/>
          <w:sz w:val="28"/>
          <w:szCs w:val="28"/>
        </w:rPr>
        <w:tab/>
        <w:t>Applicant</w:t>
      </w:r>
    </w:p>
    <w:p w:rsidR="00885474" w:rsidRDefault="00885474" w:rsidP="008479BB">
      <w:pPr>
        <w:spacing w:after="0"/>
        <w:ind w:right="-45"/>
        <w:rPr>
          <w:rFonts w:ascii="Times New Roman" w:hAnsi="Times New Roman" w:cs="Times New Roman"/>
          <w:color w:val="000000" w:themeColor="text1"/>
          <w:sz w:val="28"/>
          <w:szCs w:val="28"/>
        </w:rPr>
      </w:pPr>
    </w:p>
    <w:p w:rsidR="00885474" w:rsidRDefault="00C85571"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rsidR="00C85571" w:rsidRDefault="00C85571" w:rsidP="008479BB">
      <w:pPr>
        <w:spacing w:after="0"/>
        <w:ind w:right="-45"/>
        <w:rPr>
          <w:rFonts w:ascii="Times New Roman" w:hAnsi="Times New Roman" w:cs="Times New Roman"/>
          <w:color w:val="000000" w:themeColor="text1"/>
          <w:sz w:val="28"/>
          <w:szCs w:val="28"/>
        </w:rPr>
      </w:pPr>
    </w:p>
    <w:p w:rsidR="00A409DF" w:rsidRDefault="000D696A" w:rsidP="00C85571">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NATIONAL TREASURY OF SOUTH AFRICA</w:t>
      </w:r>
      <w:r>
        <w:rPr>
          <w:rFonts w:ascii="Times New Roman" w:hAnsi="Times New Roman" w:cs="Times New Roman"/>
          <w:b/>
          <w:color w:val="000000" w:themeColor="text1"/>
          <w:sz w:val="28"/>
          <w:szCs w:val="28"/>
        </w:rPr>
        <w:tab/>
        <w:t xml:space="preserve"> </w:t>
      </w:r>
      <w:r w:rsidR="00886B9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886B93" w:rsidRPr="00A409DF">
        <w:rPr>
          <w:rFonts w:ascii="Times New Roman" w:hAnsi="Times New Roman" w:cs="Times New Roman"/>
          <w:color w:val="000000" w:themeColor="text1"/>
          <w:sz w:val="28"/>
          <w:szCs w:val="28"/>
        </w:rPr>
        <w:t>First Respondent</w:t>
      </w:r>
    </w:p>
    <w:p w:rsidR="00AA0EFE" w:rsidRDefault="00AA0EFE" w:rsidP="00A409DF">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CHIEF DIRECTOR: TRANSVERSAL </w:t>
      </w:r>
    </w:p>
    <w:p w:rsidR="00AD5705" w:rsidRDefault="00AA0EFE" w:rsidP="00A409DF">
      <w:pPr>
        <w:spacing w:after="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CONTRACTING OFFICE, NATIONAL TREASURY      </w:t>
      </w:r>
      <w:r w:rsidR="00A409DF">
        <w:rPr>
          <w:rFonts w:ascii="Times New Roman" w:hAnsi="Times New Roman" w:cs="Times New Roman"/>
          <w:b/>
          <w:color w:val="000000" w:themeColor="text1"/>
          <w:sz w:val="28"/>
          <w:szCs w:val="28"/>
        </w:rPr>
        <w:t xml:space="preserve"> </w:t>
      </w:r>
      <w:r w:rsidR="00886B93" w:rsidRPr="00A409DF">
        <w:rPr>
          <w:rFonts w:ascii="Times New Roman" w:hAnsi="Times New Roman" w:cs="Times New Roman"/>
          <w:color w:val="000000" w:themeColor="text1"/>
          <w:sz w:val="28"/>
          <w:szCs w:val="28"/>
        </w:rPr>
        <w:t>Second</w:t>
      </w:r>
      <w:r w:rsidR="00886B93">
        <w:rPr>
          <w:rFonts w:ascii="Times New Roman" w:hAnsi="Times New Roman" w:cs="Times New Roman"/>
          <w:b/>
          <w:color w:val="000000" w:themeColor="text1"/>
          <w:sz w:val="28"/>
          <w:szCs w:val="28"/>
        </w:rPr>
        <w:t xml:space="preserve"> </w:t>
      </w:r>
      <w:r w:rsidR="00AD5705">
        <w:rPr>
          <w:rFonts w:ascii="Times New Roman" w:hAnsi="Times New Roman" w:cs="Times New Roman"/>
          <w:color w:val="000000" w:themeColor="text1"/>
          <w:sz w:val="28"/>
          <w:szCs w:val="28"/>
        </w:rPr>
        <w:t>Respondent</w:t>
      </w:r>
    </w:p>
    <w:p w:rsidR="0008670A" w:rsidRDefault="00AA0EFE" w:rsidP="00A409DF">
      <w:pPr>
        <w:spacing w:after="0"/>
        <w:ind w:right="-45"/>
        <w:rPr>
          <w:rFonts w:ascii="Times New Roman" w:hAnsi="Times New Roman" w:cs="Times New Roman"/>
          <w:b/>
          <w:color w:val="000000" w:themeColor="text1"/>
          <w:sz w:val="28"/>
          <w:szCs w:val="28"/>
        </w:rPr>
      </w:pPr>
      <w:r w:rsidRPr="0008670A">
        <w:rPr>
          <w:rFonts w:ascii="Times New Roman" w:hAnsi="Times New Roman" w:cs="Times New Roman"/>
          <w:b/>
          <w:color w:val="000000" w:themeColor="text1"/>
          <w:sz w:val="28"/>
          <w:szCs w:val="28"/>
        </w:rPr>
        <w:t xml:space="preserve">THE ACTING DIRECTOR GENERAL, </w:t>
      </w:r>
    </w:p>
    <w:p w:rsidR="00AA0EFE" w:rsidRDefault="00AA0EFE" w:rsidP="00A409DF">
      <w:pPr>
        <w:spacing w:after="0"/>
        <w:ind w:right="-45"/>
        <w:rPr>
          <w:rFonts w:ascii="Times New Roman" w:hAnsi="Times New Roman" w:cs="Times New Roman"/>
          <w:color w:val="000000" w:themeColor="text1"/>
          <w:sz w:val="28"/>
          <w:szCs w:val="28"/>
        </w:rPr>
      </w:pPr>
      <w:r w:rsidRPr="0008670A">
        <w:rPr>
          <w:rFonts w:ascii="Times New Roman" w:hAnsi="Times New Roman" w:cs="Times New Roman"/>
          <w:b/>
          <w:color w:val="000000" w:themeColor="text1"/>
          <w:sz w:val="28"/>
          <w:szCs w:val="28"/>
        </w:rPr>
        <w:t>NATIONAL TREASURY</w:t>
      </w:r>
      <w:r>
        <w:rPr>
          <w:rFonts w:ascii="Times New Roman" w:hAnsi="Times New Roman" w:cs="Times New Roman"/>
          <w:color w:val="000000" w:themeColor="text1"/>
          <w:sz w:val="28"/>
          <w:szCs w:val="28"/>
        </w:rPr>
        <w:t xml:space="preserve"> </w:t>
      </w:r>
      <w:r w:rsidR="0008670A">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Third Respondent</w:t>
      </w:r>
    </w:p>
    <w:p w:rsidR="00AA0EFE" w:rsidRDefault="00AA0EFE" w:rsidP="00A409DF">
      <w:pPr>
        <w:spacing w:after="0"/>
        <w:ind w:right="-45"/>
        <w:rPr>
          <w:rFonts w:ascii="Times New Roman" w:hAnsi="Times New Roman" w:cs="Times New Roman"/>
          <w:color w:val="000000" w:themeColor="text1"/>
          <w:sz w:val="28"/>
          <w:szCs w:val="28"/>
        </w:rPr>
      </w:pPr>
      <w:r w:rsidRPr="0008670A">
        <w:rPr>
          <w:rFonts w:ascii="Times New Roman" w:hAnsi="Times New Roman" w:cs="Times New Roman"/>
          <w:b/>
          <w:color w:val="000000" w:themeColor="text1"/>
          <w:sz w:val="28"/>
          <w:szCs w:val="28"/>
        </w:rPr>
        <w:t>THE MINISTER OF FINANCE</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Fourth Respondent</w:t>
      </w:r>
    </w:p>
    <w:p w:rsidR="00AA0EFE" w:rsidRDefault="00AA0EFE" w:rsidP="00A409DF">
      <w:pPr>
        <w:spacing w:after="0"/>
        <w:ind w:right="-45"/>
        <w:rPr>
          <w:rFonts w:ascii="Times New Roman" w:hAnsi="Times New Roman" w:cs="Times New Roman"/>
          <w:color w:val="000000" w:themeColor="text1"/>
          <w:sz w:val="28"/>
          <w:szCs w:val="28"/>
        </w:rPr>
      </w:pPr>
      <w:r w:rsidRPr="0008670A">
        <w:rPr>
          <w:rFonts w:ascii="Times New Roman" w:hAnsi="Times New Roman" w:cs="Times New Roman"/>
          <w:b/>
          <w:color w:val="000000" w:themeColor="text1"/>
          <w:sz w:val="28"/>
          <w:szCs w:val="28"/>
        </w:rPr>
        <w:t>THE MINISTER OF POLICE</w:t>
      </w:r>
      <w:r w:rsidR="0008670A">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Fifth Respondent</w:t>
      </w:r>
    </w:p>
    <w:p w:rsidR="00AA0EFE" w:rsidRDefault="00AA0EFE" w:rsidP="00A409DF">
      <w:pPr>
        <w:spacing w:after="0"/>
        <w:ind w:right="-45"/>
        <w:rPr>
          <w:rFonts w:ascii="Times New Roman" w:hAnsi="Times New Roman" w:cs="Times New Roman"/>
          <w:color w:val="000000" w:themeColor="text1"/>
          <w:sz w:val="28"/>
          <w:szCs w:val="28"/>
        </w:rPr>
      </w:pPr>
      <w:r w:rsidRPr="0008670A">
        <w:rPr>
          <w:rFonts w:ascii="Times New Roman" w:hAnsi="Times New Roman" w:cs="Times New Roman"/>
          <w:b/>
          <w:color w:val="000000" w:themeColor="text1"/>
          <w:sz w:val="28"/>
          <w:szCs w:val="28"/>
        </w:rPr>
        <w:t>THE NATIONAL COMMISSIONER OF POLICE</w:t>
      </w:r>
      <w:r w:rsidR="0008670A">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Sixth Respondent</w:t>
      </w:r>
    </w:p>
    <w:p w:rsidR="00AA0EFE" w:rsidRDefault="00AA0EFE" w:rsidP="00A409DF">
      <w:pPr>
        <w:spacing w:after="0"/>
        <w:ind w:right="-45"/>
        <w:rPr>
          <w:rFonts w:ascii="Times New Roman" w:hAnsi="Times New Roman" w:cs="Times New Roman"/>
          <w:color w:val="000000" w:themeColor="text1"/>
          <w:sz w:val="28"/>
          <w:szCs w:val="28"/>
        </w:rPr>
      </w:pPr>
      <w:r w:rsidRPr="0008670A">
        <w:rPr>
          <w:rFonts w:ascii="Times New Roman" w:hAnsi="Times New Roman" w:cs="Times New Roman"/>
          <w:b/>
          <w:color w:val="000000" w:themeColor="text1"/>
          <w:sz w:val="28"/>
          <w:szCs w:val="28"/>
        </w:rPr>
        <w:lastRenderedPageBreak/>
        <w:t>ALLPARTS (PTY) LTD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Seventh Respondent</w:t>
      </w:r>
    </w:p>
    <w:p w:rsidR="00AA0EFE" w:rsidRDefault="00AA0EFE" w:rsidP="00A409DF">
      <w:pPr>
        <w:spacing w:after="0"/>
        <w:ind w:right="-45"/>
        <w:rPr>
          <w:rFonts w:ascii="Times New Roman" w:hAnsi="Times New Roman" w:cs="Times New Roman"/>
          <w:color w:val="000000" w:themeColor="text1"/>
          <w:sz w:val="28"/>
          <w:szCs w:val="28"/>
        </w:rPr>
      </w:pPr>
      <w:r w:rsidRPr="0008670A">
        <w:rPr>
          <w:rFonts w:ascii="Times New Roman" w:hAnsi="Times New Roman" w:cs="Times New Roman"/>
          <w:b/>
          <w:color w:val="000000" w:themeColor="text1"/>
          <w:sz w:val="28"/>
          <w:szCs w:val="28"/>
        </w:rPr>
        <w:t>KAIZEN MSD (PTY) LTD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Eighth Respondent</w:t>
      </w:r>
    </w:p>
    <w:p w:rsidR="00AA0EFE" w:rsidRDefault="00AA0EFE" w:rsidP="00A409DF">
      <w:pPr>
        <w:spacing w:after="0"/>
        <w:ind w:right="-45"/>
        <w:rPr>
          <w:rFonts w:ascii="Times New Roman" w:hAnsi="Times New Roman" w:cs="Times New Roman"/>
          <w:color w:val="000000" w:themeColor="text1"/>
          <w:sz w:val="28"/>
          <w:szCs w:val="28"/>
        </w:rPr>
      </w:pPr>
      <w:r w:rsidRPr="0008670A">
        <w:rPr>
          <w:rFonts w:ascii="Times New Roman" w:hAnsi="Times New Roman" w:cs="Times New Roman"/>
          <w:b/>
          <w:color w:val="000000" w:themeColor="text1"/>
          <w:sz w:val="28"/>
          <w:szCs w:val="28"/>
        </w:rPr>
        <w:t>AHK MOTOR PARTS (PTY) LTD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 xml:space="preserve"> </w:t>
      </w:r>
      <w:r w:rsidR="0008670A">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Ninth Respondent</w:t>
      </w:r>
    </w:p>
    <w:p w:rsidR="00AA0EFE" w:rsidRDefault="00CE1E09" w:rsidP="00A409DF">
      <w:pPr>
        <w:spacing w:after="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DAR AUTOMO</w:t>
      </w:r>
      <w:r w:rsidR="00AA0EFE" w:rsidRPr="0008670A">
        <w:rPr>
          <w:rFonts w:ascii="Times New Roman" w:hAnsi="Times New Roman" w:cs="Times New Roman"/>
          <w:b/>
          <w:color w:val="000000" w:themeColor="text1"/>
          <w:sz w:val="28"/>
          <w:szCs w:val="28"/>
        </w:rPr>
        <w:t>TIVE (PTY) LTD</w:t>
      </w:r>
      <w:r w:rsidR="00AA0EFE">
        <w:rPr>
          <w:rFonts w:ascii="Times New Roman" w:hAnsi="Times New Roman" w:cs="Times New Roman"/>
          <w:color w:val="000000" w:themeColor="text1"/>
          <w:sz w:val="28"/>
          <w:szCs w:val="28"/>
        </w:rPr>
        <w:tab/>
      </w:r>
      <w:r w:rsidR="00AA0EFE">
        <w:rPr>
          <w:rFonts w:ascii="Times New Roman" w:hAnsi="Times New Roman" w:cs="Times New Roman"/>
          <w:color w:val="000000" w:themeColor="text1"/>
          <w:sz w:val="28"/>
          <w:szCs w:val="28"/>
        </w:rPr>
        <w:tab/>
      </w:r>
      <w:r w:rsidR="00AA0EFE">
        <w:rPr>
          <w:rFonts w:ascii="Times New Roman" w:hAnsi="Times New Roman" w:cs="Times New Roman"/>
          <w:color w:val="000000" w:themeColor="text1"/>
          <w:sz w:val="28"/>
          <w:szCs w:val="28"/>
        </w:rPr>
        <w:tab/>
      </w:r>
      <w:r w:rsidR="0008670A">
        <w:rPr>
          <w:rFonts w:ascii="Times New Roman" w:hAnsi="Times New Roman" w:cs="Times New Roman"/>
          <w:color w:val="000000" w:themeColor="text1"/>
          <w:sz w:val="28"/>
          <w:szCs w:val="28"/>
        </w:rPr>
        <w:tab/>
        <w:t xml:space="preserve">        </w:t>
      </w:r>
      <w:r w:rsidR="00AA0EFE">
        <w:rPr>
          <w:rFonts w:ascii="Times New Roman" w:hAnsi="Times New Roman" w:cs="Times New Roman"/>
          <w:color w:val="000000" w:themeColor="text1"/>
          <w:sz w:val="28"/>
          <w:szCs w:val="28"/>
        </w:rPr>
        <w:t>Tenth Respondent</w:t>
      </w:r>
    </w:p>
    <w:p w:rsidR="00AA0EFE" w:rsidRPr="00A30DC3" w:rsidRDefault="00AA0EFE" w:rsidP="00A409DF">
      <w:pPr>
        <w:spacing w:after="0"/>
        <w:ind w:right="-45"/>
        <w:rPr>
          <w:rFonts w:ascii="Times New Roman" w:hAnsi="Times New Roman" w:cs="Times New Roman"/>
          <w:b/>
          <w:color w:val="000000" w:themeColor="text1"/>
          <w:sz w:val="28"/>
          <w:szCs w:val="28"/>
        </w:rPr>
      </w:pPr>
      <w:r w:rsidRPr="0008670A">
        <w:rPr>
          <w:rFonts w:ascii="Times New Roman" w:hAnsi="Times New Roman" w:cs="Times New Roman"/>
          <w:b/>
          <w:color w:val="000000" w:themeColor="text1"/>
          <w:sz w:val="28"/>
          <w:szCs w:val="28"/>
        </w:rPr>
        <w:t>BOUTIQUE LEASING COMPANY (PTY) LTD</w:t>
      </w:r>
      <w:r w:rsidR="0008670A">
        <w:rPr>
          <w:rFonts w:ascii="Times New Roman" w:hAnsi="Times New Roman" w:cs="Times New Roman"/>
          <w:color w:val="000000" w:themeColor="text1"/>
          <w:sz w:val="28"/>
          <w:szCs w:val="28"/>
        </w:rPr>
        <w:tab/>
        <w:t xml:space="preserve">   Eleventh Responden</w:t>
      </w:r>
    </w:p>
    <w:p w:rsidR="007411CE" w:rsidRDefault="007411CE" w:rsidP="00AD5705">
      <w:pPr>
        <w:pBdr>
          <w:bottom w:val="single" w:sz="12" w:space="1" w:color="auto"/>
        </w:pBdr>
        <w:spacing w:after="0"/>
        <w:ind w:left="1440" w:right="-45" w:hanging="1440"/>
        <w:rPr>
          <w:rFonts w:ascii="Times New Roman" w:hAnsi="Times New Roman" w:cs="Times New Roman"/>
          <w:color w:val="000000" w:themeColor="text1"/>
          <w:sz w:val="28"/>
          <w:szCs w:val="28"/>
        </w:rPr>
      </w:pPr>
    </w:p>
    <w:p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rsidR="00A409DF" w:rsidRDefault="00A409DF" w:rsidP="00A409DF">
      <w:pPr>
        <w:spacing w:after="120"/>
        <w:ind w:right="-45" w:firstLine="720"/>
        <w:rPr>
          <w:rFonts w:ascii="Times New Roman" w:hAnsi="Times New Roman" w:cs="Times New Roman"/>
          <w:color w:val="000000" w:themeColor="text1"/>
          <w:sz w:val="28"/>
          <w:szCs w:val="28"/>
        </w:rPr>
      </w:pPr>
    </w:p>
    <w:p w:rsidR="00886B93" w:rsidRDefault="000D696A" w:rsidP="000D696A">
      <w:pPr>
        <w:spacing w:after="120"/>
        <w:ind w:left="720" w:right="-45"/>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The application is dismissed </w:t>
      </w:r>
      <w:r w:rsidR="00A409DF">
        <w:rPr>
          <w:rFonts w:ascii="Times New Roman" w:hAnsi="Times New Roman" w:cs="Times New Roman"/>
          <w:color w:val="000000" w:themeColor="text1"/>
          <w:sz w:val="28"/>
          <w:szCs w:val="28"/>
        </w:rPr>
        <w:t>with costs</w:t>
      </w:r>
      <w:r>
        <w:rPr>
          <w:rFonts w:ascii="Times New Roman" w:hAnsi="Times New Roman" w:cs="Times New Roman"/>
          <w:color w:val="000000" w:themeColor="text1"/>
          <w:sz w:val="28"/>
          <w:szCs w:val="28"/>
        </w:rPr>
        <w:t>, including the cost</w:t>
      </w:r>
      <w:r w:rsidR="00DD6544">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 of two counsel, where employed</w:t>
      </w:r>
      <w:r w:rsidR="00A409DF">
        <w:rPr>
          <w:rFonts w:ascii="Times New Roman" w:hAnsi="Times New Roman" w:cs="Times New Roman"/>
          <w:color w:val="000000" w:themeColor="text1"/>
          <w:sz w:val="28"/>
          <w:szCs w:val="28"/>
        </w:rPr>
        <w:t>.</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rsidR="009D45F9"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[1]</w:t>
      </w:r>
      <w:r>
        <w:rPr>
          <w:color w:val="000000" w:themeColor="text1"/>
          <w:sz w:val="28"/>
          <w:szCs w:val="28"/>
        </w:rPr>
        <w:tab/>
      </w:r>
      <w:r w:rsidR="00CE1E09">
        <w:rPr>
          <w:color w:val="000000" w:themeColor="text1"/>
          <w:sz w:val="28"/>
          <w:szCs w:val="28"/>
        </w:rPr>
        <w:t>On 21 May 2021, the N</w:t>
      </w:r>
      <w:r w:rsidR="000D696A">
        <w:rPr>
          <w:color w:val="000000" w:themeColor="text1"/>
          <w:sz w:val="28"/>
          <w:szCs w:val="28"/>
        </w:rPr>
        <w:t>ational Treasury of South Africa (the Treasury) called for bids for the supply of automotive parts and tools for the State, primarily for use by t</w:t>
      </w:r>
      <w:r w:rsidR="00FA4018">
        <w:rPr>
          <w:color w:val="000000" w:themeColor="text1"/>
          <w:sz w:val="28"/>
          <w:szCs w:val="28"/>
        </w:rPr>
        <w:t>he South African Police Service</w:t>
      </w:r>
      <w:r w:rsidR="000D696A">
        <w:rPr>
          <w:color w:val="000000" w:themeColor="text1"/>
          <w:sz w:val="28"/>
          <w:szCs w:val="28"/>
        </w:rPr>
        <w:t xml:space="preserve">.  </w:t>
      </w:r>
      <w:r w:rsidR="007D6E61">
        <w:rPr>
          <w:color w:val="000000" w:themeColor="text1"/>
          <w:sz w:val="28"/>
          <w:szCs w:val="28"/>
        </w:rPr>
        <w:t>The applicant, Kee</w:t>
      </w:r>
      <w:r w:rsidR="000D696A">
        <w:rPr>
          <w:color w:val="000000" w:themeColor="text1"/>
          <w:sz w:val="28"/>
          <w:szCs w:val="28"/>
        </w:rPr>
        <w:t>gans Auto Spares and Acces</w:t>
      </w:r>
      <w:r w:rsidR="007D6E61">
        <w:rPr>
          <w:color w:val="000000" w:themeColor="text1"/>
          <w:sz w:val="28"/>
          <w:szCs w:val="28"/>
        </w:rPr>
        <w:t>sories CC t/a Jaymees Midas (Kee</w:t>
      </w:r>
      <w:r w:rsidR="000D696A">
        <w:rPr>
          <w:color w:val="000000" w:themeColor="text1"/>
          <w:sz w:val="28"/>
          <w:szCs w:val="28"/>
        </w:rPr>
        <w:t>gans) unsuccessfully bid for this tender.  The Treasury m</w:t>
      </w:r>
      <w:r w:rsidR="007D6E61">
        <w:rPr>
          <w:color w:val="000000" w:themeColor="text1"/>
          <w:sz w:val="28"/>
          <w:szCs w:val="28"/>
        </w:rPr>
        <w:t>aintains that the reason for Kee</w:t>
      </w:r>
      <w:r w:rsidR="000D696A">
        <w:rPr>
          <w:color w:val="000000" w:themeColor="text1"/>
          <w:sz w:val="28"/>
          <w:szCs w:val="28"/>
        </w:rPr>
        <w:t>gans’ failure was that it did not meet the requirement of demonstrating a “footprint” in the provin</w:t>
      </w:r>
      <w:r w:rsidR="007D6E61">
        <w:rPr>
          <w:color w:val="000000" w:themeColor="text1"/>
          <w:sz w:val="28"/>
          <w:szCs w:val="28"/>
        </w:rPr>
        <w:t>ces</w:t>
      </w:r>
      <w:r w:rsidR="000D696A">
        <w:rPr>
          <w:color w:val="000000" w:themeColor="text1"/>
          <w:sz w:val="28"/>
          <w:szCs w:val="28"/>
        </w:rPr>
        <w:t xml:space="preserve"> for which it had submitted bids</w:t>
      </w:r>
      <w:r w:rsidR="007D6E61">
        <w:rPr>
          <w:color w:val="000000" w:themeColor="text1"/>
          <w:sz w:val="28"/>
          <w:szCs w:val="28"/>
        </w:rPr>
        <w:t>.</w:t>
      </w:r>
      <w:r w:rsidR="00FA4018">
        <w:rPr>
          <w:color w:val="000000" w:themeColor="text1"/>
          <w:sz w:val="28"/>
          <w:szCs w:val="28"/>
        </w:rPr>
        <w:t xml:space="preserve">  It consequently </w:t>
      </w:r>
      <w:r w:rsidR="00DD6544">
        <w:rPr>
          <w:color w:val="000000" w:themeColor="text1"/>
          <w:sz w:val="28"/>
          <w:szCs w:val="28"/>
        </w:rPr>
        <w:t>disqualified Keegans from the</w:t>
      </w:r>
      <w:r w:rsidR="00FA4018">
        <w:rPr>
          <w:color w:val="000000" w:themeColor="text1"/>
          <w:sz w:val="28"/>
          <w:szCs w:val="28"/>
        </w:rPr>
        <w:t xml:space="preserve"> award </w:t>
      </w:r>
      <w:r w:rsidR="00DD6544">
        <w:rPr>
          <w:color w:val="000000" w:themeColor="text1"/>
          <w:sz w:val="28"/>
          <w:szCs w:val="28"/>
        </w:rPr>
        <w:lastRenderedPageBreak/>
        <w:t>of</w:t>
      </w:r>
      <w:r w:rsidR="00B75CD8">
        <w:rPr>
          <w:color w:val="000000" w:themeColor="text1"/>
          <w:sz w:val="28"/>
          <w:szCs w:val="28"/>
        </w:rPr>
        <w:t xml:space="preserve"> a</w:t>
      </w:r>
      <w:r w:rsidR="00FA4018">
        <w:rPr>
          <w:color w:val="000000" w:themeColor="text1"/>
          <w:sz w:val="28"/>
          <w:szCs w:val="28"/>
        </w:rPr>
        <w:t xml:space="preserve"> tender </w:t>
      </w:r>
      <w:r w:rsidR="00DD6544">
        <w:rPr>
          <w:color w:val="000000" w:themeColor="text1"/>
          <w:sz w:val="28"/>
          <w:szCs w:val="28"/>
        </w:rPr>
        <w:t>for any of the provinces</w:t>
      </w:r>
      <w:r w:rsidR="00FA4018">
        <w:rPr>
          <w:color w:val="000000" w:themeColor="text1"/>
          <w:sz w:val="28"/>
          <w:szCs w:val="28"/>
        </w:rPr>
        <w:t>.</w:t>
      </w:r>
      <w:r w:rsidR="007D6E61">
        <w:rPr>
          <w:color w:val="000000" w:themeColor="text1"/>
          <w:sz w:val="28"/>
          <w:szCs w:val="28"/>
        </w:rPr>
        <w:t xml:space="preserve">  It is this decision which Kee</w:t>
      </w:r>
      <w:r w:rsidR="000D696A">
        <w:rPr>
          <w:color w:val="000000" w:themeColor="text1"/>
          <w:sz w:val="28"/>
          <w:szCs w:val="28"/>
        </w:rPr>
        <w:t>gans sought to</w:t>
      </w:r>
      <w:r w:rsidR="00B75CD8">
        <w:rPr>
          <w:color w:val="000000" w:themeColor="text1"/>
          <w:sz w:val="28"/>
          <w:szCs w:val="28"/>
        </w:rPr>
        <w:t xml:space="preserve"> have</w:t>
      </w:r>
      <w:r w:rsidR="000D696A">
        <w:rPr>
          <w:color w:val="000000" w:themeColor="text1"/>
          <w:sz w:val="28"/>
          <w:szCs w:val="28"/>
        </w:rPr>
        <w:t xml:space="preserve"> review</w:t>
      </w:r>
      <w:r w:rsidR="00B75CD8">
        <w:rPr>
          <w:color w:val="000000" w:themeColor="text1"/>
          <w:sz w:val="28"/>
          <w:szCs w:val="28"/>
        </w:rPr>
        <w:t>ed</w:t>
      </w:r>
      <w:r w:rsidR="000D696A">
        <w:rPr>
          <w:color w:val="000000" w:themeColor="text1"/>
          <w:sz w:val="28"/>
          <w:szCs w:val="28"/>
        </w:rPr>
        <w:t>.</w:t>
      </w:r>
    </w:p>
    <w:p w:rsidR="00C2734B" w:rsidRPr="00A409DF" w:rsidRDefault="000D696A" w:rsidP="00A409DF">
      <w:pPr>
        <w:pStyle w:val="MEMONUMBERED"/>
        <w:numPr>
          <w:ilvl w:val="0"/>
          <w:numId w:val="0"/>
        </w:numPr>
        <w:spacing w:after="120" w:line="360" w:lineRule="auto"/>
        <w:rPr>
          <w:b/>
          <w:color w:val="000000" w:themeColor="text1"/>
          <w:sz w:val="28"/>
          <w:szCs w:val="28"/>
        </w:rPr>
      </w:pPr>
      <w:r>
        <w:rPr>
          <w:b/>
          <w:color w:val="000000" w:themeColor="text1"/>
          <w:sz w:val="28"/>
          <w:szCs w:val="28"/>
        </w:rPr>
        <w:t>The parties</w:t>
      </w:r>
    </w:p>
    <w:p w:rsidR="003F4D6D"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[2]</w:t>
      </w:r>
      <w:r>
        <w:rPr>
          <w:color w:val="000000" w:themeColor="text1"/>
          <w:sz w:val="28"/>
          <w:szCs w:val="28"/>
        </w:rPr>
        <w:tab/>
      </w:r>
      <w:r w:rsidR="000D696A">
        <w:rPr>
          <w:color w:val="000000" w:themeColor="text1"/>
          <w:sz w:val="28"/>
          <w:szCs w:val="28"/>
        </w:rPr>
        <w:t>The Treasury was cited as</w:t>
      </w:r>
      <w:r w:rsidR="00CE1E09">
        <w:rPr>
          <w:color w:val="000000" w:themeColor="text1"/>
          <w:sz w:val="28"/>
          <w:szCs w:val="28"/>
        </w:rPr>
        <w:t xml:space="preserve"> the</w:t>
      </w:r>
      <w:r w:rsidR="00FA4018">
        <w:rPr>
          <w:color w:val="000000" w:themeColor="text1"/>
          <w:sz w:val="28"/>
          <w:szCs w:val="28"/>
        </w:rPr>
        <w:t xml:space="preserve"> first respondent and</w:t>
      </w:r>
      <w:r w:rsidR="000D696A">
        <w:rPr>
          <w:color w:val="000000" w:themeColor="text1"/>
          <w:sz w:val="28"/>
          <w:szCs w:val="28"/>
        </w:rPr>
        <w:t xml:space="preserve"> the Chief Director: Transversal </w:t>
      </w:r>
      <w:r w:rsidR="00B1621D">
        <w:rPr>
          <w:color w:val="000000" w:themeColor="text1"/>
          <w:sz w:val="28"/>
          <w:szCs w:val="28"/>
        </w:rPr>
        <w:t>Contracting</w:t>
      </w:r>
      <w:r w:rsidR="000D696A">
        <w:rPr>
          <w:color w:val="000000" w:themeColor="text1"/>
          <w:sz w:val="28"/>
          <w:szCs w:val="28"/>
        </w:rPr>
        <w:t xml:space="preserve"> Office and t</w:t>
      </w:r>
      <w:r w:rsidR="00CE1E09">
        <w:rPr>
          <w:color w:val="000000" w:themeColor="text1"/>
          <w:sz w:val="28"/>
          <w:szCs w:val="28"/>
        </w:rPr>
        <w:t>he Acting Director General, both</w:t>
      </w:r>
      <w:r w:rsidR="000D696A">
        <w:rPr>
          <w:color w:val="000000" w:themeColor="text1"/>
          <w:sz w:val="28"/>
          <w:szCs w:val="28"/>
        </w:rPr>
        <w:t xml:space="preserve"> of the Treasury, were cited as </w:t>
      </w:r>
      <w:r w:rsidR="00B1621D">
        <w:rPr>
          <w:color w:val="000000" w:themeColor="text1"/>
          <w:sz w:val="28"/>
          <w:szCs w:val="28"/>
        </w:rPr>
        <w:t>the second and third respondents respectively.  The Minister of Finance was cited as the fourth respondent and the Minister of Police and the Na</w:t>
      </w:r>
      <w:r w:rsidR="00DD6544">
        <w:rPr>
          <w:color w:val="000000" w:themeColor="text1"/>
          <w:sz w:val="28"/>
          <w:szCs w:val="28"/>
        </w:rPr>
        <w:t>tional Commissioner of Police we</w:t>
      </w:r>
      <w:r w:rsidR="00B1621D">
        <w:rPr>
          <w:color w:val="000000" w:themeColor="text1"/>
          <w:sz w:val="28"/>
          <w:szCs w:val="28"/>
        </w:rPr>
        <w:t>re cited as the fourth and fifth respondents respectively.  The seventh to eleventh respondents were the other bidders, of which the se</w:t>
      </w:r>
      <w:r w:rsidR="00CE1E09">
        <w:rPr>
          <w:color w:val="000000" w:themeColor="text1"/>
          <w:sz w:val="28"/>
          <w:szCs w:val="28"/>
        </w:rPr>
        <w:t>venth and eighth respondents had been</w:t>
      </w:r>
      <w:r w:rsidR="00B1621D">
        <w:rPr>
          <w:color w:val="000000" w:themeColor="text1"/>
          <w:sz w:val="28"/>
          <w:szCs w:val="28"/>
        </w:rPr>
        <w:t xml:space="preserve"> successful.</w:t>
      </w:r>
    </w:p>
    <w:p w:rsidR="00B1621D" w:rsidRPr="00B1621D" w:rsidRDefault="00B1621D" w:rsidP="00B1621D">
      <w:pPr>
        <w:pStyle w:val="MEMONUMBERED"/>
        <w:numPr>
          <w:ilvl w:val="0"/>
          <w:numId w:val="0"/>
        </w:numPr>
        <w:spacing w:after="120" w:line="360" w:lineRule="auto"/>
        <w:rPr>
          <w:b/>
          <w:color w:val="000000" w:themeColor="text1"/>
          <w:sz w:val="28"/>
          <w:szCs w:val="28"/>
        </w:rPr>
      </w:pPr>
      <w:r w:rsidRPr="00B1621D">
        <w:rPr>
          <w:b/>
          <w:color w:val="000000" w:themeColor="text1"/>
          <w:sz w:val="28"/>
          <w:szCs w:val="28"/>
        </w:rPr>
        <w:t>The tender</w:t>
      </w:r>
    </w:p>
    <w:p w:rsidR="00C2734B"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[3]</w:t>
      </w:r>
      <w:r>
        <w:rPr>
          <w:color w:val="000000" w:themeColor="text1"/>
          <w:sz w:val="28"/>
          <w:szCs w:val="28"/>
        </w:rPr>
        <w:tab/>
      </w:r>
      <w:r w:rsidR="00C2734B">
        <w:rPr>
          <w:color w:val="000000" w:themeColor="text1"/>
          <w:sz w:val="28"/>
          <w:szCs w:val="28"/>
        </w:rPr>
        <w:t xml:space="preserve">The </w:t>
      </w:r>
      <w:r w:rsidR="00CE1E09">
        <w:rPr>
          <w:color w:val="000000" w:themeColor="text1"/>
          <w:sz w:val="28"/>
          <w:szCs w:val="28"/>
        </w:rPr>
        <w:t>tender in question</w:t>
      </w:r>
      <w:r w:rsidR="00B1621D">
        <w:rPr>
          <w:color w:val="000000" w:themeColor="text1"/>
          <w:sz w:val="28"/>
          <w:szCs w:val="28"/>
        </w:rPr>
        <w:t xml:space="preserve"> was for the “Supply and Delivery of Automotive Parts and To</w:t>
      </w:r>
      <w:r w:rsidR="00CE1E09">
        <w:rPr>
          <w:color w:val="000000" w:themeColor="text1"/>
          <w:sz w:val="28"/>
          <w:szCs w:val="28"/>
        </w:rPr>
        <w:t>ols to the State” for a period o</w:t>
      </w:r>
      <w:r w:rsidR="00B1621D">
        <w:rPr>
          <w:color w:val="000000" w:themeColor="text1"/>
          <w:sz w:val="28"/>
          <w:szCs w:val="28"/>
        </w:rPr>
        <w:t>f 36 months, labelled RT45-2021.</w:t>
      </w:r>
    </w:p>
    <w:p w:rsidR="00B1621D"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B1621D">
        <w:rPr>
          <w:color w:val="000000" w:themeColor="text1"/>
          <w:sz w:val="28"/>
          <w:szCs w:val="28"/>
        </w:rPr>
        <w:t>The bidding process, supervised by the Treasury (due to the fact that “</w:t>
      </w:r>
      <w:r w:rsidR="000B7851">
        <w:rPr>
          <w:color w:val="000000" w:themeColor="text1"/>
          <w:sz w:val="28"/>
          <w:szCs w:val="28"/>
        </w:rPr>
        <w:t>Transvers</w:t>
      </w:r>
      <w:r w:rsidR="00B1621D">
        <w:rPr>
          <w:color w:val="000000" w:themeColor="text1"/>
          <w:sz w:val="28"/>
          <w:szCs w:val="28"/>
        </w:rPr>
        <w:t>al Contracts” were envisaged) was subject to “General Conditions of Contract” (GCC) requirements, issued in accordance with Treasury Regulation 16A (GNR 225 of 15 March 2005 – Amendment of Treasury Regulations in terms of Section 76)</w:t>
      </w:r>
      <w:r w:rsidR="00FA4018">
        <w:rPr>
          <w:color w:val="000000" w:themeColor="text1"/>
          <w:sz w:val="28"/>
          <w:szCs w:val="28"/>
        </w:rPr>
        <w:t xml:space="preserve"> issued</w:t>
      </w:r>
      <w:r w:rsidR="00B1621D">
        <w:rPr>
          <w:color w:val="000000" w:themeColor="text1"/>
          <w:sz w:val="28"/>
          <w:szCs w:val="28"/>
        </w:rPr>
        <w:t xml:space="preserve"> in terms of the Public Finance Management Act 1 of 1999</w:t>
      </w:r>
      <w:r w:rsidR="00801786">
        <w:rPr>
          <w:color w:val="000000" w:themeColor="text1"/>
          <w:sz w:val="28"/>
          <w:szCs w:val="28"/>
        </w:rPr>
        <w:t xml:space="preserve"> (the PFMA) as well as the Preferential Procurement Policy Framework Act, 5 of 2000 (the PPPFA).  In addition, </w:t>
      </w:r>
      <w:r w:rsidR="00FA4018">
        <w:rPr>
          <w:color w:val="000000" w:themeColor="text1"/>
          <w:sz w:val="28"/>
          <w:szCs w:val="28"/>
        </w:rPr>
        <w:t>“</w:t>
      </w:r>
      <w:r w:rsidR="00801786">
        <w:rPr>
          <w:color w:val="000000" w:themeColor="text1"/>
          <w:sz w:val="28"/>
          <w:szCs w:val="28"/>
        </w:rPr>
        <w:t>Special Conditions of Contract</w:t>
      </w:r>
      <w:r w:rsidR="00FA4018">
        <w:rPr>
          <w:color w:val="000000" w:themeColor="text1"/>
          <w:sz w:val="28"/>
          <w:szCs w:val="28"/>
        </w:rPr>
        <w:t>”</w:t>
      </w:r>
      <w:r w:rsidR="00801786">
        <w:rPr>
          <w:color w:val="000000" w:themeColor="text1"/>
          <w:sz w:val="28"/>
          <w:szCs w:val="28"/>
        </w:rPr>
        <w:t xml:space="preserve"> (SCC), as provided for in the GCC, were also </w:t>
      </w:r>
      <w:r w:rsidR="00FA4018">
        <w:rPr>
          <w:color w:val="000000" w:themeColor="text1"/>
          <w:sz w:val="28"/>
          <w:szCs w:val="28"/>
        </w:rPr>
        <w:t>applicable</w:t>
      </w:r>
      <w:r w:rsidR="00801786">
        <w:rPr>
          <w:color w:val="000000" w:themeColor="text1"/>
          <w:sz w:val="28"/>
          <w:szCs w:val="28"/>
        </w:rPr>
        <w:t>.</w:t>
      </w:r>
    </w:p>
    <w:p w:rsidR="00801786"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[5]</w:t>
      </w:r>
      <w:r>
        <w:rPr>
          <w:color w:val="000000" w:themeColor="text1"/>
          <w:sz w:val="28"/>
          <w:szCs w:val="28"/>
        </w:rPr>
        <w:tab/>
      </w:r>
      <w:r w:rsidR="00801786">
        <w:rPr>
          <w:color w:val="000000" w:themeColor="text1"/>
          <w:sz w:val="28"/>
          <w:szCs w:val="28"/>
        </w:rPr>
        <w:t xml:space="preserve">The scope of works for the tender was to provide the South African Police Service with automotive parts and tools on a nationwide basis.  The successful bidder was expected to have the capacity and capability to render the service as </w:t>
      </w:r>
      <w:r w:rsidR="00801786">
        <w:rPr>
          <w:color w:val="000000" w:themeColor="text1"/>
          <w:sz w:val="28"/>
          <w:szCs w:val="28"/>
        </w:rPr>
        <w:lastRenderedPageBreak/>
        <w:t xml:space="preserve">required.  A prospective bidder could </w:t>
      </w:r>
      <w:r w:rsidR="00DD6544">
        <w:rPr>
          <w:color w:val="000000" w:themeColor="text1"/>
          <w:sz w:val="28"/>
          <w:szCs w:val="28"/>
        </w:rPr>
        <w:t>bid</w:t>
      </w:r>
      <w:r w:rsidR="00801786">
        <w:rPr>
          <w:color w:val="000000" w:themeColor="text1"/>
          <w:sz w:val="28"/>
          <w:szCs w:val="28"/>
        </w:rPr>
        <w:t xml:space="preserve"> for any number of provinces and/or a combination of provinces.</w:t>
      </w:r>
    </w:p>
    <w:p w:rsidR="00801786"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801786">
        <w:rPr>
          <w:color w:val="000000" w:themeColor="text1"/>
          <w:sz w:val="28"/>
          <w:szCs w:val="28"/>
        </w:rPr>
        <w:t>In addition to the above, bidders were required to complete a</w:t>
      </w:r>
      <w:r w:rsidR="00CE1E09">
        <w:rPr>
          <w:color w:val="000000" w:themeColor="text1"/>
          <w:sz w:val="28"/>
          <w:szCs w:val="28"/>
        </w:rPr>
        <w:t>n “A</w:t>
      </w:r>
      <w:r w:rsidR="00801786">
        <w:rPr>
          <w:color w:val="000000" w:themeColor="text1"/>
          <w:sz w:val="28"/>
          <w:szCs w:val="28"/>
        </w:rPr>
        <w:t>uthorization Declaration” (in terms of clause 5.3.5 of the SCC, provided for in a prescribed format, labelled TCBD1).</w:t>
      </w:r>
    </w:p>
    <w:p w:rsidR="00801786"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[7]</w:t>
      </w:r>
      <w:r>
        <w:rPr>
          <w:color w:val="000000" w:themeColor="text1"/>
          <w:sz w:val="28"/>
          <w:szCs w:val="28"/>
        </w:rPr>
        <w:tab/>
      </w:r>
      <w:r w:rsidR="00801786">
        <w:rPr>
          <w:color w:val="000000" w:themeColor="text1"/>
          <w:sz w:val="28"/>
          <w:szCs w:val="28"/>
        </w:rPr>
        <w:t>The Authorisation Declaration required an indication as to whether the goods to be supplied would be ac</w:t>
      </w:r>
      <w:r w:rsidR="00CE1E09">
        <w:rPr>
          <w:color w:val="000000" w:themeColor="text1"/>
          <w:sz w:val="28"/>
          <w:szCs w:val="28"/>
        </w:rPr>
        <w:t>quired f</w:t>
      </w:r>
      <w:r w:rsidR="00801786">
        <w:rPr>
          <w:color w:val="000000" w:themeColor="text1"/>
          <w:sz w:val="28"/>
          <w:szCs w:val="28"/>
        </w:rPr>
        <w:t>r</w:t>
      </w:r>
      <w:r w:rsidR="00CE1E09">
        <w:rPr>
          <w:color w:val="000000" w:themeColor="text1"/>
          <w:sz w:val="28"/>
          <w:szCs w:val="28"/>
        </w:rPr>
        <w:t>o</w:t>
      </w:r>
      <w:r w:rsidR="00801786">
        <w:rPr>
          <w:color w:val="000000" w:themeColor="text1"/>
          <w:sz w:val="28"/>
          <w:szCs w:val="28"/>
        </w:rPr>
        <w:t>m a “third party”.  If so, the bidder was required to declar</w:t>
      </w:r>
      <w:r w:rsidR="00CE1E09">
        <w:rPr>
          <w:color w:val="000000" w:themeColor="text1"/>
          <w:sz w:val="28"/>
          <w:szCs w:val="28"/>
        </w:rPr>
        <w:t>e that the goods were sourced f</w:t>
      </w:r>
      <w:r w:rsidR="00801786">
        <w:rPr>
          <w:color w:val="000000" w:themeColor="text1"/>
          <w:sz w:val="28"/>
          <w:szCs w:val="28"/>
        </w:rPr>
        <w:t>r</w:t>
      </w:r>
      <w:r w:rsidR="00CE1E09">
        <w:rPr>
          <w:color w:val="000000" w:themeColor="text1"/>
          <w:sz w:val="28"/>
          <w:szCs w:val="28"/>
        </w:rPr>
        <w:t>o</w:t>
      </w:r>
      <w:r w:rsidR="00801786">
        <w:rPr>
          <w:color w:val="000000" w:themeColor="text1"/>
          <w:sz w:val="28"/>
          <w:szCs w:val="28"/>
        </w:rPr>
        <w:t>m a third party, in respect of which the bidder needed to supply</w:t>
      </w:r>
      <w:r w:rsidR="00DD6544">
        <w:rPr>
          <w:color w:val="000000" w:themeColor="text1"/>
          <w:sz w:val="28"/>
          <w:szCs w:val="28"/>
        </w:rPr>
        <w:t xml:space="preserve"> particulars of</w:t>
      </w:r>
      <w:r w:rsidR="00801786">
        <w:rPr>
          <w:color w:val="000000" w:themeColor="text1"/>
          <w:sz w:val="28"/>
          <w:szCs w:val="28"/>
        </w:rPr>
        <w:t xml:space="preserve"> the bid items and the </w:t>
      </w:r>
      <w:r w:rsidR="000B7851">
        <w:rPr>
          <w:color w:val="000000" w:themeColor="text1"/>
          <w:sz w:val="28"/>
          <w:szCs w:val="28"/>
        </w:rPr>
        <w:t>brands</w:t>
      </w:r>
      <w:r w:rsidR="00801786">
        <w:rPr>
          <w:color w:val="000000" w:themeColor="text1"/>
          <w:sz w:val="28"/>
          <w:szCs w:val="28"/>
        </w:rPr>
        <w:t xml:space="preserve"> thereof</w:t>
      </w:r>
      <w:r w:rsidR="000B7851">
        <w:rPr>
          <w:color w:val="000000" w:themeColor="text1"/>
          <w:sz w:val="28"/>
          <w:szCs w:val="28"/>
        </w:rPr>
        <w:t xml:space="preserve"> to </w:t>
      </w:r>
      <w:r w:rsidR="00CE1E09">
        <w:rPr>
          <w:color w:val="000000" w:themeColor="text1"/>
          <w:sz w:val="28"/>
          <w:szCs w:val="28"/>
        </w:rPr>
        <w:t>be supplied by each third party.  I</w:t>
      </w:r>
      <w:r w:rsidR="000B7851">
        <w:rPr>
          <w:color w:val="000000" w:themeColor="text1"/>
          <w:sz w:val="28"/>
          <w:szCs w:val="28"/>
        </w:rPr>
        <w:t>n respect</w:t>
      </w:r>
      <w:r w:rsidR="00CE1E09">
        <w:rPr>
          <w:color w:val="000000" w:themeColor="text1"/>
          <w:sz w:val="28"/>
          <w:szCs w:val="28"/>
        </w:rPr>
        <w:t xml:space="preserve"> each third party</w:t>
      </w:r>
      <w:r w:rsidR="000B7851">
        <w:rPr>
          <w:color w:val="000000" w:themeColor="text1"/>
          <w:sz w:val="28"/>
          <w:szCs w:val="28"/>
        </w:rPr>
        <w:t xml:space="preserve"> the bidder</w:t>
      </w:r>
      <w:r w:rsidR="00DD6544">
        <w:rPr>
          <w:color w:val="000000" w:themeColor="text1"/>
          <w:sz w:val="28"/>
          <w:szCs w:val="28"/>
        </w:rPr>
        <w:t xml:space="preserve"> also</w:t>
      </w:r>
      <w:r w:rsidR="000B7851">
        <w:rPr>
          <w:color w:val="000000" w:themeColor="text1"/>
          <w:sz w:val="28"/>
          <w:szCs w:val="28"/>
        </w:rPr>
        <w:t xml:space="preserve"> had to supply the name, physical address and contact particulars.  </w:t>
      </w:r>
      <w:r w:rsidR="00DD6544">
        <w:rPr>
          <w:color w:val="000000" w:themeColor="text1"/>
          <w:sz w:val="28"/>
          <w:szCs w:val="28"/>
        </w:rPr>
        <w:t>In addition t</w:t>
      </w:r>
      <w:r w:rsidR="000B7851">
        <w:rPr>
          <w:color w:val="000000" w:themeColor="text1"/>
          <w:sz w:val="28"/>
          <w:szCs w:val="28"/>
        </w:rPr>
        <w:t xml:space="preserve">he bidder had to supply an unconditional written undertaking from each third party to supply the specified goods </w:t>
      </w:r>
      <w:r w:rsidR="000B7851" w:rsidRPr="000B7851">
        <w:rPr>
          <w:color w:val="000000" w:themeColor="text1"/>
          <w:sz w:val="28"/>
          <w:szCs w:val="28"/>
        </w:rPr>
        <w:t>“</w:t>
      </w:r>
      <w:r w:rsidR="000B7851" w:rsidRPr="000B7851">
        <w:rPr>
          <w:i/>
          <w:color w:val="000000" w:themeColor="text1"/>
          <w:sz w:val="28"/>
          <w:szCs w:val="28"/>
        </w:rPr>
        <w:t>… in accordance with the terms and conditions of the bid document …</w:t>
      </w:r>
      <w:r w:rsidR="000B7851">
        <w:rPr>
          <w:color w:val="000000" w:themeColor="text1"/>
          <w:sz w:val="28"/>
          <w:szCs w:val="28"/>
        </w:rPr>
        <w:t>”.</w:t>
      </w:r>
    </w:p>
    <w:p w:rsidR="00655BE1"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655BE1">
        <w:rPr>
          <w:color w:val="000000" w:themeColor="text1"/>
          <w:sz w:val="28"/>
          <w:szCs w:val="28"/>
        </w:rPr>
        <w:t xml:space="preserve">In </w:t>
      </w:r>
      <w:r w:rsidR="000B7851">
        <w:rPr>
          <w:color w:val="000000" w:themeColor="text1"/>
          <w:sz w:val="28"/>
          <w:szCs w:val="28"/>
        </w:rPr>
        <w:t>addition to the above, the bidder</w:t>
      </w:r>
      <w:r w:rsidR="00CE1E09">
        <w:rPr>
          <w:color w:val="000000" w:themeColor="text1"/>
          <w:sz w:val="28"/>
          <w:szCs w:val="28"/>
        </w:rPr>
        <w:t xml:space="preserve"> was required to acknowledge in the bid documents</w:t>
      </w:r>
      <w:r w:rsidR="000B7851">
        <w:rPr>
          <w:color w:val="000000" w:themeColor="text1"/>
          <w:sz w:val="28"/>
          <w:szCs w:val="28"/>
        </w:rPr>
        <w:t xml:space="preserve"> “</w:t>
      </w:r>
      <w:r w:rsidR="000B7851" w:rsidRPr="000B7851">
        <w:rPr>
          <w:i/>
          <w:color w:val="000000" w:themeColor="text1"/>
          <w:sz w:val="28"/>
          <w:szCs w:val="28"/>
        </w:rPr>
        <w:t>… that the State reserved the right to verify the information contained therein and, if found false or incorrect, may involve any remedies available to it in the bid documents …</w:t>
      </w:r>
      <w:r w:rsidR="000B7851" w:rsidRPr="000B7851">
        <w:rPr>
          <w:color w:val="000000" w:themeColor="text1"/>
          <w:sz w:val="28"/>
          <w:szCs w:val="28"/>
        </w:rPr>
        <w:t>”.</w:t>
      </w:r>
    </w:p>
    <w:p w:rsidR="001D4E18"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0B7851">
        <w:rPr>
          <w:color w:val="000000" w:themeColor="text1"/>
          <w:sz w:val="28"/>
          <w:szCs w:val="28"/>
        </w:rPr>
        <w:t>The “bid documents” (in this case, the SCC) provided for three phases of evaluation of b</w:t>
      </w:r>
      <w:r w:rsidR="00CE1E09">
        <w:rPr>
          <w:color w:val="000000" w:themeColor="text1"/>
          <w:sz w:val="28"/>
          <w:szCs w:val="28"/>
        </w:rPr>
        <w:t>ids.  Phase 1 encompassed the “P</w:t>
      </w:r>
      <w:r w:rsidR="000B7851">
        <w:rPr>
          <w:color w:val="000000" w:themeColor="text1"/>
          <w:sz w:val="28"/>
          <w:szCs w:val="28"/>
        </w:rPr>
        <w:t>re-qua</w:t>
      </w:r>
      <w:r w:rsidR="00BF3360">
        <w:rPr>
          <w:color w:val="000000" w:themeColor="text1"/>
          <w:sz w:val="28"/>
          <w:szCs w:val="28"/>
        </w:rPr>
        <w:t>lifying Criteria” and required that only bidders having a B-BBEE contributor status l</w:t>
      </w:r>
      <w:r w:rsidR="007D6E61">
        <w:rPr>
          <w:color w:val="000000" w:themeColor="text1"/>
          <w:sz w:val="28"/>
          <w:szCs w:val="28"/>
        </w:rPr>
        <w:t>evel of 1 – 8 would qualify (Kee</w:t>
      </w:r>
      <w:r w:rsidR="00BF3360">
        <w:rPr>
          <w:color w:val="000000" w:themeColor="text1"/>
          <w:sz w:val="28"/>
          <w:szCs w:val="28"/>
        </w:rPr>
        <w:t xml:space="preserve">gans </w:t>
      </w:r>
      <w:r w:rsidR="00945DC9">
        <w:rPr>
          <w:color w:val="000000" w:themeColor="text1"/>
          <w:sz w:val="28"/>
          <w:szCs w:val="28"/>
        </w:rPr>
        <w:t>was able to</w:t>
      </w:r>
      <w:r w:rsidR="00BF3360">
        <w:rPr>
          <w:color w:val="000000" w:themeColor="text1"/>
          <w:sz w:val="28"/>
          <w:szCs w:val="28"/>
        </w:rPr>
        <w:t xml:space="preserve"> satisfy this requirement).</w:t>
      </w:r>
    </w:p>
    <w:p w:rsidR="003801CA"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BF3360">
        <w:rPr>
          <w:color w:val="000000" w:themeColor="text1"/>
          <w:sz w:val="28"/>
          <w:szCs w:val="28"/>
        </w:rPr>
        <w:t>Phase 2 encompassed “Mandatory Requirements and other Bid Requirements”.  This included as clause 5.3.4 of the SCC the following (due to the “footprint” issue being the crux of the dispute, the clause is quote</w:t>
      </w:r>
      <w:r w:rsidR="00945DC9">
        <w:rPr>
          <w:color w:val="000000" w:themeColor="text1"/>
          <w:sz w:val="28"/>
          <w:szCs w:val="28"/>
        </w:rPr>
        <w:t>d</w:t>
      </w:r>
      <w:r w:rsidR="00BF3360">
        <w:rPr>
          <w:color w:val="000000" w:themeColor="text1"/>
          <w:sz w:val="28"/>
          <w:szCs w:val="28"/>
        </w:rPr>
        <w:t xml:space="preserve"> in full):</w:t>
      </w:r>
    </w:p>
    <w:p w:rsidR="00BF3360" w:rsidRPr="00FF11CE" w:rsidRDefault="00BF3360" w:rsidP="00BF3360">
      <w:pPr>
        <w:pStyle w:val="MEMONUMBERED"/>
        <w:numPr>
          <w:ilvl w:val="0"/>
          <w:numId w:val="0"/>
        </w:numPr>
        <w:spacing w:after="360" w:line="360" w:lineRule="auto"/>
        <w:ind w:left="720"/>
        <w:rPr>
          <w:i/>
          <w:color w:val="000000" w:themeColor="text1"/>
          <w:sz w:val="28"/>
          <w:szCs w:val="28"/>
        </w:rPr>
      </w:pPr>
      <w:r>
        <w:rPr>
          <w:color w:val="000000" w:themeColor="text1"/>
          <w:sz w:val="28"/>
          <w:szCs w:val="28"/>
        </w:rPr>
        <w:lastRenderedPageBreak/>
        <w:t>“</w:t>
      </w:r>
      <w:r w:rsidRPr="00FF11CE">
        <w:rPr>
          <w:i/>
          <w:color w:val="000000" w:themeColor="text1"/>
          <w:sz w:val="28"/>
          <w:szCs w:val="28"/>
        </w:rPr>
        <w:t>5.3.4</w:t>
      </w:r>
      <w:r w:rsidRPr="00FF11CE">
        <w:rPr>
          <w:i/>
          <w:color w:val="000000" w:themeColor="text1"/>
          <w:sz w:val="28"/>
          <w:szCs w:val="28"/>
        </w:rPr>
        <w:tab/>
      </w:r>
      <w:r w:rsidRPr="00FF11CE">
        <w:rPr>
          <w:i/>
          <w:color w:val="000000" w:themeColor="text1"/>
          <w:sz w:val="28"/>
          <w:szCs w:val="28"/>
        </w:rPr>
        <w:tab/>
        <w:t>FOOTPRINT</w:t>
      </w:r>
    </w:p>
    <w:p w:rsidR="00BF3360" w:rsidRPr="00FF11CE" w:rsidRDefault="008B2854" w:rsidP="008B2854">
      <w:pPr>
        <w:pStyle w:val="MEMONUMBERED"/>
        <w:numPr>
          <w:ilvl w:val="0"/>
          <w:numId w:val="0"/>
        </w:numPr>
        <w:spacing w:after="360" w:line="360" w:lineRule="auto"/>
        <w:ind w:left="1701" w:hanging="992"/>
        <w:rPr>
          <w:i/>
          <w:color w:val="000000" w:themeColor="text1"/>
          <w:sz w:val="28"/>
          <w:szCs w:val="28"/>
        </w:rPr>
      </w:pPr>
      <w:r w:rsidRPr="00FF11CE">
        <w:rPr>
          <w:i/>
          <w:color w:val="000000" w:themeColor="text1"/>
          <w:sz w:val="28"/>
          <w:szCs w:val="28"/>
        </w:rPr>
        <w:t>(a)</w:t>
      </w:r>
      <w:r w:rsidRPr="00FF11CE">
        <w:rPr>
          <w:i/>
          <w:color w:val="000000" w:themeColor="text1"/>
          <w:sz w:val="28"/>
          <w:szCs w:val="28"/>
        </w:rPr>
        <w:tab/>
      </w:r>
      <w:r w:rsidR="00BF3360" w:rsidRPr="00FF11CE">
        <w:rPr>
          <w:i/>
          <w:color w:val="000000" w:themeColor="text1"/>
          <w:sz w:val="28"/>
          <w:szCs w:val="28"/>
        </w:rPr>
        <w:t xml:space="preserve">It </w:t>
      </w:r>
      <w:r w:rsidR="00945DC9">
        <w:rPr>
          <w:i/>
          <w:color w:val="000000" w:themeColor="text1"/>
          <w:sz w:val="28"/>
          <w:szCs w:val="28"/>
        </w:rPr>
        <w:t>is a requirement of this bid</w:t>
      </w:r>
      <w:r w:rsidR="00BF3360" w:rsidRPr="00FF11CE">
        <w:rPr>
          <w:i/>
          <w:color w:val="000000" w:themeColor="text1"/>
          <w:sz w:val="28"/>
          <w:szCs w:val="28"/>
        </w:rPr>
        <w:t xml:space="preserve"> that bidders provide the details of their footprint in the province they </w:t>
      </w:r>
      <w:r w:rsidR="00945DC9">
        <w:rPr>
          <w:i/>
          <w:color w:val="000000" w:themeColor="text1"/>
          <w:sz w:val="28"/>
          <w:szCs w:val="28"/>
        </w:rPr>
        <w:t xml:space="preserve">are </w:t>
      </w:r>
      <w:r w:rsidR="00BF3360" w:rsidRPr="00FF11CE">
        <w:rPr>
          <w:i/>
          <w:color w:val="000000" w:themeColor="text1"/>
          <w:sz w:val="28"/>
          <w:szCs w:val="28"/>
        </w:rPr>
        <w:t>bidding for.</w:t>
      </w:r>
    </w:p>
    <w:p w:rsidR="00BF3360" w:rsidRPr="00FF11CE" w:rsidRDefault="008B2854" w:rsidP="008B2854">
      <w:pPr>
        <w:pStyle w:val="MEMONUMBERED"/>
        <w:numPr>
          <w:ilvl w:val="0"/>
          <w:numId w:val="0"/>
        </w:numPr>
        <w:spacing w:after="360" w:line="360" w:lineRule="auto"/>
        <w:ind w:left="1701" w:hanging="992"/>
        <w:rPr>
          <w:i/>
          <w:color w:val="000000" w:themeColor="text1"/>
          <w:sz w:val="28"/>
          <w:szCs w:val="28"/>
        </w:rPr>
      </w:pPr>
      <w:r w:rsidRPr="00FF11CE">
        <w:rPr>
          <w:i/>
          <w:color w:val="000000" w:themeColor="text1"/>
          <w:sz w:val="28"/>
          <w:szCs w:val="28"/>
        </w:rPr>
        <w:t>(b)</w:t>
      </w:r>
      <w:r w:rsidRPr="00FF11CE">
        <w:rPr>
          <w:i/>
          <w:color w:val="000000" w:themeColor="text1"/>
          <w:sz w:val="28"/>
          <w:szCs w:val="28"/>
        </w:rPr>
        <w:tab/>
      </w:r>
      <w:r w:rsidR="00945DC9">
        <w:rPr>
          <w:i/>
          <w:color w:val="000000" w:themeColor="text1"/>
          <w:sz w:val="28"/>
          <w:szCs w:val="28"/>
        </w:rPr>
        <w:t>For each province a bidder</w:t>
      </w:r>
      <w:r w:rsidR="00BF3360" w:rsidRPr="00FF11CE">
        <w:rPr>
          <w:i/>
          <w:color w:val="000000" w:themeColor="text1"/>
          <w:sz w:val="28"/>
          <w:szCs w:val="28"/>
        </w:rPr>
        <w:t xml:space="preserve"> bids for, the bidder must provide a list of their offices/warehouses and details of activities taking place in that office/warehouse.  The details of activities must amongst others over the following:</w:t>
      </w:r>
    </w:p>
    <w:p w:rsidR="00FF11CE" w:rsidRPr="00FF11CE" w:rsidRDefault="008B2854" w:rsidP="008B2854">
      <w:pPr>
        <w:pStyle w:val="MEMONUMBERED"/>
        <w:numPr>
          <w:ilvl w:val="0"/>
          <w:numId w:val="0"/>
        </w:numPr>
        <w:spacing w:after="360" w:line="360" w:lineRule="auto"/>
        <w:ind w:left="2421" w:hanging="720"/>
        <w:rPr>
          <w:i/>
          <w:color w:val="000000" w:themeColor="text1"/>
          <w:sz w:val="28"/>
          <w:szCs w:val="28"/>
        </w:rPr>
      </w:pPr>
      <w:r w:rsidRPr="00FF11CE">
        <w:rPr>
          <w:i/>
          <w:color w:val="000000" w:themeColor="text1"/>
          <w:sz w:val="28"/>
          <w:szCs w:val="28"/>
        </w:rPr>
        <w:t>(i)</w:t>
      </w:r>
      <w:r w:rsidRPr="00FF11CE">
        <w:rPr>
          <w:i/>
          <w:color w:val="000000" w:themeColor="text1"/>
          <w:sz w:val="28"/>
          <w:szCs w:val="28"/>
        </w:rPr>
        <w:tab/>
      </w:r>
      <w:r w:rsidR="00FF11CE" w:rsidRPr="00FF11CE">
        <w:rPr>
          <w:i/>
          <w:color w:val="000000" w:themeColor="text1"/>
          <w:sz w:val="28"/>
          <w:szCs w:val="28"/>
        </w:rPr>
        <w:t>Address of the offices/warehouses.</w:t>
      </w:r>
    </w:p>
    <w:p w:rsidR="00FF11CE" w:rsidRPr="00FF11CE" w:rsidRDefault="008B2854" w:rsidP="008B2854">
      <w:pPr>
        <w:pStyle w:val="MEMONUMBERED"/>
        <w:numPr>
          <w:ilvl w:val="0"/>
          <w:numId w:val="0"/>
        </w:numPr>
        <w:spacing w:after="360" w:line="360" w:lineRule="auto"/>
        <w:ind w:left="2421" w:hanging="720"/>
        <w:rPr>
          <w:i/>
          <w:color w:val="000000" w:themeColor="text1"/>
          <w:sz w:val="28"/>
          <w:szCs w:val="28"/>
        </w:rPr>
      </w:pPr>
      <w:r w:rsidRPr="00FF11CE">
        <w:rPr>
          <w:i/>
          <w:color w:val="000000" w:themeColor="text1"/>
          <w:sz w:val="28"/>
          <w:szCs w:val="28"/>
        </w:rPr>
        <w:t>(ii)</w:t>
      </w:r>
      <w:r w:rsidRPr="00FF11CE">
        <w:rPr>
          <w:i/>
          <w:color w:val="000000" w:themeColor="text1"/>
          <w:sz w:val="28"/>
          <w:szCs w:val="28"/>
        </w:rPr>
        <w:tab/>
      </w:r>
      <w:r w:rsidR="00FF11CE" w:rsidRPr="00FF11CE">
        <w:rPr>
          <w:i/>
          <w:color w:val="000000" w:themeColor="text1"/>
          <w:sz w:val="28"/>
          <w:szCs w:val="28"/>
        </w:rPr>
        <w:t>Type of office (office/warehouse).</w:t>
      </w:r>
    </w:p>
    <w:p w:rsidR="00FF11CE" w:rsidRPr="00FF11CE" w:rsidRDefault="008B2854" w:rsidP="008B2854">
      <w:pPr>
        <w:pStyle w:val="MEMONUMBERED"/>
        <w:numPr>
          <w:ilvl w:val="0"/>
          <w:numId w:val="0"/>
        </w:numPr>
        <w:spacing w:after="360" w:line="360" w:lineRule="auto"/>
        <w:ind w:left="2421" w:hanging="720"/>
        <w:rPr>
          <w:i/>
          <w:color w:val="000000" w:themeColor="text1"/>
          <w:sz w:val="28"/>
          <w:szCs w:val="28"/>
        </w:rPr>
      </w:pPr>
      <w:r w:rsidRPr="00FF11CE">
        <w:rPr>
          <w:i/>
          <w:color w:val="000000" w:themeColor="text1"/>
          <w:sz w:val="28"/>
          <w:szCs w:val="28"/>
        </w:rPr>
        <w:t>(iii)</w:t>
      </w:r>
      <w:r w:rsidRPr="00FF11CE">
        <w:rPr>
          <w:i/>
          <w:color w:val="000000" w:themeColor="text1"/>
          <w:sz w:val="28"/>
          <w:szCs w:val="28"/>
        </w:rPr>
        <w:tab/>
      </w:r>
      <w:r w:rsidR="00FF11CE" w:rsidRPr="00FF11CE">
        <w:rPr>
          <w:i/>
          <w:color w:val="000000" w:themeColor="text1"/>
          <w:sz w:val="28"/>
          <w:szCs w:val="28"/>
        </w:rPr>
        <w:t>Parts or stock held at that office/warehouse in that particular province.</w:t>
      </w:r>
    </w:p>
    <w:p w:rsidR="00FF11CE" w:rsidRPr="00FF11CE" w:rsidRDefault="008B2854" w:rsidP="008B2854">
      <w:pPr>
        <w:pStyle w:val="MEMONUMBERED"/>
        <w:numPr>
          <w:ilvl w:val="0"/>
          <w:numId w:val="0"/>
        </w:numPr>
        <w:spacing w:after="360" w:line="360" w:lineRule="auto"/>
        <w:ind w:left="2421" w:hanging="720"/>
        <w:rPr>
          <w:i/>
          <w:color w:val="000000" w:themeColor="text1"/>
          <w:sz w:val="28"/>
          <w:szCs w:val="28"/>
        </w:rPr>
      </w:pPr>
      <w:r w:rsidRPr="00FF11CE">
        <w:rPr>
          <w:i/>
          <w:color w:val="000000" w:themeColor="text1"/>
          <w:sz w:val="28"/>
          <w:szCs w:val="28"/>
        </w:rPr>
        <w:t>(iv)</w:t>
      </w:r>
      <w:r w:rsidRPr="00FF11CE">
        <w:rPr>
          <w:i/>
          <w:color w:val="000000" w:themeColor="text1"/>
          <w:sz w:val="28"/>
          <w:szCs w:val="28"/>
        </w:rPr>
        <w:tab/>
      </w:r>
      <w:r w:rsidR="00FF11CE" w:rsidRPr="00FF11CE">
        <w:rPr>
          <w:i/>
          <w:color w:val="000000" w:themeColor="text1"/>
          <w:sz w:val="28"/>
          <w:szCs w:val="28"/>
        </w:rPr>
        <w:t>Areas that are served by that office/warehouse in that particular province.</w:t>
      </w:r>
    </w:p>
    <w:p w:rsidR="00BF3360" w:rsidRPr="00FF11CE" w:rsidRDefault="008B2854" w:rsidP="008B2854">
      <w:pPr>
        <w:pStyle w:val="MEMONUMBERED"/>
        <w:numPr>
          <w:ilvl w:val="0"/>
          <w:numId w:val="0"/>
        </w:numPr>
        <w:spacing w:after="360" w:line="360" w:lineRule="auto"/>
        <w:ind w:left="1701" w:hanging="992"/>
        <w:rPr>
          <w:i/>
          <w:color w:val="000000" w:themeColor="text1"/>
          <w:sz w:val="28"/>
          <w:szCs w:val="28"/>
        </w:rPr>
      </w:pPr>
      <w:r w:rsidRPr="00FF11CE">
        <w:rPr>
          <w:i/>
          <w:color w:val="000000" w:themeColor="text1"/>
          <w:sz w:val="28"/>
          <w:szCs w:val="28"/>
        </w:rPr>
        <w:t>(c)</w:t>
      </w:r>
      <w:r w:rsidRPr="00FF11CE">
        <w:rPr>
          <w:i/>
          <w:color w:val="000000" w:themeColor="text1"/>
          <w:sz w:val="28"/>
          <w:szCs w:val="28"/>
        </w:rPr>
        <w:tab/>
      </w:r>
      <w:r w:rsidR="00FF11CE" w:rsidRPr="00FF11CE">
        <w:rPr>
          <w:i/>
          <w:color w:val="000000" w:themeColor="text1"/>
          <w:sz w:val="28"/>
          <w:szCs w:val="28"/>
        </w:rPr>
        <w:t>Annexure A: Footprint Declaration of undertaking form must be used to provide details of the footprint.  No other format will be accepted for this purpose.</w:t>
      </w:r>
    </w:p>
    <w:p w:rsidR="00FF11CE" w:rsidRPr="00FF11CE" w:rsidRDefault="008B2854" w:rsidP="008B2854">
      <w:pPr>
        <w:pStyle w:val="MEMONUMBERED"/>
        <w:numPr>
          <w:ilvl w:val="0"/>
          <w:numId w:val="0"/>
        </w:numPr>
        <w:spacing w:after="360" w:line="360" w:lineRule="auto"/>
        <w:ind w:left="1701" w:hanging="992"/>
        <w:rPr>
          <w:i/>
          <w:color w:val="000000" w:themeColor="text1"/>
          <w:sz w:val="28"/>
          <w:szCs w:val="28"/>
        </w:rPr>
      </w:pPr>
      <w:r w:rsidRPr="00FF11CE">
        <w:rPr>
          <w:i/>
          <w:color w:val="000000" w:themeColor="text1"/>
          <w:sz w:val="28"/>
          <w:szCs w:val="28"/>
        </w:rPr>
        <w:t>(d)</w:t>
      </w:r>
      <w:r w:rsidRPr="00FF11CE">
        <w:rPr>
          <w:i/>
          <w:color w:val="000000" w:themeColor="text1"/>
          <w:sz w:val="28"/>
          <w:szCs w:val="28"/>
        </w:rPr>
        <w:tab/>
      </w:r>
      <w:r w:rsidR="00FF11CE" w:rsidRPr="00FF11CE">
        <w:rPr>
          <w:i/>
          <w:color w:val="000000" w:themeColor="text1"/>
          <w:sz w:val="28"/>
          <w:szCs w:val="28"/>
        </w:rPr>
        <w:t>Over and above</w:t>
      </w:r>
      <w:r w:rsidR="00945DC9">
        <w:rPr>
          <w:i/>
          <w:color w:val="000000" w:themeColor="text1"/>
          <w:sz w:val="28"/>
          <w:szCs w:val="28"/>
        </w:rPr>
        <w:t xml:space="preserve"> the</w:t>
      </w:r>
      <w:r w:rsidR="00FF11CE" w:rsidRPr="00FF11CE">
        <w:rPr>
          <w:i/>
          <w:color w:val="000000" w:themeColor="text1"/>
          <w:sz w:val="28"/>
          <w:szCs w:val="28"/>
        </w:rPr>
        <w:t xml:space="preserve"> submission of Annexure A, bidders must submit proof of existence of such office/warehouse by submitting any document (not older than 3 months) but not limited to the below:</w:t>
      </w:r>
    </w:p>
    <w:p w:rsidR="00FF11CE" w:rsidRPr="00FF11CE" w:rsidRDefault="008B2854" w:rsidP="008B2854">
      <w:pPr>
        <w:pStyle w:val="MEMONUMBERED"/>
        <w:numPr>
          <w:ilvl w:val="0"/>
          <w:numId w:val="0"/>
        </w:numPr>
        <w:spacing w:after="360" w:line="360" w:lineRule="auto"/>
        <w:ind w:left="2421" w:hanging="720"/>
        <w:rPr>
          <w:i/>
          <w:color w:val="000000" w:themeColor="text1"/>
          <w:sz w:val="28"/>
          <w:szCs w:val="28"/>
        </w:rPr>
      </w:pPr>
      <w:r w:rsidRPr="00FF11CE">
        <w:rPr>
          <w:i/>
          <w:color w:val="000000" w:themeColor="text1"/>
          <w:sz w:val="28"/>
          <w:szCs w:val="28"/>
        </w:rPr>
        <w:t>(i)</w:t>
      </w:r>
      <w:r w:rsidRPr="00FF11CE">
        <w:rPr>
          <w:i/>
          <w:color w:val="000000" w:themeColor="text1"/>
          <w:sz w:val="28"/>
          <w:szCs w:val="28"/>
        </w:rPr>
        <w:tab/>
      </w:r>
      <w:r w:rsidR="00FF11CE" w:rsidRPr="00FF11CE">
        <w:rPr>
          <w:i/>
          <w:color w:val="000000" w:themeColor="text1"/>
          <w:sz w:val="28"/>
          <w:szCs w:val="28"/>
        </w:rPr>
        <w:t>Utility bill, e.g. municipal water and lights account or property managing agent statement;</w:t>
      </w:r>
    </w:p>
    <w:p w:rsidR="00FF11CE" w:rsidRPr="00FF11CE" w:rsidRDefault="008B2854" w:rsidP="008B2854">
      <w:pPr>
        <w:pStyle w:val="MEMONUMBERED"/>
        <w:numPr>
          <w:ilvl w:val="0"/>
          <w:numId w:val="0"/>
        </w:numPr>
        <w:spacing w:after="360" w:line="360" w:lineRule="auto"/>
        <w:ind w:left="2421" w:hanging="720"/>
        <w:rPr>
          <w:i/>
          <w:color w:val="000000" w:themeColor="text1"/>
          <w:sz w:val="28"/>
          <w:szCs w:val="28"/>
        </w:rPr>
      </w:pPr>
      <w:r w:rsidRPr="00FF11CE">
        <w:rPr>
          <w:i/>
          <w:color w:val="000000" w:themeColor="text1"/>
          <w:sz w:val="28"/>
          <w:szCs w:val="28"/>
        </w:rPr>
        <w:lastRenderedPageBreak/>
        <w:t>(ii)</w:t>
      </w:r>
      <w:r w:rsidRPr="00FF11CE">
        <w:rPr>
          <w:i/>
          <w:color w:val="000000" w:themeColor="text1"/>
          <w:sz w:val="28"/>
          <w:szCs w:val="28"/>
        </w:rPr>
        <w:tab/>
      </w:r>
      <w:r w:rsidR="00FF11CE" w:rsidRPr="00FF11CE">
        <w:rPr>
          <w:i/>
          <w:color w:val="000000" w:themeColor="text1"/>
          <w:sz w:val="28"/>
          <w:szCs w:val="28"/>
        </w:rPr>
        <w:t>Municipal rates and taxes invoice;</w:t>
      </w:r>
    </w:p>
    <w:p w:rsidR="00FF11CE" w:rsidRPr="00FF11CE" w:rsidRDefault="008B2854" w:rsidP="008B2854">
      <w:pPr>
        <w:pStyle w:val="MEMONUMBERED"/>
        <w:numPr>
          <w:ilvl w:val="0"/>
          <w:numId w:val="0"/>
        </w:numPr>
        <w:spacing w:after="360" w:line="360" w:lineRule="auto"/>
        <w:ind w:left="2421" w:hanging="720"/>
        <w:rPr>
          <w:i/>
          <w:color w:val="000000" w:themeColor="text1"/>
          <w:sz w:val="28"/>
          <w:szCs w:val="28"/>
        </w:rPr>
      </w:pPr>
      <w:r w:rsidRPr="00FF11CE">
        <w:rPr>
          <w:i/>
          <w:color w:val="000000" w:themeColor="text1"/>
          <w:sz w:val="28"/>
          <w:szCs w:val="28"/>
        </w:rPr>
        <w:t>(iii)</w:t>
      </w:r>
      <w:r w:rsidRPr="00FF11CE">
        <w:rPr>
          <w:i/>
          <w:color w:val="000000" w:themeColor="text1"/>
          <w:sz w:val="28"/>
          <w:szCs w:val="28"/>
        </w:rPr>
        <w:tab/>
      </w:r>
      <w:r w:rsidR="00FF11CE" w:rsidRPr="00FF11CE">
        <w:rPr>
          <w:i/>
          <w:color w:val="000000" w:themeColor="text1"/>
          <w:sz w:val="28"/>
          <w:szCs w:val="28"/>
        </w:rPr>
        <w:t>Telephone statement;</w:t>
      </w:r>
    </w:p>
    <w:p w:rsidR="00FF11CE" w:rsidRPr="00FF11CE" w:rsidRDefault="008B2854" w:rsidP="008B2854">
      <w:pPr>
        <w:pStyle w:val="MEMONUMBERED"/>
        <w:numPr>
          <w:ilvl w:val="0"/>
          <w:numId w:val="0"/>
        </w:numPr>
        <w:spacing w:after="360" w:line="360" w:lineRule="auto"/>
        <w:ind w:left="2421" w:hanging="720"/>
        <w:rPr>
          <w:i/>
          <w:color w:val="000000" w:themeColor="text1"/>
          <w:sz w:val="28"/>
          <w:szCs w:val="28"/>
        </w:rPr>
      </w:pPr>
      <w:r w:rsidRPr="00FF11CE">
        <w:rPr>
          <w:i/>
          <w:color w:val="000000" w:themeColor="text1"/>
          <w:sz w:val="28"/>
          <w:szCs w:val="28"/>
        </w:rPr>
        <w:t>(iv)</w:t>
      </w:r>
      <w:r w:rsidRPr="00FF11CE">
        <w:rPr>
          <w:i/>
          <w:color w:val="000000" w:themeColor="text1"/>
          <w:sz w:val="28"/>
          <w:szCs w:val="28"/>
        </w:rPr>
        <w:tab/>
      </w:r>
      <w:r w:rsidR="00FF11CE" w:rsidRPr="00FF11CE">
        <w:rPr>
          <w:i/>
          <w:color w:val="000000" w:themeColor="text1"/>
          <w:sz w:val="28"/>
          <w:szCs w:val="28"/>
        </w:rPr>
        <w:t>Letter from municipality confirming business address.</w:t>
      </w:r>
    </w:p>
    <w:p w:rsidR="00FF11CE" w:rsidRDefault="008B2854" w:rsidP="008B2854">
      <w:pPr>
        <w:pStyle w:val="MEMONUMBERED"/>
        <w:numPr>
          <w:ilvl w:val="0"/>
          <w:numId w:val="0"/>
        </w:numPr>
        <w:spacing w:after="360" w:line="360" w:lineRule="auto"/>
        <w:ind w:left="1701" w:hanging="992"/>
        <w:rPr>
          <w:color w:val="000000" w:themeColor="text1"/>
          <w:sz w:val="28"/>
          <w:szCs w:val="28"/>
        </w:rPr>
      </w:pPr>
      <w:r>
        <w:rPr>
          <w:color w:val="000000" w:themeColor="text1"/>
          <w:sz w:val="28"/>
          <w:szCs w:val="28"/>
        </w:rPr>
        <w:t>(e)</w:t>
      </w:r>
      <w:r>
        <w:rPr>
          <w:color w:val="000000" w:themeColor="text1"/>
          <w:sz w:val="28"/>
          <w:szCs w:val="28"/>
        </w:rPr>
        <w:tab/>
      </w:r>
      <w:r w:rsidR="00FF11CE" w:rsidRPr="00FF11CE">
        <w:rPr>
          <w:i/>
          <w:color w:val="000000" w:themeColor="text1"/>
          <w:sz w:val="28"/>
          <w:szCs w:val="28"/>
        </w:rPr>
        <w:t>Bidders will be disqualified if they don’t provide information</w:t>
      </w:r>
      <w:r w:rsidR="00FF11CE">
        <w:rPr>
          <w:color w:val="000000" w:themeColor="text1"/>
          <w:sz w:val="28"/>
          <w:szCs w:val="28"/>
        </w:rPr>
        <w:t>”.</w:t>
      </w:r>
    </w:p>
    <w:p w:rsidR="00FF11CE" w:rsidRDefault="00FF11CE" w:rsidP="00FF11CE">
      <w:pPr>
        <w:pStyle w:val="MEMONUMBERED"/>
        <w:numPr>
          <w:ilvl w:val="0"/>
          <w:numId w:val="0"/>
        </w:numPr>
        <w:spacing w:after="120" w:line="360" w:lineRule="auto"/>
        <w:rPr>
          <w:b/>
          <w:color w:val="000000" w:themeColor="text1"/>
          <w:sz w:val="28"/>
          <w:szCs w:val="28"/>
        </w:rPr>
      </w:pPr>
    </w:p>
    <w:p w:rsidR="00CB0CF3" w:rsidRPr="00FF11CE" w:rsidRDefault="007D6E61" w:rsidP="00FF11CE">
      <w:pPr>
        <w:pStyle w:val="MEMONUMBERED"/>
        <w:numPr>
          <w:ilvl w:val="0"/>
          <w:numId w:val="0"/>
        </w:numPr>
        <w:spacing w:after="120" w:line="360" w:lineRule="auto"/>
        <w:rPr>
          <w:b/>
          <w:color w:val="000000" w:themeColor="text1"/>
          <w:sz w:val="28"/>
          <w:szCs w:val="28"/>
        </w:rPr>
      </w:pPr>
      <w:r>
        <w:rPr>
          <w:b/>
          <w:color w:val="000000" w:themeColor="text1"/>
          <w:sz w:val="28"/>
          <w:szCs w:val="28"/>
        </w:rPr>
        <w:t>Kee</w:t>
      </w:r>
      <w:r w:rsidR="00FF11CE" w:rsidRPr="00FF11CE">
        <w:rPr>
          <w:b/>
          <w:color w:val="000000" w:themeColor="text1"/>
          <w:sz w:val="28"/>
          <w:szCs w:val="28"/>
        </w:rPr>
        <w:t>gans’ bid and the evaluation thereof</w:t>
      </w:r>
      <w:r w:rsidR="00945DC9">
        <w:rPr>
          <w:b/>
          <w:color w:val="000000" w:themeColor="text1"/>
          <w:sz w:val="28"/>
          <w:szCs w:val="28"/>
        </w:rPr>
        <w:t xml:space="preserve"> by Treasury</w:t>
      </w:r>
    </w:p>
    <w:p w:rsidR="00655BE1"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655BE1">
        <w:rPr>
          <w:color w:val="000000" w:themeColor="text1"/>
          <w:sz w:val="28"/>
          <w:szCs w:val="28"/>
        </w:rPr>
        <w:t xml:space="preserve"> </w:t>
      </w:r>
      <w:r w:rsidR="00FF11CE">
        <w:rPr>
          <w:color w:val="000000" w:themeColor="text1"/>
          <w:sz w:val="28"/>
          <w:szCs w:val="28"/>
        </w:rPr>
        <w:t>Timeously befor</w:t>
      </w:r>
      <w:r w:rsidR="007D6E61">
        <w:rPr>
          <w:color w:val="000000" w:themeColor="text1"/>
          <w:sz w:val="28"/>
          <w:szCs w:val="28"/>
        </w:rPr>
        <w:t>e the extended closing date, Kee</w:t>
      </w:r>
      <w:r w:rsidR="00FF11CE">
        <w:rPr>
          <w:color w:val="000000" w:themeColor="text1"/>
          <w:sz w:val="28"/>
          <w:szCs w:val="28"/>
        </w:rPr>
        <w:t>gans submitted its bid for the North West Province, Gauteng Province, Limpopo Province, Free State Province and the Mpumalanga Province.</w:t>
      </w:r>
    </w:p>
    <w:p w:rsidR="00C61EAE"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7D6E61">
        <w:rPr>
          <w:color w:val="000000" w:themeColor="text1"/>
          <w:sz w:val="28"/>
          <w:szCs w:val="28"/>
        </w:rPr>
        <w:t>Kee</w:t>
      </w:r>
      <w:r w:rsidR="00F3710B">
        <w:rPr>
          <w:color w:val="000000" w:themeColor="text1"/>
          <w:sz w:val="28"/>
          <w:szCs w:val="28"/>
        </w:rPr>
        <w:t>gans’ bid, together with 22 other bids were evaluated by a Bid Evaluation Committee (the BEC).  All twenty-three bids passed the pre-qualification phase and progressed to the second phase.</w:t>
      </w:r>
    </w:p>
    <w:p w:rsidR="00C61EAE"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F3710B">
        <w:rPr>
          <w:color w:val="000000" w:themeColor="text1"/>
          <w:sz w:val="28"/>
          <w:szCs w:val="28"/>
        </w:rPr>
        <w:t>Sixteen of the twenty-three bidders failed to submit the required information and/or documents necessary to comply with the mandatory requirements of phase 2.  The remain</w:t>
      </w:r>
      <w:r w:rsidR="007D6E61">
        <w:rPr>
          <w:color w:val="000000" w:themeColor="text1"/>
          <w:sz w:val="28"/>
          <w:szCs w:val="28"/>
        </w:rPr>
        <w:t>ing seven bidders, including Kee</w:t>
      </w:r>
      <w:r w:rsidR="00F3710B">
        <w:rPr>
          <w:color w:val="000000" w:themeColor="text1"/>
          <w:sz w:val="28"/>
          <w:szCs w:val="28"/>
        </w:rPr>
        <w:t>gans and the seventh and eighth respondents were considered responsive and were then evaluated for compliance with phase 2.</w:t>
      </w:r>
    </w:p>
    <w:p w:rsidR="009269CA"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[14]</w:t>
      </w:r>
      <w:r>
        <w:rPr>
          <w:color w:val="000000" w:themeColor="text1"/>
          <w:sz w:val="28"/>
          <w:szCs w:val="28"/>
        </w:rPr>
        <w:tab/>
      </w:r>
      <w:r w:rsidR="007D6E61">
        <w:rPr>
          <w:color w:val="000000" w:themeColor="text1"/>
          <w:sz w:val="28"/>
          <w:szCs w:val="28"/>
        </w:rPr>
        <w:t>Kee</w:t>
      </w:r>
      <w:r w:rsidR="00F3710B">
        <w:rPr>
          <w:color w:val="000000" w:themeColor="text1"/>
          <w:sz w:val="28"/>
          <w:szCs w:val="28"/>
        </w:rPr>
        <w:t>gans “Footprint Declaration”, signed by the deponen</w:t>
      </w:r>
      <w:r w:rsidR="00DD6544">
        <w:rPr>
          <w:color w:val="000000" w:themeColor="text1"/>
          <w:sz w:val="28"/>
          <w:szCs w:val="28"/>
        </w:rPr>
        <w:t>t to its affidavit</w:t>
      </w:r>
      <w:r w:rsidR="00F3710B">
        <w:rPr>
          <w:color w:val="000000" w:themeColor="text1"/>
          <w:sz w:val="28"/>
          <w:szCs w:val="28"/>
        </w:rPr>
        <w:t xml:space="preserve"> delivered in support of this review application, contained the following declaration: “</w:t>
      </w:r>
      <w:r w:rsidR="00945DC9">
        <w:rPr>
          <w:i/>
          <w:color w:val="000000" w:themeColor="text1"/>
          <w:sz w:val="28"/>
          <w:szCs w:val="28"/>
        </w:rPr>
        <w:t>I, Manmadam Verdapen Govi</w:t>
      </w:r>
      <w:r w:rsidR="00F3710B" w:rsidRPr="00D473B8">
        <w:rPr>
          <w:i/>
          <w:color w:val="000000" w:themeColor="text1"/>
          <w:sz w:val="28"/>
          <w:szCs w:val="28"/>
        </w:rPr>
        <w:t xml:space="preserve">nder </w:t>
      </w:r>
      <w:r w:rsidR="00D473B8" w:rsidRPr="00D473B8">
        <w:rPr>
          <w:i/>
          <w:color w:val="000000" w:themeColor="text1"/>
          <w:sz w:val="28"/>
          <w:szCs w:val="28"/>
        </w:rPr>
        <w:t>..</w:t>
      </w:r>
      <w:r w:rsidR="00F3710B" w:rsidRPr="00D473B8">
        <w:rPr>
          <w:i/>
          <w:color w:val="000000" w:themeColor="text1"/>
          <w:sz w:val="28"/>
          <w:szCs w:val="28"/>
        </w:rPr>
        <w:t xml:space="preserve">. do hereby provide an undertaking that the offices/warehouses provided in the table are </w:t>
      </w:r>
      <w:r w:rsidR="00F3710B" w:rsidRPr="00945DC9">
        <w:rPr>
          <w:i/>
          <w:color w:val="000000" w:themeColor="text1"/>
          <w:sz w:val="28"/>
          <w:szCs w:val="28"/>
          <w:u w:val="single"/>
        </w:rPr>
        <w:t xml:space="preserve">our </w:t>
      </w:r>
      <w:r w:rsidR="00F3710B" w:rsidRPr="00D473B8">
        <w:rPr>
          <w:i/>
          <w:color w:val="000000" w:themeColor="text1"/>
          <w:sz w:val="28"/>
          <w:szCs w:val="28"/>
        </w:rPr>
        <w:t xml:space="preserve">offices/warehouses and will be utilised for the purpose of providing services as </w:t>
      </w:r>
      <w:r w:rsidR="00F3710B" w:rsidRPr="00D473B8">
        <w:rPr>
          <w:i/>
          <w:color w:val="000000" w:themeColor="text1"/>
          <w:sz w:val="28"/>
          <w:szCs w:val="28"/>
        </w:rPr>
        <w:lastRenderedPageBreak/>
        <w:t>required by this bid, should we be awarded any portion of the contract</w:t>
      </w:r>
      <w:r w:rsidR="00F3710B">
        <w:rPr>
          <w:color w:val="000000" w:themeColor="text1"/>
          <w:sz w:val="28"/>
          <w:szCs w:val="28"/>
        </w:rPr>
        <w:t>”</w:t>
      </w:r>
      <w:r w:rsidR="00945DC9">
        <w:rPr>
          <w:color w:val="000000" w:themeColor="text1"/>
          <w:sz w:val="28"/>
          <w:szCs w:val="28"/>
        </w:rPr>
        <w:t xml:space="preserve"> (my emphasis)</w:t>
      </w:r>
      <w:r w:rsidR="00F3710B">
        <w:rPr>
          <w:color w:val="000000" w:themeColor="text1"/>
          <w:sz w:val="28"/>
          <w:szCs w:val="28"/>
        </w:rPr>
        <w:t>.  Th</w:t>
      </w:r>
      <w:r w:rsidR="00945DC9">
        <w:rPr>
          <w:color w:val="000000" w:themeColor="text1"/>
          <w:sz w:val="28"/>
          <w:szCs w:val="28"/>
        </w:rPr>
        <w:t>is was followed by a</w:t>
      </w:r>
      <w:r w:rsidR="00F3710B">
        <w:rPr>
          <w:color w:val="000000" w:themeColor="text1"/>
          <w:sz w:val="28"/>
          <w:szCs w:val="28"/>
        </w:rPr>
        <w:t xml:space="preserve"> table </w:t>
      </w:r>
      <w:r w:rsidR="00945DC9">
        <w:rPr>
          <w:color w:val="000000" w:themeColor="text1"/>
          <w:sz w:val="28"/>
          <w:szCs w:val="28"/>
        </w:rPr>
        <w:t>containing the following particulars</w:t>
      </w:r>
      <w:r w:rsidR="00F3710B">
        <w:rPr>
          <w:color w:val="000000" w:themeColor="text1"/>
          <w:sz w:val="28"/>
          <w:szCs w:val="28"/>
        </w:rPr>
        <w:t>:</w:t>
      </w:r>
      <w:r w:rsidR="009269CA">
        <w:rPr>
          <w:color w:val="000000" w:themeColor="text1"/>
          <w:sz w:val="28"/>
          <w:szCs w:val="28"/>
        </w:rPr>
        <w:t xml:space="preserve"> </w:t>
      </w:r>
    </w:p>
    <w:tbl>
      <w:tblPr>
        <w:tblStyle w:val="TableGrid"/>
        <w:tblW w:w="9011" w:type="dxa"/>
        <w:tblLook w:val="04A0" w:firstRow="1" w:lastRow="0" w:firstColumn="1" w:lastColumn="0" w:noHBand="0" w:noVBand="1"/>
      </w:tblPr>
      <w:tblGrid>
        <w:gridCol w:w="544"/>
        <w:gridCol w:w="1738"/>
        <w:gridCol w:w="2052"/>
        <w:gridCol w:w="2408"/>
        <w:gridCol w:w="2269"/>
      </w:tblGrid>
      <w:tr w:rsidR="00D473B8" w:rsidTr="00D473B8">
        <w:tc>
          <w:tcPr>
            <w:tcW w:w="553" w:type="dxa"/>
            <w:tcBorders>
              <w:top w:val="nil"/>
              <w:left w:val="nil"/>
            </w:tcBorders>
          </w:tcPr>
          <w:p w:rsidR="00D473B8" w:rsidRDefault="00D473B8" w:rsidP="00D473B8">
            <w:pPr>
              <w:pStyle w:val="MEMONUMBERED"/>
              <w:numPr>
                <w:ilvl w:val="0"/>
                <w:numId w:val="0"/>
              </w:numPr>
              <w:spacing w:after="360" w:line="360" w:lineRule="auto"/>
              <w:rPr>
                <w:color w:val="000000" w:themeColor="text1"/>
                <w:sz w:val="28"/>
                <w:szCs w:val="28"/>
              </w:rPr>
            </w:pPr>
          </w:p>
        </w:tc>
        <w:tc>
          <w:tcPr>
            <w:tcW w:w="1741" w:type="dxa"/>
          </w:tcPr>
          <w:p w:rsidR="00D473B8" w:rsidRPr="00D473B8" w:rsidRDefault="00D473B8" w:rsidP="00D473B8">
            <w:pPr>
              <w:pStyle w:val="MEMONUMBERED"/>
              <w:numPr>
                <w:ilvl w:val="0"/>
                <w:numId w:val="0"/>
              </w:numPr>
              <w:spacing w:line="360" w:lineRule="auto"/>
              <w:rPr>
                <w:color w:val="000000" w:themeColor="text1"/>
                <w:sz w:val="28"/>
                <w:szCs w:val="28"/>
                <w:u w:val="single"/>
              </w:rPr>
            </w:pPr>
            <w:r w:rsidRPr="00D473B8">
              <w:rPr>
                <w:color w:val="000000" w:themeColor="text1"/>
                <w:sz w:val="28"/>
                <w:szCs w:val="28"/>
                <w:u w:val="single"/>
              </w:rPr>
              <w:t>Province</w:t>
            </w:r>
          </w:p>
        </w:tc>
        <w:tc>
          <w:tcPr>
            <w:tcW w:w="2052" w:type="dxa"/>
          </w:tcPr>
          <w:p w:rsidR="00D473B8" w:rsidRPr="00D473B8" w:rsidRDefault="00D473B8" w:rsidP="00D473B8">
            <w:pPr>
              <w:pStyle w:val="MEMONUMBERED"/>
              <w:numPr>
                <w:ilvl w:val="0"/>
                <w:numId w:val="0"/>
              </w:numPr>
              <w:spacing w:line="360" w:lineRule="auto"/>
              <w:rPr>
                <w:color w:val="000000" w:themeColor="text1"/>
                <w:sz w:val="28"/>
                <w:szCs w:val="28"/>
                <w:u w:val="single"/>
              </w:rPr>
            </w:pPr>
            <w:r w:rsidRPr="00D473B8">
              <w:rPr>
                <w:color w:val="000000" w:themeColor="text1"/>
                <w:sz w:val="28"/>
                <w:szCs w:val="28"/>
                <w:u w:val="single"/>
              </w:rPr>
              <w:t>City/Town/Area</w:t>
            </w:r>
          </w:p>
        </w:tc>
        <w:tc>
          <w:tcPr>
            <w:tcW w:w="2458" w:type="dxa"/>
          </w:tcPr>
          <w:p w:rsidR="00D473B8" w:rsidRPr="00D473B8" w:rsidRDefault="00D473B8" w:rsidP="00D473B8">
            <w:pPr>
              <w:pStyle w:val="MEMONUMBERED"/>
              <w:numPr>
                <w:ilvl w:val="0"/>
                <w:numId w:val="0"/>
              </w:numPr>
              <w:spacing w:line="360" w:lineRule="auto"/>
              <w:rPr>
                <w:color w:val="000000" w:themeColor="text1"/>
                <w:sz w:val="28"/>
                <w:szCs w:val="28"/>
                <w:u w:val="single"/>
              </w:rPr>
            </w:pPr>
            <w:r w:rsidRPr="00D473B8">
              <w:rPr>
                <w:color w:val="000000" w:themeColor="text1"/>
                <w:sz w:val="28"/>
                <w:szCs w:val="28"/>
                <w:u w:val="single"/>
              </w:rPr>
              <w:t>Address</w:t>
            </w:r>
          </w:p>
        </w:tc>
        <w:tc>
          <w:tcPr>
            <w:tcW w:w="2207" w:type="dxa"/>
          </w:tcPr>
          <w:p w:rsidR="00D473B8" w:rsidRPr="00D473B8" w:rsidRDefault="00D473B8" w:rsidP="00D473B8">
            <w:pPr>
              <w:pStyle w:val="MEMONUMBERED"/>
              <w:numPr>
                <w:ilvl w:val="0"/>
                <w:numId w:val="0"/>
              </w:numPr>
              <w:spacing w:line="360" w:lineRule="auto"/>
              <w:rPr>
                <w:color w:val="000000" w:themeColor="text1"/>
                <w:sz w:val="28"/>
                <w:szCs w:val="28"/>
                <w:u w:val="single"/>
              </w:rPr>
            </w:pPr>
            <w:r w:rsidRPr="00D473B8">
              <w:rPr>
                <w:color w:val="000000" w:themeColor="text1"/>
                <w:sz w:val="28"/>
                <w:szCs w:val="28"/>
                <w:u w:val="single"/>
              </w:rPr>
              <w:t>Office/</w:t>
            </w:r>
            <w:r>
              <w:rPr>
                <w:color w:val="000000" w:themeColor="text1"/>
                <w:sz w:val="28"/>
                <w:szCs w:val="28"/>
                <w:u w:val="single"/>
              </w:rPr>
              <w:t>W</w:t>
            </w:r>
            <w:r w:rsidRPr="00D473B8">
              <w:rPr>
                <w:color w:val="000000" w:themeColor="text1"/>
                <w:sz w:val="28"/>
                <w:szCs w:val="28"/>
                <w:u w:val="single"/>
              </w:rPr>
              <w:t>arehouse</w:t>
            </w:r>
          </w:p>
        </w:tc>
      </w:tr>
      <w:tr w:rsidR="00D473B8" w:rsidTr="00D473B8">
        <w:tc>
          <w:tcPr>
            <w:tcW w:w="553" w:type="dxa"/>
          </w:tcPr>
          <w:p w:rsidR="00D473B8" w:rsidRDefault="00D473B8" w:rsidP="00D473B8">
            <w:pPr>
              <w:pStyle w:val="MEMONUMBERED"/>
              <w:numPr>
                <w:ilvl w:val="0"/>
                <w:numId w:val="0"/>
              </w:numPr>
              <w:spacing w:after="360" w:line="360" w:lineRule="auto"/>
              <w:rPr>
                <w:color w:val="000000" w:themeColor="text1"/>
                <w:sz w:val="28"/>
                <w:szCs w:val="28"/>
              </w:rPr>
            </w:pPr>
            <w:r>
              <w:rPr>
                <w:color w:val="000000" w:themeColor="text1"/>
                <w:sz w:val="28"/>
                <w:szCs w:val="28"/>
              </w:rPr>
              <w:t>1.</w:t>
            </w:r>
          </w:p>
        </w:tc>
        <w:tc>
          <w:tcPr>
            <w:tcW w:w="1741"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Gauteng</w:t>
            </w:r>
          </w:p>
        </w:tc>
        <w:tc>
          <w:tcPr>
            <w:tcW w:w="2052"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East Rand</w:t>
            </w:r>
          </w:p>
        </w:tc>
        <w:tc>
          <w:tcPr>
            <w:tcW w:w="2458"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2 Gor</w:t>
            </w:r>
            <w:r w:rsidR="00945DC9">
              <w:rPr>
                <w:color w:val="000000" w:themeColor="text1"/>
                <w:sz w:val="28"/>
                <w:szCs w:val="28"/>
              </w:rPr>
              <w:t>d</w:t>
            </w:r>
            <w:r>
              <w:rPr>
                <w:color w:val="000000" w:themeColor="text1"/>
                <w:sz w:val="28"/>
                <w:szCs w:val="28"/>
              </w:rPr>
              <w:t>on Ave, Linbro Park</w:t>
            </w:r>
          </w:p>
        </w:tc>
        <w:tc>
          <w:tcPr>
            <w:tcW w:w="2207"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Warehouse</w:t>
            </w:r>
          </w:p>
        </w:tc>
      </w:tr>
      <w:tr w:rsidR="00D473B8" w:rsidTr="00D473B8">
        <w:tc>
          <w:tcPr>
            <w:tcW w:w="553" w:type="dxa"/>
          </w:tcPr>
          <w:p w:rsidR="00D473B8" w:rsidRDefault="00D473B8" w:rsidP="00D473B8">
            <w:pPr>
              <w:pStyle w:val="MEMONUMBERED"/>
              <w:numPr>
                <w:ilvl w:val="0"/>
                <w:numId w:val="0"/>
              </w:numPr>
              <w:spacing w:after="360" w:line="360" w:lineRule="auto"/>
              <w:rPr>
                <w:color w:val="000000" w:themeColor="text1"/>
                <w:sz w:val="28"/>
                <w:szCs w:val="28"/>
              </w:rPr>
            </w:pPr>
            <w:r>
              <w:rPr>
                <w:color w:val="000000" w:themeColor="text1"/>
                <w:sz w:val="28"/>
                <w:szCs w:val="28"/>
              </w:rPr>
              <w:t>2.</w:t>
            </w:r>
          </w:p>
        </w:tc>
        <w:tc>
          <w:tcPr>
            <w:tcW w:w="1741"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North West</w:t>
            </w:r>
          </w:p>
        </w:tc>
        <w:tc>
          <w:tcPr>
            <w:tcW w:w="2052"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Pretoria</w:t>
            </w:r>
          </w:p>
        </w:tc>
        <w:tc>
          <w:tcPr>
            <w:tcW w:w="2458" w:type="dxa"/>
          </w:tcPr>
          <w:p w:rsidR="00D473B8" w:rsidRDefault="00D473B8" w:rsidP="00945DC9">
            <w:pPr>
              <w:pStyle w:val="MEMONUMBERED"/>
              <w:numPr>
                <w:ilvl w:val="0"/>
                <w:numId w:val="0"/>
              </w:numPr>
              <w:spacing w:line="360" w:lineRule="auto"/>
              <w:rPr>
                <w:color w:val="000000" w:themeColor="text1"/>
                <w:sz w:val="28"/>
                <w:szCs w:val="28"/>
              </w:rPr>
            </w:pPr>
            <w:r>
              <w:rPr>
                <w:color w:val="000000" w:themeColor="text1"/>
                <w:sz w:val="28"/>
                <w:szCs w:val="28"/>
              </w:rPr>
              <w:t xml:space="preserve">Unit 2A </w:t>
            </w:r>
            <w:r w:rsidR="00945DC9">
              <w:rPr>
                <w:color w:val="000000" w:themeColor="text1"/>
                <w:sz w:val="28"/>
                <w:szCs w:val="28"/>
              </w:rPr>
              <w:t xml:space="preserve">April Malan </w:t>
            </w:r>
            <w:r>
              <w:rPr>
                <w:color w:val="000000" w:themeColor="text1"/>
                <w:sz w:val="28"/>
                <w:szCs w:val="28"/>
              </w:rPr>
              <w:t>S Moot, Pretoria</w:t>
            </w:r>
          </w:p>
        </w:tc>
        <w:tc>
          <w:tcPr>
            <w:tcW w:w="2207"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 xml:space="preserve">Warehouse </w:t>
            </w:r>
          </w:p>
        </w:tc>
      </w:tr>
      <w:tr w:rsidR="00D473B8" w:rsidTr="00D473B8">
        <w:tc>
          <w:tcPr>
            <w:tcW w:w="553" w:type="dxa"/>
          </w:tcPr>
          <w:p w:rsidR="00D473B8" w:rsidRDefault="00D473B8" w:rsidP="00D473B8">
            <w:pPr>
              <w:pStyle w:val="MEMONUMBERED"/>
              <w:numPr>
                <w:ilvl w:val="0"/>
                <w:numId w:val="0"/>
              </w:numPr>
              <w:spacing w:after="360" w:line="360" w:lineRule="auto"/>
              <w:rPr>
                <w:color w:val="000000" w:themeColor="text1"/>
                <w:sz w:val="28"/>
                <w:szCs w:val="28"/>
              </w:rPr>
            </w:pPr>
            <w:r>
              <w:rPr>
                <w:color w:val="000000" w:themeColor="text1"/>
                <w:sz w:val="28"/>
                <w:szCs w:val="28"/>
              </w:rPr>
              <w:t>3.</w:t>
            </w:r>
          </w:p>
        </w:tc>
        <w:tc>
          <w:tcPr>
            <w:tcW w:w="1741"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Mpumalanga</w:t>
            </w:r>
          </w:p>
        </w:tc>
        <w:tc>
          <w:tcPr>
            <w:tcW w:w="2052"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Nelspruit</w:t>
            </w:r>
          </w:p>
        </w:tc>
        <w:tc>
          <w:tcPr>
            <w:tcW w:w="2458"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 xml:space="preserve">15 Fuschia Str, Nelspruit </w:t>
            </w:r>
          </w:p>
        </w:tc>
        <w:tc>
          <w:tcPr>
            <w:tcW w:w="2207"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 xml:space="preserve">Warehouse </w:t>
            </w:r>
          </w:p>
        </w:tc>
      </w:tr>
      <w:tr w:rsidR="00D473B8" w:rsidTr="00D473B8">
        <w:tc>
          <w:tcPr>
            <w:tcW w:w="553" w:type="dxa"/>
          </w:tcPr>
          <w:p w:rsidR="00D473B8" w:rsidRDefault="00D473B8" w:rsidP="00D473B8">
            <w:pPr>
              <w:pStyle w:val="MEMONUMBERED"/>
              <w:numPr>
                <w:ilvl w:val="0"/>
                <w:numId w:val="0"/>
              </w:numPr>
              <w:spacing w:after="360" w:line="360" w:lineRule="auto"/>
              <w:rPr>
                <w:color w:val="000000" w:themeColor="text1"/>
                <w:sz w:val="28"/>
                <w:szCs w:val="28"/>
              </w:rPr>
            </w:pPr>
            <w:r>
              <w:rPr>
                <w:color w:val="000000" w:themeColor="text1"/>
                <w:sz w:val="28"/>
                <w:szCs w:val="28"/>
              </w:rPr>
              <w:t>4.</w:t>
            </w:r>
          </w:p>
        </w:tc>
        <w:tc>
          <w:tcPr>
            <w:tcW w:w="1741"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Free State</w:t>
            </w:r>
          </w:p>
        </w:tc>
        <w:tc>
          <w:tcPr>
            <w:tcW w:w="2052"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Bloemfontein</w:t>
            </w:r>
          </w:p>
        </w:tc>
        <w:tc>
          <w:tcPr>
            <w:tcW w:w="2458"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2 Blignanlt Str, Bloemfontein</w:t>
            </w:r>
          </w:p>
        </w:tc>
        <w:tc>
          <w:tcPr>
            <w:tcW w:w="2207"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Warehouse</w:t>
            </w:r>
          </w:p>
        </w:tc>
      </w:tr>
      <w:tr w:rsidR="00D473B8" w:rsidTr="00D473B8">
        <w:tc>
          <w:tcPr>
            <w:tcW w:w="553" w:type="dxa"/>
          </w:tcPr>
          <w:p w:rsidR="00D473B8" w:rsidRDefault="00D473B8" w:rsidP="00D473B8">
            <w:pPr>
              <w:pStyle w:val="MEMONUMBERED"/>
              <w:numPr>
                <w:ilvl w:val="0"/>
                <w:numId w:val="0"/>
              </w:numPr>
              <w:spacing w:after="360" w:line="360" w:lineRule="auto"/>
              <w:rPr>
                <w:color w:val="000000" w:themeColor="text1"/>
                <w:sz w:val="28"/>
                <w:szCs w:val="28"/>
              </w:rPr>
            </w:pPr>
            <w:r>
              <w:rPr>
                <w:color w:val="000000" w:themeColor="text1"/>
                <w:sz w:val="28"/>
                <w:szCs w:val="28"/>
              </w:rPr>
              <w:t>5.</w:t>
            </w:r>
          </w:p>
        </w:tc>
        <w:tc>
          <w:tcPr>
            <w:tcW w:w="1741"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Limpopo</w:t>
            </w:r>
          </w:p>
        </w:tc>
        <w:tc>
          <w:tcPr>
            <w:tcW w:w="2052"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Polokwane</w:t>
            </w:r>
          </w:p>
        </w:tc>
        <w:tc>
          <w:tcPr>
            <w:tcW w:w="2458" w:type="dxa"/>
          </w:tcPr>
          <w:p w:rsidR="00D473B8" w:rsidRDefault="00945DC9" w:rsidP="00D473B8">
            <w:pPr>
              <w:pStyle w:val="MEMONUMBERED"/>
              <w:numPr>
                <w:ilvl w:val="0"/>
                <w:numId w:val="0"/>
              </w:numPr>
              <w:spacing w:line="360" w:lineRule="auto"/>
              <w:rPr>
                <w:color w:val="000000" w:themeColor="text1"/>
                <w:sz w:val="28"/>
                <w:szCs w:val="28"/>
              </w:rPr>
            </w:pPr>
            <w:r>
              <w:rPr>
                <w:color w:val="000000" w:themeColor="text1"/>
                <w:sz w:val="28"/>
                <w:szCs w:val="28"/>
              </w:rPr>
              <w:t>Corporate P</w:t>
            </w:r>
            <w:r w:rsidR="00D473B8">
              <w:rPr>
                <w:color w:val="000000" w:themeColor="text1"/>
                <w:sz w:val="28"/>
                <w:szCs w:val="28"/>
              </w:rPr>
              <w:t>ark 2, Polokwane</w:t>
            </w:r>
          </w:p>
        </w:tc>
        <w:tc>
          <w:tcPr>
            <w:tcW w:w="2207" w:type="dxa"/>
          </w:tcPr>
          <w:p w:rsidR="00D473B8" w:rsidRDefault="00D473B8" w:rsidP="00D473B8">
            <w:pPr>
              <w:pStyle w:val="MEMONUMBERED"/>
              <w:numPr>
                <w:ilvl w:val="0"/>
                <w:numId w:val="0"/>
              </w:numPr>
              <w:spacing w:line="360" w:lineRule="auto"/>
              <w:rPr>
                <w:color w:val="000000" w:themeColor="text1"/>
                <w:sz w:val="28"/>
                <w:szCs w:val="28"/>
              </w:rPr>
            </w:pPr>
            <w:r>
              <w:rPr>
                <w:color w:val="000000" w:themeColor="text1"/>
                <w:sz w:val="28"/>
                <w:szCs w:val="28"/>
              </w:rPr>
              <w:t xml:space="preserve">Warehouse </w:t>
            </w:r>
          </w:p>
        </w:tc>
      </w:tr>
    </w:tbl>
    <w:p w:rsidR="00945DC9" w:rsidRDefault="00945DC9" w:rsidP="00D473B8">
      <w:pPr>
        <w:pStyle w:val="MEMONUMBERED"/>
        <w:numPr>
          <w:ilvl w:val="0"/>
          <w:numId w:val="0"/>
        </w:numPr>
        <w:spacing w:after="360" w:line="360" w:lineRule="auto"/>
        <w:rPr>
          <w:color w:val="000000" w:themeColor="text1"/>
          <w:sz w:val="28"/>
          <w:szCs w:val="28"/>
        </w:rPr>
      </w:pPr>
    </w:p>
    <w:p w:rsidR="00945DC9" w:rsidRDefault="00945DC9" w:rsidP="00D473B8">
      <w:pPr>
        <w:pStyle w:val="MEMONUMBERED"/>
        <w:numPr>
          <w:ilvl w:val="0"/>
          <w:numId w:val="0"/>
        </w:numPr>
        <w:spacing w:after="360" w:line="360" w:lineRule="auto"/>
        <w:rPr>
          <w:color w:val="000000" w:themeColor="text1"/>
          <w:sz w:val="28"/>
          <w:szCs w:val="28"/>
        </w:rPr>
      </w:pPr>
      <w:r>
        <w:rPr>
          <w:color w:val="000000" w:themeColor="text1"/>
          <w:sz w:val="28"/>
          <w:szCs w:val="28"/>
        </w:rPr>
        <w:t>For each of the warehouses it was indicated that the “entire range” of parts would be held thereat.</w:t>
      </w:r>
    </w:p>
    <w:p w:rsidR="00E06D4A"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[15]</w:t>
      </w:r>
      <w:r>
        <w:rPr>
          <w:color w:val="000000" w:themeColor="text1"/>
          <w:sz w:val="28"/>
          <w:szCs w:val="28"/>
        </w:rPr>
        <w:tab/>
      </w:r>
      <w:r w:rsidR="00D473B8">
        <w:rPr>
          <w:color w:val="000000" w:themeColor="text1"/>
          <w:sz w:val="28"/>
          <w:szCs w:val="28"/>
        </w:rPr>
        <w:t xml:space="preserve">The </w:t>
      </w:r>
      <w:r w:rsidR="00DD6544">
        <w:rPr>
          <w:color w:val="000000" w:themeColor="text1"/>
          <w:sz w:val="28"/>
          <w:szCs w:val="28"/>
        </w:rPr>
        <w:t>BEC</w:t>
      </w:r>
      <w:r w:rsidR="00D473B8">
        <w:rPr>
          <w:color w:val="000000" w:themeColor="text1"/>
          <w:sz w:val="28"/>
          <w:szCs w:val="28"/>
        </w:rPr>
        <w:t xml:space="preserve"> conducted a due diligence exercise to verify that the </w:t>
      </w:r>
      <w:r w:rsidR="00F30B97">
        <w:rPr>
          <w:color w:val="000000" w:themeColor="text1"/>
          <w:sz w:val="28"/>
          <w:szCs w:val="28"/>
        </w:rPr>
        <w:t>declared</w:t>
      </w:r>
      <w:r w:rsidR="00D473B8">
        <w:rPr>
          <w:color w:val="000000" w:themeColor="text1"/>
          <w:sz w:val="28"/>
          <w:szCs w:val="28"/>
        </w:rPr>
        <w:t xml:space="preserve"> information indicated a “</w:t>
      </w:r>
      <w:r w:rsidR="00D473B8" w:rsidRPr="00F30B97">
        <w:rPr>
          <w:i/>
          <w:color w:val="000000" w:themeColor="text1"/>
          <w:sz w:val="28"/>
          <w:szCs w:val="28"/>
        </w:rPr>
        <w:t>… capacity to deliver the services tendered for, by way of a “footprint” of offices and/or warehouses from where the goods will be stored, ordered and delivered</w:t>
      </w:r>
      <w:r w:rsidR="00D473B8">
        <w:rPr>
          <w:color w:val="000000" w:themeColor="text1"/>
          <w:sz w:val="28"/>
          <w:szCs w:val="28"/>
        </w:rPr>
        <w:t xml:space="preserve">”.  It </w:t>
      </w:r>
      <w:r w:rsidR="00F30B97">
        <w:rPr>
          <w:color w:val="000000" w:themeColor="text1"/>
          <w:sz w:val="28"/>
          <w:szCs w:val="28"/>
        </w:rPr>
        <w:t>found that the warehouses indi</w:t>
      </w:r>
      <w:r w:rsidR="007D6E61">
        <w:rPr>
          <w:color w:val="000000" w:themeColor="text1"/>
          <w:sz w:val="28"/>
          <w:szCs w:val="28"/>
        </w:rPr>
        <w:t>cated by Kee</w:t>
      </w:r>
      <w:r w:rsidR="00D473B8">
        <w:rPr>
          <w:color w:val="000000" w:themeColor="text1"/>
          <w:sz w:val="28"/>
          <w:szCs w:val="28"/>
        </w:rPr>
        <w:t>gans actually belonged to an entity named Parts Incorporated Africa Ltd t/a Motus Aftermarket Parts (Motus).  The BEC therefore</w:t>
      </w:r>
      <w:r w:rsidR="007D6E61">
        <w:rPr>
          <w:color w:val="000000" w:themeColor="text1"/>
          <w:sz w:val="28"/>
          <w:szCs w:val="28"/>
        </w:rPr>
        <w:t xml:space="preserve"> on 15 February disqualified Kee</w:t>
      </w:r>
      <w:r w:rsidR="00D473B8">
        <w:rPr>
          <w:color w:val="000000" w:themeColor="text1"/>
          <w:sz w:val="28"/>
          <w:szCs w:val="28"/>
        </w:rPr>
        <w:t>gans from progressing to phase 3</w:t>
      </w:r>
      <w:r w:rsidR="00F30B97">
        <w:rPr>
          <w:color w:val="000000" w:themeColor="text1"/>
          <w:sz w:val="28"/>
          <w:szCs w:val="28"/>
        </w:rPr>
        <w:t>.</w:t>
      </w:r>
      <w:r w:rsidR="00DD6544">
        <w:rPr>
          <w:color w:val="000000" w:themeColor="text1"/>
          <w:sz w:val="28"/>
          <w:szCs w:val="28"/>
        </w:rPr>
        <w:t xml:space="preserve">  This was done in accordance with clause 5.3.4(e) of the SCC quoted in par [10] above.</w:t>
      </w:r>
    </w:p>
    <w:p w:rsidR="00E626EA" w:rsidRPr="00E626EA" w:rsidRDefault="008B2854" w:rsidP="008B2854">
      <w:pPr>
        <w:pStyle w:val="MEMONUMBERED"/>
        <w:numPr>
          <w:ilvl w:val="0"/>
          <w:numId w:val="0"/>
        </w:numPr>
        <w:spacing w:after="360" w:line="360" w:lineRule="auto"/>
        <w:rPr>
          <w:color w:val="000000" w:themeColor="text1"/>
          <w:sz w:val="28"/>
          <w:szCs w:val="28"/>
        </w:rPr>
      </w:pPr>
      <w:r w:rsidRPr="00E626EA">
        <w:rPr>
          <w:color w:val="000000" w:themeColor="text1"/>
          <w:sz w:val="28"/>
          <w:szCs w:val="28"/>
        </w:rPr>
        <w:lastRenderedPageBreak/>
        <w:t>[16]</w:t>
      </w:r>
      <w:r w:rsidRPr="00E626EA">
        <w:rPr>
          <w:color w:val="000000" w:themeColor="text1"/>
          <w:sz w:val="28"/>
          <w:szCs w:val="28"/>
        </w:rPr>
        <w:tab/>
      </w:r>
      <w:r w:rsidR="00F30B97">
        <w:rPr>
          <w:color w:val="000000" w:themeColor="text1"/>
          <w:sz w:val="28"/>
          <w:szCs w:val="28"/>
        </w:rPr>
        <w:t>When the above was discovered by Ke</w:t>
      </w:r>
      <w:r w:rsidR="007D6E61">
        <w:rPr>
          <w:color w:val="000000" w:themeColor="text1"/>
          <w:sz w:val="28"/>
          <w:szCs w:val="28"/>
        </w:rPr>
        <w:t>e</w:t>
      </w:r>
      <w:r w:rsidR="00F30B97">
        <w:rPr>
          <w:color w:val="000000" w:themeColor="text1"/>
          <w:sz w:val="28"/>
          <w:szCs w:val="28"/>
        </w:rPr>
        <w:t>gans after the delivery of the record, it delivered an amended notice of motion and supplemented ifs founding affidavit (as it was entitled to</w:t>
      </w:r>
      <w:r w:rsidR="007D6E61">
        <w:rPr>
          <w:color w:val="000000" w:themeColor="text1"/>
          <w:sz w:val="28"/>
          <w:szCs w:val="28"/>
        </w:rPr>
        <w:t xml:space="preserve"> do).  The relief claimed by Kee</w:t>
      </w:r>
      <w:r w:rsidR="00F30B97">
        <w:rPr>
          <w:color w:val="000000" w:themeColor="text1"/>
          <w:sz w:val="28"/>
          <w:szCs w:val="28"/>
        </w:rPr>
        <w:t xml:space="preserve">gans was then for a review and setting aside </w:t>
      </w:r>
      <w:r w:rsidR="007D6E61">
        <w:rPr>
          <w:color w:val="000000" w:themeColor="text1"/>
          <w:sz w:val="28"/>
          <w:szCs w:val="28"/>
        </w:rPr>
        <w:t>of the BEC’</w:t>
      </w:r>
      <w:r w:rsidR="00FA4018">
        <w:rPr>
          <w:color w:val="000000" w:themeColor="text1"/>
          <w:sz w:val="28"/>
          <w:szCs w:val="28"/>
        </w:rPr>
        <w:t>s</w:t>
      </w:r>
      <w:r w:rsidR="007D6E61">
        <w:rPr>
          <w:color w:val="000000" w:themeColor="text1"/>
          <w:sz w:val="28"/>
          <w:szCs w:val="28"/>
        </w:rPr>
        <w:t xml:space="preserve"> decision whereby Kee</w:t>
      </w:r>
      <w:r w:rsidR="00F30B97">
        <w:rPr>
          <w:color w:val="000000" w:themeColor="text1"/>
          <w:sz w:val="28"/>
          <w:szCs w:val="28"/>
        </w:rPr>
        <w:t xml:space="preserve">gans was </w:t>
      </w:r>
      <w:r w:rsidR="003F43AC">
        <w:rPr>
          <w:color w:val="000000" w:themeColor="text1"/>
          <w:sz w:val="28"/>
          <w:szCs w:val="28"/>
        </w:rPr>
        <w:t>disqualified, a</w:t>
      </w:r>
      <w:r w:rsidR="00945DC9">
        <w:rPr>
          <w:color w:val="000000" w:themeColor="text1"/>
          <w:sz w:val="28"/>
          <w:szCs w:val="28"/>
        </w:rPr>
        <w:t xml:space="preserve"> setting aside of </w:t>
      </w:r>
      <w:r w:rsidR="00F30B97">
        <w:rPr>
          <w:color w:val="000000" w:themeColor="text1"/>
          <w:sz w:val="28"/>
          <w:szCs w:val="28"/>
        </w:rPr>
        <w:t>the BEC’s decision not to disqualify the eighth respondent,</w:t>
      </w:r>
      <w:r w:rsidR="00945DC9">
        <w:rPr>
          <w:color w:val="000000" w:themeColor="text1"/>
          <w:sz w:val="28"/>
          <w:szCs w:val="28"/>
        </w:rPr>
        <w:t xml:space="preserve"> a</w:t>
      </w:r>
      <w:r w:rsidR="00945DC9" w:rsidRPr="00945DC9">
        <w:rPr>
          <w:rFonts w:asciiTheme="minorHAnsi" w:eastAsiaTheme="minorHAnsi" w:hAnsiTheme="minorHAnsi" w:cstheme="minorBidi"/>
          <w:color w:val="000000" w:themeColor="text1"/>
          <w:sz w:val="28"/>
          <w:szCs w:val="28"/>
          <w:lang w:val="en-ZA" w:eastAsia="en-US"/>
        </w:rPr>
        <w:t xml:space="preserve"> </w:t>
      </w:r>
      <w:r w:rsidR="00945DC9" w:rsidRPr="00945DC9">
        <w:rPr>
          <w:color w:val="000000" w:themeColor="text1"/>
          <w:sz w:val="28"/>
          <w:szCs w:val="28"/>
          <w:lang w:val="en-ZA"/>
        </w:rPr>
        <w:t>setting aside of</w:t>
      </w:r>
      <w:r w:rsidR="00F30B97">
        <w:rPr>
          <w:color w:val="000000" w:themeColor="text1"/>
          <w:sz w:val="28"/>
          <w:szCs w:val="28"/>
        </w:rPr>
        <w:t xml:space="preserve"> Treasury’s decision to award tenders to the seventh and eighth respondents and a setting aside of the contracts concluded with these two respondents.  A remittal to the BEC and costs were also claimed.</w:t>
      </w:r>
    </w:p>
    <w:p w:rsidR="00595E78" w:rsidRPr="008E28AB" w:rsidRDefault="007D6E61" w:rsidP="008E28AB">
      <w:pPr>
        <w:pStyle w:val="MEMONUMBERED"/>
        <w:numPr>
          <w:ilvl w:val="0"/>
          <w:numId w:val="0"/>
        </w:numPr>
        <w:spacing w:after="120" w:line="360" w:lineRule="auto"/>
        <w:rPr>
          <w:b/>
          <w:color w:val="000000" w:themeColor="text1"/>
          <w:sz w:val="28"/>
          <w:szCs w:val="28"/>
        </w:rPr>
      </w:pPr>
      <w:r>
        <w:rPr>
          <w:b/>
          <w:color w:val="000000" w:themeColor="text1"/>
          <w:sz w:val="28"/>
          <w:szCs w:val="28"/>
        </w:rPr>
        <w:t>Kee</w:t>
      </w:r>
      <w:r w:rsidR="00E626EA">
        <w:rPr>
          <w:b/>
          <w:color w:val="000000" w:themeColor="text1"/>
          <w:sz w:val="28"/>
          <w:szCs w:val="28"/>
        </w:rPr>
        <w:t>gans’ attack on the BEC</w:t>
      </w:r>
      <w:r w:rsidR="00DD6544">
        <w:rPr>
          <w:b/>
          <w:color w:val="000000" w:themeColor="text1"/>
          <w:sz w:val="28"/>
          <w:szCs w:val="28"/>
        </w:rPr>
        <w:t>’s inspection and subsequent</w:t>
      </w:r>
      <w:r w:rsidR="00E626EA">
        <w:rPr>
          <w:b/>
          <w:color w:val="000000" w:themeColor="text1"/>
          <w:sz w:val="28"/>
          <w:szCs w:val="28"/>
        </w:rPr>
        <w:t xml:space="preserve"> decision</w:t>
      </w:r>
      <w:r w:rsidR="00E06D4A">
        <w:rPr>
          <w:b/>
          <w:color w:val="000000" w:themeColor="text1"/>
          <w:sz w:val="28"/>
          <w:szCs w:val="28"/>
        </w:rPr>
        <w:t xml:space="preserve"> </w:t>
      </w:r>
    </w:p>
    <w:p w:rsidR="00287ADF"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[17]</w:t>
      </w:r>
      <w:r>
        <w:rPr>
          <w:color w:val="000000" w:themeColor="text1"/>
          <w:sz w:val="28"/>
          <w:szCs w:val="28"/>
        </w:rPr>
        <w:tab/>
      </w:r>
      <w:r w:rsidR="007D6E61">
        <w:rPr>
          <w:color w:val="000000" w:themeColor="text1"/>
          <w:sz w:val="28"/>
          <w:szCs w:val="28"/>
        </w:rPr>
        <w:t>As a first line of attack, Kee</w:t>
      </w:r>
      <w:r w:rsidR="00E626EA">
        <w:rPr>
          <w:color w:val="000000" w:themeColor="text1"/>
          <w:sz w:val="28"/>
          <w:szCs w:val="28"/>
        </w:rPr>
        <w:t>gans alleged th</w:t>
      </w:r>
      <w:r w:rsidR="00B707BB">
        <w:rPr>
          <w:color w:val="000000" w:themeColor="text1"/>
          <w:sz w:val="28"/>
          <w:szCs w:val="28"/>
        </w:rPr>
        <w:t xml:space="preserve">at the “footprint” requirement </w:t>
      </w:r>
      <w:r w:rsidR="00E626EA">
        <w:rPr>
          <w:color w:val="000000" w:themeColor="text1"/>
          <w:sz w:val="28"/>
          <w:szCs w:val="28"/>
        </w:rPr>
        <w:t xml:space="preserve">per province was </w:t>
      </w:r>
      <w:r w:rsidR="00E626EA" w:rsidRPr="00945DC9">
        <w:rPr>
          <w:color w:val="000000" w:themeColor="text1"/>
          <w:sz w:val="28"/>
          <w:szCs w:val="28"/>
        </w:rPr>
        <w:t>“</w:t>
      </w:r>
      <w:r w:rsidR="00E626EA" w:rsidRPr="00945DC9">
        <w:rPr>
          <w:i/>
          <w:color w:val="000000" w:themeColor="text1"/>
          <w:sz w:val="28"/>
          <w:szCs w:val="28"/>
        </w:rPr>
        <w:t>… so vague as to be unreaso</w:t>
      </w:r>
      <w:r w:rsidR="00B707BB" w:rsidRPr="00945DC9">
        <w:rPr>
          <w:i/>
          <w:color w:val="000000" w:themeColor="text1"/>
          <w:sz w:val="28"/>
          <w:szCs w:val="28"/>
        </w:rPr>
        <w:t>nable, irrational and unfair</w:t>
      </w:r>
      <w:r w:rsidR="00B707BB">
        <w:rPr>
          <w:color w:val="000000" w:themeColor="text1"/>
          <w:sz w:val="28"/>
          <w:szCs w:val="28"/>
        </w:rPr>
        <w:t>”.</w:t>
      </w:r>
    </w:p>
    <w:p w:rsidR="00B707BB"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[18]</w:t>
      </w:r>
      <w:r>
        <w:rPr>
          <w:color w:val="000000" w:themeColor="text1"/>
          <w:sz w:val="28"/>
          <w:szCs w:val="28"/>
        </w:rPr>
        <w:tab/>
      </w:r>
      <w:r w:rsidR="00B707BB">
        <w:rPr>
          <w:color w:val="000000" w:themeColor="text1"/>
          <w:sz w:val="28"/>
          <w:szCs w:val="28"/>
        </w:rPr>
        <w:t xml:space="preserve">As a second attack, the lack of minutes of the BEC’s consideration of the bids during the course of 11, 12, 13 and 14 October 2021 as well as on 15 February 2022 led to an accusation that the meetings were </w:t>
      </w:r>
      <w:r w:rsidR="00B707BB" w:rsidRPr="00945DC9">
        <w:rPr>
          <w:i/>
          <w:color w:val="000000" w:themeColor="text1"/>
          <w:sz w:val="28"/>
          <w:szCs w:val="28"/>
        </w:rPr>
        <w:t>“… conducted in a clandestine manner, were inherent</w:t>
      </w:r>
      <w:r w:rsidR="00FA4018">
        <w:rPr>
          <w:i/>
          <w:color w:val="000000" w:themeColor="text1"/>
          <w:sz w:val="28"/>
          <w:szCs w:val="28"/>
        </w:rPr>
        <w:t>ly</w:t>
      </w:r>
      <w:r w:rsidR="00B707BB" w:rsidRPr="00945DC9">
        <w:rPr>
          <w:i/>
          <w:color w:val="000000" w:themeColor="text1"/>
          <w:sz w:val="28"/>
          <w:szCs w:val="28"/>
        </w:rPr>
        <w:t xml:space="preserve"> flawed, irregular and untransparent</w:t>
      </w:r>
      <w:r w:rsidR="00945DC9">
        <w:rPr>
          <w:color w:val="000000" w:themeColor="text1"/>
          <w:sz w:val="28"/>
          <w:szCs w:val="28"/>
        </w:rPr>
        <w:t>”.</w:t>
      </w:r>
    </w:p>
    <w:p w:rsidR="00B707BB"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[19]</w:t>
      </w:r>
      <w:r>
        <w:rPr>
          <w:color w:val="000000" w:themeColor="text1"/>
          <w:sz w:val="28"/>
          <w:szCs w:val="28"/>
        </w:rPr>
        <w:tab/>
      </w:r>
      <w:r w:rsidR="00B707BB">
        <w:rPr>
          <w:color w:val="000000" w:themeColor="text1"/>
          <w:sz w:val="28"/>
          <w:szCs w:val="28"/>
        </w:rPr>
        <w:t>The primary attack, was however</w:t>
      </w:r>
      <w:r w:rsidR="00945DC9">
        <w:rPr>
          <w:color w:val="000000" w:themeColor="text1"/>
          <w:sz w:val="28"/>
          <w:szCs w:val="28"/>
        </w:rPr>
        <w:t>, was that despite</w:t>
      </w:r>
      <w:r w:rsidR="00B707BB">
        <w:rPr>
          <w:color w:val="000000" w:themeColor="text1"/>
          <w:sz w:val="28"/>
          <w:szCs w:val="28"/>
        </w:rPr>
        <w:t xml:space="preserve"> the fact that two letters had been sent to </w:t>
      </w:r>
      <w:r w:rsidR="007D6E61">
        <w:rPr>
          <w:color w:val="000000" w:themeColor="text1"/>
          <w:sz w:val="28"/>
          <w:szCs w:val="28"/>
        </w:rPr>
        <w:t>Keegans</w:t>
      </w:r>
      <w:r w:rsidR="00B707BB">
        <w:rPr>
          <w:color w:val="000000" w:themeColor="text1"/>
          <w:sz w:val="28"/>
          <w:szCs w:val="28"/>
        </w:rPr>
        <w:t>, indicating proposed site inspections at a “Jet Park” address (at 10h00</w:t>
      </w:r>
      <w:r w:rsidR="007D6E61">
        <w:rPr>
          <w:color w:val="000000" w:themeColor="text1"/>
          <w:sz w:val="28"/>
          <w:szCs w:val="28"/>
        </w:rPr>
        <w:t xml:space="preserve"> on 14 February 2022) and at Kee</w:t>
      </w:r>
      <w:r w:rsidR="00B707BB">
        <w:rPr>
          <w:color w:val="000000" w:themeColor="text1"/>
          <w:sz w:val="28"/>
          <w:szCs w:val="28"/>
        </w:rPr>
        <w:t>gans’ “Linbro Park” address (at 14h00 on the same day)</w:t>
      </w:r>
      <w:r w:rsidR="00F72D8E">
        <w:rPr>
          <w:color w:val="000000" w:themeColor="text1"/>
          <w:sz w:val="28"/>
          <w:szCs w:val="28"/>
        </w:rPr>
        <w:t>,</w:t>
      </w:r>
      <w:r w:rsidR="00B707BB">
        <w:rPr>
          <w:color w:val="000000" w:themeColor="text1"/>
          <w:sz w:val="28"/>
          <w:szCs w:val="28"/>
        </w:rPr>
        <w:t xml:space="preserve"> that only one inspection took place at 14h00 at “Jet Park” and a promise</w:t>
      </w:r>
      <w:r w:rsidR="00F72D8E">
        <w:rPr>
          <w:color w:val="000000" w:themeColor="text1"/>
          <w:sz w:val="28"/>
          <w:szCs w:val="28"/>
        </w:rPr>
        <w:t>d</w:t>
      </w:r>
      <w:r w:rsidR="00B707BB">
        <w:rPr>
          <w:color w:val="000000" w:themeColor="text1"/>
          <w:sz w:val="28"/>
          <w:szCs w:val="28"/>
        </w:rPr>
        <w:t xml:space="preserve"> alternate inspection at a Florida warehouse never took place.</w:t>
      </w:r>
    </w:p>
    <w:p w:rsidR="005D386E"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[20]</w:t>
      </w:r>
      <w:r>
        <w:rPr>
          <w:color w:val="000000" w:themeColor="text1"/>
          <w:sz w:val="28"/>
          <w:szCs w:val="28"/>
        </w:rPr>
        <w:tab/>
      </w:r>
      <w:r w:rsidR="00B707BB">
        <w:rPr>
          <w:color w:val="000000" w:themeColor="text1"/>
          <w:sz w:val="28"/>
          <w:szCs w:val="28"/>
        </w:rPr>
        <w:t>The minutes of the BEC of 15 February 2022 (incorrectly dated “2021”</w:t>
      </w:r>
      <w:r w:rsidR="005D386E">
        <w:rPr>
          <w:color w:val="000000" w:themeColor="text1"/>
          <w:sz w:val="28"/>
          <w:szCs w:val="28"/>
        </w:rPr>
        <w:t>) indicated the identit</w:t>
      </w:r>
      <w:r w:rsidR="00B707BB">
        <w:rPr>
          <w:color w:val="000000" w:themeColor="text1"/>
          <w:sz w:val="28"/>
          <w:szCs w:val="28"/>
        </w:rPr>
        <w:t>y of the five BEC mem</w:t>
      </w:r>
      <w:r w:rsidR="005D386E">
        <w:rPr>
          <w:color w:val="000000" w:themeColor="text1"/>
          <w:sz w:val="28"/>
          <w:szCs w:val="28"/>
        </w:rPr>
        <w:t>b</w:t>
      </w:r>
      <w:r w:rsidR="00B707BB">
        <w:rPr>
          <w:color w:val="000000" w:themeColor="text1"/>
          <w:sz w:val="28"/>
          <w:szCs w:val="28"/>
        </w:rPr>
        <w:t>er</w:t>
      </w:r>
      <w:r w:rsidR="00F72D8E">
        <w:rPr>
          <w:color w:val="000000" w:themeColor="text1"/>
          <w:sz w:val="28"/>
          <w:szCs w:val="28"/>
        </w:rPr>
        <w:t>s</w:t>
      </w:r>
      <w:r w:rsidR="00B707BB">
        <w:rPr>
          <w:color w:val="000000" w:themeColor="text1"/>
          <w:sz w:val="28"/>
          <w:szCs w:val="28"/>
        </w:rPr>
        <w:t xml:space="preserve"> who</w:t>
      </w:r>
      <w:r w:rsidR="00F72D8E">
        <w:rPr>
          <w:color w:val="000000" w:themeColor="text1"/>
          <w:sz w:val="28"/>
          <w:szCs w:val="28"/>
        </w:rPr>
        <w:t xml:space="preserve"> had</w:t>
      </w:r>
      <w:r w:rsidR="00B707BB">
        <w:rPr>
          <w:color w:val="000000" w:themeColor="text1"/>
          <w:sz w:val="28"/>
          <w:szCs w:val="28"/>
        </w:rPr>
        <w:t xml:space="preserve"> attended to the site meeting</w:t>
      </w:r>
      <w:r w:rsidR="00FA4018">
        <w:rPr>
          <w:color w:val="000000" w:themeColor="text1"/>
          <w:sz w:val="28"/>
          <w:szCs w:val="28"/>
        </w:rPr>
        <w:t xml:space="preserve"> at Jet Park</w:t>
      </w:r>
      <w:r w:rsidR="00B707BB">
        <w:rPr>
          <w:color w:val="000000" w:themeColor="text1"/>
          <w:sz w:val="28"/>
          <w:szCs w:val="28"/>
        </w:rPr>
        <w:t>.  They included two Treasury officia</w:t>
      </w:r>
      <w:r w:rsidR="005D386E">
        <w:rPr>
          <w:color w:val="000000" w:themeColor="text1"/>
          <w:sz w:val="28"/>
          <w:szCs w:val="28"/>
        </w:rPr>
        <w:t xml:space="preserve">ls and three members of the South African Police Service.  The notes were taken by a Ms Gumede.  Also </w:t>
      </w:r>
      <w:r w:rsidR="005D386E">
        <w:rPr>
          <w:color w:val="000000" w:themeColor="text1"/>
          <w:sz w:val="28"/>
          <w:szCs w:val="28"/>
        </w:rPr>
        <w:lastRenderedPageBreak/>
        <w:t>in attendance were two representatives of Motu</w:t>
      </w:r>
      <w:r w:rsidR="007D6E61">
        <w:rPr>
          <w:color w:val="000000" w:themeColor="text1"/>
          <w:sz w:val="28"/>
          <w:szCs w:val="28"/>
        </w:rPr>
        <w:t>s and three staff members of Kee</w:t>
      </w:r>
      <w:r w:rsidR="005D386E">
        <w:rPr>
          <w:color w:val="000000" w:themeColor="text1"/>
          <w:sz w:val="28"/>
          <w:szCs w:val="28"/>
        </w:rPr>
        <w:t>gans.</w:t>
      </w:r>
    </w:p>
    <w:p w:rsidR="00B707BB"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5D386E">
        <w:rPr>
          <w:color w:val="000000" w:themeColor="text1"/>
          <w:sz w:val="28"/>
          <w:szCs w:val="28"/>
        </w:rPr>
        <w:t>At this site visit it was (correctly) established that the</w:t>
      </w:r>
      <w:r w:rsidR="001F0FAA">
        <w:rPr>
          <w:color w:val="000000" w:themeColor="text1"/>
          <w:sz w:val="28"/>
          <w:szCs w:val="28"/>
        </w:rPr>
        <w:t xml:space="preserve"> warehouse does not belong to </w:t>
      </w:r>
      <w:r w:rsidR="007D6E61">
        <w:rPr>
          <w:color w:val="000000" w:themeColor="text1"/>
          <w:sz w:val="28"/>
          <w:szCs w:val="28"/>
        </w:rPr>
        <w:t>Keegans</w:t>
      </w:r>
      <w:r w:rsidR="005D386E">
        <w:rPr>
          <w:color w:val="000000" w:themeColor="text1"/>
          <w:sz w:val="28"/>
          <w:szCs w:val="28"/>
        </w:rPr>
        <w:t>.  It is in fact a Motus warehouse,</w:t>
      </w:r>
      <w:r w:rsidR="00F72D8E">
        <w:rPr>
          <w:color w:val="000000" w:themeColor="text1"/>
          <w:sz w:val="28"/>
          <w:szCs w:val="28"/>
        </w:rPr>
        <w:t xml:space="preserve"> being</w:t>
      </w:r>
      <w:r w:rsidR="005D386E">
        <w:rPr>
          <w:color w:val="000000" w:themeColor="text1"/>
          <w:sz w:val="28"/>
          <w:szCs w:val="28"/>
        </w:rPr>
        <w:t xml:space="preserve"> operated on leased premises.  </w:t>
      </w:r>
      <w:r w:rsidR="007D6E61">
        <w:rPr>
          <w:color w:val="000000" w:themeColor="text1"/>
          <w:sz w:val="28"/>
          <w:szCs w:val="28"/>
        </w:rPr>
        <w:t>Keegans</w:t>
      </w:r>
      <w:r w:rsidR="005D386E">
        <w:rPr>
          <w:color w:val="000000" w:themeColor="text1"/>
          <w:sz w:val="28"/>
          <w:szCs w:val="28"/>
        </w:rPr>
        <w:t xml:space="preserve"> complain</w:t>
      </w:r>
      <w:r w:rsidR="00FA4018">
        <w:rPr>
          <w:color w:val="000000" w:themeColor="text1"/>
          <w:sz w:val="28"/>
          <w:szCs w:val="28"/>
        </w:rPr>
        <w:t>ed</w:t>
      </w:r>
      <w:r w:rsidR="005D386E">
        <w:rPr>
          <w:color w:val="000000" w:themeColor="text1"/>
          <w:sz w:val="28"/>
          <w:szCs w:val="28"/>
        </w:rPr>
        <w:t xml:space="preserve"> that, at the site meeting, it was indicated</w:t>
      </w:r>
      <w:r w:rsidR="00F72D8E">
        <w:rPr>
          <w:color w:val="000000" w:themeColor="text1"/>
          <w:sz w:val="28"/>
          <w:szCs w:val="28"/>
        </w:rPr>
        <w:t xml:space="preserve"> to those conducting the inspection</w:t>
      </w:r>
      <w:r w:rsidR="005D386E">
        <w:rPr>
          <w:color w:val="000000" w:themeColor="text1"/>
          <w:sz w:val="28"/>
          <w:szCs w:val="28"/>
        </w:rPr>
        <w:t xml:space="preserve"> that </w:t>
      </w:r>
      <w:r w:rsidR="007D6E61">
        <w:rPr>
          <w:color w:val="000000" w:themeColor="text1"/>
          <w:sz w:val="28"/>
          <w:szCs w:val="28"/>
        </w:rPr>
        <w:t>Keegans</w:t>
      </w:r>
      <w:r w:rsidR="005D386E">
        <w:rPr>
          <w:color w:val="000000" w:themeColor="text1"/>
          <w:sz w:val="28"/>
          <w:szCs w:val="28"/>
        </w:rPr>
        <w:t xml:space="preserve"> owns a warehouse in Florida and that “</w:t>
      </w:r>
      <w:r w:rsidR="005D386E" w:rsidRPr="001F0FAA">
        <w:rPr>
          <w:i/>
          <w:color w:val="000000" w:themeColor="text1"/>
          <w:sz w:val="28"/>
          <w:szCs w:val="28"/>
        </w:rPr>
        <w:t>at all relevant times during and after the site visit, [</w:t>
      </w:r>
      <w:r w:rsidR="007D6E61" w:rsidRPr="001F0FAA">
        <w:rPr>
          <w:i/>
          <w:color w:val="000000" w:themeColor="text1"/>
          <w:sz w:val="28"/>
          <w:szCs w:val="28"/>
        </w:rPr>
        <w:t>Keegans</w:t>
      </w:r>
      <w:r w:rsidR="005D386E" w:rsidRPr="001F0FAA">
        <w:rPr>
          <w:i/>
          <w:color w:val="000000" w:themeColor="text1"/>
          <w:sz w:val="28"/>
          <w:szCs w:val="28"/>
        </w:rPr>
        <w:t xml:space="preserve">] was under the impression and had a reasonable expectation that a proper site visit will be conducted at the Florida warehouse.  Having made reference to the Florida </w:t>
      </w:r>
      <w:r w:rsidR="001F0FAA" w:rsidRPr="001F0FAA">
        <w:rPr>
          <w:i/>
          <w:color w:val="000000" w:themeColor="text1"/>
          <w:sz w:val="28"/>
          <w:szCs w:val="28"/>
        </w:rPr>
        <w:t>warehouse in the minute</w:t>
      </w:r>
      <w:r w:rsidR="00FA4018">
        <w:rPr>
          <w:i/>
          <w:color w:val="000000" w:themeColor="text1"/>
          <w:sz w:val="28"/>
          <w:szCs w:val="28"/>
        </w:rPr>
        <w:t>,</w:t>
      </w:r>
      <w:r w:rsidR="001F0FAA" w:rsidRPr="001F0FAA">
        <w:rPr>
          <w:i/>
          <w:color w:val="000000" w:themeColor="text1"/>
          <w:sz w:val="28"/>
          <w:szCs w:val="28"/>
        </w:rPr>
        <w:t xml:space="preserve"> the BEC had an obligation to conduct the site visit prior to t</w:t>
      </w:r>
      <w:r w:rsidR="007D6E61">
        <w:rPr>
          <w:i/>
          <w:color w:val="000000" w:themeColor="text1"/>
          <w:sz w:val="28"/>
          <w:szCs w:val="28"/>
        </w:rPr>
        <w:t>aking a decision to exclude [Kee</w:t>
      </w:r>
      <w:r w:rsidR="001F0FAA" w:rsidRPr="001F0FAA">
        <w:rPr>
          <w:i/>
          <w:color w:val="000000" w:themeColor="text1"/>
          <w:sz w:val="28"/>
          <w:szCs w:val="28"/>
        </w:rPr>
        <w:t>gans]</w:t>
      </w:r>
      <w:r w:rsidR="001F0FAA">
        <w:rPr>
          <w:color w:val="000000" w:themeColor="text1"/>
          <w:sz w:val="28"/>
          <w:szCs w:val="28"/>
        </w:rPr>
        <w:t>”.</w:t>
      </w:r>
      <w:r w:rsidR="005D386E">
        <w:rPr>
          <w:color w:val="000000" w:themeColor="text1"/>
          <w:sz w:val="28"/>
          <w:szCs w:val="28"/>
        </w:rPr>
        <w:t xml:space="preserve"> </w:t>
      </w:r>
    </w:p>
    <w:p w:rsidR="001F0FAA"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[22]</w:t>
      </w:r>
      <w:r>
        <w:rPr>
          <w:color w:val="000000" w:themeColor="text1"/>
          <w:sz w:val="28"/>
          <w:szCs w:val="28"/>
        </w:rPr>
        <w:tab/>
      </w:r>
      <w:r w:rsidR="001F0FAA">
        <w:rPr>
          <w:color w:val="000000" w:themeColor="text1"/>
          <w:sz w:val="28"/>
          <w:szCs w:val="28"/>
        </w:rPr>
        <w:t>In the supplementary affidavit Mr Govinder discl</w:t>
      </w:r>
      <w:r w:rsidR="00F72D8E">
        <w:rPr>
          <w:color w:val="000000" w:themeColor="text1"/>
          <w:sz w:val="28"/>
          <w:szCs w:val="28"/>
        </w:rPr>
        <w:t>osed that the Florida warehouse</w:t>
      </w:r>
      <w:r w:rsidR="00FA4018">
        <w:rPr>
          <w:color w:val="000000" w:themeColor="text1"/>
          <w:sz w:val="28"/>
          <w:szCs w:val="28"/>
        </w:rPr>
        <w:t xml:space="preserve"> also</w:t>
      </w:r>
      <w:r w:rsidR="001F0FAA">
        <w:rPr>
          <w:color w:val="000000" w:themeColor="text1"/>
          <w:sz w:val="28"/>
          <w:szCs w:val="28"/>
        </w:rPr>
        <w:t xml:space="preserve"> does </w:t>
      </w:r>
      <w:r w:rsidR="00CF6A6C">
        <w:rPr>
          <w:color w:val="000000" w:themeColor="text1"/>
          <w:sz w:val="28"/>
          <w:szCs w:val="28"/>
        </w:rPr>
        <w:t>n</w:t>
      </w:r>
      <w:r w:rsidR="001F0FAA">
        <w:rPr>
          <w:color w:val="000000" w:themeColor="text1"/>
          <w:sz w:val="28"/>
          <w:szCs w:val="28"/>
        </w:rPr>
        <w:t>ot actually be</w:t>
      </w:r>
      <w:r w:rsidR="00CF6A6C">
        <w:rPr>
          <w:color w:val="000000" w:themeColor="text1"/>
          <w:sz w:val="28"/>
          <w:szCs w:val="28"/>
        </w:rPr>
        <w:t>long to Ke</w:t>
      </w:r>
      <w:r w:rsidR="007D6E61">
        <w:rPr>
          <w:color w:val="000000" w:themeColor="text1"/>
          <w:sz w:val="28"/>
          <w:szCs w:val="28"/>
        </w:rPr>
        <w:t>e</w:t>
      </w:r>
      <w:r w:rsidR="001F0FAA">
        <w:rPr>
          <w:color w:val="000000" w:themeColor="text1"/>
          <w:sz w:val="28"/>
          <w:szCs w:val="28"/>
        </w:rPr>
        <w:t xml:space="preserve">gans, but to </w:t>
      </w:r>
      <w:r w:rsidR="00CF6A6C">
        <w:rPr>
          <w:color w:val="000000" w:themeColor="text1"/>
          <w:sz w:val="28"/>
          <w:szCs w:val="28"/>
        </w:rPr>
        <w:t xml:space="preserve">him personally.  </w:t>
      </w:r>
      <w:r w:rsidR="007D6E61">
        <w:rPr>
          <w:color w:val="000000" w:themeColor="text1"/>
          <w:sz w:val="28"/>
          <w:szCs w:val="28"/>
        </w:rPr>
        <w:t>As he was the sole member of Kee</w:t>
      </w:r>
      <w:r w:rsidR="00FA4018">
        <w:rPr>
          <w:color w:val="000000" w:themeColor="text1"/>
          <w:sz w:val="28"/>
          <w:szCs w:val="28"/>
        </w:rPr>
        <w:t>gans, he considered</w:t>
      </w:r>
      <w:r w:rsidR="00CF6A6C">
        <w:rPr>
          <w:color w:val="000000" w:themeColor="text1"/>
          <w:sz w:val="28"/>
          <w:szCs w:val="28"/>
        </w:rPr>
        <w:t xml:space="preserve"> this dif</w:t>
      </w:r>
      <w:r w:rsidR="00DD6544">
        <w:rPr>
          <w:color w:val="000000" w:themeColor="text1"/>
          <w:sz w:val="28"/>
          <w:szCs w:val="28"/>
        </w:rPr>
        <w:t>ference immaterial.  He further</w:t>
      </w:r>
      <w:r w:rsidR="00CF6A6C">
        <w:rPr>
          <w:color w:val="000000" w:themeColor="text1"/>
          <w:sz w:val="28"/>
          <w:szCs w:val="28"/>
        </w:rPr>
        <w:t>more relied on Ms Gumede’s oral indication that the BEC would also visit the Florida wareho</w:t>
      </w:r>
      <w:r w:rsidR="00F72D8E">
        <w:rPr>
          <w:color w:val="000000" w:themeColor="text1"/>
          <w:sz w:val="28"/>
          <w:szCs w:val="28"/>
        </w:rPr>
        <w:t>use.  A failure to do so, so Kee</w:t>
      </w:r>
      <w:r w:rsidR="00CF6A6C">
        <w:rPr>
          <w:color w:val="000000" w:themeColor="text1"/>
          <w:sz w:val="28"/>
          <w:szCs w:val="28"/>
        </w:rPr>
        <w:t>gan aver</w:t>
      </w:r>
      <w:r w:rsidR="00FA4018">
        <w:rPr>
          <w:color w:val="000000" w:themeColor="text1"/>
          <w:sz w:val="28"/>
          <w:szCs w:val="28"/>
        </w:rPr>
        <w:t>red</w:t>
      </w:r>
      <w:r w:rsidR="00CF6A6C">
        <w:rPr>
          <w:color w:val="000000" w:themeColor="text1"/>
          <w:sz w:val="28"/>
          <w:szCs w:val="28"/>
        </w:rPr>
        <w:t>, amounted to an exclusion of relevant considera</w:t>
      </w:r>
      <w:r w:rsidR="007D6E61">
        <w:rPr>
          <w:color w:val="000000" w:themeColor="text1"/>
          <w:sz w:val="28"/>
          <w:szCs w:val="28"/>
        </w:rPr>
        <w:t>tions when the BEC considered Kee</w:t>
      </w:r>
      <w:r w:rsidR="00CF6A6C">
        <w:rPr>
          <w:color w:val="000000" w:themeColor="text1"/>
          <w:sz w:val="28"/>
          <w:szCs w:val="28"/>
        </w:rPr>
        <w:t>gans</w:t>
      </w:r>
      <w:r w:rsidR="00DE55C0">
        <w:rPr>
          <w:color w:val="000000" w:themeColor="text1"/>
          <w:sz w:val="28"/>
          <w:szCs w:val="28"/>
        </w:rPr>
        <w:t>’</w:t>
      </w:r>
      <w:r w:rsidR="00CF6A6C">
        <w:rPr>
          <w:color w:val="000000" w:themeColor="text1"/>
          <w:sz w:val="28"/>
          <w:szCs w:val="28"/>
        </w:rPr>
        <w:t xml:space="preserve"> bid.</w:t>
      </w:r>
    </w:p>
    <w:p w:rsidR="00AE24BA" w:rsidRPr="008B2854" w:rsidRDefault="008B2854" w:rsidP="008B2854">
      <w:pPr>
        <w:rPr>
          <w:rFonts w:ascii="Times New Roman" w:eastAsia="Times New Roman" w:hAnsi="Times New Roman" w:cs="Times New Roman"/>
          <w:color w:val="000000" w:themeColor="text1"/>
          <w:sz w:val="28"/>
          <w:szCs w:val="28"/>
          <w:lang w:val="en-US" w:eastAsia="en-ZA"/>
        </w:rPr>
      </w:pPr>
      <w:r w:rsidRPr="00AE24BA">
        <w:rPr>
          <w:rFonts w:ascii="Times New Roman" w:eastAsia="Times New Roman" w:hAnsi="Times New Roman" w:cs="Times New Roman"/>
          <w:color w:val="000000" w:themeColor="text1"/>
          <w:sz w:val="28"/>
          <w:szCs w:val="28"/>
          <w:lang w:val="en-US" w:eastAsia="en-ZA"/>
        </w:rPr>
        <w:t>[23]</w:t>
      </w:r>
      <w:r w:rsidRPr="00AE24BA">
        <w:rPr>
          <w:rFonts w:ascii="Times New Roman" w:eastAsia="Times New Roman" w:hAnsi="Times New Roman" w:cs="Times New Roman"/>
          <w:color w:val="000000" w:themeColor="text1"/>
          <w:sz w:val="28"/>
          <w:szCs w:val="28"/>
          <w:lang w:val="en-US" w:eastAsia="en-ZA"/>
        </w:rPr>
        <w:tab/>
      </w:r>
      <w:r w:rsidR="00AE24BA" w:rsidRPr="008B2854">
        <w:rPr>
          <w:rFonts w:ascii="Times New Roman" w:eastAsia="Times New Roman" w:hAnsi="Times New Roman" w:cs="Times New Roman"/>
          <w:color w:val="000000" w:themeColor="text1"/>
          <w:sz w:val="28"/>
          <w:szCs w:val="28"/>
          <w:lang w:val="en-US" w:eastAsia="en-ZA"/>
        </w:rPr>
        <w:t xml:space="preserve">In argument, adv. Maritz SC, who appeared for Keegans together with adv Wessels, strenuously advanced two main arguments, the first was that Treasury </w:t>
      </w:r>
      <w:r w:rsidR="001F75FB" w:rsidRPr="008B2854">
        <w:rPr>
          <w:rFonts w:ascii="Times New Roman" w:eastAsia="Times New Roman" w:hAnsi="Times New Roman" w:cs="Times New Roman"/>
          <w:color w:val="000000" w:themeColor="text1"/>
          <w:sz w:val="28"/>
          <w:szCs w:val="28"/>
          <w:lang w:val="en-US" w:eastAsia="en-ZA"/>
        </w:rPr>
        <w:t>was “never” permitted to perform</w:t>
      </w:r>
      <w:r w:rsidR="00AE24BA" w:rsidRPr="008B2854">
        <w:rPr>
          <w:rFonts w:ascii="Times New Roman" w:eastAsia="Times New Roman" w:hAnsi="Times New Roman" w:cs="Times New Roman"/>
          <w:color w:val="000000" w:themeColor="text1"/>
          <w:sz w:val="28"/>
          <w:szCs w:val="28"/>
          <w:lang w:val="en-US" w:eastAsia="en-ZA"/>
        </w:rPr>
        <w:t xml:space="preserve"> a “footprint” due diligence investigation.  The second was </w:t>
      </w:r>
      <w:r w:rsidR="001F75FB" w:rsidRPr="008B2854">
        <w:rPr>
          <w:rFonts w:ascii="Times New Roman" w:eastAsia="Times New Roman" w:hAnsi="Times New Roman" w:cs="Times New Roman"/>
          <w:color w:val="000000" w:themeColor="text1"/>
          <w:sz w:val="28"/>
          <w:szCs w:val="28"/>
          <w:lang w:val="en-US" w:eastAsia="en-ZA"/>
        </w:rPr>
        <w:t>that</w:t>
      </w:r>
      <w:r w:rsidR="00AE24BA" w:rsidRPr="008B2854">
        <w:rPr>
          <w:rFonts w:ascii="Times New Roman" w:eastAsia="Times New Roman" w:hAnsi="Times New Roman" w:cs="Times New Roman"/>
          <w:color w:val="000000" w:themeColor="text1"/>
          <w:sz w:val="28"/>
          <w:szCs w:val="28"/>
          <w:lang w:val="en-US" w:eastAsia="en-ZA"/>
        </w:rPr>
        <w:t xml:space="preserve"> the “footpri</w:t>
      </w:r>
      <w:r w:rsidR="001F75FB" w:rsidRPr="008B2854">
        <w:rPr>
          <w:rFonts w:ascii="Times New Roman" w:eastAsia="Times New Roman" w:hAnsi="Times New Roman" w:cs="Times New Roman"/>
          <w:color w:val="000000" w:themeColor="text1"/>
          <w:sz w:val="28"/>
          <w:szCs w:val="28"/>
          <w:lang w:val="en-US" w:eastAsia="en-ZA"/>
        </w:rPr>
        <w:t xml:space="preserve">nt </w:t>
      </w:r>
      <w:r w:rsidR="00AE24BA" w:rsidRPr="008B2854">
        <w:rPr>
          <w:rFonts w:ascii="Times New Roman" w:eastAsia="Times New Roman" w:hAnsi="Times New Roman" w:cs="Times New Roman"/>
          <w:color w:val="000000" w:themeColor="text1"/>
          <w:sz w:val="28"/>
          <w:szCs w:val="28"/>
          <w:lang w:val="en-US" w:eastAsia="en-ZA"/>
        </w:rPr>
        <w:t>requirement”</w:t>
      </w:r>
      <w:r w:rsidR="001F75FB" w:rsidRPr="008B2854">
        <w:rPr>
          <w:rFonts w:ascii="Times New Roman" w:eastAsia="Times New Roman" w:hAnsi="Times New Roman" w:cs="Times New Roman"/>
          <w:color w:val="000000" w:themeColor="text1"/>
          <w:sz w:val="28"/>
          <w:szCs w:val="28"/>
          <w:lang w:val="en-US" w:eastAsia="en-ZA"/>
        </w:rPr>
        <w:t xml:space="preserve"> did not require</w:t>
      </w:r>
      <w:r w:rsidR="00AE24BA" w:rsidRPr="008B2854">
        <w:rPr>
          <w:rFonts w:ascii="Times New Roman" w:eastAsia="Times New Roman" w:hAnsi="Times New Roman" w:cs="Times New Roman"/>
          <w:color w:val="000000" w:themeColor="text1"/>
          <w:sz w:val="28"/>
          <w:szCs w:val="28"/>
          <w:lang w:val="en-US" w:eastAsia="en-ZA"/>
        </w:rPr>
        <w:t xml:space="preserve"> that a successful bidder had to own, lease or manage a warehouse in the province in respect of which it had submitted a bid.</w:t>
      </w:r>
    </w:p>
    <w:p w:rsidR="00DD6544" w:rsidRPr="00DD6544" w:rsidRDefault="00DD6544" w:rsidP="00DD6544">
      <w:pPr>
        <w:pStyle w:val="MEMONUMBERED"/>
        <w:numPr>
          <w:ilvl w:val="0"/>
          <w:numId w:val="0"/>
        </w:numPr>
        <w:spacing w:after="120" w:line="360" w:lineRule="auto"/>
        <w:rPr>
          <w:b/>
          <w:color w:val="000000" w:themeColor="text1"/>
          <w:sz w:val="28"/>
          <w:szCs w:val="28"/>
        </w:rPr>
      </w:pPr>
      <w:r w:rsidRPr="00DD6544">
        <w:rPr>
          <w:b/>
          <w:color w:val="000000" w:themeColor="text1"/>
          <w:sz w:val="28"/>
          <w:szCs w:val="28"/>
        </w:rPr>
        <w:t>Treasury’s response</w:t>
      </w:r>
    </w:p>
    <w:p w:rsidR="00DE55C0"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[24]</w:t>
      </w:r>
      <w:r>
        <w:rPr>
          <w:color w:val="000000" w:themeColor="text1"/>
          <w:sz w:val="28"/>
          <w:szCs w:val="28"/>
        </w:rPr>
        <w:tab/>
      </w:r>
      <w:r w:rsidR="00DE55C0">
        <w:rPr>
          <w:color w:val="000000" w:themeColor="text1"/>
          <w:sz w:val="28"/>
          <w:szCs w:val="28"/>
        </w:rPr>
        <w:t>In answer to the above, Treasury</w:t>
      </w:r>
      <w:r w:rsidR="00DD6544">
        <w:rPr>
          <w:color w:val="000000" w:themeColor="text1"/>
          <w:sz w:val="28"/>
          <w:szCs w:val="28"/>
        </w:rPr>
        <w:t xml:space="preserve"> firstly </w:t>
      </w:r>
      <w:r w:rsidR="00DE55C0">
        <w:rPr>
          <w:color w:val="000000" w:themeColor="text1"/>
          <w:sz w:val="28"/>
          <w:szCs w:val="28"/>
        </w:rPr>
        <w:t>submitted that</w:t>
      </w:r>
      <w:r w:rsidR="00DD6544">
        <w:rPr>
          <w:color w:val="000000" w:themeColor="text1"/>
          <w:sz w:val="28"/>
          <w:szCs w:val="28"/>
        </w:rPr>
        <w:t xml:space="preserve"> it always had a right to perform a due diligence exercise, which included the right to inspect </w:t>
      </w:r>
      <w:r w:rsidR="00DD6544">
        <w:rPr>
          <w:color w:val="000000" w:themeColor="text1"/>
          <w:sz w:val="28"/>
          <w:szCs w:val="28"/>
        </w:rPr>
        <w:lastRenderedPageBreak/>
        <w:t>warehouses.  It maintained that,</w:t>
      </w:r>
      <w:r w:rsidR="00AA61CF">
        <w:rPr>
          <w:color w:val="000000" w:themeColor="text1"/>
          <w:sz w:val="28"/>
          <w:szCs w:val="28"/>
        </w:rPr>
        <w:t xml:space="preserve"> in respect of</w:t>
      </w:r>
      <w:r w:rsidR="00DE55C0">
        <w:rPr>
          <w:color w:val="000000" w:themeColor="text1"/>
          <w:sz w:val="28"/>
          <w:szCs w:val="28"/>
        </w:rPr>
        <w:t xml:space="preserve"> the</w:t>
      </w:r>
      <w:r w:rsidR="00DD6544">
        <w:rPr>
          <w:color w:val="000000" w:themeColor="text1"/>
          <w:sz w:val="28"/>
          <w:szCs w:val="28"/>
        </w:rPr>
        <w:t xml:space="preserve"> Jet Part</w:t>
      </w:r>
      <w:r w:rsidR="00DE55C0">
        <w:rPr>
          <w:color w:val="000000" w:themeColor="text1"/>
          <w:sz w:val="28"/>
          <w:szCs w:val="28"/>
        </w:rPr>
        <w:t xml:space="preserve"> warehouse that was inspected</w:t>
      </w:r>
      <w:r w:rsidR="00FA4018">
        <w:rPr>
          <w:color w:val="000000" w:themeColor="text1"/>
          <w:sz w:val="28"/>
          <w:szCs w:val="28"/>
        </w:rPr>
        <w:t>, being an address nominated by Keegans,</w:t>
      </w:r>
      <w:r w:rsidR="00DE55C0">
        <w:rPr>
          <w:color w:val="000000" w:themeColor="text1"/>
          <w:sz w:val="28"/>
          <w:szCs w:val="28"/>
        </w:rPr>
        <w:t xml:space="preserve"> </w:t>
      </w:r>
      <w:r w:rsidR="00AA61CF">
        <w:rPr>
          <w:color w:val="000000" w:themeColor="text1"/>
          <w:sz w:val="28"/>
          <w:szCs w:val="28"/>
        </w:rPr>
        <w:t>it had been found that</w:t>
      </w:r>
      <w:r w:rsidR="00DE55C0">
        <w:rPr>
          <w:color w:val="000000" w:themeColor="text1"/>
          <w:sz w:val="28"/>
          <w:szCs w:val="28"/>
        </w:rPr>
        <w:t xml:space="preserve"> Motus</w:t>
      </w:r>
      <w:r w:rsidR="00AA61CF">
        <w:rPr>
          <w:color w:val="000000" w:themeColor="text1"/>
          <w:sz w:val="28"/>
          <w:szCs w:val="28"/>
        </w:rPr>
        <w:t xml:space="preserve"> was the owner</w:t>
      </w:r>
      <w:r w:rsidR="00DE55C0">
        <w:rPr>
          <w:color w:val="000000" w:themeColor="text1"/>
          <w:sz w:val="28"/>
          <w:szCs w:val="28"/>
        </w:rPr>
        <w:t xml:space="preserve"> and as there had been no service or supplier agreement between </w:t>
      </w:r>
      <w:r w:rsidR="007D6E61">
        <w:rPr>
          <w:color w:val="000000" w:themeColor="text1"/>
          <w:sz w:val="28"/>
          <w:szCs w:val="28"/>
        </w:rPr>
        <w:t>Keegans</w:t>
      </w:r>
      <w:r w:rsidR="00DE55C0">
        <w:rPr>
          <w:color w:val="000000" w:themeColor="text1"/>
          <w:sz w:val="28"/>
          <w:szCs w:val="28"/>
        </w:rPr>
        <w:t xml:space="preserve"> and Motus and that </w:t>
      </w:r>
      <w:r w:rsidR="007D6E61">
        <w:rPr>
          <w:color w:val="000000" w:themeColor="text1"/>
          <w:sz w:val="28"/>
          <w:szCs w:val="28"/>
        </w:rPr>
        <w:t>Keegans</w:t>
      </w:r>
      <w:r w:rsidR="00DE55C0">
        <w:rPr>
          <w:color w:val="000000" w:themeColor="text1"/>
          <w:sz w:val="28"/>
          <w:szCs w:val="28"/>
        </w:rPr>
        <w:t xml:space="preserve"> </w:t>
      </w:r>
      <w:r w:rsidR="00DE55C0" w:rsidRPr="00DE55C0">
        <w:rPr>
          <w:i/>
          <w:color w:val="000000" w:themeColor="text1"/>
          <w:sz w:val="28"/>
          <w:szCs w:val="28"/>
        </w:rPr>
        <w:t xml:space="preserve">“… had been unable to explain in these circumstances what role it would be playing” </w:t>
      </w:r>
      <w:r w:rsidR="00FA4018">
        <w:rPr>
          <w:color w:val="000000" w:themeColor="text1"/>
          <w:sz w:val="28"/>
          <w:szCs w:val="28"/>
        </w:rPr>
        <w:t>Keegans had not satisfied the “footprint” requirement, being a material requirement in terms of the SCC</w:t>
      </w:r>
      <w:r w:rsidR="004821FC">
        <w:rPr>
          <w:color w:val="000000" w:themeColor="text1"/>
          <w:sz w:val="28"/>
          <w:szCs w:val="28"/>
        </w:rPr>
        <w:t>.</w:t>
      </w:r>
    </w:p>
    <w:p w:rsidR="007F2CAC"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[25]</w:t>
      </w:r>
      <w:r>
        <w:rPr>
          <w:color w:val="000000" w:themeColor="text1"/>
          <w:sz w:val="28"/>
          <w:szCs w:val="28"/>
        </w:rPr>
        <w:tab/>
      </w:r>
      <w:r w:rsidR="004821FC">
        <w:rPr>
          <w:color w:val="000000" w:themeColor="text1"/>
          <w:sz w:val="28"/>
          <w:szCs w:val="28"/>
        </w:rPr>
        <w:t xml:space="preserve">After having dealt with the peripheral issues raised by Keegans (such as the </w:t>
      </w:r>
      <w:r w:rsidR="00782607">
        <w:rPr>
          <w:color w:val="000000" w:themeColor="text1"/>
          <w:sz w:val="28"/>
          <w:szCs w:val="28"/>
        </w:rPr>
        <w:t>obvious</w:t>
      </w:r>
      <w:r w:rsidR="004821FC">
        <w:rPr>
          <w:color w:val="000000" w:themeColor="text1"/>
          <w:sz w:val="28"/>
          <w:szCs w:val="28"/>
        </w:rPr>
        <w:t xml:space="preserve"> date error on the minutes of the site visit, the correct </w:t>
      </w:r>
      <w:r w:rsidR="00782607">
        <w:rPr>
          <w:color w:val="000000" w:themeColor="text1"/>
          <w:sz w:val="28"/>
          <w:szCs w:val="28"/>
        </w:rPr>
        <w:t>chronology of</w:t>
      </w:r>
      <w:r w:rsidR="004821FC">
        <w:rPr>
          <w:color w:val="000000" w:themeColor="text1"/>
          <w:sz w:val="28"/>
          <w:szCs w:val="28"/>
        </w:rPr>
        <w:t xml:space="preserve"> the e-mail correspondence and the purported quorum issue of the inspection team), it was argued by adv Chabedi SC </w:t>
      </w:r>
      <w:r w:rsidR="00AE24BA">
        <w:rPr>
          <w:color w:val="000000" w:themeColor="text1"/>
          <w:sz w:val="28"/>
          <w:szCs w:val="28"/>
        </w:rPr>
        <w:t xml:space="preserve">on behalf of Treasury </w:t>
      </w:r>
      <w:r w:rsidR="004821FC">
        <w:rPr>
          <w:color w:val="000000" w:themeColor="text1"/>
          <w:sz w:val="28"/>
          <w:szCs w:val="28"/>
        </w:rPr>
        <w:t>that a review application is a “ba</w:t>
      </w:r>
      <w:r w:rsidR="00FA4018">
        <w:rPr>
          <w:color w:val="000000" w:themeColor="text1"/>
          <w:sz w:val="28"/>
          <w:szCs w:val="28"/>
        </w:rPr>
        <w:t>ckward-looking” process whereby</w:t>
      </w:r>
      <w:r w:rsidR="004821FC">
        <w:rPr>
          <w:color w:val="000000" w:themeColor="text1"/>
          <w:sz w:val="28"/>
          <w:szCs w:val="28"/>
        </w:rPr>
        <w:t xml:space="preserve"> it must be determined whether the decision-maker’</w:t>
      </w:r>
      <w:r w:rsidR="00782607">
        <w:rPr>
          <w:color w:val="000000" w:themeColor="text1"/>
          <w:sz w:val="28"/>
          <w:szCs w:val="28"/>
        </w:rPr>
        <w:t>s decisions was lawful, rationable and reasonable.</w:t>
      </w:r>
    </w:p>
    <w:p w:rsidR="00782607"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[26]</w:t>
      </w:r>
      <w:r>
        <w:rPr>
          <w:color w:val="000000" w:themeColor="text1"/>
          <w:sz w:val="28"/>
          <w:szCs w:val="28"/>
        </w:rPr>
        <w:tab/>
      </w:r>
      <w:r w:rsidR="00782607">
        <w:rPr>
          <w:color w:val="000000" w:themeColor="text1"/>
          <w:sz w:val="28"/>
          <w:szCs w:val="28"/>
        </w:rPr>
        <w:t xml:space="preserve">She further argued that, if Keegans is correct that only a supplier due diligence exercise was permitted, then even on that basis Keegans had not sufficiently indicated that Motus was a mere supplier.  The inspection had revealed that Motus would in fact do “everything” that Keegans had tendered to do.  </w:t>
      </w:r>
    </w:p>
    <w:p w:rsidR="00782607"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[27]</w:t>
      </w:r>
      <w:r>
        <w:rPr>
          <w:color w:val="000000" w:themeColor="text1"/>
          <w:sz w:val="28"/>
          <w:szCs w:val="28"/>
        </w:rPr>
        <w:tab/>
      </w:r>
      <w:r w:rsidR="00782607">
        <w:rPr>
          <w:color w:val="000000" w:themeColor="text1"/>
          <w:sz w:val="28"/>
          <w:szCs w:val="28"/>
        </w:rPr>
        <w:t>Adv Chabedi</w:t>
      </w:r>
      <w:r w:rsidR="00AE24BA">
        <w:rPr>
          <w:color w:val="000000" w:themeColor="text1"/>
          <w:sz w:val="28"/>
          <w:szCs w:val="28"/>
        </w:rPr>
        <w:t xml:space="preserve"> SC</w:t>
      </w:r>
      <w:r w:rsidR="00782607">
        <w:rPr>
          <w:color w:val="000000" w:themeColor="text1"/>
          <w:sz w:val="28"/>
          <w:szCs w:val="28"/>
        </w:rPr>
        <w:t xml:space="preserve"> emphasized however, that Treasury sought to satis</w:t>
      </w:r>
      <w:r w:rsidR="00FA4018">
        <w:rPr>
          <w:color w:val="000000" w:themeColor="text1"/>
          <w:sz w:val="28"/>
          <w:szCs w:val="28"/>
        </w:rPr>
        <w:t>fy itself that the information p</w:t>
      </w:r>
      <w:r w:rsidR="00782607">
        <w:rPr>
          <w:color w:val="000000" w:themeColor="text1"/>
          <w:sz w:val="28"/>
          <w:szCs w:val="28"/>
        </w:rPr>
        <w:t>rovided by</w:t>
      </w:r>
      <w:r w:rsidR="00FA4018">
        <w:rPr>
          <w:color w:val="000000" w:themeColor="text1"/>
          <w:sz w:val="28"/>
          <w:szCs w:val="28"/>
        </w:rPr>
        <w:t xml:space="preserve"> a</w:t>
      </w:r>
      <w:r w:rsidR="00782607">
        <w:rPr>
          <w:color w:val="000000" w:themeColor="text1"/>
          <w:sz w:val="28"/>
          <w:szCs w:val="28"/>
        </w:rPr>
        <w:t xml:space="preserve"> bidder, in particular in respect of </w:t>
      </w:r>
      <w:r w:rsidR="00FA4018">
        <w:rPr>
          <w:color w:val="000000" w:themeColor="text1"/>
          <w:sz w:val="28"/>
          <w:szCs w:val="28"/>
        </w:rPr>
        <w:t>its</w:t>
      </w:r>
      <w:r w:rsidR="00782607">
        <w:rPr>
          <w:color w:val="000000" w:themeColor="text1"/>
          <w:sz w:val="28"/>
          <w:szCs w:val="28"/>
        </w:rPr>
        <w:t xml:space="preserve"> ability to readily supply parts in the provinces for which </w:t>
      </w:r>
      <w:r w:rsidR="00FA4018">
        <w:rPr>
          <w:color w:val="000000" w:themeColor="text1"/>
          <w:sz w:val="28"/>
          <w:szCs w:val="28"/>
        </w:rPr>
        <w:t>it</w:t>
      </w:r>
      <w:r w:rsidR="00782607">
        <w:rPr>
          <w:color w:val="000000" w:themeColor="text1"/>
          <w:sz w:val="28"/>
          <w:szCs w:val="28"/>
        </w:rPr>
        <w:t xml:space="preserve"> </w:t>
      </w:r>
      <w:r w:rsidR="004B653C">
        <w:rPr>
          <w:color w:val="000000" w:themeColor="text1"/>
          <w:sz w:val="28"/>
          <w:szCs w:val="28"/>
        </w:rPr>
        <w:t>had bid, could be relied on.  She referred the court to on e-mail sent by Treasury to all bidders on 7 February 2022, requesting clarity on details of the respective footprints, as it was entitled to do in terms of clause 16.1 o</w:t>
      </w:r>
      <w:r w:rsidR="00FA4018">
        <w:rPr>
          <w:color w:val="000000" w:themeColor="text1"/>
          <w:sz w:val="28"/>
          <w:szCs w:val="28"/>
        </w:rPr>
        <w:t>f</w:t>
      </w:r>
      <w:r w:rsidR="004B653C">
        <w:rPr>
          <w:color w:val="000000" w:themeColor="text1"/>
          <w:sz w:val="28"/>
          <w:szCs w:val="28"/>
        </w:rPr>
        <w:t xml:space="preserve"> the SCC</w:t>
      </w:r>
      <w:r w:rsidR="004B653C">
        <w:rPr>
          <w:rStyle w:val="FootnoteReference"/>
          <w:color w:val="000000" w:themeColor="text1"/>
          <w:sz w:val="28"/>
          <w:szCs w:val="28"/>
        </w:rPr>
        <w:footnoteReference w:id="1"/>
      </w:r>
      <w:r w:rsidR="004B653C">
        <w:rPr>
          <w:color w:val="000000" w:themeColor="text1"/>
          <w:sz w:val="28"/>
          <w:szCs w:val="28"/>
        </w:rPr>
        <w:t>.  Keegans</w:t>
      </w:r>
      <w:r w:rsidR="00FA4018">
        <w:rPr>
          <w:color w:val="000000" w:themeColor="text1"/>
          <w:sz w:val="28"/>
          <w:szCs w:val="28"/>
        </w:rPr>
        <w:t xml:space="preserve"> had</w:t>
      </w:r>
      <w:r w:rsidR="004B653C">
        <w:rPr>
          <w:color w:val="000000" w:themeColor="text1"/>
          <w:sz w:val="28"/>
          <w:szCs w:val="28"/>
        </w:rPr>
        <w:t xml:space="preserve"> responded by way of a letter dated 8 February 2022.  The letterhead indicated Keegans</w:t>
      </w:r>
      <w:r w:rsidR="00FA4018">
        <w:rPr>
          <w:color w:val="000000" w:themeColor="text1"/>
          <w:sz w:val="28"/>
          <w:szCs w:val="28"/>
        </w:rPr>
        <w:t>’</w:t>
      </w:r>
      <w:r w:rsidR="004B653C">
        <w:rPr>
          <w:color w:val="000000" w:themeColor="text1"/>
          <w:sz w:val="28"/>
          <w:szCs w:val="28"/>
        </w:rPr>
        <w:t xml:space="preserve"> address at No 9 Goldman Street, Florida</w:t>
      </w:r>
      <w:r w:rsidR="00FA4018">
        <w:rPr>
          <w:color w:val="000000" w:themeColor="text1"/>
          <w:sz w:val="28"/>
          <w:szCs w:val="28"/>
        </w:rPr>
        <w:t>, an address not listed in its F</w:t>
      </w:r>
      <w:r w:rsidR="004B653C">
        <w:rPr>
          <w:color w:val="000000" w:themeColor="text1"/>
          <w:sz w:val="28"/>
          <w:szCs w:val="28"/>
        </w:rPr>
        <w:t xml:space="preserve">ootprint Declaration.  </w:t>
      </w:r>
      <w:r w:rsidR="004B653C">
        <w:rPr>
          <w:color w:val="000000" w:themeColor="text1"/>
          <w:sz w:val="28"/>
          <w:szCs w:val="28"/>
        </w:rPr>
        <w:lastRenderedPageBreak/>
        <w:t>The letter then listed warehouse address</w:t>
      </w:r>
      <w:r w:rsidR="00FA4018">
        <w:rPr>
          <w:color w:val="000000" w:themeColor="text1"/>
          <w:sz w:val="28"/>
          <w:szCs w:val="28"/>
        </w:rPr>
        <w:t>es</w:t>
      </w:r>
      <w:r w:rsidR="004B653C">
        <w:rPr>
          <w:color w:val="000000" w:themeColor="text1"/>
          <w:sz w:val="28"/>
          <w:szCs w:val="28"/>
        </w:rPr>
        <w:t xml:space="preserve"> for each of the provinces contained in its bid with the invitation: “</w:t>
      </w:r>
      <w:r w:rsidR="004B653C" w:rsidRPr="00832C5D">
        <w:rPr>
          <w:i/>
          <w:color w:val="000000" w:themeColor="text1"/>
          <w:sz w:val="28"/>
          <w:szCs w:val="28"/>
        </w:rPr>
        <w:t>Please feel free to contact all the above warehouse managers to understand the delivery route between towns on a daily basis</w:t>
      </w:r>
      <w:r w:rsidR="004B653C">
        <w:rPr>
          <w:color w:val="000000" w:themeColor="text1"/>
          <w:sz w:val="28"/>
          <w:szCs w:val="28"/>
        </w:rPr>
        <w:t>”.</w:t>
      </w:r>
    </w:p>
    <w:p w:rsidR="004B653C"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[28]</w:t>
      </w:r>
      <w:r>
        <w:rPr>
          <w:color w:val="000000" w:themeColor="text1"/>
          <w:sz w:val="28"/>
          <w:szCs w:val="28"/>
        </w:rPr>
        <w:tab/>
      </w:r>
      <w:r w:rsidR="004B653C">
        <w:rPr>
          <w:color w:val="000000" w:themeColor="text1"/>
          <w:sz w:val="28"/>
          <w:szCs w:val="28"/>
        </w:rPr>
        <w:t>It was when an</w:t>
      </w:r>
      <w:r w:rsidR="00FA4018">
        <w:rPr>
          <w:color w:val="000000" w:themeColor="text1"/>
          <w:sz w:val="28"/>
          <w:szCs w:val="28"/>
        </w:rPr>
        <w:t xml:space="preserve"> actual</w:t>
      </w:r>
      <w:r w:rsidR="004B653C">
        <w:rPr>
          <w:color w:val="000000" w:themeColor="text1"/>
          <w:sz w:val="28"/>
          <w:szCs w:val="28"/>
        </w:rPr>
        <w:t xml:space="preserve"> inspection was carried out at one of the addresses nominated by Keegans, </w:t>
      </w:r>
      <w:r w:rsidR="00FA4018">
        <w:rPr>
          <w:color w:val="000000" w:themeColor="text1"/>
          <w:sz w:val="28"/>
          <w:szCs w:val="28"/>
        </w:rPr>
        <w:t xml:space="preserve">being </w:t>
      </w:r>
      <w:r w:rsidR="004B653C">
        <w:rPr>
          <w:color w:val="000000" w:themeColor="text1"/>
          <w:sz w:val="28"/>
          <w:szCs w:val="28"/>
        </w:rPr>
        <w:t xml:space="preserve">the Jet Park address (which </w:t>
      </w:r>
      <w:r w:rsidR="00FA4018">
        <w:rPr>
          <w:color w:val="000000" w:themeColor="text1"/>
          <w:sz w:val="28"/>
          <w:szCs w:val="28"/>
        </w:rPr>
        <w:t xml:space="preserve">address </w:t>
      </w:r>
      <w:r w:rsidR="004B653C">
        <w:rPr>
          <w:color w:val="000000" w:themeColor="text1"/>
          <w:sz w:val="28"/>
          <w:szCs w:val="28"/>
        </w:rPr>
        <w:t xml:space="preserve">Keegans say in its founding affidavit it had nominated </w:t>
      </w:r>
      <w:r w:rsidR="00FA4018">
        <w:rPr>
          <w:color w:val="000000" w:themeColor="text1"/>
          <w:sz w:val="28"/>
          <w:szCs w:val="28"/>
        </w:rPr>
        <w:t>despite the fact that it</w:t>
      </w:r>
      <w:r w:rsidR="004B653C">
        <w:rPr>
          <w:color w:val="000000" w:themeColor="text1"/>
          <w:sz w:val="28"/>
          <w:szCs w:val="28"/>
        </w:rPr>
        <w:t xml:space="preserve"> did not feature in its </w:t>
      </w:r>
      <w:r w:rsidR="00FA4018">
        <w:rPr>
          <w:color w:val="000000" w:themeColor="text1"/>
          <w:sz w:val="28"/>
          <w:szCs w:val="28"/>
        </w:rPr>
        <w:t>Footprint D</w:t>
      </w:r>
      <w:r w:rsidR="004B653C">
        <w:rPr>
          <w:color w:val="000000" w:themeColor="text1"/>
          <w:sz w:val="28"/>
          <w:szCs w:val="28"/>
        </w:rPr>
        <w:t>eclaration), that it was found that the warehouse was in fact not a Keegans warehouse, but a Motus Warehouse.</w:t>
      </w:r>
    </w:p>
    <w:p w:rsidR="004B653C"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[29]</w:t>
      </w:r>
      <w:r>
        <w:rPr>
          <w:color w:val="000000" w:themeColor="text1"/>
          <w:sz w:val="28"/>
          <w:szCs w:val="28"/>
        </w:rPr>
        <w:tab/>
      </w:r>
      <w:r w:rsidR="004B653C">
        <w:rPr>
          <w:color w:val="000000" w:themeColor="text1"/>
          <w:sz w:val="28"/>
          <w:szCs w:val="28"/>
        </w:rPr>
        <w:t xml:space="preserve">In this regard, </w:t>
      </w:r>
      <w:r w:rsidR="00962917">
        <w:rPr>
          <w:color w:val="000000" w:themeColor="text1"/>
          <w:sz w:val="28"/>
          <w:szCs w:val="28"/>
        </w:rPr>
        <w:t xml:space="preserve">Keegans had submitted </w:t>
      </w:r>
      <w:r w:rsidR="00AA61CF">
        <w:rPr>
          <w:color w:val="000000" w:themeColor="text1"/>
          <w:sz w:val="28"/>
          <w:szCs w:val="28"/>
        </w:rPr>
        <w:t>a letter</w:t>
      </w:r>
      <w:r w:rsidR="00962917">
        <w:rPr>
          <w:color w:val="000000" w:themeColor="text1"/>
          <w:sz w:val="28"/>
          <w:szCs w:val="28"/>
        </w:rPr>
        <w:t xml:space="preserve"> f</w:t>
      </w:r>
      <w:r w:rsidR="004B653C">
        <w:rPr>
          <w:color w:val="000000" w:themeColor="text1"/>
          <w:sz w:val="28"/>
          <w:szCs w:val="28"/>
        </w:rPr>
        <w:t>r</w:t>
      </w:r>
      <w:r w:rsidR="00962917">
        <w:rPr>
          <w:color w:val="000000" w:themeColor="text1"/>
          <w:sz w:val="28"/>
          <w:szCs w:val="28"/>
        </w:rPr>
        <w:t>o</w:t>
      </w:r>
      <w:r w:rsidR="004B653C">
        <w:rPr>
          <w:color w:val="000000" w:themeColor="text1"/>
          <w:sz w:val="28"/>
          <w:szCs w:val="28"/>
        </w:rPr>
        <w:t xml:space="preserve">m Motus which confirmed </w:t>
      </w:r>
      <w:r w:rsidR="00962917">
        <w:rPr>
          <w:color w:val="000000" w:themeColor="text1"/>
          <w:sz w:val="28"/>
          <w:szCs w:val="28"/>
        </w:rPr>
        <w:t>the availability of its distribution centres for the require</w:t>
      </w:r>
      <w:r w:rsidR="00AE24BA">
        <w:rPr>
          <w:color w:val="000000" w:themeColor="text1"/>
          <w:sz w:val="28"/>
          <w:szCs w:val="28"/>
        </w:rPr>
        <w:t>d parts across South Africa as p</w:t>
      </w:r>
      <w:r w:rsidR="00962917">
        <w:rPr>
          <w:color w:val="000000" w:themeColor="text1"/>
          <w:sz w:val="28"/>
          <w:szCs w:val="28"/>
        </w:rPr>
        <w:t xml:space="preserve">roof of </w:t>
      </w:r>
      <w:r w:rsidR="00AA61CF">
        <w:rPr>
          <w:color w:val="000000" w:themeColor="text1"/>
          <w:sz w:val="28"/>
          <w:szCs w:val="28"/>
        </w:rPr>
        <w:t>Keegans’</w:t>
      </w:r>
      <w:r w:rsidR="00962917">
        <w:rPr>
          <w:color w:val="000000" w:themeColor="text1"/>
          <w:sz w:val="28"/>
          <w:szCs w:val="28"/>
        </w:rPr>
        <w:t xml:space="preserve"> third-party sources.</w:t>
      </w:r>
      <w:r w:rsidR="004B653C">
        <w:rPr>
          <w:color w:val="000000" w:themeColor="text1"/>
          <w:sz w:val="28"/>
          <w:szCs w:val="28"/>
        </w:rPr>
        <w:t xml:space="preserve"> </w:t>
      </w:r>
    </w:p>
    <w:p w:rsidR="00962917" w:rsidRPr="00962917" w:rsidRDefault="008B2854" w:rsidP="008B2854">
      <w:pPr>
        <w:pStyle w:val="MEMONUMBERED"/>
        <w:numPr>
          <w:ilvl w:val="0"/>
          <w:numId w:val="0"/>
        </w:numPr>
        <w:spacing w:after="360" w:line="360" w:lineRule="auto"/>
        <w:rPr>
          <w:i/>
          <w:color w:val="000000" w:themeColor="text1"/>
          <w:sz w:val="28"/>
          <w:szCs w:val="28"/>
        </w:rPr>
      </w:pPr>
      <w:r w:rsidRPr="00962917">
        <w:rPr>
          <w:color w:val="000000" w:themeColor="text1"/>
          <w:sz w:val="28"/>
          <w:szCs w:val="28"/>
        </w:rPr>
        <w:t>[30]</w:t>
      </w:r>
      <w:r w:rsidRPr="00962917">
        <w:rPr>
          <w:color w:val="000000" w:themeColor="text1"/>
          <w:sz w:val="28"/>
          <w:szCs w:val="28"/>
        </w:rPr>
        <w:tab/>
      </w:r>
      <w:r w:rsidR="00962917">
        <w:rPr>
          <w:color w:val="000000" w:themeColor="text1"/>
          <w:sz w:val="28"/>
          <w:szCs w:val="28"/>
        </w:rPr>
        <w:t xml:space="preserve">Treasury </w:t>
      </w:r>
      <w:r w:rsidR="00AE24BA">
        <w:rPr>
          <w:color w:val="000000" w:themeColor="text1"/>
          <w:sz w:val="28"/>
          <w:szCs w:val="28"/>
        </w:rPr>
        <w:t>however</w:t>
      </w:r>
      <w:r w:rsidR="00962917">
        <w:rPr>
          <w:color w:val="000000" w:themeColor="text1"/>
          <w:sz w:val="28"/>
          <w:szCs w:val="28"/>
        </w:rPr>
        <w:t xml:space="preserve"> pointed out that “sourcing parts from a third party” is not the same as using a third party’s warehouse to provide the service.  The reason for this submission can be found in clause 5.3.5(e) of the SCC which provides that </w:t>
      </w:r>
      <w:r w:rsidR="00962917" w:rsidRPr="00962917">
        <w:rPr>
          <w:color w:val="000000" w:themeColor="text1"/>
          <w:sz w:val="28"/>
          <w:szCs w:val="28"/>
        </w:rPr>
        <w:t>“</w:t>
      </w:r>
      <w:r w:rsidR="00962917" w:rsidRPr="00962917">
        <w:rPr>
          <w:i/>
          <w:color w:val="000000" w:themeColor="text1"/>
          <w:sz w:val="28"/>
          <w:szCs w:val="28"/>
        </w:rPr>
        <w:t>(e) in the event that a bidder is sourcing goods from a third party, the following hierarchy of parties MUST be adhered to and observed:</w:t>
      </w:r>
    </w:p>
    <w:p w:rsidR="00962917" w:rsidRPr="00962917" w:rsidRDefault="008B2854" w:rsidP="008B2854">
      <w:pPr>
        <w:pStyle w:val="MEMONUMBERED"/>
        <w:numPr>
          <w:ilvl w:val="0"/>
          <w:numId w:val="0"/>
        </w:numPr>
        <w:spacing w:after="360" w:line="360" w:lineRule="auto"/>
        <w:ind w:left="1440" w:hanging="720"/>
        <w:rPr>
          <w:i/>
          <w:color w:val="000000" w:themeColor="text1"/>
          <w:sz w:val="28"/>
          <w:szCs w:val="28"/>
        </w:rPr>
      </w:pPr>
      <w:r w:rsidRPr="00962917">
        <w:rPr>
          <w:i/>
          <w:color w:val="000000" w:themeColor="text1"/>
          <w:sz w:val="28"/>
          <w:szCs w:val="28"/>
        </w:rPr>
        <w:t>i)</w:t>
      </w:r>
      <w:r w:rsidRPr="00962917">
        <w:rPr>
          <w:i/>
          <w:color w:val="000000" w:themeColor="text1"/>
          <w:sz w:val="28"/>
          <w:szCs w:val="28"/>
        </w:rPr>
        <w:tab/>
      </w:r>
      <w:r w:rsidR="00962917" w:rsidRPr="00962917">
        <w:rPr>
          <w:i/>
          <w:color w:val="000000" w:themeColor="text1"/>
          <w:sz w:val="28"/>
          <w:szCs w:val="28"/>
        </w:rPr>
        <w:t>the bidder must be sourcing goods directly from the manufacturer or an accredited distributor of the manufacturer in question;</w:t>
      </w:r>
    </w:p>
    <w:p w:rsidR="00962917" w:rsidRPr="00962917" w:rsidRDefault="008B2854" w:rsidP="008B2854">
      <w:pPr>
        <w:pStyle w:val="MEMONUMBERED"/>
        <w:numPr>
          <w:ilvl w:val="0"/>
          <w:numId w:val="0"/>
        </w:numPr>
        <w:spacing w:after="360" w:line="360" w:lineRule="auto"/>
        <w:ind w:left="1440" w:hanging="720"/>
        <w:rPr>
          <w:i/>
          <w:color w:val="000000" w:themeColor="text1"/>
          <w:sz w:val="28"/>
          <w:szCs w:val="28"/>
        </w:rPr>
      </w:pPr>
      <w:r w:rsidRPr="00962917">
        <w:rPr>
          <w:i/>
          <w:color w:val="000000" w:themeColor="text1"/>
          <w:sz w:val="28"/>
          <w:szCs w:val="28"/>
        </w:rPr>
        <w:t>ii)</w:t>
      </w:r>
      <w:r w:rsidRPr="00962917">
        <w:rPr>
          <w:i/>
          <w:color w:val="000000" w:themeColor="text1"/>
          <w:sz w:val="28"/>
          <w:szCs w:val="28"/>
        </w:rPr>
        <w:tab/>
      </w:r>
      <w:r w:rsidR="00962917" w:rsidRPr="00962917">
        <w:rPr>
          <w:i/>
          <w:color w:val="000000" w:themeColor="text1"/>
          <w:sz w:val="28"/>
          <w:szCs w:val="28"/>
        </w:rPr>
        <w:t>it is not allowed to have intermediaries between the bidder and the manufacturer of the goods concerned other than the accredited distributor of the manufacturer</w:t>
      </w:r>
    </w:p>
    <w:p w:rsidR="00962917" w:rsidRDefault="008B2854" w:rsidP="008B2854">
      <w:pPr>
        <w:pStyle w:val="MEMONUMBERED"/>
        <w:numPr>
          <w:ilvl w:val="0"/>
          <w:numId w:val="0"/>
        </w:numPr>
        <w:spacing w:after="360" w:line="360" w:lineRule="auto"/>
        <w:ind w:left="1440" w:hanging="720"/>
        <w:rPr>
          <w:color w:val="000000" w:themeColor="text1"/>
          <w:sz w:val="28"/>
          <w:szCs w:val="28"/>
        </w:rPr>
      </w:pPr>
      <w:r>
        <w:rPr>
          <w:color w:val="000000" w:themeColor="text1"/>
          <w:sz w:val="28"/>
          <w:szCs w:val="28"/>
        </w:rPr>
        <w:t>iii)</w:t>
      </w:r>
      <w:r>
        <w:rPr>
          <w:color w:val="000000" w:themeColor="text1"/>
          <w:sz w:val="28"/>
          <w:szCs w:val="28"/>
        </w:rPr>
        <w:tab/>
      </w:r>
      <w:r w:rsidR="00962917" w:rsidRPr="00962917">
        <w:rPr>
          <w:i/>
          <w:color w:val="000000" w:themeColor="text1"/>
          <w:sz w:val="28"/>
          <w:szCs w:val="28"/>
        </w:rPr>
        <w:t xml:space="preserve">where a bidder is sourcing the products from an accredited distributor, the bidder must submit with the bid at the closing date </w:t>
      </w:r>
      <w:r w:rsidR="00962917" w:rsidRPr="00962917">
        <w:rPr>
          <w:i/>
          <w:color w:val="000000" w:themeColor="text1"/>
          <w:sz w:val="28"/>
          <w:szCs w:val="28"/>
        </w:rPr>
        <w:lastRenderedPageBreak/>
        <w:t>and time, proof from the manufacturer that indeed the accredited distributor in question is appointed by the manufacturer</w:t>
      </w:r>
      <w:r w:rsidR="00962917">
        <w:rPr>
          <w:color w:val="000000" w:themeColor="text1"/>
          <w:sz w:val="28"/>
          <w:szCs w:val="28"/>
        </w:rPr>
        <w:t>”.</w:t>
      </w:r>
    </w:p>
    <w:p w:rsidR="00962917"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[31]</w:t>
      </w:r>
      <w:r>
        <w:rPr>
          <w:color w:val="000000" w:themeColor="text1"/>
          <w:sz w:val="28"/>
          <w:szCs w:val="28"/>
        </w:rPr>
        <w:tab/>
      </w:r>
      <w:r w:rsidR="004E1571">
        <w:rPr>
          <w:color w:val="000000" w:themeColor="text1"/>
          <w:sz w:val="28"/>
          <w:szCs w:val="28"/>
        </w:rPr>
        <w:t>After</w:t>
      </w:r>
      <w:r w:rsidR="00FA4018">
        <w:rPr>
          <w:color w:val="000000" w:themeColor="text1"/>
          <w:sz w:val="28"/>
          <w:szCs w:val="28"/>
        </w:rPr>
        <w:t xml:space="preserve"> having received</w:t>
      </w:r>
      <w:r w:rsidR="004E1571">
        <w:rPr>
          <w:color w:val="000000" w:themeColor="text1"/>
          <w:sz w:val="28"/>
          <w:szCs w:val="28"/>
        </w:rPr>
        <w:t xml:space="preserve"> the report of the site visit, the BEC</w:t>
      </w:r>
      <w:r w:rsidR="00AE24BA">
        <w:rPr>
          <w:color w:val="000000" w:themeColor="text1"/>
          <w:sz w:val="28"/>
          <w:szCs w:val="28"/>
        </w:rPr>
        <w:t xml:space="preserve"> inter alia</w:t>
      </w:r>
      <w:r w:rsidR="004E1571">
        <w:rPr>
          <w:color w:val="000000" w:themeColor="text1"/>
          <w:sz w:val="28"/>
          <w:szCs w:val="28"/>
        </w:rPr>
        <w:t xml:space="preserve"> concluded that what Keegans intended doing was effectively sub-contracting the entire service f</w:t>
      </w:r>
      <w:r w:rsidR="00FA4018">
        <w:rPr>
          <w:color w:val="000000" w:themeColor="text1"/>
          <w:sz w:val="28"/>
          <w:szCs w:val="28"/>
        </w:rPr>
        <w:t>or which it had submitted a bid</w:t>
      </w:r>
      <w:r w:rsidR="004E1571">
        <w:rPr>
          <w:color w:val="000000" w:themeColor="text1"/>
          <w:sz w:val="28"/>
          <w:szCs w:val="28"/>
        </w:rPr>
        <w:t xml:space="preserve"> to Motus despite it expressly having stated in paragraph 7.1 of its bid that it would not be sub-contracting.  Despite Keegans’ denial of sub-contracting in its papers in the review application, it could not explain what role it and Motus respectively would be playing.  Treasury</w:t>
      </w:r>
      <w:r w:rsidR="00FA4018">
        <w:rPr>
          <w:color w:val="000000" w:themeColor="text1"/>
          <w:sz w:val="28"/>
          <w:szCs w:val="28"/>
        </w:rPr>
        <w:t xml:space="preserve"> further</w:t>
      </w:r>
      <w:r w:rsidR="004E1571">
        <w:rPr>
          <w:color w:val="000000" w:themeColor="text1"/>
          <w:sz w:val="28"/>
          <w:szCs w:val="28"/>
        </w:rPr>
        <w:t xml:space="preserve"> maintained that there was no service or supplier agreement between the Keegans and Motus.  At best, Keegans had submitted as part of its bid a letter from Motus confirming the position as follows: “</w:t>
      </w:r>
      <w:r w:rsidR="004E1571" w:rsidRPr="004E1571">
        <w:rPr>
          <w:i/>
          <w:color w:val="000000" w:themeColor="text1"/>
          <w:sz w:val="28"/>
          <w:szCs w:val="28"/>
        </w:rPr>
        <w:t>This letter serves to conf</w:t>
      </w:r>
      <w:r w:rsidR="00AF3FAB">
        <w:rPr>
          <w:i/>
          <w:color w:val="000000" w:themeColor="text1"/>
          <w:sz w:val="28"/>
          <w:szCs w:val="28"/>
        </w:rPr>
        <w:t>irm that Keegans Auto Spares t/a</w:t>
      </w:r>
      <w:r w:rsidR="004E1571" w:rsidRPr="004E1571">
        <w:rPr>
          <w:i/>
          <w:color w:val="000000" w:themeColor="text1"/>
          <w:sz w:val="28"/>
          <w:szCs w:val="28"/>
        </w:rPr>
        <w:t xml:space="preserve"> Jaymees Midas … is a long-standing customer of Parts Incorporated Africa, a division of Motus Aftermarket Parts</w:t>
      </w:r>
      <w:r w:rsidR="004E1571">
        <w:rPr>
          <w:color w:val="000000" w:themeColor="text1"/>
          <w:sz w:val="28"/>
          <w:szCs w:val="28"/>
        </w:rPr>
        <w:t>”.</w:t>
      </w:r>
    </w:p>
    <w:p w:rsidR="004E1571"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[32]</w:t>
      </w:r>
      <w:r>
        <w:rPr>
          <w:color w:val="000000" w:themeColor="text1"/>
          <w:sz w:val="28"/>
          <w:szCs w:val="28"/>
        </w:rPr>
        <w:tab/>
      </w:r>
      <w:r w:rsidR="004E1571">
        <w:rPr>
          <w:color w:val="000000" w:themeColor="text1"/>
          <w:sz w:val="28"/>
          <w:szCs w:val="28"/>
        </w:rPr>
        <w:t>The supplementary affidavit by Keegans contained (without</w:t>
      </w:r>
      <w:r w:rsidR="00E71297">
        <w:rPr>
          <w:color w:val="000000" w:themeColor="text1"/>
          <w:sz w:val="28"/>
          <w:szCs w:val="28"/>
        </w:rPr>
        <w:t xml:space="preserve"> supporting source documents) the following statement: “</w:t>
      </w:r>
      <w:r w:rsidR="00E71297" w:rsidRPr="00E71297">
        <w:rPr>
          <w:i/>
          <w:color w:val="000000" w:themeColor="text1"/>
          <w:sz w:val="28"/>
          <w:szCs w:val="28"/>
        </w:rPr>
        <w:t xml:space="preserve">The applicant is a franchisee and, accordingly, it can source the ‘parts’ </w:t>
      </w:r>
      <w:r w:rsidR="00FA4018">
        <w:rPr>
          <w:i/>
          <w:color w:val="000000" w:themeColor="text1"/>
          <w:sz w:val="28"/>
          <w:szCs w:val="28"/>
        </w:rPr>
        <w:t>(the stock) from the various br</w:t>
      </w:r>
      <w:r w:rsidR="00E71297" w:rsidRPr="00E71297">
        <w:rPr>
          <w:i/>
          <w:color w:val="000000" w:themeColor="text1"/>
          <w:sz w:val="28"/>
          <w:szCs w:val="28"/>
        </w:rPr>
        <w:t xml:space="preserve">aches in the Motus Group.  Applicant has the benefit to access the stock held by the various branches in all the provinces tendered </w:t>
      </w:r>
      <w:r w:rsidR="00FA4018">
        <w:rPr>
          <w:i/>
          <w:color w:val="000000" w:themeColor="text1"/>
          <w:sz w:val="28"/>
          <w:szCs w:val="28"/>
        </w:rPr>
        <w:t>for</w:t>
      </w:r>
      <w:r w:rsidR="00E71297" w:rsidRPr="00E71297">
        <w:rPr>
          <w:i/>
          <w:color w:val="000000" w:themeColor="text1"/>
          <w:sz w:val="28"/>
          <w:szCs w:val="28"/>
        </w:rPr>
        <w:t xml:space="preserve"> should the need arise to provide emergency deliveries</w:t>
      </w:r>
      <w:r w:rsidR="00E71297">
        <w:rPr>
          <w:color w:val="000000" w:themeColor="text1"/>
          <w:sz w:val="28"/>
          <w:szCs w:val="28"/>
        </w:rPr>
        <w:t>”.</w:t>
      </w:r>
    </w:p>
    <w:p w:rsidR="00AB6120" w:rsidRPr="00AB6120" w:rsidRDefault="008B2854" w:rsidP="008B2854">
      <w:pPr>
        <w:pStyle w:val="MEMONUMBERED"/>
        <w:numPr>
          <w:ilvl w:val="0"/>
          <w:numId w:val="0"/>
        </w:numPr>
        <w:spacing w:after="360" w:line="360" w:lineRule="auto"/>
        <w:rPr>
          <w:color w:val="000000" w:themeColor="text1"/>
          <w:sz w:val="28"/>
          <w:szCs w:val="28"/>
        </w:rPr>
      </w:pPr>
      <w:r w:rsidRPr="00AB6120">
        <w:rPr>
          <w:color w:val="000000" w:themeColor="text1"/>
          <w:sz w:val="28"/>
          <w:szCs w:val="28"/>
        </w:rPr>
        <w:t>[33]</w:t>
      </w:r>
      <w:r w:rsidRPr="00AB6120">
        <w:rPr>
          <w:color w:val="000000" w:themeColor="text1"/>
          <w:sz w:val="28"/>
          <w:szCs w:val="28"/>
        </w:rPr>
        <w:tab/>
      </w:r>
      <w:r w:rsidR="00E71297">
        <w:rPr>
          <w:color w:val="000000" w:themeColor="text1"/>
          <w:sz w:val="28"/>
          <w:szCs w:val="28"/>
        </w:rPr>
        <w:t>In reply to Treasury’s answering affidavit, Keegans stated “</w:t>
      </w:r>
      <w:r w:rsidR="00E71297" w:rsidRPr="00AB6120">
        <w:rPr>
          <w:i/>
          <w:color w:val="000000" w:themeColor="text1"/>
          <w:sz w:val="28"/>
          <w:szCs w:val="28"/>
        </w:rPr>
        <w:t>The site visit was merely intended to illustrate that the Applicant will have access to all the parts housed in the warehouse of the fra</w:t>
      </w:r>
      <w:r w:rsidR="00AF3FAB" w:rsidRPr="00AB6120">
        <w:rPr>
          <w:i/>
          <w:color w:val="000000" w:themeColor="text1"/>
          <w:sz w:val="28"/>
          <w:szCs w:val="28"/>
        </w:rPr>
        <w:t>nchisor as part o</w:t>
      </w:r>
      <w:r w:rsidR="00E71297" w:rsidRPr="00AB6120">
        <w:rPr>
          <w:i/>
          <w:color w:val="000000" w:themeColor="text1"/>
          <w:sz w:val="28"/>
          <w:szCs w:val="28"/>
        </w:rPr>
        <w:t>f its supply chain</w:t>
      </w:r>
      <w:r w:rsidR="00AF3FAB" w:rsidRPr="00AB6120">
        <w:rPr>
          <w:i/>
          <w:color w:val="000000" w:themeColor="text1"/>
          <w:sz w:val="28"/>
          <w:szCs w:val="28"/>
        </w:rPr>
        <w:t>.  The applicant has not subcontracted any part of the agreement to Motus and Motus merely provides the applicant with additional parts (from time to time)</w:t>
      </w:r>
      <w:r w:rsidR="00AB6120">
        <w:rPr>
          <w:color w:val="000000" w:themeColor="text1"/>
          <w:sz w:val="28"/>
          <w:szCs w:val="28"/>
        </w:rPr>
        <w:t>”</w:t>
      </w:r>
      <w:r w:rsidR="00AF3FAB">
        <w:rPr>
          <w:color w:val="000000" w:themeColor="text1"/>
          <w:sz w:val="28"/>
          <w:szCs w:val="28"/>
        </w:rPr>
        <w:t>.</w:t>
      </w:r>
    </w:p>
    <w:p w:rsidR="00C40869" w:rsidRPr="00C40869" w:rsidRDefault="00AB6120" w:rsidP="003F43AC">
      <w:pPr>
        <w:pStyle w:val="MEMONUMBERED"/>
        <w:numPr>
          <w:ilvl w:val="0"/>
          <w:numId w:val="0"/>
        </w:numPr>
        <w:spacing w:after="120" w:line="360" w:lineRule="auto"/>
        <w:rPr>
          <w:b/>
          <w:color w:val="000000" w:themeColor="text1"/>
          <w:sz w:val="28"/>
          <w:szCs w:val="28"/>
        </w:rPr>
      </w:pPr>
      <w:r>
        <w:rPr>
          <w:b/>
          <w:color w:val="000000" w:themeColor="text1"/>
          <w:sz w:val="28"/>
          <w:szCs w:val="28"/>
        </w:rPr>
        <w:t>Seventh respondent’s case</w:t>
      </w:r>
    </w:p>
    <w:p w:rsidR="003F43AC" w:rsidRDefault="003F43AC" w:rsidP="003F43AC">
      <w:pPr>
        <w:pStyle w:val="MEMONUMBERED"/>
        <w:numPr>
          <w:ilvl w:val="0"/>
          <w:numId w:val="0"/>
        </w:numPr>
        <w:spacing w:after="360" w:line="360" w:lineRule="auto"/>
        <w:rPr>
          <w:color w:val="000000" w:themeColor="text1"/>
          <w:sz w:val="28"/>
          <w:szCs w:val="28"/>
        </w:rPr>
      </w:pPr>
    </w:p>
    <w:p w:rsidR="003F43AC"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[34]</w:t>
      </w:r>
      <w:r>
        <w:rPr>
          <w:color w:val="000000" w:themeColor="text1"/>
          <w:sz w:val="28"/>
          <w:szCs w:val="28"/>
        </w:rPr>
        <w:tab/>
      </w:r>
      <w:r w:rsidR="00AB6120">
        <w:rPr>
          <w:color w:val="000000" w:themeColor="text1"/>
          <w:sz w:val="28"/>
          <w:szCs w:val="28"/>
        </w:rPr>
        <w:t>The seventh respondent (AllParts) submitted that, as Keegans had omitted to disclose in its bid documents that it intended to perform under the tender by making use of warehouses owned or operated by Motus</w:t>
      </w:r>
      <w:r w:rsidR="006466DC">
        <w:rPr>
          <w:color w:val="000000" w:themeColor="text1"/>
          <w:sz w:val="28"/>
          <w:szCs w:val="28"/>
        </w:rPr>
        <w:t>,</w:t>
      </w:r>
      <w:r w:rsidR="00AE24BA">
        <w:rPr>
          <w:color w:val="000000" w:themeColor="text1"/>
          <w:sz w:val="28"/>
          <w:szCs w:val="28"/>
        </w:rPr>
        <w:t xml:space="preserve"> it had</w:t>
      </w:r>
      <w:r w:rsidR="00AB6120">
        <w:rPr>
          <w:color w:val="000000" w:themeColor="text1"/>
          <w:sz w:val="28"/>
          <w:szCs w:val="28"/>
        </w:rPr>
        <w:t xml:space="preserve"> failed to comply with peremptory SCC requirements.  This failure resulted therein that Treasury had no option but to disqualify Keegans.</w:t>
      </w:r>
    </w:p>
    <w:p w:rsidR="00AB6120"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[35]</w:t>
      </w:r>
      <w:r>
        <w:rPr>
          <w:color w:val="000000" w:themeColor="text1"/>
          <w:sz w:val="28"/>
          <w:szCs w:val="28"/>
        </w:rPr>
        <w:tab/>
      </w:r>
      <w:r w:rsidR="00AB6120">
        <w:rPr>
          <w:color w:val="000000" w:themeColor="text1"/>
          <w:sz w:val="28"/>
          <w:szCs w:val="28"/>
        </w:rPr>
        <w:t>Insofar as Keegans complained that it had no opportunity to make representation</w:t>
      </w:r>
      <w:r w:rsidR="00AE24BA">
        <w:rPr>
          <w:color w:val="000000" w:themeColor="text1"/>
          <w:sz w:val="28"/>
          <w:szCs w:val="28"/>
        </w:rPr>
        <w:t>s</w:t>
      </w:r>
      <w:r w:rsidR="00AB6120">
        <w:rPr>
          <w:color w:val="000000" w:themeColor="text1"/>
          <w:sz w:val="28"/>
          <w:szCs w:val="28"/>
        </w:rPr>
        <w:t xml:space="preserve"> to Treasury prior to being disqualified, the opportunity to provide particulars of the relationship between a bidder and a third party or a supplier as provided for in the bid documents</w:t>
      </w:r>
      <w:r w:rsidR="00AE24BA">
        <w:rPr>
          <w:color w:val="000000" w:themeColor="text1"/>
          <w:sz w:val="28"/>
          <w:szCs w:val="28"/>
        </w:rPr>
        <w:t>,</w:t>
      </w:r>
      <w:r w:rsidR="00AB6120">
        <w:rPr>
          <w:color w:val="000000" w:themeColor="text1"/>
          <w:sz w:val="28"/>
          <w:szCs w:val="28"/>
        </w:rPr>
        <w:t xml:space="preserve"> provided a sufficient opportunity to make representations.</w:t>
      </w:r>
    </w:p>
    <w:p w:rsidR="00AB6120"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[36]</w:t>
      </w:r>
      <w:r>
        <w:rPr>
          <w:color w:val="000000" w:themeColor="text1"/>
          <w:sz w:val="28"/>
          <w:szCs w:val="28"/>
        </w:rPr>
        <w:tab/>
      </w:r>
      <w:r w:rsidR="00AB6120">
        <w:rPr>
          <w:color w:val="000000" w:themeColor="text1"/>
          <w:sz w:val="28"/>
          <w:szCs w:val="28"/>
        </w:rPr>
        <w:t>In respect of its own succ</w:t>
      </w:r>
      <w:r w:rsidR="00AE24BA">
        <w:rPr>
          <w:color w:val="000000" w:themeColor="text1"/>
          <w:sz w:val="28"/>
          <w:szCs w:val="28"/>
        </w:rPr>
        <w:t>essful bid (which is also attack</w:t>
      </w:r>
      <w:r w:rsidR="00AB6120">
        <w:rPr>
          <w:color w:val="000000" w:themeColor="text1"/>
          <w:sz w:val="28"/>
          <w:szCs w:val="28"/>
        </w:rPr>
        <w:t xml:space="preserve">ed by Keegans) AllParts submitted that its bid had correctly been found compliant and that it was able to perform in terms of the tender.  The fact that the site visit in respect of its nominated warehouse was done after the BEC meeting was irrelevant as such verification by inspection was </w:t>
      </w:r>
      <w:r w:rsidR="00AE24BA">
        <w:rPr>
          <w:color w:val="000000" w:themeColor="text1"/>
          <w:sz w:val="28"/>
          <w:szCs w:val="28"/>
        </w:rPr>
        <w:t xml:space="preserve">a </w:t>
      </w:r>
      <w:r w:rsidR="00AB6120">
        <w:rPr>
          <w:color w:val="000000" w:themeColor="text1"/>
          <w:sz w:val="28"/>
          <w:szCs w:val="28"/>
        </w:rPr>
        <w:t xml:space="preserve">permissible and not peremptory option exercised by Treasury and in any event, it had passed that due diligence exercise.  Its later agreement with Treasury to supply the same parts, albeit by way of alternate brands of parts, did not render it non-complaint.  There was therefore no reason to set aside the contract it had entered </w:t>
      </w:r>
      <w:r w:rsidR="00AE24BA">
        <w:rPr>
          <w:color w:val="000000" w:themeColor="text1"/>
          <w:sz w:val="28"/>
          <w:szCs w:val="28"/>
        </w:rPr>
        <w:t>into with Treasury subsequent to</w:t>
      </w:r>
      <w:r w:rsidR="00AB6120">
        <w:rPr>
          <w:color w:val="000000" w:themeColor="text1"/>
          <w:sz w:val="28"/>
          <w:szCs w:val="28"/>
        </w:rPr>
        <w:t xml:space="preserve"> the acceptance of its bid. </w:t>
      </w:r>
    </w:p>
    <w:p w:rsidR="00FC6938" w:rsidRPr="00FC6938" w:rsidRDefault="00FC6938" w:rsidP="00FC6938">
      <w:pPr>
        <w:pStyle w:val="MEMONUMBERED"/>
        <w:numPr>
          <w:ilvl w:val="0"/>
          <w:numId w:val="0"/>
        </w:numPr>
        <w:spacing w:after="120" w:line="360" w:lineRule="auto"/>
        <w:rPr>
          <w:b/>
          <w:color w:val="000000" w:themeColor="text1"/>
          <w:sz w:val="28"/>
          <w:szCs w:val="28"/>
        </w:rPr>
      </w:pPr>
      <w:r w:rsidRPr="00FC6938">
        <w:rPr>
          <w:b/>
          <w:color w:val="000000" w:themeColor="text1"/>
          <w:sz w:val="28"/>
          <w:szCs w:val="28"/>
        </w:rPr>
        <w:t>Eighth respondent’s case</w:t>
      </w:r>
    </w:p>
    <w:p w:rsidR="00FC6938"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[37]</w:t>
      </w:r>
      <w:r>
        <w:rPr>
          <w:color w:val="000000" w:themeColor="text1"/>
          <w:sz w:val="28"/>
          <w:szCs w:val="28"/>
        </w:rPr>
        <w:tab/>
      </w:r>
      <w:r w:rsidR="00FC6938">
        <w:rPr>
          <w:color w:val="000000" w:themeColor="text1"/>
          <w:sz w:val="28"/>
          <w:szCs w:val="28"/>
        </w:rPr>
        <w:t>The award of a tender to the eighth res</w:t>
      </w:r>
      <w:r w:rsidR="00AE24BA">
        <w:rPr>
          <w:color w:val="000000" w:themeColor="text1"/>
          <w:sz w:val="28"/>
          <w:szCs w:val="28"/>
        </w:rPr>
        <w:t>pondent (Kaizen) was also attack</w:t>
      </w:r>
      <w:r w:rsidR="00FC6938">
        <w:rPr>
          <w:color w:val="000000" w:themeColor="text1"/>
          <w:sz w:val="28"/>
          <w:szCs w:val="28"/>
        </w:rPr>
        <w:t xml:space="preserve">ed by Keegans.  In its defence, Kaizen also argued that once Keegans had been found to rely exclusively on Motus’ resources in order to fulfill the intended tender and had been found to have factually incorrectly stated that it owned the warehouses listed in its Footprint Declaration, it mattered little whether this had been labelled </w:t>
      </w:r>
      <w:r w:rsidR="00FC6938">
        <w:rPr>
          <w:color w:val="000000" w:themeColor="text1"/>
          <w:sz w:val="28"/>
          <w:szCs w:val="28"/>
        </w:rPr>
        <w:lastRenderedPageBreak/>
        <w:t>a misrepresentation or whether there had been “a misunderstanding” regarding the sites to be inspected – the simple fact remained that a due diligence exercise had exposed Keegans’ non-compliance with the SCC requirements.  Its disqualification by Treasury was therefore justified.</w:t>
      </w:r>
    </w:p>
    <w:p w:rsidR="00415E56"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[38]</w:t>
      </w:r>
      <w:r>
        <w:rPr>
          <w:color w:val="000000" w:themeColor="text1"/>
          <w:sz w:val="28"/>
          <w:szCs w:val="28"/>
        </w:rPr>
        <w:tab/>
      </w:r>
      <w:r w:rsidR="00FC6938">
        <w:rPr>
          <w:color w:val="000000" w:themeColor="text1"/>
          <w:sz w:val="28"/>
          <w:szCs w:val="28"/>
        </w:rPr>
        <w:t>Kaizen also shed more light on how the Jet Park address had been nominated by Keegans for inspection.  The answer was in a letter from Keegans to Treasury dated 10 February 2023.  The relevant contents thereof read as follows: “</w:t>
      </w:r>
      <w:r w:rsidR="00FC6938" w:rsidRPr="00415E56">
        <w:rPr>
          <w:i/>
          <w:color w:val="000000" w:themeColor="text1"/>
          <w:sz w:val="28"/>
          <w:szCs w:val="28"/>
        </w:rPr>
        <w:t>Initially when our tender was submitted, the entire parts basket for Gauteng was kept at 2 Gordon Ave, Linbro Park.  Subsequently we learned yesterday the entire warehouse was now being moved to Cnr Kolly and Yaldwya Road, Jet Park.  The reason why we didn’t know when the move will be compl</w:t>
      </w:r>
      <w:r w:rsidR="00415E56" w:rsidRPr="00415E56">
        <w:rPr>
          <w:i/>
          <w:color w:val="000000" w:themeColor="text1"/>
          <w:sz w:val="28"/>
          <w:szCs w:val="28"/>
        </w:rPr>
        <w:t>e</w:t>
      </w:r>
      <w:r w:rsidR="00FC6938" w:rsidRPr="00415E56">
        <w:rPr>
          <w:i/>
          <w:color w:val="000000" w:themeColor="text1"/>
          <w:sz w:val="28"/>
          <w:szCs w:val="28"/>
        </w:rPr>
        <w:t>ted, is because we place our orders and drop shipments online for delivery …</w:t>
      </w:r>
      <w:r w:rsidR="00FC6938">
        <w:rPr>
          <w:color w:val="000000" w:themeColor="text1"/>
          <w:sz w:val="28"/>
          <w:szCs w:val="28"/>
        </w:rPr>
        <w:t xml:space="preserve">”. </w:t>
      </w:r>
    </w:p>
    <w:p w:rsidR="00415E56"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[39]</w:t>
      </w:r>
      <w:r>
        <w:rPr>
          <w:color w:val="000000" w:themeColor="text1"/>
          <w:sz w:val="28"/>
          <w:szCs w:val="28"/>
        </w:rPr>
        <w:tab/>
      </w:r>
      <w:r w:rsidR="00415E56">
        <w:rPr>
          <w:color w:val="000000" w:themeColor="text1"/>
          <w:sz w:val="28"/>
          <w:szCs w:val="28"/>
        </w:rPr>
        <w:t>It was only after recei</w:t>
      </w:r>
      <w:r w:rsidR="00AE24BA">
        <w:rPr>
          <w:color w:val="000000" w:themeColor="text1"/>
          <w:sz w:val="28"/>
          <w:szCs w:val="28"/>
        </w:rPr>
        <w:t>pt of this letter that Treasury</w:t>
      </w:r>
      <w:r w:rsidR="00415E56">
        <w:rPr>
          <w:color w:val="000000" w:themeColor="text1"/>
          <w:sz w:val="28"/>
          <w:szCs w:val="28"/>
        </w:rPr>
        <w:t xml:space="preserve"> confirmed the site visit at Jet Park and also confirmed that, during the site visit, it would require a presentation to “</w:t>
      </w:r>
      <w:r w:rsidR="00415E56" w:rsidRPr="00415E56">
        <w:rPr>
          <w:i/>
          <w:color w:val="000000" w:themeColor="text1"/>
          <w:sz w:val="28"/>
          <w:szCs w:val="28"/>
        </w:rPr>
        <w:t>indicate live demonstration on how the systems work on rendering of services to the State</w:t>
      </w:r>
      <w:r w:rsidR="00415E56">
        <w:rPr>
          <w:color w:val="000000" w:themeColor="text1"/>
          <w:sz w:val="28"/>
          <w:szCs w:val="28"/>
        </w:rPr>
        <w:t>” and required a physical inspection of the storage facility and to see “</w:t>
      </w:r>
      <w:r w:rsidR="00415E56" w:rsidRPr="00415E56">
        <w:rPr>
          <w:i/>
          <w:color w:val="000000" w:themeColor="text1"/>
          <w:sz w:val="28"/>
          <w:szCs w:val="28"/>
        </w:rPr>
        <w:t>how everything runs</w:t>
      </w:r>
      <w:r w:rsidR="00415E56">
        <w:rPr>
          <w:color w:val="000000" w:themeColor="text1"/>
          <w:sz w:val="28"/>
          <w:szCs w:val="28"/>
        </w:rPr>
        <w:t>”.  The</w:t>
      </w:r>
      <w:r w:rsidR="00AE24BA">
        <w:rPr>
          <w:color w:val="000000" w:themeColor="text1"/>
          <w:sz w:val="28"/>
          <w:szCs w:val="28"/>
        </w:rPr>
        <w:t xml:space="preserve"> subsequent</w:t>
      </w:r>
      <w:r w:rsidR="00415E56">
        <w:rPr>
          <w:color w:val="000000" w:themeColor="text1"/>
          <w:sz w:val="28"/>
          <w:szCs w:val="28"/>
        </w:rPr>
        <w:t xml:space="preserve"> presentations made during the inspection exclusively consisted of Motus’ capabilities, infrastructure and supply chain distribution facilities.</w:t>
      </w:r>
    </w:p>
    <w:p w:rsidR="00415E56"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[40]</w:t>
      </w:r>
      <w:r>
        <w:rPr>
          <w:color w:val="000000" w:themeColor="text1"/>
          <w:sz w:val="28"/>
          <w:szCs w:val="28"/>
        </w:rPr>
        <w:tab/>
      </w:r>
      <w:r w:rsidR="00415E56">
        <w:rPr>
          <w:color w:val="000000" w:themeColor="text1"/>
          <w:sz w:val="28"/>
          <w:szCs w:val="28"/>
        </w:rPr>
        <w:t>All that the attack on the award of a tender to Kaizen demonstrated in respect of its alleged non-compliance, was a comment that</w:t>
      </w:r>
      <w:r w:rsidR="00AE24BA">
        <w:rPr>
          <w:color w:val="000000" w:themeColor="text1"/>
          <w:sz w:val="28"/>
          <w:szCs w:val="28"/>
        </w:rPr>
        <w:t xml:space="preserve"> in respect of its warehouse which had been inspected</w:t>
      </w:r>
      <w:r w:rsidR="00415E56">
        <w:rPr>
          <w:color w:val="000000" w:themeColor="text1"/>
          <w:sz w:val="28"/>
          <w:szCs w:val="28"/>
        </w:rPr>
        <w:t xml:space="preserve"> </w:t>
      </w:r>
      <w:r w:rsidR="00AE24BA">
        <w:rPr>
          <w:color w:val="000000" w:themeColor="text1"/>
          <w:sz w:val="28"/>
          <w:szCs w:val="28"/>
        </w:rPr>
        <w:t xml:space="preserve">the </w:t>
      </w:r>
      <w:r w:rsidR="00415E56">
        <w:rPr>
          <w:color w:val="000000" w:themeColor="text1"/>
          <w:sz w:val="28"/>
          <w:szCs w:val="28"/>
        </w:rPr>
        <w:t xml:space="preserve">warehouse </w:t>
      </w:r>
      <w:r w:rsidR="00AE24BA">
        <w:rPr>
          <w:color w:val="000000" w:themeColor="text1"/>
          <w:sz w:val="28"/>
          <w:szCs w:val="28"/>
        </w:rPr>
        <w:t>was found to have</w:t>
      </w:r>
      <w:r w:rsidR="00415E56">
        <w:rPr>
          <w:color w:val="000000" w:themeColor="text1"/>
          <w:sz w:val="28"/>
          <w:szCs w:val="28"/>
        </w:rPr>
        <w:t xml:space="preserve"> </w:t>
      </w:r>
      <w:r w:rsidR="00AE24BA">
        <w:rPr>
          <w:color w:val="000000" w:themeColor="text1"/>
          <w:sz w:val="28"/>
          <w:szCs w:val="28"/>
        </w:rPr>
        <w:t>“</w:t>
      </w:r>
      <w:r w:rsidR="00415E56">
        <w:rPr>
          <w:color w:val="000000" w:themeColor="text1"/>
          <w:sz w:val="28"/>
          <w:szCs w:val="28"/>
        </w:rPr>
        <w:t>some</w:t>
      </w:r>
      <w:r w:rsidR="00AE24BA">
        <w:rPr>
          <w:color w:val="000000" w:themeColor="text1"/>
          <w:sz w:val="28"/>
          <w:szCs w:val="28"/>
        </w:rPr>
        <w:t>”</w:t>
      </w:r>
      <w:r w:rsidR="00415E56">
        <w:rPr>
          <w:color w:val="000000" w:themeColor="text1"/>
          <w:sz w:val="28"/>
          <w:szCs w:val="28"/>
        </w:rPr>
        <w:t xml:space="preserve"> health and safety issues</w:t>
      </w:r>
      <w:r w:rsidR="00AE24BA">
        <w:rPr>
          <w:color w:val="000000" w:themeColor="text1"/>
          <w:sz w:val="28"/>
          <w:szCs w:val="28"/>
        </w:rPr>
        <w:t>.  This, however, related</w:t>
      </w:r>
      <w:r w:rsidR="00415E56">
        <w:rPr>
          <w:color w:val="000000" w:themeColor="text1"/>
          <w:sz w:val="28"/>
          <w:szCs w:val="28"/>
        </w:rPr>
        <w:t xml:space="preserve"> to warehouse cleanliness</w:t>
      </w:r>
      <w:r w:rsidR="00AE24BA">
        <w:rPr>
          <w:color w:val="000000" w:themeColor="text1"/>
          <w:sz w:val="28"/>
          <w:szCs w:val="28"/>
        </w:rPr>
        <w:t xml:space="preserve">.  Another attack was </w:t>
      </w:r>
      <w:r w:rsidR="00415E56">
        <w:rPr>
          <w:color w:val="000000" w:themeColor="text1"/>
          <w:sz w:val="28"/>
          <w:szCs w:val="28"/>
        </w:rPr>
        <w:t>that the BEC consider</w:t>
      </w:r>
      <w:r w:rsidR="00AE24BA">
        <w:rPr>
          <w:color w:val="000000" w:themeColor="text1"/>
          <w:sz w:val="28"/>
          <w:szCs w:val="28"/>
        </w:rPr>
        <w:t>ed</w:t>
      </w:r>
      <w:r w:rsidR="00415E56">
        <w:rPr>
          <w:color w:val="000000" w:themeColor="text1"/>
          <w:sz w:val="28"/>
          <w:szCs w:val="28"/>
        </w:rPr>
        <w:t xml:space="preserve"> whether Kaizen had underquoted.  None of these</w:t>
      </w:r>
      <w:r w:rsidR="00AE24BA">
        <w:rPr>
          <w:color w:val="000000" w:themeColor="text1"/>
          <w:sz w:val="28"/>
          <w:szCs w:val="28"/>
        </w:rPr>
        <w:t xml:space="preserve"> issues</w:t>
      </w:r>
      <w:r w:rsidR="00415E56">
        <w:rPr>
          <w:color w:val="000000" w:themeColor="text1"/>
          <w:sz w:val="28"/>
          <w:szCs w:val="28"/>
        </w:rPr>
        <w:t xml:space="preserve"> had been found to be decisive at the time.  Kaizen also submitted that since it had been awarded a tender, it supplied parts at the quoted prices and therefore any suggestion that it had underquoted mere in order to </w:t>
      </w:r>
      <w:r w:rsidR="00415E56">
        <w:rPr>
          <w:color w:val="000000" w:themeColor="text1"/>
          <w:sz w:val="28"/>
          <w:szCs w:val="28"/>
        </w:rPr>
        <w:lastRenderedPageBreak/>
        <w:t>obtain a tender with a view to thereafter charge higher prices, was factually unsubstantiated.</w:t>
      </w:r>
    </w:p>
    <w:p w:rsidR="00415E56" w:rsidRPr="00415E56" w:rsidRDefault="00415E56" w:rsidP="00415E56">
      <w:pPr>
        <w:pStyle w:val="MEMONUMBERED"/>
        <w:numPr>
          <w:ilvl w:val="0"/>
          <w:numId w:val="0"/>
        </w:numPr>
        <w:spacing w:after="120" w:line="360" w:lineRule="auto"/>
        <w:rPr>
          <w:b/>
          <w:color w:val="000000" w:themeColor="text1"/>
          <w:sz w:val="28"/>
          <w:szCs w:val="28"/>
        </w:rPr>
      </w:pPr>
      <w:r w:rsidRPr="00415E56">
        <w:rPr>
          <w:b/>
          <w:color w:val="000000" w:themeColor="text1"/>
          <w:sz w:val="28"/>
          <w:szCs w:val="28"/>
        </w:rPr>
        <w:t xml:space="preserve">Evaluation </w:t>
      </w:r>
    </w:p>
    <w:p w:rsidR="00AB6120"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[41]</w:t>
      </w:r>
      <w:r>
        <w:rPr>
          <w:color w:val="000000" w:themeColor="text1"/>
          <w:sz w:val="28"/>
          <w:szCs w:val="28"/>
        </w:rPr>
        <w:tab/>
      </w:r>
      <w:r w:rsidR="0080597D">
        <w:rPr>
          <w:color w:val="000000" w:themeColor="text1"/>
          <w:sz w:val="28"/>
          <w:szCs w:val="28"/>
        </w:rPr>
        <w:t>The allegation that the “footprint” requirement was so vague that it rendered the whole tender process void, can summarily be dispensed with.  Starting with the language employed in the tender documents, a “footprint” means not only “an impression left by a foot” but also “the amount of space that something fills” or “the shape and size of the area something occupies”</w:t>
      </w:r>
      <w:r w:rsidR="0080597D">
        <w:rPr>
          <w:rStyle w:val="FootnoteReference"/>
          <w:color w:val="000000" w:themeColor="text1"/>
          <w:sz w:val="28"/>
          <w:szCs w:val="28"/>
        </w:rPr>
        <w:footnoteReference w:id="2"/>
      </w:r>
      <w:r w:rsidR="0080597D">
        <w:rPr>
          <w:color w:val="000000" w:themeColor="text1"/>
          <w:sz w:val="28"/>
          <w:szCs w:val="28"/>
        </w:rPr>
        <w:t>.</w:t>
      </w:r>
      <w:r w:rsidR="00AB6120">
        <w:rPr>
          <w:color w:val="000000" w:themeColor="text1"/>
          <w:sz w:val="28"/>
          <w:szCs w:val="28"/>
        </w:rPr>
        <w:t xml:space="preserve"> </w:t>
      </w:r>
      <w:r w:rsidR="0080597D">
        <w:rPr>
          <w:color w:val="000000" w:themeColor="text1"/>
          <w:sz w:val="28"/>
          <w:szCs w:val="28"/>
        </w:rPr>
        <w:t xml:space="preserve">  When read together with the warehouse and address requirements, there can be no doubt that bidders were in their Footprint Declaration required to indicate a physical and geographical “space” (warehouse) from which it intended to supply parts to a specific province for which it submitted a bid.</w:t>
      </w:r>
    </w:p>
    <w:p w:rsidR="008839E6"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[42]</w:t>
      </w:r>
      <w:r>
        <w:rPr>
          <w:color w:val="000000" w:themeColor="text1"/>
          <w:sz w:val="28"/>
          <w:szCs w:val="28"/>
        </w:rPr>
        <w:tab/>
      </w:r>
      <w:r w:rsidR="0080597D">
        <w:rPr>
          <w:color w:val="000000" w:themeColor="text1"/>
          <w:sz w:val="28"/>
          <w:szCs w:val="28"/>
        </w:rPr>
        <w:t xml:space="preserve">The parties were all </w:t>
      </w:r>
      <w:r w:rsidR="0080597D" w:rsidRPr="00A8737B">
        <w:rPr>
          <w:i/>
          <w:color w:val="000000" w:themeColor="text1"/>
          <w:sz w:val="28"/>
          <w:szCs w:val="28"/>
        </w:rPr>
        <w:t>ad idem</w:t>
      </w:r>
      <w:r w:rsidR="0080597D">
        <w:rPr>
          <w:color w:val="000000" w:themeColor="text1"/>
          <w:sz w:val="28"/>
          <w:szCs w:val="28"/>
        </w:rPr>
        <w:t xml:space="preserve"> that the</w:t>
      </w:r>
      <w:r w:rsidR="00A8737B">
        <w:rPr>
          <w:color w:val="000000" w:themeColor="text1"/>
          <w:sz w:val="28"/>
          <w:szCs w:val="28"/>
        </w:rPr>
        <w:t xml:space="preserve"> footprint</w:t>
      </w:r>
      <w:r w:rsidR="0080597D">
        <w:rPr>
          <w:color w:val="000000" w:themeColor="text1"/>
          <w:sz w:val="28"/>
          <w:szCs w:val="28"/>
        </w:rPr>
        <w:t xml:space="preserve"> requirement was not as stringent as requiring a physical presence inside</w:t>
      </w:r>
      <w:r w:rsidR="006B15C6">
        <w:rPr>
          <w:color w:val="000000" w:themeColor="text1"/>
          <w:sz w:val="28"/>
          <w:szCs w:val="28"/>
        </w:rPr>
        <w:t xml:space="preserve"> a</w:t>
      </w:r>
      <w:r w:rsidR="0080597D">
        <w:rPr>
          <w:color w:val="000000" w:themeColor="text1"/>
          <w:sz w:val="28"/>
          <w:szCs w:val="28"/>
        </w:rPr>
        <w:t xml:space="preserve"> particular province.  Keegans put the requirement as follows in its founding affidavit</w:t>
      </w:r>
      <w:r w:rsidR="0080597D">
        <w:rPr>
          <w:rStyle w:val="FootnoteReference"/>
          <w:color w:val="000000" w:themeColor="text1"/>
          <w:sz w:val="28"/>
          <w:szCs w:val="28"/>
        </w:rPr>
        <w:footnoteReference w:id="3"/>
      </w:r>
      <w:r w:rsidR="0080597D">
        <w:rPr>
          <w:color w:val="000000" w:themeColor="text1"/>
          <w:sz w:val="28"/>
          <w:szCs w:val="28"/>
        </w:rPr>
        <w:t xml:space="preserve"> “</w:t>
      </w:r>
      <w:r w:rsidR="0080597D" w:rsidRPr="00A8737B">
        <w:rPr>
          <w:i/>
          <w:color w:val="000000" w:themeColor="text1"/>
          <w:sz w:val="28"/>
          <w:szCs w:val="28"/>
        </w:rPr>
        <w:t>The requirement does not require a bidder to own the specific</w:t>
      </w:r>
      <w:r w:rsidR="00A8737B" w:rsidRPr="00A8737B">
        <w:rPr>
          <w:i/>
          <w:color w:val="000000" w:themeColor="text1"/>
          <w:sz w:val="28"/>
          <w:szCs w:val="28"/>
        </w:rPr>
        <w:t xml:space="preserve"> warehouse in each</w:t>
      </w:r>
      <w:r w:rsidR="0080597D" w:rsidRPr="00A8737B">
        <w:rPr>
          <w:i/>
          <w:color w:val="000000" w:themeColor="text1"/>
          <w:sz w:val="28"/>
          <w:szCs w:val="28"/>
        </w:rPr>
        <w:t xml:space="preserve"> province</w:t>
      </w:r>
      <w:r w:rsidR="00A8737B" w:rsidRPr="00A8737B">
        <w:rPr>
          <w:i/>
          <w:color w:val="000000" w:themeColor="text1"/>
          <w:sz w:val="28"/>
          <w:szCs w:val="28"/>
        </w:rPr>
        <w:t xml:space="preserve"> but requires it to have access to a warehouse in a specific provinc</w:t>
      </w:r>
      <w:r w:rsidR="00A8737B">
        <w:rPr>
          <w:i/>
          <w:color w:val="000000" w:themeColor="text1"/>
          <w:sz w:val="28"/>
          <w:szCs w:val="28"/>
        </w:rPr>
        <w:t>e</w:t>
      </w:r>
      <w:r w:rsidR="0080597D" w:rsidRPr="00A8737B">
        <w:rPr>
          <w:i/>
          <w:color w:val="000000" w:themeColor="text1"/>
          <w:sz w:val="28"/>
          <w:szCs w:val="28"/>
        </w:rPr>
        <w:t xml:space="preserve">  or illustrate another manner in which the </w:t>
      </w:r>
      <w:r w:rsidR="008839E6" w:rsidRPr="00A8737B">
        <w:rPr>
          <w:i/>
          <w:color w:val="000000" w:themeColor="text1"/>
          <w:sz w:val="28"/>
          <w:szCs w:val="28"/>
        </w:rPr>
        <w:t>footprint requirement can be satisfied</w:t>
      </w:r>
      <w:r w:rsidR="008839E6">
        <w:rPr>
          <w:color w:val="000000" w:themeColor="text1"/>
          <w:sz w:val="28"/>
          <w:szCs w:val="28"/>
        </w:rPr>
        <w:t>”.  Treasury agreed with this interpretation, thereby rendering the voidness argument without force.</w:t>
      </w:r>
    </w:p>
    <w:p w:rsidR="008839E6"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[43]</w:t>
      </w:r>
      <w:r>
        <w:rPr>
          <w:color w:val="000000" w:themeColor="text1"/>
          <w:sz w:val="28"/>
          <w:szCs w:val="28"/>
        </w:rPr>
        <w:tab/>
      </w:r>
      <w:r w:rsidR="008839E6">
        <w:rPr>
          <w:color w:val="000000" w:themeColor="text1"/>
          <w:sz w:val="28"/>
          <w:szCs w:val="28"/>
        </w:rPr>
        <w:t>Treasury’s argument was that bidders were not obliged to submit bids to provid</w:t>
      </w:r>
      <w:r w:rsidR="00A8737B">
        <w:rPr>
          <w:color w:val="000000" w:themeColor="text1"/>
          <w:sz w:val="28"/>
          <w:szCs w:val="28"/>
        </w:rPr>
        <w:t>e services in the whole of the R</w:t>
      </w:r>
      <w:r w:rsidR="008839E6">
        <w:rPr>
          <w:color w:val="000000" w:themeColor="text1"/>
          <w:sz w:val="28"/>
          <w:szCs w:val="28"/>
        </w:rPr>
        <w:t>epublic</w:t>
      </w:r>
      <w:r w:rsidR="00A8737B">
        <w:rPr>
          <w:color w:val="000000" w:themeColor="text1"/>
          <w:sz w:val="28"/>
          <w:szCs w:val="28"/>
        </w:rPr>
        <w:t>.</w:t>
      </w:r>
      <w:r w:rsidR="008839E6">
        <w:rPr>
          <w:color w:val="000000" w:themeColor="text1"/>
          <w:sz w:val="28"/>
          <w:szCs w:val="28"/>
        </w:rPr>
        <w:t xml:space="preserve">  Bidders were also allowed to source parts from third parties, but then only if they complied with the co</w:t>
      </w:r>
      <w:r w:rsidR="00A8737B">
        <w:rPr>
          <w:color w:val="000000" w:themeColor="text1"/>
          <w:sz w:val="28"/>
          <w:szCs w:val="28"/>
        </w:rPr>
        <w:t>nditions referred to in para [30]</w:t>
      </w:r>
      <w:r w:rsidR="008839E6">
        <w:rPr>
          <w:color w:val="000000" w:themeColor="text1"/>
          <w:sz w:val="28"/>
          <w:szCs w:val="28"/>
        </w:rPr>
        <w:t xml:space="preserve"> above, thereby complying with clause 5.3.5(e) of the SCC.</w:t>
      </w:r>
    </w:p>
    <w:p w:rsidR="008839E6"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[44]</w:t>
      </w:r>
      <w:r>
        <w:rPr>
          <w:color w:val="000000" w:themeColor="text1"/>
          <w:sz w:val="28"/>
          <w:szCs w:val="28"/>
        </w:rPr>
        <w:tab/>
      </w:r>
      <w:r w:rsidR="008839E6">
        <w:rPr>
          <w:color w:val="000000" w:themeColor="text1"/>
          <w:sz w:val="28"/>
          <w:szCs w:val="28"/>
        </w:rPr>
        <w:t>Treasury</w:t>
      </w:r>
      <w:r w:rsidR="00A8737B">
        <w:rPr>
          <w:color w:val="000000" w:themeColor="text1"/>
          <w:sz w:val="28"/>
          <w:szCs w:val="28"/>
        </w:rPr>
        <w:t xml:space="preserve"> therefore</w:t>
      </w:r>
      <w:r w:rsidR="008839E6">
        <w:rPr>
          <w:color w:val="000000" w:themeColor="text1"/>
          <w:sz w:val="28"/>
          <w:szCs w:val="28"/>
        </w:rPr>
        <w:t xml:space="preserve"> submitted that the wording of the SCC</w:t>
      </w:r>
      <w:r w:rsidR="00A8737B">
        <w:rPr>
          <w:color w:val="000000" w:themeColor="text1"/>
          <w:sz w:val="28"/>
          <w:szCs w:val="28"/>
        </w:rPr>
        <w:t xml:space="preserve"> regarding the footprint requirement</w:t>
      </w:r>
      <w:r w:rsidR="008839E6">
        <w:rPr>
          <w:color w:val="000000" w:themeColor="text1"/>
          <w:sz w:val="28"/>
          <w:szCs w:val="28"/>
        </w:rPr>
        <w:t xml:space="preserve"> was clear and required no interpretation or construction.  I agree.</w:t>
      </w:r>
    </w:p>
    <w:p w:rsidR="008839E6"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[45]</w:t>
      </w:r>
      <w:r>
        <w:rPr>
          <w:color w:val="000000" w:themeColor="text1"/>
          <w:sz w:val="28"/>
          <w:szCs w:val="28"/>
        </w:rPr>
        <w:tab/>
      </w:r>
      <w:r w:rsidR="008839E6">
        <w:rPr>
          <w:color w:val="000000" w:themeColor="text1"/>
          <w:sz w:val="28"/>
          <w:szCs w:val="28"/>
        </w:rPr>
        <w:t>The basic premise on which the BEC evaluated bids and on which Treasury relied was that, in terms of clause 5.3.4 of the SCC, bidders were assessed based on the information they themselves provided and that “</w:t>
      </w:r>
      <w:r w:rsidR="008839E6" w:rsidRPr="008839E6">
        <w:rPr>
          <w:i/>
          <w:color w:val="000000" w:themeColor="text1"/>
          <w:sz w:val="28"/>
          <w:szCs w:val="28"/>
        </w:rPr>
        <w:t>… if a bidder declares that it owns or has access to a warehouse, the bidder must be able to demonstrate that it does</w:t>
      </w:r>
      <w:r w:rsidR="008839E6">
        <w:rPr>
          <w:color w:val="000000" w:themeColor="text1"/>
          <w:sz w:val="28"/>
          <w:szCs w:val="28"/>
        </w:rPr>
        <w:t xml:space="preserve">”. </w:t>
      </w:r>
      <w:r w:rsidR="0080597D">
        <w:rPr>
          <w:color w:val="000000" w:themeColor="text1"/>
          <w:sz w:val="28"/>
          <w:szCs w:val="28"/>
        </w:rPr>
        <w:t xml:space="preserve"> </w:t>
      </w:r>
    </w:p>
    <w:p w:rsidR="00AD517A"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[46]</w:t>
      </w:r>
      <w:r>
        <w:rPr>
          <w:color w:val="000000" w:themeColor="text1"/>
          <w:sz w:val="28"/>
          <w:szCs w:val="28"/>
        </w:rPr>
        <w:tab/>
      </w:r>
      <w:r w:rsidR="008839E6">
        <w:rPr>
          <w:color w:val="000000" w:themeColor="text1"/>
          <w:sz w:val="28"/>
          <w:szCs w:val="28"/>
        </w:rPr>
        <w:t>The reservation by Treasury in the</w:t>
      </w:r>
      <w:r w:rsidR="00AD517A">
        <w:rPr>
          <w:color w:val="000000" w:themeColor="text1"/>
          <w:sz w:val="28"/>
          <w:szCs w:val="28"/>
        </w:rPr>
        <w:t xml:space="preserve"> bid documents to perform due-di</w:t>
      </w:r>
      <w:r w:rsidR="008839E6">
        <w:rPr>
          <w:color w:val="000000" w:themeColor="text1"/>
          <w:sz w:val="28"/>
          <w:szCs w:val="28"/>
        </w:rPr>
        <w:t>ligence exercise</w:t>
      </w:r>
      <w:r w:rsidR="00A8737B">
        <w:rPr>
          <w:color w:val="000000" w:themeColor="text1"/>
          <w:sz w:val="28"/>
          <w:szCs w:val="28"/>
        </w:rPr>
        <w:t>s</w:t>
      </w:r>
      <w:r w:rsidR="008839E6">
        <w:rPr>
          <w:color w:val="000000" w:themeColor="text1"/>
          <w:sz w:val="28"/>
          <w:szCs w:val="28"/>
        </w:rPr>
        <w:t xml:space="preserve"> on the information contained in bid documents, corresponds with the above premise, the provisions of the PFMA</w:t>
      </w:r>
      <w:r w:rsidR="00AD517A">
        <w:rPr>
          <w:rStyle w:val="FootnoteReference"/>
          <w:color w:val="000000" w:themeColor="text1"/>
          <w:sz w:val="28"/>
          <w:szCs w:val="28"/>
        </w:rPr>
        <w:footnoteReference w:id="4"/>
      </w:r>
      <w:r w:rsidR="00AD517A">
        <w:rPr>
          <w:color w:val="000000" w:themeColor="text1"/>
          <w:sz w:val="28"/>
          <w:szCs w:val="28"/>
        </w:rPr>
        <w:t xml:space="preserve"> and the basic requirement that a bidder</w:t>
      </w:r>
      <w:r w:rsidR="00A8737B">
        <w:rPr>
          <w:color w:val="000000" w:themeColor="text1"/>
          <w:sz w:val="28"/>
          <w:szCs w:val="28"/>
        </w:rPr>
        <w:t>’</w:t>
      </w:r>
      <w:r w:rsidR="00AD517A">
        <w:rPr>
          <w:color w:val="000000" w:themeColor="text1"/>
          <w:sz w:val="28"/>
          <w:szCs w:val="28"/>
        </w:rPr>
        <w:t>s bid must truthfully reflect the facts on which the bid was based.</w:t>
      </w:r>
      <w:r w:rsidR="008839E6">
        <w:rPr>
          <w:color w:val="000000" w:themeColor="text1"/>
          <w:sz w:val="28"/>
          <w:szCs w:val="28"/>
        </w:rPr>
        <w:t xml:space="preserve"> </w:t>
      </w:r>
    </w:p>
    <w:p w:rsidR="00AD517A"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[47]</w:t>
      </w:r>
      <w:r>
        <w:rPr>
          <w:color w:val="000000" w:themeColor="text1"/>
          <w:sz w:val="28"/>
          <w:szCs w:val="28"/>
        </w:rPr>
        <w:tab/>
      </w:r>
      <w:r w:rsidR="00AD517A">
        <w:rPr>
          <w:color w:val="000000" w:themeColor="text1"/>
          <w:sz w:val="28"/>
          <w:szCs w:val="28"/>
        </w:rPr>
        <w:t>The true facts surrounding Keegans’ bid was that it did not own any of the warehouses disclos</w:t>
      </w:r>
      <w:r w:rsidR="00A8737B">
        <w:rPr>
          <w:color w:val="000000" w:themeColor="text1"/>
          <w:sz w:val="28"/>
          <w:szCs w:val="28"/>
        </w:rPr>
        <w:t>ed in its Footprint Declaration.  It also</w:t>
      </w:r>
      <w:r w:rsidR="00AD517A">
        <w:rPr>
          <w:color w:val="000000" w:themeColor="text1"/>
          <w:sz w:val="28"/>
          <w:szCs w:val="28"/>
        </w:rPr>
        <w:t xml:space="preserve"> did not own the warehouse in Florida belonging to its sole member, which warehouse it had not relied on in its bid documents and</w:t>
      </w:r>
      <w:r w:rsidR="00A8737B">
        <w:rPr>
          <w:color w:val="000000" w:themeColor="text1"/>
          <w:sz w:val="28"/>
          <w:szCs w:val="28"/>
        </w:rPr>
        <w:t xml:space="preserve"> which</w:t>
      </w:r>
      <w:r w:rsidR="00AD517A">
        <w:rPr>
          <w:color w:val="000000" w:themeColor="text1"/>
          <w:sz w:val="28"/>
          <w:szCs w:val="28"/>
        </w:rPr>
        <w:t xml:space="preserve"> in fact, would provide no warehouse function.  Keegans would not stock any parts in warehouses from which it would service any of the provinces for which it had submitted bids and all indications in its bid documents that it would do so, was false.</w:t>
      </w:r>
    </w:p>
    <w:p w:rsidR="00AD517A"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[48]</w:t>
      </w:r>
      <w:r>
        <w:rPr>
          <w:color w:val="000000" w:themeColor="text1"/>
          <w:sz w:val="28"/>
          <w:szCs w:val="28"/>
        </w:rPr>
        <w:tab/>
      </w:r>
      <w:r w:rsidR="00AD517A">
        <w:rPr>
          <w:color w:val="000000" w:themeColor="text1"/>
          <w:sz w:val="28"/>
          <w:szCs w:val="28"/>
        </w:rPr>
        <w:t xml:space="preserve">The true facts were that Keegans would simply, apparently as franchisee, rely on Motus’ </w:t>
      </w:r>
      <w:r w:rsidR="00A8737B">
        <w:rPr>
          <w:color w:val="000000" w:themeColor="text1"/>
          <w:sz w:val="28"/>
          <w:szCs w:val="28"/>
        </w:rPr>
        <w:t>“</w:t>
      </w:r>
      <w:r w:rsidR="00AD517A">
        <w:rPr>
          <w:color w:val="000000" w:themeColor="text1"/>
          <w:sz w:val="28"/>
          <w:szCs w:val="28"/>
        </w:rPr>
        <w:t>footprints”, conduct online or</w:t>
      </w:r>
      <w:r w:rsidR="00A8737B">
        <w:rPr>
          <w:color w:val="000000" w:themeColor="text1"/>
          <w:sz w:val="28"/>
          <w:szCs w:val="28"/>
        </w:rPr>
        <w:t>ders, shipments and “drop-offs”</w:t>
      </w:r>
      <w:r w:rsidR="00AD517A">
        <w:rPr>
          <w:color w:val="000000" w:themeColor="text1"/>
          <w:sz w:val="28"/>
          <w:szCs w:val="28"/>
        </w:rPr>
        <w:t xml:space="preserve"> via Motus without any supplier or third party agreements either in place or having been disclosed in its bid documents.</w:t>
      </w:r>
    </w:p>
    <w:p w:rsidR="0080597D"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[49]</w:t>
      </w:r>
      <w:r>
        <w:rPr>
          <w:color w:val="000000" w:themeColor="text1"/>
          <w:sz w:val="28"/>
          <w:szCs w:val="28"/>
        </w:rPr>
        <w:tab/>
      </w:r>
      <w:r w:rsidR="00AD517A">
        <w:rPr>
          <w:color w:val="000000" w:themeColor="text1"/>
          <w:sz w:val="28"/>
          <w:szCs w:val="28"/>
        </w:rPr>
        <w:t>In my view, the purpose sought to have been achieved by Treasury, as the entity exercising public powe</w:t>
      </w:r>
      <w:r w:rsidR="00A8737B">
        <w:rPr>
          <w:color w:val="000000" w:themeColor="text1"/>
          <w:sz w:val="28"/>
          <w:szCs w:val="28"/>
        </w:rPr>
        <w:t>r, namely to only have a properl</w:t>
      </w:r>
      <w:r w:rsidR="00AD517A">
        <w:rPr>
          <w:color w:val="000000" w:themeColor="text1"/>
          <w:sz w:val="28"/>
          <w:szCs w:val="28"/>
        </w:rPr>
        <w:t>y verified bid qualify for acceptance, had been achieved.  Treasury’s decision to disqualify Keegans was</w:t>
      </w:r>
      <w:r w:rsidR="00A8737B">
        <w:rPr>
          <w:color w:val="000000" w:themeColor="text1"/>
          <w:sz w:val="28"/>
          <w:szCs w:val="28"/>
        </w:rPr>
        <w:t xml:space="preserve"> therefore, objectively viewed, r</w:t>
      </w:r>
      <w:r w:rsidR="00AD517A">
        <w:rPr>
          <w:color w:val="000000" w:themeColor="text1"/>
          <w:sz w:val="28"/>
          <w:szCs w:val="28"/>
        </w:rPr>
        <w:t>ational</w:t>
      </w:r>
      <w:r w:rsidR="00F13C7F">
        <w:rPr>
          <w:rStyle w:val="FootnoteReference"/>
          <w:color w:val="000000" w:themeColor="text1"/>
          <w:sz w:val="28"/>
          <w:szCs w:val="28"/>
        </w:rPr>
        <w:footnoteReference w:id="5"/>
      </w:r>
      <w:r w:rsidR="00AD517A">
        <w:rPr>
          <w:color w:val="000000" w:themeColor="text1"/>
          <w:sz w:val="28"/>
          <w:szCs w:val="28"/>
        </w:rPr>
        <w:t xml:space="preserve">. </w:t>
      </w:r>
      <w:r w:rsidR="0080597D">
        <w:rPr>
          <w:color w:val="000000" w:themeColor="text1"/>
          <w:sz w:val="28"/>
          <w:szCs w:val="28"/>
        </w:rPr>
        <w:t xml:space="preserve"> </w:t>
      </w:r>
    </w:p>
    <w:p w:rsidR="00767576"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[50]</w:t>
      </w:r>
      <w:r>
        <w:rPr>
          <w:color w:val="000000" w:themeColor="text1"/>
          <w:sz w:val="28"/>
          <w:szCs w:val="28"/>
        </w:rPr>
        <w:tab/>
      </w:r>
      <w:r w:rsidR="00767576">
        <w:rPr>
          <w:color w:val="000000" w:themeColor="text1"/>
          <w:sz w:val="28"/>
          <w:szCs w:val="28"/>
        </w:rPr>
        <w:t>Once this is so, as I find it is</w:t>
      </w:r>
      <w:r w:rsidR="00A8737B">
        <w:rPr>
          <w:color w:val="000000" w:themeColor="text1"/>
          <w:sz w:val="28"/>
          <w:szCs w:val="28"/>
        </w:rPr>
        <w:t>,</w:t>
      </w:r>
      <w:r w:rsidR="00767576">
        <w:rPr>
          <w:color w:val="000000" w:themeColor="text1"/>
          <w:sz w:val="28"/>
          <w:szCs w:val="28"/>
        </w:rPr>
        <w:t xml:space="preserve"> the principle that then “</w:t>
      </w:r>
      <w:r w:rsidR="00767576" w:rsidRPr="00A8737B">
        <w:rPr>
          <w:i/>
          <w:color w:val="000000" w:themeColor="text1"/>
          <w:sz w:val="28"/>
          <w:szCs w:val="28"/>
        </w:rPr>
        <w:t>not every slip in</w:t>
      </w:r>
      <w:r w:rsidR="00A8737B" w:rsidRPr="00A8737B">
        <w:rPr>
          <w:i/>
          <w:color w:val="000000" w:themeColor="text1"/>
          <w:sz w:val="28"/>
          <w:szCs w:val="28"/>
        </w:rPr>
        <w:t xml:space="preserve"> the administration of tenders </w:t>
      </w:r>
      <w:r w:rsidR="00767576" w:rsidRPr="00A8737B">
        <w:rPr>
          <w:i/>
          <w:color w:val="000000" w:themeColor="text1"/>
          <w:sz w:val="28"/>
          <w:szCs w:val="28"/>
        </w:rPr>
        <w:t>is necessarily to be visited by judicial sanction</w:t>
      </w:r>
      <w:r w:rsidR="00767576">
        <w:rPr>
          <w:color w:val="000000" w:themeColor="text1"/>
          <w:sz w:val="28"/>
          <w:szCs w:val="28"/>
        </w:rPr>
        <w:t>”</w:t>
      </w:r>
      <w:r w:rsidR="00767576">
        <w:rPr>
          <w:rStyle w:val="FootnoteReference"/>
          <w:color w:val="000000" w:themeColor="text1"/>
          <w:sz w:val="28"/>
          <w:szCs w:val="28"/>
        </w:rPr>
        <w:footnoteReference w:id="6"/>
      </w:r>
      <w:r w:rsidR="00767576">
        <w:rPr>
          <w:color w:val="000000" w:themeColor="text1"/>
          <w:sz w:val="28"/>
          <w:szCs w:val="28"/>
        </w:rPr>
        <w:t xml:space="preserve"> applies.</w:t>
      </w:r>
    </w:p>
    <w:p w:rsidR="00A8737B"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[51]</w:t>
      </w:r>
      <w:r>
        <w:rPr>
          <w:color w:val="000000" w:themeColor="text1"/>
          <w:sz w:val="28"/>
          <w:szCs w:val="28"/>
        </w:rPr>
        <w:tab/>
      </w:r>
      <w:r w:rsidR="00767576">
        <w:rPr>
          <w:color w:val="000000" w:themeColor="text1"/>
          <w:sz w:val="28"/>
          <w:szCs w:val="28"/>
        </w:rPr>
        <w:t>Borrowing from Adv Chabedi SC’s argument, in looking back on the tender process, I do not find that there was any irregularity which was so material that it overshadows the ultimate objective reasons for Keegans’ disqualification.</w:t>
      </w:r>
      <w:r w:rsidR="00A8737B">
        <w:rPr>
          <w:color w:val="000000" w:themeColor="text1"/>
          <w:sz w:val="28"/>
          <w:szCs w:val="28"/>
        </w:rPr>
        <w:t xml:space="preserve">  This </w:t>
      </w:r>
      <w:r w:rsidR="00AC5DC1">
        <w:rPr>
          <w:color w:val="000000" w:themeColor="text1"/>
          <w:sz w:val="28"/>
          <w:szCs w:val="28"/>
        </w:rPr>
        <w:t>includes Keegans</w:t>
      </w:r>
      <w:r w:rsidR="00A8737B">
        <w:rPr>
          <w:color w:val="000000" w:themeColor="text1"/>
          <w:sz w:val="28"/>
          <w:szCs w:val="28"/>
        </w:rPr>
        <w:t>’ argument that the reasons furnished by Treasury do not exactly accord with the BEC’s memorandum.</w:t>
      </w:r>
    </w:p>
    <w:p w:rsidR="00767576"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[52]</w:t>
      </w:r>
      <w:r>
        <w:rPr>
          <w:color w:val="000000" w:themeColor="text1"/>
          <w:sz w:val="28"/>
          <w:szCs w:val="28"/>
        </w:rPr>
        <w:tab/>
      </w:r>
      <w:r w:rsidR="00767576">
        <w:rPr>
          <w:color w:val="000000" w:themeColor="text1"/>
          <w:sz w:val="28"/>
          <w:szCs w:val="28"/>
        </w:rPr>
        <w:t>Keegans</w:t>
      </w:r>
      <w:r w:rsidR="00A8737B">
        <w:rPr>
          <w:color w:val="000000" w:themeColor="text1"/>
          <w:sz w:val="28"/>
          <w:szCs w:val="28"/>
        </w:rPr>
        <w:t xml:space="preserve"> further</w:t>
      </w:r>
      <w:r w:rsidR="00767576">
        <w:rPr>
          <w:color w:val="000000" w:themeColor="text1"/>
          <w:sz w:val="28"/>
          <w:szCs w:val="28"/>
        </w:rPr>
        <w:t xml:space="preserve"> complained that there was a procedural irregularity in that it had not been afforded the opportunity to make representations prior to disqualification, but this is not entirely true: it was asked by letter for clarification of its warehousing position prior to the site inspection and was invited to make a presentation in respect thereof.</w:t>
      </w:r>
    </w:p>
    <w:p w:rsidR="00767576"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[53]</w:t>
      </w:r>
      <w:r>
        <w:rPr>
          <w:color w:val="000000" w:themeColor="text1"/>
          <w:sz w:val="28"/>
          <w:szCs w:val="28"/>
        </w:rPr>
        <w:tab/>
      </w:r>
      <w:r w:rsidR="00C66421">
        <w:rPr>
          <w:color w:val="000000" w:themeColor="text1"/>
          <w:sz w:val="28"/>
          <w:szCs w:val="28"/>
        </w:rPr>
        <w:t>In view of the above, Keegans’</w:t>
      </w:r>
      <w:r w:rsidR="00A8737B">
        <w:rPr>
          <w:color w:val="000000" w:themeColor="text1"/>
          <w:sz w:val="28"/>
          <w:szCs w:val="28"/>
        </w:rPr>
        <w:t xml:space="preserve"> further “expectation” that its</w:t>
      </w:r>
      <w:r w:rsidR="00C66421">
        <w:rPr>
          <w:color w:val="000000" w:themeColor="text1"/>
          <w:sz w:val="28"/>
          <w:szCs w:val="28"/>
        </w:rPr>
        <w:t xml:space="preserve"> member</w:t>
      </w:r>
      <w:r w:rsidR="00AC5DC1">
        <w:rPr>
          <w:color w:val="000000" w:themeColor="text1"/>
          <w:sz w:val="28"/>
          <w:szCs w:val="28"/>
        </w:rPr>
        <w:t>’</w:t>
      </w:r>
      <w:r w:rsidR="00C66421">
        <w:rPr>
          <w:color w:val="000000" w:themeColor="text1"/>
          <w:sz w:val="28"/>
          <w:szCs w:val="28"/>
        </w:rPr>
        <w:t>s warehouse i</w:t>
      </w:r>
      <w:r w:rsidR="00A8737B">
        <w:rPr>
          <w:color w:val="000000" w:themeColor="text1"/>
          <w:sz w:val="28"/>
          <w:szCs w:val="28"/>
        </w:rPr>
        <w:t>n Florida would also be visited</w:t>
      </w:r>
      <w:r w:rsidR="00C66421">
        <w:rPr>
          <w:color w:val="000000" w:themeColor="text1"/>
          <w:sz w:val="28"/>
          <w:szCs w:val="28"/>
        </w:rPr>
        <w:t xml:space="preserve"> </w:t>
      </w:r>
      <w:r w:rsidR="00A8737B">
        <w:rPr>
          <w:color w:val="000000" w:themeColor="text1"/>
          <w:sz w:val="28"/>
          <w:szCs w:val="28"/>
        </w:rPr>
        <w:t>(</w:t>
      </w:r>
      <w:r w:rsidR="00C66421">
        <w:rPr>
          <w:color w:val="000000" w:themeColor="text1"/>
          <w:sz w:val="28"/>
          <w:szCs w:val="28"/>
        </w:rPr>
        <w:t>another of Keegans’ complaints</w:t>
      </w:r>
      <w:r w:rsidR="00A8737B">
        <w:rPr>
          <w:color w:val="000000" w:themeColor="text1"/>
          <w:sz w:val="28"/>
          <w:szCs w:val="28"/>
        </w:rPr>
        <w:t>)</w:t>
      </w:r>
      <w:r w:rsidR="00C66421">
        <w:rPr>
          <w:color w:val="000000" w:themeColor="text1"/>
          <w:sz w:val="28"/>
          <w:szCs w:val="28"/>
        </w:rPr>
        <w:t xml:space="preserve">, also cannot have been a </w:t>
      </w:r>
      <w:r w:rsidR="00A8737B">
        <w:rPr>
          <w:color w:val="000000" w:themeColor="text1"/>
          <w:sz w:val="28"/>
          <w:szCs w:val="28"/>
        </w:rPr>
        <w:t>procedural irregularity</w:t>
      </w:r>
      <w:r w:rsidR="00C66421">
        <w:rPr>
          <w:color w:val="000000" w:themeColor="text1"/>
          <w:sz w:val="28"/>
          <w:szCs w:val="28"/>
        </w:rPr>
        <w:t xml:space="preserve">.  </w:t>
      </w:r>
      <w:r w:rsidR="00A8737B">
        <w:rPr>
          <w:color w:val="000000" w:themeColor="text1"/>
          <w:sz w:val="28"/>
          <w:szCs w:val="28"/>
        </w:rPr>
        <w:t>A</w:t>
      </w:r>
      <w:r w:rsidR="00C66421">
        <w:rPr>
          <w:color w:val="000000" w:themeColor="text1"/>
          <w:sz w:val="28"/>
          <w:szCs w:val="28"/>
        </w:rPr>
        <w:t>n expectation that a site visit to an address not contained in the bid documentation</w:t>
      </w:r>
      <w:r w:rsidR="00A8737B">
        <w:rPr>
          <w:color w:val="000000" w:themeColor="text1"/>
          <w:sz w:val="28"/>
          <w:szCs w:val="28"/>
        </w:rPr>
        <w:t xml:space="preserve"> should operate</w:t>
      </w:r>
      <w:r w:rsidR="00C66421">
        <w:rPr>
          <w:color w:val="000000" w:themeColor="text1"/>
          <w:sz w:val="28"/>
          <w:szCs w:val="28"/>
        </w:rPr>
        <w:t xml:space="preserve"> as a pre-requisite to a decision</w:t>
      </w:r>
      <w:r w:rsidR="00A8737B">
        <w:rPr>
          <w:color w:val="000000" w:themeColor="text1"/>
          <w:sz w:val="28"/>
          <w:szCs w:val="28"/>
        </w:rPr>
        <w:t xml:space="preserve"> being taken</w:t>
      </w:r>
      <w:r w:rsidR="00C66421">
        <w:rPr>
          <w:color w:val="000000" w:themeColor="text1"/>
          <w:sz w:val="28"/>
          <w:szCs w:val="28"/>
        </w:rPr>
        <w:t>, cannot be a reasonable one, even if</w:t>
      </w:r>
      <w:r w:rsidR="0003357E">
        <w:rPr>
          <w:color w:val="000000" w:themeColor="text1"/>
          <w:sz w:val="28"/>
          <w:szCs w:val="28"/>
        </w:rPr>
        <w:t xml:space="preserve"> the </w:t>
      </w:r>
      <w:r w:rsidR="0003357E">
        <w:rPr>
          <w:color w:val="000000" w:themeColor="text1"/>
          <w:sz w:val="28"/>
          <w:szCs w:val="28"/>
        </w:rPr>
        <w:lastRenderedPageBreak/>
        <w:t>possibility of</w:t>
      </w:r>
      <w:r w:rsidR="00C66421">
        <w:rPr>
          <w:color w:val="000000" w:themeColor="text1"/>
          <w:sz w:val="28"/>
          <w:szCs w:val="28"/>
        </w:rPr>
        <w:t xml:space="preserve"> such </w:t>
      </w:r>
      <w:r w:rsidR="0003357E">
        <w:rPr>
          <w:color w:val="000000" w:themeColor="text1"/>
          <w:sz w:val="28"/>
          <w:szCs w:val="28"/>
        </w:rPr>
        <w:t xml:space="preserve">an expectation </w:t>
      </w:r>
      <w:r w:rsidR="00C66421">
        <w:rPr>
          <w:color w:val="000000" w:themeColor="text1"/>
          <w:sz w:val="28"/>
          <w:szCs w:val="28"/>
        </w:rPr>
        <w:t>may have been expressed by a member of the inspection team</w:t>
      </w:r>
      <w:r w:rsidR="0003357E">
        <w:rPr>
          <w:rStyle w:val="FootnoteReference"/>
          <w:color w:val="000000" w:themeColor="text1"/>
          <w:sz w:val="28"/>
          <w:szCs w:val="28"/>
        </w:rPr>
        <w:footnoteReference w:id="7"/>
      </w:r>
      <w:r w:rsidR="00C66421">
        <w:rPr>
          <w:color w:val="000000" w:themeColor="text1"/>
          <w:sz w:val="28"/>
          <w:szCs w:val="28"/>
        </w:rPr>
        <w:t>.</w:t>
      </w:r>
    </w:p>
    <w:p w:rsidR="00C66421"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[54]</w:t>
      </w:r>
      <w:r>
        <w:rPr>
          <w:color w:val="000000" w:themeColor="text1"/>
          <w:sz w:val="28"/>
          <w:szCs w:val="28"/>
        </w:rPr>
        <w:tab/>
      </w:r>
      <w:r w:rsidR="00C66421">
        <w:rPr>
          <w:color w:val="000000" w:themeColor="text1"/>
          <w:sz w:val="28"/>
          <w:szCs w:val="28"/>
        </w:rPr>
        <w:t>To sum up then (from the 30 000 pages of the record and the hundreds of pages of documents filed in the review application): I find that the “footprint” requirement is not</w:t>
      </w:r>
      <w:r w:rsidR="00D9290D" w:rsidRPr="00D9290D">
        <w:rPr>
          <w:rFonts w:asciiTheme="minorHAnsi" w:eastAsiaTheme="minorHAnsi" w:hAnsiTheme="minorHAnsi" w:cstheme="minorBidi"/>
          <w:color w:val="000000" w:themeColor="text1"/>
          <w:sz w:val="28"/>
          <w:szCs w:val="28"/>
          <w:lang w:val="en-ZA" w:eastAsia="en-US"/>
        </w:rPr>
        <w:t xml:space="preserve"> </w:t>
      </w:r>
      <w:r w:rsidR="00D9290D" w:rsidRPr="00D9290D">
        <w:rPr>
          <w:color w:val="000000" w:themeColor="text1"/>
          <w:sz w:val="28"/>
          <w:szCs w:val="28"/>
          <w:lang w:val="en-ZA"/>
        </w:rPr>
        <w:t>as Keegans had claimed,</w:t>
      </w:r>
      <w:r w:rsidR="00C66421">
        <w:rPr>
          <w:color w:val="000000" w:themeColor="text1"/>
          <w:sz w:val="28"/>
          <w:szCs w:val="28"/>
        </w:rPr>
        <w:t xml:space="preserve"> “so vague as to be unreasonable, irrational and unfair” that it rendered the whole tender process invalid.  Keegans’ suggestion that the BEC had initially found Keegans</w:t>
      </w:r>
      <w:r w:rsidR="00D9290D">
        <w:rPr>
          <w:color w:val="000000" w:themeColor="text1"/>
          <w:sz w:val="28"/>
          <w:szCs w:val="28"/>
        </w:rPr>
        <w:t>’</w:t>
      </w:r>
      <w:r w:rsidR="00C66421">
        <w:rPr>
          <w:color w:val="000000" w:themeColor="text1"/>
          <w:sz w:val="28"/>
          <w:szCs w:val="28"/>
        </w:rPr>
        <w:t xml:space="preserve"> documents compl</w:t>
      </w:r>
      <w:r w:rsidR="0003357E">
        <w:rPr>
          <w:color w:val="000000" w:themeColor="text1"/>
          <w:sz w:val="28"/>
          <w:szCs w:val="28"/>
        </w:rPr>
        <w:t>i</w:t>
      </w:r>
      <w:r w:rsidR="00C66421">
        <w:rPr>
          <w:color w:val="000000" w:themeColor="text1"/>
          <w:sz w:val="28"/>
          <w:szCs w:val="28"/>
        </w:rPr>
        <w:t>ant with phase 2 of the evaluation process, precluded the BEC from conducting a due diligence exercise, cannot stand, neither in terms of the reserved right in the SCC to do so and neither in terms of the PFMA.  Keegans’ complaint that it had not been afforded a sufficient opportunity to make representations is factually incorrect.  Keegans</w:t>
      </w:r>
      <w:r w:rsidR="00D9290D">
        <w:rPr>
          <w:color w:val="000000" w:themeColor="text1"/>
          <w:sz w:val="28"/>
          <w:szCs w:val="28"/>
        </w:rPr>
        <w:t>’</w:t>
      </w:r>
      <w:r w:rsidR="00C66421">
        <w:rPr>
          <w:color w:val="000000" w:themeColor="text1"/>
          <w:sz w:val="28"/>
          <w:szCs w:val="28"/>
        </w:rPr>
        <w:t xml:space="preserve"> argument regarding expectations of inspection of its member’s warehouse was neither valid nor did the absence thereof amount to a procedural irregularity.</w:t>
      </w:r>
    </w:p>
    <w:p w:rsidR="00266708"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[55]</w:t>
      </w:r>
      <w:r>
        <w:rPr>
          <w:color w:val="000000" w:themeColor="text1"/>
          <w:sz w:val="28"/>
          <w:szCs w:val="28"/>
        </w:rPr>
        <w:tab/>
      </w:r>
      <w:r w:rsidR="00C66421">
        <w:rPr>
          <w:color w:val="000000" w:themeColor="text1"/>
          <w:sz w:val="28"/>
          <w:szCs w:val="28"/>
        </w:rPr>
        <w:t xml:space="preserve">I </w:t>
      </w:r>
      <w:r w:rsidR="0003357E">
        <w:rPr>
          <w:color w:val="000000" w:themeColor="text1"/>
          <w:sz w:val="28"/>
          <w:szCs w:val="28"/>
        </w:rPr>
        <w:t xml:space="preserve">therefore </w:t>
      </w:r>
      <w:r w:rsidR="00C66421">
        <w:rPr>
          <w:color w:val="000000" w:themeColor="text1"/>
          <w:sz w:val="28"/>
          <w:szCs w:val="28"/>
        </w:rPr>
        <w:t>find that</w:t>
      </w:r>
      <w:r w:rsidR="0003357E">
        <w:rPr>
          <w:color w:val="000000" w:themeColor="text1"/>
          <w:sz w:val="28"/>
          <w:szCs w:val="28"/>
        </w:rPr>
        <w:t xml:space="preserve"> there had been no material irregularities in the evaluation process and that</w:t>
      </w:r>
      <w:r w:rsidR="00C66421">
        <w:rPr>
          <w:color w:val="000000" w:themeColor="text1"/>
          <w:sz w:val="28"/>
          <w:szCs w:val="28"/>
        </w:rPr>
        <w:t xml:space="preserve"> Treasury had correctly disqualified Keegans as having not demonstrated compliance with the “footprint” requirement of the tender it had bid for. </w:t>
      </w:r>
    </w:p>
    <w:p w:rsidR="00C66421"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[56]</w:t>
      </w:r>
      <w:r>
        <w:rPr>
          <w:color w:val="000000" w:themeColor="text1"/>
          <w:sz w:val="28"/>
          <w:szCs w:val="28"/>
        </w:rPr>
        <w:tab/>
      </w:r>
      <w:r w:rsidR="00266708">
        <w:rPr>
          <w:color w:val="000000" w:themeColor="text1"/>
          <w:sz w:val="28"/>
          <w:szCs w:val="28"/>
        </w:rPr>
        <w:t>There were a number of</w:t>
      </w:r>
      <w:r w:rsidR="0003357E">
        <w:rPr>
          <w:color w:val="000000" w:themeColor="text1"/>
          <w:sz w:val="28"/>
          <w:szCs w:val="28"/>
        </w:rPr>
        <w:t xml:space="preserve"> further</w:t>
      </w:r>
      <w:r w:rsidR="00266708">
        <w:rPr>
          <w:color w:val="000000" w:themeColor="text1"/>
          <w:sz w:val="28"/>
          <w:szCs w:val="28"/>
        </w:rPr>
        <w:t xml:space="preserve"> minor peripheral arguments advanced on behalf of Keegans, none of which I find detract from the above.</w:t>
      </w:r>
      <w:r w:rsidR="00C66421">
        <w:rPr>
          <w:color w:val="000000" w:themeColor="text1"/>
          <w:sz w:val="28"/>
          <w:szCs w:val="28"/>
        </w:rPr>
        <w:t xml:space="preserve"> </w:t>
      </w:r>
    </w:p>
    <w:p w:rsidR="00A30DC3" w:rsidRPr="00A30DC3" w:rsidRDefault="00A30DC3" w:rsidP="006850AA">
      <w:pPr>
        <w:pStyle w:val="MEMONUMBERED"/>
        <w:numPr>
          <w:ilvl w:val="0"/>
          <w:numId w:val="0"/>
        </w:numPr>
        <w:spacing w:after="120" w:line="360" w:lineRule="auto"/>
        <w:rPr>
          <w:b/>
          <w:color w:val="000000" w:themeColor="text1"/>
          <w:sz w:val="28"/>
          <w:szCs w:val="28"/>
        </w:rPr>
      </w:pPr>
      <w:r w:rsidRPr="00A30DC3">
        <w:rPr>
          <w:b/>
          <w:color w:val="000000" w:themeColor="text1"/>
          <w:sz w:val="28"/>
          <w:szCs w:val="28"/>
        </w:rPr>
        <w:t xml:space="preserve">Costs </w:t>
      </w:r>
    </w:p>
    <w:p w:rsidR="000B111C" w:rsidRPr="00956BC6" w:rsidRDefault="008B2854" w:rsidP="008B2854">
      <w:pPr>
        <w:pStyle w:val="MEMONUMBERED"/>
        <w:numPr>
          <w:ilvl w:val="0"/>
          <w:numId w:val="0"/>
        </w:numPr>
        <w:spacing w:after="360" w:line="360" w:lineRule="auto"/>
        <w:rPr>
          <w:color w:val="000000" w:themeColor="text1"/>
          <w:sz w:val="28"/>
          <w:szCs w:val="28"/>
        </w:rPr>
      </w:pPr>
      <w:r w:rsidRPr="00956BC6">
        <w:rPr>
          <w:color w:val="000000" w:themeColor="text1"/>
          <w:sz w:val="28"/>
          <w:szCs w:val="28"/>
        </w:rPr>
        <w:lastRenderedPageBreak/>
        <w:t>[57]</w:t>
      </w:r>
      <w:r w:rsidRPr="00956BC6">
        <w:rPr>
          <w:color w:val="000000" w:themeColor="text1"/>
          <w:sz w:val="28"/>
          <w:szCs w:val="28"/>
        </w:rPr>
        <w:tab/>
      </w:r>
      <w:r w:rsidR="00266708">
        <w:rPr>
          <w:color w:val="000000" w:themeColor="text1"/>
          <w:sz w:val="28"/>
          <w:szCs w:val="28"/>
        </w:rPr>
        <w:t>I find no cogent reason to depart from the general principle that costs should follow the event.  This includes the costs of the seventh and eighth respondents.</w:t>
      </w:r>
      <w:r w:rsidR="000B111C">
        <w:rPr>
          <w:color w:val="000000" w:themeColor="text1"/>
          <w:sz w:val="28"/>
          <w:szCs w:val="28"/>
        </w:rPr>
        <w:t xml:space="preserve"> </w:t>
      </w:r>
    </w:p>
    <w:p w:rsidR="004A4374" w:rsidRDefault="004A4374" w:rsidP="00C71A8E">
      <w:pPr>
        <w:pStyle w:val="MEMONUMBERED"/>
        <w:numPr>
          <w:ilvl w:val="0"/>
          <w:numId w:val="0"/>
        </w:numPr>
        <w:spacing w:after="120" w:line="360" w:lineRule="auto"/>
        <w:rPr>
          <w:color w:val="000000" w:themeColor="text1"/>
          <w:sz w:val="28"/>
          <w:szCs w:val="28"/>
        </w:rPr>
      </w:pPr>
      <w:r w:rsidRPr="004A4374">
        <w:rPr>
          <w:b/>
          <w:color w:val="000000" w:themeColor="text1"/>
          <w:sz w:val="28"/>
          <w:szCs w:val="28"/>
        </w:rPr>
        <w:t>Order</w:t>
      </w:r>
    </w:p>
    <w:p w:rsidR="004A4374" w:rsidRDefault="008B2854" w:rsidP="008B2854">
      <w:pPr>
        <w:pStyle w:val="MEMONUMBERED"/>
        <w:numPr>
          <w:ilvl w:val="0"/>
          <w:numId w:val="0"/>
        </w:numPr>
        <w:spacing w:after="360" w:line="360" w:lineRule="auto"/>
        <w:rPr>
          <w:color w:val="000000" w:themeColor="text1"/>
          <w:sz w:val="28"/>
          <w:szCs w:val="28"/>
        </w:rPr>
      </w:pPr>
      <w:r>
        <w:rPr>
          <w:color w:val="000000" w:themeColor="text1"/>
          <w:sz w:val="28"/>
          <w:szCs w:val="28"/>
        </w:rPr>
        <w:t>[58]</w:t>
      </w:r>
      <w:r>
        <w:rPr>
          <w:color w:val="000000" w:themeColor="text1"/>
          <w:sz w:val="28"/>
          <w:szCs w:val="28"/>
        </w:rPr>
        <w:tab/>
      </w:r>
      <w:r w:rsidR="00670679">
        <w:rPr>
          <w:color w:val="000000" w:themeColor="text1"/>
          <w:sz w:val="28"/>
          <w:szCs w:val="28"/>
        </w:rPr>
        <w:t>T</w:t>
      </w:r>
      <w:r w:rsidR="00820049">
        <w:rPr>
          <w:color w:val="000000" w:themeColor="text1"/>
          <w:sz w:val="28"/>
          <w:szCs w:val="28"/>
        </w:rPr>
        <w:t>he following order</w:t>
      </w:r>
      <w:r w:rsidR="00670679">
        <w:rPr>
          <w:color w:val="000000" w:themeColor="text1"/>
          <w:sz w:val="28"/>
          <w:szCs w:val="28"/>
        </w:rPr>
        <w:t xml:space="preserve"> is made</w:t>
      </w:r>
      <w:r w:rsidR="00820049">
        <w:rPr>
          <w:color w:val="000000" w:themeColor="text1"/>
          <w:sz w:val="28"/>
          <w:szCs w:val="28"/>
        </w:rPr>
        <w:t>:</w:t>
      </w:r>
    </w:p>
    <w:p w:rsidR="00A30DC3" w:rsidRDefault="00DE55C0" w:rsidP="00A30DC3">
      <w:pPr>
        <w:pStyle w:val="MEMONUMBERED"/>
        <w:numPr>
          <w:ilvl w:val="0"/>
          <w:numId w:val="0"/>
        </w:numPr>
        <w:spacing w:after="360" w:line="360" w:lineRule="auto"/>
        <w:ind w:left="720"/>
        <w:rPr>
          <w:color w:val="000000" w:themeColor="text1"/>
          <w:sz w:val="28"/>
          <w:szCs w:val="28"/>
        </w:rPr>
      </w:pPr>
      <w:r>
        <w:rPr>
          <w:color w:val="000000" w:themeColor="text1"/>
          <w:sz w:val="28"/>
          <w:szCs w:val="28"/>
        </w:rPr>
        <w:t>The application is dismissed</w:t>
      </w:r>
      <w:r w:rsidR="00A30DC3">
        <w:rPr>
          <w:color w:val="000000" w:themeColor="text1"/>
          <w:sz w:val="28"/>
          <w:szCs w:val="28"/>
        </w:rPr>
        <w:t xml:space="preserve"> with costs</w:t>
      </w:r>
      <w:r>
        <w:rPr>
          <w:color w:val="000000" w:themeColor="text1"/>
          <w:sz w:val="28"/>
          <w:szCs w:val="28"/>
        </w:rPr>
        <w:t>, including the costs of two counsel, where employed</w:t>
      </w:r>
      <w:r w:rsidR="00A30DC3">
        <w:rPr>
          <w:color w:val="000000" w:themeColor="text1"/>
          <w:sz w:val="28"/>
          <w:szCs w:val="28"/>
        </w:rPr>
        <w:t>.</w:t>
      </w:r>
    </w:p>
    <w:p w:rsidR="00E03817" w:rsidRPr="00310383" w:rsidRDefault="00E03817" w:rsidP="00310383">
      <w:pPr>
        <w:pStyle w:val="MEMONUMBERED"/>
        <w:numPr>
          <w:ilvl w:val="0"/>
          <w:numId w:val="0"/>
        </w:numPr>
        <w:spacing w:after="360" w:line="360" w:lineRule="auto"/>
        <w:ind w:left="720"/>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rsidR="007D5375" w:rsidRDefault="007D5375" w:rsidP="007D5375">
      <w:pPr>
        <w:pStyle w:val="MEMONUMBERED"/>
        <w:numPr>
          <w:ilvl w:val="0"/>
          <w:numId w:val="0"/>
        </w:numPr>
        <w:spacing w:line="240" w:lineRule="auto"/>
        <w:rPr>
          <w:sz w:val="28"/>
          <w:szCs w:val="28"/>
        </w:rPr>
      </w:pPr>
    </w:p>
    <w:p w:rsidR="0003357E" w:rsidRDefault="0003357E" w:rsidP="007103CD">
      <w:pPr>
        <w:pStyle w:val="MEMONUMBERED"/>
        <w:numPr>
          <w:ilvl w:val="0"/>
          <w:numId w:val="0"/>
        </w:numPr>
        <w:rPr>
          <w:sz w:val="28"/>
          <w:szCs w:val="28"/>
        </w:rPr>
      </w:pPr>
    </w:p>
    <w:p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F72D8E">
        <w:rPr>
          <w:sz w:val="28"/>
          <w:szCs w:val="28"/>
        </w:rPr>
        <w:t>14 June 2023</w:t>
      </w:r>
    </w:p>
    <w:p w:rsidR="00F72D8E" w:rsidRDefault="007103CD" w:rsidP="00141739">
      <w:pPr>
        <w:pStyle w:val="MEMONUMBERED"/>
        <w:numPr>
          <w:ilvl w:val="0"/>
          <w:numId w:val="0"/>
        </w:numPr>
        <w:rPr>
          <w:sz w:val="28"/>
          <w:szCs w:val="28"/>
        </w:rPr>
      </w:pPr>
      <w:r>
        <w:rPr>
          <w:sz w:val="28"/>
          <w:szCs w:val="28"/>
        </w:rPr>
        <w:t>Judgment delivered</w:t>
      </w:r>
      <w:r w:rsidR="00A30DC3">
        <w:rPr>
          <w:sz w:val="28"/>
          <w:szCs w:val="28"/>
        </w:rPr>
        <w:t>:</w:t>
      </w:r>
      <w:r w:rsidR="00675243">
        <w:rPr>
          <w:sz w:val="28"/>
          <w:szCs w:val="28"/>
        </w:rPr>
        <w:t xml:space="preserve"> 12</w:t>
      </w:r>
      <w:r w:rsidR="00F72D8E">
        <w:rPr>
          <w:sz w:val="28"/>
          <w:szCs w:val="28"/>
        </w:rPr>
        <w:t xml:space="preserve"> December 2023</w:t>
      </w:r>
    </w:p>
    <w:p w:rsidR="00814011" w:rsidRDefault="00A30DC3" w:rsidP="00141739">
      <w:pPr>
        <w:pStyle w:val="MEMONUMBERED"/>
        <w:numPr>
          <w:ilvl w:val="0"/>
          <w:numId w:val="0"/>
        </w:numPr>
        <w:rPr>
          <w:sz w:val="28"/>
          <w:szCs w:val="28"/>
        </w:rPr>
      </w:pPr>
      <w:r>
        <w:rPr>
          <w:sz w:val="28"/>
          <w:szCs w:val="28"/>
        </w:rPr>
        <w:t xml:space="preserve"> </w:t>
      </w:r>
    </w:p>
    <w:p w:rsidR="00917AA6" w:rsidRDefault="00BD05D0" w:rsidP="00141739">
      <w:pPr>
        <w:pStyle w:val="MEMONUMBERED"/>
        <w:numPr>
          <w:ilvl w:val="0"/>
          <w:numId w:val="0"/>
        </w:numPr>
        <w:rPr>
          <w:sz w:val="28"/>
          <w:szCs w:val="28"/>
        </w:rPr>
      </w:pPr>
      <w:r w:rsidRPr="003E4489">
        <w:rPr>
          <w:sz w:val="28"/>
          <w:szCs w:val="28"/>
        </w:rPr>
        <w:t>APPEARANCES:</w:t>
      </w:r>
    </w:p>
    <w:p w:rsidR="00056E60" w:rsidRDefault="005862DB" w:rsidP="00260793">
      <w:pPr>
        <w:spacing w:after="0"/>
        <w:rPr>
          <w:rFonts w:ascii="Times New Roman" w:hAnsi="Times New Roman" w:cs="Times New Roman"/>
          <w:sz w:val="28"/>
          <w:szCs w:val="28"/>
        </w:rPr>
      </w:pPr>
      <w:r>
        <w:rPr>
          <w:rFonts w:ascii="Times New Roman" w:hAnsi="Times New Roman" w:cs="Times New Roman"/>
          <w:sz w:val="28"/>
          <w:szCs w:val="28"/>
        </w:rPr>
        <w:t xml:space="preserve">For the </w:t>
      </w:r>
      <w:r w:rsidR="00A30DC3">
        <w:rPr>
          <w:rFonts w:ascii="Times New Roman" w:hAnsi="Times New Roman" w:cs="Times New Roman"/>
          <w:sz w:val="28"/>
          <w:szCs w:val="28"/>
        </w:rPr>
        <w:t>Applicant</w:t>
      </w:r>
      <w:r w:rsidR="001F11E5">
        <w:rPr>
          <w:rFonts w:ascii="Times New Roman" w:hAnsi="Times New Roman" w:cs="Times New Roman"/>
          <w:sz w:val="28"/>
          <w:szCs w:val="28"/>
        </w:rPr>
        <w:t>:</w:t>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9D63C8">
        <w:rPr>
          <w:rFonts w:ascii="Times New Roman" w:hAnsi="Times New Roman" w:cs="Times New Roman"/>
          <w:sz w:val="28"/>
          <w:szCs w:val="28"/>
        </w:rPr>
        <w:tab/>
        <w:t>Adv</w:t>
      </w:r>
      <w:r w:rsidR="00056E60">
        <w:rPr>
          <w:rFonts w:ascii="Times New Roman" w:hAnsi="Times New Roman" w:cs="Times New Roman"/>
          <w:sz w:val="28"/>
          <w:szCs w:val="28"/>
        </w:rPr>
        <w:t xml:space="preserve"> N G D Maritz SC together with </w:t>
      </w:r>
    </w:p>
    <w:p w:rsidR="00BD05D0" w:rsidRDefault="00056E60" w:rsidP="00260793">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Adv H P Wessels</w:t>
      </w:r>
      <w:r w:rsidR="009D63C8">
        <w:rPr>
          <w:rFonts w:ascii="Times New Roman" w:hAnsi="Times New Roman" w:cs="Times New Roman"/>
          <w:sz w:val="28"/>
          <w:szCs w:val="28"/>
        </w:rPr>
        <w:t xml:space="preserve"> </w:t>
      </w:r>
    </w:p>
    <w:p w:rsidR="00056E60" w:rsidRDefault="00141739" w:rsidP="00056E60">
      <w:pPr>
        <w:spacing w:after="0"/>
        <w:rPr>
          <w:rFonts w:ascii="Times New Roman" w:hAnsi="Times New Roman" w:cs="Times New Roman"/>
          <w:sz w:val="28"/>
          <w:szCs w:val="28"/>
        </w:rPr>
      </w:pPr>
      <w:r>
        <w:rPr>
          <w:rFonts w:ascii="Times New Roman" w:hAnsi="Times New Roman" w:cs="Times New Roman"/>
          <w:sz w:val="28"/>
          <w:szCs w:val="28"/>
        </w:rPr>
        <w:t xml:space="preserve">Attorney for the </w:t>
      </w:r>
      <w:r w:rsidR="00A30DC3">
        <w:rPr>
          <w:rFonts w:ascii="Times New Roman" w:hAnsi="Times New Roman" w:cs="Times New Roman"/>
          <w:sz w:val="28"/>
          <w:szCs w:val="28"/>
        </w:rPr>
        <w:t>Applicant</w:t>
      </w:r>
      <w:r w:rsidR="00BD05D0">
        <w:rPr>
          <w:rFonts w:ascii="Times New Roman" w:hAnsi="Times New Roman" w:cs="Times New Roman"/>
          <w:sz w:val="28"/>
          <w:szCs w:val="28"/>
        </w:rPr>
        <w:t>:</w:t>
      </w:r>
      <w:r w:rsidR="00BD05D0">
        <w:rPr>
          <w:rFonts w:ascii="Times New Roman" w:hAnsi="Times New Roman" w:cs="Times New Roman"/>
          <w:sz w:val="28"/>
          <w:szCs w:val="28"/>
        </w:rPr>
        <w:tab/>
      </w:r>
      <w:r w:rsidR="001F11E5">
        <w:rPr>
          <w:rFonts w:ascii="Times New Roman" w:hAnsi="Times New Roman" w:cs="Times New Roman"/>
          <w:sz w:val="28"/>
          <w:szCs w:val="28"/>
        </w:rPr>
        <w:tab/>
      </w:r>
      <w:r w:rsidR="00056E60">
        <w:rPr>
          <w:rFonts w:ascii="Times New Roman" w:hAnsi="Times New Roman" w:cs="Times New Roman"/>
          <w:sz w:val="28"/>
          <w:szCs w:val="28"/>
        </w:rPr>
        <w:tab/>
        <w:t>Couzyn, Hertzog &amp; Horak Inc.,</w:t>
      </w:r>
      <w:r w:rsidR="00405429">
        <w:rPr>
          <w:rFonts w:ascii="Times New Roman" w:hAnsi="Times New Roman" w:cs="Times New Roman"/>
          <w:sz w:val="28"/>
          <w:szCs w:val="28"/>
        </w:rPr>
        <w:t xml:space="preserve"> </w:t>
      </w:r>
    </w:p>
    <w:p w:rsidR="00405429" w:rsidRDefault="00405429" w:rsidP="00056E60">
      <w:pPr>
        <w:spacing w:after="0"/>
        <w:ind w:left="4320" w:firstLine="720"/>
        <w:rPr>
          <w:rFonts w:ascii="Times New Roman" w:hAnsi="Times New Roman" w:cs="Times New Roman"/>
          <w:sz w:val="28"/>
          <w:szCs w:val="28"/>
        </w:rPr>
      </w:pPr>
      <w:r>
        <w:rPr>
          <w:rFonts w:ascii="Times New Roman" w:hAnsi="Times New Roman" w:cs="Times New Roman"/>
          <w:sz w:val="28"/>
          <w:szCs w:val="28"/>
        </w:rPr>
        <w:t xml:space="preserve">Pretoria </w:t>
      </w:r>
    </w:p>
    <w:p w:rsidR="00915959" w:rsidRDefault="00915959" w:rsidP="00405429">
      <w:pPr>
        <w:spacing w:after="0"/>
        <w:rPr>
          <w:rFonts w:ascii="Times New Roman" w:hAnsi="Times New Roman" w:cs="Times New Roman"/>
          <w:sz w:val="28"/>
          <w:szCs w:val="28"/>
        </w:rPr>
      </w:pPr>
    </w:p>
    <w:p w:rsidR="0003357E" w:rsidRDefault="001F11E5" w:rsidP="00260793">
      <w:pPr>
        <w:spacing w:after="0"/>
        <w:rPr>
          <w:rFonts w:ascii="Times New Roman" w:hAnsi="Times New Roman" w:cs="Times New Roman"/>
          <w:sz w:val="28"/>
          <w:szCs w:val="28"/>
        </w:rPr>
      </w:pPr>
      <w:r>
        <w:rPr>
          <w:rFonts w:ascii="Times New Roman" w:hAnsi="Times New Roman" w:cs="Times New Roman"/>
          <w:sz w:val="28"/>
          <w:szCs w:val="28"/>
        </w:rPr>
        <w:t xml:space="preserve">For the </w:t>
      </w:r>
      <w:r w:rsidR="00056E60">
        <w:rPr>
          <w:rFonts w:ascii="Times New Roman" w:hAnsi="Times New Roman" w:cs="Times New Roman"/>
          <w:sz w:val="28"/>
          <w:szCs w:val="28"/>
        </w:rPr>
        <w:t>1</w:t>
      </w:r>
      <w:r w:rsidR="00056E60" w:rsidRPr="00056E60">
        <w:rPr>
          <w:rFonts w:ascii="Times New Roman" w:hAnsi="Times New Roman" w:cs="Times New Roman"/>
          <w:sz w:val="28"/>
          <w:szCs w:val="28"/>
          <w:vertAlign w:val="superscript"/>
        </w:rPr>
        <w:t>st</w:t>
      </w:r>
      <w:r w:rsidR="00056E60">
        <w:rPr>
          <w:rFonts w:ascii="Times New Roman" w:hAnsi="Times New Roman" w:cs="Times New Roman"/>
          <w:sz w:val="28"/>
          <w:szCs w:val="28"/>
        </w:rPr>
        <w:t xml:space="preserve"> to 4</w:t>
      </w:r>
      <w:r w:rsidR="00056E60" w:rsidRPr="00056E60">
        <w:rPr>
          <w:rFonts w:ascii="Times New Roman" w:hAnsi="Times New Roman" w:cs="Times New Roman"/>
          <w:sz w:val="28"/>
          <w:szCs w:val="28"/>
          <w:vertAlign w:val="superscript"/>
        </w:rPr>
        <w:t>th</w:t>
      </w:r>
      <w:r w:rsidR="00056E60">
        <w:rPr>
          <w:rFonts w:ascii="Times New Roman" w:hAnsi="Times New Roman" w:cs="Times New Roman"/>
          <w:sz w:val="28"/>
          <w:szCs w:val="28"/>
          <w:vertAlign w:val="superscript"/>
        </w:rPr>
        <w:t xml:space="preserve"> </w:t>
      </w:r>
      <w:r w:rsidR="00260793">
        <w:rPr>
          <w:rFonts w:ascii="Times New Roman" w:hAnsi="Times New Roman" w:cs="Times New Roman"/>
          <w:sz w:val="28"/>
          <w:szCs w:val="28"/>
        </w:rPr>
        <w:t>Respondent</w:t>
      </w:r>
      <w:r w:rsidR="00056E60">
        <w:rPr>
          <w:rFonts w:ascii="Times New Roman" w:hAnsi="Times New Roman" w:cs="Times New Roman"/>
          <w:sz w:val="28"/>
          <w:szCs w:val="28"/>
        </w:rPr>
        <w:t>s</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Adv</w:t>
      </w:r>
      <w:r w:rsidR="00056E60">
        <w:rPr>
          <w:rFonts w:ascii="Times New Roman" w:hAnsi="Times New Roman" w:cs="Times New Roman"/>
          <w:sz w:val="28"/>
          <w:szCs w:val="28"/>
        </w:rPr>
        <w:t xml:space="preserve"> M P D Chabedi </w:t>
      </w:r>
      <w:r w:rsidR="0003357E">
        <w:rPr>
          <w:rFonts w:ascii="Times New Roman" w:hAnsi="Times New Roman" w:cs="Times New Roman"/>
          <w:sz w:val="28"/>
          <w:szCs w:val="28"/>
        </w:rPr>
        <w:t xml:space="preserve">SC </w:t>
      </w:r>
      <w:r w:rsidR="00056E60">
        <w:rPr>
          <w:rFonts w:ascii="Times New Roman" w:hAnsi="Times New Roman" w:cs="Times New Roman"/>
          <w:sz w:val="28"/>
          <w:szCs w:val="28"/>
        </w:rPr>
        <w:t xml:space="preserve">together </w:t>
      </w:r>
    </w:p>
    <w:p w:rsidR="00915959" w:rsidRDefault="00056E60" w:rsidP="0003357E">
      <w:pPr>
        <w:spacing w:after="0"/>
        <w:ind w:left="4320" w:firstLine="720"/>
        <w:rPr>
          <w:rFonts w:ascii="Times New Roman" w:hAnsi="Times New Roman" w:cs="Times New Roman"/>
          <w:sz w:val="28"/>
          <w:szCs w:val="28"/>
        </w:rPr>
      </w:pPr>
      <w:r>
        <w:rPr>
          <w:rFonts w:ascii="Times New Roman" w:hAnsi="Times New Roman" w:cs="Times New Roman"/>
          <w:sz w:val="28"/>
          <w:szCs w:val="28"/>
        </w:rPr>
        <w:t>with Adv N January</w:t>
      </w:r>
      <w:r w:rsidR="001F11E5">
        <w:rPr>
          <w:rFonts w:ascii="Times New Roman" w:hAnsi="Times New Roman" w:cs="Times New Roman"/>
          <w:sz w:val="28"/>
          <w:szCs w:val="28"/>
        </w:rPr>
        <w:t xml:space="preserve"> </w:t>
      </w:r>
    </w:p>
    <w:p w:rsidR="001F11E5" w:rsidRDefault="001F11E5" w:rsidP="00405429">
      <w:pPr>
        <w:spacing w:after="0"/>
        <w:rPr>
          <w:rFonts w:ascii="Times New Roman" w:hAnsi="Times New Roman" w:cs="Times New Roman"/>
          <w:sz w:val="28"/>
          <w:szCs w:val="28"/>
        </w:rPr>
      </w:pPr>
      <w:r>
        <w:rPr>
          <w:rFonts w:ascii="Times New Roman" w:hAnsi="Times New Roman" w:cs="Times New Roman"/>
          <w:sz w:val="28"/>
          <w:szCs w:val="28"/>
        </w:rPr>
        <w:t>Attorney for the</w:t>
      </w:r>
      <w:r w:rsidR="00A30DC3">
        <w:rPr>
          <w:rFonts w:ascii="Times New Roman" w:hAnsi="Times New Roman" w:cs="Times New Roman"/>
          <w:sz w:val="28"/>
          <w:szCs w:val="28"/>
        </w:rPr>
        <w:t xml:space="preserve"> </w:t>
      </w:r>
      <w:r w:rsidR="00056E60">
        <w:rPr>
          <w:rFonts w:ascii="Times New Roman" w:hAnsi="Times New Roman" w:cs="Times New Roman"/>
          <w:sz w:val="28"/>
          <w:szCs w:val="28"/>
        </w:rPr>
        <w:t>1</w:t>
      </w:r>
      <w:r w:rsidR="00056E60" w:rsidRPr="00056E60">
        <w:rPr>
          <w:rFonts w:ascii="Times New Roman" w:hAnsi="Times New Roman" w:cs="Times New Roman"/>
          <w:sz w:val="28"/>
          <w:szCs w:val="28"/>
          <w:vertAlign w:val="superscript"/>
        </w:rPr>
        <w:t>st</w:t>
      </w:r>
      <w:r w:rsidR="00056E60">
        <w:rPr>
          <w:rFonts w:ascii="Times New Roman" w:hAnsi="Times New Roman" w:cs="Times New Roman"/>
          <w:sz w:val="28"/>
          <w:szCs w:val="28"/>
        </w:rPr>
        <w:t xml:space="preserve"> to 4</w:t>
      </w:r>
      <w:r w:rsidR="00056E60" w:rsidRPr="00056E60">
        <w:rPr>
          <w:rFonts w:ascii="Times New Roman" w:hAnsi="Times New Roman" w:cs="Times New Roman"/>
          <w:sz w:val="28"/>
          <w:szCs w:val="28"/>
          <w:vertAlign w:val="superscript"/>
        </w:rPr>
        <w:t>th</w:t>
      </w:r>
      <w:r w:rsidR="00C45F80">
        <w:rPr>
          <w:rFonts w:ascii="Times New Roman" w:hAnsi="Times New Roman" w:cs="Times New Roman"/>
          <w:sz w:val="28"/>
          <w:szCs w:val="28"/>
        </w:rPr>
        <w:t xml:space="preserve"> </w:t>
      </w:r>
      <w:r w:rsidR="00260793">
        <w:rPr>
          <w:rFonts w:ascii="Times New Roman" w:hAnsi="Times New Roman" w:cs="Times New Roman"/>
          <w:sz w:val="28"/>
          <w:szCs w:val="28"/>
        </w:rPr>
        <w:t>Respondent</w:t>
      </w:r>
      <w:r w:rsidR="00056E60">
        <w:rPr>
          <w:rFonts w:ascii="Times New Roman" w:hAnsi="Times New Roman" w:cs="Times New Roman"/>
          <w:sz w:val="28"/>
          <w:szCs w:val="28"/>
        </w:rPr>
        <w:t>s</w:t>
      </w:r>
      <w:r>
        <w:rPr>
          <w:rFonts w:ascii="Times New Roman" w:hAnsi="Times New Roman" w:cs="Times New Roman"/>
          <w:sz w:val="28"/>
          <w:szCs w:val="28"/>
        </w:rPr>
        <w:t>:</w:t>
      </w:r>
      <w:r w:rsidR="00260793">
        <w:rPr>
          <w:rFonts w:ascii="Times New Roman" w:hAnsi="Times New Roman" w:cs="Times New Roman"/>
          <w:sz w:val="28"/>
          <w:szCs w:val="28"/>
        </w:rPr>
        <w:tab/>
      </w:r>
      <w:r w:rsidR="00056E60">
        <w:rPr>
          <w:rFonts w:ascii="Times New Roman" w:hAnsi="Times New Roman" w:cs="Times New Roman"/>
          <w:sz w:val="28"/>
          <w:szCs w:val="28"/>
        </w:rPr>
        <w:t>State Attorney</w:t>
      </w:r>
      <w:r w:rsidR="009C3C8C">
        <w:rPr>
          <w:rFonts w:ascii="Times New Roman" w:hAnsi="Times New Roman" w:cs="Times New Roman"/>
          <w:sz w:val="28"/>
          <w:szCs w:val="28"/>
        </w:rPr>
        <w:t xml:space="preserve">, </w:t>
      </w:r>
      <w:r>
        <w:rPr>
          <w:rFonts w:ascii="Times New Roman" w:hAnsi="Times New Roman" w:cs="Times New Roman"/>
          <w:sz w:val="28"/>
          <w:szCs w:val="28"/>
        </w:rPr>
        <w:t xml:space="preserve">Pretoria </w:t>
      </w:r>
    </w:p>
    <w:p w:rsidR="00F72D8E" w:rsidRDefault="00F72D8E" w:rsidP="00405429">
      <w:pPr>
        <w:spacing w:after="0"/>
        <w:rPr>
          <w:rFonts w:ascii="Times New Roman" w:hAnsi="Times New Roman" w:cs="Times New Roman"/>
          <w:sz w:val="28"/>
          <w:szCs w:val="28"/>
        </w:rPr>
      </w:pPr>
    </w:p>
    <w:p w:rsidR="00F72D8E" w:rsidRDefault="00F72D8E" w:rsidP="00F72D8E">
      <w:pPr>
        <w:spacing w:after="0"/>
        <w:rPr>
          <w:rFonts w:ascii="Times New Roman" w:hAnsi="Times New Roman" w:cs="Times New Roman"/>
          <w:sz w:val="28"/>
          <w:szCs w:val="28"/>
        </w:rPr>
      </w:pPr>
      <w:r>
        <w:rPr>
          <w:rFonts w:ascii="Times New Roman" w:hAnsi="Times New Roman" w:cs="Times New Roman"/>
          <w:sz w:val="28"/>
          <w:szCs w:val="28"/>
        </w:rPr>
        <w:t xml:space="preserve">For the </w:t>
      </w:r>
      <w:r w:rsidR="00056E60">
        <w:rPr>
          <w:rFonts w:ascii="Times New Roman" w:hAnsi="Times New Roman" w:cs="Times New Roman"/>
          <w:sz w:val="28"/>
          <w:szCs w:val="28"/>
        </w:rPr>
        <w:t>7</w:t>
      </w:r>
      <w:r w:rsidR="00056E60" w:rsidRPr="00056E60">
        <w:rPr>
          <w:rFonts w:ascii="Times New Roman" w:hAnsi="Times New Roman" w:cs="Times New Roman"/>
          <w:sz w:val="28"/>
          <w:szCs w:val="28"/>
          <w:vertAlign w:val="superscript"/>
        </w:rPr>
        <w:t>th</w:t>
      </w:r>
      <w:r w:rsidR="00056E60">
        <w:rPr>
          <w:rFonts w:ascii="Times New Roman" w:hAnsi="Times New Roman" w:cs="Times New Roman"/>
          <w:sz w:val="28"/>
          <w:szCs w:val="28"/>
        </w:rPr>
        <w:t xml:space="preserve"> </w:t>
      </w:r>
      <w:r>
        <w:rPr>
          <w:rFonts w:ascii="Times New Roman" w:hAnsi="Times New Roman" w:cs="Times New Roman"/>
          <w:sz w:val="28"/>
          <w:szCs w:val="28"/>
        </w:rPr>
        <w:t>Respondent: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56E60">
        <w:rPr>
          <w:rFonts w:ascii="Times New Roman" w:hAnsi="Times New Roman" w:cs="Times New Roman"/>
          <w:sz w:val="28"/>
          <w:szCs w:val="28"/>
        </w:rPr>
        <w:tab/>
      </w:r>
      <w:r>
        <w:rPr>
          <w:rFonts w:ascii="Times New Roman" w:hAnsi="Times New Roman" w:cs="Times New Roman"/>
          <w:sz w:val="28"/>
          <w:szCs w:val="28"/>
        </w:rPr>
        <w:t xml:space="preserve">Adv </w:t>
      </w:r>
      <w:r w:rsidR="00056E60">
        <w:rPr>
          <w:rFonts w:ascii="Times New Roman" w:hAnsi="Times New Roman" w:cs="Times New Roman"/>
          <w:sz w:val="28"/>
          <w:szCs w:val="28"/>
        </w:rPr>
        <w:t xml:space="preserve">Y Alli together with </w:t>
      </w:r>
    </w:p>
    <w:p w:rsidR="00056E60" w:rsidRDefault="00056E60" w:rsidP="00F72D8E">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Adv S Mohammed</w:t>
      </w:r>
    </w:p>
    <w:p w:rsidR="00056E60" w:rsidRDefault="00F72D8E" w:rsidP="00056E60">
      <w:pPr>
        <w:spacing w:after="0"/>
        <w:ind w:left="4320" w:hanging="4320"/>
        <w:rPr>
          <w:rFonts w:ascii="Times New Roman" w:hAnsi="Times New Roman" w:cs="Times New Roman"/>
          <w:sz w:val="28"/>
          <w:szCs w:val="28"/>
        </w:rPr>
      </w:pPr>
      <w:r>
        <w:rPr>
          <w:rFonts w:ascii="Times New Roman" w:hAnsi="Times New Roman" w:cs="Times New Roman"/>
          <w:sz w:val="28"/>
          <w:szCs w:val="28"/>
        </w:rPr>
        <w:t>Attorney for the</w:t>
      </w:r>
      <w:r w:rsidR="00056E60">
        <w:rPr>
          <w:rFonts w:ascii="Times New Roman" w:hAnsi="Times New Roman" w:cs="Times New Roman"/>
          <w:sz w:val="28"/>
          <w:szCs w:val="28"/>
        </w:rPr>
        <w:t xml:space="preserve"> 7</w:t>
      </w:r>
      <w:r w:rsidR="00056E60" w:rsidRPr="00056E60">
        <w:rPr>
          <w:rFonts w:ascii="Times New Roman" w:hAnsi="Times New Roman" w:cs="Times New Roman"/>
          <w:sz w:val="28"/>
          <w:szCs w:val="28"/>
          <w:vertAlign w:val="superscript"/>
        </w:rPr>
        <w:t>th</w:t>
      </w:r>
      <w:r w:rsidR="00056E60">
        <w:rPr>
          <w:rFonts w:ascii="Times New Roman" w:hAnsi="Times New Roman" w:cs="Times New Roman"/>
          <w:sz w:val="28"/>
          <w:szCs w:val="28"/>
        </w:rPr>
        <w:t xml:space="preserve"> </w:t>
      </w:r>
      <w:r>
        <w:rPr>
          <w:rFonts w:ascii="Times New Roman" w:hAnsi="Times New Roman" w:cs="Times New Roman"/>
          <w:sz w:val="28"/>
          <w:szCs w:val="28"/>
        </w:rPr>
        <w:t>Respondent:</w:t>
      </w:r>
      <w:r>
        <w:rPr>
          <w:rFonts w:ascii="Times New Roman" w:hAnsi="Times New Roman" w:cs="Times New Roman"/>
          <w:sz w:val="28"/>
          <w:szCs w:val="28"/>
        </w:rPr>
        <w:tab/>
      </w:r>
      <w:r>
        <w:rPr>
          <w:rFonts w:ascii="Times New Roman" w:hAnsi="Times New Roman" w:cs="Times New Roman"/>
          <w:sz w:val="28"/>
          <w:szCs w:val="28"/>
        </w:rPr>
        <w:tab/>
      </w:r>
      <w:r w:rsidR="00056E60">
        <w:rPr>
          <w:rFonts w:ascii="Times New Roman" w:hAnsi="Times New Roman" w:cs="Times New Roman"/>
          <w:sz w:val="28"/>
          <w:szCs w:val="28"/>
        </w:rPr>
        <w:t>Hajibhey-bhyat, Mayet &amp; Stein Inc</w:t>
      </w:r>
      <w:r>
        <w:rPr>
          <w:rFonts w:ascii="Times New Roman" w:hAnsi="Times New Roman" w:cs="Times New Roman"/>
          <w:sz w:val="28"/>
          <w:szCs w:val="28"/>
        </w:rPr>
        <w:t xml:space="preserve">, </w:t>
      </w:r>
    </w:p>
    <w:p w:rsidR="00F72D8E" w:rsidRDefault="00056E60" w:rsidP="00056E60">
      <w:pPr>
        <w:spacing w:after="0"/>
        <w:ind w:left="4320" w:firstLine="720"/>
        <w:rPr>
          <w:rFonts w:ascii="Times New Roman" w:hAnsi="Times New Roman" w:cs="Times New Roman"/>
          <w:sz w:val="28"/>
          <w:szCs w:val="28"/>
        </w:rPr>
      </w:pPr>
      <w:r>
        <w:rPr>
          <w:rFonts w:ascii="Times New Roman" w:hAnsi="Times New Roman" w:cs="Times New Roman"/>
          <w:sz w:val="28"/>
          <w:szCs w:val="28"/>
        </w:rPr>
        <w:t>Johannesburg</w:t>
      </w:r>
      <w:r w:rsidR="00F72D8E">
        <w:rPr>
          <w:rFonts w:ascii="Times New Roman" w:hAnsi="Times New Roman" w:cs="Times New Roman"/>
          <w:sz w:val="28"/>
          <w:szCs w:val="28"/>
        </w:rPr>
        <w:t xml:space="preserve"> </w:t>
      </w:r>
    </w:p>
    <w:p w:rsidR="00F72D8E" w:rsidRDefault="00F72D8E" w:rsidP="00405429">
      <w:pPr>
        <w:spacing w:after="0"/>
        <w:rPr>
          <w:rFonts w:ascii="Times New Roman" w:hAnsi="Times New Roman" w:cs="Times New Roman"/>
          <w:sz w:val="28"/>
          <w:szCs w:val="28"/>
        </w:rPr>
      </w:pPr>
    </w:p>
    <w:p w:rsidR="00056E60" w:rsidRDefault="00056E60" w:rsidP="00056E60">
      <w:pPr>
        <w:spacing w:after="0"/>
        <w:rPr>
          <w:rFonts w:ascii="Times New Roman" w:hAnsi="Times New Roman" w:cs="Times New Roman"/>
          <w:sz w:val="28"/>
          <w:szCs w:val="28"/>
        </w:rPr>
      </w:pPr>
      <w:r>
        <w:rPr>
          <w:rFonts w:ascii="Times New Roman" w:hAnsi="Times New Roman" w:cs="Times New Roman"/>
          <w:sz w:val="28"/>
          <w:szCs w:val="28"/>
        </w:rPr>
        <w:t>For the 8</w:t>
      </w:r>
      <w:r w:rsidRPr="00056E60">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Adv M Cajee together with </w:t>
      </w:r>
    </w:p>
    <w:p w:rsidR="00056E60" w:rsidRDefault="00056E60" w:rsidP="00056E60">
      <w:pPr>
        <w:spacing w:after="0"/>
        <w:ind w:left="4320" w:firstLine="720"/>
        <w:rPr>
          <w:rFonts w:ascii="Times New Roman" w:hAnsi="Times New Roman" w:cs="Times New Roman"/>
          <w:sz w:val="28"/>
          <w:szCs w:val="28"/>
        </w:rPr>
      </w:pPr>
      <w:r>
        <w:rPr>
          <w:rFonts w:ascii="Times New Roman" w:hAnsi="Times New Roman" w:cs="Times New Roman"/>
          <w:sz w:val="28"/>
          <w:szCs w:val="28"/>
        </w:rPr>
        <w:t xml:space="preserve">Adv M K Peacock </w:t>
      </w:r>
    </w:p>
    <w:p w:rsidR="00056E60" w:rsidRDefault="00056E60" w:rsidP="00056E60">
      <w:pPr>
        <w:spacing w:after="0"/>
        <w:rPr>
          <w:rFonts w:ascii="Times New Roman" w:hAnsi="Times New Roman" w:cs="Times New Roman"/>
          <w:sz w:val="28"/>
          <w:szCs w:val="28"/>
        </w:rPr>
      </w:pPr>
      <w:r>
        <w:rPr>
          <w:rFonts w:ascii="Times New Roman" w:hAnsi="Times New Roman" w:cs="Times New Roman"/>
          <w:sz w:val="28"/>
          <w:szCs w:val="28"/>
        </w:rPr>
        <w:t>Attorney for the 8</w:t>
      </w:r>
      <w:r w:rsidRPr="00056E60">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r>
        <w:rPr>
          <w:rFonts w:ascii="Times New Roman" w:hAnsi="Times New Roman" w:cs="Times New Roman"/>
          <w:sz w:val="28"/>
          <w:szCs w:val="28"/>
        </w:rPr>
        <w:tab/>
      </w:r>
      <w:r>
        <w:rPr>
          <w:rFonts w:ascii="Times New Roman" w:hAnsi="Times New Roman" w:cs="Times New Roman"/>
          <w:sz w:val="28"/>
          <w:szCs w:val="28"/>
        </w:rPr>
        <w:tab/>
        <w:t xml:space="preserve">Taahir Moola Attorney, Norwood </w:t>
      </w:r>
    </w:p>
    <w:p w:rsidR="00F72D8E" w:rsidRDefault="00F72D8E" w:rsidP="00405429">
      <w:pPr>
        <w:spacing w:after="0"/>
        <w:rPr>
          <w:rFonts w:ascii="Times New Roman" w:hAnsi="Times New Roman" w:cs="Times New Roman"/>
          <w:sz w:val="28"/>
          <w:szCs w:val="28"/>
        </w:rPr>
      </w:pPr>
    </w:p>
    <w:p w:rsidR="00056E60" w:rsidRDefault="00056E60" w:rsidP="00056E60">
      <w:pPr>
        <w:spacing w:after="0"/>
        <w:rPr>
          <w:rFonts w:ascii="Times New Roman" w:hAnsi="Times New Roman" w:cs="Times New Roman"/>
          <w:sz w:val="28"/>
          <w:szCs w:val="28"/>
        </w:rPr>
      </w:pPr>
      <w:r>
        <w:rPr>
          <w:rFonts w:ascii="Times New Roman" w:hAnsi="Times New Roman" w:cs="Times New Roman"/>
          <w:sz w:val="28"/>
          <w:szCs w:val="28"/>
        </w:rPr>
        <w:t>For the 11</w:t>
      </w:r>
      <w:r w:rsidRPr="00056E60">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Mr M Bouwer (watching brief) </w:t>
      </w:r>
    </w:p>
    <w:p w:rsidR="00056E60" w:rsidRDefault="00056E60" w:rsidP="00056E60">
      <w:pPr>
        <w:spacing w:after="0"/>
        <w:rPr>
          <w:rFonts w:ascii="Times New Roman" w:hAnsi="Times New Roman" w:cs="Times New Roman"/>
          <w:sz w:val="28"/>
          <w:szCs w:val="28"/>
        </w:rPr>
      </w:pPr>
      <w:r>
        <w:rPr>
          <w:rFonts w:ascii="Times New Roman" w:hAnsi="Times New Roman" w:cs="Times New Roman"/>
          <w:sz w:val="28"/>
          <w:szCs w:val="28"/>
        </w:rPr>
        <w:t>Attorney for the 11</w:t>
      </w:r>
      <w:r w:rsidRPr="00056E60">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r>
        <w:rPr>
          <w:rFonts w:ascii="Times New Roman" w:hAnsi="Times New Roman" w:cs="Times New Roman"/>
          <w:sz w:val="28"/>
          <w:szCs w:val="28"/>
        </w:rPr>
        <w:tab/>
      </w:r>
      <w:r>
        <w:rPr>
          <w:rFonts w:ascii="Times New Roman" w:hAnsi="Times New Roman" w:cs="Times New Roman"/>
          <w:sz w:val="28"/>
          <w:szCs w:val="28"/>
        </w:rPr>
        <w:tab/>
        <w:t>Bouwer Olivier Inc, Randburg</w:t>
      </w:r>
    </w:p>
    <w:p w:rsidR="00056E60" w:rsidRDefault="00056E60" w:rsidP="00056E60">
      <w:pPr>
        <w:spacing w:after="0"/>
        <w:ind w:left="4320" w:firstLine="720"/>
        <w:rPr>
          <w:rFonts w:ascii="Times New Roman" w:hAnsi="Times New Roman" w:cs="Times New Roman"/>
          <w:sz w:val="28"/>
          <w:szCs w:val="28"/>
        </w:rPr>
      </w:pPr>
      <w:r>
        <w:rPr>
          <w:rFonts w:ascii="Times New Roman" w:hAnsi="Times New Roman" w:cs="Times New Roman"/>
          <w:sz w:val="28"/>
          <w:szCs w:val="28"/>
        </w:rPr>
        <w:t xml:space="preserve">c/o Pierre Krynauw Attorney, </w:t>
      </w:r>
    </w:p>
    <w:p w:rsidR="00056E60" w:rsidRDefault="00056E60" w:rsidP="00056E60">
      <w:pPr>
        <w:spacing w:after="0"/>
        <w:ind w:left="4320" w:firstLine="720"/>
        <w:rPr>
          <w:rFonts w:ascii="Times New Roman" w:hAnsi="Times New Roman" w:cs="Times New Roman"/>
          <w:sz w:val="28"/>
          <w:szCs w:val="28"/>
        </w:rPr>
      </w:pPr>
      <w:r>
        <w:rPr>
          <w:rFonts w:ascii="Times New Roman" w:hAnsi="Times New Roman" w:cs="Times New Roman"/>
          <w:sz w:val="28"/>
          <w:szCs w:val="28"/>
        </w:rPr>
        <w:t xml:space="preserve">Pretoria </w:t>
      </w:r>
    </w:p>
    <w:p w:rsidR="00056E60" w:rsidRDefault="00056E60" w:rsidP="00405429">
      <w:pPr>
        <w:spacing w:after="0"/>
        <w:rPr>
          <w:rFonts w:ascii="Times New Roman" w:hAnsi="Times New Roman" w:cs="Times New Roman"/>
          <w:sz w:val="28"/>
          <w:szCs w:val="28"/>
        </w:rPr>
      </w:pPr>
    </w:p>
    <w:sectPr w:rsidR="00056E60"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780" w:rsidRDefault="00FD1780" w:rsidP="00AA0559">
      <w:pPr>
        <w:spacing w:after="0" w:line="240" w:lineRule="auto"/>
      </w:pPr>
      <w:r>
        <w:separator/>
      </w:r>
    </w:p>
  </w:endnote>
  <w:endnote w:type="continuationSeparator" w:id="0">
    <w:p w:rsidR="00FD1780" w:rsidRDefault="00FD1780"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780" w:rsidRDefault="00FD1780" w:rsidP="00AA0559">
      <w:pPr>
        <w:spacing w:after="0" w:line="240" w:lineRule="auto"/>
      </w:pPr>
      <w:r>
        <w:separator/>
      </w:r>
    </w:p>
  </w:footnote>
  <w:footnote w:type="continuationSeparator" w:id="0">
    <w:p w:rsidR="00FD1780" w:rsidRDefault="00FD1780" w:rsidP="00AA0559">
      <w:pPr>
        <w:spacing w:after="0" w:line="240" w:lineRule="auto"/>
      </w:pPr>
      <w:r>
        <w:continuationSeparator/>
      </w:r>
    </w:p>
  </w:footnote>
  <w:footnote w:id="1">
    <w:p w:rsidR="00C66421" w:rsidRDefault="00C66421">
      <w:pPr>
        <w:pStyle w:val="FootnoteText"/>
      </w:pPr>
      <w:r>
        <w:rPr>
          <w:rStyle w:val="FootnoteReference"/>
        </w:rPr>
        <w:footnoteRef/>
      </w:r>
      <w:r>
        <w:t xml:space="preserve"> Clause 16.1 of the SCC (quoted in the said e-mail) provides that “</w:t>
      </w:r>
      <w:r w:rsidRPr="004B653C">
        <w:rPr>
          <w:i/>
        </w:rPr>
        <w:t>National Treasury may communicate with bidders where clarity is sought after the closing date of the bid and prior to the award of the bid</w:t>
      </w:r>
      <w:r>
        <w:t>”.</w:t>
      </w:r>
    </w:p>
  </w:footnote>
  <w:footnote w:id="2">
    <w:p w:rsidR="00C66421" w:rsidRDefault="00C66421">
      <w:pPr>
        <w:pStyle w:val="FootnoteText"/>
      </w:pPr>
      <w:r>
        <w:rPr>
          <w:rStyle w:val="FootnoteReference"/>
        </w:rPr>
        <w:footnoteRef/>
      </w:r>
      <w:r>
        <w:t xml:space="preserve"> See: </w:t>
      </w:r>
      <w:r w:rsidRPr="00A8737B">
        <w:t>The</w:t>
      </w:r>
      <w:r w:rsidRPr="00A8737B">
        <w:rPr>
          <w:i/>
        </w:rPr>
        <w:t xml:space="preserve"> </w:t>
      </w:r>
      <w:r w:rsidR="00A8737B" w:rsidRPr="00A8737B">
        <w:rPr>
          <w:i/>
        </w:rPr>
        <w:t>Concise</w:t>
      </w:r>
      <w:r w:rsidR="00A8737B">
        <w:t xml:space="preserve"> </w:t>
      </w:r>
      <w:r w:rsidRPr="0080597D">
        <w:rPr>
          <w:i/>
        </w:rPr>
        <w:t>Oxford English Dictionary</w:t>
      </w:r>
      <w:r>
        <w:t xml:space="preserve"> and </w:t>
      </w:r>
      <w:r w:rsidRPr="0080597D">
        <w:rPr>
          <w:i/>
        </w:rPr>
        <w:t>Collins Dictionary</w:t>
      </w:r>
      <w:r>
        <w:t>.</w:t>
      </w:r>
    </w:p>
  </w:footnote>
  <w:footnote w:id="3">
    <w:p w:rsidR="00C66421" w:rsidRDefault="00C66421">
      <w:pPr>
        <w:pStyle w:val="FootnoteText"/>
      </w:pPr>
      <w:r>
        <w:rPr>
          <w:rStyle w:val="FootnoteReference"/>
        </w:rPr>
        <w:footnoteRef/>
      </w:r>
      <w:r>
        <w:t xml:space="preserve"> At para 9 thereof.</w:t>
      </w:r>
    </w:p>
  </w:footnote>
  <w:footnote w:id="4">
    <w:p w:rsidR="00C66421" w:rsidRDefault="00C66421">
      <w:pPr>
        <w:pStyle w:val="FootnoteText"/>
      </w:pPr>
      <w:r>
        <w:rPr>
          <w:rStyle w:val="FootnoteReference"/>
        </w:rPr>
        <w:footnoteRef/>
      </w:r>
      <w:r>
        <w:t xml:space="preserve"> </w:t>
      </w:r>
      <w:r w:rsidR="00A8737B">
        <w:t>Which has as a stated purpose t</w:t>
      </w:r>
      <w:r>
        <w:t>o prevent unauthorised, irregular or wasteful expenditure as contemplated in sections 38(1)(g) and 76(2)(e).</w:t>
      </w:r>
    </w:p>
  </w:footnote>
  <w:footnote w:id="5">
    <w:p w:rsidR="00C66421" w:rsidRDefault="00C66421">
      <w:pPr>
        <w:pStyle w:val="FootnoteText"/>
      </w:pPr>
      <w:r>
        <w:rPr>
          <w:rStyle w:val="FootnoteReference"/>
        </w:rPr>
        <w:footnoteRef/>
      </w:r>
      <w:r>
        <w:t xml:space="preserve"> See: </w:t>
      </w:r>
      <w:r w:rsidR="0003357E" w:rsidRPr="0003357E">
        <w:rPr>
          <w:i/>
        </w:rPr>
        <w:t>Pharmaceutical Manufacturers Association of SA: In re</w:t>
      </w:r>
      <w:r w:rsidR="00AC5DC1">
        <w:rPr>
          <w:i/>
        </w:rPr>
        <w:t>:</w:t>
      </w:r>
      <w:r w:rsidR="0003357E" w:rsidRPr="0003357E">
        <w:rPr>
          <w:i/>
        </w:rPr>
        <w:t xml:space="preserve"> Ex parte Resident of RSA</w:t>
      </w:r>
      <w:r w:rsidR="0003357E">
        <w:t xml:space="preserve"> 2000 (2) SA 674 (CC) </w:t>
      </w:r>
      <w:r>
        <w:t xml:space="preserve">and </w:t>
      </w:r>
      <w:r w:rsidRPr="00767576">
        <w:rPr>
          <w:i/>
        </w:rPr>
        <w:t>Masethla v President of the RSA</w:t>
      </w:r>
      <w:r>
        <w:t xml:space="preserve"> 2008 (1) SA 566 (CC)</w:t>
      </w:r>
      <w:r w:rsidR="00AC5DC1">
        <w:t xml:space="preserve"> at</w:t>
      </w:r>
      <w:r>
        <w:t xml:space="preserve"> par 81.</w:t>
      </w:r>
    </w:p>
  </w:footnote>
  <w:footnote w:id="6">
    <w:p w:rsidR="00C66421" w:rsidRDefault="00C66421">
      <w:pPr>
        <w:pStyle w:val="FootnoteText"/>
      </w:pPr>
      <w:r>
        <w:rPr>
          <w:rStyle w:val="FootnoteReference"/>
        </w:rPr>
        <w:footnoteRef/>
      </w:r>
      <w:r>
        <w:t xml:space="preserve"> See </w:t>
      </w:r>
      <w:r w:rsidRPr="00767576">
        <w:rPr>
          <w:i/>
        </w:rPr>
        <w:t>Altech Radio Holdings (Pty) Ltd v City of Tshwane Metropolitan Municipality</w:t>
      </w:r>
      <w:r>
        <w:t xml:space="preserve"> 2021 (3) SA 25 (SCA) at par 54.</w:t>
      </w:r>
    </w:p>
    <w:p w:rsidR="00266708" w:rsidRDefault="00266708">
      <w:pPr>
        <w:pStyle w:val="FootnoteText"/>
      </w:pPr>
    </w:p>
  </w:footnote>
  <w:footnote w:id="7">
    <w:p w:rsidR="0003357E" w:rsidRDefault="0003357E">
      <w:pPr>
        <w:pStyle w:val="FootnoteText"/>
      </w:pPr>
      <w:r>
        <w:rPr>
          <w:rStyle w:val="FootnoteReference"/>
        </w:rPr>
        <w:footnoteRef/>
      </w:r>
      <w:r>
        <w:t xml:space="preserve"> See: </w:t>
      </w:r>
      <w:r w:rsidRPr="0003357E">
        <w:rPr>
          <w:i/>
        </w:rPr>
        <w:t>Duncan v Minister of Environmental Affairs and Tourism</w:t>
      </w:r>
      <w:r>
        <w:t xml:space="preserve"> 2010 (6) SA 374 (SCA) at par 15</w:t>
      </w:r>
      <w:r w:rsidR="00F67EB2">
        <w:t xml:space="preserve"> and</w:t>
      </w:r>
      <w:r w:rsidR="00F67EB2" w:rsidRPr="00F67EB2">
        <w:rPr>
          <w:i/>
          <w:sz w:val="22"/>
          <w:szCs w:val="22"/>
        </w:rPr>
        <w:t xml:space="preserve"> </w:t>
      </w:r>
      <w:r w:rsidR="00F67EB2" w:rsidRPr="00F67EB2">
        <w:rPr>
          <w:i/>
        </w:rPr>
        <w:t>SA Veterinary Council v Szymanski</w:t>
      </w:r>
      <w:r w:rsidR="00F67EB2" w:rsidRPr="00F67EB2">
        <w:t xml:space="preserve"> 2003 (4) SA 42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05627"/>
      <w:docPartObj>
        <w:docPartGallery w:val="Page Numbers (Top of Page)"/>
        <w:docPartUnique/>
      </w:docPartObj>
    </w:sdtPr>
    <w:sdtEndPr>
      <w:rPr>
        <w:noProof/>
      </w:rPr>
    </w:sdtEndPr>
    <w:sdtContent>
      <w:p w:rsidR="00C66421" w:rsidRDefault="00C66421">
        <w:pPr>
          <w:pStyle w:val="Header"/>
          <w:jc w:val="right"/>
        </w:pPr>
        <w:r>
          <w:fldChar w:fldCharType="begin"/>
        </w:r>
        <w:r>
          <w:instrText xml:space="preserve"> PAGE   \* MERGEFORMAT </w:instrText>
        </w:r>
        <w:r>
          <w:fldChar w:fldCharType="separate"/>
        </w:r>
        <w:r w:rsidR="008B2854">
          <w:rPr>
            <w:noProof/>
          </w:rPr>
          <w:t>20</w:t>
        </w:r>
        <w:r>
          <w:rPr>
            <w:noProof/>
          </w:rPr>
          <w:fldChar w:fldCharType="end"/>
        </w:r>
      </w:p>
    </w:sdtContent>
  </w:sdt>
  <w:p w:rsidR="00C66421" w:rsidRDefault="00C664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1494F06"/>
    <w:multiLevelType w:val="hybridMultilevel"/>
    <w:tmpl w:val="620CDEDC"/>
    <w:lvl w:ilvl="0" w:tplc="442817C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15:restartNumberingAfterBreak="0">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15:restartNumberingAfterBreak="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0F7F72"/>
    <w:multiLevelType w:val="hybridMultilevel"/>
    <w:tmpl w:val="5BFEA7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00D0FA7"/>
    <w:multiLevelType w:val="hybridMultilevel"/>
    <w:tmpl w:val="045EE456"/>
    <w:lvl w:ilvl="0" w:tplc="0AE8BD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86C5451"/>
    <w:multiLevelType w:val="hybridMultilevel"/>
    <w:tmpl w:val="BF9C62E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A145341"/>
    <w:multiLevelType w:val="hybridMultilevel"/>
    <w:tmpl w:val="4FC253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3444CE"/>
    <w:multiLevelType w:val="hybridMultilevel"/>
    <w:tmpl w:val="EECCA132"/>
    <w:lvl w:ilvl="0" w:tplc="1AA2331A">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3" w15:restartNumberingAfterBreak="0">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2844A8"/>
    <w:multiLevelType w:val="hybridMultilevel"/>
    <w:tmpl w:val="748239DA"/>
    <w:lvl w:ilvl="0" w:tplc="68DC1F8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6" w15:restartNumberingAfterBreak="0">
    <w:nsid w:val="43F25D59"/>
    <w:multiLevelType w:val="hybridMultilevel"/>
    <w:tmpl w:val="22D2282C"/>
    <w:lvl w:ilvl="0" w:tplc="AB86B01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7" w15:restartNumberingAfterBreak="0">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9" w15:restartNumberingAfterBreak="0">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6D60C7"/>
    <w:multiLevelType w:val="hybridMultilevel"/>
    <w:tmpl w:val="B8E268AA"/>
    <w:lvl w:ilvl="0" w:tplc="D5C0E67E">
      <w:start w:val="1"/>
      <w:numFmt w:val="decimal"/>
      <w:lvlText w:val="[%1]"/>
      <w:lvlJc w:val="left"/>
      <w:pPr>
        <w:ind w:left="3600" w:hanging="360"/>
      </w:pPr>
      <w:rPr>
        <w:rFonts w:hint="default"/>
        <w:b w:val="0"/>
        <w:i w:val="0"/>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5" w15:restartNumberingAfterBreak="0">
    <w:nsid w:val="5D402252"/>
    <w:multiLevelType w:val="hybridMultilevel"/>
    <w:tmpl w:val="A19ED0A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7" w15:restartNumberingAfterBreak="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3685B2E"/>
    <w:multiLevelType w:val="hybridMultilevel"/>
    <w:tmpl w:val="19088F30"/>
    <w:lvl w:ilvl="0" w:tplc="BDF84B10">
      <w:start w:val="5"/>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A6E599C"/>
    <w:multiLevelType w:val="multilevel"/>
    <w:tmpl w:val="FF085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42" w15:restartNumberingAfterBreak="0">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70966FF"/>
    <w:multiLevelType w:val="multilevel"/>
    <w:tmpl w:val="FE32742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5" w15:restartNumberingAfterBreak="0">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1"/>
  </w:num>
  <w:num w:numId="3">
    <w:abstractNumId w:val="36"/>
  </w:num>
  <w:num w:numId="4">
    <w:abstractNumId w:val="28"/>
  </w:num>
  <w:num w:numId="5">
    <w:abstractNumId w:val="46"/>
  </w:num>
  <w:num w:numId="6">
    <w:abstractNumId w:val="10"/>
  </w:num>
  <w:num w:numId="7">
    <w:abstractNumId w:val="16"/>
  </w:num>
  <w:num w:numId="8">
    <w:abstractNumId w:val="3"/>
  </w:num>
  <w:num w:numId="9">
    <w:abstractNumId w:val="32"/>
  </w:num>
  <w:num w:numId="10">
    <w:abstractNumId w:val="13"/>
  </w:num>
  <w:num w:numId="11">
    <w:abstractNumId w:val="37"/>
  </w:num>
  <w:num w:numId="12">
    <w:abstractNumId w:val="17"/>
  </w:num>
  <w:num w:numId="13">
    <w:abstractNumId w:val="1"/>
  </w:num>
  <w:num w:numId="14">
    <w:abstractNumId w:val="25"/>
  </w:num>
  <w:num w:numId="15">
    <w:abstractNumId w:val="40"/>
  </w:num>
  <w:num w:numId="16">
    <w:abstractNumId w:val="23"/>
  </w:num>
  <w:num w:numId="17">
    <w:abstractNumId w:val="9"/>
  </w:num>
  <w:num w:numId="18">
    <w:abstractNumId w:val="41"/>
  </w:num>
  <w:num w:numId="19">
    <w:abstractNumId w:val="33"/>
  </w:num>
  <w:num w:numId="20">
    <w:abstractNumId w:val="0"/>
  </w:num>
  <w:num w:numId="21">
    <w:abstractNumId w:val="30"/>
  </w:num>
  <w:num w:numId="22">
    <w:abstractNumId w:val="31"/>
  </w:num>
  <w:num w:numId="23">
    <w:abstractNumId w:val="7"/>
  </w:num>
  <w:num w:numId="24">
    <w:abstractNumId w:val="27"/>
  </w:num>
  <w:num w:numId="25">
    <w:abstractNumId w:val="8"/>
  </w:num>
  <w:num w:numId="26">
    <w:abstractNumId w:val="29"/>
  </w:num>
  <w:num w:numId="27">
    <w:abstractNumId w:val="11"/>
  </w:num>
  <w:num w:numId="28">
    <w:abstractNumId w:val="4"/>
  </w:num>
  <w:num w:numId="29">
    <w:abstractNumId w:val="42"/>
  </w:num>
  <w:num w:numId="30">
    <w:abstractNumId w:val="43"/>
  </w:num>
  <w:num w:numId="31">
    <w:abstractNumId w:val="12"/>
  </w:num>
  <w:num w:numId="32">
    <w:abstractNumId w:val="45"/>
  </w:num>
  <w:num w:numId="33">
    <w:abstractNumId w:val="5"/>
  </w:num>
  <w:num w:numId="34">
    <w:abstractNumId w:val="34"/>
  </w:num>
  <w:num w:numId="35">
    <w:abstractNumId w:val="18"/>
  </w:num>
  <w:num w:numId="36">
    <w:abstractNumId w:val="39"/>
  </w:num>
  <w:num w:numId="37">
    <w:abstractNumId w:val="19"/>
  </w:num>
  <w:num w:numId="38">
    <w:abstractNumId w:val="35"/>
  </w:num>
  <w:num w:numId="39">
    <w:abstractNumId w:val="24"/>
  </w:num>
  <w:num w:numId="40">
    <w:abstractNumId w:val="44"/>
  </w:num>
  <w:num w:numId="41">
    <w:abstractNumId w:val="38"/>
  </w:num>
  <w:num w:numId="42">
    <w:abstractNumId w:val="20"/>
  </w:num>
  <w:num w:numId="43">
    <w:abstractNumId w:val="14"/>
  </w:num>
  <w:num w:numId="44">
    <w:abstractNumId w:val="15"/>
  </w:num>
  <w:num w:numId="45">
    <w:abstractNumId w:val="26"/>
  </w:num>
  <w:num w:numId="46">
    <w:abstractNumId w:val="22"/>
  </w:num>
  <w:num w:numId="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313"/>
    <w:rsid w:val="000259E1"/>
    <w:rsid w:val="000305A5"/>
    <w:rsid w:val="00030A67"/>
    <w:rsid w:val="000317C6"/>
    <w:rsid w:val="0003357E"/>
    <w:rsid w:val="00033FCE"/>
    <w:rsid w:val="00034412"/>
    <w:rsid w:val="00035B9F"/>
    <w:rsid w:val="0003669C"/>
    <w:rsid w:val="00037F5C"/>
    <w:rsid w:val="00041065"/>
    <w:rsid w:val="00042AEE"/>
    <w:rsid w:val="00042C2E"/>
    <w:rsid w:val="00042FF2"/>
    <w:rsid w:val="00043182"/>
    <w:rsid w:val="000434D3"/>
    <w:rsid w:val="00045BD7"/>
    <w:rsid w:val="00045D96"/>
    <w:rsid w:val="00046810"/>
    <w:rsid w:val="00046C79"/>
    <w:rsid w:val="00047933"/>
    <w:rsid w:val="00047E03"/>
    <w:rsid w:val="000516D4"/>
    <w:rsid w:val="000532CD"/>
    <w:rsid w:val="000542FF"/>
    <w:rsid w:val="00055BE0"/>
    <w:rsid w:val="000566E3"/>
    <w:rsid w:val="00056E60"/>
    <w:rsid w:val="00057A72"/>
    <w:rsid w:val="00057E9E"/>
    <w:rsid w:val="00060A8C"/>
    <w:rsid w:val="00061BF3"/>
    <w:rsid w:val="00061EFE"/>
    <w:rsid w:val="000624C5"/>
    <w:rsid w:val="0006355E"/>
    <w:rsid w:val="000639A7"/>
    <w:rsid w:val="00066AD7"/>
    <w:rsid w:val="0006707B"/>
    <w:rsid w:val="000703AC"/>
    <w:rsid w:val="00071793"/>
    <w:rsid w:val="00072BFD"/>
    <w:rsid w:val="00072CBF"/>
    <w:rsid w:val="0007523E"/>
    <w:rsid w:val="00075525"/>
    <w:rsid w:val="0007620F"/>
    <w:rsid w:val="000770ED"/>
    <w:rsid w:val="000806F6"/>
    <w:rsid w:val="00080C2F"/>
    <w:rsid w:val="000825E2"/>
    <w:rsid w:val="00083384"/>
    <w:rsid w:val="00083FBA"/>
    <w:rsid w:val="00084CCD"/>
    <w:rsid w:val="0008670A"/>
    <w:rsid w:val="00086D93"/>
    <w:rsid w:val="00087699"/>
    <w:rsid w:val="000917D0"/>
    <w:rsid w:val="00091D60"/>
    <w:rsid w:val="000963FB"/>
    <w:rsid w:val="00096996"/>
    <w:rsid w:val="00097E48"/>
    <w:rsid w:val="000A0CAC"/>
    <w:rsid w:val="000A0EDC"/>
    <w:rsid w:val="000A17D7"/>
    <w:rsid w:val="000A1D68"/>
    <w:rsid w:val="000A2ECD"/>
    <w:rsid w:val="000A3383"/>
    <w:rsid w:val="000A36D5"/>
    <w:rsid w:val="000A4C26"/>
    <w:rsid w:val="000A51AA"/>
    <w:rsid w:val="000A58D6"/>
    <w:rsid w:val="000A6C85"/>
    <w:rsid w:val="000A6F67"/>
    <w:rsid w:val="000A7AF5"/>
    <w:rsid w:val="000B111C"/>
    <w:rsid w:val="000B1F53"/>
    <w:rsid w:val="000B4277"/>
    <w:rsid w:val="000B4EAB"/>
    <w:rsid w:val="000B5D09"/>
    <w:rsid w:val="000B6EA0"/>
    <w:rsid w:val="000B710E"/>
    <w:rsid w:val="000B7286"/>
    <w:rsid w:val="000B72C9"/>
    <w:rsid w:val="000B7851"/>
    <w:rsid w:val="000C0769"/>
    <w:rsid w:val="000C2192"/>
    <w:rsid w:val="000C39B9"/>
    <w:rsid w:val="000C4B4E"/>
    <w:rsid w:val="000C6D5D"/>
    <w:rsid w:val="000C70D0"/>
    <w:rsid w:val="000D280A"/>
    <w:rsid w:val="000D2DFB"/>
    <w:rsid w:val="000D3F2C"/>
    <w:rsid w:val="000D4E82"/>
    <w:rsid w:val="000D53E7"/>
    <w:rsid w:val="000D696A"/>
    <w:rsid w:val="000D697B"/>
    <w:rsid w:val="000D6B2B"/>
    <w:rsid w:val="000E145E"/>
    <w:rsid w:val="000E289C"/>
    <w:rsid w:val="000E2BB2"/>
    <w:rsid w:val="000E2E36"/>
    <w:rsid w:val="000E3B71"/>
    <w:rsid w:val="000E3C72"/>
    <w:rsid w:val="000E4D8F"/>
    <w:rsid w:val="000E671B"/>
    <w:rsid w:val="000F2754"/>
    <w:rsid w:val="000F2E64"/>
    <w:rsid w:val="000F35C1"/>
    <w:rsid w:val="000F3B5F"/>
    <w:rsid w:val="000F5981"/>
    <w:rsid w:val="000F5CFF"/>
    <w:rsid w:val="000F6ADD"/>
    <w:rsid w:val="000F6F0B"/>
    <w:rsid w:val="000F72F9"/>
    <w:rsid w:val="00100B4D"/>
    <w:rsid w:val="001026BF"/>
    <w:rsid w:val="001029BE"/>
    <w:rsid w:val="00105745"/>
    <w:rsid w:val="00111541"/>
    <w:rsid w:val="0011262E"/>
    <w:rsid w:val="00112C06"/>
    <w:rsid w:val="00113BAA"/>
    <w:rsid w:val="00114297"/>
    <w:rsid w:val="001154F7"/>
    <w:rsid w:val="00115843"/>
    <w:rsid w:val="00115A7D"/>
    <w:rsid w:val="00120752"/>
    <w:rsid w:val="0012123B"/>
    <w:rsid w:val="001218EA"/>
    <w:rsid w:val="00122F2A"/>
    <w:rsid w:val="001256BE"/>
    <w:rsid w:val="00125D4D"/>
    <w:rsid w:val="00126BE3"/>
    <w:rsid w:val="00127156"/>
    <w:rsid w:val="00127979"/>
    <w:rsid w:val="00127BE5"/>
    <w:rsid w:val="00130162"/>
    <w:rsid w:val="00130CF2"/>
    <w:rsid w:val="001328BC"/>
    <w:rsid w:val="00132E4B"/>
    <w:rsid w:val="00133B51"/>
    <w:rsid w:val="00133E05"/>
    <w:rsid w:val="00134102"/>
    <w:rsid w:val="00134508"/>
    <w:rsid w:val="001348C0"/>
    <w:rsid w:val="001379F2"/>
    <w:rsid w:val="00140000"/>
    <w:rsid w:val="00141739"/>
    <w:rsid w:val="00141A99"/>
    <w:rsid w:val="00142AB8"/>
    <w:rsid w:val="001430D2"/>
    <w:rsid w:val="0014349A"/>
    <w:rsid w:val="001451A4"/>
    <w:rsid w:val="00145921"/>
    <w:rsid w:val="00145B15"/>
    <w:rsid w:val="00145E2C"/>
    <w:rsid w:val="00146336"/>
    <w:rsid w:val="00147D17"/>
    <w:rsid w:val="0015347A"/>
    <w:rsid w:val="001555BF"/>
    <w:rsid w:val="001611A4"/>
    <w:rsid w:val="00163CCE"/>
    <w:rsid w:val="0016708B"/>
    <w:rsid w:val="00167EC4"/>
    <w:rsid w:val="001710E5"/>
    <w:rsid w:val="00172A0C"/>
    <w:rsid w:val="00175EEB"/>
    <w:rsid w:val="0017796A"/>
    <w:rsid w:val="0018055B"/>
    <w:rsid w:val="00182869"/>
    <w:rsid w:val="00182A50"/>
    <w:rsid w:val="001835BA"/>
    <w:rsid w:val="00183601"/>
    <w:rsid w:val="00184B1E"/>
    <w:rsid w:val="00184CA2"/>
    <w:rsid w:val="00185350"/>
    <w:rsid w:val="00185667"/>
    <w:rsid w:val="00185A2C"/>
    <w:rsid w:val="00190131"/>
    <w:rsid w:val="00193794"/>
    <w:rsid w:val="00193798"/>
    <w:rsid w:val="0019651B"/>
    <w:rsid w:val="00197D01"/>
    <w:rsid w:val="001A0E70"/>
    <w:rsid w:val="001A22E2"/>
    <w:rsid w:val="001A4E2E"/>
    <w:rsid w:val="001A4F3D"/>
    <w:rsid w:val="001A587F"/>
    <w:rsid w:val="001A5B15"/>
    <w:rsid w:val="001A5E10"/>
    <w:rsid w:val="001A6F9C"/>
    <w:rsid w:val="001B0C22"/>
    <w:rsid w:val="001B1570"/>
    <w:rsid w:val="001B1C76"/>
    <w:rsid w:val="001B1CE7"/>
    <w:rsid w:val="001B2F0C"/>
    <w:rsid w:val="001B322B"/>
    <w:rsid w:val="001B5257"/>
    <w:rsid w:val="001B7AF5"/>
    <w:rsid w:val="001C11DE"/>
    <w:rsid w:val="001C25C0"/>
    <w:rsid w:val="001C2F6E"/>
    <w:rsid w:val="001C3575"/>
    <w:rsid w:val="001C369D"/>
    <w:rsid w:val="001C3B85"/>
    <w:rsid w:val="001C470D"/>
    <w:rsid w:val="001C5BC2"/>
    <w:rsid w:val="001C6A75"/>
    <w:rsid w:val="001C7785"/>
    <w:rsid w:val="001D0E42"/>
    <w:rsid w:val="001D173A"/>
    <w:rsid w:val="001D4E18"/>
    <w:rsid w:val="001D621F"/>
    <w:rsid w:val="001D6D2E"/>
    <w:rsid w:val="001D7D46"/>
    <w:rsid w:val="001E0669"/>
    <w:rsid w:val="001E0CE1"/>
    <w:rsid w:val="001E0F19"/>
    <w:rsid w:val="001E1A55"/>
    <w:rsid w:val="001E3ED7"/>
    <w:rsid w:val="001E5486"/>
    <w:rsid w:val="001E5491"/>
    <w:rsid w:val="001E5656"/>
    <w:rsid w:val="001F0FAA"/>
    <w:rsid w:val="001F11E5"/>
    <w:rsid w:val="001F127F"/>
    <w:rsid w:val="001F2502"/>
    <w:rsid w:val="001F2EFB"/>
    <w:rsid w:val="001F4F2B"/>
    <w:rsid w:val="001F56C4"/>
    <w:rsid w:val="001F6A2A"/>
    <w:rsid w:val="001F75FB"/>
    <w:rsid w:val="001F7DA3"/>
    <w:rsid w:val="00200552"/>
    <w:rsid w:val="002008BB"/>
    <w:rsid w:val="00200E99"/>
    <w:rsid w:val="00204FE1"/>
    <w:rsid w:val="002100DA"/>
    <w:rsid w:val="00210ABE"/>
    <w:rsid w:val="002116B4"/>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B2C"/>
    <w:rsid w:val="002434A7"/>
    <w:rsid w:val="002438D1"/>
    <w:rsid w:val="00243D53"/>
    <w:rsid w:val="00245618"/>
    <w:rsid w:val="002465F4"/>
    <w:rsid w:val="00251F26"/>
    <w:rsid w:val="002537BA"/>
    <w:rsid w:val="00253FFE"/>
    <w:rsid w:val="00254203"/>
    <w:rsid w:val="00255C64"/>
    <w:rsid w:val="00257018"/>
    <w:rsid w:val="002577E4"/>
    <w:rsid w:val="002605CF"/>
    <w:rsid w:val="00260793"/>
    <w:rsid w:val="00266708"/>
    <w:rsid w:val="00267BED"/>
    <w:rsid w:val="00270A14"/>
    <w:rsid w:val="0027160E"/>
    <w:rsid w:val="00272C77"/>
    <w:rsid w:val="00273A27"/>
    <w:rsid w:val="00274C56"/>
    <w:rsid w:val="00274CED"/>
    <w:rsid w:val="00276F39"/>
    <w:rsid w:val="0028003E"/>
    <w:rsid w:val="0028171D"/>
    <w:rsid w:val="00282FE1"/>
    <w:rsid w:val="002856D3"/>
    <w:rsid w:val="00286AD5"/>
    <w:rsid w:val="00287ADF"/>
    <w:rsid w:val="00291D28"/>
    <w:rsid w:val="0029581B"/>
    <w:rsid w:val="002A09A1"/>
    <w:rsid w:val="002A3FB2"/>
    <w:rsid w:val="002A546E"/>
    <w:rsid w:val="002A63A5"/>
    <w:rsid w:val="002A6D98"/>
    <w:rsid w:val="002A7021"/>
    <w:rsid w:val="002B0B14"/>
    <w:rsid w:val="002B0D0B"/>
    <w:rsid w:val="002B3C88"/>
    <w:rsid w:val="002B43A2"/>
    <w:rsid w:val="002B5A11"/>
    <w:rsid w:val="002B5F01"/>
    <w:rsid w:val="002B692B"/>
    <w:rsid w:val="002C0B40"/>
    <w:rsid w:val="002C0DDC"/>
    <w:rsid w:val="002C322C"/>
    <w:rsid w:val="002C33A2"/>
    <w:rsid w:val="002C379B"/>
    <w:rsid w:val="002C45C1"/>
    <w:rsid w:val="002C5CFD"/>
    <w:rsid w:val="002C5F49"/>
    <w:rsid w:val="002C7C07"/>
    <w:rsid w:val="002D1B78"/>
    <w:rsid w:val="002D2FD8"/>
    <w:rsid w:val="002D3433"/>
    <w:rsid w:val="002D360F"/>
    <w:rsid w:val="002D5469"/>
    <w:rsid w:val="002D7820"/>
    <w:rsid w:val="002E0F9C"/>
    <w:rsid w:val="002E2287"/>
    <w:rsid w:val="002E3D6A"/>
    <w:rsid w:val="002E3E99"/>
    <w:rsid w:val="002E546D"/>
    <w:rsid w:val="002E62F6"/>
    <w:rsid w:val="002E6A3A"/>
    <w:rsid w:val="002E791C"/>
    <w:rsid w:val="002F11D4"/>
    <w:rsid w:val="002F55F6"/>
    <w:rsid w:val="002F63E1"/>
    <w:rsid w:val="002F6F7E"/>
    <w:rsid w:val="002F7FC9"/>
    <w:rsid w:val="00301D68"/>
    <w:rsid w:val="003037F4"/>
    <w:rsid w:val="003043A5"/>
    <w:rsid w:val="003100A9"/>
    <w:rsid w:val="003102DE"/>
    <w:rsid w:val="00310383"/>
    <w:rsid w:val="0031116C"/>
    <w:rsid w:val="00311426"/>
    <w:rsid w:val="00312DD5"/>
    <w:rsid w:val="00315DF2"/>
    <w:rsid w:val="00316280"/>
    <w:rsid w:val="00316326"/>
    <w:rsid w:val="003177A0"/>
    <w:rsid w:val="00317C2D"/>
    <w:rsid w:val="00320BDE"/>
    <w:rsid w:val="00320E7B"/>
    <w:rsid w:val="003259BF"/>
    <w:rsid w:val="00326058"/>
    <w:rsid w:val="0032722B"/>
    <w:rsid w:val="00330CF3"/>
    <w:rsid w:val="003311A3"/>
    <w:rsid w:val="00331307"/>
    <w:rsid w:val="00331946"/>
    <w:rsid w:val="00333616"/>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1CA"/>
    <w:rsid w:val="003809D1"/>
    <w:rsid w:val="00380E8D"/>
    <w:rsid w:val="003818E8"/>
    <w:rsid w:val="00381DCC"/>
    <w:rsid w:val="00382FDC"/>
    <w:rsid w:val="00385D25"/>
    <w:rsid w:val="00390D1B"/>
    <w:rsid w:val="00391CA3"/>
    <w:rsid w:val="00393057"/>
    <w:rsid w:val="00393112"/>
    <w:rsid w:val="003954C5"/>
    <w:rsid w:val="00395B4C"/>
    <w:rsid w:val="00397C42"/>
    <w:rsid w:val="003A0859"/>
    <w:rsid w:val="003A1568"/>
    <w:rsid w:val="003A2C75"/>
    <w:rsid w:val="003A4327"/>
    <w:rsid w:val="003A4D7A"/>
    <w:rsid w:val="003A75D0"/>
    <w:rsid w:val="003A7831"/>
    <w:rsid w:val="003A7990"/>
    <w:rsid w:val="003B0968"/>
    <w:rsid w:val="003B1932"/>
    <w:rsid w:val="003B2C23"/>
    <w:rsid w:val="003B4628"/>
    <w:rsid w:val="003B4E46"/>
    <w:rsid w:val="003B663E"/>
    <w:rsid w:val="003B78D9"/>
    <w:rsid w:val="003C026D"/>
    <w:rsid w:val="003C419C"/>
    <w:rsid w:val="003C50B4"/>
    <w:rsid w:val="003C51A9"/>
    <w:rsid w:val="003D0F00"/>
    <w:rsid w:val="003D4011"/>
    <w:rsid w:val="003D46D7"/>
    <w:rsid w:val="003D4E22"/>
    <w:rsid w:val="003D77CC"/>
    <w:rsid w:val="003E1931"/>
    <w:rsid w:val="003E26DA"/>
    <w:rsid w:val="003E3B9F"/>
    <w:rsid w:val="003E4489"/>
    <w:rsid w:val="003E4EC2"/>
    <w:rsid w:val="003E5AFA"/>
    <w:rsid w:val="003E6E23"/>
    <w:rsid w:val="003F239E"/>
    <w:rsid w:val="003F3B5A"/>
    <w:rsid w:val="003F43AC"/>
    <w:rsid w:val="003F4598"/>
    <w:rsid w:val="003F4D6D"/>
    <w:rsid w:val="003F5C30"/>
    <w:rsid w:val="0040206E"/>
    <w:rsid w:val="00402FF2"/>
    <w:rsid w:val="004033C6"/>
    <w:rsid w:val="00403849"/>
    <w:rsid w:val="004040BB"/>
    <w:rsid w:val="00404DEE"/>
    <w:rsid w:val="00405429"/>
    <w:rsid w:val="00410EB3"/>
    <w:rsid w:val="004117A5"/>
    <w:rsid w:val="00412736"/>
    <w:rsid w:val="004135FD"/>
    <w:rsid w:val="00413917"/>
    <w:rsid w:val="00413F27"/>
    <w:rsid w:val="004150F5"/>
    <w:rsid w:val="00415832"/>
    <w:rsid w:val="00415CEE"/>
    <w:rsid w:val="00415E56"/>
    <w:rsid w:val="004160C3"/>
    <w:rsid w:val="00423311"/>
    <w:rsid w:val="004238BC"/>
    <w:rsid w:val="00423CB2"/>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7AF"/>
    <w:rsid w:val="00457C74"/>
    <w:rsid w:val="00460D57"/>
    <w:rsid w:val="00461C12"/>
    <w:rsid w:val="0046244D"/>
    <w:rsid w:val="004631C6"/>
    <w:rsid w:val="00463533"/>
    <w:rsid w:val="004635B0"/>
    <w:rsid w:val="0046655B"/>
    <w:rsid w:val="00470A69"/>
    <w:rsid w:val="00470DDD"/>
    <w:rsid w:val="004721D9"/>
    <w:rsid w:val="004744DE"/>
    <w:rsid w:val="00474BB5"/>
    <w:rsid w:val="00475438"/>
    <w:rsid w:val="004754F5"/>
    <w:rsid w:val="00475E75"/>
    <w:rsid w:val="004762A0"/>
    <w:rsid w:val="00477416"/>
    <w:rsid w:val="004812FC"/>
    <w:rsid w:val="00481794"/>
    <w:rsid w:val="00481BF7"/>
    <w:rsid w:val="004821A0"/>
    <w:rsid w:val="004821FC"/>
    <w:rsid w:val="00482B26"/>
    <w:rsid w:val="004846FD"/>
    <w:rsid w:val="00484DFC"/>
    <w:rsid w:val="004864B6"/>
    <w:rsid w:val="00486E9D"/>
    <w:rsid w:val="0048784B"/>
    <w:rsid w:val="00490F69"/>
    <w:rsid w:val="0049411B"/>
    <w:rsid w:val="00495527"/>
    <w:rsid w:val="00496968"/>
    <w:rsid w:val="004970E2"/>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2B24"/>
    <w:rsid w:val="004B34FC"/>
    <w:rsid w:val="004B60D8"/>
    <w:rsid w:val="004B653C"/>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E0A01"/>
    <w:rsid w:val="004E1571"/>
    <w:rsid w:val="004E1905"/>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7336"/>
    <w:rsid w:val="00527BC0"/>
    <w:rsid w:val="005320DF"/>
    <w:rsid w:val="00532CFD"/>
    <w:rsid w:val="0053517D"/>
    <w:rsid w:val="00541570"/>
    <w:rsid w:val="00541D87"/>
    <w:rsid w:val="00541E26"/>
    <w:rsid w:val="005431B6"/>
    <w:rsid w:val="00543216"/>
    <w:rsid w:val="005534FA"/>
    <w:rsid w:val="00553D63"/>
    <w:rsid w:val="00556292"/>
    <w:rsid w:val="00556A9F"/>
    <w:rsid w:val="005624F2"/>
    <w:rsid w:val="00563DDA"/>
    <w:rsid w:val="0056465B"/>
    <w:rsid w:val="00564E18"/>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862DB"/>
    <w:rsid w:val="005905BD"/>
    <w:rsid w:val="005910C8"/>
    <w:rsid w:val="0059193B"/>
    <w:rsid w:val="00592725"/>
    <w:rsid w:val="00592C40"/>
    <w:rsid w:val="00593F39"/>
    <w:rsid w:val="00594B4F"/>
    <w:rsid w:val="00595AC8"/>
    <w:rsid w:val="00595E78"/>
    <w:rsid w:val="0059602E"/>
    <w:rsid w:val="00596461"/>
    <w:rsid w:val="005A081F"/>
    <w:rsid w:val="005A0B18"/>
    <w:rsid w:val="005A0BB0"/>
    <w:rsid w:val="005A0C31"/>
    <w:rsid w:val="005A0C53"/>
    <w:rsid w:val="005A1ED7"/>
    <w:rsid w:val="005A20F3"/>
    <w:rsid w:val="005A59D5"/>
    <w:rsid w:val="005A650C"/>
    <w:rsid w:val="005A7220"/>
    <w:rsid w:val="005B1CBB"/>
    <w:rsid w:val="005B3393"/>
    <w:rsid w:val="005B3CDD"/>
    <w:rsid w:val="005B4583"/>
    <w:rsid w:val="005B4907"/>
    <w:rsid w:val="005B4921"/>
    <w:rsid w:val="005B49C2"/>
    <w:rsid w:val="005B642D"/>
    <w:rsid w:val="005B758D"/>
    <w:rsid w:val="005B78D3"/>
    <w:rsid w:val="005C1C1A"/>
    <w:rsid w:val="005C617D"/>
    <w:rsid w:val="005C62B8"/>
    <w:rsid w:val="005D3618"/>
    <w:rsid w:val="005D386E"/>
    <w:rsid w:val="005D3C81"/>
    <w:rsid w:val="005D47F9"/>
    <w:rsid w:val="005D5321"/>
    <w:rsid w:val="005E03BD"/>
    <w:rsid w:val="005E0A5F"/>
    <w:rsid w:val="005E1627"/>
    <w:rsid w:val="005E2A9F"/>
    <w:rsid w:val="005E2BC9"/>
    <w:rsid w:val="005E2E4D"/>
    <w:rsid w:val="005E5538"/>
    <w:rsid w:val="005E55EF"/>
    <w:rsid w:val="005E5997"/>
    <w:rsid w:val="005E7C18"/>
    <w:rsid w:val="005E7C9D"/>
    <w:rsid w:val="005F0D9B"/>
    <w:rsid w:val="005F1FA1"/>
    <w:rsid w:val="005F291D"/>
    <w:rsid w:val="005F2A87"/>
    <w:rsid w:val="005F326D"/>
    <w:rsid w:val="005F3FF1"/>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59A6"/>
    <w:rsid w:val="00617015"/>
    <w:rsid w:val="00620477"/>
    <w:rsid w:val="006205B7"/>
    <w:rsid w:val="00621099"/>
    <w:rsid w:val="006221BC"/>
    <w:rsid w:val="006228B9"/>
    <w:rsid w:val="00624082"/>
    <w:rsid w:val="00624317"/>
    <w:rsid w:val="00624A32"/>
    <w:rsid w:val="00624B64"/>
    <w:rsid w:val="00624D2B"/>
    <w:rsid w:val="0063155B"/>
    <w:rsid w:val="00631B34"/>
    <w:rsid w:val="00631C01"/>
    <w:rsid w:val="006329ED"/>
    <w:rsid w:val="00634114"/>
    <w:rsid w:val="006352A2"/>
    <w:rsid w:val="006356BF"/>
    <w:rsid w:val="006366BA"/>
    <w:rsid w:val="006376F2"/>
    <w:rsid w:val="00637EFE"/>
    <w:rsid w:val="0064001F"/>
    <w:rsid w:val="006422CF"/>
    <w:rsid w:val="00642757"/>
    <w:rsid w:val="00642CA8"/>
    <w:rsid w:val="00645580"/>
    <w:rsid w:val="00645B7E"/>
    <w:rsid w:val="006466DC"/>
    <w:rsid w:val="006471D9"/>
    <w:rsid w:val="00647E02"/>
    <w:rsid w:val="00650540"/>
    <w:rsid w:val="0065057E"/>
    <w:rsid w:val="00650F70"/>
    <w:rsid w:val="006520BB"/>
    <w:rsid w:val="00652C41"/>
    <w:rsid w:val="00655242"/>
    <w:rsid w:val="0065570B"/>
    <w:rsid w:val="00655737"/>
    <w:rsid w:val="006559C3"/>
    <w:rsid w:val="00655BE1"/>
    <w:rsid w:val="00661C05"/>
    <w:rsid w:val="00661E0F"/>
    <w:rsid w:val="00663010"/>
    <w:rsid w:val="00664F68"/>
    <w:rsid w:val="00666982"/>
    <w:rsid w:val="00667864"/>
    <w:rsid w:val="00670679"/>
    <w:rsid w:val="00671123"/>
    <w:rsid w:val="00671BCA"/>
    <w:rsid w:val="00672C28"/>
    <w:rsid w:val="0067340E"/>
    <w:rsid w:val="00673AB5"/>
    <w:rsid w:val="00675243"/>
    <w:rsid w:val="006755EC"/>
    <w:rsid w:val="00675A37"/>
    <w:rsid w:val="00675F16"/>
    <w:rsid w:val="00676904"/>
    <w:rsid w:val="00681116"/>
    <w:rsid w:val="006834B7"/>
    <w:rsid w:val="00684668"/>
    <w:rsid w:val="00684BAC"/>
    <w:rsid w:val="006850AA"/>
    <w:rsid w:val="00685E3E"/>
    <w:rsid w:val="00686976"/>
    <w:rsid w:val="00687A2C"/>
    <w:rsid w:val="00693F97"/>
    <w:rsid w:val="006941C5"/>
    <w:rsid w:val="00694E64"/>
    <w:rsid w:val="006955BB"/>
    <w:rsid w:val="00695885"/>
    <w:rsid w:val="00695A24"/>
    <w:rsid w:val="00697479"/>
    <w:rsid w:val="00697626"/>
    <w:rsid w:val="00697A20"/>
    <w:rsid w:val="006A00DA"/>
    <w:rsid w:val="006A2CC6"/>
    <w:rsid w:val="006A3265"/>
    <w:rsid w:val="006A4872"/>
    <w:rsid w:val="006A5A6B"/>
    <w:rsid w:val="006A5FC3"/>
    <w:rsid w:val="006A6962"/>
    <w:rsid w:val="006A6D3D"/>
    <w:rsid w:val="006A7C65"/>
    <w:rsid w:val="006B0512"/>
    <w:rsid w:val="006B06C6"/>
    <w:rsid w:val="006B1503"/>
    <w:rsid w:val="006B15C6"/>
    <w:rsid w:val="006B29BF"/>
    <w:rsid w:val="006B2DDD"/>
    <w:rsid w:val="006B3AD7"/>
    <w:rsid w:val="006B43C8"/>
    <w:rsid w:val="006B4BDA"/>
    <w:rsid w:val="006B54E3"/>
    <w:rsid w:val="006B5EE2"/>
    <w:rsid w:val="006B5FB3"/>
    <w:rsid w:val="006B65D6"/>
    <w:rsid w:val="006B7148"/>
    <w:rsid w:val="006C003B"/>
    <w:rsid w:val="006C068A"/>
    <w:rsid w:val="006C198E"/>
    <w:rsid w:val="006C1EA5"/>
    <w:rsid w:val="006C21A9"/>
    <w:rsid w:val="006C2A6E"/>
    <w:rsid w:val="006C2B85"/>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CA0"/>
    <w:rsid w:val="00704D51"/>
    <w:rsid w:val="00705887"/>
    <w:rsid w:val="00707250"/>
    <w:rsid w:val="00710267"/>
    <w:rsid w:val="007103CD"/>
    <w:rsid w:val="0071098A"/>
    <w:rsid w:val="007154EC"/>
    <w:rsid w:val="007154FB"/>
    <w:rsid w:val="00716E6B"/>
    <w:rsid w:val="007173EE"/>
    <w:rsid w:val="007206A6"/>
    <w:rsid w:val="00720D1F"/>
    <w:rsid w:val="007211EC"/>
    <w:rsid w:val="00722C56"/>
    <w:rsid w:val="00723559"/>
    <w:rsid w:val="00724AF6"/>
    <w:rsid w:val="00725A3F"/>
    <w:rsid w:val="00725D66"/>
    <w:rsid w:val="0072611F"/>
    <w:rsid w:val="00730616"/>
    <w:rsid w:val="00731C27"/>
    <w:rsid w:val="007334E6"/>
    <w:rsid w:val="00737B36"/>
    <w:rsid w:val="00737C90"/>
    <w:rsid w:val="007411CE"/>
    <w:rsid w:val="007415E2"/>
    <w:rsid w:val="007416B9"/>
    <w:rsid w:val="007443C3"/>
    <w:rsid w:val="007444A8"/>
    <w:rsid w:val="00744576"/>
    <w:rsid w:val="0074692B"/>
    <w:rsid w:val="00747504"/>
    <w:rsid w:val="00754B9F"/>
    <w:rsid w:val="00754E8E"/>
    <w:rsid w:val="00755A19"/>
    <w:rsid w:val="00756317"/>
    <w:rsid w:val="007608FA"/>
    <w:rsid w:val="007620DD"/>
    <w:rsid w:val="00762A2E"/>
    <w:rsid w:val="00763E29"/>
    <w:rsid w:val="00767576"/>
    <w:rsid w:val="00767B3F"/>
    <w:rsid w:val="00767DF0"/>
    <w:rsid w:val="0077050B"/>
    <w:rsid w:val="0077059C"/>
    <w:rsid w:val="007736F3"/>
    <w:rsid w:val="007806DB"/>
    <w:rsid w:val="0078115B"/>
    <w:rsid w:val="00782356"/>
    <w:rsid w:val="00782607"/>
    <w:rsid w:val="00782E80"/>
    <w:rsid w:val="0078533D"/>
    <w:rsid w:val="00786017"/>
    <w:rsid w:val="00787A20"/>
    <w:rsid w:val="007910C0"/>
    <w:rsid w:val="0079202F"/>
    <w:rsid w:val="00792C07"/>
    <w:rsid w:val="00792D3B"/>
    <w:rsid w:val="007933F3"/>
    <w:rsid w:val="00793861"/>
    <w:rsid w:val="00794BAC"/>
    <w:rsid w:val="00796288"/>
    <w:rsid w:val="007A1708"/>
    <w:rsid w:val="007A3FE8"/>
    <w:rsid w:val="007A4A24"/>
    <w:rsid w:val="007A4DE1"/>
    <w:rsid w:val="007A60C4"/>
    <w:rsid w:val="007B141A"/>
    <w:rsid w:val="007B265C"/>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6E61"/>
    <w:rsid w:val="007D72E0"/>
    <w:rsid w:val="007D7A41"/>
    <w:rsid w:val="007D7E2A"/>
    <w:rsid w:val="007E09BC"/>
    <w:rsid w:val="007E0C0C"/>
    <w:rsid w:val="007E1095"/>
    <w:rsid w:val="007E129E"/>
    <w:rsid w:val="007E1B93"/>
    <w:rsid w:val="007E3256"/>
    <w:rsid w:val="007E3281"/>
    <w:rsid w:val="007E3B5C"/>
    <w:rsid w:val="007E4882"/>
    <w:rsid w:val="007E5210"/>
    <w:rsid w:val="007E606A"/>
    <w:rsid w:val="007E67CB"/>
    <w:rsid w:val="007E68FC"/>
    <w:rsid w:val="007E7BE6"/>
    <w:rsid w:val="007F2210"/>
    <w:rsid w:val="007F2CAC"/>
    <w:rsid w:val="007F3385"/>
    <w:rsid w:val="007F5305"/>
    <w:rsid w:val="007F7544"/>
    <w:rsid w:val="007F7FD5"/>
    <w:rsid w:val="00801786"/>
    <w:rsid w:val="00801C5E"/>
    <w:rsid w:val="008021D3"/>
    <w:rsid w:val="0080320E"/>
    <w:rsid w:val="00803FE0"/>
    <w:rsid w:val="0080597D"/>
    <w:rsid w:val="0081050C"/>
    <w:rsid w:val="00812DA2"/>
    <w:rsid w:val="00812F4A"/>
    <w:rsid w:val="00814011"/>
    <w:rsid w:val="0081436E"/>
    <w:rsid w:val="00814577"/>
    <w:rsid w:val="008157DE"/>
    <w:rsid w:val="0081698E"/>
    <w:rsid w:val="00817AB2"/>
    <w:rsid w:val="00820049"/>
    <w:rsid w:val="00821A52"/>
    <w:rsid w:val="00821DFB"/>
    <w:rsid w:val="00822F4D"/>
    <w:rsid w:val="008230AA"/>
    <w:rsid w:val="008238F7"/>
    <w:rsid w:val="008246F1"/>
    <w:rsid w:val="00825FE7"/>
    <w:rsid w:val="00826B94"/>
    <w:rsid w:val="00827631"/>
    <w:rsid w:val="008277EB"/>
    <w:rsid w:val="00832C5D"/>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4769B"/>
    <w:rsid w:val="008479BB"/>
    <w:rsid w:val="00852CC9"/>
    <w:rsid w:val="0085363B"/>
    <w:rsid w:val="008537CB"/>
    <w:rsid w:val="00856277"/>
    <w:rsid w:val="00860860"/>
    <w:rsid w:val="00862EB3"/>
    <w:rsid w:val="00864292"/>
    <w:rsid w:val="00871517"/>
    <w:rsid w:val="00871B8B"/>
    <w:rsid w:val="00873BAE"/>
    <w:rsid w:val="00874429"/>
    <w:rsid w:val="008762D7"/>
    <w:rsid w:val="00876590"/>
    <w:rsid w:val="00882575"/>
    <w:rsid w:val="00882ED1"/>
    <w:rsid w:val="008839E6"/>
    <w:rsid w:val="008846D2"/>
    <w:rsid w:val="008850DB"/>
    <w:rsid w:val="008850E8"/>
    <w:rsid w:val="00885474"/>
    <w:rsid w:val="0088679D"/>
    <w:rsid w:val="00886B93"/>
    <w:rsid w:val="00893C5B"/>
    <w:rsid w:val="00893DEC"/>
    <w:rsid w:val="00894530"/>
    <w:rsid w:val="008968E0"/>
    <w:rsid w:val="008A268F"/>
    <w:rsid w:val="008A4A6E"/>
    <w:rsid w:val="008A6176"/>
    <w:rsid w:val="008A70AD"/>
    <w:rsid w:val="008B09F7"/>
    <w:rsid w:val="008B1518"/>
    <w:rsid w:val="008B19A1"/>
    <w:rsid w:val="008B2854"/>
    <w:rsid w:val="008B4813"/>
    <w:rsid w:val="008B4FFA"/>
    <w:rsid w:val="008B6BB8"/>
    <w:rsid w:val="008C01A9"/>
    <w:rsid w:val="008C2808"/>
    <w:rsid w:val="008C36A7"/>
    <w:rsid w:val="008C6430"/>
    <w:rsid w:val="008D1B8A"/>
    <w:rsid w:val="008D2F44"/>
    <w:rsid w:val="008D56CD"/>
    <w:rsid w:val="008E02C4"/>
    <w:rsid w:val="008E113C"/>
    <w:rsid w:val="008E1471"/>
    <w:rsid w:val="008E2623"/>
    <w:rsid w:val="008E28AB"/>
    <w:rsid w:val="008E313D"/>
    <w:rsid w:val="008E71A4"/>
    <w:rsid w:val="008F105D"/>
    <w:rsid w:val="008F2E39"/>
    <w:rsid w:val="008F34DA"/>
    <w:rsid w:val="008F38C2"/>
    <w:rsid w:val="008F3DF9"/>
    <w:rsid w:val="008F65C5"/>
    <w:rsid w:val="00901630"/>
    <w:rsid w:val="00902205"/>
    <w:rsid w:val="0090310E"/>
    <w:rsid w:val="00903DD2"/>
    <w:rsid w:val="00904CCE"/>
    <w:rsid w:val="00905052"/>
    <w:rsid w:val="00906593"/>
    <w:rsid w:val="00911651"/>
    <w:rsid w:val="00912E21"/>
    <w:rsid w:val="00915959"/>
    <w:rsid w:val="009167B6"/>
    <w:rsid w:val="00916E47"/>
    <w:rsid w:val="00917AA6"/>
    <w:rsid w:val="00922C62"/>
    <w:rsid w:val="00922EDD"/>
    <w:rsid w:val="009251BB"/>
    <w:rsid w:val="00926111"/>
    <w:rsid w:val="009269CA"/>
    <w:rsid w:val="00926C60"/>
    <w:rsid w:val="00926DFB"/>
    <w:rsid w:val="00930C3D"/>
    <w:rsid w:val="00933262"/>
    <w:rsid w:val="00933531"/>
    <w:rsid w:val="00934827"/>
    <w:rsid w:val="00935055"/>
    <w:rsid w:val="00935763"/>
    <w:rsid w:val="00937EC6"/>
    <w:rsid w:val="009416F9"/>
    <w:rsid w:val="0094226B"/>
    <w:rsid w:val="0094387D"/>
    <w:rsid w:val="00945DC9"/>
    <w:rsid w:val="009461F2"/>
    <w:rsid w:val="009466EB"/>
    <w:rsid w:val="009467EC"/>
    <w:rsid w:val="00950726"/>
    <w:rsid w:val="00953D3F"/>
    <w:rsid w:val="00954143"/>
    <w:rsid w:val="00954A64"/>
    <w:rsid w:val="00956BC6"/>
    <w:rsid w:val="00960982"/>
    <w:rsid w:val="00962917"/>
    <w:rsid w:val="00964BF5"/>
    <w:rsid w:val="00965F81"/>
    <w:rsid w:val="009670E0"/>
    <w:rsid w:val="00967207"/>
    <w:rsid w:val="00967890"/>
    <w:rsid w:val="009722E6"/>
    <w:rsid w:val="00972E4E"/>
    <w:rsid w:val="0097388E"/>
    <w:rsid w:val="00973D5C"/>
    <w:rsid w:val="00974FA5"/>
    <w:rsid w:val="009752EA"/>
    <w:rsid w:val="0097666D"/>
    <w:rsid w:val="009776A0"/>
    <w:rsid w:val="0098171D"/>
    <w:rsid w:val="0098237E"/>
    <w:rsid w:val="00982B0C"/>
    <w:rsid w:val="00983D3F"/>
    <w:rsid w:val="00983F5A"/>
    <w:rsid w:val="00984A6D"/>
    <w:rsid w:val="00985155"/>
    <w:rsid w:val="00993C5D"/>
    <w:rsid w:val="00995360"/>
    <w:rsid w:val="009978BD"/>
    <w:rsid w:val="009A2315"/>
    <w:rsid w:val="009A4B95"/>
    <w:rsid w:val="009A5AE4"/>
    <w:rsid w:val="009A6E57"/>
    <w:rsid w:val="009A726C"/>
    <w:rsid w:val="009A7525"/>
    <w:rsid w:val="009A784D"/>
    <w:rsid w:val="009B176A"/>
    <w:rsid w:val="009B232C"/>
    <w:rsid w:val="009B2B24"/>
    <w:rsid w:val="009B3852"/>
    <w:rsid w:val="009B3EEF"/>
    <w:rsid w:val="009B3FD7"/>
    <w:rsid w:val="009B5060"/>
    <w:rsid w:val="009B5FBE"/>
    <w:rsid w:val="009B775C"/>
    <w:rsid w:val="009C30CF"/>
    <w:rsid w:val="009C3C8C"/>
    <w:rsid w:val="009C5EE7"/>
    <w:rsid w:val="009C61C7"/>
    <w:rsid w:val="009C642D"/>
    <w:rsid w:val="009C6D08"/>
    <w:rsid w:val="009D0225"/>
    <w:rsid w:val="009D0AE0"/>
    <w:rsid w:val="009D45F9"/>
    <w:rsid w:val="009D63C8"/>
    <w:rsid w:val="009E0409"/>
    <w:rsid w:val="009E1D39"/>
    <w:rsid w:val="009E1FA6"/>
    <w:rsid w:val="009E3346"/>
    <w:rsid w:val="009E3E04"/>
    <w:rsid w:val="009E41E9"/>
    <w:rsid w:val="009E6B1B"/>
    <w:rsid w:val="009F0F1A"/>
    <w:rsid w:val="009F1EFB"/>
    <w:rsid w:val="009F5C05"/>
    <w:rsid w:val="009F62B6"/>
    <w:rsid w:val="00A001E8"/>
    <w:rsid w:val="00A00CB5"/>
    <w:rsid w:val="00A02601"/>
    <w:rsid w:val="00A02E02"/>
    <w:rsid w:val="00A10B48"/>
    <w:rsid w:val="00A10E93"/>
    <w:rsid w:val="00A12DCC"/>
    <w:rsid w:val="00A12EBA"/>
    <w:rsid w:val="00A12FC7"/>
    <w:rsid w:val="00A1422D"/>
    <w:rsid w:val="00A142C0"/>
    <w:rsid w:val="00A15758"/>
    <w:rsid w:val="00A20301"/>
    <w:rsid w:val="00A20CD1"/>
    <w:rsid w:val="00A22634"/>
    <w:rsid w:val="00A22BAF"/>
    <w:rsid w:val="00A23A35"/>
    <w:rsid w:val="00A24BDD"/>
    <w:rsid w:val="00A24D74"/>
    <w:rsid w:val="00A257CF"/>
    <w:rsid w:val="00A2671A"/>
    <w:rsid w:val="00A30DC3"/>
    <w:rsid w:val="00A3226D"/>
    <w:rsid w:val="00A33287"/>
    <w:rsid w:val="00A33C3B"/>
    <w:rsid w:val="00A3586D"/>
    <w:rsid w:val="00A35ECA"/>
    <w:rsid w:val="00A3648F"/>
    <w:rsid w:val="00A36FCB"/>
    <w:rsid w:val="00A370E6"/>
    <w:rsid w:val="00A37CEF"/>
    <w:rsid w:val="00A409DF"/>
    <w:rsid w:val="00A4455E"/>
    <w:rsid w:val="00A47F76"/>
    <w:rsid w:val="00A57E36"/>
    <w:rsid w:val="00A60206"/>
    <w:rsid w:val="00A6023F"/>
    <w:rsid w:val="00A6156F"/>
    <w:rsid w:val="00A631BF"/>
    <w:rsid w:val="00A6561C"/>
    <w:rsid w:val="00A67273"/>
    <w:rsid w:val="00A679BA"/>
    <w:rsid w:val="00A717B4"/>
    <w:rsid w:val="00A74921"/>
    <w:rsid w:val="00A75402"/>
    <w:rsid w:val="00A75A28"/>
    <w:rsid w:val="00A75BB6"/>
    <w:rsid w:val="00A778AE"/>
    <w:rsid w:val="00A8356E"/>
    <w:rsid w:val="00A84249"/>
    <w:rsid w:val="00A8495E"/>
    <w:rsid w:val="00A85F66"/>
    <w:rsid w:val="00A8737B"/>
    <w:rsid w:val="00A87839"/>
    <w:rsid w:val="00A87B7B"/>
    <w:rsid w:val="00A90BC8"/>
    <w:rsid w:val="00A91788"/>
    <w:rsid w:val="00A92C38"/>
    <w:rsid w:val="00A946CE"/>
    <w:rsid w:val="00A9484B"/>
    <w:rsid w:val="00A95C57"/>
    <w:rsid w:val="00A966A7"/>
    <w:rsid w:val="00A97AF9"/>
    <w:rsid w:val="00A97CCB"/>
    <w:rsid w:val="00A97E57"/>
    <w:rsid w:val="00AA015B"/>
    <w:rsid w:val="00AA0559"/>
    <w:rsid w:val="00AA0EFE"/>
    <w:rsid w:val="00AA1AA0"/>
    <w:rsid w:val="00AA228B"/>
    <w:rsid w:val="00AA2619"/>
    <w:rsid w:val="00AA5EDC"/>
    <w:rsid w:val="00AA61CF"/>
    <w:rsid w:val="00AA6E32"/>
    <w:rsid w:val="00AA7BB7"/>
    <w:rsid w:val="00AB057B"/>
    <w:rsid w:val="00AB1748"/>
    <w:rsid w:val="00AB17F0"/>
    <w:rsid w:val="00AB20DF"/>
    <w:rsid w:val="00AB3CEB"/>
    <w:rsid w:val="00AB585F"/>
    <w:rsid w:val="00AB6120"/>
    <w:rsid w:val="00AC0624"/>
    <w:rsid w:val="00AC0E3C"/>
    <w:rsid w:val="00AC18EC"/>
    <w:rsid w:val="00AC3ABF"/>
    <w:rsid w:val="00AC3D9A"/>
    <w:rsid w:val="00AC4350"/>
    <w:rsid w:val="00AC5DC1"/>
    <w:rsid w:val="00AC6E25"/>
    <w:rsid w:val="00AC70E3"/>
    <w:rsid w:val="00AC72EE"/>
    <w:rsid w:val="00AC789E"/>
    <w:rsid w:val="00AD030F"/>
    <w:rsid w:val="00AD3C72"/>
    <w:rsid w:val="00AD4457"/>
    <w:rsid w:val="00AD517A"/>
    <w:rsid w:val="00AD518C"/>
    <w:rsid w:val="00AD5705"/>
    <w:rsid w:val="00AD6B7F"/>
    <w:rsid w:val="00AD79AE"/>
    <w:rsid w:val="00AE0EC5"/>
    <w:rsid w:val="00AE13E3"/>
    <w:rsid w:val="00AE24BA"/>
    <w:rsid w:val="00AE352C"/>
    <w:rsid w:val="00AE382F"/>
    <w:rsid w:val="00AE3F41"/>
    <w:rsid w:val="00AE405A"/>
    <w:rsid w:val="00AE4C81"/>
    <w:rsid w:val="00AE57BB"/>
    <w:rsid w:val="00AE7ACB"/>
    <w:rsid w:val="00AF052F"/>
    <w:rsid w:val="00AF1A6F"/>
    <w:rsid w:val="00AF1DCE"/>
    <w:rsid w:val="00AF27F3"/>
    <w:rsid w:val="00AF3545"/>
    <w:rsid w:val="00AF3FAB"/>
    <w:rsid w:val="00AF5910"/>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21D"/>
    <w:rsid w:val="00B16491"/>
    <w:rsid w:val="00B165DE"/>
    <w:rsid w:val="00B210D1"/>
    <w:rsid w:val="00B2307D"/>
    <w:rsid w:val="00B2316D"/>
    <w:rsid w:val="00B255AC"/>
    <w:rsid w:val="00B2614A"/>
    <w:rsid w:val="00B26737"/>
    <w:rsid w:val="00B26EAB"/>
    <w:rsid w:val="00B276B2"/>
    <w:rsid w:val="00B27BA0"/>
    <w:rsid w:val="00B27F6B"/>
    <w:rsid w:val="00B30175"/>
    <w:rsid w:val="00B30B66"/>
    <w:rsid w:val="00B3311D"/>
    <w:rsid w:val="00B33342"/>
    <w:rsid w:val="00B34822"/>
    <w:rsid w:val="00B3593D"/>
    <w:rsid w:val="00B35E1D"/>
    <w:rsid w:val="00B36FBC"/>
    <w:rsid w:val="00B40FFB"/>
    <w:rsid w:val="00B4211D"/>
    <w:rsid w:val="00B43373"/>
    <w:rsid w:val="00B44056"/>
    <w:rsid w:val="00B44805"/>
    <w:rsid w:val="00B44844"/>
    <w:rsid w:val="00B45DF0"/>
    <w:rsid w:val="00B474AB"/>
    <w:rsid w:val="00B47AEE"/>
    <w:rsid w:val="00B47CBF"/>
    <w:rsid w:val="00B50DF8"/>
    <w:rsid w:val="00B52559"/>
    <w:rsid w:val="00B53DDF"/>
    <w:rsid w:val="00B54F07"/>
    <w:rsid w:val="00B5526A"/>
    <w:rsid w:val="00B55399"/>
    <w:rsid w:val="00B5589A"/>
    <w:rsid w:val="00B55F36"/>
    <w:rsid w:val="00B567F1"/>
    <w:rsid w:val="00B579F7"/>
    <w:rsid w:val="00B643DF"/>
    <w:rsid w:val="00B65A5F"/>
    <w:rsid w:val="00B6750C"/>
    <w:rsid w:val="00B67671"/>
    <w:rsid w:val="00B707BB"/>
    <w:rsid w:val="00B70A17"/>
    <w:rsid w:val="00B7194C"/>
    <w:rsid w:val="00B71BC8"/>
    <w:rsid w:val="00B722D8"/>
    <w:rsid w:val="00B7257E"/>
    <w:rsid w:val="00B726AE"/>
    <w:rsid w:val="00B72ABC"/>
    <w:rsid w:val="00B74BEF"/>
    <w:rsid w:val="00B74D56"/>
    <w:rsid w:val="00B74FD2"/>
    <w:rsid w:val="00B75CD8"/>
    <w:rsid w:val="00B776F5"/>
    <w:rsid w:val="00B819B0"/>
    <w:rsid w:val="00B81B2A"/>
    <w:rsid w:val="00B81E1B"/>
    <w:rsid w:val="00B82F3F"/>
    <w:rsid w:val="00B835A1"/>
    <w:rsid w:val="00B859A9"/>
    <w:rsid w:val="00B85DB8"/>
    <w:rsid w:val="00B86FFB"/>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00DE"/>
    <w:rsid w:val="00BB14BB"/>
    <w:rsid w:val="00BB1E97"/>
    <w:rsid w:val="00BB27BF"/>
    <w:rsid w:val="00BB2951"/>
    <w:rsid w:val="00BB5F95"/>
    <w:rsid w:val="00BB7231"/>
    <w:rsid w:val="00BB7E63"/>
    <w:rsid w:val="00BC04AB"/>
    <w:rsid w:val="00BC127E"/>
    <w:rsid w:val="00BC143E"/>
    <w:rsid w:val="00BC7A42"/>
    <w:rsid w:val="00BD05D0"/>
    <w:rsid w:val="00BD53BB"/>
    <w:rsid w:val="00BD6842"/>
    <w:rsid w:val="00BD7AAA"/>
    <w:rsid w:val="00BE0958"/>
    <w:rsid w:val="00BE18B8"/>
    <w:rsid w:val="00BE19D7"/>
    <w:rsid w:val="00BE22C7"/>
    <w:rsid w:val="00BE478D"/>
    <w:rsid w:val="00BE5A15"/>
    <w:rsid w:val="00BE6AE6"/>
    <w:rsid w:val="00BE7391"/>
    <w:rsid w:val="00BE766F"/>
    <w:rsid w:val="00BF06BB"/>
    <w:rsid w:val="00BF06C8"/>
    <w:rsid w:val="00BF0B85"/>
    <w:rsid w:val="00BF1484"/>
    <w:rsid w:val="00BF1BC5"/>
    <w:rsid w:val="00BF1EB4"/>
    <w:rsid w:val="00BF3208"/>
    <w:rsid w:val="00BF3360"/>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3D0E"/>
    <w:rsid w:val="00C2554A"/>
    <w:rsid w:val="00C2619E"/>
    <w:rsid w:val="00C2734B"/>
    <w:rsid w:val="00C27F69"/>
    <w:rsid w:val="00C30037"/>
    <w:rsid w:val="00C30B0C"/>
    <w:rsid w:val="00C310A3"/>
    <w:rsid w:val="00C31899"/>
    <w:rsid w:val="00C33606"/>
    <w:rsid w:val="00C34338"/>
    <w:rsid w:val="00C40059"/>
    <w:rsid w:val="00C40869"/>
    <w:rsid w:val="00C4125E"/>
    <w:rsid w:val="00C41E4D"/>
    <w:rsid w:val="00C42D54"/>
    <w:rsid w:val="00C43ABF"/>
    <w:rsid w:val="00C456B2"/>
    <w:rsid w:val="00C45F80"/>
    <w:rsid w:val="00C51113"/>
    <w:rsid w:val="00C51738"/>
    <w:rsid w:val="00C5223D"/>
    <w:rsid w:val="00C53475"/>
    <w:rsid w:val="00C537FA"/>
    <w:rsid w:val="00C53A51"/>
    <w:rsid w:val="00C53DD0"/>
    <w:rsid w:val="00C5443F"/>
    <w:rsid w:val="00C57563"/>
    <w:rsid w:val="00C576D1"/>
    <w:rsid w:val="00C57846"/>
    <w:rsid w:val="00C607A5"/>
    <w:rsid w:val="00C60F5C"/>
    <w:rsid w:val="00C61354"/>
    <w:rsid w:val="00C61EAE"/>
    <w:rsid w:val="00C65FF7"/>
    <w:rsid w:val="00C66421"/>
    <w:rsid w:val="00C66C36"/>
    <w:rsid w:val="00C6743A"/>
    <w:rsid w:val="00C7030D"/>
    <w:rsid w:val="00C718F6"/>
    <w:rsid w:val="00C71A8E"/>
    <w:rsid w:val="00C723D2"/>
    <w:rsid w:val="00C73A3C"/>
    <w:rsid w:val="00C748F8"/>
    <w:rsid w:val="00C77190"/>
    <w:rsid w:val="00C77C4C"/>
    <w:rsid w:val="00C80CA6"/>
    <w:rsid w:val="00C82A94"/>
    <w:rsid w:val="00C82ACB"/>
    <w:rsid w:val="00C83F01"/>
    <w:rsid w:val="00C841D0"/>
    <w:rsid w:val="00C8458B"/>
    <w:rsid w:val="00C8528D"/>
    <w:rsid w:val="00C85571"/>
    <w:rsid w:val="00C90495"/>
    <w:rsid w:val="00C91C9D"/>
    <w:rsid w:val="00C92888"/>
    <w:rsid w:val="00C92E06"/>
    <w:rsid w:val="00C9312F"/>
    <w:rsid w:val="00C93741"/>
    <w:rsid w:val="00C93E3D"/>
    <w:rsid w:val="00C93E5D"/>
    <w:rsid w:val="00C9537B"/>
    <w:rsid w:val="00C9543C"/>
    <w:rsid w:val="00C974BE"/>
    <w:rsid w:val="00CA3540"/>
    <w:rsid w:val="00CA3576"/>
    <w:rsid w:val="00CA7114"/>
    <w:rsid w:val="00CA7435"/>
    <w:rsid w:val="00CA7894"/>
    <w:rsid w:val="00CB0BD7"/>
    <w:rsid w:val="00CB0CF3"/>
    <w:rsid w:val="00CB0E90"/>
    <w:rsid w:val="00CB166A"/>
    <w:rsid w:val="00CB34C0"/>
    <w:rsid w:val="00CB3AF5"/>
    <w:rsid w:val="00CB75CB"/>
    <w:rsid w:val="00CC04AA"/>
    <w:rsid w:val="00CC1EF2"/>
    <w:rsid w:val="00CC3EF4"/>
    <w:rsid w:val="00CC487F"/>
    <w:rsid w:val="00CC549E"/>
    <w:rsid w:val="00CD0C00"/>
    <w:rsid w:val="00CD27D6"/>
    <w:rsid w:val="00CD31F7"/>
    <w:rsid w:val="00CD3888"/>
    <w:rsid w:val="00CD447C"/>
    <w:rsid w:val="00CD4804"/>
    <w:rsid w:val="00CD6C8D"/>
    <w:rsid w:val="00CD7690"/>
    <w:rsid w:val="00CE03AA"/>
    <w:rsid w:val="00CE1E09"/>
    <w:rsid w:val="00CE2E45"/>
    <w:rsid w:val="00CE4A25"/>
    <w:rsid w:val="00CE501B"/>
    <w:rsid w:val="00CE57EB"/>
    <w:rsid w:val="00CE5B07"/>
    <w:rsid w:val="00CE6DCC"/>
    <w:rsid w:val="00CE7023"/>
    <w:rsid w:val="00CF552B"/>
    <w:rsid w:val="00CF56FB"/>
    <w:rsid w:val="00CF665B"/>
    <w:rsid w:val="00CF6A6C"/>
    <w:rsid w:val="00D02E71"/>
    <w:rsid w:val="00D04140"/>
    <w:rsid w:val="00D06637"/>
    <w:rsid w:val="00D07341"/>
    <w:rsid w:val="00D07F44"/>
    <w:rsid w:val="00D115A1"/>
    <w:rsid w:val="00D12DF1"/>
    <w:rsid w:val="00D13112"/>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122D"/>
    <w:rsid w:val="00D3476D"/>
    <w:rsid w:val="00D34EF4"/>
    <w:rsid w:val="00D358E6"/>
    <w:rsid w:val="00D368E4"/>
    <w:rsid w:val="00D36E9D"/>
    <w:rsid w:val="00D37D75"/>
    <w:rsid w:val="00D40DCF"/>
    <w:rsid w:val="00D42DA3"/>
    <w:rsid w:val="00D432A3"/>
    <w:rsid w:val="00D44C0F"/>
    <w:rsid w:val="00D45154"/>
    <w:rsid w:val="00D45B38"/>
    <w:rsid w:val="00D46FFA"/>
    <w:rsid w:val="00D473B8"/>
    <w:rsid w:val="00D47D8D"/>
    <w:rsid w:val="00D5014A"/>
    <w:rsid w:val="00D51C65"/>
    <w:rsid w:val="00D51FF9"/>
    <w:rsid w:val="00D52CE2"/>
    <w:rsid w:val="00D553BE"/>
    <w:rsid w:val="00D55417"/>
    <w:rsid w:val="00D55B6B"/>
    <w:rsid w:val="00D5700A"/>
    <w:rsid w:val="00D64554"/>
    <w:rsid w:val="00D65295"/>
    <w:rsid w:val="00D66FC9"/>
    <w:rsid w:val="00D67576"/>
    <w:rsid w:val="00D71047"/>
    <w:rsid w:val="00D719C3"/>
    <w:rsid w:val="00D7242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290D"/>
    <w:rsid w:val="00D97E96"/>
    <w:rsid w:val="00DA1421"/>
    <w:rsid w:val="00DA15EF"/>
    <w:rsid w:val="00DA68D0"/>
    <w:rsid w:val="00DA6CDA"/>
    <w:rsid w:val="00DB06CA"/>
    <w:rsid w:val="00DB077A"/>
    <w:rsid w:val="00DB0C5D"/>
    <w:rsid w:val="00DB1B4A"/>
    <w:rsid w:val="00DB275E"/>
    <w:rsid w:val="00DB2A2E"/>
    <w:rsid w:val="00DB68D2"/>
    <w:rsid w:val="00DB6A87"/>
    <w:rsid w:val="00DC012F"/>
    <w:rsid w:val="00DC04A9"/>
    <w:rsid w:val="00DC1BC6"/>
    <w:rsid w:val="00DC30A1"/>
    <w:rsid w:val="00DC371F"/>
    <w:rsid w:val="00DC64D7"/>
    <w:rsid w:val="00DC7462"/>
    <w:rsid w:val="00DD0AB9"/>
    <w:rsid w:val="00DD0B11"/>
    <w:rsid w:val="00DD140D"/>
    <w:rsid w:val="00DD256C"/>
    <w:rsid w:val="00DD3A56"/>
    <w:rsid w:val="00DD64F6"/>
    <w:rsid w:val="00DD6544"/>
    <w:rsid w:val="00DD6629"/>
    <w:rsid w:val="00DD6E33"/>
    <w:rsid w:val="00DE42EE"/>
    <w:rsid w:val="00DE46EB"/>
    <w:rsid w:val="00DE4966"/>
    <w:rsid w:val="00DE510D"/>
    <w:rsid w:val="00DE55C0"/>
    <w:rsid w:val="00DE64E0"/>
    <w:rsid w:val="00DE67FD"/>
    <w:rsid w:val="00DE7640"/>
    <w:rsid w:val="00DE7A19"/>
    <w:rsid w:val="00DF2676"/>
    <w:rsid w:val="00DF4942"/>
    <w:rsid w:val="00DF4CBD"/>
    <w:rsid w:val="00DF73EC"/>
    <w:rsid w:val="00DF7577"/>
    <w:rsid w:val="00E00182"/>
    <w:rsid w:val="00E004F6"/>
    <w:rsid w:val="00E00E11"/>
    <w:rsid w:val="00E00E50"/>
    <w:rsid w:val="00E01BD7"/>
    <w:rsid w:val="00E03404"/>
    <w:rsid w:val="00E03760"/>
    <w:rsid w:val="00E03817"/>
    <w:rsid w:val="00E044FC"/>
    <w:rsid w:val="00E0506A"/>
    <w:rsid w:val="00E067A7"/>
    <w:rsid w:val="00E06D4A"/>
    <w:rsid w:val="00E073A6"/>
    <w:rsid w:val="00E13409"/>
    <w:rsid w:val="00E1390E"/>
    <w:rsid w:val="00E1415E"/>
    <w:rsid w:val="00E16370"/>
    <w:rsid w:val="00E1655E"/>
    <w:rsid w:val="00E20D9A"/>
    <w:rsid w:val="00E219CD"/>
    <w:rsid w:val="00E21DD7"/>
    <w:rsid w:val="00E235E3"/>
    <w:rsid w:val="00E25551"/>
    <w:rsid w:val="00E27C7D"/>
    <w:rsid w:val="00E30B41"/>
    <w:rsid w:val="00E3174A"/>
    <w:rsid w:val="00E3276D"/>
    <w:rsid w:val="00E3555B"/>
    <w:rsid w:val="00E36302"/>
    <w:rsid w:val="00E36B5F"/>
    <w:rsid w:val="00E36E4B"/>
    <w:rsid w:val="00E4044E"/>
    <w:rsid w:val="00E42572"/>
    <w:rsid w:val="00E429CE"/>
    <w:rsid w:val="00E42AF7"/>
    <w:rsid w:val="00E42D8A"/>
    <w:rsid w:val="00E4348F"/>
    <w:rsid w:val="00E50877"/>
    <w:rsid w:val="00E56499"/>
    <w:rsid w:val="00E565BA"/>
    <w:rsid w:val="00E56C70"/>
    <w:rsid w:val="00E56D10"/>
    <w:rsid w:val="00E56D52"/>
    <w:rsid w:val="00E625CF"/>
    <w:rsid w:val="00E626EA"/>
    <w:rsid w:val="00E62710"/>
    <w:rsid w:val="00E64B23"/>
    <w:rsid w:val="00E664B6"/>
    <w:rsid w:val="00E670D2"/>
    <w:rsid w:val="00E7034C"/>
    <w:rsid w:val="00E71297"/>
    <w:rsid w:val="00E71E4E"/>
    <w:rsid w:val="00E72A74"/>
    <w:rsid w:val="00E73E0D"/>
    <w:rsid w:val="00E7500D"/>
    <w:rsid w:val="00E75688"/>
    <w:rsid w:val="00E8084C"/>
    <w:rsid w:val="00E81FD6"/>
    <w:rsid w:val="00E82404"/>
    <w:rsid w:val="00E82EE6"/>
    <w:rsid w:val="00E85522"/>
    <w:rsid w:val="00E86598"/>
    <w:rsid w:val="00E9076A"/>
    <w:rsid w:val="00E90D2B"/>
    <w:rsid w:val="00E96708"/>
    <w:rsid w:val="00E97637"/>
    <w:rsid w:val="00EA0606"/>
    <w:rsid w:val="00EA0C3D"/>
    <w:rsid w:val="00EA6364"/>
    <w:rsid w:val="00EA668A"/>
    <w:rsid w:val="00EA7043"/>
    <w:rsid w:val="00EA7FC1"/>
    <w:rsid w:val="00EB04F8"/>
    <w:rsid w:val="00EB053B"/>
    <w:rsid w:val="00EB4942"/>
    <w:rsid w:val="00EB6090"/>
    <w:rsid w:val="00EB6608"/>
    <w:rsid w:val="00EB67B0"/>
    <w:rsid w:val="00EC32BC"/>
    <w:rsid w:val="00EC465F"/>
    <w:rsid w:val="00EC530E"/>
    <w:rsid w:val="00EC5AA9"/>
    <w:rsid w:val="00EC5C57"/>
    <w:rsid w:val="00EC636D"/>
    <w:rsid w:val="00ED16E0"/>
    <w:rsid w:val="00ED1FB6"/>
    <w:rsid w:val="00ED26C1"/>
    <w:rsid w:val="00ED3032"/>
    <w:rsid w:val="00ED5A1C"/>
    <w:rsid w:val="00ED5F19"/>
    <w:rsid w:val="00EE1DF4"/>
    <w:rsid w:val="00EE3695"/>
    <w:rsid w:val="00EE638D"/>
    <w:rsid w:val="00EE6F6E"/>
    <w:rsid w:val="00EF0085"/>
    <w:rsid w:val="00EF07A9"/>
    <w:rsid w:val="00EF3352"/>
    <w:rsid w:val="00EF43A6"/>
    <w:rsid w:val="00EF69A4"/>
    <w:rsid w:val="00EF7534"/>
    <w:rsid w:val="00EF7B5E"/>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3C7F"/>
    <w:rsid w:val="00F14F72"/>
    <w:rsid w:val="00F1628D"/>
    <w:rsid w:val="00F16595"/>
    <w:rsid w:val="00F17C8A"/>
    <w:rsid w:val="00F20CC2"/>
    <w:rsid w:val="00F20FC4"/>
    <w:rsid w:val="00F21E76"/>
    <w:rsid w:val="00F225B3"/>
    <w:rsid w:val="00F23343"/>
    <w:rsid w:val="00F24969"/>
    <w:rsid w:val="00F265D9"/>
    <w:rsid w:val="00F267DE"/>
    <w:rsid w:val="00F27602"/>
    <w:rsid w:val="00F30B97"/>
    <w:rsid w:val="00F30EAA"/>
    <w:rsid w:val="00F33886"/>
    <w:rsid w:val="00F35FAF"/>
    <w:rsid w:val="00F37065"/>
    <w:rsid w:val="00F3710B"/>
    <w:rsid w:val="00F3722B"/>
    <w:rsid w:val="00F400EC"/>
    <w:rsid w:val="00F43E31"/>
    <w:rsid w:val="00F44AC2"/>
    <w:rsid w:val="00F45779"/>
    <w:rsid w:val="00F45993"/>
    <w:rsid w:val="00F47A12"/>
    <w:rsid w:val="00F50AAB"/>
    <w:rsid w:val="00F51241"/>
    <w:rsid w:val="00F527D0"/>
    <w:rsid w:val="00F53956"/>
    <w:rsid w:val="00F53D99"/>
    <w:rsid w:val="00F5524D"/>
    <w:rsid w:val="00F600AB"/>
    <w:rsid w:val="00F603DE"/>
    <w:rsid w:val="00F60F6F"/>
    <w:rsid w:val="00F61C4B"/>
    <w:rsid w:val="00F61D8D"/>
    <w:rsid w:val="00F62027"/>
    <w:rsid w:val="00F62EB1"/>
    <w:rsid w:val="00F64753"/>
    <w:rsid w:val="00F64F8A"/>
    <w:rsid w:val="00F65D15"/>
    <w:rsid w:val="00F66D1F"/>
    <w:rsid w:val="00F676B1"/>
    <w:rsid w:val="00F67EB2"/>
    <w:rsid w:val="00F70072"/>
    <w:rsid w:val="00F7210B"/>
    <w:rsid w:val="00F72A05"/>
    <w:rsid w:val="00F72D8E"/>
    <w:rsid w:val="00F7350F"/>
    <w:rsid w:val="00F740B9"/>
    <w:rsid w:val="00F7640A"/>
    <w:rsid w:val="00F76B6F"/>
    <w:rsid w:val="00F76FD8"/>
    <w:rsid w:val="00F803C2"/>
    <w:rsid w:val="00F81A93"/>
    <w:rsid w:val="00F824F5"/>
    <w:rsid w:val="00F84263"/>
    <w:rsid w:val="00F84B4B"/>
    <w:rsid w:val="00F862FE"/>
    <w:rsid w:val="00F87E63"/>
    <w:rsid w:val="00F90EBE"/>
    <w:rsid w:val="00F916BF"/>
    <w:rsid w:val="00F91762"/>
    <w:rsid w:val="00F91CDB"/>
    <w:rsid w:val="00F9222D"/>
    <w:rsid w:val="00F932D2"/>
    <w:rsid w:val="00F9437C"/>
    <w:rsid w:val="00F945D5"/>
    <w:rsid w:val="00F95F12"/>
    <w:rsid w:val="00F96DF1"/>
    <w:rsid w:val="00FA061A"/>
    <w:rsid w:val="00FA4018"/>
    <w:rsid w:val="00FA43A3"/>
    <w:rsid w:val="00FA4C73"/>
    <w:rsid w:val="00FA5129"/>
    <w:rsid w:val="00FA6585"/>
    <w:rsid w:val="00FA6A49"/>
    <w:rsid w:val="00FA6C6B"/>
    <w:rsid w:val="00FB00AC"/>
    <w:rsid w:val="00FB1C48"/>
    <w:rsid w:val="00FB2835"/>
    <w:rsid w:val="00FB6142"/>
    <w:rsid w:val="00FC44DB"/>
    <w:rsid w:val="00FC56B9"/>
    <w:rsid w:val="00FC5F75"/>
    <w:rsid w:val="00FC6938"/>
    <w:rsid w:val="00FD04B5"/>
    <w:rsid w:val="00FD1780"/>
    <w:rsid w:val="00FD27C0"/>
    <w:rsid w:val="00FD2E98"/>
    <w:rsid w:val="00FD2F39"/>
    <w:rsid w:val="00FD61A3"/>
    <w:rsid w:val="00FD61DB"/>
    <w:rsid w:val="00FD64E6"/>
    <w:rsid w:val="00FE4571"/>
    <w:rsid w:val="00FE4EDA"/>
    <w:rsid w:val="00FE5DFC"/>
    <w:rsid w:val="00FE7ED6"/>
    <w:rsid w:val="00FF01D9"/>
    <w:rsid w:val="00FF11CE"/>
    <w:rsid w:val="00FF1D4A"/>
    <w:rsid w:val="00FF214C"/>
    <w:rsid w:val="00FF2B3F"/>
    <w:rsid w:val="00FF3DB4"/>
    <w:rsid w:val="00FF542C"/>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580C-4458-487F-92C2-80EA8E9E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4471</Words>
  <Characters>25486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Sathish</cp:lastModifiedBy>
  <cp:revision>27</cp:revision>
  <cp:lastPrinted>2023-12-12T12:58:00Z</cp:lastPrinted>
  <dcterms:created xsi:type="dcterms:W3CDTF">2023-11-22T08:20:00Z</dcterms:created>
  <dcterms:modified xsi:type="dcterms:W3CDTF">2024-01-10T17:24:00Z</dcterms:modified>
</cp:coreProperties>
</file>