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304AD" w14:textId="77777777" w:rsidR="00353E42" w:rsidRPr="000E29DC" w:rsidRDefault="00353E42" w:rsidP="00353E42">
      <w:pPr>
        <w:pStyle w:val="BodyA"/>
        <w:jc w:val="center"/>
        <w:rPr>
          <w:rFonts w:ascii="Arial" w:hAnsi="Arial" w:cs="Arial"/>
          <w:b/>
          <w:bCs/>
          <w:sz w:val="24"/>
          <w:szCs w:val="24"/>
        </w:rPr>
      </w:pPr>
      <w:r w:rsidRPr="000E29DC">
        <w:rPr>
          <w:rFonts w:ascii="Arial" w:hAnsi="Arial" w:cs="Arial"/>
          <w:b/>
          <w:bCs/>
          <w:noProof/>
          <w:sz w:val="24"/>
          <w:szCs w:val="24"/>
          <w:lang w:eastAsia="en-US"/>
        </w:rPr>
        <w:drawing>
          <wp:inline distT="0" distB="0" distL="0" distR="0" wp14:anchorId="285B20DE" wp14:editId="261503AB">
            <wp:extent cx="1018718" cy="1018718"/>
            <wp:effectExtent l="0" t="0" r="0" b="0"/>
            <wp:docPr id="1073741825" name="officeArt object" descr="Description: cid:image001.png@01D076AF.8E67B520"/>
            <wp:cNvGraphicFramePr/>
            <a:graphic xmlns:a="http://schemas.openxmlformats.org/drawingml/2006/main">
              <a:graphicData uri="http://schemas.openxmlformats.org/drawingml/2006/picture">
                <pic:pic xmlns:pic="http://schemas.openxmlformats.org/drawingml/2006/picture">
                  <pic:nvPicPr>
                    <pic:cNvPr id="1073741825" name="Description: cid:image001.png@01D076AF.8E67B520" descr="Description: cid:image001.png@01D076AF.8E67B520"/>
                    <pic:cNvPicPr>
                      <a:picLocks noChangeAspect="1"/>
                    </pic:cNvPicPr>
                  </pic:nvPicPr>
                  <pic:blipFill>
                    <a:blip r:embed="rId6"/>
                    <a:stretch>
                      <a:fillRect/>
                    </a:stretch>
                  </pic:blipFill>
                  <pic:spPr>
                    <a:xfrm>
                      <a:off x="0" y="0"/>
                      <a:ext cx="1018718" cy="1018718"/>
                    </a:xfrm>
                    <a:prstGeom prst="rect">
                      <a:avLst/>
                    </a:prstGeom>
                    <a:ln w="12700" cap="flat">
                      <a:noFill/>
                      <a:miter lim="400000"/>
                    </a:ln>
                    <a:effectLst/>
                  </pic:spPr>
                </pic:pic>
              </a:graphicData>
            </a:graphic>
          </wp:inline>
        </w:drawing>
      </w:r>
    </w:p>
    <w:p w14:paraId="6B570676" w14:textId="77777777" w:rsidR="00353E42" w:rsidRPr="000E29DC" w:rsidRDefault="00353E42" w:rsidP="00353E42">
      <w:pPr>
        <w:pStyle w:val="BodyA"/>
        <w:jc w:val="center"/>
        <w:rPr>
          <w:rFonts w:ascii="Arial" w:eastAsia="Arial" w:hAnsi="Arial" w:cs="Arial"/>
          <w:b/>
          <w:bCs/>
          <w:sz w:val="24"/>
          <w:szCs w:val="24"/>
        </w:rPr>
      </w:pPr>
      <w:r w:rsidRPr="000E29DC">
        <w:rPr>
          <w:rFonts w:ascii="Arial" w:hAnsi="Arial" w:cs="Arial"/>
          <w:b/>
          <w:bCs/>
          <w:sz w:val="24"/>
          <w:szCs w:val="24"/>
        </w:rPr>
        <w:t>IN THE HIGH COURT OF SOUTH AFRICA</w:t>
      </w:r>
    </w:p>
    <w:p w14:paraId="049FBDC1" w14:textId="77777777" w:rsidR="00353E42" w:rsidRPr="000E29DC" w:rsidRDefault="00353E42" w:rsidP="00353E42">
      <w:pPr>
        <w:pStyle w:val="BodyA"/>
        <w:jc w:val="center"/>
        <w:rPr>
          <w:rFonts w:ascii="Arial" w:eastAsia="Arial" w:hAnsi="Arial" w:cs="Arial"/>
          <w:b/>
          <w:bCs/>
          <w:sz w:val="24"/>
          <w:szCs w:val="24"/>
        </w:rPr>
      </w:pPr>
      <w:r w:rsidRPr="000E29DC">
        <w:rPr>
          <w:rFonts w:ascii="Arial" w:hAnsi="Arial" w:cs="Arial"/>
          <w:b/>
          <w:bCs/>
          <w:sz w:val="24"/>
          <w:szCs w:val="24"/>
          <w:lang w:val="de-DE"/>
        </w:rPr>
        <w:t>GAUTENG DIVISION, PRETORIA</w:t>
      </w:r>
    </w:p>
    <w:p w14:paraId="7F3F4357" w14:textId="6BDEE107" w:rsidR="00353E42" w:rsidRPr="000E29DC" w:rsidRDefault="00353E42" w:rsidP="00353E42">
      <w:pPr>
        <w:pStyle w:val="BodyA"/>
        <w:jc w:val="right"/>
        <w:rPr>
          <w:rFonts w:ascii="Arial" w:eastAsia="Arial" w:hAnsi="Arial" w:cs="Arial"/>
          <w:b/>
          <w:bCs/>
          <w:sz w:val="24"/>
          <w:szCs w:val="24"/>
        </w:rPr>
      </w:pPr>
      <w:r w:rsidRPr="000E29DC">
        <w:rPr>
          <w:rFonts w:ascii="Arial" w:eastAsia="Arial" w:hAnsi="Arial" w:cs="Arial"/>
          <w:b/>
          <w:bCs/>
          <w:noProof/>
          <w:sz w:val="24"/>
          <w:szCs w:val="24"/>
          <w:lang w:eastAsia="en-US"/>
        </w:rPr>
        <mc:AlternateContent>
          <mc:Choice Requires="wps">
            <w:drawing>
              <wp:anchor distT="0" distB="0" distL="0" distR="0" simplePos="0" relativeHeight="251659264" behindDoc="0" locked="0" layoutInCell="1" allowOverlap="1" wp14:anchorId="25C35E26" wp14:editId="52FFA86D">
                <wp:simplePos x="0" y="0"/>
                <wp:positionH relativeFrom="column">
                  <wp:posOffset>-41061</wp:posOffset>
                </wp:positionH>
                <wp:positionV relativeFrom="line">
                  <wp:posOffset>193675</wp:posOffset>
                </wp:positionV>
                <wp:extent cx="3220873" cy="140017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3220873" cy="1400175"/>
                        </a:xfrm>
                        <a:prstGeom prst="rect">
                          <a:avLst/>
                        </a:prstGeom>
                        <a:solidFill>
                          <a:srgbClr val="FFFFFF"/>
                        </a:solidFill>
                        <a:ln w="9525" cap="flat">
                          <a:solidFill>
                            <a:srgbClr val="000000"/>
                          </a:solidFill>
                          <a:prstDash val="solid"/>
                          <a:miter lim="800000"/>
                        </a:ln>
                        <a:effectLst/>
                      </wps:spPr>
                      <wps:txbx>
                        <w:txbxContent>
                          <w:p w14:paraId="6B013DAB" w14:textId="0AE87342" w:rsidR="00353E42" w:rsidRDefault="00996B87" w:rsidP="00996B87">
                            <w:pPr>
                              <w:pStyle w:val="BodyA"/>
                              <w:spacing w:after="0" w:line="240" w:lineRule="auto"/>
                              <w:ind w:left="900" w:hanging="720"/>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353E42">
                              <w:rPr>
                                <w:rFonts w:ascii="Century Gothic" w:hAnsi="Century Gothic"/>
                                <w:sz w:val="20"/>
                                <w:szCs w:val="20"/>
                              </w:rPr>
                              <w:t>REPORTABLE: NO</w:t>
                            </w:r>
                          </w:p>
                          <w:p w14:paraId="29A7C355" w14:textId="3F9D26DB" w:rsidR="00353E42" w:rsidRDefault="00996B87" w:rsidP="00996B87">
                            <w:pPr>
                              <w:pStyle w:val="BodyA"/>
                              <w:spacing w:after="0" w:line="240" w:lineRule="auto"/>
                              <w:ind w:left="900" w:hanging="720"/>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353E42">
                              <w:rPr>
                                <w:rFonts w:ascii="Century Gothic" w:hAnsi="Century Gothic"/>
                                <w:sz w:val="20"/>
                                <w:szCs w:val="20"/>
                                <w:lang w:val="de-DE"/>
                              </w:rPr>
                              <w:t>OF INTEREST TO OTHER JUDGES: NO</w:t>
                            </w:r>
                          </w:p>
                          <w:p w14:paraId="23FD513F" w14:textId="42869208" w:rsidR="00353E42" w:rsidRDefault="00996B87" w:rsidP="00996B87">
                            <w:pPr>
                              <w:pStyle w:val="BodyA"/>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353E42">
                              <w:rPr>
                                <w:rFonts w:ascii="Century Gothic" w:hAnsi="Century Gothic"/>
                                <w:sz w:val="20"/>
                                <w:szCs w:val="20"/>
                              </w:rPr>
                              <w:t xml:space="preserve">REVISED. </w:t>
                            </w:r>
                          </w:p>
                          <w:p w14:paraId="4822AEA9" w14:textId="77777777" w:rsidR="00353E42" w:rsidRDefault="00353E42" w:rsidP="00353E42">
                            <w:pPr>
                              <w:pStyle w:val="BodyA"/>
                              <w:spacing w:after="0" w:line="240" w:lineRule="auto"/>
                              <w:ind w:left="900"/>
                              <w:rPr>
                                <w:rFonts w:ascii="Century Gothic" w:eastAsia="Century Gothic" w:hAnsi="Century Gothic" w:cs="Century Gothic"/>
                                <w:sz w:val="20"/>
                                <w:szCs w:val="20"/>
                              </w:rPr>
                            </w:pPr>
                          </w:p>
                          <w:p w14:paraId="75935BE3" w14:textId="77777777" w:rsidR="00353E42" w:rsidRDefault="00353E42" w:rsidP="00353E42">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t xml:space="preserve"> </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w:t>
                            </w:r>
                          </w:p>
                          <w:p w14:paraId="31391325" w14:textId="77777777" w:rsidR="00353E42" w:rsidRDefault="00353E42" w:rsidP="00353E42">
                            <w:pPr>
                              <w:pStyle w:val="BodyA"/>
                            </w:pPr>
                            <w:r>
                              <w:rPr>
                                <w:rFonts w:ascii="Century Gothic" w:hAnsi="Century Gothic"/>
                                <w:sz w:val="18"/>
                                <w:szCs w:val="18"/>
                              </w:rPr>
                              <w:t xml:space="preserve">                   DATE</w:t>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NAUDE AJ</w:t>
                            </w:r>
                          </w:p>
                        </w:txbxContent>
                      </wps:txbx>
                      <wps:bodyPr wrap="square" lIns="45718" tIns="45718" rIns="45718" bIns="45718" numCol="1" anchor="t">
                        <a:noAutofit/>
                      </wps:bodyPr>
                    </wps:wsp>
                  </a:graphicData>
                </a:graphic>
              </wp:anchor>
            </w:drawing>
          </mc:Choice>
          <mc:Fallback>
            <w:pict>
              <v:shapetype w14:anchorId="25C35E26" id="_x0000_t202" coordsize="21600,21600" o:spt="202" path="m,l,21600r21600,l21600,xe">
                <v:stroke joinstyle="miter"/>
                <v:path gradientshapeok="t" o:connecttype="rect"/>
              </v:shapetype>
              <v:shape id="officeArt object" o:spid="_x0000_s1026" type="#_x0000_t202" alt="Text Box 2" style="position:absolute;left:0;text-align:left;margin-left:-3.25pt;margin-top:15.25pt;width:253.6pt;height:110.2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">
                <v:textbox inset="1.2699mm,1.2699mm,1.2699mm,1.2699mm">
                  <w:txbxContent>
                    <w:p w14:paraId="6B013DAB" w14:textId="0AE87342" w:rsidR="00353E42" w:rsidRDefault="00996B87" w:rsidP="00996B87">
                      <w:pPr>
                        <w:pStyle w:val="BodyA"/>
                        <w:spacing w:after="0" w:line="240" w:lineRule="auto"/>
                        <w:ind w:left="900" w:hanging="720"/>
                        <w:rPr>
                          <w:rFonts w:ascii="Century Gothic" w:hAnsi="Century Gothic"/>
                          <w:sz w:val="20"/>
                          <w:szCs w:val="20"/>
                        </w:rPr>
                      </w:pPr>
                      <w:r>
                        <w:rPr>
                          <w:rFonts w:ascii="Century Gothic" w:hAnsi="Arial Unicode MS"/>
                          <w:sz w:val="20"/>
                          <w:szCs w:val="20"/>
                        </w:rPr>
                        <w:t>(1)</w:t>
                      </w:r>
                      <w:r>
                        <w:rPr>
                          <w:rFonts w:ascii="Century Gothic" w:hAnsi="Arial Unicode MS"/>
                          <w:sz w:val="20"/>
                          <w:szCs w:val="20"/>
                        </w:rPr>
                        <w:tab/>
                      </w:r>
                      <w:r w:rsidR="00353E42">
                        <w:rPr>
                          <w:rFonts w:ascii="Century Gothic" w:hAnsi="Century Gothic"/>
                          <w:sz w:val="20"/>
                          <w:szCs w:val="20"/>
                        </w:rPr>
                        <w:t>REPORTABLE: NO</w:t>
                      </w:r>
                    </w:p>
                    <w:p w14:paraId="29A7C355" w14:textId="3F9D26DB" w:rsidR="00353E42" w:rsidRDefault="00996B87" w:rsidP="00996B87">
                      <w:pPr>
                        <w:pStyle w:val="BodyA"/>
                        <w:spacing w:after="0" w:line="240" w:lineRule="auto"/>
                        <w:ind w:left="900" w:hanging="720"/>
                        <w:rPr>
                          <w:rFonts w:ascii="Century Gothic" w:hAnsi="Century Gothic"/>
                          <w:sz w:val="20"/>
                          <w:szCs w:val="20"/>
                          <w:lang w:val="de-DE"/>
                        </w:rPr>
                      </w:pPr>
                      <w:r>
                        <w:rPr>
                          <w:rFonts w:ascii="Century Gothic" w:hAnsi="Arial Unicode MS"/>
                          <w:sz w:val="20"/>
                          <w:szCs w:val="20"/>
                          <w:lang w:val="de-DE"/>
                        </w:rPr>
                        <w:t>(2)</w:t>
                      </w:r>
                      <w:r>
                        <w:rPr>
                          <w:rFonts w:ascii="Century Gothic" w:hAnsi="Arial Unicode MS"/>
                          <w:sz w:val="20"/>
                          <w:szCs w:val="20"/>
                          <w:lang w:val="de-DE"/>
                        </w:rPr>
                        <w:tab/>
                      </w:r>
                      <w:r w:rsidR="00353E42">
                        <w:rPr>
                          <w:rFonts w:ascii="Century Gothic" w:hAnsi="Century Gothic"/>
                          <w:sz w:val="20"/>
                          <w:szCs w:val="20"/>
                          <w:lang w:val="de-DE"/>
                        </w:rPr>
                        <w:t>OF INTEREST TO OTHER JUDGES: NO</w:t>
                      </w:r>
                    </w:p>
                    <w:p w14:paraId="23FD513F" w14:textId="42869208" w:rsidR="00353E42" w:rsidRDefault="00996B87" w:rsidP="00996B87">
                      <w:pPr>
                        <w:pStyle w:val="BodyA"/>
                        <w:spacing w:after="0" w:line="240" w:lineRule="auto"/>
                        <w:ind w:left="900" w:hanging="720"/>
                        <w:rPr>
                          <w:rFonts w:ascii="Century Gothic" w:hAnsi="Century Gothic"/>
                          <w:sz w:val="20"/>
                          <w:szCs w:val="20"/>
                        </w:rPr>
                      </w:pPr>
                      <w:r>
                        <w:rPr>
                          <w:rFonts w:ascii="Century Gothic" w:hAnsi="Arial Unicode MS"/>
                          <w:sz w:val="20"/>
                          <w:szCs w:val="20"/>
                        </w:rPr>
                        <w:t>(3)</w:t>
                      </w:r>
                      <w:r>
                        <w:rPr>
                          <w:rFonts w:ascii="Century Gothic" w:hAnsi="Arial Unicode MS"/>
                          <w:sz w:val="20"/>
                          <w:szCs w:val="20"/>
                        </w:rPr>
                        <w:tab/>
                      </w:r>
                      <w:r w:rsidR="00353E42">
                        <w:rPr>
                          <w:rFonts w:ascii="Century Gothic" w:hAnsi="Century Gothic"/>
                          <w:sz w:val="20"/>
                          <w:szCs w:val="20"/>
                        </w:rPr>
                        <w:t xml:space="preserve">REVISED. </w:t>
                      </w:r>
                    </w:p>
                    <w:p w14:paraId="4822AEA9" w14:textId="77777777" w:rsidR="00353E42" w:rsidRDefault="00353E42" w:rsidP="00353E42">
                      <w:pPr>
                        <w:pStyle w:val="BodyA"/>
                        <w:spacing w:after="0" w:line="240" w:lineRule="auto"/>
                        <w:ind w:left="900"/>
                        <w:rPr>
                          <w:rFonts w:ascii="Century Gothic" w:eastAsia="Century Gothic" w:hAnsi="Century Gothic" w:cs="Century Gothic"/>
                          <w:sz w:val="20"/>
                          <w:szCs w:val="20"/>
                        </w:rPr>
                      </w:pPr>
                    </w:p>
                    <w:p w14:paraId="75935BE3" w14:textId="77777777" w:rsidR="00353E42" w:rsidRDefault="00353E42" w:rsidP="00353E42">
                      <w:pPr>
                        <w:pStyle w:val="BodyA"/>
                        <w:rPr>
                          <w:rFonts w:ascii="Century Gothic" w:eastAsia="Century Gothic" w:hAnsi="Century Gothic" w:cs="Century Gothic"/>
                          <w:b/>
                          <w:bCs/>
                          <w:sz w:val="18"/>
                          <w:szCs w:val="18"/>
                        </w:rPr>
                      </w:pPr>
                      <w:r>
                        <w:rPr>
                          <w:rFonts w:ascii="Century Gothic" w:hAnsi="Century Gothic"/>
                          <w:b/>
                          <w:bCs/>
                          <w:sz w:val="18"/>
                          <w:szCs w:val="18"/>
                        </w:rPr>
                        <w:t xml:space="preserve">       </w:t>
                      </w:r>
                      <w:r>
                        <w:rPr>
                          <w:rFonts w:ascii="Century Gothic" w:hAnsi="Century Gothic"/>
                          <w:b/>
                          <w:bCs/>
                          <w:sz w:val="18"/>
                          <w:szCs w:val="18"/>
                        </w:rPr>
                        <w:tab/>
                        <w:t xml:space="preserve"> </w:t>
                      </w:r>
                      <w:r>
                        <w:rPr>
                          <w:rFonts w:ascii="Century Gothic" w:hAnsi="Century Gothic"/>
                          <w:b/>
                          <w:bCs/>
                          <w:sz w:val="18"/>
                          <w:szCs w:val="18"/>
                        </w:rPr>
                        <w:tab/>
                      </w:r>
                      <w:r>
                        <w:rPr>
                          <w:rFonts w:ascii="Century Gothic" w:hAnsi="Century Gothic"/>
                          <w:b/>
                          <w:bCs/>
                          <w:sz w:val="18"/>
                          <w:szCs w:val="18"/>
                        </w:rPr>
                        <w:tab/>
                      </w:r>
                      <w:r>
                        <w:rPr>
                          <w:rFonts w:ascii="Century Gothic" w:hAnsi="Century Gothic"/>
                          <w:b/>
                          <w:bCs/>
                          <w:sz w:val="18"/>
                          <w:szCs w:val="18"/>
                        </w:rPr>
                        <w:tab/>
                        <w:t>………………………...</w:t>
                      </w:r>
                    </w:p>
                    <w:p w14:paraId="31391325" w14:textId="77777777" w:rsidR="00353E42" w:rsidRDefault="00353E42" w:rsidP="00353E42">
                      <w:pPr>
                        <w:pStyle w:val="BodyA"/>
                      </w:pPr>
                      <w:r>
                        <w:rPr>
                          <w:rFonts w:ascii="Century Gothic" w:hAnsi="Century Gothic"/>
                          <w:sz w:val="18"/>
                          <w:szCs w:val="18"/>
                        </w:rPr>
                        <w:t xml:space="preserve">                   DATE</w:t>
                      </w:r>
                      <w:r>
                        <w:rPr>
                          <w:rFonts w:ascii="Century Gothic" w:hAnsi="Century Gothic"/>
                          <w:sz w:val="18"/>
                          <w:szCs w:val="18"/>
                        </w:rPr>
                        <w:tab/>
                        <w:t xml:space="preserve"> </w:t>
                      </w:r>
                      <w:r>
                        <w:rPr>
                          <w:rFonts w:ascii="Century Gothic" w:hAnsi="Century Gothic"/>
                          <w:sz w:val="18"/>
                          <w:szCs w:val="18"/>
                        </w:rPr>
                        <w:tab/>
                      </w:r>
                      <w:r>
                        <w:rPr>
                          <w:rFonts w:ascii="Century Gothic" w:hAnsi="Century Gothic"/>
                          <w:sz w:val="18"/>
                          <w:szCs w:val="18"/>
                        </w:rPr>
                        <w:tab/>
                        <w:t xml:space="preserve">      </w:t>
                      </w:r>
                      <w:r>
                        <w:rPr>
                          <w:rFonts w:ascii="Century Gothic" w:hAnsi="Century Gothic"/>
                          <w:sz w:val="18"/>
                          <w:szCs w:val="18"/>
                        </w:rPr>
                        <w:tab/>
                        <w:t>NAUDE AJ</w:t>
                      </w:r>
                    </w:p>
                  </w:txbxContent>
                </v:textbox>
                <w10:wrap anchory="line"/>
              </v:shape>
            </w:pict>
          </mc:Fallback>
        </mc:AlternateContent>
      </w:r>
      <w:r w:rsidRPr="000E29DC">
        <w:rPr>
          <w:rFonts w:ascii="Arial" w:hAnsi="Arial" w:cs="Arial"/>
          <w:b/>
          <w:bCs/>
          <w:sz w:val="24"/>
          <w:szCs w:val="24"/>
        </w:rPr>
        <w:t xml:space="preserve">CASE NO: </w:t>
      </w:r>
      <w:bookmarkStart w:id="0" w:name="_GoBack"/>
      <w:r w:rsidR="00A24684" w:rsidRPr="000E29DC">
        <w:rPr>
          <w:rFonts w:ascii="Arial" w:hAnsi="Arial" w:cs="Arial"/>
          <w:b/>
          <w:bCs/>
          <w:sz w:val="24"/>
          <w:szCs w:val="24"/>
        </w:rPr>
        <w:t>112040/2023</w:t>
      </w:r>
      <w:bookmarkEnd w:id="0"/>
    </w:p>
    <w:p w14:paraId="39076395" w14:textId="77777777" w:rsidR="00353E42" w:rsidRPr="000E29DC" w:rsidRDefault="00353E42" w:rsidP="00353E42">
      <w:pPr>
        <w:pStyle w:val="BodyA"/>
        <w:jc w:val="center"/>
        <w:rPr>
          <w:rFonts w:ascii="Arial" w:eastAsia="Arial" w:hAnsi="Arial" w:cs="Arial"/>
          <w:sz w:val="24"/>
          <w:szCs w:val="24"/>
        </w:rPr>
      </w:pPr>
    </w:p>
    <w:p w14:paraId="6B841215" w14:textId="77777777" w:rsidR="00353E42" w:rsidRPr="000E29DC" w:rsidRDefault="00353E42" w:rsidP="00353E42">
      <w:pPr>
        <w:pStyle w:val="BodyA"/>
        <w:jc w:val="center"/>
        <w:rPr>
          <w:rFonts w:ascii="Arial" w:eastAsia="Arial" w:hAnsi="Arial" w:cs="Arial"/>
          <w:sz w:val="24"/>
          <w:szCs w:val="24"/>
        </w:rPr>
      </w:pPr>
    </w:p>
    <w:p w14:paraId="44B6B05B" w14:textId="77777777" w:rsidR="00353E42" w:rsidRPr="000E29DC" w:rsidRDefault="00353E42" w:rsidP="00353E42">
      <w:pPr>
        <w:pStyle w:val="BodyA"/>
        <w:jc w:val="center"/>
        <w:rPr>
          <w:rFonts w:ascii="Arial" w:eastAsia="Arial" w:hAnsi="Arial" w:cs="Arial"/>
          <w:sz w:val="24"/>
          <w:szCs w:val="24"/>
        </w:rPr>
      </w:pPr>
    </w:p>
    <w:p w14:paraId="2F986F4C" w14:textId="77777777" w:rsidR="00353E42" w:rsidRPr="000E29DC" w:rsidRDefault="00353E42" w:rsidP="00353E42">
      <w:pPr>
        <w:pStyle w:val="BodyA"/>
        <w:jc w:val="center"/>
        <w:rPr>
          <w:rFonts w:ascii="Arial" w:eastAsia="Arial" w:hAnsi="Arial" w:cs="Arial"/>
          <w:sz w:val="24"/>
          <w:szCs w:val="24"/>
        </w:rPr>
      </w:pPr>
    </w:p>
    <w:p w14:paraId="05F28118" w14:textId="77777777" w:rsidR="00353E42" w:rsidRPr="000E29DC" w:rsidRDefault="00353E42" w:rsidP="00353E42">
      <w:pPr>
        <w:pStyle w:val="BodyA"/>
        <w:jc w:val="center"/>
        <w:rPr>
          <w:rFonts w:ascii="Arial" w:eastAsia="Arial" w:hAnsi="Arial" w:cs="Arial"/>
          <w:sz w:val="24"/>
          <w:szCs w:val="24"/>
        </w:rPr>
      </w:pPr>
    </w:p>
    <w:p w14:paraId="434F17F6" w14:textId="77777777" w:rsidR="00353E42" w:rsidRPr="000E29DC" w:rsidRDefault="00353E42" w:rsidP="00353E42">
      <w:pPr>
        <w:pStyle w:val="BodyA"/>
        <w:rPr>
          <w:rFonts w:ascii="Arial" w:eastAsia="Arial" w:hAnsi="Arial" w:cs="Arial"/>
          <w:sz w:val="24"/>
          <w:szCs w:val="24"/>
        </w:rPr>
      </w:pPr>
      <w:r w:rsidRPr="000E29DC">
        <w:rPr>
          <w:rFonts w:ascii="Arial" w:hAnsi="Arial" w:cs="Arial"/>
          <w:sz w:val="24"/>
          <w:szCs w:val="24"/>
        </w:rPr>
        <w:t>In the matter between:</w:t>
      </w:r>
    </w:p>
    <w:p w14:paraId="4C571295" w14:textId="77777777" w:rsidR="00353E42" w:rsidRPr="000E29DC" w:rsidRDefault="00353E42" w:rsidP="00353E42">
      <w:pPr>
        <w:pStyle w:val="BodyA"/>
        <w:rPr>
          <w:rFonts w:ascii="Arial" w:eastAsia="Arial" w:hAnsi="Arial" w:cs="Arial"/>
          <w:b/>
          <w:bCs/>
          <w:sz w:val="24"/>
          <w:szCs w:val="24"/>
        </w:rPr>
      </w:pPr>
    </w:p>
    <w:p w14:paraId="4370AC47" w14:textId="1414C588" w:rsidR="00353E42" w:rsidRPr="000E29DC" w:rsidRDefault="00A24684" w:rsidP="00353E42">
      <w:pPr>
        <w:pStyle w:val="BodyA"/>
        <w:jc w:val="both"/>
        <w:rPr>
          <w:rFonts w:ascii="Arial" w:eastAsia="Arial" w:hAnsi="Arial" w:cs="Arial"/>
          <w:b/>
          <w:bCs/>
          <w:sz w:val="24"/>
          <w:szCs w:val="24"/>
        </w:rPr>
      </w:pPr>
      <w:r w:rsidRPr="000E29DC">
        <w:rPr>
          <w:rFonts w:ascii="Arial" w:hAnsi="Arial" w:cs="Arial"/>
          <w:b/>
          <w:bCs/>
          <w:sz w:val="24"/>
          <w:szCs w:val="24"/>
        </w:rPr>
        <w:t>PLUS 94 RESEARCH (PTY) LTD</w:t>
      </w:r>
      <w:r w:rsidRPr="000E29DC">
        <w:rPr>
          <w:rFonts w:ascii="Arial" w:hAnsi="Arial" w:cs="Arial"/>
          <w:b/>
          <w:bCs/>
          <w:sz w:val="24"/>
          <w:szCs w:val="24"/>
        </w:rPr>
        <w:tab/>
      </w:r>
      <w:r w:rsidRPr="000E29DC">
        <w:rPr>
          <w:rFonts w:ascii="Arial" w:hAnsi="Arial" w:cs="Arial"/>
          <w:b/>
          <w:bCs/>
          <w:sz w:val="24"/>
          <w:szCs w:val="24"/>
        </w:rPr>
        <w:tab/>
      </w:r>
      <w:r w:rsidR="00353E42" w:rsidRPr="000E29DC">
        <w:rPr>
          <w:rFonts w:ascii="Arial" w:hAnsi="Arial" w:cs="Arial"/>
          <w:b/>
          <w:bCs/>
          <w:sz w:val="24"/>
          <w:szCs w:val="24"/>
        </w:rPr>
        <w:tab/>
      </w:r>
      <w:r w:rsidR="00353E42" w:rsidRPr="000E29DC">
        <w:rPr>
          <w:rFonts w:ascii="Arial" w:hAnsi="Arial" w:cs="Arial"/>
          <w:b/>
          <w:bCs/>
          <w:sz w:val="24"/>
          <w:szCs w:val="24"/>
        </w:rPr>
        <w:tab/>
      </w:r>
      <w:r w:rsidR="00353E42" w:rsidRPr="000E29DC">
        <w:rPr>
          <w:rFonts w:ascii="Arial" w:hAnsi="Arial" w:cs="Arial"/>
          <w:b/>
          <w:bCs/>
          <w:sz w:val="24"/>
          <w:szCs w:val="24"/>
        </w:rPr>
        <w:tab/>
      </w:r>
      <w:r w:rsidR="00353E42" w:rsidRPr="000E29DC">
        <w:rPr>
          <w:rFonts w:ascii="Arial" w:hAnsi="Arial" w:cs="Arial"/>
          <w:b/>
          <w:bCs/>
          <w:sz w:val="24"/>
          <w:szCs w:val="24"/>
        </w:rPr>
        <w:tab/>
        <w:t>Plaintiff</w:t>
      </w:r>
    </w:p>
    <w:p w14:paraId="68468FA6" w14:textId="77777777" w:rsidR="00353E42" w:rsidRPr="000E29DC" w:rsidRDefault="00353E42" w:rsidP="00353E42">
      <w:pPr>
        <w:pStyle w:val="BodyA"/>
        <w:rPr>
          <w:rFonts w:ascii="Arial" w:hAnsi="Arial" w:cs="Arial"/>
          <w:b/>
          <w:bCs/>
          <w:sz w:val="24"/>
          <w:szCs w:val="24"/>
          <w:lang w:val="it-IT"/>
        </w:rPr>
      </w:pPr>
    </w:p>
    <w:p w14:paraId="7601B3CF" w14:textId="77777777" w:rsidR="00353E42" w:rsidRPr="000E29DC" w:rsidRDefault="00353E42" w:rsidP="00353E42">
      <w:pPr>
        <w:pStyle w:val="BodyA"/>
        <w:rPr>
          <w:rFonts w:ascii="Arial" w:eastAsia="Arial" w:hAnsi="Arial" w:cs="Arial"/>
          <w:sz w:val="24"/>
          <w:szCs w:val="24"/>
        </w:rPr>
      </w:pPr>
      <w:r w:rsidRPr="000E29DC">
        <w:rPr>
          <w:rFonts w:ascii="Arial" w:hAnsi="Arial" w:cs="Arial"/>
          <w:sz w:val="24"/>
          <w:szCs w:val="24"/>
        </w:rPr>
        <w:t>and</w:t>
      </w:r>
    </w:p>
    <w:p w14:paraId="3A5C0A9B" w14:textId="77777777" w:rsidR="00353E42" w:rsidRPr="000E29DC" w:rsidRDefault="00353E42" w:rsidP="00353E42">
      <w:pPr>
        <w:pStyle w:val="BodyA"/>
        <w:rPr>
          <w:rFonts w:ascii="Arial" w:eastAsia="Arial" w:hAnsi="Arial" w:cs="Arial"/>
          <w:b/>
          <w:bCs/>
          <w:sz w:val="24"/>
          <w:szCs w:val="24"/>
        </w:rPr>
      </w:pPr>
    </w:p>
    <w:p w14:paraId="780FA044" w14:textId="62E5191D" w:rsidR="00353E42" w:rsidRPr="000E29DC" w:rsidRDefault="00A24684" w:rsidP="00353E42">
      <w:pPr>
        <w:pStyle w:val="BodyA"/>
        <w:rPr>
          <w:rFonts w:ascii="Arial" w:eastAsia="Arial" w:hAnsi="Arial" w:cs="Arial"/>
          <w:b/>
          <w:bCs/>
          <w:sz w:val="24"/>
          <w:szCs w:val="24"/>
        </w:rPr>
      </w:pPr>
      <w:r w:rsidRPr="000E29DC">
        <w:rPr>
          <w:rFonts w:ascii="Arial" w:eastAsia="Arial" w:hAnsi="Arial" w:cs="Arial"/>
          <w:b/>
          <w:bCs/>
          <w:sz w:val="24"/>
          <w:szCs w:val="24"/>
        </w:rPr>
        <w:t>TEBOGO MAMPHOKA KGATLA</w:t>
      </w:r>
      <w:r w:rsidR="00353E42" w:rsidRPr="000E29DC">
        <w:rPr>
          <w:rFonts w:ascii="Arial" w:hAnsi="Arial" w:cs="Arial"/>
          <w:b/>
          <w:bCs/>
          <w:sz w:val="24"/>
          <w:szCs w:val="24"/>
        </w:rPr>
        <w:tab/>
      </w:r>
      <w:r w:rsidR="00353E42" w:rsidRPr="000E29DC">
        <w:rPr>
          <w:rFonts w:ascii="Arial" w:hAnsi="Arial" w:cs="Arial"/>
          <w:b/>
          <w:bCs/>
          <w:sz w:val="24"/>
          <w:szCs w:val="24"/>
        </w:rPr>
        <w:tab/>
      </w:r>
      <w:r w:rsidR="00353E42" w:rsidRPr="000E29DC">
        <w:rPr>
          <w:rFonts w:ascii="Arial" w:hAnsi="Arial" w:cs="Arial"/>
          <w:b/>
          <w:bCs/>
          <w:sz w:val="24"/>
          <w:szCs w:val="24"/>
        </w:rPr>
        <w:tab/>
      </w:r>
      <w:r w:rsidR="00353E42" w:rsidRPr="000E29DC">
        <w:rPr>
          <w:rFonts w:ascii="Arial" w:hAnsi="Arial" w:cs="Arial"/>
          <w:b/>
          <w:bCs/>
          <w:sz w:val="24"/>
          <w:szCs w:val="24"/>
        </w:rPr>
        <w:tab/>
      </w:r>
      <w:r w:rsidR="00353E42" w:rsidRPr="000E29DC">
        <w:rPr>
          <w:rFonts w:ascii="Arial" w:hAnsi="Arial" w:cs="Arial"/>
          <w:b/>
          <w:bCs/>
          <w:sz w:val="24"/>
          <w:szCs w:val="24"/>
        </w:rPr>
        <w:tab/>
        <w:t>Respondent</w:t>
      </w:r>
      <w:r w:rsidR="00353E42" w:rsidRPr="000E29DC">
        <w:rPr>
          <w:rFonts w:ascii="Arial" w:hAnsi="Arial" w:cs="Arial"/>
          <w:b/>
          <w:bCs/>
          <w:sz w:val="24"/>
          <w:szCs w:val="24"/>
        </w:rPr>
        <w:tab/>
      </w:r>
      <w:r w:rsidR="00353E42" w:rsidRPr="000E29DC">
        <w:rPr>
          <w:rFonts w:ascii="Arial" w:hAnsi="Arial" w:cs="Arial"/>
          <w:b/>
          <w:bCs/>
          <w:sz w:val="24"/>
          <w:szCs w:val="24"/>
        </w:rPr>
        <w:tab/>
      </w:r>
      <w:r w:rsidR="00353E42" w:rsidRPr="000E29DC">
        <w:rPr>
          <w:rFonts w:ascii="Arial" w:hAnsi="Arial" w:cs="Arial"/>
          <w:b/>
          <w:bCs/>
          <w:sz w:val="24"/>
          <w:szCs w:val="24"/>
        </w:rPr>
        <w:tab/>
      </w:r>
      <w:r w:rsidR="00353E42" w:rsidRPr="000E29DC">
        <w:rPr>
          <w:rFonts w:ascii="Arial" w:hAnsi="Arial" w:cs="Arial"/>
          <w:b/>
          <w:bCs/>
          <w:sz w:val="24"/>
          <w:szCs w:val="24"/>
        </w:rPr>
        <w:tab/>
      </w:r>
      <w:r w:rsidR="00353E42" w:rsidRPr="000E29DC">
        <w:rPr>
          <w:rFonts w:ascii="Arial" w:hAnsi="Arial" w:cs="Arial"/>
          <w:b/>
          <w:bCs/>
          <w:sz w:val="24"/>
          <w:szCs w:val="24"/>
        </w:rPr>
        <w:tab/>
        <w:t xml:space="preserve">                    </w:t>
      </w:r>
    </w:p>
    <w:p w14:paraId="0A84473E" w14:textId="77777777" w:rsidR="00353E42" w:rsidRPr="000E29DC" w:rsidRDefault="00353E42" w:rsidP="00353E42">
      <w:pPr>
        <w:pStyle w:val="BodyA"/>
        <w:jc w:val="both"/>
        <w:rPr>
          <w:rFonts w:ascii="Arial" w:eastAsia="Arial" w:hAnsi="Arial" w:cs="Arial"/>
          <w:sz w:val="24"/>
          <w:szCs w:val="24"/>
        </w:rPr>
      </w:pPr>
      <w:r w:rsidRPr="000E29DC">
        <w:rPr>
          <w:rFonts w:ascii="Arial" w:hAnsi="Arial" w:cs="Arial"/>
          <w:i/>
          <w:iCs/>
          <w:sz w:val="24"/>
          <w:szCs w:val="24"/>
        </w:rPr>
        <w:t xml:space="preserve">This matter has been heard in terms of the Directives of the Judge President of this Division dated 25 March 2020, 24 April 2020, and 11 May 2020. The judgment and order are accordingly published and distributed electronically. </w:t>
      </w:r>
    </w:p>
    <w:p w14:paraId="0FADD6CA" w14:textId="77777777" w:rsidR="00353E42" w:rsidRPr="000E29DC" w:rsidRDefault="00353E42" w:rsidP="00353E42">
      <w:pPr>
        <w:pStyle w:val="BodyA"/>
        <w:rPr>
          <w:rFonts w:ascii="Arial" w:eastAsia="Arial" w:hAnsi="Arial" w:cs="Arial"/>
          <w:sz w:val="24"/>
          <w:szCs w:val="24"/>
        </w:rPr>
      </w:pPr>
    </w:p>
    <w:p w14:paraId="1B15BEE1" w14:textId="77777777" w:rsidR="00353E42" w:rsidRPr="000E29DC" w:rsidRDefault="00353E42" w:rsidP="00353E42">
      <w:pPr>
        <w:pStyle w:val="BodyA"/>
        <w:pBdr>
          <w:top w:val="single" w:sz="12" w:space="0" w:color="000000"/>
        </w:pBdr>
        <w:jc w:val="center"/>
        <w:rPr>
          <w:rFonts w:ascii="Arial" w:eastAsia="Arial" w:hAnsi="Arial" w:cs="Arial"/>
          <w:sz w:val="24"/>
          <w:szCs w:val="24"/>
        </w:rPr>
      </w:pPr>
    </w:p>
    <w:p w14:paraId="2C4879C2" w14:textId="77777777" w:rsidR="00353E42" w:rsidRPr="000E29DC" w:rsidRDefault="00353E42" w:rsidP="00353E42">
      <w:pPr>
        <w:pStyle w:val="BodyA"/>
        <w:pBdr>
          <w:bottom w:val="single" w:sz="12" w:space="0" w:color="000000"/>
        </w:pBdr>
        <w:jc w:val="center"/>
        <w:rPr>
          <w:rFonts w:ascii="Arial" w:hAnsi="Arial" w:cs="Arial"/>
          <w:sz w:val="24"/>
          <w:szCs w:val="24"/>
          <w:lang w:val="de-DE"/>
        </w:rPr>
      </w:pPr>
      <w:r w:rsidRPr="000E29DC">
        <w:rPr>
          <w:rFonts w:ascii="Arial" w:hAnsi="Arial" w:cs="Arial"/>
          <w:sz w:val="24"/>
          <w:szCs w:val="24"/>
          <w:lang w:val="de-DE"/>
        </w:rPr>
        <w:t>JUDG</w:t>
      </w:r>
      <w:r w:rsidRPr="000E29DC">
        <w:rPr>
          <w:rFonts w:ascii="Arial" w:hAnsi="Arial" w:cs="Arial"/>
          <w:sz w:val="24"/>
          <w:szCs w:val="24"/>
        </w:rPr>
        <w:t>E</w:t>
      </w:r>
      <w:r w:rsidRPr="000E29DC">
        <w:rPr>
          <w:rFonts w:ascii="Arial" w:hAnsi="Arial" w:cs="Arial"/>
          <w:sz w:val="24"/>
          <w:szCs w:val="24"/>
          <w:lang w:val="de-DE"/>
        </w:rPr>
        <w:t>MENT</w:t>
      </w:r>
    </w:p>
    <w:p w14:paraId="7373CDE8" w14:textId="77777777" w:rsidR="00353E42" w:rsidRPr="000E29DC" w:rsidRDefault="00353E42" w:rsidP="00353E42">
      <w:pPr>
        <w:pStyle w:val="BodyA"/>
        <w:pBdr>
          <w:bottom w:val="single" w:sz="12" w:space="0" w:color="000000"/>
        </w:pBdr>
        <w:jc w:val="center"/>
        <w:rPr>
          <w:rFonts w:ascii="Arial" w:eastAsia="Arial" w:hAnsi="Arial" w:cs="Arial"/>
          <w:sz w:val="24"/>
          <w:szCs w:val="24"/>
        </w:rPr>
      </w:pPr>
    </w:p>
    <w:p w14:paraId="3CAF3398" w14:textId="47380B81" w:rsidR="00353E42" w:rsidRPr="000E29DC" w:rsidRDefault="00353E42" w:rsidP="00353E42">
      <w:pPr>
        <w:pStyle w:val="BodyA"/>
        <w:spacing w:line="480" w:lineRule="auto"/>
        <w:rPr>
          <w:rFonts w:ascii="Arial" w:hAnsi="Arial" w:cs="Arial"/>
          <w:sz w:val="24"/>
          <w:szCs w:val="24"/>
        </w:rPr>
      </w:pPr>
      <w:r w:rsidRPr="000E29DC">
        <w:rPr>
          <w:rFonts w:ascii="Arial" w:hAnsi="Arial" w:cs="Arial"/>
          <w:sz w:val="24"/>
          <w:szCs w:val="24"/>
        </w:rPr>
        <w:t>NAUDE AJ:</w:t>
      </w:r>
    </w:p>
    <w:p w14:paraId="4C1E1E7E" w14:textId="77777777" w:rsidR="00103EED" w:rsidRPr="000E29DC" w:rsidRDefault="00103EED" w:rsidP="00353E42">
      <w:pPr>
        <w:pStyle w:val="BodyA"/>
        <w:spacing w:line="480" w:lineRule="auto"/>
        <w:rPr>
          <w:rFonts w:ascii="Arial" w:hAnsi="Arial" w:cs="Arial"/>
          <w:sz w:val="24"/>
          <w:szCs w:val="24"/>
        </w:rPr>
      </w:pPr>
    </w:p>
    <w:p w14:paraId="18147C2F" w14:textId="22A5825B" w:rsidR="00A24684"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lastRenderedPageBreak/>
        <w:t>1.</w:t>
      </w:r>
      <w:r w:rsidRPr="000E29DC">
        <w:rPr>
          <w:rFonts w:ascii="Arial" w:hAnsi="Arial" w:cs="Arial"/>
          <w:sz w:val="24"/>
          <w:szCs w:val="24"/>
        </w:rPr>
        <w:tab/>
      </w:r>
      <w:r w:rsidR="00D03AEC" w:rsidRPr="000E29DC">
        <w:rPr>
          <w:rFonts w:ascii="Arial" w:hAnsi="Arial" w:cs="Arial"/>
          <w:sz w:val="24"/>
          <w:szCs w:val="24"/>
        </w:rPr>
        <w:t>In this urgent sequestration application, the respondent filed her opposing affidavit on Monday the 13</w:t>
      </w:r>
      <w:r w:rsidR="00D03AEC" w:rsidRPr="000E29DC">
        <w:rPr>
          <w:rFonts w:ascii="Arial" w:hAnsi="Arial" w:cs="Arial"/>
          <w:sz w:val="24"/>
          <w:szCs w:val="24"/>
          <w:vertAlign w:val="superscript"/>
        </w:rPr>
        <w:t>th</w:t>
      </w:r>
      <w:r w:rsidR="00D03AEC" w:rsidRPr="000E29DC">
        <w:rPr>
          <w:rFonts w:ascii="Arial" w:hAnsi="Arial" w:cs="Arial"/>
          <w:sz w:val="24"/>
          <w:szCs w:val="24"/>
        </w:rPr>
        <w:t xml:space="preserve"> of November 2023 after the roll had closed on</w:t>
      </w:r>
      <w:r w:rsidR="00A83662" w:rsidRPr="000E29DC">
        <w:rPr>
          <w:rFonts w:ascii="Arial" w:hAnsi="Arial" w:cs="Arial"/>
          <w:sz w:val="24"/>
          <w:szCs w:val="24"/>
        </w:rPr>
        <w:t xml:space="preserve"> Thursday 9 November 2023 at 12:</w:t>
      </w:r>
      <w:r w:rsidR="00D03AEC" w:rsidRPr="000E29DC">
        <w:rPr>
          <w:rFonts w:ascii="Arial" w:hAnsi="Arial" w:cs="Arial"/>
          <w:sz w:val="24"/>
          <w:szCs w:val="24"/>
        </w:rPr>
        <w:t>00. A replying affidavit was delivered on the day of the hearing of 14</w:t>
      </w:r>
      <w:r w:rsidR="00D03AEC" w:rsidRPr="000E29DC">
        <w:rPr>
          <w:rFonts w:ascii="Arial" w:hAnsi="Arial" w:cs="Arial"/>
          <w:sz w:val="24"/>
          <w:szCs w:val="24"/>
          <w:vertAlign w:val="superscript"/>
        </w:rPr>
        <w:t>th</w:t>
      </w:r>
      <w:r w:rsidR="00D03AEC" w:rsidRPr="000E29DC">
        <w:rPr>
          <w:rFonts w:ascii="Arial" w:hAnsi="Arial" w:cs="Arial"/>
          <w:sz w:val="24"/>
          <w:szCs w:val="24"/>
        </w:rPr>
        <w:t xml:space="preserve"> November 20</w:t>
      </w:r>
      <w:r w:rsidR="00A83662" w:rsidRPr="000E29DC">
        <w:rPr>
          <w:rFonts w:ascii="Arial" w:hAnsi="Arial" w:cs="Arial"/>
          <w:sz w:val="24"/>
          <w:szCs w:val="24"/>
        </w:rPr>
        <w:t>23. The matter stood down to 15:</w:t>
      </w:r>
      <w:r w:rsidR="00D03AEC" w:rsidRPr="000E29DC">
        <w:rPr>
          <w:rFonts w:ascii="Arial" w:hAnsi="Arial" w:cs="Arial"/>
          <w:sz w:val="24"/>
          <w:szCs w:val="24"/>
        </w:rPr>
        <w:t>00 to afford the respondents legal team to consid</w:t>
      </w:r>
      <w:r w:rsidR="00A83662" w:rsidRPr="000E29DC">
        <w:rPr>
          <w:rFonts w:ascii="Arial" w:hAnsi="Arial" w:cs="Arial"/>
          <w:sz w:val="24"/>
          <w:szCs w:val="24"/>
        </w:rPr>
        <w:t>er the reply and take instructions. At 15:</w:t>
      </w:r>
      <w:r w:rsidR="00087B9D" w:rsidRPr="000E29DC">
        <w:rPr>
          <w:rFonts w:ascii="Arial" w:hAnsi="Arial" w:cs="Arial"/>
          <w:sz w:val="24"/>
          <w:szCs w:val="24"/>
        </w:rPr>
        <w:t>00 it was indicated that the respondent was</w:t>
      </w:r>
      <w:r w:rsidR="00D03AEC" w:rsidRPr="000E29DC">
        <w:rPr>
          <w:rFonts w:ascii="Arial" w:hAnsi="Arial" w:cs="Arial"/>
          <w:sz w:val="24"/>
          <w:szCs w:val="24"/>
        </w:rPr>
        <w:t xml:space="preserve"> ready to argue the matter.</w:t>
      </w:r>
    </w:p>
    <w:p w14:paraId="52E06CC0" w14:textId="5AD7C4CB" w:rsidR="00A83662"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w:t>
      </w:r>
      <w:r w:rsidRPr="000E29DC">
        <w:rPr>
          <w:rFonts w:ascii="Arial" w:hAnsi="Arial" w:cs="Arial"/>
          <w:sz w:val="24"/>
          <w:szCs w:val="24"/>
        </w:rPr>
        <w:tab/>
      </w:r>
      <w:r w:rsidR="00A83662" w:rsidRPr="000E29DC">
        <w:rPr>
          <w:rFonts w:ascii="Arial" w:hAnsi="Arial" w:cs="Arial"/>
          <w:sz w:val="24"/>
          <w:szCs w:val="24"/>
        </w:rPr>
        <w:t>The applicant handed the court the certificate of evidencing that security had be set and proof of service at the Master and Receiver of revenue.</w:t>
      </w:r>
    </w:p>
    <w:p w14:paraId="0E4C75F9" w14:textId="6182327D" w:rsidR="00A83662"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3.</w:t>
      </w:r>
      <w:r w:rsidRPr="000E29DC">
        <w:rPr>
          <w:rFonts w:ascii="Arial" w:hAnsi="Arial" w:cs="Arial"/>
          <w:sz w:val="24"/>
          <w:szCs w:val="24"/>
        </w:rPr>
        <w:tab/>
      </w:r>
      <w:r w:rsidR="00A83662" w:rsidRPr="000E29DC">
        <w:rPr>
          <w:rFonts w:ascii="Arial" w:hAnsi="Arial" w:cs="Arial"/>
          <w:sz w:val="24"/>
          <w:szCs w:val="24"/>
        </w:rPr>
        <w:t>The respondent proceeded to argue two points i</w:t>
      </w:r>
      <w:r w:rsidR="00A83662" w:rsidRPr="000E29DC">
        <w:rPr>
          <w:rFonts w:ascii="Arial" w:hAnsi="Arial" w:cs="Arial"/>
          <w:i/>
          <w:sz w:val="24"/>
          <w:szCs w:val="24"/>
        </w:rPr>
        <w:t xml:space="preserve">n </w:t>
      </w:r>
      <w:proofErr w:type="spellStart"/>
      <w:r w:rsidR="00A83662" w:rsidRPr="000E29DC">
        <w:rPr>
          <w:rFonts w:ascii="Arial" w:hAnsi="Arial" w:cs="Arial"/>
          <w:i/>
          <w:sz w:val="24"/>
          <w:szCs w:val="24"/>
        </w:rPr>
        <w:t>limine</w:t>
      </w:r>
      <w:proofErr w:type="spellEnd"/>
      <w:r w:rsidR="00A83662" w:rsidRPr="000E29DC">
        <w:rPr>
          <w:rFonts w:ascii="Arial" w:hAnsi="Arial" w:cs="Arial"/>
          <w:i/>
          <w:sz w:val="24"/>
          <w:szCs w:val="24"/>
        </w:rPr>
        <w:t xml:space="preserve"> </w:t>
      </w:r>
      <w:r w:rsidR="00A83662" w:rsidRPr="000E29DC">
        <w:rPr>
          <w:rFonts w:ascii="Arial" w:hAnsi="Arial" w:cs="Arial"/>
          <w:sz w:val="24"/>
          <w:szCs w:val="24"/>
        </w:rPr>
        <w:t xml:space="preserve">being lack of urgency and lack of </w:t>
      </w:r>
      <w:r w:rsidR="00A83662" w:rsidRPr="000E29DC">
        <w:rPr>
          <w:rFonts w:ascii="Arial" w:hAnsi="Arial" w:cs="Arial"/>
          <w:i/>
          <w:sz w:val="24"/>
          <w:szCs w:val="24"/>
        </w:rPr>
        <w:t xml:space="preserve">locus </w:t>
      </w:r>
      <w:proofErr w:type="spellStart"/>
      <w:r w:rsidR="00A83662" w:rsidRPr="000E29DC">
        <w:rPr>
          <w:rFonts w:ascii="Arial" w:hAnsi="Arial" w:cs="Arial"/>
          <w:i/>
          <w:sz w:val="24"/>
          <w:szCs w:val="24"/>
        </w:rPr>
        <w:t>standi</w:t>
      </w:r>
      <w:proofErr w:type="spellEnd"/>
      <w:r w:rsidR="00A83662" w:rsidRPr="000E29DC">
        <w:rPr>
          <w:rFonts w:ascii="Arial" w:hAnsi="Arial" w:cs="Arial"/>
          <w:sz w:val="24"/>
          <w:szCs w:val="24"/>
        </w:rPr>
        <w:t xml:space="preserve">. The </w:t>
      </w:r>
      <w:r w:rsidR="00A83662" w:rsidRPr="000E29DC">
        <w:rPr>
          <w:rFonts w:ascii="Arial" w:hAnsi="Arial" w:cs="Arial"/>
          <w:i/>
          <w:sz w:val="24"/>
          <w:szCs w:val="24"/>
        </w:rPr>
        <w:t xml:space="preserve">locus </w:t>
      </w:r>
      <w:proofErr w:type="spellStart"/>
      <w:r w:rsidR="00A83662" w:rsidRPr="000E29DC">
        <w:rPr>
          <w:rFonts w:ascii="Arial" w:hAnsi="Arial" w:cs="Arial"/>
          <w:i/>
          <w:sz w:val="24"/>
          <w:szCs w:val="24"/>
        </w:rPr>
        <w:t>standi</w:t>
      </w:r>
      <w:proofErr w:type="spellEnd"/>
      <w:r w:rsidR="0027200D">
        <w:rPr>
          <w:rFonts w:ascii="Arial" w:hAnsi="Arial" w:cs="Arial"/>
          <w:i/>
          <w:sz w:val="24"/>
          <w:szCs w:val="24"/>
        </w:rPr>
        <w:t xml:space="preserve"> </w:t>
      </w:r>
      <w:r w:rsidR="0027200D">
        <w:rPr>
          <w:rFonts w:ascii="Arial" w:hAnsi="Arial" w:cs="Arial"/>
          <w:sz w:val="24"/>
          <w:szCs w:val="24"/>
        </w:rPr>
        <w:t>challenge was on the basis of the</w:t>
      </w:r>
      <w:r w:rsidR="00A83662" w:rsidRPr="000E29DC">
        <w:rPr>
          <w:rFonts w:ascii="Arial" w:hAnsi="Arial" w:cs="Arial"/>
          <w:sz w:val="24"/>
          <w:szCs w:val="24"/>
        </w:rPr>
        <w:t xml:space="preserve"> applicant not being a creditor or having a liquidated claim.</w:t>
      </w:r>
    </w:p>
    <w:p w14:paraId="2D832100" w14:textId="1AB65FB4" w:rsidR="00A83662"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4.</w:t>
      </w:r>
      <w:r w:rsidRPr="000E29DC">
        <w:rPr>
          <w:rFonts w:ascii="Arial" w:hAnsi="Arial" w:cs="Arial"/>
          <w:sz w:val="24"/>
          <w:szCs w:val="24"/>
        </w:rPr>
        <w:tab/>
      </w:r>
      <w:r w:rsidR="00087B9D" w:rsidRPr="000E29DC">
        <w:rPr>
          <w:rFonts w:ascii="Arial" w:hAnsi="Arial" w:cs="Arial"/>
          <w:sz w:val="24"/>
          <w:szCs w:val="24"/>
        </w:rPr>
        <w:t>I found the continuous</w:t>
      </w:r>
      <w:r w:rsidR="00A83662" w:rsidRPr="000E29DC">
        <w:rPr>
          <w:rFonts w:ascii="Arial" w:hAnsi="Arial" w:cs="Arial"/>
          <w:sz w:val="24"/>
          <w:szCs w:val="24"/>
        </w:rPr>
        <w:t xml:space="preserve"> risk of dissipation of assets to the detriment of a body of creditors was sufficient for the matter to be dealt with on an urgent basis. The applicants evidence that an investigation into cash flow problems revealed that the applicant was conducting a lifestyle that did not accord with her income. </w:t>
      </w:r>
      <w:r w:rsidR="00087B9D" w:rsidRPr="000E29DC">
        <w:rPr>
          <w:rFonts w:ascii="Arial" w:hAnsi="Arial" w:cs="Arial"/>
          <w:sz w:val="24"/>
          <w:szCs w:val="24"/>
        </w:rPr>
        <w:t>The inability to repay amounts received was confirmed in writing</w:t>
      </w:r>
      <w:r w:rsidR="0062329A">
        <w:rPr>
          <w:rFonts w:ascii="Arial" w:hAnsi="Arial" w:cs="Arial"/>
          <w:sz w:val="24"/>
          <w:szCs w:val="24"/>
        </w:rPr>
        <w:t>.</w:t>
      </w:r>
      <w:r w:rsidR="00087B9D" w:rsidRPr="000E29DC">
        <w:rPr>
          <w:rFonts w:ascii="Arial" w:hAnsi="Arial" w:cs="Arial"/>
          <w:sz w:val="24"/>
          <w:szCs w:val="24"/>
        </w:rPr>
        <w:t xml:space="preserve"> </w:t>
      </w:r>
      <w:r w:rsidR="0062329A">
        <w:rPr>
          <w:rFonts w:ascii="Arial" w:hAnsi="Arial" w:cs="Arial"/>
          <w:sz w:val="24"/>
          <w:szCs w:val="24"/>
        </w:rPr>
        <w:t>T</w:t>
      </w:r>
      <w:r w:rsidR="00087B9D" w:rsidRPr="000E29DC">
        <w:rPr>
          <w:rFonts w:ascii="Arial" w:hAnsi="Arial" w:cs="Arial"/>
          <w:sz w:val="24"/>
          <w:szCs w:val="24"/>
        </w:rPr>
        <w:t xml:space="preserve">his was indicative of the dissipation of assets. </w:t>
      </w:r>
    </w:p>
    <w:p w14:paraId="292FA9B6" w14:textId="47BF8DF9" w:rsidR="00A83662"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5.</w:t>
      </w:r>
      <w:r w:rsidRPr="000E29DC">
        <w:rPr>
          <w:rFonts w:ascii="Arial" w:hAnsi="Arial" w:cs="Arial"/>
          <w:sz w:val="24"/>
          <w:szCs w:val="24"/>
        </w:rPr>
        <w:tab/>
      </w:r>
      <w:r w:rsidR="00A83662" w:rsidRPr="000E29DC">
        <w:rPr>
          <w:rFonts w:ascii="Arial" w:hAnsi="Arial" w:cs="Arial"/>
          <w:sz w:val="24"/>
          <w:szCs w:val="24"/>
        </w:rPr>
        <w:t xml:space="preserve">The applicant during its investigation had brought a court application for the bank statements of the respondent at Standard Bank. A cost order was granted against the respondent in </w:t>
      </w:r>
      <w:proofErr w:type="spellStart"/>
      <w:r w:rsidR="00A83662" w:rsidRPr="000E29DC">
        <w:rPr>
          <w:rFonts w:ascii="Arial" w:hAnsi="Arial" w:cs="Arial"/>
          <w:sz w:val="24"/>
          <w:szCs w:val="24"/>
        </w:rPr>
        <w:t>favour</w:t>
      </w:r>
      <w:proofErr w:type="spellEnd"/>
      <w:r w:rsidR="00A83662" w:rsidRPr="000E29DC">
        <w:rPr>
          <w:rFonts w:ascii="Arial" w:hAnsi="Arial" w:cs="Arial"/>
          <w:sz w:val="24"/>
          <w:szCs w:val="24"/>
        </w:rPr>
        <w:t xml:space="preserve"> of the applicant. It was confirmed during argument that these were the respondent’s st</w:t>
      </w:r>
      <w:r w:rsidR="00087B9D" w:rsidRPr="000E29DC">
        <w:rPr>
          <w:rFonts w:ascii="Arial" w:hAnsi="Arial" w:cs="Arial"/>
          <w:sz w:val="24"/>
          <w:szCs w:val="24"/>
        </w:rPr>
        <w:t xml:space="preserve">atements. The respondent was in an administrative position </w:t>
      </w:r>
      <w:r w:rsidR="00A83662" w:rsidRPr="000E29DC">
        <w:rPr>
          <w:rFonts w:ascii="Arial" w:hAnsi="Arial" w:cs="Arial"/>
          <w:sz w:val="24"/>
          <w:szCs w:val="24"/>
        </w:rPr>
        <w:t>employed by the applicant. Her salary was paid into a different account than this Standard Bank account.</w:t>
      </w:r>
    </w:p>
    <w:p w14:paraId="55732A00" w14:textId="4568277C" w:rsidR="008558D1"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lastRenderedPageBreak/>
        <w:t>6.</w:t>
      </w:r>
      <w:r w:rsidRPr="000E29DC">
        <w:rPr>
          <w:rFonts w:ascii="Arial" w:hAnsi="Arial" w:cs="Arial"/>
          <w:sz w:val="24"/>
          <w:szCs w:val="24"/>
        </w:rPr>
        <w:tab/>
      </w:r>
      <w:r w:rsidR="008558D1" w:rsidRPr="000E29DC">
        <w:rPr>
          <w:rFonts w:ascii="Arial" w:hAnsi="Arial" w:cs="Arial"/>
          <w:sz w:val="24"/>
          <w:szCs w:val="24"/>
        </w:rPr>
        <w:t xml:space="preserve">The applicant, in its founding papers tendered the bank statements of the respondent and those of a Director of the applicant a Ms. </w:t>
      </w:r>
      <w:proofErr w:type="spellStart"/>
      <w:r w:rsidR="008558D1" w:rsidRPr="000E29DC">
        <w:rPr>
          <w:rFonts w:ascii="Arial" w:hAnsi="Arial" w:cs="Arial"/>
          <w:sz w:val="24"/>
          <w:szCs w:val="24"/>
        </w:rPr>
        <w:t>Nompumelelo</w:t>
      </w:r>
      <w:proofErr w:type="spellEnd"/>
      <w:r w:rsidR="008558D1" w:rsidRPr="000E29DC">
        <w:rPr>
          <w:rFonts w:ascii="Arial" w:hAnsi="Arial" w:cs="Arial"/>
          <w:sz w:val="24"/>
          <w:szCs w:val="24"/>
        </w:rPr>
        <w:t xml:space="preserve"> </w:t>
      </w:r>
      <w:proofErr w:type="spellStart"/>
      <w:r w:rsidR="008558D1" w:rsidRPr="000E29DC">
        <w:rPr>
          <w:rFonts w:ascii="Arial" w:hAnsi="Arial" w:cs="Arial"/>
          <w:sz w:val="24"/>
          <w:szCs w:val="24"/>
        </w:rPr>
        <w:t>Udemba</w:t>
      </w:r>
      <w:proofErr w:type="spellEnd"/>
      <w:r w:rsidR="008558D1" w:rsidRPr="000E29DC">
        <w:rPr>
          <w:rFonts w:ascii="Arial" w:hAnsi="Arial" w:cs="Arial"/>
          <w:sz w:val="24"/>
          <w:szCs w:val="24"/>
        </w:rPr>
        <w:t xml:space="preserve">. The tender of the bank statements was not utilized by the respondent or her legal advisors.  </w:t>
      </w:r>
    </w:p>
    <w:p w14:paraId="1DFD361D" w14:textId="3A3CB13C" w:rsidR="00794A17"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7.</w:t>
      </w:r>
      <w:r w:rsidRPr="000E29DC">
        <w:rPr>
          <w:rFonts w:ascii="Arial" w:hAnsi="Arial" w:cs="Arial"/>
          <w:sz w:val="24"/>
          <w:szCs w:val="24"/>
        </w:rPr>
        <w:tab/>
      </w:r>
      <w:r w:rsidR="00794A17" w:rsidRPr="000E29DC">
        <w:rPr>
          <w:rFonts w:ascii="Arial" w:hAnsi="Arial" w:cs="Arial"/>
          <w:sz w:val="24"/>
          <w:szCs w:val="24"/>
        </w:rPr>
        <w:t xml:space="preserve">These bank statements were analyzed. An amount of R 1 203 320.00 had been paid into this Standard Bank account from the account of Ms. </w:t>
      </w:r>
      <w:proofErr w:type="spellStart"/>
      <w:r w:rsidR="00794A17" w:rsidRPr="000E29DC">
        <w:rPr>
          <w:rFonts w:ascii="Arial" w:hAnsi="Arial" w:cs="Arial"/>
          <w:sz w:val="24"/>
          <w:szCs w:val="24"/>
        </w:rPr>
        <w:t>Udemba</w:t>
      </w:r>
      <w:proofErr w:type="spellEnd"/>
      <w:r w:rsidR="00794A17" w:rsidRPr="000E29DC">
        <w:rPr>
          <w:rFonts w:ascii="Arial" w:hAnsi="Arial" w:cs="Arial"/>
          <w:sz w:val="24"/>
          <w:szCs w:val="24"/>
        </w:rPr>
        <w:t xml:space="preserve"> during the period covered by the initial investigation. This period r</w:t>
      </w:r>
      <w:r w:rsidR="00F61116" w:rsidRPr="000E29DC">
        <w:rPr>
          <w:rFonts w:ascii="Arial" w:hAnsi="Arial" w:cs="Arial"/>
          <w:sz w:val="24"/>
          <w:szCs w:val="24"/>
        </w:rPr>
        <w:t>an from March 2022 to June 2023.</w:t>
      </w:r>
    </w:p>
    <w:p w14:paraId="1075FD40" w14:textId="6595ADE2" w:rsidR="00794A17"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8.</w:t>
      </w:r>
      <w:r w:rsidRPr="000E29DC">
        <w:rPr>
          <w:rFonts w:ascii="Arial" w:hAnsi="Arial" w:cs="Arial"/>
          <w:sz w:val="24"/>
          <w:szCs w:val="24"/>
        </w:rPr>
        <w:tab/>
      </w:r>
      <w:r w:rsidR="00794A17" w:rsidRPr="000E29DC">
        <w:rPr>
          <w:rFonts w:ascii="Arial" w:hAnsi="Arial" w:cs="Arial"/>
          <w:sz w:val="24"/>
          <w:szCs w:val="24"/>
        </w:rPr>
        <w:t xml:space="preserve">The dates of these payments into this Standard Bank account followed payments </w:t>
      </w:r>
      <w:r w:rsidR="00F61116" w:rsidRPr="000E29DC">
        <w:rPr>
          <w:rFonts w:ascii="Arial" w:hAnsi="Arial" w:cs="Arial"/>
          <w:sz w:val="24"/>
          <w:szCs w:val="24"/>
        </w:rPr>
        <w:t>to</w:t>
      </w:r>
      <w:r w:rsidR="00794A17" w:rsidRPr="000E29DC">
        <w:rPr>
          <w:rFonts w:ascii="Arial" w:hAnsi="Arial" w:cs="Arial"/>
          <w:sz w:val="24"/>
          <w:szCs w:val="24"/>
        </w:rPr>
        <w:t xml:space="preserve"> service providers of the applicant. The one service provider was Mr. </w:t>
      </w:r>
      <w:proofErr w:type="spellStart"/>
      <w:r w:rsidR="00794A17" w:rsidRPr="000E29DC">
        <w:rPr>
          <w:rFonts w:ascii="Arial" w:hAnsi="Arial" w:cs="Arial"/>
          <w:sz w:val="24"/>
          <w:szCs w:val="24"/>
        </w:rPr>
        <w:t>Oswell</w:t>
      </w:r>
      <w:proofErr w:type="spellEnd"/>
      <w:r w:rsidR="00794A17" w:rsidRPr="000E29DC">
        <w:rPr>
          <w:rFonts w:ascii="Arial" w:hAnsi="Arial" w:cs="Arial"/>
          <w:sz w:val="24"/>
          <w:szCs w:val="24"/>
        </w:rPr>
        <w:t xml:space="preserve"> </w:t>
      </w:r>
      <w:proofErr w:type="spellStart"/>
      <w:r w:rsidR="00794A17" w:rsidRPr="000E29DC">
        <w:rPr>
          <w:rFonts w:ascii="Arial" w:hAnsi="Arial" w:cs="Arial"/>
          <w:sz w:val="24"/>
          <w:szCs w:val="24"/>
        </w:rPr>
        <w:t>Fana</w:t>
      </w:r>
      <w:proofErr w:type="spellEnd"/>
      <w:r w:rsidR="00794A17" w:rsidRPr="000E29DC">
        <w:rPr>
          <w:rFonts w:ascii="Arial" w:hAnsi="Arial" w:cs="Arial"/>
          <w:sz w:val="24"/>
          <w:szCs w:val="24"/>
        </w:rPr>
        <w:t xml:space="preserve"> of VL Logistics or Ventured Logistics. It was not disputed that Mr. </w:t>
      </w:r>
      <w:proofErr w:type="spellStart"/>
      <w:r w:rsidR="00794A17" w:rsidRPr="000E29DC">
        <w:rPr>
          <w:rFonts w:ascii="Arial" w:hAnsi="Arial" w:cs="Arial"/>
          <w:sz w:val="24"/>
          <w:szCs w:val="24"/>
        </w:rPr>
        <w:t>Fana</w:t>
      </w:r>
      <w:proofErr w:type="spellEnd"/>
      <w:r w:rsidR="00794A17" w:rsidRPr="000E29DC">
        <w:rPr>
          <w:rFonts w:ascii="Arial" w:hAnsi="Arial" w:cs="Arial"/>
          <w:sz w:val="24"/>
          <w:szCs w:val="24"/>
        </w:rPr>
        <w:t xml:space="preserve"> is the partner of </w:t>
      </w:r>
      <w:proofErr w:type="spellStart"/>
      <w:r w:rsidR="00794A17" w:rsidRPr="000E29DC">
        <w:rPr>
          <w:rFonts w:ascii="Arial" w:hAnsi="Arial" w:cs="Arial"/>
          <w:sz w:val="24"/>
          <w:szCs w:val="24"/>
        </w:rPr>
        <w:t>Mrs</w:t>
      </w:r>
      <w:proofErr w:type="spellEnd"/>
      <w:r w:rsidR="00794A17" w:rsidRPr="000E29DC">
        <w:rPr>
          <w:rFonts w:ascii="Arial" w:hAnsi="Arial" w:cs="Arial"/>
          <w:sz w:val="24"/>
          <w:szCs w:val="24"/>
        </w:rPr>
        <w:t xml:space="preserve"> </w:t>
      </w:r>
      <w:proofErr w:type="spellStart"/>
      <w:r w:rsidR="00794A17" w:rsidRPr="000E29DC">
        <w:rPr>
          <w:rFonts w:ascii="Arial" w:hAnsi="Arial" w:cs="Arial"/>
          <w:sz w:val="24"/>
          <w:szCs w:val="24"/>
        </w:rPr>
        <w:t>Udemba’s</w:t>
      </w:r>
      <w:proofErr w:type="spellEnd"/>
      <w:r w:rsidR="00794A17" w:rsidRPr="000E29DC">
        <w:rPr>
          <w:rFonts w:ascii="Arial" w:hAnsi="Arial" w:cs="Arial"/>
          <w:sz w:val="24"/>
          <w:szCs w:val="24"/>
        </w:rPr>
        <w:t xml:space="preserve"> daughter, Ms. Pinky </w:t>
      </w:r>
      <w:proofErr w:type="spellStart"/>
      <w:r w:rsidR="00794A17" w:rsidRPr="000E29DC">
        <w:rPr>
          <w:rFonts w:ascii="Arial" w:hAnsi="Arial" w:cs="Arial"/>
          <w:sz w:val="24"/>
          <w:szCs w:val="24"/>
        </w:rPr>
        <w:t>Nlega</w:t>
      </w:r>
      <w:proofErr w:type="spellEnd"/>
      <w:r w:rsidR="00794A17" w:rsidRPr="000E29DC">
        <w:rPr>
          <w:rFonts w:ascii="Arial" w:hAnsi="Arial" w:cs="Arial"/>
          <w:sz w:val="24"/>
          <w:szCs w:val="24"/>
        </w:rPr>
        <w:t xml:space="preserve">. The other service provider was a Mr. Reginald </w:t>
      </w:r>
      <w:proofErr w:type="spellStart"/>
      <w:r w:rsidR="00794A17" w:rsidRPr="000E29DC">
        <w:rPr>
          <w:rFonts w:ascii="Arial" w:hAnsi="Arial" w:cs="Arial"/>
          <w:sz w:val="24"/>
          <w:szCs w:val="24"/>
        </w:rPr>
        <w:t>Ayanda</w:t>
      </w:r>
      <w:proofErr w:type="spellEnd"/>
      <w:r w:rsidR="00794A17" w:rsidRPr="000E29DC">
        <w:rPr>
          <w:rFonts w:ascii="Arial" w:hAnsi="Arial" w:cs="Arial"/>
          <w:sz w:val="24"/>
          <w:szCs w:val="24"/>
        </w:rPr>
        <w:t xml:space="preserve"> </w:t>
      </w:r>
      <w:proofErr w:type="spellStart"/>
      <w:r w:rsidR="00794A17" w:rsidRPr="000E29DC">
        <w:rPr>
          <w:rFonts w:ascii="Arial" w:hAnsi="Arial" w:cs="Arial"/>
          <w:sz w:val="24"/>
          <w:szCs w:val="24"/>
        </w:rPr>
        <w:t>Mtshali</w:t>
      </w:r>
      <w:proofErr w:type="spellEnd"/>
      <w:r w:rsidR="00794A17" w:rsidRPr="000E29DC">
        <w:rPr>
          <w:rFonts w:ascii="Arial" w:hAnsi="Arial" w:cs="Arial"/>
          <w:sz w:val="24"/>
          <w:szCs w:val="24"/>
        </w:rPr>
        <w:t xml:space="preserve"> o</w:t>
      </w:r>
      <w:r w:rsidR="00F61116" w:rsidRPr="000E29DC">
        <w:rPr>
          <w:rFonts w:ascii="Arial" w:hAnsi="Arial" w:cs="Arial"/>
          <w:sz w:val="24"/>
          <w:szCs w:val="24"/>
        </w:rPr>
        <w:t xml:space="preserve">f </w:t>
      </w:r>
      <w:proofErr w:type="spellStart"/>
      <w:r w:rsidR="00F61116" w:rsidRPr="000E29DC">
        <w:rPr>
          <w:rFonts w:ascii="Arial" w:hAnsi="Arial" w:cs="Arial"/>
          <w:sz w:val="24"/>
          <w:szCs w:val="24"/>
        </w:rPr>
        <w:t>Reginalds</w:t>
      </w:r>
      <w:proofErr w:type="spellEnd"/>
      <w:r w:rsidR="00F61116" w:rsidRPr="000E29DC">
        <w:rPr>
          <w:rFonts w:ascii="Arial" w:hAnsi="Arial" w:cs="Arial"/>
          <w:sz w:val="24"/>
          <w:szCs w:val="24"/>
        </w:rPr>
        <w:t xml:space="preserve"> Services and </w:t>
      </w:r>
      <w:proofErr w:type="spellStart"/>
      <w:r w:rsidR="00F61116" w:rsidRPr="000E29DC">
        <w:rPr>
          <w:rFonts w:ascii="Arial" w:hAnsi="Arial" w:cs="Arial"/>
          <w:sz w:val="24"/>
          <w:szCs w:val="24"/>
        </w:rPr>
        <w:t>Sizaban</w:t>
      </w:r>
      <w:r w:rsidR="00794A17" w:rsidRPr="000E29DC">
        <w:rPr>
          <w:rFonts w:ascii="Arial" w:hAnsi="Arial" w:cs="Arial"/>
          <w:sz w:val="24"/>
          <w:szCs w:val="24"/>
        </w:rPr>
        <w:t>tu</w:t>
      </w:r>
      <w:proofErr w:type="spellEnd"/>
      <w:r w:rsidR="00794A17" w:rsidRPr="000E29DC">
        <w:rPr>
          <w:rFonts w:ascii="Arial" w:hAnsi="Arial" w:cs="Arial"/>
          <w:sz w:val="24"/>
          <w:szCs w:val="24"/>
        </w:rPr>
        <w:t xml:space="preserve"> Brothers (Pty) Ltd.  The applicant determin</w:t>
      </w:r>
      <w:r w:rsidR="0062329A">
        <w:rPr>
          <w:rFonts w:ascii="Arial" w:hAnsi="Arial" w:cs="Arial"/>
          <w:sz w:val="24"/>
          <w:szCs w:val="24"/>
        </w:rPr>
        <w:t>ed that he was the partner of M</w:t>
      </w:r>
      <w:r w:rsidR="00794A17" w:rsidRPr="000E29DC">
        <w:rPr>
          <w:rFonts w:ascii="Arial" w:hAnsi="Arial" w:cs="Arial"/>
          <w:sz w:val="24"/>
          <w:szCs w:val="24"/>
        </w:rPr>
        <w:t xml:space="preserve">s. </w:t>
      </w:r>
      <w:proofErr w:type="spellStart"/>
      <w:r w:rsidR="00794A17" w:rsidRPr="000E29DC">
        <w:rPr>
          <w:rFonts w:ascii="Arial" w:hAnsi="Arial" w:cs="Arial"/>
          <w:sz w:val="24"/>
          <w:szCs w:val="24"/>
        </w:rPr>
        <w:t>Udemba</w:t>
      </w:r>
      <w:proofErr w:type="spellEnd"/>
      <w:r w:rsidR="00794A17" w:rsidRPr="000E29DC">
        <w:rPr>
          <w:rFonts w:ascii="Arial" w:hAnsi="Arial" w:cs="Arial"/>
          <w:sz w:val="24"/>
          <w:szCs w:val="24"/>
        </w:rPr>
        <w:t>.</w:t>
      </w:r>
      <w:r w:rsidR="0062329A">
        <w:rPr>
          <w:rFonts w:ascii="Arial" w:hAnsi="Arial" w:cs="Arial"/>
          <w:sz w:val="24"/>
          <w:szCs w:val="24"/>
        </w:rPr>
        <w:t xml:space="preserve"> These facts were not dealt with by the respondent and are deemed to be admitted. </w:t>
      </w:r>
    </w:p>
    <w:p w14:paraId="3FCA4DD5" w14:textId="0F23A5A0" w:rsidR="00794A17"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9.</w:t>
      </w:r>
      <w:r w:rsidRPr="000E29DC">
        <w:rPr>
          <w:rFonts w:ascii="Arial" w:hAnsi="Arial" w:cs="Arial"/>
          <w:sz w:val="24"/>
          <w:szCs w:val="24"/>
        </w:rPr>
        <w:tab/>
      </w:r>
      <w:r w:rsidR="00794A17" w:rsidRPr="000E29DC">
        <w:rPr>
          <w:rFonts w:ascii="Arial" w:hAnsi="Arial" w:cs="Arial"/>
          <w:sz w:val="24"/>
          <w:szCs w:val="24"/>
        </w:rPr>
        <w:t xml:space="preserve">The analysis of the bank statements of Ms. </w:t>
      </w:r>
      <w:proofErr w:type="spellStart"/>
      <w:r w:rsidR="00794A17" w:rsidRPr="000E29DC">
        <w:rPr>
          <w:rFonts w:ascii="Arial" w:hAnsi="Arial" w:cs="Arial"/>
          <w:sz w:val="24"/>
          <w:szCs w:val="24"/>
        </w:rPr>
        <w:t>Udemba</w:t>
      </w:r>
      <w:proofErr w:type="spellEnd"/>
      <w:r w:rsidR="00794A17" w:rsidRPr="000E29DC">
        <w:rPr>
          <w:rFonts w:ascii="Arial" w:hAnsi="Arial" w:cs="Arial"/>
          <w:sz w:val="24"/>
          <w:szCs w:val="24"/>
        </w:rPr>
        <w:t xml:space="preserve"> (director) and the respondent (administrator of the applicant) was set out in an annexure. Ms. </w:t>
      </w:r>
      <w:proofErr w:type="spellStart"/>
      <w:r w:rsidR="00794A17" w:rsidRPr="000E29DC">
        <w:rPr>
          <w:rFonts w:ascii="Arial" w:hAnsi="Arial" w:cs="Arial"/>
          <w:sz w:val="24"/>
          <w:szCs w:val="24"/>
        </w:rPr>
        <w:t>Udemba’s</w:t>
      </w:r>
      <w:proofErr w:type="spellEnd"/>
      <w:r w:rsidR="00794A17" w:rsidRPr="000E29DC">
        <w:rPr>
          <w:rFonts w:ascii="Arial" w:hAnsi="Arial" w:cs="Arial"/>
          <w:sz w:val="24"/>
          <w:szCs w:val="24"/>
        </w:rPr>
        <w:t xml:space="preserve"> bank statements had also been obtai</w:t>
      </w:r>
      <w:r w:rsidR="0062329A">
        <w:rPr>
          <w:rFonts w:ascii="Arial" w:hAnsi="Arial" w:cs="Arial"/>
          <w:sz w:val="24"/>
          <w:szCs w:val="24"/>
        </w:rPr>
        <w:t>ned. The analysis showed that M</w:t>
      </w:r>
      <w:r w:rsidR="00794A17" w:rsidRPr="000E29DC">
        <w:rPr>
          <w:rFonts w:ascii="Arial" w:hAnsi="Arial" w:cs="Arial"/>
          <w:sz w:val="24"/>
          <w:szCs w:val="24"/>
        </w:rPr>
        <w:t xml:space="preserve">s. </w:t>
      </w:r>
      <w:proofErr w:type="spellStart"/>
      <w:r w:rsidR="00794A17" w:rsidRPr="000E29DC">
        <w:rPr>
          <w:rFonts w:ascii="Arial" w:hAnsi="Arial" w:cs="Arial"/>
          <w:sz w:val="24"/>
          <w:szCs w:val="24"/>
        </w:rPr>
        <w:t>Udemba</w:t>
      </w:r>
      <w:proofErr w:type="spellEnd"/>
      <w:r w:rsidR="00794A17" w:rsidRPr="000E29DC">
        <w:rPr>
          <w:rFonts w:ascii="Arial" w:hAnsi="Arial" w:cs="Arial"/>
          <w:sz w:val="24"/>
          <w:szCs w:val="24"/>
        </w:rPr>
        <w:t xml:space="preserve"> had received in excess of R 8 million rand from the service providers and Ms. Pinky </w:t>
      </w:r>
      <w:proofErr w:type="spellStart"/>
      <w:r w:rsidR="00794A17" w:rsidRPr="000E29DC">
        <w:rPr>
          <w:rFonts w:ascii="Arial" w:hAnsi="Arial" w:cs="Arial"/>
          <w:sz w:val="24"/>
          <w:szCs w:val="24"/>
        </w:rPr>
        <w:t>Nlega</w:t>
      </w:r>
      <w:proofErr w:type="spellEnd"/>
      <w:r w:rsidR="00794A17" w:rsidRPr="000E29DC">
        <w:rPr>
          <w:rFonts w:ascii="Arial" w:hAnsi="Arial" w:cs="Arial"/>
          <w:sz w:val="24"/>
          <w:szCs w:val="24"/>
        </w:rPr>
        <w:t xml:space="preserve">. Ms. </w:t>
      </w:r>
      <w:proofErr w:type="spellStart"/>
      <w:r w:rsidR="00794A17" w:rsidRPr="000E29DC">
        <w:rPr>
          <w:rFonts w:ascii="Arial" w:hAnsi="Arial" w:cs="Arial"/>
          <w:sz w:val="24"/>
          <w:szCs w:val="24"/>
        </w:rPr>
        <w:t>Udemba</w:t>
      </w:r>
      <w:proofErr w:type="spellEnd"/>
      <w:r w:rsidR="00794A17" w:rsidRPr="000E29DC">
        <w:rPr>
          <w:rFonts w:ascii="Arial" w:hAnsi="Arial" w:cs="Arial"/>
          <w:sz w:val="24"/>
          <w:szCs w:val="24"/>
        </w:rPr>
        <w:t xml:space="preserve"> in turn paid the respondent. There were further substantial amounts received by the respondent into her Standard Bank account from other sources </w:t>
      </w:r>
      <w:r w:rsidR="00F61116" w:rsidRPr="000E29DC">
        <w:rPr>
          <w:rFonts w:ascii="Arial" w:hAnsi="Arial" w:cs="Arial"/>
          <w:sz w:val="24"/>
          <w:szCs w:val="24"/>
        </w:rPr>
        <w:t>linked to fraudulent transactions</w:t>
      </w:r>
      <w:r w:rsidR="00794A17" w:rsidRPr="000E29DC">
        <w:rPr>
          <w:rFonts w:ascii="Arial" w:hAnsi="Arial" w:cs="Arial"/>
          <w:sz w:val="24"/>
          <w:szCs w:val="24"/>
        </w:rPr>
        <w:t>, which are unnecessary to deal with.</w:t>
      </w:r>
    </w:p>
    <w:p w14:paraId="15098493" w14:textId="38CC4298" w:rsidR="00A83662"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10.</w:t>
      </w:r>
      <w:r w:rsidRPr="000E29DC">
        <w:rPr>
          <w:rFonts w:ascii="Arial" w:hAnsi="Arial" w:cs="Arial"/>
          <w:sz w:val="24"/>
          <w:szCs w:val="24"/>
        </w:rPr>
        <w:tab/>
      </w:r>
      <w:r w:rsidR="00794A17" w:rsidRPr="000E29DC">
        <w:rPr>
          <w:rFonts w:ascii="Arial" w:hAnsi="Arial" w:cs="Arial"/>
          <w:sz w:val="24"/>
          <w:szCs w:val="24"/>
        </w:rPr>
        <w:t xml:space="preserve">The analysis </w:t>
      </w:r>
      <w:r w:rsidR="002B7EA3" w:rsidRPr="000E29DC">
        <w:rPr>
          <w:rFonts w:ascii="Arial" w:hAnsi="Arial" w:cs="Arial"/>
          <w:sz w:val="24"/>
          <w:szCs w:val="24"/>
        </w:rPr>
        <w:t xml:space="preserve">of the transactions linked to the bank statements </w:t>
      </w:r>
      <w:r w:rsidR="00794A17" w:rsidRPr="000E29DC">
        <w:rPr>
          <w:rFonts w:ascii="Arial" w:hAnsi="Arial" w:cs="Arial"/>
          <w:sz w:val="24"/>
          <w:szCs w:val="24"/>
        </w:rPr>
        <w:t>was denied</w:t>
      </w:r>
      <w:r w:rsidR="002B7EA3" w:rsidRPr="000E29DC">
        <w:rPr>
          <w:rFonts w:ascii="Arial" w:hAnsi="Arial" w:cs="Arial"/>
          <w:sz w:val="24"/>
          <w:szCs w:val="24"/>
        </w:rPr>
        <w:t>. T</w:t>
      </w:r>
      <w:r w:rsidR="00794A17" w:rsidRPr="000E29DC">
        <w:rPr>
          <w:rFonts w:ascii="Arial" w:hAnsi="Arial" w:cs="Arial"/>
          <w:sz w:val="24"/>
          <w:szCs w:val="24"/>
        </w:rPr>
        <w:t>he previous</w:t>
      </w:r>
      <w:r w:rsidR="0062329A">
        <w:rPr>
          <w:rFonts w:ascii="Arial" w:hAnsi="Arial" w:cs="Arial"/>
          <w:sz w:val="24"/>
          <w:szCs w:val="24"/>
        </w:rPr>
        <w:t>ly</w:t>
      </w:r>
      <w:r w:rsidR="00794A17" w:rsidRPr="000E29DC">
        <w:rPr>
          <w:rFonts w:ascii="Arial" w:hAnsi="Arial" w:cs="Arial"/>
          <w:sz w:val="24"/>
          <w:szCs w:val="24"/>
        </w:rPr>
        <w:t xml:space="preserve"> tendered bank statements were attached to the replying papers.</w:t>
      </w:r>
    </w:p>
    <w:p w14:paraId="5BD82624" w14:textId="31342716" w:rsidR="00794A17"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lastRenderedPageBreak/>
        <w:t>11.</w:t>
      </w:r>
      <w:r w:rsidRPr="000E29DC">
        <w:rPr>
          <w:rFonts w:ascii="Arial" w:hAnsi="Arial" w:cs="Arial"/>
          <w:sz w:val="24"/>
          <w:szCs w:val="24"/>
        </w:rPr>
        <w:tab/>
      </w:r>
      <w:r w:rsidR="00794A17" w:rsidRPr="000E29DC">
        <w:rPr>
          <w:rFonts w:ascii="Arial" w:hAnsi="Arial" w:cs="Arial"/>
          <w:sz w:val="24"/>
          <w:szCs w:val="24"/>
        </w:rPr>
        <w:t xml:space="preserve">During argument I asked for an example of such an alleged fraudulent flow of money to the respondent with reference to the documents before court. </w:t>
      </w:r>
    </w:p>
    <w:p w14:paraId="7A6D60E2" w14:textId="526614AE" w:rsidR="00794A17"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12.</w:t>
      </w:r>
      <w:r w:rsidRPr="000E29DC">
        <w:rPr>
          <w:rFonts w:ascii="Arial" w:hAnsi="Arial" w:cs="Arial"/>
          <w:sz w:val="24"/>
          <w:szCs w:val="24"/>
        </w:rPr>
        <w:tab/>
      </w:r>
      <w:r w:rsidR="00794A17" w:rsidRPr="000E29DC">
        <w:rPr>
          <w:rFonts w:ascii="Arial" w:hAnsi="Arial" w:cs="Arial"/>
          <w:sz w:val="24"/>
          <w:szCs w:val="24"/>
        </w:rPr>
        <w:t>I was referred to an invoice dated the 10</w:t>
      </w:r>
      <w:r w:rsidR="00794A17" w:rsidRPr="000E29DC">
        <w:rPr>
          <w:rFonts w:ascii="Arial" w:hAnsi="Arial" w:cs="Arial"/>
          <w:sz w:val="24"/>
          <w:szCs w:val="24"/>
          <w:vertAlign w:val="superscript"/>
        </w:rPr>
        <w:t>th</w:t>
      </w:r>
      <w:r w:rsidR="00794A17" w:rsidRPr="000E29DC">
        <w:rPr>
          <w:rFonts w:ascii="Arial" w:hAnsi="Arial" w:cs="Arial"/>
          <w:sz w:val="24"/>
          <w:szCs w:val="24"/>
        </w:rPr>
        <w:t xml:space="preserve"> of October 2022 in the amount of R 110 000. The invoice was from Ventured Logistics. The account holder mentioned in the invoice was Mr. O. </w:t>
      </w:r>
      <w:proofErr w:type="spellStart"/>
      <w:r w:rsidR="00794A17" w:rsidRPr="000E29DC">
        <w:rPr>
          <w:rFonts w:ascii="Arial" w:hAnsi="Arial" w:cs="Arial"/>
          <w:sz w:val="24"/>
          <w:szCs w:val="24"/>
        </w:rPr>
        <w:t>Fana</w:t>
      </w:r>
      <w:proofErr w:type="spellEnd"/>
      <w:r w:rsidR="00794A17" w:rsidRPr="000E29DC">
        <w:rPr>
          <w:rFonts w:ascii="Arial" w:hAnsi="Arial" w:cs="Arial"/>
          <w:sz w:val="24"/>
          <w:szCs w:val="24"/>
        </w:rPr>
        <w:t xml:space="preserve"> with a current account at Standard Bank. </w:t>
      </w:r>
    </w:p>
    <w:p w14:paraId="150D3981" w14:textId="2039545C" w:rsidR="00794A17"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13.</w:t>
      </w:r>
      <w:r w:rsidRPr="000E29DC">
        <w:rPr>
          <w:rFonts w:ascii="Arial" w:hAnsi="Arial" w:cs="Arial"/>
          <w:sz w:val="24"/>
          <w:szCs w:val="24"/>
        </w:rPr>
        <w:tab/>
      </w:r>
      <w:r w:rsidR="00794A17" w:rsidRPr="000E29DC">
        <w:rPr>
          <w:rFonts w:ascii="Arial" w:hAnsi="Arial" w:cs="Arial"/>
          <w:sz w:val="24"/>
          <w:szCs w:val="24"/>
        </w:rPr>
        <w:t xml:space="preserve">The invoice was for three purported trips to Johannesburg. The amounts for each trip was R 20 000. (from Mpumalanga), R 45 000 (from </w:t>
      </w:r>
      <w:proofErr w:type="spellStart"/>
      <w:r w:rsidR="00794A17" w:rsidRPr="000E29DC">
        <w:rPr>
          <w:rFonts w:ascii="Arial" w:hAnsi="Arial" w:cs="Arial"/>
          <w:sz w:val="24"/>
          <w:szCs w:val="24"/>
        </w:rPr>
        <w:t>Upington</w:t>
      </w:r>
      <w:proofErr w:type="spellEnd"/>
      <w:r w:rsidR="00794A17" w:rsidRPr="000E29DC">
        <w:rPr>
          <w:rFonts w:ascii="Arial" w:hAnsi="Arial" w:cs="Arial"/>
          <w:sz w:val="24"/>
          <w:szCs w:val="24"/>
        </w:rPr>
        <w:t>) and R 45 000 (from Bloemfontein).</w:t>
      </w:r>
    </w:p>
    <w:p w14:paraId="0D9AB8E0" w14:textId="6C4B4F97" w:rsidR="00794A17"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14.</w:t>
      </w:r>
      <w:r w:rsidRPr="000E29DC">
        <w:rPr>
          <w:rFonts w:ascii="Arial" w:hAnsi="Arial" w:cs="Arial"/>
          <w:sz w:val="24"/>
          <w:szCs w:val="24"/>
        </w:rPr>
        <w:tab/>
      </w:r>
      <w:r w:rsidR="00794A17" w:rsidRPr="000E29DC">
        <w:rPr>
          <w:rFonts w:ascii="Arial" w:hAnsi="Arial" w:cs="Arial"/>
          <w:sz w:val="24"/>
          <w:szCs w:val="24"/>
        </w:rPr>
        <w:t xml:space="preserve">There was a signature of Director N. </w:t>
      </w:r>
      <w:proofErr w:type="spellStart"/>
      <w:r w:rsidR="00794A17" w:rsidRPr="000E29DC">
        <w:rPr>
          <w:rFonts w:ascii="Arial" w:hAnsi="Arial" w:cs="Arial"/>
          <w:sz w:val="24"/>
          <w:szCs w:val="24"/>
        </w:rPr>
        <w:t>Nlega</w:t>
      </w:r>
      <w:proofErr w:type="spellEnd"/>
      <w:r w:rsidR="00794A17" w:rsidRPr="000E29DC">
        <w:rPr>
          <w:rFonts w:ascii="Arial" w:hAnsi="Arial" w:cs="Arial"/>
          <w:sz w:val="24"/>
          <w:szCs w:val="24"/>
        </w:rPr>
        <w:t xml:space="preserve"> on the invoice. The applicant contends that the FOE (Field Operation Executive) who also signed the invoice was the respondent. The respondent admits that she signed the invoices as part of her work obligations. </w:t>
      </w:r>
    </w:p>
    <w:p w14:paraId="0579489D" w14:textId="4392A832" w:rsidR="00794A17"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15.</w:t>
      </w:r>
      <w:r w:rsidRPr="000E29DC">
        <w:rPr>
          <w:rFonts w:ascii="Arial" w:hAnsi="Arial" w:cs="Arial"/>
          <w:sz w:val="24"/>
          <w:szCs w:val="24"/>
        </w:rPr>
        <w:tab/>
      </w:r>
      <w:r w:rsidR="001C4D4E">
        <w:rPr>
          <w:rFonts w:ascii="Arial" w:hAnsi="Arial" w:cs="Arial"/>
          <w:sz w:val="24"/>
          <w:szCs w:val="24"/>
        </w:rPr>
        <w:t>The contradicte</w:t>
      </w:r>
      <w:r w:rsidR="001C4D4E" w:rsidRPr="000E29DC">
        <w:rPr>
          <w:rFonts w:ascii="Arial" w:hAnsi="Arial" w:cs="Arial"/>
          <w:sz w:val="24"/>
          <w:szCs w:val="24"/>
        </w:rPr>
        <w:t>d</w:t>
      </w:r>
      <w:r w:rsidR="00794A17" w:rsidRPr="000E29DC">
        <w:rPr>
          <w:rFonts w:ascii="Arial" w:hAnsi="Arial" w:cs="Arial"/>
          <w:sz w:val="24"/>
          <w:szCs w:val="24"/>
        </w:rPr>
        <w:t xml:space="preserve"> evidence is that these invoices were then processed and paid by the applicant to the account indicated on the invoice. </w:t>
      </w:r>
    </w:p>
    <w:p w14:paraId="36D6CF79" w14:textId="0E288568" w:rsidR="007140FC"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16.</w:t>
      </w:r>
      <w:r w:rsidRPr="000E29DC">
        <w:rPr>
          <w:rFonts w:ascii="Arial" w:hAnsi="Arial" w:cs="Arial"/>
          <w:sz w:val="24"/>
          <w:szCs w:val="24"/>
        </w:rPr>
        <w:tab/>
      </w:r>
      <w:r w:rsidR="007140FC" w:rsidRPr="000E29DC">
        <w:rPr>
          <w:rFonts w:ascii="Arial" w:hAnsi="Arial" w:cs="Arial"/>
          <w:sz w:val="24"/>
          <w:szCs w:val="24"/>
        </w:rPr>
        <w:t xml:space="preserve">On the same day (10 October 2022) Ms. </w:t>
      </w:r>
      <w:proofErr w:type="spellStart"/>
      <w:r w:rsidR="007140FC" w:rsidRPr="000E29DC">
        <w:rPr>
          <w:rFonts w:ascii="Arial" w:hAnsi="Arial" w:cs="Arial"/>
          <w:sz w:val="24"/>
          <w:szCs w:val="24"/>
        </w:rPr>
        <w:t>Nompumelelo</w:t>
      </w:r>
      <w:proofErr w:type="spellEnd"/>
      <w:r w:rsidR="007140FC" w:rsidRPr="000E29DC">
        <w:rPr>
          <w:rFonts w:ascii="Arial" w:hAnsi="Arial" w:cs="Arial"/>
          <w:sz w:val="24"/>
          <w:szCs w:val="24"/>
        </w:rPr>
        <w:t xml:space="preserve"> </w:t>
      </w:r>
      <w:proofErr w:type="spellStart"/>
      <w:r w:rsidR="007140FC" w:rsidRPr="000E29DC">
        <w:rPr>
          <w:rFonts w:ascii="Arial" w:hAnsi="Arial" w:cs="Arial"/>
          <w:sz w:val="24"/>
          <w:szCs w:val="24"/>
        </w:rPr>
        <w:t>Udemba</w:t>
      </w:r>
      <w:proofErr w:type="spellEnd"/>
      <w:r w:rsidR="007140FC" w:rsidRPr="000E29DC">
        <w:rPr>
          <w:rFonts w:ascii="Arial" w:hAnsi="Arial" w:cs="Arial"/>
          <w:sz w:val="24"/>
          <w:szCs w:val="24"/>
        </w:rPr>
        <w:t xml:space="preserve"> received payment into her Standard Bank account of R 110 000 with the reference on the bank statement “</w:t>
      </w:r>
      <w:proofErr w:type="spellStart"/>
      <w:r w:rsidR="007140FC" w:rsidRPr="000E29DC">
        <w:rPr>
          <w:rFonts w:ascii="Arial" w:hAnsi="Arial" w:cs="Arial"/>
          <w:sz w:val="24"/>
          <w:szCs w:val="24"/>
        </w:rPr>
        <w:t>Oswell</w:t>
      </w:r>
      <w:proofErr w:type="spellEnd"/>
      <w:r w:rsidR="007140FC" w:rsidRPr="000E29DC">
        <w:rPr>
          <w:rFonts w:ascii="Arial" w:hAnsi="Arial" w:cs="Arial"/>
          <w:sz w:val="24"/>
          <w:szCs w:val="24"/>
        </w:rPr>
        <w:t xml:space="preserve">”. It was submitted that this referred to Mr. </w:t>
      </w:r>
      <w:proofErr w:type="spellStart"/>
      <w:r w:rsidR="007140FC" w:rsidRPr="000E29DC">
        <w:rPr>
          <w:rFonts w:ascii="Arial" w:hAnsi="Arial" w:cs="Arial"/>
          <w:sz w:val="24"/>
          <w:szCs w:val="24"/>
        </w:rPr>
        <w:t>Oswell</w:t>
      </w:r>
      <w:proofErr w:type="spellEnd"/>
      <w:r w:rsidR="007140FC" w:rsidRPr="000E29DC">
        <w:rPr>
          <w:rFonts w:ascii="Arial" w:hAnsi="Arial" w:cs="Arial"/>
          <w:sz w:val="24"/>
          <w:szCs w:val="24"/>
        </w:rPr>
        <w:t xml:space="preserve"> </w:t>
      </w:r>
      <w:proofErr w:type="spellStart"/>
      <w:r w:rsidR="007140FC" w:rsidRPr="000E29DC">
        <w:rPr>
          <w:rFonts w:ascii="Arial" w:hAnsi="Arial" w:cs="Arial"/>
          <w:sz w:val="24"/>
          <w:szCs w:val="24"/>
        </w:rPr>
        <w:t>Fana</w:t>
      </w:r>
      <w:proofErr w:type="spellEnd"/>
      <w:r w:rsidR="007140FC" w:rsidRPr="000E29DC">
        <w:rPr>
          <w:rFonts w:ascii="Arial" w:hAnsi="Arial" w:cs="Arial"/>
          <w:sz w:val="24"/>
          <w:szCs w:val="24"/>
        </w:rPr>
        <w:t xml:space="preserve">. </w:t>
      </w:r>
    </w:p>
    <w:p w14:paraId="1FFDB607" w14:textId="0B7B2434" w:rsidR="00297C28"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17.</w:t>
      </w:r>
      <w:r w:rsidRPr="000E29DC">
        <w:rPr>
          <w:rFonts w:ascii="Arial" w:hAnsi="Arial" w:cs="Arial"/>
          <w:sz w:val="24"/>
          <w:szCs w:val="24"/>
        </w:rPr>
        <w:tab/>
      </w:r>
      <w:r w:rsidR="00297C28" w:rsidRPr="000E29DC">
        <w:rPr>
          <w:rFonts w:ascii="Arial" w:hAnsi="Arial" w:cs="Arial"/>
          <w:sz w:val="24"/>
          <w:szCs w:val="24"/>
        </w:rPr>
        <w:t>I was then referred to various substantial payments following this payment into the respondents account with a payment reference of “</w:t>
      </w:r>
      <w:proofErr w:type="spellStart"/>
      <w:r w:rsidR="00297C28" w:rsidRPr="000E29DC">
        <w:rPr>
          <w:rFonts w:ascii="Arial" w:hAnsi="Arial" w:cs="Arial"/>
          <w:sz w:val="24"/>
          <w:szCs w:val="24"/>
        </w:rPr>
        <w:t>Mpumi</w:t>
      </w:r>
      <w:proofErr w:type="spellEnd"/>
      <w:r w:rsidR="00297C28" w:rsidRPr="000E29DC">
        <w:rPr>
          <w:rFonts w:ascii="Arial" w:hAnsi="Arial" w:cs="Arial"/>
          <w:sz w:val="24"/>
          <w:szCs w:val="24"/>
        </w:rPr>
        <w:t xml:space="preserve">”. It was submitted that investigation showed these payments came from </w:t>
      </w:r>
      <w:proofErr w:type="spellStart"/>
      <w:r w:rsidR="00297C28" w:rsidRPr="000E29DC">
        <w:rPr>
          <w:rFonts w:ascii="Arial" w:hAnsi="Arial" w:cs="Arial"/>
          <w:sz w:val="24"/>
          <w:szCs w:val="24"/>
        </w:rPr>
        <w:t>Nompumelolo</w:t>
      </w:r>
      <w:proofErr w:type="spellEnd"/>
      <w:r w:rsidR="00297C28" w:rsidRPr="000E29DC">
        <w:rPr>
          <w:rFonts w:ascii="Arial" w:hAnsi="Arial" w:cs="Arial"/>
          <w:sz w:val="24"/>
          <w:szCs w:val="24"/>
        </w:rPr>
        <w:t xml:space="preserve"> </w:t>
      </w:r>
      <w:proofErr w:type="spellStart"/>
      <w:r w:rsidR="00297C28" w:rsidRPr="000E29DC">
        <w:rPr>
          <w:rFonts w:ascii="Arial" w:hAnsi="Arial" w:cs="Arial"/>
          <w:sz w:val="24"/>
          <w:szCs w:val="24"/>
        </w:rPr>
        <w:t>Udemba’s</w:t>
      </w:r>
      <w:proofErr w:type="spellEnd"/>
      <w:r w:rsidR="00297C28" w:rsidRPr="000E29DC">
        <w:rPr>
          <w:rFonts w:ascii="Arial" w:hAnsi="Arial" w:cs="Arial"/>
          <w:sz w:val="24"/>
          <w:szCs w:val="24"/>
        </w:rPr>
        <w:t xml:space="preserve"> account.</w:t>
      </w:r>
    </w:p>
    <w:p w14:paraId="49792EE2" w14:textId="341E5A4E" w:rsidR="00297C28"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18.</w:t>
      </w:r>
      <w:r w:rsidRPr="000E29DC">
        <w:rPr>
          <w:rFonts w:ascii="Arial" w:hAnsi="Arial" w:cs="Arial"/>
          <w:sz w:val="24"/>
          <w:szCs w:val="24"/>
        </w:rPr>
        <w:tab/>
      </w:r>
      <w:r w:rsidR="00297C28" w:rsidRPr="000E29DC">
        <w:rPr>
          <w:rFonts w:ascii="Arial" w:hAnsi="Arial" w:cs="Arial"/>
          <w:sz w:val="24"/>
          <w:szCs w:val="24"/>
        </w:rPr>
        <w:t xml:space="preserve">During the argument it was correctly conceded that the respondent had not dealt with the analysis made with reference to her bank statements. No submissions in </w:t>
      </w:r>
      <w:r w:rsidR="00297C28" w:rsidRPr="000E29DC">
        <w:rPr>
          <w:rFonts w:ascii="Arial" w:hAnsi="Arial" w:cs="Arial"/>
          <w:sz w:val="24"/>
          <w:szCs w:val="24"/>
        </w:rPr>
        <w:lastRenderedPageBreak/>
        <w:t xml:space="preserve">response to the example of the flow of funds presented in court was made on behalf of the respondent. </w:t>
      </w:r>
    </w:p>
    <w:p w14:paraId="73EC03F6" w14:textId="1BAC17EB" w:rsidR="00EE41DE"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19.</w:t>
      </w:r>
      <w:r w:rsidRPr="000E29DC">
        <w:rPr>
          <w:rFonts w:ascii="Arial" w:hAnsi="Arial" w:cs="Arial"/>
          <w:sz w:val="24"/>
          <w:szCs w:val="24"/>
        </w:rPr>
        <w:tab/>
      </w:r>
      <w:r w:rsidR="00EE41DE" w:rsidRPr="000E29DC">
        <w:rPr>
          <w:rFonts w:ascii="Arial" w:hAnsi="Arial" w:cs="Arial"/>
          <w:sz w:val="24"/>
          <w:szCs w:val="24"/>
        </w:rPr>
        <w:t>A total of R 1 477 000.00 worth of deposits in to her account, were identified which the respondent did not respond to. This larger amount included payments f</w:t>
      </w:r>
      <w:r w:rsidR="002B7EA3" w:rsidRPr="000E29DC">
        <w:rPr>
          <w:rFonts w:ascii="Arial" w:hAnsi="Arial" w:cs="Arial"/>
          <w:sz w:val="24"/>
          <w:szCs w:val="24"/>
        </w:rPr>
        <w:t>rom</w:t>
      </w:r>
      <w:r w:rsidR="00EE41DE" w:rsidRPr="000E29DC">
        <w:rPr>
          <w:rFonts w:ascii="Arial" w:hAnsi="Arial" w:cs="Arial"/>
          <w:sz w:val="24"/>
          <w:szCs w:val="24"/>
        </w:rPr>
        <w:t xml:space="preserve"> other service providers. The submission was made that the bank statements were only received by the legal team attached to the replying affidavit. These were admitted as </w:t>
      </w:r>
      <w:r w:rsidR="0062329A">
        <w:rPr>
          <w:rFonts w:ascii="Arial" w:hAnsi="Arial" w:cs="Arial"/>
          <w:sz w:val="24"/>
          <w:szCs w:val="24"/>
        </w:rPr>
        <w:t xml:space="preserve">being </w:t>
      </w:r>
      <w:r w:rsidR="00EE41DE" w:rsidRPr="000E29DC">
        <w:rPr>
          <w:rFonts w:ascii="Arial" w:hAnsi="Arial" w:cs="Arial"/>
          <w:sz w:val="24"/>
          <w:szCs w:val="24"/>
        </w:rPr>
        <w:t xml:space="preserve">the statements of the respondent. The statements </w:t>
      </w:r>
      <w:r w:rsidR="0062329A">
        <w:rPr>
          <w:rFonts w:ascii="Arial" w:hAnsi="Arial" w:cs="Arial"/>
          <w:sz w:val="24"/>
          <w:szCs w:val="24"/>
        </w:rPr>
        <w:t xml:space="preserve">were tendered </w:t>
      </w:r>
      <w:r w:rsidR="00EE41DE" w:rsidRPr="000E29DC">
        <w:rPr>
          <w:rFonts w:ascii="Arial" w:hAnsi="Arial" w:cs="Arial"/>
          <w:sz w:val="24"/>
          <w:szCs w:val="24"/>
        </w:rPr>
        <w:t>in the founding papers. When this was pointed out the objection was not persisted with.</w:t>
      </w:r>
    </w:p>
    <w:p w14:paraId="6B248477" w14:textId="414553C9" w:rsidR="009423DA"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20.</w:t>
      </w:r>
      <w:r w:rsidRPr="000E29DC">
        <w:rPr>
          <w:rFonts w:ascii="Arial" w:hAnsi="Arial" w:cs="Arial"/>
          <w:sz w:val="24"/>
          <w:szCs w:val="24"/>
        </w:rPr>
        <w:tab/>
      </w:r>
      <w:r w:rsidR="009423DA" w:rsidRPr="000E29DC">
        <w:rPr>
          <w:rFonts w:ascii="Arial" w:hAnsi="Arial" w:cs="Arial"/>
          <w:sz w:val="24"/>
          <w:szCs w:val="24"/>
        </w:rPr>
        <w:t xml:space="preserve">The respondent’s counsel tried to argue that the applicant was not a creditor because the transactions between the applicant and service providers or family members were lawful. The argument was developed that such service providers were allowed to do what they wish with their lawfully earned money. </w:t>
      </w:r>
    </w:p>
    <w:p w14:paraId="7E1A01C0" w14:textId="62827166" w:rsidR="009423DA"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21.</w:t>
      </w:r>
      <w:r w:rsidRPr="000E29DC">
        <w:rPr>
          <w:rFonts w:ascii="Arial" w:hAnsi="Arial" w:cs="Arial"/>
          <w:sz w:val="24"/>
          <w:szCs w:val="24"/>
        </w:rPr>
        <w:tab/>
      </w:r>
      <w:r w:rsidR="009423DA" w:rsidRPr="000E29DC">
        <w:rPr>
          <w:rFonts w:ascii="Arial" w:hAnsi="Arial" w:cs="Arial"/>
          <w:sz w:val="24"/>
          <w:szCs w:val="24"/>
        </w:rPr>
        <w:t>The applicant referred the court to the standard rate of remuneration for transport of R 700 – R</w:t>
      </w:r>
      <w:r w:rsidR="0062329A">
        <w:rPr>
          <w:rFonts w:ascii="Arial" w:hAnsi="Arial" w:cs="Arial"/>
          <w:sz w:val="24"/>
          <w:szCs w:val="24"/>
        </w:rPr>
        <w:t>1</w:t>
      </w:r>
      <w:r w:rsidR="009423DA" w:rsidRPr="000E29DC">
        <w:rPr>
          <w:rFonts w:ascii="Arial" w:hAnsi="Arial" w:cs="Arial"/>
          <w:sz w:val="24"/>
          <w:szCs w:val="24"/>
        </w:rPr>
        <w:t xml:space="preserve"> 800 per person per trip</w:t>
      </w:r>
      <w:r w:rsidR="000E29DC">
        <w:rPr>
          <w:rFonts w:ascii="Arial" w:hAnsi="Arial" w:cs="Arial"/>
          <w:sz w:val="24"/>
          <w:szCs w:val="24"/>
        </w:rPr>
        <w:t xml:space="preserve"> that Ms. </w:t>
      </w:r>
      <w:proofErr w:type="spellStart"/>
      <w:r w:rsidR="000E29DC">
        <w:rPr>
          <w:rFonts w:ascii="Arial" w:hAnsi="Arial" w:cs="Arial"/>
          <w:sz w:val="24"/>
          <w:szCs w:val="24"/>
        </w:rPr>
        <w:t>Udemba</w:t>
      </w:r>
      <w:proofErr w:type="spellEnd"/>
      <w:r w:rsidR="000E29DC">
        <w:rPr>
          <w:rFonts w:ascii="Arial" w:hAnsi="Arial" w:cs="Arial"/>
          <w:sz w:val="24"/>
          <w:szCs w:val="24"/>
        </w:rPr>
        <w:t xml:space="preserve"> and the Respondent were supposed to use. </w:t>
      </w:r>
      <w:r w:rsidR="009423DA" w:rsidRPr="000E29DC">
        <w:rPr>
          <w:rFonts w:ascii="Arial" w:hAnsi="Arial" w:cs="Arial"/>
          <w:sz w:val="24"/>
          <w:szCs w:val="24"/>
        </w:rPr>
        <w:t xml:space="preserve"> </w:t>
      </w:r>
    </w:p>
    <w:p w14:paraId="5A96CECB" w14:textId="3D64E3C2" w:rsidR="000E29DC" w:rsidRDefault="00996B87" w:rsidP="00996B87">
      <w:pPr>
        <w:pStyle w:val="BodyA"/>
        <w:spacing w:line="480" w:lineRule="auto"/>
        <w:ind w:left="360" w:hanging="36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9423DA" w:rsidRPr="000E29DC">
        <w:rPr>
          <w:rFonts w:ascii="Arial" w:hAnsi="Arial" w:cs="Arial"/>
          <w:sz w:val="24"/>
          <w:szCs w:val="24"/>
        </w:rPr>
        <w:t xml:space="preserve">The applicant went on to show that the respondent in email correspondence without authority increased these amounts to above R 1800. Further invoices such as the one referred to above inflated such transport expenses to between R 20 000 and R 45 000 per trip per day. In the opposing affidavit there was no meaningful response to these emails and the extremely high invoices. </w:t>
      </w:r>
    </w:p>
    <w:p w14:paraId="2D48EF01" w14:textId="1304E228" w:rsidR="009423DA"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23.</w:t>
      </w:r>
      <w:r w:rsidRPr="000E29DC">
        <w:rPr>
          <w:rFonts w:ascii="Arial" w:hAnsi="Arial" w:cs="Arial"/>
          <w:sz w:val="24"/>
          <w:szCs w:val="24"/>
        </w:rPr>
        <w:tab/>
      </w:r>
      <w:r w:rsidR="009423DA" w:rsidRPr="000E29DC">
        <w:rPr>
          <w:rFonts w:ascii="Arial" w:hAnsi="Arial" w:cs="Arial"/>
          <w:sz w:val="24"/>
          <w:szCs w:val="24"/>
        </w:rPr>
        <w:t>It was further conceded that the opposing papers did not explain the substantial amounts that had been paid in t</w:t>
      </w:r>
      <w:r w:rsidR="000E29DC">
        <w:rPr>
          <w:rFonts w:ascii="Arial" w:hAnsi="Arial" w:cs="Arial"/>
          <w:sz w:val="24"/>
          <w:szCs w:val="24"/>
        </w:rPr>
        <w:t xml:space="preserve">o the respondent’s bank account flowing from these </w:t>
      </w:r>
      <w:r w:rsidR="000E29DC">
        <w:rPr>
          <w:rFonts w:ascii="Arial" w:hAnsi="Arial" w:cs="Arial"/>
          <w:sz w:val="24"/>
          <w:szCs w:val="24"/>
        </w:rPr>
        <w:lastRenderedPageBreak/>
        <w:t xml:space="preserve">inflated invoices. </w:t>
      </w:r>
      <w:r w:rsidR="0062329A">
        <w:rPr>
          <w:rFonts w:ascii="Arial" w:hAnsi="Arial" w:cs="Arial"/>
          <w:sz w:val="24"/>
          <w:szCs w:val="24"/>
        </w:rPr>
        <w:t>Transactions based on inflated invoices involving suppliers that are not at arm’s length do not qualify to be labelled as lawful transactions.</w:t>
      </w:r>
    </w:p>
    <w:p w14:paraId="4CD3150C" w14:textId="31A7F23D" w:rsidR="004D4F26"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24.</w:t>
      </w:r>
      <w:r w:rsidRPr="000E29DC">
        <w:rPr>
          <w:rFonts w:ascii="Arial" w:hAnsi="Arial" w:cs="Arial"/>
          <w:sz w:val="24"/>
          <w:szCs w:val="24"/>
        </w:rPr>
        <w:tab/>
      </w:r>
      <w:r w:rsidR="009423DA" w:rsidRPr="000E29DC">
        <w:rPr>
          <w:rFonts w:ascii="Arial" w:hAnsi="Arial" w:cs="Arial"/>
          <w:sz w:val="24"/>
          <w:szCs w:val="24"/>
        </w:rPr>
        <w:t xml:space="preserve">I am satisfied that the applicant has shown that it has a claim for a loss in a liquidated amount more than the statutory amount referred to in Section 9 of the Insolvency Act. The applicant therefore has </w:t>
      </w:r>
      <w:r w:rsidR="009423DA" w:rsidRPr="000E29DC">
        <w:rPr>
          <w:rFonts w:ascii="Arial" w:hAnsi="Arial" w:cs="Arial"/>
          <w:i/>
          <w:sz w:val="24"/>
          <w:szCs w:val="24"/>
        </w:rPr>
        <w:t xml:space="preserve">locus </w:t>
      </w:r>
      <w:proofErr w:type="spellStart"/>
      <w:r w:rsidR="009423DA" w:rsidRPr="000E29DC">
        <w:rPr>
          <w:rFonts w:ascii="Arial" w:hAnsi="Arial" w:cs="Arial"/>
          <w:i/>
          <w:sz w:val="24"/>
          <w:szCs w:val="24"/>
        </w:rPr>
        <w:t>standi</w:t>
      </w:r>
      <w:proofErr w:type="spellEnd"/>
      <w:r w:rsidR="009423DA" w:rsidRPr="000E29DC">
        <w:rPr>
          <w:rFonts w:ascii="Arial" w:hAnsi="Arial" w:cs="Arial"/>
          <w:sz w:val="24"/>
          <w:szCs w:val="24"/>
        </w:rPr>
        <w:t xml:space="preserve"> to bring the application</w:t>
      </w:r>
      <w:r w:rsidR="004D4F26" w:rsidRPr="000E29DC">
        <w:rPr>
          <w:rFonts w:ascii="Arial" w:hAnsi="Arial" w:cs="Arial"/>
          <w:sz w:val="24"/>
          <w:szCs w:val="24"/>
        </w:rPr>
        <w:t xml:space="preserve">.  </w:t>
      </w:r>
    </w:p>
    <w:p w14:paraId="35A6BA5B" w14:textId="4C38948E" w:rsidR="009423DA"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25.</w:t>
      </w:r>
      <w:r w:rsidRPr="000E29DC">
        <w:rPr>
          <w:rFonts w:ascii="Arial" w:hAnsi="Arial" w:cs="Arial"/>
          <w:sz w:val="24"/>
          <w:szCs w:val="24"/>
        </w:rPr>
        <w:tab/>
      </w:r>
      <w:r w:rsidR="009423DA" w:rsidRPr="000E29DC">
        <w:rPr>
          <w:rFonts w:ascii="Arial" w:hAnsi="Arial" w:cs="Arial"/>
          <w:sz w:val="24"/>
          <w:szCs w:val="24"/>
        </w:rPr>
        <w:t xml:space="preserve">On behalf of the respondent it was also contended that the fraud need to be proven in separate </w:t>
      </w:r>
      <w:r w:rsidR="000E29DC">
        <w:rPr>
          <w:rFonts w:ascii="Arial" w:hAnsi="Arial" w:cs="Arial"/>
          <w:sz w:val="24"/>
          <w:szCs w:val="24"/>
        </w:rPr>
        <w:t xml:space="preserve">criminal or civil </w:t>
      </w:r>
      <w:proofErr w:type="spellStart"/>
      <w:r w:rsidR="009423DA" w:rsidRPr="000E29DC">
        <w:rPr>
          <w:rFonts w:ascii="Arial" w:hAnsi="Arial" w:cs="Arial"/>
          <w:sz w:val="24"/>
          <w:szCs w:val="24"/>
        </w:rPr>
        <w:t>procedings</w:t>
      </w:r>
      <w:proofErr w:type="spellEnd"/>
      <w:r w:rsidR="009423DA" w:rsidRPr="000E29DC">
        <w:rPr>
          <w:rFonts w:ascii="Arial" w:hAnsi="Arial" w:cs="Arial"/>
          <w:sz w:val="24"/>
          <w:szCs w:val="24"/>
        </w:rPr>
        <w:t xml:space="preserve"> where the liquidation of the claim would take place. It was submitted that a separate action should have been instituted before the fraud had been proven. </w:t>
      </w:r>
    </w:p>
    <w:p w14:paraId="7F8FC348" w14:textId="34C03185" w:rsidR="009423DA"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26.</w:t>
      </w:r>
      <w:r w:rsidRPr="000E29DC">
        <w:rPr>
          <w:rFonts w:ascii="Arial" w:hAnsi="Arial" w:cs="Arial"/>
          <w:sz w:val="24"/>
          <w:szCs w:val="24"/>
        </w:rPr>
        <w:tab/>
      </w:r>
      <w:r w:rsidR="009423DA" w:rsidRPr="000E29DC">
        <w:rPr>
          <w:rFonts w:ascii="Arial" w:hAnsi="Arial" w:cs="Arial"/>
          <w:sz w:val="24"/>
          <w:szCs w:val="24"/>
        </w:rPr>
        <w:t>In the mat</w:t>
      </w:r>
      <w:r w:rsidR="000E29DC">
        <w:rPr>
          <w:rFonts w:ascii="Arial" w:hAnsi="Arial" w:cs="Arial"/>
          <w:sz w:val="24"/>
          <w:szCs w:val="24"/>
        </w:rPr>
        <w:t xml:space="preserve">ter of </w:t>
      </w:r>
      <w:proofErr w:type="spellStart"/>
      <w:r w:rsidR="000E29DC">
        <w:rPr>
          <w:rFonts w:ascii="Arial" w:hAnsi="Arial" w:cs="Arial"/>
          <w:sz w:val="24"/>
          <w:szCs w:val="24"/>
        </w:rPr>
        <w:t>Ganes</w:t>
      </w:r>
      <w:proofErr w:type="spellEnd"/>
      <w:r w:rsidR="000E29DC">
        <w:rPr>
          <w:rFonts w:ascii="Arial" w:hAnsi="Arial" w:cs="Arial"/>
          <w:sz w:val="24"/>
          <w:szCs w:val="24"/>
        </w:rPr>
        <w:t xml:space="preserve"> and Another </w:t>
      </w:r>
      <w:proofErr w:type="gramStart"/>
      <w:r w:rsidR="000E29DC">
        <w:rPr>
          <w:rFonts w:ascii="Arial" w:hAnsi="Arial" w:cs="Arial"/>
          <w:sz w:val="24"/>
          <w:szCs w:val="24"/>
        </w:rPr>
        <w:t>v</w:t>
      </w:r>
      <w:proofErr w:type="gramEnd"/>
      <w:r w:rsidR="000E29DC">
        <w:rPr>
          <w:rFonts w:ascii="Arial" w:hAnsi="Arial" w:cs="Arial"/>
          <w:sz w:val="24"/>
          <w:szCs w:val="24"/>
        </w:rPr>
        <w:t xml:space="preserve"> Tel</w:t>
      </w:r>
      <w:r w:rsidR="005025BF">
        <w:rPr>
          <w:rFonts w:ascii="Arial" w:hAnsi="Arial" w:cs="Arial"/>
          <w:sz w:val="24"/>
          <w:szCs w:val="24"/>
        </w:rPr>
        <w:t>e</w:t>
      </w:r>
      <w:r w:rsidR="009423DA" w:rsidRPr="000E29DC">
        <w:rPr>
          <w:rFonts w:ascii="Arial" w:hAnsi="Arial" w:cs="Arial"/>
          <w:sz w:val="24"/>
          <w:szCs w:val="24"/>
        </w:rPr>
        <w:t>com Namibia Ltd. [2004] all SA 609 (SCA) at P616 the court deal</w:t>
      </w:r>
      <w:r w:rsidR="0062329A">
        <w:rPr>
          <w:rFonts w:ascii="Arial" w:hAnsi="Arial" w:cs="Arial"/>
          <w:sz w:val="24"/>
          <w:szCs w:val="24"/>
        </w:rPr>
        <w:t>t</w:t>
      </w:r>
      <w:r w:rsidR="009423DA" w:rsidRPr="000E29DC">
        <w:rPr>
          <w:rFonts w:ascii="Arial" w:hAnsi="Arial" w:cs="Arial"/>
          <w:sz w:val="24"/>
          <w:szCs w:val="24"/>
        </w:rPr>
        <w:t xml:space="preserve"> with similar claims against an employee as follows: </w:t>
      </w:r>
    </w:p>
    <w:p w14:paraId="6380CF79" w14:textId="1C83751F" w:rsidR="00EB3FCC" w:rsidRDefault="00EB3FCC" w:rsidP="000E29DC">
      <w:pPr>
        <w:pStyle w:val="western"/>
        <w:shd w:val="clear" w:color="auto" w:fill="FFFFFF"/>
        <w:spacing w:before="144" w:beforeAutospacing="0" w:after="0" w:afterAutospacing="0" w:line="480" w:lineRule="atLeast"/>
        <w:ind w:left="1440"/>
        <w:rPr>
          <w:rFonts w:ascii="Arial" w:hAnsi="Arial" w:cs="Arial"/>
          <w:color w:val="242121"/>
          <w:vertAlign w:val="superscript"/>
          <w:lang w:val="en-ZA"/>
        </w:rPr>
      </w:pPr>
      <w:r w:rsidRPr="000E29DC">
        <w:rPr>
          <w:rFonts w:ascii="Arial" w:hAnsi="Arial" w:cs="Arial"/>
          <w:color w:val="242121"/>
          <w:lang w:val="en-ZA"/>
        </w:rPr>
        <w:t>[</w:t>
      </w:r>
      <w:proofErr w:type="gramStart"/>
      <w:r w:rsidRPr="000E29DC">
        <w:rPr>
          <w:rFonts w:ascii="Arial" w:hAnsi="Arial" w:cs="Arial"/>
          <w:color w:val="242121"/>
          <w:lang w:val="en-ZA"/>
        </w:rPr>
        <w:t>25]As</w:t>
      </w:r>
      <w:proofErr w:type="gramEnd"/>
      <w:r w:rsidRPr="000E29DC">
        <w:rPr>
          <w:rFonts w:ascii="Arial" w:hAnsi="Arial" w:cs="Arial"/>
          <w:color w:val="242121"/>
          <w:lang w:val="en-ZA"/>
        </w:rPr>
        <w:t xml:space="preserve"> an employee of the respondent and in the absence of an agreement to the contrary the first appellant owed the respondent a duty of good faith. This duty entailed that he was obliged not to work against the respondent’s interests; not to place himself in a position where his interests conflicted with that of the respondent; not to make a secret profit at the expense of the respondent; and not to receive from a third party a bribe, secret profit or commission in the course of or by means of his position as employee of the respondent.</w:t>
      </w:r>
      <w:bookmarkStart w:id="1" w:name="sdfootnote3anc"/>
      <w:r w:rsidRPr="000E29DC">
        <w:rPr>
          <w:rFonts w:ascii="Arial" w:hAnsi="Arial" w:cs="Arial"/>
          <w:color w:val="242121"/>
          <w:vertAlign w:val="superscript"/>
          <w:lang w:val="en-ZA"/>
        </w:rPr>
        <w:fldChar w:fldCharType="begin"/>
      </w:r>
      <w:r w:rsidRPr="000E29DC">
        <w:rPr>
          <w:rFonts w:ascii="Arial" w:hAnsi="Arial" w:cs="Arial"/>
          <w:color w:val="242121"/>
          <w:vertAlign w:val="superscript"/>
          <w:lang w:val="en-ZA"/>
        </w:rPr>
        <w:instrText xml:space="preserve"> HYPERLINK "https://www.saflii.org/za/cases/ZASCA/2003/123.html" \l "sdfootnote3sym" </w:instrText>
      </w:r>
      <w:r w:rsidRPr="000E29DC">
        <w:rPr>
          <w:rFonts w:ascii="Arial" w:hAnsi="Arial" w:cs="Arial"/>
          <w:color w:val="242121"/>
          <w:vertAlign w:val="superscript"/>
          <w:lang w:val="en-ZA"/>
        </w:rPr>
        <w:fldChar w:fldCharType="separate"/>
      </w:r>
      <w:r w:rsidRPr="000E29DC">
        <w:rPr>
          <w:rStyle w:val="Hyperlink"/>
          <w:rFonts w:ascii="Arial" w:hAnsi="Arial" w:cs="Arial"/>
          <w:b/>
          <w:bCs/>
          <w:color w:val="0B4B0B"/>
          <w:vertAlign w:val="superscript"/>
          <w:lang w:val="en-ZA"/>
        </w:rPr>
        <w:t>3</w:t>
      </w:r>
      <w:r w:rsidRPr="000E29DC">
        <w:rPr>
          <w:rFonts w:ascii="Arial" w:hAnsi="Arial" w:cs="Arial"/>
          <w:color w:val="242121"/>
          <w:vertAlign w:val="superscript"/>
          <w:lang w:val="en-ZA"/>
        </w:rPr>
        <w:fldChar w:fldCharType="end"/>
      </w:r>
      <w:bookmarkEnd w:id="1"/>
    </w:p>
    <w:p w14:paraId="7A30EBCB" w14:textId="77777777" w:rsidR="000E29DC" w:rsidRPr="000E29DC" w:rsidRDefault="000E29DC" w:rsidP="000E29DC">
      <w:pPr>
        <w:pStyle w:val="western"/>
        <w:shd w:val="clear" w:color="auto" w:fill="FFFFFF"/>
        <w:spacing w:before="144" w:beforeAutospacing="0" w:after="0" w:afterAutospacing="0" w:line="480" w:lineRule="atLeast"/>
        <w:ind w:left="1440"/>
        <w:rPr>
          <w:rFonts w:ascii="Arial" w:hAnsi="Arial" w:cs="Arial"/>
          <w:color w:val="242121"/>
          <w:lang w:val="en-ZA"/>
        </w:rPr>
      </w:pPr>
    </w:p>
    <w:p w14:paraId="5FA43D1B" w14:textId="77777777" w:rsidR="00EB3FCC" w:rsidRPr="000E29DC" w:rsidRDefault="00EB3FCC" w:rsidP="000E29DC">
      <w:pPr>
        <w:pStyle w:val="western"/>
        <w:shd w:val="clear" w:color="auto" w:fill="FFFFFF"/>
        <w:spacing w:before="144" w:beforeAutospacing="0" w:after="0" w:afterAutospacing="0" w:line="480" w:lineRule="atLeast"/>
        <w:ind w:left="1440"/>
        <w:rPr>
          <w:rFonts w:ascii="Arial" w:hAnsi="Arial" w:cs="Arial"/>
          <w:color w:val="242121"/>
          <w:lang w:val="en-ZA"/>
        </w:rPr>
      </w:pPr>
      <w:r w:rsidRPr="000E29DC">
        <w:rPr>
          <w:rFonts w:ascii="Arial" w:hAnsi="Arial" w:cs="Arial"/>
          <w:color w:val="242121"/>
          <w:lang w:val="en-ZA"/>
        </w:rPr>
        <w:t>[26] The employer may claim from an employee any bribe, secret profit or commission received by him from a third party without the consent of the employer in the course of his employment or by means of his position as employee.</w:t>
      </w:r>
      <w:bookmarkStart w:id="2" w:name="sdfootnote4anc"/>
      <w:r w:rsidRPr="000E29DC">
        <w:rPr>
          <w:rFonts w:ascii="Arial" w:hAnsi="Arial" w:cs="Arial"/>
          <w:color w:val="242121"/>
          <w:vertAlign w:val="superscript"/>
          <w:lang w:val="en-ZA"/>
        </w:rPr>
        <w:fldChar w:fldCharType="begin"/>
      </w:r>
      <w:r w:rsidRPr="000E29DC">
        <w:rPr>
          <w:rFonts w:ascii="Arial" w:hAnsi="Arial" w:cs="Arial"/>
          <w:color w:val="242121"/>
          <w:vertAlign w:val="superscript"/>
          <w:lang w:val="en-ZA"/>
        </w:rPr>
        <w:instrText xml:space="preserve"> HYPERLINK "https://www.saflii.org/za/cases/ZASCA/2003/123.html" \l "sdfootnote4sym" </w:instrText>
      </w:r>
      <w:r w:rsidRPr="000E29DC">
        <w:rPr>
          <w:rFonts w:ascii="Arial" w:hAnsi="Arial" w:cs="Arial"/>
          <w:color w:val="242121"/>
          <w:vertAlign w:val="superscript"/>
          <w:lang w:val="en-ZA"/>
        </w:rPr>
        <w:fldChar w:fldCharType="separate"/>
      </w:r>
      <w:r w:rsidRPr="000E29DC">
        <w:rPr>
          <w:rStyle w:val="Hyperlink"/>
          <w:rFonts w:ascii="Arial" w:hAnsi="Arial" w:cs="Arial"/>
          <w:b/>
          <w:bCs/>
          <w:color w:val="0B4B0B"/>
          <w:vertAlign w:val="superscript"/>
          <w:lang w:val="en-ZA"/>
        </w:rPr>
        <w:t>4</w:t>
      </w:r>
      <w:r w:rsidRPr="000E29DC">
        <w:rPr>
          <w:rFonts w:ascii="Arial" w:hAnsi="Arial" w:cs="Arial"/>
          <w:color w:val="242121"/>
          <w:vertAlign w:val="superscript"/>
          <w:lang w:val="en-ZA"/>
        </w:rPr>
        <w:fldChar w:fldCharType="end"/>
      </w:r>
      <w:bookmarkEnd w:id="2"/>
      <w:r w:rsidRPr="000E29DC">
        <w:rPr>
          <w:rFonts w:ascii="Arial" w:hAnsi="Arial" w:cs="Arial"/>
          <w:color w:val="242121"/>
          <w:lang w:val="en-ZA"/>
        </w:rPr>
        <w:t> The English law is to the same effect. In </w:t>
      </w:r>
      <w:r w:rsidRPr="000E29DC">
        <w:rPr>
          <w:rFonts w:ascii="Arial" w:hAnsi="Arial" w:cs="Arial"/>
          <w:i/>
          <w:iCs/>
          <w:color w:val="242121"/>
          <w:lang w:val="en-ZA"/>
        </w:rPr>
        <w:t>Chitty on Contracts </w:t>
      </w:r>
      <w:r w:rsidRPr="000E29DC">
        <w:rPr>
          <w:rFonts w:ascii="Arial" w:hAnsi="Arial" w:cs="Arial"/>
          <w:color w:val="242121"/>
          <w:lang w:val="en-ZA"/>
        </w:rPr>
        <w:t>28</w:t>
      </w:r>
      <w:r w:rsidRPr="000E29DC">
        <w:rPr>
          <w:rFonts w:ascii="Arial" w:hAnsi="Arial" w:cs="Arial"/>
          <w:color w:val="242121"/>
          <w:vertAlign w:val="superscript"/>
          <w:lang w:val="en-ZA"/>
        </w:rPr>
        <w:t>th</w:t>
      </w:r>
      <w:r w:rsidRPr="000E29DC">
        <w:rPr>
          <w:rFonts w:ascii="Arial" w:hAnsi="Arial" w:cs="Arial"/>
          <w:color w:val="242121"/>
          <w:lang w:val="en-ZA"/>
        </w:rPr>
        <w:t> </w:t>
      </w:r>
      <w:proofErr w:type="spellStart"/>
      <w:r w:rsidRPr="000E29DC">
        <w:rPr>
          <w:rFonts w:ascii="Arial" w:hAnsi="Arial" w:cs="Arial"/>
          <w:color w:val="242121"/>
          <w:lang w:val="en-ZA"/>
        </w:rPr>
        <w:t>ed</w:t>
      </w:r>
      <w:proofErr w:type="spellEnd"/>
      <w:r w:rsidRPr="000E29DC">
        <w:rPr>
          <w:rFonts w:ascii="Arial" w:hAnsi="Arial" w:cs="Arial"/>
          <w:color w:val="242121"/>
          <w:lang w:val="en-ZA"/>
        </w:rPr>
        <w:t xml:space="preserve"> </w:t>
      </w:r>
      <w:proofErr w:type="spellStart"/>
      <w:r w:rsidRPr="000E29DC">
        <w:rPr>
          <w:rFonts w:ascii="Arial" w:hAnsi="Arial" w:cs="Arial"/>
          <w:color w:val="242121"/>
          <w:lang w:val="en-ZA"/>
        </w:rPr>
        <w:t>vol</w:t>
      </w:r>
      <w:proofErr w:type="spellEnd"/>
      <w:r w:rsidRPr="000E29DC">
        <w:rPr>
          <w:rFonts w:ascii="Arial" w:hAnsi="Arial" w:cs="Arial"/>
          <w:color w:val="242121"/>
          <w:lang w:val="en-ZA"/>
        </w:rPr>
        <w:t xml:space="preserve"> 1 para 30-172 the English Law is stated thus:</w:t>
      </w:r>
    </w:p>
    <w:p w14:paraId="3AC92115" w14:textId="77777777" w:rsidR="00EB3FCC" w:rsidRPr="000E29DC" w:rsidRDefault="00EB3FCC" w:rsidP="000E29DC">
      <w:pPr>
        <w:pStyle w:val="western"/>
        <w:shd w:val="clear" w:color="auto" w:fill="FFFFFF"/>
        <w:spacing w:before="144" w:beforeAutospacing="0" w:after="0" w:afterAutospacing="0" w:line="480" w:lineRule="atLeast"/>
        <w:ind w:left="1800"/>
        <w:rPr>
          <w:rFonts w:ascii="Arial" w:hAnsi="Arial" w:cs="Arial"/>
          <w:color w:val="242121"/>
          <w:lang w:val="en-ZA"/>
        </w:rPr>
      </w:pPr>
      <w:r w:rsidRPr="000E29DC">
        <w:rPr>
          <w:rFonts w:ascii="Arial" w:hAnsi="Arial" w:cs="Arial"/>
          <w:color w:val="242121"/>
          <w:lang w:val="en-ZA"/>
        </w:rPr>
        <w:lastRenderedPageBreak/>
        <w:t>‘Where an agent receives from a third party a bribe, secret profit or commission in connection with his principal’s affairs his principal is entitled to claim it; the same principle holds in regard to the relationship of employer and employee.’</w:t>
      </w:r>
    </w:p>
    <w:p w14:paraId="0963DDAC" w14:textId="77777777" w:rsidR="00EB3FCC" w:rsidRPr="000E29DC" w:rsidRDefault="00EB3FCC" w:rsidP="00EB3FCC">
      <w:pPr>
        <w:pStyle w:val="BodyA"/>
        <w:spacing w:line="480" w:lineRule="auto"/>
        <w:ind w:left="360"/>
        <w:jc w:val="both"/>
        <w:rPr>
          <w:rFonts w:ascii="Arial" w:hAnsi="Arial" w:cs="Arial"/>
          <w:sz w:val="24"/>
          <w:szCs w:val="24"/>
        </w:rPr>
      </w:pPr>
    </w:p>
    <w:p w14:paraId="29A8821D" w14:textId="7E7A4BF0" w:rsidR="009423DA"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27.</w:t>
      </w:r>
      <w:r w:rsidRPr="000E29DC">
        <w:rPr>
          <w:rFonts w:ascii="Arial" w:hAnsi="Arial" w:cs="Arial"/>
          <w:sz w:val="24"/>
          <w:szCs w:val="24"/>
        </w:rPr>
        <w:tab/>
      </w:r>
      <w:r w:rsidR="009423DA" w:rsidRPr="000E29DC">
        <w:rPr>
          <w:rFonts w:ascii="Arial" w:hAnsi="Arial" w:cs="Arial"/>
          <w:sz w:val="24"/>
          <w:szCs w:val="24"/>
        </w:rPr>
        <w:t xml:space="preserve">The respondent in her opposing papers emphasized that the investigation was not complete. It is clear that the applicant stated that a limited period of time had been investigated. This has had shown that R 1 477 000 had been deposited into the Respondent’s Standard bank account. The Applicants evidence was that this number might increase </w:t>
      </w:r>
      <w:r w:rsidR="005025BF">
        <w:rPr>
          <w:rFonts w:ascii="Arial" w:hAnsi="Arial" w:cs="Arial"/>
          <w:sz w:val="24"/>
          <w:szCs w:val="24"/>
        </w:rPr>
        <w:t xml:space="preserve">if access was obtained to accounts held at </w:t>
      </w:r>
      <w:proofErr w:type="spellStart"/>
      <w:r w:rsidR="005025BF">
        <w:rPr>
          <w:rFonts w:ascii="Arial" w:hAnsi="Arial" w:cs="Arial"/>
          <w:sz w:val="24"/>
          <w:szCs w:val="24"/>
        </w:rPr>
        <w:t>Capitec</w:t>
      </w:r>
      <w:proofErr w:type="spellEnd"/>
      <w:r w:rsidR="005025BF">
        <w:rPr>
          <w:rFonts w:ascii="Arial" w:hAnsi="Arial" w:cs="Arial"/>
          <w:sz w:val="24"/>
          <w:szCs w:val="24"/>
        </w:rPr>
        <w:t>.</w:t>
      </w:r>
      <w:r w:rsidR="009423DA" w:rsidRPr="000E29DC">
        <w:rPr>
          <w:rFonts w:ascii="Arial" w:hAnsi="Arial" w:cs="Arial"/>
          <w:sz w:val="24"/>
          <w:szCs w:val="24"/>
        </w:rPr>
        <w:t xml:space="preserve"> </w:t>
      </w:r>
    </w:p>
    <w:p w14:paraId="36A8B1A6" w14:textId="654E0DF5" w:rsidR="009423DA"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28.</w:t>
      </w:r>
      <w:r w:rsidRPr="000E29DC">
        <w:rPr>
          <w:rFonts w:ascii="Arial" w:hAnsi="Arial" w:cs="Arial"/>
          <w:sz w:val="24"/>
          <w:szCs w:val="24"/>
        </w:rPr>
        <w:tab/>
      </w:r>
      <w:r w:rsidR="009423DA" w:rsidRPr="000E29DC">
        <w:rPr>
          <w:rFonts w:ascii="Arial" w:hAnsi="Arial" w:cs="Arial"/>
          <w:sz w:val="24"/>
          <w:szCs w:val="24"/>
        </w:rPr>
        <w:t>The applicant after obtain</w:t>
      </w:r>
      <w:r w:rsidR="005025BF">
        <w:rPr>
          <w:rFonts w:ascii="Arial" w:hAnsi="Arial" w:cs="Arial"/>
          <w:sz w:val="24"/>
          <w:szCs w:val="24"/>
        </w:rPr>
        <w:t>ing</w:t>
      </w:r>
      <w:r w:rsidR="009423DA" w:rsidRPr="000E29DC">
        <w:rPr>
          <w:rFonts w:ascii="Arial" w:hAnsi="Arial" w:cs="Arial"/>
          <w:sz w:val="24"/>
          <w:szCs w:val="24"/>
        </w:rPr>
        <w:t xml:space="preserve"> the cost order and showing that at least R 1 477 000 had flowed to the Respondent, wrote </w:t>
      </w:r>
      <w:r w:rsidR="00CB5A69" w:rsidRPr="000E29DC">
        <w:rPr>
          <w:rFonts w:ascii="Arial" w:hAnsi="Arial" w:cs="Arial"/>
          <w:sz w:val="24"/>
          <w:szCs w:val="24"/>
        </w:rPr>
        <w:t>a letter dated the 17</w:t>
      </w:r>
      <w:r w:rsidR="00CB5A69" w:rsidRPr="000E29DC">
        <w:rPr>
          <w:rFonts w:ascii="Arial" w:hAnsi="Arial" w:cs="Arial"/>
          <w:sz w:val="24"/>
          <w:szCs w:val="24"/>
          <w:vertAlign w:val="superscript"/>
        </w:rPr>
        <w:t>th</w:t>
      </w:r>
      <w:r w:rsidR="00CB5A69" w:rsidRPr="000E29DC">
        <w:rPr>
          <w:rFonts w:ascii="Arial" w:hAnsi="Arial" w:cs="Arial"/>
          <w:sz w:val="24"/>
          <w:szCs w:val="24"/>
        </w:rPr>
        <w:t xml:space="preserve"> of October 2023. In the letter a proposal was made that a reduced amount be repaid to settle the claim. </w:t>
      </w:r>
    </w:p>
    <w:p w14:paraId="5A63F909" w14:textId="3434B69A" w:rsidR="00CB5A69"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29.</w:t>
      </w:r>
      <w:r w:rsidRPr="000E29DC">
        <w:rPr>
          <w:rFonts w:ascii="Arial" w:hAnsi="Arial" w:cs="Arial"/>
          <w:sz w:val="24"/>
          <w:szCs w:val="24"/>
        </w:rPr>
        <w:tab/>
      </w:r>
      <w:r w:rsidR="00CB5A69" w:rsidRPr="000E29DC">
        <w:rPr>
          <w:rFonts w:ascii="Arial" w:hAnsi="Arial" w:cs="Arial"/>
          <w:sz w:val="24"/>
          <w:szCs w:val="24"/>
        </w:rPr>
        <w:t xml:space="preserve">The Respondent instructed her attorneys to respond to this settlement proposal as follows: </w:t>
      </w:r>
    </w:p>
    <w:p w14:paraId="007F4021" w14:textId="77777777" w:rsidR="00CB5A69" w:rsidRPr="000E29DC" w:rsidRDefault="00CB5A69" w:rsidP="00CB5A69">
      <w:pPr>
        <w:pStyle w:val="BodyA"/>
        <w:spacing w:line="480" w:lineRule="auto"/>
        <w:ind w:left="360"/>
        <w:jc w:val="both"/>
        <w:rPr>
          <w:rFonts w:ascii="Arial" w:hAnsi="Arial" w:cs="Arial"/>
          <w:i/>
          <w:sz w:val="24"/>
          <w:szCs w:val="24"/>
        </w:rPr>
      </w:pPr>
      <w:r w:rsidRPr="000E29DC">
        <w:rPr>
          <w:rFonts w:ascii="Arial" w:hAnsi="Arial" w:cs="Arial"/>
          <w:sz w:val="24"/>
          <w:szCs w:val="24"/>
        </w:rPr>
        <w:t xml:space="preserve">“2 </w:t>
      </w:r>
      <w:r w:rsidRPr="000E29DC">
        <w:rPr>
          <w:rFonts w:ascii="Arial" w:hAnsi="Arial" w:cs="Arial"/>
          <w:i/>
          <w:sz w:val="24"/>
          <w:szCs w:val="24"/>
        </w:rPr>
        <w:t>Our instructions are that our client is currently unemployed after her unfair dismissal from her employment and does not have the financial means to pay the quantum proposed by your client, nor can she afford to compensate their legal fees”</w:t>
      </w:r>
    </w:p>
    <w:p w14:paraId="2651D300" w14:textId="31B97E72" w:rsidR="00CB5A69"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30.</w:t>
      </w:r>
      <w:r w:rsidRPr="000E29DC">
        <w:rPr>
          <w:rFonts w:ascii="Arial" w:hAnsi="Arial" w:cs="Arial"/>
          <w:sz w:val="24"/>
          <w:szCs w:val="24"/>
        </w:rPr>
        <w:tab/>
      </w:r>
      <w:r w:rsidR="005025BF">
        <w:rPr>
          <w:rFonts w:ascii="Arial" w:hAnsi="Arial" w:cs="Arial"/>
          <w:sz w:val="24"/>
          <w:szCs w:val="24"/>
        </w:rPr>
        <w:t>The Respondent contended</w:t>
      </w:r>
      <w:r w:rsidR="00CB5A69" w:rsidRPr="000E29DC">
        <w:rPr>
          <w:rFonts w:ascii="Arial" w:hAnsi="Arial" w:cs="Arial"/>
          <w:sz w:val="24"/>
          <w:szCs w:val="24"/>
        </w:rPr>
        <w:t xml:space="preserve"> that as this response was written without prejudice the court was not permitted to accept this as evidence of an act of insolvency. In dealing specifically with Section 8 (g) of the Insolvency Act the Respondent admitted her instruction to write the letter but stated that the subject matter did not relate to a debt but rather a settlement offer. </w:t>
      </w:r>
    </w:p>
    <w:p w14:paraId="0D2E4971" w14:textId="7932ECF5" w:rsidR="00CB5A69"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lastRenderedPageBreak/>
        <w:t>31.</w:t>
      </w:r>
      <w:r w:rsidRPr="000E29DC">
        <w:rPr>
          <w:rFonts w:ascii="Arial" w:hAnsi="Arial" w:cs="Arial"/>
          <w:sz w:val="24"/>
          <w:szCs w:val="24"/>
        </w:rPr>
        <w:tab/>
      </w:r>
      <w:r w:rsidR="00CB5A69" w:rsidRPr="000E29DC">
        <w:rPr>
          <w:rFonts w:ascii="Arial" w:hAnsi="Arial" w:cs="Arial"/>
          <w:sz w:val="24"/>
          <w:szCs w:val="24"/>
        </w:rPr>
        <w:t xml:space="preserve">The Applicant referred the court to </w:t>
      </w:r>
      <w:r w:rsidR="00CB5A69" w:rsidRPr="000E29DC">
        <w:rPr>
          <w:rFonts w:ascii="Arial" w:hAnsi="Arial" w:cs="Arial"/>
          <w:i/>
          <w:sz w:val="24"/>
          <w:szCs w:val="24"/>
        </w:rPr>
        <w:t xml:space="preserve">ABSA Bank Limited v </w:t>
      </w:r>
      <w:proofErr w:type="spellStart"/>
      <w:r w:rsidR="00CB5A69" w:rsidRPr="000E29DC">
        <w:rPr>
          <w:rFonts w:ascii="Arial" w:hAnsi="Arial" w:cs="Arial"/>
          <w:i/>
          <w:sz w:val="24"/>
          <w:szCs w:val="24"/>
        </w:rPr>
        <w:t>Hammerle</w:t>
      </w:r>
      <w:proofErr w:type="spellEnd"/>
      <w:r w:rsidR="00CB5A69" w:rsidRPr="000E29DC">
        <w:rPr>
          <w:rFonts w:ascii="Arial" w:hAnsi="Arial" w:cs="Arial"/>
          <w:i/>
          <w:sz w:val="24"/>
          <w:szCs w:val="24"/>
        </w:rPr>
        <w:t xml:space="preserve"> Group (Pty) Ltd</w:t>
      </w:r>
      <w:r w:rsidR="005025BF">
        <w:rPr>
          <w:rFonts w:ascii="Arial" w:hAnsi="Arial" w:cs="Arial"/>
          <w:sz w:val="24"/>
          <w:szCs w:val="24"/>
        </w:rPr>
        <w:t xml:space="preserve"> 2015 (5) SA 215 (SCA)</w:t>
      </w:r>
      <w:r w:rsidR="00CB5A69" w:rsidRPr="000E29DC">
        <w:rPr>
          <w:rFonts w:ascii="Arial" w:hAnsi="Arial" w:cs="Arial"/>
          <w:sz w:val="24"/>
          <w:szCs w:val="24"/>
        </w:rPr>
        <w:t xml:space="preserve">where the appellate court in Par 13 stated: </w:t>
      </w:r>
    </w:p>
    <w:p w14:paraId="6B854CFF" w14:textId="17CD4338" w:rsidR="00CB5A69" w:rsidRPr="000E29DC" w:rsidRDefault="00CB5A69" w:rsidP="00CB5A69">
      <w:pPr>
        <w:pStyle w:val="BodyA"/>
        <w:spacing w:line="480" w:lineRule="auto"/>
        <w:ind w:left="720"/>
        <w:jc w:val="both"/>
        <w:rPr>
          <w:rFonts w:ascii="Arial" w:hAnsi="Arial" w:cs="Arial"/>
          <w:i/>
          <w:sz w:val="24"/>
          <w:szCs w:val="24"/>
        </w:rPr>
      </w:pPr>
      <w:r w:rsidRPr="000E29DC">
        <w:rPr>
          <w:rFonts w:ascii="Arial" w:hAnsi="Arial" w:cs="Arial"/>
          <w:sz w:val="24"/>
          <w:szCs w:val="24"/>
        </w:rPr>
        <w:t>[13]</w:t>
      </w:r>
      <w:r w:rsidRPr="000E29DC">
        <w:rPr>
          <w:rFonts w:ascii="Arial" w:hAnsi="Arial" w:cs="Arial"/>
          <w:i/>
          <w:sz w:val="24"/>
          <w:szCs w:val="24"/>
        </w:rPr>
        <w:t xml:space="preserve"> It is true that as a general rule, negotiations between parties which are undertaken with a view to a settlement of their disputes are privileged from disclosure. This is regardless of whether or not the negotiations have been stipulated to be without prejudice. However, there are exceptions to this rule. One of these exceptions is that an offer made, even on a ‘without prejudice’ basis, is admissible in evidence as an act of insolvency. Where a party therefore concedes insolvency, as the respondent did in this case, public policy dictates that such admissions of insolvency should not be precluded from sequestration or winding-up proceedings, even if made on a privileged occasion. </w:t>
      </w:r>
    </w:p>
    <w:p w14:paraId="55B04508" w14:textId="679FD172" w:rsidR="00CB5A69"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32.</w:t>
      </w:r>
      <w:r w:rsidRPr="000E29DC">
        <w:rPr>
          <w:rFonts w:ascii="Arial" w:hAnsi="Arial" w:cs="Arial"/>
          <w:sz w:val="24"/>
          <w:szCs w:val="24"/>
        </w:rPr>
        <w:tab/>
      </w:r>
      <w:r w:rsidR="00CB5A69" w:rsidRPr="000E29DC">
        <w:rPr>
          <w:rFonts w:ascii="Arial" w:hAnsi="Arial" w:cs="Arial"/>
          <w:sz w:val="24"/>
          <w:szCs w:val="24"/>
        </w:rPr>
        <w:t>The</w:t>
      </w:r>
      <w:r w:rsidR="00C421D8" w:rsidRPr="000E29DC">
        <w:rPr>
          <w:rFonts w:ascii="Arial" w:hAnsi="Arial" w:cs="Arial"/>
          <w:sz w:val="24"/>
          <w:szCs w:val="24"/>
        </w:rPr>
        <w:t xml:space="preserve"> liability for the cost order was not disputed. The full extent </w:t>
      </w:r>
      <w:r w:rsidR="005025BF">
        <w:rPr>
          <w:rFonts w:ascii="Arial" w:hAnsi="Arial" w:cs="Arial"/>
          <w:sz w:val="24"/>
          <w:szCs w:val="24"/>
        </w:rPr>
        <w:t>of the cost order</w:t>
      </w:r>
      <w:r w:rsidR="00C421D8" w:rsidRPr="000E29DC">
        <w:rPr>
          <w:rFonts w:ascii="Arial" w:hAnsi="Arial" w:cs="Arial"/>
          <w:sz w:val="24"/>
          <w:szCs w:val="24"/>
        </w:rPr>
        <w:t xml:space="preserve"> was still subject to taxation. The Respondent had specifically stated that she could not compensate the legal fees. </w:t>
      </w:r>
    </w:p>
    <w:p w14:paraId="2932C471" w14:textId="23073C44" w:rsidR="00C421D8"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33.</w:t>
      </w:r>
      <w:r w:rsidRPr="000E29DC">
        <w:rPr>
          <w:rFonts w:ascii="Arial" w:hAnsi="Arial" w:cs="Arial"/>
          <w:sz w:val="24"/>
          <w:szCs w:val="24"/>
        </w:rPr>
        <w:tab/>
      </w:r>
      <w:r w:rsidR="00C421D8" w:rsidRPr="000E29DC">
        <w:rPr>
          <w:rFonts w:ascii="Arial" w:hAnsi="Arial" w:cs="Arial"/>
          <w:sz w:val="24"/>
          <w:szCs w:val="24"/>
        </w:rPr>
        <w:t>The denial of the analysis of the money that flowed into the Respondent’s bank account was not meaningful where the bank statements relied upon were not requested. The unchallenged flow of funds from the Applicant to the Respondent required an explanation.</w:t>
      </w:r>
    </w:p>
    <w:p w14:paraId="4F782249" w14:textId="7DC8FFB8" w:rsidR="00C421D8" w:rsidRPr="000E29DC" w:rsidRDefault="00996B87" w:rsidP="00996B87">
      <w:pPr>
        <w:pStyle w:val="BodyA"/>
        <w:spacing w:line="480" w:lineRule="auto"/>
        <w:ind w:left="360" w:hanging="360"/>
        <w:jc w:val="both"/>
        <w:rPr>
          <w:rFonts w:ascii="Arial" w:hAnsi="Arial" w:cs="Arial"/>
          <w:sz w:val="24"/>
          <w:szCs w:val="24"/>
        </w:rPr>
      </w:pPr>
      <w:r w:rsidRPr="000E29DC">
        <w:rPr>
          <w:rFonts w:ascii="Arial" w:hAnsi="Arial" w:cs="Arial"/>
          <w:sz w:val="24"/>
          <w:szCs w:val="24"/>
        </w:rPr>
        <w:t>34.</w:t>
      </w:r>
      <w:r w:rsidRPr="000E29DC">
        <w:rPr>
          <w:rFonts w:ascii="Arial" w:hAnsi="Arial" w:cs="Arial"/>
          <w:sz w:val="24"/>
          <w:szCs w:val="24"/>
        </w:rPr>
        <w:tab/>
      </w:r>
      <w:r w:rsidR="00C421D8" w:rsidRPr="000E29DC">
        <w:rPr>
          <w:rFonts w:ascii="Arial" w:hAnsi="Arial" w:cs="Arial"/>
          <w:sz w:val="24"/>
          <w:szCs w:val="24"/>
        </w:rPr>
        <w:t xml:space="preserve">In the absence of any explanation of these substantial amounts flowing into her account, I can conclude that the Applicant has a liquidated claim for the repayment of these amounts. </w:t>
      </w:r>
    </w:p>
    <w:p w14:paraId="58DC0E1F" w14:textId="308F1FF0" w:rsidR="00C421D8" w:rsidRDefault="00996B87" w:rsidP="00996B87">
      <w:pPr>
        <w:pStyle w:val="BodyA"/>
        <w:spacing w:line="480" w:lineRule="auto"/>
        <w:ind w:left="360" w:hanging="360"/>
        <w:jc w:val="both"/>
        <w:rPr>
          <w:rFonts w:ascii="Arial" w:hAnsi="Arial" w:cs="Arial"/>
          <w:sz w:val="24"/>
          <w:szCs w:val="24"/>
        </w:rPr>
      </w:pPr>
      <w:r>
        <w:rPr>
          <w:rFonts w:ascii="Arial" w:hAnsi="Arial" w:cs="Arial"/>
          <w:sz w:val="24"/>
          <w:szCs w:val="24"/>
        </w:rPr>
        <w:t>35.</w:t>
      </w:r>
      <w:r>
        <w:rPr>
          <w:rFonts w:ascii="Arial" w:hAnsi="Arial" w:cs="Arial"/>
          <w:sz w:val="24"/>
          <w:szCs w:val="24"/>
        </w:rPr>
        <w:tab/>
      </w:r>
      <w:r w:rsidR="00C421D8" w:rsidRPr="000E29DC">
        <w:rPr>
          <w:rFonts w:ascii="Arial" w:hAnsi="Arial" w:cs="Arial"/>
          <w:sz w:val="24"/>
          <w:szCs w:val="24"/>
        </w:rPr>
        <w:t>The written statement that she does not hav</w:t>
      </w:r>
      <w:r w:rsidR="0062329A">
        <w:rPr>
          <w:rFonts w:ascii="Arial" w:hAnsi="Arial" w:cs="Arial"/>
          <w:sz w:val="24"/>
          <w:szCs w:val="24"/>
        </w:rPr>
        <w:t>e the financial means to pay a reduced portion of a debt is</w:t>
      </w:r>
      <w:r w:rsidR="00C421D8" w:rsidRPr="000E29DC">
        <w:rPr>
          <w:rFonts w:ascii="Arial" w:hAnsi="Arial" w:cs="Arial"/>
          <w:sz w:val="24"/>
          <w:szCs w:val="24"/>
        </w:rPr>
        <w:t xml:space="preserve"> an act of insolvency.</w:t>
      </w:r>
    </w:p>
    <w:p w14:paraId="5A9F8656" w14:textId="77777777" w:rsidR="005025BF" w:rsidRPr="000E29DC" w:rsidRDefault="005025BF" w:rsidP="005025BF">
      <w:pPr>
        <w:pStyle w:val="BodyA"/>
        <w:spacing w:line="480" w:lineRule="auto"/>
        <w:ind w:left="360"/>
        <w:jc w:val="both"/>
        <w:rPr>
          <w:rFonts w:ascii="Arial" w:hAnsi="Arial" w:cs="Arial"/>
          <w:sz w:val="24"/>
          <w:szCs w:val="24"/>
        </w:rPr>
      </w:pPr>
    </w:p>
    <w:p w14:paraId="1DE6B9B4" w14:textId="7311CEF0" w:rsidR="00C421D8" w:rsidRPr="000E29DC" w:rsidRDefault="00C421D8" w:rsidP="00C421D8">
      <w:pPr>
        <w:pStyle w:val="BodyA"/>
        <w:spacing w:line="480" w:lineRule="auto"/>
        <w:jc w:val="both"/>
        <w:rPr>
          <w:rFonts w:ascii="Arial" w:hAnsi="Arial" w:cs="Arial"/>
          <w:sz w:val="24"/>
          <w:szCs w:val="24"/>
        </w:rPr>
      </w:pPr>
      <w:r w:rsidRPr="000E29DC">
        <w:rPr>
          <w:rFonts w:ascii="Arial" w:hAnsi="Arial" w:cs="Arial"/>
          <w:sz w:val="24"/>
          <w:szCs w:val="24"/>
        </w:rPr>
        <w:lastRenderedPageBreak/>
        <w:t xml:space="preserve">I make the following order. </w:t>
      </w:r>
    </w:p>
    <w:p w14:paraId="68038B93" w14:textId="029F33B4" w:rsidR="00CB5A69" w:rsidRDefault="00996B87" w:rsidP="00996B87">
      <w:pPr>
        <w:pStyle w:val="BodyA"/>
        <w:spacing w:line="480" w:lineRule="auto"/>
        <w:ind w:left="36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5025BF">
        <w:rPr>
          <w:rFonts w:ascii="Arial" w:hAnsi="Arial" w:cs="Arial"/>
          <w:sz w:val="24"/>
          <w:szCs w:val="24"/>
        </w:rPr>
        <w:t>That the estate of the Respondent be placed under provisional sequestration.</w:t>
      </w:r>
    </w:p>
    <w:p w14:paraId="2ECD865B" w14:textId="344628FD" w:rsidR="005025BF" w:rsidRPr="005025BF" w:rsidRDefault="00996B87" w:rsidP="00996B87">
      <w:pPr>
        <w:pStyle w:val="BodyA"/>
        <w:spacing w:line="480" w:lineRule="auto"/>
        <w:ind w:left="360" w:hanging="360"/>
        <w:jc w:val="both"/>
        <w:rPr>
          <w:rFonts w:ascii="Arial" w:hAnsi="Arial" w:cs="Arial"/>
          <w:sz w:val="24"/>
          <w:szCs w:val="24"/>
        </w:rPr>
      </w:pPr>
      <w:r w:rsidRPr="005025BF">
        <w:rPr>
          <w:rFonts w:ascii="Arial" w:hAnsi="Arial" w:cs="Arial"/>
          <w:sz w:val="24"/>
          <w:szCs w:val="24"/>
        </w:rPr>
        <w:t>2)</w:t>
      </w:r>
      <w:r w:rsidRPr="005025BF">
        <w:rPr>
          <w:rFonts w:ascii="Arial" w:hAnsi="Arial" w:cs="Arial"/>
          <w:sz w:val="24"/>
          <w:szCs w:val="24"/>
        </w:rPr>
        <w:tab/>
      </w:r>
      <w:r w:rsidR="005025BF">
        <w:rPr>
          <w:rFonts w:ascii="Arial" w:hAnsi="Arial" w:cs="Arial"/>
          <w:sz w:val="24"/>
          <w:szCs w:val="24"/>
        </w:rPr>
        <w:t xml:space="preserve">That the Respondent be called upon to advance the reasons, if any, why the Court should not order a final sequestration of the estate of the Respondent, on the return date of 18 March 2024 at 10:00 or/as soon thereafter as the matter may be heard. </w:t>
      </w:r>
    </w:p>
    <w:p w14:paraId="175A5906" w14:textId="7312F497" w:rsidR="00CB5A69" w:rsidRDefault="00CB5A69" w:rsidP="00CB5A69">
      <w:pPr>
        <w:pStyle w:val="BodyA"/>
        <w:spacing w:line="480" w:lineRule="auto"/>
        <w:ind w:left="360"/>
        <w:jc w:val="both"/>
        <w:rPr>
          <w:rFonts w:ascii="Arial" w:hAnsi="Arial" w:cs="Arial"/>
          <w:sz w:val="24"/>
          <w:szCs w:val="24"/>
        </w:rPr>
      </w:pPr>
    </w:p>
    <w:p w14:paraId="393E425C" w14:textId="2484A6DB" w:rsidR="005025BF" w:rsidRDefault="005025BF" w:rsidP="00CB5A69">
      <w:pPr>
        <w:pStyle w:val="BodyA"/>
        <w:spacing w:line="480" w:lineRule="auto"/>
        <w:ind w:left="360"/>
        <w:jc w:val="both"/>
        <w:rPr>
          <w:rFonts w:ascii="Arial" w:hAnsi="Arial" w:cs="Arial"/>
          <w:sz w:val="24"/>
          <w:szCs w:val="24"/>
        </w:rPr>
      </w:pPr>
    </w:p>
    <w:p w14:paraId="1001D476" w14:textId="5E51F72F" w:rsidR="005025BF" w:rsidRDefault="005025BF" w:rsidP="005025BF">
      <w:pPr>
        <w:pStyle w:val="BodyA"/>
        <w:spacing w:line="480" w:lineRule="auto"/>
        <w:ind w:left="360"/>
        <w:jc w:val="right"/>
        <w:rPr>
          <w:rFonts w:ascii="Arial" w:hAnsi="Arial" w:cs="Arial"/>
          <w:sz w:val="24"/>
          <w:szCs w:val="24"/>
        </w:rPr>
      </w:pPr>
      <w:r>
        <w:rPr>
          <w:rFonts w:ascii="Arial" w:hAnsi="Arial" w:cs="Arial"/>
          <w:sz w:val="24"/>
          <w:szCs w:val="24"/>
        </w:rPr>
        <w:t>_________________</w:t>
      </w:r>
    </w:p>
    <w:p w14:paraId="0984BA37" w14:textId="277FD98F" w:rsidR="005025BF" w:rsidRPr="005025BF" w:rsidRDefault="005025BF" w:rsidP="005025BF">
      <w:pPr>
        <w:pStyle w:val="BodyA"/>
        <w:spacing w:line="480" w:lineRule="auto"/>
        <w:ind w:left="360"/>
        <w:jc w:val="right"/>
        <w:rPr>
          <w:rFonts w:ascii="Arial" w:hAnsi="Arial" w:cs="Arial"/>
          <w:sz w:val="24"/>
          <w:szCs w:val="24"/>
        </w:rPr>
      </w:pPr>
      <w:proofErr w:type="spellStart"/>
      <w:r>
        <w:rPr>
          <w:rFonts w:ascii="Arial" w:hAnsi="Arial" w:cs="Arial"/>
          <w:sz w:val="24"/>
          <w:szCs w:val="24"/>
        </w:rPr>
        <w:t>NAUDé</w:t>
      </w:r>
      <w:proofErr w:type="spellEnd"/>
      <w:r>
        <w:rPr>
          <w:rFonts w:ascii="Arial" w:hAnsi="Arial" w:cs="Arial"/>
          <w:sz w:val="24"/>
          <w:szCs w:val="24"/>
        </w:rPr>
        <w:t xml:space="preserve"> AJ</w:t>
      </w:r>
    </w:p>
    <w:p w14:paraId="200A95B8" w14:textId="77777777" w:rsidR="009423DA" w:rsidRPr="000E29DC" w:rsidRDefault="009423DA" w:rsidP="009423DA">
      <w:pPr>
        <w:pStyle w:val="BodyA"/>
        <w:spacing w:line="480" w:lineRule="auto"/>
        <w:jc w:val="both"/>
        <w:rPr>
          <w:rFonts w:ascii="Arial" w:hAnsi="Arial" w:cs="Arial"/>
          <w:sz w:val="24"/>
          <w:szCs w:val="24"/>
        </w:rPr>
      </w:pPr>
    </w:p>
    <w:p w14:paraId="1277DB4B" w14:textId="26B6C131" w:rsidR="004D4F26" w:rsidRPr="000E29DC" w:rsidRDefault="009423DA" w:rsidP="00106FD0">
      <w:pPr>
        <w:pStyle w:val="BodyA"/>
        <w:spacing w:line="480" w:lineRule="auto"/>
        <w:jc w:val="both"/>
        <w:rPr>
          <w:rFonts w:ascii="Arial" w:hAnsi="Arial" w:cs="Arial"/>
          <w:sz w:val="24"/>
          <w:szCs w:val="24"/>
        </w:rPr>
      </w:pPr>
      <w:r w:rsidRPr="000E29DC">
        <w:rPr>
          <w:rFonts w:ascii="Arial" w:hAnsi="Arial" w:cs="Arial"/>
          <w:sz w:val="24"/>
          <w:szCs w:val="24"/>
        </w:rPr>
        <w:t xml:space="preserve"> </w:t>
      </w:r>
    </w:p>
    <w:p w14:paraId="403C3312" w14:textId="77777777" w:rsidR="009423DA" w:rsidRPr="000E29DC" w:rsidRDefault="009423DA" w:rsidP="00106FD0">
      <w:pPr>
        <w:pStyle w:val="BodyA"/>
        <w:spacing w:line="480" w:lineRule="auto"/>
        <w:jc w:val="both"/>
        <w:rPr>
          <w:rFonts w:ascii="Arial" w:hAnsi="Arial" w:cs="Arial"/>
          <w:sz w:val="24"/>
          <w:szCs w:val="24"/>
        </w:rPr>
      </w:pPr>
    </w:p>
    <w:p w14:paraId="7C87CEC9" w14:textId="2086EBDB" w:rsidR="004D4F26" w:rsidRPr="000E29DC" w:rsidRDefault="004D4F26" w:rsidP="00106FD0">
      <w:pPr>
        <w:pStyle w:val="BodyA"/>
        <w:spacing w:line="480" w:lineRule="auto"/>
        <w:jc w:val="both"/>
        <w:rPr>
          <w:rFonts w:ascii="Arial" w:hAnsi="Arial" w:cs="Arial"/>
          <w:sz w:val="24"/>
          <w:szCs w:val="24"/>
        </w:rPr>
      </w:pPr>
      <w:r w:rsidRPr="000E29DC">
        <w:rPr>
          <w:rFonts w:ascii="Arial" w:hAnsi="Arial" w:cs="Arial"/>
          <w:sz w:val="24"/>
          <w:szCs w:val="24"/>
        </w:rPr>
        <w:t xml:space="preserve"> </w:t>
      </w:r>
    </w:p>
    <w:p w14:paraId="0B184EA3" w14:textId="77777777" w:rsidR="00137AE8" w:rsidRPr="000E29DC" w:rsidRDefault="00137AE8" w:rsidP="00106FD0">
      <w:pPr>
        <w:pStyle w:val="BodyA"/>
        <w:spacing w:line="480" w:lineRule="auto"/>
        <w:jc w:val="both"/>
        <w:rPr>
          <w:rFonts w:ascii="Arial" w:hAnsi="Arial" w:cs="Arial"/>
          <w:sz w:val="24"/>
          <w:szCs w:val="24"/>
        </w:rPr>
      </w:pPr>
    </w:p>
    <w:p w14:paraId="02C9D74E" w14:textId="77777777" w:rsidR="000F7673" w:rsidRPr="000E29DC" w:rsidRDefault="000F7673" w:rsidP="00106FD0">
      <w:pPr>
        <w:pStyle w:val="BodyA"/>
        <w:spacing w:line="480" w:lineRule="auto"/>
        <w:jc w:val="both"/>
        <w:rPr>
          <w:rFonts w:ascii="Arial" w:hAnsi="Arial" w:cs="Arial"/>
          <w:sz w:val="24"/>
          <w:szCs w:val="24"/>
        </w:rPr>
      </w:pPr>
    </w:p>
    <w:p w14:paraId="275D8533" w14:textId="77777777" w:rsidR="00B209C8" w:rsidRPr="000E29DC" w:rsidRDefault="00B209C8" w:rsidP="00106FD0">
      <w:pPr>
        <w:jc w:val="both"/>
        <w:rPr>
          <w:rFonts w:ascii="Arial" w:hAnsi="Arial" w:cs="Arial"/>
          <w:sz w:val="24"/>
          <w:szCs w:val="24"/>
        </w:rPr>
      </w:pPr>
    </w:p>
    <w:sectPr w:rsidR="00B209C8" w:rsidRPr="000E29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3341"/>
    <w:multiLevelType w:val="hybridMultilevel"/>
    <w:tmpl w:val="E50EE636"/>
    <w:lvl w:ilvl="0" w:tplc="4DBEED34">
      <w:start w:val="1"/>
      <w:numFmt w:val="decimal"/>
      <w:lvlText w:val="(%1)"/>
      <w:lvlJc w:val="left"/>
      <w:pPr>
        <w:ind w:left="90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924A366">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87495EC">
      <w:start w:val="1"/>
      <w:numFmt w:val="lowerRoman"/>
      <w:lvlText w:val="%3."/>
      <w:lvlJc w:val="left"/>
      <w:pPr>
        <w:ind w:left="198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40C2FBE">
      <w:start w:val="1"/>
      <w:numFmt w:val="decimal"/>
      <w:lvlText w:val="%4."/>
      <w:lvlJc w:val="left"/>
      <w:pPr>
        <w:ind w:left="27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8584C72">
      <w:start w:val="1"/>
      <w:numFmt w:val="lowerLetter"/>
      <w:lvlText w:val="%5."/>
      <w:lvlJc w:val="left"/>
      <w:pPr>
        <w:ind w:left="34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807984">
      <w:start w:val="1"/>
      <w:numFmt w:val="lowerRoman"/>
      <w:lvlText w:val="%6."/>
      <w:lvlJc w:val="left"/>
      <w:pPr>
        <w:ind w:left="414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1A78AF5C">
      <w:start w:val="1"/>
      <w:numFmt w:val="decimal"/>
      <w:lvlText w:val="%7."/>
      <w:lvlJc w:val="left"/>
      <w:pPr>
        <w:ind w:left="48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212CE2C">
      <w:start w:val="1"/>
      <w:numFmt w:val="lowerLetter"/>
      <w:lvlText w:val="%8."/>
      <w:lvlJc w:val="left"/>
      <w:pPr>
        <w:ind w:left="55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605B72">
      <w:start w:val="1"/>
      <w:numFmt w:val="lowerRoman"/>
      <w:lvlText w:val="%9."/>
      <w:lvlJc w:val="left"/>
      <w:pPr>
        <w:ind w:left="630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8EA50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D5812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E42"/>
    <w:rsid w:val="00087B9D"/>
    <w:rsid w:val="000E29DC"/>
    <w:rsid w:val="000F7673"/>
    <w:rsid w:val="00103EED"/>
    <w:rsid w:val="00106FD0"/>
    <w:rsid w:val="00137AE8"/>
    <w:rsid w:val="001C4D4E"/>
    <w:rsid w:val="00225173"/>
    <w:rsid w:val="0027200D"/>
    <w:rsid w:val="00297C28"/>
    <w:rsid w:val="002B7EA3"/>
    <w:rsid w:val="002C33E1"/>
    <w:rsid w:val="00353E42"/>
    <w:rsid w:val="004D4F26"/>
    <w:rsid w:val="005025BF"/>
    <w:rsid w:val="00505A1C"/>
    <w:rsid w:val="005E2784"/>
    <w:rsid w:val="00613BA1"/>
    <w:rsid w:val="0062329A"/>
    <w:rsid w:val="00655844"/>
    <w:rsid w:val="007140FC"/>
    <w:rsid w:val="00794A17"/>
    <w:rsid w:val="008558D1"/>
    <w:rsid w:val="009423DA"/>
    <w:rsid w:val="00996B87"/>
    <w:rsid w:val="00A24684"/>
    <w:rsid w:val="00A2521A"/>
    <w:rsid w:val="00A83662"/>
    <w:rsid w:val="00B209C8"/>
    <w:rsid w:val="00B73B82"/>
    <w:rsid w:val="00C421D8"/>
    <w:rsid w:val="00C51F16"/>
    <w:rsid w:val="00CB5A69"/>
    <w:rsid w:val="00D03AEC"/>
    <w:rsid w:val="00D65EFA"/>
    <w:rsid w:val="00DF0BB6"/>
    <w:rsid w:val="00E4002B"/>
    <w:rsid w:val="00EB3FCC"/>
    <w:rsid w:val="00EE41DE"/>
    <w:rsid w:val="00F61116"/>
    <w:rsid w:val="00FE0B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46456"/>
  <w15:chartTrackingRefBased/>
  <w15:docId w15:val="{952C5BCA-9E21-4738-BE5E-C14A7301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53E42"/>
    <w:pPr>
      <w:pBdr>
        <w:top w:val="nil"/>
        <w:left w:val="nil"/>
        <w:bottom w:val="nil"/>
        <w:right w:val="nil"/>
        <w:between w:val="nil"/>
        <w:bar w:val="nil"/>
      </w:pBdr>
    </w:pPr>
    <w:rPr>
      <w:rFonts w:ascii="Calibri" w:eastAsia="Arial Unicode MS" w:hAnsi="Calibri" w:cs="Arial Unicode MS"/>
      <w:color w:val="000000"/>
      <w:kern w:val="0"/>
      <w:u w:color="000000"/>
      <w:bdr w:val="nil"/>
      <w:lang w:val="en-US" w:eastAsia="en-GB"/>
      <w14:textOutline w14:w="12700" w14:cap="flat" w14:cmpd="sng" w14:algn="ctr">
        <w14:noFill/>
        <w14:prstDash w14:val="solid"/>
        <w14:miter w14:lim="400000"/>
      </w14:textOutline>
      <w14:ligatures w14:val="none"/>
    </w:rPr>
  </w:style>
  <w:style w:type="paragraph" w:styleId="BalloonText">
    <w:name w:val="Balloon Text"/>
    <w:basedOn w:val="Normal"/>
    <w:link w:val="BalloonTextChar"/>
    <w:uiPriority w:val="99"/>
    <w:semiHidden/>
    <w:unhideWhenUsed/>
    <w:rsid w:val="00106F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FD0"/>
    <w:rPr>
      <w:rFonts w:ascii="Segoe UI" w:hAnsi="Segoe UI" w:cs="Segoe UI"/>
      <w:sz w:val="18"/>
      <w:szCs w:val="18"/>
    </w:rPr>
  </w:style>
  <w:style w:type="paragraph" w:customStyle="1" w:styleId="western">
    <w:name w:val="western"/>
    <w:basedOn w:val="Normal"/>
    <w:rsid w:val="00EB3FCC"/>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styleId="Hyperlink">
    <w:name w:val="Hyperlink"/>
    <w:basedOn w:val="DefaultParagraphFont"/>
    <w:uiPriority w:val="99"/>
    <w:semiHidden/>
    <w:unhideWhenUsed/>
    <w:rsid w:val="00EB3F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701865">
      <w:bodyDiv w:val="1"/>
      <w:marLeft w:val="0"/>
      <w:marRight w:val="0"/>
      <w:marTop w:val="0"/>
      <w:marBottom w:val="0"/>
      <w:divBdr>
        <w:top w:val="none" w:sz="0" w:space="0" w:color="auto"/>
        <w:left w:val="none" w:sz="0" w:space="0" w:color="auto"/>
        <w:bottom w:val="none" w:sz="0" w:space="0" w:color="auto"/>
        <w:right w:val="none" w:sz="0" w:space="0" w:color="auto"/>
      </w:divBdr>
    </w:div>
    <w:div w:id="1328167266">
      <w:bodyDiv w:val="1"/>
      <w:marLeft w:val="0"/>
      <w:marRight w:val="0"/>
      <w:marTop w:val="0"/>
      <w:marBottom w:val="0"/>
      <w:divBdr>
        <w:top w:val="none" w:sz="0" w:space="0" w:color="auto"/>
        <w:left w:val="none" w:sz="0" w:space="0" w:color="auto"/>
        <w:bottom w:val="none" w:sz="0" w:space="0" w:color="auto"/>
        <w:right w:val="none" w:sz="0" w:space="0" w:color="auto"/>
      </w:divBdr>
    </w:div>
    <w:div w:id="2025671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800E5-7F8F-4A70-AFDD-B8F721BA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Montsheng Khokhotho</dc:creator>
  <cp:keywords/>
  <dc:description/>
  <cp:lastModifiedBy>Sathish</cp:lastModifiedBy>
  <cp:revision>31</cp:revision>
  <cp:lastPrinted>2023-11-27T08:37:00Z</cp:lastPrinted>
  <dcterms:created xsi:type="dcterms:W3CDTF">2023-11-27T07:18:00Z</dcterms:created>
  <dcterms:modified xsi:type="dcterms:W3CDTF">2024-01-10T19:08:00Z</dcterms:modified>
</cp:coreProperties>
</file>