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A1" w:rsidRPr="0084067A" w:rsidRDefault="001C2DA1" w:rsidP="0084067A">
      <w:pPr>
        <w:jc w:val="center"/>
        <w:rPr>
          <w:b/>
          <w:u w:val="none"/>
        </w:rPr>
      </w:pPr>
      <w:bookmarkStart w:id="0" w:name="_GoBack"/>
      <w:bookmarkEnd w:id="0"/>
    </w:p>
    <w:p w:rsidR="002F4398" w:rsidRDefault="00694469" w:rsidP="0084067A">
      <w:pPr>
        <w:jc w:val="center"/>
        <w:rPr>
          <w:b/>
          <w:u w:val="none"/>
        </w:rPr>
      </w:pPr>
      <w:r w:rsidRPr="0084067A">
        <w:rPr>
          <w:b/>
          <w:noProof/>
          <w:u w:val="none"/>
          <w:lang w:val="en-US" w:eastAsia="en-US"/>
        </w:rPr>
        <mc:AlternateContent>
          <mc:Choice Requires="wpc">
            <w:drawing>
              <wp:inline distT="0" distB="0" distL="0" distR="0" wp14:anchorId="12D072DE" wp14:editId="61D35B61">
                <wp:extent cx="1162050" cy="1247774"/>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624"/>
                          </a:xfrm>
                          <a:prstGeom prst="rect">
                            <a:avLst/>
                          </a:prstGeom>
                          <a:noFill/>
                          <a:ln>
                            <a:noFill/>
                          </a:ln>
                        </pic:spPr>
                      </pic:pic>
                    </wpc:wpc>
                  </a:graphicData>
                </a:graphic>
              </wp:inline>
            </w:drawing>
          </mc:Choice>
          <mc:Fallback xmlns:w16se="http://schemas.microsoft.com/office/word/2015/wordml/symex" xmlns:cx1="http://schemas.microsoft.com/office/drawing/2015/9/8/chartex" xmlns:cx="http://schemas.microsoft.com/office/drawing/2014/chartex">
            <w:pict>
              <v:group w14:anchorId="4FDE08A3"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AaCopolQIAAH8FAAAOAAAAAAAAAAAAAAAAADwCAABkcnMvZTJvRG9jLnhtbFBLAQItABQA&#10;BgAIAAAAIQDaZCbW7gAAAM4BAAAZAAAAAAAAAAAAAAAAAP0EAABkcnMvX3JlbHMvZTJvRG9jLnht&#10;bC5yZWxzUEsBAi0AFAAGAAgAAAAhAFTdKy7cAAAABQEAAA8AAAAAAAAAAAAAAAAAIg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86145C" w:rsidRDefault="0086145C" w:rsidP="0084067A">
      <w:pPr>
        <w:jc w:val="center"/>
        <w:rPr>
          <w:b/>
          <w:u w:val="none"/>
        </w:rPr>
      </w:pPr>
    </w:p>
    <w:p w:rsidR="00740755" w:rsidRDefault="00740755" w:rsidP="00740755">
      <w:pPr>
        <w:jc w:val="center"/>
        <w:rPr>
          <w:b/>
          <w:u w:val="none"/>
        </w:rPr>
      </w:pPr>
      <w:r w:rsidRPr="0084067A">
        <w:rPr>
          <w:b/>
          <w:u w:val="none"/>
        </w:rPr>
        <w:t>IN THE HIGH COURT OF SOUTH AFRICA</w:t>
      </w:r>
    </w:p>
    <w:p w:rsidR="00740755" w:rsidRPr="0084067A" w:rsidRDefault="00E90121" w:rsidP="00E90121">
      <w:pPr>
        <w:tabs>
          <w:tab w:val="left" w:pos="1720"/>
        </w:tabs>
        <w:rPr>
          <w:b/>
          <w:u w:val="none"/>
        </w:rPr>
      </w:pPr>
      <w:r>
        <w:rPr>
          <w:b/>
          <w:u w:val="none"/>
        </w:rPr>
        <w:tab/>
      </w:r>
    </w:p>
    <w:p w:rsidR="00740755" w:rsidRPr="0084067A" w:rsidRDefault="00740755" w:rsidP="00740755">
      <w:pPr>
        <w:jc w:val="center"/>
        <w:rPr>
          <w:b/>
          <w:u w:val="none"/>
        </w:rPr>
      </w:pPr>
      <w:r w:rsidRPr="0084067A">
        <w:rPr>
          <w:b/>
          <w:u w:val="none"/>
        </w:rPr>
        <w:t>(GAUTENG DIVISION, PRETORIA)</w:t>
      </w:r>
    </w:p>
    <w:p w:rsidR="00740755" w:rsidRDefault="00740755" w:rsidP="00740755">
      <w:pPr>
        <w:rPr>
          <w:b/>
          <w:u w:val="none"/>
        </w:rPr>
      </w:pPr>
    </w:p>
    <w:p w:rsidR="00740755" w:rsidRDefault="00740755" w:rsidP="00740755">
      <w:pPr>
        <w:rPr>
          <w:b/>
          <w:u w:val="none"/>
        </w:rPr>
      </w:pPr>
    </w:p>
    <w:p w:rsidR="00542156" w:rsidRPr="007C20F4" w:rsidRDefault="007C20F4" w:rsidP="00C0031D">
      <w:pPr>
        <w:tabs>
          <w:tab w:val="right" w:pos="8199"/>
        </w:tabs>
        <w:spacing w:line="360" w:lineRule="auto"/>
        <w:jc w:val="right"/>
        <w:rPr>
          <w:u w:val="none"/>
        </w:rPr>
      </w:pPr>
      <w:r>
        <w:rPr>
          <w:u w:val="none"/>
        </w:rPr>
        <w:tab/>
      </w:r>
      <w:r w:rsidRPr="007C20F4">
        <w:rPr>
          <w:u w:val="none"/>
        </w:rPr>
        <w:t xml:space="preserve">Case number: </w:t>
      </w:r>
      <w:r w:rsidR="00F62AF0">
        <w:rPr>
          <w:u w:val="none"/>
        </w:rPr>
        <w:t xml:space="preserve"> </w:t>
      </w:r>
      <w:r w:rsidR="00142D8E">
        <w:rPr>
          <w:u w:val="none"/>
        </w:rPr>
        <w:t>33257</w:t>
      </w:r>
      <w:r w:rsidR="00740755">
        <w:rPr>
          <w:u w:val="none"/>
        </w:rPr>
        <w:t>/2021</w:t>
      </w:r>
    </w:p>
    <w:p w:rsidR="007C20F4" w:rsidRDefault="007C20F4"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r w:rsidRPr="007C20F4">
        <w:rPr>
          <w:u w:val="none"/>
        </w:rPr>
        <w:tab/>
      </w:r>
      <w:r w:rsidRPr="007C20F4">
        <w:rPr>
          <w:u w:val="none"/>
        </w:rPr>
        <w:tab/>
      </w:r>
      <w:r w:rsidRPr="007C20F4">
        <w:rPr>
          <w:u w:val="none"/>
        </w:rPr>
        <w:tab/>
      </w:r>
      <w:r w:rsidRPr="007C20F4">
        <w:rPr>
          <w:u w:val="none"/>
        </w:rPr>
        <w:tab/>
      </w:r>
      <w:r w:rsidRPr="007C20F4">
        <w:rPr>
          <w:u w:val="none"/>
        </w:rPr>
        <w:tab/>
      </w:r>
      <w:r w:rsidRPr="007C20F4">
        <w:rPr>
          <w:u w:val="none"/>
        </w:rPr>
        <w:tab/>
        <w:t xml:space="preserve">      </w:t>
      </w:r>
      <w:r w:rsidR="00C14708">
        <w:rPr>
          <w:u w:val="none"/>
        </w:rPr>
        <w:t xml:space="preserve">    </w:t>
      </w:r>
      <w:r w:rsidRPr="007C20F4">
        <w:rPr>
          <w:u w:val="none"/>
        </w:rPr>
        <w:t>Date:</w:t>
      </w:r>
      <w:r w:rsidR="00542156">
        <w:rPr>
          <w:u w:val="none"/>
        </w:rPr>
        <w:t xml:space="preserve"> </w:t>
      </w:r>
    </w:p>
    <w:p w:rsidR="0086145C"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rsidR="0086145C" w:rsidRPr="007C20F4"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rsidR="00052F10" w:rsidRPr="0084067A" w:rsidRDefault="007C20F4" w:rsidP="008037EC">
      <w:pPr>
        <w:rPr>
          <w:b/>
          <w:u w:val="none"/>
        </w:rPr>
      </w:pPr>
      <w:r w:rsidRPr="0084067A">
        <w:rPr>
          <w:b/>
          <w:noProof/>
          <w:lang w:val="en-US" w:eastAsia="en-US"/>
        </w:rPr>
        <mc:AlternateContent>
          <mc:Choice Requires="wps">
            <w:drawing>
              <wp:anchor distT="0" distB="0" distL="114300" distR="114300" simplePos="0" relativeHeight="251659264" behindDoc="0" locked="0" layoutInCell="1" allowOverlap="1" wp14:anchorId="63A4E733" wp14:editId="48466D0A">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rsidR="00A54F26" w:rsidRPr="00913F95" w:rsidRDefault="00A54F26" w:rsidP="00D3790A">
                            <w:pPr>
                              <w:jc w:val="center"/>
                              <w:rPr>
                                <w:rFonts w:ascii="Century Gothic" w:hAnsi="Century Gothic"/>
                                <w:b/>
                                <w:sz w:val="20"/>
                                <w:szCs w:val="20"/>
                              </w:rPr>
                            </w:pPr>
                          </w:p>
                          <w:p w:rsidR="00A54F26" w:rsidRPr="007C20F4" w:rsidRDefault="00A54F26"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A54F26" w:rsidRPr="007C20F4" w:rsidRDefault="00A54F26"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A54F26" w:rsidRPr="007C20F4" w:rsidRDefault="00A54F26"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A54F26" w:rsidRPr="00D3790A" w:rsidRDefault="00A54F26"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A4E733"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">
                <v:textbox>
                  <w:txbxContent>
                    <w:p w:rsidR="00A54F26" w:rsidRPr="00913F95" w:rsidRDefault="00A54F26" w:rsidP="00D3790A">
                      <w:pPr>
                        <w:jc w:val="center"/>
                        <w:rPr>
                          <w:rFonts w:ascii="Century Gothic" w:hAnsi="Century Gothic"/>
                          <w:b/>
                          <w:sz w:val="20"/>
                          <w:szCs w:val="20"/>
                        </w:rPr>
                      </w:pPr>
                    </w:p>
                    <w:p w:rsidR="00A54F26" w:rsidRPr="007C20F4" w:rsidRDefault="00A54F26"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rsidR="00A54F26" w:rsidRPr="007C20F4" w:rsidRDefault="00A54F26"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A54F26" w:rsidRPr="007C20F4" w:rsidRDefault="00A54F26"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A54F26" w:rsidRPr="007C20F4" w:rsidRDefault="00A54F26"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A54F26" w:rsidRPr="00D3790A" w:rsidRDefault="00A54F26"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v:textbox>
              </v:shape>
            </w:pict>
          </mc:Fallback>
        </mc:AlternateContent>
      </w:r>
    </w:p>
    <w:p w:rsidR="00052F10" w:rsidRPr="0084067A" w:rsidRDefault="00052F10" w:rsidP="0084067A">
      <w:pPr>
        <w:jc w:val="center"/>
        <w:rPr>
          <w:b/>
          <w:u w:val="none"/>
        </w:rPr>
      </w:pPr>
    </w:p>
    <w:p w:rsidR="007C20F4" w:rsidRPr="007C20F4" w:rsidRDefault="00AE0757" w:rsidP="007C20F4">
      <w:pPr>
        <w:tabs>
          <w:tab w:val="right" w:pos="8199"/>
        </w:tabs>
        <w:spacing w:line="360" w:lineRule="auto"/>
        <w:rPr>
          <w:u w:val="none"/>
        </w:rPr>
      </w:pP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p>
    <w:p w:rsidR="007C20F4" w:rsidRDefault="007C20F4"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C20F4">
        <w:rPr>
          <w:u w:val="none"/>
        </w:rPr>
        <w:t>In the matter between:</w:t>
      </w:r>
    </w:p>
    <w:p w:rsidR="00740755" w:rsidRDefault="00740755"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8B0543" w:rsidRDefault="00740755"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 xml:space="preserve">THE COMMISSIONER FOR </w:t>
      </w:r>
      <w:r w:rsidR="008B0543">
        <w:rPr>
          <w:b/>
          <w:u w:val="none"/>
        </w:rPr>
        <w:t>THE SOUTH AFRICAN</w:t>
      </w:r>
    </w:p>
    <w:p w:rsidR="00740755" w:rsidRPr="00740755" w:rsidRDefault="008B0543"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 xml:space="preserve">REVENUE SERVICES                      </w:t>
      </w:r>
      <w:r w:rsidR="00740755" w:rsidRPr="00740755">
        <w:rPr>
          <w:b/>
          <w:u w:val="none"/>
        </w:rPr>
        <w:t xml:space="preserve">                                   </w:t>
      </w:r>
      <w:r w:rsidR="00740755">
        <w:rPr>
          <w:b/>
          <w:u w:val="none"/>
        </w:rPr>
        <w:t xml:space="preserve">           </w:t>
      </w:r>
      <w:r w:rsidR="00740755" w:rsidRPr="00740755">
        <w:rPr>
          <w:b/>
          <w:u w:val="none"/>
        </w:rPr>
        <w:t>APPLICANT</w:t>
      </w:r>
    </w:p>
    <w:p w:rsidR="00740755" w:rsidRPr="00740755" w:rsidRDefault="00740755"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740755" w:rsidRPr="00740755" w:rsidRDefault="00740755"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740755">
        <w:rPr>
          <w:b/>
          <w:u w:val="none"/>
        </w:rPr>
        <w:t>AND</w:t>
      </w:r>
    </w:p>
    <w:p w:rsidR="00740755" w:rsidRPr="00740755" w:rsidRDefault="00740755"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740755" w:rsidRPr="00740755" w:rsidRDefault="008B0543"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 xml:space="preserve">GRAND </w:t>
      </w:r>
      <w:r w:rsidR="00B3457F">
        <w:rPr>
          <w:b/>
          <w:u w:val="none"/>
        </w:rPr>
        <w:t>AZANIA (</w:t>
      </w:r>
      <w:r>
        <w:rPr>
          <w:b/>
          <w:u w:val="none"/>
        </w:rPr>
        <w:t>PTY) LIMITED</w:t>
      </w:r>
      <w:r w:rsidR="00740755" w:rsidRPr="00740755">
        <w:rPr>
          <w:b/>
          <w:u w:val="none"/>
        </w:rPr>
        <w:t xml:space="preserve">                                    </w:t>
      </w:r>
      <w:r>
        <w:rPr>
          <w:b/>
          <w:u w:val="none"/>
        </w:rPr>
        <w:t xml:space="preserve">                        </w:t>
      </w:r>
      <w:r w:rsidR="00740755" w:rsidRPr="00740755">
        <w:rPr>
          <w:b/>
          <w:u w:val="none"/>
        </w:rPr>
        <w:t>RESPONDENT</w:t>
      </w:r>
    </w:p>
    <w:p w:rsidR="00F62AF0"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F62AF0" w:rsidRDefault="00F62AF0" w:rsidP="007C20F4">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F62AF0"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F62AF0" w:rsidRPr="00740755" w:rsidRDefault="00F62AF0" w:rsidP="00F62AF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sidRPr="00740755">
        <w:rPr>
          <w:b/>
          <w:u w:val="none"/>
        </w:rPr>
        <w:t>JUDGMENT</w:t>
      </w:r>
    </w:p>
    <w:p w:rsid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F62AF0">
        <w:rPr>
          <w:b/>
        </w:rPr>
        <w:lastRenderedPageBreak/>
        <w:t>TOLMAY, J:</w:t>
      </w:r>
    </w:p>
    <w:p w:rsidR="00F62AF0" w:rsidRP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rsidR="00142D8E" w:rsidRDefault="004300A3" w:rsidP="00142D8E">
      <w:pPr>
        <w:spacing w:line="480" w:lineRule="auto"/>
        <w:ind w:left="720" w:hanging="720"/>
        <w:jc w:val="both"/>
        <w:rPr>
          <w:u w:val="none"/>
          <w:lang w:val="en-US"/>
        </w:rPr>
      </w:pPr>
      <w:r>
        <w:rPr>
          <w:u w:val="none"/>
          <w:lang w:val="en-US"/>
        </w:rPr>
        <w:t xml:space="preserve"> </w:t>
      </w:r>
      <w:r w:rsidR="00F62AF0">
        <w:rPr>
          <w:u w:val="none"/>
          <w:lang w:val="en-US"/>
        </w:rPr>
        <w:t>[1]</w:t>
      </w:r>
      <w:r w:rsidR="00740755">
        <w:rPr>
          <w:u w:val="none"/>
          <w:lang w:val="en-US"/>
        </w:rPr>
        <w:tab/>
        <w:t xml:space="preserve">The Applicant (SARS) launched a liquidation application against the respondent (Grand Azania) during July 2021 based on </w:t>
      </w:r>
      <w:r w:rsidR="00A65750">
        <w:rPr>
          <w:u w:val="none"/>
          <w:lang w:val="en-US"/>
        </w:rPr>
        <w:t>section 344</w:t>
      </w:r>
      <w:r w:rsidR="00740755">
        <w:rPr>
          <w:u w:val="none"/>
          <w:lang w:val="en-US"/>
        </w:rPr>
        <w:t>(</w:t>
      </w:r>
      <w:r w:rsidR="00142D8E">
        <w:rPr>
          <w:u w:val="none"/>
          <w:lang w:val="en-US"/>
        </w:rPr>
        <w:t>f) read with section 345(1)(a)(i</w:t>
      </w:r>
      <w:r w:rsidR="00A07515">
        <w:rPr>
          <w:u w:val="none"/>
          <w:lang w:val="en-US"/>
        </w:rPr>
        <w:t>) and/or 344(h</w:t>
      </w:r>
      <w:r w:rsidR="00740755">
        <w:rPr>
          <w:u w:val="none"/>
          <w:lang w:val="en-US"/>
        </w:rPr>
        <w:t>) of the Companies Act 61 of 1973 (the Companies Act).</w:t>
      </w:r>
      <w:r w:rsidR="00F62AF0">
        <w:rPr>
          <w:u w:val="none"/>
          <w:lang w:val="en-US"/>
        </w:rPr>
        <w:tab/>
      </w:r>
      <w:r w:rsidR="00142D8E">
        <w:rPr>
          <w:u w:val="none"/>
          <w:lang w:val="en-US"/>
        </w:rPr>
        <w:t xml:space="preserve"> Section 344 provides </w:t>
      </w:r>
      <w:r w:rsidR="00142D8E" w:rsidRPr="00142D8E">
        <w:rPr>
          <w:i/>
          <w:u w:val="none"/>
          <w:lang w:val="en-US"/>
        </w:rPr>
        <w:t>inter alia</w:t>
      </w:r>
      <w:r>
        <w:rPr>
          <w:u w:val="none"/>
          <w:lang w:val="en-US"/>
        </w:rPr>
        <w:t xml:space="preserve"> that a company may be woun</w:t>
      </w:r>
      <w:r w:rsidR="00142D8E">
        <w:rPr>
          <w:u w:val="none"/>
          <w:lang w:val="en-US"/>
        </w:rPr>
        <w:t>d up if it is unable to pay its debts as described in section 345 and/or</w:t>
      </w:r>
      <w:r>
        <w:rPr>
          <w:u w:val="none"/>
          <w:lang w:val="en-US"/>
        </w:rPr>
        <w:t xml:space="preserve"> if</w:t>
      </w:r>
      <w:r w:rsidR="00142D8E">
        <w:rPr>
          <w:u w:val="none"/>
          <w:lang w:val="en-US"/>
        </w:rPr>
        <w:t xml:space="preserve"> it appears to the Court that it is just and equitable that the company should be wound up.</w:t>
      </w:r>
    </w:p>
    <w:p w:rsidR="00142D8E" w:rsidRDefault="00142D8E" w:rsidP="00142D8E">
      <w:pPr>
        <w:spacing w:line="480" w:lineRule="auto"/>
        <w:ind w:left="720" w:hanging="720"/>
        <w:jc w:val="both"/>
        <w:rPr>
          <w:u w:val="none"/>
          <w:lang w:val="en-US"/>
        </w:rPr>
      </w:pPr>
    </w:p>
    <w:p w:rsidR="00142D8E" w:rsidRDefault="00142D8E" w:rsidP="00142D8E">
      <w:pPr>
        <w:spacing w:line="480" w:lineRule="auto"/>
        <w:ind w:left="720" w:hanging="720"/>
        <w:jc w:val="both"/>
        <w:rPr>
          <w:u w:val="none"/>
          <w:lang w:val="en-US"/>
        </w:rPr>
      </w:pPr>
      <w:r>
        <w:rPr>
          <w:u w:val="none"/>
          <w:lang w:val="en-US"/>
        </w:rPr>
        <w:t>[2]</w:t>
      </w:r>
      <w:r>
        <w:rPr>
          <w:u w:val="none"/>
          <w:lang w:val="en-US"/>
        </w:rPr>
        <w:tab/>
        <w:t xml:space="preserve">The issue that needs to be decided here is whether SARS made out a case for the liquidation of Grand Azania. In doing so it must be </w:t>
      </w:r>
      <w:r w:rsidR="0025445C">
        <w:rPr>
          <w:u w:val="none"/>
          <w:lang w:val="en-US"/>
        </w:rPr>
        <w:t>demonstrated</w:t>
      </w:r>
      <w:r>
        <w:rPr>
          <w:u w:val="none"/>
          <w:lang w:val="en-US"/>
        </w:rPr>
        <w:t xml:space="preserve"> that SARS is a creditor of Grand Azania, that Grand Azania is indebted to SARS in an amount of no less than R100-00</w:t>
      </w:r>
      <w:r w:rsidR="004300A3">
        <w:rPr>
          <w:u w:val="none"/>
          <w:lang w:val="en-US"/>
        </w:rPr>
        <w:t>,</w:t>
      </w:r>
      <w:r>
        <w:rPr>
          <w:u w:val="none"/>
          <w:lang w:val="en-US"/>
        </w:rPr>
        <w:t xml:space="preserve"> </w:t>
      </w:r>
      <w:r w:rsidR="00040F3C">
        <w:rPr>
          <w:u w:val="none"/>
          <w:lang w:val="en-US"/>
        </w:rPr>
        <w:t xml:space="preserve">that </w:t>
      </w:r>
      <w:r>
        <w:rPr>
          <w:u w:val="none"/>
          <w:lang w:val="en-US"/>
        </w:rPr>
        <w:t xml:space="preserve">SARS issued </w:t>
      </w:r>
      <w:r w:rsidR="00040F3C">
        <w:rPr>
          <w:u w:val="none"/>
          <w:lang w:val="en-US"/>
        </w:rPr>
        <w:t xml:space="preserve">a </w:t>
      </w:r>
      <w:r>
        <w:rPr>
          <w:u w:val="none"/>
          <w:lang w:val="en-US"/>
        </w:rPr>
        <w:t xml:space="preserve">demand for the payment of the debt and that the company is unable to pay </w:t>
      </w:r>
      <w:r w:rsidR="004300A3">
        <w:rPr>
          <w:u w:val="none"/>
          <w:lang w:val="en-US"/>
        </w:rPr>
        <w:t xml:space="preserve">its </w:t>
      </w:r>
      <w:r>
        <w:rPr>
          <w:u w:val="none"/>
          <w:lang w:val="en-US"/>
        </w:rPr>
        <w:t>debt</w:t>
      </w:r>
      <w:r w:rsidR="00040F3C">
        <w:rPr>
          <w:u w:val="none"/>
          <w:lang w:val="en-US"/>
        </w:rPr>
        <w:t>s</w:t>
      </w:r>
      <w:r>
        <w:rPr>
          <w:u w:val="none"/>
          <w:lang w:val="en-US"/>
        </w:rPr>
        <w:t>. In terms of section 345(1)(a)(i) a company is deemed to be unable to pay such debt, if the company fails to pay the sum due,</w:t>
      </w:r>
      <w:r w:rsidR="00040F3C">
        <w:rPr>
          <w:u w:val="none"/>
          <w:lang w:val="en-US"/>
        </w:rPr>
        <w:t xml:space="preserve"> </w:t>
      </w:r>
      <w:r w:rsidR="004300A3">
        <w:rPr>
          <w:u w:val="none"/>
          <w:lang w:val="en-US"/>
        </w:rPr>
        <w:t>after service of the demand</w:t>
      </w:r>
      <w:r>
        <w:rPr>
          <w:u w:val="none"/>
          <w:lang w:val="en-US"/>
        </w:rPr>
        <w:t xml:space="preserve"> by leaving it at the registered address</w:t>
      </w:r>
      <w:r w:rsidR="00A07515">
        <w:rPr>
          <w:u w:val="none"/>
          <w:lang w:val="en-US"/>
        </w:rPr>
        <w:t>.</w:t>
      </w:r>
    </w:p>
    <w:p w:rsidR="00740755" w:rsidRDefault="00740755" w:rsidP="0096554D">
      <w:pPr>
        <w:spacing w:line="480" w:lineRule="auto"/>
        <w:ind w:left="720" w:hanging="720"/>
        <w:jc w:val="both"/>
        <w:rPr>
          <w:u w:val="none"/>
          <w:lang w:val="en-US"/>
        </w:rPr>
      </w:pPr>
    </w:p>
    <w:p w:rsidR="00740755" w:rsidRDefault="00142D8E" w:rsidP="0096554D">
      <w:pPr>
        <w:spacing w:line="480" w:lineRule="auto"/>
        <w:ind w:left="720" w:hanging="720"/>
        <w:jc w:val="both"/>
        <w:rPr>
          <w:u w:val="none"/>
          <w:lang w:val="en-US"/>
        </w:rPr>
      </w:pPr>
      <w:r>
        <w:rPr>
          <w:u w:val="none"/>
          <w:lang w:val="en-US"/>
        </w:rPr>
        <w:t>[3</w:t>
      </w:r>
      <w:r w:rsidR="00740755">
        <w:rPr>
          <w:u w:val="none"/>
          <w:lang w:val="en-US"/>
        </w:rPr>
        <w:t>]</w:t>
      </w:r>
      <w:r w:rsidR="00740755">
        <w:rPr>
          <w:u w:val="none"/>
          <w:lang w:val="en-US"/>
        </w:rPr>
        <w:tab/>
        <w:t>SARS based the application on income tax and VAT assessments rel</w:t>
      </w:r>
      <w:r w:rsidR="004300A3">
        <w:rPr>
          <w:u w:val="none"/>
          <w:lang w:val="en-US"/>
        </w:rPr>
        <w:t>ating to a gratuitou</w:t>
      </w:r>
      <w:r>
        <w:rPr>
          <w:u w:val="none"/>
          <w:lang w:val="en-US"/>
        </w:rPr>
        <w:t>s payment of</w:t>
      </w:r>
      <w:r w:rsidR="00740755">
        <w:rPr>
          <w:u w:val="none"/>
          <w:lang w:val="en-US"/>
        </w:rPr>
        <w:t xml:space="preserve"> R6.4 million from VBS bank. It relied on a forensic report which indicated that Mr Brian </w:t>
      </w:r>
      <w:r w:rsidR="00A65750">
        <w:rPr>
          <w:u w:val="none"/>
          <w:lang w:val="en-US"/>
        </w:rPr>
        <w:t>Shivambu, who</w:t>
      </w:r>
      <w:r w:rsidR="00B12A0C">
        <w:rPr>
          <w:u w:val="none"/>
          <w:lang w:val="en-US"/>
        </w:rPr>
        <w:t xml:space="preserve"> is the sole director and shareholder of Grand Azania, </w:t>
      </w:r>
      <w:r w:rsidR="00740755">
        <w:rPr>
          <w:u w:val="none"/>
          <w:lang w:val="en-US"/>
        </w:rPr>
        <w:t xml:space="preserve">benefited directly or indirectly from </w:t>
      </w:r>
      <w:r>
        <w:rPr>
          <w:u w:val="none"/>
          <w:lang w:val="en-US"/>
        </w:rPr>
        <w:t>gratuitous</w:t>
      </w:r>
      <w:r w:rsidR="00740755">
        <w:rPr>
          <w:u w:val="none"/>
          <w:lang w:val="en-US"/>
        </w:rPr>
        <w:t xml:space="preserve"> payments from VBS bank to the amount of </w:t>
      </w:r>
      <w:r w:rsidR="00740755">
        <w:rPr>
          <w:u w:val="none"/>
          <w:lang w:val="en-US"/>
        </w:rPr>
        <w:lastRenderedPageBreak/>
        <w:t>R16 148 569-0</w:t>
      </w:r>
      <w:r w:rsidR="004300A3">
        <w:rPr>
          <w:u w:val="none"/>
          <w:lang w:val="en-US"/>
        </w:rPr>
        <w:t xml:space="preserve">0. An amount </w:t>
      </w:r>
      <w:r w:rsidR="007E1A54">
        <w:rPr>
          <w:u w:val="none"/>
          <w:lang w:val="en-US"/>
        </w:rPr>
        <w:t>of R6.4</w:t>
      </w:r>
      <w:r w:rsidR="00740755">
        <w:rPr>
          <w:u w:val="none"/>
          <w:lang w:val="en-US"/>
        </w:rPr>
        <w:t xml:space="preserve"> million of </w:t>
      </w:r>
      <w:r w:rsidR="004300A3">
        <w:rPr>
          <w:u w:val="none"/>
          <w:lang w:val="en-US"/>
        </w:rPr>
        <w:t xml:space="preserve">the aforementioned amount was paid to Grand Azania. </w:t>
      </w:r>
    </w:p>
    <w:p w:rsidR="00B12A0C" w:rsidRDefault="00B12A0C" w:rsidP="0096554D">
      <w:pPr>
        <w:spacing w:line="480" w:lineRule="auto"/>
        <w:ind w:left="720" w:hanging="720"/>
        <w:jc w:val="both"/>
        <w:rPr>
          <w:u w:val="none"/>
          <w:lang w:val="en-US"/>
        </w:rPr>
      </w:pPr>
    </w:p>
    <w:p w:rsidR="00740755" w:rsidRDefault="00142D8E" w:rsidP="004300A3">
      <w:pPr>
        <w:spacing w:line="480" w:lineRule="auto"/>
        <w:ind w:left="720" w:hanging="720"/>
        <w:jc w:val="both"/>
        <w:rPr>
          <w:u w:val="none"/>
          <w:lang w:val="en-US"/>
        </w:rPr>
      </w:pPr>
      <w:r>
        <w:rPr>
          <w:u w:val="none"/>
          <w:lang w:val="en-US"/>
        </w:rPr>
        <w:t>[4</w:t>
      </w:r>
      <w:r w:rsidR="00740755">
        <w:rPr>
          <w:u w:val="none"/>
          <w:lang w:val="en-US"/>
        </w:rPr>
        <w:t>]</w:t>
      </w:r>
      <w:r w:rsidR="00740755">
        <w:rPr>
          <w:u w:val="none"/>
          <w:lang w:val="en-US"/>
        </w:rPr>
        <w:tab/>
        <w:t>SARS issued a notification of audit t</w:t>
      </w:r>
      <w:r w:rsidR="00B13A40">
        <w:rPr>
          <w:u w:val="none"/>
          <w:lang w:val="en-US"/>
        </w:rPr>
        <w:t>o Grand Azania on 23 April 2020</w:t>
      </w:r>
      <w:r w:rsidR="00040F3C">
        <w:rPr>
          <w:u w:val="none"/>
          <w:lang w:val="en-US"/>
        </w:rPr>
        <w:t>.</w:t>
      </w:r>
      <w:r w:rsidR="00740755">
        <w:rPr>
          <w:u w:val="none"/>
          <w:lang w:val="en-US"/>
        </w:rPr>
        <w:t xml:space="preserve"> </w:t>
      </w:r>
      <w:r w:rsidR="00040F3C">
        <w:rPr>
          <w:u w:val="none"/>
          <w:lang w:val="en-US"/>
        </w:rPr>
        <w:t>I</w:t>
      </w:r>
      <w:r w:rsidR="00740755">
        <w:rPr>
          <w:u w:val="none"/>
          <w:lang w:val="en-US"/>
        </w:rPr>
        <w:t>n the letter certain information was requested from Grand Azania. SARS was not satisfied with the information and documents provided</w:t>
      </w:r>
      <w:r w:rsidR="004300A3">
        <w:rPr>
          <w:u w:val="none"/>
          <w:lang w:val="en-US"/>
        </w:rPr>
        <w:t xml:space="preserve"> and addressed a further let</w:t>
      </w:r>
      <w:r w:rsidR="00740755">
        <w:rPr>
          <w:u w:val="none"/>
          <w:lang w:val="en-US"/>
        </w:rPr>
        <w:t xml:space="preserve">ter, dated 3 July 2020 to Grand Azania requesting further information, a reminder to respond to the aforesaid letter was sent to </w:t>
      </w:r>
      <w:r>
        <w:rPr>
          <w:u w:val="none"/>
          <w:lang w:val="en-US"/>
        </w:rPr>
        <w:t xml:space="preserve">Grand Azania </w:t>
      </w:r>
      <w:r w:rsidR="00740755">
        <w:rPr>
          <w:u w:val="none"/>
          <w:lang w:val="en-US"/>
        </w:rPr>
        <w:t>on 28 August 202</w:t>
      </w:r>
      <w:r w:rsidR="004300A3">
        <w:rPr>
          <w:u w:val="none"/>
          <w:lang w:val="en-US"/>
        </w:rPr>
        <w:t>0</w:t>
      </w:r>
      <w:r w:rsidR="00740755">
        <w:rPr>
          <w:u w:val="none"/>
          <w:lang w:val="en-US"/>
        </w:rPr>
        <w:t>.</w:t>
      </w:r>
      <w:r w:rsidR="004300A3">
        <w:rPr>
          <w:u w:val="none"/>
          <w:lang w:val="en-US"/>
        </w:rPr>
        <w:t xml:space="preserve"> </w:t>
      </w:r>
      <w:r w:rsidR="00740755">
        <w:rPr>
          <w:u w:val="none"/>
          <w:lang w:val="en-US"/>
        </w:rPr>
        <w:t>Grand Azania did no</w:t>
      </w:r>
      <w:r>
        <w:rPr>
          <w:u w:val="none"/>
          <w:lang w:val="en-US"/>
        </w:rPr>
        <w:t>t respond to these letters and on</w:t>
      </w:r>
      <w:r w:rsidR="00740755">
        <w:rPr>
          <w:u w:val="none"/>
          <w:lang w:val="en-US"/>
        </w:rPr>
        <w:t xml:space="preserve"> 4 December 2020 SARS issued audit findings. On 25 January 2021 SARS followed up on the aforementioned letter. On 28 January 2021 Grand Azania requested an extension which was granted until 2 February 2021</w:t>
      </w:r>
      <w:r w:rsidR="004300A3">
        <w:rPr>
          <w:u w:val="none"/>
          <w:lang w:val="en-US"/>
        </w:rPr>
        <w:t>,</w:t>
      </w:r>
      <w:r w:rsidR="00740755">
        <w:rPr>
          <w:u w:val="none"/>
          <w:lang w:val="en-US"/>
        </w:rPr>
        <w:t xml:space="preserve"> a further </w:t>
      </w:r>
      <w:r w:rsidR="008B0543">
        <w:rPr>
          <w:u w:val="none"/>
          <w:lang w:val="en-US"/>
        </w:rPr>
        <w:t>extension</w:t>
      </w:r>
      <w:r w:rsidR="00740755">
        <w:rPr>
          <w:u w:val="none"/>
          <w:lang w:val="en-US"/>
        </w:rPr>
        <w:t xml:space="preserve"> was granted until 10 February 2021. On 12 February 2021 Grand Azania provided SARS with invoices</w:t>
      </w:r>
      <w:r w:rsidR="008B0543">
        <w:rPr>
          <w:u w:val="none"/>
          <w:lang w:val="en-US"/>
        </w:rPr>
        <w:t>. On 25 March 2021 SARS issued original estimated assessments for income tax in respect of the 20</w:t>
      </w:r>
      <w:r w:rsidR="004300A3">
        <w:rPr>
          <w:u w:val="none"/>
          <w:lang w:val="en-US"/>
        </w:rPr>
        <w:t>17 and 2018 years of assessment</w:t>
      </w:r>
      <w:r w:rsidR="008B0543">
        <w:rPr>
          <w:u w:val="none"/>
          <w:lang w:val="en-US"/>
        </w:rPr>
        <w:t>.</w:t>
      </w:r>
    </w:p>
    <w:p w:rsidR="008B0543" w:rsidRDefault="008B0543" w:rsidP="0096554D">
      <w:pPr>
        <w:spacing w:line="480" w:lineRule="auto"/>
        <w:ind w:left="720" w:hanging="720"/>
        <w:jc w:val="both"/>
        <w:rPr>
          <w:u w:val="none"/>
          <w:lang w:val="en-US"/>
        </w:rPr>
      </w:pPr>
    </w:p>
    <w:p w:rsidR="008B0543" w:rsidRDefault="00142D8E" w:rsidP="0096554D">
      <w:pPr>
        <w:spacing w:line="480" w:lineRule="auto"/>
        <w:ind w:left="720" w:hanging="720"/>
        <w:jc w:val="both"/>
        <w:rPr>
          <w:u w:val="none"/>
          <w:lang w:val="en-US"/>
        </w:rPr>
      </w:pPr>
      <w:r>
        <w:rPr>
          <w:u w:val="none"/>
          <w:lang w:val="en-US"/>
        </w:rPr>
        <w:t>[5]</w:t>
      </w:r>
      <w:r>
        <w:rPr>
          <w:u w:val="none"/>
          <w:lang w:val="en-US"/>
        </w:rPr>
        <w:tab/>
        <w:t>On 29 March</w:t>
      </w:r>
      <w:r w:rsidR="008B0543">
        <w:rPr>
          <w:u w:val="none"/>
          <w:lang w:val="en-US"/>
        </w:rPr>
        <w:t xml:space="preserve"> 2021 a </w:t>
      </w:r>
      <w:r w:rsidR="004300A3">
        <w:rPr>
          <w:u w:val="none"/>
          <w:lang w:val="en-US"/>
        </w:rPr>
        <w:t xml:space="preserve">finalization audit letter </w:t>
      </w:r>
      <w:r w:rsidR="008B0543">
        <w:rPr>
          <w:u w:val="none"/>
          <w:lang w:val="en-US"/>
        </w:rPr>
        <w:t>was sent to Grand Azania. In this letter the history of the matter, the documents requested by SARS</w:t>
      </w:r>
      <w:r>
        <w:rPr>
          <w:u w:val="none"/>
          <w:lang w:val="en-US"/>
        </w:rPr>
        <w:t xml:space="preserve"> and</w:t>
      </w:r>
      <w:r w:rsidR="008B0543">
        <w:rPr>
          <w:u w:val="none"/>
          <w:lang w:val="en-US"/>
        </w:rPr>
        <w:t>, the docume</w:t>
      </w:r>
      <w:r w:rsidR="004300A3">
        <w:rPr>
          <w:u w:val="none"/>
          <w:lang w:val="en-US"/>
        </w:rPr>
        <w:t>nts provided by Grand Azania were</w:t>
      </w:r>
      <w:r w:rsidR="008B0543">
        <w:rPr>
          <w:u w:val="none"/>
          <w:lang w:val="en-US"/>
        </w:rPr>
        <w:t xml:space="preserve"> set out. SARS indicated that the audit was completed and the tax adjustments calculated were set out. </w:t>
      </w:r>
    </w:p>
    <w:p w:rsidR="008B0543" w:rsidRDefault="008B0543" w:rsidP="0096554D">
      <w:pPr>
        <w:spacing w:line="480" w:lineRule="auto"/>
        <w:ind w:left="720" w:hanging="720"/>
        <w:jc w:val="both"/>
        <w:rPr>
          <w:u w:val="none"/>
          <w:lang w:val="en-US"/>
        </w:rPr>
      </w:pPr>
    </w:p>
    <w:p w:rsidR="008B0543" w:rsidRDefault="00142D8E" w:rsidP="0096554D">
      <w:pPr>
        <w:spacing w:line="480" w:lineRule="auto"/>
        <w:ind w:left="720" w:hanging="720"/>
        <w:jc w:val="both"/>
        <w:rPr>
          <w:u w:val="none"/>
          <w:lang w:val="en-US"/>
        </w:rPr>
      </w:pPr>
      <w:r>
        <w:rPr>
          <w:u w:val="none"/>
          <w:lang w:val="en-US"/>
        </w:rPr>
        <w:lastRenderedPageBreak/>
        <w:t>[6</w:t>
      </w:r>
      <w:r w:rsidR="008B0543">
        <w:rPr>
          <w:u w:val="none"/>
          <w:lang w:val="en-US"/>
        </w:rPr>
        <w:t>]</w:t>
      </w:r>
      <w:r w:rsidR="008B0543">
        <w:rPr>
          <w:u w:val="none"/>
          <w:lang w:val="en-US"/>
        </w:rPr>
        <w:tab/>
        <w:t xml:space="preserve">It should be noted that this letter </w:t>
      </w:r>
      <w:r w:rsidRPr="00142D8E">
        <w:rPr>
          <w:i/>
          <w:u w:val="none"/>
          <w:lang w:val="en-US"/>
        </w:rPr>
        <w:t xml:space="preserve">inter alia </w:t>
      </w:r>
      <w:r w:rsidR="008B0543">
        <w:rPr>
          <w:u w:val="none"/>
          <w:lang w:val="en-US"/>
        </w:rPr>
        <w:t>recorded that an understa</w:t>
      </w:r>
      <w:r w:rsidR="003F11AA">
        <w:rPr>
          <w:u w:val="none"/>
          <w:lang w:val="en-US"/>
        </w:rPr>
        <w:t>te</w:t>
      </w:r>
      <w:r w:rsidR="008B0543">
        <w:rPr>
          <w:u w:val="none"/>
          <w:lang w:val="en-US"/>
        </w:rPr>
        <w:t xml:space="preserve">ment penalty of 200% was levied in terms of section 223 of the Tax Administration Act 28 of 2011 </w:t>
      </w:r>
      <w:r>
        <w:rPr>
          <w:u w:val="none"/>
          <w:lang w:val="en-US"/>
        </w:rPr>
        <w:t>(</w:t>
      </w:r>
      <w:r w:rsidR="008B0543">
        <w:rPr>
          <w:u w:val="none"/>
          <w:lang w:val="en-US"/>
        </w:rPr>
        <w:t xml:space="preserve">TAA) and interest in terms of </w:t>
      </w:r>
      <w:r w:rsidR="00A07515">
        <w:rPr>
          <w:u w:val="none"/>
          <w:lang w:val="en-US"/>
        </w:rPr>
        <w:t xml:space="preserve">section </w:t>
      </w:r>
      <w:r w:rsidR="008B0543">
        <w:rPr>
          <w:u w:val="none"/>
          <w:lang w:val="en-US"/>
        </w:rPr>
        <w:t xml:space="preserve">89 quat (2) of the Income Tax Act </w:t>
      </w:r>
      <w:r w:rsidR="00040F3C">
        <w:rPr>
          <w:u w:val="none"/>
          <w:lang w:val="en-US"/>
        </w:rPr>
        <w:t xml:space="preserve">58 </w:t>
      </w:r>
      <w:r w:rsidR="008B0543">
        <w:rPr>
          <w:u w:val="none"/>
          <w:lang w:val="en-US"/>
        </w:rPr>
        <w:t>of 1962 (Income Tax Act) was imposed.</w:t>
      </w:r>
    </w:p>
    <w:p w:rsidR="007F74B7" w:rsidRPr="00967787" w:rsidRDefault="003F11AA" w:rsidP="007F74B7">
      <w:pPr>
        <w:pStyle w:val="WLGLevel1"/>
        <w:rPr>
          <w:rFonts w:cs="Arial"/>
          <w:color w:val="000000" w:themeColor="text1"/>
          <w:szCs w:val="24"/>
        </w:rPr>
      </w:pPr>
      <w:r>
        <w:rPr>
          <w:lang w:val="en-US"/>
        </w:rPr>
        <w:t>[</w:t>
      </w:r>
      <w:r w:rsidR="00142D8E">
        <w:rPr>
          <w:lang w:val="en-US"/>
        </w:rPr>
        <w:t>7</w:t>
      </w:r>
      <w:r>
        <w:rPr>
          <w:lang w:val="en-US"/>
        </w:rPr>
        <w:t>]</w:t>
      </w:r>
      <w:r w:rsidR="007F74B7">
        <w:rPr>
          <w:lang w:val="en-US"/>
        </w:rPr>
        <w:tab/>
      </w:r>
      <w:r w:rsidR="007F74B7" w:rsidRPr="00967787">
        <w:rPr>
          <w:rFonts w:cs="Arial"/>
          <w:color w:val="000000" w:themeColor="text1"/>
          <w:szCs w:val="24"/>
        </w:rPr>
        <w:t xml:space="preserve">SARS recorded the following in the finalisation of audit letter: </w:t>
      </w:r>
    </w:p>
    <w:p w:rsidR="007F74B7" w:rsidRPr="00967787" w:rsidRDefault="007F74B7" w:rsidP="00AA3CB5">
      <w:pPr>
        <w:pStyle w:val="WLGLevel1"/>
        <w:ind w:left="1797" w:hanging="663"/>
        <w:rPr>
          <w:rFonts w:cs="Arial"/>
          <w:color w:val="000000" w:themeColor="text1"/>
          <w:szCs w:val="24"/>
          <w:lang w:val="en-AU" w:eastAsia="en-ZA"/>
        </w:rPr>
      </w:pPr>
      <w:r w:rsidRPr="00967787">
        <w:rPr>
          <w:rFonts w:cs="Arial"/>
          <w:color w:val="000000" w:themeColor="text1"/>
          <w:szCs w:val="24"/>
        </w:rPr>
        <w:t>“</w:t>
      </w:r>
      <w:r w:rsidRPr="00967787">
        <w:rPr>
          <w:rFonts w:cs="Arial"/>
          <w:i/>
          <w:iCs/>
          <w:color w:val="000000" w:themeColor="text1"/>
          <w:szCs w:val="24"/>
        </w:rPr>
        <w:t xml:space="preserve">1.3  </w:t>
      </w:r>
      <w:r w:rsidRPr="00967787">
        <w:rPr>
          <w:rFonts w:cs="Arial"/>
          <w:i/>
          <w:iCs/>
          <w:color w:val="000000" w:themeColor="text1"/>
          <w:szCs w:val="24"/>
        </w:rPr>
        <w:tab/>
      </w:r>
      <w:r w:rsidRPr="00967787">
        <w:rPr>
          <w:rFonts w:cs="Arial"/>
          <w:i/>
          <w:iCs/>
          <w:color w:val="000000" w:themeColor="text1"/>
          <w:szCs w:val="24"/>
          <w:lang w:val="en-AU" w:eastAsia="en-ZA"/>
        </w:rPr>
        <w:t>SARS established from the review of the taxpayer’s bank account and financial statements that the taxpayer generated an income of R828,101 and R7,611,833 for the 2017 and 2018 tax years respectively. The financial statements further reflected the cost of sales and expenses incurred by the taxpayer amounting to R438,717 and R8,901,628 for the respective tax periods resulting in a profit before tax of R389,384 for the 2017 tax period and a loss before tax of R1,289,795 for the 2018 tax period</w:t>
      </w:r>
      <w:r w:rsidRPr="00967787">
        <w:rPr>
          <w:rFonts w:cs="Arial"/>
          <w:color w:val="000000" w:themeColor="text1"/>
          <w:szCs w:val="24"/>
          <w:lang w:val="en-AU" w:eastAsia="en-ZA"/>
        </w:rPr>
        <w:t>.”</w:t>
      </w:r>
    </w:p>
    <w:p w:rsidR="007F74B7" w:rsidRPr="00967787" w:rsidRDefault="00142D8E" w:rsidP="00AA3CB5">
      <w:pPr>
        <w:pStyle w:val="WLGLevel1"/>
        <w:rPr>
          <w:rFonts w:cs="Arial"/>
          <w:color w:val="000000" w:themeColor="text1"/>
          <w:szCs w:val="24"/>
        </w:rPr>
      </w:pPr>
      <w:r>
        <w:rPr>
          <w:rFonts w:cs="Arial"/>
          <w:color w:val="000000" w:themeColor="text1"/>
          <w:szCs w:val="24"/>
          <w:lang w:val="en-AU" w:eastAsia="en-ZA"/>
        </w:rPr>
        <w:t>[8</w:t>
      </w:r>
      <w:r w:rsidR="00AA3CB5">
        <w:rPr>
          <w:rFonts w:cs="Arial"/>
          <w:color w:val="000000" w:themeColor="text1"/>
          <w:szCs w:val="24"/>
          <w:lang w:val="en-AU" w:eastAsia="en-ZA"/>
        </w:rPr>
        <w:t>]</w:t>
      </w:r>
      <w:r w:rsidR="00AA3CB5">
        <w:rPr>
          <w:rFonts w:cs="Arial"/>
          <w:color w:val="000000" w:themeColor="text1"/>
          <w:szCs w:val="24"/>
          <w:lang w:val="en-AU" w:eastAsia="en-ZA"/>
        </w:rPr>
        <w:tab/>
      </w:r>
      <w:r w:rsidR="007F74B7" w:rsidRPr="00967787">
        <w:rPr>
          <w:rFonts w:cs="Arial"/>
          <w:color w:val="000000" w:themeColor="text1"/>
          <w:szCs w:val="24"/>
        </w:rPr>
        <w:t xml:space="preserve">The letter </w:t>
      </w:r>
      <w:r w:rsidR="00A07515">
        <w:rPr>
          <w:rFonts w:cs="Arial"/>
          <w:color w:val="000000" w:themeColor="text1"/>
          <w:szCs w:val="24"/>
        </w:rPr>
        <w:t xml:space="preserve">also </w:t>
      </w:r>
      <w:r w:rsidR="007F74B7" w:rsidRPr="00967787">
        <w:rPr>
          <w:rFonts w:cs="Arial"/>
          <w:color w:val="000000" w:themeColor="text1"/>
          <w:szCs w:val="24"/>
        </w:rPr>
        <w:t xml:space="preserve">states: </w:t>
      </w:r>
    </w:p>
    <w:p w:rsidR="007F74B7" w:rsidRPr="00967787" w:rsidRDefault="007F74B7" w:rsidP="00AA3CB5">
      <w:pPr>
        <w:pStyle w:val="WLGLevel1"/>
        <w:ind w:left="1797" w:hanging="663"/>
        <w:rPr>
          <w:rFonts w:cs="Arial"/>
          <w:color w:val="000000" w:themeColor="text1"/>
          <w:szCs w:val="24"/>
          <w:lang w:val="en-AU" w:eastAsia="en-ZA"/>
        </w:rPr>
      </w:pPr>
      <w:r w:rsidRPr="00967787">
        <w:rPr>
          <w:rFonts w:cs="Arial"/>
          <w:color w:val="000000" w:themeColor="text1"/>
          <w:szCs w:val="24"/>
        </w:rPr>
        <w:t>“</w:t>
      </w:r>
      <w:r w:rsidRPr="00967787">
        <w:rPr>
          <w:rFonts w:cs="Arial"/>
          <w:i/>
          <w:iCs/>
          <w:color w:val="000000" w:themeColor="text1"/>
          <w:szCs w:val="24"/>
        </w:rPr>
        <w:t xml:space="preserve">1.5 </w:t>
      </w:r>
      <w:r w:rsidRPr="00967787">
        <w:rPr>
          <w:rFonts w:cs="Arial"/>
          <w:i/>
          <w:iCs/>
          <w:color w:val="000000" w:themeColor="text1"/>
          <w:szCs w:val="24"/>
        </w:rPr>
        <w:tab/>
      </w:r>
      <w:r w:rsidRPr="00967787">
        <w:rPr>
          <w:rFonts w:cs="Arial"/>
          <w:i/>
          <w:iCs/>
          <w:color w:val="000000" w:themeColor="text1"/>
          <w:szCs w:val="24"/>
          <w:lang w:val="en-AU" w:eastAsia="en-ZA"/>
        </w:rPr>
        <w:t>The taxpayer submitted a response to the audit letter of findings on 12 February 2021, together with some of the invoices. It was found that these expenses were not paid from the taxpayers’ bank account, neither is there any loan accounts to indicate that these were paid by a third person, or any shareholders. Hence none of these invoices provided have been taken into account</w:t>
      </w:r>
      <w:r w:rsidRPr="00967787">
        <w:rPr>
          <w:rFonts w:cs="Arial"/>
          <w:color w:val="000000" w:themeColor="text1"/>
          <w:szCs w:val="24"/>
          <w:lang w:val="en-AU" w:eastAsia="en-ZA"/>
        </w:rPr>
        <w:t>.”</w:t>
      </w:r>
    </w:p>
    <w:p w:rsidR="003F11AA" w:rsidRDefault="00FB06C2" w:rsidP="0096554D">
      <w:pPr>
        <w:spacing w:line="480" w:lineRule="auto"/>
        <w:ind w:left="720" w:hanging="720"/>
        <w:jc w:val="both"/>
        <w:rPr>
          <w:u w:val="none"/>
          <w:lang w:val="en-US"/>
        </w:rPr>
      </w:pPr>
      <w:r>
        <w:rPr>
          <w:u w:val="none"/>
          <w:lang w:val="en-US"/>
        </w:rPr>
        <w:lastRenderedPageBreak/>
        <w:t>[9</w:t>
      </w:r>
      <w:r w:rsidR="003F11AA">
        <w:rPr>
          <w:u w:val="none"/>
          <w:lang w:val="en-US"/>
        </w:rPr>
        <w:t>]</w:t>
      </w:r>
      <w:r w:rsidR="003F11AA">
        <w:rPr>
          <w:u w:val="none"/>
          <w:lang w:val="en-US"/>
        </w:rPr>
        <w:tab/>
        <w:t>Grand Azania was invited to respond and give reasons</w:t>
      </w:r>
      <w:r w:rsidR="004300A3">
        <w:rPr>
          <w:u w:val="none"/>
          <w:lang w:val="en-US"/>
        </w:rPr>
        <w:t>,</w:t>
      </w:r>
      <w:r w:rsidR="003F11AA">
        <w:rPr>
          <w:u w:val="none"/>
          <w:lang w:val="en-US"/>
        </w:rPr>
        <w:t xml:space="preserve"> or written explanations on why it did not agree with the adjustments</w:t>
      </w:r>
      <w:r w:rsidR="00040F3C">
        <w:rPr>
          <w:u w:val="none"/>
          <w:lang w:val="en-US"/>
        </w:rPr>
        <w:t>,</w:t>
      </w:r>
      <w:r w:rsidR="003F11AA">
        <w:rPr>
          <w:u w:val="none"/>
          <w:lang w:val="en-US"/>
        </w:rPr>
        <w:t xml:space="preserve"> SARS proposed </w:t>
      </w:r>
      <w:r w:rsidR="00B12A0C">
        <w:rPr>
          <w:u w:val="none"/>
          <w:lang w:val="en-US"/>
        </w:rPr>
        <w:t xml:space="preserve">and was afforded </w:t>
      </w:r>
      <w:r>
        <w:rPr>
          <w:u w:val="none"/>
          <w:lang w:val="en-US"/>
        </w:rPr>
        <w:t xml:space="preserve">an </w:t>
      </w:r>
      <w:r w:rsidR="00B13A40">
        <w:rPr>
          <w:u w:val="none"/>
          <w:lang w:val="en-US"/>
        </w:rPr>
        <w:t>opportunity to</w:t>
      </w:r>
      <w:r>
        <w:rPr>
          <w:u w:val="none"/>
          <w:lang w:val="en-US"/>
        </w:rPr>
        <w:t xml:space="preserve"> make written representations of</w:t>
      </w:r>
      <w:r w:rsidR="003F11AA">
        <w:rPr>
          <w:u w:val="none"/>
          <w:lang w:val="en-US"/>
        </w:rPr>
        <w:t xml:space="preserve"> why an understatement penalty should not be imposed. Grand Azania did not make use of this opportunity. </w:t>
      </w:r>
      <w:r w:rsidR="00A07515">
        <w:rPr>
          <w:u w:val="none"/>
          <w:lang w:val="en-US"/>
        </w:rPr>
        <w:t xml:space="preserve">It </w:t>
      </w:r>
      <w:r w:rsidR="003F11AA">
        <w:rPr>
          <w:u w:val="none"/>
          <w:lang w:val="en-US"/>
        </w:rPr>
        <w:t>had a right to lodge an objection, within 30 days against the assessment in terms of section 104 of the TAA.</w:t>
      </w:r>
    </w:p>
    <w:p w:rsidR="003F11AA" w:rsidRDefault="003F11AA" w:rsidP="0096554D">
      <w:pPr>
        <w:spacing w:line="480" w:lineRule="auto"/>
        <w:ind w:left="720" w:hanging="720"/>
        <w:jc w:val="both"/>
        <w:rPr>
          <w:u w:val="none"/>
          <w:lang w:val="en-US"/>
        </w:rPr>
      </w:pPr>
    </w:p>
    <w:p w:rsidR="00AA3CB5" w:rsidRPr="00967787" w:rsidRDefault="003F11AA" w:rsidP="00AA3CB5">
      <w:pPr>
        <w:pStyle w:val="WLGLevel1"/>
        <w:ind w:left="567" w:hanging="567"/>
        <w:rPr>
          <w:rFonts w:cs="Arial"/>
          <w:color w:val="000000" w:themeColor="text1"/>
          <w:szCs w:val="24"/>
        </w:rPr>
      </w:pPr>
      <w:r>
        <w:rPr>
          <w:lang w:val="en-US"/>
        </w:rPr>
        <w:t>[</w:t>
      </w:r>
      <w:r w:rsidR="00FB06C2">
        <w:rPr>
          <w:lang w:val="en-US"/>
        </w:rPr>
        <w:t>10</w:t>
      </w:r>
      <w:r w:rsidR="00AA3CB5">
        <w:rPr>
          <w:lang w:val="en-US"/>
        </w:rPr>
        <w:t>]</w:t>
      </w:r>
      <w:r w:rsidR="00AA3CB5">
        <w:rPr>
          <w:lang w:val="en-US"/>
        </w:rPr>
        <w:tab/>
      </w:r>
      <w:r w:rsidR="00AA3CB5" w:rsidRPr="00967787">
        <w:rPr>
          <w:rFonts w:cs="Arial"/>
          <w:color w:val="000000" w:themeColor="text1"/>
          <w:szCs w:val="24"/>
        </w:rPr>
        <w:t>The income tax assessments is</w:t>
      </w:r>
      <w:r w:rsidR="00FB06C2">
        <w:rPr>
          <w:rFonts w:cs="Arial"/>
          <w:color w:val="000000" w:themeColor="text1"/>
          <w:szCs w:val="24"/>
        </w:rPr>
        <w:t>sued by SARS for 2017 and 2018 we</w:t>
      </w:r>
      <w:r w:rsidR="00AA3CB5" w:rsidRPr="00967787">
        <w:rPr>
          <w:rFonts w:cs="Arial"/>
          <w:color w:val="000000" w:themeColor="text1"/>
          <w:szCs w:val="24"/>
        </w:rPr>
        <w:t>re estimated assessments</w:t>
      </w:r>
      <w:r w:rsidR="00FB06C2">
        <w:rPr>
          <w:rFonts w:cs="Arial"/>
          <w:color w:val="000000" w:themeColor="text1"/>
          <w:szCs w:val="24"/>
        </w:rPr>
        <w:t xml:space="preserve">, which SARS is entitled to do </w:t>
      </w:r>
      <w:r w:rsidR="00FB06C2" w:rsidRPr="00FB06C2">
        <w:rPr>
          <w:rFonts w:cs="Arial"/>
          <w:i/>
          <w:color w:val="000000" w:themeColor="text1"/>
          <w:szCs w:val="24"/>
        </w:rPr>
        <w:t>inter alia</w:t>
      </w:r>
      <w:r w:rsidR="00FB06C2">
        <w:rPr>
          <w:rFonts w:cs="Arial"/>
          <w:color w:val="000000" w:themeColor="text1"/>
          <w:szCs w:val="24"/>
        </w:rPr>
        <w:t xml:space="preserve"> when no tax return was submitted</w:t>
      </w:r>
      <w:r w:rsidR="00AA3CB5">
        <w:rPr>
          <w:rFonts w:cs="Arial"/>
          <w:color w:val="000000" w:themeColor="text1"/>
          <w:szCs w:val="24"/>
        </w:rPr>
        <w:t>.</w:t>
      </w:r>
      <w:r w:rsidR="00AA3CB5" w:rsidRPr="00967787">
        <w:rPr>
          <w:rFonts w:cs="Arial"/>
          <w:color w:val="000000" w:themeColor="text1"/>
          <w:szCs w:val="24"/>
        </w:rPr>
        <w:t xml:space="preserve">  In terms of s 95(5) of the TAA, an estimated assessment:</w:t>
      </w:r>
    </w:p>
    <w:p w:rsidR="00AA3CB5" w:rsidRPr="00967787" w:rsidRDefault="00AA3CB5" w:rsidP="00AA3CB5">
      <w:pPr>
        <w:pStyle w:val="WLGLevel1"/>
        <w:ind w:left="720"/>
        <w:rPr>
          <w:rFonts w:cs="Arial"/>
          <w:i/>
          <w:iCs/>
          <w:color w:val="000000" w:themeColor="text1"/>
          <w:szCs w:val="24"/>
        </w:rPr>
      </w:pPr>
      <w:r w:rsidRPr="00967787">
        <w:rPr>
          <w:rFonts w:cs="Arial"/>
          <w:i/>
          <w:iCs/>
          <w:color w:val="000000" w:themeColor="text1"/>
          <w:szCs w:val="24"/>
        </w:rPr>
        <w:t>“Is only subject to objection and appeal if SARS decides not to make a reduced or additional assessment after the taxpayer submits the return or relevant material under subsection (6).”</w:t>
      </w:r>
    </w:p>
    <w:p w:rsidR="00A65750" w:rsidRDefault="00A65750" w:rsidP="00A65750">
      <w:pPr>
        <w:spacing w:line="480" w:lineRule="auto"/>
        <w:jc w:val="both"/>
        <w:rPr>
          <w:u w:val="none"/>
          <w:lang w:val="en-US"/>
        </w:rPr>
      </w:pPr>
    </w:p>
    <w:p w:rsidR="00B12A0C" w:rsidRDefault="00FB06C2" w:rsidP="00A65750">
      <w:pPr>
        <w:spacing w:line="480" w:lineRule="auto"/>
        <w:ind w:left="720" w:hanging="720"/>
        <w:jc w:val="both"/>
        <w:rPr>
          <w:u w:val="none"/>
          <w:lang w:val="en-US"/>
        </w:rPr>
      </w:pPr>
      <w:r>
        <w:rPr>
          <w:u w:val="none"/>
          <w:lang w:val="en-US"/>
        </w:rPr>
        <w:t>[11</w:t>
      </w:r>
      <w:r w:rsidR="003F11AA">
        <w:rPr>
          <w:u w:val="none"/>
          <w:lang w:val="en-US"/>
        </w:rPr>
        <w:t>]</w:t>
      </w:r>
      <w:r w:rsidR="003F11AA">
        <w:rPr>
          <w:u w:val="none"/>
          <w:lang w:val="en-US"/>
        </w:rPr>
        <w:tab/>
        <w:t xml:space="preserve">Grand Azania had 40 days after the issuing of the estimated assessment to submit an income tax return, in terms of section 95(6) of the TAA.  </w:t>
      </w:r>
    </w:p>
    <w:p w:rsidR="00B12A0C" w:rsidRDefault="00B12A0C" w:rsidP="00AA3CB5">
      <w:pPr>
        <w:spacing w:line="480" w:lineRule="auto"/>
        <w:ind w:left="720" w:hanging="720"/>
        <w:jc w:val="both"/>
        <w:rPr>
          <w:u w:val="none"/>
          <w:lang w:val="en-US"/>
        </w:rPr>
      </w:pPr>
    </w:p>
    <w:p w:rsidR="003F11AA" w:rsidRDefault="00AE2F36" w:rsidP="008634EA">
      <w:pPr>
        <w:spacing w:line="480" w:lineRule="auto"/>
        <w:ind w:left="720" w:hanging="720"/>
        <w:jc w:val="both"/>
        <w:rPr>
          <w:u w:val="none"/>
          <w:lang w:val="en-US"/>
        </w:rPr>
      </w:pPr>
      <w:r>
        <w:rPr>
          <w:u w:val="none"/>
          <w:lang w:val="en-US"/>
        </w:rPr>
        <w:t>[12</w:t>
      </w:r>
      <w:r w:rsidR="003F11AA">
        <w:rPr>
          <w:u w:val="none"/>
          <w:lang w:val="en-US"/>
        </w:rPr>
        <w:t>]</w:t>
      </w:r>
      <w:r w:rsidR="003F11AA">
        <w:rPr>
          <w:u w:val="none"/>
          <w:lang w:val="en-US"/>
        </w:rPr>
        <w:tab/>
        <w:t>Grand Azania, in its answering affidavit alleged that</w:t>
      </w:r>
      <w:r w:rsidR="004300A3">
        <w:rPr>
          <w:u w:val="none"/>
          <w:lang w:val="en-US"/>
        </w:rPr>
        <w:t xml:space="preserve"> SARS’</w:t>
      </w:r>
      <w:r w:rsidR="00A07515">
        <w:rPr>
          <w:u w:val="none"/>
          <w:lang w:val="en-US"/>
        </w:rPr>
        <w:t>s</w:t>
      </w:r>
      <w:r w:rsidR="00040F3C">
        <w:rPr>
          <w:u w:val="none"/>
          <w:lang w:val="en-US"/>
        </w:rPr>
        <w:t xml:space="preserve"> estimated assessments were</w:t>
      </w:r>
      <w:r w:rsidR="003F11AA">
        <w:rPr>
          <w:u w:val="none"/>
          <w:lang w:val="en-US"/>
        </w:rPr>
        <w:t xml:space="preserve"> unreasonable, contain </w:t>
      </w:r>
      <w:r>
        <w:rPr>
          <w:u w:val="none"/>
          <w:lang w:val="en-US"/>
        </w:rPr>
        <w:t>material procedural defects and we</w:t>
      </w:r>
      <w:r w:rsidR="003F11AA">
        <w:rPr>
          <w:u w:val="none"/>
          <w:lang w:val="en-US"/>
        </w:rPr>
        <w:t xml:space="preserve">re substantially flawed. In essence the correctness </w:t>
      </w:r>
      <w:r w:rsidR="00A07515">
        <w:rPr>
          <w:u w:val="none"/>
          <w:lang w:val="en-US"/>
        </w:rPr>
        <w:t xml:space="preserve">and reasonableness </w:t>
      </w:r>
      <w:r w:rsidR="003F11AA">
        <w:rPr>
          <w:u w:val="none"/>
          <w:lang w:val="en-US"/>
        </w:rPr>
        <w:t>of the assessment</w:t>
      </w:r>
      <w:r w:rsidR="00040F3C">
        <w:rPr>
          <w:u w:val="none"/>
          <w:lang w:val="en-US"/>
        </w:rPr>
        <w:t>s</w:t>
      </w:r>
      <w:r w:rsidR="003F11AA">
        <w:rPr>
          <w:u w:val="none"/>
          <w:lang w:val="en-US"/>
        </w:rPr>
        <w:t xml:space="preserve"> </w:t>
      </w:r>
      <w:r w:rsidR="00040F3C">
        <w:rPr>
          <w:u w:val="none"/>
          <w:lang w:val="en-US"/>
        </w:rPr>
        <w:t>were</w:t>
      </w:r>
      <w:r w:rsidR="003F11AA">
        <w:rPr>
          <w:u w:val="none"/>
          <w:lang w:val="en-US"/>
        </w:rPr>
        <w:t xml:space="preserve"> attacked</w:t>
      </w:r>
      <w:r w:rsidR="004300A3">
        <w:rPr>
          <w:u w:val="none"/>
          <w:lang w:val="en-US"/>
        </w:rPr>
        <w:t>. It wa</w:t>
      </w:r>
      <w:r w:rsidR="003F11AA">
        <w:rPr>
          <w:u w:val="none"/>
          <w:lang w:val="en-US"/>
        </w:rPr>
        <w:t xml:space="preserve">s also averred that respondent’s tax practitioner was instructed to file an objection as </w:t>
      </w:r>
      <w:r w:rsidR="003F11AA">
        <w:rPr>
          <w:u w:val="none"/>
          <w:lang w:val="en-US"/>
        </w:rPr>
        <w:lastRenderedPageBreak/>
        <w:t>well as tax returns for the years 2017 and 2018. The answering affidavit place</w:t>
      </w:r>
      <w:r w:rsidR="004300A3">
        <w:rPr>
          <w:u w:val="none"/>
          <w:lang w:val="en-US"/>
        </w:rPr>
        <w:t>d</w:t>
      </w:r>
      <w:r w:rsidR="003F11AA">
        <w:rPr>
          <w:u w:val="none"/>
          <w:lang w:val="en-US"/>
        </w:rPr>
        <w:t xml:space="preserve"> into question Grand Azania’s tax and VAT liability as reflected in the assessment.</w:t>
      </w:r>
    </w:p>
    <w:p w:rsidR="003F11AA" w:rsidRDefault="003F11AA" w:rsidP="0096554D">
      <w:pPr>
        <w:spacing w:line="480" w:lineRule="auto"/>
        <w:ind w:left="720" w:hanging="720"/>
        <w:jc w:val="both"/>
        <w:rPr>
          <w:u w:val="none"/>
          <w:lang w:val="en-US"/>
        </w:rPr>
      </w:pPr>
    </w:p>
    <w:p w:rsidR="00B12A0C" w:rsidRDefault="00AE2F36" w:rsidP="0096554D">
      <w:pPr>
        <w:spacing w:line="480" w:lineRule="auto"/>
        <w:ind w:left="720" w:hanging="720"/>
        <w:jc w:val="both"/>
        <w:rPr>
          <w:u w:val="none"/>
          <w:lang w:val="en-US"/>
        </w:rPr>
      </w:pPr>
      <w:r>
        <w:rPr>
          <w:u w:val="none"/>
          <w:lang w:val="en-US"/>
        </w:rPr>
        <w:t>[13</w:t>
      </w:r>
      <w:r w:rsidR="003F11AA">
        <w:rPr>
          <w:u w:val="none"/>
          <w:lang w:val="en-US"/>
        </w:rPr>
        <w:t>]</w:t>
      </w:r>
      <w:r w:rsidR="003F11AA">
        <w:rPr>
          <w:u w:val="none"/>
          <w:lang w:val="en-US"/>
        </w:rPr>
        <w:tab/>
        <w:t xml:space="preserve">It was noted </w:t>
      </w:r>
      <w:r w:rsidR="004300A3">
        <w:rPr>
          <w:u w:val="none"/>
          <w:lang w:val="en-US"/>
        </w:rPr>
        <w:t xml:space="preserve">in the answering affidavit </w:t>
      </w:r>
      <w:r w:rsidR="003F11AA">
        <w:rPr>
          <w:u w:val="none"/>
          <w:lang w:val="en-US"/>
        </w:rPr>
        <w:t xml:space="preserve">that the tax returns and grounds of objection were “currently being drafted” and </w:t>
      </w:r>
      <w:r w:rsidR="004300A3">
        <w:rPr>
          <w:u w:val="none"/>
          <w:lang w:val="en-US"/>
        </w:rPr>
        <w:t>would</w:t>
      </w:r>
      <w:r w:rsidR="00A07515">
        <w:rPr>
          <w:u w:val="none"/>
          <w:lang w:val="en-US"/>
        </w:rPr>
        <w:t xml:space="preserve"> be made available to the c</w:t>
      </w:r>
      <w:r w:rsidR="003F11AA">
        <w:rPr>
          <w:u w:val="none"/>
          <w:lang w:val="en-US"/>
        </w:rPr>
        <w:t xml:space="preserve">ourt </w:t>
      </w:r>
      <w:r w:rsidR="00AA3CB5">
        <w:rPr>
          <w:u w:val="none"/>
          <w:lang w:val="en-US"/>
        </w:rPr>
        <w:t>b</w:t>
      </w:r>
      <w:r w:rsidR="003F11AA">
        <w:rPr>
          <w:u w:val="none"/>
          <w:lang w:val="en-US"/>
        </w:rPr>
        <w:t>y way of a supplementary affidavit. It is important to note that this affidavit was signed</w:t>
      </w:r>
      <w:r w:rsidR="004300A3">
        <w:rPr>
          <w:u w:val="none"/>
          <w:lang w:val="en-US"/>
        </w:rPr>
        <w:t xml:space="preserve"> on 7 December 2021. </w:t>
      </w:r>
    </w:p>
    <w:p w:rsidR="00B12A0C" w:rsidRDefault="00B12A0C" w:rsidP="0096554D">
      <w:pPr>
        <w:spacing w:line="480" w:lineRule="auto"/>
        <w:ind w:left="720" w:hanging="720"/>
        <w:jc w:val="both"/>
        <w:rPr>
          <w:u w:val="none"/>
          <w:lang w:val="en-US"/>
        </w:rPr>
      </w:pPr>
    </w:p>
    <w:p w:rsidR="003F11AA" w:rsidRDefault="00B12A0C" w:rsidP="0096554D">
      <w:pPr>
        <w:spacing w:line="480" w:lineRule="auto"/>
        <w:ind w:left="720" w:hanging="720"/>
        <w:jc w:val="both"/>
        <w:rPr>
          <w:u w:val="none"/>
          <w:lang w:val="en-US"/>
        </w:rPr>
      </w:pPr>
      <w:r>
        <w:rPr>
          <w:u w:val="none"/>
          <w:lang w:val="en-US"/>
        </w:rPr>
        <w:t>[14]</w:t>
      </w:r>
      <w:r>
        <w:rPr>
          <w:u w:val="none"/>
          <w:lang w:val="en-US"/>
        </w:rPr>
        <w:tab/>
      </w:r>
      <w:r w:rsidR="004300A3">
        <w:rPr>
          <w:u w:val="none"/>
          <w:lang w:val="en-US"/>
        </w:rPr>
        <w:t xml:space="preserve">Despite these </w:t>
      </w:r>
      <w:r w:rsidR="00A07515">
        <w:rPr>
          <w:u w:val="none"/>
          <w:lang w:val="en-US"/>
        </w:rPr>
        <w:t>averments</w:t>
      </w:r>
      <w:r w:rsidR="00040F3C">
        <w:rPr>
          <w:u w:val="none"/>
          <w:lang w:val="en-US"/>
        </w:rPr>
        <w:t>,</w:t>
      </w:r>
      <w:r w:rsidR="00A07515">
        <w:rPr>
          <w:u w:val="none"/>
          <w:lang w:val="en-US"/>
        </w:rPr>
        <w:t xml:space="preserve"> </w:t>
      </w:r>
      <w:r w:rsidR="003F11AA">
        <w:rPr>
          <w:u w:val="none"/>
          <w:lang w:val="en-US"/>
        </w:rPr>
        <w:t xml:space="preserve">a supplementary affidavit </w:t>
      </w:r>
      <w:r w:rsidR="004300A3">
        <w:rPr>
          <w:u w:val="none"/>
          <w:lang w:val="en-US"/>
        </w:rPr>
        <w:t>was only uploaded to CaseLines o</w:t>
      </w:r>
      <w:r w:rsidR="003F11AA">
        <w:rPr>
          <w:u w:val="none"/>
          <w:lang w:val="en-US"/>
        </w:rPr>
        <w:t>n 24 January 2023, the day that the matter was heard.</w:t>
      </w:r>
      <w:r w:rsidR="00AA3CB5">
        <w:rPr>
          <w:u w:val="none"/>
          <w:lang w:val="en-US"/>
        </w:rPr>
        <w:t xml:space="preserve"> The deponent </w:t>
      </w:r>
      <w:r w:rsidR="00A07515">
        <w:rPr>
          <w:u w:val="none"/>
          <w:lang w:val="en-US"/>
        </w:rPr>
        <w:t xml:space="preserve">to the affidavit </w:t>
      </w:r>
      <w:r w:rsidR="00AA3CB5">
        <w:rPr>
          <w:u w:val="none"/>
          <w:lang w:val="en-US"/>
        </w:rPr>
        <w:t>identified hims</w:t>
      </w:r>
      <w:r>
        <w:rPr>
          <w:u w:val="none"/>
          <w:lang w:val="en-US"/>
        </w:rPr>
        <w:t>elf as the newly appointed Tax P</w:t>
      </w:r>
      <w:r w:rsidR="00AA3CB5">
        <w:rPr>
          <w:u w:val="none"/>
          <w:lang w:val="en-US"/>
        </w:rPr>
        <w:t>ractitioner of Grand Azania. In this affidavit he said that on 24 January 2023, when he attempted to lodge objections on behalf of Grand Azania he encountered a systems error, which did not allow him to file objections. He also stated that he submitted tax returns for the financial years of 2017 and 2018. No explanation was given why it took more than a year to file the assessments and objections</w:t>
      </w:r>
      <w:r w:rsidR="00A07515">
        <w:rPr>
          <w:u w:val="none"/>
          <w:lang w:val="en-US"/>
        </w:rPr>
        <w:t>, in circumstances where the answering affidavit indicated that these documents were already being prepared</w:t>
      </w:r>
      <w:r w:rsidR="00040F3C">
        <w:rPr>
          <w:u w:val="none"/>
          <w:lang w:val="en-US"/>
        </w:rPr>
        <w:t xml:space="preserve"> during December 2021</w:t>
      </w:r>
      <w:r w:rsidR="00AA3CB5">
        <w:rPr>
          <w:u w:val="none"/>
          <w:lang w:val="en-US"/>
        </w:rPr>
        <w:t>.</w:t>
      </w:r>
      <w:r>
        <w:rPr>
          <w:u w:val="none"/>
          <w:lang w:val="en-US"/>
        </w:rPr>
        <w:t xml:space="preserve"> It must also be noted that the VAT </w:t>
      </w:r>
      <w:r w:rsidR="00B3457F">
        <w:rPr>
          <w:u w:val="none"/>
          <w:lang w:val="en-US"/>
        </w:rPr>
        <w:t>returns</w:t>
      </w:r>
      <w:r>
        <w:rPr>
          <w:u w:val="none"/>
          <w:lang w:val="en-US"/>
        </w:rPr>
        <w:t xml:space="preserve"> have still not been filed.</w:t>
      </w:r>
    </w:p>
    <w:p w:rsidR="00B12A0C" w:rsidRDefault="00B12A0C" w:rsidP="0096554D">
      <w:pPr>
        <w:spacing w:line="480" w:lineRule="auto"/>
        <w:ind w:left="720" w:hanging="720"/>
        <w:jc w:val="both"/>
        <w:rPr>
          <w:u w:val="none"/>
          <w:lang w:val="en-US"/>
        </w:rPr>
      </w:pPr>
    </w:p>
    <w:p w:rsidR="00B12A0C" w:rsidRDefault="00B12A0C" w:rsidP="0096554D">
      <w:pPr>
        <w:spacing w:line="480" w:lineRule="auto"/>
        <w:ind w:left="720" w:hanging="720"/>
        <w:jc w:val="both"/>
        <w:rPr>
          <w:u w:val="none"/>
          <w:lang w:val="en-US"/>
        </w:rPr>
      </w:pPr>
      <w:r>
        <w:rPr>
          <w:u w:val="none"/>
          <w:lang w:val="en-US"/>
        </w:rPr>
        <w:t>[15]</w:t>
      </w:r>
      <w:r>
        <w:rPr>
          <w:u w:val="none"/>
          <w:lang w:val="en-US"/>
        </w:rPr>
        <w:tab/>
        <w:t xml:space="preserve">SARS responded on that same day in a letter and pointed out that Grand Azania did not comply with the statutory time periods, nor had an extension been granted. The assessments were therefore final and not </w:t>
      </w:r>
      <w:r>
        <w:rPr>
          <w:u w:val="none"/>
          <w:lang w:val="en-US"/>
        </w:rPr>
        <w:lastRenderedPageBreak/>
        <w:t>capable of objection or appeal in light of section 95, read with section 100(1)(a) of the TAA. The letter further indicated that no further objections would be considered.</w:t>
      </w:r>
    </w:p>
    <w:p w:rsidR="00AA3CB5" w:rsidRDefault="00AA3CB5" w:rsidP="0096554D">
      <w:pPr>
        <w:spacing w:line="480" w:lineRule="auto"/>
        <w:ind w:left="720" w:hanging="720"/>
        <w:jc w:val="both"/>
        <w:rPr>
          <w:u w:val="none"/>
          <w:lang w:val="en-US"/>
        </w:rPr>
      </w:pPr>
    </w:p>
    <w:p w:rsidR="00AA3CB5" w:rsidRPr="00AA3CB5" w:rsidRDefault="00B3457F" w:rsidP="00040F3C">
      <w:pPr>
        <w:spacing w:after="160" w:line="480" w:lineRule="auto"/>
        <w:ind w:left="567" w:hanging="567"/>
        <w:jc w:val="both"/>
        <w:rPr>
          <w:color w:val="000000" w:themeColor="text1"/>
          <w:u w:val="none"/>
        </w:rPr>
      </w:pPr>
      <w:r>
        <w:rPr>
          <w:u w:val="none"/>
          <w:lang w:val="en-US"/>
        </w:rPr>
        <w:t>[16</w:t>
      </w:r>
      <w:r w:rsidR="00AA3CB5" w:rsidRPr="00AA3CB5">
        <w:rPr>
          <w:u w:val="none"/>
          <w:lang w:val="en-US"/>
        </w:rPr>
        <w:t>]</w:t>
      </w:r>
      <w:r w:rsidR="00AA3CB5" w:rsidRPr="00AA3CB5">
        <w:rPr>
          <w:u w:val="none"/>
          <w:lang w:val="en-US"/>
        </w:rPr>
        <w:tab/>
      </w:r>
      <w:r w:rsidR="00AA3CB5" w:rsidRPr="00AA3CB5">
        <w:rPr>
          <w:color w:val="000000" w:themeColor="text1"/>
          <w:u w:val="none"/>
        </w:rPr>
        <w:t xml:space="preserve">In </w:t>
      </w:r>
      <w:r w:rsidR="00AA3CB5" w:rsidRPr="00AA3CB5">
        <w:rPr>
          <w:b/>
          <w:iCs/>
          <w:color w:val="000000" w:themeColor="text1"/>
          <w:u w:val="none"/>
        </w:rPr>
        <w:t>Medox Ltd v Commissioner, South African Revenue Service</w:t>
      </w:r>
      <w:r w:rsidR="00AA3CB5" w:rsidRPr="00AA3CB5">
        <w:rPr>
          <w:rStyle w:val="FootnoteReference"/>
          <w:color w:val="000000" w:themeColor="text1"/>
          <w:u w:val="none"/>
        </w:rPr>
        <w:footnoteReference w:id="1"/>
      </w:r>
      <w:r w:rsidR="00AA3CB5" w:rsidRPr="00AA3CB5">
        <w:rPr>
          <w:i/>
          <w:iCs/>
          <w:color w:val="000000" w:themeColor="text1"/>
          <w:u w:val="none"/>
        </w:rPr>
        <w:t xml:space="preserve"> </w:t>
      </w:r>
      <w:r w:rsidR="00AA3CB5" w:rsidRPr="00AA3CB5">
        <w:rPr>
          <w:color w:val="000000" w:themeColor="text1"/>
          <w:u w:val="none"/>
        </w:rPr>
        <w:t>the  taxpayer  sought an order declaring that a series of tax assessments issued to him were null and void</w:t>
      </w:r>
      <w:r w:rsidR="00AE2F36">
        <w:rPr>
          <w:color w:val="000000" w:themeColor="text1"/>
          <w:u w:val="none"/>
        </w:rPr>
        <w:t>, as it did not take into account its assessed loss, and only raised this issue twelve years later.</w:t>
      </w:r>
      <w:r w:rsidR="004300A3">
        <w:rPr>
          <w:color w:val="000000" w:themeColor="text1"/>
          <w:u w:val="none"/>
        </w:rPr>
        <w:t xml:space="preserve"> The </w:t>
      </w:r>
      <w:r w:rsidR="007E1A54">
        <w:rPr>
          <w:color w:val="000000" w:themeColor="text1"/>
          <w:u w:val="none"/>
        </w:rPr>
        <w:t xml:space="preserve">taxpayer </w:t>
      </w:r>
      <w:r w:rsidR="007E1A54" w:rsidRPr="00AA3CB5">
        <w:rPr>
          <w:color w:val="000000" w:themeColor="text1"/>
          <w:u w:val="none"/>
        </w:rPr>
        <w:t>did</w:t>
      </w:r>
      <w:r w:rsidR="00AA3CB5" w:rsidRPr="00AA3CB5">
        <w:rPr>
          <w:color w:val="000000" w:themeColor="text1"/>
          <w:u w:val="none"/>
        </w:rPr>
        <w:t xml:space="preserve"> not at any stage object to the assessments that he alleged were incorrect. </w:t>
      </w:r>
      <w:r w:rsidR="00040F3C">
        <w:rPr>
          <w:color w:val="000000" w:themeColor="text1"/>
          <w:u w:val="none"/>
        </w:rPr>
        <w:t xml:space="preserve"> </w:t>
      </w:r>
      <w:r w:rsidR="00AA3CB5" w:rsidRPr="00AA3CB5">
        <w:rPr>
          <w:color w:val="000000" w:themeColor="text1"/>
          <w:u w:val="none"/>
        </w:rPr>
        <w:t>The Court adjudicated the matter with reference to s</w:t>
      </w:r>
      <w:r w:rsidR="00B13A40">
        <w:rPr>
          <w:color w:val="000000" w:themeColor="text1"/>
          <w:u w:val="none"/>
        </w:rPr>
        <w:t>ection</w:t>
      </w:r>
      <w:r w:rsidR="00AA3CB5" w:rsidRPr="00AA3CB5">
        <w:rPr>
          <w:color w:val="000000" w:themeColor="text1"/>
          <w:u w:val="none"/>
        </w:rPr>
        <w:t xml:space="preserve"> 81(5) of the Income Tax Act. </w:t>
      </w:r>
      <w:r w:rsidR="004300A3">
        <w:rPr>
          <w:color w:val="000000" w:themeColor="text1"/>
          <w:u w:val="none"/>
        </w:rPr>
        <w:t>(</w:t>
      </w:r>
      <w:r w:rsidR="00AA3CB5" w:rsidRPr="00AA3CB5">
        <w:rPr>
          <w:color w:val="000000" w:themeColor="text1"/>
          <w:u w:val="none"/>
        </w:rPr>
        <w:t>This provision, has since been repealed and replaced by s</w:t>
      </w:r>
      <w:r w:rsidR="00B13A40">
        <w:rPr>
          <w:color w:val="000000" w:themeColor="text1"/>
          <w:u w:val="none"/>
        </w:rPr>
        <w:t>ection</w:t>
      </w:r>
      <w:r w:rsidR="00AA3CB5" w:rsidRPr="00AA3CB5">
        <w:rPr>
          <w:color w:val="000000" w:themeColor="text1"/>
          <w:u w:val="none"/>
        </w:rPr>
        <w:t xml:space="preserve"> 100(1)(b) of the TAA</w:t>
      </w:r>
      <w:r w:rsidR="004300A3">
        <w:rPr>
          <w:color w:val="000000" w:themeColor="text1"/>
          <w:u w:val="none"/>
        </w:rPr>
        <w:t>)</w:t>
      </w:r>
      <w:r w:rsidR="00AA3CB5" w:rsidRPr="00AA3CB5">
        <w:rPr>
          <w:color w:val="000000" w:themeColor="text1"/>
          <w:u w:val="none"/>
        </w:rPr>
        <w:t xml:space="preserve"> </w:t>
      </w:r>
      <w:r w:rsidR="00A07515">
        <w:rPr>
          <w:color w:val="000000" w:themeColor="text1"/>
          <w:u w:val="none"/>
        </w:rPr>
        <w:t xml:space="preserve">which </w:t>
      </w:r>
      <w:r w:rsidR="00AA3CB5" w:rsidRPr="00AA3CB5">
        <w:rPr>
          <w:color w:val="000000" w:themeColor="text1"/>
          <w:u w:val="none"/>
        </w:rPr>
        <w:t>stated that:</w:t>
      </w:r>
    </w:p>
    <w:p w:rsidR="00AA3CB5" w:rsidRDefault="00AA3CB5" w:rsidP="00AA3CB5">
      <w:pPr>
        <w:pStyle w:val="ListParagraph"/>
        <w:spacing w:line="480" w:lineRule="auto"/>
        <w:ind w:left="1134"/>
        <w:jc w:val="both"/>
        <w:rPr>
          <w:i/>
          <w:iCs/>
          <w:color w:val="000000" w:themeColor="text1"/>
          <w:u w:val="none"/>
        </w:rPr>
      </w:pPr>
      <w:r w:rsidRPr="00AA3CB5">
        <w:rPr>
          <w:i/>
          <w:iCs/>
          <w:color w:val="000000" w:themeColor="text1"/>
          <w:u w:val="none"/>
        </w:rPr>
        <w:t xml:space="preserve">“Where no objections are made to any assessment or where objections have been allowed in full or withdrawn, such assessment or altered assessment, as the case may be, shall be final and conclusive.” </w:t>
      </w:r>
    </w:p>
    <w:p w:rsidR="00D168FF" w:rsidRDefault="00D168FF" w:rsidP="00D168FF">
      <w:pPr>
        <w:spacing w:line="480" w:lineRule="auto"/>
        <w:jc w:val="both"/>
        <w:rPr>
          <w:color w:val="000000" w:themeColor="text1"/>
          <w:u w:val="none"/>
        </w:rPr>
      </w:pPr>
    </w:p>
    <w:p w:rsidR="004300A3" w:rsidRDefault="00040F3C" w:rsidP="004300A3">
      <w:pPr>
        <w:spacing w:line="480" w:lineRule="auto"/>
        <w:ind w:left="540" w:hanging="540"/>
        <w:jc w:val="both"/>
        <w:rPr>
          <w:color w:val="000000" w:themeColor="text1"/>
          <w:u w:val="none"/>
        </w:rPr>
      </w:pPr>
      <w:r>
        <w:rPr>
          <w:color w:val="000000" w:themeColor="text1"/>
          <w:u w:val="none"/>
        </w:rPr>
        <w:t>[17</w:t>
      </w:r>
      <w:r w:rsidR="00D168FF">
        <w:rPr>
          <w:color w:val="000000" w:themeColor="text1"/>
          <w:u w:val="none"/>
        </w:rPr>
        <w:t>]</w:t>
      </w:r>
      <w:r w:rsidR="00D168FF">
        <w:rPr>
          <w:color w:val="000000" w:themeColor="text1"/>
          <w:u w:val="none"/>
        </w:rPr>
        <w:tab/>
        <w:t>The Court held that the assessment became final and conclusive</w:t>
      </w:r>
      <w:r w:rsidR="00B13A40">
        <w:rPr>
          <w:color w:val="000000" w:themeColor="text1"/>
          <w:u w:val="none"/>
        </w:rPr>
        <w:t xml:space="preserve"> in the light of section 81(5) o</w:t>
      </w:r>
      <w:r w:rsidR="00D168FF">
        <w:rPr>
          <w:color w:val="000000" w:themeColor="text1"/>
          <w:u w:val="none"/>
        </w:rPr>
        <w:t>f the Income Tax Act and pointed out that any other interpretation of the section would “grant aggrieved taxpayers carte blanche” to approach the Court in nearly every instance where they disagree with an assessment.</w:t>
      </w:r>
      <w:r w:rsidR="00D168FF">
        <w:rPr>
          <w:rStyle w:val="FootnoteReference"/>
          <w:color w:val="000000" w:themeColor="text1"/>
          <w:u w:val="none"/>
        </w:rPr>
        <w:footnoteReference w:id="2"/>
      </w:r>
      <w:r w:rsidR="004300A3">
        <w:rPr>
          <w:color w:val="000000" w:themeColor="text1"/>
          <w:u w:val="none"/>
        </w:rPr>
        <w:t xml:space="preserve"> </w:t>
      </w:r>
    </w:p>
    <w:p w:rsidR="00D168FF" w:rsidRDefault="00D168FF" w:rsidP="00D168FF">
      <w:pPr>
        <w:spacing w:line="480" w:lineRule="auto"/>
        <w:jc w:val="both"/>
        <w:rPr>
          <w:color w:val="000000" w:themeColor="text1"/>
          <w:u w:val="none"/>
        </w:rPr>
      </w:pPr>
    </w:p>
    <w:p w:rsidR="00D168FF" w:rsidRDefault="00040F3C" w:rsidP="004300A3">
      <w:pPr>
        <w:spacing w:line="480" w:lineRule="auto"/>
        <w:ind w:left="540" w:hanging="540"/>
        <w:jc w:val="both"/>
        <w:rPr>
          <w:color w:val="000000" w:themeColor="text1"/>
          <w:u w:val="none"/>
        </w:rPr>
      </w:pPr>
      <w:r>
        <w:rPr>
          <w:color w:val="000000" w:themeColor="text1"/>
          <w:u w:val="none"/>
        </w:rPr>
        <w:lastRenderedPageBreak/>
        <w:t>[18</w:t>
      </w:r>
      <w:r w:rsidR="00D168FF">
        <w:rPr>
          <w:color w:val="000000" w:themeColor="text1"/>
          <w:u w:val="none"/>
        </w:rPr>
        <w:t>]</w:t>
      </w:r>
      <w:r w:rsidR="00D168FF">
        <w:rPr>
          <w:color w:val="000000" w:themeColor="text1"/>
          <w:u w:val="none"/>
        </w:rPr>
        <w:tab/>
        <w:t xml:space="preserve">It was submitted by SARS that there is no substantial </w:t>
      </w:r>
      <w:r w:rsidR="00B13A40">
        <w:rPr>
          <w:color w:val="000000" w:themeColor="text1"/>
          <w:u w:val="none"/>
        </w:rPr>
        <w:t>distinction</w:t>
      </w:r>
      <w:r w:rsidR="00D168FF">
        <w:rPr>
          <w:color w:val="000000" w:themeColor="text1"/>
          <w:u w:val="none"/>
        </w:rPr>
        <w:t xml:space="preserve"> to be drawn between section 81(5) of the Income Tax Act and </w:t>
      </w:r>
      <w:r w:rsidR="00B13A40">
        <w:rPr>
          <w:color w:val="000000" w:themeColor="text1"/>
          <w:u w:val="none"/>
        </w:rPr>
        <w:t>section</w:t>
      </w:r>
      <w:r w:rsidR="00D168FF">
        <w:rPr>
          <w:color w:val="000000" w:themeColor="text1"/>
          <w:u w:val="none"/>
        </w:rPr>
        <w:t xml:space="preserve"> 100(1)(b) of the TAA</w:t>
      </w:r>
      <w:r w:rsidR="00B13A40">
        <w:rPr>
          <w:color w:val="000000" w:themeColor="text1"/>
          <w:u w:val="none"/>
        </w:rPr>
        <w:t xml:space="preserve">. I agree with this </w:t>
      </w:r>
      <w:r w:rsidR="004300A3">
        <w:rPr>
          <w:color w:val="000000" w:themeColor="text1"/>
          <w:u w:val="none"/>
        </w:rPr>
        <w:t xml:space="preserve">submission and concludes that in </w:t>
      </w:r>
      <w:r w:rsidR="00D168FF">
        <w:rPr>
          <w:color w:val="000000" w:themeColor="text1"/>
          <w:u w:val="none"/>
        </w:rPr>
        <w:t>the absence of a</w:t>
      </w:r>
      <w:r w:rsidR="008634EA">
        <w:rPr>
          <w:color w:val="000000" w:themeColor="text1"/>
          <w:u w:val="none"/>
        </w:rPr>
        <w:t xml:space="preserve"> timeous</w:t>
      </w:r>
      <w:r w:rsidR="00D168FF">
        <w:rPr>
          <w:color w:val="000000" w:themeColor="text1"/>
          <w:u w:val="none"/>
        </w:rPr>
        <w:t xml:space="preserve"> objection the tax assessment became final.</w:t>
      </w:r>
      <w:r w:rsidR="004300A3">
        <w:rPr>
          <w:color w:val="000000" w:themeColor="text1"/>
          <w:u w:val="none"/>
        </w:rPr>
        <w:t xml:space="preserve"> </w:t>
      </w:r>
      <w:r w:rsidR="00D168FF">
        <w:rPr>
          <w:color w:val="000000" w:themeColor="text1"/>
          <w:u w:val="none"/>
        </w:rPr>
        <w:t>The belated filing of the ta</w:t>
      </w:r>
      <w:r w:rsidR="004300A3">
        <w:rPr>
          <w:color w:val="000000" w:themeColor="text1"/>
          <w:u w:val="none"/>
        </w:rPr>
        <w:t xml:space="preserve">x </w:t>
      </w:r>
      <w:r w:rsidR="00A07515">
        <w:rPr>
          <w:color w:val="000000" w:themeColor="text1"/>
          <w:u w:val="none"/>
        </w:rPr>
        <w:t xml:space="preserve">returns </w:t>
      </w:r>
      <w:r w:rsidR="004300A3">
        <w:rPr>
          <w:color w:val="000000" w:themeColor="text1"/>
          <w:u w:val="none"/>
        </w:rPr>
        <w:t>and objections did</w:t>
      </w:r>
      <w:r w:rsidR="00D168FF">
        <w:rPr>
          <w:color w:val="000000" w:themeColor="text1"/>
          <w:u w:val="none"/>
        </w:rPr>
        <w:t xml:space="preserve"> in my view not change the situation</w:t>
      </w:r>
      <w:r w:rsidR="00231E9F">
        <w:rPr>
          <w:color w:val="000000" w:themeColor="text1"/>
          <w:u w:val="none"/>
        </w:rPr>
        <w:t>.</w:t>
      </w:r>
    </w:p>
    <w:p w:rsidR="00231E9F" w:rsidRDefault="00231E9F" w:rsidP="004300A3">
      <w:pPr>
        <w:spacing w:line="480" w:lineRule="auto"/>
        <w:ind w:left="540" w:hanging="540"/>
        <w:jc w:val="both"/>
        <w:rPr>
          <w:color w:val="000000" w:themeColor="text1"/>
          <w:u w:val="none"/>
        </w:rPr>
      </w:pPr>
    </w:p>
    <w:p w:rsidR="0025445C" w:rsidRDefault="00040F3C" w:rsidP="0025445C">
      <w:pPr>
        <w:spacing w:line="480" w:lineRule="auto"/>
        <w:ind w:left="540" w:hanging="540"/>
        <w:jc w:val="both"/>
        <w:rPr>
          <w:color w:val="000000" w:themeColor="text1"/>
          <w:u w:val="none"/>
        </w:rPr>
      </w:pPr>
      <w:r>
        <w:rPr>
          <w:color w:val="000000" w:themeColor="text1"/>
          <w:u w:val="none"/>
        </w:rPr>
        <w:t>[19</w:t>
      </w:r>
      <w:r w:rsidR="00231E9F">
        <w:rPr>
          <w:color w:val="000000" w:themeColor="text1"/>
          <w:u w:val="none"/>
        </w:rPr>
        <w:t>]</w:t>
      </w:r>
      <w:r w:rsidR="00231E9F">
        <w:rPr>
          <w:color w:val="000000" w:themeColor="text1"/>
          <w:u w:val="none"/>
        </w:rPr>
        <w:tab/>
      </w:r>
      <w:r w:rsidR="00231E9F" w:rsidRPr="00A54F26">
        <w:rPr>
          <w:color w:val="000000" w:themeColor="text1"/>
          <w:u w:val="none"/>
        </w:rPr>
        <w:t xml:space="preserve">If a taxpayer is not satisfied with an assessment, the Tax Court is a specialised </w:t>
      </w:r>
      <w:r w:rsidR="0025445C" w:rsidRPr="00A54F26">
        <w:rPr>
          <w:color w:val="000000" w:themeColor="text1"/>
          <w:u w:val="none"/>
        </w:rPr>
        <w:t xml:space="preserve">tribunal </w:t>
      </w:r>
      <w:r w:rsidR="0025445C">
        <w:rPr>
          <w:color w:val="000000" w:themeColor="text1"/>
          <w:u w:val="none"/>
        </w:rPr>
        <w:t>which</w:t>
      </w:r>
      <w:r w:rsidR="00231E9F" w:rsidRPr="00A54F26">
        <w:rPr>
          <w:color w:val="000000" w:themeColor="text1"/>
          <w:u w:val="none"/>
        </w:rPr>
        <w:t xml:space="preserve"> deal</w:t>
      </w:r>
      <w:r w:rsidR="00A07515">
        <w:rPr>
          <w:color w:val="000000" w:themeColor="text1"/>
          <w:u w:val="none"/>
        </w:rPr>
        <w:t>s</w:t>
      </w:r>
      <w:r w:rsidR="00231E9F" w:rsidRPr="00A54F26">
        <w:rPr>
          <w:color w:val="000000" w:themeColor="text1"/>
          <w:u w:val="none"/>
        </w:rPr>
        <w:t xml:space="preserve"> with the process of disputing such assessments.  </w:t>
      </w:r>
      <w:r w:rsidR="00A07515">
        <w:rPr>
          <w:color w:val="000000" w:themeColor="text1"/>
          <w:u w:val="none"/>
        </w:rPr>
        <w:t xml:space="preserve">The defences raised by the respondent and authorities regarding the correctness and reasonableness of the assessment falls within the purview of the Tax Court and it is not for this Court to pronounce on it.  </w:t>
      </w:r>
      <w:r w:rsidR="00231E9F" w:rsidRPr="00A54F26">
        <w:rPr>
          <w:color w:val="000000" w:themeColor="text1"/>
          <w:u w:val="none"/>
        </w:rPr>
        <w:t>It is not</w:t>
      </w:r>
      <w:r w:rsidR="00231E9F">
        <w:rPr>
          <w:color w:val="000000" w:themeColor="text1"/>
          <w:u w:val="none"/>
        </w:rPr>
        <w:t xml:space="preserve"> appropriate </w:t>
      </w:r>
      <w:r w:rsidR="00231E9F" w:rsidRPr="00A54F26">
        <w:rPr>
          <w:color w:val="000000" w:themeColor="text1"/>
          <w:u w:val="none"/>
        </w:rPr>
        <w:t>for this court to entertain the c</w:t>
      </w:r>
      <w:r w:rsidR="00231E9F">
        <w:rPr>
          <w:color w:val="000000" w:themeColor="text1"/>
          <w:u w:val="none"/>
        </w:rPr>
        <w:t xml:space="preserve">omplaints and </w:t>
      </w:r>
      <w:r w:rsidR="00231E9F" w:rsidRPr="00A54F26">
        <w:rPr>
          <w:color w:val="000000" w:themeColor="text1"/>
          <w:u w:val="none"/>
        </w:rPr>
        <w:t>defences raised by the respondent in his answerin</w:t>
      </w:r>
      <w:r w:rsidR="00231E9F">
        <w:rPr>
          <w:color w:val="000000" w:themeColor="text1"/>
          <w:u w:val="none"/>
        </w:rPr>
        <w:t xml:space="preserve">g affidavit.  These </w:t>
      </w:r>
      <w:r w:rsidR="00231E9F" w:rsidRPr="00A54F26">
        <w:rPr>
          <w:color w:val="000000" w:themeColor="text1"/>
          <w:u w:val="none"/>
        </w:rPr>
        <w:t>should have been raised by way of an objection and thereafter an appeal to the Tax Court.</w:t>
      </w:r>
      <w:r w:rsidR="0025445C">
        <w:rPr>
          <w:color w:val="000000" w:themeColor="text1"/>
          <w:u w:val="none"/>
        </w:rPr>
        <w:t xml:space="preserve"> This court must limit itself to the question whether a provisional liquidation should be granted.</w:t>
      </w:r>
    </w:p>
    <w:p w:rsidR="00231E9F" w:rsidRPr="00A54F26" w:rsidRDefault="00231E9F" w:rsidP="00231E9F">
      <w:pPr>
        <w:snapToGrid w:val="0"/>
        <w:spacing w:after="160" w:line="480" w:lineRule="auto"/>
        <w:ind w:left="540" w:hanging="540"/>
        <w:jc w:val="both"/>
        <w:rPr>
          <w:color w:val="000000" w:themeColor="text1"/>
        </w:rPr>
      </w:pPr>
    </w:p>
    <w:p w:rsidR="00A54F26" w:rsidRPr="00A54F26" w:rsidRDefault="00A54F26" w:rsidP="00A54F26">
      <w:pPr>
        <w:snapToGrid w:val="0"/>
        <w:spacing w:line="480" w:lineRule="auto"/>
        <w:jc w:val="both"/>
        <w:rPr>
          <w:color w:val="000000" w:themeColor="text1"/>
          <w:u w:val="none"/>
        </w:rPr>
      </w:pPr>
      <w:r w:rsidRPr="00A54F26">
        <w:rPr>
          <w:color w:val="000000" w:themeColor="text1"/>
          <w:u w:val="none"/>
        </w:rPr>
        <w:t>[</w:t>
      </w:r>
      <w:r w:rsidR="00040F3C">
        <w:rPr>
          <w:color w:val="000000" w:themeColor="text1"/>
          <w:u w:val="none"/>
        </w:rPr>
        <w:t>20</w:t>
      </w:r>
      <w:r w:rsidRPr="00A54F26">
        <w:rPr>
          <w:color w:val="000000" w:themeColor="text1"/>
          <w:u w:val="none"/>
        </w:rPr>
        <w:t>]</w:t>
      </w:r>
      <w:r w:rsidRPr="00A54F26">
        <w:rPr>
          <w:color w:val="000000" w:themeColor="text1"/>
          <w:u w:val="none"/>
        </w:rPr>
        <w:tab/>
        <w:t xml:space="preserve">Section 170 of the TAA provides that: </w:t>
      </w:r>
    </w:p>
    <w:p w:rsidR="00A54F26" w:rsidRPr="00A54F26" w:rsidRDefault="00A54F26" w:rsidP="00A54F26">
      <w:pPr>
        <w:spacing w:line="480" w:lineRule="auto"/>
        <w:ind w:left="1134"/>
        <w:jc w:val="both"/>
        <w:rPr>
          <w:i/>
          <w:iCs/>
          <w:color w:val="000000" w:themeColor="text1"/>
          <w:u w:val="none"/>
        </w:rPr>
      </w:pPr>
      <w:r w:rsidRPr="00A54F26">
        <w:rPr>
          <w:i/>
          <w:iCs/>
          <w:color w:val="000000" w:themeColor="text1"/>
          <w:u w:val="none"/>
        </w:rPr>
        <w:t>“The production of a document issued by SARS purporting to be a copy of or an extract from an assessment is conclusive evidence-</w:t>
      </w:r>
    </w:p>
    <w:p w:rsidR="00A54F26" w:rsidRPr="00A54F26" w:rsidRDefault="00A54F26" w:rsidP="00A54F26">
      <w:pPr>
        <w:pStyle w:val="ListParagraph"/>
        <w:numPr>
          <w:ilvl w:val="0"/>
          <w:numId w:val="21"/>
        </w:numPr>
        <w:snapToGrid w:val="0"/>
        <w:spacing w:line="480" w:lineRule="auto"/>
        <w:jc w:val="both"/>
        <w:rPr>
          <w:i/>
          <w:iCs/>
          <w:color w:val="000000" w:themeColor="text1"/>
          <w:u w:val="none"/>
        </w:rPr>
      </w:pPr>
      <w:r w:rsidRPr="00A54F26">
        <w:rPr>
          <w:i/>
          <w:iCs/>
          <w:color w:val="000000" w:themeColor="text1"/>
          <w:u w:val="none"/>
        </w:rPr>
        <w:t>of the making of the assessment; and</w:t>
      </w:r>
    </w:p>
    <w:p w:rsidR="00A54F26" w:rsidRPr="00A54F26" w:rsidRDefault="00A54F26" w:rsidP="00A54F26">
      <w:pPr>
        <w:pStyle w:val="ListParagraph"/>
        <w:numPr>
          <w:ilvl w:val="0"/>
          <w:numId w:val="21"/>
        </w:numPr>
        <w:snapToGrid w:val="0"/>
        <w:spacing w:line="480" w:lineRule="auto"/>
        <w:jc w:val="both"/>
        <w:rPr>
          <w:i/>
          <w:iCs/>
          <w:color w:val="000000" w:themeColor="text1"/>
          <w:u w:val="none"/>
        </w:rPr>
      </w:pPr>
      <w:r w:rsidRPr="00A54F26">
        <w:rPr>
          <w:i/>
          <w:iCs/>
          <w:color w:val="000000" w:themeColor="text1"/>
          <w:u w:val="none"/>
        </w:rPr>
        <w:t>except in the case of proceedings on appeal instituted under Chapter 9 against the assessment, that all the particulars of the assessment are correct.”</w:t>
      </w:r>
    </w:p>
    <w:p w:rsidR="00A54F26" w:rsidRDefault="00A54F26" w:rsidP="00D168FF">
      <w:pPr>
        <w:spacing w:line="480" w:lineRule="auto"/>
        <w:ind w:left="540" w:hanging="540"/>
        <w:jc w:val="both"/>
        <w:rPr>
          <w:color w:val="000000" w:themeColor="text1"/>
          <w:u w:val="none"/>
        </w:rPr>
      </w:pPr>
    </w:p>
    <w:p w:rsidR="00231E9F" w:rsidRPr="008634EA" w:rsidRDefault="00040F3C" w:rsidP="008634EA">
      <w:pPr>
        <w:pStyle w:val="WLGLevel1"/>
        <w:ind w:left="540" w:hanging="540"/>
        <w:rPr>
          <w:rFonts w:cs="Arial"/>
          <w:color w:val="000000" w:themeColor="text1"/>
          <w:szCs w:val="24"/>
        </w:rPr>
      </w:pPr>
      <w:r>
        <w:rPr>
          <w:rFonts w:cs="Arial"/>
          <w:color w:val="000000" w:themeColor="text1"/>
          <w:szCs w:val="24"/>
        </w:rPr>
        <w:lastRenderedPageBreak/>
        <w:t>[21</w:t>
      </w:r>
      <w:r w:rsidR="00231E9F">
        <w:rPr>
          <w:rFonts w:cs="Arial"/>
          <w:color w:val="000000" w:themeColor="text1"/>
          <w:szCs w:val="24"/>
        </w:rPr>
        <w:t>]</w:t>
      </w:r>
      <w:r w:rsidR="00231E9F">
        <w:rPr>
          <w:rFonts w:cs="Arial"/>
          <w:color w:val="000000" w:themeColor="text1"/>
          <w:szCs w:val="24"/>
        </w:rPr>
        <w:tab/>
        <w:t xml:space="preserve">Furthermore </w:t>
      </w:r>
      <w:r w:rsidR="00231E9F" w:rsidRPr="00FB65AA">
        <w:rPr>
          <w:rFonts w:cs="Arial"/>
          <w:color w:val="000000" w:themeColor="text1"/>
          <w:szCs w:val="24"/>
        </w:rPr>
        <w:t xml:space="preserve">SARS </w:t>
      </w:r>
      <w:r>
        <w:rPr>
          <w:rFonts w:cs="Arial"/>
          <w:color w:val="000000" w:themeColor="text1"/>
          <w:szCs w:val="24"/>
        </w:rPr>
        <w:t xml:space="preserve">obtained </w:t>
      </w:r>
      <w:r w:rsidR="00231E9F" w:rsidRPr="00FB65AA">
        <w:rPr>
          <w:rFonts w:cs="Arial"/>
          <w:color w:val="000000" w:themeColor="text1"/>
          <w:szCs w:val="24"/>
        </w:rPr>
        <w:t xml:space="preserve">judgment </w:t>
      </w:r>
      <w:r>
        <w:rPr>
          <w:rFonts w:cs="Arial"/>
          <w:color w:val="000000" w:themeColor="text1"/>
          <w:szCs w:val="24"/>
        </w:rPr>
        <w:t xml:space="preserve">on 18 June 2021 </w:t>
      </w:r>
      <w:r w:rsidR="00231E9F" w:rsidRPr="00FB65AA">
        <w:rPr>
          <w:rFonts w:cs="Arial"/>
          <w:color w:val="000000" w:themeColor="text1"/>
          <w:szCs w:val="24"/>
        </w:rPr>
        <w:t>in terms of s</w:t>
      </w:r>
      <w:r w:rsidR="00231E9F">
        <w:rPr>
          <w:rFonts w:cs="Arial"/>
          <w:color w:val="000000" w:themeColor="text1"/>
          <w:szCs w:val="24"/>
        </w:rPr>
        <w:t>ection</w:t>
      </w:r>
      <w:r w:rsidR="00231E9F" w:rsidRPr="00FB65AA">
        <w:rPr>
          <w:rFonts w:cs="Arial"/>
          <w:color w:val="000000" w:themeColor="text1"/>
          <w:szCs w:val="24"/>
        </w:rPr>
        <w:t xml:space="preserve"> 172 of the TAA.  In terms of s</w:t>
      </w:r>
      <w:r w:rsidR="00231E9F">
        <w:rPr>
          <w:rFonts w:cs="Arial"/>
          <w:color w:val="000000" w:themeColor="text1"/>
          <w:szCs w:val="24"/>
        </w:rPr>
        <w:t>ection</w:t>
      </w:r>
      <w:r w:rsidR="00231E9F" w:rsidRPr="00FB65AA">
        <w:rPr>
          <w:rFonts w:cs="Arial"/>
          <w:color w:val="000000" w:themeColor="text1"/>
          <w:szCs w:val="24"/>
        </w:rPr>
        <w:t xml:space="preserve"> 174 of the TAA </w:t>
      </w:r>
      <w:r w:rsidR="00231E9F" w:rsidRPr="00FB65AA">
        <w:rPr>
          <w:rFonts w:cs="Arial"/>
          <w:i/>
          <w:iCs/>
          <w:color w:val="000000" w:themeColor="text1"/>
          <w:szCs w:val="24"/>
        </w:rPr>
        <w:t>“a certified statement filed under section 172 must be treated as a civil judgment lawfully given in the relevant court in favour of SARS for a liquid debt for the amount specified in the statement.”</w:t>
      </w:r>
      <w:r w:rsidR="008634EA">
        <w:rPr>
          <w:rFonts w:cs="Arial"/>
          <w:i/>
          <w:iCs/>
          <w:color w:val="000000" w:themeColor="text1"/>
          <w:szCs w:val="24"/>
        </w:rPr>
        <w:t xml:space="preserve"> </w:t>
      </w:r>
      <w:r w:rsidR="008634EA">
        <w:rPr>
          <w:rFonts w:cs="Arial"/>
          <w:iCs/>
          <w:color w:val="000000" w:themeColor="text1"/>
          <w:szCs w:val="24"/>
        </w:rPr>
        <w:t xml:space="preserve">Consequently </w:t>
      </w:r>
      <w:r w:rsidR="00231E9F" w:rsidRPr="00A54F26">
        <w:rPr>
          <w:color w:val="000000" w:themeColor="text1"/>
        </w:rPr>
        <w:t>SARS took judgment, based on the assessments for income tax and VAT, on 18 June 2021 in the amount of R11 526 767.61.</w:t>
      </w:r>
    </w:p>
    <w:p w:rsidR="0025445C" w:rsidRDefault="0025445C" w:rsidP="008634EA">
      <w:pPr>
        <w:pStyle w:val="WLGLevel1"/>
        <w:snapToGrid w:val="0"/>
        <w:spacing w:before="0" w:after="0"/>
        <w:ind w:left="540" w:hanging="540"/>
        <w:rPr>
          <w:rFonts w:cs="Arial"/>
          <w:color w:val="000000" w:themeColor="text1"/>
          <w:szCs w:val="24"/>
        </w:rPr>
      </w:pPr>
    </w:p>
    <w:p w:rsidR="00231E9F" w:rsidRDefault="00040F3C" w:rsidP="008634EA">
      <w:pPr>
        <w:pStyle w:val="WLGLevel1"/>
        <w:snapToGrid w:val="0"/>
        <w:spacing w:before="0" w:after="0"/>
        <w:ind w:left="540" w:hanging="540"/>
        <w:rPr>
          <w:rFonts w:cs="Arial"/>
          <w:color w:val="000000" w:themeColor="text1"/>
          <w:szCs w:val="24"/>
        </w:rPr>
      </w:pPr>
      <w:r>
        <w:rPr>
          <w:rFonts w:cs="Arial"/>
          <w:color w:val="000000" w:themeColor="text1"/>
          <w:szCs w:val="24"/>
        </w:rPr>
        <w:t>[22</w:t>
      </w:r>
      <w:r w:rsidR="00231E9F">
        <w:rPr>
          <w:rFonts w:cs="Arial"/>
          <w:color w:val="000000" w:themeColor="text1"/>
          <w:szCs w:val="24"/>
        </w:rPr>
        <w:t>]</w:t>
      </w:r>
      <w:r w:rsidR="00231E9F">
        <w:rPr>
          <w:rFonts w:cs="Arial"/>
          <w:color w:val="000000" w:themeColor="text1"/>
          <w:szCs w:val="24"/>
        </w:rPr>
        <w:tab/>
      </w:r>
      <w:r w:rsidR="0025445C">
        <w:rPr>
          <w:rFonts w:cs="Arial"/>
          <w:color w:val="000000" w:themeColor="text1"/>
          <w:szCs w:val="24"/>
        </w:rPr>
        <w:t>Thi</w:t>
      </w:r>
      <w:r>
        <w:rPr>
          <w:rFonts w:cs="Arial"/>
          <w:color w:val="000000" w:themeColor="text1"/>
          <w:szCs w:val="24"/>
        </w:rPr>
        <w:t xml:space="preserve">s brings one to the requirements </w:t>
      </w:r>
      <w:r w:rsidR="0025445C">
        <w:rPr>
          <w:rFonts w:cs="Arial"/>
          <w:color w:val="000000" w:themeColor="text1"/>
          <w:szCs w:val="24"/>
        </w:rPr>
        <w:t xml:space="preserve">for a liquidation application. </w:t>
      </w:r>
      <w:r w:rsidR="00231E9F">
        <w:rPr>
          <w:rFonts w:cs="Arial"/>
          <w:color w:val="000000" w:themeColor="text1"/>
          <w:szCs w:val="24"/>
        </w:rPr>
        <w:t>Section 344(f) of the Companies Act must be read with section 345 in determining a company’s inability to pay its debts.</w:t>
      </w:r>
      <w:r w:rsidR="00231E9F">
        <w:rPr>
          <w:rStyle w:val="FootnoteReference"/>
          <w:rFonts w:cs="Arial"/>
          <w:color w:val="000000" w:themeColor="text1"/>
          <w:szCs w:val="24"/>
        </w:rPr>
        <w:footnoteReference w:id="3"/>
      </w:r>
      <w:r w:rsidR="00231E9F">
        <w:rPr>
          <w:rFonts w:cs="Arial"/>
          <w:color w:val="000000" w:themeColor="text1"/>
          <w:szCs w:val="24"/>
        </w:rPr>
        <w:t xml:space="preserve"> The two sections are </w:t>
      </w:r>
      <w:r w:rsidR="00231E9F">
        <w:rPr>
          <w:rFonts w:cs="Arial"/>
          <w:i/>
          <w:iCs/>
          <w:color w:val="000000" w:themeColor="text1"/>
          <w:szCs w:val="24"/>
        </w:rPr>
        <w:t>“fastened together by the clasp in section 344(f) that refers to a company being unable to pay its debts as described in section 345”</w:t>
      </w:r>
      <w:r w:rsidR="00231E9F">
        <w:rPr>
          <w:rFonts w:cs="Arial"/>
          <w:color w:val="000000" w:themeColor="text1"/>
          <w:szCs w:val="24"/>
        </w:rPr>
        <w:t>.</w:t>
      </w:r>
      <w:r w:rsidR="00231E9F">
        <w:rPr>
          <w:rStyle w:val="FootnoteReference"/>
          <w:rFonts w:cs="Arial"/>
          <w:color w:val="000000" w:themeColor="text1"/>
          <w:szCs w:val="24"/>
        </w:rPr>
        <w:footnoteReference w:id="4"/>
      </w:r>
      <w:r w:rsidR="00231E9F">
        <w:rPr>
          <w:rFonts w:cs="Arial"/>
          <w:color w:val="000000" w:themeColor="text1"/>
          <w:szCs w:val="24"/>
        </w:rPr>
        <w:t xml:space="preserve"> </w:t>
      </w:r>
    </w:p>
    <w:p w:rsidR="00231E9F" w:rsidRDefault="00231E9F" w:rsidP="00D168FF">
      <w:pPr>
        <w:spacing w:line="480" w:lineRule="auto"/>
        <w:ind w:left="540" w:hanging="540"/>
        <w:jc w:val="both"/>
        <w:rPr>
          <w:color w:val="000000" w:themeColor="text1"/>
          <w:u w:val="none"/>
        </w:rPr>
      </w:pPr>
    </w:p>
    <w:p w:rsidR="00A54F26" w:rsidRDefault="00040F3C" w:rsidP="00231E9F">
      <w:pPr>
        <w:spacing w:line="480" w:lineRule="auto"/>
        <w:ind w:left="567" w:hanging="567"/>
        <w:jc w:val="both"/>
        <w:rPr>
          <w:color w:val="000000" w:themeColor="text1"/>
          <w:u w:val="none"/>
        </w:rPr>
      </w:pPr>
      <w:r>
        <w:rPr>
          <w:color w:val="000000" w:themeColor="text1"/>
          <w:u w:val="none"/>
        </w:rPr>
        <w:t>[23</w:t>
      </w:r>
      <w:r w:rsidR="00A54F26">
        <w:rPr>
          <w:color w:val="000000" w:themeColor="text1"/>
          <w:u w:val="none"/>
        </w:rPr>
        <w:t>]</w:t>
      </w:r>
      <w:r w:rsidR="00A54F26">
        <w:rPr>
          <w:color w:val="000000" w:themeColor="text1"/>
          <w:u w:val="none"/>
        </w:rPr>
        <w:tab/>
        <w:t>SARS is a creditor of Grand Azania</w:t>
      </w:r>
      <w:r w:rsidR="00231E9F">
        <w:rPr>
          <w:color w:val="000000" w:themeColor="text1"/>
          <w:u w:val="none"/>
        </w:rPr>
        <w:t>,</w:t>
      </w:r>
      <w:r w:rsidR="00A54F26">
        <w:rPr>
          <w:color w:val="000000" w:themeColor="text1"/>
          <w:u w:val="none"/>
        </w:rPr>
        <w:t xml:space="preserve"> which is ind</w:t>
      </w:r>
      <w:r w:rsidR="00B13A40">
        <w:rPr>
          <w:color w:val="000000" w:themeColor="text1"/>
          <w:u w:val="none"/>
        </w:rPr>
        <w:t xml:space="preserve">ebted to SARS in an amount </w:t>
      </w:r>
      <w:r w:rsidR="007E1A54">
        <w:rPr>
          <w:color w:val="000000" w:themeColor="text1"/>
          <w:u w:val="none"/>
        </w:rPr>
        <w:t>of no</w:t>
      </w:r>
      <w:r>
        <w:rPr>
          <w:color w:val="000000" w:themeColor="text1"/>
          <w:u w:val="none"/>
        </w:rPr>
        <w:t xml:space="preserve"> less than</w:t>
      </w:r>
      <w:r w:rsidR="00A54F26">
        <w:rPr>
          <w:color w:val="000000" w:themeColor="text1"/>
          <w:u w:val="none"/>
        </w:rPr>
        <w:t xml:space="preserve"> R100-00. SARS has issued a demand for payment and Grand Azania failed to make payment of the due amount and as a result Grand Azania is deemed to be unable to pay its debts.</w:t>
      </w:r>
    </w:p>
    <w:p w:rsidR="00683947" w:rsidRDefault="00B3457F" w:rsidP="0025445C">
      <w:pPr>
        <w:pStyle w:val="WLGLevel1"/>
        <w:snapToGrid w:val="0"/>
        <w:ind w:left="567" w:hanging="567"/>
        <w:rPr>
          <w:rFonts w:cs="Arial"/>
          <w:color w:val="000000" w:themeColor="text1"/>
          <w:szCs w:val="24"/>
        </w:rPr>
      </w:pPr>
      <w:r>
        <w:rPr>
          <w:rFonts w:cs="Arial"/>
          <w:color w:val="000000" w:themeColor="text1"/>
          <w:szCs w:val="24"/>
        </w:rPr>
        <w:t>[</w:t>
      </w:r>
      <w:r w:rsidR="00040F3C">
        <w:rPr>
          <w:rFonts w:cs="Arial"/>
          <w:color w:val="000000" w:themeColor="text1"/>
          <w:szCs w:val="24"/>
        </w:rPr>
        <w:t>24</w:t>
      </w:r>
      <w:r w:rsidR="00A54F26">
        <w:rPr>
          <w:rFonts w:cs="Arial"/>
          <w:color w:val="000000" w:themeColor="text1"/>
          <w:szCs w:val="24"/>
        </w:rPr>
        <w:t>]</w:t>
      </w:r>
      <w:r w:rsidR="00A54F26">
        <w:rPr>
          <w:rFonts w:cs="Arial"/>
          <w:color w:val="000000" w:themeColor="text1"/>
          <w:szCs w:val="24"/>
        </w:rPr>
        <w:tab/>
      </w:r>
      <w:r w:rsidR="00683947">
        <w:rPr>
          <w:rFonts w:cs="Arial"/>
          <w:color w:val="000000" w:themeColor="text1"/>
          <w:szCs w:val="24"/>
        </w:rPr>
        <w:t xml:space="preserve">The enquiry into whether a respondent in liquidation proceedings is unable to pay its debts is a factual one. Judgment has been taken against the respondent on 18 June 2021 and the amount in respect of which the </w:t>
      </w:r>
      <w:r w:rsidR="00683947">
        <w:rPr>
          <w:rFonts w:cs="Arial"/>
          <w:color w:val="000000" w:themeColor="text1"/>
          <w:szCs w:val="24"/>
        </w:rPr>
        <w:lastRenderedPageBreak/>
        <w:t xml:space="preserve">judgment was taken is still unpaid.  The respondent is therefore </w:t>
      </w:r>
      <w:r w:rsidR="008634EA">
        <w:rPr>
          <w:rFonts w:cs="Arial"/>
          <w:color w:val="000000" w:themeColor="text1"/>
          <w:szCs w:val="24"/>
        </w:rPr>
        <w:t xml:space="preserve">deemed to be </w:t>
      </w:r>
      <w:r w:rsidR="00683947">
        <w:rPr>
          <w:rFonts w:cs="Arial"/>
          <w:color w:val="000000" w:themeColor="text1"/>
          <w:szCs w:val="24"/>
        </w:rPr>
        <w:t xml:space="preserve">unable to pay its debts to SARS.  </w:t>
      </w:r>
    </w:p>
    <w:p w:rsidR="008156A5" w:rsidRDefault="00040F3C" w:rsidP="00040F3C">
      <w:pPr>
        <w:pStyle w:val="WLGLevel1"/>
        <w:ind w:left="567" w:hanging="567"/>
        <w:rPr>
          <w:rFonts w:cs="Arial"/>
          <w:color w:val="000000" w:themeColor="text1"/>
          <w:szCs w:val="24"/>
        </w:rPr>
      </w:pPr>
      <w:r>
        <w:rPr>
          <w:rFonts w:cs="Arial"/>
          <w:color w:val="000000" w:themeColor="text1"/>
          <w:szCs w:val="24"/>
        </w:rPr>
        <w:t>[25</w:t>
      </w:r>
      <w:r w:rsidR="00CE4E4C">
        <w:rPr>
          <w:rFonts w:cs="Arial"/>
          <w:color w:val="000000" w:themeColor="text1"/>
          <w:szCs w:val="24"/>
        </w:rPr>
        <w:t>]</w:t>
      </w:r>
      <w:r w:rsidR="00CE4E4C">
        <w:rPr>
          <w:rFonts w:cs="Arial"/>
          <w:color w:val="000000" w:themeColor="text1"/>
          <w:szCs w:val="24"/>
        </w:rPr>
        <w:tab/>
        <w:t xml:space="preserve">In my view SARS made out a case </w:t>
      </w:r>
      <w:r w:rsidR="0025445C">
        <w:rPr>
          <w:rFonts w:cs="Arial"/>
          <w:color w:val="000000" w:themeColor="text1"/>
          <w:szCs w:val="24"/>
        </w:rPr>
        <w:t xml:space="preserve">that a provisional liquidation order should be granted. </w:t>
      </w:r>
    </w:p>
    <w:p w:rsidR="008156A5" w:rsidRPr="007E1A54" w:rsidRDefault="00040F3C" w:rsidP="002A7274">
      <w:pPr>
        <w:pStyle w:val="WLGLevel1"/>
        <w:ind w:left="720" w:hanging="720"/>
        <w:rPr>
          <w:rFonts w:cs="Arial"/>
          <w:b/>
          <w:color w:val="000000" w:themeColor="text1"/>
          <w:szCs w:val="24"/>
        </w:rPr>
      </w:pPr>
      <w:r>
        <w:rPr>
          <w:rFonts w:cs="Arial"/>
          <w:color w:val="000000" w:themeColor="text1"/>
          <w:szCs w:val="24"/>
        </w:rPr>
        <w:t>[26</w:t>
      </w:r>
      <w:r w:rsidR="008156A5">
        <w:rPr>
          <w:rFonts w:cs="Arial"/>
          <w:color w:val="000000" w:themeColor="text1"/>
          <w:szCs w:val="24"/>
        </w:rPr>
        <w:t>]</w:t>
      </w:r>
      <w:r w:rsidR="008156A5">
        <w:rPr>
          <w:rFonts w:cs="Arial"/>
          <w:color w:val="000000" w:themeColor="text1"/>
          <w:szCs w:val="24"/>
        </w:rPr>
        <w:tab/>
        <w:t>The following order is made:</w:t>
      </w:r>
    </w:p>
    <w:p w:rsidR="008156A5" w:rsidRPr="007E1A54" w:rsidRDefault="007E1A54" w:rsidP="002A7274">
      <w:pPr>
        <w:pStyle w:val="WLGLevel1"/>
        <w:ind w:left="720" w:hanging="720"/>
        <w:rPr>
          <w:rFonts w:cs="Arial"/>
          <w:b/>
          <w:color w:val="000000" w:themeColor="text1"/>
          <w:szCs w:val="24"/>
        </w:rPr>
      </w:pPr>
      <w:r>
        <w:rPr>
          <w:rFonts w:cs="Arial"/>
          <w:b/>
          <w:color w:val="000000" w:themeColor="text1"/>
          <w:szCs w:val="24"/>
        </w:rPr>
        <w:tab/>
        <w:t>a)</w:t>
      </w:r>
      <w:r>
        <w:rPr>
          <w:rFonts w:cs="Arial"/>
          <w:b/>
          <w:color w:val="000000" w:themeColor="text1"/>
          <w:szCs w:val="24"/>
        </w:rPr>
        <w:tab/>
        <w:t>t</w:t>
      </w:r>
      <w:r w:rsidR="00231E9F" w:rsidRPr="007E1A54">
        <w:rPr>
          <w:rFonts w:cs="Arial"/>
          <w:b/>
          <w:color w:val="000000" w:themeColor="text1"/>
          <w:szCs w:val="24"/>
        </w:rPr>
        <w:t>he respondent is</w:t>
      </w:r>
      <w:r w:rsidR="008156A5" w:rsidRPr="007E1A54">
        <w:rPr>
          <w:rFonts w:cs="Arial"/>
          <w:b/>
          <w:color w:val="000000" w:themeColor="text1"/>
          <w:szCs w:val="24"/>
        </w:rPr>
        <w:t xml:space="preserve"> provisionally wound up;</w:t>
      </w:r>
    </w:p>
    <w:p w:rsidR="008156A5" w:rsidRPr="007E1A54" w:rsidRDefault="007E1A54" w:rsidP="008156A5">
      <w:pPr>
        <w:pStyle w:val="WLGLevel1"/>
        <w:ind w:left="1440" w:hanging="720"/>
        <w:rPr>
          <w:rFonts w:cs="Arial"/>
          <w:b/>
          <w:color w:val="000000" w:themeColor="text1"/>
          <w:szCs w:val="24"/>
        </w:rPr>
      </w:pPr>
      <w:r>
        <w:rPr>
          <w:rFonts w:cs="Arial"/>
          <w:b/>
          <w:color w:val="000000" w:themeColor="text1"/>
          <w:szCs w:val="24"/>
        </w:rPr>
        <w:t>b)</w:t>
      </w:r>
      <w:r>
        <w:rPr>
          <w:rFonts w:cs="Arial"/>
          <w:b/>
          <w:color w:val="000000" w:themeColor="text1"/>
          <w:szCs w:val="24"/>
        </w:rPr>
        <w:tab/>
        <w:t>a</w:t>
      </w:r>
      <w:r w:rsidR="008156A5" w:rsidRPr="007E1A54">
        <w:rPr>
          <w:rFonts w:cs="Arial"/>
          <w:b/>
          <w:color w:val="000000" w:themeColor="text1"/>
          <w:szCs w:val="24"/>
        </w:rPr>
        <w:t>ll persons who have a legitimate interest are called upon to put forward their reasons why this Court shoul</w:t>
      </w:r>
      <w:r w:rsidR="00040F3C">
        <w:rPr>
          <w:rFonts w:cs="Arial"/>
          <w:b/>
          <w:color w:val="000000" w:themeColor="text1"/>
          <w:szCs w:val="24"/>
        </w:rPr>
        <w:t>d not order the final wing-up of</w:t>
      </w:r>
      <w:r w:rsidR="008156A5" w:rsidRPr="007E1A54">
        <w:rPr>
          <w:rFonts w:cs="Arial"/>
          <w:b/>
          <w:color w:val="000000" w:themeColor="text1"/>
          <w:szCs w:val="24"/>
        </w:rPr>
        <w:t xml:space="preserve"> the respondent company on 24 April 2023 at 10:00;</w:t>
      </w:r>
    </w:p>
    <w:p w:rsidR="008156A5" w:rsidRPr="007E1A54" w:rsidRDefault="007E1A54" w:rsidP="008156A5">
      <w:pPr>
        <w:pStyle w:val="WLGLevel1"/>
        <w:ind w:left="1440" w:hanging="720"/>
        <w:rPr>
          <w:rFonts w:cs="Arial"/>
          <w:b/>
          <w:color w:val="000000" w:themeColor="text1"/>
          <w:szCs w:val="24"/>
        </w:rPr>
      </w:pPr>
      <w:r>
        <w:rPr>
          <w:rFonts w:cs="Arial"/>
          <w:b/>
          <w:color w:val="000000" w:themeColor="text1"/>
          <w:szCs w:val="24"/>
        </w:rPr>
        <w:t>c)</w:t>
      </w:r>
      <w:r>
        <w:rPr>
          <w:rFonts w:cs="Arial"/>
          <w:b/>
          <w:color w:val="000000" w:themeColor="text1"/>
          <w:szCs w:val="24"/>
        </w:rPr>
        <w:tab/>
        <w:t>a</w:t>
      </w:r>
      <w:r w:rsidR="008156A5" w:rsidRPr="007E1A54">
        <w:rPr>
          <w:rFonts w:cs="Arial"/>
          <w:b/>
          <w:color w:val="000000" w:themeColor="text1"/>
          <w:szCs w:val="24"/>
        </w:rPr>
        <w:t xml:space="preserve"> copy of this order be forthwith served on the respondent company at its registered office and be published in the Government Gazette and the Star newspaper; and</w:t>
      </w:r>
    </w:p>
    <w:p w:rsidR="008156A5" w:rsidRDefault="008156A5" w:rsidP="008156A5">
      <w:pPr>
        <w:pStyle w:val="WLGLevel1"/>
        <w:pBdr>
          <w:bottom w:val="single" w:sz="12" w:space="1" w:color="auto"/>
        </w:pBdr>
        <w:ind w:left="1440" w:hanging="720"/>
        <w:rPr>
          <w:rFonts w:cs="Arial"/>
          <w:b/>
          <w:color w:val="000000" w:themeColor="text1"/>
          <w:szCs w:val="24"/>
        </w:rPr>
      </w:pPr>
      <w:r w:rsidRPr="007E1A54">
        <w:rPr>
          <w:rFonts w:cs="Arial"/>
          <w:b/>
          <w:color w:val="000000" w:themeColor="text1"/>
          <w:szCs w:val="24"/>
        </w:rPr>
        <w:t>d)</w:t>
      </w:r>
      <w:r w:rsidRPr="007E1A54">
        <w:rPr>
          <w:rFonts w:cs="Arial"/>
          <w:b/>
          <w:color w:val="000000" w:themeColor="text1"/>
          <w:szCs w:val="24"/>
        </w:rPr>
        <w:tab/>
        <w:t>a copy of this order be forthwith forwarded to each known creditor by prepaid registered post.</w:t>
      </w:r>
    </w:p>
    <w:p w:rsidR="0025445C" w:rsidRPr="007E1A54" w:rsidRDefault="0025445C" w:rsidP="008156A5">
      <w:pPr>
        <w:pStyle w:val="WLGLevel1"/>
        <w:pBdr>
          <w:bottom w:val="single" w:sz="12" w:space="1" w:color="auto"/>
        </w:pBdr>
        <w:ind w:left="1440" w:hanging="720"/>
        <w:rPr>
          <w:rFonts w:cs="Arial"/>
          <w:b/>
          <w:color w:val="000000" w:themeColor="text1"/>
          <w:szCs w:val="24"/>
        </w:rPr>
      </w:pPr>
    </w:p>
    <w:p w:rsidR="00CE4E4C" w:rsidRPr="007E1A54" w:rsidRDefault="0024694D" w:rsidP="0024694D">
      <w:pPr>
        <w:pStyle w:val="WLGLevel1"/>
        <w:pBdr>
          <w:bottom w:val="single" w:sz="12" w:space="1" w:color="auto"/>
        </w:pBdr>
        <w:spacing w:line="240" w:lineRule="auto"/>
        <w:ind w:left="1440" w:hanging="720"/>
        <w:jc w:val="right"/>
        <w:rPr>
          <w:rFonts w:cs="Arial"/>
          <w:b/>
          <w:color w:val="000000" w:themeColor="text1"/>
          <w:szCs w:val="24"/>
        </w:rPr>
      </w:pPr>
      <w:r w:rsidRPr="007E1A54">
        <w:rPr>
          <w:rFonts w:cs="Arial"/>
          <w:b/>
          <w:color w:val="000000" w:themeColor="text1"/>
          <w:szCs w:val="24"/>
        </w:rPr>
        <w:t>_________________</w:t>
      </w:r>
    </w:p>
    <w:p w:rsidR="0024694D" w:rsidRPr="007E1A54" w:rsidRDefault="0024694D" w:rsidP="0024694D">
      <w:pPr>
        <w:pStyle w:val="WLGLevel1"/>
        <w:pBdr>
          <w:bottom w:val="single" w:sz="12" w:space="1" w:color="auto"/>
        </w:pBdr>
        <w:spacing w:line="240" w:lineRule="auto"/>
        <w:ind w:left="1440" w:hanging="720"/>
        <w:jc w:val="right"/>
        <w:rPr>
          <w:rFonts w:cs="Arial"/>
          <w:b/>
          <w:color w:val="000000" w:themeColor="text1"/>
          <w:szCs w:val="24"/>
        </w:rPr>
      </w:pPr>
      <w:r w:rsidRPr="007E1A54">
        <w:rPr>
          <w:rFonts w:cs="Arial"/>
          <w:b/>
          <w:color w:val="000000" w:themeColor="text1"/>
          <w:szCs w:val="24"/>
        </w:rPr>
        <w:t>R G TOLMAY</w:t>
      </w:r>
    </w:p>
    <w:p w:rsidR="0024694D" w:rsidRPr="007E1A54" w:rsidRDefault="0024694D" w:rsidP="0024694D">
      <w:pPr>
        <w:pStyle w:val="WLGLevel1"/>
        <w:pBdr>
          <w:bottom w:val="single" w:sz="12" w:space="1" w:color="auto"/>
        </w:pBdr>
        <w:spacing w:line="240" w:lineRule="auto"/>
        <w:ind w:left="1440" w:hanging="720"/>
        <w:jc w:val="right"/>
        <w:rPr>
          <w:rFonts w:cs="Arial"/>
          <w:b/>
          <w:color w:val="000000" w:themeColor="text1"/>
          <w:szCs w:val="24"/>
        </w:rPr>
      </w:pPr>
      <w:r w:rsidRPr="007E1A54">
        <w:rPr>
          <w:rFonts w:cs="Arial"/>
          <w:b/>
          <w:color w:val="000000" w:themeColor="text1"/>
          <w:szCs w:val="24"/>
        </w:rPr>
        <w:t>JUDGE OF THIE HIGH COURT</w:t>
      </w:r>
    </w:p>
    <w:p w:rsidR="0024694D" w:rsidRDefault="0024694D" w:rsidP="0024694D">
      <w:pPr>
        <w:pStyle w:val="WLGLevel1"/>
        <w:pBdr>
          <w:bottom w:val="single" w:sz="12" w:space="1" w:color="auto"/>
        </w:pBdr>
        <w:spacing w:line="240" w:lineRule="auto"/>
        <w:ind w:left="1440" w:hanging="720"/>
        <w:jc w:val="right"/>
        <w:rPr>
          <w:rFonts w:cs="Arial"/>
          <w:color w:val="000000" w:themeColor="text1"/>
          <w:szCs w:val="24"/>
        </w:rPr>
      </w:pPr>
    </w:p>
    <w:p w:rsidR="0024694D" w:rsidRDefault="0024694D" w:rsidP="0024694D">
      <w:pPr>
        <w:pStyle w:val="WLGLevel1"/>
        <w:pBdr>
          <w:bottom w:val="single" w:sz="12" w:space="1" w:color="auto"/>
        </w:pBdr>
        <w:spacing w:line="240" w:lineRule="auto"/>
        <w:ind w:left="1440" w:hanging="720"/>
        <w:rPr>
          <w:rFonts w:cs="Arial"/>
          <w:color w:val="000000" w:themeColor="text1"/>
          <w:szCs w:val="24"/>
        </w:rPr>
      </w:pPr>
    </w:p>
    <w:p w:rsidR="0024694D" w:rsidRDefault="0024694D" w:rsidP="0024694D">
      <w:pPr>
        <w:pStyle w:val="WLGLevel1"/>
        <w:pBdr>
          <w:bottom w:val="single" w:sz="12" w:space="1" w:color="auto"/>
        </w:pBdr>
        <w:spacing w:line="240" w:lineRule="auto"/>
        <w:ind w:left="1440" w:hanging="720"/>
        <w:rPr>
          <w:rFonts w:cs="Arial"/>
          <w:color w:val="000000" w:themeColor="text1"/>
          <w:szCs w:val="24"/>
        </w:rPr>
      </w:pPr>
    </w:p>
    <w:p w:rsidR="0024694D" w:rsidRDefault="0024694D" w:rsidP="0024694D">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DATE OF HEARING:</w:t>
      </w:r>
      <w:r>
        <w:rPr>
          <w:rFonts w:cs="Arial"/>
          <w:color w:val="000000" w:themeColor="text1"/>
          <w:szCs w:val="24"/>
        </w:rPr>
        <w:tab/>
      </w:r>
      <w:r>
        <w:rPr>
          <w:rFonts w:cs="Arial"/>
          <w:color w:val="000000" w:themeColor="text1"/>
          <w:szCs w:val="24"/>
        </w:rPr>
        <w:tab/>
      </w:r>
      <w:r>
        <w:rPr>
          <w:rFonts w:cs="Arial"/>
          <w:color w:val="000000" w:themeColor="text1"/>
          <w:szCs w:val="24"/>
        </w:rPr>
        <w:tab/>
        <w:t>24 JANUARY 2023</w:t>
      </w:r>
    </w:p>
    <w:p w:rsidR="0024694D" w:rsidRDefault="0024694D"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DATE OF JUDGMENT:</w:t>
      </w:r>
      <w:r w:rsidR="00EA5D93">
        <w:rPr>
          <w:rFonts w:cs="Arial"/>
          <w:color w:val="000000" w:themeColor="text1"/>
          <w:szCs w:val="24"/>
        </w:rPr>
        <w:tab/>
      </w:r>
      <w:r w:rsidR="00EA5D93">
        <w:rPr>
          <w:rFonts w:cs="Arial"/>
          <w:color w:val="000000" w:themeColor="text1"/>
          <w:szCs w:val="24"/>
        </w:rPr>
        <w:tab/>
      </w:r>
      <w:r w:rsidR="00EA5D93">
        <w:rPr>
          <w:rFonts w:cs="Arial"/>
          <w:color w:val="000000" w:themeColor="text1"/>
          <w:szCs w:val="24"/>
        </w:rPr>
        <w:tab/>
      </w:r>
      <w:r w:rsidR="00040F3C">
        <w:rPr>
          <w:rFonts w:cs="Arial"/>
          <w:color w:val="000000" w:themeColor="text1"/>
          <w:szCs w:val="24"/>
        </w:rPr>
        <w:t xml:space="preserve">13 </w:t>
      </w:r>
      <w:r w:rsidR="00503FC0">
        <w:rPr>
          <w:rFonts w:cs="Arial"/>
          <w:color w:val="000000" w:themeColor="text1"/>
          <w:szCs w:val="24"/>
        </w:rPr>
        <w:t>MARCH 2023</w:t>
      </w:r>
    </w:p>
    <w:p w:rsidR="0024694D" w:rsidRDefault="0024694D" w:rsidP="0024694D">
      <w:pPr>
        <w:pStyle w:val="WLGLevel1"/>
        <w:pBdr>
          <w:bottom w:val="single" w:sz="12" w:space="1" w:color="auto"/>
        </w:pBdr>
        <w:spacing w:line="240" w:lineRule="auto"/>
        <w:ind w:left="1440" w:hanging="720"/>
        <w:rPr>
          <w:rFonts w:cs="Arial"/>
          <w:color w:val="000000" w:themeColor="text1"/>
          <w:szCs w:val="24"/>
        </w:rPr>
      </w:pPr>
    </w:p>
    <w:p w:rsidR="00EA5D93" w:rsidRDefault="0024694D"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ATTORNEY FOR APPLICANT:</w:t>
      </w:r>
      <w:r w:rsidR="00EA5D93">
        <w:rPr>
          <w:rFonts w:cs="Arial"/>
          <w:color w:val="000000" w:themeColor="text1"/>
          <w:szCs w:val="24"/>
        </w:rPr>
        <w:tab/>
      </w:r>
      <w:r w:rsidR="00EA5D93">
        <w:rPr>
          <w:rFonts w:cs="Arial"/>
          <w:color w:val="000000" w:themeColor="text1"/>
          <w:szCs w:val="24"/>
        </w:rPr>
        <w:tab/>
        <w:t xml:space="preserve">GILDENHUYS MALANTJI </w:t>
      </w: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t>ATTORNEYS</w:t>
      </w: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ADVOCATE FOR APPLICANTS:</w:t>
      </w:r>
      <w:r>
        <w:rPr>
          <w:rFonts w:cs="Arial"/>
          <w:color w:val="000000" w:themeColor="text1"/>
          <w:szCs w:val="24"/>
        </w:rPr>
        <w:tab/>
      </w:r>
      <w:r>
        <w:rPr>
          <w:rFonts w:cs="Arial"/>
          <w:color w:val="000000" w:themeColor="text1"/>
          <w:szCs w:val="24"/>
        </w:rPr>
        <w:tab/>
        <w:t>ADV C LOUW (SC)</w:t>
      </w: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t>ADV N MUVANGUA</w:t>
      </w: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ATTORNEYS FOR RESPONDENT:</w:t>
      </w:r>
      <w:r>
        <w:rPr>
          <w:rFonts w:cs="Arial"/>
          <w:color w:val="000000" w:themeColor="text1"/>
          <w:szCs w:val="24"/>
        </w:rPr>
        <w:tab/>
        <w:t>MABUZA ATTORNEYS</w:t>
      </w: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r>
        <w:rPr>
          <w:rFonts w:cs="Arial"/>
          <w:color w:val="000000" w:themeColor="text1"/>
          <w:szCs w:val="24"/>
        </w:rPr>
        <w:t>ADVOCATE FOR RESPONDENT:</w:t>
      </w:r>
      <w:r>
        <w:rPr>
          <w:rFonts w:cs="Arial"/>
          <w:color w:val="000000" w:themeColor="text1"/>
          <w:szCs w:val="24"/>
        </w:rPr>
        <w:tab/>
      </w:r>
      <w:r w:rsidR="00B4658A">
        <w:rPr>
          <w:rFonts w:cs="Arial"/>
          <w:color w:val="000000" w:themeColor="text1"/>
          <w:szCs w:val="24"/>
        </w:rPr>
        <w:t>ADV L</w:t>
      </w:r>
      <w:r>
        <w:rPr>
          <w:rFonts w:cs="Arial"/>
          <w:color w:val="000000" w:themeColor="text1"/>
          <w:szCs w:val="24"/>
        </w:rPr>
        <w:t xml:space="preserve"> SIGOGO (SC)</w:t>
      </w: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25445C" w:rsidRDefault="0025445C" w:rsidP="00EA5D93">
      <w:pPr>
        <w:pStyle w:val="WLGLevel1"/>
        <w:pBdr>
          <w:bottom w:val="single" w:sz="12" w:space="1" w:color="auto"/>
        </w:pBdr>
        <w:spacing w:line="240" w:lineRule="auto"/>
        <w:ind w:left="1440" w:hanging="720"/>
        <w:rPr>
          <w:rFonts w:cs="Arial"/>
          <w:color w:val="000000" w:themeColor="text1"/>
          <w:szCs w:val="24"/>
        </w:rPr>
      </w:pPr>
    </w:p>
    <w:p w:rsidR="00EA5D93" w:rsidRDefault="00EA5D93" w:rsidP="00EA5D93">
      <w:pPr>
        <w:pStyle w:val="WLGLevel1"/>
        <w:pBdr>
          <w:bottom w:val="single" w:sz="12" w:space="1" w:color="auto"/>
        </w:pBdr>
        <w:spacing w:line="240" w:lineRule="auto"/>
        <w:ind w:left="1440" w:hanging="720"/>
        <w:rPr>
          <w:rFonts w:cs="Arial"/>
          <w:color w:val="000000" w:themeColor="text1"/>
          <w:szCs w:val="24"/>
        </w:rPr>
      </w:pPr>
    </w:p>
    <w:sectPr w:rsidR="00EA5D93" w:rsidSect="00F43516">
      <w:headerReference w:type="default" r:id="rId12"/>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E5" w:rsidRDefault="003C77E5" w:rsidP="00BA7B3F">
      <w:r>
        <w:separator/>
      </w:r>
    </w:p>
  </w:endnote>
  <w:endnote w:type="continuationSeparator" w:id="0">
    <w:p w:rsidR="003C77E5" w:rsidRDefault="003C77E5"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E5" w:rsidRDefault="003C77E5" w:rsidP="00BA7B3F">
      <w:r>
        <w:separator/>
      </w:r>
    </w:p>
  </w:footnote>
  <w:footnote w:type="continuationSeparator" w:id="0">
    <w:p w:rsidR="003C77E5" w:rsidRDefault="003C77E5" w:rsidP="00BA7B3F">
      <w:r>
        <w:continuationSeparator/>
      </w:r>
    </w:p>
  </w:footnote>
  <w:footnote w:id="1">
    <w:p w:rsidR="00A54F26" w:rsidRPr="00AA3CB5" w:rsidRDefault="00A54F26" w:rsidP="00AA3CB5">
      <w:pPr>
        <w:pStyle w:val="FootnoteText"/>
        <w:ind w:left="360" w:hanging="360"/>
        <w:rPr>
          <w:rFonts w:ascii="Times New Roman" w:hAnsi="Times New Roman"/>
          <w:sz w:val="18"/>
          <w:szCs w:val="18"/>
          <w:u w:val="none"/>
        </w:rPr>
      </w:pPr>
      <w:r w:rsidRPr="00AA3CB5">
        <w:rPr>
          <w:rStyle w:val="FootnoteReference"/>
          <w:rFonts w:ascii="Times New Roman" w:hAnsi="Times New Roman"/>
          <w:color w:val="000000" w:themeColor="text1"/>
          <w:sz w:val="18"/>
          <w:szCs w:val="18"/>
          <w:u w:val="none"/>
        </w:rPr>
        <w:footnoteRef/>
      </w:r>
      <w:r w:rsidRPr="00AA3CB5">
        <w:rPr>
          <w:rFonts w:ascii="Times New Roman" w:hAnsi="Times New Roman"/>
          <w:color w:val="000000" w:themeColor="text1"/>
          <w:sz w:val="18"/>
          <w:szCs w:val="18"/>
          <w:u w:val="none"/>
        </w:rPr>
        <w:t xml:space="preserve"> </w:t>
      </w:r>
      <w:r w:rsidRPr="00AA3CB5">
        <w:rPr>
          <w:rFonts w:ascii="Times New Roman" w:hAnsi="Times New Roman"/>
          <w:color w:val="000000" w:themeColor="text1"/>
          <w:sz w:val="18"/>
          <w:szCs w:val="18"/>
          <w:u w:val="none"/>
        </w:rPr>
        <w:tab/>
      </w:r>
      <w:r w:rsidRPr="00B13A40">
        <w:rPr>
          <w:rFonts w:ascii="Times New Roman" w:hAnsi="Times New Roman"/>
          <w:iCs/>
          <w:color w:val="000000" w:themeColor="text1"/>
          <w:sz w:val="18"/>
          <w:szCs w:val="18"/>
          <w:u w:val="none"/>
        </w:rPr>
        <w:t>Medox Ltd v Commissioner, South African Revenue Service</w:t>
      </w:r>
      <w:r w:rsidRPr="00AA3CB5">
        <w:rPr>
          <w:rFonts w:ascii="Times New Roman" w:hAnsi="Times New Roman"/>
          <w:color w:val="000000" w:themeColor="text1"/>
          <w:sz w:val="18"/>
          <w:szCs w:val="18"/>
          <w:u w:val="none"/>
        </w:rPr>
        <w:t xml:space="preserve"> 2015 (6) SA 310 (SCA)</w:t>
      </w:r>
      <w:r w:rsidR="00A07515">
        <w:rPr>
          <w:rFonts w:ascii="Times New Roman" w:hAnsi="Times New Roman"/>
          <w:color w:val="000000" w:themeColor="text1"/>
          <w:sz w:val="18"/>
          <w:szCs w:val="18"/>
          <w:u w:val="none"/>
        </w:rPr>
        <w:t xml:space="preserve"> (Medox)</w:t>
      </w:r>
      <w:r w:rsidRPr="00AA3CB5">
        <w:rPr>
          <w:rFonts w:ascii="Times New Roman" w:hAnsi="Times New Roman"/>
          <w:color w:val="000000" w:themeColor="text1"/>
          <w:sz w:val="18"/>
          <w:szCs w:val="18"/>
          <w:u w:val="none"/>
        </w:rPr>
        <w:t>.</w:t>
      </w:r>
    </w:p>
  </w:footnote>
  <w:footnote w:id="2">
    <w:p w:rsidR="00A54F26" w:rsidRPr="00D168FF" w:rsidRDefault="00A54F26">
      <w:pPr>
        <w:pStyle w:val="FootnoteText"/>
        <w:rPr>
          <w:u w:val="none"/>
        </w:rPr>
      </w:pPr>
      <w:r w:rsidRPr="00D168FF">
        <w:rPr>
          <w:rStyle w:val="FootnoteReference"/>
          <w:u w:val="none"/>
        </w:rPr>
        <w:footnoteRef/>
      </w:r>
      <w:r w:rsidRPr="00D168FF">
        <w:rPr>
          <w:u w:val="none"/>
        </w:rPr>
        <w:t xml:space="preserve"> Medox Ltd para 12 – 13, 15</w:t>
      </w:r>
    </w:p>
  </w:footnote>
  <w:footnote w:id="3">
    <w:p w:rsidR="00231E9F" w:rsidRPr="00CE4E4C" w:rsidRDefault="00231E9F" w:rsidP="00231E9F">
      <w:pPr>
        <w:pStyle w:val="FootnoteText"/>
        <w:ind w:left="360" w:hanging="360"/>
        <w:rPr>
          <w:rFonts w:ascii="Times New Roman" w:hAnsi="Times New Roman"/>
          <w:sz w:val="18"/>
          <w:szCs w:val="18"/>
          <w:u w:val="none"/>
        </w:rPr>
      </w:pPr>
      <w:r w:rsidRPr="00CE4E4C">
        <w:rPr>
          <w:rStyle w:val="FootnoteReference"/>
          <w:rFonts w:ascii="Times New Roman" w:hAnsi="Times New Roman"/>
          <w:sz w:val="18"/>
          <w:szCs w:val="18"/>
          <w:u w:val="none"/>
        </w:rPr>
        <w:footnoteRef/>
      </w:r>
      <w:r w:rsidRPr="00CE4E4C">
        <w:rPr>
          <w:rFonts w:ascii="Times New Roman" w:hAnsi="Times New Roman"/>
          <w:sz w:val="18"/>
          <w:szCs w:val="18"/>
          <w:u w:val="none"/>
        </w:rPr>
        <w:t xml:space="preserve"> </w:t>
      </w:r>
      <w:r w:rsidRPr="00CE4E4C">
        <w:rPr>
          <w:rFonts w:ascii="Times New Roman" w:hAnsi="Times New Roman"/>
          <w:sz w:val="18"/>
          <w:szCs w:val="18"/>
          <w:u w:val="none"/>
        </w:rPr>
        <w:tab/>
      </w:r>
      <w:r w:rsidRPr="00CE4E4C">
        <w:rPr>
          <w:rFonts w:ascii="Times New Roman" w:hAnsi="Times New Roman"/>
          <w:iCs/>
          <w:sz w:val="18"/>
          <w:szCs w:val="18"/>
          <w:u w:val="none"/>
        </w:rPr>
        <w:t>Boschpoort Ondernemings (Pty) Ltd v ABSA Bank Ltd</w:t>
      </w:r>
      <w:r w:rsidRPr="00CE4E4C">
        <w:rPr>
          <w:rFonts w:ascii="Times New Roman" w:hAnsi="Times New Roman"/>
          <w:sz w:val="18"/>
          <w:szCs w:val="18"/>
          <w:u w:val="none"/>
        </w:rPr>
        <w:t> [2014] 1 All SA 507 (SCA) para 26.</w:t>
      </w:r>
    </w:p>
  </w:footnote>
  <w:footnote w:id="4">
    <w:p w:rsidR="00231E9F" w:rsidRDefault="00231E9F" w:rsidP="00231E9F">
      <w:pPr>
        <w:pStyle w:val="FootnoteText"/>
        <w:ind w:left="360" w:hanging="360"/>
        <w:rPr>
          <w:rFonts w:ascii="Times New Roman" w:hAnsi="Times New Roman"/>
          <w:sz w:val="18"/>
          <w:szCs w:val="18"/>
        </w:rPr>
      </w:pPr>
      <w:r w:rsidRPr="00CE4E4C">
        <w:rPr>
          <w:rStyle w:val="FootnoteReference"/>
          <w:rFonts w:ascii="Times New Roman" w:hAnsi="Times New Roman"/>
          <w:sz w:val="18"/>
          <w:szCs w:val="18"/>
          <w:u w:val="none"/>
        </w:rPr>
        <w:footnoteRef/>
      </w:r>
      <w:r w:rsidRPr="00CE4E4C">
        <w:rPr>
          <w:rFonts w:ascii="Times New Roman" w:hAnsi="Times New Roman"/>
          <w:sz w:val="18"/>
          <w:szCs w:val="18"/>
          <w:u w:val="none"/>
        </w:rPr>
        <w:t xml:space="preserve"> </w:t>
      </w:r>
      <w:r w:rsidRPr="00CE4E4C">
        <w:rPr>
          <w:rFonts w:ascii="Times New Roman" w:hAnsi="Times New Roman"/>
          <w:sz w:val="18"/>
          <w:szCs w:val="18"/>
          <w:u w:val="none"/>
        </w:rPr>
        <w:tab/>
      </w:r>
      <w:r w:rsidRPr="00CE4E4C">
        <w:rPr>
          <w:rFonts w:ascii="Times New Roman" w:hAnsi="Times New Roman"/>
          <w:iCs/>
          <w:sz w:val="18"/>
          <w:szCs w:val="18"/>
          <w:u w:val="none"/>
        </w:rPr>
        <w:t>Boschpoor</w:t>
      </w:r>
      <w:r w:rsidRPr="00CE4E4C">
        <w:rPr>
          <w:rFonts w:ascii="Times New Roman" w:hAnsi="Times New Roman"/>
          <w:i/>
          <w:iCs/>
          <w:sz w:val="18"/>
          <w:szCs w:val="18"/>
          <w:u w:val="none"/>
        </w:rPr>
        <w:t>t</w:t>
      </w:r>
      <w:r w:rsidRPr="00CE4E4C">
        <w:rPr>
          <w:rFonts w:ascii="Times New Roman" w:hAnsi="Times New Roman"/>
          <w:sz w:val="18"/>
          <w:szCs w:val="18"/>
          <w:u w:val="none"/>
        </w:rPr>
        <w:t xml:space="preserve"> at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80973"/>
      <w:docPartObj>
        <w:docPartGallery w:val="Page Numbers (Top of Page)"/>
        <w:docPartUnique/>
      </w:docPartObj>
    </w:sdtPr>
    <w:sdtEndPr>
      <w:rPr>
        <w:noProof/>
      </w:rPr>
    </w:sdtEndPr>
    <w:sdtContent>
      <w:p w:rsidR="00A54F26" w:rsidRDefault="00A54F26">
        <w:pPr>
          <w:pStyle w:val="Header"/>
          <w:jc w:val="center"/>
        </w:pPr>
        <w:r>
          <w:fldChar w:fldCharType="begin"/>
        </w:r>
        <w:r>
          <w:instrText xml:space="preserve"> PAGE   \* MERGEFORMAT </w:instrText>
        </w:r>
        <w:r>
          <w:fldChar w:fldCharType="separate"/>
        </w:r>
        <w:r w:rsidR="000A0EE2">
          <w:rPr>
            <w:noProof/>
          </w:rPr>
          <w:t>2</w:t>
        </w:r>
        <w:r>
          <w:rPr>
            <w:noProof/>
          </w:rPr>
          <w:fldChar w:fldCharType="end"/>
        </w:r>
      </w:p>
    </w:sdtContent>
  </w:sdt>
  <w:p w:rsidR="00A54F26" w:rsidRDefault="00A5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622"/>
    <w:multiLevelType w:val="hybridMultilevel"/>
    <w:tmpl w:val="A7060C9C"/>
    <w:lvl w:ilvl="0" w:tplc="1C090001">
      <w:start w:val="1"/>
      <w:numFmt w:val="bullet"/>
      <w:lvlText w:val=""/>
      <w:lvlJc w:val="left"/>
      <w:pPr>
        <w:ind w:left="3195" w:hanging="360"/>
      </w:pPr>
      <w:rPr>
        <w:rFonts w:ascii="Symbol" w:hAnsi="Symbol" w:hint="default"/>
      </w:rPr>
    </w:lvl>
    <w:lvl w:ilvl="1" w:tplc="1C090003" w:tentative="1">
      <w:start w:val="1"/>
      <w:numFmt w:val="bullet"/>
      <w:lvlText w:val="o"/>
      <w:lvlJc w:val="left"/>
      <w:pPr>
        <w:ind w:left="3915" w:hanging="360"/>
      </w:pPr>
      <w:rPr>
        <w:rFonts w:ascii="Courier New" w:hAnsi="Courier New" w:cs="Courier New" w:hint="default"/>
      </w:rPr>
    </w:lvl>
    <w:lvl w:ilvl="2" w:tplc="1C090005">
      <w:start w:val="1"/>
      <w:numFmt w:val="bullet"/>
      <w:lvlText w:val=""/>
      <w:lvlJc w:val="left"/>
      <w:pPr>
        <w:ind w:left="4635" w:hanging="360"/>
      </w:pPr>
      <w:rPr>
        <w:rFonts w:ascii="Wingdings" w:hAnsi="Wingdings" w:hint="default"/>
      </w:rPr>
    </w:lvl>
    <w:lvl w:ilvl="3" w:tplc="1C090001" w:tentative="1">
      <w:start w:val="1"/>
      <w:numFmt w:val="bullet"/>
      <w:lvlText w:val=""/>
      <w:lvlJc w:val="left"/>
      <w:pPr>
        <w:ind w:left="5355" w:hanging="360"/>
      </w:pPr>
      <w:rPr>
        <w:rFonts w:ascii="Symbol" w:hAnsi="Symbol" w:hint="default"/>
      </w:rPr>
    </w:lvl>
    <w:lvl w:ilvl="4" w:tplc="1C090003" w:tentative="1">
      <w:start w:val="1"/>
      <w:numFmt w:val="bullet"/>
      <w:lvlText w:val="o"/>
      <w:lvlJc w:val="left"/>
      <w:pPr>
        <w:ind w:left="6075" w:hanging="360"/>
      </w:pPr>
      <w:rPr>
        <w:rFonts w:ascii="Courier New" w:hAnsi="Courier New" w:cs="Courier New" w:hint="default"/>
      </w:rPr>
    </w:lvl>
    <w:lvl w:ilvl="5" w:tplc="1C090005" w:tentative="1">
      <w:start w:val="1"/>
      <w:numFmt w:val="bullet"/>
      <w:lvlText w:val=""/>
      <w:lvlJc w:val="left"/>
      <w:pPr>
        <w:ind w:left="6795" w:hanging="360"/>
      </w:pPr>
      <w:rPr>
        <w:rFonts w:ascii="Wingdings" w:hAnsi="Wingdings" w:hint="default"/>
      </w:rPr>
    </w:lvl>
    <w:lvl w:ilvl="6" w:tplc="1C090001" w:tentative="1">
      <w:start w:val="1"/>
      <w:numFmt w:val="bullet"/>
      <w:lvlText w:val=""/>
      <w:lvlJc w:val="left"/>
      <w:pPr>
        <w:ind w:left="7515" w:hanging="360"/>
      </w:pPr>
      <w:rPr>
        <w:rFonts w:ascii="Symbol" w:hAnsi="Symbol" w:hint="default"/>
      </w:rPr>
    </w:lvl>
    <w:lvl w:ilvl="7" w:tplc="1C090003" w:tentative="1">
      <w:start w:val="1"/>
      <w:numFmt w:val="bullet"/>
      <w:lvlText w:val="o"/>
      <w:lvlJc w:val="left"/>
      <w:pPr>
        <w:ind w:left="8235" w:hanging="360"/>
      </w:pPr>
      <w:rPr>
        <w:rFonts w:ascii="Courier New" w:hAnsi="Courier New" w:cs="Courier New" w:hint="default"/>
      </w:rPr>
    </w:lvl>
    <w:lvl w:ilvl="8" w:tplc="1C090005" w:tentative="1">
      <w:start w:val="1"/>
      <w:numFmt w:val="bullet"/>
      <w:lvlText w:val=""/>
      <w:lvlJc w:val="left"/>
      <w:pPr>
        <w:ind w:left="8955" w:hanging="360"/>
      </w:pPr>
      <w:rPr>
        <w:rFonts w:ascii="Wingdings" w:hAnsi="Wingdings" w:hint="default"/>
      </w:rPr>
    </w:lvl>
  </w:abstractNum>
  <w:abstractNum w:abstractNumId="1">
    <w:nsid w:val="03700744"/>
    <w:multiLevelType w:val="hybridMultilevel"/>
    <w:tmpl w:val="CCF2F6F2"/>
    <w:lvl w:ilvl="0" w:tplc="888CFF98">
      <w:start w:val="1"/>
      <w:numFmt w:val="decimal"/>
      <w:lvlText w:val="[%1]"/>
      <w:lvlJc w:val="left"/>
      <w:pPr>
        <w:ind w:left="1287" w:hanging="360"/>
      </w:pPr>
      <w:rPr>
        <w:rFonts w:cs="Times New Roman" w:hint="default"/>
        <w:b w:val="0"/>
        <w:i w:val="0"/>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051A69F5"/>
    <w:multiLevelType w:val="hybridMultilevel"/>
    <w:tmpl w:val="76F05F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3">
    <w:nsid w:val="0FC3549A"/>
    <w:multiLevelType w:val="hybridMultilevel"/>
    <w:tmpl w:val="4CA6EA92"/>
    <w:lvl w:ilvl="0" w:tplc="21E26300">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4">
    <w:nsid w:val="1355601C"/>
    <w:multiLevelType w:val="hybridMultilevel"/>
    <w:tmpl w:val="99061C78"/>
    <w:lvl w:ilvl="0" w:tplc="27929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6D1B82"/>
    <w:multiLevelType w:val="multilevel"/>
    <w:tmpl w:val="E3781324"/>
    <w:lvl w:ilvl="0">
      <w:start w:val="3"/>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nsid w:val="2FDE204B"/>
    <w:multiLevelType w:val="multilevel"/>
    <w:tmpl w:val="EC5292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8A5EA3"/>
    <w:multiLevelType w:val="hybridMultilevel"/>
    <w:tmpl w:val="6A98DB6A"/>
    <w:lvl w:ilvl="0" w:tplc="BF6AD650">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9">
    <w:nsid w:val="3B92192A"/>
    <w:multiLevelType w:val="hybridMultilevel"/>
    <w:tmpl w:val="A2BE0226"/>
    <w:lvl w:ilvl="0" w:tplc="AC4C7F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42FB476E"/>
    <w:multiLevelType w:val="hybridMultilevel"/>
    <w:tmpl w:val="80C2370E"/>
    <w:lvl w:ilvl="0" w:tplc="1C09000F">
      <w:start w:val="1"/>
      <w:numFmt w:val="decimal"/>
      <w:lvlText w:val="%1."/>
      <w:lvlJc w:val="left"/>
      <w:pPr>
        <w:ind w:left="2988" w:hanging="360"/>
      </w:pPr>
    </w:lvl>
    <w:lvl w:ilvl="1" w:tplc="1C09000F">
      <w:start w:val="1"/>
      <w:numFmt w:val="decimal"/>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1">
    <w:nsid w:val="43491C14"/>
    <w:multiLevelType w:val="hybridMultilevel"/>
    <w:tmpl w:val="720814E8"/>
    <w:lvl w:ilvl="0" w:tplc="90464D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48EE0ED2"/>
    <w:multiLevelType w:val="hybridMultilevel"/>
    <w:tmpl w:val="5C2EED60"/>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C7B42BD"/>
    <w:multiLevelType w:val="hybridMultilevel"/>
    <w:tmpl w:val="70C81838"/>
    <w:lvl w:ilvl="0" w:tplc="33DC106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4A61304"/>
    <w:multiLevelType w:val="multilevel"/>
    <w:tmpl w:val="AD6A4750"/>
    <w:lvl w:ilvl="0">
      <w:start w:val="1"/>
      <w:numFmt w:val="decimal"/>
      <w:lvlText w:val="%1"/>
      <w:lvlJc w:val="left"/>
      <w:pPr>
        <w:tabs>
          <w:tab w:val="num" w:pos="567"/>
        </w:tabs>
        <w:ind w:left="567" w:hanging="567"/>
      </w:pPr>
      <w:rPr>
        <w:rFonts w:ascii="Times New Roman" w:hAnsi="Times New Roman" w:cs="Times New Roman" w:hint="default"/>
        <w:b w:val="0"/>
        <w:bCs w:val="0"/>
        <w:color w:val="000000" w:themeColor="text1"/>
      </w:rPr>
    </w:lvl>
    <w:lvl w:ilvl="1">
      <w:start w:val="1"/>
      <w:numFmt w:val="decimal"/>
      <w:lvlText w:val="%1.%2"/>
      <w:lvlJc w:val="left"/>
      <w:pPr>
        <w:tabs>
          <w:tab w:val="num" w:pos="1361"/>
        </w:tabs>
        <w:ind w:left="1361" w:hanging="794"/>
      </w:pPr>
      <w:rPr>
        <w:rFonts w:hint="default"/>
        <w:b w:val="0"/>
      </w:rPr>
    </w:lvl>
    <w:lvl w:ilvl="2">
      <w:start w:val="1"/>
      <w:numFmt w:val="decimal"/>
      <w:lvlText w:val="%1.%2.%3"/>
      <w:lvlJc w:val="left"/>
      <w:pPr>
        <w:tabs>
          <w:tab w:val="num" w:pos="2381"/>
        </w:tabs>
        <w:ind w:left="2381" w:hanging="1020"/>
      </w:pPr>
      <w:rPr>
        <w:rFonts w:hint="default"/>
      </w:rPr>
    </w:lvl>
    <w:lvl w:ilvl="3">
      <w:start w:val="1"/>
      <w:numFmt w:val="decimal"/>
      <w:lvlText w:val="%1.%2.%3.%4"/>
      <w:lvlJc w:val="left"/>
      <w:pPr>
        <w:tabs>
          <w:tab w:val="num" w:pos="3572"/>
        </w:tabs>
        <w:ind w:left="3572" w:hanging="1191"/>
      </w:pPr>
      <w:rPr>
        <w:rFonts w:hint="default"/>
      </w:rPr>
    </w:lvl>
    <w:lvl w:ilvl="4">
      <w:start w:val="1"/>
      <w:numFmt w:val="decimal"/>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5">
    <w:nsid w:val="6C316BAE"/>
    <w:multiLevelType w:val="hybridMultilevel"/>
    <w:tmpl w:val="A8AC6250"/>
    <w:lvl w:ilvl="0" w:tplc="739CB57A">
      <w:start w:val="1"/>
      <w:numFmt w:val="lowerLetter"/>
      <w:lvlText w:val="(%1)"/>
      <w:lvlJc w:val="left"/>
      <w:pPr>
        <w:ind w:left="2010" w:hanging="39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6DF52499"/>
    <w:multiLevelType w:val="hybridMultilevel"/>
    <w:tmpl w:val="98ACADC8"/>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3B0C74"/>
    <w:multiLevelType w:val="hybridMultilevel"/>
    <w:tmpl w:val="15E2F1B0"/>
    <w:lvl w:ilvl="0" w:tplc="FEB27F76">
      <w:start w:val="1"/>
      <w:numFmt w:val="decimal"/>
      <w:lvlText w:val="[%1]"/>
      <w:lvlJc w:val="left"/>
      <w:pPr>
        <w:ind w:left="360" w:hanging="360"/>
      </w:pPr>
      <w:rPr>
        <w:rFonts w:cs="Times New Roman" w:hint="default"/>
        <w:i w:val="0"/>
        <w:color w:val="auto"/>
      </w:rPr>
    </w:lvl>
    <w:lvl w:ilvl="1" w:tplc="E21CDDA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15AFE"/>
    <w:multiLevelType w:val="multilevel"/>
    <w:tmpl w:val="EC5292E4"/>
    <w:lvl w:ilvl="0">
      <w:start w:val="1"/>
      <w:numFmt w:val="decimal"/>
      <w:lvlText w:val="%1."/>
      <w:lvlJc w:val="left"/>
      <w:pPr>
        <w:ind w:left="360" w:hanging="360"/>
      </w:pPr>
    </w:lvl>
    <w:lvl w:ilvl="1">
      <w:start w:val="1"/>
      <w:numFmt w:val="decimal"/>
      <w:lvlText w:val="%1.%2."/>
      <w:lvlJc w:val="left"/>
      <w:pPr>
        <w:ind w:left="241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7"/>
  </w:num>
  <w:num w:numId="4">
    <w:abstractNumId w:val="18"/>
  </w:num>
  <w:num w:numId="5">
    <w:abstractNumId w:val="0"/>
  </w:num>
  <w:num w:numId="6">
    <w:abstractNumId w:val="10"/>
  </w:num>
  <w:num w:numId="7">
    <w:abstractNumId w:val="2"/>
  </w:num>
  <w:num w:numId="8">
    <w:abstractNumId w:val="6"/>
  </w:num>
  <w:num w:numId="9">
    <w:abstractNumId w:val="16"/>
  </w:num>
  <w:num w:numId="10">
    <w:abstractNumId w:val="3"/>
  </w:num>
  <w:num w:numId="11">
    <w:abstractNumId w:val="12"/>
  </w:num>
  <w:num w:numId="12">
    <w:abstractNumId w:val="8"/>
  </w:num>
  <w:num w:numId="13">
    <w:abstractNumId w:val="1"/>
  </w:num>
  <w:num w:numId="14">
    <w:abstractNumId w:val="9"/>
  </w:num>
  <w:num w:numId="15">
    <w:abstractNumId w:val="11"/>
  </w:num>
  <w:num w:numId="16">
    <w:abstractNumId w:val="15"/>
  </w:num>
  <w:num w:numId="17">
    <w:abstractNumId w:val="14"/>
  </w:num>
  <w:num w:numId="18">
    <w:abstractNumId w:val="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302"/>
    <w:rsid w:val="00000FE5"/>
    <w:rsid w:val="0000344F"/>
    <w:rsid w:val="00004F65"/>
    <w:rsid w:val="00010C00"/>
    <w:rsid w:val="00012406"/>
    <w:rsid w:val="00013E20"/>
    <w:rsid w:val="00014B11"/>
    <w:rsid w:val="00014EC7"/>
    <w:rsid w:val="00021812"/>
    <w:rsid w:val="000255CC"/>
    <w:rsid w:val="00032FE7"/>
    <w:rsid w:val="00037E83"/>
    <w:rsid w:val="00040F3C"/>
    <w:rsid w:val="00041FC7"/>
    <w:rsid w:val="0004375D"/>
    <w:rsid w:val="00047B67"/>
    <w:rsid w:val="00052296"/>
    <w:rsid w:val="0005291E"/>
    <w:rsid w:val="00052973"/>
    <w:rsid w:val="00052D61"/>
    <w:rsid w:val="00052F10"/>
    <w:rsid w:val="00053534"/>
    <w:rsid w:val="000537F3"/>
    <w:rsid w:val="00055CD8"/>
    <w:rsid w:val="00057BC2"/>
    <w:rsid w:val="000612F5"/>
    <w:rsid w:val="00062888"/>
    <w:rsid w:val="000643BA"/>
    <w:rsid w:val="00065B47"/>
    <w:rsid w:val="0007237C"/>
    <w:rsid w:val="00072D01"/>
    <w:rsid w:val="00077462"/>
    <w:rsid w:val="00080621"/>
    <w:rsid w:val="00082DAB"/>
    <w:rsid w:val="00084232"/>
    <w:rsid w:val="000854E8"/>
    <w:rsid w:val="000909DF"/>
    <w:rsid w:val="00095039"/>
    <w:rsid w:val="00095934"/>
    <w:rsid w:val="00095D38"/>
    <w:rsid w:val="000A0EE2"/>
    <w:rsid w:val="000A124A"/>
    <w:rsid w:val="000A1427"/>
    <w:rsid w:val="000A1855"/>
    <w:rsid w:val="000A3641"/>
    <w:rsid w:val="000A4A12"/>
    <w:rsid w:val="000A5059"/>
    <w:rsid w:val="000A613E"/>
    <w:rsid w:val="000B0A73"/>
    <w:rsid w:val="000B0CA5"/>
    <w:rsid w:val="000B291A"/>
    <w:rsid w:val="000B370E"/>
    <w:rsid w:val="000B3AC7"/>
    <w:rsid w:val="000C0ADC"/>
    <w:rsid w:val="000C34BE"/>
    <w:rsid w:val="000C5CA7"/>
    <w:rsid w:val="000C6905"/>
    <w:rsid w:val="000C690A"/>
    <w:rsid w:val="000C6B8C"/>
    <w:rsid w:val="000D367A"/>
    <w:rsid w:val="000D5866"/>
    <w:rsid w:val="000D64B0"/>
    <w:rsid w:val="000D6A47"/>
    <w:rsid w:val="000E13B0"/>
    <w:rsid w:val="000E681E"/>
    <w:rsid w:val="000F1480"/>
    <w:rsid w:val="000F2671"/>
    <w:rsid w:val="00100A30"/>
    <w:rsid w:val="00105CB5"/>
    <w:rsid w:val="001061DD"/>
    <w:rsid w:val="00106C0E"/>
    <w:rsid w:val="001074D6"/>
    <w:rsid w:val="0011019A"/>
    <w:rsid w:val="0011098B"/>
    <w:rsid w:val="001127A7"/>
    <w:rsid w:val="001132B9"/>
    <w:rsid w:val="00116AA7"/>
    <w:rsid w:val="00122426"/>
    <w:rsid w:val="00124024"/>
    <w:rsid w:val="0012424E"/>
    <w:rsid w:val="00125367"/>
    <w:rsid w:val="00125451"/>
    <w:rsid w:val="00126D6C"/>
    <w:rsid w:val="00131EB4"/>
    <w:rsid w:val="00132F91"/>
    <w:rsid w:val="00133ACD"/>
    <w:rsid w:val="001345E7"/>
    <w:rsid w:val="00135550"/>
    <w:rsid w:val="00136B15"/>
    <w:rsid w:val="00136B2F"/>
    <w:rsid w:val="00140E14"/>
    <w:rsid w:val="00142D8E"/>
    <w:rsid w:val="00147AA3"/>
    <w:rsid w:val="00147D65"/>
    <w:rsid w:val="0015259D"/>
    <w:rsid w:val="00153DE4"/>
    <w:rsid w:val="0016537F"/>
    <w:rsid w:val="00177D10"/>
    <w:rsid w:val="00181391"/>
    <w:rsid w:val="001816D2"/>
    <w:rsid w:val="00181EAA"/>
    <w:rsid w:val="001824F7"/>
    <w:rsid w:val="00182D80"/>
    <w:rsid w:val="00187667"/>
    <w:rsid w:val="0019283F"/>
    <w:rsid w:val="00193571"/>
    <w:rsid w:val="00194B51"/>
    <w:rsid w:val="001A1BA4"/>
    <w:rsid w:val="001A492C"/>
    <w:rsid w:val="001A521F"/>
    <w:rsid w:val="001A5986"/>
    <w:rsid w:val="001B1BC7"/>
    <w:rsid w:val="001B2C0F"/>
    <w:rsid w:val="001C0343"/>
    <w:rsid w:val="001C13DA"/>
    <w:rsid w:val="001C2DA1"/>
    <w:rsid w:val="001C405F"/>
    <w:rsid w:val="001C45D9"/>
    <w:rsid w:val="001C5B52"/>
    <w:rsid w:val="001C633E"/>
    <w:rsid w:val="001C69F0"/>
    <w:rsid w:val="001D0235"/>
    <w:rsid w:val="001D0FAF"/>
    <w:rsid w:val="001D2EC5"/>
    <w:rsid w:val="001D3713"/>
    <w:rsid w:val="001D42B2"/>
    <w:rsid w:val="001D4636"/>
    <w:rsid w:val="001D4C92"/>
    <w:rsid w:val="001D5BE0"/>
    <w:rsid w:val="001E06DC"/>
    <w:rsid w:val="001E0DE4"/>
    <w:rsid w:val="001E22FD"/>
    <w:rsid w:val="001E2ED7"/>
    <w:rsid w:val="001E3A61"/>
    <w:rsid w:val="001E3C8B"/>
    <w:rsid w:val="001E4751"/>
    <w:rsid w:val="001E4A7B"/>
    <w:rsid w:val="001E5C67"/>
    <w:rsid w:val="001E6EE5"/>
    <w:rsid w:val="001E738F"/>
    <w:rsid w:val="001F5A2B"/>
    <w:rsid w:val="001F639B"/>
    <w:rsid w:val="001F662A"/>
    <w:rsid w:val="001F6A27"/>
    <w:rsid w:val="001F7056"/>
    <w:rsid w:val="001F731A"/>
    <w:rsid w:val="00212C2E"/>
    <w:rsid w:val="00213F6B"/>
    <w:rsid w:val="002151AC"/>
    <w:rsid w:val="002154CE"/>
    <w:rsid w:val="002173B2"/>
    <w:rsid w:val="00220735"/>
    <w:rsid w:val="00221D68"/>
    <w:rsid w:val="0022500D"/>
    <w:rsid w:val="00226E10"/>
    <w:rsid w:val="002301B2"/>
    <w:rsid w:val="00230B2D"/>
    <w:rsid w:val="00231E9F"/>
    <w:rsid w:val="00232F4A"/>
    <w:rsid w:val="0023306D"/>
    <w:rsid w:val="00236EDA"/>
    <w:rsid w:val="0024591F"/>
    <w:rsid w:val="0024694D"/>
    <w:rsid w:val="00251DCE"/>
    <w:rsid w:val="0025445C"/>
    <w:rsid w:val="00261E27"/>
    <w:rsid w:val="00264A57"/>
    <w:rsid w:val="00266249"/>
    <w:rsid w:val="002675D3"/>
    <w:rsid w:val="00267E59"/>
    <w:rsid w:val="002701E0"/>
    <w:rsid w:val="00272A12"/>
    <w:rsid w:val="00273E8F"/>
    <w:rsid w:val="00273EEB"/>
    <w:rsid w:val="002772C5"/>
    <w:rsid w:val="0027762C"/>
    <w:rsid w:val="00277A0E"/>
    <w:rsid w:val="00277B86"/>
    <w:rsid w:val="002807FF"/>
    <w:rsid w:val="00284BB7"/>
    <w:rsid w:val="002867A9"/>
    <w:rsid w:val="00292E1D"/>
    <w:rsid w:val="002953D1"/>
    <w:rsid w:val="00295A13"/>
    <w:rsid w:val="00295F34"/>
    <w:rsid w:val="00296734"/>
    <w:rsid w:val="00296D2E"/>
    <w:rsid w:val="002976F0"/>
    <w:rsid w:val="002A06EE"/>
    <w:rsid w:val="002A20BA"/>
    <w:rsid w:val="002A7274"/>
    <w:rsid w:val="002B0B99"/>
    <w:rsid w:val="002B4A13"/>
    <w:rsid w:val="002B799F"/>
    <w:rsid w:val="002B7BA9"/>
    <w:rsid w:val="002C33BF"/>
    <w:rsid w:val="002C61DF"/>
    <w:rsid w:val="002D25AA"/>
    <w:rsid w:val="002D342D"/>
    <w:rsid w:val="002D4045"/>
    <w:rsid w:val="002D6E87"/>
    <w:rsid w:val="002E3412"/>
    <w:rsid w:val="002E3A7E"/>
    <w:rsid w:val="002E72DB"/>
    <w:rsid w:val="002F4398"/>
    <w:rsid w:val="002F447F"/>
    <w:rsid w:val="002F5147"/>
    <w:rsid w:val="00304B7A"/>
    <w:rsid w:val="00304D35"/>
    <w:rsid w:val="00305105"/>
    <w:rsid w:val="00307629"/>
    <w:rsid w:val="00307716"/>
    <w:rsid w:val="0031134D"/>
    <w:rsid w:val="00313AB8"/>
    <w:rsid w:val="00321543"/>
    <w:rsid w:val="0033068F"/>
    <w:rsid w:val="00330B77"/>
    <w:rsid w:val="00330F64"/>
    <w:rsid w:val="003310E5"/>
    <w:rsid w:val="00331F67"/>
    <w:rsid w:val="00332D59"/>
    <w:rsid w:val="0033337E"/>
    <w:rsid w:val="00334912"/>
    <w:rsid w:val="003372F8"/>
    <w:rsid w:val="00341FA5"/>
    <w:rsid w:val="003453FD"/>
    <w:rsid w:val="00346410"/>
    <w:rsid w:val="00346C5F"/>
    <w:rsid w:val="00353093"/>
    <w:rsid w:val="00353FB9"/>
    <w:rsid w:val="003574AF"/>
    <w:rsid w:val="00361E4B"/>
    <w:rsid w:val="003627FC"/>
    <w:rsid w:val="00362E4A"/>
    <w:rsid w:val="003662D5"/>
    <w:rsid w:val="003667CA"/>
    <w:rsid w:val="00367B5B"/>
    <w:rsid w:val="003715EA"/>
    <w:rsid w:val="00371B79"/>
    <w:rsid w:val="00372047"/>
    <w:rsid w:val="00374EAD"/>
    <w:rsid w:val="003837F4"/>
    <w:rsid w:val="00383941"/>
    <w:rsid w:val="003861CF"/>
    <w:rsid w:val="00387183"/>
    <w:rsid w:val="00387591"/>
    <w:rsid w:val="00392DD2"/>
    <w:rsid w:val="00395101"/>
    <w:rsid w:val="003A3B9C"/>
    <w:rsid w:val="003A5F71"/>
    <w:rsid w:val="003B1A79"/>
    <w:rsid w:val="003B1B97"/>
    <w:rsid w:val="003B20DB"/>
    <w:rsid w:val="003B6017"/>
    <w:rsid w:val="003C275F"/>
    <w:rsid w:val="003C31D4"/>
    <w:rsid w:val="003C6CA8"/>
    <w:rsid w:val="003C77E5"/>
    <w:rsid w:val="003C7BBF"/>
    <w:rsid w:val="003D50B1"/>
    <w:rsid w:val="003D54FD"/>
    <w:rsid w:val="003D5899"/>
    <w:rsid w:val="003E2094"/>
    <w:rsid w:val="003E5394"/>
    <w:rsid w:val="003E5AA6"/>
    <w:rsid w:val="003E6A5B"/>
    <w:rsid w:val="003F11AA"/>
    <w:rsid w:val="003F20D1"/>
    <w:rsid w:val="003F35C1"/>
    <w:rsid w:val="003F7F12"/>
    <w:rsid w:val="00401168"/>
    <w:rsid w:val="00401C8C"/>
    <w:rsid w:val="004021A9"/>
    <w:rsid w:val="00402609"/>
    <w:rsid w:val="004148C8"/>
    <w:rsid w:val="00417F03"/>
    <w:rsid w:val="00421057"/>
    <w:rsid w:val="00422953"/>
    <w:rsid w:val="00423710"/>
    <w:rsid w:val="004300A3"/>
    <w:rsid w:val="0043066C"/>
    <w:rsid w:val="0043225F"/>
    <w:rsid w:val="004328D2"/>
    <w:rsid w:val="004339CB"/>
    <w:rsid w:val="00434E61"/>
    <w:rsid w:val="0043724E"/>
    <w:rsid w:val="0043725C"/>
    <w:rsid w:val="0044733A"/>
    <w:rsid w:val="00450952"/>
    <w:rsid w:val="00453E78"/>
    <w:rsid w:val="0045617C"/>
    <w:rsid w:val="00460F6B"/>
    <w:rsid w:val="0046139D"/>
    <w:rsid w:val="004643C2"/>
    <w:rsid w:val="004651AF"/>
    <w:rsid w:val="00467977"/>
    <w:rsid w:val="00470FB3"/>
    <w:rsid w:val="0047100D"/>
    <w:rsid w:val="0047167F"/>
    <w:rsid w:val="00471E6C"/>
    <w:rsid w:val="0048075A"/>
    <w:rsid w:val="00481188"/>
    <w:rsid w:val="00481206"/>
    <w:rsid w:val="00483891"/>
    <w:rsid w:val="0048512E"/>
    <w:rsid w:val="00493727"/>
    <w:rsid w:val="0049440D"/>
    <w:rsid w:val="004A02DC"/>
    <w:rsid w:val="004A3D79"/>
    <w:rsid w:val="004A53A5"/>
    <w:rsid w:val="004A5917"/>
    <w:rsid w:val="004B7248"/>
    <w:rsid w:val="004C1469"/>
    <w:rsid w:val="004C19DF"/>
    <w:rsid w:val="004C5AD1"/>
    <w:rsid w:val="004C6093"/>
    <w:rsid w:val="004D002B"/>
    <w:rsid w:val="004D0C44"/>
    <w:rsid w:val="004D1395"/>
    <w:rsid w:val="004D5E37"/>
    <w:rsid w:val="004E24B9"/>
    <w:rsid w:val="004E26BD"/>
    <w:rsid w:val="004E36B9"/>
    <w:rsid w:val="004E5573"/>
    <w:rsid w:val="004E5A13"/>
    <w:rsid w:val="004E5EE4"/>
    <w:rsid w:val="004E7116"/>
    <w:rsid w:val="004F3F18"/>
    <w:rsid w:val="004F4009"/>
    <w:rsid w:val="004F42EB"/>
    <w:rsid w:val="004F46CA"/>
    <w:rsid w:val="004F4A4D"/>
    <w:rsid w:val="0050361A"/>
    <w:rsid w:val="00503FC0"/>
    <w:rsid w:val="005068A7"/>
    <w:rsid w:val="0051048D"/>
    <w:rsid w:val="00510EDF"/>
    <w:rsid w:val="00513ADC"/>
    <w:rsid w:val="005150F5"/>
    <w:rsid w:val="0051516A"/>
    <w:rsid w:val="005155BC"/>
    <w:rsid w:val="00515C37"/>
    <w:rsid w:val="005175F2"/>
    <w:rsid w:val="005224BA"/>
    <w:rsid w:val="00522B82"/>
    <w:rsid w:val="005230AF"/>
    <w:rsid w:val="005235BF"/>
    <w:rsid w:val="00526254"/>
    <w:rsid w:val="00526E8A"/>
    <w:rsid w:val="005276B2"/>
    <w:rsid w:val="005309A7"/>
    <w:rsid w:val="005309FB"/>
    <w:rsid w:val="00531731"/>
    <w:rsid w:val="0053181A"/>
    <w:rsid w:val="005329A9"/>
    <w:rsid w:val="00535FBE"/>
    <w:rsid w:val="005360B4"/>
    <w:rsid w:val="005408ED"/>
    <w:rsid w:val="0054105C"/>
    <w:rsid w:val="00541244"/>
    <w:rsid w:val="00541291"/>
    <w:rsid w:val="00542156"/>
    <w:rsid w:val="00546A64"/>
    <w:rsid w:val="005529D3"/>
    <w:rsid w:val="00555F17"/>
    <w:rsid w:val="00557576"/>
    <w:rsid w:val="00557B2D"/>
    <w:rsid w:val="005601DE"/>
    <w:rsid w:val="005615D7"/>
    <w:rsid w:val="005630D4"/>
    <w:rsid w:val="00565A56"/>
    <w:rsid w:val="00565BF6"/>
    <w:rsid w:val="00574B67"/>
    <w:rsid w:val="00577207"/>
    <w:rsid w:val="00580DD1"/>
    <w:rsid w:val="0058346E"/>
    <w:rsid w:val="0059045C"/>
    <w:rsid w:val="005934E3"/>
    <w:rsid w:val="00597E6C"/>
    <w:rsid w:val="005A0EAD"/>
    <w:rsid w:val="005A62B4"/>
    <w:rsid w:val="005A64BD"/>
    <w:rsid w:val="005B2241"/>
    <w:rsid w:val="005B6963"/>
    <w:rsid w:val="005B7423"/>
    <w:rsid w:val="005B7EF7"/>
    <w:rsid w:val="005C318F"/>
    <w:rsid w:val="005C34AF"/>
    <w:rsid w:val="005C445A"/>
    <w:rsid w:val="005C4CB8"/>
    <w:rsid w:val="005D4718"/>
    <w:rsid w:val="005E3D31"/>
    <w:rsid w:val="005F0792"/>
    <w:rsid w:val="005F117A"/>
    <w:rsid w:val="005F1D17"/>
    <w:rsid w:val="005F66C9"/>
    <w:rsid w:val="00604E69"/>
    <w:rsid w:val="00606B47"/>
    <w:rsid w:val="00613D18"/>
    <w:rsid w:val="00614803"/>
    <w:rsid w:val="0061571A"/>
    <w:rsid w:val="006165BB"/>
    <w:rsid w:val="00617300"/>
    <w:rsid w:val="00622B15"/>
    <w:rsid w:val="006264E3"/>
    <w:rsid w:val="00630149"/>
    <w:rsid w:val="006336DC"/>
    <w:rsid w:val="006343FD"/>
    <w:rsid w:val="00634F22"/>
    <w:rsid w:val="00637AF2"/>
    <w:rsid w:val="006429BC"/>
    <w:rsid w:val="00643654"/>
    <w:rsid w:val="006530EB"/>
    <w:rsid w:val="0065431A"/>
    <w:rsid w:val="0065563E"/>
    <w:rsid w:val="006563BF"/>
    <w:rsid w:val="006639C2"/>
    <w:rsid w:val="00663E7F"/>
    <w:rsid w:val="006655EF"/>
    <w:rsid w:val="00666255"/>
    <w:rsid w:val="006667B8"/>
    <w:rsid w:val="0067096B"/>
    <w:rsid w:val="006709B2"/>
    <w:rsid w:val="00673631"/>
    <w:rsid w:val="00674A38"/>
    <w:rsid w:val="00680548"/>
    <w:rsid w:val="00680FF0"/>
    <w:rsid w:val="00683947"/>
    <w:rsid w:val="00685324"/>
    <w:rsid w:val="00694469"/>
    <w:rsid w:val="006A674D"/>
    <w:rsid w:val="006A7D0D"/>
    <w:rsid w:val="006B0E4E"/>
    <w:rsid w:val="006B1EB7"/>
    <w:rsid w:val="006B6C3C"/>
    <w:rsid w:val="006C0CA6"/>
    <w:rsid w:val="006C38B1"/>
    <w:rsid w:val="006C45D9"/>
    <w:rsid w:val="006D22B0"/>
    <w:rsid w:val="006D2DF7"/>
    <w:rsid w:val="006D4CB9"/>
    <w:rsid w:val="006E3F24"/>
    <w:rsid w:val="006E48D0"/>
    <w:rsid w:val="006E74A4"/>
    <w:rsid w:val="006F4743"/>
    <w:rsid w:val="00701836"/>
    <w:rsid w:val="00702348"/>
    <w:rsid w:val="00706595"/>
    <w:rsid w:val="007143C5"/>
    <w:rsid w:val="00715DC4"/>
    <w:rsid w:val="00717026"/>
    <w:rsid w:val="00717919"/>
    <w:rsid w:val="007213CE"/>
    <w:rsid w:val="007232D8"/>
    <w:rsid w:val="00727682"/>
    <w:rsid w:val="00727779"/>
    <w:rsid w:val="00735E39"/>
    <w:rsid w:val="0073729B"/>
    <w:rsid w:val="00737654"/>
    <w:rsid w:val="00740755"/>
    <w:rsid w:val="0074081F"/>
    <w:rsid w:val="00750EA0"/>
    <w:rsid w:val="00754688"/>
    <w:rsid w:val="007547DA"/>
    <w:rsid w:val="007610F3"/>
    <w:rsid w:val="00762AC7"/>
    <w:rsid w:val="00762B65"/>
    <w:rsid w:val="007652F3"/>
    <w:rsid w:val="00767716"/>
    <w:rsid w:val="00767807"/>
    <w:rsid w:val="00771896"/>
    <w:rsid w:val="00774892"/>
    <w:rsid w:val="00775D68"/>
    <w:rsid w:val="007769EF"/>
    <w:rsid w:val="00776EA8"/>
    <w:rsid w:val="007770D6"/>
    <w:rsid w:val="0078073D"/>
    <w:rsid w:val="00782310"/>
    <w:rsid w:val="00784264"/>
    <w:rsid w:val="00787CB6"/>
    <w:rsid w:val="00793590"/>
    <w:rsid w:val="00795F67"/>
    <w:rsid w:val="007960E4"/>
    <w:rsid w:val="00796593"/>
    <w:rsid w:val="007A13E7"/>
    <w:rsid w:val="007A1687"/>
    <w:rsid w:val="007A2542"/>
    <w:rsid w:val="007A70F2"/>
    <w:rsid w:val="007B07F5"/>
    <w:rsid w:val="007B1902"/>
    <w:rsid w:val="007B222E"/>
    <w:rsid w:val="007B5E81"/>
    <w:rsid w:val="007B601B"/>
    <w:rsid w:val="007B671F"/>
    <w:rsid w:val="007C20F4"/>
    <w:rsid w:val="007C3117"/>
    <w:rsid w:val="007C4DF3"/>
    <w:rsid w:val="007D3D14"/>
    <w:rsid w:val="007D6358"/>
    <w:rsid w:val="007D657D"/>
    <w:rsid w:val="007D75FE"/>
    <w:rsid w:val="007E1A41"/>
    <w:rsid w:val="007E1A54"/>
    <w:rsid w:val="007E2762"/>
    <w:rsid w:val="007E4339"/>
    <w:rsid w:val="007E5558"/>
    <w:rsid w:val="007F0074"/>
    <w:rsid w:val="007F0CED"/>
    <w:rsid w:val="007F10D6"/>
    <w:rsid w:val="007F32EE"/>
    <w:rsid w:val="007F47F2"/>
    <w:rsid w:val="007F74B7"/>
    <w:rsid w:val="00802072"/>
    <w:rsid w:val="00803181"/>
    <w:rsid w:val="008037EC"/>
    <w:rsid w:val="00805234"/>
    <w:rsid w:val="00805971"/>
    <w:rsid w:val="008060DD"/>
    <w:rsid w:val="00806491"/>
    <w:rsid w:val="00811263"/>
    <w:rsid w:val="00813612"/>
    <w:rsid w:val="008142D8"/>
    <w:rsid w:val="008155B2"/>
    <w:rsid w:val="008156A5"/>
    <w:rsid w:val="00816EFF"/>
    <w:rsid w:val="00817C0F"/>
    <w:rsid w:val="00822B86"/>
    <w:rsid w:val="0082339A"/>
    <w:rsid w:val="00826091"/>
    <w:rsid w:val="008268C9"/>
    <w:rsid w:val="00827B78"/>
    <w:rsid w:val="00831339"/>
    <w:rsid w:val="008360C6"/>
    <w:rsid w:val="0084067A"/>
    <w:rsid w:val="00842714"/>
    <w:rsid w:val="00842F8F"/>
    <w:rsid w:val="008467D9"/>
    <w:rsid w:val="008501FB"/>
    <w:rsid w:val="008512F2"/>
    <w:rsid w:val="008604C7"/>
    <w:rsid w:val="0086145C"/>
    <w:rsid w:val="008634EA"/>
    <w:rsid w:val="00863C58"/>
    <w:rsid w:val="008645DE"/>
    <w:rsid w:val="00864AE0"/>
    <w:rsid w:val="0087031E"/>
    <w:rsid w:val="008716C1"/>
    <w:rsid w:val="00871B23"/>
    <w:rsid w:val="00871E62"/>
    <w:rsid w:val="008728B6"/>
    <w:rsid w:val="008729D8"/>
    <w:rsid w:val="008731F6"/>
    <w:rsid w:val="00876495"/>
    <w:rsid w:val="0087717F"/>
    <w:rsid w:val="00880C9F"/>
    <w:rsid w:val="0088127A"/>
    <w:rsid w:val="008875A4"/>
    <w:rsid w:val="00892D0A"/>
    <w:rsid w:val="00897BA8"/>
    <w:rsid w:val="008A1085"/>
    <w:rsid w:val="008A13BD"/>
    <w:rsid w:val="008A309D"/>
    <w:rsid w:val="008A39F2"/>
    <w:rsid w:val="008A3FD6"/>
    <w:rsid w:val="008A435B"/>
    <w:rsid w:val="008A5459"/>
    <w:rsid w:val="008A73B2"/>
    <w:rsid w:val="008B0543"/>
    <w:rsid w:val="008B0B42"/>
    <w:rsid w:val="008B1854"/>
    <w:rsid w:val="008B3C9D"/>
    <w:rsid w:val="008B45B1"/>
    <w:rsid w:val="008B56BA"/>
    <w:rsid w:val="008B6A4B"/>
    <w:rsid w:val="008C0A76"/>
    <w:rsid w:val="008C5EAF"/>
    <w:rsid w:val="008D17AE"/>
    <w:rsid w:val="008D2311"/>
    <w:rsid w:val="008D332C"/>
    <w:rsid w:val="008D5DD8"/>
    <w:rsid w:val="008D658C"/>
    <w:rsid w:val="008E2028"/>
    <w:rsid w:val="008E3F62"/>
    <w:rsid w:val="008F7797"/>
    <w:rsid w:val="00900EA9"/>
    <w:rsid w:val="00903272"/>
    <w:rsid w:val="0090515A"/>
    <w:rsid w:val="00910DE6"/>
    <w:rsid w:val="00911423"/>
    <w:rsid w:val="00913DDB"/>
    <w:rsid w:val="009175F8"/>
    <w:rsid w:val="009204B1"/>
    <w:rsid w:val="009209E1"/>
    <w:rsid w:val="009253DD"/>
    <w:rsid w:val="00933157"/>
    <w:rsid w:val="0093663C"/>
    <w:rsid w:val="00940F74"/>
    <w:rsid w:val="00942C6D"/>
    <w:rsid w:val="009502A6"/>
    <w:rsid w:val="009559DA"/>
    <w:rsid w:val="00955D8E"/>
    <w:rsid w:val="00957B9B"/>
    <w:rsid w:val="00961C94"/>
    <w:rsid w:val="009627D3"/>
    <w:rsid w:val="0096554D"/>
    <w:rsid w:val="00966D5B"/>
    <w:rsid w:val="00972793"/>
    <w:rsid w:val="0097797E"/>
    <w:rsid w:val="00981B5C"/>
    <w:rsid w:val="00985363"/>
    <w:rsid w:val="0099035A"/>
    <w:rsid w:val="009904CD"/>
    <w:rsid w:val="0099075E"/>
    <w:rsid w:val="00991DEE"/>
    <w:rsid w:val="0099454D"/>
    <w:rsid w:val="00994559"/>
    <w:rsid w:val="009955FB"/>
    <w:rsid w:val="00995DB7"/>
    <w:rsid w:val="00996C9B"/>
    <w:rsid w:val="00997C55"/>
    <w:rsid w:val="009A177E"/>
    <w:rsid w:val="009A2D3E"/>
    <w:rsid w:val="009A54B0"/>
    <w:rsid w:val="009B7C4D"/>
    <w:rsid w:val="009C243F"/>
    <w:rsid w:val="009C59AB"/>
    <w:rsid w:val="009C68FF"/>
    <w:rsid w:val="009D1955"/>
    <w:rsid w:val="009D4A08"/>
    <w:rsid w:val="009D714E"/>
    <w:rsid w:val="009E02FA"/>
    <w:rsid w:val="009E17C4"/>
    <w:rsid w:val="009E43AE"/>
    <w:rsid w:val="009E7726"/>
    <w:rsid w:val="009F07B8"/>
    <w:rsid w:val="009F1F3D"/>
    <w:rsid w:val="009F25C1"/>
    <w:rsid w:val="009F3EFC"/>
    <w:rsid w:val="009F4489"/>
    <w:rsid w:val="009F46B1"/>
    <w:rsid w:val="00A02A8F"/>
    <w:rsid w:val="00A03511"/>
    <w:rsid w:val="00A04332"/>
    <w:rsid w:val="00A07515"/>
    <w:rsid w:val="00A15381"/>
    <w:rsid w:val="00A20C31"/>
    <w:rsid w:val="00A23A3A"/>
    <w:rsid w:val="00A2741C"/>
    <w:rsid w:val="00A308CD"/>
    <w:rsid w:val="00A33F0A"/>
    <w:rsid w:val="00A3697E"/>
    <w:rsid w:val="00A37E49"/>
    <w:rsid w:val="00A4393E"/>
    <w:rsid w:val="00A466BC"/>
    <w:rsid w:val="00A47C3E"/>
    <w:rsid w:val="00A50786"/>
    <w:rsid w:val="00A5094F"/>
    <w:rsid w:val="00A53264"/>
    <w:rsid w:val="00A54F26"/>
    <w:rsid w:val="00A617B8"/>
    <w:rsid w:val="00A625DE"/>
    <w:rsid w:val="00A6483E"/>
    <w:rsid w:val="00A65269"/>
    <w:rsid w:val="00A65750"/>
    <w:rsid w:val="00A65B96"/>
    <w:rsid w:val="00A67088"/>
    <w:rsid w:val="00A67A9E"/>
    <w:rsid w:val="00A73C01"/>
    <w:rsid w:val="00A74BB7"/>
    <w:rsid w:val="00A7552D"/>
    <w:rsid w:val="00A75E18"/>
    <w:rsid w:val="00A83B54"/>
    <w:rsid w:val="00A83FF6"/>
    <w:rsid w:val="00A850BB"/>
    <w:rsid w:val="00A941DD"/>
    <w:rsid w:val="00A97409"/>
    <w:rsid w:val="00A97C4A"/>
    <w:rsid w:val="00AA1A12"/>
    <w:rsid w:val="00AA1B9D"/>
    <w:rsid w:val="00AA3CB5"/>
    <w:rsid w:val="00AA41B0"/>
    <w:rsid w:val="00AA4292"/>
    <w:rsid w:val="00AA4E63"/>
    <w:rsid w:val="00AA624A"/>
    <w:rsid w:val="00AA7542"/>
    <w:rsid w:val="00AB160C"/>
    <w:rsid w:val="00AB64CE"/>
    <w:rsid w:val="00AC0890"/>
    <w:rsid w:val="00AC5A6C"/>
    <w:rsid w:val="00AD117D"/>
    <w:rsid w:val="00AD22EC"/>
    <w:rsid w:val="00AD34D4"/>
    <w:rsid w:val="00AD4120"/>
    <w:rsid w:val="00AD798C"/>
    <w:rsid w:val="00AD7CA5"/>
    <w:rsid w:val="00AE0757"/>
    <w:rsid w:val="00AE0A01"/>
    <w:rsid w:val="00AE134E"/>
    <w:rsid w:val="00AE1B96"/>
    <w:rsid w:val="00AE2F36"/>
    <w:rsid w:val="00AE4357"/>
    <w:rsid w:val="00AE760B"/>
    <w:rsid w:val="00AE7F9A"/>
    <w:rsid w:val="00AF18A0"/>
    <w:rsid w:val="00AF1B8A"/>
    <w:rsid w:val="00AF2FE9"/>
    <w:rsid w:val="00AF38DB"/>
    <w:rsid w:val="00AF6BC9"/>
    <w:rsid w:val="00B01163"/>
    <w:rsid w:val="00B03AEF"/>
    <w:rsid w:val="00B04800"/>
    <w:rsid w:val="00B12A0C"/>
    <w:rsid w:val="00B12D14"/>
    <w:rsid w:val="00B13281"/>
    <w:rsid w:val="00B13A40"/>
    <w:rsid w:val="00B140FC"/>
    <w:rsid w:val="00B206DA"/>
    <w:rsid w:val="00B24A98"/>
    <w:rsid w:val="00B262C5"/>
    <w:rsid w:val="00B3323E"/>
    <w:rsid w:val="00B34400"/>
    <w:rsid w:val="00B3457F"/>
    <w:rsid w:val="00B422FE"/>
    <w:rsid w:val="00B42833"/>
    <w:rsid w:val="00B4658A"/>
    <w:rsid w:val="00B50E77"/>
    <w:rsid w:val="00B520D5"/>
    <w:rsid w:val="00B53A9E"/>
    <w:rsid w:val="00B53C93"/>
    <w:rsid w:val="00B60EAA"/>
    <w:rsid w:val="00B615D6"/>
    <w:rsid w:val="00B636C2"/>
    <w:rsid w:val="00B638C8"/>
    <w:rsid w:val="00B64313"/>
    <w:rsid w:val="00B644D4"/>
    <w:rsid w:val="00B64A71"/>
    <w:rsid w:val="00B655A8"/>
    <w:rsid w:val="00B726DB"/>
    <w:rsid w:val="00B76CA9"/>
    <w:rsid w:val="00B828E8"/>
    <w:rsid w:val="00B82CF9"/>
    <w:rsid w:val="00B844A8"/>
    <w:rsid w:val="00B919F3"/>
    <w:rsid w:val="00B96098"/>
    <w:rsid w:val="00B9688C"/>
    <w:rsid w:val="00B96E75"/>
    <w:rsid w:val="00BA1ADB"/>
    <w:rsid w:val="00BA38BC"/>
    <w:rsid w:val="00BA5B93"/>
    <w:rsid w:val="00BA72F4"/>
    <w:rsid w:val="00BA7B3F"/>
    <w:rsid w:val="00BB0E6C"/>
    <w:rsid w:val="00BB316D"/>
    <w:rsid w:val="00BB7F07"/>
    <w:rsid w:val="00BD00E8"/>
    <w:rsid w:val="00BD0720"/>
    <w:rsid w:val="00BE2EC2"/>
    <w:rsid w:val="00BE3922"/>
    <w:rsid w:val="00BE6A48"/>
    <w:rsid w:val="00BE72ED"/>
    <w:rsid w:val="00BF3A7C"/>
    <w:rsid w:val="00BF511A"/>
    <w:rsid w:val="00BF65C4"/>
    <w:rsid w:val="00C0031D"/>
    <w:rsid w:val="00C02622"/>
    <w:rsid w:val="00C044B0"/>
    <w:rsid w:val="00C057B1"/>
    <w:rsid w:val="00C057E4"/>
    <w:rsid w:val="00C05E9F"/>
    <w:rsid w:val="00C0619C"/>
    <w:rsid w:val="00C064AB"/>
    <w:rsid w:val="00C07765"/>
    <w:rsid w:val="00C1077F"/>
    <w:rsid w:val="00C12449"/>
    <w:rsid w:val="00C12477"/>
    <w:rsid w:val="00C13F51"/>
    <w:rsid w:val="00C14708"/>
    <w:rsid w:val="00C151FD"/>
    <w:rsid w:val="00C342A7"/>
    <w:rsid w:val="00C42307"/>
    <w:rsid w:val="00C43149"/>
    <w:rsid w:val="00C44631"/>
    <w:rsid w:val="00C45058"/>
    <w:rsid w:val="00C4537C"/>
    <w:rsid w:val="00C461F0"/>
    <w:rsid w:val="00C503F8"/>
    <w:rsid w:val="00C51829"/>
    <w:rsid w:val="00C56554"/>
    <w:rsid w:val="00C56741"/>
    <w:rsid w:val="00C5768D"/>
    <w:rsid w:val="00C57996"/>
    <w:rsid w:val="00C60843"/>
    <w:rsid w:val="00C62859"/>
    <w:rsid w:val="00C656E7"/>
    <w:rsid w:val="00C71132"/>
    <w:rsid w:val="00C71E29"/>
    <w:rsid w:val="00C74443"/>
    <w:rsid w:val="00C77A34"/>
    <w:rsid w:val="00C81400"/>
    <w:rsid w:val="00C84BA1"/>
    <w:rsid w:val="00C97235"/>
    <w:rsid w:val="00CA5BAD"/>
    <w:rsid w:val="00CA66E3"/>
    <w:rsid w:val="00CA75CF"/>
    <w:rsid w:val="00CB04D7"/>
    <w:rsid w:val="00CB178D"/>
    <w:rsid w:val="00CB59EB"/>
    <w:rsid w:val="00CB5CF9"/>
    <w:rsid w:val="00CC0732"/>
    <w:rsid w:val="00CC2815"/>
    <w:rsid w:val="00CC77EE"/>
    <w:rsid w:val="00CD1593"/>
    <w:rsid w:val="00CD18C8"/>
    <w:rsid w:val="00CD22E3"/>
    <w:rsid w:val="00CD440D"/>
    <w:rsid w:val="00CD634C"/>
    <w:rsid w:val="00CD6C53"/>
    <w:rsid w:val="00CD6EF8"/>
    <w:rsid w:val="00CD76AC"/>
    <w:rsid w:val="00CE0FCA"/>
    <w:rsid w:val="00CE4E4C"/>
    <w:rsid w:val="00CF02F2"/>
    <w:rsid w:val="00CF6174"/>
    <w:rsid w:val="00D0004A"/>
    <w:rsid w:val="00D00912"/>
    <w:rsid w:val="00D01C34"/>
    <w:rsid w:val="00D05E9F"/>
    <w:rsid w:val="00D064BF"/>
    <w:rsid w:val="00D06697"/>
    <w:rsid w:val="00D07904"/>
    <w:rsid w:val="00D12B50"/>
    <w:rsid w:val="00D13241"/>
    <w:rsid w:val="00D15854"/>
    <w:rsid w:val="00D1666C"/>
    <w:rsid w:val="00D168FF"/>
    <w:rsid w:val="00D21C49"/>
    <w:rsid w:val="00D22A77"/>
    <w:rsid w:val="00D33684"/>
    <w:rsid w:val="00D3790A"/>
    <w:rsid w:val="00D4184D"/>
    <w:rsid w:val="00D440A3"/>
    <w:rsid w:val="00D46B52"/>
    <w:rsid w:val="00D51322"/>
    <w:rsid w:val="00D5661B"/>
    <w:rsid w:val="00D617CC"/>
    <w:rsid w:val="00D6596A"/>
    <w:rsid w:val="00D65C10"/>
    <w:rsid w:val="00D71D91"/>
    <w:rsid w:val="00D72425"/>
    <w:rsid w:val="00D7583B"/>
    <w:rsid w:val="00D75D18"/>
    <w:rsid w:val="00D776A1"/>
    <w:rsid w:val="00D80BDF"/>
    <w:rsid w:val="00D819D7"/>
    <w:rsid w:val="00D84C93"/>
    <w:rsid w:val="00D86480"/>
    <w:rsid w:val="00D9004B"/>
    <w:rsid w:val="00D9248E"/>
    <w:rsid w:val="00D92A99"/>
    <w:rsid w:val="00D93B34"/>
    <w:rsid w:val="00D94DA3"/>
    <w:rsid w:val="00D94DA9"/>
    <w:rsid w:val="00DA2470"/>
    <w:rsid w:val="00DA4E65"/>
    <w:rsid w:val="00DA564D"/>
    <w:rsid w:val="00DA63AC"/>
    <w:rsid w:val="00DB3C37"/>
    <w:rsid w:val="00DB3E9A"/>
    <w:rsid w:val="00DB5150"/>
    <w:rsid w:val="00DB5C46"/>
    <w:rsid w:val="00DB6302"/>
    <w:rsid w:val="00DC1C19"/>
    <w:rsid w:val="00DC2BC3"/>
    <w:rsid w:val="00DC3982"/>
    <w:rsid w:val="00DC5780"/>
    <w:rsid w:val="00DC66DD"/>
    <w:rsid w:val="00DC704C"/>
    <w:rsid w:val="00DD0659"/>
    <w:rsid w:val="00DD1C3B"/>
    <w:rsid w:val="00DD287D"/>
    <w:rsid w:val="00DD333A"/>
    <w:rsid w:val="00DD4061"/>
    <w:rsid w:val="00DD4DFB"/>
    <w:rsid w:val="00DE3015"/>
    <w:rsid w:val="00DE4CCC"/>
    <w:rsid w:val="00DE60AE"/>
    <w:rsid w:val="00DE6B09"/>
    <w:rsid w:val="00DF1D24"/>
    <w:rsid w:val="00E020A6"/>
    <w:rsid w:val="00E04110"/>
    <w:rsid w:val="00E056E8"/>
    <w:rsid w:val="00E07309"/>
    <w:rsid w:val="00E1114F"/>
    <w:rsid w:val="00E111FE"/>
    <w:rsid w:val="00E16418"/>
    <w:rsid w:val="00E164D1"/>
    <w:rsid w:val="00E24EE0"/>
    <w:rsid w:val="00E27E27"/>
    <w:rsid w:val="00E3095B"/>
    <w:rsid w:val="00E31DF4"/>
    <w:rsid w:val="00E32B78"/>
    <w:rsid w:val="00E34C43"/>
    <w:rsid w:val="00E42172"/>
    <w:rsid w:val="00E426E1"/>
    <w:rsid w:val="00E46C50"/>
    <w:rsid w:val="00E50390"/>
    <w:rsid w:val="00E51087"/>
    <w:rsid w:val="00E520D0"/>
    <w:rsid w:val="00E53722"/>
    <w:rsid w:val="00E54D1A"/>
    <w:rsid w:val="00E5743C"/>
    <w:rsid w:val="00E57E04"/>
    <w:rsid w:val="00E57F3C"/>
    <w:rsid w:val="00E73D09"/>
    <w:rsid w:val="00E777B7"/>
    <w:rsid w:val="00E82950"/>
    <w:rsid w:val="00E84628"/>
    <w:rsid w:val="00E862F3"/>
    <w:rsid w:val="00E90002"/>
    <w:rsid w:val="00E90121"/>
    <w:rsid w:val="00E926A9"/>
    <w:rsid w:val="00E93A42"/>
    <w:rsid w:val="00EA0D1D"/>
    <w:rsid w:val="00EA104B"/>
    <w:rsid w:val="00EA3922"/>
    <w:rsid w:val="00EA3C9E"/>
    <w:rsid w:val="00EA46B8"/>
    <w:rsid w:val="00EA5D93"/>
    <w:rsid w:val="00EA7836"/>
    <w:rsid w:val="00EB013F"/>
    <w:rsid w:val="00EB1483"/>
    <w:rsid w:val="00EB1D70"/>
    <w:rsid w:val="00EB1EF7"/>
    <w:rsid w:val="00EB2DC7"/>
    <w:rsid w:val="00EB658D"/>
    <w:rsid w:val="00EC033F"/>
    <w:rsid w:val="00EC11D5"/>
    <w:rsid w:val="00EC3445"/>
    <w:rsid w:val="00EC35AB"/>
    <w:rsid w:val="00EC423D"/>
    <w:rsid w:val="00EC5C00"/>
    <w:rsid w:val="00EC6D21"/>
    <w:rsid w:val="00ED3D78"/>
    <w:rsid w:val="00ED6920"/>
    <w:rsid w:val="00ED69A7"/>
    <w:rsid w:val="00ED7D0F"/>
    <w:rsid w:val="00EE2143"/>
    <w:rsid w:val="00EE6BFA"/>
    <w:rsid w:val="00EF1892"/>
    <w:rsid w:val="00F01ED9"/>
    <w:rsid w:val="00F022DF"/>
    <w:rsid w:val="00F0778D"/>
    <w:rsid w:val="00F13C8D"/>
    <w:rsid w:val="00F17154"/>
    <w:rsid w:val="00F20C47"/>
    <w:rsid w:val="00F27699"/>
    <w:rsid w:val="00F27FCD"/>
    <w:rsid w:val="00F3186E"/>
    <w:rsid w:val="00F3419B"/>
    <w:rsid w:val="00F348E3"/>
    <w:rsid w:val="00F37ECB"/>
    <w:rsid w:val="00F40B63"/>
    <w:rsid w:val="00F43516"/>
    <w:rsid w:val="00F45DA6"/>
    <w:rsid w:val="00F46515"/>
    <w:rsid w:val="00F51443"/>
    <w:rsid w:val="00F514B5"/>
    <w:rsid w:val="00F548E5"/>
    <w:rsid w:val="00F54D1D"/>
    <w:rsid w:val="00F55A67"/>
    <w:rsid w:val="00F57B63"/>
    <w:rsid w:val="00F57B9A"/>
    <w:rsid w:val="00F57FC0"/>
    <w:rsid w:val="00F60F01"/>
    <w:rsid w:val="00F62AF0"/>
    <w:rsid w:val="00F64BB2"/>
    <w:rsid w:val="00F72DEE"/>
    <w:rsid w:val="00F75929"/>
    <w:rsid w:val="00F76CBB"/>
    <w:rsid w:val="00F806F2"/>
    <w:rsid w:val="00F82740"/>
    <w:rsid w:val="00F92645"/>
    <w:rsid w:val="00F9743C"/>
    <w:rsid w:val="00F97664"/>
    <w:rsid w:val="00FA0022"/>
    <w:rsid w:val="00FA77FD"/>
    <w:rsid w:val="00FA7D81"/>
    <w:rsid w:val="00FB06A7"/>
    <w:rsid w:val="00FB06C2"/>
    <w:rsid w:val="00FB0D08"/>
    <w:rsid w:val="00FB5994"/>
    <w:rsid w:val="00FB7788"/>
    <w:rsid w:val="00FC02D1"/>
    <w:rsid w:val="00FC04EF"/>
    <w:rsid w:val="00FC1495"/>
    <w:rsid w:val="00FC1EFD"/>
    <w:rsid w:val="00FC2233"/>
    <w:rsid w:val="00FC2642"/>
    <w:rsid w:val="00FD0680"/>
    <w:rsid w:val="00FD2B91"/>
    <w:rsid w:val="00FD38F1"/>
    <w:rsid w:val="00FD3C75"/>
    <w:rsid w:val="00FD3E39"/>
    <w:rsid w:val="00FD5318"/>
    <w:rsid w:val="00FD7B2D"/>
    <w:rsid w:val="00FE3554"/>
    <w:rsid w:val="00FE59DE"/>
    <w:rsid w:val="00FF25F4"/>
    <w:rsid w:val="00FF5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010FE-089D-4B25-B832-3447F64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ZA" w:eastAsia="en-GB"/>
    </w:rPr>
  </w:style>
  <w:style w:type="paragraph" w:styleId="Heading1">
    <w:name w:val="heading 1"/>
    <w:basedOn w:val="Normal"/>
    <w:next w:val="Normal"/>
    <w:link w:val="Heading1Char"/>
    <w:qFormat/>
    <w:rsid w:val="00C057B1"/>
    <w:pPr>
      <w:keepNext/>
      <w:suppressAutoHyphens/>
      <w:spacing w:after="320" w:line="480" w:lineRule="auto"/>
      <w:jc w:val="both"/>
      <w:outlineLvl w:val="0"/>
    </w:pPr>
    <w:rPr>
      <w:rFonts w:cs="Times New Roman"/>
      <w:b/>
      <w:caps/>
      <w:snapToGrid w:val="0"/>
      <w:szCs w:val="20"/>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unhideWhenUsed/>
    <w:qFormat/>
    <w:rsid w:val="00510EDF"/>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510EDF"/>
    <w:rPr>
      <w:rFonts w:ascii="Arial" w:hAnsi="Arial" w:cs="Arial"/>
      <w:u w:val="single"/>
      <w:lang w:val="en-GB" w:eastAsia="en-GB"/>
    </w:rPr>
  </w:style>
  <w:style w:type="character" w:styleId="FootnoteReference">
    <w:name w:val="footnote reference"/>
    <w:basedOn w:val="DefaultParagraphFont"/>
    <w:uiPriority w:val="99"/>
    <w:semiHidden/>
    <w:unhideWhenUsed/>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 w:type="paragraph" w:customStyle="1" w:styleId="WLGLevel1">
    <w:name w:val="WLGLevel1"/>
    <w:basedOn w:val="Normal"/>
    <w:qFormat/>
    <w:rsid w:val="007F74B7"/>
    <w:pPr>
      <w:suppressAutoHyphens/>
      <w:spacing w:before="320" w:after="320" w:line="480" w:lineRule="auto"/>
      <w:jc w:val="both"/>
    </w:pPr>
    <w:rPr>
      <w:rFonts w:cs="Times New Roman"/>
      <w:snapToGrid w:val="0"/>
      <w:szCs w:val="20"/>
      <w:u w:val="none"/>
      <w:lang w:eastAsia="en-US"/>
    </w:rPr>
  </w:style>
  <w:style w:type="paragraph" w:customStyle="1" w:styleId="lrpara">
    <w:name w:val="lrpara"/>
    <w:basedOn w:val="Normal"/>
    <w:rsid w:val="00AA3CB5"/>
    <w:pPr>
      <w:spacing w:before="100" w:beforeAutospacing="1" w:after="100" w:afterAutospacing="1"/>
    </w:pPr>
    <w:rPr>
      <w:rFonts w:ascii="Times New Roman" w:hAnsi="Times New Roman" w:cs="Times New Roman"/>
      <w:u w:val="none"/>
      <w:lang w:eastAsia="en-ZA"/>
    </w:rPr>
  </w:style>
  <w:style w:type="character" w:customStyle="1" w:styleId="Heading1Char">
    <w:name w:val="Heading 1 Char"/>
    <w:basedOn w:val="DefaultParagraphFont"/>
    <w:link w:val="Heading1"/>
    <w:rsid w:val="00C057B1"/>
    <w:rPr>
      <w:rFonts w:ascii="Arial" w:hAnsi="Arial"/>
      <w:b/>
      <w:caps/>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3220">
      <w:bodyDiv w:val="1"/>
      <w:marLeft w:val="0"/>
      <w:marRight w:val="0"/>
      <w:marTop w:val="0"/>
      <w:marBottom w:val="0"/>
      <w:divBdr>
        <w:top w:val="none" w:sz="0" w:space="0" w:color="auto"/>
        <w:left w:val="none" w:sz="0" w:space="0" w:color="auto"/>
        <w:bottom w:val="none" w:sz="0" w:space="0" w:color="auto"/>
        <w:right w:val="none" w:sz="0" w:space="0" w:color="auto"/>
      </w:divBdr>
    </w:div>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657270336">
      <w:bodyDiv w:val="1"/>
      <w:marLeft w:val="0"/>
      <w:marRight w:val="0"/>
      <w:marTop w:val="0"/>
      <w:marBottom w:val="0"/>
      <w:divBdr>
        <w:top w:val="none" w:sz="0" w:space="0" w:color="auto"/>
        <w:left w:val="none" w:sz="0" w:space="0" w:color="auto"/>
        <w:bottom w:val="none" w:sz="0" w:space="0" w:color="auto"/>
        <w:right w:val="none" w:sz="0" w:space="0" w:color="auto"/>
      </w:divBdr>
    </w:div>
    <w:div w:id="754664393">
      <w:bodyDiv w:val="1"/>
      <w:marLeft w:val="0"/>
      <w:marRight w:val="0"/>
      <w:marTop w:val="0"/>
      <w:marBottom w:val="0"/>
      <w:divBdr>
        <w:top w:val="none" w:sz="0" w:space="0" w:color="auto"/>
        <w:left w:val="none" w:sz="0" w:space="0" w:color="auto"/>
        <w:bottom w:val="none" w:sz="0" w:space="0" w:color="auto"/>
        <w:right w:val="none" w:sz="0" w:space="0" w:color="auto"/>
      </w:divBdr>
    </w:div>
    <w:div w:id="1569532408">
      <w:bodyDiv w:val="1"/>
      <w:marLeft w:val="0"/>
      <w:marRight w:val="0"/>
      <w:marTop w:val="0"/>
      <w:marBottom w:val="0"/>
      <w:divBdr>
        <w:top w:val="none" w:sz="0" w:space="0" w:color="auto"/>
        <w:left w:val="none" w:sz="0" w:space="0" w:color="auto"/>
        <w:bottom w:val="none" w:sz="0" w:space="0" w:color="auto"/>
        <w:right w:val="none" w:sz="0" w:space="0" w:color="auto"/>
      </w:divBdr>
    </w:div>
    <w:div w:id="1665431537">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 w:id="2056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9FBD7-07F2-4812-8FE7-FF296BB5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2</cp:revision>
  <cp:lastPrinted>2015-09-18T10:46:00Z</cp:lastPrinted>
  <dcterms:created xsi:type="dcterms:W3CDTF">2023-03-14T12:47:00Z</dcterms:created>
  <dcterms:modified xsi:type="dcterms:W3CDTF">2023-03-14T12:47:00Z</dcterms:modified>
</cp:coreProperties>
</file>