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1F2D" w14:textId="77777777" w:rsidR="00B50E11" w:rsidRDefault="00B50E11" w:rsidP="00B50E11">
      <w:pPr>
        <w:pStyle w:val="Body"/>
        <w:jc w:val="center"/>
      </w:pPr>
      <w:bookmarkStart w:id="0" w:name="_GoBack"/>
      <w:r>
        <w:rPr>
          <w:noProof/>
        </w:rPr>
        <w:drawing>
          <wp:anchor distT="0" distB="0" distL="114300" distR="114300" simplePos="0" relativeHeight="251658240" behindDoc="0" locked="0" layoutInCell="1" allowOverlap="1" wp14:anchorId="6B5B6C71" wp14:editId="6F5E8D40">
            <wp:simplePos x="0" y="0"/>
            <wp:positionH relativeFrom="column">
              <wp:posOffset>2135732</wp:posOffset>
            </wp:positionH>
            <wp:positionV relativeFrom="paragraph">
              <wp:posOffset>-340397</wp:posOffset>
            </wp:positionV>
            <wp:extent cx="1495425" cy="1495425"/>
            <wp:effectExtent l="0" t="0" r="3175" b="3175"/>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95425" cy="14954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8A18083" w14:textId="77777777" w:rsidR="00EB3FC3" w:rsidRDefault="00EB3FC3" w:rsidP="008E6813">
      <w:pPr>
        <w:pStyle w:val="Body"/>
        <w:spacing w:line="360" w:lineRule="auto"/>
        <w:jc w:val="center"/>
        <w:outlineLvl w:val="0"/>
        <w:rPr>
          <w:rFonts w:cs="Arial"/>
          <w:b/>
          <w:bCs/>
          <w:sz w:val="24"/>
          <w:szCs w:val="24"/>
          <w:u w:val="single"/>
        </w:rPr>
      </w:pPr>
    </w:p>
    <w:p w14:paraId="1D3F7CB1" w14:textId="77777777" w:rsidR="00EB3FC3" w:rsidRDefault="00EB3FC3" w:rsidP="008E6813">
      <w:pPr>
        <w:pStyle w:val="Body"/>
        <w:spacing w:line="360" w:lineRule="auto"/>
        <w:jc w:val="center"/>
        <w:outlineLvl w:val="0"/>
        <w:rPr>
          <w:rFonts w:cs="Arial"/>
          <w:b/>
          <w:bCs/>
          <w:sz w:val="24"/>
          <w:szCs w:val="24"/>
          <w:u w:val="single"/>
        </w:rPr>
      </w:pPr>
    </w:p>
    <w:p w14:paraId="5C62976F" w14:textId="195DB914" w:rsidR="00EB3FC3" w:rsidRDefault="00EB3FC3" w:rsidP="008E6813">
      <w:pPr>
        <w:pStyle w:val="Body"/>
        <w:spacing w:line="360" w:lineRule="auto"/>
        <w:jc w:val="center"/>
        <w:outlineLvl w:val="0"/>
        <w:rPr>
          <w:rFonts w:cs="Arial"/>
          <w:b/>
          <w:bCs/>
          <w:sz w:val="24"/>
          <w:szCs w:val="24"/>
          <w:u w:val="single"/>
        </w:rPr>
      </w:pPr>
    </w:p>
    <w:p w14:paraId="3B91EC3D" w14:textId="77777777" w:rsidR="00EB3FC3" w:rsidRDefault="00EB3FC3" w:rsidP="008E6813">
      <w:pPr>
        <w:pStyle w:val="Body"/>
        <w:spacing w:line="360" w:lineRule="auto"/>
        <w:jc w:val="center"/>
        <w:outlineLvl w:val="0"/>
        <w:rPr>
          <w:rFonts w:cs="Arial"/>
          <w:b/>
          <w:bCs/>
          <w:sz w:val="24"/>
          <w:szCs w:val="24"/>
          <w:u w:val="single"/>
        </w:rPr>
      </w:pPr>
    </w:p>
    <w:p w14:paraId="1D01E514" w14:textId="5B335C23"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6820ADEF" w:rsidR="00C519B2" w:rsidRDefault="00B50E11" w:rsidP="008E6813">
      <w:pPr>
        <w:pStyle w:val="Body"/>
        <w:spacing w:line="360" w:lineRule="auto"/>
        <w:jc w:val="center"/>
        <w:rPr>
          <w:rFonts w:cs="Arial"/>
          <w:b/>
          <w:bCs/>
          <w:sz w:val="24"/>
          <w:szCs w:val="24"/>
          <w:u w:val="single"/>
          <w:lang w:val="de-DE"/>
        </w:rPr>
      </w:pPr>
      <w:r w:rsidRPr="0031449E">
        <w:rPr>
          <w:rFonts w:cs="Arial"/>
          <w:b/>
          <w:bCs/>
          <w:sz w:val="24"/>
          <w:szCs w:val="24"/>
          <w:u w:val="single"/>
          <w:lang w:val="de-DE"/>
        </w:rPr>
        <w:t>(GAUTENG DIVISION, PRETORIA)</w:t>
      </w:r>
    </w:p>
    <w:p w14:paraId="48BD987E" w14:textId="77777777" w:rsidR="00EB3FC3" w:rsidRPr="008E6813" w:rsidRDefault="00EB3FC3" w:rsidP="008E6813">
      <w:pPr>
        <w:pStyle w:val="Body"/>
        <w:spacing w:line="360" w:lineRule="auto"/>
        <w:jc w:val="center"/>
        <w:rPr>
          <w:rFonts w:cs="Arial"/>
          <w:b/>
          <w:bCs/>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EB3FC3">
        <w:trPr>
          <w:trHeight w:val="1841"/>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8A7718">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8A7718">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8A7718">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8A7718">
              <w:rPr>
                <w:rFonts w:ascii="Arial Unicode MS" w:eastAsia="Arial Unicode MS" w:hAnsi="Arial Unicode MS" w:cs="Arial Unicode MS"/>
                <w:b/>
                <w:bCs/>
                <w:sz w:val="16"/>
                <w:szCs w:val="16"/>
              </w:rPr>
              <w:t>NO</w:t>
            </w:r>
          </w:p>
          <w:p w14:paraId="15F66332" w14:textId="4D5C662F"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r w:rsidR="008A7718">
              <w:rPr>
                <w:rFonts w:ascii="Arial Unicode MS" w:eastAsia="Arial Unicode MS" w:hAnsi="Arial Unicode MS" w:cs="Arial Unicode MS"/>
                <w:sz w:val="16"/>
                <w:szCs w:val="16"/>
              </w:rPr>
              <w:t xml:space="preserve"> </w:t>
            </w:r>
            <w:r w:rsidR="008A7718" w:rsidRPr="008A7718">
              <w:rPr>
                <w:rFonts w:ascii="Arial Unicode MS" w:eastAsia="Arial Unicode MS" w:hAnsi="Arial Unicode MS" w:cs="Arial Unicode MS"/>
                <w:b/>
                <w:bCs/>
                <w:sz w:val="16"/>
                <w:szCs w:val="16"/>
              </w:rPr>
              <w:t>NO</w:t>
            </w:r>
          </w:p>
          <w:p w14:paraId="284842F1" w14:textId="79162CD2"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174ABA" w:rsidRPr="00174ABA">
              <w:rPr>
                <w:rFonts w:ascii="Arial Unicode MS" w:eastAsia="Arial Unicode MS" w:hAnsi="Arial Unicode MS" w:cs="Arial Unicode MS"/>
                <w:b/>
                <w:bCs/>
                <w:sz w:val="16"/>
                <w:szCs w:val="16"/>
              </w:rPr>
              <w:t>2</w:t>
            </w:r>
            <w:r w:rsidR="005265A5">
              <w:rPr>
                <w:rFonts w:ascii="Arial Unicode MS" w:eastAsia="Arial Unicode MS" w:hAnsi="Arial Unicode MS" w:cs="Arial Unicode MS"/>
                <w:b/>
                <w:bCs/>
                <w:sz w:val="16"/>
                <w:szCs w:val="16"/>
              </w:rPr>
              <w:t xml:space="preserve">3 </w:t>
            </w:r>
            <w:r w:rsidR="00174ABA" w:rsidRPr="00174ABA">
              <w:rPr>
                <w:rFonts w:ascii="Arial Unicode MS" w:eastAsia="Arial Unicode MS" w:hAnsi="Arial Unicode MS" w:cs="Arial Unicode MS"/>
                <w:b/>
                <w:bCs/>
                <w:sz w:val="16"/>
                <w:szCs w:val="16"/>
              </w:rPr>
              <w:t>November 2023</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458C2AC1" w:rsidR="00B50E11" w:rsidRPr="0031449E" w:rsidRDefault="00B50E11" w:rsidP="008E6813">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C74CAA">
        <w:rPr>
          <w:rFonts w:cs="Arial"/>
          <w:b/>
          <w:bCs/>
          <w:sz w:val="24"/>
          <w:szCs w:val="24"/>
        </w:rPr>
        <w:t>41826/21</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922"/>
        <w:gridCol w:w="47"/>
      </w:tblGrid>
      <w:tr w:rsidR="00B50E11" w:rsidRPr="0031449E" w14:paraId="22698168" w14:textId="77777777" w:rsidTr="00C74CAA">
        <w:trPr>
          <w:gridAfter w:val="1"/>
          <w:wAfter w:w="47" w:type="dxa"/>
        </w:trPr>
        <w:tc>
          <w:tcPr>
            <w:tcW w:w="4725" w:type="dxa"/>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922"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C74CAA">
        <w:trPr>
          <w:gridAfter w:val="1"/>
          <w:wAfter w:w="47" w:type="dxa"/>
          <w:trHeight w:val="1045"/>
        </w:trPr>
        <w:tc>
          <w:tcPr>
            <w:tcW w:w="4725" w:type="dxa"/>
          </w:tcPr>
          <w:p w14:paraId="2456782D" w14:textId="77777777" w:rsidR="00B50E11" w:rsidRDefault="00B50E11" w:rsidP="001E196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74230B95" w:rsidR="007F7FED" w:rsidRPr="00DE38E6" w:rsidRDefault="00C74CAA" w:rsidP="001E196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DE38E6">
              <w:rPr>
                <w:rFonts w:cs="Arial"/>
                <w:b/>
                <w:bCs/>
                <w:sz w:val="24"/>
                <w:szCs w:val="24"/>
              </w:rPr>
              <w:t>THE STANDARD BANK OF SOUTH AFRICA</w:t>
            </w:r>
            <w:r w:rsidR="00DE38E6" w:rsidRPr="00DE38E6">
              <w:rPr>
                <w:rFonts w:cs="Arial"/>
                <w:b/>
                <w:bCs/>
                <w:sz w:val="24"/>
                <w:szCs w:val="24"/>
              </w:rPr>
              <w:t xml:space="preserve"> LIMITED</w:t>
            </w:r>
          </w:p>
        </w:tc>
        <w:tc>
          <w:tcPr>
            <w:tcW w:w="4922"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2A23056F" w:rsidR="00B50E11" w:rsidRPr="00DE38E6"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sidRPr="00DE38E6">
              <w:rPr>
                <w:rFonts w:cs="Arial"/>
                <w:bCs/>
                <w:sz w:val="24"/>
                <w:szCs w:val="24"/>
              </w:rPr>
              <w:t>APPLICANT</w:t>
            </w:r>
            <w:r w:rsidR="00C74CAA" w:rsidRPr="00DE38E6">
              <w:rPr>
                <w:rFonts w:cs="Arial"/>
                <w:bCs/>
                <w:sz w:val="24"/>
                <w:szCs w:val="24"/>
              </w:rPr>
              <w:t>/PLAINTIFF</w:t>
            </w:r>
          </w:p>
        </w:tc>
      </w:tr>
      <w:tr w:rsidR="00B50E11" w:rsidRPr="0031449E" w14:paraId="2DE3831D" w14:textId="77777777" w:rsidTr="00C74CAA">
        <w:trPr>
          <w:gridAfter w:val="1"/>
          <w:wAfter w:w="47" w:type="dxa"/>
        </w:trPr>
        <w:tc>
          <w:tcPr>
            <w:tcW w:w="4725" w:type="dxa"/>
          </w:tcPr>
          <w:p w14:paraId="06AA6B3B" w14:textId="7CD9CC68" w:rsidR="00B50E11" w:rsidRPr="00F43C52" w:rsidRDefault="00B50E11" w:rsidP="001E1962">
            <w:pPr>
              <w:pStyle w:val="Body"/>
              <w:spacing w:line="360" w:lineRule="auto"/>
              <w:rPr>
                <w:rFonts w:cs="Arial"/>
                <w:b/>
                <w:sz w:val="24"/>
                <w:szCs w:val="24"/>
              </w:rPr>
            </w:pPr>
          </w:p>
          <w:p w14:paraId="52E06D21" w14:textId="65F278A7" w:rsidR="00B50E11" w:rsidRPr="0031449E" w:rsidRDefault="00416EA1" w:rsidP="001E1962">
            <w:pPr>
              <w:pStyle w:val="Body"/>
              <w:spacing w:line="360" w:lineRule="auto"/>
              <w:rPr>
                <w:rFonts w:eastAsia="Tahoma" w:cs="Arial"/>
                <w:sz w:val="24"/>
                <w:szCs w:val="24"/>
              </w:rPr>
            </w:pPr>
            <w:r w:rsidRPr="0031449E">
              <w:rPr>
                <w:rFonts w:cs="Arial"/>
                <w:sz w:val="24"/>
                <w:szCs w:val="24"/>
              </w:rPr>
              <w:t>A</w:t>
            </w:r>
            <w:r w:rsidR="00B50E11" w:rsidRPr="0031449E">
              <w:rPr>
                <w:rFonts w:cs="Arial"/>
                <w:sz w:val="24"/>
                <w:szCs w:val="24"/>
              </w:rPr>
              <w:t>nd</w:t>
            </w:r>
          </w:p>
        </w:tc>
        <w:tc>
          <w:tcPr>
            <w:tcW w:w="4922"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C74CAA">
        <w:trPr>
          <w:gridAfter w:val="1"/>
          <w:wAfter w:w="47" w:type="dxa"/>
        </w:trPr>
        <w:tc>
          <w:tcPr>
            <w:tcW w:w="4725" w:type="dxa"/>
          </w:tcPr>
          <w:p w14:paraId="0C29CDE0" w14:textId="77777777" w:rsidR="00B50E11" w:rsidRDefault="00B50E11" w:rsidP="001E196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lang w:val="de-DE"/>
              </w:rPr>
            </w:pPr>
          </w:p>
          <w:p w14:paraId="480DF639" w14:textId="05769C5B" w:rsidR="001F07DD" w:rsidRDefault="00C74CAA" w:rsidP="001E196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rPr>
                <w:rFonts w:cs="Arial"/>
                <w:b/>
                <w:bCs/>
                <w:sz w:val="24"/>
                <w:szCs w:val="24"/>
                <w:lang w:val="de-DE"/>
              </w:rPr>
            </w:pPr>
            <w:r>
              <w:rPr>
                <w:rFonts w:cs="Arial"/>
                <w:b/>
                <w:bCs/>
                <w:sz w:val="24"/>
                <w:szCs w:val="24"/>
                <w:lang w:val="de-DE"/>
              </w:rPr>
              <w:t>BARNARD, CHRISTELLE</w:t>
            </w:r>
          </w:p>
          <w:p w14:paraId="3ACBB1CA" w14:textId="05144C07" w:rsidR="00B50E11" w:rsidRPr="00DA7A8D" w:rsidRDefault="00B50E11" w:rsidP="001E196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rPr>
                <w:rFonts w:cs="Arial"/>
                <w:b/>
                <w:bCs/>
                <w:sz w:val="24"/>
                <w:szCs w:val="24"/>
                <w:lang w:val="de-DE"/>
              </w:rPr>
            </w:pPr>
          </w:p>
        </w:tc>
        <w:tc>
          <w:tcPr>
            <w:tcW w:w="4922"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369C8CDF" w:rsidR="00B50E11" w:rsidRPr="00DE38E6"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Cs/>
                <w:sz w:val="24"/>
                <w:szCs w:val="24"/>
              </w:rPr>
            </w:pPr>
            <w:r>
              <w:rPr>
                <w:rFonts w:cs="Arial"/>
                <w:b/>
                <w:sz w:val="24"/>
                <w:szCs w:val="24"/>
              </w:rPr>
              <w:t xml:space="preserve"> </w:t>
            </w:r>
            <w:r w:rsidR="000218AC" w:rsidRPr="00DE38E6">
              <w:rPr>
                <w:rFonts w:cs="Arial"/>
                <w:bCs/>
                <w:sz w:val="24"/>
                <w:szCs w:val="24"/>
              </w:rPr>
              <w:t>RESPONDENT</w:t>
            </w:r>
            <w:r w:rsidR="00C74CAA" w:rsidRPr="00DE38E6">
              <w:rPr>
                <w:rFonts w:cs="Arial"/>
                <w:bCs/>
                <w:sz w:val="24"/>
                <w:szCs w:val="24"/>
              </w:rPr>
              <w:t>/DEFENDANT</w:t>
            </w:r>
          </w:p>
        </w:tc>
      </w:tr>
      <w:tr w:rsidR="001D7244" w:rsidRPr="00217B1F" w14:paraId="0BE69F19" w14:textId="77777777" w:rsidTr="00C74CAA">
        <w:trPr>
          <w:trHeight w:val="1045"/>
        </w:trPr>
        <w:tc>
          <w:tcPr>
            <w:tcW w:w="9694" w:type="dxa"/>
            <w:gridSpan w:val="3"/>
          </w:tcPr>
          <w:p w14:paraId="0CA1B4FB" w14:textId="0FEC6BF8" w:rsidR="001D7244" w:rsidRPr="00217B1F" w:rsidRDefault="00364832"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FA2702">
              <w:tc>
                <w:tcPr>
                  <w:tcW w:w="1734" w:type="dxa"/>
                </w:tcPr>
                <w:p w14:paraId="32A8A6B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Coram:</w:t>
                  </w:r>
                  <w:r w:rsidRPr="00364832">
                    <w:rPr>
                      <w:rFonts w:ascii="Times" w:eastAsia="Times New Roman" w:hAnsi="Times" w:cs="Arial"/>
                      <w:i/>
                      <w:iCs/>
                      <w:sz w:val="24"/>
                      <w:szCs w:val="24"/>
                      <w:lang w:val="en-ZA"/>
                    </w:rPr>
                    <w:t>          </w:t>
                  </w:r>
                </w:p>
              </w:tc>
              <w:tc>
                <w:tcPr>
                  <w:tcW w:w="7513" w:type="dxa"/>
                </w:tcPr>
                <w:p w14:paraId="0B10E120" w14:textId="77777777" w:rsidR="001D7244" w:rsidRPr="00217B1F" w:rsidRDefault="001D7244" w:rsidP="008E681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FA2702">
              <w:tc>
                <w:tcPr>
                  <w:tcW w:w="1734" w:type="dxa"/>
                </w:tcPr>
                <w:p w14:paraId="4D835109"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Heard on</w:t>
                  </w:r>
                  <w:r w:rsidRPr="00364832">
                    <w:rPr>
                      <w:rFonts w:ascii="Times" w:eastAsia="Times New Roman" w:hAnsi="Times" w:cs="Arial"/>
                      <w:i/>
                      <w:iCs/>
                      <w:sz w:val="24"/>
                      <w:szCs w:val="24"/>
                      <w:lang w:val="en-ZA"/>
                    </w:rPr>
                    <w:t>:      </w:t>
                  </w:r>
                </w:p>
              </w:tc>
              <w:tc>
                <w:tcPr>
                  <w:tcW w:w="7513" w:type="dxa"/>
                </w:tcPr>
                <w:p w14:paraId="41C8B4DD" w14:textId="0EF15DF8" w:rsidR="001D7244" w:rsidRPr="00217B1F" w:rsidRDefault="00C74CAA" w:rsidP="008E6813">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20 November</w:t>
                  </w:r>
                  <w:r w:rsidR="001D7244" w:rsidRPr="00217B1F">
                    <w:rPr>
                      <w:rFonts w:ascii="Arial" w:eastAsia="Times New Roman" w:hAnsi="Arial" w:cs="Arial"/>
                      <w:color w:val="000000"/>
                      <w:sz w:val="24"/>
                      <w:szCs w:val="24"/>
                      <w:lang w:val="en-ZA"/>
                    </w:rPr>
                    <w:t xml:space="preserve"> 202</w:t>
                  </w:r>
                  <w:r>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Pr="00364832" w:rsidRDefault="001D7244" w:rsidP="0036483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364832">
                    <w:rPr>
                      <w:rFonts w:ascii="Times" w:eastAsia="Times New Roman" w:hAnsi="Times" w:cs="Arial"/>
                      <w:b/>
                      <w:bCs/>
                      <w:i/>
                      <w:iCs/>
                      <w:sz w:val="24"/>
                      <w:szCs w:val="24"/>
                      <w:lang w:val="en-ZA"/>
                    </w:rPr>
                    <w:t xml:space="preserve">Delivered:   </w:t>
                  </w:r>
                </w:p>
              </w:tc>
              <w:tc>
                <w:tcPr>
                  <w:tcW w:w="7513" w:type="dxa"/>
                </w:tcPr>
                <w:p w14:paraId="5F5E03E1" w14:textId="7048A3F9" w:rsidR="001D7244" w:rsidRPr="00EB3FC3" w:rsidRDefault="005265A5" w:rsidP="00EB3FC3">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23</w:t>
                  </w:r>
                  <w:r w:rsidR="001D7244">
                    <w:rPr>
                      <w:rFonts w:ascii="Arial" w:eastAsia="Times New Roman" w:hAnsi="Arial" w:cs="Arial"/>
                      <w:color w:val="000000"/>
                      <w:sz w:val="24"/>
                      <w:szCs w:val="24"/>
                      <w:lang w:val="en-ZA"/>
                    </w:rPr>
                    <w:t xml:space="preserve"> </w:t>
                  </w:r>
                  <w:r w:rsidR="00C74CAA">
                    <w:rPr>
                      <w:rFonts w:ascii="Arial" w:eastAsia="Times New Roman" w:hAnsi="Arial" w:cs="Arial"/>
                      <w:color w:val="000000"/>
                      <w:sz w:val="24"/>
                      <w:szCs w:val="24"/>
                      <w:lang w:val="en-ZA"/>
                    </w:rPr>
                    <w:t>November</w:t>
                  </w:r>
                  <w:r w:rsidR="001D7244" w:rsidRPr="00217B1F">
                    <w:rPr>
                      <w:rFonts w:ascii="Arial" w:eastAsia="Times New Roman" w:hAnsi="Arial" w:cs="Arial"/>
                      <w:color w:val="000000"/>
                      <w:sz w:val="24"/>
                      <w:szCs w:val="24"/>
                      <w:lang w:val="en-ZA"/>
                    </w:rPr>
                    <w:t xml:space="preserve"> 202</w:t>
                  </w:r>
                  <w:r w:rsidR="00C74CAA">
                    <w:rPr>
                      <w:rFonts w:ascii="Arial" w:eastAsia="Times New Roman" w:hAnsi="Arial" w:cs="Arial"/>
                      <w:color w:val="000000"/>
                      <w:sz w:val="24"/>
                      <w:szCs w:val="24"/>
                      <w:lang w:val="en-ZA"/>
                    </w:rPr>
                    <w:t>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xml:space="preserve"> system of the GD and by release to </w:t>
                  </w:r>
                  <w:r w:rsidR="001D7244" w:rsidRPr="00217B1F">
                    <w:rPr>
                      <w:rFonts w:ascii="Arial" w:eastAsia="Times New Roman" w:hAnsi="Arial" w:cs="Arial"/>
                      <w:color w:val="000000"/>
                      <w:sz w:val="24"/>
                      <w:szCs w:val="24"/>
                      <w:lang w:val="en-ZA"/>
                    </w:rPr>
                    <w:lastRenderedPageBreak/>
                    <w:t xml:space="preserve">SAFLII. The date and time for hand-down is deemed to be </w:t>
                  </w:r>
                  <w:r w:rsidR="005E6295">
                    <w:rPr>
                      <w:rFonts w:ascii="Arial" w:eastAsia="Times New Roman" w:hAnsi="Arial" w:cs="Arial"/>
                      <w:color w:val="000000"/>
                      <w:sz w:val="24"/>
                      <w:szCs w:val="24"/>
                      <w:lang w:val="en-ZA"/>
                    </w:rPr>
                    <w:t>09</w:t>
                  </w:r>
                  <w:r w:rsidR="001D7244" w:rsidRPr="00217B1F">
                    <w:rPr>
                      <w:rFonts w:ascii="Arial" w:eastAsia="Times New Roman" w:hAnsi="Arial" w:cs="Arial"/>
                      <w:color w:val="000000"/>
                      <w:sz w:val="24"/>
                      <w:szCs w:val="24"/>
                      <w:lang w:val="en-ZA"/>
                    </w:rPr>
                    <w:t xml:space="preserve">H00 on </w:t>
                  </w:r>
                  <w:r w:rsidR="005E6295">
                    <w:rPr>
                      <w:rFonts w:ascii="Arial" w:eastAsia="Times New Roman" w:hAnsi="Arial" w:cs="Arial"/>
                      <w:color w:val="000000"/>
                      <w:sz w:val="24"/>
                      <w:szCs w:val="24"/>
                      <w:lang w:val="en-ZA"/>
                    </w:rPr>
                    <w:t>2</w:t>
                  </w:r>
                  <w:r>
                    <w:rPr>
                      <w:rFonts w:ascii="Arial" w:eastAsia="Times New Roman" w:hAnsi="Arial" w:cs="Arial"/>
                      <w:color w:val="000000"/>
                      <w:sz w:val="24"/>
                      <w:szCs w:val="24"/>
                      <w:lang w:val="en-ZA"/>
                    </w:rPr>
                    <w:t>3</w:t>
                  </w:r>
                  <w:r w:rsidR="005E6295">
                    <w:rPr>
                      <w:rFonts w:ascii="Arial" w:eastAsia="Times New Roman" w:hAnsi="Arial" w:cs="Arial"/>
                      <w:color w:val="000000"/>
                      <w:sz w:val="24"/>
                      <w:szCs w:val="24"/>
                      <w:lang w:val="en-ZA"/>
                    </w:rPr>
                    <w:t xml:space="preserve"> </w:t>
                  </w:r>
                  <w:r w:rsidR="00C74CAA">
                    <w:rPr>
                      <w:rFonts w:ascii="Arial" w:eastAsia="Times New Roman" w:hAnsi="Arial" w:cs="Arial"/>
                      <w:color w:val="000000"/>
                      <w:sz w:val="24"/>
                      <w:szCs w:val="24"/>
                      <w:lang w:val="en-ZA"/>
                    </w:rPr>
                    <w:t>November</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C74CAA">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w:t>
                  </w:r>
                </w:p>
              </w:tc>
            </w:tr>
          </w:tbl>
          <w:p w14:paraId="422E790C" w14:textId="77777777" w:rsidR="001D7244" w:rsidRPr="00217B1F" w:rsidRDefault="001D7244"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0828A289" w14:textId="77777777" w:rsidR="00686124" w:rsidRDefault="00686124" w:rsidP="0068612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p w14:paraId="47459BC2" w14:textId="33EC37E2" w:rsidR="00B50E11" w:rsidRPr="00686124" w:rsidRDefault="00B50E11" w:rsidP="0068612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686124">
              <w:rPr>
                <w:rFonts w:eastAsia="Tahoma" w:cs="Arial"/>
                <w:b/>
                <w:bCs/>
                <w:sz w:val="24"/>
                <w:szCs w:val="24"/>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8E6813" w:rsidRDefault="008E6813" w:rsidP="00364832">
      <w:pPr>
        <w:pStyle w:val="Body"/>
        <w:tabs>
          <w:tab w:val="center" w:pos="851"/>
          <w:tab w:val="center" w:pos="1701"/>
          <w:tab w:val="center" w:pos="2552"/>
        </w:tabs>
        <w:spacing w:line="360" w:lineRule="auto"/>
        <w:jc w:val="both"/>
        <w:rPr>
          <w:bCs/>
          <w:sz w:val="24"/>
          <w:szCs w:val="24"/>
        </w:rPr>
      </w:pPr>
    </w:p>
    <w:p w14:paraId="5DC29517" w14:textId="2D405B21" w:rsidR="008E6813" w:rsidRPr="005265A5" w:rsidRDefault="00E54FCC" w:rsidP="00E54FCC">
      <w:pPr>
        <w:pStyle w:val="Body"/>
        <w:spacing w:line="360" w:lineRule="auto"/>
        <w:ind w:left="851" w:hanging="851"/>
        <w:jc w:val="both"/>
        <w:rPr>
          <w:b/>
          <w:sz w:val="24"/>
          <w:szCs w:val="24"/>
          <w:u w:val="single"/>
        </w:rPr>
      </w:pPr>
      <w:r w:rsidRPr="005265A5">
        <w:rPr>
          <w:sz w:val="24"/>
          <w:szCs w:val="24"/>
        </w:rPr>
        <w:t>[1]</w:t>
      </w:r>
      <w:r w:rsidRPr="005265A5">
        <w:rPr>
          <w:sz w:val="24"/>
          <w:szCs w:val="24"/>
        </w:rPr>
        <w:tab/>
      </w:r>
      <w:r w:rsidR="00BC4AB0" w:rsidRPr="005265A5">
        <w:rPr>
          <w:bCs/>
          <w:sz w:val="24"/>
          <w:szCs w:val="24"/>
        </w:rPr>
        <w:t>This is an opposed application for summary judgment. The applicant (Standard Bank) sued the respondent (Ms. Barnard) on a deed of suretyship</w:t>
      </w:r>
      <w:r w:rsidR="00805D0E" w:rsidRPr="005265A5">
        <w:rPr>
          <w:bCs/>
          <w:sz w:val="24"/>
          <w:szCs w:val="24"/>
        </w:rPr>
        <w:t xml:space="preserve"> </w:t>
      </w:r>
      <w:r w:rsidR="00BC4AB0" w:rsidRPr="005265A5">
        <w:rPr>
          <w:bCs/>
          <w:sz w:val="24"/>
          <w:szCs w:val="24"/>
        </w:rPr>
        <w:t>signed by her in its favour for the indebtedness of Multilayer Trading CC (Multilayer).</w:t>
      </w:r>
    </w:p>
    <w:p w14:paraId="6236BF88" w14:textId="77777777" w:rsidR="00BC4AB0" w:rsidRPr="005265A5" w:rsidRDefault="00BC4AB0" w:rsidP="00BC4AB0">
      <w:pPr>
        <w:pStyle w:val="Body"/>
        <w:spacing w:line="360" w:lineRule="auto"/>
        <w:ind w:left="851"/>
        <w:jc w:val="both"/>
        <w:rPr>
          <w:b/>
          <w:sz w:val="24"/>
          <w:szCs w:val="24"/>
          <w:u w:val="single"/>
        </w:rPr>
      </w:pPr>
    </w:p>
    <w:p w14:paraId="0CF8A4FD" w14:textId="1CCADB00" w:rsidR="00BC4AB0" w:rsidRPr="005265A5" w:rsidRDefault="00E54FCC" w:rsidP="00E54FCC">
      <w:pPr>
        <w:pStyle w:val="Body"/>
        <w:spacing w:line="360" w:lineRule="auto"/>
        <w:ind w:left="851" w:hanging="851"/>
        <w:jc w:val="both"/>
        <w:rPr>
          <w:b/>
          <w:sz w:val="24"/>
          <w:szCs w:val="24"/>
          <w:u w:val="single"/>
        </w:rPr>
      </w:pPr>
      <w:r w:rsidRPr="005265A5">
        <w:rPr>
          <w:sz w:val="24"/>
          <w:szCs w:val="24"/>
        </w:rPr>
        <w:t>[2]</w:t>
      </w:r>
      <w:r w:rsidRPr="005265A5">
        <w:rPr>
          <w:sz w:val="24"/>
          <w:szCs w:val="24"/>
        </w:rPr>
        <w:tab/>
      </w:r>
      <w:r w:rsidR="00BC4AB0" w:rsidRPr="005265A5">
        <w:rPr>
          <w:bCs/>
          <w:sz w:val="24"/>
          <w:szCs w:val="24"/>
        </w:rPr>
        <w:t>During 2005, 2006 and 2007, Multilayer obtained various loans from Standard Bank which, besides the suretyship signed in its favour, were also secured by the registration of mortgage bonds over immovable property. The total amount of the loans was R 3,75 million.</w:t>
      </w:r>
    </w:p>
    <w:p w14:paraId="504438DD" w14:textId="77777777" w:rsidR="00BC4AB0" w:rsidRPr="005265A5" w:rsidRDefault="00BC4AB0" w:rsidP="00BC4AB0">
      <w:pPr>
        <w:pStyle w:val="ListParagraph"/>
        <w:rPr>
          <w:b/>
          <w:u w:val="single"/>
        </w:rPr>
      </w:pPr>
    </w:p>
    <w:p w14:paraId="0F7D2D6C" w14:textId="57C0DC28" w:rsidR="00BC4AB0" w:rsidRPr="005265A5" w:rsidRDefault="00E54FCC" w:rsidP="00E54FCC">
      <w:pPr>
        <w:pStyle w:val="Body"/>
        <w:spacing w:line="360" w:lineRule="auto"/>
        <w:ind w:left="851" w:hanging="851"/>
        <w:jc w:val="both"/>
        <w:rPr>
          <w:b/>
          <w:sz w:val="24"/>
          <w:szCs w:val="24"/>
          <w:u w:val="single"/>
        </w:rPr>
      </w:pPr>
      <w:r w:rsidRPr="005265A5">
        <w:rPr>
          <w:sz w:val="24"/>
          <w:szCs w:val="24"/>
        </w:rPr>
        <w:t>[3]</w:t>
      </w:r>
      <w:r w:rsidRPr="005265A5">
        <w:rPr>
          <w:sz w:val="24"/>
          <w:szCs w:val="24"/>
        </w:rPr>
        <w:tab/>
      </w:r>
      <w:r w:rsidR="00BC4AB0" w:rsidRPr="005265A5">
        <w:rPr>
          <w:bCs/>
          <w:sz w:val="24"/>
          <w:szCs w:val="24"/>
        </w:rPr>
        <w:t xml:space="preserve">Multilayer was </w:t>
      </w:r>
      <w:r w:rsidR="00702E94" w:rsidRPr="005265A5">
        <w:rPr>
          <w:bCs/>
          <w:sz w:val="24"/>
          <w:szCs w:val="24"/>
        </w:rPr>
        <w:t>subsequently liquidated, and the immovable property sold on 8 March 2013 for R2 million. There was self-evidently a substantial shortfall and by 30 March 2021, this together with interest was R4 026 570.56. In August 2021 Standard Bank issued summons against Ms. Barnard</w:t>
      </w:r>
      <w:r w:rsidR="003F61E6" w:rsidRPr="005265A5">
        <w:rPr>
          <w:bCs/>
          <w:sz w:val="24"/>
          <w:szCs w:val="24"/>
        </w:rPr>
        <w:t>, 8 years later.</w:t>
      </w:r>
      <w:r w:rsidR="00702E94" w:rsidRPr="005265A5">
        <w:rPr>
          <w:bCs/>
          <w:sz w:val="24"/>
          <w:szCs w:val="24"/>
        </w:rPr>
        <w:t xml:space="preserve"> The action was defended and after the filing of a plea, the present application was brought on 24 March 2023.</w:t>
      </w:r>
    </w:p>
    <w:p w14:paraId="14D9BB83" w14:textId="77777777" w:rsidR="00702E94" w:rsidRPr="005265A5" w:rsidRDefault="00702E94" w:rsidP="00702E94">
      <w:pPr>
        <w:pStyle w:val="ListParagraph"/>
        <w:rPr>
          <w:b/>
          <w:u w:val="single"/>
        </w:rPr>
      </w:pPr>
    </w:p>
    <w:p w14:paraId="3D6CDFFD" w14:textId="3ECCF431" w:rsidR="00702E94" w:rsidRPr="005265A5" w:rsidRDefault="00E54FCC" w:rsidP="00E54FCC">
      <w:pPr>
        <w:pStyle w:val="Body"/>
        <w:spacing w:line="360" w:lineRule="auto"/>
        <w:ind w:left="851" w:hanging="851"/>
        <w:jc w:val="both"/>
        <w:rPr>
          <w:b/>
          <w:sz w:val="24"/>
          <w:szCs w:val="24"/>
          <w:u w:val="single"/>
        </w:rPr>
      </w:pPr>
      <w:r w:rsidRPr="005265A5">
        <w:rPr>
          <w:sz w:val="24"/>
          <w:szCs w:val="24"/>
        </w:rPr>
        <w:t>[4]</w:t>
      </w:r>
      <w:r w:rsidRPr="005265A5">
        <w:rPr>
          <w:sz w:val="24"/>
          <w:szCs w:val="24"/>
        </w:rPr>
        <w:tab/>
      </w:r>
      <w:r w:rsidR="00702E94" w:rsidRPr="005265A5">
        <w:rPr>
          <w:bCs/>
          <w:sz w:val="24"/>
          <w:szCs w:val="24"/>
        </w:rPr>
        <w:t>Ms. Barnard, in her affidavit opposing the grant of summary judgment</w:t>
      </w:r>
      <w:r w:rsidR="00805D0E" w:rsidRPr="005265A5">
        <w:rPr>
          <w:bCs/>
          <w:sz w:val="24"/>
          <w:szCs w:val="24"/>
        </w:rPr>
        <w:t>,</w:t>
      </w:r>
      <w:r w:rsidR="00702E94" w:rsidRPr="005265A5">
        <w:rPr>
          <w:bCs/>
          <w:sz w:val="24"/>
          <w:szCs w:val="24"/>
        </w:rPr>
        <w:t xml:space="preserve"> raise</w:t>
      </w:r>
      <w:r w:rsidR="00AC6B13" w:rsidRPr="005265A5">
        <w:rPr>
          <w:bCs/>
          <w:sz w:val="24"/>
          <w:szCs w:val="24"/>
        </w:rPr>
        <w:t>d</w:t>
      </w:r>
      <w:r w:rsidR="00702E94" w:rsidRPr="005265A5">
        <w:rPr>
          <w:bCs/>
          <w:sz w:val="24"/>
          <w:szCs w:val="24"/>
        </w:rPr>
        <w:t xml:space="preserve"> t</w:t>
      </w:r>
      <w:r w:rsidR="00AC6B13" w:rsidRPr="005265A5">
        <w:rPr>
          <w:bCs/>
          <w:sz w:val="24"/>
          <w:szCs w:val="24"/>
        </w:rPr>
        <w:t xml:space="preserve">wo </w:t>
      </w:r>
      <w:r w:rsidR="00702E94" w:rsidRPr="005265A5">
        <w:rPr>
          <w:bCs/>
          <w:sz w:val="24"/>
          <w:szCs w:val="24"/>
        </w:rPr>
        <w:t>defences.</w:t>
      </w:r>
      <w:r w:rsidR="00805D0E" w:rsidRPr="005265A5">
        <w:rPr>
          <w:rStyle w:val="FootnoteReference"/>
          <w:bCs/>
          <w:sz w:val="24"/>
          <w:szCs w:val="24"/>
        </w:rPr>
        <w:footnoteReference w:id="1"/>
      </w:r>
      <w:r w:rsidR="00702E94" w:rsidRPr="005265A5">
        <w:rPr>
          <w:bCs/>
          <w:sz w:val="24"/>
          <w:szCs w:val="24"/>
        </w:rPr>
        <w:t xml:space="preserve"> The first </w:t>
      </w:r>
      <w:r w:rsidR="00AC6B13" w:rsidRPr="005265A5">
        <w:rPr>
          <w:bCs/>
          <w:sz w:val="24"/>
          <w:szCs w:val="24"/>
        </w:rPr>
        <w:t xml:space="preserve">was a </w:t>
      </w:r>
      <w:r w:rsidR="00702E94" w:rsidRPr="005265A5">
        <w:rPr>
          <w:bCs/>
          <w:sz w:val="24"/>
          <w:szCs w:val="24"/>
        </w:rPr>
        <w:t xml:space="preserve">point </w:t>
      </w:r>
      <w:r w:rsidR="00702E94" w:rsidRPr="00686124">
        <w:rPr>
          <w:bCs/>
          <w:i/>
          <w:iCs/>
          <w:sz w:val="24"/>
          <w:szCs w:val="24"/>
        </w:rPr>
        <w:t>in limine</w:t>
      </w:r>
      <w:r w:rsidR="00702E94" w:rsidRPr="005265A5">
        <w:rPr>
          <w:bCs/>
          <w:sz w:val="24"/>
          <w:szCs w:val="24"/>
        </w:rPr>
        <w:t xml:space="preserve"> and the </w:t>
      </w:r>
      <w:r w:rsidR="00AC6B13" w:rsidRPr="005265A5">
        <w:rPr>
          <w:bCs/>
          <w:sz w:val="24"/>
          <w:szCs w:val="24"/>
        </w:rPr>
        <w:t xml:space="preserve">second </w:t>
      </w:r>
      <w:r w:rsidR="00702E94" w:rsidRPr="005265A5">
        <w:rPr>
          <w:bCs/>
          <w:sz w:val="24"/>
          <w:szCs w:val="24"/>
        </w:rPr>
        <w:t>a substantive defence. I intend to deal with each of these in turn.</w:t>
      </w:r>
    </w:p>
    <w:p w14:paraId="266783CA" w14:textId="77777777" w:rsidR="00702E94" w:rsidRPr="005265A5" w:rsidRDefault="00702E94" w:rsidP="00702E94">
      <w:pPr>
        <w:pStyle w:val="ListParagraph"/>
        <w:rPr>
          <w:b/>
          <w:u w:val="single"/>
        </w:rPr>
      </w:pPr>
    </w:p>
    <w:p w14:paraId="4FD7D732" w14:textId="50CF611A" w:rsidR="00702E94" w:rsidRPr="005265A5" w:rsidRDefault="00E54FCC" w:rsidP="00E54FCC">
      <w:pPr>
        <w:pStyle w:val="Body"/>
        <w:spacing w:line="360" w:lineRule="auto"/>
        <w:ind w:left="851" w:hanging="851"/>
        <w:jc w:val="both"/>
        <w:rPr>
          <w:b/>
          <w:sz w:val="24"/>
          <w:szCs w:val="24"/>
          <w:u w:val="single"/>
        </w:rPr>
      </w:pPr>
      <w:r w:rsidRPr="005265A5">
        <w:rPr>
          <w:sz w:val="24"/>
          <w:szCs w:val="24"/>
        </w:rPr>
        <w:t>[5]</w:t>
      </w:r>
      <w:r w:rsidRPr="005265A5">
        <w:rPr>
          <w:sz w:val="24"/>
          <w:szCs w:val="24"/>
        </w:rPr>
        <w:tab/>
      </w:r>
      <w:r w:rsidR="00702E94" w:rsidRPr="005265A5">
        <w:rPr>
          <w:bCs/>
          <w:sz w:val="24"/>
          <w:szCs w:val="24"/>
        </w:rPr>
        <w:t xml:space="preserve">The point </w:t>
      </w:r>
      <w:r w:rsidR="00702E94" w:rsidRPr="00686124">
        <w:rPr>
          <w:bCs/>
          <w:i/>
          <w:iCs/>
          <w:sz w:val="24"/>
          <w:szCs w:val="24"/>
        </w:rPr>
        <w:t>in</w:t>
      </w:r>
      <w:r w:rsidR="00702E94" w:rsidRPr="005265A5">
        <w:rPr>
          <w:bCs/>
          <w:i/>
          <w:iCs/>
          <w:sz w:val="24"/>
          <w:szCs w:val="24"/>
        </w:rPr>
        <w:t xml:space="preserve"> </w:t>
      </w:r>
      <w:proofErr w:type="spellStart"/>
      <w:r w:rsidR="00702E94" w:rsidRPr="005265A5">
        <w:rPr>
          <w:bCs/>
          <w:i/>
          <w:iCs/>
          <w:sz w:val="24"/>
          <w:szCs w:val="24"/>
        </w:rPr>
        <w:t>limine</w:t>
      </w:r>
      <w:proofErr w:type="spellEnd"/>
      <w:r w:rsidR="00702E94" w:rsidRPr="005265A5">
        <w:rPr>
          <w:bCs/>
          <w:sz w:val="24"/>
          <w:szCs w:val="24"/>
        </w:rPr>
        <w:t xml:space="preserve"> was that in respect of the </w:t>
      </w:r>
      <w:r w:rsidR="000F5447" w:rsidRPr="005265A5">
        <w:rPr>
          <w:bCs/>
          <w:sz w:val="24"/>
          <w:szCs w:val="24"/>
        </w:rPr>
        <w:t>applicant’s</w:t>
      </w:r>
      <w:r w:rsidR="00702E94" w:rsidRPr="005265A5">
        <w:rPr>
          <w:bCs/>
          <w:sz w:val="24"/>
          <w:szCs w:val="24"/>
        </w:rPr>
        <w:t xml:space="preserve"> affidavit seeking judgment, there was no compliance with the Justices of the Peace and </w:t>
      </w:r>
      <w:r w:rsidR="00702E94" w:rsidRPr="005265A5">
        <w:rPr>
          <w:bCs/>
          <w:sz w:val="24"/>
          <w:szCs w:val="24"/>
        </w:rPr>
        <w:lastRenderedPageBreak/>
        <w:t>Commissioner of Oaths Act</w:t>
      </w:r>
      <w:r w:rsidR="0030107F" w:rsidRPr="005265A5">
        <w:rPr>
          <w:bCs/>
          <w:sz w:val="24"/>
          <w:szCs w:val="24"/>
        </w:rPr>
        <w:t xml:space="preserve"> (the JPC Act)</w:t>
      </w:r>
      <w:r w:rsidR="000F5447" w:rsidRPr="005265A5">
        <w:rPr>
          <w:rStyle w:val="FootnoteReference"/>
          <w:bCs/>
          <w:sz w:val="24"/>
          <w:szCs w:val="24"/>
        </w:rPr>
        <w:footnoteReference w:id="2"/>
      </w:r>
      <w:r w:rsidR="000F5447" w:rsidRPr="005265A5">
        <w:rPr>
          <w:bCs/>
          <w:sz w:val="24"/>
          <w:szCs w:val="24"/>
        </w:rPr>
        <w:t xml:space="preserve"> The non</w:t>
      </w:r>
      <w:r w:rsidR="00686124">
        <w:rPr>
          <w:bCs/>
          <w:sz w:val="24"/>
          <w:szCs w:val="24"/>
        </w:rPr>
        <w:t>-</w:t>
      </w:r>
      <w:r w:rsidR="000F5447" w:rsidRPr="005265A5">
        <w:rPr>
          <w:bCs/>
          <w:sz w:val="24"/>
          <w:szCs w:val="24"/>
        </w:rPr>
        <w:t>compliance was said to be in respect of the commissioning of the affidavit. The affidavit reflects that the oath was taken, and the affidavit deposed to in Johannesburg but that the address of the commissioner is reflected as being in Menlo Park Pretoria.</w:t>
      </w:r>
    </w:p>
    <w:p w14:paraId="755410BF" w14:textId="77777777" w:rsidR="000F5447" w:rsidRPr="005265A5" w:rsidRDefault="000F5447" w:rsidP="000F5447">
      <w:pPr>
        <w:pStyle w:val="ListParagraph"/>
        <w:rPr>
          <w:b/>
          <w:u w:val="single"/>
        </w:rPr>
      </w:pPr>
    </w:p>
    <w:p w14:paraId="3DD91809" w14:textId="7CD34A1E" w:rsidR="000F5447" w:rsidRPr="005265A5" w:rsidRDefault="00E54FCC" w:rsidP="00E54FCC">
      <w:pPr>
        <w:pStyle w:val="Body"/>
        <w:spacing w:line="360" w:lineRule="auto"/>
        <w:ind w:left="851" w:hanging="851"/>
        <w:jc w:val="both"/>
        <w:rPr>
          <w:b/>
          <w:sz w:val="24"/>
          <w:szCs w:val="24"/>
          <w:u w:val="single"/>
        </w:rPr>
      </w:pPr>
      <w:r w:rsidRPr="005265A5">
        <w:rPr>
          <w:sz w:val="24"/>
          <w:szCs w:val="24"/>
        </w:rPr>
        <w:t>[6]</w:t>
      </w:r>
      <w:r w:rsidRPr="005265A5">
        <w:rPr>
          <w:sz w:val="24"/>
          <w:szCs w:val="24"/>
        </w:rPr>
        <w:tab/>
      </w:r>
      <w:r w:rsidR="000F5447" w:rsidRPr="005265A5">
        <w:rPr>
          <w:bCs/>
          <w:sz w:val="24"/>
          <w:szCs w:val="24"/>
        </w:rPr>
        <w:t>In consequence of this, Ms. Barnard then asserted that:</w:t>
      </w:r>
    </w:p>
    <w:p w14:paraId="6839CBA7" w14:textId="77777777" w:rsidR="000F5447" w:rsidRDefault="000F5447" w:rsidP="000F5447">
      <w:pPr>
        <w:pStyle w:val="ListParagraph"/>
        <w:rPr>
          <w:b/>
          <w:sz w:val="22"/>
          <w:szCs w:val="22"/>
          <w:u w:val="single"/>
        </w:rPr>
      </w:pPr>
    </w:p>
    <w:p w14:paraId="5B70B207" w14:textId="068231D2" w:rsidR="00C25E97" w:rsidRPr="005265A5" w:rsidRDefault="00C25E97" w:rsidP="005265A5">
      <w:pPr>
        <w:spacing w:after="564" w:line="360" w:lineRule="auto"/>
        <w:ind w:left="2268" w:right="554" w:hanging="850"/>
        <w:jc w:val="both"/>
        <w:rPr>
          <w:rFonts w:ascii="Arial" w:hAnsi="Arial" w:cs="Arial"/>
          <w:i/>
          <w:iCs/>
          <w:sz w:val="22"/>
          <w:szCs w:val="22"/>
        </w:rPr>
      </w:pPr>
      <w:r w:rsidRPr="005265A5">
        <w:rPr>
          <w:rFonts w:ascii="Arial" w:eastAsia="Courier New" w:hAnsi="Arial" w:cs="Arial"/>
          <w:i/>
          <w:iCs/>
          <w:sz w:val="22"/>
        </w:rPr>
        <w:t>“</w:t>
      </w:r>
      <w:r w:rsidRPr="005265A5">
        <w:rPr>
          <w:rFonts w:ascii="Arial" w:hAnsi="Arial" w:cs="Arial"/>
          <w:i/>
          <w:iCs/>
          <w:sz w:val="22"/>
          <w:szCs w:val="22"/>
        </w:rPr>
        <w:t xml:space="preserve">7.4. </w:t>
      </w:r>
      <w:r w:rsidRPr="005265A5">
        <w:rPr>
          <w:rFonts w:ascii="Arial" w:hAnsi="Arial" w:cs="Arial"/>
          <w:i/>
          <w:iCs/>
          <w:sz w:val="22"/>
          <w:szCs w:val="22"/>
        </w:rPr>
        <w:tab/>
        <w:t>Further to the above and in terms of Regulation 4(1) the Commissioner of Oath shall certify that the deponent has acknowledged that he/she knows and understands the contents of the declaration and that he/she shall state the manner, place, and date of taking the declaration.</w:t>
      </w:r>
      <w:r w:rsidRPr="005265A5">
        <w:rPr>
          <w:rFonts w:ascii="Arial" w:hAnsi="Arial" w:cs="Arial"/>
          <w:i/>
          <w:iCs/>
          <w:noProof/>
          <w:sz w:val="22"/>
          <w:szCs w:val="22"/>
        </w:rPr>
        <w:drawing>
          <wp:inline distT="0" distB="0" distL="0" distR="0" wp14:anchorId="72F77DFA" wp14:editId="1BA8CFC4">
            <wp:extent cx="4572" cy="4572"/>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9"/>
                    <a:stretch>
                      <a:fillRect/>
                    </a:stretch>
                  </pic:blipFill>
                  <pic:spPr>
                    <a:xfrm>
                      <a:off x="0" y="0"/>
                      <a:ext cx="4572" cy="4572"/>
                    </a:xfrm>
                    <a:prstGeom prst="rect">
                      <a:avLst/>
                    </a:prstGeom>
                  </pic:spPr>
                </pic:pic>
              </a:graphicData>
            </a:graphic>
          </wp:inline>
        </w:drawing>
      </w:r>
    </w:p>
    <w:p w14:paraId="0D6A9721" w14:textId="77777777" w:rsidR="00C25E97" w:rsidRPr="005265A5" w:rsidRDefault="00C25E97" w:rsidP="005265A5">
      <w:pPr>
        <w:spacing w:after="532" w:line="360" w:lineRule="auto"/>
        <w:ind w:left="2268" w:right="554" w:hanging="850"/>
        <w:jc w:val="both"/>
        <w:rPr>
          <w:rFonts w:ascii="Arial" w:hAnsi="Arial" w:cs="Arial"/>
          <w:i/>
          <w:iCs/>
          <w:sz w:val="22"/>
          <w:szCs w:val="22"/>
        </w:rPr>
      </w:pPr>
      <w:r w:rsidRPr="005265A5">
        <w:rPr>
          <w:rFonts w:ascii="Arial" w:hAnsi="Arial" w:cs="Arial"/>
          <w:i/>
          <w:iCs/>
          <w:sz w:val="22"/>
          <w:szCs w:val="22"/>
        </w:rPr>
        <w:t>7.5.</w:t>
      </w:r>
      <w:r w:rsidRPr="005265A5">
        <w:rPr>
          <w:rFonts w:ascii="Arial" w:hAnsi="Arial" w:cs="Arial"/>
          <w:i/>
          <w:iCs/>
          <w:sz w:val="22"/>
        </w:rPr>
        <w:tab/>
      </w:r>
      <w:r w:rsidRPr="005265A5">
        <w:rPr>
          <w:rFonts w:ascii="Arial" w:hAnsi="Arial" w:cs="Arial"/>
          <w:i/>
          <w:iCs/>
          <w:sz w:val="22"/>
          <w:szCs w:val="22"/>
        </w:rPr>
        <w:t xml:space="preserve"> On what appears on the purported affidavit in support of the application for summary judgment, there is no indication of compliance with the provisions with specific reference to the addresses of where the deponent and the Commissioner of Oaths found themselves respectively at the time when the purported oath was administered to the deponent.</w:t>
      </w:r>
    </w:p>
    <w:p w14:paraId="0DDFE4F9" w14:textId="69F3320E" w:rsidR="000F5447" w:rsidRPr="00EB3FC3" w:rsidRDefault="00C25E97" w:rsidP="00EB3FC3">
      <w:pPr>
        <w:spacing w:after="525" w:line="360" w:lineRule="auto"/>
        <w:ind w:left="2268" w:right="310" w:hanging="850"/>
        <w:jc w:val="both"/>
        <w:rPr>
          <w:rFonts w:ascii="Arial" w:hAnsi="Arial" w:cs="Arial"/>
          <w:i/>
          <w:iCs/>
          <w:sz w:val="22"/>
          <w:szCs w:val="22"/>
        </w:rPr>
      </w:pPr>
      <w:r w:rsidRPr="005265A5">
        <w:rPr>
          <w:rFonts w:ascii="Arial" w:hAnsi="Arial" w:cs="Arial"/>
          <w:i/>
          <w:iCs/>
          <w:sz w:val="22"/>
          <w:szCs w:val="22"/>
        </w:rPr>
        <w:t>7.6.</w:t>
      </w:r>
      <w:r w:rsidRPr="005265A5">
        <w:rPr>
          <w:rFonts w:ascii="Arial" w:hAnsi="Arial" w:cs="Arial"/>
          <w:i/>
          <w:iCs/>
          <w:sz w:val="22"/>
        </w:rPr>
        <w:tab/>
      </w:r>
      <w:r w:rsidRPr="005265A5">
        <w:rPr>
          <w:rFonts w:ascii="Arial" w:hAnsi="Arial" w:cs="Arial"/>
          <w:i/>
          <w:iCs/>
          <w:sz w:val="22"/>
          <w:szCs w:val="22"/>
        </w:rPr>
        <w:t xml:space="preserve"> Ex facie the purported affidavit, it appears that the affidavit was pre-prepared for the deponent to sign such in the absence of a Commissioner of Oaths and that the Commissioner of Oaths identified on the document was requested to attest the affidavit in the absence of the deponent and, hence, not complying with the Regulations referred to supra.</w:t>
      </w:r>
      <w:r w:rsidRPr="005265A5">
        <w:rPr>
          <w:rFonts w:ascii="Arial" w:hAnsi="Arial" w:cs="Arial"/>
          <w:i/>
          <w:iCs/>
          <w:sz w:val="22"/>
        </w:rPr>
        <w:t>”</w:t>
      </w:r>
    </w:p>
    <w:p w14:paraId="19408C6E" w14:textId="61FB32A8" w:rsidR="0030107F" w:rsidRPr="0030107F" w:rsidRDefault="00E54FCC" w:rsidP="00E54FCC">
      <w:pPr>
        <w:pStyle w:val="Body"/>
        <w:spacing w:line="360" w:lineRule="auto"/>
        <w:ind w:left="851" w:hanging="851"/>
        <w:jc w:val="both"/>
        <w:rPr>
          <w:b/>
          <w:sz w:val="24"/>
          <w:szCs w:val="24"/>
          <w:u w:val="single"/>
        </w:rPr>
      </w:pPr>
      <w:r w:rsidRPr="0030107F">
        <w:rPr>
          <w:sz w:val="24"/>
          <w:szCs w:val="24"/>
        </w:rPr>
        <w:t>[7]</w:t>
      </w:r>
      <w:r w:rsidRPr="0030107F">
        <w:rPr>
          <w:sz w:val="24"/>
          <w:szCs w:val="24"/>
        </w:rPr>
        <w:tab/>
      </w:r>
      <w:r w:rsidR="00C25E97" w:rsidRPr="00C25E97">
        <w:rPr>
          <w:bCs/>
          <w:sz w:val="24"/>
          <w:szCs w:val="24"/>
        </w:rPr>
        <w:t xml:space="preserve">The certificate at the end of the affidavit clearly states that both the deponent to the affidavit and the commissioner of oaths were present in Johannesburg when the oath was taken. There is no requirement that the affidavit reflect the specific address where the oath was taken. </w:t>
      </w:r>
    </w:p>
    <w:p w14:paraId="39179539" w14:textId="77777777" w:rsidR="0030107F" w:rsidRPr="00686124" w:rsidRDefault="0030107F" w:rsidP="0030107F">
      <w:pPr>
        <w:pStyle w:val="Body"/>
        <w:spacing w:line="360" w:lineRule="auto"/>
        <w:ind w:left="851"/>
        <w:jc w:val="both"/>
        <w:rPr>
          <w:b/>
          <w:i/>
          <w:iCs/>
          <w:sz w:val="22"/>
          <w:szCs w:val="22"/>
          <w:u w:val="single"/>
        </w:rPr>
      </w:pPr>
    </w:p>
    <w:p w14:paraId="36B9B84B" w14:textId="3A8A2D5E" w:rsidR="000F5447" w:rsidRPr="0030107F" w:rsidRDefault="00E54FCC" w:rsidP="00E54FCC">
      <w:pPr>
        <w:pStyle w:val="Body"/>
        <w:spacing w:line="360" w:lineRule="auto"/>
        <w:ind w:left="851" w:hanging="851"/>
        <w:jc w:val="both"/>
        <w:rPr>
          <w:b/>
          <w:sz w:val="24"/>
          <w:szCs w:val="24"/>
          <w:u w:val="single"/>
        </w:rPr>
      </w:pPr>
      <w:r w:rsidRPr="0030107F">
        <w:rPr>
          <w:sz w:val="24"/>
          <w:szCs w:val="24"/>
        </w:rPr>
        <w:t>[8]</w:t>
      </w:r>
      <w:r w:rsidRPr="0030107F">
        <w:rPr>
          <w:sz w:val="24"/>
          <w:szCs w:val="24"/>
        </w:rPr>
        <w:tab/>
      </w:r>
      <w:r w:rsidR="00C25E97" w:rsidRPr="00686124">
        <w:rPr>
          <w:bCs/>
          <w:sz w:val="24"/>
          <w:szCs w:val="24"/>
        </w:rPr>
        <w:t>The regulations prescribe only that</w:t>
      </w:r>
      <w:r w:rsidR="00C25E97" w:rsidRPr="00686124">
        <w:rPr>
          <w:bCs/>
          <w:i/>
          <w:iCs/>
          <w:sz w:val="24"/>
          <w:szCs w:val="24"/>
        </w:rPr>
        <w:t xml:space="preserve"> </w:t>
      </w:r>
      <w:r w:rsidR="00C25E97" w:rsidRPr="00686124">
        <w:rPr>
          <w:bCs/>
          <w:i/>
          <w:iCs/>
          <w:sz w:val="22"/>
          <w:szCs w:val="22"/>
        </w:rPr>
        <w:t>“</w:t>
      </w:r>
      <w:r w:rsidR="00686124" w:rsidRPr="00686124">
        <w:rPr>
          <w:bCs/>
          <w:i/>
          <w:iCs/>
          <w:sz w:val="22"/>
          <w:szCs w:val="22"/>
        </w:rPr>
        <w:t>[t]he</w:t>
      </w:r>
      <w:r w:rsidR="00C25E97" w:rsidRPr="00686124">
        <w:rPr>
          <w:bCs/>
          <w:i/>
          <w:iCs/>
          <w:sz w:val="21"/>
          <w:szCs w:val="21"/>
        </w:rPr>
        <w:t xml:space="preserve"> </w:t>
      </w:r>
      <w:r w:rsidR="00C25E97" w:rsidRPr="005265A5">
        <w:rPr>
          <w:bCs/>
          <w:i/>
          <w:iCs/>
          <w:sz w:val="22"/>
          <w:szCs w:val="22"/>
        </w:rPr>
        <w:t>deponent shall sign the declaration in the presence of the commissioner of oaths”</w:t>
      </w:r>
      <w:r w:rsidR="00C25E97" w:rsidRPr="005265A5">
        <w:rPr>
          <w:rStyle w:val="FootnoteReference"/>
          <w:bCs/>
          <w:i/>
          <w:iCs/>
          <w:sz w:val="22"/>
          <w:szCs w:val="22"/>
        </w:rPr>
        <w:footnoteReference w:id="3"/>
      </w:r>
      <w:r w:rsidR="00C25E97" w:rsidRPr="005265A5">
        <w:rPr>
          <w:bCs/>
          <w:i/>
          <w:iCs/>
          <w:sz w:val="22"/>
          <w:szCs w:val="22"/>
        </w:rPr>
        <w:t xml:space="preserve"> and that “</w:t>
      </w:r>
      <w:r w:rsidR="0030107F" w:rsidRPr="005265A5">
        <w:rPr>
          <w:bCs/>
          <w:i/>
          <w:iCs/>
          <w:sz w:val="22"/>
          <w:szCs w:val="22"/>
        </w:rPr>
        <w:t>Below the deponents signature or mark the commissioner of oaths shall certify that the deponent has acknowledged that he knows and understands the contents of the declaration and he shall state the manner, place and date of taking the declaration</w:t>
      </w:r>
      <w:r w:rsidR="00686124">
        <w:rPr>
          <w:bCs/>
          <w:i/>
          <w:iCs/>
          <w:sz w:val="22"/>
          <w:szCs w:val="22"/>
        </w:rPr>
        <w:t>.</w:t>
      </w:r>
      <w:r w:rsidR="0030107F" w:rsidRPr="005265A5">
        <w:rPr>
          <w:bCs/>
          <w:i/>
          <w:iCs/>
          <w:sz w:val="22"/>
          <w:szCs w:val="22"/>
        </w:rPr>
        <w:t>”</w:t>
      </w:r>
      <w:r w:rsidR="00686124">
        <w:rPr>
          <w:bCs/>
          <w:i/>
          <w:iCs/>
          <w:sz w:val="22"/>
          <w:szCs w:val="22"/>
        </w:rPr>
        <w:t xml:space="preserve"> </w:t>
      </w:r>
      <w:r w:rsidR="0030107F" w:rsidRPr="005265A5">
        <w:rPr>
          <w:rStyle w:val="FootnoteReference"/>
          <w:bCs/>
          <w:i/>
          <w:iCs/>
          <w:sz w:val="22"/>
          <w:szCs w:val="22"/>
        </w:rPr>
        <w:footnoteReference w:id="4"/>
      </w:r>
      <w:r w:rsidR="00686124">
        <w:rPr>
          <w:bCs/>
          <w:i/>
          <w:iCs/>
          <w:sz w:val="22"/>
          <w:szCs w:val="22"/>
        </w:rPr>
        <w:t xml:space="preserve"> </w:t>
      </w:r>
      <w:r w:rsidR="0030107F" w:rsidRPr="005265A5">
        <w:rPr>
          <w:bCs/>
          <w:i/>
          <w:iCs/>
          <w:sz w:val="22"/>
          <w:szCs w:val="22"/>
        </w:rPr>
        <w:t xml:space="preserve"> </w:t>
      </w:r>
      <w:r w:rsidR="0030107F" w:rsidRPr="00686124">
        <w:rPr>
          <w:bCs/>
          <w:sz w:val="24"/>
          <w:szCs w:val="24"/>
        </w:rPr>
        <w:t>Furthermore</w:t>
      </w:r>
      <w:r w:rsidR="00686124">
        <w:rPr>
          <w:bCs/>
          <w:sz w:val="24"/>
          <w:szCs w:val="24"/>
        </w:rPr>
        <w:t>,</w:t>
      </w:r>
      <w:r w:rsidR="0030107F" w:rsidRPr="005265A5">
        <w:rPr>
          <w:bCs/>
          <w:i/>
          <w:iCs/>
          <w:sz w:val="22"/>
          <w:szCs w:val="22"/>
        </w:rPr>
        <w:t xml:space="preserve"> “</w:t>
      </w:r>
      <w:r w:rsidR="00C25E97" w:rsidRPr="005265A5">
        <w:rPr>
          <w:bCs/>
          <w:i/>
          <w:iCs/>
          <w:sz w:val="22"/>
          <w:szCs w:val="22"/>
        </w:rPr>
        <w:t>The commissioner of oaths shall (a) sign the declaration and print his full name and business address below his signature; and (b) state his designation and the area for which he holds his appointment or the office held by him if he holds his appointment ex officio</w:t>
      </w:r>
      <w:r w:rsidR="00C25E97" w:rsidRPr="00C25E97">
        <w:rPr>
          <w:bCs/>
          <w:i/>
          <w:iCs/>
          <w:sz w:val="24"/>
          <w:szCs w:val="24"/>
        </w:rPr>
        <w:t>.”</w:t>
      </w:r>
      <w:r w:rsidR="00686124">
        <w:rPr>
          <w:bCs/>
          <w:i/>
          <w:iCs/>
          <w:sz w:val="24"/>
          <w:szCs w:val="24"/>
        </w:rPr>
        <w:t xml:space="preserve"> </w:t>
      </w:r>
      <w:r w:rsidR="00C25E97">
        <w:rPr>
          <w:rStyle w:val="FootnoteReference"/>
          <w:bCs/>
          <w:i/>
          <w:iCs/>
          <w:sz w:val="24"/>
          <w:szCs w:val="24"/>
        </w:rPr>
        <w:footnoteReference w:id="5"/>
      </w:r>
    </w:p>
    <w:p w14:paraId="600073B2" w14:textId="77777777" w:rsidR="0030107F" w:rsidRPr="00C25E97" w:rsidRDefault="0030107F" w:rsidP="005265A5">
      <w:pPr>
        <w:pStyle w:val="Body"/>
        <w:spacing w:line="360" w:lineRule="auto"/>
        <w:jc w:val="both"/>
        <w:rPr>
          <w:b/>
          <w:sz w:val="24"/>
          <w:szCs w:val="24"/>
          <w:u w:val="single"/>
        </w:rPr>
      </w:pPr>
    </w:p>
    <w:p w14:paraId="5E028B9C" w14:textId="0CBC9AC5" w:rsidR="00AC6B13" w:rsidRPr="00AC6B13" w:rsidRDefault="00E54FCC" w:rsidP="00E54FCC">
      <w:pPr>
        <w:pStyle w:val="Body"/>
        <w:spacing w:line="360" w:lineRule="auto"/>
        <w:ind w:left="851" w:hanging="851"/>
        <w:jc w:val="both"/>
        <w:rPr>
          <w:b/>
          <w:sz w:val="24"/>
          <w:szCs w:val="24"/>
          <w:u w:val="single"/>
        </w:rPr>
      </w:pPr>
      <w:r w:rsidRPr="00AC6B13">
        <w:rPr>
          <w:sz w:val="24"/>
          <w:szCs w:val="24"/>
        </w:rPr>
        <w:t>[9]</w:t>
      </w:r>
      <w:r w:rsidRPr="00AC6B13">
        <w:rPr>
          <w:sz w:val="24"/>
          <w:szCs w:val="24"/>
        </w:rPr>
        <w:tab/>
      </w:r>
      <w:r w:rsidR="00562231">
        <w:rPr>
          <w:bCs/>
          <w:sz w:val="24"/>
          <w:szCs w:val="24"/>
        </w:rPr>
        <w:t xml:space="preserve">The Commissioner has recorded that she holds office as a practicing attorney. She is as such a commissioner of oaths appointed </w:t>
      </w:r>
      <w:r w:rsidR="00562231" w:rsidRPr="00686124">
        <w:rPr>
          <w:bCs/>
          <w:i/>
          <w:iCs/>
          <w:sz w:val="24"/>
          <w:szCs w:val="24"/>
        </w:rPr>
        <w:t>ex officio</w:t>
      </w:r>
      <w:r w:rsidR="00562231">
        <w:rPr>
          <w:bCs/>
          <w:sz w:val="24"/>
          <w:szCs w:val="24"/>
        </w:rPr>
        <w:t xml:space="preserve"> for the whole of the Republic</w:t>
      </w:r>
      <w:r w:rsidR="00562231">
        <w:rPr>
          <w:rStyle w:val="FootnoteReference"/>
          <w:bCs/>
          <w:sz w:val="24"/>
          <w:szCs w:val="24"/>
        </w:rPr>
        <w:footnoteReference w:id="6"/>
      </w:r>
      <w:r w:rsidR="00562231">
        <w:rPr>
          <w:bCs/>
          <w:sz w:val="24"/>
          <w:szCs w:val="24"/>
        </w:rPr>
        <w:t xml:space="preserve"> and thus irrespective of where her office is located, she is entitled to administer the oath anywhere in the Republic subject of course to the deposition of the oath in her presence and compliance with the Regulations. </w:t>
      </w:r>
    </w:p>
    <w:p w14:paraId="3F60D2CB" w14:textId="77777777" w:rsidR="00AC6B13" w:rsidRPr="00AC6B13" w:rsidRDefault="00AC6B13" w:rsidP="00AC6B13">
      <w:pPr>
        <w:pStyle w:val="Body"/>
        <w:spacing w:line="360" w:lineRule="auto"/>
        <w:ind w:left="851"/>
        <w:jc w:val="both"/>
        <w:rPr>
          <w:b/>
          <w:sz w:val="24"/>
          <w:szCs w:val="24"/>
          <w:u w:val="single"/>
        </w:rPr>
      </w:pPr>
    </w:p>
    <w:p w14:paraId="60F2BDD3" w14:textId="28FCFE82" w:rsidR="0030107F" w:rsidRPr="00562231" w:rsidRDefault="00E54FCC" w:rsidP="00E54FCC">
      <w:pPr>
        <w:pStyle w:val="Body"/>
        <w:spacing w:line="360" w:lineRule="auto"/>
        <w:ind w:left="851" w:hanging="851"/>
        <w:jc w:val="both"/>
        <w:rPr>
          <w:b/>
          <w:sz w:val="24"/>
          <w:szCs w:val="24"/>
          <w:u w:val="single"/>
        </w:rPr>
      </w:pPr>
      <w:r w:rsidRPr="00562231">
        <w:rPr>
          <w:sz w:val="24"/>
          <w:szCs w:val="24"/>
        </w:rPr>
        <w:t>[10]</w:t>
      </w:r>
      <w:r w:rsidRPr="00562231">
        <w:rPr>
          <w:sz w:val="24"/>
          <w:szCs w:val="24"/>
        </w:rPr>
        <w:tab/>
      </w:r>
      <w:r w:rsidR="00AC6B13">
        <w:rPr>
          <w:bCs/>
          <w:sz w:val="24"/>
          <w:szCs w:val="24"/>
        </w:rPr>
        <w:t xml:space="preserve">The assertion by Ms. Barnard was incorrect and there was certainly no basis upon which to impugn the conduct of the commissioner of oaths. </w:t>
      </w:r>
      <w:r w:rsidR="0030107F" w:rsidRPr="00562231">
        <w:rPr>
          <w:bCs/>
          <w:sz w:val="24"/>
          <w:szCs w:val="24"/>
        </w:rPr>
        <w:t xml:space="preserve">The affidavit complies with the JPC Act and accordingly the point </w:t>
      </w:r>
      <w:r w:rsidR="0030107F" w:rsidRPr="00686124">
        <w:rPr>
          <w:bCs/>
          <w:i/>
          <w:iCs/>
          <w:sz w:val="24"/>
          <w:szCs w:val="24"/>
        </w:rPr>
        <w:t>in limine</w:t>
      </w:r>
      <w:r w:rsidR="0030107F" w:rsidRPr="00562231">
        <w:rPr>
          <w:bCs/>
          <w:sz w:val="24"/>
          <w:szCs w:val="24"/>
        </w:rPr>
        <w:t xml:space="preserve"> is without merit.</w:t>
      </w:r>
      <w:r w:rsidR="00562231" w:rsidRPr="00562231">
        <w:rPr>
          <w:rStyle w:val="FootnoteReference"/>
          <w:bCs/>
          <w:sz w:val="24"/>
          <w:szCs w:val="24"/>
        </w:rPr>
        <w:footnoteReference w:id="7"/>
      </w:r>
    </w:p>
    <w:p w14:paraId="436D7046" w14:textId="77777777" w:rsidR="00562231" w:rsidRPr="00562231" w:rsidRDefault="00562231" w:rsidP="00562231">
      <w:pPr>
        <w:pStyle w:val="Body"/>
        <w:spacing w:line="360" w:lineRule="auto"/>
        <w:ind w:left="851"/>
        <w:jc w:val="both"/>
        <w:rPr>
          <w:b/>
          <w:sz w:val="24"/>
          <w:szCs w:val="24"/>
          <w:u w:val="single"/>
        </w:rPr>
      </w:pPr>
    </w:p>
    <w:p w14:paraId="7B82AE85" w14:textId="3DF988AC" w:rsidR="00E43A60" w:rsidRPr="00E43A60" w:rsidRDefault="00E54FCC" w:rsidP="00E54FCC">
      <w:pPr>
        <w:pStyle w:val="Body"/>
        <w:spacing w:line="360" w:lineRule="auto"/>
        <w:ind w:left="851" w:hanging="851"/>
        <w:jc w:val="both"/>
        <w:rPr>
          <w:b/>
          <w:sz w:val="22"/>
          <w:szCs w:val="22"/>
          <w:u w:val="single"/>
        </w:rPr>
      </w:pPr>
      <w:r w:rsidRPr="00E43A60">
        <w:rPr>
          <w:sz w:val="24"/>
          <w:szCs w:val="24"/>
        </w:rPr>
        <w:t>[11]</w:t>
      </w:r>
      <w:r w:rsidRPr="00E43A60">
        <w:rPr>
          <w:sz w:val="24"/>
          <w:szCs w:val="24"/>
        </w:rPr>
        <w:tab/>
      </w:r>
      <w:r w:rsidR="00AC6B13">
        <w:rPr>
          <w:bCs/>
          <w:sz w:val="24"/>
          <w:szCs w:val="24"/>
        </w:rPr>
        <w:t xml:space="preserve">Turning now to the substantive defence. It was argued that the debt due to Standard Bank had become prescribed. </w:t>
      </w:r>
      <w:r w:rsidR="00805D0E">
        <w:rPr>
          <w:bCs/>
          <w:sz w:val="24"/>
          <w:szCs w:val="24"/>
        </w:rPr>
        <w:t xml:space="preserve">This was the only defence proffered. </w:t>
      </w:r>
      <w:r w:rsidR="00AC6B13">
        <w:rPr>
          <w:bCs/>
          <w:sz w:val="24"/>
          <w:szCs w:val="24"/>
        </w:rPr>
        <w:t>It was argued for Ms. Barnard that once the property had been sold, Standard Bank</w:t>
      </w:r>
      <w:r w:rsidR="00686124">
        <w:rPr>
          <w:bCs/>
          <w:sz w:val="24"/>
          <w:szCs w:val="24"/>
        </w:rPr>
        <w:t xml:space="preserve"> </w:t>
      </w:r>
      <w:r w:rsidR="00AC6B13">
        <w:rPr>
          <w:bCs/>
          <w:sz w:val="24"/>
          <w:szCs w:val="24"/>
        </w:rPr>
        <w:t xml:space="preserve">in respect of the excess which was due but had not been recovered, was, now that the security was no longer held, in the same position as an unsecured creditor. </w:t>
      </w:r>
    </w:p>
    <w:p w14:paraId="5F6E2EEF" w14:textId="749D3801" w:rsidR="00E43A60" w:rsidRDefault="00E43A60" w:rsidP="00E43A60">
      <w:pPr>
        <w:pStyle w:val="ListParagraph"/>
        <w:rPr>
          <w:bCs/>
        </w:rPr>
      </w:pPr>
    </w:p>
    <w:p w14:paraId="4E7A8349" w14:textId="77777777" w:rsidR="005265A5" w:rsidRDefault="005265A5" w:rsidP="00E43A60">
      <w:pPr>
        <w:pStyle w:val="ListParagraph"/>
        <w:rPr>
          <w:bCs/>
        </w:rPr>
      </w:pPr>
    </w:p>
    <w:p w14:paraId="58485E00" w14:textId="46BF8FB9" w:rsidR="00AC6B13" w:rsidRPr="00AC6B13" w:rsidRDefault="00E54FCC" w:rsidP="00E54FCC">
      <w:pPr>
        <w:pStyle w:val="Body"/>
        <w:spacing w:line="360" w:lineRule="auto"/>
        <w:ind w:left="851" w:hanging="851"/>
        <w:jc w:val="both"/>
        <w:rPr>
          <w:b/>
          <w:sz w:val="22"/>
          <w:szCs w:val="22"/>
          <w:u w:val="single"/>
        </w:rPr>
      </w:pPr>
      <w:r w:rsidRPr="00AC6B13">
        <w:rPr>
          <w:sz w:val="24"/>
          <w:szCs w:val="24"/>
        </w:rPr>
        <w:lastRenderedPageBreak/>
        <w:t>[12]</w:t>
      </w:r>
      <w:r w:rsidRPr="00AC6B13">
        <w:rPr>
          <w:sz w:val="24"/>
          <w:szCs w:val="24"/>
        </w:rPr>
        <w:tab/>
      </w:r>
      <w:r w:rsidR="00E43A60">
        <w:rPr>
          <w:bCs/>
          <w:sz w:val="24"/>
          <w:szCs w:val="24"/>
        </w:rPr>
        <w:t>The argument then proceeded on the basis that in respect of the excess, now that it was no longer secured, it was subject to the 3-year prescriptive period laid down in section 11(d) of The Prescription Act.</w:t>
      </w:r>
      <w:r w:rsidR="00E43A60">
        <w:rPr>
          <w:rStyle w:val="FootnoteReference"/>
          <w:bCs/>
          <w:sz w:val="24"/>
          <w:szCs w:val="24"/>
        </w:rPr>
        <w:footnoteReference w:id="8"/>
      </w:r>
      <w:r w:rsidR="00E43A60">
        <w:rPr>
          <w:bCs/>
          <w:sz w:val="24"/>
          <w:szCs w:val="24"/>
        </w:rPr>
        <w:t xml:space="preserve"> The 30-year period argued by</w:t>
      </w:r>
      <w:r w:rsidR="00686124">
        <w:rPr>
          <w:bCs/>
          <w:sz w:val="24"/>
          <w:szCs w:val="24"/>
        </w:rPr>
        <w:t xml:space="preserve"> </w:t>
      </w:r>
      <w:r w:rsidR="00E43A60">
        <w:rPr>
          <w:bCs/>
          <w:sz w:val="24"/>
          <w:szCs w:val="24"/>
        </w:rPr>
        <w:t>Standard Bank as provided for in section 11(a)(</w:t>
      </w:r>
      <w:proofErr w:type="spellStart"/>
      <w:r w:rsidR="00E43A60">
        <w:rPr>
          <w:bCs/>
          <w:sz w:val="24"/>
          <w:szCs w:val="24"/>
        </w:rPr>
        <w:t>i</w:t>
      </w:r>
      <w:proofErr w:type="spellEnd"/>
      <w:r w:rsidR="00E43A60">
        <w:rPr>
          <w:bCs/>
          <w:sz w:val="24"/>
          <w:szCs w:val="24"/>
        </w:rPr>
        <w:t>) was simply not applicable as ther</w:t>
      </w:r>
      <w:r w:rsidR="00F228DD">
        <w:rPr>
          <w:bCs/>
          <w:sz w:val="24"/>
          <w:szCs w:val="24"/>
        </w:rPr>
        <w:t>e</w:t>
      </w:r>
      <w:r w:rsidR="00E43A60">
        <w:rPr>
          <w:bCs/>
          <w:sz w:val="24"/>
          <w:szCs w:val="24"/>
        </w:rPr>
        <w:t xml:space="preserve"> was no longer any mortgage bond securing the debt.</w:t>
      </w:r>
      <w:r w:rsidR="003F61E6">
        <w:rPr>
          <w:bCs/>
          <w:sz w:val="24"/>
          <w:szCs w:val="24"/>
        </w:rPr>
        <w:t xml:space="preserve"> The debt had become prescribed and was unenforceable from March 2016 on the basis of this argument.</w:t>
      </w:r>
    </w:p>
    <w:p w14:paraId="6B4B0EAC" w14:textId="77777777" w:rsidR="00AC6B13" w:rsidRDefault="00AC6B13" w:rsidP="00AC6B13">
      <w:pPr>
        <w:pStyle w:val="ListParagraph"/>
        <w:rPr>
          <w:bCs/>
        </w:rPr>
      </w:pPr>
    </w:p>
    <w:p w14:paraId="5692F5ED" w14:textId="0245B1B8" w:rsidR="00344DBD" w:rsidRPr="00F228DD" w:rsidRDefault="00E54FCC" w:rsidP="00E54FCC">
      <w:pPr>
        <w:pStyle w:val="Body"/>
        <w:spacing w:line="360" w:lineRule="auto"/>
        <w:ind w:left="851" w:hanging="851"/>
        <w:jc w:val="both"/>
        <w:rPr>
          <w:b/>
          <w:sz w:val="22"/>
          <w:szCs w:val="22"/>
          <w:u w:val="single"/>
        </w:rPr>
      </w:pPr>
      <w:r w:rsidRPr="00F228DD">
        <w:rPr>
          <w:sz w:val="24"/>
          <w:szCs w:val="24"/>
        </w:rPr>
        <w:t>[13]</w:t>
      </w:r>
      <w:r w:rsidRPr="00F228DD">
        <w:rPr>
          <w:sz w:val="24"/>
          <w:szCs w:val="24"/>
        </w:rPr>
        <w:tab/>
      </w:r>
      <w:r w:rsidR="00AC6B13">
        <w:rPr>
          <w:bCs/>
          <w:sz w:val="24"/>
          <w:szCs w:val="24"/>
        </w:rPr>
        <w:t>I</w:t>
      </w:r>
      <w:r w:rsidR="0030107F">
        <w:rPr>
          <w:bCs/>
          <w:sz w:val="24"/>
          <w:szCs w:val="24"/>
        </w:rPr>
        <w:t xml:space="preserve">n </w:t>
      </w:r>
      <w:r w:rsidR="00344DBD" w:rsidRPr="00344DBD">
        <w:rPr>
          <w:bCs/>
          <w:i/>
          <w:iCs/>
          <w:sz w:val="24"/>
          <w:szCs w:val="24"/>
        </w:rPr>
        <w:t>Botha v Standard Bank</w:t>
      </w:r>
      <w:r w:rsidR="00344DBD">
        <w:rPr>
          <w:rStyle w:val="FootnoteReference"/>
          <w:bCs/>
          <w:i/>
          <w:iCs/>
          <w:sz w:val="24"/>
          <w:szCs w:val="24"/>
        </w:rPr>
        <w:footnoteReference w:id="9"/>
      </w:r>
      <w:r w:rsidR="00344DBD">
        <w:rPr>
          <w:bCs/>
          <w:sz w:val="24"/>
          <w:szCs w:val="24"/>
        </w:rPr>
        <w:t xml:space="preserve">, </w:t>
      </w:r>
      <w:r w:rsidR="00F228DD">
        <w:rPr>
          <w:bCs/>
          <w:sz w:val="24"/>
          <w:szCs w:val="24"/>
        </w:rPr>
        <w:t xml:space="preserve">a judgment of the Supreme Court of Appeal and which is on all fours with the present matter it was held </w:t>
      </w:r>
      <w:r w:rsidR="00F77529">
        <w:rPr>
          <w:bCs/>
          <w:sz w:val="24"/>
          <w:szCs w:val="24"/>
        </w:rPr>
        <w:t>in regard to prescription</w:t>
      </w:r>
      <w:r w:rsidR="00805D0E">
        <w:rPr>
          <w:bCs/>
          <w:sz w:val="24"/>
          <w:szCs w:val="24"/>
        </w:rPr>
        <w:t xml:space="preserve"> and a claim brought against a surety</w:t>
      </w:r>
      <w:r w:rsidR="002C102B">
        <w:rPr>
          <w:bCs/>
          <w:sz w:val="24"/>
          <w:szCs w:val="24"/>
        </w:rPr>
        <w:t xml:space="preserve"> </w:t>
      </w:r>
      <w:r w:rsidR="00F228DD">
        <w:rPr>
          <w:bCs/>
          <w:sz w:val="24"/>
          <w:szCs w:val="24"/>
        </w:rPr>
        <w:t>that:</w:t>
      </w:r>
    </w:p>
    <w:p w14:paraId="435DA268" w14:textId="77777777" w:rsidR="002C102B" w:rsidRDefault="002C102B" w:rsidP="002C102B">
      <w:pPr>
        <w:spacing w:after="84" w:line="360" w:lineRule="auto"/>
        <w:ind w:left="720"/>
        <w:jc w:val="both"/>
        <w:rPr>
          <w:rFonts w:ascii="Arial" w:hAnsi="Arial" w:cs="Arial"/>
          <w:i/>
          <w:iCs/>
          <w:sz w:val="22"/>
          <w:szCs w:val="22"/>
        </w:rPr>
      </w:pPr>
    </w:p>
    <w:p w14:paraId="7CB957B1" w14:textId="4153B543" w:rsidR="00F77529" w:rsidRPr="005265A5" w:rsidRDefault="00F77529" w:rsidP="005265A5">
      <w:pPr>
        <w:spacing w:after="84" w:line="360" w:lineRule="auto"/>
        <w:ind w:left="2268" w:hanging="850"/>
        <w:jc w:val="both"/>
        <w:rPr>
          <w:rFonts w:ascii="Arial" w:hAnsi="Arial" w:cs="Arial"/>
          <w:i/>
          <w:iCs/>
        </w:rPr>
      </w:pPr>
      <w:r>
        <w:rPr>
          <w:rFonts w:ascii="Arial" w:hAnsi="Arial" w:cs="Arial"/>
          <w:i/>
          <w:iCs/>
          <w:sz w:val="22"/>
          <w:szCs w:val="22"/>
        </w:rPr>
        <w:t>“</w:t>
      </w:r>
      <w:r w:rsidRPr="00F77529">
        <w:rPr>
          <w:rFonts w:ascii="Arial" w:hAnsi="Arial" w:cs="Arial"/>
          <w:i/>
          <w:iCs/>
          <w:sz w:val="22"/>
          <w:szCs w:val="22"/>
        </w:rPr>
        <w:t>[23]</w:t>
      </w:r>
      <w:r w:rsidRPr="00F77529">
        <w:rPr>
          <w:rFonts w:ascii="Arial" w:hAnsi="Arial" w:cs="Arial"/>
          <w:i/>
          <w:iCs/>
          <w:sz w:val="22"/>
          <w:szCs w:val="22"/>
        </w:rPr>
        <w:tab/>
        <w:t xml:space="preserve">Similarly, in South Africa, under the Prescription Act, different prescription periods are statutorily specified on the basis of the type of debt. This is also how the commencement and duration of prescription periods was treated in </w:t>
      </w:r>
      <w:proofErr w:type="spellStart"/>
      <w:r w:rsidRPr="00F77529">
        <w:rPr>
          <w:rFonts w:ascii="Arial" w:hAnsi="Arial" w:cs="Arial"/>
          <w:i/>
          <w:iCs/>
          <w:sz w:val="22"/>
          <w:szCs w:val="22"/>
        </w:rPr>
        <w:t>Oliff</w:t>
      </w:r>
      <w:proofErr w:type="spellEnd"/>
      <w:r w:rsidRPr="00F77529">
        <w:rPr>
          <w:rFonts w:ascii="Arial" w:hAnsi="Arial" w:cs="Arial"/>
          <w:i/>
          <w:iCs/>
          <w:sz w:val="22"/>
          <w:szCs w:val="22"/>
        </w:rPr>
        <w:t xml:space="preserve">, under the provision applicable there. For present purposes it is apparent that the manner in which the UK courts have treated claims brought under a mortgage bond is consistent with the approach in </w:t>
      </w:r>
      <w:proofErr w:type="spellStart"/>
      <w:r w:rsidRPr="00F77529">
        <w:rPr>
          <w:rFonts w:ascii="Arial" w:hAnsi="Arial" w:cs="Arial"/>
          <w:i/>
          <w:iCs/>
          <w:sz w:val="22"/>
          <w:szCs w:val="22"/>
        </w:rPr>
        <w:t>Oliff</w:t>
      </w:r>
      <w:proofErr w:type="spellEnd"/>
      <w:r w:rsidRPr="00F77529">
        <w:rPr>
          <w:rFonts w:ascii="Arial" w:hAnsi="Arial" w:cs="Arial"/>
          <w:i/>
          <w:iCs/>
          <w:sz w:val="22"/>
          <w:szCs w:val="22"/>
        </w:rPr>
        <w:t xml:space="preserve">. Prescription periods applicable to debts secured by mortgage bonds in both jurisdictions run from the date the  right of action accrues and the debt is due. Once fixed, the period is immutable and unaffected by the subsequent cancellation of the bond. Put differently, in the United Kingdom it is the classification of the cause of action, and in South Africa </w:t>
      </w:r>
      <w:r w:rsidRPr="001E1962">
        <w:rPr>
          <w:rFonts w:ascii="Arial" w:hAnsi="Arial" w:cs="Arial"/>
          <w:i/>
          <w:iCs/>
          <w:sz w:val="22"/>
          <w:szCs w:val="22"/>
        </w:rPr>
        <w:t>the classification of the debt, which conclusively determines the period of prescription, not the fate of the security.”</w:t>
      </w:r>
    </w:p>
    <w:p w14:paraId="39138FC9" w14:textId="77777777" w:rsidR="00F77529" w:rsidRPr="005265A5" w:rsidRDefault="00F77529" w:rsidP="005265A5">
      <w:pPr>
        <w:spacing w:after="84" w:line="360" w:lineRule="auto"/>
        <w:ind w:left="2268" w:hanging="850"/>
        <w:jc w:val="both"/>
        <w:rPr>
          <w:rFonts w:ascii="Arial" w:hAnsi="Arial" w:cs="Arial"/>
          <w:i/>
          <w:iCs/>
        </w:rPr>
      </w:pPr>
    </w:p>
    <w:p w14:paraId="4A29A3E2" w14:textId="7F68BB41" w:rsidR="00F77529" w:rsidRPr="005265A5" w:rsidRDefault="00F77529" w:rsidP="005265A5">
      <w:pPr>
        <w:spacing w:after="84" w:line="360" w:lineRule="auto"/>
        <w:ind w:left="2268" w:hanging="850"/>
        <w:jc w:val="both"/>
        <w:rPr>
          <w:rFonts w:ascii="Arial" w:hAnsi="Arial" w:cs="Arial"/>
        </w:rPr>
      </w:pPr>
      <w:r w:rsidRPr="005265A5">
        <w:rPr>
          <w:rFonts w:ascii="Arial" w:hAnsi="Arial" w:cs="Arial"/>
        </w:rPr>
        <w:t>and</w:t>
      </w:r>
    </w:p>
    <w:p w14:paraId="54A03D02" w14:textId="77777777" w:rsidR="002C102B" w:rsidRDefault="002C102B" w:rsidP="005265A5">
      <w:pPr>
        <w:spacing w:after="84" w:line="360" w:lineRule="auto"/>
        <w:ind w:left="2268" w:hanging="850"/>
        <w:jc w:val="both"/>
        <w:rPr>
          <w:rFonts w:ascii="Arial" w:hAnsi="Arial" w:cs="Arial"/>
          <w:i/>
          <w:iCs/>
          <w:sz w:val="22"/>
          <w:szCs w:val="22"/>
        </w:rPr>
      </w:pPr>
    </w:p>
    <w:p w14:paraId="67EF0FA2" w14:textId="0A2839F2" w:rsidR="002C102B" w:rsidRPr="002C102B" w:rsidRDefault="002C102B" w:rsidP="001E1962">
      <w:pPr>
        <w:spacing w:after="84" w:line="360" w:lineRule="auto"/>
        <w:ind w:left="2268" w:hanging="850"/>
        <w:jc w:val="both"/>
        <w:rPr>
          <w:rFonts w:ascii="Arial" w:hAnsi="Arial" w:cs="Arial"/>
          <w:sz w:val="22"/>
          <w:szCs w:val="22"/>
        </w:rPr>
      </w:pPr>
      <w:r w:rsidRPr="002C102B">
        <w:rPr>
          <w:rFonts w:ascii="Arial" w:hAnsi="Arial" w:cs="Arial"/>
          <w:i/>
          <w:iCs/>
          <w:sz w:val="22"/>
          <w:szCs w:val="22"/>
        </w:rPr>
        <w:t xml:space="preserve">“[28] </w:t>
      </w:r>
      <w:r w:rsidR="001E1962">
        <w:rPr>
          <w:rFonts w:ascii="Arial" w:hAnsi="Arial" w:cs="Arial"/>
          <w:i/>
          <w:iCs/>
          <w:sz w:val="22"/>
          <w:szCs w:val="22"/>
        </w:rPr>
        <w:tab/>
      </w:r>
      <w:r w:rsidRPr="002C102B">
        <w:rPr>
          <w:rFonts w:ascii="Arial" w:hAnsi="Arial" w:cs="Arial"/>
          <w:i/>
          <w:iCs/>
          <w:sz w:val="22"/>
          <w:szCs w:val="22"/>
        </w:rPr>
        <w:t xml:space="preserve">So, the obiter dictum in Investec, underpinned by academic authority, that, once the security ceases to exist, the debt is no longer secured, is with respect not an accurate exposition of the law and is against the tenor of </w:t>
      </w:r>
      <w:r w:rsidRPr="002C102B">
        <w:rPr>
          <w:rFonts w:ascii="Arial" w:hAnsi="Arial" w:cs="Arial"/>
          <w:i/>
          <w:iCs/>
          <w:sz w:val="22"/>
          <w:szCs w:val="22"/>
        </w:rPr>
        <w:lastRenderedPageBreak/>
        <w:t xml:space="preserve">authority. </w:t>
      </w:r>
      <w:r w:rsidRPr="002C102B">
        <w:rPr>
          <w:rFonts w:ascii="Arial" w:hAnsi="Arial" w:cs="Arial"/>
          <w:i/>
          <w:iCs/>
          <w:sz w:val="22"/>
          <w:szCs w:val="22"/>
          <w:u w:val="single"/>
        </w:rPr>
        <w:t>The true position is that it is only when the right of  action accrues, and the debt is due that the prescription period is determined. And once determined, the period is fixed and immutable it is not alterable retroactively through the subsequent cancellation of the bond.</w:t>
      </w:r>
      <w:r w:rsidRPr="002C102B">
        <w:rPr>
          <w:rFonts w:ascii="Arial" w:hAnsi="Arial" w:cs="Arial"/>
          <w:i/>
          <w:iCs/>
          <w:sz w:val="22"/>
          <w:szCs w:val="22"/>
        </w:rPr>
        <w:t xml:space="preserve"> Investec is therefore only authority for the proposition that where the security is cancelled before the debt becomes due, and prescription has not yet begun to run against it, the debt is not a mortgage debt contemplated by s 11(a)(</w:t>
      </w:r>
      <w:proofErr w:type="spellStart"/>
      <w:r w:rsidRPr="002C102B">
        <w:rPr>
          <w:rFonts w:ascii="Arial" w:hAnsi="Arial" w:cs="Arial"/>
          <w:i/>
          <w:iCs/>
          <w:sz w:val="22"/>
          <w:szCs w:val="22"/>
        </w:rPr>
        <w:t>i</w:t>
      </w:r>
      <w:proofErr w:type="spellEnd"/>
      <w:r w:rsidRPr="002C102B">
        <w:rPr>
          <w:rFonts w:ascii="Arial" w:hAnsi="Arial" w:cs="Arial"/>
          <w:i/>
          <w:iCs/>
          <w:sz w:val="22"/>
          <w:szCs w:val="22"/>
        </w:rPr>
        <w:t xml:space="preserve">) of the Act. This is consistent with </w:t>
      </w:r>
      <w:proofErr w:type="spellStart"/>
      <w:r w:rsidRPr="002C102B">
        <w:rPr>
          <w:rFonts w:ascii="Arial" w:hAnsi="Arial" w:cs="Arial"/>
          <w:i/>
          <w:iCs/>
          <w:sz w:val="22"/>
          <w:szCs w:val="22"/>
        </w:rPr>
        <w:t>Oliff</w:t>
      </w:r>
      <w:proofErr w:type="spellEnd"/>
      <w:r w:rsidRPr="002C102B">
        <w:rPr>
          <w:rFonts w:ascii="Arial" w:hAnsi="Arial" w:cs="Arial"/>
          <w:i/>
          <w:iCs/>
          <w:sz w:val="22"/>
          <w:szCs w:val="22"/>
        </w:rPr>
        <w:t>.”</w:t>
      </w:r>
      <w:r>
        <w:rPr>
          <w:rFonts w:ascii="Arial" w:hAnsi="Arial" w:cs="Arial"/>
          <w:i/>
          <w:iCs/>
          <w:sz w:val="22"/>
          <w:szCs w:val="22"/>
        </w:rPr>
        <w:t xml:space="preserve">  </w:t>
      </w:r>
      <w:r w:rsidRPr="001E1962">
        <w:rPr>
          <w:rFonts w:ascii="Arial" w:hAnsi="Arial" w:cs="Arial"/>
        </w:rPr>
        <w:t>(my underlining)</w:t>
      </w:r>
    </w:p>
    <w:p w14:paraId="1D6103A5" w14:textId="77777777" w:rsidR="00F228DD" w:rsidRDefault="00F228DD" w:rsidP="00F228DD">
      <w:pPr>
        <w:pStyle w:val="ListParagraph"/>
        <w:rPr>
          <w:b/>
          <w:sz w:val="22"/>
          <w:szCs w:val="22"/>
          <w:u w:val="single"/>
        </w:rPr>
      </w:pPr>
    </w:p>
    <w:p w14:paraId="3B2D055C" w14:textId="18A16252" w:rsidR="003F61E6" w:rsidRPr="00805D0E" w:rsidRDefault="00E54FCC" w:rsidP="00E54FCC">
      <w:pPr>
        <w:pStyle w:val="Body"/>
        <w:spacing w:line="360" w:lineRule="auto"/>
        <w:ind w:left="851" w:hanging="851"/>
        <w:jc w:val="both"/>
        <w:rPr>
          <w:rFonts w:cs="Arial"/>
          <w:b/>
          <w:bCs/>
          <w:sz w:val="24"/>
          <w:szCs w:val="24"/>
        </w:rPr>
      </w:pPr>
      <w:r w:rsidRPr="00805D0E">
        <w:rPr>
          <w:rFonts w:cs="Arial"/>
          <w:sz w:val="24"/>
          <w:szCs w:val="24"/>
        </w:rPr>
        <w:t>[14]</w:t>
      </w:r>
      <w:r w:rsidRPr="00805D0E">
        <w:rPr>
          <w:rFonts w:cs="Arial"/>
          <w:sz w:val="24"/>
          <w:szCs w:val="24"/>
        </w:rPr>
        <w:tab/>
      </w:r>
      <w:r w:rsidR="002C102B" w:rsidRPr="00805D0E">
        <w:rPr>
          <w:bCs/>
          <w:sz w:val="24"/>
          <w:szCs w:val="24"/>
        </w:rPr>
        <w:t xml:space="preserve">There is accordingly no </w:t>
      </w:r>
      <w:r w:rsidR="003F61E6" w:rsidRPr="00805D0E">
        <w:rPr>
          <w:bCs/>
          <w:sz w:val="24"/>
          <w:szCs w:val="24"/>
        </w:rPr>
        <w:t xml:space="preserve">sustainable </w:t>
      </w:r>
      <w:r w:rsidR="002C102B" w:rsidRPr="00805D0E">
        <w:rPr>
          <w:bCs/>
          <w:sz w:val="24"/>
          <w:szCs w:val="24"/>
        </w:rPr>
        <w:t>basis in law for the argument that the prescriptive period changed upon cancellation of the mortgage bond</w:t>
      </w:r>
      <w:r w:rsidR="00805D0E">
        <w:rPr>
          <w:bCs/>
          <w:sz w:val="24"/>
          <w:szCs w:val="24"/>
        </w:rPr>
        <w:t xml:space="preserve"> and accordingly when the summons was served the debt had not become prescribed and unenforceable.</w:t>
      </w:r>
      <w:r w:rsidR="002C102B" w:rsidRPr="00805D0E">
        <w:rPr>
          <w:bCs/>
          <w:sz w:val="24"/>
          <w:szCs w:val="24"/>
        </w:rPr>
        <w:t xml:space="preserve"> </w:t>
      </w:r>
    </w:p>
    <w:p w14:paraId="2E4755CC" w14:textId="77777777" w:rsidR="00805D0E" w:rsidRPr="00805D0E" w:rsidRDefault="00805D0E" w:rsidP="001E1962">
      <w:pPr>
        <w:pStyle w:val="Body"/>
        <w:spacing w:line="360" w:lineRule="auto"/>
        <w:ind w:left="851" w:hanging="851"/>
        <w:jc w:val="both"/>
        <w:rPr>
          <w:rFonts w:cs="Arial"/>
          <w:b/>
          <w:bCs/>
          <w:sz w:val="24"/>
          <w:szCs w:val="24"/>
        </w:rPr>
      </w:pPr>
    </w:p>
    <w:p w14:paraId="7032CD59" w14:textId="5FE2BE0A" w:rsidR="003F61E6" w:rsidRPr="00805D0E" w:rsidRDefault="00E54FCC" w:rsidP="00E54FCC">
      <w:pPr>
        <w:pStyle w:val="Body"/>
        <w:spacing w:line="360" w:lineRule="auto"/>
        <w:ind w:left="851" w:hanging="851"/>
        <w:jc w:val="both"/>
        <w:rPr>
          <w:rFonts w:cs="Arial"/>
          <w:sz w:val="24"/>
          <w:szCs w:val="24"/>
        </w:rPr>
      </w:pPr>
      <w:r w:rsidRPr="00805D0E">
        <w:rPr>
          <w:rFonts w:cs="Arial"/>
          <w:sz w:val="24"/>
          <w:szCs w:val="24"/>
        </w:rPr>
        <w:t>[15]</w:t>
      </w:r>
      <w:r w:rsidRPr="00805D0E">
        <w:rPr>
          <w:rFonts w:cs="Arial"/>
          <w:sz w:val="24"/>
          <w:szCs w:val="24"/>
        </w:rPr>
        <w:tab/>
      </w:r>
      <w:r w:rsidR="00805D0E" w:rsidRPr="00805D0E">
        <w:rPr>
          <w:rFonts w:cs="Arial"/>
          <w:sz w:val="24"/>
          <w:szCs w:val="24"/>
        </w:rPr>
        <w:t>Ms. Barnard raised</w:t>
      </w:r>
      <w:r w:rsidR="00805D0E">
        <w:rPr>
          <w:rFonts w:cs="Arial"/>
          <w:sz w:val="24"/>
          <w:szCs w:val="24"/>
        </w:rPr>
        <w:t xml:space="preserve"> only one defence and for the reasons set out above it is, as a matter of law, unsustainable. For this reason, I am satisfied that Standard Bank is entitled to judgment.</w:t>
      </w:r>
      <w:r w:rsidR="00805D0E">
        <w:rPr>
          <w:rStyle w:val="FootnoteReference"/>
          <w:rFonts w:cs="Arial"/>
          <w:sz w:val="24"/>
          <w:szCs w:val="24"/>
        </w:rPr>
        <w:footnoteReference w:id="10"/>
      </w:r>
    </w:p>
    <w:p w14:paraId="25C190CB" w14:textId="77777777" w:rsidR="008A7718" w:rsidRDefault="008A7718" w:rsidP="001E1962">
      <w:pPr>
        <w:pStyle w:val="ListParagraph"/>
        <w:ind w:left="851" w:hanging="851"/>
        <w:jc w:val="both"/>
        <w:rPr>
          <w:rFonts w:cs="Arial"/>
          <w:b/>
          <w:bCs/>
        </w:rPr>
      </w:pPr>
    </w:p>
    <w:p w14:paraId="40089ED1" w14:textId="1ABE5597" w:rsidR="008A7718" w:rsidRPr="008A7718" w:rsidRDefault="00E54FCC" w:rsidP="00E54FCC">
      <w:pPr>
        <w:pStyle w:val="Body"/>
        <w:spacing w:line="360" w:lineRule="auto"/>
        <w:ind w:left="851" w:hanging="851"/>
        <w:jc w:val="both"/>
        <w:rPr>
          <w:rFonts w:cs="Arial"/>
          <w:b/>
          <w:bCs/>
          <w:sz w:val="24"/>
          <w:szCs w:val="24"/>
        </w:rPr>
      </w:pPr>
      <w:r w:rsidRPr="008A7718">
        <w:rPr>
          <w:rFonts w:cs="Arial"/>
          <w:sz w:val="24"/>
          <w:szCs w:val="24"/>
        </w:rPr>
        <w:t>[16]</w:t>
      </w:r>
      <w:r w:rsidRPr="008A7718">
        <w:rPr>
          <w:rFonts w:cs="Arial"/>
          <w:sz w:val="24"/>
          <w:szCs w:val="24"/>
        </w:rPr>
        <w:tab/>
      </w:r>
      <w:r w:rsidR="008A7718">
        <w:rPr>
          <w:rFonts w:cs="Arial"/>
          <w:sz w:val="24"/>
          <w:szCs w:val="24"/>
        </w:rPr>
        <w:t>In the circumstances Ms. Barnard is ordered to pay to Standard Bank:</w:t>
      </w:r>
    </w:p>
    <w:p w14:paraId="150F2AF4" w14:textId="77777777" w:rsidR="008A7718" w:rsidRDefault="008A7718" w:rsidP="008A7718">
      <w:pPr>
        <w:pStyle w:val="ListParagraph"/>
        <w:rPr>
          <w:rFonts w:cs="Arial"/>
          <w:b/>
          <w:bCs/>
        </w:rPr>
      </w:pPr>
    </w:p>
    <w:p w14:paraId="0DF542C5" w14:textId="67EEB99C" w:rsidR="008A7718" w:rsidRDefault="008A7718" w:rsidP="001E1962">
      <w:pPr>
        <w:pStyle w:val="Body"/>
        <w:spacing w:line="360" w:lineRule="auto"/>
        <w:ind w:left="1985" w:hanging="1134"/>
        <w:rPr>
          <w:rFonts w:cs="Arial"/>
          <w:sz w:val="24"/>
          <w:szCs w:val="24"/>
        </w:rPr>
      </w:pPr>
      <w:r>
        <w:rPr>
          <w:rFonts w:cs="Arial"/>
          <w:sz w:val="24"/>
          <w:szCs w:val="24"/>
        </w:rPr>
        <w:t>[16.1]</w:t>
      </w:r>
      <w:r>
        <w:rPr>
          <w:rFonts w:cs="Arial"/>
          <w:sz w:val="24"/>
          <w:szCs w:val="24"/>
        </w:rPr>
        <w:tab/>
        <w:t>The sum of R4 026 570.56.</w:t>
      </w:r>
    </w:p>
    <w:p w14:paraId="4C537ECC" w14:textId="77777777" w:rsidR="001E1962" w:rsidRDefault="001E1962" w:rsidP="001E1962">
      <w:pPr>
        <w:pStyle w:val="Body"/>
        <w:spacing w:line="360" w:lineRule="auto"/>
        <w:ind w:left="1985" w:hanging="1134"/>
        <w:rPr>
          <w:rFonts w:cs="Arial"/>
          <w:sz w:val="24"/>
          <w:szCs w:val="24"/>
        </w:rPr>
      </w:pPr>
    </w:p>
    <w:p w14:paraId="4397C585" w14:textId="3A342BE1" w:rsidR="008A7718" w:rsidRDefault="008A7718" w:rsidP="001E1962">
      <w:pPr>
        <w:pStyle w:val="Body"/>
        <w:spacing w:line="360" w:lineRule="auto"/>
        <w:ind w:left="1985" w:hanging="1134"/>
        <w:rPr>
          <w:rFonts w:cs="Arial"/>
          <w:sz w:val="24"/>
          <w:szCs w:val="24"/>
        </w:rPr>
      </w:pPr>
      <w:r>
        <w:rPr>
          <w:rFonts w:cs="Arial"/>
          <w:sz w:val="24"/>
          <w:szCs w:val="24"/>
        </w:rPr>
        <w:t>[16.2]</w:t>
      </w:r>
      <w:r>
        <w:rPr>
          <w:rFonts w:cs="Arial"/>
          <w:sz w:val="24"/>
          <w:szCs w:val="24"/>
        </w:rPr>
        <w:tab/>
        <w:t>Interest on the amount of R4 026 570.56 at the rate of 8% per annum from 30 March 2021 to date of payment, both dates inclusive; and</w:t>
      </w:r>
    </w:p>
    <w:p w14:paraId="7E84336C" w14:textId="77777777" w:rsidR="001E1962" w:rsidRDefault="001E1962" w:rsidP="001E1962">
      <w:pPr>
        <w:pStyle w:val="Body"/>
        <w:spacing w:line="360" w:lineRule="auto"/>
        <w:ind w:left="1985" w:hanging="1134"/>
        <w:rPr>
          <w:rFonts w:cs="Arial"/>
          <w:sz w:val="24"/>
          <w:szCs w:val="24"/>
        </w:rPr>
      </w:pPr>
    </w:p>
    <w:p w14:paraId="49994DB1" w14:textId="7D59C785" w:rsidR="008A7718" w:rsidRPr="008A7718" w:rsidRDefault="008A7718" w:rsidP="001E1962">
      <w:pPr>
        <w:pStyle w:val="Body"/>
        <w:spacing w:line="360" w:lineRule="auto"/>
        <w:ind w:left="1985" w:hanging="1134"/>
        <w:rPr>
          <w:rFonts w:cs="Arial"/>
          <w:sz w:val="24"/>
          <w:szCs w:val="24"/>
        </w:rPr>
      </w:pPr>
      <w:r>
        <w:rPr>
          <w:rFonts w:cs="Arial"/>
          <w:sz w:val="24"/>
          <w:szCs w:val="24"/>
        </w:rPr>
        <w:t>[16.3]</w:t>
      </w:r>
      <w:r>
        <w:rPr>
          <w:rFonts w:cs="Arial"/>
          <w:sz w:val="24"/>
          <w:szCs w:val="24"/>
        </w:rPr>
        <w:tab/>
        <w:t>Costs of suit on the scale as between attorney and own client which costs are to include the costs reserved on 16 August 2023.</w:t>
      </w:r>
    </w:p>
    <w:p w14:paraId="65416376" w14:textId="77777777" w:rsidR="008E6813" w:rsidRDefault="008E6813" w:rsidP="00413603">
      <w:pPr>
        <w:pStyle w:val="Body"/>
        <w:ind w:left="720"/>
        <w:jc w:val="right"/>
        <w:rPr>
          <w:rFonts w:cs="Arial"/>
          <w:b/>
          <w:bCs/>
          <w:sz w:val="24"/>
          <w:szCs w:val="24"/>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lastRenderedPageBreak/>
        <w:t>A MILLAR</w:t>
      </w:r>
    </w:p>
    <w:p w14:paraId="206E179D" w14:textId="76294E94" w:rsidR="00101D88" w:rsidRPr="00242E76" w:rsidRDefault="00101D88" w:rsidP="001E1962">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1E1962">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32F05F9F"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C74CAA">
        <w:rPr>
          <w:rFonts w:ascii="Arial" w:hAnsi="Arial" w:cs="Arial"/>
          <w:sz w:val="22"/>
          <w:szCs w:val="22"/>
        </w:rPr>
        <w:tab/>
        <w:t xml:space="preserve">20 </w:t>
      </w:r>
      <w:r w:rsidR="005E6295">
        <w:rPr>
          <w:rFonts w:ascii="Arial" w:hAnsi="Arial" w:cs="Arial"/>
          <w:sz w:val="22"/>
          <w:szCs w:val="22"/>
        </w:rPr>
        <w:t xml:space="preserve"> </w:t>
      </w:r>
      <w:r w:rsidR="00C74CAA">
        <w:rPr>
          <w:rFonts w:ascii="Arial" w:hAnsi="Arial" w:cs="Arial"/>
          <w:sz w:val="22"/>
          <w:szCs w:val="22"/>
        </w:rPr>
        <w:t>NOVEMBER 2023</w:t>
      </w:r>
    </w:p>
    <w:p w14:paraId="7E6457D4" w14:textId="602C8C91"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C74CAA">
        <w:rPr>
          <w:rFonts w:ascii="Arial" w:hAnsi="Arial" w:cs="Arial"/>
          <w:sz w:val="22"/>
          <w:szCs w:val="22"/>
        </w:rPr>
        <w:tab/>
      </w:r>
      <w:proofErr w:type="gramStart"/>
      <w:r w:rsidR="005E6295">
        <w:rPr>
          <w:rFonts w:ascii="Arial" w:hAnsi="Arial" w:cs="Arial"/>
          <w:sz w:val="22"/>
          <w:szCs w:val="22"/>
        </w:rPr>
        <w:t>2</w:t>
      </w:r>
      <w:r w:rsidR="001E1962">
        <w:rPr>
          <w:rFonts w:ascii="Arial" w:hAnsi="Arial" w:cs="Arial"/>
          <w:sz w:val="22"/>
          <w:szCs w:val="22"/>
        </w:rPr>
        <w:t>3</w:t>
      </w:r>
      <w:r w:rsidR="005E6295">
        <w:rPr>
          <w:rFonts w:ascii="Arial" w:hAnsi="Arial" w:cs="Arial"/>
          <w:sz w:val="22"/>
          <w:szCs w:val="22"/>
        </w:rPr>
        <w:t xml:space="preserve"> </w:t>
      </w:r>
      <w:r w:rsidR="00C74CAA">
        <w:rPr>
          <w:rFonts w:ascii="Arial" w:hAnsi="Arial" w:cs="Arial"/>
          <w:sz w:val="22"/>
          <w:szCs w:val="22"/>
        </w:rPr>
        <w:t xml:space="preserve"> NOVEMBER</w:t>
      </w:r>
      <w:proofErr w:type="gramEnd"/>
      <w:r w:rsidR="00C74CAA">
        <w:rPr>
          <w:rFonts w:ascii="Arial" w:hAnsi="Arial" w:cs="Arial"/>
          <w:sz w:val="22"/>
          <w:szCs w:val="22"/>
        </w:rPr>
        <w:t xml:space="preserve">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72F72E5A"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C74CAA">
        <w:rPr>
          <w:rFonts w:ascii="Arial" w:hAnsi="Arial" w:cs="Arial"/>
          <w:sz w:val="22"/>
          <w:szCs w:val="22"/>
        </w:rPr>
        <w:t>/PLAINTIFF</w:t>
      </w:r>
      <w:r w:rsidR="00412E0C" w:rsidRPr="00242E76">
        <w:rPr>
          <w:rFonts w:ascii="Arial" w:hAnsi="Arial" w:cs="Arial"/>
          <w:sz w:val="22"/>
          <w:szCs w:val="22"/>
        </w:rPr>
        <w:t>:</w:t>
      </w:r>
      <w:r w:rsidR="00242E76">
        <w:rPr>
          <w:rFonts w:ascii="Arial" w:hAnsi="Arial" w:cs="Arial"/>
          <w:sz w:val="22"/>
          <w:szCs w:val="22"/>
        </w:rPr>
        <w:tab/>
      </w:r>
      <w:r w:rsidR="00C74CAA">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DE38E6">
        <w:rPr>
          <w:rFonts w:ascii="Arial" w:hAnsi="Arial" w:cs="Arial"/>
          <w:sz w:val="22"/>
          <w:szCs w:val="22"/>
        </w:rPr>
        <w:t>M RAKGOALE</w:t>
      </w:r>
    </w:p>
    <w:p w14:paraId="6434C520" w14:textId="13D6A9D9"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C74CAA">
        <w:rPr>
          <w:rFonts w:ascii="Arial" w:hAnsi="Arial" w:cs="Arial"/>
          <w:sz w:val="22"/>
          <w:szCs w:val="22"/>
        </w:rPr>
        <w:tab/>
      </w:r>
      <w:r w:rsidR="00DE38E6">
        <w:rPr>
          <w:rFonts w:ascii="Arial" w:hAnsi="Arial" w:cs="Arial"/>
          <w:sz w:val="22"/>
          <w:szCs w:val="22"/>
        </w:rPr>
        <w:t>VEZI &amp; DE BEER INC.</w:t>
      </w:r>
    </w:p>
    <w:p w14:paraId="7383FC0C" w14:textId="60B72E90"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C74CAA">
        <w:rPr>
          <w:rFonts w:ascii="Arial" w:hAnsi="Arial" w:cs="Arial"/>
          <w:sz w:val="22"/>
          <w:szCs w:val="22"/>
        </w:rPr>
        <w:tab/>
      </w:r>
      <w:r w:rsidR="00DE38E6">
        <w:rPr>
          <w:rFonts w:ascii="Arial" w:hAnsi="Arial" w:cs="Arial"/>
          <w:sz w:val="22"/>
          <w:szCs w:val="22"/>
        </w:rPr>
        <w:t>MS. A BRITZ</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633AD7DA" w:rsidR="006630FB" w:rsidRPr="00242E76"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THE</w:t>
      </w:r>
      <w:r w:rsidR="00C74CAA">
        <w:rPr>
          <w:rFonts w:ascii="Arial" w:hAnsi="Arial" w:cs="Arial"/>
          <w:sz w:val="22"/>
          <w:szCs w:val="22"/>
        </w:rPr>
        <w:t xml:space="preserve"> </w:t>
      </w:r>
      <w:r w:rsidR="000218AC">
        <w:rPr>
          <w:rFonts w:ascii="Arial" w:hAnsi="Arial" w:cs="Arial"/>
          <w:sz w:val="22"/>
          <w:szCs w:val="22"/>
        </w:rPr>
        <w:t>RESPONDENT</w:t>
      </w:r>
      <w:r w:rsidR="00C74CAA">
        <w:rPr>
          <w:rFonts w:ascii="Arial" w:hAnsi="Arial" w:cs="Arial"/>
          <w:sz w:val="22"/>
          <w:szCs w:val="22"/>
        </w:rPr>
        <w:t>/DEFENDANT</w:t>
      </w:r>
      <w:r w:rsidR="006630FB" w:rsidRPr="00242E76">
        <w:rPr>
          <w:rFonts w:ascii="Arial" w:hAnsi="Arial" w:cs="Arial"/>
          <w:sz w:val="22"/>
          <w:szCs w:val="22"/>
        </w:rPr>
        <w:t>:</w:t>
      </w:r>
      <w:r w:rsidR="000E07B1">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DE38E6">
        <w:rPr>
          <w:rFonts w:ascii="Arial" w:hAnsi="Arial" w:cs="Arial"/>
          <w:sz w:val="22"/>
          <w:szCs w:val="22"/>
        </w:rPr>
        <w:t>J PRINSLOO</w:t>
      </w:r>
    </w:p>
    <w:p w14:paraId="6EEF6A02" w14:textId="08E216F2"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C74CAA">
        <w:rPr>
          <w:rFonts w:ascii="Arial" w:hAnsi="Arial" w:cs="Arial"/>
          <w:sz w:val="22"/>
          <w:szCs w:val="22"/>
        </w:rPr>
        <w:tab/>
      </w:r>
      <w:r w:rsidR="00DE38E6">
        <w:rPr>
          <w:rFonts w:ascii="Arial" w:hAnsi="Arial" w:cs="Arial"/>
          <w:sz w:val="22"/>
          <w:szCs w:val="22"/>
        </w:rPr>
        <w:t>SCHOEMAN BORMAN INC.</w:t>
      </w:r>
    </w:p>
    <w:p w14:paraId="0030EF17" w14:textId="3069F2DB"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C74CAA">
        <w:rPr>
          <w:rFonts w:ascii="Arial" w:hAnsi="Arial" w:cs="Arial"/>
          <w:sz w:val="22"/>
          <w:szCs w:val="22"/>
        </w:rPr>
        <w:tab/>
      </w:r>
      <w:r w:rsidR="00DE38E6">
        <w:rPr>
          <w:rFonts w:ascii="Arial" w:hAnsi="Arial" w:cs="Arial"/>
          <w:sz w:val="22"/>
          <w:szCs w:val="22"/>
        </w:rPr>
        <w:t>MS. Y BORMAN</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bookmarkEnd w:id="0"/>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10"/>
      <w:headerReference w:type="default" r:id="rId11"/>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145AB" w14:textId="77777777" w:rsidR="00992F8A" w:rsidRDefault="00992F8A" w:rsidP="008C18AE">
      <w:r>
        <w:separator/>
      </w:r>
    </w:p>
  </w:endnote>
  <w:endnote w:type="continuationSeparator" w:id="0">
    <w:p w14:paraId="2E654A25" w14:textId="77777777" w:rsidR="00992F8A" w:rsidRDefault="00992F8A"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8798D" w14:textId="77777777" w:rsidR="00992F8A" w:rsidRDefault="00992F8A" w:rsidP="008C18AE">
      <w:r>
        <w:separator/>
      </w:r>
    </w:p>
  </w:footnote>
  <w:footnote w:type="continuationSeparator" w:id="0">
    <w:p w14:paraId="4A836751" w14:textId="77777777" w:rsidR="00992F8A" w:rsidRDefault="00992F8A" w:rsidP="008C18AE">
      <w:r>
        <w:continuationSeparator/>
      </w:r>
    </w:p>
  </w:footnote>
  <w:footnote w:id="1">
    <w:p w14:paraId="6DADE735" w14:textId="0F3B480C" w:rsidR="00805D0E" w:rsidRPr="00805D0E" w:rsidRDefault="00805D0E" w:rsidP="005265A5">
      <w:pPr>
        <w:pStyle w:val="FootnoteText"/>
        <w:ind w:left="284" w:hanging="284"/>
        <w:rPr>
          <w:rFonts w:ascii="Arial" w:hAnsi="Arial" w:cs="Arial"/>
          <w:sz w:val="20"/>
          <w:szCs w:val="20"/>
        </w:rPr>
      </w:pPr>
      <w:r w:rsidRPr="00805D0E">
        <w:rPr>
          <w:rStyle w:val="FootnoteReference"/>
          <w:rFonts w:ascii="Arial" w:hAnsi="Arial" w:cs="Arial"/>
          <w:sz w:val="20"/>
          <w:szCs w:val="20"/>
        </w:rPr>
        <w:footnoteRef/>
      </w:r>
      <w:r w:rsidRPr="00805D0E">
        <w:rPr>
          <w:rFonts w:ascii="Arial" w:hAnsi="Arial" w:cs="Arial"/>
          <w:sz w:val="20"/>
          <w:szCs w:val="20"/>
        </w:rPr>
        <w:t xml:space="preserve"> </w:t>
      </w:r>
      <w:r w:rsidR="005265A5">
        <w:rPr>
          <w:rFonts w:ascii="Arial" w:hAnsi="Arial" w:cs="Arial"/>
          <w:sz w:val="20"/>
          <w:szCs w:val="20"/>
        </w:rPr>
        <w:tab/>
      </w:r>
      <w:r w:rsidRPr="00805D0E">
        <w:rPr>
          <w:rFonts w:ascii="Arial" w:hAnsi="Arial" w:cs="Arial"/>
          <w:sz w:val="20"/>
          <w:szCs w:val="20"/>
        </w:rPr>
        <w:t>The respondent had also brought a counterclaim, but this was abandoned in the affidavit opposing the grant of summary judgment.</w:t>
      </w:r>
    </w:p>
  </w:footnote>
  <w:footnote w:id="2">
    <w:p w14:paraId="1ECBE1B1" w14:textId="0A99706A" w:rsidR="000F5447" w:rsidRPr="0030107F" w:rsidRDefault="000F5447" w:rsidP="005265A5">
      <w:pPr>
        <w:pStyle w:val="FootnoteText"/>
        <w:ind w:left="284" w:hanging="284"/>
        <w:jc w:val="both"/>
        <w:rPr>
          <w:rFonts w:ascii="Arial" w:hAnsi="Arial" w:cs="Arial"/>
          <w:sz w:val="20"/>
          <w:szCs w:val="20"/>
        </w:rPr>
      </w:pPr>
      <w:r w:rsidRPr="0030107F">
        <w:rPr>
          <w:rStyle w:val="FootnoteReference"/>
          <w:rFonts w:ascii="Arial" w:hAnsi="Arial" w:cs="Arial"/>
          <w:sz w:val="20"/>
          <w:szCs w:val="20"/>
        </w:rPr>
        <w:footnoteRef/>
      </w:r>
      <w:r w:rsidRPr="0030107F">
        <w:rPr>
          <w:rFonts w:ascii="Arial" w:hAnsi="Arial" w:cs="Arial"/>
          <w:sz w:val="20"/>
          <w:szCs w:val="20"/>
        </w:rPr>
        <w:t xml:space="preserve"> </w:t>
      </w:r>
      <w:r w:rsidR="005265A5">
        <w:rPr>
          <w:rFonts w:ascii="Arial" w:hAnsi="Arial" w:cs="Arial"/>
          <w:sz w:val="20"/>
          <w:szCs w:val="20"/>
        </w:rPr>
        <w:tab/>
      </w:r>
      <w:r w:rsidR="0030107F" w:rsidRPr="0030107F">
        <w:rPr>
          <w:rFonts w:ascii="Arial" w:hAnsi="Arial" w:cs="Arial"/>
          <w:sz w:val="20"/>
          <w:szCs w:val="20"/>
        </w:rPr>
        <w:t xml:space="preserve">16 of 1963 read together with the Regulations promulgated in terms of section 10 relating to the Administration of Oaths published in GN R1258 in </w:t>
      </w:r>
      <w:r w:rsidR="0030107F" w:rsidRPr="0030107F">
        <w:rPr>
          <w:rFonts w:ascii="Arial" w:hAnsi="Arial" w:cs="Arial"/>
          <w:i/>
          <w:iCs/>
          <w:sz w:val="20"/>
          <w:szCs w:val="20"/>
        </w:rPr>
        <w:t xml:space="preserve">GG </w:t>
      </w:r>
      <w:r w:rsidR="0030107F" w:rsidRPr="0030107F">
        <w:rPr>
          <w:rFonts w:ascii="Arial" w:hAnsi="Arial" w:cs="Arial"/>
          <w:sz w:val="20"/>
          <w:szCs w:val="20"/>
        </w:rPr>
        <w:t>3619 of 21 July 1972.</w:t>
      </w:r>
    </w:p>
  </w:footnote>
  <w:footnote w:id="3">
    <w:p w14:paraId="3E2B7F48" w14:textId="3B7A48AE" w:rsidR="00C25E97" w:rsidRPr="0030107F" w:rsidRDefault="00C25E97" w:rsidP="005265A5">
      <w:pPr>
        <w:pStyle w:val="FootnoteText"/>
        <w:ind w:left="284" w:hanging="284"/>
        <w:jc w:val="both"/>
        <w:rPr>
          <w:rFonts w:ascii="Arial" w:hAnsi="Arial" w:cs="Arial"/>
          <w:sz w:val="20"/>
          <w:szCs w:val="20"/>
        </w:rPr>
      </w:pPr>
      <w:r w:rsidRPr="0030107F">
        <w:rPr>
          <w:rStyle w:val="FootnoteReference"/>
          <w:rFonts w:ascii="Arial" w:hAnsi="Arial" w:cs="Arial"/>
          <w:sz w:val="20"/>
          <w:szCs w:val="20"/>
        </w:rPr>
        <w:footnoteRef/>
      </w:r>
      <w:r w:rsidRPr="0030107F">
        <w:rPr>
          <w:rFonts w:ascii="Arial" w:hAnsi="Arial" w:cs="Arial"/>
          <w:sz w:val="20"/>
          <w:szCs w:val="20"/>
        </w:rPr>
        <w:t xml:space="preserve"> </w:t>
      </w:r>
      <w:r w:rsidR="005265A5">
        <w:rPr>
          <w:rFonts w:ascii="Arial" w:hAnsi="Arial" w:cs="Arial"/>
          <w:sz w:val="20"/>
          <w:szCs w:val="20"/>
        </w:rPr>
        <w:tab/>
      </w:r>
      <w:r w:rsidR="0030107F" w:rsidRPr="0030107F">
        <w:rPr>
          <w:rFonts w:ascii="Arial" w:hAnsi="Arial" w:cs="Arial"/>
          <w:sz w:val="20"/>
          <w:szCs w:val="20"/>
        </w:rPr>
        <w:t>Regulation 3(1).</w:t>
      </w:r>
    </w:p>
  </w:footnote>
  <w:footnote w:id="4">
    <w:p w14:paraId="76B9F27C" w14:textId="5D432190" w:rsidR="0030107F" w:rsidRPr="00562231" w:rsidRDefault="0030107F" w:rsidP="005265A5">
      <w:pPr>
        <w:pStyle w:val="FootnoteText"/>
        <w:ind w:left="284" w:hanging="284"/>
        <w:jc w:val="both"/>
        <w:rPr>
          <w:rFonts w:ascii="Arial" w:hAnsi="Arial" w:cs="Arial"/>
          <w:sz w:val="20"/>
          <w:szCs w:val="20"/>
        </w:rPr>
      </w:pPr>
      <w:r w:rsidRPr="00562231">
        <w:rPr>
          <w:rStyle w:val="FootnoteReference"/>
          <w:rFonts w:ascii="Arial" w:hAnsi="Arial" w:cs="Arial"/>
          <w:sz w:val="20"/>
          <w:szCs w:val="20"/>
        </w:rPr>
        <w:footnoteRef/>
      </w:r>
      <w:r w:rsidRPr="00562231">
        <w:rPr>
          <w:rFonts w:ascii="Arial" w:hAnsi="Arial" w:cs="Arial"/>
          <w:sz w:val="20"/>
          <w:szCs w:val="20"/>
        </w:rPr>
        <w:t xml:space="preserve"> </w:t>
      </w:r>
      <w:r w:rsidR="005265A5">
        <w:rPr>
          <w:rFonts w:ascii="Arial" w:hAnsi="Arial" w:cs="Arial"/>
          <w:sz w:val="20"/>
          <w:szCs w:val="20"/>
        </w:rPr>
        <w:tab/>
      </w:r>
      <w:r w:rsidRPr="00562231">
        <w:rPr>
          <w:rFonts w:ascii="Arial" w:hAnsi="Arial" w:cs="Arial"/>
          <w:sz w:val="20"/>
          <w:szCs w:val="20"/>
        </w:rPr>
        <w:t>Regulation 4(1).</w:t>
      </w:r>
    </w:p>
  </w:footnote>
  <w:footnote w:id="5">
    <w:p w14:paraId="67B2E295" w14:textId="736B6FCB" w:rsidR="00C25E97" w:rsidRPr="00562231" w:rsidRDefault="00C25E97" w:rsidP="005265A5">
      <w:pPr>
        <w:pStyle w:val="FootnoteText"/>
        <w:ind w:left="284" w:hanging="284"/>
        <w:jc w:val="both"/>
        <w:rPr>
          <w:rFonts w:ascii="Arial" w:hAnsi="Arial" w:cs="Arial"/>
          <w:sz w:val="20"/>
          <w:szCs w:val="20"/>
        </w:rPr>
      </w:pPr>
      <w:r w:rsidRPr="00562231">
        <w:rPr>
          <w:rStyle w:val="FootnoteReference"/>
          <w:rFonts w:ascii="Arial" w:hAnsi="Arial" w:cs="Arial"/>
          <w:sz w:val="20"/>
          <w:szCs w:val="20"/>
        </w:rPr>
        <w:footnoteRef/>
      </w:r>
      <w:r w:rsidRPr="00562231">
        <w:rPr>
          <w:rFonts w:ascii="Arial" w:hAnsi="Arial" w:cs="Arial"/>
          <w:sz w:val="20"/>
          <w:szCs w:val="20"/>
        </w:rPr>
        <w:t xml:space="preserve"> </w:t>
      </w:r>
      <w:r w:rsidR="005265A5">
        <w:rPr>
          <w:rFonts w:ascii="Arial" w:hAnsi="Arial" w:cs="Arial"/>
          <w:sz w:val="20"/>
          <w:szCs w:val="20"/>
        </w:rPr>
        <w:tab/>
      </w:r>
      <w:r w:rsidR="0030107F" w:rsidRPr="00562231">
        <w:rPr>
          <w:rFonts w:ascii="Arial" w:hAnsi="Arial" w:cs="Arial"/>
          <w:sz w:val="20"/>
          <w:szCs w:val="20"/>
        </w:rPr>
        <w:t>Regulation 4(2)(a)-(b).</w:t>
      </w:r>
    </w:p>
  </w:footnote>
  <w:footnote w:id="6">
    <w:p w14:paraId="7942E635" w14:textId="7BACC0D1" w:rsidR="00562231" w:rsidRPr="00AC6B13" w:rsidRDefault="00562231" w:rsidP="005265A5">
      <w:pPr>
        <w:pStyle w:val="FootnoteText"/>
        <w:ind w:left="284" w:hanging="284"/>
        <w:jc w:val="both"/>
        <w:rPr>
          <w:rFonts w:ascii="Arial" w:hAnsi="Arial" w:cs="Arial"/>
          <w:sz w:val="20"/>
          <w:szCs w:val="20"/>
        </w:rPr>
      </w:pPr>
      <w:r w:rsidRPr="00AC6B13">
        <w:rPr>
          <w:rStyle w:val="FootnoteReference"/>
          <w:rFonts w:ascii="Arial" w:hAnsi="Arial" w:cs="Arial"/>
          <w:sz w:val="20"/>
          <w:szCs w:val="20"/>
        </w:rPr>
        <w:footnoteRef/>
      </w:r>
      <w:r w:rsidRPr="00AC6B13">
        <w:rPr>
          <w:rFonts w:ascii="Arial" w:hAnsi="Arial" w:cs="Arial"/>
          <w:sz w:val="20"/>
          <w:szCs w:val="20"/>
        </w:rPr>
        <w:t xml:space="preserve"> </w:t>
      </w:r>
      <w:r w:rsidR="005265A5">
        <w:rPr>
          <w:rFonts w:ascii="Arial" w:hAnsi="Arial" w:cs="Arial"/>
          <w:sz w:val="20"/>
          <w:szCs w:val="20"/>
        </w:rPr>
        <w:tab/>
      </w:r>
      <w:r w:rsidRPr="00AC6B13">
        <w:rPr>
          <w:rFonts w:ascii="Arial" w:hAnsi="Arial" w:cs="Arial"/>
          <w:sz w:val="20"/>
          <w:szCs w:val="20"/>
        </w:rPr>
        <w:t xml:space="preserve">GN 903 of 1998 in </w:t>
      </w:r>
      <w:r w:rsidRPr="00AC6B13">
        <w:rPr>
          <w:rFonts w:ascii="Arial" w:hAnsi="Arial" w:cs="Arial"/>
          <w:i/>
          <w:iCs/>
          <w:sz w:val="20"/>
          <w:szCs w:val="20"/>
        </w:rPr>
        <w:t>GG</w:t>
      </w:r>
      <w:r w:rsidR="00AC6B13" w:rsidRPr="00AC6B13">
        <w:rPr>
          <w:rFonts w:ascii="Arial" w:hAnsi="Arial" w:cs="Arial"/>
          <w:sz w:val="20"/>
          <w:szCs w:val="20"/>
        </w:rPr>
        <w:t xml:space="preserve"> 19033 of 10 July 1998.</w:t>
      </w:r>
    </w:p>
  </w:footnote>
  <w:footnote w:id="7">
    <w:p w14:paraId="1BACF836" w14:textId="2D6E1EB8" w:rsidR="00562231" w:rsidRPr="00562231" w:rsidRDefault="00562231" w:rsidP="005265A5">
      <w:pPr>
        <w:pStyle w:val="FootnoteText"/>
        <w:ind w:left="284" w:hanging="284"/>
        <w:jc w:val="both"/>
        <w:rPr>
          <w:rFonts w:ascii="Arial" w:hAnsi="Arial" w:cs="Arial"/>
          <w:sz w:val="20"/>
          <w:szCs w:val="20"/>
        </w:rPr>
      </w:pPr>
      <w:r w:rsidRPr="00562231">
        <w:rPr>
          <w:rStyle w:val="FootnoteReference"/>
          <w:rFonts w:ascii="Arial" w:hAnsi="Arial" w:cs="Arial"/>
          <w:sz w:val="20"/>
          <w:szCs w:val="20"/>
        </w:rPr>
        <w:footnoteRef/>
      </w:r>
      <w:r w:rsidRPr="00562231">
        <w:rPr>
          <w:rFonts w:ascii="Arial" w:hAnsi="Arial" w:cs="Arial"/>
          <w:sz w:val="20"/>
          <w:szCs w:val="20"/>
        </w:rPr>
        <w:t xml:space="preserve"> </w:t>
      </w:r>
      <w:r w:rsidR="005265A5">
        <w:rPr>
          <w:rFonts w:ascii="Arial" w:hAnsi="Arial" w:cs="Arial"/>
          <w:sz w:val="20"/>
          <w:szCs w:val="20"/>
        </w:rPr>
        <w:tab/>
      </w:r>
      <w:r w:rsidRPr="00562231">
        <w:rPr>
          <w:rFonts w:ascii="Arial" w:hAnsi="Arial" w:cs="Arial"/>
          <w:sz w:val="20"/>
          <w:szCs w:val="20"/>
        </w:rPr>
        <w:t>Coincidentally the affidavit of Ms. Barnard was commissioned under similar circumstances where the place of commissioning differs from the business address of the Commissioner.</w:t>
      </w:r>
    </w:p>
  </w:footnote>
  <w:footnote w:id="8">
    <w:p w14:paraId="3EAB37AC" w14:textId="124FD5AB" w:rsidR="00E43A60" w:rsidRPr="00E43A60" w:rsidRDefault="00E43A60" w:rsidP="001E1962">
      <w:pPr>
        <w:pStyle w:val="FootnoteText"/>
        <w:ind w:left="284" w:hanging="284"/>
        <w:rPr>
          <w:rFonts w:ascii="Arial" w:hAnsi="Arial" w:cs="Arial"/>
          <w:sz w:val="20"/>
          <w:szCs w:val="20"/>
        </w:rPr>
      </w:pPr>
      <w:r w:rsidRPr="00E43A60">
        <w:rPr>
          <w:rStyle w:val="FootnoteReference"/>
          <w:rFonts w:ascii="Arial" w:hAnsi="Arial" w:cs="Arial"/>
          <w:sz w:val="20"/>
          <w:szCs w:val="20"/>
        </w:rPr>
        <w:footnoteRef/>
      </w:r>
      <w:r w:rsidRPr="00E43A60">
        <w:rPr>
          <w:rFonts w:ascii="Arial" w:hAnsi="Arial" w:cs="Arial"/>
          <w:sz w:val="20"/>
          <w:szCs w:val="20"/>
        </w:rPr>
        <w:t xml:space="preserve"> </w:t>
      </w:r>
      <w:r w:rsidR="001E1962">
        <w:rPr>
          <w:rFonts w:ascii="Arial" w:hAnsi="Arial" w:cs="Arial"/>
          <w:sz w:val="20"/>
          <w:szCs w:val="20"/>
        </w:rPr>
        <w:tab/>
      </w:r>
      <w:r w:rsidRPr="00E43A60">
        <w:rPr>
          <w:rFonts w:ascii="Arial" w:hAnsi="Arial" w:cs="Arial"/>
          <w:sz w:val="20"/>
          <w:szCs w:val="20"/>
        </w:rPr>
        <w:t>68 of 1969.</w:t>
      </w:r>
    </w:p>
  </w:footnote>
  <w:footnote w:id="9">
    <w:p w14:paraId="78CD5A39" w14:textId="1BC4CCBA" w:rsidR="00344DBD" w:rsidRPr="00344DBD" w:rsidRDefault="00344DBD" w:rsidP="001E1962">
      <w:pPr>
        <w:pStyle w:val="FootnoteText"/>
        <w:ind w:left="284" w:hanging="284"/>
        <w:rPr>
          <w:rFonts w:ascii="Arial" w:hAnsi="Arial" w:cs="Arial"/>
          <w:sz w:val="20"/>
          <w:szCs w:val="20"/>
        </w:rPr>
      </w:pPr>
      <w:r w:rsidRPr="00562231">
        <w:rPr>
          <w:rStyle w:val="FootnoteReference"/>
          <w:rFonts w:ascii="Arial" w:hAnsi="Arial" w:cs="Arial"/>
          <w:sz w:val="20"/>
          <w:szCs w:val="20"/>
        </w:rPr>
        <w:footnoteRef/>
      </w:r>
      <w:r w:rsidRPr="00562231">
        <w:rPr>
          <w:rFonts w:ascii="Arial" w:hAnsi="Arial" w:cs="Arial"/>
          <w:sz w:val="20"/>
          <w:szCs w:val="20"/>
        </w:rPr>
        <w:t xml:space="preserve"> </w:t>
      </w:r>
      <w:r w:rsidR="001E1962">
        <w:rPr>
          <w:rFonts w:ascii="Arial" w:hAnsi="Arial" w:cs="Arial"/>
          <w:sz w:val="20"/>
          <w:szCs w:val="20"/>
        </w:rPr>
        <w:tab/>
      </w:r>
      <w:r w:rsidRPr="00562231">
        <w:rPr>
          <w:rFonts w:ascii="Arial" w:hAnsi="Arial" w:cs="Arial"/>
          <w:sz w:val="20"/>
          <w:szCs w:val="20"/>
        </w:rPr>
        <w:t>2019 (6) SA 388 (SCA).</w:t>
      </w:r>
    </w:p>
  </w:footnote>
  <w:footnote w:id="10">
    <w:p w14:paraId="628843B1" w14:textId="30B5AA86" w:rsidR="00805D0E" w:rsidRPr="005E6295" w:rsidRDefault="00805D0E" w:rsidP="001E1962">
      <w:pPr>
        <w:pStyle w:val="FootnoteText"/>
        <w:ind w:left="284" w:hanging="284"/>
        <w:rPr>
          <w:rFonts w:ascii="Arial" w:hAnsi="Arial" w:cs="Arial"/>
          <w:sz w:val="20"/>
          <w:szCs w:val="20"/>
        </w:rPr>
      </w:pPr>
      <w:r w:rsidRPr="005E6295">
        <w:rPr>
          <w:rStyle w:val="FootnoteReference"/>
          <w:rFonts w:ascii="Arial" w:hAnsi="Arial" w:cs="Arial"/>
          <w:sz w:val="20"/>
          <w:szCs w:val="20"/>
        </w:rPr>
        <w:footnoteRef/>
      </w:r>
      <w:r w:rsidRPr="005E6295">
        <w:rPr>
          <w:rFonts w:ascii="Arial" w:hAnsi="Arial" w:cs="Arial"/>
          <w:sz w:val="20"/>
          <w:szCs w:val="20"/>
        </w:rPr>
        <w:t xml:space="preserve"> </w:t>
      </w:r>
      <w:r w:rsidR="001E1962">
        <w:rPr>
          <w:rFonts w:ascii="Arial" w:hAnsi="Arial" w:cs="Arial"/>
          <w:sz w:val="20"/>
          <w:szCs w:val="20"/>
        </w:rPr>
        <w:tab/>
      </w:r>
      <w:proofErr w:type="spellStart"/>
      <w:r w:rsidR="005E6295" w:rsidRPr="005E6295">
        <w:rPr>
          <w:rFonts w:ascii="Arial" w:hAnsi="Arial" w:cs="Arial"/>
          <w:i/>
          <w:iCs/>
          <w:sz w:val="20"/>
          <w:szCs w:val="20"/>
        </w:rPr>
        <w:t>Skead</w:t>
      </w:r>
      <w:proofErr w:type="spellEnd"/>
      <w:r w:rsidR="005E6295" w:rsidRPr="005E6295">
        <w:rPr>
          <w:rFonts w:ascii="Arial" w:hAnsi="Arial" w:cs="Arial"/>
          <w:i/>
          <w:iCs/>
          <w:sz w:val="20"/>
          <w:szCs w:val="20"/>
        </w:rPr>
        <w:t xml:space="preserve"> v </w:t>
      </w:r>
      <w:proofErr w:type="spellStart"/>
      <w:r w:rsidR="005E6295" w:rsidRPr="005E6295">
        <w:rPr>
          <w:rFonts w:ascii="Arial" w:hAnsi="Arial" w:cs="Arial"/>
          <w:i/>
          <w:iCs/>
          <w:sz w:val="20"/>
          <w:szCs w:val="20"/>
        </w:rPr>
        <w:t>Swanepoel</w:t>
      </w:r>
      <w:proofErr w:type="spellEnd"/>
      <w:r w:rsidR="005E6295" w:rsidRPr="005E6295">
        <w:rPr>
          <w:rFonts w:ascii="Arial" w:hAnsi="Arial" w:cs="Arial"/>
          <w:sz w:val="20"/>
          <w:szCs w:val="20"/>
        </w:rPr>
        <w:t xml:space="preserve"> 1949 (4) 763 (T) at 767.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A28D8" w14:textId="540FBC15"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FCC">
      <w:rPr>
        <w:rStyle w:val="PageNumber"/>
        <w:noProof/>
      </w:rPr>
      <w:t>7</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B0F09"/>
    <w:multiLevelType w:val="multilevel"/>
    <w:tmpl w:val="1DF6BCBC"/>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15:restartNumberingAfterBreak="0">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F27F3"/>
    <w:multiLevelType w:val="hybridMultilevel"/>
    <w:tmpl w:val="1DCEEA58"/>
    <w:lvl w:ilvl="0" w:tplc="9912F424">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15:restartNumberingAfterBreak="0">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B7A87"/>
    <w:multiLevelType w:val="hybridMultilevel"/>
    <w:tmpl w:val="D128879A"/>
    <w:lvl w:ilvl="0" w:tplc="C54C95DE">
      <w:start w:val="24"/>
      <w:numFmt w:val="decimal"/>
      <w:lvlText w:val="[%1]"/>
      <w:lvlJc w:val="left"/>
      <w:pPr>
        <w:ind w:left="1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D37CDA44">
      <w:start w:val="2019"/>
      <w:numFmt w:val="decimal"/>
      <w:lvlText w:val="%2"/>
      <w:lvlJc w:val="left"/>
      <w:pPr>
        <w:ind w:left="405"/>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2" w:tplc="03D42E2C">
      <w:start w:val="1"/>
      <w:numFmt w:val="lowerRoman"/>
      <w:lvlText w:val="%3"/>
      <w:lvlJc w:val="left"/>
      <w:pPr>
        <w:ind w:left="1063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3" w:tplc="B9964DF0">
      <w:start w:val="1"/>
      <w:numFmt w:val="decimal"/>
      <w:lvlText w:val="%4"/>
      <w:lvlJc w:val="left"/>
      <w:pPr>
        <w:ind w:left="1135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4" w:tplc="4240116A">
      <w:start w:val="1"/>
      <w:numFmt w:val="lowerLetter"/>
      <w:lvlText w:val="%5"/>
      <w:lvlJc w:val="left"/>
      <w:pPr>
        <w:ind w:left="1207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5" w:tplc="4E022E3C">
      <w:start w:val="1"/>
      <w:numFmt w:val="lowerRoman"/>
      <w:lvlText w:val="%6"/>
      <w:lvlJc w:val="left"/>
      <w:pPr>
        <w:ind w:left="1279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6" w:tplc="0FFE09EE">
      <w:start w:val="1"/>
      <w:numFmt w:val="decimal"/>
      <w:lvlText w:val="%7"/>
      <w:lvlJc w:val="left"/>
      <w:pPr>
        <w:ind w:left="1351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7" w:tplc="6694C176">
      <w:start w:val="1"/>
      <w:numFmt w:val="lowerLetter"/>
      <w:lvlText w:val="%8"/>
      <w:lvlJc w:val="left"/>
      <w:pPr>
        <w:ind w:left="1423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8" w:tplc="425A0120">
      <w:start w:val="1"/>
      <w:numFmt w:val="lowerRoman"/>
      <w:lvlText w:val="%9"/>
      <w:lvlJc w:val="left"/>
      <w:pPr>
        <w:ind w:left="1495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abstractNum>
  <w:abstractNum w:abstractNumId="13" w15:restartNumberingAfterBreak="0">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2314928"/>
    <w:multiLevelType w:val="hybridMultilevel"/>
    <w:tmpl w:val="79B6C474"/>
    <w:lvl w:ilvl="0" w:tplc="4AF4CFBC">
      <w:start w:val="16"/>
      <w:numFmt w:val="decimal"/>
      <w:lvlText w:val="[%1]"/>
      <w:lvlJc w:val="left"/>
      <w:pPr>
        <w:ind w:left="37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DDB40218">
      <w:start w:val="2019"/>
      <w:numFmt w:val="decimal"/>
      <w:lvlText w:val="%2"/>
      <w:lvlJc w:val="left"/>
      <w:pPr>
        <w:ind w:left="0"/>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2" w:tplc="A0462A38">
      <w:start w:val="1"/>
      <w:numFmt w:val="lowerRoman"/>
      <w:lvlText w:val="%3"/>
      <w:lvlJc w:val="left"/>
      <w:pPr>
        <w:ind w:left="1063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3" w:tplc="140C8A90">
      <w:start w:val="1"/>
      <w:numFmt w:val="decimal"/>
      <w:lvlText w:val="%4"/>
      <w:lvlJc w:val="left"/>
      <w:pPr>
        <w:ind w:left="1135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4" w:tplc="4FEC9CFE">
      <w:start w:val="1"/>
      <w:numFmt w:val="lowerLetter"/>
      <w:lvlText w:val="%5"/>
      <w:lvlJc w:val="left"/>
      <w:pPr>
        <w:ind w:left="1207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5" w:tplc="69148D78">
      <w:start w:val="1"/>
      <w:numFmt w:val="lowerRoman"/>
      <w:lvlText w:val="%6"/>
      <w:lvlJc w:val="left"/>
      <w:pPr>
        <w:ind w:left="1279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6" w:tplc="CF9AE52E">
      <w:start w:val="1"/>
      <w:numFmt w:val="decimal"/>
      <w:lvlText w:val="%7"/>
      <w:lvlJc w:val="left"/>
      <w:pPr>
        <w:ind w:left="1351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7" w:tplc="CD70E396">
      <w:start w:val="1"/>
      <w:numFmt w:val="lowerLetter"/>
      <w:lvlText w:val="%8"/>
      <w:lvlJc w:val="left"/>
      <w:pPr>
        <w:ind w:left="1423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lvl w:ilvl="8" w:tplc="A244B93C">
      <w:start w:val="1"/>
      <w:numFmt w:val="lowerRoman"/>
      <w:lvlText w:val="%9"/>
      <w:lvlJc w:val="left"/>
      <w:pPr>
        <w:ind w:left="14957"/>
      </w:pPr>
      <w:rPr>
        <w:rFonts w:ascii="Verdana" w:eastAsia="Verdana" w:hAnsi="Verdana" w:cs="Verdana"/>
        <w:b/>
        <w:bCs/>
        <w:i w:val="0"/>
        <w:strike w:val="0"/>
        <w:dstrike w:val="0"/>
        <w:color w:val="808080"/>
        <w:sz w:val="12"/>
        <w:szCs w:val="12"/>
        <w:u w:val="none" w:color="000000"/>
        <w:bdr w:val="none" w:sz="0" w:space="0" w:color="auto"/>
        <w:shd w:val="clear" w:color="auto" w:fill="auto"/>
        <w:vertAlign w:val="baseline"/>
      </w:rPr>
    </w:lvl>
  </w:abstractNum>
  <w:abstractNum w:abstractNumId="15" w15:restartNumberingAfterBreak="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
  </w:num>
  <w:num w:numId="5">
    <w:abstractNumId w:val="5"/>
  </w:num>
  <w:num w:numId="6">
    <w:abstractNumId w:val="13"/>
  </w:num>
  <w:num w:numId="7">
    <w:abstractNumId w:val="16"/>
  </w:num>
  <w:num w:numId="8">
    <w:abstractNumId w:val="15"/>
  </w:num>
  <w:num w:numId="9">
    <w:abstractNumId w:val="4"/>
  </w:num>
  <w:num w:numId="10">
    <w:abstractNumId w:val="6"/>
  </w:num>
  <w:num w:numId="11">
    <w:abstractNumId w:val="10"/>
  </w:num>
  <w:num w:numId="12">
    <w:abstractNumId w:val="3"/>
  </w:num>
  <w:num w:numId="13">
    <w:abstractNumId w:val="8"/>
  </w:num>
  <w:num w:numId="14">
    <w:abstractNumId w:val="2"/>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E29"/>
    <w:rsid w:val="00030EDB"/>
    <w:rsid w:val="00050078"/>
    <w:rsid w:val="00052547"/>
    <w:rsid w:val="000578D1"/>
    <w:rsid w:val="00062CEF"/>
    <w:rsid w:val="0006302B"/>
    <w:rsid w:val="00070EA4"/>
    <w:rsid w:val="000730BB"/>
    <w:rsid w:val="0008376B"/>
    <w:rsid w:val="0008544C"/>
    <w:rsid w:val="00085E25"/>
    <w:rsid w:val="0008693D"/>
    <w:rsid w:val="000964D1"/>
    <w:rsid w:val="000971DB"/>
    <w:rsid w:val="000A26D7"/>
    <w:rsid w:val="000A5272"/>
    <w:rsid w:val="000C091F"/>
    <w:rsid w:val="000C1577"/>
    <w:rsid w:val="000C1D16"/>
    <w:rsid w:val="000C4554"/>
    <w:rsid w:val="000D0136"/>
    <w:rsid w:val="000E07B1"/>
    <w:rsid w:val="000E5109"/>
    <w:rsid w:val="000E5543"/>
    <w:rsid w:val="000E5FB9"/>
    <w:rsid w:val="000E6633"/>
    <w:rsid w:val="000F5447"/>
    <w:rsid w:val="00101D88"/>
    <w:rsid w:val="001021EE"/>
    <w:rsid w:val="00103EC1"/>
    <w:rsid w:val="00114724"/>
    <w:rsid w:val="00121456"/>
    <w:rsid w:val="0013492F"/>
    <w:rsid w:val="00144EA8"/>
    <w:rsid w:val="00151F35"/>
    <w:rsid w:val="00155668"/>
    <w:rsid w:val="0016046F"/>
    <w:rsid w:val="00161F55"/>
    <w:rsid w:val="00163683"/>
    <w:rsid w:val="001721F5"/>
    <w:rsid w:val="0017465D"/>
    <w:rsid w:val="00174ABA"/>
    <w:rsid w:val="00194AFD"/>
    <w:rsid w:val="00194BAE"/>
    <w:rsid w:val="001A21CD"/>
    <w:rsid w:val="001A7F86"/>
    <w:rsid w:val="001B288A"/>
    <w:rsid w:val="001B487B"/>
    <w:rsid w:val="001D6C62"/>
    <w:rsid w:val="001D6F4F"/>
    <w:rsid w:val="001D7244"/>
    <w:rsid w:val="001E1962"/>
    <w:rsid w:val="001E6710"/>
    <w:rsid w:val="001F07DD"/>
    <w:rsid w:val="001F450A"/>
    <w:rsid w:val="001F4AE5"/>
    <w:rsid w:val="002003EF"/>
    <w:rsid w:val="00201A93"/>
    <w:rsid w:val="002040D5"/>
    <w:rsid w:val="00205098"/>
    <w:rsid w:val="0020751F"/>
    <w:rsid w:val="0021216F"/>
    <w:rsid w:val="002129F5"/>
    <w:rsid w:val="00232BFD"/>
    <w:rsid w:val="00232EA0"/>
    <w:rsid w:val="002332DE"/>
    <w:rsid w:val="00235638"/>
    <w:rsid w:val="00242E76"/>
    <w:rsid w:val="00244901"/>
    <w:rsid w:val="00254146"/>
    <w:rsid w:val="00255485"/>
    <w:rsid w:val="00264079"/>
    <w:rsid w:val="00265336"/>
    <w:rsid w:val="00267036"/>
    <w:rsid w:val="0027008F"/>
    <w:rsid w:val="00280528"/>
    <w:rsid w:val="00281CA0"/>
    <w:rsid w:val="00283B34"/>
    <w:rsid w:val="00287E6E"/>
    <w:rsid w:val="002914E5"/>
    <w:rsid w:val="0029767F"/>
    <w:rsid w:val="002A51AF"/>
    <w:rsid w:val="002A53F8"/>
    <w:rsid w:val="002A6A3F"/>
    <w:rsid w:val="002B0A35"/>
    <w:rsid w:val="002B4437"/>
    <w:rsid w:val="002B69B1"/>
    <w:rsid w:val="002C102B"/>
    <w:rsid w:val="002C413A"/>
    <w:rsid w:val="002C4D4E"/>
    <w:rsid w:val="002C7527"/>
    <w:rsid w:val="002D6A2A"/>
    <w:rsid w:val="002D6BF0"/>
    <w:rsid w:val="002E1F21"/>
    <w:rsid w:val="0030107F"/>
    <w:rsid w:val="00307191"/>
    <w:rsid w:val="00313396"/>
    <w:rsid w:val="003155D7"/>
    <w:rsid w:val="00316515"/>
    <w:rsid w:val="00322298"/>
    <w:rsid w:val="00323F5E"/>
    <w:rsid w:val="00333325"/>
    <w:rsid w:val="003348C6"/>
    <w:rsid w:val="00334F20"/>
    <w:rsid w:val="00335D42"/>
    <w:rsid w:val="00342015"/>
    <w:rsid w:val="00344DBD"/>
    <w:rsid w:val="00360697"/>
    <w:rsid w:val="00363165"/>
    <w:rsid w:val="00364832"/>
    <w:rsid w:val="00371BE5"/>
    <w:rsid w:val="00375DC6"/>
    <w:rsid w:val="00385391"/>
    <w:rsid w:val="00385FBC"/>
    <w:rsid w:val="003A14B0"/>
    <w:rsid w:val="003A20FB"/>
    <w:rsid w:val="003A3574"/>
    <w:rsid w:val="003A5BC8"/>
    <w:rsid w:val="003B6C23"/>
    <w:rsid w:val="003C415E"/>
    <w:rsid w:val="003C432D"/>
    <w:rsid w:val="003E6BDA"/>
    <w:rsid w:val="003F37AE"/>
    <w:rsid w:val="003F46D7"/>
    <w:rsid w:val="003F61E6"/>
    <w:rsid w:val="00406F88"/>
    <w:rsid w:val="004075F2"/>
    <w:rsid w:val="00412E0C"/>
    <w:rsid w:val="00413603"/>
    <w:rsid w:val="00413E2B"/>
    <w:rsid w:val="00416EA1"/>
    <w:rsid w:val="00417BE7"/>
    <w:rsid w:val="0042184A"/>
    <w:rsid w:val="004247F2"/>
    <w:rsid w:val="00425F53"/>
    <w:rsid w:val="00432B66"/>
    <w:rsid w:val="00440D4B"/>
    <w:rsid w:val="0044117D"/>
    <w:rsid w:val="0044361B"/>
    <w:rsid w:val="00443ADE"/>
    <w:rsid w:val="00444C8B"/>
    <w:rsid w:val="0045149D"/>
    <w:rsid w:val="00452A4C"/>
    <w:rsid w:val="00454072"/>
    <w:rsid w:val="00460F1A"/>
    <w:rsid w:val="00461E12"/>
    <w:rsid w:val="00475569"/>
    <w:rsid w:val="00475A8E"/>
    <w:rsid w:val="0048191C"/>
    <w:rsid w:val="00482966"/>
    <w:rsid w:val="004854D5"/>
    <w:rsid w:val="0049074E"/>
    <w:rsid w:val="0049313B"/>
    <w:rsid w:val="004C6A1E"/>
    <w:rsid w:val="004D12FE"/>
    <w:rsid w:val="004D3845"/>
    <w:rsid w:val="004E581A"/>
    <w:rsid w:val="004F0167"/>
    <w:rsid w:val="00500DA0"/>
    <w:rsid w:val="005069D9"/>
    <w:rsid w:val="00514611"/>
    <w:rsid w:val="00515B0A"/>
    <w:rsid w:val="0051651C"/>
    <w:rsid w:val="005265A5"/>
    <w:rsid w:val="00540198"/>
    <w:rsid w:val="00547AC7"/>
    <w:rsid w:val="00551B4C"/>
    <w:rsid w:val="0055431B"/>
    <w:rsid w:val="005560EF"/>
    <w:rsid w:val="00562231"/>
    <w:rsid w:val="0057074A"/>
    <w:rsid w:val="005720E9"/>
    <w:rsid w:val="00587548"/>
    <w:rsid w:val="00587BF3"/>
    <w:rsid w:val="00595099"/>
    <w:rsid w:val="005A2F73"/>
    <w:rsid w:val="005B0DB3"/>
    <w:rsid w:val="005B118D"/>
    <w:rsid w:val="005B6266"/>
    <w:rsid w:val="005B75C1"/>
    <w:rsid w:val="005D3007"/>
    <w:rsid w:val="005D4790"/>
    <w:rsid w:val="005E2259"/>
    <w:rsid w:val="005E230C"/>
    <w:rsid w:val="005E448E"/>
    <w:rsid w:val="005E6295"/>
    <w:rsid w:val="005F49B3"/>
    <w:rsid w:val="005F653D"/>
    <w:rsid w:val="006036F8"/>
    <w:rsid w:val="00605316"/>
    <w:rsid w:val="006077A9"/>
    <w:rsid w:val="00613E4D"/>
    <w:rsid w:val="00615A0C"/>
    <w:rsid w:val="006216B4"/>
    <w:rsid w:val="0063117F"/>
    <w:rsid w:val="006430C0"/>
    <w:rsid w:val="00644BB3"/>
    <w:rsid w:val="00646138"/>
    <w:rsid w:val="00650745"/>
    <w:rsid w:val="00651B9B"/>
    <w:rsid w:val="00653433"/>
    <w:rsid w:val="00655236"/>
    <w:rsid w:val="006630FB"/>
    <w:rsid w:val="006710DC"/>
    <w:rsid w:val="00675035"/>
    <w:rsid w:val="00676987"/>
    <w:rsid w:val="00677BC9"/>
    <w:rsid w:val="00683071"/>
    <w:rsid w:val="00686124"/>
    <w:rsid w:val="00686AFF"/>
    <w:rsid w:val="00695533"/>
    <w:rsid w:val="006A1AA8"/>
    <w:rsid w:val="006A37E3"/>
    <w:rsid w:val="006A6DDB"/>
    <w:rsid w:val="006A770C"/>
    <w:rsid w:val="006B0014"/>
    <w:rsid w:val="006B3D1D"/>
    <w:rsid w:val="006B67ED"/>
    <w:rsid w:val="006C705A"/>
    <w:rsid w:val="006E2E6C"/>
    <w:rsid w:val="006E4415"/>
    <w:rsid w:val="006E462C"/>
    <w:rsid w:val="006F2787"/>
    <w:rsid w:val="006F40B5"/>
    <w:rsid w:val="00702E94"/>
    <w:rsid w:val="00707C51"/>
    <w:rsid w:val="00713A5D"/>
    <w:rsid w:val="00720FEF"/>
    <w:rsid w:val="0072221F"/>
    <w:rsid w:val="007240E6"/>
    <w:rsid w:val="0073212D"/>
    <w:rsid w:val="00733746"/>
    <w:rsid w:val="00735EB8"/>
    <w:rsid w:val="00736CDA"/>
    <w:rsid w:val="00737291"/>
    <w:rsid w:val="00742BAE"/>
    <w:rsid w:val="00750CC1"/>
    <w:rsid w:val="00753AD4"/>
    <w:rsid w:val="00755484"/>
    <w:rsid w:val="00763002"/>
    <w:rsid w:val="007679D5"/>
    <w:rsid w:val="00771E0F"/>
    <w:rsid w:val="007728D2"/>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7F7FED"/>
    <w:rsid w:val="00805D0E"/>
    <w:rsid w:val="0080634A"/>
    <w:rsid w:val="00806DFA"/>
    <w:rsid w:val="00821962"/>
    <w:rsid w:val="00822511"/>
    <w:rsid w:val="0083215B"/>
    <w:rsid w:val="0083710F"/>
    <w:rsid w:val="00837200"/>
    <w:rsid w:val="00840547"/>
    <w:rsid w:val="0084332A"/>
    <w:rsid w:val="008465D6"/>
    <w:rsid w:val="00860899"/>
    <w:rsid w:val="00866025"/>
    <w:rsid w:val="0088233C"/>
    <w:rsid w:val="008A3877"/>
    <w:rsid w:val="008A7718"/>
    <w:rsid w:val="008B1A58"/>
    <w:rsid w:val="008B1B71"/>
    <w:rsid w:val="008B2182"/>
    <w:rsid w:val="008C18AE"/>
    <w:rsid w:val="008C3603"/>
    <w:rsid w:val="008C45A5"/>
    <w:rsid w:val="008D34A8"/>
    <w:rsid w:val="008D4FD5"/>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BDE"/>
    <w:rsid w:val="0094618C"/>
    <w:rsid w:val="0095576C"/>
    <w:rsid w:val="00962D4B"/>
    <w:rsid w:val="009732B6"/>
    <w:rsid w:val="00974554"/>
    <w:rsid w:val="00976D15"/>
    <w:rsid w:val="00977E1A"/>
    <w:rsid w:val="009838D5"/>
    <w:rsid w:val="00987290"/>
    <w:rsid w:val="00992F8A"/>
    <w:rsid w:val="009950C9"/>
    <w:rsid w:val="009A269B"/>
    <w:rsid w:val="009A33C1"/>
    <w:rsid w:val="009A79F1"/>
    <w:rsid w:val="009B099B"/>
    <w:rsid w:val="009B2BC9"/>
    <w:rsid w:val="009B36AA"/>
    <w:rsid w:val="009B4C31"/>
    <w:rsid w:val="009D57DB"/>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3F9C"/>
    <w:rsid w:val="00A4634B"/>
    <w:rsid w:val="00A52FDF"/>
    <w:rsid w:val="00A54C36"/>
    <w:rsid w:val="00A56BC1"/>
    <w:rsid w:val="00A600CF"/>
    <w:rsid w:val="00A62353"/>
    <w:rsid w:val="00A63F51"/>
    <w:rsid w:val="00A75EF4"/>
    <w:rsid w:val="00A77551"/>
    <w:rsid w:val="00A9010C"/>
    <w:rsid w:val="00A901C5"/>
    <w:rsid w:val="00AA663B"/>
    <w:rsid w:val="00AB1510"/>
    <w:rsid w:val="00AB2DE7"/>
    <w:rsid w:val="00AB4CA7"/>
    <w:rsid w:val="00AB636E"/>
    <w:rsid w:val="00AB6798"/>
    <w:rsid w:val="00AC6B13"/>
    <w:rsid w:val="00AD49F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64D36"/>
    <w:rsid w:val="00B70181"/>
    <w:rsid w:val="00B73443"/>
    <w:rsid w:val="00B8347D"/>
    <w:rsid w:val="00B862D2"/>
    <w:rsid w:val="00B908DF"/>
    <w:rsid w:val="00B92A41"/>
    <w:rsid w:val="00B9551D"/>
    <w:rsid w:val="00B95693"/>
    <w:rsid w:val="00B95E84"/>
    <w:rsid w:val="00BA1F62"/>
    <w:rsid w:val="00BB3F9A"/>
    <w:rsid w:val="00BC4AB0"/>
    <w:rsid w:val="00BD2454"/>
    <w:rsid w:val="00BF09B4"/>
    <w:rsid w:val="00C04C43"/>
    <w:rsid w:val="00C11D38"/>
    <w:rsid w:val="00C25E97"/>
    <w:rsid w:val="00C33AAD"/>
    <w:rsid w:val="00C4185B"/>
    <w:rsid w:val="00C45291"/>
    <w:rsid w:val="00C519B2"/>
    <w:rsid w:val="00C52737"/>
    <w:rsid w:val="00C53B19"/>
    <w:rsid w:val="00C5727B"/>
    <w:rsid w:val="00C63FFA"/>
    <w:rsid w:val="00C64B6A"/>
    <w:rsid w:val="00C72A6C"/>
    <w:rsid w:val="00C7361A"/>
    <w:rsid w:val="00C7460D"/>
    <w:rsid w:val="00C74CAA"/>
    <w:rsid w:val="00C8430A"/>
    <w:rsid w:val="00C9262D"/>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542D"/>
    <w:rsid w:val="00D16320"/>
    <w:rsid w:val="00D2145B"/>
    <w:rsid w:val="00D23AB6"/>
    <w:rsid w:val="00D2698D"/>
    <w:rsid w:val="00D31928"/>
    <w:rsid w:val="00D344C1"/>
    <w:rsid w:val="00D42B06"/>
    <w:rsid w:val="00D523A1"/>
    <w:rsid w:val="00D526DF"/>
    <w:rsid w:val="00D61362"/>
    <w:rsid w:val="00D77C76"/>
    <w:rsid w:val="00D91BA3"/>
    <w:rsid w:val="00DA44A9"/>
    <w:rsid w:val="00DA7A8D"/>
    <w:rsid w:val="00DB19FF"/>
    <w:rsid w:val="00DC0738"/>
    <w:rsid w:val="00DD0D2F"/>
    <w:rsid w:val="00DD4D3D"/>
    <w:rsid w:val="00DE0282"/>
    <w:rsid w:val="00DE1587"/>
    <w:rsid w:val="00DE38E6"/>
    <w:rsid w:val="00DE39D7"/>
    <w:rsid w:val="00DF0D64"/>
    <w:rsid w:val="00DF1032"/>
    <w:rsid w:val="00DF4D83"/>
    <w:rsid w:val="00E01835"/>
    <w:rsid w:val="00E02EAF"/>
    <w:rsid w:val="00E03204"/>
    <w:rsid w:val="00E03B46"/>
    <w:rsid w:val="00E067A2"/>
    <w:rsid w:val="00E077DF"/>
    <w:rsid w:val="00E07A72"/>
    <w:rsid w:val="00E15BCC"/>
    <w:rsid w:val="00E3052B"/>
    <w:rsid w:val="00E31629"/>
    <w:rsid w:val="00E43A60"/>
    <w:rsid w:val="00E43F8E"/>
    <w:rsid w:val="00E45186"/>
    <w:rsid w:val="00E50554"/>
    <w:rsid w:val="00E507F0"/>
    <w:rsid w:val="00E51144"/>
    <w:rsid w:val="00E54FCC"/>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B239A"/>
    <w:rsid w:val="00EB3FC3"/>
    <w:rsid w:val="00EB6D92"/>
    <w:rsid w:val="00EC7C52"/>
    <w:rsid w:val="00ED011F"/>
    <w:rsid w:val="00ED23AA"/>
    <w:rsid w:val="00ED58E4"/>
    <w:rsid w:val="00ED68B8"/>
    <w:rsid w:val="00EE0738"/>
    <w:rsid w:val="00EE0DBB"/>
    <w:rsid w:val="00EE7699"/>
    <w:rsid w:val="00EE7C9E"/>
    <w:rsid w:val="00EF0C48"/>
    <w:rsid w:val="00EF46E6"/>
    <w:rsid w:val="00EF5F44"/>
    <w:rsid w:val="00EF626F"/>
    <w:rsid w:val="00F00B18"/>
    <w:rsid w:val="00F12440"/>
    <w:rsid w:val="00F142DB"/>
    <w:rsid w:val="00F16056"/>
    <w:rsid w:val="00F21520"/>
    <w:rsid w:val="00F228DD"/>
    <w:rsid w:val="00F25D67"/>
    <w:rsid w:val="00F26354"/>
    <w:rsid w:val="00F3578B"/>
    <w:rsid w:val="00F43A15"/>
    <w:rsid w:val="00F43C52"/>
    <w:rsid w:val="00F44185"/>
    <w:rsid w:val="00F471C4"/>
    <w:rsid w:val="00F53553"/>
    <w:rsid w:val="00F5420B"/>
    <w:rsid w:val="00F55C9B"/>
    <w:rsid w:val="00F56324"/>
    <w:rsid w:val="00F57032"/>
    <w:rsid w:val="00F63187"/>
    <w:rsid w:val="00F71C68"/>
    <w:rsid w:val="00F77529"/>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3F3D7C-9530-4B50-A754-6129C9A2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Sathish</cp:lastModifiedBy>
  <cp:revision>4</cp:revision>
  <cp:lastPrinted>2023-11-22T05:59:00Z</cp:lastPrinted>
  <dcterms:created xsi:type="dcterms:W3CDTF">2023-11-22T05:59:00Z</dcterms:created>
  <dcterms:modified xsi:type="dcterms:W3CDTF">2024-01-02T17:33:00Z</dcterms:modified>
</cp:coreProperties>
</file>