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E8" w:rsidRDefault="00DF7AE8" w:rsidP="00DF7AE8">
      <w:pPr>
        <w:spacing w:after="0"/>
        <w:ind w:left="10" w:right="3" w:hanging="10"/>
        <w:rPr>
          <w:rFonts w:ascii="Arial" w:eastAsia="Arial" w:hAnsi="Arial" w:cs="Arial"/>
          <w:b/>
          <w:color w:val="000000"/>
          <w:sz w:val="24"/>
          <w:lang w:eastAsia="en-ZA"/>
        </w:rPr>
      </w:pPr>
      <w:r w:rsidRPr="00DF7AE8">
        <w:rPr>
          <w:rFonts w:ascii="Arial" w:eastAsia="Arial" w:hAnsi="Arial" w:cs="Arial"/>
          <w:b/>
          <w:noProof/>
          <w:color w:val="000000"/>
          <w:sz w:val="24"/>
          <w:lang w:val="en-US"/>
        </w:rPr>
        <w:drawing>
          <wp:inline distT="0" distB="0" distL="0" distR="0">
            <wp:extent cx="4286250" cy="466725"/>
            <wp:effectExtent l="0" t="0" r="0" b="9525"/>
            <wp:docPr id="1" name="Picture 1" descr="C:\Users\Sathish\Pictures\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hish\Pictures\Editorial note - Wo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bookmarkStart w:id="0" w:name="_GoBack"/>
      <w:bookmarkEnd w:id="0"/>
    </w:p>
    <w:p w:rsidR="00DF7AE8" w:rsidRDefault="00DF7AE8" w:rsidP="001D79EB">
      <w:pPr>
        <w:spacing w:after="0"/>
        <w:ind w:left="10" w:right="3" w:hanging="10"/>
        <w:jc w:val="center"/>
        <w:rPr>
          <w:rFonts w:ascii="Arial" w:eastAsia="Arial" w:hAnsi="Arial" w:cs="Arial"/>
          <w:b/>
          <w:color w:val="000000"/>
          <w:sz w:val="24"/>
          <w:lang w:eastAsia="en-ZA"/>
        </w:rPr>
      </w:pPr>
    </w:p>
    <w:p w:rsidR="001D79EB" w:rsidRPr="001D79EB" w:rsidRDefault="001D79EB" w:rsidP="001D79EB">
      <w:pPr>
        <w:spacing w:after="0"/>
        <w:ind w:left="10" w:right="3" w:hanging="10"/>
        <w:jc w:val="center"/>
        <w:rPr>
          <w:rFonts w:ascii="Arial" w:eastAsia="Arial" w:hAnsi="Arial" w:cs="Arial"/>
          <w:color w:val="000000"/>
          <w:sz w:val="24"/>
          <w:lang w:eastAsia="en-ZA"/>
        </w:rPr>
      </w:pPr>
      <w:r w:rsidRPr="001D79EB">
        <w:rPr>
          <w:rFonts w:ascii="Arial" w:eastAsia="Arial" w:hAnsi="Arial" w:cs="Arial"/>
          <w:b/>
          <w:color w:val="000000"/>
          <w:sz w:val="24"/>
          <w:lang w:eastAsia="en-ZA"/>
        </w:rPr>
        <w:t>REPUBLIC OF SOUTH AFRICA</w:t>
      </w:r>
    </w:p>
    <w:p w:rsidR="001D79EB" w:rsidRPr="001D79EB" w:rsidRDefault="001D79EB" w:rsidP="001D79EB">
      <w:pPr>
        <w:spacing w:after="0"/>
        <w:ind w:left="61"/>
        <w:jc w:val="center"/>
        <w:rPr>
          <w:rFonts w:ascii="Arial" w:eastAsia="Arial" w:hAnsi="Arial" w:cs="Arial"/>
          <w:color w:val="000000"/>
          <w:sz w:val="24"/>
          <w:lang w:eastAsia="en-ZA"/>
        </w:rPr>
      </w:pPr>
      <w:r w:rsidRPr="001D79EB">
        <w:rPr>
          <w:rFonts w:ascii="Arial" w:eastAsia="Arial" w:hAnsi="Arial" w:cs="Arial"/>
          <w:noProof/>
          <w:color w:val="000000"/>
          <w:sz w:val="24"/>
          <w:lang w:val="en-US"/>
        </w:rPr>
        <w:drawing>
          <wp:inline distT="0" distB="0" distL="0" distR="0" wp14:anchorId="5E3AAA3A" wp14:editId="0BA163EA">
            <wp:extent cx="1350645" cy="135064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stretch>
                      <a:fillRect/>
                    </a:stretch>
                  </pic:blipFill>
                  <pic:spPr>
                    <a:xfrm>
                      <a:off x="0" y="0"/>
                      <a:ext cx="1350645" cy="1350645"/>
                    </a:xfrm>
                    <a:prstGeom prst="rect">
                      <a:avLst/>
                    </a:prstGeom>
                  </pic:spPr>
                </pic:pic>
              </a:graphicData>
            </a:graphic>
          </wp:inline>
        </w:drawing>
      </w:r>
    </w:p>
    <w:p w:rsidR="001D79EB" w:rsidRPr="001D79EB" w:rsidRDefault="001D79EB" w:rsidP="001D79EB">
      <w:pPr>
        <w:spacing w:after="0"/>
        <w:ind w:left="10" w:right="4" w:hanging="10"/>
        <w:jc w:val="center"/>
        <w:rPr>
          <w:rFonts w:ascii="Arial" w:eastAsia="Arial" w:hAnsi="Arial" w:cs="Arial"/>
          <w:color w:val="000000"/>
          <w:sz w:val="24"/>
          <w:lang w:eastAsia="en-ZA"/>
        </w:rPr>
      </w:pPr>
      <w:r w:rsidRPr="001D79EB">
        <w:rPr>
          <w:rFonts w:ascii="Arial" w:eastAsia="Arial" w:hAnsi="Arial" w:cs="Arial"/>
          <w:b/>
          <w:color w:val="000000"/>
          <w:sz w:val="24"/>
          <w:lang w:eastAsia="en-ZA"/>
        </w:rPr>
        <w:t>IN THE HIGH COURT OF SOUTH AFRICA</w:t>
      </w:r>
    </w:p>
    <w:p w:rsidR="001D79EB" w:rsidRPr="001D79EB" w:rsidRDefault="001D79EB" w:rsidP="001D79EB">
      <w:pPr>
        <w:spacing w:after="0"/>
        <w:ind w:left="10" w:right="8" w:hanging="10"/>
        <w:jc w:val="center"/>
        <w:rPr>
          <w:rFonts w:ascii="Arial" w:eastAsia="Arial" w:hAnsi="Arial" w:cs="Arial"/>
          <w:b/>
          <w:color w:val="000000"/>
          <w:sz w:val="24"/>
          <w:lang w:eastAsia="en-ZA"/>
        </w:rPr>
      </w:pPr>
      <w:r w:rsidRPr="001D79EB">
        <w:rPr>
          <w:rFonts w:ascii="Arial" w:eastAsia="Arial" w:hAnsi="Arial" w:cs="Arial"/>
          <w:b/>
          <w:color w:val="000000"/>
          <w:sz w:val="24"/>
          <w:lang w:eastAsia="en-ZA"/>
        </w:rPr>
        <w:t>(GAUTENG DIVISION, PRETORIA)</w:t>
      </w:r>
    </w:p>
    <w:p w:rsidR="001D79EB" w:rsidRPr="001D79EB" w:rsidRDefault="001D79EB" w:rsidP="001D79EB">
      <w:pPr>
        <w:spacing w:after="0"/>
        <w:ind w:right="8"/>
        <w:jc w:val="both"/>
        <w:rPr>
          <w:rFonts w:ascii="Arial" w:eastAsia="Arial" w:hAnsi="Arial" w:cs="Arial"/>
          <w:color w:val="000000"/>
          <w:sz w:val="24"/>
          <w:lang w:eastAsia="en-ZA"/>
        </w:rPr>
      </w:pPr>
    </w:p>
    <w:p w:rsidR="001D79EB" w:rsidRPr="001D79EB" w:rsidRDefault="001D79EB" w:rsidP="001D79EB">
      <w:pPr>
        <w:spacing w:after="0"/>
        <w:rPr>
          <w:rFonts w:ascii="Arial" w:eastAsia="Arial" w:hAnsi="Arial" w:cs="Arial"/>
          <w:color w:val="000000"/>
          <w:sz w:val="24"/>
          <w:lang w:eastAsia="en-ZA"/>
        </w:rPr>
      </w:pPr>
      <w:r w:rsidRPr="001D79EB">
        <w:rPr>
          <w:rFonts w:ascii="Arial" w:eastAsia="Arial" w:hAnsi="Arial" w:cs="Arial"/>
          <w:color w:val="000000"/>
          <w:sz w:val="24"/>
          <w:lang w:eastAsia="en-ZA"/>
        </w:rPr>
        <w:tab/>
      </w:r>
      <w:r w:rsidRPr="001D79EB">
        <w:rPr>
          <w:rFonts w:ascii="Arial" w:eastAsia="Arial" w:hAnsi="Arial" w:cs="Arial"/>
          <w:color w:val="000000"/>
          <w:sz w:val="24"/>
          <w:lang w:eastAsia="en-ZA"/>
        </w:rPr>
        <w:tab/>
      </w:r>
      <w:r w:rsidRPr="001D79EB">
        <w:rPr>
          <w:rFonts w:ascii="Arial" w:eastAsia="Arial" w:hAnsi="Arial" w:cs="Arial"/>
          <w:color w:val="000000"/>
          <w:sz w:val="24"/>
          <w:lang w:eastAsia="en-ZA"/>
        </w:rPr>
        <w:tab/>
      </w:r>
      <w:r w:rsidRPr="001D79EB">
        <w:rPr>
          <w:rFonts w:ascii="Arial" w:eastAsia="Arial" w:hAnsi="Arial" w:cs="Arial"/>
          <w:color w:val="000000"/>
          <w:sz w:val="24"/>
          <w:lang w:eastAsia="en-ZA"/>
        </w:rPr>
        <w:tab/>
      </w:r>
      <w:r w:rsidRPr="001D79EB">
        <w:rPr>
          <w:rFonts w:ascii="Arial" w:eastAsia="Arial" w:hAnsi="Arial" w:cs="Arial"/>
          <w:color w:val="000000"/>
          <w:sz w:val="24"/>
          <w:lang w:eastAsia="en-ZA"/>
        </w:rPr>
        <w:tab/>
      </w:r>
      <w:r w:rsidRPr="001D79EB">
        <w:rPr>
          <w:rFonts w:ascii="Arial" w:eastAsia="Arial" w:hAnsi="Arial" w:cs="Arial"/>
          <w:color w:val="000000"/>
          <w:sz w:val="24"/>
          <w:lang w:eastAsia="en-ZA"/>
        </w:rPr>
        <w:tab/>
      </w:r>
      <w:r w:rsidRPr="001D79EB">
        <w:rPr>
          <w:rFonts w:ascii="Arial" w:eastAsia="Arial" w:hAnsi="Arial" w:cs="Arial"/>
          <w:color w:val="000000"/>
          <w:sz w:val="24"/>
          <w:lang w:eastAsia="en-ZA"/>
        </w:rPr>
        <w:tab/>
      </w:r>
      <w:r w:rsidRPr="001D79EB">
        <w:rPr>
          <w:rFonts w:ascii="Arial" w:eastAsia="Arial" w:hAnsi="Arial" w:cs="Arial"/>
          <w:color w:val="000000"/>
          <w:sz w:val="24"/>
          <w:lang w:eastAsia="en-ZA"/>
        </w:rPr>
        <w:tab/>
      </w:r>
      <w:r w:rsidRPr="001D79EB">
        <w:rPr>
          <w:rFonts w:ascii="Arial" w:eastAsia="Times New Roman" w:hAnsi="Arial" w:cs="Arial"/>
          <w:color w:val="000000"/>
          <w:sz w:val="24"/>
          <w:lang w:eastAsia="en-ZA"/>
        </w:rPr>
        <w:t xml:space="preserve">Case Number: </w:t>
      </w:r>
      <w:r>
        <w:rPr>
          <w:rFonts w:ascii="Arial" w:eastAsia="Times New Roman" w:hAnsi="Arial" w:cs="Arial"/>
          <w:color w:val="000000"/>
          <w:sz w:val="24"/>
          <w:lang w:eastAsia="en-ZA"/>
        </w:rPr>
        <w:t>006569/2022</w:t>
      </w:r>
    </w:p>
    <w:p w:rsidR="001D79EB" w:rsidRPr="001D79EB" w:rsidRDefault="001D79EB" w:rsidP="001D79EB">
      <w:pPr>
        <w:spacing w:after="0"/>
        <w:rPr>
          <w:rFonts w:ascii="Arial" w:eastAsia="Arial" w:hAnsi="Arial" w:cs="Arial"/>
          <w:color w:val="000000"/>
          <w:sz w:val="24"/>
          <w:lang w:eastAsia="en-ZA"/>
        </w:rPr>
      </w:pPr>
    </w:p>
    <w:tbl>
      <w:tblPr>
        <w:tblStyle w:val="TableGrid"/>
        <w:tblW w:w="9095" w:type="dxa"/>
        <w:tblInd w:w="0" w:type="dxa"/>
        <w:tblLook w:val="04A0" w:firstRow="1" w:lastRow="0" w:firstColumn="1" w:lastColumn="0" w:noHBand="0" w:noVBand="1"/>
      </w:tblPr>
      <w:tblGrid>
        <w:gridCol w:w="6148"/>
        <w:gridCol w:w="2947"/>
      </w:tblGrid>
      <w:tr w:rsidR="001D79EB" w:rsidRPr="001D79EB" w:rsidTr="006D1CD6">
        <w:trPr>
          <w:trHeight w:val="1376"/>
        </w:trPr>
        <w:tc>
          <w:tcPr>
            <w:tcW w:w="6148" w:type="dxa"/>
            <w:tcBorders>
              <w:top w:val="nil"/>
              <w:left w:val="nil"/>
              <w:bottom w:val="nil"/>
              <w:right w:val="nil"/>
            </w:tcBorders>
          </w:tcPr>
          <w:p w:rsidR="001D79EB" w:rsidRPr="001D79EB" w:rsidRDefault="001D79EB" w:rsidP="001D79EB">
            <w:pPr>
              <w:tabs>
                <w:tab w:val="right" w:pos="9029"/>
              </w:tabs>
              <w:jc w:val="both"/>
              <w:rPr>
                <w:rFonts w:ascii="Arial" w:eastAsia="Times New Roman" w:hAnsi="Arial" w:cs="Arial"/>
                <w:color w:val="000000"/>
                <w:sz w:val="24"/>
              </w:rPr>
            </w:pPr>
            <w:r w:rsidRPr="001D79EB">
              <w:rPr>
                <w:rFonts w:ascii="Arial" w:eastAsia="Times New Roman" w:hAnsi="Arial" w:cs="Arial"/>
                <w:color w:val="000000"/>
                <w:sz w:val="24"/>
                <w:szCs w:val="24"/>
              </w:rPr>
              <w:t xml:space="preserve">                                                                                                                           </w:t>
            </w:r>
            <w:r w:rsidRPr="001D79EB">
              <w:rPr>
                <w:rFonts w:ascii="Arial" w:eastAsia="Times New Roman" w:hAnsi="Arial" w:cs="Arial"/>
                <w:color w:val="000000"/>
                <w:sz w:val="24"/>
              </w:rPr>
              <w:t xml:space="preserve">                                                                                                                                                                     </w:t>
            </w:r>
          </w:p>
          <w:p w:rsidR="001D79EB" w:rsidRPr="001D79EB" w:rsidRDefault="001D79EB" w:rsidP="001D79EB">
            <w:pPr>
              <w:tabs>
                <w:tab w:val="right" w:pos="9029"/>
              </w:tabs>
              <w:ind w:hanging="576"/>
              <w:jc w:val="both"/>
              <w:rPr>
                <w:rFonts w:ascii="Arial" w:eastAsia="Times New Roman" w:hAnsi="Arial" w:cs="Arial"/>
                <w:bCs/>
                <w:color w:val="000000"/>
                <w:sz w:val="24"/>
                <w:szCs w:val="24"/>
              </w:rPr>
            </w:pPr>
          </w:p>
          <w:p w:rsidR="001D79EB" w:rsidRPr="001D79EB" w:rsidRDefault="001D79EB" w:rsidP="001D79EB">
            <w:pPr>
              <w:tabs>
                <w:tab w:val="right" w:pos="9029"/>
              </w:tabs>
              <w:ind w:hanging="576"/>
              <w:jc w:val="both"/>
              <w:rPr>
                <w:rFonts w:ascii="Arial" w:eastAsia="Times New Roman" w:hAnsi="Arial" w:cs="Arial"/>
                <w:color w:val="000000"/>
                <w:sz w:val="24"/>
                <w:szCs w:val="24"/>
              </w:rPr>
            </w:pPr>
            <w:r w:rsidRPr="001D79EB">
              <w:rPr>
                <w:rFonts w:ascii="Arial" w:eastAsia="Arial" w:hAnsi="Arial" w:cs="Arial"/>
                <w:noProof/>
                <w:color w:val="000000"/>
                <w:sz w:val="24"/>
                <w:szCs w:val="24"/>
                <w:lang w:val="en-US"/>
              </w:rPr>
              <mc:AlternateContent>
                <mc:Choice Requires="wps">
                  <w:drawing>
                    <wp:anchor distT="0" distB="0" distL="114300" distR="114300" simplePos="0" relativeHeight="251659264" behindDoc="0" locked="0" layoutInCell="1" allowOverlap="1" wp14:anchorId="4982D09D" wp14:editId="3A89F140">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1D79EB" w:rsidRPr="003B746C" w:rsidRDefault="00E31C9F" w:rsidP="00E31C9F">
                                  <w:pPr>
                                    <w:tabs>
                                      <w:tab w:val="left" w:pos="900"/>
                                    </w:tabs>
                                    <w:spacing w:after="0" w:line="240" w:lineRule="auto"/>
                                    <w:ind w:left="900" w:hanging="720"/>
                                    <w:rPr>
                                      <w:sz w:val="18"/>
                                      <w:szCs w:val="20"/>
                                    </w:rPr>
                                  </w:pPr>
                                  <w:r w:rsidRPr="003B746C">
                                    <w:rPr>
                                      <w:sz w:val="18"/>
                                      <w:szCs w:val="20"/>
                                    </w:rPr>
                                    <w:t>(1)</w:t>
                                  </w:r>
                                  <w:r w:rsidRPr="003B746C">
                                    <w:rPr>
                                      <w:sz w:val="18"/>
                                      <w:szCs w:val="20"/>
                                    </w:rPr>
                                    <w:tab/>
                                  </w:r>
                                  <w:r w:rsidR="001D79EB" w:rsidRPr="003B746C">
                                    <w:rPr>
                                      <w:sz w:val="18"/>
                                      <w:szCs w:val="20"/>
                                    </w:rPr>
                                    <w:t xml:space="preserve">REPORTABLE: </w:t>
                                  </w:r>
                                  <w:r w:rsidR="001D79EB" w:rsidRPr="000E47FE">
                                    <w:rPr>
                                      <w:sz w:val="18"/>
                                      <w:szCs w:val="20"/>
                                    </w:rPr>
                                    <w:t>NO</w:t>
                                  </w:r>
                                </w:p>
                                <w:p w:rsidR="001D79EB" w:rsidRPr="003B746C" w:rsidRDefault="00E31C9F" w:rsidP="00E31C9F">
                                  <w:pPr>
                                    <w:tabs>
                                      <w:tab w:val="left" w:pos="900"/>
                                    </w:tabs>
                                    <w:spacing w:after="0" w:line="240" w:lineRule="auto"/>
                                    <w:ind w:left="900" w:hanging="720"/>
                                    <w:rPr>
                                      <w:sz w:val="18"/>
                                      <w:szCs w:val="20"/>
                                    </w:rPr>
                                  </w:pPr>
                                  <w:r w:rsidRPr="003B746C">
                                    <w:rPr>
                                      <w:sz w:val="18"/>
                                      <w:szCs w:val="20"/>
                                    </w:rPr>
                                    <w:t>(2)</w:t>
                                  </w:r>
                                  <w:r w:rsidRPr="003B746C">
                                    <w:rPr>
                                      <w:sz w:val="18"/>
                                      <w:szCs w:val="20"/>
                                    </w:rPr>
                                    <w:tab/>
                                  </w:r>
                                  <w:r w:rsidR="001D79EB" w:rsidRPr="003B746C">
                                    <w:rPr>
                                      <w:sz w:val="18"/>
                                      <w:szCs w:val="20"/>
                                    </w:rPr>
                                    <w:t xml:space="preserve">OF INTEREST TO OTHER JUDGES: </w:t>
                                  </w:r>
                                  <w:r w:rsidR="001D79EB" w:rsidRPr="000E47FE">
                                    <w:rPr>
                                      <w:sz w:val="18"/>
                                      <w:szCs w:val="20"/>
                                    </w:rPr>
                                    <w:t>NO</w:t>
                                  </w:r>
                                </w:p>
                                <w:p w:rsidR="001D79EB" w:rsidRDefault="001D79EB" w:rsidP="001D79EB">
                                  <w:pPr>
                                    <w:spacing w:after="0" w:line="240" w:lineRule="auto"/>
                                    <w:ind w:left="180"/>
                                    <w:rPr>
                                      <w:sz w:val="18"/>
                                      <w:szCs w:val="20"/>
                                    </w:rPr>
                                  </w:pPr>
                                </w:p>
                                <w:p w:rsidR="001D79EB" w:rsidRPr="003B746C" w:rsidRDefault="007E7D39" w:rsidP="001D79EB">
                                  <w:pPr>
                                    <w:spacing w:before="240" w:after="0"/>
                                    <w:rPr>
                                      <w:b/>
                                      <w:sz w:val="18"/>
                                      <w:szCs w:val="20"/>
                                    </w:rPr>
                                  </w:pPr>
                                  <w:r>
                                    <w:rPr>
                                      <w:b/>
                                      <w:sz w:val="18"/>
                                      <w:szCs w:val="20"/>
                                      <w:u w:val="single"/>
                                    </w:rPr>
                                    <w:t>29 November 2023</w:t>
                                  </w:r>
                                  <w:r w:rsidR="001D79EB" w:rsidRPr="003B746C">
                                    <w:rPr>
                                      <w:b/>
                                      <w:sz w:val="18"/>
                                      <w:szCs w:val="20"/>
                                    </w:rPr>
                                    <w:tab/>
                                  </w:r>
                                  <w:r w:rsidR="001D79EB">
                                    <w:rPr>
                                      <w:b/>
                                      <w:sz w:val="18"/>
                                      <w:szCs w:val="20"/>
                                    </w:rPr>
                                    <w:tab/>
                                  </w:r>
                                  <w:r w:rsidR="001D79EB" w:rsidRPr="003B746C">
                                    <w:rPr>
                                      <w:b/>
                                      <w:sz w:val="18"/>
                                      <w:szCs w:val="20"/>
                                    </w:rPr>
                                    <w:t>_________________________</w:t>
                                  </w:r>
                                </w:p>
                                <w:p w:rsidR="001D79EB" w:rsidRPr="003B746C" w:rsidRDefault="001D79EB" w:rsidP="001D79EB">
                                  <w:pPr>
                                    <w:rPr>
                                      <w:sz w:val="18"/>
                                      <w:szCs w:val="20"/>
                                    </w:rPr>
                                  </w:pPr>
                                  <w:r w:rsidRPr="003B746C">
                                    <w:rPr>
                                      <w:sz w:val="18"/>
                                      <w:szCs w:val="20"/>
                                    </w:rPr>
                                    <w:t>DATE</w:t>
                                  </w:r>
                                  <w:r w:rsidR="007E7D39">
                                    <w:rPr>
                                      <w:sz w:val="18"/>
                                      <w:szCs w:val="20"/>
                                    </w:rPr>
                                    <w:tab/>
                                  </w:r>
                                  <w:r w:rsidRPr="003B746C">
                                    <w:rPr>
                                      <w:sz w:val="18"/>
                                      <w:szCs w:val="20"/>
                                    </w:rPr>
                                    <w:tab/>
                                  </w:r>
                                  <w:r>
                                    <w:rPr>
                                      <w:sz w:val="18"/>
                                      <w:szCs w:val="20"/>
                                    </w:rPr>
                                    <w:tab/>
                                  </w:r>
                                  <w:r>
                                    <w:rPr>
                                      <w:sz w:val="18"/>
                                      <w:szCs w:val="20"/>
                                    </w:rPr>
                                    <w:tab/>
                                  </w:r>
                                  <w:r w:rsidRPr="003B746C">
                                    <w:rPr>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2D09D"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rsidR="001D79EB" w:rsidRPr="003B746C" w:rsidRDefault="00E31C9F" w:rsidP="00E31C9F">
                            <w:pPr>
                              <w:tabs>
                                <w:tab w:val="left" w:pos="900"/>
                              </w:tabs>
                              <w:spacing w:after="0" w:line="240" w:lineRule="auto"/>
                              <w:ind w:left="900" w:hanging="720"/>
                              <w:rPr>
                                <w:sz w:val="18"/>
                                <w:szCs w:val="20"/>
                              </w:rPr>
                            </w:pPr>
                            <w:r w:rsidRPr="003B746C">
                              <w:rPr>
                                <w:sz w:val="18"/>
                                <w:szCs w:val="20"/>
                              </w:rPr>
                              <w:t>(1)</w:t>
                            </w:r>
                            <w:r w:rsidRPr="003B746C">
                              <w:rPr>
                                <w:sz w:val="18"/>
                                <w:szCs w:val="20"/>
                              </w:rPr>
                              <w:tab/>
                            </w:r>
                            <w:r w:rsidR="001D79EB" w:rsidRPr="003B746C">
                              <w:rPr>
                                <w:sz w:val="18"/>
                                <w:szCs w:val="20"/>
                              </w:rPr>
                              <w:t xml:space="preserve">REPORTABLE: </w:t>
                            </w:r>
                            <w:r w:rsidR="001D79EB" w:rsidRPr="000E47FE">
                              <w:rPr>
                                <w:sz w:val="18"/>
                                <w:szCs w:val="20"/>
                              </w:rPr>
                              <w:t>NO</w:t>
                            </w:r>
                          </w:p>
                          <w:p w:rsidR="001D79EB" w:rsidRPr="003B746C" w:rsidRDefault="00E31C9F" w:rsidP="00E31C9F">
                            <w:pPr>
                              <w:tabs>
                                <w:tab w:val="left" w:pos="900"/>
                              </w:tabs>
                              <w:spacing w:after="0" w:line="240" w:lineRule="auto"/>
                              <w:ind w:left="900" w:hanging="720"/>
                              <w:rPr>
                                <w:sz w:val="18"/>
                                <w:szCs w:val="20"/>
                              </w:rPr>
                            </w:pPr>
                            <w:r w:rsidRPr="003B746C">
                              <w:rPr>
                                <w:sz w:val="18"/>
                                <w:szCs w:val="20"/>
                              </w:rPr>
                              <w:t>(2)</w:t>
                            </w:r>
                            <w:r w:rsidRPr="003B746C">
                              <w:rPr>
                                <w:sz w:val="18"/>
                                <w:szCs w:val="20"/>
                              </w:rPr>
                              <w:tab/>
                            </w:r>
                            <w:r w:rsidR="001D79EB" w:rsidRPr="003B746C">
                              <w:rPr>
                                <w:sz w:val="18"/>
                                <w:szCs w:val="20"/>
                              </w:rPr>
                              <w:t xml:space="preserve">OF INTEREST TO OTHER JUDGES: </w:t>
                            </w:r>
                            <w:r w:rsidR="001D79EB" w:rsidRPr="000E47FE">
                              <w:rPr>
                                <w:sz w:val="18"/>
                                <w:szCs w:val="20"/>
                              </w:rPr>
                              <w:t>NO</w:t>
                            </w:r>
                          </w:p>
                          <w:p w:rsidR="001D79EB" w:rsidRDefault="001D79EB" w:rsidP="001D79EB">
                            <w:pPr>
                              <w:spacing w:after="0" w:line="240" w:lineRule="auto"/>
                              <w:ind w:left="180"/>
                              <w:rPr>
                                <w:sz w:val="18"/>
                                <w:szCs w:val="20"/>
                              </w:rPr>
                            </w:pPr>
                          </w:p>
                          <w:p w:rsidR="001D79EB" w:rsidRPr="003B746C" w:rsidRDefault="007E7D39" w:rsidP="001D79EB">
                            <w:pPr>
                              <w:spacing w:before="240" w:after="0"/>
                              <w:rPr>
                                <w:b/>
                                <w:sz w:val="18"/>
                                <w:szCs w:val="20"/>
                              </w:rPr>
                            </w:pPr>
                            <w:r>
                              <w:rPr>
                                <w:b/>
                                <w:sz w:val="18"/>
                                <w:szCs w:val="20"/>
                                <w:u w:val="single"/>
                              </w:rPr>
                              <w:t>29 November 2023</w:t>
                            </w:r>
                            <w:r w:rsidR="001D79EB" w:rsidRPr="003B746C">
                              <w:rPr>
                                <w:b/>
                                <w:sz w:val="18"/>
                                <w:szCs w:val="20"/>
                              </w:rPr>
                              <w:tab/>
                            </w:r>
                            <w:r w:rsidR="001D79EB">
                              <w:rPr>
                                <w:b/>
                                <w:sz w:val="18"/>
                                <w:szCs w:val="20"/>
                              </w:rPr>
                              <w:tab/>
                            </w:r>
                            <w:r w:rsidR="001D79EB" w:rsidRPr="003B746C">
                              <w:rPr>
                                <w:b/>
                                <w:sz w:val="18"/>
                                <w:szCs w:val="20"/>
                              </w:rPr>
                              <w:t>_________________________</w:t>
                            </w:r>
                          </w:p>
                          <w:p w:rsidR="001D79EB" w:rsidRPr="003B746C" w:rsidRDefault="001D79EB" w:rsidP="001D79EB">
                            <w:pPr>
                              <w:rPr>
                                <w:sz w:val="18"/>
                                <w:szCs w:val="20"/>
                              </w:rPr>
                            </w:pPr>
                            <w:r w:rsidRPr="003B746C">
                              <w:rPr>
                                <w:sz w:val="18"/>
                                <w:szCs w:val="20"/>
                              </w:rPr>
                              <w:t>DATE</w:t>
                            </w:r>
                            <w:r w:rsidR="007E7D39">
                              <w:rPr>
                                <w:sz w:val="18"/>
                                <w:szCs w:val="20"/>
                              </w:rPr>
                              <w:tab/>
                            </w:r>
                            <w:r w:rsidRPr="003B746C">
                              <w:rPr>
                                <w:sz w:val="18"/>
                                <w:szCs w:val="20"/>
                              </w:rPr>
                              <w:tab/>
                            </w:r>
                            <w:r>
                              <w:rPr>
                                <w:sz w:val="18"/>
                                <w:szCs w:val="20"/>
                              </w:rPr>
                              <w:tab/>
                            </w:r>
                            <w:r>
                              <w:rPr>
                                <w:sz w:val="18"/>
                                <w:szCs w:val="20"/>
                              </w:rPr>
                              <w:tab/>
                            </w:r>
                            <w:r w:rsidRPr="003B746C">
                              <w:rPr>
                                <w:sz w:val="18"/>
                                <w:szCs w:val="20"/>
                              </w:rPr>
                              <w:t>SIGNATURE</w:t>
                            </w:r>
                          </w:p>
                        </w:txbxContent>
                      </v:textbox>
                      <w10:wrap anchorx="margin"/>
                    </v:shape>
                  </w:pict>
                </mc:Fallback>
              </mc:AlternateContent>
            </w:r>
          </w:p>
          <w:p w:rsidR="001D79EB" w:rsidRPr="001D79EB" w:rsidRDefault="001D79EB" w:rsidP="001D79EB">
            <w:pPr>
              <w:tabs>
                <w:tab w:val="left" w:pos="8998"/>
              </w:tabs>
              <w:ind w:hanging="576"/>
              <w:jc w:val="both"/>
              <w:rPr>
                <w:rFonts w:ascii="Arial" w:eastAsia="Times New Roman" w:hAnsi="Arial" w:cs="Arial"/>
                <w:color w:val="000000"/>
                <w:sz w:val="24"/>
                <w:szCs w:val="24"/>
              </w:rPr>
            </w:pPr>
          </w:p>
          <w:p w:rsidR="001D79EB" w:rsidRPr="001D79EB" w:rsidRDefault="001D79EB" w:rsidP="001D79EB">
            <w:pPr>
              <w:tabs>
                <w:tab w:val="left" w:pos="8998"/>
              </w:tabs>
              <w:ind w:hanging="576"/>
              <w:jc w:val="both"/>
              <w:rPr>
                <w:rFonts w:ascii="Arial" w:eastAsia="Times New Roman" w:hAnsi="Arial" w:cs="Arial"/>
                <w:color w:val="000000"/>
                <w:sz w:val="24"/>
                <w:szCs w:val="24"/>
              </w:rPr>
            </w:pPr>
          </w:p>
          <w:p w:rsidR="001D79EB" w:rsidRPr="001D79EB" w:rsidRDefault="001D79EB" w:rsidP="001D79EB">
            <w:pPr>
              <w:tabs>
                <w:tab w:val="left" w:pos="8998"/>
              </w:tabs>
              <w:ind w:hanging="576"/>
              <w:jc w:val="both"/>
              <w:rPr>
                <w:rFonts w:ascii="Arial" w:eastAsia="Times New Roman" w:hAnsi="Arial" w:cs="Arial"/>
                <w:color w:val="000000"/>
                <w:sz w:val="24"/>
                <w:szCs w:val="24"/>
              </w:rPr>
            </w:pPr>
            <w:r w:rsidRPr="001D79EB">
              <w:rPr>
                <w:rFonts w:ascii="Arial" w:eastAsia="Times New Roman" w:hAnsi="Arial" w:cs="Arial"/>
                <w:color w:val="000000"/>
                <w:sz w:val="24"/>
                <w:szCs w:val="24"/>
              </w:rPr>
              <w:t>In the matter between:</w:t>
            </w:r>
          </w:p>
          <w:p w:rsidR="001D79EB" w:rsidRPr="001D79EB" w:rsidRDefault="001D79EB" w:rsidP="001D79EB">
            <w:pPr>
              <w:tabs>
                <w:tab w:val="right" w:pos="9029"/>
              </w:tabs>
              <w:ind w:hanging="576"/>
              <w:jc w:val="both"/>
              <w:rPr>
                <w:rFonts w:ascii="Arial" w:eastAsia="Times New Roman" w:hAnsi="Arial" w:cs="Arial"/>
                <w:color w:val="000000"/>
                <w:sz w:val="24"/>
                <w:szCs w:val="24"/>
              </w:rPr>
            </w:pPr>
          </w:p>
          <w:p w:rsidR="001D79EB" w:rsidRPr="001D79EB" w:rsidRDefault="001D79EB" w:rsidP="001D79EB">
            <w:pPr>
              <w:rPr>
                <w:rFonts w:ascii="Arial" w:eastAsia="Arial" w:hAnsi="Arial" w:cs="Arial"/>
                <w:color w:val="000000"/>
                <w:sz w:val="24"/>
              </w:rPr>
            </w:pPr>
          </w:p>
          <w:p w:rsidR="001D79EB" w:rsidRPr="001D79EB" w:rsidRDefault="001D79EB" w:rsidP="001D79EB">
            <w:pPr>
              <w:rPr>
                <w:rFonts w:ascii="Arial" w:eastAsia="Arial" w:hAnsi="Arial" w:cs="Arial"/>
                <w:color w:val="000000"/>
                <w:sz w:val="24"/>
              </w:rPr>
            </w:pPr>
          </w:p>
          <w:p w:rsidR="001D79EB" w:rsidRPr="001D79EB" w:rsidRDefault="001D79EB" w:rsidP="001D79EB">
            <w:pPr>
              <w:rPr>
                <w:rFonts w:ascii="Arial" w:eastAsia="Arial" w:hAnsi="Arial" w:cs="Arial"/>
                <w:color w:val="000000"/>
                <w:sz w:val="24"/>
              </w:rPr>
            </w:pPr>
            <w:r w:rsidRPr="001D79EB">
              <w:rPr>
                <w:rFonts w:ascii="Arial" w:eastAsia="Arial" w:hAnsi="Arial" w:cs="Arial"/>
                <w:color w:val="000000"/>
                <w:sz w:val="24"/>
              </w:rPr>
              <w:t>In the matter between:</w:t>
            </w:r>
          </w:p>
          <w:p w:rsidR="001D79EB" w:rsidRPr="001D79EB" w:rsidRDefault="001D79EB" w:rsidP="001D79EB">
            <w:pPr>
              <w:rPr>
                <w:rFonts w:ascii="Arial" w:eastAsia="Arial" w:hAnsi="Arial" w:cs="Arial"/>
                <w:color w:val="000000"/>
                <w:sz w:val="24"/>
              </w:rPr>
            </w:pPr>
          </w:p>
        </w:tc>
        <w:tc>
          <w:tcPr>
            <w:tcW w:w="2947" w:type="dxa"/>
            <w:tcBorders>
              <w:top w:val="nil"/>
              <w:left w:val="nil"/>
              <w:bottom w:val="nil"/>
              <w:right w:val="nil"/>
            </w:tcBorders>
          </w:tcPr>
          <w:p w:rsidR="001D79EB" w:rsidRPr="001D79EB" w:rsidRDefault="001D79EB" w:rsidP="001D79EB">
            <w:pPr>
              <w:rPr>
                <w:rFonts w:ascii="Arial" w:eastAsia="Arial" w:hAnsi="Arial" w:cs="Arial"/>
                <w:color w:val="000000"/>
                <w:sz w:val="24"/>
              </w:rPr>
            </w:pPr>
          </w:p>
        </w:tc>
      </w:tr>
      <w:tr w:rsidR="001D79EB" w:rsidRPr="001D79EB" w:rsidTr="006D1CD6">
        <w:trPr>
          <w:trHeight w:val="276"/>
        </w:trPr>
        <w:tc>
          <w:tcPr>
            <w:tcW w:w="6148" w:type="dxa"/>
            <w:tcBorders>
              <w:top w:val="nil"/>
              <w:left w:val="nil"/>
              <w:bottom w:val="nil"/>
              <w:right w:val="nil"/>
            </w:tcBorders>
          </w:tcPr>
          <w:p w:rsidR="001D79EB" w:rsidRPr="001D79EB" w:rsidRDefault="001D79EB" w:rsidP="001D79EB">
            <w:pPr>
              <w:rPr>
                <w:rFonts w:ascii="Arial" w:eastAsia="Arial" w:hAnsi="Arial" w:cs="Arial"/>
                <w:color w:val="000000"/>
                <w:sz w:val="24"/>
              </w:rPr>
            </w:pPr>
            <w:r>
              <w:rPr>
                <w:rFonts w:ascii="Arial" w:eastAsia="Arial" w:hAnsi="Arial" w:cs="Arial"/>
                <w:b/>
                <w:color w:val="000000"/>
                <w:sz w:val="24"/>
              </w:rPr>
              <w:t>THE STANDARD BANK OF SOUTH AFRICA</w:t>
            </w:r>
          </w:p>
        </w:tc>
        <w:tc>
          <w:tcPr>
            <w:tcW w:w="2947" w:type="dxa"/>
            <w:tcBorders>
              <w:top w:val="nil"/>
              <w:left w:val="nil"/>
              <w:bottom w:val="nil"/>
              <w:right w:val="nil"/>
            </w:tcBorders>
          </w:tcPr>
          <w:p w:rsidR="001D79EB" w:rsidRPr="001D79EB" w:rsidRDefault="001D79EB" w:rsidP="00C65A66">
            <w:pPr>
              <w:ind w:right="66"/>
              <w:jc w:val="center"/>
              <w:rPr>
                <w:rFonts w:ascii="Arial" w:eastAsia="Arial" w:hAnsi="Arial" w:cs="Arial"/>
                <w:color w:val="000000"/>
                <w:sz w:val="24"/>
              </w:rPr>
            </w:pPr>
            <w:r w:rsidRPr="001D79EB">
              <w:rPr>
                <w:rFonts w:ascii="Arial" w:eastAsia="Arial" w:hAnsi="Arial" w:cs="Arial"/>
                <w:color w:val="000000"/>
                <w:sz w:val="24"/>
              </w:rPr>
              <w:t xml:space="preserve">Applicant </w:t>
            </w:r>
          </w:p>
        </w:tc>
      </w:tr>
      <w:tr w:rsidR="001D79EB" w:rsidRPr="001D79EB" w:rsidTr="006D1CD6">
        <w:trPr>
          <w:trHeight w:val="276"/>
        </w:trPr>
        <w:tc>
          <w:tcPr>
            <w:tcW w:w="6148" w:type="dxa"/>
            <w:tcBorders>
              <w:top w:val="nil"/>
              <w:left w:val="nil"/>
              <w:bottom w:val="nil"/>
              <w:right w:val="nil"/>
            </w:tcBorders>
          </w:tcPr>
          <w:p w:rsidR="001D79EB" w:rsidRDefault="001D79EB" w:rsidP="001D79EB">
            <w:pPr>
              <w:rPr>
                <w:rFonts w:ascii="Arial" w:eastAsia="Arial" w:hAnsi="Arial" w:cs="Arial"/>
                <w:b/>
                <w:color w:val="000000"/>
                <w:sz w:val="24"/>
              </w:rPr>
            </w:pPr>
            <w:r>
              <w:rPr>
                <w:rFonts w:ascii="Arial" w:eastAsia="Arial" w:hAnsi="Arial" w:cs="Arial"/>
                <w:b/>
                <w:color w:val="000000"/>
                <w:sz w:val="24"/>
              </w:rPr>
              <w:t>(REGISTRATION NUMBER: 1962/000738/06)</w:t>
            </w:r>
          </w:p>
        </w:tc>
        <w:tc>
          <w:tcPr>
            <w:tcW w:w="2947" w:type="dxa"/>
            <w:tcBorders>
              <w:top w:val="nil"/>
              <w:left w:val="nil"/>
              <w:bottom w:val="nil"/>
              <w:right w:val="nil"/>
            </w:tcBorders>
          </w:tcPr>
          <w:p w:rsidR="001D79EB" w:rsidRPr="001D79EB" w:rsidRDefault="001D79EB" w:rsidP="001D79EB">
            <w:pPr>
              <w:ind w:right="66"/>
              <w:jc w:val="right"/>
              <w:rPr>
                <w:rFonts w:ascii="Arial" w:eastAsia="Arial" w:hAnsi="Arial" w:cs="Arial"/>
                <w:color w:val="000000"/>
                <w:sz w:val="24"/>
              </w:rPr>
            </w:pPr>
          </w:p>
        </w:tc>
      </w:tr>
      <w:tr w:rsidR="001D79EB" w:rsidRPr="001D79EB" w:rsidTr="006D1CD6">
        <w:trPr>
          <w:trHeight w:val="828"/>
        </w:trPr>
        <w:tc>
          <w:tcPr>
            <w:tcW w:w="6148" w:type="dxa"/>
            <w:tcBorders>
              <w:top w:val="nil"/>
              <w:left w:val="nil"/>
              <w:bottom w:val="nil"/>
              <w:right w:val="nil"/>
            </w:tcBorders>
          </w:tcPr>
          <w:p w:rsidR="001D79EB" w:rsidRPr="001D79EB" w:rsidRDefault="001D79EB" w:rsidP="001D79EB">
            <w:pPr>
              <w:rPr>
                <w:rFonts w:ascii="Arial" w:eastAsia="Arial" w:hAnsi="Arial" w:cs="Arial"/>
                <w:color w:val="000000"/>
                <w:sz w:val="24"/>
              </w:rPr>
            </w:pPr>
          </w:p>
          <w:p w:rsidR="001D79EB" w:rsidRPr="001D79EB" w:rsidRDefault="001D79EB" w:rsidP="001D79EB">
            <w:pPr>
              <w:rPr>
                <w:rFonts w:ascii="Arial" w:eastAsia="Arial" w:hAnsi="Arial" w:cs="Arial"/>
                <w:color w:val="000000"/>
                <w:sz w:val="24"/>
              </w:rPr>
            </w:pPr>
            <w:r w:rsidRPr="001D79EB">
              <w:rPr>
                <w:rFonts w:ascii="Arial" w:eastAsia="Arial" w:hAnsi="Arial" w:cs="Arial"/>
                <w:color w:val="000000"/>
                <w:sz w:val="24"/>
              </w:rPr>
              <w:t>and</w:t>
            </w:r>
          </w:p>
          <w:p w:rsidR="001D79EB" w:rsidRPr="001D79EB" w:rsidRDefault="001D79EB" w:rsidP="001D79EB">
            <w:pPr>
              <w:rPr>
                <w:rFonts w:ascii="Arial" w:eastAsia="Arial" w:hAnsi="Arial" w:cs="Arial"/>
                <w:color w:val="000000"/>
                <w:sz w:val="24"/>
              </w:rPr>
            </w:pPr>
          </w:p>
        </w:tc>
        <w:tc>
          <w:tcPr>
            <w:tcW w:w="2947" w:type="dxa"/>
            <w:tcBorders>
              <w:top w:val="nil"/>
              <w:left w:val="nil"/>
              <w:bottom w:val="nil"/>
              <w:right w:val="nil"/>
            </w:tcBorders>
          </w:tcPr>
          <w:p w:rsidR="001D79EB" w:rsidRPr="001D79EB" w:rsidRDefault="001D79EB" w:rsidP="001D79EB">
            <w:pPr>
              <w:jc w:val="right"/>
              <w:rPr>
                <w:rFonts w:ascii="Arial" w:eastAsia="Arial" w:hAnsi="Arial" w:cs="Arial"/>
                <w:color w:val="000000"/>
                <w:sz w:val="24"/>
              </w:rPr>
            </w:pPr>
            <w:r w:rsidRPr="001D79EB">
              <w:rPr>
                <w:rFonts w:ascii="Arial" w:eastAsia="Arial" w:hAnsi="Arial" w:cs="Arial"/>
                <w:b/>
                <w:color w:val="000000"/>
                <w:sz w:val="24"/>
              </w:rPr>
              <w:t xml:space="preserve"> </w:t>
            </w:r>
          </w:p>
        </w:tc>
      </w:tr>
      <w:tr w:rsidR="001D79EB" w:rsidRPr="001D79EB" w:rsidTr="006D1CD6">
        <w:trPr>
          <w:trHeight w:val="828"/>
        </w:trPr>
        <w:tc>
          <w:tcPr>
            <w:tcW w:w="6148" w:type="dxa"/>
            <w:tcBorders>
              <w:top w:val="nil"/>
              <w:left w:val="nil"/>
              <w:bottom w:val="nil"/>
              <w:right w:val="nil"/>
            </w:tcBorders>
          </w:tcPr>
          <w:p w:rsidR="001D79EB" w:rsidRDefault="001D79EB" w:rsidP="001D79EB">
            <w:pPr>
              <w:rPr>
                <w:rFonts w:ascii="Arial" w:eastAsia="Arial" w:hAnsi="Arial" w:cs="Arial"/>
                <w:b/>
                <w:color w:val="000000"/>
                <w:sz w:val="24"/>
              </w:rPr>
            </w:pPr>
            <w:r>
              <w:rPr>
                <w:rFonts w:ascii="Arial" w:eastAsia="Arial" w:hAnsi="Arial" w:cs="Arial"/>
                <w:b/>
                <w:color w:val="000000"/>
                <w:sz w:val="24"/>
              </w:rPr>
              <w:t>FAIRUZ DANIELS</w:t>
            </w:r>
          </w:p>
          <w:p w:rsidR="001D79EB" w:rsidRPr="001D79EB" w:rsidRDefault="001D79EB" w:rsidP="001D79EB">
            <w:pPr>
              <w:rPr>
                <w:rFonts w:ascii="Arial" w:eastAsia="Arial" w:hAnsi="Arial" w:cs="Arial"/>
                <w:color w:val="000000"/>
                <w:sz w:val="24"/>
              </w:rPr>
            </w:pPr>
          </w:p>
          <w:p w:rsidR="001D79EB" w:rsidRPr="001D79EB" w:rsidRDefault="001D79EB" w:rsidP="001D79EB">
            <w:pPr>
              <w:rPr>
                <w:rFonts w:ascii="Arial" w:eastAsia="Arial" w:hAnsi="Arial" w:cs="Arial"/>
                <w:color w:val="000000"/>
                <w:sz w:val="24"/>
              </w:rPr>
            </w:pPr>
          </w:p>
        </w:tc>
        <w:tc>
          <w:tcPr>
            <w:tcW w:w="2947" w:type="dxa"/>
            <w:tcBorders>
              <w:top w:val="nil"/>
              <w:left w:val="nil"/>
              <w:bottom w:val="nil"/>
              <w:right w:val="nil"/>
            </w:tcBorders>
          </w:tcPr>
          <w:p w:rsidR="001D79EB" w:rsidRPr="001D79EB" w:rsidRDefault="001D79EB" w:rsidP="001D79EB">
            <w:pPr>
              <w:ind w:right="67"/>
              <w:jc w:val="right"/>
              <w:rPr>
                <w:rFonts w:ascii="Arial" w:eastAsia="Arial" w:hAnsi="Arial" w:cs="Arial"/>
                <w:color w:val="000000"/>
                <w:sz w:val="24"/>
              </w:rPr>
            </w:pPr>
            <w:r w:rsidRPr="001D79EB">
              <w:rPr>
                <w:rFonts w:ascii="Arial" w:eastAsia="Arial" w:hAnsi="Arial" w:cs="Arial"/>
                <w:color w:val="000000"/>
                <w:sz w:val="24"/>
              </w:rPr>
              <w:t xml:space="preserve">First Respondent </w:t>
            </w:r>
          </w:p>
        </w:tc>
      </w:tr>
      <w:tr w:rsidR="001D79EB" w:rsidRPr="001D79EB" w:rsidTr="006D1CD6">
        <w:trPr>
          <w:trHeight w:val="552"/>
        </w:trPr>
        <w:tc>
          <w:tcPr>
            <w:tcW w:w="6148" w:type="dxa"/>
            <w:tcBorders>
              <w:top w:val="nil"/>
              <w:left w:val="nil"/>
              <w:bottom w:val="nil"/>
              <w:right w:val="nil"/>
            </w:tcBorders>
          </w:tcPr>
          <w:p w:rsidR="001D79EB" w:rsidRPr="001D79EB" w:rsidRDefault="001D79EB" w:rsidP="001D79EB">
            <w:pPr>
              <w:rPr>
                <w:rFonts w:ascii="Arial" w:eastAsia="Arial" w:hAnsi="Arial" w:cs="Arial"/>
                <w:color w:val="000000"/>
                <w:sz w:val="24"/>
              </w:rPr>
            </w:pPr>
            <w:r>
              <w:rPr>
                <w:rFonts w:ascii="Arial" w:eastAsia="Arial" w:hAnsi="Arial" w:cs="Arial"/>
                <w:b/>
                <w:color w:val="000000"/>
                <w:sz w:val="24"/>
              </w:rPr>
              <w:t>MALIKA DANIELS</w:t>
            </w:r>
          </w:p>
          <w:p w:rsidR="001D79EB" w:rsidRPr="001D79EB" w:rsidRDefault="001D79EB" w:rsidP="001D79EB">
            <w:pPr>
              <w:rPr>
                <w:rFonts w:ascii="Arial" w:eastAsia="Arial" w:hAnsi="Arial" w:cs="Arial"/>
                <w:color w:val="000000"/>
                <w:sz w:val="24"/>
              </w:rPr>
            </w:pPr>
          </w:p>
        </w:tc>
        <w:tc>
          <w:tcPr>
            <w:tcW w:w="2947" w:type="dxa"/>
            <w:tcBorders>
              <w:top w:val="nil"/>
              <w:left w:val="nil"/>
              <w:bottom w:val="nil"/>
              <w:right w:val="nil"/>
            </w:tcBorders>
          </w:tcPr>
          <w:p w:rsidR="001D79EB" w:rsidRPr="001D79EB" w:rsidRDefault="001D79EB" w:rsidP="001D79EB">
            <w:pPr>
              <w:ind w:right="68"/>
              <w:jc w:val="right"/>
              <w:rPr>
                <w:rFonts w:ascii="Arial" w:eastAsia="Arial" w:hAnsi="Arial" w:cs="Arial"/>
                <w:color w:val="000000"/>
                <w:sz w:val="24"/>
              </w:rPr>
            </w:pPr>
            <w:r w:rsidRPr="001D79EB">
              <w:rPr>
                <w:rFonts w:ascii="Arial" w:eastAsia="Arial" w:hAnsi="Arial" w:cs="Arial"/>
                <w:color w:val="000000"/>
                <w:sz w:val="24"/>
              </w:rPr>
              <w:t xml:space="preserve">Second Respondent </w:t>
            </w:r>
          </w:p>
        </w:tc>
      </w:tr>
    </w:tbl>
    <w:p w:rsidR="001D79EB" w:rsidRPr="001D79EB" w:rsidRDefault="001D79EB" w:rsidP="001D79EB">
      <w:pPr>
        <w:spacing w:after="0"/>
        <w:rPr>
          <w:rFonts w:ascii="Arial" w:eastAsia="Arial" w:hAnsi="Arial" w:cs="Arial"/>
          <w:color w:val="000000"/>
          <w:sz w:val="24"/>
          <w:lang w:eastAsia="en-ZA"/>
        </w:rPr>
      </w:pPr>
    </w:p>
    <w:p w:rsidR="001D79EB" w:rsidRPr="001D79EB" w:rsidRDefault="001D79EB" w:rsidP="001D79EB">
      <w:pPr>
        <w:spacing w:after="0" w:line="250" w:lineRule="auto"/>
        <w:ind w:left="-5" w:hanging="10"/>
        <w:jc w:val="both"/>
        <w:rPr>
          <w:rFonts w:ascii="Arial" w:eastAsia="Arial" w:hAnsi="Arial" w:cs="Arial"/>
          <w:color w:val="000000"/>
          <w:sz w:val="24"/>
          <w:lang w:eastAsia="en-ZA"/>
        </w:rPr>
      </w:pPr>
      <w:r w:rsidRPr="001D79EB">
        <w:rPr>
          <w:rFonts w:ascii="Arial" w:eastAsia="Arial" w:hAnsi="Arial" w:cs="Arial"/>
          <w:b/>
          <w:i/>
          <w:color w:val="000000"/>
          <w:sz w:val="24"/>
          <w:lang w:eastAsia="en-ZA"/>
        </w:rPr>
        <w:t>Delivered</w:t>
      </w:r>
      <w:r w:rsidRPr="001D79EB">
        <w:rPr>
          <w:rFonts w:ascii="Arial" w:eastAsia="Arial" w:hAnsi="Arial" w:cs="Arial"/>
          <w:i/>
          <w:color w:val="000000"/>
          <w:sz w:val="24"/>
          <w:lang w:eastAsia="en-ZA"/>
        </w:rPr>
        <w:t xml:space="preserve">: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1D79EB">
        <w:rPr>
          <w:rFonts w:ascii="Arial" w:eastAsia="Arial" w:hAnsi="Arial" w:cs="Arial"/>
          <w:i/>
          <w:color w:val="000000"/>
          <w:sz w:val="24"/>
          <w:lang w:eastAsia="en-ZA"/>
        </w:rPr>
        <w:t>Caselines</w:t>
      </w:r>
      <w:proofErr w:type="spellEnd"/>
      <w:r w:rsidRPr="001D79EB">
        <w:rPr>
          <w:rFonts w:ascii="Arial" w:eastAsia="Arial" w:hAnsi="Arial" w:cs="Arial"/>
          <w:i/>
          <w:color w:val="000000"/>
          <w:sz w:val="24"/>
          <w:lang w:eastAsia="en-ZA"/>
        </w:rPr>
        <w:t xml:space="preserve"> The date and for hand-down is deemed to be </w:t>
      </w:r>
      <w:r w:rsidRPr="001D79EB">
        <w:rPr>
          <w:rFonts w:ascii="Arial" w:eastAsia="Arial" w:hAnsi="Arial" w:cs="Arial"/>
          <w:i/>
          <w:color w:val="000000"/>
          <w:sz w:val="24"/>
          <w:u w:val="single"/>
          <w:lang w:eastAsia="en-ZA"/>
        </w:rPr>
        <w:t>2</w:t>
      </w:r>
      <w:r w:rsidR="00C65A66" w:rsidRPr="00C65A66">
        <w:rPr>
          <w:rFonts w:ascii="Arial" w:eastAsia="Arial" w:hAnsi="Arial" w:cs="Arial"/>
          <w:i/>
          <w:color w:val="000000"/>
          <w:sz w:val="24"/>
          <w:u w:val="single"/>
          <w:lang w:eastAsia="en-ZA"/>
        </w:rPr>
        <w:t>9</w:t>
      </w:r>
      <w:r w:rsidRPr="001D79EB">
        <w:rPr>
          <w:rFonts w:ascii="Arial" w:eastAsia="Arial" w:hAnsi="Arial" w:cs="Arial"/>
          <w:i/>
          <w:color w:val="000000"/>
          <w:sz w:val="24"/>
          <w:u w:val="single"/>
          <w:lang w:eastAsia="en-ZA"/>
        </w:rPr>
        <w:t xml:space="preserve"> November 2023</w:t>
      </w:r>
      <w:r w:rsidRPr="001D79EB">
        <w:rPr>
          <w:rFonts w:ascii="Arial" w:eastAsia="Arial" w:hAnsi="Arial" w:cs="Arial"/>
          <w:i/>
          <w:color w:val="000000"/>
          <w:sz w:val="24"/>
          <w:lang w:eastAsia="en-ZA"/>
        </w:rPr>
        <w:t>.</w:t>
      </w:r>
    </w:p>
    <w:p w:rsidR="001D79EB" w:rsidRPr="001D79EB" w:rsidRDefault="001D79EB" w:rsidP="001D79EB">
      <w:pPr>
        <w:spacing w:after="6"/>
        <w:ind w:left="-29" w:right="-24"/>
        <w:rPr>
          <w:rFonts w:ascii="Arial" w:eastAsia="Arial" w:hAnsi="Arial" w:cs="Arial"/>
          <w:color w:val="000000"/>
          <w:sz w:val="24"/>
          <w:lang w:eastAsia="en-ZA"/>
        </w:rPr>
      </w:pPr>
      <w:r w:rsidRPr="001D79EB">
        <w:rPr>
          <w:rFonts w:ascii="Calibri" w:eastAsia="Calibri" w:hAnsi="Calibri" w:cs="Calibri"/>
          <w:noProof/>
          <w:color w:val="000000"/>
          <w:lang w:val="en-US"/>
        </w:rPr>
        <mc:AlternateContent>
          <mc:Choice Requires="wpg">
            <w:drawing>
              <wp:inline distT="0" distB="0" distL="0" distR="0" wp14:anchorId="58F8F266" wp14:editId="61781E33">
                <wp:extent cx="5769229" cy="18288"/>
                <wp:effectExtent l="0" t="0" r="0" b="0"/>
                <wp:docPr id="32001" name="Group 32001"/>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37325" name="Shape 37325"/>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solidFill>
                            <a:srgbClr val="000000"/>
                          </a:solidFill>
                          <a:ln w="0" cap="flat">
                            <a:noFill/>
                            <a:miter lim="127000"/>
                          </a:ln>
                          <a:effectLst/>
                        </wps:spPr>
                        <wps:bodyPr/>
                      </wps:wsp>
                    </wpg:wgp>
                  </a:graphicData>
                </a:graphic>
              </wp:inline>
            </w:drawing>
          </mc:Choice>
          <mc:Fallback xmlns:cx1="http://schemas.microsoft.com/office/drawing/2015/9/8/chartex">
            <w:pict>
              <v:group w14:anchorId="135909CA" id="Group 32001"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">
                <v:shape id="Shape 37325" o:spid="_x0000_s1027" style="position:absolute;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" path="m,l5769229,r,18288l,18288,,e" fillcolor="black" stroked="f" strokeweight="0">
                  <v:stroke miterlimit="83231f" joinstyle="miter"/>
                  <v:path arrowok="t" textboxrect="0,0,5769229,18288"/>
                </v:shape>
                <w10:anchorlock/>
              </v:group>
            </w:pict>
          </mc:Fallback>
        </mc:AlternateContent>
      </w:r>
    </w:p>
    <w:p w:rsidR="001D79EB" w:rsidRPr="001D79EB" w:rsidRDefault="001D79EB" w:rsidP="001D79EB">
      <w:pPr>
        <w:spacing w:after="0"/>
        <w:rPr>
          <w:rFonts w:ascii="Arial" w:eastAsia="Arial" w:hAnsi="Arial" w:cs="Arial"/>
          <w:color w:val="000000"/>
          <w:sz w:val="24"/>
          <w:lang w:eastAsia="en-ZA"/>
        </w:rPr>
      </w:pPr>
    </w:p>
    <w:p w:rsidR="001D79EB" w:rsidRPr="001D79EB" w:rsidRDefault="001D79EB" w:rsidP="001D79EB">
      <w:pPr>
        <w:spacing w:after="0"/>
        <w:ind w:left="10" w:right="5" w:hanging="10"/>
        <w:jc w:val="center"/>
        <w:rPr>
          <w:rFonts w:ascii="Arial" w:eastAsia="Arial" w:hAnsi="Arial" w:cs="Arial"/>
          <w:color w:val="000000"/>
          <w:sz w:val="24"/>
          <w:lang w:eastAsia="en-ZA"/>
        </w:rPr>
      </w:pPr>
      <w:r w:rsidRPr="001D79EB">
        <w:rPr>
          <w:rFonts w:ascii="Arial" w:eastAsia="Arial" w:hAnsi="Arial" w:cs="Arial"/>
          <w:b/>
          <w:color w:val="000000"/>
          <w:sz w:val="24"/>
          <w:lang w:eastAsia="en-ZA"/>
        </w:rPr>
        <w:t>JUDGMENT</w:t>
      </w:r>
    </w:p>
    <w:p w:rsidR="001D79EB" w:rsidRPr="001D79EB" w:rsidRDefault="001D79EB" w:rsidP="001D79EB">
      <w:pPr>
        <w:spacing w:after="0"/>
        <w:ind w:left="-29" w:right="-24"/>
        <w:rPr>
          <w:rFonts w:ascii="Arial" w:eastAsia="Arial" w:hAnsi="Arial" w:cs="Arial"/>
          <w:color w:val="000000"/>
          <w:sz w:val="24"/>
          <w:lang w:eastAsia="en-ZA"/>
        </w:rPr>
      </w:pPr>
      <w:r w:rsidRPr="001D79EB">
        <w:rPr>
          <w:rFonts w:ascii="Calibri" w:eastAsia="Calibri" w:hAnsi="Calibri" w:cs="Calibri"/>
          <w:noProof/>
          <w:color w:val="000000"/>
          <w:lang w:val="en-US"/>
        </w:rPr>
        <mc:AlternateContent>
          <mc:Choice Requires="wpg">
            <w:drawing>
              <wp:inline distT="0" distB="0" distL="0" distR="0" wp14:anchorId="582B80FD" wp14:editId="18004A6C">
                <wp:extent cx="5769229" cy="18286"/>
                <wp:effectExtent l="0" t="0" r="0" b="0"/>
                <wp:docPr id="32002" name="Group 32002"/>
                <wp:cNvGraphicFramePr/>
                <a:graphic xmlns:a="http://schemas.openxmlformats.org/drawingml/2006/main">
                  <a:graphicData uri="http://schemas.microsoft.com/office/word/2010/wordprocessingGroup">
                    <wpg:wgp>
                      <wpg:cNvGrpSpPr/>
                      <wpg:grpSpPr>
                        <a:xfrm>
                          <a:off x="0" y="0"/>
                          <a:ext cx="5769229" cy="18286"/>
                          <a:chOff x="0" y="0"/>
                          <a:chExt cx="5769229" cy="18286"/>
                        </a:xfrm>
                      </wpg:grpSpPr>
                      <wps:wsp>
                        <wps:cNvPr id="37327" name="Shape 37327"/>
                        <wps:cNvSpPr/>
                        <wps:spPr>
                          <a:xfrm>
                            <a:off x="0" y="0"/>
                            <a:ext cx="5769229" cy="18286"/>
                          </a:xfrm>
                          <a:custGeom>
                            <a:avLst/>
                            <a:gdLst/>
                            <a:ahLst/>
                            <a:cxnLst/>
                            <a:rect l="0" t="0" r="0" b="0"/>
                            <a:pathLst>
                              <a:path w="5769229" h="18286">
                                <a:moveTo>
                                  <a:pt x="0" y="0"/>
                                </a:moveTo>
                                <a:lnTo>
                                  <a:pt x="5769229" y="0"/>
                                </a:lnTo>
                                <a:lnTo>
                                  <a:pt x="5769229" y="18286"/>
                                </a:lnTo>
                                <a:lnTo>
                                  <a:pt x="0" y="18286"/>
                                </a:lnTo>
                                <a:lnTo>
                                  <a:pt x="0" y="0"/>
                                </a:lnTo>
                              </a:path>
                            </a:pathLst>
                          </a:custGeom>
                          <a:solidFill>
                            <a:srgbClr val="000000"/>
                          </a:solidFill>
                          <a:ln w="0" cap="flat">
                            <a:noFill/>
                            <a:miter lim="127000"/>
                          </a:ln>
                          <a:effectLst/>
                        </wps:spPr>
                        <wps:bodyPr/>
                      </wps:wsp>
                    </wpg:wgp>
                  </a:graphicData>
                </a:graphic>
              </wp:inline>
            </w:drawing>
          </mc:Choice>
          <mc:Fallback xmlns:cx1="http://schemas.microsoft.com/office/drawing/2015/9/8/chartex">
            <w:pict>
              <v:group w14:anchorId="1C35FFF1" id="Group 32002"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">
                <v:shape id="Shape 37327" o:spid="_x0000_s1027" style="position:absolute;width:57692;height:182;visibility:visible;mso-wrap-style:square;v-text-anchor:top" coordsize="5769229,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" path="m,l5769229,r,18286l,18286,,e" fillcolor="black" stroked="f" strokeweight="0">
                  <v:stroke miterlimit="83231f" joinstyle="miter"/>
                  <v:path arrowok="t" textboxrect="0,0,5769229,18286"/>
                </v:shape>
                <w10:anchorlock/>
              </v:group>
            </w:pict>
          </mc:Fallback>
        </mc:AlternateContent>
      </w:r>
    </w:p>
    <w:p w:rsidR="00AF62BB" w:rsidRDefault="00AF62BB" w:rsidP="001D79EB">
      <w:pPr>
        <w:spacing w:after="0"/>
        <w:rPr>
          <w:rFonts w:ascii="Arial" w:eastAsia="Arial" w:hAnsi="Arial" w:cs="Arial"/>
          <w:b/>
          <w:color w:val="000000"/>
          <w:sz w:val="24"/>
          <w:lang w:eastAsia="en-ZA"/>
        </w:rPr>
      </w:pPr>
    </w:p>
    <w:p w:rsidR="001D79EB" w:rsidRPr="001D79EB" w:rsidRDefault="001D79EB" w:rsidP="001D79EB">
      <w:pPr>
        <w:spacing w:after="0"/>
        <w:rPr>
          <w:rFonts w:ascii="Arial" w:eastAsia="Arial" w:hAnsi="Arial" w:cs="Arial"/>
          <w:color w:val="000000"/>
          <w:sz w:val="24"/>
          <w:lang w:eastAsia="en-ZA"/>
        </w:rPr>
      </w:pPr>
      <w:r w:rsidRPr="001D79EB">
        <w:rPr>
          <w:rFonts w:ascii="Arial" w:eastAsia="Arial" w:hAnsi="Arial" w:cs="Arial"/>
          <w:b/>
          <w:color w:val="000000"/>
          <w:sz w:val="24"/>
          <w:lang w:eastAsia="en-ZA"/>
        </w:rPr>
        <w:lastRenderedPageBreak/>
        <w:t>KUBUSHI, J</w:t>
      </w:r>
    </w:p>
    <w:p w:rsidR="001D79EB" w:rsidRDefault="001D79EB" w:rsidP="003122F4">
      <w:pPr>
        <w:spacing w:line="360" w:lineRule="auto"/>
        <w:jc w:val="both"/>
        <w:rPr>
          <w:rFonts w:ascii="Arial" w:hAnsi="Arial" w:cs="Arial"/>
          <w:color w:val="000000"/>
          <w:sz w:val="24"/>
          <w:szCs w:val="24"/>
        </w:rPr>
      </w:pPr>
    </w:p>
    <w:p w:rsidR="00AF62BB" w:rsidRDefault="00AF62BB" w:rsidP="003122F4">
      <w:pPr>
        <w:spacing w:line="360" w:lineRule="auto"/>
        <w:jc w:val="both"/>
        <w:rPr>
          <w:rFonts w:ascii="Arial" w:hAnsi="Arial" w:cs="Arial"/>
          <w:color w:val="000000"/>
          <w:sz w:val="24"/>
          <w:szCs w:val="24"/>
        </w:rPr>
      </w:pPr>
    </w:p>
    <w:p w:rsidR="003122F4" w:rsidRPr="008D6FE7" w:rsidRDefault="005D113B" w:rsidP="003122F4">
      <w:pPr>
        <w:spacing w:line="36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003122F4" w:rsidRPr="008D6FE7">
        <w:rPr>
          <w:rFonts w:ascii="Arial" w:hAnsi="Arial" w:cs="Arial"/>
          <w:color w:val="000000"/>
          <w:sz w:val="24"/>
          <w:szCs w:val="24"/>
        </w:rPr>
        <w:t xml:space="preserve">This is an opposed application for Summary Judgment </w:t>
      </w:r>
      <w:r w:rsidR="003122F4">
        <w:rPr>
          <w:rFonts w:ascii="Arial" w:hAnsi="Arial" w:cs="Arial"/>
          <w:color w:val="000000"/>
          <w:sz w:val="24"/>
          <w:szCs w:val="24"/>
        </w:rPr>
        <w:t xml:space="preserve">and an application in terms of Uniform Rule (“Rule”) 46A, </w:t>
      </w:r>
      <w:r w:rsidR="003122F4" w:rsidRPr="008D6FE7">
        <w:rPr>
          <w:rFonts w:ascii="Arial" w:hAnsi="Arial" w:cs="Arial"/>
          <w:color w:val="000000"/>
          <w:sz w:val="24"/>
          <w:szCs w:val="24"/>
        </w:rPr>
        <w:t xml:space="preserve">based on a Loan Agreement duly entered into by the Applicant and the First and Second Respondents (“the Respondents”). In terms of the said Loan Agreement, the Applicant advanced the sum of R1 100 000.00 and an additional sum of R275 000.00 to the Respondents. Pursuant to the Loan Agreement, the Respondents caused a Continuing Covering Mortgage Bond to be registered over their immovable property described as </w:t>
      </w:r>
      <w:r w:rsidR="00DF7AE8" w:rsidRPr="00DF7AE8">
        <w:rPr>
          <w:rFonts w:ascii="Arial" w:hAnsi="Arial" w:cs="Arial"/>
          <w:color w:val="000000"/>
          <w:sz w:val="24"/>
          <w:szCs w:val="24"/>
        </w:rPr>
        <w:t>ERF 2[...] M[...] P[...]</w:t>
      </w:r>
      <w:r w:rsidR="003122F4" w:rsidRPr="008D6FE7">
        <w:rPr>
          <w:rFonts w:ascii="Arial" w:hAnsi="Arial" w:cs="Arial"/>
          <w:color w:val="000000"/>
          <w:sz w:val="24"/>
          <w:szCs w:val="24"/>
        </w:rPr>
        <w:t xml:space="preserve"> Township (“the immovable property”), in favour of the Applicant. </w:t>
      </w:r>
    </w:p>
    <w:p w:rsidR="003122F4" w:rsidRPr="008D6FE7" w:rsidRDefault="005D113B" w:rsidP="003122F4">
      <w:pPr>
        <w:spacing w:line="36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3122F4" w:rsidRPr="008D6FE7">
        <w:rPr>
          <w:rFonts w:ascii="Arial" w:hAnsi="Arial" w:cs="Arial"/>
          <w:color w:val="000000"/>
          <w:sz w:val="24"/>
          <w:szCs w:val="24"/>
        </w:rPr>
        <w:t>When the Respondents failed to make regular payment in terms of the Loan Agreement and Mortgage Bond, and the amount that was owed plus interest became due and payable, the Applicant launched an action against the Respondents, amongst others, claiming payment of an amount of R1 118 808.04 and, an order declaring the immovable property, executable.</w:t>
      </w:r>
    </w:p>
    <w:p w:rsidR="003122F4" w:rsidRPr="008D6FE7" w:rsidRDefault="005D113B" w:rsidP="003122F4">
      <w:pPr>
        <w:spacing w:line="36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003122F4" w:rsidRPr="008D6FE7">
        <w:rPr>
          <w:rFonts w:ascii="Arial" w:hAnsi="Arial" w:cs="Arial"/>
          <w:color w:val="000000"/>
          <w:sz w:val="24"/>
          <w:szCs w:val="24"/>
        </w:rPr>
        <w:t>The Respondents filed a Notice of Intention to Defend the matter and subsequently filed a Plea. In the Plea, they admit their indebtedness to the Applicant in the amount claimed and plead that they defaulted with their payment obligations under the Loan Agreement due to the fact that they are both unemployed. They, also, denied that they have refused to remedy the breach as stated in the Applicant's Particulars of Claim, and plead that they sought to remedy the breach by asking the Applicant to extend the duration of the Loan Agreement and pay an amount of R4 500 monthly instalment, which they are currently paying, which request, the Applicant, turned down. </w:t>
      </w:r>
    </w:p>
    <w:p w:rsidR="003122F4" w:rsidRPr="008D6FE7" w:rsidRDefault="005D113B" w:rsidP="003122F4">
      <w:pPr>
        <w:pStyle w:val="NormalWeb"/>
        <w:spacing w:line="360" w:lineRule="auto"/>
        <w:jc w:val="both"/>
        <w:rPr>
          <w:rFonts w:ascii="Arial" w:hAnsi="Arial" w:cs="Arial"/>
          <w:color w:val="000000"/>
        </w:rPr>
      </w:pPr>
      <w:r>
        <w:rPr>
          <w:rFonts w:ascii="Arial" w:hAnsi="Arial" w:cs="Arial"/>
          <w:color w:val="000000"/>
        </w:rPr>
        <w:t>[4]</w:t>
      </w:r>
      <w:r>
        <w:rPr>
          <w:rFonts w:ascii="Arial" w:hAnsi="Arial" w:cs="Arial"/>
          <w:color w:val="000000"/>
        </w:rPr>
        <w:tab/>
      </w:r>
      <w:r w:rsidR="003122F4" w:rsidRPr="008D6FE7">
        <w:rPr>
          <w:rFonts w:ascii="Arial" w:hAnsi="Arial" w:cs="Arial"/>
          <w:color w:val="000000"/>
        </w:rPr>
        <w:t xml:space="preserve">As regards the claim for the </w:t>
      </w:r>
      <w:proofErr w:type="spellStart"/>
      <w:r w:rsidR="003122F4" w:rsidRPr="008D6FE7">
        <w:rPr>
          <w:rFonts w:ascii="Arial" w:hAnsi="Arial" w:cs="Arial"/>
          <w:color w:val="000000"/>
        </w:rPr>
        <w:t>executability</w:t>
      </w:r>
      <w:proofErr w:type="spellEnd"/>
      <w:r w:rsidR="003122F4" w:rsidRPr="008D6FE7">
        <w:rPr>
          <w:rFonts w:ascii="Arial" w:hAnsi="Arial" w:cs="Arial"/>
          <w:color w:val="000000"/>
        </w:rPr>
        <w:t xml:space="preserve"> of the immovable property, the Respondents allege that it will not be in the interest of justice to grant the order for the immovable property to be declared executable for the reasons that the immovable property is their primary residence and were the immovable property to be executed, they would be rendered homeless, in the circumstances where they are not in wilful default with the loan obligation but defaulted due to being unemployed, and despite being unemployed, they are paying R4 500 </w:t>
      </w:r>
      <w:r w:rsidR="003122F4" w:rsidRPr="008D6FE7">
        <w:rPr>
          <w:rFonts w:ascii="Arial" w:hAnsi="Arial" w:cs="Arial"/>
          <w:i/>
          <w:color w:val="000000"/>
        </w:rPr>
        <w:t>per</w:t>
      </w:r>
      <w:r w:rsidR="003122F4" w:rsidRPr="008D6FE7">
        <w:rPr>
          <w:rFonts w:ascii="Arial" w:hAnsi="Arial" w:cs="Arial"/>
          <w:color w:val="000000"/>
        </w:rPr>
        <w:t xml:space="preserve"> month. They allege in the Plea that </w:t>
      </w:r>
      <w:r w:rsidR="003122F4" w:rsidRPr="008D6FE7">
        <w:rPr>
          <w:rFonts w:ascii="Arial" w:hAnsi="Arial" w:cs="Arial"/>
          <w:color w:val="000000"/>
        </w:rPr>
        <w:lastRenderedPageBreak/>
        <w:t xml:space="preserve">the prejudice they stand to suffer should the immovable property be declared executable and sold in execution, is far greater than the prejudice the Applicant stands to suffer should the order for </w:t>
      </w:r>
      <w:proofErr w:type="spellStart"/>
      <w:r w:rsidR="003122F4" w:rsidRPr="008D6FE7">
        <w:rPr>
          <w:rFonts w:ascii="Arial" w:hAnsi="Arial" w:cs="Arial"/>
          <w:color w:val="000000"/>
        </w:rPr>
        <w:t>executability</w:t>
      </w:r>
      <w:proofErr w:type="spellEnd"/>
      <w:r w:rsidR="003122F4" w:rsidRPr="008D6FE7">
        <w:rPr>
          <w:rFonts w:ascii="Arial" w:hAnsi="Arial" w:cs="Arial"/>
          <w:color w:val="000000"/>
        </w:rPr>
        <w:t xml:space="preserve"> not be granted considering that the Applicant can still recover the debt by allowing the Respondents to continue paying the R4 500 over an extended period. They allege, consequently, that the interest of both parties would best be served by amending the terms of the Loan Agreement and extending the duration of the Loan Agreement.</w:t>
      </w:r>
    </w:p>
    <w:p w:rsidR="003122F4" w:rsidRPr="00427513" w:rsidRDefault="005D113B" w:rsidP="003122F4">
      <w:pPr>
        <w:spacing w:line="36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3122F4" w:rsidRPr="00427513">
        <w:rPr>
          <w:rFonts w:ascii="Arial" w:hAnsi="Arial" w:cs="Arial"/>
          <w:color w:val="000000"/>
          <w:sz w:val="24"/>
          <w:szCs w:val="24"/>
        </w:rPr>
        <w:t xml:space="preserve">After the Respondents’ Plea was filed, the Applicant brought a Summary Judgment application, together with an application in terms of Rule 46A, both of which the Respondents are opposing. In the Summary Judgment application, the Applicant allege that there is no </w:t>
      </w:r>
      <w:r w:rsidR="003122F4" w:rsidRPr="00427513">
        <w:rPr>
          <w:rFonts w:ascii="Arial" w:hAnsi="Arial" w:cs="Arial"/>
          <w:i/>
          <w:color w:val="000000"/>
          <w:sz w:val="24"/>
          <w:szCs w:val="24"/>
        </w:rPr>
        <w:t>bona fide</w:t>
      </w:r>
      <w:r w:rsidR="003122F4" w:rsidRPr="00427513">
        <w:rPr>
          <w:rFonts w:ascii="Arial" w:hAnsi="Arial" w:cs="Arial"/>
          <w:color w:val="000000"/>
          <w:sz w:val="24"/>
          <w:szCs w:val="24"/>
        </w:rPr>
        <w:t xml:space="preserve"> defence to the action and that the Notice of Intention to Defend and the Plea of the Respondents have been filed solely for the purpose of delay. The Applicant allege further that, having perused the Respondents' Plea, the Plea does not raise any triable issue, in that the Respondents have admitted their indebtedness to the Applicant as claimed in the Particulars of Claim. Furthermore, the Applicant allege that the amount that the Respondents wish to pay in an attempt to settle the arrears is way below the instalment amount of R9 617, 61, and the Applicant is not forced to agree to such an offer. It is alleged that the Respondents were granted an opportunity to pay off the arrears by way of a re-payment arrangement, but they failed to honour it, and that agreement was subsequently cancelled.</w:t>
      </w:r>
    </w:p>
    <w:p w:rsidR="003122F4" w:rsidRPr="008D6FE7" w:rsidRDefault="005D113B" w:rsidP="003122F4">
      <w:pPr>
        <w:pStyle w:val="NormalWeb"/>
        <w:spacing w:line="360" w:lineRule="auto"/>
        <w:jc w:val="both"/>
        <w:rPr>
          <w:rFonts w:ascii="Arial" w:hAnsi="Arial" w:cs="Arial"/>
          <w:color w:val="000000"/>
        </w:rPr>
      </w:pPr>
      <w:r>
        <w:rPr>
          <w:rFonts w:ascii="Arial" w:hAnsi="Arial" w:cs="Arial"/>
          <w:color w:val="000000"/>
        </w:rPr>
        <w:t>[6]</w:t>
      </w:r>
      <w:r>
        <w:rPr>
          <w:rFonts w:ascii="Arial" w:hAnsi="Arial" w:cs="Arial"/>
          <w:color w:val="000000"/>
        </w:rPr>
        <w:tab/>
      </w:r>
      <w:r w:rsidR="003122F4" w:rsidRPr="008D6FE7">
        <w:rPr>
          <w:rFonts w:ascii="Arial" w:hAnsi="Arial" w:cs="Arial"/>
          <w:color w:val="000000"/>
        </w:rPr>
        <w:t>The Applicant alleges, as well, that the fact that the immovable property is the primary residence of the Respondents, does not give them an automatic right to housing, but is only one of the fact</w:t>
      </w:r>
      <w:r w:rsidR="003122F4">
        <w:rPr>
          <w:rFonts w:ascii="Arial" w:hAnsi="Arial" w:cs="Arial"/>
          <w:color w:val="000000"/>
        </w:rPr>
        <w:t>ors which are taken into</w:t>
      </w:r>
      <w:r w:rsidR="003122F4" w:rsidRPr="008D6FE7">
        <w:rPr>
          <w:rFonts w:ascii="Arial" w:hAnsi="Arial" w:cs="Arial"/>
          <w:color w:val="000000"/>
        </w:rPr>
        <w:t xml:space="preserve"> consideration. The fact that the immovable property is the primary residence of the Respondents, cannot be outweighed by the Loan Agreement which the Respondents entered into knowing very well the implication thereof, so it is alleged by the Applicant.</w:t>
      </w:r>
    </w:p>
    <w:p w:rsidR="003122F4" w:rsidRPr="008D6FE7" w:rsidRDefault="005D113B" w:rsidP="003122F4">
      <w:pPr>
        <w:pStyle w:val="NormalWeb"/>
        <w:spacing w:line="360" w:lineRule="auto"/>
        <w:jc w:val="both"/>
        <w:rPr>
          <w:rFonts w:ascii="Arial" w:hAnsi="Arial" w:cs="Arial"/>
          <w:color w:val="000000"/>
        </w:rPr>
      </w:pPr>
      <w:r>
        <w:rPr>
          <w:rFonts w:ascii="Arial" w:hAnsi="Arial" w:cs="Arial"/>
          <w:color w:val="000000"/>
        </w:rPr>
        <w:t>[7]</w:t>
      </w:r>
      <w:r>
        <w:rPr>
          <w:rFonts w:ascii="Arial" w:hAnsi="Arial" w:cs="Arial"/>
          <w:color w:val="000000"/>
        </w:rPr>
        <w:tab/>
      </w:r>
      <w:r w:rsidR="003122F4" w:rsidRPr="008D6FE7">
        <w:rPr>
          <w:rFonts w:ascii="Arial" w:hAnsi="Arial" w:cs="Arial"/>
          <w:color w:val="000000"/>
        </w:rPr>
        <w:t>When arguing for an order that the immovable property be declared executable, it was submitted on behalf of the Applicant that a reserve price be set for the sale of the immovable property, at a sale in execution, at a value to be determined by the Court. In support of this argument, the Applicant’s legal representative referred to and relied on a Supplementary A</w:t>
      </w:r>
      <w:r w:rsidR="003122F4">
        <w:rPr>
          <w:rFonts w:ascii="Arial" w:hAnsi="Arial" w:cs="Arial"/>
          <w:color w:val="000000"/>
        </w:rPr>
        <w:t>ffidavit</w:t>
      </w:r>
      <w:r w:rsidR="003122F4" w:rsidRPr="008D6FE7">
        <w:rPr>
          <w:rFonts w:ascii="Arial" w:hAnsi="Arial" w:cs="Arial"/>
          <w:color w:val="000000"/>
        </w:rPr>
        <w:t xml:space="preserve"> uploaded on </w:t>
      </w:r>
      <w:proofErr w:type="spellStart"/>
      <w:r w:rsidR="003122F4" w:rsidRPr="008D6FE7">
        <w:rPr>
          <w:rFonts w:ascii="Arial" w:hAnsi="Arial" w:cs="Arial"/>
          <w:color w:val="000000"/>
        </w:rPr>
        <w:t>Caselines</w:t>
      </w:r>
      <w:proofErr w:type="spellEnd"/>
      <w:r w:rsidR="003122F4" w:rsidRPr="008D6FE7">
        <w:rPr>
          <w:rFonts w:ascii="Arial" w:hAnsi="Arial" w:cs="Arial"/>
          <w:color w:val="000000"/>
        </w:rPr>
        <w:t xml:space="preserve">, which purported to set out </w:t>
      </w:r>
      <w:r w:rsidR="003122F4" w:rsidRPr="008D6FE7">
        <w:rPr>
          <w:rFonts w:ascii="Arial" w:hAnsi="Arial" w:cs="Arial"/>
          <w:color w:val="000000"/>
        </w:rPr>
        <w:lastRenderedPageBreak/>
        <w:t>the value of the immovable property, and to which, what purpor</w:t>
      </w:r>
      <w:r w:rsidR="003122F4">
        <w:rPr>
          <w:rFonts w:ascii="Arial" w:hAnsi="Arial" w:cs="Arial"/>
          <w:color w:val="000000"/>
        </w:rPr>
        <w:t>ted to be a Valuation Report, i</w:t>
      </w:r>
      <w:r w:rsidR="003122F4" w:rsidRPr="008D6FE7">
        <w:rPr>
          <w:rFonts w:ascii="Arial" w:hAnsi="Arial" w:cs="Arial"/>
          <w:color w:val="000000"/>
        </w:rPr>
        <w:t xml:space="preserve">s attached. </w:t>
      </w:r>
    </w:p>
    <w:p w:rsidR="003122F4" w:rsidRDefault="005D113B" w:rsidP="003122F4">
      <w:pPr>
        <w:pStyle w:val="NormalWeb"/>
        <w:spacing w:line="360" w:lineRule="auto"/>
        <w:jc w:val="both"/>
        <w:rPr>
          <w:rFonts w:ascii="Arial" w:hAnsi="Arial" w:cs="Arial"/>
          <w:color w:val="000000"/>
        </w:rPr>
      </w:pPr>
      <w:r>
        <w:rPr>
          <w:rFonts w:ascii="Arial" w:hAnsi="Arial" w:cs="Arial"/>
          <w:color w:val="000000"/>
        </w:rPr>
        <w:t>[8]</w:t>
      </w:r>
      <w:r>
        <w:rPr>
          <w:rFonts w:ascii="Arial" w:hAnsi="Arial" w:cs="Arial"/>
          <w:color w:val="000000"/>
        </w:rPr>
        <w:tab/>
      </w:r>
      <w:r w:rsidR="003122F4" w:rsidRPr="008D6FE7">
        <w:rPr>
          <w:rFonts w:ascii="Arial" w:hAnsi="Arial" w:cs="Arial"/>
          <w:color w:val="000000"/>
        </w:rPr>
        <w:t>The Respondents’ legal representative took issue with the Supplementary Affidavit</w:t>
      </w:r>
      <w:r w:rsidR="003122F4">
        <w:rPr>
          <w:rFonts w:ascii="Arial" w:hAnsi="Arial" w:cs="Arial"/>
          <w:color w:val="000000"/>
        </w:rPr>
        <w:t>,</w:t>
      </w:r>
      <w:r w:rsidR="003122F4" w:rsidRPr="008D6FE7">
        <w:rPr>
          <w:rFonts w:ascii="Arial" w:hAnsi="Arial" w:cs="Arial"/>
          <w:color w:val="000000"/>
        </w:rPr>
        <w:t xml:space="preserve"> contending that the Supplementary Affidavit </w:t>
      </w:r>
      <w:r w:rsidR="003122F4">
        <w:rPr>
          <w:rFonts w:ascii="Arial" w:hAnsi="Arial" w:cs="Arial"/>
          <w:color w:val="000000"/>
        </w:rPr>
        <w:t>i</w:t>
      </w:r>
      <w:r w:rsidR="003122F4" w:rsidRPr="008D6FE7">
        <w:rPr>
          <w:rFonts w:ascii="Arial" w:hAnsi="Arial" w:cs="Arial"/>
          <w:color w:val="000000"/>
        </w:rPr>
        <w:t xml:space="preserve">s </w:t>
      </w:r>
      <w:r w:rsidR="003122F4">
        <w:rPr>
          <w:rFonts w:ascii="Arial" w:hAnsi="Arial" w:cs="Arial"/>
          <w:color w:val="000000"/>
        </w:rPr>
        <w:t xml:space="preserve">not properly before the Court because it was </w:t>
      </w:r>
      <w:r w:rsidR="003122F4" w:rsidRPr="008D6FE7">
        <w:rPr>
          <w:rFonts w:ascii="Arial" w:hAnsi="Arial" w:cs="Arial"/>
          <w:color w:val="000000"/>
        </w:rPr>
        <w:t xml:space="preserve">simply uploaded on </w:t>
      </w:r>
      <w:proofErr w:type="spellStart"/>
      <w:r w:rsidR="003122F4" w:rsidRPr="008D6FE7">
        <w:rPr>
          <w:rFonts w:ascii="Arial" w:hAnsi="Arial" w:cs="Arial"/>
          <w:color w:val="000000"/>
        </w:rPr>
        <w:t>Caselines</w:t>
      </w:r>
      <w:proofErr w:type="spellEnd"/>
      <w:r w:rsidR="003122F4" w:rsidRPr="008D6FE7">
        <w:rPr>
          <w:rFonts w:ascii="Arial" w:hAnsi="Arial" w:cs="Arial"/>
          <w:color w:val="000000"/>
        </w:rPr>
        <w:t xml:space="preserve"> without being served on the Respondents. </w:t>
      </w:r>
      <w:r w:rsidR="003122F4">
        <w:rPr>
          <w:rFonts w:ascii="Arial" w:hAnsi="Arial" w:cs="Arial"/>
          <w:color w:val="000000"/>
        </w:rPr>
        <w:t xml:space="preserve">The argument is that, the Supplementary Affidavit ought to have been served on the Respondents before being uploaded on </w:t>
      </w:r>
      <w:proofErr w:type="spellStart"/>
      <w:r w:rsidR="003122F4">
        <w:rPr>
          <w:rFonts w:ascii="Arial" w:hAnsi="Arial" w:cs="Arial"/>
          <w:color w:val="000000"/>
        </w:rPr>
        <w:t>Caselines</w:t>
      </w:r>
      <w:proofErr w:type="spellEnd"/>
      <w:r w:rsidR="003122F4">
        <w:rPr>
          <w:rFonts w:ascii="Arial" w:hAnsi="Arial" w:cs="Arial"/>
          <w:color w:val="000000"/>
        </w:rPr>
        <w:t xml:space="preserve">, in order to give the Respondents an opportunity to engage it and provide their input, thereto.  </w:t>
      </w:r>
      <w:r w:rsidR="003122F4" w:rsidRPr="008D6FE7">
        <w:rPr>
          <w:rFonts w:ascii="Arial" w:hAnsi="Arial" w:cs="Arial"/>
          <w:color w:val="000000"/>
        </w:rPr>
        <w:t xml:space="preserve">It was, also, submitted that the Valuation Report attached to the Supplementary Affidavit </w:t>
      </w:r>
      <w:r w:rsidR="003122F4">
        <w:rPr>
          <w:rFonts w:ascii="Arial" w:hAnsi="Arial" w:cs="Arial"/>
          <w:color w:val="000000"/>
        </w:rPr>
        <w:t>i</w:t>
      </w:r>
      <w:r w:rsidR="003122F4" w:rsidRPr="008D6FE7">
        <w:rPr>
          <w:rFonts w:ascii="Arial" w:hAnsi="Arial" w:cs="Arial"/>
          <w:color w:val="000000"/>
        </w:rPr>
        <w:t>s not s</w:t>
      </w:r>
      <w:r w:rsidR="003122F4">
        <w:rPr>
          <w:rFonts w:ascii="Arial" w:hAnsi="Arial" w:cs="Arial"/>
          <w:color w:val="000000"/>
        </w:rPr>
        <w:t>upported by an affidavit that should show how the calculations in the Valuation Report, were arrived at. Based on these discrepancies, the contention is that, there is no information before the Court in relation to whether or not a reserve price can be set for the immovable property, and, without such information, the Applicant has not made a proper case for an order in terms of Rule 46A.</w:t>
      </w:r>
    </w:p>
    <w:p w:rsidR="003122F4" w:rsidRDefault="005D113B" w:rsidP="003122F4">
      <w:pPr>
        <w:pStyle w:val="NormalWeb"/>
        <w:spacing w:line="360" w:lineRule="auto"/>
        <w:jc w:val="both"/>
        <w:rPr>
          <w:rFonts w:ascii="Arial" w:hAnsi="Arial" w:cs="Arial"/>
          <w:color w:val="000000"/>
        </w:rPr>
      </w:pPr>
      <w:r>
        <w:rPr>
          <w:rFonts w:ascii="Arial" w:hAnsi="Arial" w:cs="Arial"/>
          <w:color w:val="000000"/>
        </w:rPr>
        <w:t>[9]</w:t>
      </w:r>
      <w:r>
        <w:rPr>
          <w:rFonts w:ascii="Arial" w:hAnsi="Arial" w:cs="Arial"/>
          <w:color w:val="000000"/>
        </w:rPr>
        <w:tab/>
      </w:r>
      <w:r w:rsidR="003122F4" w:rsidRPr="008D6FE7">
        <w:rPr>
          <w:rFonts w:ascii="Arial" w:hAnsi="Arial" w:cs="Arial"/>
          <w:color w:val="000000"/>
        </w:rPr>
        <w:t>On enquiry from the Court, it was conceded on behalf of the Applicant that the Supplementary Affidavit was</w:t>
      </w:r>
      <w:r w:rsidR="003122F4">
        <w:rPr>
          <w:rFonts w:ascii="Arial" w:hAnsi="Arial" w:cs="Arial"/>
          <w:color w:val="000000"/>
        </w:rPr>
        <w:t>, indeed,</w:t>
      </w:r>
      <w:r w:rsidR="003122F4" w:rsidRPr="008D6FE7">
        <w:rPr>
          <w:rFonts w:ascii="Arial" w:hAnsi="Arial" w:cs="Arial"/>
          <w:color w:val="000000"/>
        </w:rPr>
        <w:t xml:space="preserve"> uploaded on </w:t>
      </w:r>
      <w:proofErr w:type="spellStart"/>
      <w:r w:rsidR="003122F4" w:rsidRPr="008D6FE7">
        <w:rPr>
          <w:rFonts w:ascii="Arial" w:hAnsi="Arial" w:cs="Arial"/>
          <w:color w:val="000000"/>
        </w:rPr>
        <w:t>Caselines</w:t>
      </w:r>
      <w:proofErr w:type="spellEnd"/>
      <w:r w:rsidR="003122F4" w:rsidRPr="008D6FE7">
        <w:rPr>
          <w:rFonts w:ascii="Arial" w:hAnsi="Arial" w:cs="Arial"/>
          <w:color w:val="000000"/>
        </w:rPr>
        <w:t xml:space="preserve"> without it being served on the Respondents.</w:t>
      </w:r>
      <w:r w:rsidR="003122F4">
        <w:rPr>
          <w:rFonts w:ascii="Arial" w:hAnsi="Arial" w:cs="Arial"/>
          <w:color w:val="000000"/>
        </w:rPr>
        <w:t xml:space="preserve">  According to the Applicant’s legal representative, the Supplementary Affidavit was uploaded on </w:t>
      </w:r>
      <w:proofErr w:type="spellStart"/>
      <w:r w:rsidR="003122F4">
        <w:rPr>
          <w:rFonts w:ascii="Arial" w:hAnsi="Arial" w:cs="Arial"/>
          <w:color w:val="000000"/>
        </w:rPr>
        <w:t>Caselines</w:t>
      </w:r>
      <w:proofErr w:type="spellEnd"/>
      <w:r w:rsidR="003122F4">
        <w:rPr>
          <w:rFonts w:ascii="Arial" w:hAnsi="Arial" w:cs="Arial"/>
          <w:color w:val="000000"/>
        </w:rPr>
        <w:t xml:space="preserve"> </w:t>
      </w:r>
      <w:r w:rsidR="003122F4" w:rsidRPr="008D6FE7">
        <w:rPr>
          <w:rFonts w:ascii="Arial" w:hAnsi="Arial" w:cs="Arial"/>
          <w:color w:val="000000"/>
        </w:rPr>
        <w:t>on the Friday preceding the Tuesday when the matter was to be heard</w:t>
      </w:r>
      <w:r w:rsidR="003122F4">
        <w:rPr>
          <w:rFonts w:ascii="Arial" w:hAnsi="Arial" w:cs="Arial"/>
          <w:color w:val="000000"/>
        </w:rPr>
        <w:t>.</w:t>
      </w:r>
    </w:p>
    <w:p w:rsidR="003122F4" w:rsidRDefault="005D113B" w:rsidP="003122F4">
      <w:pPr>
        <w:spacing w:line="36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3122F4">
        <w:rPr>
          <w:rFonts w:ascii="Arial" w:hAnsi="Arial" w:cs="Arial"/>
          <w:color w:val="000000"/>
          <w:sz w:val="24"/>
          <w:szCs w:val="24"/>
        </w:rPr>
        <w:t>In terms of Rule 46A</w:t>
      </w:r>
      <w:r w:rsidR="003122F4" w:rsidRPr="008D6FE7">
        <w:rPr>
          <w:rFonts w:ascii="Arial" w:hAnsi="Arial" w:cs="Arial"/>
          <w:color w:val="000000"/>
          <w:sz w:val="24"/>
          <w:szCs w:val="24"/>
        </w:rPr>
        <w:t>(5)</w:t>
      </w:r>
      <w:r w:rsidR="003122F4">
        <w:rPr>
          <w:rFonts w:ascii="Arial" w:hAnsi="Arial" w:cs="Arial"/>
          <w:color w:val="000000"/>
          <w:sz w:val="24"/>
          <w:szCs w:val="24"/>
        </w:rPr>
        <w:t xml:space="preserve">, </w:t>
      </w:r>
      <w:r w:rsidR="003122F4" w:rsidRPr="008D6FE7">
        <w:rPr>
          <w:rFonts w:ascii="Arial" w:hAnsi="Arial" w:cs="Arial"/>
          <w:color w:val="000000"/>
          <w:sz w:val="24"/>
          <w:szCs w:val="24"/>
        </w:rPr>
        <w:t xml:space="preserve">every application </w:t>
      </w:r>
      <w:r w:rsidR="003122F4">
        <w:rPr>
          <w:rFonts w:ascii="Arial" w:hAnsi="Arial" w:cs="Arial"/>
          <w:color w:val="000000"/>
          <w:sz w:val="24"/>
          <w:szCs w:val="24"/>
        </w:rPr>
        <w:t xml:space="preserve">for an order to declare the residential immovable property of a judgment creditor executable, </w:t>
      </w:r>
      <w:r w:rsidR="003122F4" w:rsidRPr="008D6FE7">
        <w:rPr>
          <w:rFonts w:ascii="Arial" w:hAnsi="Arial" w:cs="Arial"/>
          <w:color w:val="000000"/>
          <w:sz w:val="24"/>
          <w:szCs w:val="24"/>
        </w:rPr>
        <w:t>shall be supported by the following documents, where applicable, evidencing: the market value of the immovable property; the local authority valuation of the immovable property; the amounts owing on mortgage bonds registered over the immovable property; the amount owing to the local authority as rates and other dues; the amounts owing to the body corporate as levies; and, any other factor which may be necessary to enable the Court to give effect to sub-rule (8):</w:t>
      </w:r>
      <w:r w:rsidR="003122F4">
        <w:rPr>
          <w:rStyle w:val="FootnoteReference"/>
          <w:rFonts w:ascii="Arial" w:hAnsi="Arial" w:cs="Arial"/>
          <w:color w:val="000000"/>
          <w:sz w:val="24"/>
          <w:szCs w:val="24"/>
        </w:rPr>
        <w:footnoteReference w:id="1"/>
      </w:r>
      <w:r w:rsidR="003122F4" w:rsidRPr="008D6FE7">
        <w:rPr>
          <w:rFonts w:ascii="Arial" w:hAnsi="Arial" w:cs="Arial"/>
          <w:color w:val="000000"/>
          <w:sz w:val="24"/>
          <w:szCs w:val="24"/>
        </w:rPr>
        <w:t xml:space="preserve"> Provided that the Court may call for any other document which it considers necessary.</w:t>
      </w:r>
    </w:p>
    <w:p w:rsidR="003122F4" w:rsidRDefault="005D113B" w:rsidP="003122F4">
      <w:pPr>
        <w:spacing w:line="360" w:lineRule="auto"/>
        <w:jc w:val="both"/>
        <w:rPr>
          <w:rFonts w:ascii="Arial" w:hAnsi="Arial" w:cs="Arial"/>
          <w:color w:val="000000"/>
          <w:sz w:val="24"/>
          <w:szCs w:val="24"/>
        </w:rPr>
      </w:pPr>
      <w:r>
        <w:rPr>
          <w:rFonts w:ascii="Arial" w:hAnsi="Arial" w:cs="Arial"/>
          <w:color w:val="000000"/>
          <w:sz w:val="24"/>
          <w:szCs w:val="24"/>
        </w:rPr>
        <w:lastRenderedPageBreak/>
        <w:t>[11]</w:t>
      </w:r>
      <w:r>
        <w:rPr>
          <w:rFonts w:ascii="Arial" w:hAnsi="Arial" w:cs="Arial"/>
          <w:color w:val="000000"/>
          <w:sz w:val="24"/>
          <w:szCs w:val="24"/>
        </w:rPr>
        <w:tab/>
      </w:r>
      <w:r w:rsidR="003122F4">
        <w:rPr>
          <w:rFonts w:ascii="Arial" w:hAnsi="Arial" w:cs="Arial"/>
          <w:color w:val="000000"/>
          <w:sz w:val="24"/>
          <w:szCs w:val="24"/>
        </w:rPr>
        <w:t>Rule 46A(9) in turn, provides that in an application under this rule,</w:t>
      </w:r>
      <w:r w:rsidR="003122F4">
        <w:rPr>
          <w:rStyle w:val="FootnoteReference"/>
          <w:rFonts w:ascii="Arial" w:hAnsi="Arial" w:cs="Arial"/>
          <w:color w:val="000000"/>
          <w:sz w:val="24"/>
          <w:szCs w:val="24"/>
        </w:rPr>
        <w:footnoteReference w:id="2"/>
      </w:r>
      <w:r w:rsidR="003122F4">
        <w:rPr>
          <w:rFonts w:ascii="Arial" w:hAnsi="Arial" w:cs="Arial"/>
          <w:color w:val="000000"/>
          <w:sz w:val="24"/>
          <w:szCs w:val="24"/>
        </w:rPr>
        <w:t xml:space="preserve"> or upon submissions made by a </w:t>
      </w:r>
      <w:r w:rsidR="00DC42B8">
        <w:rPr>
          <w:rFonts w:ascii="Arial" w:hAnsi="Arial" w:cs="Arial"/>
          <w:color w:val="000000"/>
          <w:sz w:val="24"/>
          <w:szCs w:val="24"/>
        </w:rPr>
        <w:t>r</w:t>
      </w:r>
      <w:r w:rsidR="003122F4">
        <w:rPr>
          <w:rFonts w:ascii="Arial" w:hAnsi="Arial" w:cs="Arial"/>
          <w:color w:val="000000"/>
          <w:sz w:val="24"/>
          <w:szCs w:val="24"/>
        </w:rPr>
        <w:t>espondent, the Court must consider whether a reserve price is to be set.</w:t>
      </w:r>
      <w:r w:rsidR="003122F4">
        <w:rPr>
          <w:rStyle w:val="FootnoteReference"/>
          <w:rFonts w:ascii="Arial" w:hAnsi="Arial" w:cs="Arial"/>
          <w:color w:val="000000"/>
          <w:sz w:val="24"/>
          <w:szCs w:val="24"/>
        </w:rPr>
        <w:footnoteReference w:id="3"/>
      </w:r>
      <w:r w:rsidR="003122F4" w:rsidRPr="008D6FE7">
        <w:rPr>
          <w:rFonts w:ascii="Arial" w:hAnsi="Arial" w:cs="Arial"/>
          <w:color w:val="000000"/>
          <w:sz w:val="24"/>
          <w:szCs w:val="24"/>
        </w:rPr>
        <w:t xml:space="preserve"> </w:t>
      </w:r>
      <w:r w:rsidR="003122F4">
        <w:rPr>
          <w:rFonts w:ascii="Arial" w:hAnsi="Arial" w:cs="Arial"/>
          <w:color w:val="000000"/>
          <w:sz w:val="24"/>
          <w:szCs w:val="24"/>
        </w:rPr>
        <w:t>In deciding whether to set a reserve price and the amount at which the reserve price is to be set, the Court shall take into account – the market value of the immovable property; the amounts owing as rates and levies; the amounts owing on registered mortgage bonds; any equity that may be realised between the reserve price and the market value of the property; reduction of the judgment debtors’ indebtedness on the judgment debt and whether or not any equity may be found in the immovable property; whether the immovable property is occupied, the persons occupying the property and the circumstances of such occupation; the likelihood of the reserve price not being realised and the likelihood of the immovable property not being sold; the prejudice which any party may suffer if the reserve price is not achieved; and any other factor which in the opinion of the Court is necessary for the protection of the interests of the execution creditor and the judgment debtor.</w:t>
      </w:r>
      <w:r w:rsidR="003122F4">
        <w:rPr>
          <w:rStyle w:val="FootnoteReference"/>
          <w:rFonts w:ascii="Arial" w:hAnsi="Arial" w:cs="Arial"/>
          <w:color w:val="000000"/>
          <w:sz w:val="24"/>
          <w:szCs w:val="24"/>
        </w:rPr>
        <w:footnoteReference w:id="4"/>
      </w:r>
    </w:p>
    <w:p w:rsidR="003122F4" w:rsidRDefault="005D113B" w:rsidP="003122F4">
      <w:pPr>
        <w:spacing w:line="360" w:lineRule="auto"/>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3122F4">
        <w:rPr>
          <w:rFonts w:ascii="Arial" w:hAnsi="Arial" w:cs="Arial"/>
          <w:color w:val="000000"/>
          <w:sz w:val="24"/>
          <w:szCs w:val="24"/>
        </w:rPr>
        <w:t xml:space="preserve">It is trite that </w:t>
      </w:r>
      <w:r w:rsidR="003122F4" w:rsidRPr="008D6FE7">
        <w:rPr>
          <w:rFonts w:ascii="Arial" w:hAnsi="Arial" w:cs="Arial"/>
          <w:color w:val="000000"/>
          <w:sz w:val="24"/>
          <w:szCs w:val="24"/>
        </w:rPr>
        <w:t>Rule</w:t>
      </w:r>
      <w:r w:rsidR="003122F4">
        <w:rPr>
          <w:rFonts w:ascii="Arial" w:hAnsi="Arial" w:cs="Arial"/>
          <w:color w:val="000000"/>
          <w:sz w:val="24"/>
          <w:szCs w:val="24"/>
        </w:rPr>
        <w:t xml:space="preserve"> </w:t>
      </w:r>
      <w:r w:rsidR="003122F4" w:rsidRPr="008D6FE7">
        <w:rPr>
          <w:rFonts w:ascii="Arial" w:hAnsi="Arial" w:cs="Arial"/>
          <w:color w:val="000000"/>
          <w:sz w:val="24"/>
          <w:szCs w:val="24"/>
        </w:rPr>
        <w:t xml:space="preserve">46A </w:t>
      </w:r>
      <w:r w:rsidR="003122F4">
        <w:rPr>
          <w:rFonts w:ascii="Arial" w:hAnsi="Arial" w:cs="Arial"/>
          <w:color w:val="000000"/>
          <w:sz w:val="24"/>
          <w:szCs w:val="24"/>
        </w:rPr>
        <w:t>applies whenever an execution creditor seeks to execute against the residential immovable property of a judgment debtor. Furthermore, Rule 46A(5)</w:t>
      </w:r>
      <w:r w:rsidR="003122F4" w:rsidRPr="008D6FE7">
        <w:rPr>
          <w:rFonts w:ascii="Arial" w:hAnsi="Arial" w:cs="Arial"/>
          <w:color w:val="000000"/>
          <w:sz w:val="24"/>
          <w:szCs w:val="24"/>
        </w:rPr>
        <w:t xml:space="preserve"> requires that </w:t>
      </w:r>
      <w:r w:rsidR="003122F4">
        <w:rPr>
          <w:rFonts w:ascii="Arial" w:hAnsi="Arial" w:cs="Arial"/>
          <w:color w:val="000000"/>
          <w:sz w:val="24"/>
          <w:szCs w:val="24"/>
        </w:rPr>
        <w:t>such</w:t>
      </w:r>
      <w:r w:rsidR="003122F4" w:rsidRPr="008D6FE7">
        <w:rPr>
          <w:rFonts w:ascii="Arial" w:hAnsi="Arial" w:cs="Arial"/>
          <w:color w:val="000000"/>
          <w:sz w:val="24"/>
          <w:szCs w:val="24"/>
        </w:rPr>
        <w:t xml:space="preserve"> application be supported by documents. The provisions of this sub-rule are said to be imperative, even though fact bound.</w:t>
      </w:r>
      <w:r w:rsidR="003122F4">
        <w:rPr>
          <w:rStyle w:val="FootnoteReference"/>
          <w:rFonts w:ascii="Arial" w:hAnsi="Arial" w:cs="Arial"/>
          <w:color w:val="000000"/>
          <w:sz w:val="24"/>
          <w:szCs w:val="24"/>
        </w:rPr>
        <w:footnoteReference w:id="5"/>
      </w:r>
      <w:r w:rsidR="003122F4">
        <w:rPr>
          <w:rFonts w:ascii="Arial" w:hAnsi="Arial" w:cs="Arial"/>
          <w:color w:val="000000"/>
          <w:sz w:val="24"/>
          <w:szCs w:val="24"/>
        </w:rPr>
        <w:t xml:space="preserve"> In addition, these are the documents which in terms of Rule 46A(9) the Court has to take into account when the Court has to consider whether a reserve price is to be set. The Applicant has applied for Summary Judgment, as well as an application to declare the immovable property executable in terms of Rule 46A. It is not in dispute that t</w:t>
      </w:r>
      <w:r w:rsidR="003122F4" w:rsidRPr="008D6FE7">
        <w:rPr>
          <w:rFonts w:ascii="Arial" w:hAnsi="Arial" w:cs="Arial"/>
          <w:color w:val="000000"/>
          <w:sz w:val="24"/>
          <w:szCs w:val="24"/>
        </w:rPr>
        <w:t>he Applicant’s application is not supported by the do</w:t>
      </w:r>
      <w:r w:rsidR="003122F4">
        <w:rPr>
          <w:rFonts w:ascii="Arial" w:hAnsi="Arial" w:cs="Arial"/>
          <w:color w:val="000000"/>
          <w:sz w:val="24"/>
          <w:szCs w:val="24"/>
        </w:rPr>
        <w:t>cuments required by the sub</w:t>
      </w:r>
      <w:r w:rsidR="00D12F39">
        <w:rPr>
          <w:rFonts w:ascii="Arial" w:hAnsi="Arial" w:cs="Arial"/>
          <w:color w:val="000000"/>
          <w:sz w:val="24"/>
          <w:szCs w:val="24"/>
        </w:rPr>
        <w:t>-</w:t>
      </w:r>
      <w:r w:rsidR="003122F4">
        <w:rPr>
          <w:rFonts w:ascii="Arial" w:hAnsi="Arial" w:cs="Arial"/>
          <w:color w:val="000000"/>
          <w:sz w:val="24"/>
          <w:szCs w:val="24"/>
        </w:rPr>
        <w:t xml:space="preserve">rule 46A(5), the Applicant has conceded to same. In an attempt </w:t>
      </w:r>
      <w:r w:rsidR="003122F4" w:rsidRPr="008D6FE7">
        <w:rPr>
          <w:rFonts w:ascii="Arial" w:hAnsi="Arial" w:cs="Arial"/>
          <w:color w:val="000000"/>
          <w:sz w:val="24"/>
          <w:szCs w:val="24"/>
        </w:rPr>
        <w:t xml:space="preserve">to cure this defect, the Applicant uploaded a </w:t>
      </w:r>
      <w:r w:rsidR="003122F4">
        <w:rPr>
          <w:rFonts w:ascii="Arial" w:hAnsi="Arial" w:cs="Arial"/>
          <w:color w:val="000000"/>
          <w:sz w:val="24"/>
          <w:szCs w:val="24"/>
        </w:rPr>
        <w:t>Supplementary A</w:t>
      </w:r>
      <w:r w:rsidR="003122F4" w:rsidRPr="008D6FE7">
        <w:rPr>
          <w:rFonts w:ascii="Arial" w:hAnsi="Arial" w:cs="Arial"/>
          <w:color w:val="000000"/>
          <w:sz w:val="24"/>
          <w:szCs w:val="24"/>
        </w:rPr>
        <w:t>ffidavit</w:t>
      </w:r>
      <w:r w:rsidR="003122F4">
        <w:rPr>
          <w:rFonts w:ascii="Arial" w:hAnsi="Arial" w:cs="Arial"/>
          <w:color w:val="000000"/>
          <w:sz w:val="24"/>
          <w:szCs w:val="24"/>
        </w:rPr>
        <w:t xml:space="preserve"> on </w:t>
      </w:r>
      <w:proofErr w:type="spellStart"/>
      <w:r w:rsidR="003122F4">
        <w:rPr>
          <w:rFonts w:ascii="Arial" w:hAnsi="Arial" w:cs="Arial"/>
          <w:color w:val="000000"/>
          <w:sz w:val="24"/>
          <w:szCs w:val="24"/>
        </w:rPr>
        <w:t>Caselines</w:t>
      </w:r>
      <w:proofErr w:type="spellEnd"/>
      <w:r w:rsidR="003122F4">
        <w:rPr>
          <w:rFonts w:ascii="Arial" w:hAnsi="Arial" w:cs="Arial"/>
          <w:color w:val="000000"/>
          <w:sz w:val="24"/>
          <w:szCs w:val="24"/>
        </w:rPr>
        <w:t>, which purports to furnish the documents that are required in terms of sub</w:t>
      </w:r>
      <w:r w:rsidR="00D12F39">
        <w:rPr>
          <w:rFonts w:ascii="Arial" w:hAnsi="Arial" w:cs="Arial"/>
          <w:color w:val="000000"/>
          <w:sz w:val="24"/>
          <w:szCs w:val="24"/>
        </w:rPr>
        <w:t>-</w:t>
      </w:r>
      <w:r w:rsidR="003122F4">
        <w:rPr>
          <w:rFonts w:ascii="Arial" w:hAnsi="Arial" w:cs="Arial"/>
          <w:color w:val="000000"/>
          <w:sz w:val="24"/>
          <w:szCs w:val="24"/>
        </w:rPr>
        <w:t xml:space="preserve">rule 46A(5) to support the application and which the Court should take into account when considering whether a reserve price is to be set. </w:t>
      </w:r>
    </w:p>
    <w:p w:rsidR="002D4757" w:rsidRPr="0070493F" w:rsidRDefault="005D113B" w:rsidP="003122F4">
      <w:pPr>
        <w:spacing w:line="360" w:lineRule="auto"/>
        <w:jc w:val="both"/>
        <w:rPr>
          <w:rFonts w:ascii="Arial" w:hAnsi="Arial" w:cs="Arial"/>
          <w:sz w:val="24"/>
          <w:szCs w:val="24"/>
        </w:rPr>
      </w:pPr>
      <w:r>
        <w:rPr>
          <w:rFonts w:ascii="Arial" w:hAnsi="Arial" w:cs="Arial"/>
          <w:color w:val="000000"/>
          <w:sz w:val="24"/>
          <w:szCs w:val="24"/>
        </w:rPr>
        <w:lastRenderedPageBreak/>
        <w:t>[13]</w:t>
      </w:r>
      <w:r>
        <w:rPr>
          <w:rFonts w:ascii="Arial" w:hAnsi="Arial" w:cs="Arial"/>
          <w:color w:val="000000"/>
          <w:sz w:val="24"/>
          <w:szCs w:val="24"/>
        </w:rPr>
        <w:tab/>
      </w:r>
      <w:r w:rsidR="003122F4">
        <w:rPr>
          <w:rFonts w:ascii="Arial" w:hAnsi="Arial" w:cs="Arial"/>
          <w:color w:val="000000"/>
          <w:sz w:val="24"/>
          <w:szCs w:val="24"/>
        </w:rPr>
        <w:t xml:space="preserve">The gravamen of the Respondents’ complaint is that the Applicant did not serve the Supplementary Affidavit and thus they were not able to engage it before the hearing of the matter. </w:t>
      </w:r>
      <w:r w:rsidR="003122F4">
        <w:rPr>
          <w:rFonts w:ascii="Arial" w:hAnsi="Arial" w:cs="Arial"/>
          <w:sz w:val="24"/>
          <w:szCs w:val="24"/>
        </w:rPr>
        <w:t>The legal representative of the Respondents only became aware of it on Monday whilst preparing for the hearing on Tuesday.</w:t>
      </w:r>
      <w:r w:rsidR="003122F4">
        <w:rPr>
          <w:rFonts w:ascii="Arial" w:hAnsi="Arial" w:cs="Arial"/>
          <w:color w:val="000000"/>
          <w:sz w:val="24"/>
          <w:szCs w:val="24"/>
        </w:rPr>
        <w:t xml:space="preserve"> </w:t>
      </w:r>
      <w:r w:rsidR="003122F4">
        <w:rPr>
          <w:rFonts w:ascii="Arial" w:hAnsi="Arial" w:cs="Arial"/>
          <w:sz w:val="24"/>
          <w:szCs w:val="24"/>
        </w:rPr>
        <w:t xml:space="preserve">Besides, even if it had been served on the Respondents on the Friday it was uploaded on </w:t>
      </w:r>
      <w:proofErr w:type="spellStart"/>
      <w:r w:rsidR="003122F4">
        <w:rPr>
          <w:rFonts w:ascii="Arial" w:hAnsi="Arial" w:cs="Arial"/>
          <w:sz w:val="24"/>
          <w:szCs w:val="24"/>
        </w:rPr>
        <w:t>Caselines</w:t>
      </w:r>
      <w:proofErr w:type="spellEnd"/>
      <w:r w:rsidR="003122F4">
        <w:rPr>
          <w:rFonts w:ascii="Arial" w:hAnsi="Arial" w:cs="Arial"/>
          <w:sz w:val="24"/>
          <w:szCs w:val="24"/>
        </w:rPr>
        <w:t xml:space="preserve">, it would have been on short notice. Such a service would not have allowed the Respondents ample time to engage it and to provide their input, if any.  </w:t>
      </w:r>
    </w:p>
    <w:p w:rsidR="00494D1A" w:rsidRDefault="005D113B" w:rsidP="003122F4">
      <w:pPr>
        <w:spacing w:line="360" w:lineRule="auto"/>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r>
      <w:r w:rsidR="003122F4">
        <w:rPr>
          <w:rFonts w:ascii="Arial" w:hAnsi="Arial" w:cs="Arial"/>
          <w:color w:val="000000"/>
          <w:sz w:val="24"/>
          <w:szCs w:val="24"/>
        </w:rPr>
        <w:t xml:space="preserve">It is a cornerstone of our legal system that a person is entitled to notice of legal proceedings against such person. This principle translates into service of any subsequent documents and notices in any proceedings on any party to the litigation. The Applicant having failed to serve the Supplementary Affidavit before uploading it on </w:t>
      </w:r>
      <w:proofErr w:type="spellStart"/>
      <w:r w:rsidR="003122F4">
        <w:rPr>
          <w:rFonts w:ascii="Arial" w:hAnsi="Arial" w:cs="Arial"/>
          <w:color w:val="000000"/>
          <w:sz w:val="24"/>
          <w:szCs w:val="24"/>
        </w:rPr>
        <w:t>Caselines</w:t>
      </w:r>
      <w:proofErr w:type="spellEnd"/>
      <w:r w:rsidR="003122F4">
        <w:rPr>
          <w:rFonts w:ascii="Arial" w:hAnsi="Arial" w:cs="Arial"/>
          <w:color w:val="000000"/>
          <w:sz w:val="24"/>
          <w:szCs w:val="24"/>
        </w:rPr>
        <w:t>, cannot rely on it in support of the Rule 46A application, as it is not properly before Court. Similarly, since the Supplementary Affidavit is not properly before Court, it adversely impacts on the Rule 46A application which must be supported by the documents required in terms of Rule 46A(5). The immovable property, cannot, under such circumstances, be declared executable.</w:t>
      </w:r>
      <w:r w:rsidR="0070493F">
        <w:rPr>
          <w:rFonts w:ascii="Arial" w:hAnsi="Arial" w:cs="Arial"/>
          <w:color w:val="000000"/>
          <w:sz w:val="24"/>
          <w:szCs w:val="24"/>
        </w:rPr>
        <w:t xml:space="preserve"> </w:t>
      </w:r>
    </w:p>
    <w:p w:rsidR="002D4757" w:rsidRPr="00494D1A" w:rsidRDefault="0070493F" w:rsidP="003122F4">
      <w:pPr>
        <w:spacing w:line="360" w:lineRule="auto"/>
        <w:jc w:val="both"/>
        <w:rPr>
          <w:rFonts w:ascii="Arial" w:hAnsi="Arial" w:cs="Arial"/>
          <w:color w:val="000000"/>
          <w:sz w:val="24"/>
          <w:szCs w:val="24"/>
        </w:rPr>
      </w:pPr>
      <w:r>
        <w:rPr>
          <w:rFonts w:ascii="Arial" w:hAnsi="Arial" w:cs="Arial"/>
          <w:sz w:val="24"/>
          <w:szCs w:val="24"/>
        </w:rPr>
        <w:t>[15]</w:t>
      </w:r>
      <w:r>
        <w:rPr>
          <w:rFonts w:ascii="Arial" w:hAnsi="Arial" w:cs="Arial"/>
          <w:sz w:val="24"/>
          <w:szCs w:val="24"/>
        </w:rPr>
        <w:tab/>
      </w:r>
      <w:r w:rsidR="002D4757">
        <w:rPr>
          <w:rFonts w:ascii="Arial" w:hAnsi="Arial" w:cs="Arial"/>
          <w:sz w:val="24"/>
          <w:szCs w:val="24"/>
        </w:rPr>
        <w:t xml:space="preserve">The Applicant’s legal representative submits that the Court is not bound by the Valuation Report that is attached to the Supplementary Affidavit when exercising its discretion to set the reserve price, as it can take into account a myriad of factors in arriving at what is deemed a reserve price.  This submission holds no water. The Court’s discretion in setting the reserve price, must be informed by the factors that are stated in Rule 46(A)(9). Without these factors, the Court would not be able to exercise the discretion and would not be able to set a reserve price. Having found that the Applicant cannot rely on the Supplementary Affidavit, it means that there </w:t>
      </w:r>
      <w:r w:rsidR="00494D1A">
        <w:rPr>
          <w:rFonts w:ascii="Arial" w:hAnsi="Arial" w:cs="Arial"/>
          <w:sz w:val="24"/>
          <w:szCs w:val="24"/>
        </w:rPr>
        <w:t>are no</w:t>
      </w:r>
      <w:r w:rsidR="002D4757">
        <w:rPr>
          <w:rFonts w:ascii="Arial" w:hAnsi="Arial" w:cs="Arial"/>
          <w:sz w:val="24"/>
          <w:szCs w:val="24"/>
        </w:rPr>
        <w:t xml:space="preserve"> factors as </w:t>
      </w:r>
      <w:r>
        <w:rPr>
          <w:rFonts w:ascii="Arial" w:hAnsi="Arial" w:cs="Arial"/>
          <w:sz w:val="24"/>
          <w:szCs w:val="24"/>
        </w:rPr>
        <w:t>required in Rule 46A(9) to assist the</w:t>
      </w:r>
      <w:r w:rsidR="002D4757">
        <w:rPr>
          <w:rFonts w:ascii="Arial" w:hAnsi="Arial" w:cs="Arial"/>
          <w:sz w:val="24"/>
          <w:szCs w:val="24"/>
        </w:rPr>
        <w:t xml:space="preserve"> Court </w:t>
      </w:r>
      <w:r>
        <w:rPr>
          <w:rFonts w:ascii="Arial" w:hAnsi="Arial" w:cs="Arial"/>
          <w:sz w:val="24"/>
          <w:szCs w:val="24"/>
        </w:rPr>
        <w:t>i</w:t>
      </w:r>
      <w:r w:rsidR="002D4757">
        <w:rPr>
          <w:rFonts w:ascii="Arial" w:hAnsi="Arial" w:cs="Arial"/>
          <w:sz w:val="24"/>
          <w:szCs w:val="24"/>
        </w:rPr>
        <w:t>n</w:t>
      </w:r>
      <w:r>
        <w:rPr>
          <w:rFonts w:ascii="Arial" w:hAnsi="Arial" w:cs="Arial"/>
          <w:sz w:val="24"/>
          <w:szCs w:val="24"/>
        </w:rPr>
        <w:t xml:space="preserve"> exercising its discretion to set the reserve price. </w:t>
      </w:r>
      <w:r w:rsidR="00494D1A">
        <w:rPr>
          <w:rFonts w:ascii="Arial" w:hAnsi="Arial" w:cs="Arial"/>
          <w:color w:val="000000"/>
          <w:sz w:val="24"/>
          <w:szCs w:val="24"/>
        </w:rPr>
        <w:t>Such a defect is not fatal to the application. The application can be postponed to afford the Applicant an opportunity to rectify the discrepancies as earlier highlighted.</w:t>
      </w:r>
    </w:p>
    <w:p w:rsidR="003122F4" w:rsidRDefault="005D113B" w:rsidP="003122F4">
      <w:pPr>
        <w:spacing w:line="360" w:lineRule="auto"/>
        <w:jc w:val="both"/>
        <w:rPr>
          <w:rFonts w:ascii="Arial" w:hAnsi="Arial" w:cs="Arial"/>
          <w:sz w:val="24"/>
          <w:szCs w:val="24"/>
        </w:rPr>
      </w:pPr>
      <w:r>
        <w:rPr>
          <w:rFonts w:ascii="Arial" w:hAnsi="Arial" w:cs="Arial"/>
          <w:sz w:val="24"/>
          <w:szCs w:val="24"/>
        </w:rPr>
        <w:t>[1</w:t>
      </w:r>
      <w:r w:rsidR="0070493F">
        <w:rPr>
          <w:rFonts w:ascii="Arial" w:hAnsi="Arial" w:cs="Arial"/>
          <w:sz w:val="24"/>
          <w:szCs w:val="24"/>
        </w:rPr>
        <w:t>6</w:t>
      </w:r>
      <w:r>
        <w:rPr>
          <w:rFonts w:ascii="Arial" w:hAnsi="Arial" w:cs="Arial"/>
          <w:sz w:val="24"/>
          <w:szCs w:val="24"/>
        </w:rPr>
        <w:t>]</w:t>
      </w:r>
      <w:r>
        <w:rPr>
          <w:rFonts w:ascii="Arial" w:hAnsi="Arial" w:cs="Arial"/>
          <w:sz w:val="24"/>
          <w:szCs w:val="24"/>
        </w:rPr>
        <w:tab/>
      </w:r>
      <w:r w:rsidR="003122F4">
        <w:rPr>
          <w:rFonts w:ascii="Arial" w:hAnsi="Arial" w:cs="Arial"/>
          <w:sz w:val="24"/>
          <w:szCs w:val="24"/>
        </w:rPr>
        <w:t xml:space="preserve">In </w:t>
      </w:r>
      <w:proofErr w:type="spellStart"/>
      <w:r w:rsidR="003122F4" w:rsidRPr="00B36AED">
        <w:rPr>
          <w:rFonts w:ascii="Arial" w:hAnsi="Arial" w:cs="Arial"/>
          <w:i/>
          <w:sz w:val="24"/>
          <w:szCs w:val="24"/>
        </w:rPr>
        <w:t>Mokebe</w:t>
      </w:r>
      <w:proofErr w:type="spellEnd"/>
      <w:r w:rsidR="003122F4">
        <w:rPr>
          <w:rFonts w:ascii="Arial" w:hAnsi="Arial" w:cs="Arial"/>
          <w:sz w:val="24"/>
          <w:szCs w:val="24"/>
        </w:rPr>
        <w:t>,</w:t>
      </w:r>
      <w:r w:rsidR="003122F4">
        <w:rPr>
          <w:rStyle w:val="FootnoteReference"/>
          <w:rFonts w:ascii="Arial" w:hAnsi="Arial" w:cs="Arial"/>
          <w:sz w:val="24"/>
          <w:szCs w:val="24"/>
        </w:rPr>
        <w:footnoteReference w:id="6"/>
      </w:r>
      <w:r w:rsidR="003122F4">
        <w:rPr>
          <w:rFonts w:ascii="Arial" w:hAnsi="Arial" w:cs="Arial"/>
          <w:sz w:val="24"/>
          <w:szCs w:val="24"/>
        </w:rPr>
        <w:t xml:space="preserve"> the Full Court held that it is both desirable and necessary for a money claim and a claim for a declaration of </w:t>
      </w:r>
      <w:proofErr w:type="spellStart"/>
      <w:r w:rsidR="003122F4">
        <w:rPr>
          <w:rFonts w:ascii="Arial" w:hAnsi="Arial" w:cs="Arial"/>
          <w:sz w:val="24"/>
          <w:szCs w:val="24"/>
        </w:rPr>
        <w:t>executability</w:t>
      </w:r>
      <w:proofErr w:type="spellEnd"/>
      <w:r w:rsidR="003122F4">
        <w:rPr>
          <w:rFonts w:ascii="Arial" w:hAnsi="Arial" w:cs="Arial"/>
          <w:sz w:val="24"/>
          <w:szCs w:val="24"/>
        </w:rPr>
        <w:t xml:space="preserve"> under a mortgage bond to be heard simultaneously. It was, further, held that there is </w:t>
      </w:r>
      <w:r w:rsidR="003122F4" w:rsidRPr="00B36AED">
        <w:rPr>
          <w:rFonts w:ascii="Arial" w:hAnsi="Arial" w:cs="Arial"/>
          <w:i/>
          <w:sz w:val="24"/>
          <w:szCs w:val="24"/>
        </w:rPr>
        <w:t xml:space="preserve">“a duty on banks to bring </w:t>
      </w:r>
      <w:r w:rsidR="003122F4" w:rsidRPr="00B36AED">
        <w:rPr>
          <w:rFonts w:ascii="Arial" w:hAnsi="Arial" w:cs="Arial"/>
          <w:i/>
          <w:sz w:val="24"/>
          <w:szCs w:val="24"/>
        </w:rPr>
        <w:lastRenderedPageBreak/>
        <w:t>their entire case including the money judgment, based on a mortgage bond, in one proceeding simultaneously</w:t>
      </w:r>
      <w:r w:rsidR="003122F4">
        <w:rPr>
          <w:rFonts w:ascii="Arial" w:hAnsi="Arial" w:cs="Arial"/>
          <w:sz w:val="24"/>
          <w:szCs w:val="24"/>
        </w:rPr>
        <w:t>” and that should a matter require postponement for whatever reason, “</w:t>
      </w:r>
      <w:r w:rsidR="003122F4" w:rsidRPr="00B36AED">
        <w:rPr>
          <w:rFonts w:ascii="Arial" w:hAnsi="Arial" w:cs="Arial"/>
          <w:i/>
          <w:sz w:val="24"/>
          <w:szCs w:val="24"/>
        </w:rPr>
        <w:t>the entire matter falls to be postponed and piecemeal adjudication is not possible</w:t>
      </w:r>
      <w:r w:rsidR="003122F4">
        <w:rPr>
          <w:rFonts w:ascii="Arial" w:hAnsi="Arial" w:cs="Arial"/>
          <w:sz w:val="24"/>
          <w:szCs w:val="24"/>
        </w:rPr>
        <w:t>”.</w:t>
      </w:r>
    </w:p>
    <w:p w:rsidR="0070493F" w:rsidRDefault="005D113B" w:rsidP="003122F4">
      <w:pPr>
        <w:spacing w:line="360" w:lineRule="auto"/>
        <w:jc w:val="both"/>
        <w:rPr>
          <w:rFonts w:ascii="Arial" w:hAnsi="Arial" w:cs="Arial"/>
          <w:color w:val="000000"/>
          <w:sz w:val="24"/>
          <w:szCs w:val="24"/>
        </w:rPr>
      </w:pPr>
      <w:r>
        <w:rPr>
          <w:rFonts w:ascii="Arial" w:hAnsi="Arial" w:cs="Arial"/>
          <w:sz w:val="24"/>
          <w:szCs w:val="24"/>
        </w:rPr>
        <w:t>[1</w:t>
      </w:r>
      <w:r w:rsidR="0070493F">
        <w:rPr>
          <w:rFonts w:ascii="Arial" w:hAnsi="Arial" w:cs="Arial"/>
          <w:sz w:val="24"/>
          <w:szCs w:val="24"/>
        </w:rPr>
        <w:t>7</w:t>
      </w:r>
      <w:r>
        <w:rPr>
          <w:rFonts w:ascii="Arial" w:hAnsi="Arial" w:cs="Arial"/>
          <w:sz w:val="24"/>
          <w:szCs w:val="24"/>
        </w:rPr>
        <w:t>]</w:t>
      </w:r>
      <w:r>
        <w:rPr>
          <w:rFonts w:ascii="Arial" w:hAnsi="Arial" w:cs="Arial"/>
          <w:sz w:val="24"/>
          <w:szCs w:val="24"/>
        </w:rPr>
        <w:tab/>
      </w:r>
      <w:r w:rsidR="003122F4">
        <w:rPr>
          <w:rFonts w:ascii="Arial" w:hAnsi="Arial" w:cs="Arial"/>
          <w:sz w:val="24"/>
          <w:szCs w:val="24"/>
        </w:rPr>
        <w:t xml:space="preserve">Even though it can be found that there is no </w:t>
      </w:r>
      <w:r w:rsidR="003122F4" w:rsidRPr="0070493F">
        <w:rPr>
          <w:rFonts w:ascii="Arial" w:hAnsi="Arial" w:cs="Arial"/>
          <w:i/>
          <w:sz w:val="24"/>
          <w:szCs w:val="24"/>
        </w:rPr>
        <w:t>bona fide</w:t>
      </w:r>
      <w:r w:rsidR="003122F4">
        <w:rPr>
          <w:rFonts w:ascii="Arial" w:hAnsi="Arial" w:cs="Arial"/>
          <w:sz w:val="24"/>
          <w:szCs w:val="24"/>
        </w:rPr>
        <w:t xml:space="preserve"> defence to the Applicant’s claim or that the Respondents Notice of Intention to Defend and Plea are </w:t>
      </w:r>
      <w:r w:rsidR="003122F4" w:rsidRPr="00427513">
        <w:rPr>
          <w:rFonts w:ascii="Arial" w:hAnsi="Arial" w:cs="Arial"/>
          <w:color w:val="000000"/>
          <w:sz w:val="24"/>
          <w:szCs w:val="24"/>
        </w:rPr>
        <w:t>filed solely for the purpose of delay</w:t>
      </w:r>
      <w:r w:rsidR="003122F4">
        <w:rPr>
          <w:rFonts w:ascii="Arial" w:hAnsi="Arial" w:cs="Arial"/>
          <w:color w:val="000000"/>
          <w:sz w:val="24"/>
          <w:szCs w:val="24"/>
        </w:rPr>
        <w:t>, the Summary Judgment Application cannot be decided alone. It must be decided together with the Rule 46A application which ought to be postponed</w:t>
      </w:r>
      <w:r w:rsidR="0070493F">
        <w:rPr>
          <w:rFonts w:ascii="Arial" w:hAnsi="Arial" w:cs="Arial"/>
          <w:color w:val="000000"/>
          <w:sz w:val="24"/>
          <w:szCs w:val="24"/>
        </w:rPr>
        <w:t xml:space="preserve">. </w:t>
      </w:r>
    </w:p>
    <w:p w:rsidR="003122F4" w:rsidRDefault="0070493F" w:rsidP="003122F4">
      <w:pPr>
        <w:spacing w:line="360" w:lineRule="auto"/>
        <w:jc w:val="both"/>
        <w:rPr>
          <w:rFonts w:ascii="Arial" w:hAnsi="Arial" w:cs="Arial"/>
          <w:sz w:val="24"/>
          <w:szCs w:val="24"/>
        </w:rPr>
      </w:pPr>
      <w:r>
        <w:rPr>
          <w:rFonts w:ascii="Arial" w:hAnsi="Arial" w:cs="Arial"/>
          <w:color w:val="000000"/>
          <w:sz w:val="24"/>
          <w:szCs w:val="24"/>
        </w:rPr>
        <w:t>[18]</w:t>
      </w:r>
      <w:r>
        <w:rPr>
          <w:rFonts w:ascii="Arial" w:hAnsi="Arial" w:cs="Arial"/>
          <w:color w:val="000000"/>
          <w:sz w:val="24"/>
          <w:szCs w:val="24"/>
        </w:rPr>
        <w:tab/>
        <w:t xml:space="preserve">Consequently, the Summary Judgment and the Rule 46A Applications are </w:t>
      </w:r>
      <w:r w:rsidR="00494D1A">
        <w:rPr>
          <w:rFonts w:ascii="Arial" w:hAnsi="Arial" w:cs="Arial"/>
          <w:color w:val="000000"/>
          <w:sz w:val="24"/>
          <w:szCs w:val="24"/>
        </w:rPr>
        <w:t xml:space="preserve">postponed </w:t>
      </w:r>
      <w:r w:rsidR="00494D1A" w:rsidRPr="00494D1A">
        <w:rPr>
          <w:rFonts w:ascii="Arial" w:hAnsi="Arial" w:cs="Arial"/>
          <w:i/>
          <w:color w:val="000000"/>
          <w:sz w:val="24"/>
          <w:szCs w:val="24"/>
        </w:rPr>
        <w:t xml:space="preserve">sine </w:t>
      </w:r>
      <w:r w:rsidRPr="00494D1A">
        <w:rPr>
          <w:rFonts w:ascii="Arial" w:hAnsi="Arial" w:cs="Arial"/>
          <w:i/>
          <w:color w:val="000000"/>
          <w:sz w:val="24"/>
          <w:szCs w:val="24"/>
        </w:rPr>
        <w:t>di</w:t>
      </w:r>
      <w:r w:rsidR="00494D1A" w:rsidRPr="00494D1A">
        <w:rPr>
          <w:rFonts w:ascii="Arial" w:hAnsi="Arial" w:cs="Arial"/>
          <w:i/>
          <w:color w:val="000000"/>
          <w:sz w:val="24"/>
          <w:szCs w:val="24"/>
        </w:rPr>
        <w:t>e</w:t>
      </w:r>
      <w:r w:rsidR="00494D1A">
        <w:rPr>
          <w:rFonts w:ascii="Arial" w:hAnsi="Arial" w:cs="Arial"/>
          <w:color w:val="000000"/>
          <w:sz w:val="24"/>
          <w:szCs w:val="24"/>
        </w:rPr>
        <w:t xml:space="preserve"> and the Applicant i</w:t>
      </w:r>
      <w:r>
        <w:rPr>
          <w:rFonts w:ascii="Arial" w:hAnsi="Arial" w:cs="Arial"/>
          <w:color w:val="000000"/>
          <w:sz w:val="24"/>
          <w:szCs w:val="24"/>
        </w:rPr>
        <w:t>s</w:t>
      </w:r>
      <w:r w:rsidR="00494D1A">
        <w:rPr>
          <w:rFonts w:ascii="Arial" w:hAnsi="Arial" w:cs="Arial"/>
          <w:color w:val="000000"/>
          <w:sz w:val="24"/>
          <w:szCs w:val="24"/>
        </w:rPr>
        <w:t xml:space="preserve"> ordered to pay the </w:t>
      </w:r>
      <w:r>
        <w:rPr>
          <w:rFonts w:ascii="Arial" w:hAnsi="Arial" w:cs="Arial"/>
          <w:color w:val="000000"/>
          <w:sz w:val="24"/>
          <w:szCs w:val="24"/>
        </w:rPr>
        <w:t>costs</w:t>
      </w:r>
      <w:r w:rsidR="00494D1A">
        <w:rPr>
          <w:rFonts w:ascii="Arial" w:hAnsi="Arial" w:cs="Arial"/>
          <w:color w:val="000000"/>
          <w:sz w:val="24"/>
          <w:szCs w:val="24"/>
        </w:rPr>
        <w:t xml:space="preserve"> occasioned by such postponement</w:t>
      </w:r>
      <w:r>
        <w:rPr>
          <w:rFonts w:ascii="Arial" w:hAnsi="Arial" w:cs="Arial"/>
          <w:color w:val="000000"/>
          <w:sz w:val="24"/>
          <w:szCs w:val="24"/>
        </w:rPr>
        <w:t>.</w:t>
      </w:r>
      <w:r w:rsidR="003122F4">
        <w:rPr>
          <w:rFonts w:ascii="Arial" w:hAnsi="Arial" w:cs="Arial"/>
          <w:color w:val="000000"/>
          <w:sz w:val="24"/>
          <w:szCs w:val="24"/>
        </w:rPr>
        <w:t xml:space="preserve"> </w:t>
      </w:r>
    </w:p>
    <w:p w:rsidR="00F84085" w:rsidRDefault="00F84085" w:rsidP="00F84085">
      <w:pPr>
        <w:spacing w:after="355"/>
        <w:rPr>
          <w:rFonts w:ascii="Arial" w:eastAsia="Arial" w:hAnsi="Arial" w:cs="Arial"/>
          <w:color w:val="000000"/>
          <w:sz w:val="24"/>
          <w:lang w:eastAsia="en-ZA"/>
        </w:rPr>
      </w:pPr>
    </w:p>
    <w:p w:rsidR="00494D1A" w:rsidRPr="00F84085" w:rsidRDefault="00494D1A" w:rsidP="00F84085">
      <w:pPr>
        <w:spacing w:after="355"/>
        <w:rPr>
          <w:rFonts w:ascii="Arial" w:eastAsia="Arial" w:hAnsi="Arial" w:cs="Arial"/>
          <w:color w:val="000000"/>
          <w:sz w:val="24"/>
          <w:lang w:eastAsia="en-ZA"/>
        </w:rPr>
      </w:pPr>
    </w:p>
    <w:p w:rsidR="00F84085" w:rsidRPr="00F84085" w:rsidRDefault="00F84085" w:rsidP="00F84085">
      <w:pPr>
        <w:spacing w:after="117"/>
        <w:ind w:left="10" w:hanging="10"/>
        <w:jc w:val="right"/>
        <w:rPr>
          <w:rFonts w:ascii="Arial" w:eastAsia="Arial" w:hAnsi="Arial" w:cs="Arial"/>
          <w:color w:val="000000"/>
          <w:sz w:val="24"/>
          <w:lang w:eastAsia="en-ZA"/>
        </w:rPr>
      </w:pPr>
      <w:r w:rsidRPr="00F84085">
        <w:rPr>
          <w:rFonts w:ascii="Arial" w:eastAsia="Arial" w:hAnsi="Arial" w:cs="Arial"/>
          <w:color w:val="000000"/>
          <w:sz w:val="24"/>
          <w:lang w:eastAsia="en-ZA"/>
        </w:rPr>
        <w:t>___________________________</w:t>
      </w:r>
    </w:p>
    <w:p w:rsidR="00F84085" w:rsidRPr="00F84085" w:rsidRDefault="00F84085" w:rsidP="00F84085">
      <w:pPr>
        <w:spacing w:after="116"/>
        <w:ind w:left="10" w:right="-10" w:hanging="10"/>
        <w:jc w:val="right"/>
        <w:rPr>
          <w:rFonts w:ascii="Arial" w:eastAsia="Arial" w:hAnsi="Arial" w:cs="Arial"/>
          <w:color w:val="000000"/>
          <w:sz w:val="24"/>
          <w:lang w:eastAsia="en-ZA"/>
        </w:rPr>
      </w:pPr>
      <w:r w:rsidRPr="00F84085">
        <w:rPr>
          <w:rFonts w:ascii="Arial" w:eastAsia="Arial" w:hAnsi="Arial" w:cs="Arial"/>
          <w:b/>
          <w:color w:val="000000"/>
          <w:sz w:val="24"/>
          <w:lang w:eastAsia="en-ZA"/>
        </w:rPr>
        <w:t>E M KUBUSHI</w:t>
      </w:r>
    </w:p>
    <w:p w:rsidR="00F84085" w:rsidRPr="00F84085" w:rsidRDefault="00F84085" w:rsidP="00F84085">
      <w:pPr>
        <w:spacing w:after="116"/>
        <w:ind w:left="10" w:right="-10" w:hanging="10"/>
        <w:jc w:val="right"/>
        <w:rPr>
          <w:rFonts w:ascii="Arial" w:eastAsia="Arial" w:hAnsi="Arial" w:cs="Arial"/>
          <w:color w:val="000000"/>
          <w:sz w:val="24"/>
          <w:lang w:eastAsia="en-ZA"/>
        </w:rPr>
      </w:pPr>
      <w:r w:rsidRPr="00F84085">
        <w:rPr>
          <w:rFonts w:ascii="Arial" w:eastAsia="Arial" w:hAnsi="Arial" w:cs="Arial"/>
          <w:b/>
          <w:color w:val="000000"/>
          <w:sz w:val="24"/>
          <w:lang w:eastAsia="en-ZA"/>
        </w:rPr>
        <w:t>JUDGE OF THE HIGH COURT</w:t>
      </w:r>
    </w:p>
    <w:p w:rsidR="00F84085" w:rsidRPr="00F84085" w:rsidRDefault="00F84085" w:rsidP="00F84085">
      <w:pPr>
        <w:spacing w:after="116"/>
        <w:ind w:left="10" w:right="-10" w:hanging="10"/>
        <w:jc w:val="right"/>
        <w:rPr>
          <w:rFonts w:ascii="Arial" w:eastAsia="Arial" w:hAnsi="Arial" w:cs="Arial"/>
          <w:color w:val="000000"/>
          <w:sz w:val="24"/>
          <w:lang w:eastAsia="en-ZA"/>
        </w:rPr>
      </w:pPr>
      <w:r w:rsidRPr="00F84085">
        <w:rPr>
          <w:rFonts w:ascii="Arial" w:eastAsia="Arial" w:hAnsi="Arial" w:cs="Arial"/>
          <w:b/>
          <w:color w:val="000000"/>
          <w:sz w:val="24"/>
          <w:lang w:eastAsia="en-ZA"/>
        </w:rPr>
        <w:t>GAUTENG DIVISION, PRETORIA</w:t>
      </w:r>
    </w:p>
    <w:p w:rsidR="00F84085" w:rsidRPr="00F84085" w:rsidRDefault="00F84085" w:rsidP="00F84085">
      <w:pPr>
        <w:spacing w:after="0" w:line="247" w:lineRule="auto"/>
        <w:ind w:left="-15" w:right="4097"/>
        <w:jc w:val="both"/>
        <w:rPr>
          <w:rFonts w:ascii="Arial" w:eastAsia="Arial" w:hAnsi="Arial" w:cs="Arial"/>
          <w:color w:val="000000"/>
          <w:sz w:val="24"/>
          <w:lang w:eastAsia="en-ZA"/>
        </w:rPr>
      </w:pPr>
    </w:p>
    <w:p w:rsidR="00F84085" w:rsidRPr="00F84085" w:rsidRDefault="00F84085" w:rsidP="00F84085">
      <w:pPr>
        <w:spacing w:after="0" w:line="247" w:lineRule="auto"/>
        <w:ind w:left="-15" w:right="4097"/>
        <w:jc w:val="both"/>
        <w:rPr>
          <w:rFonts w:ascii="Arial" w:eastAsia="Arial" w:hAnsi="Arial" w:cs="Arial"/>
          <w:color w:val="000000"/>
          <w:sz w:val="24"/>
          <w:lang w:eastAsia="en-ZA"/>
        </w:rPr>
      </w:pPr>
    </w:p>
    <w:p w:rsidR="00F84085" w:rsidRPr="00F84085" w:rsidRDefault="00F84085" w:rsidP="00F84085">
      <w:pPr>
        <w:spacing w:after="0" w:line="247" w:lineRule="auto"/>
        <w:ind w:left="-15" w:right="4097"/>
        <w:jc w:val="both"/>
        <w:rPr>
          <w:rFonts w:ascii="Arial" w:eastAsia="Arial" w:hAnsi="Arial" w:cs="Arial"/>
          <w:color w:val="000000"/>
          <w:sz w:val="24"/>
          <w:lang w:eastAsia="en-ZA"/>
        </w:rPr>
      </w:pPr>
    </w:p>
    <w:p w:rsidR="00F84085" w:rsidRPr="00F84085" w:rsidRDefault="00F84085" w:rsidP="00F84085">
      <w:pPr>
        <w:spacing w:after="0" w:line="247" w:lineRule="auto"/>
        <w:ind w:left="-15" w:right="4097"/>
        <w:jc w:val="both"/>
        <w:rPr>
          <w:rFonts w:ascii="Arial" w:eastAsia="Arial" w:hAnsi="Arial" w:cs="Arial"/>
          <w:color w:val="000000"/>
          <w:sz w:val="24"/>
          <w:lang w:eastAsia="en-ZA"/>
        </w:rPr>
      </w:pPr>
      <w:r w:rsidRPr="00F84085">
        <w:rPr>
          <w:rFonts w:ascii="Arial" w:eastAsia="Arial" w:hAnsi="Arial" w:cs="Arial"/>
          <w:color w:val="000000"/>
          <w:sz w:val="24"/>
          <w:lang w:eastAsia="en-ZA"/>
        </w:rPr>
        <w:t>Date of hearing:</w:t>
      </w:r>
      <w:r>
        <w:rPr>
          <w:rFonts w:ascii="Arial" w:eastAsia="Arial" w:hAnsi="Arial" w:cs="Arial"/>
          <w:color w:val="000000"/>
          <w:sz w:val="24"/>
          <w:lang w:eastAsia="en-ZA"/>
        </w:rPr>
        <w:t xml:space="preserve"> 17</w:t>
      </w:r>
      <w:r w:rsidRPr="00F84085">
        <w:rPr>
          <w:rFonts w:ascii="Arial" w:eastAsia="Arial" w:hAnsi="Arial" w:cs="Arial"/>
          <w:color w:val="000000"/>
          <w:sz w:val="24"/>
          <w:lang w:eastAsia="en-ZA"/>
        </w:rPr>
        <w:t xml:space="preserve"> October 2022</w:t>
      </w:r>
    </w:p>
    <w:p w:rsidR="00F84085" w:rsidRPr="00F84085" w:rsidRDefault="00F84085" w:rsidP="00F84085">
      <w:pPr>
        <w:spacing w:after="0" w:line="247" w:lineRule="auto"/>
        <w:ind w:left="-15" w:right="4097"/>
        <w:jc w:val="both"/>
        <w:rPr>
          <w:rFonts w:ascii="Arial" w:eastAsia="Arial" w:hAnsi="Arial" w:cs="Arial"/>
          <w:color w:val="000000"/>
          <w:sz w:val="24"/>
          <w:lang w:eastAsia="en-ZA"/>
        </w:rPr>
      </w:pPr>
    </w:p>
    <w:p w:rsidR="00F17B05" w:rsidRDefault="00F84085" w:rsidP="00F17B05">
      <w:pPr>
        <w:tabs>
          <w:tab w:val="center" w:pos="4868"/>
        </w:tabs>
        <w:spacing w:after="0"/>
        <w:ind w:left="-15"/>
        <w:rPr>
          <w:rFonts w:ascii="Arial" w:eastAsia="Arial" w:hAnsi="Arial" w:cs="Arial"/>
          <w:color w:val="000000"/>
          <w:sz w:val="24"/>
          <w:lang w:eastAsia="en-ZA"/>
        </w:rPr>
      </w:pPr>
      <w:r w:rsidRPr="00F84085">
        <w:rPr>
          <w:rFonts w:ascii="Arial" w:eastAsia="Arial" w:hAnsi="Arial" w:cs="Arial"/>
          <w:color w:val="000000"/>
          <w:sz w:val="24"/>
          <w:lang w:eastAsia="en-ZA"/>
        </w:rPr>
        <w:t>Date of judgment:</w:t>
      </w:r>
      <w:r>
        <w:rPr>
          <w:rFonts w:ascii="Arial" w:eastAsia="Arial" w:hAnsi="Arial" w:cs="Arial"/>
          <w:color w:val="000000"/>
          <w:sz w:val="24"/>
          <w:lang w:eastAsia="en-ZA"/>
        </w:rPr>
        <w:t xml:space="preserve"> 29</w:t>
      </w:r>
      <w:r w:rsidRPr="00F84085">
        <w:rPr>
          <w:rFonts w:ascii="Arial" w:eastAsia="Arial" w:hAnsi="Arial" w:cs="Arial"/>
          <w:color w:val="000000"/>
          <w:sz w:val="24"/>
          <w:lang w:eastAsia="en-ZA"/>
        </w:rPr>
        <w:t xml:space="preserve"> November 2023</w:t>
      </w:r>
    </w:p>
    <w:p w:rsidR="00F84085" w:rsidRPr="00F84085" w:rsidRDefault="00F84085" w:rsidP="00F17B05">
      <w:pPr>
        <w:tabs>
          <w:tab w:val="center" w:pos="4868"/>
        </w:tabs>
        <w:spacing w:after="0"/>
        <w:ind w:left="-15"/>
        <w:rPr>
          <w:rFonts w:ascii="Arial" w:eastAsia="Arial" w:hAnsi="Arial" w:cs="Arial"/>
          <w:color w:val="000000"/>
          <w:sz w:val="24"/>
          <w:lang w:eastAsia="en-ZA"/>
        </w:rPr>
      </w:pPr>
      <w:r w:rsidRPr="00F84085">
        <w:rPr>
          <w:rFonts w:ascii="Arial" w:eastAsia="Arial" w:hAnsi="Arial" w:cs="Arial"/>
          <w:b/>
          <w:color w:val="000000"/>
          <w:sz w:val="24"/>
          <w:u w:val="single" w:color="000000"/>
          <w:lang w:eastAsia="en-ZA"/>
        </w:rPr>
        <w:t>APPEARANCES</w:t>
      </w:r>
      <w:r w:rsidRPr="00F84085">
        <w:rPr>
          <w:rFonts w:ascii="Arial" w:eastAsia="Arial" w:hAnsi="Arial" w:cs="Arial"/>
          <w:color w:val="000000"/>
          <w:sz w:val="24"/>
          <w:lang w:eastAsia="en-ZA"/>
        </w:rPr>
        <w:t>:</w:t>
      </w:r>
    </w:p>
    <w:p w:rsidR="00F84085" w:rsidRPr="00F84085" w:rsidRDefault="00F84085" w:rsidP="00F84085">
      <w:pPr>
        <w:spacing w:after="0"/>
        <w:rPr>
          <w:rFonts w:ascii="Arial" w:eastAsia="Arial" w:hAnsi="Arial" w:cs="Arial"/>
          <w:color w:val="000000"/>
          <w:sz w:val="24"/>
          <w:lang w:eastAsia="en-ZA"/>
        </w:rPr>
      </w:pPr>
    </w:p>
    <w:p w:rsidR="00F84085" w:rsidRPr="00F84085" w:rsidRDefault="00F84085" w:rsidP="00F84085">
      <w:pPr>
        <w:spacing w:after="0"/>
        <w:rPr>
          <w:rFonts w:ascii="Arial" w:eastAsia="Arial" w:hAnsi="Arial" w:cs="Arial"/>
          <w:color w:val="000000"/>
          <w:sz w:val="24"/>
          <w:lang w:eastAsia="en-ZA"/>
        </w:rPr>
      </w:pPr>
    </w:p>
    <w:p w:rsidR="00F84085" w:rsidRPr="00F84085" w:rsidRDefault="00F84085" w:rsidP="00F17B05">
      <w:pPr>
        <w:tabs>
          <w:tab w:val="right" w:pos="9032"/>
        </w:tabs>
        <w:spacing w:after="0"/>
        <w:ind w:left="3075" w:hanging="3090"/>
        <w:rPr>
          <w:rFonts w:ascii="Arial" w:eastAsia="Arial" w:hAnsi="Arial" w:cs="Arial"/>
          <w:color w:val="000000"/>
          <w:sz w:val="24"/>
          <w:lang w:eastAsia="en-ZA"/>
        </w:rPr>
      </w:pPr>
      <w:r w:rsidRPr="00F84085">
        <w:rPr>
          <w:rFonts w:ascii="Arial" w:eastAsia="Arial" w:hAnsi="Arial" w:cs="Arial"/>
          <w:color w:val="000000"/>
          <w:sz w:val="24"/>
          <w:lang w:eastAsia="en-ZA"/>
        </w:rPr>
        <w:t>For the Applicant:</w:t>
      </w:r>
      <w:r w:rsidRPr="00F84085">
        <w:rPr>
          <w:rFonts w:ascii="Arial" w:eastAsia="Arial" w:hAnsi="Arial" w:cs="Arial"/>
          <w:color w:val="000000"/>
          <w:sz w:val="24"/>
          <w:lang w:eastAsia="en-ZA"/>
        </w:rPr>
        <w:tab/>
        <w:t xml:space="preserve">Adv. </w:t>
      </w:r>
      <w:r>
        <w:rPr>
          <w:rFonts w:ascii="Arial" w:eastAsia="Arial" w:hAnsi="Arial" w:cs="Arial"/>
          <w:color w:val="000000"/>
          <w:sz w:val="24"/>
          <w:lang w:eastAsia="en-ZA"/>
        </w:rPr>
        <w:t xml:space="preserve">B </w:t>
      </w:r>
      <w:proofErr w:type="spellStart"/>
      <w:r w:rsidR="00494D1A">
        <w:rPr>
          <w:rFonts w:ascii="Arial" w:eastAsia="Arial" w:hAnsi="Arial" w:cs="Arial"/>
          <w:color w:val="000000"/>
          <w:sz w:val="24"/>
          <w:lang w:eastAsia="en-ZA"/>
        </w:rPr>
        <w:t>Kubek-Manyelo</w:t>
      </w:r>
      <w:proofErr w:type="spellEnd"/>
      <w:r w:rsidR="00494D1A">
        <w:rPr>
          <w:rFonts w:ascii="Arial" w:eastAsia="Arial" w:hAnsi="Arial" w:cs="Arial"/>
          <w:color w:val="000000"/>
          <w:sz w:val="24"/>
          <w:lang w:eastAsia="en-ZA"/>
        </w:rPr>
        <w:t xml:space="preserve"> </w:t>
      </w:r>
      <w:r w:rsidRPr="00F84085">
        <w:rPr>
          <w:rFonts w:ascii="Arial" w:eastAsia="Arial" w:hAnsi="Arial" w:cs="Arial"/>
          <w:color w:val="000000"/>
          <w:sz w:val="24"/>
          <w:lang w:eastAsia="en-ZA"/>
        </w:rPr>
        <w:t xml:space="preserve">instructed by </w:t>
      </w:r>
      <w:r>
        <w:rPr>
          <w:rFonts w:ascii="Arial" w:eastAsia="Arial" w:hAnsi="Arial" w:cs="Arial"/>
          <w:color w:val="000000"/>
          <w:sz w:val="24"/>
          <w:lang w:eastAsia="en-ZA"/>
        </w:rPr>
        <w:t xml:space="preserve">Hannes </w:t>
      </w:r>
      <w:proofErr w:type="spellStart"/>
      <w:r>
        <w:rPr>
          <w:rFonts w:ascii="Arial" w:eastAsia="Arial" w:hAnsi="Arial" w:cs="Arial"/>
          <w:color w:val="000000"/>
          <w:sz w:val="24"/>
          <w:lang w:eastAsia="en-ZA"/>
        </w:rPr>
        <w:t>Gouws</w:t>
      </w:r>
      <w:proofErr w:type="spellEnd"/>
      <w:r>
        <w:rPr>
          <w:rFonts w:ascii="Arial" w:eastAsia="Arial" w:hAnsi="Arial" w:cs="Arial"/>
          <w:color w:val="000000"/>
          <w:sz w:val="24"/>
          <w:lang w:eastAsia="en-ZA"/>
        </w:rPr>
        <w:t xml:space="preserve"> &amp; Partners Inc.</w:t>
      </w:r>
    </w:p>
    <w:p w:rsidR="00F84085" w:rsidRPr="00F84085" w:rsidRDefault="00F84085" w:rsidP="00F84085">
      <w:pPr>
        <w:spacing w:after="0"/>
        <w:rPr>
          <w:rFonts w:ascii="Arial" w:eastAsia="Arial" w:hAnsi="Arial" w:cs="Arial"/>
          <w:color w:val="000000"/>
          <w:sz w:val="24"/>
          <w:lang w:eastAsia="en-ZA"/>
        </w:rPr>
      </w:pPr>
    </w:p>
    <w:p w:rsidR="00F84085" w:rsidRPr="00F84085" w:rsidRDefault="00F84085" w:rsidP="00F84085">
      <w:pPr>
        <w:spacing w:after="9" w:line="240" w:lineRule="auto"/>
        <w:ind w:left="5040" w:hanging="5055"/>
        <w:jc w:val="both"/>
        <w:rPr>
          <w:rFonts w:ascii="Arial" w:eastAsia="Arial" w:hAnsi="Arial" w:cs="Arial"/>
          <w:color w:val="000000"/>
          <w:sz w:val="24"/>
          <w:lang w:eastAsia="en-ZA"/>
        </w:rPr>
      </w:pPr>
      <w:r w:rsidRPr="00F84085">
        <w:rPr>
          <w:rFonts w:ascii="Arial" w:eastAsia="Arial" w:hAnsi="Arial" w:cs="Arial"/>
          <w:color w:val="000000"/>
          <w:sz w:val="24"/>
          <w:lang w:eastAsia="en-ZA"/>
        </w:rPr>
        <w:t>For the First &amp; Second Respondents:</w:t>
      </w:r>
      <w:r w:rsidR="00F17B05">
        <w:rPr>
          <w:rFonts w:ascii="Arial" w:eastAsia="Arial" w:hAnsi="Arial" w:cs="Arial"/>
          <w:color w:val="000000"/>
          <w:sz w:val="24"/>
          <w:lang w:eastAsia="en-ZA"/>
        </w:rPr>
        <w:tab/>
      </w:r>
      <w:r>
        <w:rPr>
          <w:rFonts w:ascii="Arial" w:eastAsia="Arial" w:hAnsi="Arial" w:cs="Arial"/>
          <w:color w:val="000000"/>
          <w:sz w:val="24"/>
          <w:lang w:eastAsia="en-ZA"/>
        </w:rPr>
        <w:t>Mr.</w:t>
      </w:r>
      <w:r w:rsidRPr="00F84085">
        <w:rPr>
          <w:rFonts w:ascii="Arial" w:eastAsia="Arial" w:hAnsi="Arial" w:cs="Arial"/>
          <w:color w:val="000000"/>
          <w:sz w:val="24"/>
          <w:lang w:eastAsia="en-ZA"/>
        </w:rPr>
        <w:t xml:space="preserve"> S </w:t>
      </w:r>
      <w:proofErr w:type="spellStart"/>
      <w:r>
        <w:rPr>
          <w:rFonts w:ascii="Arial" w:eastAsia="Arial" w:hAnsi="Arial" w:cs="Arial"/>
          <w:color w:val="000000"/>
          <w:sz w:val="24"/>
          <w:lang w:eastAsia="en-ZA"/>
        </w:rPr>
        <w:t>Keka</w:t>
      </w:r>
      <w:proofErr w:type="spellEnd"/>
      <w:r w:rsidRPr="00F84085">
        <w:rPr>
          <w:rFonts w:ascii="Arial" w:eastAsia="Arial" w:hAnsi="Arial" w:cs="Arial"/>
          <w:color w:val="000000"/>
          <w:sz w:val="24"/>
          <w:lang w:eastAsia="en-ZA"/>
        </w:rPr>
        <w:tab/>
        <w:t xml:space="preserve">instructed by </w:t>
      </w:r>
      <w:r>
        <w:rPr>
          <w:rFonts w:ascii="Arial" w:eastAsia="Arial" w:hAnsi="Arial" w:cs="Arial"/>
          <w:color w:val="000000"/>
          <w:sz w:val="24"/>
          <w:lang w:eastAsia="en-ZA"/>
        </w:rPr>
        <w:t>Legal Aid South Africa.</w:t>
      </w:r>
    </w:p>
    <w:p w:rsidR="00F84085" w:rsidRPr="00F84085" w:rsidRDefault="00F84085" w:rsidP="00F84085">
      <w:pPr>
        <w:spacing w:after="0"/>
        <w:rPr>
          <w:rFonts w:ascii="Arial" w:eastAsia="Arial" w:hAnsi="Arial" w:cs="Arial"/>
          <w:color w:val="000000"/>
          <w:sz w:val="24"/>
          <w:lang w:eastAsia="en-ZA"/>
        </w:rPr>
      </w:pPr>
    </w:p>
    <w:p w:rsidR="003122F4" w:rsidRDefault="003122F4" w:rsidP="003122F4">
      <w:pPr>
        <w:spacing w:line="360" w:lineRule="auto"/>
        <w:jc w:val="both"/>
        <w:rPr>
          <w:rFonts w:ascii="Arial" w:hAnsi="Arial" w:cs="Arial"/>
          <w:sz w:val="24"/>
          <w:szCs w:val="24"/>
        </w:rPr>
      </w:pPr>
    </w:p>
    <w:p w:rsidR="003122F4" w:rsidRDefault="003122F4" w:rsidP="003122F4"/>
    <w:p w:rsidR="008D2211" w:rsidRPr="003122F4" w:rsidRDefault="008D2211" w:rsidP="003122F4"/>
    <w:sectPr w:rsidR="008D2211" w:rsidRPr="003122F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0A" w:rsidRDefault="0038330A" w:rsidP="003122F4">
      <w:pPr>
        <w:spacing w:after="0" w:line="240" w:lineRule="auto"/>
      </w:pPr>
      <w:r>
        <w:separator/>
      </w:r>
    </w:p>
  </w:endnote>
  <w:endnote w:type="continuationSeparator" w:id="0">
    <w:p w:rsidR="0038330A" w:rsidRDefault="0038330A" w:rsidP="0031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39484"/>
      <w:docPartObj>
        <w:docPartGallery w:val="Page Numbers (Bottom of Page)"/>
        <w:docPartUnique/>
      </w:docPartObj>
    </w:sdtPr>
    <w:sdtEndPr>
      <w:rPr>
        <w:noProof/>
      </w:rPr>
    </w:sdtEndPr>
    <w:sdtContent>
      <w:p w:rsidR="0070493F" w:rsidRDefault="0070493F">
        <w:pPr>
          <w:pStyle w:val="Footer"/>
          <w:jc w:val="right"/>
        </w:pPr>
        <w:r>
          <w:fldChar w:fldCharType="begin"/>
        </w:r>
        <w:r>
          <w:instrText xml:space="preserve"> PAGE   \* MERGEFORMAT </w:instrText>
        </w:r>
        <w:r>
          <w:fldChar w:fldCharType="separate"/>
        </w:r>
        <w:r w:rsidR="00DF7AE8">
          <w:rPr>
            <w:noProof/>
          </w:rPr>
          <w:t>1</w:t>
        </w:r>
        <w:r>
          <w:rPr>
            <w:noProof/>
          </w:rPr>
          <w:fldChar w:fldCharType="end"/>
        </w:r>
      </w:p>
    </w:sdtContent>
  </w:sdt>
  <w:p w:rsidR="0070493F" w:rsidRDefault="00704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0A" w:rsidRDefault="0038330A" w:rsidP="003122F4">
      <w:pPr>
        <w:spacing w:after="0" w:line="240" w:lineRule="auto"/>
      </w:pPr>
      <w:r>
        <w:separator/>
      </w:r>
    </w:p>
  </w:footnote>
  <w:footnote w:type="continuationSeparator" w:id="0">
    <w:p w:rsidR="0038330A" w:rsidRDefault="0038330A" w:rsidP="003122F4">
      <w:pPr>
        <w:spacing w:after="0" w:line="240" w:lineRule="auto"/>
      </w:pPr>
      <w:r>
        <w:continuationSeparator/>
      </w:r>
    </w:p>
  </w:footnote>
  <w:footnote w:id="1">
    <w:p w:rsidR="003122F4" w:rsidRDefault="003122F4" w:rsidP="003122F4">
      <w:pPr>
        <w:pStyle w:val="FootnoteText"/>
      </w:pPr>
      <w:r>
        <w:rPr>
          <w:rStyle w:val="FootnoteReference"/>
        </w:rPr>
        <w:footnoteRef/>
      </w:r>
      <w:r>
        <w:t xml:space="preserve"> Sub-rule 8 sets out the powers of the Court when considering an application under Rule 46A.</w:t>
      </w:r>
    </w:p>
  </w:footnote>
  <w:footnote w:id="2">
    <w:p w:rsidR="003122F4" w:rsidRDefault="003122F4" w:rsidP="003122F4">
      <w:pPr>
        <w:pStyle w:val="FootnoteText"/>
      </w:pPr>
      <w:r>
        <w:rPr>
          <w:rStyle w:val="FootnoteReference"/>
        </w:rPr>
        <w:footnoteRef/>
      </w:r>
      <w:r>
        <w:t xml:space="preserve"> Rule 46A.</w:t>
      </w:r>
    </w:p>
  </w:footnote>
  <w:footnote w:id="3">
    <w:p w:rsidR="003122F4" w:rsidRDefault="003122F4" w:rsidP="003122F4">
      <w:pPr>
        <w:pStyle w:val="FootnoteText"/>
      </w:pPr>
      <w:r>
        <w:rPr>
          <w:rStyle w:val="FootnoteReference"/>
        </w:rPr>
        <w:footnoteRef/>
      </w:r>
      <w:r>
        <w:t xml:space="preserve"> Rule 46A(9)(a).</w:t>
      </w:r>
    </w:p>
  </w:footnote>
  <w:footnote w:id="4">
    <w:p w:rsidR="003122F4" w:rsidRDefault="003122F4" w:rsidP="003122F4">
      <w:pPr>
        <w:pStyle w:val="FootnoteText"/>
      </w:pPr>
      <w:r>
        <w:rPr>
          <w:rStyle w:val="FootnoteReference"/>
        </w:rPr>
        <w:footnoteRef/>
      </w:r>
      <w:r>
        <w:t xml:space="preserve"> Rule 46A(9)(b).</w:t>
      </w:r>
    </w:p>
  </w:footnote>
  <w:footnote w:id="5">
    <w:p w:rsidR="003122F4" w:rsidRDefault="003122F4" w:rsidP="003122F4">
      <w:pPr>
        <w:pStyle w:val="FootnoteText"/>
      </w:pPr>
      <w:r>
        <w:rPr>
          <w:rStyle w:val="FootnoteReference"/>
        </w:rPr>
        <w:footnoteRef/>
      </w:r>
      <w:r>
        <w:t xml:space="preserve"> Erasmus: Superior Court Practice Vol 2 at D1-632T.</w:t>
      </w:r>
    </w:p>
  </w:footnote>
  <w:footnote w:id="6">
    <w:p w:rsidR="003122F4" w:rsidRDefault="003122F4" w:rsidP="003122F4">
      <w:pPr>
        <w:pStyle w:val="FootnoteText"/>
      </w:pPr>
      <w:r>
        <w:rPr>
          <w:rStyle w:val="FootnoteReference"/>
        </w:rPr>
        <w:footnoteRef/>
      </w:r>
      <w:r>
        <w:t xml:space="preserve"> Absa Bank Ltd v </w:t>
      </w:r>
      <w:proofErr w:type="spellStart"/>
      <w:r>
        <w:t>Mokebe</w:t>
      </w:r>
      <w:proofErr w:type="spellEnd"/>
      <w:r>
        <w:t xml:space="preserve"> and Related Cases 2018 (6) SA 492 (GJ) at 506C – 507A and 508C – 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9A"/>
    <w:rsid w:val="000E4E43"/>
    <w:rsid w:val="0017529A"/>
    <w:rsid w:val="001D79EB"/>
    <w:rsid w:val="002D4757"/>
    <w:rsid w:val="003122F4"/>
    <w:rsid w:val="0038330A"/>
    <w:rsid w:val="00421AFB"/>
    <w:rsid w:val="00494D1A"/>
    <w:rsid w:val="004C3477"/>
    <w:rsid w:val="0054777B"/>
    <w:rsid w:val="005D113B"/>
    <w:rsid w:val="006026A1"/>
    <w:rsid w:val="0070493F"/>
    <w:rsid w:val="00754922"/>
    <w:rsid w:val="00786890"/>
    <w:rsid w:val="007E7D39"/>
    <w:rsid w:val="008D2211"/>
    <w:rsid w:val="00AF62BB"/>
    <w:rsid w:val="00C2087B"/>
    <w:rsid w:val="00C65A66"/>
    <w:rsid w:val="00CC181F"/>
    <w:rsid w:val="00D111C8"/>
    <w:rsid w:val="00D12F39"/>
    <w:rsid w:val="00D15875"/>
    <w:rsid w:val="00DC42B8"/>
    <w:rsid w:val="00DF7AE8"/>
    <w:rsid w:val="00E31C9F"/>
    <w:rsid w:val="00E9128B"/>
    <w:rsid w:val="00F17B05"/>
    <w:rsid w:val="00F840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3D88"/>
  <w15:chartTrackingRefBased/>
  <w15:docId w15:val="{6AAB3997-6EB8-4E06-93EA-D5C129E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2F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312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2F4"/>
    <w:rPr>
      <w:sz w:val="20"/>
      <w:szCs w:val="20"/>
    </w:rPr>
  </w:style>
  <w:style w:type="character" w:styleId="FootnoteReference">
    <w:name w:val="footnote reference"/>
    <w:basedOn w:val="DefaultParagraphFont"/>
    <w:uiPriority w:val="99"/>
    <w:semiHidden/>
    <w:unhideWhenUsed/>
    <w:rsid w:val="003122F4"/>
    <w:rPr>
      <w:vertAlign w:val="superscript"/>
    </w:rPr>
  </w:style>
  <w:style w:type="table" w:customStyle="1" w:styleId="TableGrid">
    <w:name w:val="TableGrid"/>
    <w:rsid w:val="001D79EB"/>
    <w:pPr>
      <w:spacing w:after="0" w:line="240" w:lineRule="auto"/>
    </w:pPr>
    <w:rPr>
      <w:rFonts w:eastAsiaTheme="minorEastAsia"/>
      <w:lang w:eastAsia="en-ZA"/>
    </w:rPr>
    <w:tblPr>
      <w:tblCellMar>
        <w:top w:w="0" w:type="dxa"/>
        <w:left w:w="0" w:type="dxa"/>
        <w:bottom w:w="0" w:type="dxa"/>
        <w:right w:w="0" w:type="dxa"/>
      </w:tblCellMar>
    </w:tblPr>
  </w:style>
  <w:style w:type="paragraph" w:styleId="Header">
    <w:name w:val="header"/>
    <w:basedOn w:val="Normal"/>
    <w:link w:val="HeaderChar"/>
    <w:uiPriority w:val="99"/>
    <w:unhideWhenUsed/>
    <w:rsid w:val="0070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3F"/>
  </w:style>
  <w:style w:type="paragraph" w:styleId="Footer">
    <w:name w:val="footer"/>
    <w:basedOn w:val="Normal"/>
    <w:link w:val="FooterChar"/>
    <w:uiPriority w:val="99"/>
    <w:unhideWhenUsed/>
    <w:rsid w:val="0070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Sathish</cp:lastModifiedBy>
  <cp:revision>5</cp:revision>
  <cp:lastPrinted>2023-11-28T13:03:00Z</cp:lastPrinted>
  <dcterms:created xsi:type="dcterms:W3CDTF">2023-11-28T13:21:00Z</dcterms:created>
  <dcterms:modified xsi:type="dcterms:W3CDTF">2024-01-02T18:04:00Z</dcterms:modified>
</cp:coreProperties>
</file>