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662A0" w14:textId="13F50A5B" w:rsidR="00C50979" w:rsidRDefault="00C50979" w:rsidP="00C50979">
      <w:pPr>
        <w:shd w:val="clear" w:color="auto" w:fill="FFFFFF"/>
        <w:tabs>
          <w:tab w:val="left" w:pos="5296"/>
        </w:tabs>
        <w:spacing w:before="144" w:after="0" w:line="360" w:lineRule="auto"/>
        <w:rPr>
          <w:rFonts w:ascii="Arial" w:eastAsia="Times New Roman" w:hAnsi="Arial" w:cs="Arial"/>
          <w:b/>
          <w:bCs/>
          <w:color w:val="242121"/>
          <w:lang w:eastAsia="en-ZA"/>
        </w:rPr>
      </w:pPr>
      <w:r w:rsidRPr="00C50979">
        <w:rPr>
          <w:rFonts w:ascii="Arial" w:eastAsia="Times New Roman" w:hAnsi="Arial" w:cs="Arial"/>
          <w:b/>
          <w:bCs/>
          <w:noProof/>
          <w:color w:val="242121"/>
          <w:lang w:val="en-US"/>
        </w:rPr>
        <w:drawing>
          <wp:inline distT="0" distB="0" distL="0" distR="0" wp14:anchorId="33581359" wp14:editId="1862737C">
            <wp:extent cx="4286250" cy="466725"/>
            <wp:effectExtent l="0" t="0" r="0" b="9525"/>
            <wp:docPr id="2" name="Picture 2" descr="C:\Users\Sathish\Pictures\Editorial note - W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thish\Pictures\Editorial note - Wor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DD0C95" w14:textId="79F83E99" w:rsidR="008E6405" w:rsidRPr="008E6405" w:rsidRDefault="008E6405" w:rsidP="00641B0D">
      <w:pPr>
        <w:shd w:val="clear" w:color="auto" w:fill="FFFFFF"/>
        <w:tabs>
          <w:tab w:val="left" w:pos="5296"/>
        </w:tabs>
        <w:spacing w:before="144" w:after="0" w:line="360" w:lineRule="auto"/>
        <w:jc w:val="center"/>
        <w:rPr>
          <w:rFonts w:ascii="Arial" w:eastAsia="Times New Roman" w:hAnsi="Arial" w:cs="Arial"/>
          <w:b/>
          <w:bCs/>
          <w:color w:val="242121"/>
          <w:lang w:eastAsia="en-ZA"/>
        </w:rPr>
      </w:pPr>
      <w:r>
        <w:rPr>
          <w:rFonts w:ascii="Arial" w:eastAsia="Times New Roman" w:hAnsi="Arial" w:cs="Arial"/>
          <w:b/>
          <w:bCs/>
          <w:color w:val="242121"/>
          <w:lang w:eastAsia="en-ZA"/>
        </w:rPr>
        <w:t xml:space="preserve">THE </w:t>
      </w:r>
      <w:r w:rsidR="007737B7">
        <w:rPr>
          <w:rFonts w:ascii="Arial" w:eastAsia="Times New Roman" w:hAnsi="Arial" w:cs="Arial"/>
          <w:b/>
          <w:bCs/>
          <w:color w:val="242121"/>
          <w:lang w:eastAsia="en-ZA"/>
        </w:rPr>
        <w:t>REPBLIC OF SOUTH AFRICA</w:t>
      </w:r>
    </w:p>
    <w:p w14:paraId="089E9F17" w14:textId="2A75E4F3" w:rsidR="00641B0D" w:rsidRPr="008A11BD" w:rsidRDefault="00641B0D" w:rsidP="00641B0D">
      <w:pPr>
        <w:shd w:val="clear" w:color="auto" w:fill="FFFFFF"/>
        <w:tabs>
          <w:tab w:val="left" w:pos="5296"/>
        </w:tabs>
        <w:spacing w:before="144" w:after="0" w:line="360" w:lineRule="auto"/>
        <w:jc w:val="center"/>
        <w:rPr>
          <w:rFonts w:ascii="Arial" w:eastAsia="Times New Roman" w:hAnsi="Arial" w:cs="Arial"/>
          <w:color w:val="242121"/>
          <w:lang w:eastAsia="en-ZA"/>
        </w:rPr>
      </w:pPr>
      <w:r w:rsidRPr="008A11BD">
        <w:rPr>
          <w:rFonts w:ascii="Arial" w:hAnsi="Arial" w:cs="Arial"/>
          <w:noProof/>
          <w:lang w:val="en-US"/>
        </w:rPr>
        <w:drawing>
          <wp:inline distT="0" distB="0" distL="0" distR="0" wp14:anchorId="0286A08E" wp14:editId="01CA2242">
            <wp:extent cx="1131570" cy="959861"/>
            <wp:effectExtent l="0" t="0" r="0" b="0"/>
            <wp:docPr id="5" name="Picture 1" descr="cid:image003.png@01D07774.1E4A6C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07774.1E4A6C9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834" cy="1039821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49E862" w14:textId="77777777" w:rsidR="00641B0D" w:rsidRPr="008A11BD" w:rsidRDefault="00641B0D" w:rsidP="00641B0D">
      <w:pPr>
        <w:spacing w:line="240" w:lineRule="auto"/>
        <w:jc w:val="center"/>
        <w:rPr>
          <w:rFonts w:ascii="Arial" w:hAnsi="Arial" w:cs="Arial"/>
          <w:b/>
        </w:rPr>
      </w:pPr>
      <w:r w:rsidRPr="008A11BD">
        <w:rPr>
          <w:rFonts w:ascii="Arial" w:hAnsi="Arial" w:cs="Arial"/>
          <w:b/>
        </w:rPr>
        <w:t>IN THE HIGH COURT OF SOUTH AFRICA</w:t>
      </w:r>
    </w:p>
    <w:p w14:paraId="5664C5D3" w14:textId="77777777" w:rsidR="00641B0D" w:rsidRPr="008A11BD" w:rsidRDefault="00641B0D" w:rsidP="00641B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240" w:after="120" w:line="240" w:lineRule="auto"/>
        <w:jc w:val="center"/>
        <w:rPr>
          <w:rFonts w:ascii="Arial" w:hAnsi="Arial" w:cs="Arial"/>
          <w:b/>
        </w:rPr>
      </w:pPr>
      <w:r w:rsidRPr="008A11BD">
        <w:rPr>
          <w:rFonts w:ascii="Arial" w:hAnsi="Arial" w:cs="Arial"/>
          <w:b/>
        </w:rPr>
        <w:t>GAUTENG HIGH COURT DIVISION, PRETORIA</w:t>
      </w:r>
    </w:p>
    <w:p w14:paraId="730621C4" w14:textId="77777777" w:rsidR="00641B0D" w:rsidRPr="008A11BD" w:rsidRDefault="00641B0D" w:rsidP="00641B0D">
      <w:pPr>
        <w:jc w:val="right"/>
        <w:rPr>
          <w:rFonts w:ascii="Arial" w:hAnsi="Arial" w:cs="Arial"/>
          <w:b/>
          <w:highlight w:val="yellow"/>
        </w:rPr>
      </w:pPr>
    </w:p>
    <w:p w14:paraId="4D4A4E8B" w14:textId="419D63D6" w:rsidR="00641B0D" w:rsidRPr="00557F60" w:rsidRDefault="00641B0D" w:rsidP="00641B0D">
      <w:pPr>
        <w:jc w:val="right"/>
        <w:rPr>
          <w:rFonts w:ascii="Arial" w:hAnsi="Arial" w:cs="Arial"/>
        </w:rPr>
      </w:pPr>
      <w:r w:rsidRPr="008A11BD">
        <w:rPr>
          <w:rFonts w:ascii="Arial" w:hAnsi="Arial" w:cs="Arial"/>
        </w:rPr>
        <w:t xml:space="preserve">Case </w:t>
      </w:r>
      <w:r w:rsidR="00C34B10">
        <w:rPr>
          <w:rFonts w:ascii="Arial" w:hAnsi="Arial" w:cs="Arial"/>
        </w:rPr>
        <w:t>No</w:t>
      </w:r>
      <w:r w:rsidRPr="008A11BD">
        <w:rPr>
          <w:rFonts w:ascii="Arial" w:hAnsi="Arial" w:cs="Arial"/>
        </w:rPr>
        <w:t xml:space="preserve">: </w:t>
      </w:r>
      <w:r w:rsidR="0028115B">
        <w:rPr>
          <w:rFonts w:ascii="Arial" w:hAnsi="Arial" w:cs="Arial"/>
        </w:rPr>
        <w:t>054604</w:t>
      </w:r>
      <w:r w:rsidR="003758F5" w:rsidRPr="003758F5">
        <w:rPr>
          <w:rFonts w:ascii="Arial" w:hAnsi="Arial" w:cs="Arial"/>
          <w:b/>
          <w:bCs/>
        </w:rPr>
        <w:t>/</w:t>
      </w:r>
      <w:r w:rsidR="00557F60">
        <w:rPr>
          <w:rFonts w:ascii="Arial" w:hAnsi="Arial" w:cs="Arial"/>
        </w:rPr>
        <w:t>2022</w:t>
      </w:r>
    </w:p>
    <w:p w14:paraId="36B40B87" w14:textId="7E3451C4" w:rsidR="00641B0D" w:rsidRDefault="00F02009" w:rsidP="00641B0D">
      <w:pPr>
        <w:rPr>
          <w:rFonts w:ascii="Arial" w:hAnsi="Arial" w:cs="Arial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90FA12" wp14:editId="3831B9AD">
                <wp:simplePos x="0" y="0"/>
                <wp:positionH relativeFrom="margin">
                  <wp:align>left</wp:align>
                </wp:positionH>
                <wp:positionV relativeFrom="paragraph">
                  <wp:posOffset>70485</wp:posOffset>
                </wp:positionV>
                <wp:extent cx="3886200" cy="15240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8599B" w14:textId="77777777" w:rsidR="00641B0D" w:rsidRDefault="00641B0D" w:rsidP="00641B0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B825DB0" w14:textId="00D19CBE" w:rsidR="00641B0D" w:rsidRDefault="00726458" w:rsidP="00726458">
                            <w:pPr>
                              <w:tabs>
                                <w:tab w:val="left" w:pos="900"/>
                              </w:tabs>
                              <w:spacing w:after="0" w:line="240" w:lineRule="auto"/>
                              <w:ind w:left="900" w:hanging="72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(1)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641B0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REPORTABLE: NO</w:t>
                            </w:r>
                          </w:p>
                          <w:p w14:paraId="2350DC44" w14:textId="4E146E20" w:rsidR="00641B0D" w:rsidRDefault="00726458" w:rsidP="00726458">
                            <w:pPr>
                              <w:tabs>
                                <w:tab w:val="left" w:pos="900"/>
                              </w:tabs>
                              <w:spacing w:after="0" w:line="240" w:lineRule="auto"/>
                              <w:ind w:left="900" w:hanging="72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(2)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641B0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OF INTEREST TO OTHER JUDGES: NO</w:t>
                            </w:r>
                          </w:p>
                          <w:p w14:paraId="24F085FC" w14:textId="2F11847D" w:rsidR="00F02009" w:rsidRPr="00F02009" w:rsidRDefault="00726458" w:rsidP="00726458">
                            <w:pPr>
                              <w:tabs>
                                <w:tab w:val="left" w:pos="900"/>
                              </w:tabs>
                              <w:spacing w:after="0" w:line="240" w:lineRule="auto"/>
                              <w:ind w:left="900" w:hanging="72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0200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(3)</w:t>
                            </w:r>
                            <w:r w:rsidRPr="00F0200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641B0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REVISED. </w:t>
                            </w:r>
                          </w:p>
                          <w:p w14:paraId="6B950A51" w14:textId="15323680" w:rsidR="00641B0D" w:rsidRDefault="00C34B10" w:rsidP="00C34B10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23 NOVEMBER</w:t>
                            </w:r>
                            <w:r w:rsidR="0008125A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A4BB1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2023</w:t>
                            </w:r>
                            <w:r w:rsidR="00641B0D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ab/>
                              <w:t>………………………...</w:t>
                            </w:r>
                          </w:p>
                          <w:p w14:paraId="4FB9B957" w14:textId="77777777" w:rsidR="00641B0D" w:rsidRDefault="00641B0D" w:rsidP="00641B0D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DATE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90FA1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5.55pt;width:306pt;height:120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">
                <v:textbox>
                  <w:txbxContent>
                    <w:p w14:paraId="2EA8599B" w14:textId="77777777" w:rsidR="00641B0D" w:rsidRDefault="00641B0D" w:rsidP="00641B0D">
                      <w:pPr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14:paraId="0B825DB0" w14:textId="00D19CBE" w:rsidR="00641B0D" w:rsidRDefault="00726458" w:rsidP="00726458">
                      <w:pPr>
                        <w:tabs>
                          <w:tab w:val="left" w:pos="900"/>
                        </w:tabs>
                        <w:spacing w:after="0" w:line="240" w:lineRule="auto"/>
                        <w:ind w:left="900" w:hanging="72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(1)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641B0D">
                        <w:rPr>
                          <w:rFonts w:ascii="Century Gothic" w:hAnsi="Century Gothic"/>
                          <w:sz w:val="20"/>
                          <w:szCs w:val="20"/>
                        </w:rPr>
                        <w:t>REPORTABLE: NO</w:t>
                      </w:r>
                    </w:p>
                    <w:p w14:paraId="2350DC44" w14:textId="4E146E20" w:rsidR="00641B0D" w:rsidRDefault="00726458" w:rsidP="00726458">
                      <w:pPr>
                        <w:tabs>
                          <w:tab w:val="left" w:pos="900"/>
                        </w:tabs>
                        <w:spacing w:after="0" w:line="240" w:lineRule="auto"/>
                        <w:ind w:left="900" w:hanging="72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(2)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641B0D">
                        <w:rPr>
                          <w:rFonts w:ascii="Century Gothic" w:hAnsi="Century Gothic"/>
                          <w:sz w:val="20"/>
                          <w:szCs w:val="20"/>
                        </w:rPr>
                        <w:t>OF INTEREST TO OTHER JUDGES: NO</w:t>
                      </w:r>
                    </w:p>
                    <w:p w14:paraId="24F085FC" w14:textId="2F11847D" w:rsidR="00F02009" w:rsidRPr="00F02009" w:rsidRDefault="00726458" w:rsidP="00726458">
                      <w:pPr>
                        <w:tabs>
                          <w:tab w:val="left" w:pos="900"/>
                        </w:tabs>
                        <w:spacing w:after="0" w:line="240" w:lineRule="auto"/>
                        <w:ind w:left="900" w:hanging="72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F02009">
                        <w:rPr>
                          <w:rFonts w:ascii="Century Gothic" w:hAnsi="Century Gothic"/>
                          <w:sz w:val="20"/>
                          <w:szCs w:val="20"/>
                        </w:rPr>
                        <w:t>(3)</w:t>
                      </w:r>
                      <w:r w:rsidRPr="00F02009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641B0D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REVISED. </w:t>
                      </w:r>
                    </w:p>
                    <w:p w14:paraId="6B950A51" w14:textId="15323680" w:rsidR="00641B0D" w:rsidRDefault="00C34B10" w:rsidP="00C34B10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23 NOVEMBER</w:t>
                      </w:r>
                      <w:r w:rsidR="0008125A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A4BB1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2023</w:t>
                      </w:r>
                      <w:r w:rsidR="00641B0D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ab/>
                        <w:t>………………………...</w:t>
                      </w:r>
                    </w:p>
                    <w:p w14:paraId="4FB9B957" w14:textId="77777777" w:rsidR="00641B0D" w:rsidRDefault="00641B0D" w:rsidP="00641B0D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DATE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>SIGNATURE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2B1C80" w14:textId="77777777" w:rsidR="00641B0D" w:rsidRDefault="00641B0D" w:rsidP="00641B0D">
      <w:pPr>
        <w:rPr>
          <w:rFonts w:ascii="Arial" w:hAnsi="Arial" w:cs="Arial"/>
        </w:rPr>
      </w:pPr>
    </w:p>
    <w:p w14:paraId="74F127E6" w14:textId="2B628926" w:rsidR="00641B0D" w:rsidRDefault="00641B0D" w:rsidP="00641B0D">
      <w:pPr>
        <w:rPr>
          <w:rFonts w:ascii="Arial" w:hAnsi="Arial" w:cs="Arial"/>
        </w:rPr>
      </w:pPr>
    </w:p>
    <w:p w14:paraId="629494BE" w14:textId="77777777" w:rsidR="00641B0D" w:rsidRDefault="00641B0D" w:rsidP="00641B0D">
      <w:pPr>
        <w:rPr>
          <w:rFonts w:ascii="Arial" w:hAnsi="Arial" w:cs="Arial"/>
        </w:rPr>
      </w:pPr>
    </w:p>
    <w:p w14:paraId="791B3654" w14:textId="77777777" w:rsidR="00641B0D" w:rsidRDefault="00641B0D" w:rsidP="00641B0D">
      <w:pPr>
        <w:rPr>
          <w:rFonts w:ascii="Arial" w:hAnsi="Arial" w:cs="Arial"/>
        </w:rPr>
      </w:pPr>
    </w:p>
    <w:p w14:paraId="240037A4" w14:textId="77777777" w:rsidR="00641B0D" w:rsidRPr="008A11BD" w:rsidRDefault="00641B0D" w:rsidP="00641B0D">
      <w:pPr>
        <w:jc w:val="both"/>
        <w:rPr>
          <w:rFonts w:ascii="Arial" w:hAnsi="Arial" w:cs="Arial"/>
        </w:rPr>
      </w:pPr>
    </w:p>
    <w:p w14:paraId="3763639F" w14:textId="77777777" w:rsidR="00641B0D" w:rsidRPr="008A11BD" w:rsidRDefault="00641B0D" w:rsidP="00641B0D">
      <w:pPr>
        <w:jc w:val="both"/>
        <w:rPr>
          <w:rFonts w:ascii="Arial" w:hAnsi="Arial" w:cs="Arial"/>
        </w:rPr>
      </w:pPr>
      <w:r w:rsidRPr="008A11BD">
        <w:rPr>
          <w:rFonts w:ascii="Arial" w:hAnsi="Arial" w:cs="Arial"/>
        </w:rPr>
        <w:t>In the matter between:</w:t>
      </w:r>
    </w:p>
    <w:p w14:paraId="7AF1AAD1" w14:textId="77777777" w:rsidR="00641B0D" w:rsidRPr="008A11BD" w:rsidRDefault="00641B0D" w:rsidP="00641B0D">
      <w:pPr>
        <w:spacing w:line="240" w:lineRule="auto"/>
        <w:jc w:val="both"/>
        <w:rPr>
          <w:rFonts w:ascii="Arial" w:hAnsi="Arial" w:cs="Arial"/>
        </w:rPr>
      </w:pPr>
    </w:p>
    <w:p w14:paraId="24330EE3" w14:textId="796E986F" w:rsidR="00641B0D" w:rsidRPr="008A11BD" w:rsidRDefault="006C04CF" w:rsidP="00641B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UNIFIED PAYROLL LIMITED </w:t>
      </w:r>
      <w:r w:rsidR="004B6CF8">
        <w:rPr>
          <w:rFonts w:ascii="Arial" w:hAnsi="Arial" w:cs="Arial"/>
        </w:rPr>
        <w:t xml:space="preserve">(in </w:t>
      </w:r>
      <w:proofErr w:type="gramStart"/>
      <w:r w:rsidR="004B6CF8">
        <w:rPr>
          <w:rFonts w:ascii="Arial" w:hAnsi="Arial" w:cs="Arial"/>
        </w:rPr>
        <w:t>liq</w:t>
      </w:r>
      <w:r w:rsidR="00FE5BFC">
        <w:rPr>
          <w:rFonts w:ascii="Arial" w:hAnsi="Arial" w:cs="Arial"/>
        </w:rPr>
        <w:t>uidation)</w:t>
      </w:r>
      <w:r w:rsidR="00641B0D">
        <w:rPr>
          <w:rFonts w:ascii="Arial" w:hAnsi="Arial" w:cs="Arial"/>
        </w:rPr>
        <w:t xml:space="preserve">   </w:t>
      </w:r>
      <w:proofErr w:type="gramEnd"/>
      <w:r w:rsidR="00641B0D">
        <w:rPr>
          <w:rFonts w:ascii="Arial" w:hAnsi="Arial" w:cs="Arial"/>
        </w:rPr>
        <w:t xml:space="preserve">                        </w:t>
      </w:r>
      <w:r w:rsidR="00FE5BFC">
        <w:rPr>
          <w:rFonts w:ascii="Arial" w:hAnsi="Arial" w:cs="Arial"/>
        </w:rPr>
        <w:tab/>
      </w:r>
      <w:r w:rsidR="00641B0D">
        <w:rPr>
          <w:rFonts w:ascii="Arial" w:hAnsi="Arial" w:cs="Arial"/>
        </w:rPr>
        <w:t>Applicant</w:t>
      </w:r>
    </w:p>
    <w:p w14:paraId="55CED0C9" w14:textId="77777777" w:rsidR="00641B0D" w:rsidRPr="008A11BD" w:rsidRDefault="00641B0D" w:rsidP="00641B0D">
      <w:pPr>
        <w:spacing w:line="240" w:lineRule="auto"/>
        <w:jc w:val="both"/>
        <w:rPr>
          <w:rFonts w:ascii="Arial" w:hAnsi="Arial" w:cs="Arial"/>
        </w:rPr>
      </w:pPr>
    </w:p>
    <w:p w14:paraId="4A62ED58" w14:textId="163A1E40" w:rsidR="007F0BE0" w:rsidRDefault="007F0BE0" w:rsidP="007F0BE0">
      <w:pPr>
        <w:jc w:val="both"/>
        <w:rPr>
          <w:rFonts w:ascii="Arial" w:hAnsi="Arial" w:cs="Arial"/>
        </w:rPr>
      </w:pPr>
      <w:r w:rsidRPr="008A11BD">
        <w:rPr>
          <w:rFonts w:ascii="Arial" w:hAnsi="Arial" w:cs="Arial"/>
        </w:rPr>
        <w:t>A</w:t>
      </w:r>
      <w:r w:rsidR="00641B0D" w:rsidRPr="008A11BD">
        <w:rPr>
          <w:rFonts w:ascii="Arial" w:hAnsi="Arial" w:cs="Arial"/>
        </w:rPr>
        <w:t>nd</w:t>
      </w:r>
    </w:p>
    <w:p w14:paraId="0201BED8" w14:textId="77777777" w:rsidR="007F0BE0" w:rsidRDefault="007F0BE0" w:rsidP="007F0BE0">
      <w:pPr>
        <w:jc w:val="both"/>
        <w:rPr>
          <w:rFonts w:ascii="Arial" w:hAnsi="Arial" w:cs="Arial"/>
        </w:rPr>
      </w:pPr>
    </w:p>
    <w:p w14:paraId="1D81E3F2" w14:textId="706CF9F0" w:rsidR="00641B0D" w:rsidRPr="008A11BD" w:rsidRDefault="00FE5BFC" w:rsidP="007F0B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JUST PA</w:t>
      </w:r>
      <w:r w:rsidR="001743EB">
        <w:rPr>
          <w:rFonts w:ascii="Arial" w:hAnsi="Arial" w:cs="Arial"/>
        </w:rPr>
        <w:t>TIENCE (PTY) LTD</w:t>
      </w:r>
      <w:r w:rsidR="00526769">
        <w:rPr>
          <w:rFonts w:ascii="Arial" w:hAnsi="Arial" w:cs="Arial"/>
        </w:rPr>
        <w:tab/>
      </w:r>
      <w:r w:rsidR="00526769">
        <w:rPr>
          <w:rFonts w:ascii="Arial" w:hAnsi="Arial" w:cs="Arial"/>
        </w:rPr>
        <w:tab/>
      </w:r>
      <w:r w:rsidR="00526769">
        <w:rPr>
          <w:rFonts w:ascii="Arial" w:hAnsi="Arial" w:cs="Arial"/>
        </w:rPr>
        <w:tab/>
      </w:r>
      <w:r w:rsidR="007F0BE0">
        <w:rPr>
          <w:rFonts w:ascii="Arial" w:hAnsi="Arial" w:cs="Arial"/>
        </w:rPr>
        <w:tab/>
      </w:r>
      <w:r w:rsidR="007F0BE0">
        <w:rPr>
          <w:rFonts w:ascii="Arial" w:hAnsi="Arial" w:cs="Arial"/>
        </w:rPr>
        <w:tab/>
      </w:r>
      <w:r w:rsidR="007F0BE0">
        <w:rPr>
          <w:rFonts w:ascii="Arial" w:hAnsi="Arial" w:cs="Arial"/>
        </w:rPr>
        <w:tab/>
      </w:r>
      <w:r w:rsidR="00641B0D">
        <w:rPr>
          <w:rFonts w:ascii="Arial" w:hAnsi="Arial" w:cs="Arial"/>
        </w:rPr>
        <w:t>Respondent</w:t>
      </w:r>
      <w:r w:rsidR="00641B0D" w:rsidRPr="008A11BD">
        <w:rPr>
          <w:rFonts w:ascii="Arial" w:hAnsi="Arial" w:cs="Arial"/>
          <w:b/>
        </w:rPr>
        <w:tab/>
      </w:r>
      <w:r w:rsidR="00641B0D" w:rsidRPr="008A11BD">
        <w:rPr>
          <w:rFonts w:ascii="Arial" w:hAnsi="Arial" w:cs="Arial"/>
          <w:b/>
        </w:rPr>
        <w:tab/>
      </w:r>
      <w:r w:rsidR="00641B0D" w:rsidRPr="008A11BD">
        <w:rPr>
          <w:rFonts w:ascii="Arial" w:hAnsi="Arial" w:cs="Arial"/>
          <w:b/>
        </w:rPr>
        <w:tab/>
      </w:r>
      <w:r w:rsidR="00641B0D" w:rsidRPr="008A11BD">
        <w:rPr>
          <w:rFonts w:ascii="Arial" w:hAnsi="Arial" w:cs="Arial"/>
          <w:b/>
        </w:rPr>
        <w:tab/>
      </w:r>
      <w:r w:rsidR="00641B0D" w:rsidRPr="008A11BD">
        <w:rPr>
          <w:rFonts w:ascii="Arial" w:hAnsi="Arial" w:cs="Arial"/>
          <w:b/>
        </w:rPr>
        <w:tab/>
      </w:r>
      <w:r w:rsidR="00641B0D" w:rsidRPr="008A11BD">
        <w:rPr>
          <w:rFonts w:ascii="Arial" w:hAnsi="Arial" w:cs="Arial"/>
          <w:b/>
        </w:rPr>
        <w:tab/>
      </w:r>
      <w:r w:rsidR="00641B0D" w:rsidRPr="008A11BD">
        <w:rPr>
          <w:rFonts w:ascii="Arial" w:hAnsi="Arial" w:cs="Arial"/>
          <w:b/>
        </w:rPr>
        <w:tab/>
      </w:r>
    </w:p>
    <w:p w14:paraId="1B127117" w14:textId="77777777" w:rsidR="00641B0D" w:rsidRPr="008A11BD" w:rsidRDefault="00641B0D" w:rsidP="00641B0D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</w:p>
    <w:p w14:paraId="2D893F58" w14:textId="77777777" w:rsidR="00641B0D" w:rsidRPr="008A11BD" w:rsidRDefault="00641B0D" w:rsidP="00641B0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A11BD">
        <w:rPr>
          <w:rFonts w:ascii="Arial" w:hAnsi="Arial" w:cs="Arial"/>
          <w:b/>
          <w:sz w:val="24"/>
          <w:szCs w:val="24"/>
        </w:rPr>
        <w:t>J U D G M E N T</w:t>
      </w:r>
    </w:p>
    <w:p w14:paraId="66EECADA" w14:textId="3FCB910F" w:rsidR="00641B0D" w:rsidRPr="00F90932" w:rsidRDefault="00641B0D" w:rsidP="00F90932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A11BD">
        <w:rPr>
          <w:rFonts w:ascii="Arial" w:hAnsi="Arial" w:cs="Arial"/>
          <w:b/>
          <w:sz w:val="24"/>
          <w:szCs w:val="24"/>
        </w:rPr>
        <w:t>_____________________________________</w:t>
      </w:r>
      <w:r>
        <w:rPr>
          <w:rFonts w:ascii="Arial" w:hAnsi="Arial" w:cs="Arial"/>
          <w:b/>
          <w:sz w:val="24"/>
          <w:szCs w:val="24"/>
        </w:rPr>
        <w:t>_______________</w:t>
      </w:r>
      <w:r w:rsidRPr="008A11BD">
        <w:rPr>
          <w:rFonts w:ascii="Arial" w:hAnsi="Arial" w:cs="Arial"/>
          <w:b/>
          <w:sz w:val="24"/>
          <w:szCs w:val="24"/>
        </w:rPr>
        <w:t>_______________</w:t>
      </w:r>
    </w:p>
    <w:p w14:paraId="71E8F39F" w14:textId="63265833" w:rsidR="00641B0D" w:rsidRPr="008A11BD" w:rsidRDefault="00641B0D" w:rsidP="00641B0D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MAKHOBA, J</w:t>
      </w:r>
    </w:p>
    <w:p w14:paraId="06BE2896" w14:textId="7C11A2F4" w:rsidR="00641B0D" w:rsidRPr="007A498B" w:rsidRDefault="00641B0D" w:rsidP="00641B0D">
      <w:pPr>
        <w:shd w:val="clear" w:color="auto" w:fill="FFFFFF"/>
        <w:spacing w:before="144" w:after="0" w:line="480" w:lineRule="auto"/>
        <w:ind w:left="720" w:hanging="720"/>
        <w:jc w:val="both"/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</w:pPr>
      <w:r w:rsidRPr="00812B1D">
        <w:rPr>
          <w:rFonts w:ascii="Arial" w:eastAsia="Times New Roman" w:hAnsi="Arial" w:cs="Arial"/>
          <w:color w:val="242121"/>
          <w:sz w:val="28"/>
          <w:szCs w:val="28"/>
          <w:lang w:eastAsia="en-ZA"/>
        </w:rPr>
        <w:lastRenderedPageBreak/>
        <w:t>[1]</w:t>
      </w:r>
      <w:r w:rsidR="00F60ACD" w:rsidRPr="00812B1D">
        <w:rPr>
          <w:rFonts w:ascii="Arial" w:eastAsia="Times New Roman" w:hAnsi="Arial" w:cs="Arial"/>
          <w:color w:val="242121"/>
          <w:sz w:val="28"/>
          <w:szCs w:val="28"/>
          <w:lang w:eastAsia="en-ZA"/>
        </w:rPr>
        <w:tab/>
      </w:r>
      <w:r w:rsidR="00557F60" w:rsidRPr="007A498B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This </w:t>
      </w:r>
      <w:r w:rsidR="003D69B8" w:rsidRPr="007A498B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is an application for an order placing the respondent in liquidation on the basis that the respondent </w:t>
      </w:r>
      <w:r w:rsidR="00906BB4" w:rsidRPr="007A498B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is commercially insolvent and unable to pay its debts.</w:t>
      </w:r>
    </w:p>
    <w:p w14:paraId="4827B5D1" w14:textId="4FE8EB07" w:rsidR="00641B0D" w:rsidRPr="007A498B" w:rsidRDefault="00641B0D" w:rsidP="00641B0D">
      <w:pPr>
        <w:shd w:val="clear" w:color="auto" w:fill="FFFFFF"/>
        <w:spacing w:before="144" w:after="0" w:line="480" w:lineRule="auto"/>
        <w:ind w:left="720" w:hanging="720"/>
        <w:jc w:val="both"/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</w:pPr>
      <w:r w:rsidRPr="007A498B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[2] </w:t>
      </w:r>
      <w:r w:rsidRPr="007A498B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ab/>
      </w:r>
      <w:r w:rsidR="00626FB7" w:rsidRPr="007A498B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The applicant is Unified Payroll Limited (in liqu</w:t>
      </w:r>
      <w:r w:rsidR="00B96D45" w:rsidRPr="007A498B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idation), a company incorporated in the UK with company registration number 09</w:t>
      </w:r>
      <w:r w:rsidR="008B65A6" w:rsidRPr="007A498B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692858. I sha</w:t>
      </w:r>
      <w:r w:rsidR="00561D37" w:rsidRPr="007A498B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ll hereinafter refer to the applicant as ‘UPL’.</w:t>
      </w:r>
    </w:p>
    <w:p w14:paraId="3676FD06" w14:textId="580568EA" w:rsidR="00641B0D" w:rsidRPr="007A498B" w:rsidRDefault="00641B0D" w:rsidP="00641B0D">
      <w:pPr>
        <w:shd w:val="clear" w:color="auto" w:fill="FFFFFF"/>
        <w:spacing w:before="144" w:after="0" w:line="480" w:lineRule="auto"/>
        <w:ind w:left="720" w:hanging="720"/>
        <w:jc w:val="both"/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</w:pPr>
      <w:r w:rsidRPr="007A498B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[3]</w:t>
      </w:r>
      <w:r w:rsidR="00C41B02" w:rsidRPr="007A498B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ab/>
      </w:r>
      <w:r w:rsidR="00E95F1D" w:rsidRPr="007A498B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The respondent is Just Patience (Pty)</w:t>
      </w:r>
      <w:r w:rsidR="00BA623D" w:rsidRPr="007A498B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 Limited, a company duly incorpor</w:t>
      </w:r>
      <w:bookmarkStart w:id="0" w:name="_GoBack"/>
      <w:bookmarkEnd w:id="0"/>
      <w:r w:rsidR="00BA623D" w:rsidRPr="007A498B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ated in accordance with the company laws of South Africa with its registered address at </w:t>
      </w:r>
      <w:r w:rsidR="00E27388" w:rsidRPr="00E27388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6[...] V[...] M[...], D[...], 8[...] G[...]</w:t>
      </w:r>
      <w:r w:rsidR="00652F00" w:rsidRPr="007A498B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 Drive. Wood Hill Golf Este, Pretoria Gauten</w:t>
      </w:r>
      <w:r w:rsidR="00D1461B" w:rsidRPr="007A498B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g, 0081. The respondent is a haulage business which prima</w:t>
      </w:r>
      <w:r w:rsidR="00ED60F4" w:rsidRPr="007A498B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rily transports grain.</w:t>
      </w:r>
    </w:p>
    <w:p w14:paraId="0DD5B0D1" w14:textId="6F4F9F14" w:rsidR="00641B0D" w:rsidRPr="007A498B" w:rsidRDefault="00641B0D" w:rsidP="00641B0D">
      <w:pPr>
        <w:shd w:val="clear" w:color="auto" w:fill="FFFFFF"/>
        <w:spacing w:before="144" w:after="0" w:line="480" w:lineRule="auto"/>
        <w:ind w:left="720" w:hanging="720"/>
        <w:jc w:val="both"/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</w:pPr>
      <w:r w:rsidRPr="007A498B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[4]</w:t>
      </w:r>
      <w:r w:rsidRPr="007A498B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ab/>
      </w:r>
      <w:r w:rsidR="00BB35C0" w:rsidRPr="007A498B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Patience </w:t>
      </w:r>
      <w:proofErr w:type="spellStart"/>
      <w:r w:rsidR="00BB35C0" w:rsidRPr="007A498B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Mwakurudza</w:t>
      </w:r>
      <w:proofErr w:type="spellEnd"/>
      <w:r w:rsidR="00BB35C0" w:rsidRPr="007A498B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 (hereina</w:t>
      </w:r>
      <w:r w:rsidR="003417E4" w:rsidRPr="007A498B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fter referred to as </w:t>
      </w:r>
      <w:r w:rsidR="00D82735" w:rsidRPr="007A498B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‘</w:t>
      </w:r>
      <w:proofErr w:type="spellStart"/>
      <w:r w:rsidR="00E95A98" w:rsidRPr="007A498B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Mwakurudza</w:t>
      </w:r>
      <w:proofErr w:type="spellEnd"/>
      <w:r w:rsidR="00E95A98" w:rsidRPr="007A498B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’) is the respondent’s sole director and shareholder.</w:t>
      </w:r>
    </w:p>
    <w:p w14:paraId="59ECE909" w14:textId="09E1B623" w:rsidR="00641B0D" w:rsidRPr="007A498B" w:rsidRDefault="00641B0D" w:rsidP="001D5293">
      <w:pPr>
        <w:shd w:val="clear" w:color="auto" w:fill="FFFFFF"/>
        <w:spacing w:before="144" w:after="0" w:line="480" w:lineRule="auto"/>
        <w:ind w:left="720" w:hanging="720"/>
        <w:jc w:val="both"/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</w:pPr>
      <w:r w:rsidRPr="007A498B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[5]</w:t>
      </w:r>
      <w:r w:rsidR="00DE33F3" w:rsidRPr="007A498B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ab/>
      </w:r>
      <w:r w:rsidR="00D256BF" w:rsidRPr="007A498B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The applicant submits that UPL perpetrated a fraudulent tax scheme in the United </w:t>
      </w:r>
      <w:r w:rsidR="00EE57E8" w:rsidRPr="007A498B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Kingdom. UPL then made payment totaling R 34</w:t>
      </w:r>
      <w:r w:rsidR="005653BE" w:rsidRPr="007A498B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 </w:t>
      </w:r>
      <w:r w:rsidR="00EE57E8" w:rsidRPr="007A498B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7</w:t>
      </w:r>
      <w:r w:rsidR="005653BE" w:rsidRPr="007A498B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05 935.40 to </w:t>
      </w:r>
      <w:proofErr w:type="spellStart"/>
      <w:r w:rsidR="00815AF1" w:rsidRPr="007A498B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Mwakurundza</w:t>
      </w:r>
      <w:proofErr w:type="spellEnd"/>
      <w:r w:rsidR="00815AF1" w:rsidRPr="007A498B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. </w:t>
      </w:r>
      <w:proofErr w:type="spellStart"/>
      <w:r w:rsidR="00815AF1" w:rsidRPr="007A498B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Mwakurudza</w:t>
      </w:r>
      <w:proofErr w:type="spellEnd"/>
      <w:r w:rsidR="00815AF1" w:rsidRPr="007A498B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 in turn made payments</w:t>
      </w:r>
      <w:r w:rsidR="00187B0C" w:rsidRPr="007A498B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 </w:t>
      </w:r>
      <w:r w:rsidR="00812B1D" w:rsidRPr="007A498B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totaling</w:t>
      </w:r>
      <w:r w:rsidR="00187B0C" w:rsidRPr="007A498B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 R 4 484 982 to the respondent</w:t>
      </w:r>
      <w:r w:rsidR="00F50292" w:rsidRPr="007A498B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. These </w:t>
      </w:r>
      <w:r w:rsidR="004B3AED" w:rsidRPr="007A498B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payment</w:t>
      </w:r>
      <w:r w:rsidR="00206E03" w:rsidRPr="007A498B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s</w:t>
      </w:r>
      <w:r w:rsidR="004B3AED" w:rsidRPr="007A498B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 </w:t>
      </w:r>
      <w:r w:rsidR="00402083" w:rsidRPr="007A498B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to </w:t>
      </w:r>
      <w:r w:rsidR="004B3AED" w:rsidRPr="007A498B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the</w:t>
      </w:r>
      <w:r w:rsidR="00F50292" w:rsidRPr="007A498B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 respondent are the basis of UPL’s claim against the respondent</w:t>
      </w:r>
      <w:r w:rsidR="00F34707" w:rsidRPr="007A498B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.</w:t>
      </w:r>
      <w:r w:rsidRPr="007A498B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 </w:t>
      </w:r>
    </w:p>
    <w:p w14:paraId="502DB794" w14:textId="5F331586" w:rsidR="009051A1" w:rsidRPr="007A498B" w:rsidRDefault="00641B0D" w:rsidP="000E70FD">
      <w:pPr>
        <w:shd w:val="clear" w:color="auto" w:fill="FFFFFF"/>
        <w:spacing w:before="144" w:after="0" w:line="480" w:lineRule="auto"/>
        <w:ind w:left="720" w:hanging="720"/>
        <w:jc w:val="both"/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</w:pPr>
      <w:r w:rsidRPr="007A498B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[6]</w:t>
      </w:r>
      <w:r w:rsidRPr="007A498B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ab/>
      </w:r>
      <w:r w:rsidR="00F34707" w:rsidRPr="007A498B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UPL has also applied for the provisional sequestration of </w:t>
      </w:r>
      <w:proofErr w:type="spellStart"/>
      <w:r w:rsidR="00F34707" w:rsidRPr="007A498B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Mwaku</w:t>
      </w:r>
      <w:r w:rsidR="00332066" w:rsidRPr="007A498B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rudza’s</w:t>
      </w:r>
      <w:proofErr w:type="spellEnd"/>
      <w:r w:rsidR="00332066" w:rsidRPr="007A498B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 estate. Zwelithini Ncube (hereinafter referred to </w:t>
      </w:r>
      <w:r w:rsidR="00B0731C" w:rsidRPr="007A498B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as Ncube) is the sole director and shareholder</w:t>
      </w:r>
      <w:r w:rsidR="00E76D20" w:rsidRPr="007A498B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 of UPL. </w:t>
      </w:r>
    </w:p>
    <w:p w14:paraId="1EFF8C06" w14:textId="074BC095" w:rsidR="00495023" w:rsidRPr="007A498B" w:rsidRDefault="00495023" w:rsidP="00641B0D">
      <w:pPr>
        <w:shd w:val="clear" w:color="auto" w:fill="FFFFFF"/>
        <w:spacing w:before="144" w:after="0" w:line="480" w:lineRule="auto"/>
        <w:ind w:left="720" w:hanging="720"/>
        <w:jc w:val="both"/>
        <w:rPr>
          <w:rFonts w:ascii="Arial" w:eastAsia="Times New Roman" w:hAnsi="Arial" w:cs="Arial"/>
          <w:i/>
          <w:iCs/>
          <w:color w:val="242121"/>
          <w:sz w:val="24"/>
          <w:szCs w:val="24"/>
          <w:lang w:val="en-US" w:eastAsia="en-ZA"/>
        </w:rPr>
      </w:pPr>
      <w:r w:rsidRPr="007A498B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[7]</w:t>
      </w:r>
      <w:r w:rsidR="004F0015" w:rsidRPr="007A498B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ab/>
      </w:r>
      <w:proofErr w:type="spellStart"/>
      <w:r w:rsidR="00E76D20" w:rsidRPr="007A498B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Ncu</w:t>
      </w:r>
      <w:r w:rsidR="00812B1D" w:rsidRPr="007A498B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b</w:t>
      </w:r>
      <w:r w:rsidR="00E76D20" w:rsidRPr="007A498B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e</w:t>
      </w:r>
      <w:proofErr w:type="spellEnd"/>
      <w:r w:rsidR="00E76D20" w:rsidRPr="007A498B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 and </w:t>
      </w:r>
      <w:proofErr w:type="spellStart"/>
      <w:r w:rsidR="00E76D20" w:rsidRPr="007A498B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Mwakurudza</w:t>
      </w:r>
      <w:proofErr w:type="spellEnd"/>
      <w:r w:rsidR="00E76D20" w:rsidRPr="007A498B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 were in a romantic relationshi</w:t>
      </w:r>
      <w:r w:rsidR="00A3557D" w:rsidRPr="007A498B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p. UPL was incorporated in July 2015 in the United </w:t>
      </w:r>
      <w:r w:rsidR="00FF6622" w:rsidRPr="007A498B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Kingdom and it traded mainly in the field of healthcare.</w:t>
      </w:r>
      <w:r w:rsidR="00F311E9" w:rsidRPr="007A498B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 </w:t>
      </w:r>
    </w:p>
    <w:p w14:paraId="698505C9" w14:textId="3C9DE38D" w:rsidR="00641B0D" w:rsidRPr="007A498B" w:rsidRDefault="00641B0D" w:rsidP="00641B0D">
      <w:pPr>
        <w:shd w:val="clear" w:color="auto" w:fill="FFFFFF"/>
        <w:spacing w:before="144" w:after="0" w:line="480" w:lineRule="auto"/>
        <w:ind w:left="720" w:hanging="720"/>
        <w:jc w:val="both"/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</w:pPr>
      <w:r w:rsidRPr="007A498B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lastRenderedPageBreak/>
        <w:t xml:space="preserve">[8] </w:t>
      </w:r>
      <w:r w:rsidR="003E21B3" w:rsidRPr="007A498B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ab/>
      </w:r>
      <w:r w:rsidR="00FF6622" w:rsidRPr="007A498B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In December </w:t>
      </w:r>
      <w:r w:rsidR="00297B7A" w:rsidRPr="007A498B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2021 UPL’s </w:t>
      </w:r>
      <w:r w:rsidR="00812B1D" w:rsidRPr="007A498B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liquidators</w:t>
      </w:r>
      <w:r w:rsidR="00297B7A" w:rsidRPr="007A498B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 obtained orders in the Western Cape</w:t>
      </w:r>
      <w:r w:rsidR="00037627" w:rsidRPr="007A498B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 High Court </w:t>
      </w:r>
      <w:r w:rsidR="00037627" w:rsidRPr="007A498B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recognising </w:t>
      </w:r>
      <w:r w:rsidR="00707671" w:rsidRPr="007A498B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their appointment within South Africa.</w:t>
      </w:r>
      <w:r w:rsidR="00037627" w:rsidRPr="007A498B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 </w:t>
      </w:r>
      <w:r w:rsidR="00F72ABE" w:rsidRPr="007A498B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 </w:t>
      </w:r>
    </w:p>
    <w:p w14:paraId="6B31C461" w14:textId="4067957C" w:rsidR="005F6177" w:rsidRPr="007A498B" w:rsidRDefault="00641B0D" w:rsidP="005F6177">
      <w:pPr>
        <w:shd w:val="clear" w:color="auto" w:fill="FFFFFF"/>
        <w:spacing w:before="144" w:after="0" w:line="480" w:lineRule="auto"/>
        <w:ind w:left="720" w:hanging="720"/>
        <w:jc w:val="both"/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</w:pPr>
      <w:r w:rsidRPr="007A498B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[9]</w:t>
      </w:r>
      <w:r w:rsidRPr="007A498B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ab/>
        <w:t xml:space="preserve"> </w:t>
      </w:r>
      <w:r w:rsidR="006308C3" w:rsidRPr="007A498B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It is further submitted </w:t>
      </w:r>
      <w:r w:rsidR="00936219" w:rsidRPr="007A498B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by the applicant </w:t>
      </w:r>
      <w:r w:rsidR="006308C3" w:rsidRPr="007A498B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that the respondent does not have cash resou</w:t>
      </w:r>
      <w:r w:rsidR="00946137" w:rsidRPr="007A498B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rces to settle the claim and it is </w:t>
      </w:r>
      <w:r w:rsidR="00BC2B4A" w:rsidRPr="007A498B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commercially insolvent. </w:t>
      </w:r>
      <w:r w:rsidR="00812B1D" w:rsidRPr="007A498B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UPL seeks</w:t>
      </w:r>
      <w:r w:rsidR="00BC2B4A" w:rsidRPr="007A498B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 a provisional order</w:t>
      </w:r>
      <w:r w:rsidR="00156683" w:rsidRPr="007A498B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 against the respondent</w:t>
      </w:r>
      <w:r w:rsidR="00BC2B4A" w:rsidRPr="007A498B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.</w:t>
      </w:r>
      <w:r w:rsidR="00946137" w:rsidRPr="007A498B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 </w:t>
      </w:r>
    </w:p>
    <w:p w14:paraId="243A48E8" w14:textId="16931835" w:rsidR="00641B0D" w:rsidRPr="007A498B" w:rsidRDefault="00641B0D" w:rsidP="005F6177">
      <w:pPr>
        <w:shd w:val="clear" w:color="auto" w:fill="FFFFFF"/>
        <w:spacing w:before="144" w:after="0" w:line="480" w:lineRule="auto"/>
        <w:ind w:left="720" w:hanging="720"/>
        <w:jc w:val="both"/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</w:pPr>
      <w:r w:rsidRPr="007A498B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[10]</w:t>
      </w:r>
      <w:r w:rsidR="0046046D" w:rsidRPr="007A498B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ab/>
      </w:r>
      <w:r w:rsidR="00A90588" w:rsidRPr="007A498B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It is argued on behalf of the applicant that </w:t>
      </w:r>
      <w:r w:rsidR="00EA3CB2" w:rsidRPr="007A498B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UPL’s </w:t>
      </w:r>
      <w:r w:rsidR="00BB5F61" w:rsidRPr="007A498B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claim against the respondent to recover the </w:t>
      </w:r>
      <w:r w:rsidR="009D58F2" w:rsidRPr="007A498B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funds</w:t>
      </w:r>
      <w:r w:rsidR="00380162" w:rsidRPr="007A498B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 paid to it (or the fruits of those</w:t>
      </w:r>
      <w:r w:rsidR="00382F56" w:rsidRPr="007A498B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 funds, or damages equivalent to those fund) </w:t>
      </w:r>
      <w:r w:rsidR="00E902C3" w:rsidRPr="007A498B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is</w:t>
      </w:r>
      <w:r w:rsidR="00382F56" w:rsidRPr="007A498B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 based on the Aquilian action for patrimonial loss based on </w:t>
      </w:r>
      <w:proofErr w:type="spellStart"/>
      <w:r w:rsidR="00382F56" w:rsidRPr="007A498B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dolus</w:t>
      </w:r>
      <w:proofErr w:type="spellEnd"/>
      <w:r w:rsidR="00382F56" w:rsidRPr="007A498B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 and on the specific </w:t>
      </w:r>
      <w:proofErr w:type="spellStart"/>
      <w:r w:rsidR="00382F56" w:rsidRPr="007A498B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delictual</w:t>
      </w:r>
      <w:proofErr w:type="spellEnd"/>
      <w:r w:rsidR="00382F56" w:rsidRPr="007A498B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 action, the </w:t>
      </w:r>
      <w:proofErr w:type="spellStart"/>
      <w:r w:rsidR="00382F56" w:rsidRPr="007A498B">
        <w:rPr>
          <w:rFonts w:ascii="Arial" w:eastAsia="Times New Roman" w:hAnsi="Arial" w:cs="Arial"/>
          <w:i/>
          <w:iCs/>
          <w:color w:val="242121"/>
          <w:sz w:val="24"/>
          <w:szCs w:val="24"/>
          <w:lang w:val="en-US" w:eastAsia="en-ZA"/>
        </w:rPr>
        <w:t>condictio</w:t>
      </w:r>
      <w:proofErr w:type="spellEnd"/>
      <w:r w:rsidR="00382F56" w:rsidRPr="007A498B">
        <w:rPr>
          <w:rFonts w:ascii="Arial" w:eastAsia="Times New Roman" w:hAnsi="Arial" w:cs="Arial"/>
          <w:i/>
          <w:iCs/>
          <w:color w:val="242121"/>
          <w:sz w:val="24"/>
          <w:szCs w:val="24"/>
          <w:lang w:val="en-US" w:eastAsia="en-ZA"/>
        </w:rPr>
        <w:t xml:space="preserve"> furtiva.</w:t>
      </w:r>
      <w:r w:rsidR="00E902C3" w:rsidRPr="007A498B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 </w:t>
      </w:r>
    </w:p>
    <w:p w14:paraId="6B0BA9CC" w14:textId="0B55341D" w:rsidR="00641B0D" w:rsidRPr="007A498B" w:rsidRDefault="00641B0D" w:rsidP="00641B0D">
      <w:pPr>
        <w:shd w:val="clear" w:color="auto" w:fill="FFFFFF"/>
        <w:spacing w:before="144" w:after="0" w:line="480" w:lineRule="auto"/>
        <w:ind w:left="720" w:hanging="720"/>
        <w:jc w:val="both"/>
        <w:rPr>
          <w:rFonts w:ascii="Arial" w:eastAsia="Times New Roman" w:hAnsi="Arial" w:cs="Arial"/>
          <w:color w:val="242121"/>
          <w:sz w:val="24"/>
          <w:szCs w:val="24"/>
          <w:lang w:eastAsia="en-ZA"/>
        </w:rPr>
      </w:pPr>
      <w:r w:rsidRPr="007A498B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[11]</w:t>
      </w:r>
      <w:r w:rsidRPr="007A498B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ab/>
      </w:r>
      <w:r w:rsidR="00D0407D" w:rsidRPr="007A498B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The </w:t>
      </w:r>
      <w:r w:rsidR="00D0407D" w:rsidRPr="007A498B">
        <w:rPr>
          <w:rFonts w:ascii="Arial" w:eastAsia="Times New Roman" w:hAnsi="Arial" w:cs="Arial"/>
          <w:i/>
          <w:iCs/>
          <w:color w:val="242121"/>
          <w:sz w:val="24"/>
          <w:szCs w:val="24"/>
          <w:lang w:val="en-US" w:eastAsia="en-ZA"/>
        </w:rPr>
        <w:t xml:space="preserve">condictio </w:t>
      </w:r>
      <w:proofErr w:type="spellStart"/>
      <w:r w:rsidR="00D0407D" w:rsidRPr="007A498B">
        <w:rPr>
          <w:rFonts w:ascii="Arial" w:eastAsia="Times New Roman" w:hAnsi="Arial" w:cs="Arial"/>
          <w:i/>
          <w:iCs/>
          <w:color w:val="242121"/>
          <w:sz w:val="24"/>
          <w:szCs w:val="24"/>
          <w:lang w:val="en-US" w:eastAsia="en-ZA"/>
        </w:rPr>
        <w:t>furtiva</w:t>
      </w:r>
      <w:proofErr w:type="spellEnd"/>
      <w:r w:rsidR="00D0407D" w:rsidRPr="007A498B">
        <w:rPr>
          <w:rFonts w:ascii="Arial" w:eastAsia="Times New Roman" w:hAnsi="Arial" w:cs="Arial"/>
          <w:i/>
          <w:iCs/>
          <w:color w:val="242121"/>
          <w:sz w:val="24"/>
          <w:szCs w:val="24"/>
          <w:lang w:val="en-US" w:eastAsia="en-ZA"/>
        </w:rPr>
        <w:t xml:space="preserve"> </w:t>
      </w:r>
      <w:r w:rsidR="00D0407D" w:rsidRPr="007A498B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is a </w:t>
      </w:r>
      <w:proofErr w:type="spellStart"/>
      <w:r w:rsidR="00D0407D" w:rsidRPr="007A498B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delictual</w:t>
      </w:r>
      <w:proofErr w:type="spellEnd"/>
      <w:r w:rsidR="00D0407D" w:rsidRPr="007A498B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 action which is available as a remedy to an owner of a thing against a thief for patrimonial loss. It is </w:t>
      </w:r>
      <w:r w:rsidR="00C77369" w:rsidRPr="007A498B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further argued that the remedy is available </w:t>
      </w:r>
      <w:r w:rsidR="00CB1FC0" w:rsidRPr="007A498B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to recover the money from the respondent.</w:t>
      </w:r>
      <w:r w:rsidR="00C77369" w:rsidRPr="007A498B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 </w:t>
      </w:r>
    </w:p>
    <w:p w14:paraId="397DD5D2" w14:textId="0B9FAA7D" w:rsidR="00641B0D" w:rsidRPr="007A498B" w:rsidRDefault="00641B0D" w:rsidP="00641B0D">
      <w:pPr>
        <w:shd w:val="clear" w:color="auto" w:fill="FFFFFF"/>
        <w:spacing w:before="144" w:after="0" w:line="480" w:lineRule="auto"/>
        <w:ind w:left="720" w:hanging="720"/>
        <w:jc w:val="both"/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</w:pPr>
      <w:r w:rsidRPr="007A498B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[12]</w:t>
      </w:r>
      <w:r w:rsidRPr="007A498B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ab/>
      </w:r>
      <w:r w:rsidR="00CB1FC0" w:rsidRPr="007A498B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Based on </w:t>
      </w:r>
      <w:r w:rsidR="007E61A5" w:rsidRPr="007A498B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the condictio</w:t>
      </w:r>
      <w:r w:rsidR="00854F73" w:rsidRPr="007A498B">
        <w:rPr>
          <w:rFonts w:ascii="Arial" w:eastAsia="Times New Roman" w:hAnsi="Arial" w:cs="Arial"/>
          <w:i/>
          <w:iCs/>
          <w:color w:val="242121"/>
          <w:sz w:val="24"/>
          <w:szCs w:val="24"/>
          <w:lang w:val="en-US" w:eastAsia="en-ZA"/>
        </w:rPr>
        <w:t xml:space="preserve"> furtiva, </w:t>
      </w:r>
      <w:r w:rsidR="00854F73" w:rsidRPr="007A498B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the applicant submits that the respondent is a joint wrongdoer or co-conspirator in </w:t>
      </w:r>
      <w:r w:rsidR="0030761B" w:rsidRPr="007A498B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relation to the fraudulent scheme and is therefore </w:t>
      </w:r>
      <w:r w:rsidR="007E7895" w:rsidRPr="007A498B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liable to compensate the applicant for the losses it sustain</w:t>
      </w:r>
      <w:r w:rsidR="006108FF" w:rsidRPr="007A498B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ed</w:t>
      </w:r>
      <w:r w:rsidR="007E7895" w:rsidRPr="007A498B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 as a result of a fraudulent scheme.</w:t>
      </w:r>
    </w:p>
    <w:p w14:paraId="4D18B8B3" w14:textId="27B0C659" w:rsidR="00641B0D" w:rsidRPr="007A498B" w:rsidRDefault="007E61A5" w:rsidP="001327AD">
      <w:pPr>
        <w:shd w:val="clear" w:color="auto" w:fill="FFFFFF"/>
        <w:spacing w:before="144" w:after="0" w:line="480" w:lineRule="auto"/>
        <w:ind w:left="720" w:hanging="720"/>
        <w:jc w:val="both"/>
        <w:rPr>
          <w:rFonts w:ascii="Arial" w:eastAsia="Times New Roman" w:hAnsi="Arial" w:cs="Arial"/>
          <w:color w:val="242121"/>
          <w:sz w:val="24"/>
          <w:szCs w:val="24"/>
          <w:lang w:eastAsia="en-ZA"/>
        </w:rPr>
      </w:pPr>
      <w:r w:rsidRPr="007A498B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[13]</w:t>
      </w:r>
      <w:r w:rsidRPr="007A498B">
        <w:rPr>
          <w:rFonts w:ascii="Arial" w:eastAsia="Times New Roman" w:hAnsi="Arial" w:cs="Arial"/>
          <w:color w:val="242121"/>
          <w:sz w:val="24"/>
          <w:szCs w:val="24"/>
          <w:lang w:eastAsia="en-ZA"/>
        </w:rPr>
        <w:tab/>
        <w:t xml:space="preserve">The applicant contend that </w:t>
      </w:r>
      <w:proofErr w:type="spellStart"/>
      <w:r w:rsidRPr="007A498B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Mwakurudza</w:t>
      </w:r>
      <w:proofErr w:type="spellEnd"/>
      <w:r w:rsidRPr="007A498B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 knew, or must be taken to have known</w:t>
      </w:r>
      <w:r w:rsidR="00855434" w:rsidRPr="007A498B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, about the UPL’s fraudulent scheme and </w:t>
      </w:r>
      <w:r w:rsidR="001C0963" w:rsidRPr="007A498B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she participated in the fraudulent scheme. Her knowle</w:t>
      </w:r>
      <w:r w:rsidR="00BA1EA4" w:rsidRPr="007A498B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dge must be attributed to the respondent,</w:t>
      </w:r>
    </w:p>
    <w:p w14:paraId="3AC7A5A4" w14:textId="1ABF0CB3" w:rsidR="00BA1EA4" w:rsidRPr="007A498B" w:rsidRDefault="00BA1EA4" w:rsidP="001327AD">
      <w:pPr>
        <w:shd w:val="clear" w:color="auto" w:fill="FFFFFF"/>
        <w:spacing w:before="144" w:after="0" w:line="480" w:lineRule="auto"/>
        <w:ind w:left="720" w:hanging="720"/>
        <w:jc w:val="both"/>
        <w:rPr>
          <w:rFonts w:ascii="Arial" w:eastAsia="Times New Roman" w:hAnsi="Arial" w:cs="Arial"/>
          <w:color w:val="242121"/>
          <w:sz w:val="24"/>
          <w:szCs w:val="24"/>
          <w:lang w:eastAsia="en-ZA"/>
        </w:rPr>
      </w:pPr>
      <w:r w:rsidRPr="007A498B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[14]</w:t>
      </w:r>
      <w:r w:rsidRPr="007A498B">
        <w:rPr>
          <w:rFonts w:ascii="Arial" w:eastAsia="Times New Roman" w:hAnsi="Arial" w:cs="Arial"/>
          <w:color w:val="242121"/>
          <w:sz w:val="24"/>
          <w:szCs w:val="24"/>
          <w:lang w:eastAsia="en-ZA"/>
        </w:rPr>
        <w:tab/>
      </w:r>
      <w:r w:rsidR="005811B3" w:rsidRPr="007A498B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Counsel for the respondent submitted that the applicant never paid any monies to the responden</w:t>
      </w:r>
      <w:r w:rsidR="001327AD" w:rsidRPr="007A498B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t</w:t>
      </w:r>
      <w:r w:rsidR="00B7001B" w:rsidRPr="007A498B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, consequently the applican</w:t>
      </w:r>
      <w:r w:rsidR="00B71716" w:rsidRPr="007A498B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t lacks </w:t>
      </w:r>
      <w:r w:rsidR="00A4475B" w:rsidRPr="007A498B">
        <w:rPr>
          <w:rFonts w:ascii="Arial" w:eastAsia="Times New Roman" w:hAnsi="Arial" w:cs="Arial"/>
          <w:i/>
          <w:iCs/>
          <w:color w:val="242121"/>
          <w:sz w:val="24"/>
          <w:szCs w:val="24"/>
          <w:lang w:eastAsia="en-ZA"/>
        </w:rPr>
        <w:t xml:space="preserve">locus standi </w:t>
      </w:r>
      <w:r w:rsidR="00A4475B" w:rsidRPr="007A498B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to bring this application.</w:t>
      </w:r>
    </w:p>
    <w:p w14:paraId="5A3E725D" w14:textId="677716CF" w:rsidR="00A4475B" w:rsidRPr="007A498B" w:rsidRDefault="00A4475B" w:rsidP="001327AD">
      <w:pPr>
        <w:shd w:val="clear" w:color="auto" w:fill="FFFFFF"/>
        <w:spacing w:before="144" w:after="0" w:line="480" w:lineRule="auto"/>
        <w:ind w:left="720" w:hanging="720"/>
        <w:jc w:val="both"/>
        <w:rPr>
          <w:rFonts w:ascii="Arial" w:eastAsia="Times New Roman" w:hAnsi="Arial" w:cs="Arial"/>
          <w:color w:val="242121"/>
          <w:sz w:val="24"/>
          <w:szCs w:val="24"/>
          <w:lang w:eastAsia="en-ZA"/>
        </w:rPr>
      </w:pPr>
      <w:r w:rsidRPr="007A498B">
        <w:rPr>
          <w:rFonts w:ascii="Arial" w:eastAsia="Times New Roman" w:hAnsi="Arial" w:cs="Arial"/>
          <w:color w:val="242121"/>
          <w:sz w:val="24"/>
          <w:szCs w:val="24"/>
          <w:lang w:eastAsia="en-ZA"/>
        </w:rPr>
        <w:lastRenderedPageBreak/>
        <w:t>[15]</w:t>
      </w:r>
      <w:r w:rsidRPr="007A498B">
        <w:rPr>
          <w:rFonts w:ascii="Arial" w:eastAsia="Times New Roman" w:hAnsi="Arial" w:cs="Arial"/>
          <w:color w:val="242121"/>
          <w:sz w:val="24"/>
          <w:szCs w:val="24"/>
          <w:lang w:eastAsia="en-ZA"/>
        </w:rPr>
        <w:tab/>
        <w:t>Counsel for the res</w:t>
      </w:r>
      <w:r w:rsidR="000D4B24" w:rsidRPr="007A498B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pondent </w:t>
      </w:r>
      <w:r w:rsidR="00156683" w:rsidRPr="007A498B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submitted</w:t>
      </w:r>
      <w:r w:rsidR="000D4B24" w:rsidRPr="007A498B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 that the applicant</w:t>
      </w:r>
      <w:r w:rsidR="00D95C1D" w:rsidRPr="007A498B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’s </w:t>
      </w:r>
      <w:r w:rsidR="000D4B24" w:rsidRPr="007A498B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claim against respondent is based on Aquil</w:t>
      </w:r>
      <w:r w:rsidR="005E3136" w:rsidRPr="007A498B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ian action which is a delict.</w:t>
      </w:r>
      <w:r w:rsidR="00957713" w:rsidRPr="007A498B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 A delict cannot be proven in an action proceeding</w:t>
      </w:r>
      <w:r w:rsidR="00683578" w:rsidRPr="007A498B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.</w:t>
      </w:r>
    </w:p>
    <w:p w14:paraId="2F8E9C4C" w14:textId="0EC201EE" w:rsidR="00683578" w:rsidRPr="007A498B" w:rsidRDefault="00683578" w:rsidP="001327AD">
      <w:pPr>
        <w:shd w:val="clear" w:color="auto" w:fill="FFFFFF"/>
        <w:spacing w:before="144" w:after="0" w:line="480" w:lineRule="auto"/>
        <w:ind w:left="720" w:hanging="720"/>
        <w:jc w:val="both"/>
        <w:rPr>
          <w:rFonts w:ascii="Arial" w:eastAsia="Times New Roman" w:hAnsi="Arial" w:cs="Arial"/>
          <w:color w:val="242121"/>
          <w:sz w:val="24"/>
          <w:szCs w:val="24"/>
          <w:lang w:eastAsia="en-ZA"/>
        </w:rPr>
      </w:pPr>
      <w:r w:rsidRPr="007A498B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[16]</w:t>
      </w:r>
      <w:r w:rsidRPr="007A498B">
        <w:rPr>
          <w:rFonts w:ascii="Arial" w:eastAsia="Times New Roman" w:hAnsi="Arial" w:cs="Arial"/>
          <w:color w:val="242121"/>
          <w:sz w:val="24"/>
          <w:szCs w:val="24"/>
          <w:lang w:eastAsia="en-ZA"/>
        </w:rPr>
        <w:tab/>
        <w:t xml:space="preserve">It </w:t>
      </w:r>
      <w:r w:rsidR="004E3633" w:rsidRPr="007A498B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is</w:t>
      </w:r>
      <w:r w:rsidRPr="007A498B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 contended by the respondent that </w:t>
      </w:r>
      <w:proofErr w:type="spellStart"/>
      <w:r w:rsidR="00661B6D" w:rsidRPr="007A498B">
        <w:rPr>
          <w:rFonts w:ascii="Arial" w:eastAsia="Times New Roman" w:hAnsi="Arial" w:cs="Arial"/>
          <w:i/>
          <w:iCs/>
          <w:color w:val="242121"/>
          <w:sz w:val="24"/>
          <w:szCs w:val="24"/>
          <w:lang w:eastAsia="en-ZA"/>
        </w:rPr>
        <w:t>conditio</w:t>
      </w:r>
      <w:proofErr w:type="spellEnd"/>
      <w:r w:rsidR="00661B6D" w:rsidRPr="007A498B">
        <w:rPr>
          <w:rFonts w:ascii="Arial" w:eastAsia="Times New Roman" w:hAnsi="Arial" w:cs="Arial"/>
          <w:i/>
          <w:iCs/>
          <w:color w:val="242121"/>
          <w:sz w:val="24"/>
          <w:szCs w:val="24"/>
          <w:lang w:eastAsia="en-ZA"/>
        </w:rPr>
        <w:t xml:space="preserve"> </w:t>
      </w:r>
      <w:proofErr w:type="spellStart"/>
      <w:r w:rsidR="00661B6D" w:rsidRPr="007A498B">
        <w:rPr>
          <w:rFonts w:ascii="Arial" w:eastAsia="Times New Roman" w:hAnsi="Arial" w:cs="Arial"/>
          <w:i/>
          <w:iCs/>
          <w:color w:val="242121"/>
          <w:sz w:val="24"/>
          <w:szCs w:val="24"/>
          <w:lang w:eastAsia="en-ZA"/>
        </w:rPr>
        <w:t>furtiva</w:t>
      </w:r>
      <w:proofErr w:type="spellEnd"/>
      <w:r w:rsidR="00661B6D" w:rsidRPr="007A498B">
        <w:rPr>
          <w:rFonts w:ascii="Arial" w:eastAsia="Times New Roman" w:hAnsi="Arial" w:cs="Arial"/>
          <w:i/>
          <w:iCs/>
          <w:color w:val="242121"/>
          <w:sz w:val="24"/>
          <w:szCs w:val="24"/>
          <w:lang w:eastAsia="en-ZA"/>
        </w:rPr>
        <w:t xml:space="preserve"> </w:t>
      </w:r>
      <w:r w:rsidR="003B28D2" w:rsidRPr="007A498B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is not applicable in the present case</w:t>
      </w:r>
      <w:r w:rsidR="004E3633" w:rsidRPr="007A498B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.</w:t>
      </w:r>
      <w:r w:rsidR="003B28D2" w:rsidRPr="007A498B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 </w:t>
      </w:r>
      <w:proofErr w:type="spellStart"/>
      <w:r w:rsidR="003B28D2" w:rsidRPr="007A498B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M</w:t>
      </w:r>
      <w:r w:rsidR="00782787" w:rsidRPr="007A498B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wakurudza</w:t>
      </w:r>
      <w:proofErr w:type="spellEnd"/>
      <w:r w:rsidR="00782787" w:rsidRPr="007A498B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 denies that she was</w:t>
      </w:r>
      <w:r w:rsidR="000D09EB" w:rsidRPr="007A498B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 part of any scheme to defraud the applicant.</w:t>
      </w:r>
    </w:p>
    <w:p w14:paraId="072E8FE6" w14:textId="3782211A" w:rsidR="0066630D" w:rsidRPr="007A498B" w:rsidRDefault="000D09EB" w:rsidP="0066630D">
      <w:pPr>
        <w:ind w:left="720" w:hanging="720"/>
        <w:rPr>
          <w:rFonts w:ascii="Arial" w:eastAsia="Times New Roman" w:hAnsi="Arial" w:cs="Arial"/>
          <w:color w:val="242121"/>
          <w:sz w:val="24"/>
          <w:szCs w:val="24"/>
          <w:lang w:eastAsia="en-ZA"/>
        </w:rPr>
      </w:pPr>
      <w:r w:rsidRPr="007A498B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[17]</w:t>
      </w:r>
      <w:r w:rsidRPr="007A498B">
        <w:rPr>
          <w:rFonts w:ascii="Arial" w:eastAsia="Times New Roman" w:hAnsi="Arial" w:cs="Arial"/>
          <w:color w:val="242121"/>
          <w:sz w:val="24"/>
          <w:szCs w:val="24"/>
          <w:lang w:eastAsia="en-ZA"/>
        </w:rPr>
        <w:tab/>
        <w:t xml:space="preserve">It </w:t>
      </w:r>
      <w:r w:rsidR="004E3633" w:rsidRPr="007A498B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is</w:t>
      </w:r>
      <w:r w:rsidRPr="007A498B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 contende</w:t>
      </w:r>
      <w:r w:rsidR="00721BFD" w:rsidRPr="007A498B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d further that the applicant violated the provision</w:t>
      </w:r>
      <w:r w:rsidR="0094275C" w:rsidRPr="007A498B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s</w:t>
      </w:r>
      <w:r w:rsidR="00721BFD" w:rsidRPr="007A498B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 of </w:t>
      </w:r>
    </w:p>
    <w:p w14:paraId="67FACB61" w14:textId="77777777" w:rsidR="00E91704" w:rsidRPr="007A498B" w:rsidRDefault="00721BFD" w:rsidP="00E91704">
      <w:pPr>
        <w:ind w:left="720"/>
        <w:jc w:val="both"/>
        <w:rPr>
          <w:rFonts w:ascii="Arial" w:eastAsia="Times New Roman" w:hAnsi="Arial" w:cs="Arial"/>
          <w:color w:val="242121"/>
          <w:sz w:val="24"/>
          <w:szCs w:val="24"/>
          <w:lang w:eastAsia="en-ZA"/>
        </w:rPr>
      </w:pPr>
      <w:r w:rsidRPr="007A498B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section 344 and 345 of </w:t>
      </w:r>
      <w:r w:rsidR="000F560E" w:rsidRPr="007A498B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the </w:t>
      </w:r>
      <w:r w:rsidR="00E91704" w:rsidRPr="007A498B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C</w:t>
      </w:r>
      <w:r w:rsidR="000F560E" w:rsidRPr="007A498B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ompanies Act by failing to put</w:t>
      </w:r>
      <w:r w:rsidR="0066630D" w:rsidRPr="007A498B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 a </w:t>
      </w:r>
      <w:r w:rsidR="00E91704" w:rsidRPr="007A498B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 </w:t>
      </w:r>
    </w:p>
    <w:p w14:paraId="27F3BDD8" w14:textId="77777777" w:rsidR="009D54B9" w:rsidRPr="007A498B" w:rsidRDefault="0066630D" w:rsidP="00E91704">
      <w:pPr>
        <w:ind w:left="720"/>
        <w:jc w:val="both"/>
        <w:rPr>
          <w:rFonts w:ascii="Arial" w:eastAsia="Times New Roman" w:hAnsi="Arial" w:cs="Arial"/>
          <w:color w:val="242121"/>
          <w:sz w:val="24"/>
          <w:szCs w:val="24"/>
          <w:lang w:eastAsia="en-ZA"/>
        </w:rPr>
      </w:pPr>
      <w:r w:rsidRPr="007A498B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demand to the</w:t>
      </w:r>
      <w:r w:rsidR="00E91704" w:rsidRPr="007A498B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 respondent before lo</w:t>
      </w:r>
      <w:r w:rsidR="009D54B9" w:rsidRPr="007A498B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dging this application.</w:t>
      </w:r>
    </w:p>
    <w:p w14:paraId="5C09AB5E" w14:textId="308F8D6F" w:rsidR="00117D0E" w:rsidRPr="007A498B" w:rsidRDefault="009D54B9" w:rsidP="009D54B9">
      <w:pPr>
        <w:jc w:val="both"/>
        <w:rPr>
          <w:rFonts w:ascii="Arial" w:eastAsia="Times New Roman" w:hAnsi="Arial" w:cs="Arial"/>
          <w:color w:val="242121"/>
          <w:sz w:val="24"/>
          <w:szCs w:val="24"/>
          <w:lang w:eastAsia="en-ZA"/>
        </w:rPr>
      </w:pPr>
      <w:r w:rsidRPr="007A498B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[18]</w:t>
      </w:r>
      <w:r w:rsidRPr="007A498B">
        <w:rPr>
          <w:rFonts w:ascii="Arial" w:eastAsia="Times New Roman" w:hAnsi="Arial" w:cs="Arial"/>
          <w:color w:val="242121"/>
          <w:sz w:val="24"/>
          <w:szCs w:val="24"/>
          <w:lang w:eastAsia="en-ZA"/>
        </w:rPr>
        <w:tab/>
        <w:t xml:space="preserve">Counsel </w:t>
      </w:r>
      <w:r w:rsidR="00073E43" w:rsidRPr="007A498B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for the respondent is of the view that since from the </w:t>
      </w:r>
      <w:r w:rsidR="00117D0E" w:rsidRPr="007A498B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papers</w:t>
      </w:r>
      <w:r w:rsidR="007A498B" w:rsidRPr="007A498B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,</w:t>
      </w:r>
      <w:r w:rsidR="00117D0E" w:rsidRPr="007A498B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 </w:t>
      </w:r>
    </w:p>
    <w:p w14:paraId="68322E08" w14:textId="681CC6B7" w:rsidR="00843B6D" w:rsidRPr="007A498B" w:rsidRDefault="00117D0E" w:rsidP="00117D0E">
      <w:pPr>
        <w:ind w:firstLine="720"/>
        <w:jc w:val="both"/>
        <w:rPr>
          <w:rFonts w:ascii="Arial" w:eastAsia="Times New Roman" w:hAnsi="Arial" w:cs="Arial"/>
          <w:color w:val="242121"/>
          <w:sz w:val="24"/>
          <w:szCs w:val="24"/>
          <w:lang w:eastAsia="en-ZA"/>
        </w:rPr>
      </w:pPr>
      <w:r w:rsidRPr="007A498B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it is clear </w:t>
      </w:r>
      <w:r w:rsidR="004634A8" w:rsidRPr="007A498B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that the</w:t>
      </w:r>
      <w:r w:rsidR="002C4D2C" w:rsidRPr="007A498B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 existence of a de</w:t>
      </w:r>
      <w:r w:rsidR="001B2E07" w:rsidRPr="007A498B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bt</w:t>
      </w:r>
      <w:r w:rsidR="002C4D2C" w:rsidRPr="007A498B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 is </w:t>
      </w:r>
      <w:r w:rsidR="001B2E07" w:rsidRPr="007A498B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in dispute</w:t>
      </w:r>
      <w:r w:rsidR="00344BF6" w:rsidRPr="007A498B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 and</w:t>
      </w:r>
      <w:r w:rsidR="002C4D2C" w:rsidRPr="007A498B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 </w:t>
      </w:r>
      <w:r w:rsidR="00843B6D" w:rsidRPr="007A498B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that </w:t>
      </w:r>
      <w:r w:rsidR="002C4D2C" w:rsidRPr="007A498B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the </w:t>
      </w:r>
    </w:p>
    <w:p w14:paraId="6F4DFC7F" w14:textId="03978049" w:rsidR="00302D38" w:rsidRPr="007A498B" w:rsidRDefault="002C4D2C" w:rsidP="00117D0E">
      <w:pPr>
        <w:ind w:firstLine="720"/>
        <w:jc w:val="both"/>
        <w:rPr>
          <w:rFonts w:ascii="Arial" w:eastAsia="Times New Roman" w:hAnsi="Arial" w:cs="Arial"/>
          <w:color w:val="242121"/>
          <w:sz w:val="24"/>
          <w:szCs w:val="24"/>
          <w:lang w:eastAsia="en-ZA"/>
        </w:rPr>
      </w:pPr>
      <w:r w:rsidRPr="007A498B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present</w:t>
      </w:r>
      <w:r w:rsidR="00CD2E65" w:rsidRPr="007A498B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 </w:t>
      </w:r>
      <w:r w:rsidRPr="007A498B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application proceeding</w:t>
      </w:r>
      <w:r w:rsidR="00C3263D" w:rsidRPr="007A498B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s</w:t>
      </w:r>
      <w:r w:rsidRPr="007A498B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 </w:t>
      </w:r>
      <w:r w:rsidR="00C3263D" w:rsidRPr="007A498B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are</w:t>
      </w:r>
      <w:r w:rsidRPr="007A498B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 mis</w:t>
      </w:r>
      <w:r w:rsidR="0048710B" w:rsidRPr="007A498B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place</w:t>
      </w:r>
      <w:r w:rsidR="00302D38" w:rsidRPr="007A498B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d.</w:t>
      </w:r>
    </w:p>
    <w:p w14:paraId="381FA2C5" w14:textId="77777777" w:rsidR="007E2EB4" w:rsidRPr="007A498B" w:rsidRDefault="00302D38" w:rsidP="00302D38">
      <w:pPr>
        <w:jc w:val="both"/>
        <w:rPr>
          <w:rFonts w:ascii="Arial" w:eastAsia="Times New Roman" w:hAnsi="Arial" w:cs="Arial"/>
          <w:i/>
          <w:iCs/>
          <w:color w:val="242121"/>
          <w:sz w:val="24"/>
          <w:szCs w:val="24"/>
          <w:lang w:eastAsia="en-ZA"/>
        </w:rPr>
      </w:pPr>
      <w:r w:rsidRPr="007A498B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[19]</w:t>
      </w:r>
      <w:r w:rsidRPr="007A498B">
        <w:rPr>
          <w:rFonts w:ascii="Arial" w:eastAsia="Times New Roman" w:hAnsi="Arial" w:cs="Arial"/>
          <w:color w:val="242121"/>
          <w:sz w:val="24"/>
          <w:szCs w:val="24"/>
          <w:lang w:eastAsia="en-ZA"/>
        </w:rPr>
        <w:tab/>
      </w:r>
      <w:r w:rsidR="00C55DD3" w:rsidRPr="007A498B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In</w:t>
      </w:r>
      <w:r w:rsidR="00C55DD3" w:rsidRPr="007A498B">
        <w:rPr>
          <w:rFonts w:ascii="Arial" w:eastAsia="Times New Roman" w:hAnsi="Arial" w:cs="Arial"/>
          <w:i/>
          <w:iCs/>
          <w:color w:val="242121"/>
          <w:sz w:val="24"/>
          <w:szCs w:val="24"/>
          <w:lang w:eastAsia="en-ZA"/>
        </w:rPr>
        <w:t xml:space="preserve"> </w:t>
      </w:r>
      <w:proofErr w:type="spellStart"/>
      <w:r w:rsidR="00EE1A43" w:rsidRPr="007A498B">
        <w:rPr>
          <w:rFonts w:ascii="Arial" w:eastAsia="Times New Roman" w:hAnsi="Arial" w:cs="Arial"/>
          <w:i/>
          <w:iCs/>
          <w:color w:val="242121"/>
          <w:sz w:val="24"/>
          <w:szCs w:val="24"/>
          <w:lang w:eastAsia="en-ZA"/>
        </w:rPr>
        <w:t>Freshvest</w:t>
      </w:r>
      <w:proofErr w:type="spellEnd"/>
      <w:r w:rsidR="00EE1A43" w:rsidRPr="007A498B">
        <w:rPr>
          <w:rFonts w:ascii="Arial" w:eastAsia="Times New Roman" w:hAnsi="Arial" w:cs="Arial"/>
          <w:i/>
          <w:iCs/>
          <w:color w:val="242121"/>
          <w:sz w:val="24"/>
          <w:szCs w:val="24"/>
          <w:lang w:eastAsia="en-ZA"/>
        </w:rPr>
        <w:t xml:space="preserve"> Investments (Pty) Ltd v </w:t>
      </w:r>
      <w:proofErr w:type="spellStart"/>
      <w:r w:rsidR="00EE1A43" w:rsidRPr="007A498B">
        <w:rPr>
          <w:rFonts w:ascii="Arial" w:eastAsia="Times New Roman" w:hAnsi="Arial" w:cs="Arial"/>
          <w:i/>
          <w:iCs/>
          <w:color w:val="242121"/>
          <w:sz w:val="24"/>
          <w:szCs w:val="24"/>
          <w:lang w:eastAsia="en-ZA"/>
        </w:rPr>
        <w:t>Marabeng</w:t>
      </w:r>
      <w:proofErr w:type="spellEnd"/>
      <w:r w:rsidR="00EE1A43" w:rsidRPr="007A498B">
        <w:rPr>
          <w:rFonts w:ascii="Arial" w:eastAsia="Times New Roman" w:hAnsi="Arial" w:cs="Arial"/>
          <w:i/>
          <w:iCs/>
          <w:color w:val="242121"/>
          <w:sz w:val="24"/>
          <w:szCs w:val="24"/>
          <w:lang w:eastAsia="en-ZA"/>
        </w:rPr>
        <w:t xml:space="preserve"> (Pty) Ltd </w:t>
      </w:r>
    </w:p>
    <w:p w14:paraId="061D9600" w14:textId="77777777" w:rsidR="00923433" w:rsidRPr="007A498B" w:rsidRDefault="00996CF2" w:rsidP="007E2EB4">
      <w:pPr>
        <w:ind w:firstLine="720"/>
        <w:jc w:val="both"/>
        <w:rPr>
          <w:rFonts w:ascii="Arial" w:eastAsia="Times New Roman" w:hAnsi="Arial" w:cs="Arial"/>
          <w:color w:val="242121"/>
          <w:sz w:val="24"/>
          <w:szCs w:val="24"/>
          <w:lang w:eastAsia="en-ZA"/>
        </w:rPr>
      </w:pPr>
      <w:r w:rsidRPr="007A498B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(1030</w:t>
      </w:r>
      <w:r w:rsidR="001804DA" w:rsidRPr="007A498B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/2015) [2016] ZASCA168 (</w:t>
      </w:r>
      <w:r w:rsidR="007E2EB4" w:rsidRPr="007A498B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24 November </w:t>
      </w:r>
      <w:r w:rsidR="00923433" w:rsidRPr="007A498B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2016) the respondent </w:t>
      </w:r>
    </w:p>
    <w:p w14:paraId="6D6A4A0B" w14:textId="77777777" w:rsidR="000F7AC9" w:rsidRPr="007A498B" w:rsidRDefault="00923433" w:rsidP="007E2EB4">
      <w:pPr>
        <w:ind w:firstLine="720"/>
        <w:jc w:val="both"/>
        <w:rPr>
          <w:rFonts w:ascii="Arial" w:eastAsia="Times New Roman" w:hAnsi="Arial" w:cs="Arial"/>
          <w:color w:val="242121"/>
          <w:sz w:val="24"/>
          <w:szCs w:val="24"/>
          <w:lang w:eastAsia="en-ZA"/>
        </w:rPr>
      </w:pPr>
      <w:r w:rsidRPr="007A498B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disputed the debt </w:t>
      </w:r>
      <w:r w:rsidR="003E18E5" w:rsidRPr="007A498B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on </w:t>
      </w:r>
      <w:r w:rsidR="003E18E5" w:rsidRPr="007A498B">
        <w:rPr>
          <w:rFonts w:ascii="Arial" w:eastAsia="Times New Roman" w:hAnsi="Arial" w:cs="Arial"/>
          <w:i/>
          <w:iCs/>
          <w:color w:val="242121"/>
          <w:sz w:val="24"/>
          <w:szCs w:val="24"/>
          <w:lang w:eastAsia="en-ZA"/>
        </w:rPr>
        <w:t xml:space="preserve">bona fide </w:t>
      </w:r>
      <w:r w:rsidR="003E18E5" w:rsidRPr="007A498B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and reasonable grounds. The court </w:t>
      </w:r>
    </w:p>
    <w:p w14:paraId="5906C7CA" w14:textId="77777777" w:rsidR="00CA7EFB" w:rsidRPr="007A498B" w:rsidRDefault="000F7AC9" w:rsidP="00CA7EFB">
      <w:pPr>
        <w:ind w:left="720"/>
        <w:jc w:val="both"/>
        <w:rPr>
          <w:rFonts w:ascii="Arial" w:eastAsia="Times New Roman" w:hAnsi="Arial" w:cs="Arial"/>
          <w:color w:val="242121"/>
          <w:sz w:val="24"/>
          <w:szCs w:val="24"/>
          <w:lang w:eastAsia="en-ZA"/>
        </w:rPr>
      </w:pPr>
      <w:r w:rsidRPr="007A498B">
        <w:rPr>
          <w:rFonts w:ascii="Arial" w:eastAsia="Times New Roman" w:hAnsi="Arial" w:cs="Arial"/>
          <w:i/>
          <w:iCs/>
          <w:color w:val="242121"/>
          <w:sz w:val="24"/>
          <w:szCs w:val="24"/>
          <w:lang w:eastAsia="en-ZA"/>
        </w:rPr>
        <w:t>a quo</w:t>
      </w:r>
      <w:r w:rsidR="0084051F" w:rsidRPr="007A498B">
        <w:rPr>
          <w:rFonts w:ascii="Arial" w:eastAsia="Times New Roman" w:hAnsi="Arial" w:cs="Arial"/>
          <w:i/>
          <w:iCs/>
          <w:color w:val="242121"/>
          <w:sz w:val="24"/>
          <w:szCs w:val="24"/>
          <w:lang w:eastAsia="en-ZA"/>
        </w:rPr>
        <w:t xml:space="preserve"> </w:t>
      </w:r>
      <w:r w:rsidR="00926D20" w:rsidRPr="007A498B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referred the matter to oral evidence the </w:t>
      </w:r>
      <w:r w:rsidR="006000DB" w:rsidRPr="007A498B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court of appeal held </w:t>
      </w:r>
    </w:p>
    <w:p w14:paraId="4123B80B" w14:textId="77777777" w:rsidR="00CA7EFB" w:rsidRPr="007A498B" w:rsidRDefault="006000DB" w:rsidP="00CA7EFB">
      <w:pPr>
        <w:ind w:left="720"/>
        <w:jc w:val="both"/>
        <w:rPr>
          <w:rFonts w:ascii="Arial" w:eastAsia="Times New Roman" w:hAnsi="Arial" w:cs="Arial"/>
          <w:color w:val="242121"/>
          <w:sz w:val="24"/>
          <w:szCs w:val="24"/>
          <w:lang w:eastAsia="en-ZA"/>
        </w:rPr>
      </w:pPr>
      <w:r w:rsidRPr="007A498B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that winding up proceedings are not designed for the enforcement </w:t>
      </w:r>
    </w:p>
    <w:p w14:paraId="7B9556BF" w14:textId="77777777" w:rsidR="00CA7EFB" w:rsidRPr="007A498B" w:rsidRDefault="006000DB" w:rsidP="00CA7EFB">
      <w:pPr>
        <w:ind w:left="720"/>
        <w:jc w:val="both"/>
        <w:rPr>
          <w:rFonts w:ascii="Arial" w:eastAsia="Times New Roman" w:hAnsi="Arial" w:cs="Arial"/>
          <w:color w:val="242121"/>
          <w:sz w:val="24"/>
          <w:szCs w:val="24"/>
          <w:lang w:eastAsia="en-ZA"/>
        </w:rPr>
      </w:pPr>
      <w:r w:rsidRPr="007A498B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of disputed debts.</w:t>
      </w:r>
      <w:r w:rsidR="00CA7EFB" w:rsidRPr="007A498B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 </w:t>
      </w:r>
    </w:p>
    <w:p w14:paraId="323B69D2" w14:textId="453376C2" w:rsidR="006E6C46" w:rsidRPr="007A498B" w:rsidRDefault="00094891" w:rsidP="004B3AED">
      <w:pPr>
        <w:spacing w:line="480" w:lineRule="auto"/>
        <w:ind w:left="720" w:hanging="720"/>
        <w:jc w:val="both"/>
        <w:rPr>
          <w:rFonts w:ascii="Arial" w:eastAsia="Times New Roman" w:hAnsi="Arial" w:cs="Arial"/>
          <w:color w:val="242121"/>
          <w:lang w:eastAsia="en-ZA"/>
        </w:rPr>
      </w:pPr>
      <w:r w:rsidRPr="007A498B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[2</w:t>
      </w:r>
      <w:r w:rsidR="006E6C46" w:rsidRPr="007A498B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0</w:t>
      </w:r>
      <w:r w:rsidRPr="007A498B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]</w:t>
      </w:r>
      <w:r w:rsidRPr="007A498B">
        <w:rPr>
          <w:rFonts w:ascii="Arial" w:eastAsia="Times New Roman" w:hAnsi="Arial" w:cs="Arial"/>
          <w:color w:val="242121"/>
          <w:sz w:val="24"/>
          <w:szCs w:val="24"/>
          <w:lang w:eastAsia="en-ZA"/>
        </w:rPr>
        <w:tab/>
        <w:t>In paragraph 8 of the judgment the court said the follo</w:t>
      </w:r>
      <w:r w:rsidR="002413E0" w:rsidRPr="007A498B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wing</w:t>
      </w:r>
      <w:r w:rsidR="00933C06" w:rsidRPr="007A498B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:</w:t>
      </w:r>
      <w:r w:rsidR="002413E0" w:rsidRPr="007A498B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 “</w:t>
      </w:r>
      <w:r w:rsidR="00E52742" w:rsidRPr="007A498B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[8] </w:t>
      </w:r>
      <w:r w:rsidRPr="007A498B">
        <w:rPr>
          <w:rFonts w:ascii="Arial" w:eastAsia="Times New Roman" w:hAnsi="Arial" w:cs="Arial"/>
          <w:i/>
          <w:iCs/>
          <w:color w:val="242121"/>
          <w:lang w:eastAsia="en-ZA"/>
        </w:rPr>
        <w:t>The</w:t>
      </w:r>
      <w:r w:rsidRPr="007A498B">
        <w:rPr>
          <w:rFonts w:ascii="Arial" w:eastAsia="Times New Roman" w:hAnsi="Arial" w:cs="Arial"/>
          <w:color w:val="242121"/>
          <w:lang w:eastAsia="en-ZA"/>
        </w:rPr>
        <w:t xml:space="preserve"> consequences of</w:t>
      </w:r>
      <w:r w:rsidR="002413E0" w:rsidRPr="007A498B">
        <w:rPr>
          <w:rFonts w:ascii="Arial" w:eastAsia="Times New Roman" w:hAnsi="Arial" w:cs="Arial"/>
          <w:color w:val="242121"/>
          <w:lang w:eastAsia="en-ZA"/>
        </w:rPr>
        <w:t xml:space="preserve"> </w:t>
      </w:r>
      <w:r w:rsidR="00DD4C51" w:rsidRPr="007A498B">
        <w:rPr>
          <w:rFonts w:ascii="Arial" w:eastAsia="Times New Roman" w:hAnsi="Arial" w:cs="Arial"/>
          <w:i/>
          <w:iCs/>
          <w:color w:val="242121"/>
          <w:lang w:eastAsia="en-ZA"/>
        </w:rPr>
        <w:t xml:space="preserve">this referral were unfortunate. As recorded </w:t>
      </w:r>
      <w:r w:rsidR="00933C06" w:rsidRPr="007A498B">
        <w:rPr>
          <w:rFonts w:ascii="Arial" w:eastAsia="Times New Roman" w:hAnsi="Arial" w:cs="Arial"/>
          <w:i/>
          <w:iCs/>
          <w:color w:val="242121"/>
          <w:lang w:eastAsia="en-ZA"/>
        </w:rPr>
        <w:t>earlier</w:t>
      </w:r>
      <w:r w:rsidR="00DD4C51" w:rsidRPr="007A498B">
        <w:rPr>
          <w:rFonts w:ascii="Arial" w:eastAsia="Times New Roman" w:hAnsi="Arial" w:cs="Arial"/>
          <w:i/>
          <w:iCs/>
          <w:color w:val="242121"/>
          <w:lang w:eastAsia="en-ZA"/>
        </w:rPr>
        <w:t>, there was no need in these proceedings for a finding whether or not the respondent is indebted to the appel</w:t>
      </w:r>
      <w:r w:rsidR="00510097" w:rsidRPr="007A498B">
        <w:rPr>
          <w:rFonts w:ascii="Arial" w:eastAsia="Times New Roman" w:hAnsi="Arial" w:cs="Arial"/>
          <w:i/>
          <w:iCs/>
          <w:color w:val="242121"/>
          <w:lang w:eastAsia="en-ZA"/>
        </w:rPr>
        <w:t xml:space="preserve">lant, as the respondent does not have to prove its defence. All that was required of the respondent, was to show that the appellant’s claims were </w:t>
      </w:r>
      <w:r w:rsidR="00933C06" w:rsidRPr="007A498B">
        <w:rPr>
          <w:rFonts w:ascii="Arial" w:eastAsia="Times New Roman" w:hAnsi="Arial" w:cs="Arial"/>
          <w:i/>
          <w:iCs/>
          <w:color w:val="242121"/>
          <w:lang w:eastAsia="en-ZA"/>
        </w:rPr>
        <w:t>disputed</w:t>
      </w:r>
      <w:r w:rsidR="00510097" w:rsidRPr="007A498B">
        <w:rPr>
          <w:rFonts w:ascii="Arial" w:eastAsia="Times New Roman" w:hAnsi="Arial" w:cs="Arial"/>
          <w:i/>
          <w:iCs/>
          <w:color w:val="242121"/>
          <w:lang w:eastAsia="en-ZA"/>
        </w:rPr>
        <w:t xml:space="preserve"> on bona fide and reasonable ground</w:t>
      </w:r>
      <w:r w:rsidR="00E52742" w:rsidRPr="007A498B">
        <w:rPr>
          <w:rFonts w:ascii="Arial" w:eastAsia="Times New Roman" w:hAnsi="Arial" w:cs="Arial"/>
          <w:i/>
          <w:iCs/>
          <w:color w:val="242121"/>
          <w:lang w:eastAsia="en-ZA"/>
        </w:rPr>
        <w:t>s</w:t>
      </w:r>
      <w:r w:rsidR="00D500A4" w:rsidRPr="007A498B">
        <w:rPr>
          <w:rFonts w:ascii="Arial" w:eastAsia="Times New Roman" w:hAnsi="Arial" w:cs="Arial"/>
          <w:i/>
          <w:iCs/>
          <w:color w:val="242121"/>
          <w:lang w:eastAsia="en-ZA"/>
        </w:rPr>
        <w:t>.</w:t>
      </w:r>
      <w:r w:rsidR="00510097" w:rsidRPr="007A498B">
        <w:rPr>
          <w:rFonts w:ascii="Arial" w:eastAsia="Times New Roman" w:hAnsi="Arial" w:cs="Arial"/>
          <w:i/>
          <w:iCs/>
          <w:color w:val="242121"/>
          <w:lang w:eastAsia="en-ZA"/>
        </w:rPr>
        <w:t xml:space="preserve">” </w:t>
      </w:r>
      <w:r w:rsidRPr="007A498B">
        <w:rPr>
          <w:rFonts w:ascii="Arial" w:eastAsia="Times New Roman" w:hAnsi="Arial" w:cs="Arial"/>
          <w:color w:val="242121"/>
          <w:lang w:eastAsia="en-ZA"/>
        </w:rPr>
        <w:t xml:space="preserve"> </w:t>
      </w:r>
    </w:p>
    <w:p w14:paraId="79B35374" w14:textId="41DD3807" w:rsidR="00BB250D" w:rsidRPr="007A498B" w:rsidRDefault="006E6C46" w:rsidP="00E50778">
      <w:pPr>
        <w:spacing w:line="480" w:lineRule="auto"/>
        <w:ind w:left="720" w:hanging="720"/>
        <w:jc w:val="both"/>
        <w:rPr>
          <w:rFonts w:ascii="Arial" w:eastAsia="Times New Roman" w:hAnsi="Arial" w:cs="Arial"/>
          <w:color w:val="242121"/>
          <w:sz w:val="24"/>
          <w:szCs w:val="24"/>
          <w:lang w:eastAsia="en-ZA"/>
        </w:rPr>
      </w:pPr>
      <w:r w:rsidRPr="007A498B">
        <w:rPr>
          <w:rFonts w:ascii="Arial" w:eastAsia="Times New Roman" w:hAnsi="Arial" w:cs="Arial"/>
          <w:color w:val="242121"/>
          <w:sz w:val="24"/>
          <w:szCs w:val="24"/>
          <w:lang w:eastAsia="en-ZA"/>
        </w:rPr>
        <w:lastRenderedPageBreak/>
        <w:t>[21]</w:t>
      </w:r>
      <w:r w:rsidRPr="007A498B">
        <w:rPr>
          <w:rFonts w:ascii="Arial" w:eastAsia="Times New Roman" w:hAnsi="Arial" w:cs="Arial"/>
          <w:color w:val="242121"/>
          <w:sz w:val="24"/>
          <w:szCs w:val="24"/>
          <w:lang w:eastAsia="en-ZA"/>
        </w:rPr>
        <w:tab/>
      </w:r>
      <w:r w:rsidR="00610853" w:rsidRPr="007A498B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A plethora of decide</w:t>
      </w:r>
      <w:r w:rsidR="008740FD" w:rsidRPr="007A498B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d</w:t>
      </w:r>
      <w:r w:rsidR="00610853" w:rsidRPr="007A498B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 case</w:t>
      </w:r>
      <w:r w:rsidR="008740FD" w:rsidRPr="007A498B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s</w:t>
      </w:r>
      <w:r w:rsidR="00610853" w:rsidRPr="007A498B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 referred to in </w:t>
      </w:r>
      <w:r w:rsidR="00427E7D" w:rsidRPr="007A498B">
        <w:rPr>
          <w:rFonts w:ascii="Arial" w:eastAsia="Times New Roman" w:hAnsi="Arial" w:cs="Arial"/>
          <w:i/>
          <w:iCs/>
          <w:color w:val="242121"/>
          <w:sz w:val="24"/>
          <w:szCs w:val="24"/>
          <w:lang w:eastAsia="en-ZA"/>
        </w:rPr>
        <w:t xml:space="preserve">Fresh Investment (Pty) Ltd </w:t>
      </w:r>
      <w:r w:rsidR="00427E7D" w:rsidRPr="007A498B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requires </w:t>
      </w:r>
      <w:r w:rsidR="00DA354A" w:rsidRPr="007A498B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a party challenging an application for </w:t>
      </w:r>
      <w:r w:rsidR="008740FD" w:rsidRPr="007A498B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a </w:t>
      </w:r>
      <w:r w:rsidR="00DA354A" w:rsidRPr="007A498B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winding-up of a company to show that the claim is </w:t>
      </w:r>
      <w:r w:rsidR="003E576E" w:rsidRPr="007A498B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in </w:t>
      </w:r>
      <w:r w:rsidR="00DA354A" w:rsidRPr="007A498B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dispute</w:t>
      </w:r>
      <w:r w:rsidR="003E576E" w:rsidRPr="007A498B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.</w:t>
      </w:r>
    </w:p>
    <w:p w14:paraId="46F55107" w14:textId="4C7154EA" w:rsidR="00E84401" w:rsidRPr="007A498B" w:rsidRDefault="00E53725" w:rsidP="00E50778">
      <w:pPr>
        <w:spacing w:line="480" w:lineRule="auto"/>
        <w:ind w:left="720" w:hanging="720"/>
        <w:jc w:val="both"/>
        <w:rPr>
          <w:rFonts w:ascii="Arial" w:eastAsia="Times New Roman" w:hAnsi="Arial" w:cs="Arial"/>
          <w:color w:val="242121"/>
          <w:sz w:val="24"/>
          <w:szCs w:val="24"/>
          <w:lang w:eastAsia="en-ZA"/>
        </w:rPr>
      </w:pPr>
      <w:r w:rsidRPr="007A498B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[22</w:t>
      </w:r>
      <w:proofErr w:type="gramStart"/>
      <w:r w:rsidRPr="007A498B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]</w:t>
      </w:r>
      <w:r w:rsidR="003E576E" w:rsidRPr="007A498B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  </w:t>
      </w:r>
      <w:proofErr w:type="spellStart"/>
      <w:r w:rsidR="003E576E" w:rsidRPr="007A498B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M</w:t>
      </w:r>
      <w:r w:rsidR="00193959" w:rsidRPr="007A498B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wakurudza</w:t>
      </w:r>
      <w:proofErr w:type="spellEnd"/>
      <w:proofErr w:type="gramEnd"/>
      <w:r w:rsidR="00193959" w:rsidRPr="007A498B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 </w:t>
      </w:r>
      <w:r w:rsidRPr="007A498B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denies</w:t>
      </w:r>
      <w:r w:rsidR="00193959" w:rsidRPr="007A498B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 that</w:t>
      </w:r>
      <w:r w:rsidRPr="007A498B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 she was part of any scheme to defraud anyone. She denies that </w:t>
      </w:r>
      <w:r w:rsidR="008847CF" w:rsidRPr="007A498B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neither herself </w:t>
      </w:r>
      <w:r w:rsidR="005A2BF4" w:rsidRPr="007A498B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n</w:t>
      </w:r>
      <w:r w:rsidR="008847CF" w:rsidRPr="007A498B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or</w:t>
      </w:r>
      <w:r w:rsidR="005A2BF4" w:rsidRPr="007A498B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 the</w:t>
      </w:r>
      <w:r w:rsidR="008847CF" w:rsidRPr="007A498B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 respondent received any tainted or stolen money</w:t>
      </w:r>
      <w:r w:rsidR="00E84401" w:rsidRPr="007A498B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. In my view this needs to be proven by the applicant.</w:t>
      </w:r>
    </w:p>
    <w:p w14:paraId="03063AF2" w14:textId="77777777" w:rsidR="00866751" w:rsidRPr="007A498B" w:rsidRDefault="00675A66" w:rsidP="00E50778">
      <w:pPr>
        <w:spacing w:line="480" w:lineRule="auto"/>
        <w:ind w:left="720" w:hanging="720"/>
        <w:jc w:val="both"/>
        <w:rPr>
          <w:rFonts w:ascii="Arial" w:eastAsia="Times New Roman" w:hAnsi="Arial" w:cs="Arial"/>
          <w:color w:val="242121"/>
          <w:sz w:val="24"/>
          <w:szCs w:val="24"/>
          <w:lang w:eastAsia="en-ZA"/>
        </w:rPr>
      </w:pPr>
      <w:r w:rsidRPr="007A498B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[23]</w:t>
      </w:r>
      <w:r w:rsidRPr="007A498B">
        <w:rPr>
          <w:rFonts w:ascii="Arial" w:eastAsia="Times New Roman" w:hAnsi="Arial" w:cs="Arial"/>
          <w:color w:val="242121"/>
          <w:sz w:val="24"/>
          <w:szCs w:val="24"/>
          <w:lang w:eastAsia="en-ZA"/>
        </w:rPr>
        <w:tab/>
        <w:t xml:space="preserve">I am of the view that the </w:t>
      </w:r>
      <w:r w:rsidR="00913249" w:rsidRPr="007A498B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respondent</w:t>
      </w:r>
      <w:r w:rsidRPr="007A498B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 </w:t>
      </w:r>
      <w:r w:rsidR="00913249" w:rsidRPr="007A498B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succeeded in showing that the applicant’s claim</w:t>
      </w:r>
      <w:r w:rsidR="0062519D" w:rsidRPr="007A498B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 is disputed on </w:t>
      </w:r>
      <w:r w:rsidR="0062519D" w:rsidRPr="007A498B">
        <w:rPr>
          <w:rFonts w:ascii="Arial" w:eastAsia="Times New Roman" w:hAnsi="Arial" w:cs="Arial"/>
          <w:i/>
          <w:iCs/>
          <w:color w:val="242121"/>
          <w:sz w:val="24"/>
          <w:szCs w:val="24"/>
          <w:lang w:eastAsia="en-ZA"/>
        </w:rPr>
        <w:t xml:space="preserve">bona fide </w:t>
      </w:r>
      <w:r w:rsidR="0062519D" w:rsidRPr="007A498B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and reasonable</w:t>
      </w:r>
      <w:r w:rsidR="00866751" w:rsidRPr="007A498B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 grounds.</w:t>
      </w:r>
    </w:p>
    <w:p w14:paraId="40C67EEE" w14:textId="77777777" w:rsidR="00866751" w:rsidRPr="007A498B" w:rsidRDefault="00866751" w:rsidP="00D500A4">
      <w:pPr>
        <w:spacing w:line="360" w:lineRule="auto"/>
        <w:ind w:left="720" w:hanging="720"/>
        <w:jc w:val="both"/>
        <w:rPr>
          <w:rFonts w:ascii="Arial" w:eastAsia="Times New Roman" w:hAnsi="Arial" w:cs="Arial"/>
          <w:b/>
          <w:bCs/>
          <w:color w:val="242121"/>
          <w:sz w:val="24"/>
          <w:szCs w:val="24"/>
          <w:lang w:eastAsia="en-ZA"/>
        </w:rPr>
      </w:pPr>
      <w:r w:rsidRPr="007A498B">
        <w:rPr>
          <w:rFonts w:ascii="Arial" w:eastAsia="Times New Roman" w:hAnsi="Arial" w:cs="Arial"/>
          <w:b/>
          <w:bCs/>
          <w:color w:val="242121"/>
          <w:sz w:val="24"/>
          <w:szCs w:val="24"/>
          <w:lang w:eastAsia="en-ZA"/>
        </w:rPr>
        <w:t>ORDER</w:t>
      </w:r>
    </w:p>
    <w:p w14:paraId="487292BA" w14:textId="78543E4C" w:rsidR="00641B0D" w:rsidRPr="007A498B" w:rsidRDefault="00866751" w:rsidP="00D500A4">
      <w:pPr>
        <w:spacing w:line="360" w:lineRule="auto"/>
        <w:ind w:left="720" w:hanging="720"/>
        <w:jc w:val="both"/>
        <w:rPr>
          <w:rFonts w:ascii="Arial" w:eastAsia="Times New Roman" w:hAnsi="Arial" w:cs="Arial"/>
          <w:color w:val="242121"/>
          <w:sz w:val="24"/>
          <w:szCs w:val="24"/>
          <w:lang w:eastAsia="en-ZA"/>
        </w:rPr>
      </w:pPr>
      <w:r w:rsidRPr="007A498B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[24]</w:t>
      </w:r>
      <w:r w:rsidRPr="007A498B">
        <w:rPr>
          <w:rFonts w:ascii="Arial" w:eastAsia="Times New Roman" w:hAnsi="Arial" w:cs="Arial"/>
          <w:color w:val="242121"/>
          <w:sz w:val="24"/>
          <w:szCs w:val="24"/>
          <w:lang w:eastAsia="en-ZA"/>
        </w:rPr>
        <w:tab/>
      </w:r>
      <w:r w:rsidR="0008125A" w:rsidRPr="007A498B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The </w:t>
      </w:r>
      <w:r w:rsidR="005A2BF4" w:rsidRPr="007A498B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application</w:t>
      </w:r>
      <w:r w:rsidR="0008125A" w:rsidRPr="007A498B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 is dismissed with cost.</w:t>
      </w:r>
      <w:r w:rsidR="00913249" w:rsidRPr="007A498B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 </w:t>
      </w:r>
      <w:r w:rsidR="00923433" w:rsidRPr="007A498B">
        <w:rPr>
          <w:rFonts w:ascii="Arial" w:eastAsia="Times New Roman" w:hAnsi="Arial" w:cs="Arial"/>
          <w:i/>
          <w:iCs/>
          <w:color w:val="242121"/>
          <w:sz w:val="24"/>
          <w:szCs w:val="24"/>
          <w:lang w:eastAsia="en-ZA"/>
        </w:rPr>
        <w:t xml:space="preserve"> </w:t>
      </w:r>
      <w:r w:rsidR="00117D0E" w:rsidRPr="007A498B">
        <w:rPr>
          <w:rFonts w:ascii="Arial" w:eastAsia="Times New Roman" w:hAnsi="Arial" w:cs="Arial"/>
          <w:i/>
          <w:iCs/>
          <w:color w:val="242121"/>
          <w:sz w:val="24"/>
          <w:szCs w:val="24"/>
          <w:lang w:eastAsia="en-ZA"/>
        </w:rPr>
        <w:t xml:space="preserve"> </w:t>
      </w:r>
      <w:r w:rsidR="0066630D" w:rsidRPr="007A498B">
        <w:rPr>
          <w:rFonts w:ascii="Arial" w:eastAsia="Times New Roman" w:hAnsi="Arial" w:cs="Arial"/>
          <w:i/>
          <w:iCs/>
          <w:color w:val="242121"/>
          <w:sz w:val="24"/>
          <w:szCs w:val="24"/>
          <w:lang w:eastAsia="en-ZA"/>
        </w:rPr>
        <w:t xml:space="preserve"> </w:t>
      </w:r>
      <w:r w:rsidR="000F560E" w:rsidRPr="007A498B">
        <w:rPr>
          <w:rFonts w:ascii="Arial" w:eastAsia="Times New Roman" w:hAnsi="Arial" w:cs="Arial"/>
          <w:i/>
          <w:iCs/>
          <w:color w:val="242121"/>
          <w:sz w:val="24"/>
          <w:szCs w:val="24"/>
          <w:lang w:eastAsia="en-ZA"/>
        </w:rPr>
        <w:t xml:space="preserve"> </w:t>
      </w:r>
    </w:p>
    <w:p w14:paraId="6E73D264" w14:textId="77777777" w:rsidR="00641B0D" w:rsidRPr="008A11BD" w:rsidRDefault="00641B0D" w:rsidP="00641B0D">
      <w:pPr>
        <w:pStyle w:val="ListParagraph"/>
        <w:shd w:val="clear" w:color="auto" w:fill="FFFFFF"/>
        <w:spacing w:before="144" w:after="0" w:line="240" w:lineRule="auto"/>
        <w:ind w:left="0"/>
        <w:jc w:val="right"/>
        <w:rPr>
          <w:rFonts w:ascii="Arial" w:eastAsia="Times New Roman" w:hAnsi="Arial" w:cs="Arial"/>
          <w:b/>
          <w:color w:val="242121"/>
          <w:sz w:val="24"/>
          <w:szCs w:val="24"/>
          <w:lang w:eastAsia="en-ZA"/>
        </w:rPr>
      </w:pPr>
      <w:r w:rsidRPr="008A11BD">
        <w:rPr>
          <w:rFonts w:ascii="Arial" w:eastAsia="Times New Roman" w:hAnsi="Arial" w:cs="Arial"/>
          <w:b/>
          <w:color w:val="242121"/>
          <w:sz w:val="24"/>
          <w:szCs w:val="24"/>
          <w:lang w:eastAsia="en-ZA"/>
        </w:rPr>
        <w:t>______________________</w:t>
      </w:r>
    </w:p>
    <w:p w14:paraId="6C5B4AF3" w14:textId="77777777" w:rsidR="00641B0D" w:rsidRDefault="00641B0D" w:rsidP="00641B0D">
      <w:pPr>
        <w:pStyle w:val="ListParagraph"/>
        <w:shd w:val="clear" w:color="auto" w:fill="FFFFFF"/>
        <w:spacing w:before="144" w:after="0" w:line="240" w:lineRule="auto"/>
        <w:ind w:left="0"/>
        <w:jc w:val="right"/>
        <w:rPr>
          <w:rFonts w:ascii="Arial" w:eastAsia="Times New Roman" w:hAnsi="Arial" w:cs="Arial"/>
          <w:b/>
          <w:color w:val="242121"/>
          <w:sz w:val="24"/>
          <w:szCs w:val="24"/>
          <w:lang w:eastAsia="en-ZA"/>
        </w:rPr>
      </w:pPr>
    </w:p>
    <w:p w14:paraId="0557399A" w14:textId="34522F8A" w:rsidR="00641B0D" w:rsidRPr="008A11BD" w:rsidRDefault="00641B0D" w:rsidP="00641B0D">
      <w:pPr>
        <w:pStyle w:val="ListParagraph"/>
        <w:shd w:val="clear" w:color="auto" w:fill="FFFFFF"/>
        <w:spacing w:before="144" w:after="0" w:line="240" w:lineRule="auto"/>
        <w:ind w:left="0"/>
        <w:jc w:val="right"/>
        <w:rPr>
          <w:rFonts w:ascii="Arial" w:eastAsia="Times New Roman" w:hAnsi="Arial" w:cs="Arial"/>
          <w:b/>
          <w:color w:val="242121"/>
          <w:sz w:val="24"/>
          <w:szCs w:val="24"/>
          <w:lang w:eastAsia="en-ZA"/>
        </w:rPr>
      </w:pPr>
      <w:r>
        <w:rPr>
          <w:rFonts w:ascii="Arial" w:eastAsia="Times New Roman" w:hAnsi="Arial" w:cs="Arial"/>
          <w:b/>
          <w:color w:val="242121"/>
          <w:sz w:val="24"/>
          <w:szCs w:val="24"/>
          <w:lang w:eastAsia="en-ZA"/>
        </w:rPr>
        <w:t>MAKHOBA J</w:t>
      </w:r>
    </w:p>
    <w:p w14:paraId="7E497D04" w14:textId="225FAC02" w:rsidR="00641B0D" w:rsidRDefault="005F5B0B" w:rsidP="00641B0D">
      <w:pPr>
        <w:pStyle w:val="ListParagraph"/>
        <w:shd w:val="clear" w:color="auto" w:fill="FFFFFF"/>
        <w:spacing w:before="144" w:after="0" w:line="240" w:lineRule="auto"/>
        <w:ind w:left="0"/>
        <w:jc w:val="right"/>
        <w:rPr>
          <w:rFonts w:ascii="Arial" w:eastAsia="Times New Roman" w:hAnsi="Arial" w:cs="Arial"/>
          <w:b/>
          <w:color w:val="242121"/>
          <w:sz w:val="24"/>
          <w:szCs w:val="24"/>
          <w:lang w:eastAsia="en-ZA"/>
        </w:rPr>
      </w:pPr>
      <w:r w:rsidRPr="008A11BD">
        <w:rPr>
          <w:rFonts w:ascii="Arial" w:eastAsia="Times New Roman" w:hAnsi="Arial" w:cs="Arial"/>
          <w:b/>
          <w:color w:val="242121"/>
          <w:sz w:val="24"/>
          <w:szCs w:val="24"/>
          <w:lang w:eastAsia="en-ZA"/>
        </w:rPr>
        <w:t>JUDGE OF THE HIGH COURT</w:t>
      </w:r>
    </w:p>
    <w:p w14:paraId="43142F16" w14:textId="53D5BB4C" w:rsidR="00641B0D" w:rsidRPr="008A11BD" w:rsidRDefault="005F5B0B" w:rsidP="00641B0D">
      <w:pPr>
        <w:pStyle w:val="ListParagraph"/>
        <w:shd w:val="clear" w:color="auto" w:fill="FFFFFF"/>
        <w:spacing w:before="144" w:after="0" w:line="240" w:lineRule="auto"/>
        <w:ind w:left="0"/>
        <w:jc w:val="right"/>
        <w:rPr>
          <w:rFonts w:ascii="Arial" w:eastAsia="Times New Roman" w:hAnsi="Arial" w:cs="Arial"/>
          <w:b/>
          <w:color w:val="242121"/>
          <w:sz w:val="24"/>
          <w:szCs w:val="24"/>
          <w:lang w:eastAsia="en-ZA"/>
        </w:rPr>
      </w:pPr>
      <w:r>
        <w:rPr>
          <w:rFonts w:ascii="Arial" w:eastAsia="Times New Roman" w:hAnsi="Arial" w:cs="Arial"/>
          <w:b/>
          <w:color w:val="242121"/>
          <w:sz w:val="24"/>
          <w:szCs w:val="24"/>
          <w:lang w:eastAsia="en-ZA"/>
        </w:rPr>
        <w:t>GAUTENG DIVISION, PRETORIA</w:t>
      </w:r>
    </w:p>
    <w:p w14:paraId="644E0BDF" w14:textId="77777777" w:rsidR="00641B0D" w:rsidRPr="008A11BD" w:rsidRDefault="00641B0D" w:rsidP="00641B0D">
      <w:pPr>
        <w:pStyle w:val="ListParagraph"/>
        <w:shd w:val="clear" w:color="auto" w:fill="FFFFFF"/>
        <w:spacing w:before="144" w:after="0" w:line="240" w:lineRule="auto"/>
        <w:ind w:left="0"/>
        <w:jc w:val="right"/>
        <w:rPr>
          <w:rFonts w:ascii="Arial" w:eastAsia="Times New Roman" w:hAnsi="Arial" w:cs="Arial"/>
          <w:color w:val="242121"/>
          <w:sz w:val="24"/>
          <w:szCs w:val="24"/>
          <w:lang w:eastAsia="en-ZA"/>
        </w:rPr>
      </w:pPr>
    </w:p>
    <w:p w14:paraId="414FAE11" w14:textId="77777777" w:rsidR="00495BC2" w:rsidRDefault="00495BC2" w:rsidP="00495BC2">
      <w:pPr>
        <w:pStyle w:val="ListParagraph"/>
        <w:shd w:val="clear" w:color="auto" w:fill="FFFFFF"/>
        <w:spacing w:before="144" w:after="0" w:line="480" w:lineRule="auto"/>
        <w:ind w:left="0"/>
        <w:rPr>
          <w:rFonts w:ascii="Arial" w:eastAsia="Times New Roman" w:hAnsi="Arial" w:cs="Arial"/>
          <w:color w:val="242121"/>
          <w:sz w:val="24"/>
          <w:szCs w:val="24"/>
          <w:u w:val="single"/>
          <w:lang w:eastAsia="en-ZA"/>
        </w:rPr>
      </w:pPr>
    </w:p>
    <w:p w14:paraId="27D19FFA" w14:textId="5BA095CF" w:rsidR="00495BC2" w:rsidRDefault="004F3501" w:rsidP="00495BC2">
      <w:pPr>
        <w:pStyle w:val="ListParagraph"/>
        <w:shd w:val="clear" w:color="auto" w:fill="FFFFFF"/>
        <w:spacing w:before="144" w:after="0" w:line="480" w:lineRule="auto"/>
        <w:ind w:left="0"/>
        <w:rPr>
          <w:rFonts w:ascii="Arial" w:eastAsia="Times New Roman" w:hAnsi="Arial" w:cs="Arial"/>
          <w:b/>
          <w:bCs/>
          <w:color w:val="242121"/>
          <w:sz w:val="24"/>
          <w:szCs w:val="24"/>
          <w:lang w:eastAsia="en-ZA"/>
        </w:rPr>
      </w:pPr>
      <w:r>
        <w:rPr>
          <w:rFonts w:ascii="Arial" w:eastAsia="Times New Roman" w:hAnsi="Arial" w:cs="Arial"/>
          <w:b/>
          <w:bCs/>
          <w:color w:val="242121"/>
          <w:sz w:val="24"/>
          <w:szCs w:val="24"/>
          <w:lang w:eastAsia="en-ZA"/>
        </w:rPr>
        <w:t>HEARD AND RESERVED JUDGMENT</w:t>
      </w:r>
      <w:r w:rsidR="002313F4">
        <w:rPr>
          <w:rFonts w:ascii="Arial" w:eastAsia="Times New Roman" w:hAnsi="Arial" w:cs="Arial"/>
          <w:b/>
          <w:bCs/>
          <w:color w:val="242121"/>
          <w:sz w:val="24"/>
          <w:szCs w:val="24"/>
          <w:lang w:eastAsia="en-ZA"/>
        </w:rPr>
        <w:t>:</w:t>
      </w:r>
      <w:r w:rsidR="002A4BB1">
        <w:rPr>
          <w:rFonts w:ascii="Arial" w:eastAsia="Times New Roman" w:hAnsi="Arial" w:cs="Arial"/>
          <w:b/>
          <w:bCs/>
          <w:color w:val="242121"/>
          <w:sz w:val="24"/>
          <w:szCs w:val="24"/>
          <w:lang w:eastAsia="en-ZA"/>
        </w:rPr>
        <w:t xml:space="preserve"> </w:t>
      </w:r>
      <w:r w:rsidR="00557F60">
        <w:rPr>
          <w:rFonts w:ascii="Arial" w:eastAsia="Times New Roman" w:hAnsi="Arial" w:cs="Arial"/>
          <w:b/>
          <w:bCs/>
          <w:color w:val="242121"/>
          <w:sz w:val="24"/>
          <w:szCs w:val="24"/>
          <w:lang w:eastAsia="en-ZA"/>
        </w:rPr>
        <w:t xml:space="preserve">17 OCTOBER </w:t>
      </w:r>
      <w:r w:rsidR="002A4BB1">
        <w:rPr>
          <w:rFonts w:ascii="Arial" w:eastAsia="Times New Roman" w:hAnsi="Arial" w:cs="Arial"/>
          <w:b/>
          <w:bCs/>
          <w:color w:val="242121"/>
          <w:sz w:val="24"/>
          <w:szCs w:val="24"/>
          <w:lang w:eastAsia="en-ZA"/>
        </w:rPr>
        <w:t>2023</w:t>
      </w:r>
    </w:p>
    <w:p w14:paraId="76FCF4EE" w14:textId="580F7220" w:rsidR="002313F4" w:rsidRPr="004F3501" w:rsidRDefault="002313F4" w:rsidP="00495BC2">
      <w:pPr>
        <w:pStyle w:val="ListParagraph"/>
        <w:shd w:val="clear" w:color="auto" w:fill="FFFFFF"/>
        <w:spacing w:before="144" w:after="0" w:line="480" w:lineRule="auto"/>
        <w:ind w:left="0"/>
        <w:rPr>
          <w:rFonts w:ascii="Arial" w:eastAsia="Times New Roman" w:hAnsi="Arial" w:cs="Arial"/>
          <w:b/>
          <w:bCs/>
          <w:color w:val="242121"/>
          <w:sz w:val="24"/>
          <w:szCs w:val="24"/>
          <w:lang w:eastAsia="en-ZA"/>
        </w:rPr>
      </w:pPr>
      <w:r>
        <w:rPr>
          <w:rFonts w:ascii="Arial" w:eastAsia="Times New Roman" w:hAnsi="Arial" w:cs="Arial"/>
          <w:b/>
          <w:bCs/>
          <w:color w:val="242121"/>
          <w:sz w:val="24"/>
          <w:szCs w:val="24"/>
          <w:lang w:eastAsia="en-ZA"/>
        </w:rPr>
        <w:t>JUDGMENT HANDED DOWN</w:t>
      </w:r>
      <w:r w:rsidR="00516AC0">
        <w:rPr>
          <w:rFonts w:ascii="Arial" w:eastAsia="Times New Roman" w:hAnsi="Arial" w:cs="Arial"/>
          <w:b/>
          <w:bCs/>
          <w:color w:val="242121"/>
          <w:sz w:val="24"/>
          <w:szCs w:val="24"/>
          <w:lang w:eastAsia="en-ZA"/>
        </w:rPr>
        <w:t xml:space="preserve"> ON:</w:t>
      </w:r>
      <w:r w:rsidR="005A2BF4">
        <w:rPr>
          <w:rFonts w:ascii="Arial" w:eastAsia="Times New Roman" w:hAnsi="Arial" w:cs="Arial"/>
          <w:b/>
          <w:bCs/>
          <w:color w:val="242121"/>
          <w:sz w:val="24"/>
          <w:szCs w:val="24"/>
          <w:lang w:eastAsia="en-ZA"/>
        </w:rPr>
        <w:t xml:space="preserve"> 23 NOVEMBER</w:t>
      </w:r>
      <w:r w:rsidR="002A4BB1">
        <w:rPr>
          <w:rFonts w:ascii="Arial" w:eastAsia="Times New Roman" w:hAnsi="Arial" w:cs="Arial"/>
          <w:b/>
          <w:bCs/>
          <w:color w:val="242121"/>
          <w:sz w:val="24"/>
          <w:szCs w:val="24"/>
          <w:lang w:eastAsia="en-ZA"/>
        </w:rPr>
        <w:t xml:space="preserve"> 2023</w:t>
      </w:r>
    </w:p>
    <w:p w14:paraId="212A48F3" w14:textId="28D5A96E" w:rsidR="00641B0D" w:rsidRPr="008A11BD" w:rsidRDefault="00641B0D" w:rsidP="00495BC2">
      <w:pPr>
        <w:pStyle w:val="ListParagraph"/>
        <w:shd w:val="clear" w:color="auto" w:fill="FFFFFF"/>
        <w:spacing w:before="144" w:after="0" w:line="480" w:lineRule="auto"/>
        <w:ind w:left="0"/>
        <w:rPr>
          <w:rFonts w:ascii="Arial" w:eastAsia="Times New Roman" w:hAnsi="Arial" w:cs="Arial"/>
          <w:color w:val="242121"/>
          <w:sz w:val="24"/>
          <w:szCs w:val="24"/>
          <w:lang w:eastAsia="en-ZA"/>
        </w:rPr>
      </w:pPr>
      <w:r w:rsidRPr="008A11BD">
        <w:rPr>
          <w:rFonts w:ascii="Arial" w:eastAsia="Times New Roman" w:hAnsi="Arial" w:cs="Arial"/>
          <w:color w:val="242121"/>
          <w:sz w:val="24"/>
          <w:szCs w:val="24"/>
          <w:u w:val="single"/>
          <w:lang w:eastAsia="en-ZA"/>
        </w:rPr>
        <w:t>Appearances</w:t>
      </w:r>
      <w:r w:rsidRPr="008A11BD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:</w:t>
      </w:r>
    </w:p>
    <w:p w14:paraId="2DCD24E8" w14:textId="0AE5B15A" w:rsidR="00BA3D06" w:rsidRDefault="00641B0D" w:rsidP="00495BC2">
      <w:pPr>
        <w:pStyle w:val="ListParagraph"/>
        <w:shd w:val="clear" w:color="auto" w:fill="FFFFFF"/>
        <w:spacing w:before="144" w:after="0"/>
        <w:ind w:left="0"/>
        <w:rPr>
          <w:rFonts w:ascii="Arial" w:eastAsia="Times New Roman" w:hAnsi="Arial" w:cs="Arial"/>
          <w:color w:val="242121"/>
          <w:sz w:val="24"/>
          <w:szCs w:val="24"/>
          <w:lang w:eastAsia="en-ZA"/>
        </w:rPr>
      </w:pPr>
      <w:r w:rsidRPr="008A11BD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For the </w:t>
      </w:r>
      <w:r>
        <w:rPr>
          <w:rFonts w:ascii="Arial" w:eastAsia="Times New Roman" w:hAnsi="Arial" w:cs="Arial"/>
          <w:color w:val="242121"/>
          <w:sz w:val="24"/>
          <w:szCs w:val="24"/>
          <w:lang w:eastAsia="en-ZA"/>
        </w:rPr>
        <w:t>Applicant</w:t>
      </w:r>
      <w:r w:rsidRPr="008A11BD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:</w:t>
      </w:r>
      <w:r w:rsidR="00495BC2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 Adv</w:t>
      </w:r>
      <w:r w:rsidR="001861D2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 G</w:t>
      </w:r>
      <w:r w:rsidR="00AF60D8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 </w:t>
      </w:r>
      <w:r w:rsidR="001861D2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Woodland SC </w:t>
      </w:r>
      <w:r w:rsidRPr="008A11BD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(instructed by)</w:t>
      </w:r>
      <w:r w:rsidR="00BA6A12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 Edward Nathan </w:t>
      </w:r>
      <w:proofErr w:type="spellStart"/>
      <w:r w:rsidR="00BA6A12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Sonnenbergs</w:t>
      </w:r>
      <w:proofErr w:type="spellEnd"/>
      <w:r w:rsidR="003B5DA3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 </w:t>
      </w:r>
      <w:r w:rsidR="00080DAE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A</w:t>
      </w:r>
      <w:r w:rsidR="00BA6A12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ttorneys.</w:t>
      </w:r>
      <w:r w:rsidR="001511F9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 </w:t>
      </w:r>
    </w:p>
    <w:p w14:paraId="4075E59A" w14:textId="1C369585" w:rsidR="00641B0D" w:rsidRPr="008A11BD" w:rsidRDefault="00641B0D" w:rsidP="00495BC2">
      <w:pPr>
        <w:pStyle w:val="ListParagraph"/>
        <w:shd w:val="clear" w:color="auto" w:fill="FFFFFF"/>
        <w:spacing w:before="144" w:after="0"/>
        <w:ind w:left="0"/>
        <w:rPr>
          <w:rFonts w:ascii="Arial" w:eastAsia="Times New Roman" w:hAnsi="Arial" w:cs="Arial"/>
          <w:color w:val="242121"/>
          <w:sz w:val="24"/>
          <w:szCs w:val="24"/>
          <w:lang w:eastAsia="en-ZA"/>
        </w:rPr>
      </w:pPr>
      <w:r w:rsidRPr="008A11BD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For </w:t>
      </w:r>
      <w:r>
        <w:rPr>
          <w:rFonts w:ascii="Arial" w:eastAsia="Times New Roman" w:hAnsi="Arial" w:cs="Arial"/>
          <w:color w:val="242121"/>
          <w:sz w:val="24"/>
          <w:szCs w:val="24"/>
          <w:lang w:eastAsia="en-ZA"/>
        </w:rPr>
        <w:t>the Respondent</w:t>
      </w:r>
      <w:r w:rsidRPr="008A11BD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: </w:t>
      </w:r>
      <w:r w:rsidR="00310E48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Mr T Mukwani</w:t>
      </w:r>
      <w:r w:rsidR="000D3C97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 from T Mu</w:t>
      </w:r>
      <w:r w:rsidR="00530786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kwani Attorneys</w:t>
      </w:r>
      <w:r w:rsidR="001511F9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.</w:t>
      </w:r>
      <w:r w:rsidR="00622079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 </w:t>
      </w:r>
    </w:p>
    <w:sectPr w:rsidR="00641B0D" w:rsidRPr="008A11BD" w:rsidSect="00EC392E">
      <w:headerReference w:type="defaul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6AC20C" w14:textId="77777777" w:rsidR="00214F39" w:rsidRDefault="00214F39" w:rsidP="00EE6D13">
      <w:pPr>
        <w:spacing w:after="0" w:line="240" w:lineRule="auto"/>
      </w:pPr>
      <w:r>
        <w:separator/>
      </w:r>
    </w:p>
  </w:endnote>
  <w:endnote w:type="continuationSeparator" w:id="0">
    <w:p w14:paraId="1A16BF2F" w14:textId="77777777" w:rsidR="00214F39" w:rsidRDefault="00214F39" w:rsidP="00EE6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E171A" w14:textId="77777777" w:rsidR="00214F39" w:rsidRDefault="00214F39" w:rsidP="00EE6D13">
      <w:pPr>
        <w:spacing w:after="0" w:line="240" w:lineRule="auto"/>
      </w:pPr>
      <w:r>
        <w:separator/>
      </w:r>
    </w:p>
  </w:footnote>
  <w:footnote w:type="continuationSeparator" w:id="0">
    <w:p w14:paraId="36FAB499" w14:textId="77777777" w:rsidR="00214F39" w:rsidRDefault="00214F39" w:rsidP="00EE6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509877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D56EB40" w14:textId="368ACFCD" w:rsidR="00EC392E" w:rsidRDefault="00EC392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64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68877A" w14:textId="77777777" w:rsidR="00EC392E" w:rsidRDefault="00EC39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32429"/>
    <w:multiLevelType w:val="hybridMultilevel"/>
    <w:tmpl w:val="5DDAEADE"/>
    <w:lvl w:ilvl="0" w:tplc="859E9736">
      <w:start w:val="1"/>
      <w:numFmt w:val="decimal"/>
      <w:lvlText w:val="(%1)"/>
      <w:lvlJc w:val="left"/>
      <w:pPr>
        <w:tabs>
          <w:tab w:val="num" w:pos="900"/>
        </w:tabs>
        <w:ind w:left="900" w:hanging="720"/>
      </w:pPr>
    </w:lvl>
    <w:lvl w:ilvl="1" w:tplc="08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B0D"/>
    <w:rsid w:val="00000D7A"/>
    <w:rsid w:val="00004A47"/>
    <w:rsid w:val="00034BED"/>
    <w:rsid w:val="00036F83"/>
    <w:rsid w:val="00037627"/>
    <w:rsid w:val="000415BC"/>
    <w:rsid w:val="00073E43"/>
    <w:rsid w:val="00080DAE"/>
    <w:rsid w:val="0008125A"/>
    <w:rsid w:val="000818D3"/>
    <w:rsid w:val="0008398A"/>
    <w:rsid w:val="00094891"/>
    <w:rsid w:val="000A7D86"/>
    <w:rsid w:val="000B036E"/>
    <w:rsid w:val="000D09EB"/>
    <w:rsid w:val="000D3C97"/>
    <w:rsid w:val="000D4B24"/>
    <w:rsid w:val="000E20EA"/>
    <w:rsid w:val="000E6362"/>
    <w:rsid w:val="000E70FD"/>
    <w:rsid w:val="000F1428"/>
    <w:rsid w:val="000F560E"/>
    <w:rsid w:val="000F70A1"/>
    <w:rsid w:val="000F7AC9"/>
    <w:rsid w:val="00102076"/>
    <w:rsid w:val="00117D0E"/>
    <w:rsid w:val="001327AD"/>
    <w:rsid w:val="00137854"/>
    <w:rsid w:val="00142D4D"/>
    <w:rsid w:val="001511F9"/>
    <w:rsid w:val="00156683"/>
    <w:rsid w:val="00166356"/>
    <w:rsid w:val="00173712"/>
    <w:rsid w:val="001743EB"/>
    <w:rsid w:val="00177C20"/>
    <w:rsid w:val="001804DA"/>
    <w:rsid w:val="001861D2"/>
    <w:rsid w:val="00187B0C"/>
    <w:rsid w:val="00193959"/>
    <w:rsid w:val="001A2113"/>
    <w:rsid w:val="001A639B"/>
    <w:rsid w:val="001A702A"/>
    <w:rsid w:val="001B2E07"/>
    <w:rsid w:val="001C03D5"/>
    <w:rsid w:val="001C0963"/>
    <w:rsid w:val="001C32C9"/>
    <w:rsid w:val="001C341D"/>
    <w:rsid w:val="001C527D"/>
    <w:rsid w:val="001D5293"/>
    <w:rsid w:val="001E36B9"/>
    <w:rsid w:val="001F25BC"/>
    <w:rsid w:val="00206E03"/>
    <w:rsid w:val="00214F39"/>
    <w:rsid w:val="002313F4"/>
    <w:rsid w:val="002368E5"/>
    <w:rsid w:val="002413E0"/>
    <w:rsid w:val="00264E72"/>
    <w:rsid w:val="00273CFE"/>
    <w:rsid w:val="0028115B"/>
    <w:rsid w:val="002951D9"/>
    <w:rsid w:val="0029572A"/>
    <w:rsid w:val="00297412"/>
    <w:rsid w:val="00297B7A"/>
    <w:rsid w:val="002A4BB1"/>
    <w:rsid w:val="002B497D"/>
    <w:rsid w:val="002B5A97"/>
    <w:rsid w:val="002C4D2C"/>
    <w:rsid w:val="002F21AA"/>
    <w:rsid w:val="002F7AB5"/>
    <w:rsid w:val="00302D38"/>
    <w:rsid w:val="0030761B"/>
    <w:rsid w:val="00310E48"/>
    <w:rsid w:val="00313FFE"/>
    <w:rsid w:val="003273AE"/>
    <w:rsid w:val="00332066"/>
    <w:rsid w:val="003372A6"/>
    <w:rsid w:val="003417E4"/>
    <w:rsid w:val="00344BF6"/>
    <w:rsid w:val="003533A9"/>
    <w:rsid w:val="00360C7A"/>
    <w:rsid w:val="00362FDA"/>
    <w:rsid w:val="00372BCB"/>
    <w:rsid w:val="003758F5"/>
    <w:rsid w:val="00380162"/>
    <w:rsid w:val="00382F56"/>
    <w:rsid w:val="003A2086"/>
    <w:rsid w:val="003A7956"/>
    <w:rsid w:val="003B28D2"/>
    <w:rsid w:val="003B4FA3"/>
    <w:rsid w:val="003B5DA3"/>
    <w:rsid w:val="003C3AB4"/>
    <w:rsid w:val="003C4C65"/>
    <w:rsid w:val="003C6021"/>
    <w:rsid w:val="003D14A6"/>
    <w:rsid w:val="003D69B8"/>
    <w:rsid w:val="003E18E5"/>
    <w:rsid w:val="003E21B3"/>
    <w:rsid w:val="003E576E"/>
    <w:rsid w:val="003F5B95"/>
    <w:rsid w:val="00402083"/>
    <w:rsid w:val="00407F56"/>
    <w:rsid w:val="00412530"/>
    <w:rsid w:val="004153E3"/>
    <w:rsid w:val="00426054"/>
    <w:rsid w:val="00427E7D"/>
    <w:rsid w:val="00435CF9"/>
    <w:rsid w:val="004367C1"/>
    <w:rsid w:val="0045196F"/>
    <w:rsid w:val="00455E7B"/>
    <w:rsid w:val="00457016"/>
    <w:rsid w:val="0046046D"/>
    <w:rsid w:val="004634A8"/>
    <w:rsid w:val="00484356"/>
    <w:rsid w:val="0048710B"/>
    <w:rsid w:val="00495023"/>
    <w:rsid w:val="00495BC2"/>
    <w:rsid w:val="004A3844"/>
    <w:rsid w:val="004B1F9F"/>
    <w:rsid w:val="004B3AED"/>
    <w:rsid w:val="004B6CF8"/>
    <w:rsid w:val="004C18EA"/>
    <w:rsid w:val="004C4B1F"/>
    <w:rsid w:val="004C78AB"/>
    <w:rsid w:val="004E3633"/>
    <w:rsid w:val="004E3876"/>
    <w:rsid w:val="004F0015"/>
    <w:rsid w:val="004F3501"/>
    <w:rsid w:val="00501DC9"/>
    <w:rsid w:val="00506218"/>
    <w:rsid w:val="005079AE"/>
    <w:rsid w:val="00510097"/>
    <w:rsid w:val="00516AC0"/>
    <w:rsid w:val="00526769"/>
    <w:rsid w:val="00530786"/>
    <w:rsid w:val="00531487"/>
    <w:rsid w:val="005338C2"/>
    <w:rsid w:val="00534299"/>
    <w:rsid w:val="00535970"/>
    <w:rsid w:val="0055270B"/>
    <w:rsid w:val="00557F60"/>
    <w:rsid w:val="00561D37"/>
    <w:rsid w:val="005653BE"/>
    <w:rsid w:val="005660A5"/>
    <w:rsid w:val="00581195"/>
    <w:rsid w:val="005811B3"/>
    <w:rsid w:val="00586D86"/>
    <w:rsid w:val="00592089"/>
    <w:rsid w:val="005959CF"/>
    <w:rsid w:val="005A2BF4"/>
    <w:rsid w:val="005A7111"/>
    <w:rsid w:val="005B19EE"/>
    <w:rsid w:val="005E27FF"/>
    <w:rsid w:val="005E3136"/>
    <w:rsid w:val="005F228B"/>
    <w:rsid w:val="005F5B0B"/>
    <w:rsid w:val="005F6177"/>
    <w:rsid w:val="005F6C00"/>
    <w:rsid w:val="006000DB"/>
    <w:rsid w:val="00610493"/>
    <w:rsid w:val="00610853"/>
    <w:rsid w:val="006108FF"/>
    <w:rsid w:val="00622079"/>
    <w:rsid w:val="0062519D"/>
    <w:rsid w:val="00626FB7"/>
    <w:rsid w:val="006308C3"/>
    <w:rsid w:val="00641B0D"/>
    <w:rsid w:val="0065014E"/>
    <w:rsid w:val="00651AA2"/>
    <w:rsid w:val="00652F00"/>
    <w:rsid w:val="00654776"/>
    <w:rsid w:val="00661B6D"/>
    <w:rsid w:val="006620D2"/>
    <w:rsid w:val="00662C2F"/>
    <w:rsid w:val="0066630D"/>
    <w:rsid w:val="00675A66"/>
    <w:rsid w:val="00683578"/>
    <w:rsid w:val="006849BF"/>
    <w:rsid w:val="00693B80"/>
    <w:rsid w:val="006B0A39"/>
    <w:rsid w:val="006B3A53"/>
    <w:rsid w:val="006B4009"/>
    <w:rsid w:val="006C0140"/>
    <w:rsid w:val="006C04CF"/>
    <w:rsid w:val="006C53DD"/>
    <w:rsid w:val="006D7684"/>
    <w:rsid w:val="006E119B"/>
    <w:rsid w:val="006E1935"/>
    <w:rsid w:val="006E2E9B"/>
    <w:rsid w:val="006E6C46"/>
    <w:rsid w:val="006F3D6C"/>
    <w:rsid w:val="006F4E9D"/>
    <w:rsid w:val="00707671"/>
    <w:rsid w:val="00721BB5"/>
    <w:rsid w:val="00721BFD"/>
    <w:rsid w:val="00723E49"/>
    <w:rsid w:val="00726458"/>
    <w:rsid w:val="007458EF"/>
    <w:rsid w:val="00766608"/>
    <w:rsid w:val="007737B7"/>
    <w:rsid w:val="00773B39"/>
    <w:rsid w:val="00774464"/>
    <w:rsid w:val="00782787"/>
    <w:rsid w:val="007A024D"/>
    <w:rsid w:val="007A498B"/>
    <w:rsid w:val="007C0032"/>
    <w:rsid w:val="007C65F6"/>
    <w:rsid w:val="007E2EB4"/>
    <w:rsid w:val="007E5327"/>
    <w:rsid w:val="007E5708"/>
    <w:rsid w:val="007E61A5"/>
    <w:rsid w:val="007E7895"/>
    <w:rsid w:val="007F0BE0"/>
    <w:rsid w:val="007F78D7"/>
    <w:rsid w:val="008055B9"/>
    <w:rsid w:val="008108A0"/>
    <w:rsid w:val="00811785"/>
    <w:rsid w:val="00812B1D"/>
    <w:rsid w:val="00815AF1"/>
    <w:rsid w:val="0082043E"/>
    <w:rsid w:val="0082211E"/>
    <w:rsid w:val="0084051F"/>
    <w:rsid w:val="00840EA7"/>
    <w:rsid w:val="00843B6D"/>
    <w:rsid w:val="00844CB0"/>
    <w:rsid w:val="00854F73"/>
    <w:rsid w:val="00855434"/>
    <w:rsid w:val="00866751"/>
    <w:rsid w:val="00873468"/>
    <w:rsid w:val="008740FD"/>
    <w:rsid w:val="008847CF"/>
    <w:rsid w:val="00886FDA"/>
    <w:rsid w:val="008931E4"/>
    <w:rsid w:val="008A05FF"/>
    <w:rsid w:val="008A3D34"/>
    <w:rsid w:val="008B57BE"/>
    <w:rsid w:val="008B5D85"/>
    <w:rsid w:val="008B65A6"/>
    <w:rsid w:val="008C5F40"/>
    <w:rsid w:val="008D5104"/>
    <w:rsid w:val="008E6405"/>
    <w:rsid w:val="00901575"/>
    <w:rsid w:val="00901D7B"/>
    <w:rsid w:val="009044DC"/>
    <w:rsid w:val="009051A1"/>
    <w:rsid w:val="00906BB4"/>
    <w:rsid w:val="00913249"/>
    <w:rsid w:val="00923433"/>
    <w:rsid w:val="00926D20"/>
    <w:rsid w:val="00933C06"/>
    <w:rsid w:val="00936219"/>
    <w:rsid w:val="0094275C"/>
    <w:rsid w:val="00944723"/>
    <w:rsid w:val="00946137"/>
    <w:rsid w:val="00947E26"/>
    <w:rsid w:val="009547B3"/>
    <w:rsid w:val="00957713"/>
    <w:rsid w:val="00960A85"/>
    <w:rsid w:val="00973E1D"/>
    <w:rsid w:val="0097404C"/>
    <w:rsid w:val="00984D2A"/>
    <w:rsid w:val="00996CF2"/>
    <w:rsid w:val="00997CCC"/>
    <w:rsid w:val="009A3DE4"/>
    <w:rsid w:val="009B1E3F"/>
    <w:rsid w:val="009D54B9"/>
    <w:rsid w:val="009D58F2"/>
    <w:rsid w:val="009F0D1E"/>
    <w:rsid w:val="00A1427F"/>
    <w:rsid w:val="00A20173"/>
    <w:rsid w:val="00A3557D"/>
    <w:rsid w:val="00A35D6F"/>
    <w:rsid w:val="00A4475B"/>
    <w:rsid w:val="00A52F49"/>
    <w:rsid w:val="00A665ED"/>
    <w:rsid w:val="00A83A65"/>
    <w:rsid w:val="00A90588"/>
    <w:rsid w:val="00A956D0"/>
    <w:rsid w:val="00AC2A64"/>
    <w:rsid w:val="00AC3D81"/>
    <w:rsid w:val="00AF60D8"/>
    <w:rsid w:val="00B0731C"/>
    <w:rsid w:val="00B323D3"/>
    <w:rsid w:val="00B50C04"/>
    <w:rsid w:val="00B61DF8"/>
    <w:rsid w:val="00B65FA4"/>
    <w:rsid w:val="00B7001B"/>
    <w:rsid w:val="00B71716"/>
    <w:rsid w:val="00B8443D"/>
    <w:rsid w:val="00B96D45"/>
    <w:rsid w:val="00BA12B1"/>
    <w:rsid w:val="00BA1EA4"/>
    <w:rsid w:val="00BA3D06"/>
    <w:rsid w:val="00BA5869"/>
    <w:rsid w:val="00BA623D"/>
    <w:rsid w:val="00BA6A12"/>
    <w:rsid w:val="00BB250D"/>
    <w:rsid w:val="00BB35C0"/>
    <w:rsid w:val="00BB5F61"/>
    <w:rsid w:val="00BC2088"/>
    <w:rsid w:val="00BC2B4A"/>
    <w:rsid w:val="00BD2F74"/>
    <w:rsid w:val="00BE0D3C"/>
    <w:rsid w:val="00BF472D"/>
    <w:rsid w:val="00BF6458"/>
    <w:rsid w:val="00C01753"/>
    <w:rsid w:val="00C17EFC"/>
    <w:rsid w:val="00C225D6"/>
    <w:rsid w:val="00C23A54"/>
    <w:rsid w:val="00C3263D"/>
    <w:rsid w:val="00C34B10"/>
    <w:rsid w:val="00C41B02"/>
    <w:rsid w:val="00C50979"/>
    <w:rsid w:val="00C52EB9"/>
    <w:rsid w:val="00C55DD3"/>
    <w:rsid w:val="00C572AA"/>
    <w:rsid w:val="00C64E95"/>
    <w:rsid w:val="00C650C6"/>
    <w:rsid w:val="00C77369"/>
    <w:rsid w:val="00C83F5C"/>
    <w:rsid w:val="00C87A1A"/>
    <w:rsid w:val="00C97B22"/>
    <w:rsid w:val="00CA3FDA"/>
    <w:rsid w:val="00CA5E1D"/>
    <w:rsid w:val="00CA7EFB"/>
    <w:rsid w:val="00CB1FC0"/>
    <w:rsid w:val="00CC2017"/>
    <w:rsid w:val="00CC7524"/>
    <w:rsid w:val="00CD2326"/>
    <w:rsid w:val="00CD2E65"/>
    <w:rsid w:val="00CD62D3"/>
    <w:rsid w:val="00CF2B9D"/>
    <w:rsid w:val="00CF38F8"/>
    <w:rsid w:val="00D0341B"/>
    <w:rsid w:val="00D0407D"/>
    <w:rsid w:val="00D10D77"/>
    <w:rsid w:val="00D12CAA"/>
    <w:rsid w:val="00D1461B"/>
    <w:rsid w:val="00D2097D"/>
    <w:rsid w:val="00D256BF"/>
    <w:rsid w:val="00D26605"/>
    <w:rsid w:val="00D347D6"/>
    <w:rsid w:val="00D36F2A"/>
    <w:rsid w:val="00D40903"/>
    <w:rsid w:val="00D4388E"/>
    <w:rsid w:val="00D500A4"/>
    <w:rsid w:val="00D5415A"/>
    <w:rsid w:val="00D611A0"/>
    <w:rsid w:val="00D62713"/>
    <w:rsid w:val="00D82735"/>
    <w:rsid w:val="00D86B28"/>
    <w:rsid w:val="00D939D2"/>
    <w:rsid w:val="00D95C1D"/>
    <w:rsid w:val="00DA354A"/>
    <w:rsid w:val="00DB3E30"/>
    <w:rsid w:val="00DC23FD"/>
    <w:rsid w:val="00DC35EB"/>
    <w:rsid w:val="00DC3B56"/>
    <w:rsid w:val="00DD18D9"/>
    <w:rsid w:val="00DD384D"/>
    <w:rsid w:val="00DD4C51"/>
    <w:rsid w:val="00DD57A0"/>
    <w:rsid w:val="00DD5D80"/>
    <w:rsid w:val="00DD751B"/>
    <w:rsid w:val="00DE1035"/>
    <w:rsid w:val="00DE1B32"/>
    <w:rsid w:val="00DE33F3"/>
    <w:rsid w:val="00E1146C"/>
    <w:rsid w:val="00E22C09"/>
    <w:rsid w:val="00E27388"/>
    <w:rsid w:val="00E2782E"/>
    <w:rsid w:val="00E313F2"/>
    <w:rsid w:val="00E31E36"/>
    <w:rsid w:val="00E50778"/>
    <w:rsid w:val="00E51156"/>
    <w:rsid w:val="00E52742"/>
    <w:rsid w:val="00E53725"/>
    <w:rsid w:val="00E57C37"/>
    <w:rsid w:val="00E638D8"/>
    <w:rsid w:val="00E64643"/>
    <w:rsid w:val="00E665FB"/>
    <w:rsid w:val="00E767F0"/>
    <w:rsid w:val="00E76D20"/>
    <w:rsid w:val="00E84401"/>
    <w:rsid w:val="00E902C3"/>
    <w:rsid w:val="00E91704"/>
    <w:rsid w:val="00E93BE5"/>
    <w:rsid w:val="00E95A98"/>
    <w:rsid w:val="00E95F1D"/>
    <w:rsid w:val="00E970A0"/>
    <w:rsid w:val="00EA30D7"/>
    <w:rsid w:val="00EA3CB2"/>
    <w:rsid w:val="00EB242C"/>
    <w:rsid w:val="00EC392E"/>
    <w:rsid w:val="00EC3A74"/>
    <w:rsid w:val="00ED60F4"/>
    <w:rsid w:val="00EE1A43"/>
    <w:rsid w:val="00EE219C"/>
    <w:rsid w:val="00EE30BD"/>
    <w:rsid w:val="00EE57E8"/>
    <w:rsid w:val="00EE6D13"/>
    <w:rsid w:val="00EF19C4"/>
    <w:rsid w:val="00F02009"/>
    <w:rsid w:val="00F25A05"/>
    <w:rsid w:val="00F311E9"/>
    <w:rsid w:val="00F34707"/>
    <w:rsid w:val="00F50292"/>
    <w:rsid w:val="00F60ACD"/>
    <w:rsid w:val="00F62A5A"/>
    <w:rsid w:val="00F72ABE"/>
    <w:rsid w:val="00F77879"/>
    <w:rsid w:val="00F90932"/>
    <w:rsid w:val="00FA4692"/>
    <w:rsid w:val="00FB6470"/>
    <w:rsid w:val="00FD7472"/>
    <w:rsid w:val="00FE5BFC"/>
    <w:rsid w:val="00FF2E8A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24776"/>
  <w15:chartTrackingRefBased/>
  <w15:docId w15:val="{13552320-8A86-41F2-8A64-D161CC00A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B0D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1B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B0D"/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641B0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E6D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6D13"/>
    <w:rPr>
      <w:kern w:val="0"/>
      <w:sz w:val="20"/>
      <w:szCs w:val="20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EE6D1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C3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92E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cid:image003.png@01D07774.1E4A6C9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C7175-6711-4D8A-9440-79D60538D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5</Pages>
  <Words>878</Words>
  <Characters>5006</Characters>
  <Application>Microsoft Office Word</Application>
  <DocSecurity>0</DocSecurity>
  <Lines>41</Lines>
  <Paragraphs>11</Paragraphs>
  <ScaleCrop>false</ScaleCrop>
  <Company>HP Inc.</Company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Dithipe</dc:creator>
  <cp:keywords/>
  <dc:description/>
  <cp:lastModifiedBy>Sathish</cp:lastModifiedBy>
  <cp:revision>408</cp:revision>
  <cp:lastPrinted>2023-11-22T07:13:00Z</cp:lastPrinted>
  <dcterms:created xsi:type="dcterms:W3CDTF">2023-06-14T08:40:00Z</dcterms:created>
  <dcterms:modified xsi:type="dcterms:W3CDTF">2024-01-02T18:15:00Z</dcterms:modified>
</cp:coreProperties>
</file>