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66" w:rsidRDefault="00C07B66" w:rsidP="00C07B66">
      <w:pPr>
        <w:spacing w:line="360" w:lineRule="auto"/>
        <w:jc w:val="center"/>
        <w:rPr>
          <w:rFonts w:ascii="Raavi" w:eastAsia="Calibri" w:hAnsi="Raavi" w:cs="Raavi"/>
          <w:b/>
          <w:sz w:val="28"/>
          <w:szCs w:val="28"/>
          <w:u w:val="single"/>
        </w:rPr>
      </w:pPr>
      <w:r>
        <w:rPr>
          <w:noProof/>
          <w:lang w:val="en-US"/>
        </w:rPr>
        <w:drawing>
          <wp:inline distT="0" distB="0" distL="0" distR="0" wp14:anchorId="3E25AEE3" wp14:editId="46B31E1F">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C07B66" w:rsidRPr="004A2202" w:rsidRDefault="00C07B66" w:rsidP="00C07B66">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rsidR="00C07B66" w:rsidRPr="004A2202" w:rsidRDefault="00C07B66" w:rsidP="00C07B66">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C07B66" w:rsidRPr="004A2202" w:rsidTr="00346237">
        <w:tc>
          <w:tcPr>
            <w:tcW w:w="4428" w:type="dxa"/>
          </w:tcPr>
          <w:p w:rsidR="00C07B66" w:rsidRPr="004A2202" w:rsidRDefault="00C07B66" w:rsidP="00346237">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rsidR="00C07B66" w:rsidRPr="004A2202" w:rsidRDefault="005220DD" w:rsidP="00346237">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(1) REPORTABLE:  </w:t>
            </w:r>
            <w:r w:rsidR="00C07B66" w:rsidRPr="004A2202">
              <w:rPr>
                <w:rFonts w:ascii="Times New Roman" w:eastAsia="Calibri" w:hAnsi="Times New Roman" w:cs="Times New Roman"/>
                <w:b/>
                <w:sz w:val="18"/>
                <w:szCs w:val="18"/>
              </w:rPr>
              <w:t>NO.</w:t>
            </w:r>
          </w:p>
          <w:p w:rsidR="00C07B66" w:rsidRPr="004A2202" w:rsidRDefault="00C07B66" w:rsidP="00346237">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w:t>
            </w:r>
            <w:r w:rsidR="005220DD">
              <w:rPr>
                <w:rFonts w:ascii="Times New Roman" w:eastAsia="Calibri" w:hAnsi="Times New Roman" w:cs="Times New Roman"/>
                <w:b/>
                <w:sz w:val="18"/>
                <w:szCs w:val="18"/>
              </w:rPr>
              <w:t xml:space="preserve">NTEREST TO OTHER JUDGES:  </w:t>
            </w:r>
            <w:r w:rsidRPr="004A2202">
              <w:rPr>
                <w:rFonts w:ascii="Times New Roman" w:eastAsia="Calibri" w:hAnsi="Times New Roman" w:cs="Times New Roman"/>
                <w:b/>
                <w:sz w:val="18"/>
                <w:szCs w:val="18"/>
              </w:rPr>
              <w:t>NO.</w:t>
            </w:r>
          </w:p>
          <w:p w:rsidR="00C07B66" w:rsidRPr="004A2202" w:rsidRDefault="00C07B66" w:rsidP="00346237">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rsidR="00C07B66" w:rsidRPr="004A2202" w:rsidRDefault="00582F45" w:rsidP="00346237">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2023-12-12</w:t>
            </w:r>
          </w:p>
          <w:p w:rsidR="00C07B66" w:rsidRPr="004A2202" w:rsidRDefault="00C07B66" w:rsidP="00346237">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rsidR="00C07B66" w:rsidRPr="007A364B" w:rsidRDefault="00C07B66" w:rsidP="00C07B66">
      <w:pPr>
        <w:spacing w:line="360" w:lineRule="auto"/>
        <w:jc w:val="right"/>
        <w:rPr>
          <w:rFonts w:ascii="Arial" w:eastAsia="Calibri" w:hAnsi="Arial" w:cs="Arial"/>
          <w:sz w:val="24"/>
          <w:szCs w:val="24"/>
        </w:rPr>
      </w:pPr>
      <w:r w:rsidRPr="007A364B">
        <w:rPr>
          <w:rFonts w:ascii="Arial" w:eastAsia="Calibri" w:hAnsi="Arial" w:cs="Arial"/>
          <w:sz w:val="24"/>
          <w:szCs w:val="24"/>
        </w:rPr>
        <w:t>Case Number:</w:t>
      </w:r>
      <w:r>
        <w:rPr>
          <w:rFonts w:ascii="Arial" w:eastAsia="Calibri" w:hAnsi="Arial" w:cs="Arial"/>
          <w:sz w:val="24"/>
          <w:szCs w:val="24"/>
        </w:rPr>
        <w:t xml:space="preserve">  15023/2021</w:t>
      </w:r>
      <w:r w:rsidRPr="007A364B">
        <w:rPr>
          <w:rFonts w:ascii="Arial" w:eastAsia="Calibri" w:hAnsi="Arial" w:cs="Arial"/>
          <w:sz w:val="24"/>
          <w:szCs w:val="24"/>
        </w:rPr>
        <w:t xml:space="preserve">  </w:t>
      </w:r>
    </w:p>
    <w:p w:rsidR="00C07B66" w:rsidRPr="007A364B" w:rsidRDefault="00C07B66" w:rsidP="00C07B66">
      <w:pPr>
        <w:spacing w:line="360" w:lineRule="auto"/>
        <w:jc w:val="both"/>
        <w:rPr>
          <w:rFonts w:ascii="Arial" w:eastAsia="Calibri" w:hAnsi="Arial" w:cs="Arial"/>
          <w:sz w:val="24"/>
          <w:szCs w:val="24"/>
        </w:rPr>
      </w:pPr>
      <w:r w:rsidRPr="007A364B">
        <w:rPr>
          <w:rFonts w:ascii="Arial" w:eastAsia="Calibri" w:hAnsi="Arial" w:cs="Arial"/>
          <w:sz w:val="24"/>
          <w:szCs w:val="24"/>
        </w:rPr>
        <w:t>In the matter between:</w:t>
      </w:r>
    </w:p>
    <w:p w:rsidR="00C07B66" w:rsidRDefault="00C07B66" w:rsidP="00C07B66">
      <w:pPr>
        <w:spacing w:line="360" w:lineRule="auto"/>
        <w:rPr>
          <w:rFonts w:ascii="Arial" w:hAnsi="Arial" w:cs="Arial"/>
          <w:b/>
          <w:sz w:val="24"/>
          <w:szCs w:val="24"/>
        </w:rPr>
      </w:pPr>
    </w:p>
    <w:p w:rsidR="00C07B66" w:rsidRPr="00C07B66" w:rsidRDefault="00C07B66" w:rsidP="00C07B66">
      <w:pPr>
        <w:spacing w:line="360" w:lineRule="auto"/>
        <w:rPr>
          <w:rFonts w:ascii="Arial" w:hAnsi="Arial" w:cs="Arial"/>
          <w:sz w:val="24"/>
          <w:szCs w:val="24"/>
        </w:rPr>
      </w:pPr>
      <w:r>
        <w:rPr>
          <w:rFonts w:ascii="Arial" w:hAnsi="Arial" w:cs="Arial"/>
          <w:b/>
          <w:sz w:val="24"/>
          <w:szCs w:val="24"/>
        </w:rPr>
        <w:t xml:space="preserve">RFS HOMELOANS (PTY) LTD                                                                         </w:t>
      </w:r>
      <w:r>
        <w:rPr>
          <w:rFonts w:ascii="Arial" w:hAnsi="Arial" w:cs="Arial"/>
          <w:sz w:val="24"/>
          <w:szCs w:val="24"/>
        </w:rPr>
        <w:t>Plaintiff</w:t>
      </w:r>
    </w:p>
    <w:p w:rsidR="00C07B66" w:rsidRDefault="00C07B66" w:rsidP="00C07B66">
      <w:pPr>
        <w:spacing w:line="360" w:lineRule="auto"/>
        <w:rPr>
          <w:rFonts w:ascii="Arial" w:hAnsi="Arial" w:cs="Arial"/>
          <w:sz w:val="24"/>
          <w:szCs w:val="24"/>
        </w:rPr>
      </w:pPr>
      <w:r>
        <w:rPr>
          <w:rFonts w:ascii="Arial" w:hAnsi="Arial" w:cs="Arial"/>
          <w:sz w:val="24"/>
          <w:szCs w:val="24"/>
        </w:rPr>
        <w:t>(REG. 2005/006823/07)</w:t>
      </w:r>
    </w:p>
    <w:p w:rsidR="00C07B66" w:rsidRPr="00C07B66" w:rsidRDefault="00C07B66" w:rsidP="00C07B66">
      <w:pPr>
        <w:spacing w:line="360" w:lineRule="auto"/>
        <w:rPr>
          <w:rFonts w:ascii="Arial" w:hAnsi="Arial" w:cs="Arial"/>
          <w:sz w:val="24"/>
          <w:szCs w:val="24"/>
        </w:rPr>
      </w:pPr>
    </w:p>
    <w:p w:rsidR="00C07B66" w:rsidRPr="007A364B" w:rsidRDefault="00C07B66" w:rsidP="00C07B66">
      <w:pPr>
        <w:spacing w:line="360" w:lineRule="auto"/>
        <w:rPr>
          <w:rFonts w:ascii="Arial" w:hAnsi="Arial" w:cs="Arial"/>
          <w:sz w:val="24"/>
          <w:szCs w:val="24"/>
        </w:rPr>
      </w:pPr>
      <w:r w:rsidRPr="007A364B">
        <w:rPr>
          <w:rFonts w:ascii="Arial" w:hAnsi="Arial" w:cs="Arial"/>
          <w:sz w:val="24"/>
          <w:szCs w:val="24"/>
        </w:rPr>
        <w:t>and</w:t>
      </w:r>
    </w:p>
    <w:p w:rsidR="00C07B66" w:rsidRDefault="00C07B66" w:rsidP="00C07B66">
      <w:pPr>
        <w:spacing w:line="360" w:lineRule="auto"/>
        <w:rPr>
          <w:rFonts w:ascii="Arial" w:hAnsi="Arial" w:cs="Arial"/>
          <w:b/>
          <w:sz w:val="24"/>
          <w:szCs w:val="24"/>
        </w:rPr>
      </w:pPr>
    </w:p>
    <w:p w:rsidR="00C07B66" w:rsidRPr="00C07B66" w:rsidRDefault="00C07B66" w:rsidP="00C07B66">
      <w:pPr>
        <w:spacing w:line="360" w:lineRule="auto"/>
        <w:rPr>
          <w:rFonts w:ascii="Arial" w:hAnsi="Arial" w:cs="Arial"/>
          <w:sz w:val="24"/>
          <w:szCs w:val="24"/>
        </w:rPr>
      </w:pPr>
      <w:r>
        <w:rPr>
          <w:rFonts w:ascii="Arial" w:hAnsi="Arial" w:cs="Arial"/>
          <w:b/>
          <w:sz w:val="24"/>
          <w:szCs w:val="24"/>
        </w:rPr>
        <w:t xml:space="preserve">NATIONAL FUND FOR MUNICIPAL WORKERS                                       </w:t>
      </w:r>
      <w:r>
        <w:rPr>
          <w:rFonts w:ascii="Arial" w:hAnsi="Arial" w:cs="Arial"/>
          <w:sz w:val="24"/>
          <w:szCs w:val="24"/>
        </w:rPr>
        <w:t>Defendant</w:t>
      </w:r>
    </w:p>
    <w:p w:rsidR="00C07B66" w:rsidRDefault="00C07B66" w:rsidP="00C07B66">
      <w:pPr>
        <w:spacing w:line="360" w:lineRule="auto"/>
        <w:jc w:val="both"/>
        <w:rPr>
          <w:rFonts w:ascii="Arial" w:hAnsi="Arial" w:cs="Arial"/>
          <w:b/>
          <w:sz w:val="24"/>
          <w:szCs w:val="24"/>
        </w:rPr>
      </w:pPr>
      <w:r>
        <w:rPr>
          <w:rFonts w:ascii="Arial" w:hAnsi="Arial" w:cs="Arial"/>
          <w:i/>
          <w:sz w:val="24"/>
          <w:szCs w:val="24"/>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ascii="Arial" w:hAnsi="Arial" w:cs="Arial"/>
          <w:i/>
          <w:sz w:val="24"/>
          <w:szCs w:val="24"/>
        </w:rPr>
        <w:t>CaseLines</w:t>
      </w:r>
      <w:proofErr w:type="spellEnd"/>
      <w:r>
        <w:rPr>
          <w:rFonts w:ascii="Arial" w:hAnsi="Arial" w:cs="Arial"/>
          <w:i/>
          <w:sz w:val="24"/>
          <w:szCs w:val="24"/>
        </w:rPr>
        <w:t>.  The date for handin</w:t>
      </w:r>
      <w:r w:rsidR="00582F45">
        <w:rPr>
          <w:rFonts w:ascii="Arial" w:hAnsi="Arial" w:cs="Arial"/>
          <w:i/>
          <w:sz w:val="24"/>
          <w:szCs w:val="24"/>
        </w:rPr>
        <w:t xml:space="preserve">g down is deemed to be 12 December </w:t>
      </w:r>
      <w:r>
        <w:rPr>
          <w:rFonts w:ascii="Arial" w:hAnsi="Arial" w:cs="Arial"/>
          <w:i/>
          <w:sz w:val="24"/>
          <w:szCs w:val="24"/>
        </w:rPr>
        <w:t>2023.</w:t>
      </w:r>
      <w:r>
        <w:rPr>
          <w:rFonts w:ascii="Arial" w:hAnsi="Arial" w:cs="Arial"/>
          <w:b/>
          <w:sz w:val="28"/>
          <w:szCs w:val="28"/>
        </w:rPr>
        <w:t xml:space="preserve">                          </w:t>
      </w:r>
      <w:r>
        <w:rPr>
          <w:rFonts w:ascii="Arial" w:hAnsi="Arial" w:cs="Arial"/>
          <w:b/>
          <w:sz w:val="28"/>
          <w:szCs w:val="28"/>
        </w:rPr>
        <w:tab/>
      </w:r>
    </w:p>
    <w:p w:rsidR="00C07B66" w:rsidRDefault="00C07B66" w:rsidP="00C07B66">
      <w:pPr>
        <w:spacing w:line="360" w:lineRule="auto"/>
        <w:rPr>
          <w:rFonts w:ascii="Arial" w:hAnsi="Arial" w:cs="Arial"/>
          <w:b/>
          <w:sz w:val="24"/>
          <w:szCs w:val="24"/>
        </w:rPr>
      </w:pPr>
    </w:p>
    <w:p w:rsidR="00C07B66" w:rsidRDefault="00C07B66" w:rsidP="00C07B66">
      <w:pPr>
        <w:pBdr>
          <w:top w:val="single" w:sz="12" w:space="1" w:color="auto"/>
          <w:bottom w:val="single" w:sz="12" w:space="1" w:color="auto"/>
        </w:pBdr>
        <w:spacing w:line="240" w:lineRule="auto"/>
        <w:jc w:val="center"/>
        <w:rPr>
          <w:rFonts w:ascii="Arial" w:hAnsi="Arial" w:cs="Arial"/>
          <w:b/>
          <w:sz w:val="24"/>
          <w:szCs w:val="24"/>
        </w:rPr>
      </w:pPr>
    </w:p>
    <w:p w:rsidR="00C07B66" w:rsidRDefault="00C07B66" w:rsidP="00C07B66">
      <w:pPr>
        <w:pBdr>
          <w:top w:val="single" w:sz="12" w:space="1" w:color="auto"/>
          <w:bottom w:val="single" w:sz="12" w:space="1" w:color="auto"/>
        </w:pBdr>
        <w:spacing w:line="240" w:lineRule="auto"/>
        <w:jc w:val="center"/>
        <w:rPr>
          <w:rFonts w:ascii="Arial" w:hAnsi="Arial" w:cs="Arial"/>
          <w:b/>
          <w:sz w:val="24"/>
          <w:szCs w:val="24"/>
        </w:rPr>
      </w:pPr>
      <w:r>
        <w:rPr>
          <w:rFonts w:ascii="Arial" w:hAnsi="Arial" w:cs="Arial"/>
          <w:b/>
          <w:sz w:val="24"/>
          <w:szCs w:val="24"/>
        </w:rPr>
        <w:t>JUDGMENT</w:t>
      </w:r>
    </w:p>
    <w:p w:rsidR="00C07B66" w:rsidRPr="007A364B" w:rsidRDefault="00C07B66" w:rsidP="00C07B66">
      <w:pPr>
        <w:pBdr>
          <w:top w:val="single" w:sz="12" w:space="1" w:color="auto"/>
          <w:bottom w:val="single" w:sz="12" w:space="1" w:color="auto"/>
        </w:pBdr>
        <w:spacing w:line="240" w:lineRule="auto"/>
        <w:jc w:val="center"/>
        <w:rPr>
          <w:rFonts w:ascii="Arial" w:hAnsi="Arial" w:cs="Arial"/>
          <w:b/>
          <w:sz w:val="24"/>
          <w:szCs w:val="24"/>
        </w:rPr>
      </w:pPr>
    </w:p>
    <w:p w:rsidR="00C07B66" w:rsidRPr="007A364B" w:rsidRDefault="00C07B66" w:rsidP="00C07B66">
      <w:pPr>
        <w:spacing w:line="360" w:lineRule="auto"/>
        <w:jc w:val="both"/>
        <w:rPr>
          <w:rFonts w:ascii="Arial" w:hAnsi="Arial" w:cs="Arial"/>
          <w:b/>
          <w:sz w:val="24"/>
          <w:szCs w:val="24"/>
        </w:rPr>
      </w:pPr>
    </w:p>
    <w:p w:rsidR="00C07B66" w:rsidRPr="007A364B" w:rsidRDefault="00C07B66" w:rsidP="00C07B66">
      <w:pPr>
        <w:rPr>
          <w:rFonts w:ascii="Arial" w:hAnsi="Arial" w:cs="Arial"/>
          <w:b/>
          <w:sz w:val="24"/>
          <w:szCs w:val="24"/>
        </w:rPr>
      </w:pPr>
      <w:r w:rsidRPr="007A364B">
        <w:rPr>
          <w:rFonts w:ascii="Arial" w:hAnsi="Arial" w:cs="Arial"/>
          <w:b/>
          <w:sz w:val="24"/>
          <w:szCs w:val="24"/>
        </w:rPr>
        <w:t>POTTERILL J</w:t>
      </w:r>
    </w:p>
    <w:p w:rsidR="00C07B66" w:rsidRPr="007A364B" w:rsidRDefault="00C07B66" w:rsidP="00C07B66">
      <w:pPr>
        <w:rPr>
          <w:rFonts w:ascii="Arial" w:hAnsi="Arial" w:cs="Arial"/>
          <w:b/>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Introduction</w:t>
      </w:r>
    </w:p>
    <w:p w:rsidR="00C02E1F" w:rsidRDefault="00C53746" w:rsidP="00C53746">
      <w:pPr>
        <w:spacing w:after="160" w:line="360" w:lineRule="auto"/>
        <w:jc w:val="both"/>
        <w:rPr>
          <w:rFonts w:ascii="Arial" w:hAnsi="Arial" w:cs="Arial"/>
          <w:i/>
          <w:sz w:val="24"/>
          <w:szCs w:val="24"/>
        </w:rPr>
      </w:pPr>
      <w:r w:rsidRPr="00C53746">
        <w:rPr>
          <w:rFonts w:ascii="Arial" w:hAnsi="Arial" w:cs="Arial"/>
          <w:sz w:val="24"/>
          <w:szCs w:val="24"/>
        </w:rPr>
        <w:t>[1]</w:t>
      </w:r>
      <w:r w:rsidRPr="00C53746">
        <w:rPr>
          <w:rFonts w:ascii="Arial" w:hAnsi="Arial" w:cs="Arial"/>
          <w:sz w:val="24"/>
          <w:szCs w:val="24"/>
        </w:rPr>
        <w:tab/>
        <w:t>The issue to</w:t>
      </w:r>
      <w:r w:rsidR="00C30F9E">
        <w:rPr>
          <w:rFonts w:ascii="Arial" w:hAnsi="Arial" w:cs="Arial"/>
          <w:sz w:val="24"/>
          <w:szCs w:val="24"/>
        </w:rPr>
        <w:t xml:space="preserve"> be decided is that</w:t>
      </w:r>
      <w:r w:rsidRPr="00C53746">
        <w:rPr>
          <w:rFonts w:ascii="Arial" w:hAnsi="Arial" w:cs="Arial"/>
          <w:sz w:val="24"/>
          <w:szCs w:val="24"/>
        </w:rPr>
        <w:t xml:space="preserve"> of a special plea of prescription; i.e. did a portion of the claim prescribe? The plaintiff, </w:t>
      </w:r>
      <w:r w:rsidR="00C02E1F">
        <w:rPr>
          <w:rFonts w:ascii="Arial" w:hAnsi="Arial" w:cs="Arial"/>
          <w:sz w:val="24"/>
          <w:szCs w:val="24"/>
        </w:rPr>
        <w:t xml:space="preserve">RFS </w:t>
      </w:r>
      <w:proofErr w:type="spellStart"/>
      <w:r w:rsidR="00C02E1F">
        <w:rPr>
          <w:rFonts w:ascii="Arial" w:hAnsi="Arial" w:cs="Arial"/>
          <w:sz w:val="24"/>
          <w:szCs w:val="24"/>
        </w:rPr>
        <w:t>Homel</w:t>
      </w:r>
      <w:r w:rsidRPr="00C53746">
        <w:rPr>
          <w:rFonts w:ascii="Arial" w:hAnsi="Arial" w:cs="Arial"/>
          <w:sz w:val="24"/>
          <w:szCs w:val="24"/>
        </w:rPr>
        <w:t>oans</w:t>
      </w:r>
      <w:proofErr w:type="spellEnd"/>
      <w:r w:rsidR="00C02E1F">
        <w:rPr>
          <w:rFonts w:ascii="Arial" w:hAnsi="Arial" w:cs="Arial"/>
          <w:sz w:val="24"/>
          <w:szCs w:val="24"/>
        </w:rPr>
        <w:t xml:space="preserve"> </w:t>
      </w:r>
      <w:r w:rsidRPr="00C53746">
        <w:rPr>
          <w:rFonts w:ascii="Arial" w:hAnsi="Arial" w:cs="Arial"/>
          <w:sz w:val="24"/>
          <w:szCs w:val="24"/>
        </w:rPr>
        <w:t>(Pty)</w:t>
      </w:r>
      <w:r w:rsidR="00C02E1F">
        <w:rPr>
          <w:rFonts w:ascii="Arial" w:hAnsi="Arial" w:cs="Arial"/>
          <w:sz w:val="24"/>
          <w:szCs w:val="24"/>
        </w:rPr>
        <w:t xml:space="preserve"> </w:t>
      </w:r>
      <w:r w:rsidRPr="00C53746">
        <w:rPr>
          <w:rFonts w:ascii="Arial" w:hAnsi="Arial" w:cs="Arial"/>
          <w:sz w:val="24"/>
          <w:szCs w:val="24"/>
        </w:rPr>
        <w:t>Ltd</w:t>
      </w:r>
      <w:r w:rsidR="00C02E1F">
        <w:rPr>
          <w:rFonts w:ascii="Arial" w:hAnsi="Arial" w:cs="Arial"/>
          <w:sz w:val="24"/>
          <w:szCs w:val="24"/>
        </w:rPr>
        <w:t xml:space="preserve"> </w:t>
      </w:r>
      <w:r w:rsidRPr="00C53746">
        <w:rPr>
          <w:rFonts w:ascii="Arial" w:hAnsi="Arial" w:cs="Arial"/>
          <w:sz w:val="24"/>
          <w:szCs w:val="24"/>
        </w:rPr>
        <w:t>[RFS] instituted a claim for undue enrichment [</w:t>
      </w:r>
      <w:proofErr w:type="spellStart"/>
      <w:r w:rsidRPr="00C53746">
        <w:rPr>
          <w:rFonts w:ascii="Arial" w:hAnsi="Arial" w:cs="Arial"/>
          <w:i/>
          <w:sz w:val="24"/>
          <w:szCs w:val="24"/>
        </w:rPr>
        <w:t>conditio</w:t>
      </w:r>
      <w:proofErr w:type="spellEnd"/>
      <w:r w:rsidRPr="00C53746">
        <w:rPr>
          <w:rFonts w:ascii="Arial" w:hAnsi="Arial" w:cs="Arial"/>
          <w:i/>
          <w:sz w:val="24"/>
          <w:szCs w:val="24"/>
        </w:rPr>
        <w:t xml:space="preserve"> </w:t>
      </w:r>
      <w:proofErr w:type="spellStart"/>
      <w:r w:rsidRPr="00C53746">
        <w:rPr>
          <w:rFonts w:ascii="Arial" w:hAnsi="Arial" w:cs="Arial"/>
          <w:i/>
          <w:sz w:val="24"/>
          <w:szCs w:val="24"/>
        </w:rPr>
        <w:t>indebiti</w:t>
      </w:r>
      <w:proofErr w:type="spellEnd"/>
      <w:r w:rsidRPr="00C53746">
        <w:rPr>
          <w:rFonts w:ascii="Arial" w:hAnsi="Arial" w:cs="Arial"/>
          <w:sz w:val="24"/>
          <w:szCs w:val="24"/>
        </w:rPr>
        <w:t>] again</w:t>
      </w:r>
      <w:r w:rsidR="00C02E1F">
        <w:rPr>
          <w:rFonts w:ascii="Arial" w:hAnsi="Arial" w:cs="Arial"/>
          <w:sz w:val="24"/>
          <w:szCs w:val="24"/>
        </w:rPr>
        <w:t>st the defendant, National Fund</w:t>
      </w:r>
      <w:r w:rsidRPr="00C53746">
        <w:rPr>
          <w:rFonts w:ascii="Arial" w:hAnsi="Arial" w:cs="Arial"/>
          <w:sz w:val="24"/>
          <w:szCs w:val="24"/>
        </w:rPr>
        <w:t xml:space="preserve"> for Municipal Workers</w:t>
      </w:r>
      <w:r w:rsidR="00C02E1F">
        <w:rPr>
          <w:rFonts w:ascii="Arial" w:hAnsi="Arial" w:cs="Arial"/>
          <w:sz w:val="24"/>
          <w:szCs w:val="24"/>
        </w:rPr>
        <w:t xml:space="preserve"> </w:t>
      </w:r>
      <w:r w:rsidRPr="00C53746">
        <w:rPr>
          <w:rFonts w:ascii="Arial" w:hAnsi="Arial" w:cs="Arial"/>
          <w:sz w:val="24"/>
          <w:szCs w:val="24"/>
        </w:rPr>
        <w:t xml:space="preserve">[NFMW]. In the alternative, the claim is based on payment </w:t>
      </w:r>
      <w:r w:rsidRPr="00C53746">
        <w:rPr>
          <w:rFonts w:ascii="Arial" w:hAnsi="Arial" w:cs="Arial"/>
          <w:i/>
          <w:sz w:val="24"/>
          <w:szCs w:val="24"/>
        </w:rPr>
        <w:t>sine cause</w:t>
      </w:r>
      <w:r w:rsidR="00C02E1F">
        <w:rPr>
          <w:rFonts w:ascii="Arial" w:hAnsi="Arial" w:cs="Arial"/>
          <w:i/>
          <w:sz w:val="24"/>
          <w:szCs w:val="24"/>
        </w:rPr>
        <w:t>.</w:t>
      </w:r>
    </w:p>
    <w:p w:rsidR="00C53746" w:rsidRPr="00C53746" w:rsidRDefault="00C53746" w:rsidP="00C53746">
      <w:pPr>
        <w:spacing w:after="160" w:line="360" w:lineRule="auto"/>
        <w:jc w:val="both"/>
        <w:rPr>
          <w:rFonts w:ascii="Arial" w:hAnsi="Arial" w:cs="Arial"/>
          <w:i/>
          <w:sz w:val="24"/>
          <w:szCs w:val="24"/>
        </w:rPr>
      </w:pPr>
      <w:r w:rsidRPr="00C53746">
        <w:rPr>
          <w:rFonts w:ascii="Arial" w:hAnsi="Arial" w:cs="Arial"/>
          <w:i/>
          <w:sz w:val="24"/>
          <w:szCs w:val="24"/>
        </w:rPr>
        <w:t xml:space="preserve"> </w:t>
      </w: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[2]</w:t>
      </w:r>
      <w:r w:rsidRPr="00C53746">
        <w:rPr>
          <w:rFonts w:ascii="Arial" w:hAnsi="Arial" w:cs="Arial"/>
          <w:sz w:val="24"/>
          <w:szCs w:val="24"/>
        </w:rPr>
        <w:tab/>
        <w:t>At the outset I find it necessary to set out the relevant parts of the particulars of claim, the special plea, plea and reply as pleaded:</w:t>
      </w:r>
    </w:p>
    <w:p w:rsidR="00C02E1F" w:rsidRDefault="00C02E1F" w:rsidP="00C53746">
      <w:pPr>
        <w:spacing w:after="160" w:line="360" w:lineRule="auto"/>
        <w:jc w:val="both"/>
        <w:rPr>
          <w:rFonts w:ascii="Arial" w:hAnsi="Arial" w:cs="Arial"/>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Particulars of claim</w:t>
      </w:r>
    </w:p>
    <w:p w:rsidR="00C53746" w:rsidRPr="00C53746" w:rsidRDefault="00C53746" w:rsidP="00C02E1F">
      <w:pPr>
        <w:spacing w:after="160" w:line="360" w:lineRule="auto"/>
        <w:ind w:left="720"/>
        <w:jc w:val="both"/>
        <w:rPr>
          <w:rFonts w:ascii="Arial" w:hAnsi="Arial" w:cs="Arial"/>
          <w:sz w:val="24"/>
          <w:szCs w:val="24"/>
        </w:rPr>
      </w:pPr>
      <w:r w:rsidRPr="00C53746">
        <w:rPr>
          <w:rFonts w:ascii="Arial" w:hAnsi="Arial" w:cs="Arial"/>
          <w:sz w:val="24"/>
          <w:szCs w:val="24"/>
        </w:rPr>
        <w:t>“For the period from 1 April 2011 to 31 August 2019, the plaintiff made the following payments to the defendant:</w:t>
      </w:r>
    </w:p>
    <w:p w:rsidR="00C53746" w:rsidRPr="00C53746" w:rsidRDefault="00C53746" w:rsidP="00C53746">
      <w:pPr>
        <w:spacing w:after="160" w:line="360" w:lineRule="auto"/>
        <w:jc w:val="both"/>
        <w:rPr>
          <w:rFonts w:ascii="Arial" w:hAnsi="Arial" w:cs="Arial"/>
          <w:sz w:val="24"/>
          <w:szCs w:val="24"/>
        </w:rPr>
      </w:pPr>
    </w:p>
    <w:p w:rsidR="00C53746" w:rsidRPr="00C53746" w:rsidRDefault="00C53746" w:rsidP="00C02E1F">
      <w:pPr>
        <w:spacing w:after="160" w:line="360" w:lineRule="auto"/>
        <w:ind w:firstLine="720"/>
        <w:jc w:val="both"/>
        <w:rPr>
          <w:rFonts w:ascii="Arial" w:hAnsi="Arial" w:cs="Arial"/>
          <w:sz w:val="24"/>
          <w:szCs w:val="24"/>
        </w:rPr>
      </w:pPr>
      <w:r w:rsidRPr="00C53746">
        <w:rPr>
          <w:rFonts w:ascii="Arial" w:hAnsi="Arial" w:cs="Arial"/>
          <w:sz w:val="24"/>
          <w:szCs w:val="24"/>
        </w:rPr>
        <w:t>4.1</w:t>
      </w:r>
      <w:r w:rsidRPr="00C53746">
        <w:rPr>
          <w:rFonts w:ascii="Arial" w:hAnsi="Arial" w:cs="Arial"/>
          <w:sz w:val="24"/>
          <w:szCs w:val="24"/>
        </w:rPr>
        <w:tab/>
        <w:t>2011</w:t>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t>R    776</w:t>
      </w:r>
      <w:r w:rsidR="00C02E1F">
        <w:rPr>
          <w:rFonts w:ascii="Arial" w:hAnsi="Arial" w:cs="Arial"/>
          <w:sz w:val="24"/>
          <w:szCs w:val="24"/>
        </w:rPr>
        <w:t> </w:t>
      </w:r>
      <w:r w:rsidRPr="00C53746">
        <w:rPr>
          <w:rFonts w:ascii="Arial" w:hAnsi="Arial" w:cs="Arial"/>
          <w:sz w:val="24"/>
          <w:szCs w:val="24"/>
        </w:rPr>
        <w:t>825</w:t>
      </w:r>
    </w:p>
    <w:p w:rsidR="00C53746" w:rsidRPr="00C53746" w:rsidRDefault="00C53746" w:rsidP="00C02E1F">
      <w:pPr>
        <w:spacing w:after="160" w:line="360" w:lineRule="auto"/>
        <w:ind w:firstLine="720"/>
        <w:jc w:val="both"/>
        <w:rPr>
          <w:rFonts w:ascii="Arial" w:hAnsi="Arial" w:cs="Arial"/>
          <w:sz w:val="24"/>
          <w:szCs w:val="24"/>
        </w:rPr>
      </w:pPr>
      <w:r w:rsidRPr="00C53746">
        <w:rPr>
          <w:rFonts w:ascii="Arial" w:hAnsi="Arial" w:cs="Arial"/>
          <w:sz w:val="24"/>
          <w:szCs w:val="24"/>
        </w:rPr>
        <w:t>4.2</w:t>
      </w:r>
      <w:r w:rsidRPr="00C53746">
        <w:rPr>
          <w:rFonts w:ascii="Arial" w:hAnsi="Arial" w:cs="Arial"/>
          <w:sz w:val="24"/>
          <w:szCs w:val="24"/>
        </w:rPr>
        <w:tab/>
        <w:t>2012</w:t>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t>R 1 062</w:t>
      </w:r>
      <w:r w:rsidR="00C02E1F">
        <w:rPr>
          <w:rFonts w:ascii="Arial" w:hAnsi="Arial" w:cs="Arial"/>
          <w:sz w:val="24"/>
          <w:szCs w:val="24"/>
        </w:rPr>
        <w:t> </w:t>
      </w:r>
      <w:r w:rsidRPr="00C53746">
        <w:rPr>
          <w:rFonts w:ascii="Arial" w:hAnsi="Arial" w:cs="Arial"/>
          <w:sz w:val="24"/>
          <w:szCs w:val="24"/>
        </w:rPr>
        <w:t>532</w:t>
      </w:r>
    </w:p>
    <w:p w:rsidR="00C53746" w:rsidRPr="00C53746" w:rsidRDefault="00C53746" w:rsidP="00C02E1F">
      <w:pPr>
        <w:spacing w:after="160" w:line="360" w:lineRule="auto"/>
        <w:ind w:firstLine="720"/>
        <w:jc w:val="both"/>
        <w:rPr>
          <w:rFonts w:ascii="Arial" w:hAnsi="Arial" w:cs="Arial"/>
          <w:sz w:val="24"/>
          <w:szCs w:val="24"/>
        </w:rPr>
      </w:pPr>
      <w:r w:rsidRPr="00C53746">
        <w:rPr>
          <w:rFonts w:ascii="Arial" w:hAnsi="Arial" w:cs="Arial"/>
          <w:sz w:val="24"/>
          <w:szCs w:val="24"/>
        </w:rPr>
        <w:t>4.3</w:t>
      </w:r>
      <w:r w:rsidRPr="00C53746">
        <w:rPr>
          <w:rFonts w:ascii="Arial" w:hAnsi="Arial" w:cs="Arial"/>
          <w:sz w:val="24"/>
          <w:szCs w:val="24"/>
        </w:rPr>
        <w:tab/>
        <w:t>2013</w:t>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t>R 1 099</w:t>
      </w:r>
      <w:r w:rsidR="00C02E1F">
        <w:rPr>
          <w:rFonts w:ascii="Arial" w:hAnsi="Arial" w:cs="Arial"/>
          <w:sz w:val="24"/>
          <w:szCs w:val="24"/>
        </w:rPr>
        <w:t> </w:t>
      </w:r>
      <w:r w:rsidRPr="00C53746">
        <w:rPr>
          <w:rFonts w:ascii="Arial" w:hAnsi="Arial" w:cs="Arial"/>
          <w:sz w:val="24"/>
          <w:szCs w:val="24"/>
        </w:rPr>
        <w:t>743</w:t>
      </w:r>
    </w:p>
    <w:p w:rsidR="00C53746" w:rsidRPr="00C53746" w:rsidRDefault="00C53746" w:rsidP="00C02E1F">
      <w:pPr>
        <w:spacing w:after="160" w:line="360" w:lineRule="auto"/>
        <w:ind w:firstLine="720"/>
        <w:jc w:val="both"/>
        <w:rPr>
          <w:rFonts w:ascii="Arial" w:hAnsi="Arial" w:cs="Arial"/>
          <w:sz w:val="24"/>
          <w:szCs w:val="24"/>
        </w:rPr>
      </w:pPr>
      <w:r w:rsidRPr="00C53746">
        <w:rPr>
          <w:rFonts w:ascii="Arial" w:hAnsi="Arial" w:cs="Arial"/>
          <w:sz w:val="24"/>
          <w:szCs w:val="24"/>
        </w:rPr>
        <w:t>4.4</w:t>
      </w:r>
      <w:r w:rsidRPr="00C53746">
        <w:rPr>
          <w:rFonts w:ascii="Arial" w:hAnsi="Arial" w:cs="Arial"/>
          <w:sz w:val="24"/>
          <w:szCs w:val="24"/>
        </w:rPr>
        <w:tab/>
        <w:t>2014</w:t>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t>R 1 164</w:t>
      </w:r>
      <w:r w:rsidR="00C02E1F">
        <w:rPr>
          <w:rFonts w:ascii="Arial" w:hAnsi="Arial" w:cs="Arial"/>
          <w:sz w:val="24"/>
          <w:szCs w:val="24"/>
        </w:rPr>
        <w:t> </w:t>
      </w:r>
      <w:r w:rsidRPr="00C53746">
        <w:rPr>
          <w:rFonts w:ascii="Arial" w:hAnsi="Arial" w:cs="Arial"/>
          <w:sz w:val="24"/>
          <w:szCs w:val="24"/>
        </w:rPr>
        <w:t>177</w:t>
      </w:r>
    </w:p>
    <w:p w:rsidR="00C53746" w:rsidRPr="00C53746" w:rsidRDefault="00C53746" w:rsidP="00C02E1F">
      <w:pPr>
        <w:spacing w:after="160" w:line="360" w:lineRule="auto"/>
        <w:ind w:firstLine="720"/>
        <w:jc w:val="both"/>
        <w:rPr>
          <w:rFonts w:ascii="Arial" w:hAnsi="Arial" w:cs="Arial"/>
          <w:sz w:val="24"/>
          <w:szCs w:val="24"/>
        </w:rPr>
      </w:pPr>
      <w:r w:rsidRPr="00C53746">
        <w:rPr>
          <w:rFonts w:ascii="Arial" w:hAnsi="Arial" w:cs="Arial"/>
          <w:sz w:val="24"/>
          <w:szCs w:val="24"/>
        </w:rPr>
        <w:t>4.5</w:t>
      </w:r>
      <w:r w:rsidRPr="00C53746">
        <w:rPr>
          <w:rFonts w:ascii="Arial" w:hAnsi="Arial" w:cs="Arial"/>
          <w:sz w:val="24"/>
          <w:szCs w:val="24"/>
        </w:rPr>
        <w:tab/>
        <w:t>2015</w:t>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t>R 1 324</w:t>
      </w:r>
      <w:r w:rsidR="00C02E1F">
        <w:rPr>
          <w:rFonts w:ascii="Arial" w:hAnsi="Arial" w:cs="Arial"/>
          <w:sz w:val="24"/>
          <w:szCs w:val="24"/>
        </w:rPr>
        <w:t> </w:t>
      </w:r>
      <w:r w:rsidRPr="00C53746">
        <w:rPr>
          <w:rFonts w:ascii="Arial" w:hAnsi="Arial" w:cs="Arial"/>
          <w:sz w:val="24"/>
          <w:szCs w:val="24"/>
        </w:rPr>
        <w:t>418</w:t>
      </w:r>
    </w:p>
    <w:p w:rsidR="00C53746" w:rsidRPr="00C53746" w:rsidRDefault="00C53746" w:rsidP="00C02E1F">
      <w:pPr>
        <w:spacing w:after="160" w:line="360" w:lineRule="auto"/>
        <w:ind w:firstLine="720"/>
        <w:jc w:val="both"/>
        <w:rPr>
          <w:rFonts w:ascii="Arial" w:hAnsi="Arial" w:cs="Arial"/>
          <w:sz w:val="24"/>
          <w:szCs w:val="24"/>
        </w:rPr>
      </w:pPr>
      <w:r w:rsidRPr="00C53746">
        <w:rPr>
          <w:rFonts w:ascii="Arial" w:hAnsi="Arial" w:cs="Arial"/>
          <w:sz w:val="24"/>
          <w:szCs w:val="24"/>
        </w:rPr>
        <w:t>4.6</w:t>
      </w:r>
      <w:r w:rsidRPr="00C53746">
        <w:rPr>
          <w:rFonts w:ascii="Arial" w:hAnsi="Arial" w:cs="Arial"/>
          <w:sz w:val="24"/>
          <w:szCs w:val="24"/>
        </w:rPr>
        <w:tab/>
        <w:t>2016</w:t>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t>R 1 464</w:t>
      </w:r>
      <w:r w:rsidR="00C02E1F">
        <w:rPr>
          <w:rFonts w:ascii="Arial" w:hAnsi="Arial" w:cs="Arial"/>
          <w:sz w:val="24"/>
          <w:szCs w:val="24"/>
        </w:rPr>
        <w:t> </w:t>
      </w:r>
      <w:r w:rsidRPr="00C53746">
        <w:rPr>
          <w:rFonts w:ascii="Arial" w:hAnsi="Arial" w:cs="Arial"/>
          <w:sz w:val="24"/>
          <w:szCs w:val="24"/>
        </w:rPr>
        <w:t>554</w:t>
      </w:r>
    </w:p>
    <w:p w:rsidR="00C53746" w:rsidRPr="00C53746" w:rsidRDefault="00C53746" w:rsidP="00C02E1F">
      <w:pPr>
        <w:spacing w:after="160" w:line="360" w:lineRule="auto"/>
        <w:ind w:firstLine="720"/>
        <w:jc w:val="both"/>
        <w:rPr>
          <w:rFonts w:ascii="Arial" w:hAnsi="Arial" w:cs="Arial"/>
          <w:sz w:val="24"/>
          <w:szCs w:val="24"/>
        </w:rPr>
      </w:pPr>
      <w:r w:rsidRPr="00C53746">
        <w:rPr>
          <w:rFonts w:ascii="Arial" w:hAnsi="Arial" w:cs="Arial"/>
          <w:sz w:val="24"/>
          <w:szCs w:val="24"/>
        </w:rPr>
        <w:lastRenderedPageBreak/>
        <w:t>4.7</w:t>
      </w:r>
      <w:r w:rsidRPr="00C53746">
        <w:rPr>
          <w:rFonts w:ascii="Arial" w:hAnsi="Arial" w:cs="Arial"/>
          <w:sz w:val="24"/>
          <w:szCs w:val="24"/>
        </w:rPr>
        <w:tab/>
        <w:t>2017</w:t>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t>R 1 602</w:t>
      </w:r>
      <w:r w:rsidR="00C02E1F">
        <w:rPr>
          <w:rFonts w:ascii="Arial" w:hAnsi="Arial" w:cs="Arial"/>
          <w:sz w:val="24"/>
          <w:szCs w:val="24"/>
        </w:rPr>
        <w:t> </w:t>
      </w:r>
      <w:r w:rsidRPr="00C53746">
        <w:rPr>
          <w:rFonts w:ascii="Arial" w:hAnsi="Arial" w:cs="Arial"/>
          <w:sz w:val="24"/>
          <w:szCs w:val="24"/>
        </w:rPr>
        <w:t>114</w:t>
      </w:r>
    </w:p>
    <w:p w:rsidR="00C53746" w:rsidRPr="00C53746" w:rsidRDefault="00C53746" w:rsidP="00C02E1F">
      <w:pPr>
        <w:spacing w:after="160" w:line="360" w:lineRule="auto"/>
        <w:ind w:firstLine="720"/>
        <w:jc w:val="both"/>
        <w:rPr>
          <w:rFonts w:ascii="Arial" w:hAnsi="Arial" w:cs="Arial"/>
          <w:sz w:val="24"/>
          <w:szCs w:val="24"/>
        </w:rPr>
      </w:pPr>
      <w:r w:rsidRPr="00C53746">
        <w:rPr>
          <w:rFonts w:ascii="Arial" w:hAnsi="Arial" w:cs="Arial"/>
          <w:sz w:val="24"/>
          <w:szCs w:val="24"/>
        </w:rPr>
        <w:t>4.8</w:t>
      </w:r>
      <w:r w:rsidRPr="00C53746">
        <w:rPr>
          <w:rFonts w:ascii="Arial" w:hAnsi="Arial" w:cs="Arial"/>
          <w:sz w:val="24"/>
          <w:szCs w:val="24"/>
        </w:rPr>
        <w:tab/>
        <w:t>2018</w:t>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t>R 1 756</w:t>
      </w:r>
      <w:r w:rsidR="00C02E1F">
        <w:rPr>
          <w:rFonts w:ascii="Arial" w:hAnsi="Arial" w:cs="Arial"/>
          <w:sz w:val="24"/>
          <w:szCs w:val="24"/>
        </w:rPr>
        <w:t> </w:t>
      </w:r>
      <w:r w:rsidRPr="00C53746">
        <w:rPr>
          <w:rFonts w:ascii="Arial" w:hAnsi="Arial" w:cs="Arial"/>
          <w:sz w:val="24"/>
          <w:szCs w:val="24"/>
        </w:rPr>
        <w:t>491</w:t>
      </w:r>
    </w:p>
    <w:p w:rsidR="00C53746" w:rsidRPr="00C53746" w:rsidRDefault="00C53746" w:rsidP="00C02E1F">
      <w:pPr>
        <w:spacing w:after="160" w:line="360" w:lineRule="auto"/>
        <w:ind w:firstLine="720"/>
        <w:jc w:val="both"/>
        <w:rPr>
          <w:rFonts w:ascii="Arial" w:hAnsi="Arial" w:cs="Arial"/>
          <w:sz w:val="24"/>
          <w:szCs w:val="24"/>
          <w:u w:val="single"/>
        </w:rPr>
      </w:pPr>
      <w:r w:rsidRPr="00C53746">
        <w:rPr>
          <w:rFonts w:ascii="Arial" w:hAnsi="Arial" w:cs="Arial"/>
          <w:sz w:val="24"/>
          <w:szCs w:val="24"/>
        </w:rPr>
        <w:t>4.9</w:t>
      </w:r>
      <w:r w:rsidRPr="00C53746">
        <w:rPr>
          <w:rFonts w:ascii="Arial" w:hAnsi="Arial" w:cs="Arial"/>
          <w:sz w:val="24"/>
          <w:szCs w:val="24"/>
        </w:rPr>
        <w:tab/>
        <w:t>2019</w:t>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u w:val="single"/>
        </w:rPr>
        <w:t>R 1 265 958</w:t>
      </w:r>
    </w:p>
    <w:p w:rsidR="00C53746" w:rsidRPr="00C53746" w:rsidRDefault="00C53746" w:rsidP="00C53746">
      <w:pPr>
        <w:spacing w:after="160" w:line="360" w:lineRule="auto"/>
        <w:jc w:val="both"/>
        <w:rPr>
          <w:rFonts w:ascii="Arial" w:hAnsi="Arial" w:cs="Arial"/>
          <w:sz w:val="24"/>
          <w:szCs w:val="24"/>
          <w:u w:val="single"/>
        </w:rPr>
      </w:pPr>
      <w:r w:rsidRPr="00C53746">
        <w:rPr>
          <w:rFonts w:ascii="Arial" w:hAnsi="Arial" w:cs="Arial"/>
          <w:sz w:val="24"/>
          <w:szCs w:val="24"/>
        </w:rPr>
        <w:tab/>
      </w:r>
      <w:r w:rsidR="00C02E1F">
        <w:rPr>
          <w:rFonts w:ascii="Arial" w:hAnsi="Arial" w:cs="Arial"/>
          <w:sz w:val="24"/>
          <w:szCs w:val="24"/>
        </w:rPr>
        <w:tab/>
      </w:r>
      <w:r w:rsidRPr="00C53746">
        <w:rPr>
          <w:rFonts w:ascii="Arial" w:hAnsi="Arial" w:cs="Arial"/>
          <w:sz w:val="24"/>
          <w:szCs w:val="24"/>
        </w:rPr>
        <w:t>TOTAL</w:t>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rPr>
        <w:tab/>
      </w:r>
      <w:r w:rsidRPr="00C53746">
        <w:rPr>
          <w:rFonts w:ascii="Arial" w:hAnsi="Arial" w:cs="Arial"/>
          <w:sz w:val="24"/>
          <w:szCs w:val="24"/>
          <w:u w:val="single"/>
        </w:rPr>
        <w:t>R11 517 811”</w:t>
      </w:r>
    </w:p>
    <w:p w:rsid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This constitutes the amounts claimed.</w:t>
      </w:r>
    </w:p>
    <w:p w:rsidR="00C02E1F" w:rsidRPr="00C53746" w:rsidRDefault="00C02E1F" w:rsidP="00C53746">
      <w:pPr>
        <w:spacing w:after="160" w:line="360" w:lineRule="auto"/>
        <w:jc w:val="both"/>
        <w:rPr>
          <w:rFonts w:ascii="Arial" w:hAnsi="Arial" w:cs="Arial"/>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The Plea</w:t>
      </w:r>
    </w:p>
    <w:p w:rsid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The defendant pleaded to this paragraph as follows:</w:t>
      </w:r>
    </w:p>
    <w:p w:rsidR="00886539" w:rsidRDefault="00886539" w:rsidP="006E25DB">
      <w:pPr>
        <w:spacing w:after="160" w:line="360" w:lineRule="auto"/>
        <w:ind w:left="144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In the paragraph under reply (and the particulars of claim as a whole) the Plaintiff does not disclose whether the amounts allegedly made by the Plaintiff to the Defendant during the years 2011, 2012, 2013, 2014, 2015, 2016, 2017, 2018 and 2019 were made in each year:</w:t>
      </w:r>
    </w:p>
    <w:p w:rsidR="00886539" w:rsidRDefault="00886539" w:rsidP="006E25DB">
      <w:pPr>
        <w:spacing w:after="160" w:line="360" w:lineRule="auto"/>
        <w:ind w:left="2160" w:hanging="720"/>
        <w:jc w:val="both"/>
        <w:rPr>
          <w:rFonts w:ascii="Arial" w:hAnsi="Arial" w:cs="Arial"/>
          <w:sz w:val="24"/>
          <w:szCs w:val="24"/>
        </w:rPr>
      </w:pPr>
      <w:r>
        <w:rPr>
          <w:rFonts w:ascii="Arial" w:hAnsi="Arial" w:cs="Arial"/>
          <w:sz w:val="24"/>
          <w:szCs w:val="24"/>
        </w:rPr>
        <w:t>12.1</w:t>
      </w:r>
      <w:r>
        <w:rPr>
          <w:rFonts w:ascii="Arial" w:hAnsi="Arial" w:cs="Arial"/>
          <w:sz w:val="24"/>
          <w:szCs w:val="24"/>
        </w:rPr>
        <w:tab/>
        <w:t>in a singular payment for each identified year that are reflected in the figures provided in sub-paragraphs 4.1 to 4.9</w:t>
      </w:r>
      <w:proofErr w:type="gramStart"/>
      <w:r>
        <w:rPr>
          <w:rFonts w:ascii="Arial" w:hAnsi="Arial" w:cs="Arial"/>
          <w:sz w:val="24"/>
          <w:szCs w:val="24"/>
        </w:rPr>
        <w:t>;  or</w:t>
      </w:r>
      <w:proofErr w:type="gramEnd"/>
    </w:p>
    <w:p w:rsidR="00886539" w:rsidRDefault="00886539" w:rsidP="006E25DB">
      <w:pPr>
        <w:spacing w:after="160" w:line="360" w:lineRule="auto"/>
        <w:ind w:left="2160" w:hanging="720"/>
        <w:jc w:val="both"/>
        <w:rPr>
          <w:rFonts w:ascii="Arial" w:hAnsi="Arial" w:cs="Arial"/>
          <w:sz w:val="24"/>
          <w:szCs w:val="24"/>
        </w:rPr>
      </w:pPr>
      <w:r>
        <w:rPr>
          <w:rFonts w:ascii="Arial" w:hAnsi="Arial" w:cs="Arial"/>
          <w:sz w:val="24"/>
          <w:szCs w:val="24"/>
        </w:rPr>
        <w:t>12.2</w:t>
      </w:r>
      <w:r>
        <w:rPr>
          <w:rFonts w:ascii="Arial" w:hAnsi="Arial" w:cs="Arial"/>
          <w:sz w:val="24"/>
          <w:szCs w:val="24"/>
        </w:rPr>
        <w:tab/>
        <w:t xml:space="preserve">in multiple payments in each identified year, that are reflected only in the total amounts reflected in the figures provided in sub-paragraphs 4.1 to 4.9.” </w:t>
      </w:r>
    </w:p>
    <w:p w:rsidR="006E25DB" w:rsidRPr="00C53746" w:rsidRDefault="006E25DB" w:rsidP="006E25DB">
      <w:pPr>
        <w:spacing w:after="160" w:line="360" w:lineRule="auto"/>
        <w:ind w:left="2160" w:hanging="720"/>
        <w:jc w:val="both"/>
        <w:rPr>
          <w:rFonts w:ascii="Arial" w:hAnsi="Arial" w:cs="Arial"/>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The Defendant’s special plea reads as follows</w:t>
      </w:r>
      <w:r w:rsidR="00886539">
        <w:rPr>
          <w:rFonts w:ascii="Arial" w:hAnsi="Arial" w:cs="Arial"/>
          <w:sz w:val="24"/>
          <w:szCs w:val="24"/>
        </w:rPr>
        <w:t>:</w:t>
      </w:r>
    </w:p>
    <w:p w:rsidR="00C53746" w:rsidRPr="00C53746" w:rsidRDefault="00B20D59" w:rsidP="006E25DB">
      <w:pPr>
        <w:spacing w:after="160" w:line="360" w:lineRule="auto"/>
        <w:ind w:left="1440" w:hanging="720"/>
        <w:contextualSpacing/>
        <w:jc w:val="both"/>
        <w:rPr>
          <w:rFonts w:ascii="Arial" w:hAnsi="Arial" w:cs="Arial"/>
          <w:sz w:val="24"/>
          <w:szCs w:val="24"/>
        </w:rPr>
      </w:pPr>
      <w:r>
        <w:rPr>
          <w:rFonts w:ascii="Arial" w:hAnsi="Arial" w:cs="Arial"/>
          <w:sz w:val="24"/>
          <w:szCs w:val="24"/>
        </w:rPr>
        <w:t>“</w:t>
      </w:r>
      <w:r w:rsidR="006E25DB">
        <w:rPr>
          <w:rFonts w:ascii="Arial" w:hAnsi="Arial" w:cs="Arial"/>
          <w:sz w:val="24"/>
          <w:szCs w:val="24"/>
        </w:rPr>
        <w:t>1.</w:t>
      </w:r>
      <w:r w:rsidR="006E25DB">
        <w:rPr>
          <w:rFonts w:ascii="Arial" w:hAnsi="Arial" w:cs="Arial"/>
          <w:sz w:val="24"/>
          <w:szCs w:val="24"/>
        </w:rPr>
        <w:tab/>
      </w:r>
      <w:r w:rsidR="00C53746" w:rsidRPr="00C53746">
        <w:rPr>
          <w:rFonts w:ascii="Arial" w:hAnsi="Arial" w:cs="Arial"/>
          <w:sz w:val="24"/>
          <w:szCs w:val="24"/>
        </w:rPr>
        <w:t>The Plaintiff’s claim is, inter alia for a payment of amounts allegedly made by the Plaintiff to the Defendant during the years 2011, 2012, 2013, 2014, 2015, 2016, 2017 and 2018.</w:t>
      </w:r>
    </w:p>
    <w:p w:rsidR="00C53746" w:rsidRPr="00DA0421" w:rsidRDefault="00DA0421" w:rsidP="00DA0421">
      <w:pPr>
        <w:spacing w:after="160" w:line="360" w:lineRule="auto"/>
        <w:ind w:left="1440" w:hanging="731"/>
        <w:jc w:val="both"/>
        <w:rPr>
          <w:rFonts w:ascii="Arial" w:hAnsi="Arial" w:cs="Arial"/>
          <w:sz w:val="24"/>
          <w:szCs w:val="24"/>
        </w:rPr>
      </w:pPr>
      <w:r w:rsidRPr="006E25DB">
        <w:rPr>
          <w:rFonts w:ascii="Arial" w:hAnsi="Arial" w:cs="Arial"/>
          <w:sz w:val="24"/>
          <w:szCs w:val="24"/>
        </w:rPr>
        <w:t>2.</w:t>
      </w:r>
      <w:r w:rsidRPr="006E25DB">
        <w:rPr>
          <w:rFonts w:ascii="Arial" w:hAnsi="Arial" w:cs="Arial"/>
          <w:sz w:val="24"/>
          <w:szCs w:val="24"/>
        </w:rPr>
        <w:tab/>
      </w:r>
      <w:r w:rsidR="00C53746" w:rsidRPr="00DA0421">
        <w:rPr>
          <w:rFonts w:ascii="Arial" w:hAnsi="Arial" w:cs="Arial"/>
          <w:sz w:val="24"/>
          <w:szCs w:val="24"/>
        </w:rPr>
        <w:t>The amounts claimed in respect of the years identified in paragraph 1 above, constitutes a debt as contemplated by the provisions of section 11(d) of the Prescription Act, 68 of 1969 (“the Prescription Act”).</w:t>
      </w:r>
    </w:p>
    <w:p w:rsidR="00C53746" w:rsidRPr="00DA0421" w:rsidRDefault="00DA0421" w:rsidP="00DA0421">
      <w:pPr>
        <w:spacing w:after="160" w:line="360" w:lineRule="auto"/>
        <w:ind w:left="709"/>
        <w:jc w:val="both"/>
        <w:rPr>
          <w:rFonts w:ascii="Arial" w:hAnsi="Arial" w:cs="Arial"/>
          <w:sz w:val="24"/>
          <w:szCs w:val="24"/>
        </w:rPr>
      </w:pPr>
      <w:r w:rsidRPr="006E25DB">
        <w:rPr>
          <w:rFonts w:ascii="Arial" w:hAnsi="Arial" w:cs="Arial"/>
          <w:sz w:val="24"/>
          <w:szCs w:val="24"/>
        </w:rPr>
        <w:t>3.</w:t>
      </w:r>
      <w:r w:rsidRPr="006E25DB">
        <w:rPr>
          <w:rFonts w:ascii="Arial" w:hAnsi="Arial" w:cs="Arial"/>
          <w:sz w:val="24"/>
          <w:szCs w:val="24"/>
        </w:rPr>
        <w:tab/>
      </w:r>
      <w:r w:rsidR="00C53746" w:rsidRPr="00DA0421">
        <w:rPr>
          <w:rFonts w:ascii="Arial" w:hAnsi="Arial" w:cs="Arial"/>
          <w:sz w:val="24"/>
          <w:szCs w:val="24"/>
        </w:rPr>
        <w:t>The Plaintiff’s claim is based on enrichment.</w:t>
      </w:r>
    </w:p>
    <w:p w:rsidR="00C53746" w:rsidRPr="00DA0421" w:rsidRDefault="00DA0421" w:rsidP="00DA0421">
      <w:pPr>
        <w:spacing w:after="160" w:line="360" w:lineRule="auto"/>
        <w:ind w:left="1440" w:hanging="731"/>
        <w:jc w:val="both"/>
        <w:rPr>
          <w:rFonts w:ascii="Arial" w:hAnsi="Arial" w:cs="Arial"/>
          <w:sz w:val="24"/>
          <w:szCs w:val="24"/>
        </w:rPr>
      </w:pPr>
      <w:r w:rsidRPr="006E25DB">
        <w:rPr>
          <w:rFonts w:ascii="Arial" w:hAnsi="Arial" w:cs="Arial"/>
          <w:sz w:val="24"/>
          <w:szCs w:val="24"/>
        </w:rPr>
        <w:t>4.</w:t>
      </w:r>
      <w:r w:rsidRPr="006E25DB">
        <w:rPr>
          <w:rFonts w:ascii="Arial" w:hAnsi="Arial" w:cs="Arial"/>
          <w:sz w:val="24"/>
          <w:szCs w:val="24"/>
        </w:rPr>
        <w:tab/>
      </w:r>
      <w:r w:rsidR="00C53746" w:rsidRPr="00DA0421">
        <w:rPr>
          <w:rFonts w:ascii="Arial" w:hAnsi="Arial" w:cs="Arial"/>
          <w:sz w:val="24"/>
          <w:szCs w:val="24"/>
        </w:rPr>
        <w:t>The running of prescription of the claim commenced immediately after the alleged payments were made.</w:t>
      </w:r>
    </w:p>
    <w:p w:rsidR="00C53746" w:rsidRPr="00C53746" w:rsidRDefault="00DA0421" w:rsidP="00DA0421">
      <w:pPr>
        <w:spacing w:after="160" w:line="360" w:lineRule="auto"/>
        <w:ind w:left="1418" w:hanging="698"/>
        <w:contextualSpacing/>
        <w:jc w:val="both"/>
        <w:rPr>
          <w:rFonts w:ascii="Arial" w:hAnsi="Arial" w:cs="Arial"/>
          <w:sz w:val="24"/>
          <w:szCs w:val="24"/>
        </w:rPr>
      </w:pPr>
      <w:r w:rsidRPr="00C53746">
        <w:rPr>
          <w:rFonts w:ascii="Arial" w:hAnsi="Arial" w:cs="Arial"/>
          <w:sz w:val="24"/>
          <w:szCs w:val="24"/>
        </w:rPr>
        <w:lastRenderedPageBreak/>
        <w:t>5.</w:t>
      </w:r>
      <w:r w:rsidRPr="00C53746">
        <w:rPr>
          <w:rFonts w:ascii="Arial" w:hAnsi="Arial" w:cs="Arial"/>
          <w:sz w:val="24"/>
          <w:szCs w:val="24"/>
        </w:rPr>
        <w:tab/>
      </w:r>
      <w:r w:rsidR="00C53746" w:rsidRPr="00C53746">
        <w:rPr>
          <w:rFonts w:ascii="Arial" w:hAnsi="Arial" w:cs="Arial"/>
          <w:sz w:val="24"/>
          <w:szCs w:val="24"/>
        </w:rPr>
        <w:t>In consequence, the alleged debts claimed for the years 2011, 2012, 2013, 2014, 2015, 2016, 2017 and 2018 were extinguished by prescription, as intended by the provisions of section 10(1) of the Prescription Act.</w:t>
      </w:r>
    </w:p>
    <w:p w:rsidR="00C53746" w:rsidRPr="00C53746" w:rsidRDefault="00DA0421" w:rsidP="00DA0421">
      <w:pPr>
        <w:spacing w:after="160" w:line="360" w:lineRule="auto"/>
        <w:ind w:left="1418" w:hanging="698"/>
        <w:contextualSpacing/>
        <w:jc w:val="both"/>
        <w:rPr>
          <w:rFonts w:ascii="Arial" w:hAnsi="Arial" w:cs="Arial"/>
          <w:sz w:val="24"/>
          <w:szCs w:val="24"/>
        </w:rPr>
      </w:pPr>
      <w:r w:rsidRPr="00C53746">
        <w:rPr>
          <w:rFonts w:ascii="Arial" w:hAnsi="Arial" w:cs="Arial"/>
          <w:sz w:val="24"/>
          <w:szCs w:val="24"/>
        </w:rPr>
        <w:t>6.</w:t>
      </w:r>
      <w:r w:rsidRPr="00C53746">
        <w:rPr>
          <w:rFonts w:ascii="Arial" w:hAnsi="Arial" w:cs="Arial"/>
          <w:sz w:val="24"/>
          <w:szCs w:val="24"/>
        </w:rPr>
        <w:tab/>
      </w:r>
      <w:r w:rsidR="00C53746" w:rsidRPr="00C53746">
        <w:rPr>
          <w:rFonts w:ascii="Arial" w:hAnsi="Arial" w:cs="Arial"/>
          <w:sz w:val="24"/>
          <w:szCs w:val="24"/>
        </w:rPr>
        <w:t>The Defendant accordingly pleads that the Plaintiff’s claim in respect of amounts allegedly made by the Plaintiff to the Defendant during the years 2011, 2012, 2013, 2014, 2015, 2016, 2017 and 2018 be dismissed, with costs.”</w:t>
      </w:r>
    </w:p>
    <w:p w:rsidR="00B20D59" w:rsidRDefault="00B20D59" w:rsidP="00C53746">
      <w:pPr>
        <w:spacing w:after="160" w:line="360" w:lineRule="auto"/>
        <w:jc w:val="both"/>
        <w:rPr>
          <w:rFonts w:ascii="Arial" w:hAnsi="Arial" w:cs="Arial"/>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In reply the plaintiff claims that:</w:t>
      </w:r>
    </w:p>
    <w:p w:rsidR="00C53746" w:rsidRPr="00C53746" w:rsidRDefault="00C53746" w:rsidP="00C53746">
      <w:pPr>
        <w:spacing w:after="160" w:line="360" w:lineRule="auto"/>
        <w:ind w:left="720"/>
        <w:jc w:val="both"/>
        <w:rPr>
          <w:rFonts w:ascii="Arial" w:hAnsi="Arial" w:cs="Arial"/>
          <w:sz w:val="24"/>
          <w:szCs w:val="24"/>
        </w:rPr>
      </w:pPr>
      <w:r w:rsidRPr="00C53746">
        <w:rPr>
          <w:rFonts w:ascii="Arial" w:hAnsi="Arial" w:cs="Arial"/>
          <w:sz w:val="24"/>
          <w:szCs w:val="24"/>
        </w:rPr>
        <w:t>“It is denied that the plaintiff’s claim based upon unjustified enrichment constitutes a debt as contemplated in sections 10 and 11 of the Prescription Act, 68 of 1969.</w:t>
      </w:r>
    </w:p>
    <w:p w:rsidR="00C53746" w:rsidRPr="00C53746" w:rsidRDefault="00C53746" w:rsidP="00C53746">
      <w:pPr>
        <w:spacing w:after="160" w:line="360" w:lineRule="auto"/>
        <w:ind w:left="1440" w:hanging="720"/>
        <w:jc w:val="both"/>
        <w:rPr>
          <w:rFonts w:ascii="Arial" w:hAnsi="Arial" w:cs="Arial"/>
          <w:sz w:val="24"/>
          <w:szCs w:val="24"/>
        </w:rPr>
      </w:pPr>
      <w:r w:rsidRPr="00C53746">
        <w:rPr>
          <w:rFonts w:ascii="Arial" w:hAnsi="Arial" w:cs="Arial"/>
          <w:sz w:val="24"/>
          <w:szCs w:val="24"/>
        </w:rPr>
        <w:t>2.1</w:t>
      </w:r>
      <w:r w:rsidRPr="00C53746">
        <w:rPr>
          <w:rFonts w:ascii="Arial" w:hAnsi="Arial" w:cs="Arial"/>
          <w:sz w:val="24"/>
          <w:szCs w:val="24"/>
        </w:rPr>
        <w:tab/>
        <w:t>In the alternative to paragraph 1 hereof, the plaintiff did not have knowledge of the facts form which the debt arose until at least 31 August 2019, and could not before 31 August 2019, have acquired such knowledge by exercising reasonable care.</w:t>
      </w:r>
    </w:p>
    <w:p w:rsidR="00C53746" w:rsidRDefault="00C53746" w:rsidP="00C53746">
      <w:pPr>
        <w:spacing w:after="160" w:line="360" w:lineRule="auto"/>
        <w:ind w:left="1418" w:hanging="698"/>
        <w:jc w:val="both"/>
        <w:rPr>
          <w:rFonts w:ascii="Arial" w:hAnsi="Arial" w:cs="Arial"/>
          <w:sz w:val="24"/>
          <w:szCs w:val="24"/>
        </w:rPr>
      </w:pPr>
      <w:r w:rsidRPr="00C53746">
        <w:rPr>
          <w:rFonts w:ascii="Arial" w:hAnsi="Arial" w:cs="Arial"/>
          <w:sz w:val="24"/>
          <w:szCs w:val="24"/>
        </w:rPr>
        <w:t>2.2</w:t>
      </w:r>
      <w:r w:rsidRPr="00C53746">
        <w:rPr>
          <w:rFonts w:ascii="Arial" w:hAnsi="Arial" w:cs="Arial"/>
          <w:sz w:val="24"/>
          <w:szCs w:val="24"/>
        </w:rPr>
        <w:tab/>
        <w:t>In the premises, prescription only commenced to run after 31 August 2019 and the debt has not become prescribed.”</w:t>
      </w:r>
    </w:p>
    <w:p w:rsidR="006E25DB" w:rsidRPr="00C53746" w:rsidRDefault="006E25DB" w:rsidP="00C53746">
      <w:pPr>
        <w:spacing w:after="160" w:line="360" w:lineRule="auto"/>
        <w:ind w:left="1418" w:hanging="698"/>
        <w:jc w:val="both"/>
        <w:rPr>
          <w:rFonts w:ascii="Arial" w:hAnsi="Arial" w:cs="Arial"/>
          <w:sz w:val="24"/>
          <w:szCs w:val="24"/>
        </w:rPr>
      </w:pPr>
    </w:p>
    <w:p w:rsid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[3]</w:t>
      </w:r>
      <w:r w:rsidRPr="00C53746">
        <w:rPr>
          <w:rFonts w:ascii="Arial" w:hAnsi="Arial" w:cs="Arial"/>
          <w:sz w:val="24"/>
          <w:szCs w:val="24"/>
        </w:rPr>
        <w:tab/>
        <w:t>Before the trial commenced counsel for RFS abandoned the proposition in the reply that a claim for unjustified enrichment does not constitute a debt in terms of the Prescription Act 68 of 69 [the Act].</w:t>
      </w:r>
    </w:p>
    <w:p w:rsidR="00E119F6" w:rsidRPr="00C53746" w:rsidRDefault="00E119F6" w:rsidP="00C53746">
      <w:pPr>
        <w:spacing w:after="160" w:line="360" w:lineRule="auto"/>
        <w:jc w:val="both"/>
        <w:rPr>
          <w:rFonts w:ascii="Arial" w:hAnsi="Arial" w:cs="Arial"/>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[4]</w:t>
      </w:r>
      <w:r w:rsidRPr="00C53746">
        <w:rPr>
          <w:rFonts w:ascii="Arial" w:hAnsi="Arial" w:cs="Arial"/>
          <w:sz w:val="24"/>
          <w:szCs w:val="24"/>
        </w:rPr>
        <w:tab/>
        <w:t>NFMW made a formal tender of settlement in terms of Rule 34(5)(a) for the amount of R2</w:t>
      </w:r>
      <w:r w:rsidR="00E119F6">
        <w:rPr>
          <w:rFonts w:ascii="Arial" w:hAnsi="Arial" w:cs="Arial"/>
          <w:sz w:val="24"/>
          <w:szCs w:val="24"/>
        </w:rPr>
        <w:t> </w:t>
      </w:r>
      <w:r w:rsidRPr="00C53746">
        <w:rPr>
          <w:rFonts w:ascii="Arial" w:hAnsi="Arial" w:cs="Arial"/>
          <w:sz w:val="24"/>
          <w:szCs w:val="24"/>
        </w:rPr>
        <w:t>456</w:t>
      </w:r>
      <w:r w:rsidR="00E119F6">
        <w:rPr>
          <w:rFonts w:ascii="Arial" w:hAnsi="Arial" w:cs="Arial"/>
          <w:sz w:val="24"/>
          <w:szCs w:val="24"/>
        </w:rPr>
        <w:t xml:space="preserve"> </w:t>
      </w:r>
      <w:r w:rsidRPr="00C53746">
        <w:rPr>
          <w:rFonts w:ascii="Arial" w:hAnsi="Arial" w:cs="Arial"/>
          <w:sz w:val="24"/>
          <w:szCs w:val="24"/>
        </w:rPr>
        <w:t>938.91 in respect of the capital claimed for only the period from 8 April 2018, constituting three years before the service of the summons on 7 April 2021. It also offered interest in terms of the Prescribed Interest Rate Act</w:t>
      </w:r>
      <w:r w:rsidR="006B7BA7">
        <w:rPr>
          <w:rFonts w:ascii="Arial" w:hAnsi="Arial" w:cs="Arial"/>
          <w:sz w:val="24"/>
          <w:szCs w:val="24"/>
        </w:rPr>
        <w:t xml:space="preserve"> 55 of 1975</w:t>
      </w:r>
      <w:r w:rsidRPr="00C53746">
        <w:rPr>
          <w:rFonts w:ascii="Arial" w:hAnsi="Arial" w:cs="Arial"/>
          <w:sz w:val="24"/>
          <w:szCs w:val="24"/>
        </w:rPr>
        <w:t xml:space="preserve"> from the date each such payment was received till date of payment. Costs on a party and party </w:t>
      </w:r>
      <w:r w:rsidRPr="00C53746">
        <w:rPr>
          <w:rFonts w:ascii="Arial" w:hAnsi="Arial" w:cs="Arial"/>
          <w:sz w:val="24"/>
          <w:szCs w:val="24"/>
        </w:rPr>
        <w:lastRenderedPageBreak/>
        <w:t>scale as agreed or, taxed was offered, excluding the costs of the application to compel dated 8 August 2022.</w:t>
      </w:r>
    </w:p>
    <w:p w:rsidR="00C53746" w:rsidRPr="00C53746" w:rsidRDefault="00C53746" w:rsidP="00C53746">
      <w:pPr>
        <w:spacing w:after="160" w:line="360" w:lineRule="auto"/>
        <w:jc w:val="both"/>
        <w:rPr>
          <w:rFonts w:ascii="Arial" w:hAnsi="Arial" w:cs="Arial"/>
          <w:sz w:val="24"/>
          <w:szCs w:val="24"/>
        </w:rPr>
      </w:pPr>
    </w:p>
    <w:p w:rsidR="00C53746" w:rsidRPr="00C53746" w:rsidRDefault="00C53746" w:rsidP="00C53746">
      <w:pPr>
        <w:tabs>
          <w:tab w:val="left" w:pos="7662"/>
        </w:tabs>
        <w:spacing w:after="160" w:line="360" w:lineRule="auto"/>
        <w:jc w:val="both"/>
        <w:rPr>
          <w:rFonts w:ascii="Arial" w:hAnsi="Arial" w:cs="Arial"/>
          <w:sz w:val="24"/>
          <w:szCs w:val="24"/>
        </w:rPr>
      </w:pPr>
      <w:r w:rsidRPr="00C53746">
        <w:rPr>
          <w:rFonts w:ascii="Arial" w:hAnsi="Arial" w:cs="Arial"/>
          <w:sz w:val="24"/>
          <w:szCs w:val="24"/>
        </w:rPr>
        <w:t>Background</w:t>
      </w:r>
      <w:r w:rsidRPr="00C53746">
        <w:rPr>
          <w:rFonts w:ascii="Arial" w:hAnsi="Arial" w:cs="Arial"/>
          <w:sz w:val="24"/>
          <w:szCs w:val="24"/>
        </w:rPr>
        <w:tab/>
      </w:r>
    </w:p>
    <w:p w:rsidR="00C53746" w:rsidRDefault="00E119F6" w:rsidP="00C53746">
      <w:pPr>
        <w:spacing w:after="160" w:line="360" w:lineRule="auto"/>
        <w:jc w:val="both"/>
        <w:rPr>
          <w:rFonts w:ascii="Arial" w:hAnsi="Arial" w:cs="Arial"/>
          <w:sz w:val="24"/>
          <w:szCs w:val="24"/>
        </w:rPr>
      </w:pPr>
      <w:r>
        <w:rPr>
          <w:rFonts w:ascii="Arial" w:hAnsi="Arial" w:cs="Arial"/>
          <w:sz w:val="24"/>
          <w:szCs w:val="24"/>
        </w:rPr>
        <w:t>[5</w:t>
      </w:r>
      <w:r w:rsidR="00C53746" w:rsidRPr="00C53746">
        <w:rPr>
          <w:rFonts w:ascii="Arial" w:hAnsi="Arial" w:cs="Arial"/>
          <w:sz w:val="24"/>
          <w:szCs w:val="24"/>
        </w:rPr>
        <w:t>]</w:t>
      </w:r>
      <w:r w:rsidR="00C53746" w:rsidRPr="00C53746">
        <w:rPr>
          <w:rFonts w:ascii="Arial" w:hAnsi="Arial" w:cs="Arial"/>
          <w:sz w:val="24"/>
          <w:szCs w:val="24"/>
        </w:rPr>
        <w:tab/>
        <w:t>On 18 May 2007 NFMW’s home loan book was sold to RFS in ter</w:t>
      </w:r>
      <w:r w:rsidR="006B7BA7">
        <w:rPr>
          <w:rFonts w:ascii="Arial" w:hAnsi="Arial" w:cs="Arial"/>
          <w:sz w:val="24"/>
          <w:szCs w:val="24"/>
        </w:rPr>
        <w:t xml:space="preserve">ms of a memorandum of agreement </w:t>
      </w:r>
      <w:r w:rsidR="00C53746" w:rsidRPr="00C53746">
        <w:rPr>
          <w:rFonts w:ascii="Arial" w:hAnsi="Arial" w:cs="Arial"/>
          <w:sz w:val="24"/>
          <w:szCs w:val="24"/>
        </w:rPr>
        <w:t xml:space="preserve">[the 2007 contract].  In practical terms RFS loaned monies from NFMW which RFS then loaned to its members. A plethora of further agreements were concluded between the parties: a surety agreement by NFMW in favour of RFS; a guarantee by RFS to NFMW; a deed of pledge with RFS being the pledger and NFMW being the pledgee and a “Global Master Securities Lending Agreement”. However, none of these contracts, or the 2007 contract, provide for the repo-fees which were paid by RFS to NFMW. The repo fees paid constitute the amount claimed. </w:t>
      </w:r>
    </w:p>
    <w:p w:rsidR="006B7BA7" w:rsidRPr="00C53746" w:rsidRDefault="006B7BA7" w:rsidP="00C53746">
      <w:pPr>
        <w:spacing w:after="160" w:line="360" w:lineRule="auto"/>
        <w:jc w:val="both"/>
        <w:rPr>
          <w:rFonts w:ascii="Arial" w:hAnsi="Arial" w:cs="Arial"/>
          <w:sz w:val="24"/>
          <w:szCs w:val="24"/>
        </w:rPr>
      </w:pPr>
    </w:p>
    <w:p w:rsidR="00C53746" w:rsidRDefault="006B7BA7" w:rsidP="00C53746">
      <w:pPr>
        <w:spacing w:after="160" w:line="360" w:lineRule="auto"/>
        <w:jc w:val="both"/>
        <w:rPr>
          <w:rFonts w:ascii="Arial" w:hAnsi="Arial" w:cs="Arial"/>
          <w:sz w:val="24"/>
          <w:szCs w:val="24"/>
        </w:rPr>
      </w:pPr>
      <w:r>
        <w:rPr>
          <w:rFonts w:ascii="Arial" w:hAnsi="Arial" w:cs="Arial"/>
          <w:sz w:val="24"/>
          <w:szCs w:val="24"/>
        </w:rPr>
        <w:t>[6</w:t>
      </w:r>
      <w:r w:rsidR="00C53746" w:rsidRPr="00C53746">
        <w:rPr>
          <w:rFonts w:ascii="Arial" w:hAnsi="Arial" w:cs="Arial"/>
          <w:sz w:val="24"/>
          <w:szCs w:val="24"/>
        </w:rPr>
        <w:t>]</w:t>
      </w:r>
      <w:r w:rsidR="00C53746" w:rsidRPr="00C53746">
        <w:rPr>
          <w:rFonts w:ascii="Arial" w:hAnsi="Arial" w:cs="Arial"/>
          <w:sz w:val="24"/>
          <w:szCs w:val="24"/>
        </w:rPr>
        <w:tab/>
        <w:t>In March 2012 NFMW and RFS concluded a further agreement [the 2012 agreement] whereby RFS bought NFMW’s home loan book for R401 130 183.00. The price was to be paid off in instalments of 1</w:t>
      </w:r>
      <w:r>
        <w:rPr>
          <w:rFonts w:ascii="Arial" w:hAnsi="Arial" w:cs="Arial"/>
          <w:sz w:val="24"/>
          <w:szCs w:val="24"/>
        </w:rPr>
        <w:t xml:space="preserve"> </w:t>
      </w:r>
      <w:r w:rsidR="00C53746" w:rsidRPr="00C53746">
        <w:rPr>
          <w:rFonts w:ascii="Arial" w:hAnsi="Arial" w:cs="Arial"/>
          <w:sz w:val="24"/>
          <w:szCs w:val="24"/>
        </w:rPr>
        <w:t>% per year on the capital outstanding with the balance of the purchase price to be paid on or before 30 June 2035. It is common cause that this agreement superseded the 2007 agreement and is extant. Again this agreement is silent on any repo fees to be paid.</w:t>
      </w:r>
    </w:p>
    <w:p w:rsidR="006B7BA7" w:rsidRPr="00C53746" w:rsidRDefault="006B7BA7" w:rsidP="00C53746">
      <w:pPr>
        <w:spacing w:after="160" w:line="360" w:lineRule="auto"/>
        <w:jc w:val="both"/>
        <w:rPr>
          <w:rFonts w:ascii="Arial" w:hAnsi="Arial" w:cs="Arial"/>
          <w:sz w:val="24"/>
          <w:szCs w:val="24"/>
        </w:rPr>
      </w:pPr>
    </w:p>
    <w:p w:rsidR="00C53746" w:rsidRPr="00C53746" w:rsidRDefault="006B7BA7" w:rsidP="00C53746">
      <w:pPr>
        <w:spacing w:after="160" w:line="360" w:lineRule="auto"/>
        <w:jc w:val="both"/>
        <w:rPr>
          <w:rFonts w:ascii="Arial" w:hAnsi="Arial" w:cs="Arial"/>
          <w:sz w:val="24"/>
          <w:szCs w:val="24"/>
        </w:rPr>
      </w:pPr>
      <w:r>
        <w:rPr>
          <w:rFonts w:ascii="Arial" w:hAnsi="Arial" w:cs="Arial"/>
          <w:sz w:val="24"/>
          <w:szCs w:val="24"/>
        </w:rPr>
        <w:t>[7</w:t>
      </w:r>
      <w:r w:rsidR="00C53746" w:rsidRPr="00C53746">
        <w:rPr>
          <w:rFonts w:ascii="Arial" w:hAnsi="Arial" w:cs="Arial"/>
          <w:sz w:val="24"/>
          <w:szCs w:val="24"/>
        </w:rPr>
        <w:t>]</w:t>
      </w:r>
      <w:r w:rsidR="00C53746" w:rsidRPr="00C53746">
        <w:rPr>
          <w:rFonts w:ascii="Arial" w:hAnsi="Arial" w:cs="Arial"/>
          <w:sz w:val="24"/>
          <w:szCs w:val="24"/>
        </w:rPr>
        <w:tab/>
        <w:t>I venture to say that both parties agree that the many agreements between the parties is as clear as mud. The 2012 agreement thus had as purpose the following:</w:t>
      </w:r>
    </w:p>
    <w:p w:rsidR="00C53746" w:rsidRPr="00C53746" w:rsidRDefault="00F71A85" w:rsidP="00F71A85">
      <w:pPr>
        <w:spacing w:after="160" w:line="360" w:lineRule="auto"/>
        <w:ind w:left="720"/>
        <w:jc w:val="both"/>
        <w:rPr>
          <w:rFonts w:ascii="Arial" w:hAnsi="Arial" w:cs="Arial"/>
          <w:sz w:val="24"/>
          <w:szCs w:val="24"/>
        </w:rPr>
      </w:pPr>
      <w:r>
        <w:rPr>
          <w:rFonts w:ascii="Arial" w:hAnsi="Arial" w:cs="Arial"/>
          <w:sz w:val="24"/>
          <w:szCs w:val="24"/>
        </w:rPr>
        <w:t>“Since 18 May 2007 when NFMW and RFSHL concluded a Memorandum of Understanding for the sale of the NFMW Home Loan book to RFSHL, the Parties have concluded various subsequent agreements regarding the loan provided by NFMW to RFSHL.  They hereby wish to consolidate and record all the terms and conditions of the loan provided, without detracting from or changing the Surety Agreement concluded between the parties on 6 November 2007 or the Global Master Repurchase Agreement (Repo Agreement) concluded by the Parties on 23 September 2008.”</w:t>
      </w:r>
    </w:p>
    <w:p w:rsidR="00C53746" w:rsidRDefault="00F71A85" w:rsidP="00C53746">
      <w:pPr>
        <w:spacing w:after="160" w:line="360" w:lineRule="auto"/>
        <w:jc w:val="both"/>
        <w:rPr>
          <w:rFonts w:ascii="Arial" w:hAnsi="Arial" w:cs="Arial"/>
          <w:sz w:val="24"/>
          <w:szCs w:val="24"/>
        </w:rPr>
      </w:pPr>
      <w:r>
        <w:rPr>
          <w:rFonts w:ascii="Arial" w:hAnsi="Arial" w:cs="Arial"/>
          <w:sz w:val="24"/>
          <w:szCs w:val="24"/>
        </w:rPr>
        <w:lastRenderedPageBreak/>
        <w:t>[8</w:t>
      </w:r>
      <w:r w:rsidR="00C53746" w:rsidRPr="00C53746">
        <w:rPr>
          <w:rFonts w:ascii="Arial" w:hAnsi="Arial" w:cs="Arial"/>
          <w:sz w:val="24"/>
          <w:szCs w:val="24"/>
        </w:rPr>
        <w:t>]</w:t>
      </w:r>
      <w:r w:rsidR="00C53746" w:rsidRPr="00C53746">
        <w:rPr>
          <w:rFonts w:ascii="Arial" w:hAnsi="Arial" w:cs="Arial"/>
          <w:sz w:val="24"/>
          <w:szCs w:val="24"/>
        </w:rPr>
        <w:tab/>
        <w:t>The agreements relied on constituting provision for repo fees are an undated agreement with the heading “Global Masters Repurchase Agreement” [</w:t>
      </w:r>
      <w:r w:rsidR="00D72015">
        <w:rPr>
          <w:rFonts w:ascii="Arial" w:hAnsi="Arial" w:cs="Arial"/>
          <w:sz w:val="24"/>
          <w:szCs w:val="24"/>
        </w:rPr>
        <w:t>Repo Agreement</w:t>
      </w:r>
      <w:r w:rsidR="00C53746" w:rsidRPr="00C53746">
        <w:rPr>
          <w:rFonts w:ascii="Arial" w:hAnsi="Arial" w:cs="Arial"/>
          <w:sz w:val="24"/>
          <w:szCs w:val="24"/>
        </w:rPr>
        <w:t>] and a dated agreement; “Instruction to commence with repurchase Transactions [Instruction to commence contract.]” Both these agreements were duly authorised to be signed on behalf of NMWF and RFS by a representative of S</w:t>
      </w:r>
      <w:r>
        <w:rPr>
          <w:rFonts w:ascii="Arial" w:hAnsi="Arial" w:cs="Arial"/>
          <w:sz w:val="24"/>
          <w:szCs w:val="24"/>
        </w:rPr>
        <w:t>pecialised Portfolio Services (</w:t>
      </w:r>
      <w:r w:rsidR="00C53746" w:rsidRPr="00C53746">
        <w:rPr>
          <w:rFonts w:ascii="Arial" w:hAnsi="Arial" w:cs="Arial"/>
          <w:sz w:val="24"/>
          <w:szCs w:val="24"/>
        </w:rPr>
        <w:t>Pty</w:t>
      </w:r>
      <w:r>
        <w:rPr>
          <w:rFonts w:ascii="Arial" w:hAnsi="Arial" w:cs="Arial"/>
          <w:sz w:val="24"/>
          <w:szCs w:val="24"/>
        </w:rPr>
        <w:t xml:space="preserve">) </w:t>
      </w:r>
      <w:r w:rsidR="00C53746" w:rsidRPr="00C53746">
        <w:rPr>
          <w:rFonts w:ascii="Arial" w:hAnsi="Arial" w:cs="Arial"/>
          <w:sz w:val="24"/>
          <w:szCs w:val="24"/>
        </w:rPr>
        <w:t>Ltd [SPS]. In the 2012 agreement no mention, or incorporation of these agreements, are set out. All of the other agreements specified in par [4] are incorporated in the 2012 agreement.</w:t>
      </w:r>
    </w:p>
    <w:p w:rsidR="00F71A85" w:rsidRPr="00C53746" w:rsidRDefault="00F71A85" w:rsidP="00C53746">
      <w:pPr>
        <w:spacing w:after="160" w:line="360" w:lineRule="auto"/>
        <w:jc w:val="both"/>
        <w:rPr>
          <w:rFonts w:ascii="Arial" w:hAnsi="Arial" w:cs="Arial"/>
          <w:sz w:val="24"/>
          <w:szCs w:val="24"/>
        </w:rPr>
      </w:pPr>
    </w:p>
    <w:p w:rsidR="00C53746" w:rsidRPr="00C53746" w:rsidRDefault="00F71A85" w:rsidP="00C53746">
      <w:pPr>
        <w:spacing w:after="160" w:line="360" w:lineRule="auto"/>
        <w:jc w:val="both"/>
        <w:rPr>
          <w:rFonts w:ascii="Arial" w:hAnsi="Arial" w:cs="Arial"/>
          <w:sz w:val="24"/>
          <w:szCs w:val="24"/>
        </w:rPr>
      </w:pPr>
      <w:r>
        <w:rPr>
          <w:rFonts w:ascii="Arial" w:hAnsi="Arial" w:cs="Arial"/>
          <w:sz w:val="24"/>
          <w:szCs w:val="24"/>
        </w:rPr>
        <w:t>[9</w:t>
      </w:r>
      <w:r w:rsidR="00C53746" w:rsidRPr="00C53746">
        <w:rPr>
          <w:rFonts w:ascii="Arial" w:hAnsi="Arial" w:cs="Arial"/>
          <w:sz w:val="24"/>
          <w:szCs w:val="24"/>
        </w:rPr>
        <w:t>]</w:t>
      </w:r>
      <w:r w:rsidR="00C53746" w:rsidRPr="00C53746">
        <w:rPr>
          <w:rFonts w:ascii="Arial" w:hAnsi="Arial" w:cs="Arial"/>
          <w:sz w:val="24"/>
          <w:szCs w:val="24"/>
        </w:rPr>
        <w:tab/>
        <w:t>SPS acted as the duly appointed securities lending agent for both RFS and NMWF. It was recorded that both parties authorised SPS to conclude</w:t>
      </w:r>
      <w:r w:rsidR="00D91D4A">
        <w:rPr>
          <w:rFonts w:ascii="Arial" w:hAnsi="Arial" w:cs="Arial"/>
          <w:sz w:val="24"/>
          <w:szCs w:val="24"/>
        </w:rPr>
        <w:t xml:space="preserve"> the Rep Agreement.</w:t>
      </w:r>
      <w:r w:rsidR="00C53746" w:rsidRPr="00C53746">
        <w:rPr>
          <w:rFonts w:ascii="Arial" w:hAnsi="Arial" w:cs="Arial"/>
          <w:sz w:val="24"/>
          <w:szCs w:val="24"/>
        </w:rPr>
        <w:t xml:space="preserve">  In the Instruction to commence contract paragraph 4.3 reads as follows: “RFS will during the period, pay the Fund, on the debt obligation, a floating interest rate linked to the prime overdraft rate minus 3</w:t>
      </w:r>
      <w:r>
        <w:rPr>
          <w:rFonts w:ascii="Arial" w:hAnsi="Arial" w:cs="Arial"/>
          <w:sz w:val="24"/>
          <w:szCs w:val="24"/>
        </w:rPr>
        <w:t xml:space="preserve"> </w:t>
      </w:r>
      <w:r w:rsidR="00C53746" w:rsidRPr="00C53746">
        <w:rPr>
          <w:rFonts w:ascii="Arial" w:hAnsi="Arial" w:cs="Arial"/>
          <w:sz w:val="24"/>
          <w:szCs w:val="24"/>
        </w:rPr>
        <w:t>%, and a premium of 0,30</w:t>
      </w:r>
      <w:r>
        <w:rPr>
          <w:rFonts w:ascii="Arial" w:hAnsi="Arial" w:cs="Arial"/>
          <w:sz w:val="24"/>
          <w:szCs w:val="24"/>
        </w:rPr>
        <w:t xml:space="preserve"> </w:t>
      </w:r>
      <w:r w:rsidR="00C53746" w:rsidRPr="00C53746">
        <w:rPr>
          <w:rFonts w:ascii="Arial" w:hAnsi="Arial" w:cs="Arial"/>
          <w:sz w:val="24"/>
          <w:szCs w:val="24"/>
        </w:rPr>
        <w:t>% per annum</w:t>
      </w:r>
      <w:r>
        <w:rPr>
          <w:rFonts w:ascii="Arial" w:hAnsi="Arial" w:cs="Arial"/>
          <w:sz w:val="24"/>
          <w:szCs w:val="24"/>
        </w:rPr>
        <w:t xml:space="preserve"> </w:t>
      </w:r>
      <w:r w:rsidR="00C53746" w:rsidRPr="00C53746">
        <w:rPr>
          <w:rFonts w:ascii="Arial" w:hAnsi="Arial" w:cs="Arial"/>
          <w:sz w:val="24"/>
          <w:szCs w:val="24"/>
        </w:rPr>
        <w:t>…”</w:t>
      </w:r>
      <w:r>
        <w:rPr>
          <w:rFonts w:ascii="Arial" w:hAnsi="Arial" w:cs="Arial"/>
          <w:sz w:val="24"/>
          <w:szCs w:val="24"/>
        </w:rPr>
        <w:t xml:space="preserve">  </w:t>
      </w:r>
      <w:r w:rsidR="00C53746" w:rsidRPr="00C53746">
        <w:rPr>
          <w:rFonts w:ascii="Arial" w:hAnsi="Arial" w:cs="Arial"/>
          <w:sz w:val="24"/>
          <w:szCs w:val="24"/>
        </w:rPr>
        <w:t>NMWF charged the premium as repo fees in terms hereof.</w:t>
      </w:r>
    </w:p>
    <w:p w:rsidR="00C53746" w:rsidRPr="00C53746" w:rsidRDefault="00C53746" w:rsidP="00C53746">
      <w:pPr>
        <w:spacing w:after="160" w:line="360" w:lineRule="auto"/>
        <w:jc w:val="both"/>
        <w:rPr>
          <w:rFonts w:ascii="Arial" w:hAnsi="Arial" w:cs="Arial"/>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The evidence</w:t>
      </w:r>
    </w:p>
    <w:p w:rsidR="00C53746" w:rsidRDefault="00F71A85" w:rsidP="00C53746">
      <w:pPr>
        <w:spacing w:after="160" w:line="360" w:lineRule="auto"/>
        <w:jc w:val="both"/>
        <w:rPr>
          <w:rFonts w:ascii="Arial" w:hAnsi="Arial" w:cs="Arial"/>
          <w:sz w:val="24"/>
          <w:szCs w:val="24"/>
        </w:rPr>
      </w:pPr>
      <w:r>
        <w:rPr>
          <w:rFonts w:ascii="Arial" w:hAnsi="Arial" w:cs="Arial"/>
          <w:sz w:val="24"/>
          <w:szCs w:val="24"/>
        </w:rPr>
        <w:t>[10</w:t>
      </w:r>
      <w:r w:rsidR="00C53746" w:rsidRPr="00C53746">
        <w:rPr>
          <w:rFonts w:ascii="Arial" w:hAnsi="Arial" w:cs="Arial"/>
          <w:sz w:val="24"/>
          <w:szCs w:val="24"/>
        </w:rPr>
        <w:t>]</w:t>
      </w:r>
      <w:r w:rsidR="00C53746" w:rsidRPr="00C53746">
        <w:rPr>
          <w:rFonts w:ascii="Arial" w:hAnsi="Arial" w:cs="Arial"/>
          <w:sz w:val="24"/>
          <w:szCs w:val="24"/>
        </w:rPr>
        <w:tab/>
        <w:t xml:space="preserve">NMWF did not call any witnesses, but Mr du </w:t>
      </w:r>
      <w:proofErr w:type="spellStart"/>
      <w:r w:rsidR="00C53746" w:rsidRPr="00C53746">
        <w:rPr>
          <w:rFonts w:ascii="Arial" w:hAnsi="Arial" w:cs="Arial"/>
          <w:sz w:val="24"/>
          <w:szCs w:val="24"/>
        </w:rPr>
        <w:t>Plooy</w:t>
      </w:r>
      <w:proofErr w:type="spellEnd"/>
      <w:r w:rsidR="00C53746" w:rsidRPr="00C53746">
        <w:rPr>
          <w:rFonts w:ascii="Arial" w:hAnsi="Arial" w:cs="Arial"/>
          <w:sz w:val="24"/>
          <w:szCs w:val="24"/>
        </w:rPr>
        <w:t>, the Chief Executive Officer, since 2007, of RFS testified that RFS and NMWF concluded these agreements and he was personally involved in the conclusion thereof. He testified that he understood there were three payments due; the instalments on the capital amount; a monthly payment to SPS and the repo fees for which he received invoices from NMFW and to date receives same. The intention of the 2012 agreement was to replace all the previous agreements. He conceded that the Instruction to commence contract was not replaced by the 2012 agreement but denied that the fees were to be lawfully paid. He stopped paying the fees in 2019 hoping that NMFW would sue him for payment, but it did not. He did not know in term</w:t>
      </w:r>
      <w:r w:rsidR="005C62DD">
        <w:rPr>
          <w:rFonts w:ascii="Arial" w:hAnsi="Arial" w:cs="Arial"/>
          <w:sz w:val="24"/>
          <w:szCs w:val="24"/>
        </w:rPr>
        <w:t>s of what he had to pay the rep</w:t>
      </w:r>
      <w:r w:rsidR="00C53746" w:rsidRPr="00C53746">
        <w:rPr>
          <w:rFonts w:ascii="Arial" w:hAnsi="Arial" w:cs="Arial"/>
          <w:sz w:val="24"/>
          <w:szCs w:val="24"/>
        </w:rPr>
        <w:t>o fees.</w:t>
      </w:r>
    </w:p>
    <w:p w:rsidR="006F41B2" w:rsidRPr="00C53746" w:rsidRDefault="006F41B2" w:rsidP="00C53746">
      <w:pPr>
        <w:spacing w:after="160" w:line="360" w:lineRule="auto"/>
        <w:jc w:val="both"/>
        <w:rPr>
          <w:rFonts w:ascii="Arial" w:hAnsi="Arial" w:cs="Arial"/>
          <w:sz w:val="24"/>
          <w:szCs w:val="24"/>
        </w:rPr>
      </w:pPr>
    </w:p>
    <w:p w:rsidR="00C53746" w:rsidRDefault="006F41B2" w:rsidP="00C53746">
      <w:pPr>
        <w:spacing w:after="160" w:line="360" w:lineRule="auto"/>
        <w:jc w:val="both"/>
        <w:rPr>
          <w:rFonts w:ascii="Arial" w:hAnsi="Arial" w:cs="Arial"/>
          <w:sz w:val="24"/>
          <w:szCs w:val="24"/>
        </w:rPr>
      </w:pPr>
      <w:r>
        <w:rPr>
          <w:rFonts w:ascii="Arial" w:hAnsi="Arial" w:cs="Arial"/>
          <w:sz w:val="24"/>
          <w:szCs w:val="24"/>
        </w:rPr>
        <w:t>[11</w:t>
      </w:r>
      <w:r w:rsidR="00C53746" w:rsidRPr="00C53746">
        <w:rPr>
          <w:rFonts w:ascii="Arial" w:hAnsi="Arial" w:cs="Arial"/>
          <w:sz w:val="24"/>
          <w:szCs w:val="24"/>
        </w:rPr>
        <w:t>]</w:t>
      </w:r>
      <w:r w:rsidR="00C53746" w:rsidRPr="00C53746">
        <w:rPr>
          <w:rFonts w:ascii="Arial" w:hAnsi="Arial" w:cs="Arial"/>
          <w:sz w:val="24"/>
          <w:szCs w:val="24"/>
        </w:rPr>
        <w:tab/>
        <w:t xml:space="preserve">He had gone to see an attorney at </w:t>
      </w:r>
      <w:proofErr w:type="spellStart"/>
      <w:r w:rsidR="00C53746" w:rsidRPr="00C53746">
        <w:rPr>
          <w:rFonts w:ascii="Arial" w:hAnsi="Arial" w:cs="Arial"/>
          <w:sz w:val="24"/>
          <w:szCs w:val="24"/>
        </w:rPr>
        <w:t>Werk</w:t>
      </w:r>
      <w:r w:rsidR="00283974">
        <w:rPr>
          <w:rFonts w:ascii="Arial" w:hAnsi="Arial" w:cs="Arial"/>
          <w:sz w:val="24"/>
          <w:szCs w:val="24"/>
        </w:rPr>
        <w:t>s</w:t>
      </w:r>
      <w:r w:rsidR="00C53746" w:rsidRPr="00C53746">
        <w:rPr>
          <w:rFonts w:ascii="Arial" w:hAnsi="Arial" w:cs="Arial"/>
          <w:sz w:val="24"/>
          <w:szCs w:val="24"/>
        </w:rPr>
        <w:t>mans</w:t>
      </w:r>
      <w:proofErr w:type="spellEnd"/>
      <w:r w:rsidR="00C53746" w:rsidRPr="00C53746">
        <w:rPr>
          <w:rFonts w:ascii="Arial" w:hAnsi="Arial" w:cs="Arial"/>
          <w:sz w:val="24"/>
          <w:szCs w:val="24"/>
        </w:rPr>
        <w:t xml:space="preserve"> Inc. and this attorney orally informed him that the contracts were a scam and a “</w:t>
      </w:r>
      <w:proofErr w:type="spellStart"/>
      <w:r w:rsidR="00C53746" w:rsidRPr="00C53746">
        <w:rPr>
          <w:rFonts w:ascii="Arial" w:hAnsi="Arial" w:cs="Arial"/>
          <w:sz w:val="24"/>
          <w:szCs w:val="24"/>
        </w:rPr>
        <w:t>foefie</w:t>
      </w:r>
      <w:proofErr w:type="spellEnd"/>
      <w:r w:rsidR="00C53746" w:rsidRPr="00C53746">
        <w:rPr>
          <w:rFonts w:ascii="Arial" w:hAnsi="Arial" w:cs="Arial"/>
          <w:sz w:val="24"/>
          <w:szCs w:val="24"/>
        </w:rPr>
        <w:t xml:space="preserve">” and in fact null and void. A written opinion on the contracts were provided dated 24 June 2016. It was opined that </w:t>
      </w:r>
      <w:r w:rsidR="00C53746" w:rsidRPr="00C53746">
        <w:rPr>
          <w:rFonts w:ascii="Arial" w:hAnsi="Arial" w:cs="Arial"/>
          <w:sz w:val="24"/>
          <w:szCs w:val="24"/>
        </w:rPr>
        <w:lastRenderedPageBreak/>
        <w:t>the “loans”</w:t>
      </w:r>
      <w:r w:rsidR="00531D69">
        <w:rPr>
          <w:rFonts w:ascii="Arial" w:hAnsi="Arial" w:cs="Arial"/>
          <w:sz w:val="24"/>
          <w:szCs w:val="24"/>
        </w:rPr>
        <w:t xml:space="preserve"> did not expose NMWF</w:t>
      </w:r>
      <w:r w:rsidR="00C53746" w:rsidRPr="00C53746">
        <w:rPr>
          <w:rFonts w:ascii="Arial" w:hAnsi="Arial" w:cs="Arial"/>
          <w:sz w:val="24"/>
          <w:szCs w:val="24"/>
        </w:rPr>
        <w:t xml:space="preserve"> and no furthe</w:t>
      </w:r>
      <w:r w:rsidR="00531D69">
        <w:rPr>
          <w:rFonts w:ascii="Arial" w:hAnsi="Arial" w:cs="Arial"/>
          <w:sz w:val="24"/>
          <w:szCs w:val="24"/>
        </w:rPr>
        <w:t>r securities were needed by NMWF</w:t>
      </w:r>
      <w:r w:rsidR="00C53746" w:rsidRPr="00C53746">
        <w:rPr>
          <w:rFonts w:ascii="Arial" w:hAnsi="Arial" w:cs="Arial"/>
          <w:sz w:val="24"/>
          <w:szCs w:val="24"/>
        </w:rPr>
        <w:t>. His auditor from KPMG also told him that the payment of the fees to SPS and the repo fees were a scam. He in fact stopped paying the SPS fees in May 2015 informing SPS of such by means of a letter. Although he in this letter threatened to claim the monies back he never did so due to the relationship between FSB and NMFW.</w:t>
      </w:r>
    </w:p>
    <w:p w:rsidR="00283974" w:rsidRPr="00C53746" w:rsidRDefault="00283974" w:rsidP="00C53746">
      <w:pPr>
        <w:spacing w:after="160" w:line="360" w:lineRule="auto"/>
        <w:jc w:val="both"/>
        <w:rPr>
          <w:rFonts w:ascii="Arial" w:hAnsi="Arial" w:cs="Arial"/>
          <w:sz w:val="24"/>
          <w:szCs w:val="24"/>
        </w:rPr>
      </w:pPr>
    </w:p>
    <w:p w:rsidR="00C53746" w:rsidRDefault="00283974" w:rsidP="00C53746">
      <w:pPr>
        <w:spacing w:after="160" w:line="360" w:lineRule="auto"/>
        <w:jc w:val="both"/>
        <w:rPr>
          <w:rFonts w:ascii="Arial" w:hAnsi="Arial" w:cs="Arial"/>
          <w:sz w:val="24"/>
          <w:szCs w:val="24"/>
        </w:rPr>
      </w:pPr>
      <w:r>
        <w:rPr>
          <w:rFonts w:ascii="Arial" w:hAnsi="Arial" w:cs="Arial"/>
          <w:sz w:val="24"/>
          <w:szCs w:val="24"/>
        </w:rPr>
        <w:t>[12</w:t>
      </w:r>
      <w:r w:rsidR="00C53746" w:rsidRPr="00C53746">
        <w:rPr>
          <w:rFonts w:ascii="Arial" w:hAnsi="Arial" w:cs="Arial"/>
          <w:sz w:val="24"/>
          <w:szCs w:val="24"/>
        </w:rPr>
        <w:t>]</w:t>
      </w:r>
      <w:r w:rsidR="00C53746" w:rsidRPr="00C53746">
        <w:rPr>
          <w:rFonts w:ascii="Arial" w:hAnsi="Arial" w:cs="Arial"/>
          <w:sz w:val="24"/>
          <w:szCs w:val="24"/>
        </w:rPr>
        <w:tab/>
        <w:t>As for the repo fees he had asked NMFW in terms of what must it be paid and in fact even filed a request in terms of section 53 of the Promotion of Access of Information Act 2 of 2000 [PAIA] seeking disclosure for the source of these fees payment. As he did not receive an answer he stopped payment in 2019.</w:t>
      </w:r>
    </w:p>
    <w:p w:rsidR="00283974" w:rsidRPr="00C53746" w:rsidRDefault="00283974" w:rsidP="00C53746">
      <w:pPr>
        <w:spacing w:after="160" w:line="360" w:lineRule="auto"/>
        <w:jc w:val="both"/>
        <w:rPr>
          <w:rFonts w:ascii="Arial" w:hAnsi="Arial" w:cs="Arial"/>
          <w:sz w:val="24"/>
          <w:szCs w:val="24"/>
        </w:rPr>
      </w:pPr>
    </w:p>
    <w:p w:rsidR="00C53746" w:rsidRPr="00C53746" w:rsidRDefault="00283974" w:rsidP="00C53746">
      <w:pPr>
        <w:spacing w:after="160" w:line="360" w:lineRule="auto"/>
        <w:jc w:val="both"/>
        <w:rPr>
          <w:rFonts w:ascii="Arial" w:hAnsi="Arial" w:cs="Arial"/>
          <w:sz w:val="24"/>
          <w:szCs w:val="24"/>
        </w:rPr>
      </w:pPr>
      <w:r>
        <w:rPr>
          <w:rFonts w:ascii="Arial" w:hAnsi="Arial" w:cs="Arial"/>
          <w:sz w:val="24"/>
          <w:szCs w:val="24"/>
        </w:rPr>
        <w:t>[13</w:t>
      </w:r>
      <w:r w:rsidR="00C53746" w:rsidRPr="00C53746">
        <w:rPr>
          <w:rFonts w:ascii="Arial" w:hAnsi="Arial" w:cs="Arial"/>
          <w:sz w:val="24"/>
          <w:szCs w:val="24"/>
        </w:rPr>
        <w:t>]</w:t>
      </w:r>
      <w:r w:rsidR="00C53746" w:rsidRPr="00C53746">
        <w:rPr>
          <w:rFonts w:ascii="Arial" w:hAnsi="Arial" w:cs="Arial"/>
          <w:sz w:val="24"/>
          <w:szCs w:val="24"/>
        </w:rPr>
        <w:tab/>
        <w:t xml:space="preserve">Exhibit A was handed up as evidence before me. It consisted of emails from Mr du </w:t>
      </w:r>
      <w:proofErr w:type="spellStart"/>
      <w:r w:rsidR="00C53746" w:rsidRPr="00C53746">
        <w:rPr>
          <w:rFonts w:ascii="Arial" w:hAnsi="Arial" w:cs="Arial"/>
          <w:sz w:val="24"/>
          <w:szCs w:val="24"/>
        </w:rPr>
        <w:t>Plooy</w:t>
      </w:r>
      <w:proofErr w:type="spellEnd"/>
      <w:r w:rsidR="00C53746" w:rsidRPr="00C53746">
        <w:rPr>
          <w:rFonts w:ascii="Arial" w:hAnsi="Arial" w:cs="Arial"/>
          <w:sz w:val="24"/>
          <w:szCs w:val="24"/>
        </w:rPr>
        <w:t xml:space="preserve"> to employees of NMFW and their answers to his emails. In essence he was enquiring in terms of what must he pay this repo fee. On 5 August 2019 he received the following answer from Ms </w:t>
      </w:r>
      <w:proofErr w:type="spellStart"/>
      <w:r w:rsidR="00C53746" w:rsidRPr="00C53746">
        <w:rPr>
          <w:rFonts w:ascii="Arial" w:hAnsi="Arial" w:cs="Arial"/>
          <w:sz w:val="24"/>
          <w:szCs w:val="24"/>
        </w:rPr>
        <w:t>Renette</w:t>
      </w:r>
      <w:proofErr w:type="spellEnd"/>
      <w:r w:rsidR="00C53746" w:rsidRPr="00C53746">
        <w:rPr>
          <w:rFonts w:ascii="Arial" w:hAnsi="Arial" w:cs="Arial"/>
          <w:sz w:val="24"/>
          <w:szCs w:val="24"/>
        </w:rPr>
        <w:t xml:space="preserve"> Erasmus forwarded by </w:t>
      </w:r>
      <w:proofErr w:type="spellStart"/>
      <w:r w:rsidR="00C53746" w:rsidRPr="00C53746">
        <w:rPr>
          <w:rFonts w:ascii="Arial" w:hAnsi="Arial" w:cs="Arial"/>
          <w:sz w:val="24"/>
          <w:szCs w:val="24"/>
        </w:rPr>
        <w:t>Ilze</w:t>
      </w:r>
      <w:proofErr w:type="spellEnd"/>
      <w:r w:rsidR="00C53746" w:rsidRPr="00C53746">
        <w:rPr>
          <w:rFonts w:ascii="Arial" w:hAnsi="Arial" w:cs="Arial"/>
          <w:sz w:val="24"/>
          <w:szCs w:val="24"/>
        </w:rPr>
        <w:t xml:space="preserve"> </w:t>
      </w:r>
      <w:proofErr w:type="spellStart"/>
      <w:r w:rsidR="00C53746" w:rsidRPr="00C53746">
        <w:rPr>
          <w:rFonts w:ascii="Arial" w:hAnsi="Arial" w:cs="Arial"/>
          <w:sz w:val="24"/>
          <w:szCs w:val="24"/>
        </w:rPr>
        <w:t>Pachonick</w:t>
      </w:r>
      <w:proofErr w:type="spellEnd"/>
      <w:r w:rsidR="00C53746" w:rsidRPr="00C53746">
        <w:rPr>
          <w:rFonts w:ascii="Arial" w:hAnsi="Arial" w:cs="Arial"/>
          <w:sz w:val="24"/>
          <w:szCs w:val="24"/>
        </w:rPr>
        <w:t xml:space="preserve">, “Die </w:t>
      </w:r>
      <w:proofErr w:type="spellStart"/>
      <w:r w:rsidR="00C53746" w:rsidRPr="00C53746">
        <w:rPr>
          <w:rFonts w:ascii="Arial" w:hAnsi="Arial" w:cs="Arial"/>
          <w:sz w:val="24"/>
          <w:szCs w:val="24"/>
        </w:rPr>
        <w:t>Repofooie</w:t>
      </w:r>
      <w:proofErr w:type="spellEnd"/>
      <w:r w:rsidR="00C53746" w:rsidRPr="00C53746">
        <w:rPr>
          <w:rFonts w:ascii="Arial" w:hAnsi="Arial" w:cs="Arial"/>
          <w:sz w:val="24"/>
          <w:szCs w:val="24"/>
        </w:rPr>
        <w:t xml:space="preserve"> is nog steeds </w:t>
      </w:r>
      <w:proofErr w:type="spellStart"/>
      <w:r w:rsidR="00C53746" w:rsidRPr="00C53746">
        <w:rPr>
          <w:rFonts w:ascii="Arial" w:hAnsi="Arial" w:cs="Arial"/>
          <w:sz w:val="24"/>
          <w:szCs w:val="24"/>
        </w:rPr>
        <w:t>betaalbaar</w:t>
      </w:r>
      <w:proofErr w:type="spellEnd"/>
      <w:r w:rsidR="00C53746" w:rsidRPr="00C53746">
        <w:rPr>
          <w:rFonts w:ascii="Arial" w:hAnsi="Arial" w:cs="Arial"/>
          <w:sz w:val="24"/>
          <w:szCs w:val="24"/>
        </w:rPr>
        <w:t xml:space="preserve">. </w:t>
      </w:r>
      <w:proofErr w:type="spellStart"/>
      <w:r w:rsidR="00C53746" w:rsidRPr="00C53746">
        <w:rPr>
          <w:rFonts w:ascii="Arial" w:hAnsi="Arial" w:cs="Arial"/>
          <w:sz w:val="24"/>
          <w:szCs w:val="24"/>
        </w:rPr>
        <w:t>Ingevolge</w:t>
      </w:r>
      <w:proofErr w:type="spellEnd"/>
      <w:r w:rsidR="00C53746" w:rsidRPr="00C53746">
        <w:rPr>
          <w:rFonts w:ascii="Arial" w:hAnsi="Arial" w:cs="Arial"/>
          <w:sz w:val="24"/>
          <w:szCs w:val="24"/>
        </w:rPr>
        <w:t xml:space="preserve"> die </w:t>
      </w:r>
      <w:proofErr w:type="spellStart"/>
      <w:r w:rsidR="00C53746" w:rsidRPr="00C53746">
        <w:rPr>
          <w:rFonts w:ascii="Arial" w:hAnsi="Arial" w:cs="Arial"/>
          <w:sz w:val="24"/>
          <w:szCs w:val="24"/>
        </w:rPr>
        <w:t>ooreenkoms</w:t>
      </w:r>
      <w:proofErr w:type="spellEnd"/>
      <w:r w:rsidR="00C53746" w:rsidRPr="00C53746">
        <w:rPr>
          <w:rFonts w:ascii="Arial" w:hAnsi="Arial" w:cs="Arial"/>
          <w:sz w:val="24"/>
          <w:szCs w:val="24"/>
        </w:rPr>
        <w:t xml:space="preserve"> is </w:t>
      </w:r>
      <w:proofErr w:type="spellStart"/>
      <w:r w:rsidR="00C53746" w:rsidRPr="00C53746">
        <w:rPr>
          <w:rFonts w:ascii="Arial" w:hAnsi="Arial" w:cs="Arial"/>
          <w:sz w:val="24"/>
          <w:szCs w:val="24"/>
        </w:rPr>
        <w:t>dit</w:t>
      </w:r>
      <w:proofErr w:type="spellEnd"/>
      <w:r w:rsidR="00C53746" w:rsidRPr="00C53746">
        <w:rPr>
          <w:rFonts w:ascii="Arial" w:hAnsi="Arial" w:cs="Arial"/>
          <w:sz w:val="24"/>
          <w:szCs w:val="24"/>
        </w:rPr>
        <w:t xml:space="preserve"> ‘n </w:t>
      </w:r>
      <w:proofErr w:type="spellStart"/>
      <w:r w:rsidR="00C53746" w:rsidRPr="00C53746">
        <w:rPr>
          <w:rFonts w:ascii="Arial" w:hAnsi="Arial" w:cs="Arial"/>
          <w:sz w:val="24"/>
          <w:szCs w:val="24"/>
        </w:rPr>
        <w:t>tipe</w:t>
      </w:r>
      <w:proofErr w:type="spellEnd"/>
      <w:r w:rsidR="00C53746" w:rsidRPr="00C53746">
        <w:rPr>
          <w:rFonts w:ascii="Arial" w:hAnsi="Arial" w:cs="Arial"/>
          <w:sz w:val="24"/>
          <w:szCs w:val="24"/>
        </w:rPr>
        <w:t xml:space="preserve"> </w:t>
      </w:r>
      <w:proofErr w:type="spellStart"/>
      <w:r w:rsidR="00C53746" w:rsidRPr="00C53746">
        <w:rPr>
          <w:rFonts w:ascii="Arial" w:hAnsi="Arial" w:cs="Arial"/>
          <w:sz w:val="24"/>
          <w:szCs w:val="24"/>
        </w:rPr>
        <w:t>waarborg</w:t>
      </w:r>
      <w:proofErr w:type="spellEnd"/>
      <w:r w:rsidR="00C53746" w:rsidRPr="00C53746">
        <w:rPr>
          <w:rFonts w:ascii="Arial" w:hAnsi="Arial" w:cs="Arial"/>
          <w:sz w:val="24"/>
          <w:szCs w:val="24"/>
        </w:rPr>
        <w:t>/</w:t>
      </w:r>
      <w:proofErr w:type="spellStart"/>
      <w:r w:rsidR="00C53746" w:rsidRPr="00C53746">
        <w:rPr>
          <w:rFonts w:ascii="Arial" w:hAnsi="Arial" w:cs="Arial"/>
          <w:sz w:val="24"/>
          <w:szCs w:val="24"/>
        </w:rPr>
        <w:t>versekering</w:t>
      </w:r>
      <w:proofErr w:type="spellEnd"/>
      <w:r w:rsidR="00C53746" w:rsidRPr="00C53746">
        <w:rPr>
          <w:rFonts w:ascii="Arial" w:hAnsi="Arial" w:cs="Arial"/>
          <w:sz w:val="24"/>
          <w:szCs w:val="24"/>
        </w:rPr>
        <w:t xml:space="preserve"> </w:t>
      </w:r>
      <w:proofErr w:type="spellStart"/>
      <w:r w:rsidR="00C53746" w:rsidRPr="00C53746">
        <w:rPr>
          <w:rFonts w:ascii="Arial" w:hAnsi="Arial" w:cs="Arial"/>
          <w:sz w:val="24"/>
          <w:szCs w:val="24"/>
        </w:rPr>
        <w:t>vir</w:t>
      </w:r>
      <w:proofErr w:type="spellEnd"/>
      <w:r w:rsidR="00C53746" w:rsidRPr="00C53746">
        <w:rPr>
          <w:rFonts w:ascii="Arial" w:hAnsi="Arial" w:cs="Arial"/>
          <w:sz w:val="24"/>
          <w:szCs w:val="24"/>
        </w:rPr>
        <w:t xml:space="preserve"> die </w:t>
      </w:r>
      <w:proofErr w:type="spellStart"/>
      <w:r w:rsidR="00C53746" w:rsidRPr="00C53746">
        <w:rPr>
          <w:rFonts w:ascii="Arial" w:hAnsi="Arial" w:cs="Arial"/>
          <w:sz w:val="24"/>
          <w:szCs w:val="24"/>
        </w:rPr>
        <w:t>uitstaand</w:t>
      </w:r>
      <w:r>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leningsbedrag</w:t>
      </w:r>
      <w:proofErr w:type="spellEnd"/>
      <w:r>
        <w:rPr>
          <w:rFonts w:ascii="Arial" w:hAnsi="Arial" w:cs="Arial"/>
          <w:sz w:val="24"/>
          <w:szCs w:val="24"/>
        </w:rPr>
        <w:t xml:space="preserve">, </w:t>
      </w:r>
      <w:proofErr w:type="spellStart"/>
      <w:r>
        <w:rPr>
          <w:rFonts w:ascii="Arial" w:hAnsi="Arial" w:cs="Arial"/>
          <w:sz w:val="24"/>
          <w:szCs w:val="24"/>
        </w:rPr>
        <w:t>dus</w:t>
      </w:r>
      <w:proofErr w:type="spellEnd"/>
      <w:r>
        <w:rPr>
          <w:rFonts w:ascii="Arial" w:hAnsi="Arial" w:cs="Arial"/>
          <w:sz w:val="24"/>
          <w:szCs w:val="24"/>
        </w:rPr>
        <w:t xml:space="preserve"> is </w:t>
      </w:r>
      <w:proofErr w:type="spellStart"/>
      <w:r>
        <w:rPr>
          <w:rFonts w:ascii="Arial" w:hAnsi="Arial" w:cs="Arial"/>
          <w:sz w:val="24"/>
          <w:szCs w:val="24"/>
        </w:rPr>
        <w:t>dit</w:t>
      </w:r>
      <w:proofErr w:type="spellEnd"/>
      <w:r>
        <w:rPr>
          <w:rFonts w:ascii="Arial" w:hAnsi="Arial" w:cs="Arial"/>
          <w:sz w:val="24"/>
          <w:szCs w:val="24"/>
        </w:rPr>
        <w:t xml:space="preserve"> nog </w:t>
      </w:r>
      <w:r w:rsidR="00C53746" w:rsidRPr="00C53746">
        <w:rPr>
          <w:rFonts w:ascii="Arial" w:hAnsi="Arial" w:cs="Arial"/>
          <w:sz w:val="24"/>
          <w:szCs w:val="24"/>
        </w:rPr>
        <w:t xml:space="preserve">steeds </w:t>
      </w:r>
      <w:proofErr w:type="spellStart"/>
      <w:r w:rsidR="00C53746" w:rsidRPr="00C53746">
        <w:rPr>
          <w:rFonts w:ascii="Arial" w:hAnsi="Arial" w:cs="Arial"/>
          <w:sz w:val="24"/>
          <w:szCs w:val="24"/>
        </w:rPr>
        <w:t>betaalbaar</w:t>
      </w:r>
      <w:proofErr w:type="spellEnd"/>
      <w:r w:rsidR="00C53746" w:rsidRPr="00C53746">
        <w:rPr>
          <w:rFonts w:ascii="Arial" w:hAnsi="Arial" w:cs="Arial"/>
          <w:sz w:val="24"/>
          <w:szCs w:val="24"/>
        </w:rPr>
        <w:t xml:space="preserve"> op die </w:t>
      </w:r>
      <w:proofErr w:type="spellStart"/>
      <w:r w:rsidR="00C53746" w:rsidRPr="00C53746">
        <w:rPr>
          <w:rFonts w:ascii="Arial" w:hAnsi="Arial" w:cs="Arial"/>
          <w:sz w:val="24"/>
          <w:szCs w:val="24"/>
        </w:rPr>
        <w:t>balans</w:t>
      </w:r>
      <w:proofErr w:type="spellEnd"/>
      <w:r w:rsidR="00C53746" w:rsidRPr="00C53746">
        <w:rPr>
          <w:rFonts w:ascii="Arial" w:hAnsi="Arial" w:cs="Arial"/>
          <w:sz w:val="24"/>
          <w:szCs w:val="24"/>
        </w:rPr>
        <w:t xml:space="preserve"> van R570 </w:t>
      </w:r>
      <w:proofErr w:type="spellStart"/>
      <w:r w:rsidR="00C53746" w:rsidRPr="00C53746">
        <w:rPr>
          <w:rFonts w:ascii="Arial" w:hAnsi="Arial" w:cs="Arial"/>
          <w:sz w:val="24"/>
          <w:szCs w:val="24"/>
        </w:rPr>
        <w:t>miljoen</w:t>
      </w:r>
      <w:proofErr w:type="spellEnd"/>
      <w:r w:rsidR="00C53746" w:rsidRPr="00C53746">
        <w:rPr>
          <w:rFonts w:ascii="Arial" w:hAnsi="Arial" w:cs="Arial"/>
          <w:sz w:val="24"/>
          <w:szCs w:val="24"/>
        </w:rPr>
        <w:t>.”</w:t>
      </w:r>
    </w:p>
    <w:p w:rsidR="00C53746" w:rsidRPr="00C53746" w:rsidRDefault="00C53746" w:rsidP="00C53746">
      <w:pPr>
        <w:spacing w:after="160" w:line="360" w:lineRule="auto"/>
        <w:jc w:val="both"/>
        <w:rPr>
          <w:rFonts w:ascii="Arial" w:hAnsi="Arial" w:cs="Arial"/>
          <w:sz w:val="24"/>
          <w:szCs w:val="24"/>
        </w:rPr>
      </w:pPr>
    </w:p>
    <w:p w:rsidR="00C53746" w:rsidRPr="00C53746" w:rsidRDefault="00283974" w:rsidP="00C53746">
      <w:pPr>
        <w:spacing w:after="160" w:line="360" w:lineRule="auto"/>
        <w:jc w:val="both"/>
        <w:rPr>
          <w:rFonts w:ascii="Arial" w:hAnsi="Arial" w:cs="Arial"/>
          <w:sz w:val="24"/>
          <w:szCs w:val="24"/>
        </w:rPr>
      </w:pPr>
      <w:r>
        <w:rPr>
          <w:rFonts w:ascii="Arial" w:hAnsi="Arial" w:cs="Arial"/>
          <w:sz w:val="24"/>
          <w:szCs w:val="24"/>
        </w:rPr>
        <w:t>[14</w:t>
      </w:r>
      <w:r w:rsidR="00C53746" w:rsidRPr="00C53746">
        <w:rPr>
          <w:rFonts w:ascii="Arial" w:hAnsi="Arial" w:cs="Arial"/>
          <w:sz w:val="24"/>
          <w:szCs w:val="24"/>
        </w:rPr>
        <w:t>]</w:t>
      </w:r>
      <w:r w:rsidR="00C53746" w:rsidRPr="00C53746">
        <w:rPr>
          <w:rFonts w:ascii="Arial" w:hAnsi="Arial" w:cs="Arial"/>
          <w:sz w:val="24"/>
          <w:szCs w:val="24"/>
        </w:rPr>
        <w:tab/>
        <w:t xml:space="preserve">Mr </w:t>
      </w:r>
      <w:proofErr w:type="spellStart"/>
      <w:r w:rsidR="00C53746" w:rsidRPr="00C53746">
        <w:rPr>
          <w:rFonts w:ascii="Arial" w:hAnsi="Arial" w:cs="Arial"/>
          <w:sz w:val="24"/>
          <w:szCs w:val="24"/>
        </w:rPr>
        <w:t>Samons</w:t>
      </w:r>
      <w:proofErr w:type="spellEnd"/>
      <w:r w:rsidR="00C53746" w:rsidRPr="00C53746">
        <w:rPr>
          <w:rFonts w:ascii="Arial" w:hAnsi="Arial" w:cs="Arial"/>
          <w:sz w:val="24"/>
          <w:szCs w:val="24"/>
        </w:rPr>
        <w:t xml:space="preserve"> of NMFW on 12 August 2019 sent an email with the following content to Mr du </w:t>
      </w:r>
      <w:proofErr w:type="spellStart"/>
      <w:r w:rsidR="00C53746" w:rsidRPr="00C53746">
        <w:rPr>
          <w:rFonts w:ascii="Arial" w:hAnsi="Arial" w:cs="Arial"/>
          <w:sz w:val="24"/>
          <w:szCs w:val="24"/>
        </w:rPr>
        <w:t>Plooy</w:t>
      </w:r>
      <w:proofErr w:type="spellEnd"/>
      <w:r w:rsidR="00C53746" w:rsidRPr="00C53746">
        <w:rPr>
          <w:rFonts w:ascii="Arial" w:hAnsi="Arial" w:cs="Arial"/>
          <w:sz w:val="24"/>
          <w:szCs w:val="24"/>
        </w:rPr>
        <w:t>:</w:t>
      </w:r>
    </w:p>
    <w:p w:rsidR="00C53746" w:rsidRDefault="00C53746" w:rsidP="00FA2AAF">
      <w:pPr>
        <w:spacing w:after="160" w:line="360" w:lineRule="auto"/>
        <w:ind w:left="720"/>
        <w:jc w:val="both"/>
        <w:rPr>
          <w:rFonts w:ascii="Arial" w:hAnsi="Arial" w:cs="Arial"/>
          <w:sz w:val="24"/>
          <w:szCs w:val="24"/>
        </w:rPr>
      </w:pPr>
      <w:r w:rsidRPr="00C53746">
        <w:rPr>
          <w:rFonts w:ascii="Arial" w:hAnsi="Arial" w:cs="Arial"/>
          <w:sz w:val="24"/>
          <w:szCs w:val="24"/>
        </w:rPr>
        <w:t xml:space="preserve">“Your enquiry about the monthly fee being paid to NMFW refers. Thank you for making payment of the amount </w:t>
      </w:r>
      <w:proofErr w:type="spellStart"/>
      <w:r w:rsidRPr="00C53746">
        <w:rPr>
          <w:rFonts w:ascii="Arial" w:hAnsi="Arial" w:cs="Arial"/>
          <w:sz w:val="24"/>
          <w:szCs w:val="24"/>
        </w:rPr>
        <w:t>Renette</w:t>
      </w:r>
      <w:proofErr w:type="spellEnd"/>
      <w:r w:rsidRPr="00C53746">
        <w:rPr>
          <w:rFonts w:ascii="Arial" w:hAnsi="Arial" w:cs="Arial"/>
          <w:sz w:val="24"/>
          <w:szCs w:val="24"/>
        </w:rPr>
        <w:t xml:space="preserve"> was enquiring about last week. This fee is payable and has been </w:t>
      </w:r>
      <w:r w:rsidR="00D17CDC">
        <w:rPr>
          <w:rFonts w:ascii="Arial" w:hAnsi="Arial" w:cs="Arial"/>
          <w:sz w:val="24"/>
          <w:szCs w:val="24"/>
        </w:rPr>
        <w:t xml:space="preserve">paid </w:t>
      </w:r>
      <w:r w:rsidRPr="00C53746">
        <w:rPr>
          <w:rFonts w:ascii="Arial" w:hAnsi="Arial" w:cs="Arial"/>
          <w:sz w:val="24"/>
          <w:szCs w:val="24"/>
        </w:rPr>
        <w:t>since 2008 in terms of paragraph 4.3 of the attached. There</w:t>
      </w:r>
      <w:r w:rsidR="00D17CDC">
        <w:rPr>
          <w:rFonts w:ascii="Arial" w:hAnsi="Arial" w:cs="Arial"/>
          <w:sz w:val="24"/>
          <w:szCs w:val="24"/>
        </w:rPr>
        <w:t xml:space="preserve"> is no other insurance policy </w:t>
      </w:r>
      <w:r w:rsidRPr="00C53746">
        <w:rPr>
          <w:rFonts w:ascii="Arial" w:hAnsi="Arial" w:cs="Arial"/>
          <w:sz w:val="24"/>
          <w:szCs w:val="24"/>
        </w:rPr>
        <w:t xml:space="preserve">indicated </w:t>
      </w:r>
      <w:r w:rsidR="00D17CDC">
        <w:rPr>
          <w:rFonts w:ascii="Arial" w:hAnsi="Arial" w:cs="Arial"/>
          <w:sz w:val="24"/>
          <w:szCs w:val="24"/>
        </w:rPr>
        <w:t xml:space="preserve">below </w:t>
      </w:r>
      <w:r w:rsidRPr="00C53746">
        <w:rPr>
          <w:rFonts w:ascii="Arial" w:hAnsi="Arial" w:cs="Arial"/>
          <w:sz w:val="24"/>
          <w:szCs w:val="24"/>
        </w:rPr>
        <w:t>in your mail of 6 August 2019.”</w:t>
      </w:r>
    </w:p>
    <w:p w:rsidR="00D17CDC" w:rsidRPr="00C53746" w:rsidRDefault="00D17CDC" w:rsidP="00FA2AAF">
      <w:pPr>
        <w:spacing w:after="160" w:line="360" w:lineRule="auto"/>
        <w:ind w:left="720"/>
        <w:jc w:val="both"/>
        <w:rPr>
          <w:rFonts w:ascii="Arial" w:hAnsi="Arial" w:cs="Arial"/>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 xml:space="preserve">Mr du </w:t>
      </w:r>
      <w:proofErr w:type="spellStart"/>
      <w:r w:rsidRPr="00C53746">
        <w:rPr>
          <w:rFonts w:ascii="Arial" w:hAnsi="Arial" w:cs="Arial"/>
          <w:sz w:val="24"/>
          <w:szCs w:val="24"/>
        </w:rPr>
        <w:t>Plooy</w:t>
      </w:r>
      <w:proofErr w:type="spellEnd"/>
      <w:r w:rsidRPr="00C53746">
        <w:rPr>
          <w:rFonts w:ascii="Arial" w:hAnsi="Arial" w:cs="Arial"/>
          <w:sz w:val="24"/>
          <w:szCs w:val="24"/>
        </w:rPr>
        <w:t xml:space="preserve"> reacted to NMFW on 13 August 2019 to that email as follows:</w:t>
      </w:r>
    </w:p>
    <w:p w:rsidR="00C53746" w:rsidRPr="00C53746" w:rsidRDefault="00DD4FAD" w:rsidP="00DD4FAD">
      <w:pPr>
        <w:spacing w:after="160" w:line="360" w:lineRule="auto"/>
        <w:ind w:left="720"/>
        <w:jc w:val="both"/>
        <w:rPr>
          <w:rFonts w:ascii="Arial" w:hAnsi="Arial" w:cs="Arial"/>
          <w:sz w:val="24"/>
          <w:szCs w:val="24"/>
        </w:rPr>
      </w:pPr>
      <w:r>
        <w:rPr>
          <w:rFonts w:ascii="Arial" w:hAnsi="Arial" w:cs="Arial"/>
          <w:sz w:val="24"/>
          <w:szCs w:val="24"/>
        </w:rPr>
        <w:t>“</w:t>
      </w:r>
      <w:r w:rsidR="00C53746" w:rsidRPr="00C53746">
        <w:rPr>
          <w:rFonts w:ascii="Arial" w:hAnsi="Arial" w:cs="Arial"/>
          <w:sz w:val="24"/>
          <w:szCs w:val="24"/>
        </w:rPr>
        <w:t xml:space="preserve">Your answer to my queries send to </w:t>
      </w:r>
      <w:proofErr w:type="spellStart"/>
      <w:r w:rsidR="00C53746" w:rsidRPr="00C53746">
        <w:rPr>
          <w:rFonts w:ascii="Arial" w:hAnsi="Arial" w:cs="Arial"/>
          <w:sz w:val="24"/>
          <w:szCs w:val="24"/>
        </w:rPr>
        <w:t>Renette</w:t>
      </w:r>
      <w:proofErr w:type="spellEnd"/>
      <w:r w:rsidR="00C53746" w:rsidRPr="00C53746">
        <w:rPr>
          <w:rFonts w:ascii="Arial" w:hAnsi="Arial" w:cs="Arial"/>
          <w:sz w:val="24"/>
          <w:szCs w:val="24"/>
        </w:rPr>
        <w:t xml:space="preserve"> is not satisfactory as you know better than me that the Funds previous auditor</w:t>
      </w:r>
      <w:r>
        <w:rPr>
          <w:rFonts w:ascii="Arial" w:hAnsi="Arial" w:cs="Arial"/>
          <w:sz w:val="24"/>
          <w:szCs w:val="24"/>
        </w:rPr>
        <w:t xml:space="preserve"> </w:t>
      </w:r>
      <w:r w:rsidR="00C53746" w:rsidRPr="00C53746">
        <w:rPr>
          <w:rFonts w:ascii="Arial" w:hAnsi="Arial" w:cs="Arial"/>
          <w:sz w:val="24"/>
          <w:szCs w:val="24"/>
        </w:rPr>
        <w:t xml:space="preserve">… </w:t>
      </w:r>
      <w:r>
        <w:rPr>
          <w:rFonts w:ascii="Arial" w:hAnsi="Arial" w:cs="Arial"/>
          <w:sz w:val="24"/>
          <w:szCs w:val="24"/>
        </w:rPr>
        <w:t xml:space="preserve"> the ‘repo fees’ a ‘</w:t>
      </w:r>
      <w:proofErr w:type="spellStart"/>
      <w:r w:rsidR="00C53746" w:rsidRPr="00C53746">
        <w:rPr>
          <w:rFonts w:ascii="Arial" w:hAnsi="Arial" w:cs="Arial"/>
          <w:sz w:val="24"/>
          <w:szCs w:val="24"/>
        </w:rPr>
        <w:t>foefie</w:t>
      </w:r>
      <w:proofErr w:type="spellEnd"/>
      <w:r w:rsidR="00C53746" w:rsidRPr="00C53746">
        <w:rPr>
          <w:rFonts w:ascii="Arial" w:hAnsi="Arial" w:cs="Arial"/>
          <w:sz w:val="24"/>
          <w:szCs w:val="24"/>
        </w:rPr>
        <w:t xml:space="preserve"> and </w:t>
      </w:r>
      <w:r w:rsidR="00C53746" w:rsidRPr="00C53746">
        <w:rPr>
          <w:rFonts w:ascii="Arial" w:hAnsi="Arial" w:cs="Arial"/>
          <w:sz w:val="24"/>
          <w:szCs w:val="24"/>
        </w:rPr>
        <w:lastRenderedPageBreak/>
        <w:t>a scam</w:t>
      </w:r>
      <w:r>
        <w:rPr>
          <w:rFonts w:ascii="Arial" w:hAnsi="Arial" w:cs="Arial"/>
          <w:sz w:val="24"/>
          <w:szCs w:val="24"/>
        </w:rPr>
        <w:t xml:space="preserve">’ </w:t>
      </w:r>
      <w:r w:rsidR="00C53746" w:rsidRPr="00C53746">
        <w:rPr>
          <w:rFonts w:ascii="Arial" w:hAnsi="Arial" w:cs="Arial"/>
          <w:sz w:val="24"/>
          <w:szCs w:val="24"/>
        </w:rPr>
        <w:t>in 2015 already. You also know that the agreement with SPS stopped with your and</w:t>
      </w:r>
      <w:r>
        <w:rPr>
          <w:rFonts w:ascii="Arial" w:hAnsi="Arial" w:cs="Arial"/>
          <w:sz w:val="24"/>
          <w:szCs w:val="24"/>
        </w:rPr>
        <w:t xml:space="preserve"> </w:t>
      </w:r>
      <w:r w:rsidR="00C53746" w:rsidRPr="00C53746">
        <w:rPr>
          <w:rFonts w:ascii="Arial" w:hAnsi="Arial" w:cs="Arial"/>
          <w:sz w:val="24"/>
          <w:szCs w:val="24"/>
        </w:rPr>
        <w:t>…</w:t>
      </w:r>
      <w:r>
        <w:rPr>
          <w:rFonts w:ascii="Arial" w:hAnsi="Arial" w:cs="Arial"/>
          <w:sz w:val="24"/>
          <w:szCs w:val="24"/>
        </w:rPr>
        <w:t xml:space="preserve"> consent. To rely on a</w:t>
      </w:r>
      <w:r w:rsidR="00C53746" w:rsidRPr="00C53746">
        <w:rPr>
          <w:rFonts w:ascii="Arial" w:hAnsi="Arial" w:cs="Arial"/>
          <w:sz w:val="24"/>
          <w:szCs w:val="24"/>
        </w:rPr>
        <w:t xml:space="preserve"> paragraph that is not applicable anymore is outrageous.</w:t>
      </w:r>
    </w:p>
    <w:p w:rsidR="00C53746" w:rsidRPr="00C53746" w:rsidRDefault="00C53746" w:rsidP="00DD4FAD">
      <w:pPr>
        <w:spacing w:after="160" w:line="360" w:lineRule="auto"/>
        <w:ind w:left="720"/>
        <w:jc w:val="both"/>
        <w:rPr>
          <w:rFonts w:ascii="Arial" w:hAnsi="Arial" w:cs="Arial"/>
          <w:sz w:val="24"/>
          <w:szCs w:val="24"/>
        </w:rPr>
      </w:pPr>
      <w:r w:rsidRPr="00C53746">
        <w:rPr>
          <w:rFonts w:ascii="Arial" w:hAnsi="Arial" w:cs="Arial"/>
          <w:sz w:val="24"/>
          <w:szCs w:val="24"/>
        </w:rPr>
        <w:t>The two questi</w:t>
      </w:r>
      <w:r w:rsidR="00DD4FAD">
        <w:rPr>
          <w:rFonts w:ascii="Arial" w:hAnsi="Arial" w:cs="Arial"/>
          <w:sz w:val="24"/>
          <w:szCs w:val="24"/>
        </w:rPr>
        <w:t xml:space="preserve">ons from the FSCA in short are:  </w:t>
      </w:r>
      <w:r w:rsidRPr="00C53746">
        <w:rPr>
          <w:rFonts w:ascii="Arial" w:hAnsi="Arial" w:cs="Arial"/>
          <w:sz w:val="24"/>
          <w:szCs w:val="24"/>
        </w:rPr>
        <w:t>Can you please supply us with a document or policy on the product and</w:t>
      </w:r>
      <w:r w:rsidR="00DD4FAD">
        <w:rPr>
          <w:rFonts w:ascii="Arial" w:hAnsi="Arial" w:cs="Arial"/>
          <w:sz w:val="24"/>
          <w:szCs w:val="24"/>
        </w:rPr>
        <w:t xml:space="preserve"> … </w:t>
      </w:r>
      <w:r w:rsidRPr="00C53746">
        <w:rPr>
          <w:rFonts w:ascii="Arial" w:hAnsi="Arial" w:cs="Arial"/>
          <w:sz w:val="24"/>
          <w:szCs w:val="24"/>
        </w:rPr>
        <w:t>is the monthly premium paid</w:t>
      </w:r>
      <w:r w:rsidR="00DD4FAD">
        <w:rPr>
          <w:rFonts w:ascii="Arial" w:hAnsi="Arial" w:cs="Arial"/>
          <w:sz w:val="24"/>
          <w:szCs w:val="24"/>
        </w:rPr>
        <w:t>.</w:t>
      </w:r>
      <w:r w:rsidRPr="00C53746">
        <w:rPr>
          <w:rFonts w:ascii="Arial" w:hAnsi="Arial" w:cs="Arial"/>
          <w:sz w:val="24"/>
          <w:szCs w:val="24"/>
        </w:rPr>
        <w:t>”</w:t>
      </w:r>
      <w:r w:rsidR="00DD4FAD">
        <w:rPr>
          <w:rFonts w:ascii="Arial" w:hAnsi="Arial" w:cs="Arial"/>
          <w:sz w:val="24"/>
          <w:szCs w:val="24"/>
        </w:rPr>
        <w:t xml:space="preserve"> [</w:t>
      </w:r>
      <w:r w:rsidRPr="00C53746">
        <w:rPr>
          <w:rFonts w:ascii="Arial" w:hAnsi="Arial" w:cs="Arial"/>
          <w:sz w:val="24"/>
          <w:szCs w:val="24"/>
        </w:rPr>
        <w:t xml:space="preserve">the emails are cut off on the right hand side and therefore the </w:t>
      </w:r>
      <w:r w:rsidR="00DD4FAD">
        <w:rPr>
          <w:rFonts w:ascii="Arial" w:hAnsi="Arial" w:cs="Arial"/>
          <w:sz w:val="24"/>
          <w:szCs w:val="24"/>
        </w:rPr>
        <w:t>“</w:t>
      </w:r>
      <w:r w:rsidRPr="00C53746">
        <w:rPr>
          <w:rFonts w:ascii="Arial" w:hAnsi="Arial" w:cs="Arial"/>
          <w:sz w:val="24"/>
          <w:szCs w:val="24"/>
        </w:rPr>
        <w:t>…”]</w:t>
      </w:r>
    </w:p>
    <w:p w:rsidR="00C53746" w:rsidRPr="00C53746" w:rsidRDefault="00C53746" w:rsidP="00C53746">
      <w:pPr>
        <w:spacing w:after="160" w:line="360" w:lineRule="auto"/>
        <w:jc w:val="both"/>
        <w:rPr>
          <w:rFonts w:ascii="Arial" w:hAnsi="Arial" w:cs="Arial"/>
          <w:sz w:val="24"/>
          <w:szCs w:val="24"/>
        </w:rPr>
      </w:pPr>
    </w:p>
    <w:p w:rsidR="00C53746" w:rsidRPr="00C53746" w:rsidRDefault="003E533B" w:rsidP="00C53746">
      <w:pPr>
        <w:spacing w:after="160" w:line="360" w:lineRule="auto"/>
        <w:jc w:val="both"/>
        <w:rPr>
          <w:rFonts w:ascii="Arial" w:hAnsi="Arial" w:cs="Arial"/>
          <w:sz w:val="24"/>
          <w:szCs w:val="24"/>
        </w:rPr>
      </w:pPr>
      <w:r>
        <w:rPr>
          <w:rFonts w:ascii="Arial" w:hAnsi="Arial" w:cs="Arial"/>
          <w:sz w:val="24"/>
          <w:szCs w:val="24"/>
        </w:rPr>
        <w:t>[15</w:t>
      </w:r>
      <w:r w:rsidR="00C53746" w:rsidRPr="00C53746">
        <w:rPr>
          <w:rFonts w:ascii="Arial" w:hAnsi="Arial" w:cs="Arial"/>
          <w:sz w:val="24"/>
          <w:szCs w:val="24"/>
        </w:rPr>
        <w:t>]</w:t>
      </w:r>
      <w:r w:rsidR="00C53746" w:rsidRPr="00C53746">
        <w:rPr>
          <w:rFonts w:ascii="Arial" w:hAnsi="Arial" w:cs="Arial"/>
          <w:sz w:val="24"/>
          <w:szCs w:val="24"/>
        </w:rPr>
        <w:tab/>
        <w:t xml:space="preserve">In cross-examination Mr du </w:t>
      </w:r>
      <w:proofErr w:type="spellStart"/>
      <w:r w:rsidR="00C53746" w:rsidRPr="00C53746">
        <w:rPr>
          <w:rFonts w:ascii="Arial" w:hAnsi="Arial" w:cs="Arial"/>
          <w:sz w:val="24"/>
          <w:szCs w:val="24"/>
        </w:rPr>
        <w:t>Plooy</w:t>
      </w:r>
      <w:proofErr w:type="spellEnd"/>
      <w:r w:rsidR="00C53746" w:rsidRPr="00C53746">
        <w:rPr>
          <w:rFonts w:ascii="Arial" w:hAnsi="Arial" w:cs="Arial"/>
          <w:sz w:val="24"/>
          <w:szCs w:val="24"/>
        </w:rPr>
        <w:t xml:space="preserve"> denied that he already in 2015 knew that there was no legal basis for the payment of the repo fee. He explained that his e-mail was not referring to repo fees, although it expressly set out “repo fees”, but in fact to the SPS fees that he had stopped. He was adamant that in fact no repo agreement had been concluded. He testified that the agreement with SPS had been cancelled in 2015 and NMFW could not rely on clause 4.3 of a cancelled agreement. He was only indicating that NMWF knew what had been found in terms of the SPS fees</w:t>
      </w:r>
      <w:r>
        <w:rPr>
          <w:rFonts w:ascii="Arial" w:hAnsi="Arial" w:cs="Arial"/>
          <w:sz w:val="24"/>
          <w:szCs w:val="24"/>
        </w:rPr>
        <w:t xml:space="preserve">. i.e. </w:t>
      </w:r>
      <w:r w:rsidR="00C53746" w:rsidRPr="00C53746">
        <w:rPr>
          <w:rFonts w:ascii="Arial" w:hAnsi="Arial" w:cs="Arial"/>
          <w:sz w:val="24"/>
          <w:szCs w:val="24"/>
        </w:rPr>
        <w:t>a “</w:t>
      </w:r>
      <w:proofErr w:type="spellStart"/>
      <w:r w:rsidR="00C53746" w:rsidRPr="00C53746">
        <w:rPr>
          <w:rFonts w:ascii="Arial" w:hAnsi="Arial" w:cs="Arial"/>
          <w:sz w:val="24"/>
          <w:szCs w:val="24"/>
        </w:rPr>
        <w:t>foefie</w:t>
      </w:r>
      <w:proofErr w:type="spellEnd"/>
      <w:r w:rsidR="00C53746" w:rsidRPr="00C53746">
        <w:rPr>
          <w:rFonts w:ascii="Arial" w:hAnsi="Arial" w:cs="Arial"/>
          <w:sz w:val="24"/>
          <w:szCs w:val="24"/>
        </w:rPr>
        <w:t>” and a scam.</w:t>
      </w:r>
    </w:p>
    <w:p w:rsidR="00C53746" w:rsidRPr="00C53746" w:rsidRDefault="00C53746" w:rsidP="00C53746">
      <w:pPr>
        <w:spacing w:after="160" w:line="360" w:lineRule="auto"/>
        <w:jc w:val="both"/>
        <w:rPr>
          <w:rFonts w:ascii="Arial" w:hAnsi="Arial" w:cs="Arial"/>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Argument on behalf of RFS</w:t>
      </w:r>
    </w:p>
    <w:p w:rsidR="006F2989" w:rsidRDefault="003E533B" w:rsidP="00C53746">
      <w:pPr>
        <w:spacing w:after="160" w:line="360" w:lineRule="auto"/>
        <w:jc w:val="both"/>
        <w:rPr>
          <w:rFonts w:ascii="Arial" w:hAnsi="Arial" w:cs="Arial"/>
          <w:sz w:val="24"/>
          <w:szCs w:val="24"/>
        </w:rPr>
      </w:pPr>
      <w:r>
        <w:rPr>
          <w:rFonts w:ascii="Arial" w:hAnsi="Arial" w:cs="Arial"/>
          <w:sz w:val="24"/>
          <w:szCs w:val="24"/>
        </w:rPr>
        <w:t>[16</w:t>
      </w:r>
      <w:r w:rsidR="00C53746" w:rsidRPr="00C53746">
        <w:rPr>
          <w:rFonts w:ascii="Arial" w:hAnsi="Arial" w:cs="Arial"/>
          <w:sz w:val="24"/>
          <w:szCs w:val="24"/>
        </w:rPr>
        <w:t>]</w:t>
      </w:r>
      <w:r w:rsidR="00C53746" w:rsidRPr="00C53746">
        <w:rPr>
          <w:rFonts w:ascii="Arial" w:hAnsi="Arial" w:cs="Arial"/>
          <w:sz w:val="24"/>
          <w:szCs w:val="24"/>
        </w:rPr>
        <w:tab/>
        <w:t xml:space="preserve">Much was made of the fact that NMFW did not plead sufficient facts to sustain a plea of prescription and on that basis alone it did not prove its defence of prescription. Reliance was placed on the matter of </w:t>
      </w:r>
      <w:r w:rsidR="00C53746" w:rsidRPr="00C53746">
        <w:rPr>
          <w:rFonts w:ascii="Arial" w:hAnsi="Arial" w:cs="Arial"/>
          <w:i/>
          <w:sz w:val="24"/>
          <w:szCs w:val="24"/>
        </w:rPr>
        <w:t xml:space="preserve">Greater Tzaneen Municipality v </w:t>
      </w:r>
      <w:proofErr w:type="spellStart"/>
      <w:r w:rsidR="00C53746" w:rsidRPr="00C53746">
        <w:rPr>
          <w:rFonts w:ascii="Arial" w:hAnsi="Arial" w:cs="Arial"/>
          <w:i/>
          <w:sz w:val="24"/>
          <w:szCs w:val="24"/>
        </w:rPr>
        <w:t>Bravospan</w:t>
      </w:r>
      <w:proofErr w:type="spellEnd"/>
      <w:r w:rsidR="00C53746" w:rsidRPr="00C53746">
        <w:rPr>
          <w:rFonts w:ascii="Arial" w:hAnsi="Arial" w:cs="Arial"/>
          <w:i/>
          <w:sz w:val="24"/>
          <w:szCs w:val="24"/>
        </w:rPr>
        <w:t xml:space="preserve"> </w:t>
      </w:r>
      <w:r w:rsidR="00C53746" w:rsidRPr="00C53746">
        <w:rPr>
          <w:rFonts w:ascii="Arial" w:hAnsi="Arial" w:cs="Arial"/>
          <w:sz w:val="24"/>
          <w:szCs w:val="24"/>
        </w:rPr>
        <w:t>252 CC</w:t>
      </w:r>
      <w:r w:rsidR="006F2989">
        <w:rPr>
          <w:rStyle w:val="FootnoteReference"/>
          <w:rFonts w:ascii="Arial" w:hAnsi="Arial" w:cs="Arial"/>
          <w:sz w:val="24"/>
          <w:szCs w:val="24"/>
        </w:rPr>
        <w:footnoteReference w:id="1"/>
      </w:r>
      <w:r w:rsidR="006F2989">
        <w:rPr>
          <w:rFonts w:ascii="Arial" w:hAnsi="Arial" w:cs="Arial"/>
          <w:sz w:val="24"/>
          <w:szCs w:val="24"/>
        </w:rPr>
        <w:t xml:space="preserve">  at </w:t>
      </w:r>
      <w:r w:rsidR="00C53746" w:rsidRPr="00C53746">
        <w:rPr>
          <w:rFonts w:ascii="Arial" w:hAnsi="Arial" w:cs="Arial"/>
          <w:sz w:val="24"/>
          <w:szCs w:val="24"/>
        </w:rPr>
        <w:t>par</w:t>
      </w:r>
      <w:r w:rsidR="006F2989">
        <w:rPr>
          <w:rFonts w:ascii="Arial" w:hAnsi="Arial" w:cs="Arial"/>
          <w:sz w:val="24"/>
          <w:szCs w:val="24"/>
        </w:rPr>
        <w:t xml:space="preserve"> [12]</w:t>
      </w:r>
      <w:r w:rsidR="00C53746" w:rsidRPr="00C53746">
        <w:rPr>
          <w:rFonts w:ascii="Arial" w:hAnsi="Arial" w:cs="Arial"/>
          <w:sz w:val="24"/>
          <w:szCs w:val="24"/>
        </w:rPr>
        <w:t xml:space="preserve"> which set out as follows: </w:t>
      </w:r>
    </w:p>
    <w:p w:rsidR="00C53746" w:rsidRDefault="00C53746" w:rsidP="00C719E1">
      <w:pPr>
        <w:spacing w:after="160" w:line="360" w:lineRule="auto"/>
        <w:ind w:left="720"/>
        <w:jc w:val="both"/>
        <w:rPr>
          <w:rFonts w:ascii="Arial" w:hAnsi="Arial" w:cs="Arial"/>
          <w:sz w:val="24"/>
          <w:szCs w:val="24"/>
        </w:rPr>
      </w:pPr>
      <w:r w:rsidRPr="00C53746">
        <w:rPr>
          <w:rFonts w:ascii="Arial" w:hAnsi="Arial" w:cs="Arial"/>
          <w:sz w:val="24"/>
          <w:szCs w:val="24"/>
        </w:rPr>
        <w:t>“</w:t>
      </w:r>
      <w:r w:rsidR="00C719E1">
        <w:rPr>
          <w:rFonts w:ascii="Arial" w:hAnsi="Arial" w:cs="Arial"/>
          <w:sz w:val="24"/>
          <w:szCs w:val="24"/>
        </w:rPr>
        <w:t xml:space="preserve">Rule 22 of the Uniform Rules of Court, provides that a party who raises a plea shall, in his plea, ‘clearly and concisely state all material facts upon which he relies’.  In Hurst, </w:t>
      </w:r>
      <w:proofErr w:type="spellStart"/>
      <w:r w:rsidR="00C719E1">
        <w:rPr>
          <w:rFonts w:ascii="Arial" w:hAnsi="Arial" w:cs="Arial"/>
          <w:sz w:val="24"/>
          <w:szCs w:val="24"/>
        </w:rPr>
        <w:t>Gunson</w:t>
      </w:r>
      <w:proofErr w:type="spellEnd"/>
      <w:r w:rsidR="00C719E1">
        <w:rPr>
          <w:rFonts w:ascii="Arial" w:hAnsi="Arial" w:cs="Arial"/>
          <w:sz w:val="24"/>
          <w:szCs w:val="24"/>
        </w:rPr>
        <w:t>, Cooper, Taber Ltd v Agricultural Supply Association (Pty) Ltd</w:t>
      </w:r>
      <w:r w:rsidR="001873CA">
        <w:rPr>
          <w:rFonts w:ascii="Arial" w:hAnsi="Arial" w:cs="Arial"/>
          <w:sz w:val="24"/>
          <w:szCs w:val="24"/>
        </w:rPr>
        <w:t>,</w:t>
      </w:r>
      <w:r w:rsidR="001873CA">
        <w:rPr>
          <w:rStyle w:val="FootnoteReference"/>
          <w:rFonts w:ascii="Arial" w:hAnsi="Arial" w:cs="Arial"/>
          <w:sz w:val="24"/>
          <w:szCs w:val="24"/>
        </w:rPr>
        <w:footnoteReference w:id="2"/>
      </w:r>
      <w:r w:rsidR="00C719E1">
        <w:rPr>
          <w:rFonts w:ascii="Arial" w:hAnsi="Arial" w:cs="Arial"/>
          <w:sz w:val="24"/>
          <w:szCs w:val="24"/>
        </w:rPr>
        <w:t xml:space="preserve"> the court held that in order to found a plea of prescription based on a 3-year period, it is essential and material to expressly allege the fac</w:t>
      </w:r>
      <w:r w:rsidR="001873CA">
        <w:rPr>
          <w:rFonts w:ascii="Arial" w:hAnsi="Arial" w:cs="Arial"/>
          <w:sz w:val="24"/>
          <w:szCs w:val="24"/>
        </w:rPr>
        <w:t>ts on which the plea is based.</w:t>
      </w:r>
      <w:r w:rsidR="001873CA">
        <w:rPr>
          <w:rStyle w:val="FootnoteReference"/>
          <w:rFonts w:ascii="Arial" w:hAnsi="Arial" w:cs="Arial"/>
          <w:sz w:val="24"/>
          <w:szCs w:val="24"/>
        </w:rPr>
        <w:footnoteReference w:id="3"/>
      </w:r>
      <w:r w:rsidR="001873CA">
        <w:rPr>
          <w:rFonts w:ascii="Arial" w:hAnsi="Arial" w:cs="Arial"/>
          <w:sz w:val="24"/>
          <w:szCs w:val="24"/>
        </w:rPr>
        <w:t xml:space="preserve">  </w:t>
      </w:r>
      <w:r w:rsidR="00C719E1">
        <w:rPr>
          <w:rFonts w:ascii="Arial" w:hAnsi="Arial" w:cs="Arial"/>
          <w:sz w:val="24"/>
          <w:szCs w:val="24"/>
        </w:rPr>
        <w:t xml:space="preserve">The defendant must prove the facts that the plaintiff was required to know before prescription could commence and must allege that </w:t>
      </w:r>
      <w:r w:rsidR="00C719E1">
        <w:rPr>
          <w:rFonts w:ascii="Arial" w:hAnsi="Arial" w:cs="Arial"/>
          <w:sz w:val="24"/>
          <w:szCs w:val="24"/>
        </w:rPr>
        <w:lastRenderedPageBreak/>
        <w:t>the plaintiff had knowledge of those facts on or before the date upon prescription is alleged to commence.</w:t>
      </w:r>
      <w:r w:rsidR="001873CA">
        <w:rPr>
          <w:rStyle w:val="FootnoteReference"/>
          <w:rFonts w:ascii="Arial" w:hAnsi="Arial" w:cs="Arial"/>
          <w:sz w:val="24"/>
          <w:szCs w:val="24"/>
        </w:rPr>
        <w:footnoteReference w:id="4"/>
      </w:r>
      <w:r w:rsidR="00C719E1">
        <w:rPr>
          <w:rFonts w:ascii="Arial" w:hAnsi="Arial" w:cs="Arial"/>
          <w:sz w:val="24"/>
          <w:szCs w:val="24"/>
        </w:rPr>
        <w:t xml:space="preserve"> In </w:t>
      </w:r>
      <w:r w:rsidR="00C719E1" w:rsidRPr="00A45ACE">
        <w:rPr>
          <w:rFonts w:ascii="Arial" w:hAnsi="Arial" w:cs="Arial"/>
          <w:i/>
          <w:sz w:val="24"/>
          <w:szCs w:val="24"/>
        </w:rPr>
        <w:t xml:space="preserve">MEC for Health, Western Cape v </w:t>
      </w:r>
      <w:proofErr w:type="spellStart"/>
      <w:r w:rsidR="00C719E1" w:rsidRPr="00A45ACE">
        <w:rPr>
          <w:rFonts w:ascii="Arial" w:hAnsi="Arial" w:cs="Arial"/>
          <w:i/>
          <w:sz w:val="24"/>
          <w:szCs w:val="24"/>
        </w:rPr>
        <w:t>Coboza</w:t>
      </w:r>
      <w:proofErr w:type="spellEnd"/>
      <w:r w:rsidR="00C719E1">
        <w:rPr>
          <w:rFonts w:ascii="Arial" w:hAnsi="Arial" w:cs="Arial"/>
          <w:sz w:val="24"/>
          <w:szCs w:val="24"/>
        </w:rPr>
        <w:t>, Van der Merwe JA held that the appellant in that case failed to allege the facts that were necessary to determine when the respondent knew of the primary facts or should have reasonably have known them.  Therefore, the court held that the determination of the ‘plea of prescription was an exercise in futility’</w:t>
      </w:r>
      <w:r w:rsidR="001873CA">
        <w:rPr>
          <w:rFonts w:ascii="Arial" w:hAnsi="Arial" w:cs="Arial"/>
          <w:sz w:val="24"/>
          <w:szCs w:val="24"/>
        </w:rPr>
        <w:t>.</w:t>
      </w:r>
      <w:r w:rsidR="001873CA">
        <w:rPr>
          <w:rStyle w:val="FootnoteReference"/>
          <w:rFonts w:ascii="Arial" w:hAnsi="Arial" w:cs="Arial"/>
          <w:sz w:val="24"/>
          <w:szCs w:val="24"/>
        </w:rPr>
        <w:footnoteReference w:id="5"/>
      </w:r>
      <w:r w:rsidR="00C719E1">
        <w:rPr>
          <w:rFonts w:ascii="Arial" w:hAnsi="Arial" w:cs="Arial"/>
          <w:sz w:val="24"/>
          <w:szCs w:val="24"/>
        </w:rPr>
        <w:t xml:space="preserve"> </w:t>
      </w:r>
    </w:p>
    <w:p w:rsidR="00C719E1" w:rsidRPr="00C53746" w:rsidRDefault="00C719E1" w:rsidP="006F2989">
      <w:pPr>
        <w:spacing w:after="160" w:line="360" w:lineRule="auto"/>
        <w:ind w:firstLine="720"/>
        <w:jc w:val="both"/>
        <w:rPr>
          <w:rFonts w:ascii="Arial" w:hAnsi="Arial" w:cs="Arial"/>
          <w:sz w:val="24"/>
          <w:szCs w:val="24"/>
        </w:rPr>
      </w:pPr>
    </w:p>
    <w:p w:rsidR="00C53746" w:rsidRDefault="001873CA" w:rsidP="00C53746">
      <w:pPr>
        <w:spacing w:after="160" w:line="360" w:lineRule="auto"/>
        <w:jc w:val="both"/>
        <w:rPr>
          <w:rFonts w:ascii="Arial" w:hAnsi="Arial" w:cs="Arial"/>
          <w:sz w:val="24"/>
          <w:szCs w:val="24"/>
        </w:rPr>
      </w:pPr>
      <w:r>
        <w:rPr>
          <w:rFonts w:ascii="Arial" w:hAnsi="Arial" w:cs="Arial"/>
          <w:sz w:val="24"/>
          <w:szCs w:val="24"/>
        </w:rPr>
        <w:t>[17</w:t>
      </w:r>
      <w:r w:rsidR="00C53746" w:rsidRPr="00C53746">
        <w:rPr>
          <w:rFonts w:ascii="Arial" w:hAnsi="Arial" w:cs="Arial"/>
          <w:sz w:val="24"/>
          <w:szCs w:val="24"/>
        </w:rPr>
        <w:t>]</w:t>
      </w:r>
      <w:r w:rsidR="00C53746" w:rsidRPr="00C53746">
        <w:rPr>
          <w:rFonts w:ascii="Arial" w:hAnsi="Arial" w:cs="Arial"/>
          <w:sz w:val="24"/>
          <w:szCs w:val="24"/>
        </w:rPr>
        <w:tab/>
        <w:t xml:space="preserve">I was thus urged to ignore the evidence of Mr du </w:t>
      </w:r>
      <w:proofErr w:type="spellStart"/>
      <w:r w:rsidR="00C53746" w:rsidRPr="00C53746">
        <w:rPr>
          <w:rFonts w:ascii="Arial" w:hAnsi="Arial" w:cs="Arial"/>
          <w:sz w:val="24"/>
          <w:szCs w:val="24"/>
        </w:rPr>
        <w:t>Plooy</w:t>
      </w:r>
      <w:proofErr w:type="spellEnd"/>
      <w:r w:rsidR="00C53746" w:rsidRPr="00C53746">
        <w:rPr>
          <w:rFonts w:ascii="Arial" w:hAnsi="Arial" w:cs="Arial"/>
          <w:sz w:val="24"/>
          <w:szCs w:val="24"/>
        </w:rPr>
        <w:t xml:space="preserve"> because NMWF did not lead evidence on what dates the payments were made and on what dates the payments prescribed. It did not plead this, and did not lead evidence on these facts that it had to prove</w:t>
      </w:r>
      <w:r w:rsidR="00840DCA">
        <w:rPr>
          <w:rFonts w:ascii="Arial" w:hAnsi="Arial" w:cs="Arial"/>
          <w:sz w:val="24"/>
          <w:szCs w:val="24"/>
        </w:rPr>
        <w:t>.</w:t>
      </w:r>
    </w:p>
    <w:p w:rsidR="00840DCA" w:rsidRPr="00C53746" w:rsidRDefault="00840DCA" w:rsidP="00C53746">
      <w:pPr>
        <w:spacing w:after="160" w:line="360" w:lineRule="auto"/>
        <w:jc w:val="both"/>
        <w:rPr>
          <w:rFonts w:ascii="Arial" w:hAnsi="Arial" w:cs="Arial"/>
          <w:sz w:val="24"/>
          <w:szCs w:val="24"/>
        </w:rPr>
      </w:pPr>
    </w:p>
    <w:p w:rsidR="00C53746" w:rsidRDefault="00840DCA" w:rsidP="00C53746">
      <w:pPr>
        <w:spacing w:after="160" w:line="360" w:lineRule="auto"/>
        <w:jc w:val="both"/>
        <w:rPr>
          <w:rFonts w:ascii="Arial" w:hAnsi="Arial" w:cs="Arial"/>
          <w:sz w:val="24"/>
          <w:szCs w:val="24"/>
        </w:rPr>
      </w:pPr>
      <w:r>
        <w:rPr>
          <w:rFonts w:ascii="Arial" w:hAnsi="Arial" w:cs="Arial"/>
          <w:sz w:val="24"/>
          <w:szCs w:val="24"/>
        </w:rPr>
        <w:t>[18</w:t>
      </w:r>
      <w:r w:rsidR="00C53746" w:rsidRPr="00C53746">
        <w:rPr>
          <w:rFonts w:ascii="Arial" w:hAnsi="Arial" w:cs="Arial"/>
          <w:sz w:val="24"/>
          <w:szCs w:val="24"/>
        </w:rPr>
        <w:t>]</w:t>
      </w:r>
      <w:r w:rsidR="00C53746" w:rsidRPr="00C53746">
        <w:rPr>
          <w:rFonts w:ascii="Arial" w:hAnsi="Arial" w:cs="Arial"/>
          <w:sz w:val="24"/>
          <w:szCs w:val="24"/>
        </w:rPr>
        <w:tab/>
        <w:t>But, in any event prescription only ran from 31 August 2019</w:t>
      </w:r>
      <w:r w:rsidR="00186017">
        <w:rPr>
          <w:rFonts w:ascii="Arial" w:hAnsi="Arial" w:cs="Arial"/>
          <w:sz w:val="24"/>
          <w:szCs w:val="24"/>
        </w:rPr>
        <w:t xml:space="preserve"> and RFS could not have acquired</w:t>
      </w:r>
      <w:r w:rsidR="00C53746" w:rsidRPr="00C53746">
        <w:rPr>
          <w:rFonts w:ascii="Arial" w:hAnsi="Arial" w:cs="Arial"/>
          <w:sz w:val="24"/>
          <w:szCs w:val="24"/>
        </w:rPr>
        <w:t xml:space="preserve"> such knowledge by exercising reasonable care before such date.</w:t>
      </w:r>
    </w:p>
    <w:p w:rsidR="00A0343B" w:rsidRPr="00C53746" w:rsidRDefault="00A0343B" w:rsidP="00C53746">
      <w:pPr>
        <w:spacing w:after="160" w:line="360" w:lineRule="auto"/>
        <w:jc w:val="both"/>
        <w:rPr>
          <w:rFonts w:ascii="Arial" w:hAnsi="Arial" w:cs="Arial"/>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Arguments on behalf of NMWF</w:t>
      </w:r>
    </w:p>
    <w:p w:rsidR="00C53746" w:rsidRDefault="00186017" w:rsidP="00C53746">
      <w:pPr>
        <w:spacing w:after="160" w:line="360" w:lineRule="auto"/>
        <w:jc w:val="both"/>
        <w:rPr>
          <w:rFonts w:ascii="Arial" w:hAnsi="Arial" w:cs="Arial"/>
          <w:sz w:val="24"/>
          <w:szCs w:val="24"/>
        </w:rPr>
      </w:pPr>
      <w:r>
        <w:rPr>
          <w:rFonts w:ascii="Arial" w:hAnsi="Arial" w:cs="Arial"/>
          <w:sz w:val="24"/>
          <w:szCs w:val="24"/>
        </w:rPr>
        <w:t>[19</w:t>
      </w:r>
      <w:r w:rsidR="00C53746" w:rsidRPr="00C53746">
        <w:rPr>
          <w:rFonts w:ascii="Arial" w:hAnsi="Arial" w:cs="Arial"/>
          <w:sz w:val="24"/>
          <w:szCs w:val="24"/>
        </w:rPr>
        <w:t>]</w:t>
      </w:r>
      <w:r w:rsidR="00C53746" w:rsidRPr="00C53746">
        <w:rPr>
          <w:rFonts w:ascii="Arial" w:hAnsi="Arial" w:cs="Arial"/>
          <w:sz w:val="24"/>
          <w:szCs w:val="24"/>
        </w:rPr>
        <w:tab/>
        <w:t>It was submitted that it had pleaded that the payments constituted a debt and therefore the prescription period was three years. Because the claim is based on undue enrichment prescription started running immediately upon payment, reliance for this submission was placed on</w:t>
      </w:r>
      <w:r w:rsidR="00FA08D2">
        <w:rPr>
          <w:rFonts w:ascii="Arial" w:hAnsi="Arial" w:cs="Arial"/>
          <w:sz w:val="24"/>
          <w:szCs w:val="24"/>
        </w:rPr>
        <w:t xml:space="preserve"> the matter of </w:t>
      </w:r>
      <w:r w:rsidR="00FA08D2" w:rsidRPr="00A45ACE">
        <w:rPr>
          <w:rFonts w:ascii="Arial" w:hAnsi="Arial" w:cs="Arial"/>
          <w:i/>
          <w:sz w:val="24"/>
          <w:szCs w:val="24"/>
        </w:rPr>
        <w:t>V</w:t>
      </w:r>
      <w:r w:rsidR="00BD1CD6" w:rsidRPr="00A45ACE">
        <w:rPr>
          <w:rFonts w:ascii="Arial" w:hAnsi="Arial" w:cs="Arial"/>
          <w:i/>
          <w:sz w:val="24"/>
          <w:szCs w:val="24"/>
        </w:rPr>
        <w:t xml:space="preserve">an </w:t>
      </w:r>
      <w:proofErr w:type="spellStart"/>
      <w:r w:rsidR="00BD1CD6" w:rsidRPr="00A45ACE">
        <w:rPr>
          <w:rFonts w:ascii="Arial" w:hAnsi="Arial" w:cs="Arial"/>
          <w:i/>
          <w:sz w:val="24"/>
          <w:szCs w:val="24"/>
        </w:rPr>
        <w:t>Staden</w:t>
      </w:r>
      <w:proofErr w:type="spellEnd"/>
      <w:r w:rsidR="00BD1CD6" w:rsidRPr="00A45ACE">
        <w:rPr>
          <w:rFonts w:ascii="Arial" w:hAnsi="Arial" w:cs="Arial"/>
          <w:i/>
          <w:sz w:val="24"/>
          <w:szCs w:val="24"/>
        </w:rPr>
        <w:t xml:space="preserve"> v </w:t>
      </w:r>
      <w:proofErr w:type="spellStart"/>
      <w:r w:rsidR="00BD1CD6" w:rsidRPr="00A45ACE">
        <w:rPr>
          <w:rFonts w:ascii="Arial" w:hAnsi="Arial" w:cs="Arial"/>
          <w:i/>
          <w:sz w:val="24"/>
          <w:szCs w:val="24"/>
        </w:rPr>
        <w:t>Fourie</w:t>
      </w:r>
      <w:proofErr w:type="spellEnd"/>
      <w:r w:rsidR="00C53746" w:rsidRPr="00C53746">
        <w:rPr>
          <w:rFonts w:ascii="Arial" w:hAnsi="Arial" w:cs="Arial"/>
          <w:sz w:val="24"/>
          <w:szCs w:val="24"/>
        </w:rPr>
        <w:t xml:space="preserve"> 1989 (3) SA 200 (A) at 215. Consequently, the claims for the period from 2011-2018 became prescribed in terms of s10(1) of the Act. Accordingly, NMWF did not have to plead when the identity of the debtor and the facts from which the debt arose was in the </w:t>
      </w:r>
      <w:r w:rsidR="003D615C">
        <w:rPr>
          <w:rFonts w:ascii="Arial" w:hAnsi="Arial" w:cs="Arial"/>
          <w:sz w:val="24"/>
          <w:szCs w:val="24"/>
        </w:rPr>
        <w:t>knowledge of RFS; it simply did</w:t>
      </w:r>
      <w:r w:rsidR="00C53746" w:rsidRPr="00C53746">
        <w:rPr>
          <w:rFonts w:ascii="Arial" w:hAnsi="Arial" w:cs="Arial"/>
          <w:sz w:val="24"/>
          <w:szCs w:val="24"/>
        </w:rPr>
        <w:t xml:space="preserve"> not enter the fray.</w:t>
      </w:r>
    </w:p>
    <w:p w:rsidR="008200B4" w:rsidRPr="00C53746" w:rsidRDefault="008200B4" w:rsidP="00C53746">
      <w:pPr>
        <w:spacing w:after="160" w:line="360" w:lineRule="auto"/>
        <w:jc w:val="both"/>
        <w:rPr>
          <w:rFonts w:ascii="Arial" w:hAnsi="Arial" w:cs="Arial"/>
          <w:sz w:val="24"/>
          <w:szCs w:val="24"/>
        </w:rPr>
      </w:pPr>
    </w:p>
    <w:p w:rsidR="00C53746" w:rsidRDefault="00BD1CD6" w:rsidP="00C53746">
      <w:pPr>
        <w:spacing w:after="160" w:line="360" w:lineRule="auto"/>
        <w:jc w:val="both"/>
        <w:rPr>
          <w:rFonts w:ascii="Arial" w:hAnsi="Arial" w:cs="Arial"/>
          <w:sz w:val="24"/>
          <w:szCs w:val="24"/>
        </w:rPr>
      </w:pPr>
      <w:r>
        <w:rPr>
          <w:rFonts w:ascii="Arial" w:hAnsi="Arial" w:cs="Arial"/>
          <w:sz w:val="24"/>
          <w:szCs w:val="24"/>
        </w:rPr>
        <w:lastRenderedPageBreak/>
        <w:t>[20</w:t>
      </w:r>
      <w:r w:rsidR="00C53746" w:rsidRPr="00C53746">
        <w:rPr>
          <w:rFonts w:ascii="Arial" w:hAnsi="Arial" w:cs="Arial"/>
          <w:sz w:val="24"/>
          <w:szCs w:val="24"/>
        </w:rPr>
        <w:t>]</w:t>
      </w:r>
      <w:r w:rsidR="00C53746" w:rsidRPr="00C53746">
        <w:rPr>
          <w:rFonts w:ascii="Arial" w:hAnsi="Arial" w:cs="Arial"/>
          <w:sz w:val="24"/>
          <w:szCs w:val="24"/>
        </w:rPr>
        <w:tab/>
        <w:t>In terms of section 12(3) of the Act prescription does not begin to run until the creditor has knowledge of the identity of the debtor and the facts from which the debt arose. The facts so required are the minimum facts that are necessary to institute a claim. The creditor need not be aware of the full extent of its legal rights.</w:t>
      </w:r>
      <w:r w:rsidR="00A45ACE">
        <w:rPr>
          <w:rStyle w:val="FootnoteReference"/>
          <w:rFonts w:ascii="Arial" w:hAnsi="Arial" w:cs="Arial"/>
          <w:sz w:val="24"/>
          <w:szCs w:val="24"/>
        </w:rPr>
        <w:footnoteReference w:id="6"/>
      </w:r>
      <w:r w:rsidR="00C53746" w:rsidRPr="00C53746">
        <w:rPr>
          <w:rFonts w:ascii="Arial" w:hAnsi="Arial" w:cs="Arial"/>
          <w:sz w:val="24"/>
          <w:szCs w:val="24"/>
        </w:rPr>
        <w:t xml:space="preserve"> </w:t>
      </w:r>
      <w:r w:rsidR="0070625A">
        <w:rPr>
          <w:rFonts w:ascii="Arial" w:hAnsi="Arial" w:cs="Arial"/>
          <w:sz w:val="24"/>
          <w:szCs w:val="24"/>
        </w:rPr>
        <w:t xml:space="preserve"> </w:t>
      </w:r>
      <w:r w:rsidR="00C53746" w:rsidRPr="00C53746">
        <w:rPr>
          <w:rFonts w:ascii="Arial" w:hAnsi="Arial" w:cs="Arial"/>
          <w:sz w:val="24"/>
          <w:szCs w:val="24"/>
        </w:rPr>
        <w:t>It was argued that RFS had all the facts. It knew that after the 2007 and the 2012 agreements no repo agreement was concluded and that payment was made to NMWF. It knew that the Instruction to commence contract was not included in the 2012 agreement. On its own evidence thus RFS had the identity of the debtor and all the facts necessary to institute a claim. Knowledge of the legal conclusion that the payments were not due in terms of the contracts is not a fact he would need to know before RFS could institute a claim.</w:t>
      </w:r>
    </w:p>
    <w:p w:rsidR="007C0BAB" w:rsidRPr="00C53746" w:rsidRDefault="007C0BAB" w:rsidP="00C53746">
      <w:pPr>
        <w:spacing w:after="160" w:line="360" w:lineRule="auto"/>
        <w:jc w:val="both"/>
        <w:rPr>
          <w:rFonts w:ascii="Arial" w:hAnsi="Arial" w:cs="Arial"/>
          <w:sz w:val="24"/>
          <w:szCs w:val="24"/>
        </w:rPr>
      </w:pPr>
    </w:p>
    <w:p w:rsidR="00C53746" w:rsidRPr="00C53746" w:rsidRDefault="007C0BAB" w:rsidP="00C53746">
      <w:pPr>
        <w:spacing w:after="160" w:line="360" w:lineRule="auto"/>
        <w:jc w:val="both"/>
        <w:rPr>
          <w:rFonts w:ascii="Arial" w:hAnsi="Arial" w:cs="Arial"/>
          <w:sz w:val="24"/>
          <w:szCs w:val="24"/>
        </w:rPr>
      </w:pPr>
      <w:r>
        <w:rPr>
          <w:rFonts w:ascii="Arial" w:hAnsi="Arial" w:cs="Arial"/>
          <w:sz w:val="24"/>
          <w:szCs w:val="24"/>
        </w:rPr>
        <w:t>[21</w:t>
      </w:r>
      <w:r w:rsidR="00C53746" w:rsidRPr="00C53746">
        <w:rPr>
          <w:rFonts w:ascii="Arial" w:hAnsi="Arial" w:cs="Arial"/>
          <w:sz w:val="24"/>
          <w:szCs w:val="24"/>
        </w:rPr>
        <w:t>]</w:t>
      </w:r>
      <w:r w:rsidR="00C53746" w:rsidRPr="00C53746">
        <w:rPr>
          <w:rFonts w:ascii="Arial" w:hAnsi="Arial" w:cs="Arial"/>
          <w:sz w:val="24"/>
          <w:szCs w:val="24"/>
        </w:rPr>
        <w:tab/>
        <w:t xml:space="preserve">I was referred to </w:t>
      </w:r>
      <w:proofErr w:type="spellStart"/>
      <w:r w:rsidR="00C53746" w:rsidRPr="00C53746">
        <w:rPr>
          <w:rFonts w:ascii="Arial" w:hAnsi="Arial" w:cs="Arial"/>
          <w:i/>
          <w:sz w:val="24"/>
          <w:szCs w:val="24"/>
        </w:rPr>
        <w:t>Truter</w:t>
      </w:r>
      <w:proofErr w:type="spellEnd"/>
      <w:r w:rsidR="00C53746" w:rsidRPr="00C53746">
        <w:rPr>
          <w:rFonts w:ascii="Arial" w:hAnsi="Arial" w:cs="Arial"/>
          <w:i/>
          <w:sz w:val="24"/>
          <w:szCs w:val="24"/>
        </w:rPr>
        <w:t xml:space="preserve"> and Another v </w:t>
      </w:r>
      <w:proofErr w:type="spellStart"/>
      <w:r w:rsidR="00C53746" w:rsidRPr="00C53746">
        <w:rPr>
          <w:rFonts w:ascii="Arial" w:hAnsi="Arial" w:cs="Arial"/>
          <w:i/>
          <w:sz w:val="24"/>
          <w:szCs w:val="24"/>
        </w:rPr>
        <w:t>Deysel</w:t>
      </w:r>
      <w:proofErr w:type="spellEnd"/>
      <w:r w:rsidR="00C53746" w:rsidRPr="00C53746">
        <w:rPr>
          <w:rFonts w:ascii="Arial" w:hAnsi="Arial" w:cs="Arial"/>
          <w:i/>
          <w:sz w:val="24"/>
          <w:szCs w:val="24"/>
        </w:rPr>
        <w:t xml:space="preserve"> </w:t>
      </w:r>
      <w:r w:rsidR="00C53746" w:rsidRPr="00C53746">
        <w:rPr>
          <w:rFonts w:ascii="Arial" w:hAnsi="Arial" w:cs="Arial"/>
          <w:sz w:val="24"/>
          <w:szCs w:val="24"/>
        </w:rPr>
        <w:t>2006</w:t>
      </w:r>
      <w:r w:rsidR="002946BB">
        <w:rPr>
          <w:rFonts w:ascii="Arial" w:hAnsi="Arial" w:cs="Arial"/>
          <w:sz w:val="24"/>
          <w:szCs w:val="24"/>
        </w:rPr>
        <w:t xml:space="preserve"> </w:t>
      </w:r>
      <w:r w:rsidR="00C53746" w:rsidRPr="00C53746">
        <w:rPr>
          <w:rFonts w:ascii="Arial" w:hAnsi="Arial" w:cs="Arial"/>
          <w:sz w:val="24"/>
          <w:szCs w:val="24"/>
        </w:rPr>
        <w:t>(4) SA 168 (SCA) wherein the Court found that a debt is due “when everything has happened which would entitle the creditor to institute action and to pursue his or her claim</w:t>
      </w:r>
      <w:r w:rsidR="00B06237">
        <w:rPr>
          <w:rFonts w:ascii="Arial" w:hAnsi="Arial" w:cs="Arial"/>
          <w:sz w:val="24"/>
          <w:szCs w:val="24"/>
        </w:rPr>
        <w:t>.</w:t>
      </w:r>
      <w:r w:rsidR="00B06237">
        <w:rPr>
          <w:rStyle w:val="FootnoteReference"/>
          <w:rFonts w:ascii="Arial" w:hAnsi="Arial" w:cs="Arial"/>
          <w:sz w:val="24"/>
          <w:szCs w:val="24"/>
        </w:rPr>
        <w:footnoteReference w:id="7"/>
      </w:r>
      <w:r w:rsidR="00B06237">
        <w:rPr>
          <w:rFonts w:ascii="Arial" w:hAnsi="Arial" w:cs="Arial"/>
          <w:sz w:val="24"/>
          <w:szCs w:val="24"/>
        </w:rPr>
        <w:t xml:space="preserve">  </w:t>
      </w:r>
      <w:r w:rsidR="00C53746" w:rsidRPr="00C53746">
        <w:rPr>
          <w:rFonts w:ascii="Arial" w:hAnsi="Arial" w:cs="Arial"/>
          <w:sz w:val="24"/>
          <w:szCs w:val="24"/>
        </w:rPr>
        <w:t xml:space="preserve">Also in </w:t>
      </w:r>
      <w:proofErr w:type="spellStart"/>
      <w:r w:rsidR="00C53746" w:rsidRPr="00C53746">
        <w:rPr>
          <w:rFonts w:ascii="Arial" w:hAnsi="Arial" w:cs="Arial"/>
          <w:i/>
          <w:sz w:val="24"/>
          <w:szCs w:val="24"/>
        </w:rPr>
        <w:t>Fluxmans</w:t>
      </w:r>
      <w:proofErr w:type="spellEnd"/>
      <w:r w:rsidR="00C53746" w:rsidRPr="00C53746">
        <w:rPr>
          <w:rFonts w:ascii="Arial" w:hAnsi="Arial" w:cs="Arial"/>
          <w:i/>
          <w:sz w:val="24"/>
          <w:szCs w:val="24"/>
        </w:rPr>
        <w:t xml:space="preserve"> </w:t>
      </w:r>
      <w:proofErr w:type="spellStart"/>
      <w:r w:rsidR="00C53746" w:rsidRPr="00C53746">
        <w:rPr>
          <w:rFonts w:ascii="Arial" w:hAnsi="Arial" w:cs="Arial"/>
          <w:i/>
          <w:sz w:val="24"/>
          <w:szCs w:val="24"/>
        </w:rPr>
        <w:t>Inc</w:t>
      </w:r>
      <w:proofErr w:type="spellEnd"/>
      <w:r w:rsidR="00C53746" w:rsidRPr="00C53746">
        <w:rPr>
          <w:rFonts w:ascii="Arial" w:hAnsi="Arial" w:cs="Arial"/>
          <w:i/>
          <w:sz w:val="24"/>
          <w:szCs w:val="24"/>
        </w:rPr>
        <w:t xml:space="preserve"> v </w:t>
      </w:r>
      <w:proofErr w:type="spellStart"/>
      <w:r w:rsidR="00C53746" w:rsidRPr="00C53746">
        <w:rPr>
          <w:rFonts w:ascii="Arial" w:hAnsi="Arial" w:cs="Arial"/>
          <w:i/>
          <w:sz w:val="24"/>
          <w:szCs w:val="24"/>
        </w:rPr>
        <w:t>Levenson</w:t>
      </w:r>
      <w:proofErr w:type="spellEnd"/>
      <w:r w:rsidR="00C53746" w:rsidRPr="00C53746">
        <w:rPr>
          <w:rFonts w:ascii="Arial" w:hAnsi="Arial" w:cs="Arial"/>
          <w:sz w:val="24"/>
          <w:szCs w:val="24"/>
        </w:rPr>
        <w:t xml:space="preserve"> 2017 (2) SA 520 </w:t>
      </w:r>
      <w:r w:rsidR="00346237">
        <w:rPr>
          <w:rFonts w:ascii="Arial" w:hAnsi="Arial" w:cs="Arial"/>
          <w:sz w:val="24"/>
          <w:szCs w:val="24"/>
        </w:rPr>
        <w:t>(SCA) at par [41] and [</w:t>
      </w:r>
      <w:r w:rsidR="00C53746" w:rsidRPr="00C53746">
        <w:rPr>
          <w:rFonts w:ascii="Arial" w:hAnsi="Arial" w:cs="Arial"/>
          <w:sz w:val="24"/>
          <w:szCs w:val="24"/>
        </w:rPr>
        <w:t>42] :</w:t>
      </w:r>
    </w:p>
    <w:p w:rsidR="00C53746" w:rsidRDefault="00346237" w:rsidP="00346237">
      <w:pPr>
        <w:spacing w:after="160" w:line="360" w:lineRule="auto"/>
        <w:ind w:left="1440" w:hanging="720"/>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The question, therefore, is whether before February 2014 the respondent had knowledge of the facts from which his claim arose.  In my view, the respondent did have knowledge of such facts.  Immediately after he paid the fees to the appellant on 20 August 2008 the respondent knew all the facts even though he did not know the legal conclusion flowing from those facts.  The respondent knew that fees which he paid to the appellant on 20 August 2008 were calculated on the basis of the oral contingency fees agreement which he concluded with the appellant (Perlman).  On his own evidence, the respondent then also knew all the other facts that he relied upon in his founding affidavit for the conclusion that the contingency fees agreement was invalid.  He knew that the appellant’s fees were not limited to double their normal fee of 25 % of the amount awarded, whichever was the lower.  He also knew that before the agreement was entered into he was not advised of any other </w:t>
      </w:r>
      <w:r>
        <w:rPr>
          <w:rFonts w:ascii="Arial" w:hAnsi="Arial" w:cs="Arial"/>
          <w:sz w:val="24"/>
          <w:szCs w:val="24"/>
        </w:rPr>
        <w:lastRenderedPageBreak/>
        <w:t xml:space="preserve">ways of financing the litigation and of their respective implications;  he was not informed of the normal rule that in the event of him being unsuccessful in the proceedings he may be liable to pay the taxed party and party costs of the RAF in the proceedings;  and he was not advised that he would have a period of 14 days, calculated from the date of the agreement, during which he would have the right to withdraw from the agreement by giving notice to the appellant in writing.  He knew that none of this formed part of the contingency fees agreement.  Therefore, even if the contingency fees agreement should be regarded as a written agreement, by 20 August 2008 the respondent knew all the facts that he relied upon for his claim in his founding affidavit.  According to him, what he did not know, however, was the legal conclusion flowing from these facts, namely that it was invalid because of its failure to comply with the Act.  In [21] of the judgment </w:t>
      </w:r>
      <w:proofErr w:type="spellStart"/>
      <w:r>
        <w:rPr>
          <w:rFonts w:ascii="Arial" w:hAnsi="Arial" w:cs="Arial"/>
          <w:sz w:val="24"/>
          <w:szCs w:val="24"/>
        </w:rPr>
        <w:t>Mpati</w:t>
      </w:r>
      <w:proofErr w:type="spellEnd"/>
      <w:r>
        <w:rPr>
          <w:rFonts w:ascii="Arial" w:hAnsi="Arial" w:cs="Arial"/>
          <w:sz w:val="24"/>
          <w:szCs w:val="24"/>
        </w:rPr>
        <w:t xml:space="preserve"> AP states that counsel for the appellant only dealt in their heads of argument and before us with the issue relating to the invalidity of the agreement and ignored the second part of the respondent’s case, namely, that the agreement did not comply with the provisions of the Act.  I disagree.</w:t>
      </w:r>
    </w:p>
    <w:p w:rsidR="00346237" w:rsidRDefault="00346237" w:rsidP="00C53746">
      <w:pPr>
        <w:spacing w:after="160" w:line="360" w:lineRule="auto"/>
        <w:jc w:val="both"/>
        <w:rPr>
          <w:rFonts w:ascii="Arial" w:hAnsi="Arial" w:cs="Arial"/>
          <w:sz w:val="24"/>
          <w:szCs w:val="24"/>
        </w:rPr>
      </w:pPr>
    </w:p>
    <w:p w:rsidR="00346237" w:rsidRDefault="00346237" w:rsidP="00A82382">
      <w:pPr>
        <w:spacing w:after="160" w:line="360" w:lineRule="auto"/>
        <w:ind w:left="1440" w:hanging="720"/>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Knowledge that the relevant agreement did not comply with the provisions of the Act is not a fact which the respondent needed to acquire to complete a cause of action and was therefore not relevant to the running of prescription.  This court stated in </w:t>
      </w:r>
      <w:r w:rsidRPr="004610B8">
        <w:rPr>
          <w:rFonts w:ascii="Arial" w:hAnsi="Arial" w:cs="Arial"/>
          <w:i/>
          <w:sz w:val="24"/>
          <w:szCs w:val="24"/>
        </w:rPr>
        <w:t>Gore No</w:t>
      </w:r>
      <w:r>
        <w:rPr>
          <w:rFonts w:ascii="Arial" w:hAnsi="Arial" w:cs="Arial"/>
          <w:sz w:val="24"/>
          <w:szCs w:val="24"/>
        </w:rPr>
        <w:t xml:space="preserve"> para 17</w:t>
      </w:r>
      <w:r w:rsidR="00A82382">
        <w:rPr>
          <w:rStyle w:val="FootnoteReference"/>
          <w:rFonts w:ascii="Arial" w:hAnsi="Arial" w:cs="Arial"/>
          <w:sz w:val="24"/>
          <w:szCs w:val="24"/>
        </w:rPr>
        <w:footnoteReference w:id="8"/>
      </w:r>
      <w:r w:rsidR="00A82382">
        <w:rPr>
          <w:rFonts w:ascii="Arial" w:hAnsi="Arial" w:cs="Arial"/>
          <w:sz w:val="24"/>
          <w:szCs w:val="24"/>
        </w:rPr>
        <w:t xml:space="preserve"> that the period of prescription begins to run against the creditor when it has minimum facts that are necessary to institute action.  The running of prescription is not postponed until it becomes aware of the full extent of its rights nor until it has evidence that would prove a case ‘comfortably’.  The ‘fact’ on which the respondent relies for the contention that the period of prescription began to run in February 2014, is knowledge about the legal status of the agreement, which is irrelevant to the commencement of prescription.  It may be that before February 2014 the </w:t>
      </w:r>
      <w:r w:rsidR="00A82382">
        <w:rPr>
          <w:rFonts w:ascii="Arial" w:hAnsi="Arial" w:cs="Arial"/>
          <w:sz w:val="24"/>
          <w:szCs w:val="24"/>
        </w:rPr>
        <w:lastRenderedPageBreak/>
        <w:t xml:space="preserve">respondent did not appreciate the legal consequences which flowed from the facts, but his failure to do so did not delay the date on which the prescription began to run.  </w:t>
      </w:r>
      <w:r w:rsidR="00A82382" w:rsidRPr="00A82382">
        <w:rPr>
          <w:rFonts w:ascii="Arial" w:hAnsi="Arial" w:cs="Arial"/>
          <w:sz w:val="24"/>
          <w:szCs w:val="24"/>
        </w:rPr>
        <w:t>Knowledge of invalidity of the contingency fees agreement or knowledge of its non-compliance with the provision of the Act is one and the same thing otherwise stated or expressed differently.</w:t>
      </w:r>
      <w:r w:rsidR="00A82382">
        <w:rPr>
          <w:rFonts w:ascii="Arial" w:hAnsi="Arial" w:cs="Arial"/>
          <w:sz w:val="24"/>
          <w:szCs w:val="24"/>
        </w:rPr>
        <w:t xml:space="preserve">  That the contingency fees agreements such as the present one, which do not comply with the Act, are invalid is a legal position that obtained since the decision of this court in </w:t>
      </w:r>
      <w:r w:rsidR="00A82382">
        <w:rPr>
          <w:rFonts w:ascii="Arial" w:hAnsi="Arial" w:cs="Arial"/>
          <w:i/>
          <w:sz w:val="24"/>
          <w:szCs w:val="24"/>
        </w:rPr>
        <w:t xml:space="preserve">Price Waterhouse Coopers </w:t>
      </w:r>
      <w:proofErr w:type="spellStart"/>
      <w:r w:rsidR="00A82382">
        <w:rPr>
          <w:rFonts w:ascii="Arial" w:hAnsi="Arial" w:cs="Arial"/>
          <w:i/>
          <w:sz w:val="24"/>
          <w:szCs w:val="24"/>
        </w:rPr>
        <w:t>Inc</w:t>
      </w:r>
      <w:proofErr w:type="spellEnd"/>
      <w:r w:rsidR="00A82382">
        <w:rPr>
          <w:rFonts w:ascii="Arial" w:hAnsi="Arial" w:cs="Arial"/>
          <w:i/>
          <w:sz w:val="24"/>
          <w:szCs w:val="24"/>
        </w:rPr>
        <w:t xml:space="preserve"> </w:t>
      </w:r>
      <w:r w:rsidR="00A82382">
        <w:rPr>
          <w:rFonts w:ascii="Arial" w:hAnsi="Arial" w:cs="Arial"/>
          <w:sz w:val="24"/>
          <w:szCs w:val="24"/>
        </w:rPr>
        <w:t>and is therefore not a fact which the respondent had to establish in order to complete his cause of action.  Section 12(3) of the Prescription Act requires knowledge only of the material facts from which the prescriptive period begins to run – it does not require knowledge of the legal conclusion (that the known facts constitute invalidity) (</w:t>
      </w:r>
      <w:proofErr w:type="spellStart"/>
      <w:r w:rsidR="00A82382">
        <w:rPr>
          <w:rFonts w:ascii="Arial" w:hAnsi="Arial" w:cs="Arial"/>
          <w:i/>
          <w:sz w:val="24"/>
          <w:szCs w:val="24"/>
        </w:rPr>
        <w:t>Claasen</w:t>
      </w:r>
      <w:proofErr w:type="spellEnd"/>
      <w:r w:rsidR="00A82382">
        <w:rPr>
          <w:rFonts w:ascii="Arial" w:hAnsi="Arial" w:cs="Arial"/>
          <w:i/>
          <w:sz w:val="24"/>
          <w:szCs w:val="24"/>
        </w:rPr>
        <w:t xml:space="preserve"> v Bester </w:t>
      </w:r>
      <w:r w:rsidR="00A82382">
        <w:rPr>
          <w:rFonts w:ascii="Arial" w:hAnsi="Arial" w:cs="Arial"/>
          <w:sz w:val="24"/>
          <w:szCs w:val="24"/>
        </w:rPr>
        <w:t>2012 (2) SA 404 (SCA) ([2011] ZASCA 197)).”</w:t>
      </w:r>
    </w:p>
    <w:p w:rsidR="00A82382" w:rsidRPr="00A82382" w:rsidRDefault="00A82382" w:rsidP="00A82382">
      <w:pPr>
        <w:spacing w:after="160" w:line="360" w:lineRule="auto"/>
        <w:ind w:left="1440" w:hanging="720"/>
        <w:jc w:val="both"/>
        <w:rPr>
          <w:rFonts w:ascii="Arial" w:hAnsi="Arial" w:cs="Arial"/>
          <w:sz w:val="24"/>
          <w:szCs w:val="24"/>
        </w:rPr>
      </w:pPr>
    </w:p>
    <w:p w:rsidR="00C53746" w:rsidRPr="00C53746" w:rsidRDefault="00FD1B6A" w:rsidP="00C53746">
      <w:pPr>
        <w:spacing w:after="160" w:line="360" w:lineRule="auto"/>
        <w:jc w:val="both"/>
        <w:rPr>
          <w:rFonts w:ascii="Arial" w:hAnsi="Arial" w:cs="Arial"/>
          <w:sz w:val="24"/>
          <w:szCs w:val="24"/>
        </w:rPr>
      </w:pPr>
      <w:r>
        <w:rPr>
          <w:rFonts w:ascii="Arial" w:hAnsi="Arial" w:cs="Arial"/>
          <w:sz w:val="24"/>
          <w:szCs w:val="24"/>
        </w:rPr>
        <w:t>[22</w:t>
      </w:r>
      <w:r w:rsidR="00C53746" w:rsidRPr="00C53746">
        <w:rPr>
          <w:rFonts w:ascii="Arial" w:hAnsi="Arial" w:cs="Arial"/>
          <w:sz w:val="24"/>
          <w:szCs w:val="24"/>
        </w:rPr>
        <w:t>]</w:t>
      </w:r>
      <w:r w:rsidR="00C53746" w:rsidRPr="00C53746">
        <w:rPr>
          <w:rFonts w:ascii="Arial" w:hAnsi="Arial" w:cs="Arial"/>
          <w:sz w:val="24"/>
          <w:szCs w:val="24"/>
        </w:rPr>
        <w:tab/>
        <w:t xml:space="preserve">It was submitted that because the cause of action arose immediately after payment and because RFS had knowledge of the identity of the debtor and the facts it is unnecessary to entertain whether the RFS could have acquired the knowledge of the debt and the facts by exercise of reasonable care. </w:t>
      </w:r>
    </w:p>
    <w:p w:rsidR="00FD1B6A" w:rsidRDefault="00FD1B6A" w:rsidP="00C53746">
      <w:pPr>
        <w:spacing w:after="160" w:line="360" w:lineRule="auto"/>
        <w:jc w:val="both"/>
        <w:rPr>
          <w:rFonts w:ascii="Arial" w:hAnsi="Arial" w:cs="Arial"/>
          <w:sz w:val="24"/>
          <w:szCs w:val="24"/>
        </w:rPr>
      </w:pPr>
    </w:p>
    <w:p w:rsidR="00C53746" w:rsidRPr="00C53746" w:rsidRDefault="00FD1B6A" w:rsidP="00C53746">
      <w:pPr>
        <w:spacing w:after="160" w:line="360" w:lineRule="auto"/>
        <w:jc w:val="both"/>
        <w:rPr>
          <w:rFonts w:ascii="Arial" w:hAnsi="Arial" w:cs="Arial"/>
          <w:sz w:val="24"/>
          <w:szCs w:val="24"/>
        </w:rPr>
      </w:pPr>
      <w:r>
        <w:rPr>
          <w:rFonts w:ascii="Arial" w:hAnsi="Arial" w:cs="Arial"/>
          <w:sz w:val="24"/>
          <w:szCs w:val="24"/>
        </w:rPr>
        <w:t>[23</w:t>
      </w:r>
      <w:r w:rsidR="00C53746" w:rsidRPr="00C53746">
        <w:rPr>
          <w:rFonts w:ascii="Arial" w:hAnsi="Arial" w:cs="Arial"/>
          <w:sz w:val="24"/>
          <w:szCs w:val="24"/>
        </w:rPr>
        <w:t>]</w:t>
      </w:r>
      <w:r w:rsidR="00C53746" w:rsidRPr="00C53746">
        <w:rPr>
          <w:rFonts w:ascii="Arial" w:hAnsi="Arial" w:cs="Arial"/>
          <w:sz w:val="24"/>
          <w:szCs w:val="24"/>
        </w:rPr>
        <w:tab/>
        <w:t>But, if the Court should rely on this e</w:t>
      </w:r>
      <w:r>
        <w:rPr>
          <w:rFonts w:ascii="Arial" w:hAnsi="Arial" w:cs="Arial"/>
          <w:sz w:val="24"/>
          <w:szCs w:val="24"/>
        </w:rPr>
        <w:t>nquiry then the evidence by Mr D</w:t>
      </w:r>
      <w:r w:rsidR="00C53746" w:rsidRPr="00C53746">
        <w:rPr>
          <w:rFonts w:ascii="Arial" w:hAnsi="Arial" w:cs="Arial"/>
          <w:sz w:val="24"/>
          <w:szCs w:val="24"/>
        </w:rPr>
        <w:t xml:space="preserve">u </w:t>
      </w:r>
      <w:proofErr w:type="spellStart"/>
      <w:r w:rsidR="00C53746" w:rsidRPr="00C53746">
        <w:rPr>
          <w:rFonts w:ascii="Arial" w:hAnsi="Arial" w:cs="Arial"/>
          <w:sz w:val="24"/>
          <w:szCs w:val="24"/>
        </w:rPr>
        <w:t>Plooy</w:t>
      </w:r>
      <w:proofErr w:type="spellEnd"/>
      <w:r w:rsidR="00C53746" w:rsidRPr="00C53746">
        <w:rPr>
          <w:rFonts w:ascii="Arial" w:hAnsi="Arial" w:cs="Arial"/>
          <w:sz w:val="24"/>
          <w:szCs w:val="24"/>
        </w:rPr>
        <w:t xml:space="preserve"> was clear that by the exercise of reasonable care </w:t>
      </w:r>
      <w:r w:rsidR="005F6398">
        <w:rPr>
          <w:rFonts w:ascii="Arial" w:hAnsi="Arial" w:cs="Arial"/>
          <w:sz w:val="24"/>
          <w:szCs w:val="24"/>
        </w:rPr>
        <w:t xml:space="preserve">it </w:t>
      </w:r>
      <w:r w:rsidR="00C53746" w:rsidRPr="00C53746">
        <w:rPr>
          <w:rFonts w:ascii="Arial" w:hAnsi="Arial" w:cs="Arial"/>
          <w:sz w:val="24"/>
          <w:szCs w:val="24"/>
        </w:rPr>
        <w:t>had knowledge of the facts in 20</w:t>
      </w:r>
      <w:r>
        <w:rPr>
          <w:rFonts w:ascii="Arial" w:hAnsi="Arial" w:cs="Arial"/>
          <w:sz w:val="24"/>
          <w:szCs w:val="24"/>
        </w:rPr>
        <w:t>1</w:t>
      </w:r>
      <w:r w:rsidR="00C53746" w:rsidRPr="00C53746">
        <w:rPr>
          <w:rFonts w:ascii="Arial" w:hAnsi="Arial" w:cs="Arial"/>
          <w:sz w:val="24"/>
          <w:szCs w:val="24"/>
        </w:rPr>
        <w:t xml:space="preserve">5 and 2016 when </w:t>
      </w:r>
      <w:proofErr w:type="spellStart"/>
      <w:r w:rsidR="00C53746" w:rsidRPr="00C53746">
        <w:rPr>
          <w:rFonts w:ascii="Arial" w:hAnsi="Arial" w:cs="Arial"/>
          <w:sz w:val="24"/>
          <w:szCs w:val="24"/>
        </w:rPr>
        <w:t>Werksmans</w:t>
      </w:r>
      <w:proofErr w:type="spellEnd"/>
      <w:r w:rsidR="00C53746" w:rsidRPr="00C53746">
        <w:rPr>
          <w:rFonts w:ascii="Arial" w:hAnsi="Arial" w:cs="Arial"/>
          <w:sz w:val="24"/>
          <w:szCs w:val="24"/>
        </w:rPr>
        <w:t xml:space="preserve"> Attorneys communicated that the agreements were “null and void” and when the auditor informed him that the repo fee was a “scam and a </w:t>
      </w:r>
      <w:proofErr w:type="spellStart"/>
      <w:r w:rsidR="00C53746" w:rsidRPr="00C53746">
        <w:rPr>
          <w:rFonts w:ascii="Arial" w:hAnsi="Arial" w:cs="Arial"/>
          <w:sz w:val="24"/>
          <w:szCs w:val="24"/>
        </w:rPr>
        <w:t>foefie</w:t>
      </w:r>
      <w:proofErr w:type="spellEnd"/>
      <w:r w:rsidR="00C53746" w:rsidRPr="00C53746">
        <w:rPr>
          <w:rFonts w:ascii="Arial" w:hAnsi="Arial" w:cs="Arial"/>
          <w:sz w:val="24"/>
          <w:szCs w:val="24"/>
        </w:rPr>
        <w:t>.”</w:t>
      </w:r>
    </w:p>
    <w:p w:rsidR="00FD1B6A" w:rsidRDefault="00FD1B6A" w:rsidP="00C53746">
      <w:pPr>
        <w:spacing w:after="160" w:line="360" w:lineRule="auto"/>
        <w:jc w:val="both"/>
        <w:rPr>
          <w:rFonts w:ascii="Arial" w:hAnsi="Arial" w:cs="Arial"/>
          <w:sz w:val="24"/>
          <w:szCs w:val="24"/>
        </w:rPr>
      </w:pPr>
    </w:p>
    <w:p w:rsidR="00C53746" w:rsidRPr="00C53746" w:rsidRDefault="00FD1B6A" w:rsidP="00C53746">
      <w:pPr>
        <w:spacing w:after="16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Mr D</w:t>
      </w:r>
      <w:r w:rsidR="00C53746" w:rsidRPr="00C53746">
        <w:rPr>
          <w:rFonts w:ascii="Arial" w:hAnsi="Arial" w:cs="Arial"/>
          <w:sz w:val="24"/>
          <w:szCs w:val="24"/>
        </w:rPr>
        <w:t xml:space="preserve">u </w:t>
      </w:r>
      <w:proofErr w:type="spellStart"/>
      <w:r w:rsidR="00C53746" w:rsidRPr="00C53746">
        <w:rPr>
          <w:rFonts w:ascii="Arial" w:hAnsi="Arial" w:cs="Arial"/>
          <w:sz w:val="24"/>
          <w:szCs w:val="24"/>
        </w:rPr>
        <w:t>Plooy’s</w:t>
      </w:r>
      <w:proofErr w:type="spellEnd"/>
      <w:r w:rsidR="00C53746" w:rsidRPr="00C53746">
        <w:rPr>
          <w:rFonts w:ascii="Arial" w:hAnsi="Arial" w:cs="Arial"/>
          <w:sz w:val="24"/>
          <w:szCs w:val="24"/>
        </w:rPr>
        <w:t xml:space="preserve"> attempt to escape the fact that he already in 2015 was informed that the repo fee was not payable, by testifying that that his e-mail in fact referred to the SPS fee, is not feasible. The syntax and language of the email, as</w:t>
      </w:r>
      <w:r>
        <w:rPr>
          <w:rFonts w:ascii="Arial" w:hAnsi="Arial" w:cs="Arial"/>
          <w:sz w:val="24"/>
          <w:szCs w:val="24"/>
        </w:rPr>
        <w:t xml:space="preserve"> well as the context of the pre</w:t>
      </w:r>
      <w:r w:rsidR="00C53746" w:rsidRPr="00C53746">
        <w:rPr>
          <w:rFonts w:ascii="Arial" w:hAnsi="Arial" w:cs="Arial"/>
          <w:sz w:val="24"/>
          <w:szCs w:val="24"/>
        </w:rPr>
        <w:t>c</w:t>
      </w:r>
      <w:r>
        <w:rPr>
          <w:rFonts w:ascii="Arial" w:hAnsi="Arial" w:cs="Arial"/>
          <w:sz w:val="24"/>
          <w:szCs w:val="24"/>
        </w:rPr>
        <w:t>e</w:t>
      </w:r>
      <w:r w:rsidR="00C53746" w:rsidRPr="00C53746">
        <w:rPr>
          <w:rFonts w:ascii="Arial" w:hAnsi="Arial" w:cs="Arial"/>
          <w:sz w:val="24"/>
          <w:szCs w:val="24"/>
        </w:rPr>
        <w:t>ding email, does not allow for such interpretation. The tender must thus be made an order of court.</w:t>
      </w:r>
    </w:p>
    <w:p w:rsidR="00FD1B6A" w:rsidRDefault="00FD1B6A" w:rsidP="00C53746">
      <w:pPr>
        <w:spacing w:after="160" w:line="360" w:lineRule="auto"/>
        <w:jc w:val="both"/>
        <w:rPr>
          <w:rFonts w:ascii="Arial" w:hAnsi="Arial" w:cs="Arial"/>
          <w:sz w:val="24"/>
          <w:szCs w:val="24"/>
        </w:rPr>
      </w:pP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Reasons for decision</w:t>
      </w:r>
    </w:p>
    <w:p w:rsidR="00C53746" w:rsidRPr="00C53746" w:rsidRDefault="00C53746" w:rsidP="00C53746">
      <w:pPr>
        <w:spacing w:after="160" w:line="360" w:lineRule="auto"/>
        <w:jc w:val="both"/>
        <w:rPr>
          <w:rFonts w:ascii="Arial" w:hAnsi="Arial" w:cs="Arial"/>
          <w:sz w:val="24"/>
          <w:szCs w:val="24"/>
        </w:rPr>
      </w:pPr>
      <w:r w:rsidRPr="00C53746">
        <w:rPr>
          <w:rFonts w:ascii="Arial" w:hAnsi="Arial" w:cs="Arial"/>
          <w:sz w:val="24"/>
          <w:szCs w:val="24"/>
        </w:rPr>
        <w:t>Can the special plea be dismis</w:t>
      </w:r>
      <w:r w:rsidR="00FD1B6A">
        <w:rPr>
          <w:rFonts w:ascii="Arial" w:hAnsi="Arial" w:cs="Arial"/>
          <w:sz w:val="24"/>
          <w:szCs w:val="24"/>
        </w:rPr>
        <w:t>sed on the special plea itself?</w:t>
      </w:r>
    </w:p>
    <w:p w:rsidR="00570F02" w:rsidRPr="00323639" w:rsidRDefault="00FD1B6A" w:rsidP="00C53746">
      <w:pPr>
        <w:spacing w:after="120" w:line="360" w:lineRule="auto"/>
        <w:jc w:val="both"/>
        <w:rPr>
          <w:rFonts w:ascii="Arial" w:eastAsia="Calibri" w:hAnsi="Arial" w:cs="Arial"/>
          <w:sz w:val="24"/>
          <w:szCs w:val="24"/>
          <w:shd w:val="clear" w:color="auto" w:fill="FFFFFF"/>
        </w:rPr>
      </w:pPr>
      <w:r w:rsidRPr="00323639">
        <w:rPr>
          <w:rFonts w:ascii="Arial" w:eastAsia="Calibri" w:hAnsi="Arial" w:cs="Arial"/>
          <w:sz w:val="24"/>
          <w:szCs w:val="24"/>
        </w:rPr>
        <w:t>[25</w:t>
      </w:r>
      <w:r w:rsidR="00C53746" w:rsidRPr="00323639">
        <w:rPr>
          <w:rFonts w:ascii="Arial" w:eastAsia="Calibri" w:hAnsi="Arial" w:cs="Arial"/>
          <w:sz w:val="24"/>
          <w:szCs w:val="24"/>
        </w:rPr>
        <w:t>]</w:t>
      </w:r>
      <w:r w:rsidR="00C53746" w:rsidRPr="00323639">
        <w:rPr>
          <w:rFonts w:ascii="Arial" w:eastAsia="Calibri" w:hAnsi="Arial" w:cs="Arial"/>
          <w:sz w:val="24"/>
          <w:szCs w:val="24"/>
        </w:rPr>
        <w:tab/>
        <w:t xml:space="preserve"> When approaching a special plea of prescription, the injunction in s39(2) of the Constitution must be borne in mind.  The court must also recognise that the provisions of s12 of the Act seek to “</w:t>
      </w:r>
      <w:r w:rsidR="00C53746" w:rsidRPr="00323639">
        <w:rPr>
          <w:rFonts w:ascii="Arial" w:eastAsia="Calibri" w:hAnsi="Arial" w:cs="Arial"/>
          <w:sz w:val="24"/>
          <w:szCs w:val="24"/>
          <w:shd w:val="clear" w:color="auto" w:fill="FFFFFF"/>
        </w:rPr>
        <w:t>strike a fair balance between, on the one hand, the need for a cut-off point beyond which a person who has a claim to pursue against another may not do so after the lapse of a certain period of time if he or she has failed to act diligently and on the other the need to ensure fairness in those cases in which a rigid application of prescription legisla</w:t>
      </w:r>
      <w:r w:rsidRPr="00323639">
        <w:rPr>
          <w:rFonts w:ascii="Arial" w:eastAsia="Calibri" w:hAnsi="Arial" w:cs="Arial"/>
          <w:sz w:val="24"/>
          <w:szCs w:val="24"/>
          <w:shd w:val="clear" w:color="auto" w:fill="FFFFFF"/>
        </w:rPr>
        <w:t>tion would result in injustice.</w:t>
      </w:r>
      <w:r w:rsidRPr="00323639">
        <w:rPr>
          <w:rStyle w:val="FootnoteReference"/>
          <w:rFonts w:ascii="Arial" w:eastAsia="Calibri" w:hAnsi="Arial" w:cs="Arial"/>
          <w:sz w:val="24"/>
          <w:szCs w:val="24"/>
          <w:shd w:val="clear" w:color="auto" w:fill="FFFFFF"/>
        </w:rPr>
        <w:footnoteReference w:id="9"/>
      </w:r>
      <w:r w:rsidR="00110217" w:rsidRPr="00323639">
        <w:rPr>
          <w:rFonts w:ascii="Arial" w:eastAsia="Calibri" w:hAnsi="Arial" w:cs="Arial"/>
          <w:sz w:val="24"/>
          <w:szCs w:val="24"/>
          <w:shd w:val="clear" w:color="auto" w:fill="FFFFFF"/>
        </w:rPr>
        <w:t xml:space="preserve">  </w:t>
      </w:r>
      <w:r w:rsidR="00C53746" w:rsidRPr="00323639">
        <w:rPr>
          <w:rFonts w:ascii="Arial" w:eastAsia="Calibri" w:hAnsi="Arial" w:cs="Arial"/>
          <w:sz w:val="24"/>
          <w:szCs w:val="24"/>
          <w:shd w:val="clear" w:color="auto" w:fill="FFFFFF"/>
        </w:rPr>
        <w:t>Prescription’s purpose is to protect undue delay by litigants who tardily attempt to enforce their rights with the rational being that extinctive prescription promotes certainty and stabili</w:t>
      </w:r>
      <w:r w:rsidR="00110217" w:rsidRPr="00323639">
        <w:rPr>
          <w:rFonts w:ascii="Arial" w:eastAsia="Calibri" w:hAnsi="Arial" w:cs="Arial"/>
          <w:sz w:val="24"/>
          <w:szCs w:val="24"/>
          <w:shd w:val="clear" w:color="auto" w:fill="FFFFFF"/>
        </w:rPr>
        <w:t>ty to social and legal affairs.</w:t>
      </w:r>
      <w:r w:rsidR="00110217" w:rsidRPr="00323639">
        <w:rPr>
          <w:rStyle w:val="FootnoteReference"/>
          <w:rFonts w:ascii="Arial" w:eastAsia="Calibri" w:hAnsi="Arial" w:cs="Arial"/>
          <w:sz w:val="24"/>
          <w:szCs w:val="24"/>
          <w:shd w:val="clear" w:color="auto" w:fill="FFFFFF"/>
        </w:rPr>
        <w:footnoteReference w:id="10"/>
      </w:r>
    </w:p>
    <w:p w:rsidR="00570F02" w:rsidRDefault="00570F02" w:rsidP="00C53746">
      <w:pPr>
        <w:spacing w:after="120" w:line="360" w:lineRule="auto"/>
        <w:jc w:val="both"/>
        <w:rPr>
          <w:rFonts w:ascii="Arial" w:eastAsia="Calibri" w:hAnsi="Arial" w:cs="Arial"/>
          <w:sz w:val="24"/>
          <w:szCs w:val="24"/>
        </w:rPr>
      </w:pPr>
    </w:p>
    <w:p w:rsidR="00C53746" w:rsidRPr="00C53746" w:rsidRDefault="00570F02" w:rsidP="00C53746">
      <w:pPr>
        <w:spacing w:after="120" w:line="360" w:lineRule="auto"/>
        <w:jc w:val="both"/>
        <w:rPr>
          <w:rFonts w:ascii="Arial" w:eastAsia="Calibri" w:hAnsi="Arial" w:cs="Arial"/>
          <w:sz w:val="24"/>
          <w:szCs w:val="24"/>
        </w:rPr>
      </w:pPr>
      <w:r>
        <w:rPr>
          <w:rFonts w:ascii="Arial" w:eastAsia="Calibri" w:hAnsi="Arial" w:cs="Arial"/>
          <w:sz w:val="24"/>
          <w:szCs w:val="24"/>
        </w:rPr>
        <w:t>[26</w:t>
      </w:r>
      <w:r w:rsidR="00013104">
        <w:rPr>
          <w:rFonts w:ascii="Arial" w:eastAsia="Calibri" w:hAnsi="Arial" w:cs="Arial"/>
          <w:sz w:val="24"/>
          <w:szCs w:val="24"/>
        </w:rPr>
        <w:t>]</w:t>
      </w:r>
      <w:r w:rsidR="00013104">
        <w:rPr>
          <w:rFonts w:ascii="Arial" w:eastAsia="Calibri" w:hAnsi="Arial" w:cs="Arial"/>
          <w:sz w:val="24"/>
          <w:szCs w:val="24"/>
        </w:rPr>
        <w:tab/>
      </w:r>
      <w:r w:rsidR="00C53746" w:rsidRPr="00C53746">
        <w:rPr>
          <w:rFonts w:ascii="Arial" w:eastAsia="Calibri" w:hAnsi="Arial" w:cs="Arial"/>
          <w:sz w:val="24"/>
          <w:szCs w:val="24"/>
        </w:rPr>
        <w:t>Section 12 of the Act reads as follows:</w:t>
      </w:r>
    </w:p>
    <w:p w:rsidR="00C53746" w:rsidRDefault="00013104" w:rsidP="007B76F5">
      <w:pPr>
        <w:spacing w:after="120" w:line="360" w:lineRule="auto"/>
        <w:ind w:left="1440" w:hanging="72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Subject to the provisions of subsections (2) and (3), prescription shall commence to run as soon as the debt is due.</w:t>
      </w:r>
    </w:p>
    <w:p w:rsidR="00013104" w:rsidRDefault="00013104" w:rsidP="007B76F5">
      <w:pPr>
        <w:spacing w:after="120" w:line="360" w:lineRule="auto"/>
        <w:ind w:left="1440" w:hanging="72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If the debtor wilfully prevents the creditor from coming to know of the existence of the debt, prescription shall not commence to run until the creditor becomes aware of the existence of the debt.</w:t>
      </w:r>
    </w:p>
    <w:p w:rsidR="00013104" w:rsidRDefault="00013104" w:rsidP="007B76F5">
      <w:pPr>
        <w:spacing w:after="120" w:line="360" w:lineRule="auto"/>
        <w:ind w:left="1440" w:hanging="720"/>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A debt which does not arise from contract shall not be deemed to be due until the creditor has knowledge of the identity of the debtor and of the facts from which the debt arises:  Provided that a creditor shall be </w:t>
      </w:r>
      <w:r w:rsidR="007B76F5">
        <w:rPr>
          <w:rFonts w:ascii="Arial" w:eastAsia="Calibri" w:hAnsi="Arial" w:cs="Arial"/>
          <w:sz w:val="24"/>
          <w:szCs w:val="24"/>
        </w:rPr>
        <w:t>deemed to have such knowledge if he could have acquired it by exercising reasonable care.”</w:t>
      </w:r>
    </w:p>
    <w:p w:rsidR="007B76F5" w:rsidRPr="00C53746" w:rsidRDefault="007B76F5" w:rsidP="007B76F5">
      <w:pPr>
        <w:spacing w:after="120" w:line="360" w:lineRule="auto"/>
        <w:ind w:left="1440" w:hanging="720"/>
        <w:jc w:val="both"/>
        <w:rPr>
          <w:rFonts w:ascii="Arial" w:eastAsia="Calibri" w:hAnsi="Arial" w:cs="Arial"/>
          <w:sz w:val="24"/>
          <w:szCs w:val="24"/>
        </w:rPr>
      </w:pPr>
    </w:p>
    <w:p w:rsidR="00C53746" w:rsidRDefault="007B76F5" w:rsidP="00C53746">
      <w:pPr>
        <w:spacing w:after="120" w:line="360" w:lineRule="auto"/>
        <w:jc w:val="both"/>
        <w:rPr>
          <w:rFonts w:ascii="Arial" w:eastAsia="Calibri" w:hAnsi="Arial" w:cs="Arial"/>
          <w:sz w:val="24"/>
          <w:szCs w:val="24"/>
        </w:rPr>
      </w:pPr>
      <w:r>
        <w:rPr>
          <w:rFonts w:ascii="Arial" w:eastAsia="Calibri" w:hAnsi="Arial" w:cs="Arial"/>
          <w:sz w:val="24"/>
          <w:szCs w:val="24"/>
        </w:rPr>
        <w:lastRenderedPageBreak/>
        <w:t>[27</w:t>
      </w:r>
      <w:r w:rsidR="00C53746" w:rsidRPr="00C53746">
        <w:rPr>
          <w:rFonts w:ascii="Arial" w:eastAsia="Calibri" w:hAnsi="Arial" w:cs="Arial"/>
          <w:sz w:val="24"/>
          <w:szCs w:val="24"/>
        </w:rPr>
        <w:t>]</w:t>
      </w:r>
      <w:r w:rsidR="00C53746" w:rsidRPr="00C53746">
        <w:rPr>
          <w:rFonts w:ascii="Arial" w:eastAsia="Calibri" w:hAnsi="Arial" w:cs="Arial"/>
          <w:sz w:val="24"/>
          <w:szCs w:val="24"/>
        </w:rPr>
        <w:tab/>
        <w:t>The onus is on NMWF to prove prescription. In its special plea of prescription, it did not identify each date on which the debt became due but referred to the years as set out in the particulars of claim. The amounts claimed constituted yearly payments. I am satisfied that since yearly amounts were claimed NMW</w:t>
      </w:r>
      <w:r>
        <w:rPr>
          <w:rFonts w:ascii="Arial" w:eastAsia="Calibri" w:hAnsi="Arial" w:cs="Arial"/>
          <w:sz w:val="24"/>
          <w:szCs w:val="24"/>
        </w:rPr>
        <w:t>F sufficiently alleged the dates</w:t>
      </w:r>
      <w:r w:rsidR="00C53746" w:rsidRPr="00C53746">
        <w:rPr>
          <w:rFonts w:ascii="Arial" w:eastAsia="Calibri" w:hAnsi="Arial" w:cs="Arial"/>
          <w:sz w:val="24"/>
          <w:szCs w:val="24"/>
        </w:rPr>
        <w:t xml:space="preserve"> the payments were due. NMWF also pleaded that prescription started to run immediately upon payment being made. In the special plea it avers that the debt for the years from 2011 to 2018 became prescribed in terms of the provisions of s10(1) of the Act.</w:t>
      </w:r>
    </w:p>
    <w:p w:rsidR="007B76F5" w:rsidRPr="00C53746" w:rsidRDefault="007B76F5" w:rsidP="00C53746">
      <w:pPr>
        <w:spacing w:after="120" w:line="360" w:lineRule="auto"/>
        <w:jc w:val="both"/>
        <w:rPr>
          <w:rFonts w:ascii="Arial" w:eastAsia="Calibri" w:hAnsi="Arial" w:cs="Arial"/>
          <w:sz w:val="24"/>
          <w:szCs w:val="24"/>
        </w:rPr>
      </w:pPr>
    </w:p>
    <w:p w:rsidR="00C53746" w:rsidRPr="00C53746" w:rsidRDefault="007B76F5" w:rsidP="00C53746">
      <w:pPr>
        <w:spacing w:after="120" w:line="360" w:lineRule="auto"/>
        <w:jc w:val="both"/>
        <w:rPr>
          <w:rFonts w:ascii="Arial" w:eastAsia="Calibri" w:hAnsi="Arial" w:cs="Arial"/>
          <w:sz w:val="24"/>
          <w:szCs w:val="24"/>
        </w:rPr>
      </w:pPr>
      <w:r>
        <w:rPr>
          <w:rFonts w:ascii="Arial" w:eastAsia="Calibri" w:hAnsi="Arial" w:cs="Arial"/>
          <w:sz w:val="24"/>
          <w:szCs w:val="24"/>
        </w:rPr>
        <w:t>[28</w:t>
      </w:r>
      <w:r w:rsidR="00C53746" w:rsidRPr="00C53746">
        <w:rPr>
          <w:rFonts w:ascii="Arial" w:eastAsia="Calibri" w:hAnsi="Arial" w:cs="Arial"/>
          <w:sz w:val="24"/>
          <w:szCs w:val="24"/>
        </w:rPr>
        <w:t>]</w:t>
      </w:r>
      <w:r w:rsidR="00C53746" w:rsidRPr="00C53746">
        <w:rPr>
          <w:rFonts w:ascii="Arial" w:eastAsia="Calibri" w:hAnsi="Arial" w:cs="Arial"/>
          <w:sz w:val="24"/>
          <w:szCs w:val="24"/>
        </w:rPr>
        <w:tab/>
        <w:t xml:space="preserve">On whether NMWF pleaded sufficiently the only question that requires a decision is if indeed prescription started to run immediately upon payment. In the </w:t>
      </w:r>
      <w:r>
        <w:rPr>
          <w:rFonts w:ascii="Arial" w:eastAsia="Calibri" w:hAnsi="Arial" w:cs="Arial"/>
          <w:i/>
          <w:sz w:val="24"/>
          <w:szCs w:val="24"/>
        </w:rPr>
        <w:t>V</w:t>
      </w:r>
      <w:r w:rsidR="00C53746" w:rsidRPr="007B76F5">
        <w:rPr>
          <w:rFonts w:ascii="Arial" w:eastAsia="Calibri" w:hAnsi="Arial" w:cs="Arial"/>
          <w:i/>
          <w:sz w:val="24"/>
          <w:szCs w:val="24"/>
        </w:rPr>
        <w:t>an</w:t>
      </w:r>
      <w:r w:rsidR="00C53746" w:rsidRPr="00C53746">
        <w:rPr>
          <w:rFonts w:ascii="Arial" w:eastAsia="Calibri" w:hAnsi="Arial" w:cs="Arial"/>
          <w:sz w:val="24"/>
          <w:szCs w:val="24"/>
        </w:rPr>
        <w:t xml:space="preserve"> </w:t>
      </w:r>
      <w:proofErr w:type="spellStart"/>
      <w:r w:rsidR="00C53746" w:rsidRPr="007B76F5">
        <w:rPr>
          <w:rFonts w:ascii="Arial" w:eastAsia="Calibri" w:hAnsi="Arial" w:cs="Arial"/>
          <w:i/>
          <w:sz w:val="24"/>
          <w:szCs w:val="24"/>
        </w:rPr>
        <w:t>Staden</w:t>
      </w:r>
      <w:proofErr w:type="spellEnd"/>
      <w:r w:rsidR="00C53746" w:rsidRPr="00C53746">
        <w:rPr>
          <w:rFonts w:ascii="Arial" w:eastAsia="Calibri" w:hAnsi="Arial" w:cs="Arial"/>
          <w:sz w:val="24"/>
          <w:szCs w:val="24"/>
        </w:rPr>
        <w:t xml:space="preserve"> matter on p215 C-H the Court relied on a string of cases that followed the decision in </w:t>
      </w:r>
      <w:r w:rsidR="00C53746" w:rsidRPr="007B76F5">
        <w:rPr>
          <w:rFonts w:ascii="Arial" w:eastAsia="Calibri" w:hAnsi="Arial" w:cs="Arial"/>
          <w:i/>
          <w:sz w:val="24"/>
          <w:szCs w:val="24"/>
        </w:rPr>
        <w:t xml:space="preserve">The Liquidators of the Paarl Bank </w:t>
      </w:r>
      <w:proofErr w:type="gramStart"/>
      <w:r w:rsidR="00C53746" w:rsidRPr="007B76F5">
        <w:rPr>
          <w:rFonts w:ascii="Arial" w:eastAsia="Calibri" w:hAnsi="Arial" w:cs="Arial"/>
          <w:i/>
          <w:sz w:val="24"/>
          <w:szCs w:val="24"/>
        </w:rPr>
        <w:t>v</w:t>
      </w:r>
      <w:proofErr w:type="gramEnd"/>
      <w:r w:rsidR="00C53746" w:rsidRPr="007B76F5">
        <w:rPr>
          <w:rFonts w:ascii="Arial" w:eastAsia="Calibri" w:hAnsi="Arial" w:cs="Arial"/>
          <w:i/>
          <w:sz w:val="24"/>
          <w:szCs w:val="24"/>
        </w:rPr>
        <w:t xml:space="preserve"> Roux and others</w:t>
      </w:r>
      <w:r>
        <w:rPr>
          <w:rFonts w:ascii="Arial" w:eastAsia="Calibri" w:hAnsi="Arial" w:cs="Arial"/>
          <w:i/>
          <w:sz w:val="24"/>
          <w:szCs w:val="24"/>
        </w:rPr>
        <w:t xml:space="preserve"> </w:t>
      </w:r>
      <w:r w:rsidR="00C53746" w:rsidRPr="00C53746">
        <w:rPr>
          <w:rFonts w:ascii="Arial" w:eastAsia="Calibri" w:hAnsi="Arial" w:cs="Arial"/>
          <w:sz w:val="24"/>
          <w:szCs w:val="24"/>
        </w:rPr>
        <w:t xml:space="preserve">(1891) 8 SC 205 that where money is paid out under the mistake of fact the cause of action is the </w:t>
      </w:r>
      <w:proofErr w:type="spellStart"/>
      <w:r w:rsidR="00C53746" w:rsidRPr="007B76F5">
        <w:rPr>
          <w:rFonts w:ascii="Arial" w:eastAsia="Calibri" w:hAnsi="Arial" w:cs="Arial"/>
          <w:i/>
          <w:sz w:val="24"/>
          <w:szCs w:val="24"/>
        </w:rPr>
        <w:t>condictio</w:t>
      </w:r>
      <w:proofErr w:type="spellEnd"/>
      <w:r w:rsidR="00C53746" w:rsidRPr="007B76F5">
        <w:rPr>
          <w:rFonts w:ascii="Arial" w:eastAsia="Calibri" w:hAnsi="Arial" w:cs="Arial"/>
          <w:i/>
          <w:sz w:val="24"/>
          <w:szCs w:val="24"/>
        </w:rPr>
        <w:t xml:space="preserve"> </w:t>
      </w:r>
      <w:proofErr w:type="spellStart"/>
      <w:r w:rsidR="00C53746" w:rsidRPr="007B76F5">
        <w:rPr>
          <w:rFonts w:ascii="Arial" w:eastAsia="Calibri" w:hAnsi="Arial" w:cs="Arial"/>
          <w:i/>
          <w:sz w:val="24"/>
          <w:szCs w:val="24"/>
        </w:rPr>
        <w:t>indebiti</w:t>
      </w:r>
      <w:proofErr w:type="spellEnd"/>
      <w:r w:rsidR="00C53746" w:rsidRPr="00C53746">
        <w:rPr>
          <w:rFonts w:ascii="Arial" w:eastAsia="Calibri" w:hAnsi="Arial" w:cs="Arial"/>
          <w:sz w:val="24"/>
          <w:szCs w:val="24"/>
        </w:rPr>
        <w:t xml:space="preserve"> and the cause </w:t>
      </w:r>
      <w:r>
        <w:rPr>
          <w:rFonts w:ascii="Arial" w:eastAsia="Calibri" w:hAnsi="Arial" w:cs="Arial"/>
          <w:sz w:val="24"/>
          <w:szCs w:val="24"/>
        </w:rPr>
        <w:t xml:space="preserve">of action based on the </w:t>
      </w:r>
      <w:proofErr w:type="spellStart"/>
      <w:r w:rsidRPr="007B76F5">
        <w:rPr>
          <w:rFonts w:ascii="Arial" w:eastAsia="Calibri" w:hAnsi="Arial" w:cs="Arial"/>
          <w:i/>
          <w:sz w:val="24"/>
          <w:szCs w:val="24"/>
        </w:rPr>
        <w:t>conditio</w:t>
      </w:r>
      <w:proofErr w:type="spellEnd"/>
      <w:r w:rsidR="00C53746" w:rsidRPr="007B76F5">
        <w:rPr>
          <w:rFonts w:ascii="Arial" w:eastAsia="Calibri" w:hAnsi="Arial" w:cs="Arial"/>
          <w:i/>
          <w:sz w:val="24"/>
          <w:szCs w:val="24"/>
        </w:rPr>
        <w:t xml:space="preserve"> </w:t>
      </w:r>
      <w:proofErr w:type="spellStart"/>
      <w:r w:rsidR="00C53746" w:rsidRPr="007B76F5">
        <w:rPr>
          <w:rFonts w:ascii="Arial" w:eastAsia="Calibri" w:hAnsi="Arial" w:cs="Arial"/>
          <w:i/>
          <w:sz w:val="24"/>
          <w:szCs w:val="24"/>
        </w:rPr>
        <w:t>indebiti</w:t>
      </w:r>
      <w:proofErr w:type="spellEnd"/>
      <w:r w:rsidR="00C53746" w:rsidRPr="00C53746">
        <w:rPr>
          <w:rFonts w:ascii="Arial" w:eastAsia="Calibri" w:hAnsi="Arial" w:cs="Arial"/>
          <w:sz w:val="24"/>
          <w:szCs w:val="24"/>
        </w:rPr>
        <w:t xml:space="preserve"> arises immediately after the payment was made. Prescription therefore starts to run immediately when you are entitled to claim it back. On behalf of RFS this submission was not attacked or expanded on. </w:t>
      </w:r>
    </w:p>
    <w:p w:rsidR="00C53746" w:rsidRPr="00C53746" w:rsidRDefault="00C53746" w:rsidP="00C53746">
      <w:pPr>
        <w:spacing w:after="120" w:line="360" w:lineRule="auto"/>
        <w:jc w:val="both"/>
        <w:rPr>
          <w:rFonts w:ascii="Arial" w:eastAsia="Calibri" w:hAnsi="Arial" w:cs="Arial"/>
          <w:sz w:val="24"/>
          <w:szCs w:val="24"/>
        </w:rPr>
      </w:pPr>
    </w:p>
    <w:p w:rsidR="00C53746" w:rsidRPr="00E80AEF" w:rsidRDefault="00D93B6F" w:rsidP="00C53746">
      <w:pPr>
        <w:spacing w:after="0" w:line="360" w:lineRule="auto"/>
        <w:jc w:val="both"/>
        <w:rPr>
          <w:rFonts w:ascii="Arial" w:eastAsia="Calibri" w:hAnsi="Arial" w:cs="Arial"/>
          <w:sz w:val="24"/>
          <w:szCs w:val="24"/>
        </w:rPr>
      </w:pPr>
      <w:r>
        <w:rPr>
          <w:rFonts w:ascii="Arial" w:eastAsia="Calibri" w:hAnsi="Arial" w:cs="Arial"/>
          <w:sz w:val="24"/>
          <w:szCs w:val="24"/>
        </w:rPr>
        <w:t>[29</w:t>
      </w:r>
      <w:r w:rsidR="00C53746" w:rsidRPr="00C53746">
        <w:rPr>
          <w:rFonts w:ascii="Arial" w:eastAsia="Calibri" w:hAnsi="Arial" w:cs="Arial"/>
          <w:sz w:val="24"/>
          <w:szCs w:val="24"/>
        </w:rPr>
        <w:t>]</w:t>
      </w:r>
      <w:r w:rsidR="00C53746" w:rsidRPr="00C53746">
        <w:rPr>
          <w:rFonts w:ascii="Arial" w:eastAsia="Calibri" w:hAnsi="Arial" w:cs="Arial"/>
          <w:sz w:val="24"/>
          <w:szCs w:val="24"/>
        </w:rPr>
        <w:tab/>
        <w:t>Extensive prescr</w:t>
      </w:r>
      <w:r w:rsidR="00CD658D">
        <w:rPr>
          <w:rFonts w:ascii="Arial" w:eastAsia="Calibri" w:hAnsi="Arial" w:cs="Arial"/>
          <w:sz w:val="24"/>
          <w:szCs w:val="24"/>
        </w:rPr>
        <w:t xml:space="preserve">iption would run </w:t>
      </w:r>
      <w:r w:rsidR="00C53746" w:rsidRPr="00C53746">
        <w:rPr>
          <w:rFonts w:ascii="Arial" w:eastAsia="Calibri" w:hAnsi="Arial" w:cs="Arial"/>
          <w:sz w:val="24"/>
          <w:szCs w:val="24"/>
        </w:rPr>
        <w:t xml:space="preserve">“as soon as the debt is due”, but the Constitutional Court in </w:t>
      </w:r>
      <w:r w:rsidR="00C53746" w:rsidRPr="00D93B6F">
        <w:rPr>
          <w:rFonts w:ascii="Arial" w:eastAsia="Calibri" w:hAnsi="Arial" w:cs="Arial"/>
          <w:i/>
          <w:sz w:val="24"/>
          <w:szCs w:val="24"/>
        </w:rPr>
        <w:t xml:space="preserve">Links </w:t>
      </w:r>
      <w:r w:rsidR="00C53746" w:rsidRPr="00C53746">
        <w:rPr>
          <w:rFonts w:ascii="Arial" w:eastAsia="Calibri" w:hAnsi="Arial" w:cs="Arial"/>
          <w:sz w:val="24"/>
          <w:szCs w:val="24"/>
        </w:rPr>
        <w:t xml:space="preserve">and </w:t>
      </w:r>
      <w:proofErr w:type="spellStart"/>
      <w:r w:rsidR="00C53746" w:rsidRPr="00275EE0">
        <w:rPr>
          <w:rFonts w:ascii="Arial" w:eastAsia="Calibri" w:hAnsi="Arial" w:cs="Arial"/>
          <w:i/>
          <w:sz w:val="24"/>
          <w:szCs w:val="24"/>
        </w:rPr>
        <w:t>Mtokonya</w:t>
      </w:r>
      <w:proofErr w:type="spellEnd"/>
      <w:r w:rsidR="00B22199">
        <w:rPr>
          <w:rStyle w:val="FootnoteReference"/>
          <w:rFonts w:ascii="Arial" w:eastAsia="Calibri" w:hAnsi="Arial" w:cs="Arial"/>
          <w:i/>
          <w:sz w:val="24"/>
          <w:szCs w:val="24"/>
        </w:rPr>
        <w:footnoteReference w:id="11"/>
      </w:r>
      <w:r w:rsidR="00C53746" w:rsidRPr="00C53746">
        <w:rPr>
          <w:rFonts w:ascii="Arial" w:eastAsia="Calibri" w:hAnsi="Arial" w:cs="Arial"/>
          <w:sz w:val="24"/>
          <w:szCs w:val="24"/>
        </w:rPr>
        <w:t xml:space="preserve"> referred to the proviso in s12(3) as exceptions to this general rule.  The first is that the debt is deemed not to be due until the creditor has knowledge of the facts from which the debt arises.  The second qualification is that the creditor shall be deemed to have such knowledge if he could have acquired it by the exercise of reasonable care. I am of the opinion that the fact that the cause of action is founded on the </w:t>
      </w:r>
      <w:proofErr w:type="spellStart"/>
      <w:r w:rsidR="00C53746" w:rsidRPr="001C15B5">
        <w:rPr>
          <w:rFonts w:ascii="Arial" w:eastAsia="Calibri" w:hAnsi="Arial" w:cs="Arial"/>
          <w:i/>
          <w:sz w:val="24"/>
          <w:szCs w:val="24"/>
        </w:rPr>
        <w:t>actio</w:t>
      </w:r>
      <w:proofErr w:type="spellEnd"/>
      <w:r w:rsidR="00C53746" w:rsidRPr="001C15B5">
        <w:rPr>
          <w:rFonts w:ascii="Arial" w:eastAsia="Calibri" w:hAnsi="Arial" w:cs="Arial"/>
          <w:i/>
          <w:sz w:val="24"/>
          <w:szCs w:val="24"/>
        </w:rPr>
        <w:t xml:space="preserve"> </w:t>
      </w:r>
      <w:proofErr w:type="spellStart"/>
      <w:r w:rsidR="00C53746" w:rsidRPr="001C15B5">
        <w:rPr>
          <w:rFonts w:ascii="Arial" w:eastAsia="Calibri" w:hAnsi="Arial" w:cs="Arial"/>
          <w:i/>
          <w:sz w:val="24"/>
          <w:szCs w:val="24"/>
        </w:rPr>
        <w:t>indebiti</w:t>
      </w:r>
      <w:proofErr w:type="spellEnd"/>
      <w:r w:rsidR="00C53746" w:rsidRPr="00C53746">
        <w:rPr>
          <w:rFonts w:ascii="Arial" w:eastAsia="Calibri" w:hAnsi="Arial" w:cs="Arial"/>
          <w:sz w:val="24"/>
          <w:szCs w:val="24"/>
        </w:rPr>
        <w:t xml:space="preserve"> does not render s12(3) inapplicable. In </w:t>
      </w:r>
      <w:proofErr w:type="spellStart"/>
      <w:r w:rsidR="001C15B5">
        <w:rPr>
          <w:rFonts w:ascii="Arial" w:eastAsia="Calibri" w:hAnsi="Arial" w:cs="Arial"/>
          <w:i/>
          <w:sz w:val="24"/>
          <w:szCs w:val="24"/>
        </w:rPr>
        <w:t>Yarona</w:t>
      </w:r>
      <w:proofErr w:type="spellEnd"/>
      <w:r w:rsidR="001C15B5">
        <w:rPr>
          <w:rFonts w:ascii="Arial" w:eastAsia="Calibri" w:hAnsi="Arial" w:cs="Arial"/>
          <w:i/>
          <w:sz w:val="24"/>
          <w:szCs w:val="24"/>
        </w:rPr>
        <w:t xml:space="preserve"> H</w:t>
      </w:r>
      <w:r w:rsidR="00C53746" w:rsidRPr="001C15B5">
        <w:rPr>
          <w:rFonts w:ascii="Arial" w:eastAsia="Calibri" w:hAnsi="Arial" w:cs="Arial"/>
          <w:i/>
          <w:sz w:val="24"/>
          <w:szCs w:val="24"/>
        </w:rPr>
        <w:t>ealthcare</w:t>
      </w:r>
      <w:r w:rsidR="001C15B5">
        <w:rPr>
          <w:rFonts w:ascii="Arial" w:eastAsia="Calibri" w:hAnsi="Arial" w:cs="Arial"/>
          <w:i/>
          <w:sz w:val="24"/>
          <w:szCs w:val="24"/>
        </w:rPr>
        <w:t xml:space="preserve"> Network (Pty) Ltd v </w:t>
      </w:r>
      <w:proofErr w:type="spellStart"/>
      <w:r w:rsidR="001C15B5">
        <w:rPr>
          <w:rFonts w:ascii="Arial" w:eastAsia="Calibri" w:hAnsi="Arial" w:cs="Arial"/>
          <w:i/>
          <w:sz w:val="24"/>
          <w:szCs w:val="24"/>
        </w:rPr>
        <w:t>Medshield</w:t>
      </w:r>
      <w:proofErr w:type="spellEnd"/>
      <w:r w:rsidR="001C15B5">
        <w:rPr>
          <w:rFonts w:ascii="Arial" w:eastAsia="Calibri" w:hAnsi="Arial" w:cs="Arial"/>
          <w:i/>
          <w:sz w:val="24"/>
          <w:szCs w:val="24"/>
        </w:rPr>
        <w:t xml:space="preserve"> M</w:t>
      </w:r>
      <w:r w:rsidR="00C53746" w:rsidRPr="001C15B5">
        <w:rPr>
          <w:rFonts w:ascii="Arial" w:eastAsia="Calibri" w:hAnsi="Arial" w:cs="Arial"/>
          <w:i/>
          <w:sz w:val="24"/>
          <w:szCs w:val="24"/>
        </w:rPr>
        <w:t>edical Scheme</w:t>
      </w:r>
      <w:r w:rsidR="001C15B5">
        <w:rPr>
          <w:rStyle w:val="FootnoteReference"/>
          <w:rFonts w:ascii="Arial" w:eastAsia="Calibri" w:hAnsi="Arial" w:cs="Arial"/>
          <w:i/>
          <w:sz w:val="24"/>
          <w:szCs w:val="24"/>
        </w:rPr>
        <w:footnoteReference w:id="12"/>
      </w:r>
      <w:r w:rsidR="001C15B5">
        <w:rPr>
          <w:rFonts w:ascii="Arial" w:eastAsia="Calibri" w:hAnsi="Arial" w:cs="Arial"/>
          <w:i/>
          <w:sz w:val="24"/>
          <w:szCs w:val="24"/>
        </w:rPr>
        <w:t xml:space="preserve"> </w:t>
      </w:r>
      <w:proofErr w:type="spellStart"/>
      <w:r w:rsidR="00C53746" w:rsidRPr="00C53746">
        <w:rPr>
          <w:rFonts w:ascii="Arial" w:eastAsia="Calibri" w:hAnsi="Arial" w:cs="Arial"/>
          <w:sz w:val="24"/>
          <w:szCs w:val="24"/>
        </w:rPr>
        <w:t>Medshield’s</w:t>
      </w:r>
      <w:proofErr w:type="spellEnd"/>
      <w:r w:rsidR="00C53746" w:rsidRPr="00C53746">
        <w:rPr>
          <w:rFonts w:ascii="Arial" w:eastAsia="Calibri" w:hAnsi="Arial" w:cs="Arial"/>
          <w:sz w:val="24"/>
          <w:szCs w:val="24"/>
        </w:rPr>
        <w:t xml:space="preserve"> pleaded case was that it made payments in the </w:t>
      </w:r>
      <w:r w:rsidR="00C53746" w:rsidRPr="001C15B5">
        <w:rPr>
          <w:rFonts w:ascii="Arial" w:eastAsia="Calibri" w:hAnsi="Arial" w:cs="Arial"/>
          <w:i/>
          <w:sz w:val="24"/>
          <w:szCs w:val="24"/>
        </w:rPr>
        <w:t>bona fide</w:t>
      </w:r>
      <w:r w:rsidR="00C53746" w:rsidRPr="00C53746">
        <w:rPr>
          <w:rFonts w:ascii="Arial" w:eastAsia="Calibri" w:hAnsi="Arial" w:cs="Arial"/>
          <w:sz w:val="24"/>
          <w:szCs w:val="24"/>
        </w:rPr>
        <w:t xml:space="preserve"> and reasonable but mistaken belief that the payments were owing. </w:t>
      </w:r>
      <w:proofErr w:type="spellStart"/>
      <w:r w:rsidR="00C53746" w:rsidRPr="00C53746">
        <w:rPr>
          <w:rFonts w:ascii="Arial" w:eastAsia="Calibri" w:hAnsi="Arial" w:cs="Arial"/>
          <w:sz w:val="24"/>
          <w:szCs w:val="24"/>
        </w:rPr>
        <w:t>Yarona</w:t>
      </w:r>
      <w:proofErr w:type="spellEnd"/>
      <w:r w:rsidR="00C53746" w:rsidRPr="00C53746">
        <w:rPr>
          <w:rFonts w:ascii="Arial" w:eastAsia="Calibri" w:hAnsi="Arial" w:cs="Arial"/>
          <w:sz w:val="24"/>
          <w:szCs w:val="24"/>
        </w:rPr>
        <w:t xml:space="preserve"> pleaded prescription an</w:t>
      </w:r>
      <w:r w:rsidR="001C15B5">
        <w:rPr>
          <w:rFonts w:ascii="Arial" w:eastAsia="Calibri" w:hAnsi="Arial" w:cs="Arial"/>
          <w:sz w:val="24"/>
          <w:szCs w:val="24"/>
        </w:rPr>
        <w:t xml:space="preserve">d the Supreme Court found that </w:t>
      </w:r>
      <w:r w:rsidR="001C15B5" w:rsidRPr="00E80AEF">
        <w:rPr>
          <w:rFonts w:ascii="Arial" w:eastAsia="Calibri" w:hAnsi="Arial" w:cs="Arial"/>
          <w:sz w:val="24"/>
          <w:szCs w:val="24"/>
        </w:rPr>
        <w:t>“</w:t>
      </w:r>
      <w:r w:rsidR="00C53746" w:rsidRPr="00E80AEF">
        <w:rPr>
          <w:rFonts w:ascii="Arial" w:eastAsia="Calibri" w:hAnsi="Arial" w:cs="Arial"/>
          <w:sz w:val="24"/>
          <w:szCs w:val="24"/>
        </w:rPr>
        <w:t>the</w:t>
      </w:r>
      <w:r w:rsidR="00C53746" w:rsidRPr="00E80AEF">
        <w:rPr>
          <w:rFonts w:ascii="Arial" w:eastAsia="Calibri" w:hAnsi="Arial" w:cs="Arial"/>
          <w:sz w:val="24"/>
          <w:szCs w:val="24"/>
          <w:shd w:val="clear" w:color="auto" w:fill="FFFFFF"/>
        </w:rPr>
        <w:t xml:space="preserve"> onus rested on </w:t>
      </w:r>
      <w:proofErr w:type="spellStart"/>
      <w:r w:rsidR="00C53746" w:rsidRPr="00E80AEF">
        <w:rPr>
          <w:rFonts w:ascii="Arial" w:eastAsia="Calibri" w:hAnsi="Arial" w:cs="Arial"/>
          <w:sz w:val="24"/>
          <w:szCs w:val="24"/>
          <w:shd w:val="clear" w:color="auto" w:fill="FFFFFF"/>
        </w:rPr>
        <w:t>Yarona</w:t>
      </w:r>
      <w:proofErr w:type="spellEnd"/>
      <w:r w:rsidR="00C53746" w:rsidRPr="00E80AEF">
        <w:rPr>
          <w:rFonts w:ascii="Arial" w:eastAsia="Calibri" w:hAnsi="Arial" w:cs="Arial"/>
          <w:sz w:val="24"/>
          <w:szCs w:val="24"/>
          <w:shd w:val="clear" w:color="auto" w:fill="FFFFFF"/>
        </w:rPr>
        <w:t xml:space="preserve"> to establish the date by </w:t>
      </w:r>
      <w:r w:rsidR="00C53746" w:rsidRPr="00E80AEF">
        <w:rPr>
          <w:rFonts w:ascii="Arial" w:eastAsia="Calibri" w:hAnsi="Arial" w:cs="Arial"/>
          <w:sz w:val="24"/>
          <w:szCs w:val="24"/>
          <w:shd w:val="clear" w:color="auto" w:fill="FFFFFF"/>
        </w:rPr>
        <w:lastRenderedPageBreak/>
        <w:t xml:space="preserve">which </w:t>
      </w:r>
      <w:proofErr w:type="spellStart"/>
      <w:r w:rsidR="00C53746" w:rsidRPr="00E80AEF">
        <w:rPr>
          <w:rFonts w:ascii="Arial" w:eastAsia="Calibri" w:hAnsi="Arial" w:cs="Arial"/>
          <w:sz w:val="24"/>
          <w:szCs w:val="24"/>
          <w:shd w:val="clear" w:color="auto" w:fill="FFFFFF"/>
        </w:rPr>
        <w:t>Medshield</w:t>
      </w:r>
      <w:proofErr w:type="spellEnd"/>
      <w:r w:rsidR="00C53746" w:rsidRPr="00E80AEF">
        <w:rPr>
          <w:rFonts w:ascii="Arial" w:eastAsia="Calibri" w:hAnsi="Arial" w:cs="Arial"/>
          <w:sz w:val="24"/>
          <w:szCs w:val="24"/>
          <w:shd w:val="clear" w:color="auto" w:fill="FFFFFF"/>
        </w:rPr>
        <w:t xml:space="preserve"> acquired, or could by exercising reasonable care have acquired, knowledge of the facts giving rise to the claim.”</w:t>
      </w:r>
      <w:r w:rsidR="001C15B5" w:rsidRPr="00E80AEF">
        <w:rPr>
          <w:rStyle w:val="FootnoteReference"/>
          <w:rFonts w:ascii="Arial" w:eastAsia="Calibri" w:hAnsi="Arial" w:cs="Arial"/>
          <w:sz w:val="24"/>
          <w:szCs w:val="24"/>
          <w:shd w:val="clear" w:color="auto" w:fill="FFFFFF"/>
        </w:rPr>
        <w:footnoteReference w:id="13"/>
      </w:r>
      <w:r w:rsidR="00C53746" w:rsidRPr="00E80AEF">
        <w:rPr>
          <w:rFonts w:ascii="Arial" w:eastAsia="Calibri" w:hAnsi="Arial" w:cs="Arial"/>
          <w:sz w:val="24"/>
          <w:szCs w:val="24"/>
          <w:shd w:val="clear" w:color="auto" w:fill="FFFFFF"/>
        </w:rPr>
        <w:t xml:space="preserve"> </w:t>
      </w:r>
    </w:p>
    <w:p w:rsidR="00C53746" w:rsidRPr="00C53746" w:rsidRDefault="00C53746" w:rsidP="00C53746">
      <w:pPr>
        <w:spacing w:after="120" w:line="360" w:lineRule="auto"/>
        <w:jc w:val="both"/>
        <w:rPr>
          <w:rFonts w:ascii="Arial" w:eastAsia="Calibri" w:hAnsi="Arial" w:cs="Arial"/>
          <w:sz w:val="24"/>
          <w:szCs w:val="24"/>
        </w:rPr>
      </w:pPr>
    </w:p>
    <w:p w:rsidR="00C53746" w:rsidRPr="00C53746" w:rsidRDefault="0078161D" w:rsidP="00C53746">
      <w:pPr>
        <w:spacing w:after="0" w:line="360" w:lineRule="auto"/>
        <w:jc w:val="both"/>
        <w:rPr>
          <w:rFonts w:ascii="Arial" w:eastAsia="Calibri" w:hAnsi="Arial" w:cs="Arial"/>
          <w:sz w:val="24"/>
          <w:szCs w:val="24"/>
        </w:rPr>
      </w:pPr>
      <w:r>
        <w:rPr>
          <w:rFonts w:ascii="Arial" w:eastAsia="Calibri" w:hAnsi="Arial" w:cs="Arial"/>
          <w:sz w:val="24"/>
          <w:szCs w:val="24"/>
        </w:rPr>
        <w:t>[30</w:t>
      </w:r>
      <w:r w:rsidR="00C53746" w:rsidRPr="00C53746">
        <w:rPr>
          <w:rFonts w:ascii="Arial" w:eastAsia="Calibri" w:hAnsi="Arial" w:cs="Arial"/>
          <w:sz w:val="24"/>
          <w:szCs w:val="24"/>
        </w:rPr>
        <w:t>]</w:t>
      </w:r>
      <w:r w:rsidR="00C53746" w:rsidRPr="00C53746">
        <w:rPr>
          <w:rFonts w:ascii="Arial" w:eastAsia="Calibri" w:hAnsi="Arial" w:cs="Arial"/>
          <w:sz w:val="24"/>
          <w:szCs w:val="24"/>
        </w:rPr>
        <w:tab/>
        <w:t>In summary, NMWF has the onus to prove prescription. It pleaded correctly that the debt was due when the payments were made. When RFS in reply raised s12(</w:t>
      </w:r>
      <w:r>
        <w:rPr>
          <w:rFonts w:ascii="Arial" w:eastAsia="Calibri" w:hAnsi="Arial" w:cs="Arial"/>
          <w:sz w:val="24"/>
          <w:szCs w:val="24"/>
        </w:rPr>
        <w:t>3) NMWF had the onus to at trial</w:t>
      </w:r>
      <w:r w:rsidR="00C53746" w:rsidRPr="00C53746">
        <w:rPr>
          <w:rFonts w:ascii="Arial" w:eastAsia="Calibri" w:hAnsi="Arial" w:cs="Arial"/>
          <w:sz w:val="24"/>
          <w:szCs w:val="24"/>
        </w:rPr>
        <w:t xml:space="preserve"> prove when RFS had knowledge of the facts or could have by exercising reasonable care have acquired knowledge of the facts giving rise to the claim.</w:t>
      </w:r>
      <w:r>
        <w:rPr>
          <w:rStyle w:val="FootnoteReference"/>
          <w:rFonts w:ascii="Arial" w:eastAsia="Calibri" w:hAnsi="Arial" w:cs="Arial"/>
          <w:sz w:val="24"/>
          <w:szCs w:val="24"/>
        </w:rPr>
        <w:footnoteReference w:id="14"/>
      </w:r>
      <w:r w:rsidR="00C53746" w:rsidRPr="00C53746">
        <w:rPr>
          <w:rFonts w:ascii="Arial" w:eastAsia="Calibri" w:hAnsi="Arial" w:cs="Arial"/>
          <w:sz w:val="24"/>
          <w:szCs w:val="24"/>
        </w:rPr>
        <w:t xml:space="preserve"> </w:t>
      </w:r>
    </w:p>
    <w:p w:rsidR="00C53746" w:rsidRPr="00C53746" w:rsidRDefault="00C53746" w:rsidP="00C53746">
      <w:pPr>
        <w:spacing w:after="120" w:line="360" w:lineRule="auto"/>
        <w:jc w:val="both"/>
        <w:rPr>
          <w:rFonts w:ascii="Arial" w:eastAsia="Calibri" w:hAnsi="Arial" w:cs="Arial"/>
          <w:sz w:val="24"/>
          <w:szCs w:val="24"/>
        </w:rPr>
      </w:pPr>
    </w:p>
    <w:p w:rsidR="00C53746" w:rsidRPr="00C53746" w:rsidRDefault="00C53746" w:rsidP="00C53746">
      <w:pPr>
        <w:spacing w:after="120" w:line="360" w:lineRule="auto"/>
        <w:jc w:val="both"/>
        <w:rPr>
          <w:rFonts w:ascii="Arial" w:eastAsia="Calibri" w:hAnsi="Arial" w:cs="Arial"/>
          <w:sz w:val="24"/>
          <w:szCs w:val="24"/>
        </w:rPr>
      </w:pPr>
      <w:r w:rsidRPr="00C53746">
        <w:rPr>
          <w:rFonts w:ascii="Arial" w:eastAsia="Calibri" w:hAnsi="Arial" w:cs="Arial"/>
          <w:sz w:val="24"/>
          <w:szCs w:val="24"/>
        </w:rPr>
        <w:t>When did NMWF have knowledge of the facts?</w:t>
      </w:r>
    </w:p>
    <w:p w:rsidR="00C53746" w:rsidRDefault="00BB2083" w:rsidP="00C53746">
      <w:pPr>
        <w:spacing w:after="120" w:line="360" w:lineRule="auto"/>
        <w:jc w:val="both"/>
        <w:rPr>
          <w:rFonts w:ascii="Arial" w:eastAsia="Calibri" w:hAnsi="Arial" w:cs="Arial"/>
          <w:sz w:val="24"/>
          <w:szCs w:val="24"/>
        </w:rPr>
      </w:pPr>
      <w:r>
        <w:rPr>
          <w:rFonts w:ascii="Arial" w:eastAsia="Calibri" w:hAnsi="Arial" w:cs="Arial"/>
          <w:sz w:val="24"/>
          <w:szCs w:val="24"/>
        </w:rPr>
        <w:t>[31</w:t>
      </w:r>
      <w:r w:rsidR="00C53746" w:rsidRPr="00C53746">
        <w:rPr>
          <w:rFonts w:ascii="Arial" w:eastAsia="Calibri" w:hAnsi="Arial" w:cs="Arial"/>
          <w:sz w:val="24"/>
          <w:szCs w:val="24"/>
        </w:rPr>
        <w:t>]</w:t>
      </w:r>
      <w:r w:rsidR="00C53746" w:rsidRPr="00C53746">
        <w:rPr>
          <w:rFonts w:ascii="Arial" w:eastAsia="Calibri" w:hAnsi="Arial" w:cs="Arial"/>
          <w:sz w:val="24"/>
          <w:szCs w:val="24"/>
        </w:rPr>
        <w:tab/>
        <w:t xml:space="preserve">The running of prescription commences when a “debt”, is “due”, and the </w:t>
      </w:r>
      <w:r>
        <w:rPr>
          <w:rFonts w:ascii="Arial" w:eastAsia="Calibri" w:hAnsi="Arial" w:cs="Arial"/>
          <w:sz w:val="24"/>
          <w:szCs w:val="24"/>
        </w:rPr>
        <w:t xml:space="preserve">creditor must have “knowledge”, </w:t>
      </w:r>
      <w:r w:rsidR="00C53746" w:rsidRPr="00C53746">
        <w:rPr>
          <w:rFonts w:ascii="Arial" w:eastAsia="Calibri" w:hAnsi="Arial" w:cs="Arial"/>
          <w:sz w:val="24"/>
          <w:szCs w:val="24"/>
        </w:rPr>
        <w:t>of the “facts” from which the debt arises. It is common cause before me that enrichment constitutes a debt.</w:t>
      </w:r>
    </w:p>
    <w:p w:rsidR="00BB2083" w:rsidRPr="00C53746" w:rsidRDefault="00BB2083" w:rsidP="00C53746">
      <w:pPr>
        <w:spacing w:after="120" w:line="360" w:lineRule="auto"/>
        <w:jc w:val="both"/>
        <w:rPr>
          <w:rFonts w:ascii="Arial" w:eastAsia="Calibri" w:hAnsi="Arial" w:cs="Arial"/>
          <w:sz w:val="24"/>
          <w:szCs w:val="24"/>
        </w:rPr>
      </w:pPr>
    </w:p>
    <w:p w:rsidR="00C53746" w:rsidRDefault="00BB2083" w:rsidP="00C53746">
      <w:pPr>
        <w:spacing w:after="0" w:line="360" w:lineRule="auto"/>
        <w:jc w:val="both"/>
        <w:rPr>
          <w:rFonts w:ascii="Arial" w:eastAsia="Calibri" w:hAnsi="Arial" w:cs="Arial"/>
          <w:sz w:val="24"/>
          <w:szCs w:val="24"/>
        </w:rPr>
      </w:pPr>
      <w:r>
        <w:rPr>
          <w:rFonts w:ascii="Arial" w:eastAsia="Calibri" w:hAnsi="Arial" w:cs="Arial"/>
          <w:sz w:val="24"/>
          <w:szCs w:val="24"/>
        </w:rPr>
        <w:t>[32</w:t>
      </w:r>
      <w:r w:rsidR="00C53746" w:rsidRPr="00C53746">
        <w:rPr>
          <w:rFonts w:ascii="Arial" w:eastAsia="Calibri" w:hAnsi="Arial" w:cs="Arial"/>
          <w:sz w:val="24"/>
          <w:szCs w:val="24"/>
        </w:rPr>
        <w:t>]</w:t>
      </w:r>
      <w:r w:rsidR="00C53746" w:rsidRPr="00C53746">
        <w:rPr>
          <w:rFonts w:ascii="Arial" w:eastAsia="Calibri" w:hAnsi="Arial" w:cs="Arial"/>
          <w:sz w:val="24"/>
          <w:szCs w:val="24"/>
        </w:rPr>
        <w:tab/>
        <w:t xml:space="preserve">The debt is due when it is owing and payable.  The creditor will acquire the legal right to claim when every fact has happened that is necessary for the creditor to pursue his claim. In </w:t>
      </w:r>
      <w:r w:rsidR="00C53746" w:rsidRPr="00C53746">
        <w:rPr>
          <w:rFonts w:ascii="Arial" w:eastAsia="Calibri" w:hAnsi="Arial" w:cs="Arial"/>
          <w:i/>
          <w:iCs/>
          <w:sz w:val="24"/>
          <w:szCs w:val="24"/>
        </w:rPr>
        <w:t>Links</w:t>
      </w:r>
      <w:r w:rsidR="00C53746" w:rsidRPr="00C53746">
        <w:rPr>
          <w:rFonts w:ascii="Arial" w:eastAsia="Calibri" w:hAnsi="Arial" w:cs="Arial"/>
          <w:sz w:val="24"/>
          <w:szCs w:val="24"/>
        </w:rPr>
        <w:t xml:space="preserve">, the Constitutional Court cited with approval the following passage from </w:t>
      </w:r>
      <w:proofErr w:type="spellStart"/>
      <w:r w:rsidR="00C53746" w:rsidRPr="00C53746">
        <w:rPr>
          <w:rFonts w:ascii="Arial" w:eastAsia="Calibri" w:hAnsi="Arial" w:cs="Arial"/>
          <w:i/>
          <w:iCs/>
          <w:sz w:val="24"/>
          <w:szCs w:val="24"/>
        </w:rPr>
        <w:t>Truter</w:t>
      </w:r>
      <w:proofErr w:type="spellEnd"/>
      <w:r>
        <w:rPr>
          <w:rStyle w:val="FootnoteReference"/>
          <w:rFonts w:ascii="Arial" w:eastAsia="Calibri" w:hAnsi="Arial" w:cs="Arial"/>
          <w:i/>
          <w:iCs/>
          <w:sz w:val="24"/>
          <w:szCs w:val="24"/>
        </w:rPr>
        <w:footnoteReference w:id="15"/>
      </w:r>
      <w:r w:rsidR="00C53746" w:rsidRPr="00C53746">
        <w:rPr>
          <w:rFonts w:ascii="Arial" w:eastAsia="Calibri" w:hAnsi="Arial" w:cs="Arial"/>
          <w:sz w:val="24"/>
          <w:szCs w:val="24"/>
        </w:rPr>
        <w:t xml:space="preserve"> where the Supreme Court of Appeal stated that a claim is due for purposes of the Prescription Act:</w:t>
      </w:r>
    </w:p>
    <w:p w:rsidR="00997ABC" w:rsidRDefault="00997ABC" w:rsidP="00997ABC">
      <w:pPr>
        <w:spacing w:after="0" w:line="360" w:lineRule="auto"/>
        <w:ind w:left="720"/>
        <w:jc w:val="both"/>
        <w:rPr>
          <w:rFonts w:ascii="Arial" w:eastAsia="Calibri" w:hAnsi="Arial" w:cs="Arial"/>
          <w:sz w:val="24"/>
          <w:szCs w:val="24"/>
        </w:rPr>
      </w:pPr>
    </w:p>
    <w:p w:rsidR="00997ABC" w:rsidRDefault="00997ABC" w:rsidP="00997ABC">
      <w:pPr>
        <w:spacing w:after="0" w:line="360" w:lineRule="auto"/>
        <w:ind w:left="720"/>
        <w:jc w:val="both"/>
        <w:rPr>
          <w:rFonts w:ascii="Arial" w:eastAsia="Calibri" w:hAnsi="Arial" w:cs="Arial"/>
          <w:sz w:val="24"/>
          <w:szCs w:val="24"/>
        </w:rPr>
      </w:pPr>
      <w:r>
        <w:rPr>
          <w:rFonts w:ascii="Arial" w:eastAsia="Calibri" w:hAnsi="Arial" w:cs="Arial"/>
          <w:sz w:val="24"/>
          <w:szCs w:val="24"/>
        </w:rPr>
        <w:t xml:space="preserve">“When the creditor acquires a complete cause of action for the recovery of the </w:t>
      </w:r>
    </w:p>
    <w:p w:rsidR="00997ABC" w:rsidRPr="00C53746" w:rsidRDefault="00997ABC" w:rsidP="00997ABC">
      <w:pPr>
        <w:spacing w:after="0" w:line="360" w:lineRule="auto"/>
        <w:ind w:left="720"/>
        <w:jc w:val="both"/>
        <w:rPr>
          <w:rFonts w:ascii="Arial" w:eastAsia="Calibri" w:hAnsi="Arial" w:cs="Arial"/>
          <w:sz w:val="24"/>
          <w:szCs w:val="24"/>
        </w:rPr>
      </w:pPr>
      <w:r>
        <w:rPr>
          <w:rFonts w:ascii="Arial" w:eastAsia="Calibri" w:hAnsi="Arial" w:cs="Arial"/>
          <w:sz w:val="24"/>
          <w:szCs w:val="24"/>
        </w:rPr>
        <w:t>debt, that is, when the entire set of facts which the creditor must prove in order to succeed with his or her claim against the debtor is in place or, in other words, when everything has happened which would entitle the creditor to institute action and to pursue his or her claim.”</w:t>
      </w:r>
    </w:p>
    <w:p w:rsidR="00C53746" w:rsidRDefault="00C53746" w:rsidP="00997ABC">
      <w:pPr>
        <w:spacing w:after="0" w:line="360" w:lineRule="auto"/>
        <w:ind w:right="720"/>
        <w:jc w:val="both"/>
        <w:rPr>
          <w:rFonts w:ascii="Arial" w:eastAsia="Calibri" w:hAnsi="Arial" w:cs="Arial"/>
          <w:sz w:val="24"/>
          <w:szCs w:val="24"/>
        </w:rPr>
      </w:pPr>
    </w:p>
    <w:p w:rsidR="00611F2A" w:rsidRPr="00C53746" w:rsidRDefault="00611F2A" w:rsidP="00611F2A">
      <w:pPr>
        <w:spacing w:after="0" w:line="360" w:lineRule="auto"/>
        <w:jc w:val="both"/>
        <w:rPr>
          <w:rFonts w:ascii="Arial" w:eastAsia="Calibri" w:hAnsi="Arial" w:cs="Arial"/>
          <w:sz w:val="24"/>
          <w:szCs w:val="24"/>
        </w:rPr>
      </w:pPr>
      <w:r w:rsidRPr="00C53746">
        <w:rPr>
          <w:rFonts w:ascii="Arial" w:eastAsia="Calibri" w:hAnsi="Arial" w:cs="Arial"/>
          <w:sz w:val="24"/>
          <w:szCs w:val="24"/>
        </w:rPr>
        <w:t xml:space="preserve">What are the facts which a creditor must have knowledge of? </w:t>
      </w:r>
    </w:p>
    <w:p w:rsidR="00C53746" w:rsidRPr="00C53746" w:rsidRDefault="00611F2A" w:rsidP="00C53746">
      <w:pPr>
        <w:spacing w:after="0" w:line="360" w:lineRule="auto"/>
        <w:jc w:val="both"/>
        <w:rPr>
          <w:rFonts w:ascii="Arial" w:eastAsia="Calibri" w:hAnsi="Arial" w:cs="Arial"/>
          <w:sz w:val="24"/>
          <w:szCs w:val="24"/>
        </w:rPr>
      </w:pPr>
      <w:r>
        <w:rPr>
          <w:rFonts w:ascii="Arial" w:eastAsia="Calibri" w:hAnsi="Arial" w:cs="Arial"/>
          <w:sz w:val="24"/>
          <w:szCs w:val="24"/>
        </w:rPr>
        <w:t>[33</w:t>
      </w:r>
      <w:r w:rsidR="00C53746" w:rsidRPr="00C53746">
        <w:rPr>
          <w:rFonts w:ascii="Arial" w:eastAsia="Calibri" w:hAnsi="Arial" w:cs="Arial"/>
          <w:sz w:val="24"/>
          <w:szCs w:val="24"/>
        </w:rPr>
        <w:t>]</w:t>
      </w:r>
      <w:r w:rsidR="00C53746" w:rsidRPr="00C53746">
        <w:rPr>
          <w:rFonts w:ascii="Arial" w:eastAsia="Calibri" w:hAnsi="Arial" w:cs="Arial"/>
          <w:sz w:val="24"/>
          <w:szCs w:val="24"/>
        </w:rPr>
        <w:tab/>
        <w:t xml:space="preserve">The requisite knowledge is knowledge of those facts which constitute the essence of a creditor’s claim.  What those essential or material facts are must be </w:t>
      </w:r>
      <w:r w:rsidR="00C53746" w:rsidRPr="00C53746">
        <w:rPr>
          <w:rFonts w:ascii="Arial" w:eastAsia="Calibri" w:hAnsi="Arial" w:cs="Arial"/>
          <w:sz w:val="24"/>
          <w:szCs w:val="24"/>
        </w:rPr>
        <w:lastRenderedPageBreak/>
        <w:t xml:space="preserve">distilled from the essential elements of the creditor’s pleaded claim.  The creditor need not have knowledge of every such fact, but only </w:t>
      </w:r>
      <w:r w:rsidR="00C53746" w:rsidRPr="00C53746">
        <w:rPr>
          <w:rFonts w:ascii="Arial" w:eastAsia="Calibri" w:hAnsi="Arial" w:cs="Arial"/>
          <w:bCs/>
          <w:sz w:val="24"/>
          <w:szCs w:val="24"/>
        </w:rPr>
        <w:t>“the minimum facts that are necessary to institute action</w:t>
      </w:r>
      <w:r>
        <w:rPr>
          <w:rFonts w:ascii="Arial" w:eastAsia="Calibri" w:hAnsi="Arial" w:cs="Arial"/>
          <w:bCs/>
          <w:sz w:val="24"/>
          <w:szCs w:val="24"/>
        </w:rPr>
        <w:t>.</w:t>
      </w:r>
      <w:r w:rsidR="00C53746" w:rsidRPr="00C53746">
        <w:rPr>
          <w:rFonts w:ascii="Arial" w:eastAsia="Calibri" w:hAnsi="Arial" w:cs="Arial"/>
          <w:bCs/>
          <w:sz w:val="24"/>
          <w:szCs w:val="24"/>
        </w:rPr>
        <w:t>”</w:t>
      </w:r>
      <w:r>
        <w:rPr>
          <w:rStyle w:val="FootnoteReference"/>
          <w:rFonts w:ascii="Arial" w:eastAsia="Calibri" w:hAnsi="Arial" w:cs="Arial"/>
          <w:bCs/>
          <w:sz w:val="24"/>
          <w:szCs w:val="24"/>
        </w:rPr>
        <w:footnoteReference w:id="16"/>
      </w:r>
      <w:r>
        <w:rPr>
          <w:rFonts w:ascii="Arial" w:eastAsia="Calibri" w:hAnsi="Arial" w:cs="Arial"/>
          <w:bCs/>
          <w:sz w:val="24"/>
          <w:szCs w:val="24"/>
        </w:rPr>
        <w:t xml:space="preserve"> </w:t>
      </w:r>
      <w:r w:rsidR="00435796">
        <w:rPr>
          <w:rFonts w:ascii="Arial" w:eastAsia="Calibri" w:hAnsi="Arial" w:cs="Arial"/>
          <w:bCs/>
          <w:sz w:val="24"/>
          <w:szCs w:val="24"/>
        </w:rPr>
        <w:t xml:space="preserve"> </w:t>
      </w:r>
      <w:r w:rsidR="00C53746" w:rsidRPr="00C53746">
        <w:rPr>
          <w:rFonts w:ascii="Arial" w:eastAsia="Calibri" w:hAnsi="Arial" w:cs="Arial"/>
          <w:sz w:val="24"/>
          <w:szCs w:val="24"/>
        </w:rPr>
        <w:t xml:space="preserve">A fact is material, if without proof of its existence, a court could not find that the creditor had succeeded in proving his pleaded claim. However, it is not necessary that the creditor also has knowledge that a material fact supports a legal conclusion.  The creditor is only required to have knowledge of the material facts which underlie the essential elements of his pleaded cause of action, and not also the legal consequence of those facts. </w:t>
      </w:r>
    </w:p>
    <w:p w:rsidR="00C53746" w:rsidRPr="00C53746" w:rsidRDefault="00C53746" w:rsidP="00C53746">
      <w:pPr>
        <w:spacing w:after="120" w:line="360" w:lineRule="auto"/>
        <w:jc w:val="both"/>
        <w:rPr>
          <w:rFonts w:ascii="Arial" w:eastAsia="Calibri" w:hAnsi="Arial" w:cs="Arial"/>
          <w:sz w:val="24"/>
          <w:szCs w:val="24"/>
        </w:rPr>
      </w:pPr>
    </w:p>
    <w:p w:rsidR="00C53746" w:rsidRPr="00E80AEF" w:rsidRDefault="00435796" w:rsidP="00C53746">
      <w:pPr>
        <w:spacing w:after="160" w:line="360" w:lineRule="auto"/>
        <w:jc w:val="both"/>
        <w:rPr>
          <w:rFonts w:ascii="Arial" w:hAnsi="Arial" w:cs="Arial"/>
          <w:sz w:val="24"/>
          <w:szCs w:val="24"/>
          <w:shd w:val="clear" w:color="auto" w:fill="FFFFFF"/>
        </w:rPr>
      </w:pPr>
      <w:r w:rsidRPr="00E80AEF">
        <w:rPr>
          <w:rFonts w:ascii="Arial" w:hAnsi="Arial" w:cs="Arial"/>
          <w:sz w:val="24"/>
          <w:szCs w:val="24"/>
          <w:shd w:val="clear" w:color="auto" w:fill="FFFFFF"/>
        </w:rPr>
        <w:t>[34]</w:t>
      </w:r>
      <w:r w:rsidRPr="00E80AEF">
        <w:rPr>
          <w:rFonts w:ascii="Arial" w:hAnsi="Arial" w:cs="Arial"/>
          <w:sz w:val="24"/>
          <w:szCs w:val="24"/>
          <w:shd w:val="clear" w:color="auto" w:fill="FFFFFF"/>
        </w:rPr>
        <w:tab/>
        <w:t>From the evidence of Mr D</w:t>
      </w:r>
      <w:r w:rsidR="00C53746" w:rsidRPr="00E80AEF">
        <w:rPr>
          <w:rFonts w:ascii="Arial" w:hAnsi="Arial" w:cs="Arial"/>
          <w:sz w:val="24"/>
          <w:szCs w:val="24"/>
          <w:shd w:val="clear" w:color="auto" w:fill="FFFFFF"/>
        </w:rPr>
        <w:t xml:space="preserve">u </w:t>
      </w:r>
      <w:proofErr w:type="spellStart"/>
      <w:r w:rsidR="00C53746" w:rsidRPr="00E80AEF">
        <w:rPr>
          <w:rFonts w:ascii="Arial" w:hAnsi="Arial" w:cs="Arial"/>
          <w:sz w:val="24"/>
          <w:szCs w:val="24"/>
          <w:shd w:val="clear" w:color="auto" w:fill="FFFFFF"/>
        </w:rPr>
        <w:t>Plooy</w:t>
      </w:r>
      <w:proofErr w:type="spellEnd"/>
      <w:r w:rsidR="00C53746" w:rsidRPr="00E80AEF">
        <w:rPr>
          <w:rFonts w:ascii="Arial" w:hAnsi="Arial" w:cs="Arial"/>
          <w:sz w:val="24"/>
          <w:szCs w:val="24"/>
          <w:shd w:val="clear" w:color="auto" w:fill="FFFFFF"/>
        </w:rPr>
        <w:t xml:space="preserve"> I am satisfied that prior to 2012 he on the facts did not know that the repo fee was not due and payable.  In 2012 he knew what payments needed to be made that included a repo fee. He knew he had to pay it to NFMW. He knew the Instruction agreement was not incorporated in the 2012 agreement. He kne</w:t>
      </w:r>
      <w:r w:rsidR="000A7AD9">
        <w:rPr>
          <w:rFonts w:ascii="Arial" w:hAnsi="Arial" w:cs="Arial"/>
          <w:sz w:val="24"/>
          <w:szCs w:val="24"/>
          <w:shd w:val="clear" w:color="auto" w:fill="FFFFFF"/>
        </w:rPr>
        <w:t>w that no Repo Agreement</w:t>
      </w:r>
      <w:r w:rsidR="00C53746" w:rsidRPr="00E80AEF">
        <w:rPr>
          <w:rFonts w:ascii="Arial" w:hAnsi="Arial" w:cs="Arial"/>
          <w:sz w:val="24"/>
          <w:szCs w:val="24"/>
          <w:shd w:val="clear" w:color="auto" w:fill="FFFFFF"/>
        </w:rPr>
        <w:t xml:space="preserve"> was concluded as provided for in clause 3 of the Repo agreement. These two agreements were not incorporated directly or indirectly. However, in these minefield of agreements, there was the Instruction agreement setting out a fee to be paid and the Repro Agreement.  It was not incorporated in the 2012 agreement, but it was also not expressly cancelled, with NFMW upholding it and rendering invoices for these fees. I am satisfied that RFS could not then on the facts conclude, even in the broad sense of a claim, that it did have a claim because it did not need to pay these repo fees and could claim the payments back. </w:t>
      </w:r>
    </w:p>
    <w:p w:rsidR="00435796" w:rsidRPr="00E80AEF" w:rsidRDefault="00435796" w:rsidP="00C53746">
      <w:pPr>
        <w:spacing w:after="160" w:line="360" w:lineRule="auto"/>
        <w:jc w:val="both"/>
        <w:rPr>
          <w:rFonts w:ascii="Arial" w:hAnsi="Arial" w:cs="Arial"/>
          <w:sz w:val="24"/>
          <w:szCs w:val="24"/>
          <w:shd w:val="clear" w:color="auto" w:fill="FFFFFF"/>
        </w:rPr>
      </w:pPr>
    </w:p>
    <w:p w:rsidR="00C53746" w:rsidRPr="00E80AEF" w:rsidRDefault="00435796" w:rsidP="00C53746">
      <w:pPr>
        <w:spacing w:after="160" w:line="360" w:lineRule="auto"/>
        <w:jc w:val="both"/>
        <w:rPr>
          <w:rFonts w:ascii="Arial" w:hAnsi="Arial" w:cs="Arial"/>
          <w:sz w:val="24"/>
          <w:szCs w:val="24"/>
          <w:shd w:val="clear" w:color="auto" w:fill="FFFFFF"/>
        </w:rPr>
      </w:pPr>
      <w:r w:rsidRPr="00E80AEF">
        <w:rPr>
          <w:rFonts w:ascii="Arial" w:hAnsi="Arial" w:cs="Arial"/>
          <w:sz w:val="24"/>
          <w:szCs w:val="24"/>
          <w:shd w:val="clear" w:color="auto" w:fill="FFFFFF"/>
        </w:rPr>
        <w:t>[35</w:t>
      </w:r>
      <w:r w:rsidR="00C53746" w:rsidRPr="00E80AEF">
        <w:rPr>
          <w:rFonts w:ascii="Arial" w:hAnsi="Arial" w:cs="Arial"/>
          <w:sz w:val="24"/>
          <w:szCs w:val="24"/>
          <w:shd w:val="clear" w:color="auto" w:fill="FFFFFF"/>
        </w:rPr>
        <w:t>]</w:t>
      </w:r>
      <w:r w:rsidR="00C53746" w:rsidRPr="00E80AEF">
        <w:rPr>
          <w:rFonts w:ascii="Arial" w:hAnsi="Arial" w:cs="Arial"/>
          <w:sz w:val="24"/>
          <w:szCs w:val="24"/>
          <w:shd w:val="clear" w:color="auto" w:fill="FFFFFF"/>
        </w:rPr>
        <w:tab/>
        <w:t xml:space="preserve">I was referred to the </w:t>
      </w:r>
      <w:proofErr w:type="spellStart"/>
      <w:r w:rsidR="00C53746" w:rsidRPr="00E80AEF">
        <w:rPr>
          <w:rFonts w:ascii="Arial" w:hAnsi="Arial" w:cs="Arial"/>
          <w:sz w:val="24"/>
          <w:szCs w:val="24"/>
          <w:shd w:val="clear" w:color="auto" w:fill="FFFFFF"/>
        </w:rPr>
        <w:t>Levenson</w:t>
      </w:r>
      <w:proofErr w:type="spellEnd"/>
      <w:r w:rsidR="00C53746" w:rsidRPr="00E80AEF">
        <w:rPr>
          <w:rFonts w:ascii="Arial" w:hAnsi="Arial" w:cs="Arial"/>
          <w:sz w:val="24"/>
          <w:szCs w:val="24"/>
          <w:shd w:val="clear" w:color="auto" w:fill="FFFFFF"/>
        </w:rPr>
        <w:t xml:space="preserve"> matter</w:t>
      </w:r>
      <w:r w:rsidRPr="00E80AEF">
        <w:rPr>
          <w:rStyle w:val="FootnoteReference"/>
          <w:rFonts w:ascii="Arial" w:hAnsi="Arial" w:cs="Arial"/>
          <w:sz w:val="24"/>
          <w:szCs w:val="24"/>
          <w:shd w:val="clear" w:color="auto" w:fill="FFFFFF"/>
        </w:rPr>
        <w:footnoteReference w:id="17"/>
      </w:r>
      <w:r w:rsidR="00C53746" w:rsidRPr="00E80AEF">
        <w:rPr>
          <w:rFonts w:ascii="Arial" w:hAnsi="Arial" w:cs="Arial"/>
          <w:sz w:val="24"/>
          <w:szCs w:val="24"/>
          <w:shd w:val="clear" w:color="auto" w:fill="FFFFFF"/>
        </w:rPr>
        <w:t xml:space="preserve"> however, in that matter the respondent therein knew all the facts, he knew the written agreement did not at all conform to what he had agreed to orally. The majority decision found that he did not have to know the agreement was invalid to institute a claim because he knew the agreement did not conform to what he had agreed to. RFS did not at that stage, as in the </w:t>
      </w:r>
      <w:proofErr w:type="spellStart"/>
      <w:r w:rsidR="00C53746" w:rsidRPr="00E80AEF">
        <w:rPr>
          <w:rFonts w:ascii="Arial" w:hAnsi="Arial" w:cs="Arial"/>
          <w:sz w:val="24"/>
          <w:szCs w:val="24"/>
          <w:shd w:val="clear" w:color="auto" w:fill="FFFFFF"/>
        </w:rPr>
        <w:t>Levenson</w:t>
      </w:r>
      <w:proofErr w:type="spellEnd"/>
      <w:r w:rsidR="00C53746" w:rsidRPr="00E80AEF">
        <w:rPr>
          <w:rFonts w:ascii="Arial" w:hAnsi="Arial" w:cs="Arial"/>
          <w:sz w:val="24"/>
          <w:szCs w:val="24"/>
          <w:shd w:val="clear" w:color="auto" w:fill="FFFFFF"/>
        </w:rPr>
        <w:t xml:space="preserve"> matter, have knowledge of the fact that it could ignore the Instruction agreement, or on what basis the repo fees were not due. Yes, no repurchase agreement was </w:t>
      </w:r>
      <w:r w:rsidR="00C53746" w:rsidRPr="00E80AEF">
        <w:rPr>
          <w:rFonts w:ascii="Arial" w:hAnsi="Arial" w:cs="Arial"/>
          <w:sz w:val="24"/>
          <w:szCs w:val="24"/>
          <w:shd w:val="clear" w:color="auto" w:fill="FFFFFF"/>
        </w:rPr>
        <w:lastRenderedPageBreak/>
        <w:t>concluded, but the repo fees were claimed throughout the whole period from 2007 till 2019 without a repurchase agreement being concluded. The basis for the payment was not known, but it could not be accepted that no basis existed, and therefore RFS did not have the minimum facts as to, why the fees were no</w:t>
      </w:r>
      <w:r w:rsidR="00F07BD8" w:rsidRPr="00E80AEF">
        <w:rPr>
          <w:rFonts w:ascii="Arial" w:hAnsi="Arial" w:cs="Arial"/>
          <w:sz w:val="24"/>
          <w:szCs w:val="24"/>
          <w:shd w:val="clear" w:color="auto" w:fill="FFFFFF"/>
        </w:rPr>
        <w:t>t due to institute a claim. Mr D</w:t>
      </w:r>
      <w:r w:rsidR="00C53746" w:rsidRPr="00E80AEF">
        <w:rPr>
          <w:rFonts w:ascii="Arial" w:hAnsi="Arial" w:cs="Arial"/>
          <w:sz w:val="24"/>
          <w:szCs w:val="24"/>
          <w:shd w:val="clear" w:color="auto" w:fill="FFFFFF"/>
        </w:rPr>
        <w:t xml:space="preserve">e </w:t>
      </w:r>
      <w:proofErr w:type="spellStart"/>
      <w:r w:rsidR="00C53746" w:rsidRPr="00E80AEF">
        <w:rPr>
          <w:rFonts w:ascii="Arial" w:hAnsi="Arial" w:cs="Arial"/>
          <w:sz w:val="24"/>
          <w:szCs w:val="24"/>
          <w:shd w:val="clear" w:color="auto" w:fill="FFFFFF"/>
        </w:rPr>
        <w:t>Jager’s</w:t>
      </w:r>
      <w:proofErr w:type="spellEnd"/>
      <w:r w:rsidR="00C53746" w:rsidRPr="00E80AEF">
        <w:rPr>
          <w:rFonts w:ascii="Arial" w:hAnsi="Arial" w:cs="Arial"/>
          <w:sz w:val="24"/>
          <w:szCs w:val="24"/>
          <w:shd w:val="clear" w:color="auto" w:fill="FFFFFF"/>
        </w:rPr>
        <w:t xml:space="preserve"> evidence was clear that after he had heard from his auditors in 2015 and consulted an attorney in 2016 he suspected the fees were not due and payable.</w:t>
      </w:r>
    </w:p>
    <w:p w:rsidR="005220DD" w:rsidRDefault="005220DD" w:rsidP="00C53746">
      <w:pPr>
        <w:spacing w:after="0" w:line="360" w:lineRule="auto"/>
        <w:jc w:val="both"/>
        <w:rPr>
          <w:rFonts w:ascii="Arial" w:eastAsia="Calibri" w:hAnsi="Arial" w:cs="Arial"/>
          <w:sz w:val="24"/>
          <w:szCs w:val="24"/>
          <w:shd w:val="clear" w:color="auto" w:fill="FFFFFF"/>
        </w:rPr>
      </w:pPr>
    </w:p>
    <w:p w:rsidR="00F07BD8" w:rsidRPr="00E80AEF" w:rsidRDefault="00C70020" w:rsidP="00C53746">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Can RFS be deemed to have knowledge and what date is that?</w:t>
      </w:r>
    </w:p>
    <w:p w:rsidR="00C53746" w:rsidRPr="00E80AEF" w:rsidRDefault="00F07BD8" w:rsidP="00C53746">
      <w:pPr>
        <w:spacing w:after="0" w:line="360" w:lineRule="auto"/>
        <w:jc w:val="both"/>
        <w:rPr>
          <w:rFonts w:ascii="Arial" w:eastAsia="Calibri" w:hAnsi="Arial" w:cs="Arial"/>
          <w:sz w:val="24"/>
          <w:szCs w:val="24"/>
        </w:rPr>
      </w:pPr>
      <w:r w:rsidRPr="00E80AEF">
        <w:rPr>
          <w:rFonts w:ascii="Arial" w:eastAsia="Calibri" w:hAnsi="Arial" w:cs="Arial"/>
          <w:sz w:val="24"/>
          <w:szCs w:val="24"/>
          <w:shd w:val="clear" w:color="auto" w:fill="FFFFFF"/>
        </w:rPr>
        <w:t>[36</w:t>
      </w:r>
      <w:r w:rsidR="00C53746" w:rsidRPr="00E80AEF">
        <w:rPr>
          <w:rFonts w:ascii="Arial" w:eastAsia="Calibri" w:hAnsi="Arial" w:cs="Arial"/>
          <w:sz w:val="24"/>
          <w:szCs w:val="24"/>
          <w:shd w:val="clear" w:color="auto" w:fill="FFFFFF"/>
        </w:rPr>
        <w:t xml:space="preserve">] </w:t>
      </w:r>
      <w:r w:rsidR="005220DD">
        <w:rPr>
          <w:rFonts w:ascii="Arial" w:eastAsia="Calibri" w:hAnsi="Arial" w:cs="Arial"/>
          <w:sz w:val="24"/>
          <w:szCs w:val="24"/>
          <w:shd w:val="clear" w:color="auto" w:fill="FFFFFF"/>
        </w:rPr>
        <w:tab/>
      </w:r>
      <w:r w:rsidR="00C53746" w:rsidRPr="00E80AEF">
        <w:rPr>
          <w:rFonts w:ascii="Arial" w:eastAsia="Calibri" w:hAnsi="Arial" w:cs="Arial"/>
          <w:sz w:val="24"/>
          <w:szCs w:val="24"/>
          <w:shd w:val="clear" w:color="auto" w:fill="FFFFFF"/>
        </w:rPr>
        <w:t xml:space="preserve">This conclusion then leads to </w:t>
      </w:r>
      <w:r w:rsidR="00C53746" w:rsidRPr="00E80AEF">
        <w:rPr>
          <w:rFonts w:ascii="Arial" w:eastAsia="Calibri" w:hAnsi="Arial" w:cs="Arial"/>
          <w:sz w:val="24"/>
          <w:szCs w:val="24"/>
        </w:rPr>
        <w:t>the second enquiry which is framed as a proviso to the deeming provision in the first part of the sub-section</w:t>
      </w:r>
      <w:r w:rsidRPr="00E80AEF">
        <w:rPr>
          <w:rFonts w:ascii="Arial" w:eastAsia="Calibri" w:hAnsi="Arial" w:cs="Arial"/>
          <w:sz w:val="24"/>
          <w:szCs w:val="24"/>
        </w:rPr>
        <w:t xml:space="preserve"> </w:t>
      </w:r>
      <w:r w:rsidR="00C53746" w:rsidRPr="00E80AEF">
        <w:rPr>
          <w:rFonts w:ascii="Arial" w:eastAsia="Calibri" w:hAnsi="Arial" w:cs="Arial"/>
          <w:sz w:val="24"/>
          <w:szCs w:val="24"/>
        </w:rPr>
        <w:t>[12(3)], that the creditor shall be deemed to have such knowledge if he could have acquired it by the exercise of reasonable care.</w:t>
      </w:r>
    </w:p>
    <w:p w:rsidR="00C53746" w:rsidRPr="00E80AEF" w:rsidRDefault="00C53746" w:rsidP="00C53746">
      <w:pPr>
        <w:spacing w:after="160" w:line="360" w:lineRule="auto"/>
        <w:jc w:val="both"/>
        <w:rPr>
          <w:rFonts w:ascii="Arial" w:hAnsi="Arial" w:cs="Arial"/>
          <w:sz w:val="24"/>
          <w:szCs w:val="24"/>
        </w:rPr>
      </w:pPr>
    </w:p>
    <w:p w:rsidR="00C53746" w:rsidRPr="00C53746" w:rsidRDefault="00F07BD8" w:rsidP="00C53746">
      <w:pPr>
        <w:tabs>
          <w:tab w:val="left" w:pos="720"/>
          <w:tab w:val="left" w:pos="1440"/>
          <w:tab w:val="left" w:pos="2160"/>
          <w:tab w:val="left" w:pos="2880"/>
          <w:tab w:val="left" w:pos="3600"/>
          <w:tab w:val="left" w:pos="4320"/>
          <w:tab w:val="left" w:pos="5040"/>
          <w:tab w:val="left" w:pos="5760"/>
          <w:tab w:val="left" w:pos="6589"/>
        </w:tabs>
        <w:spacing w:after="160" w:line="360" w:lineRule="auto"/>
        <w:jc w:val="both"/>
        <w:rPr>
          <w:rFonts w:ascii="Arial" w:hAnsi="Arial" w:cs="Arial"/>
          <w:sz w:val="24"/>
          <w:szCs w:val="24"/>
        </w:rPr>
      </w:pPr>
      <w:r>
        <w:rPr>
          <w:rFonts w:ascii="Arial" w:hAnsi="Arial" w:cs="Arial"/>
          <w:sz w:val="24"/>
          <w:szCs w:val="24"/>
        </w:rPr>
        <w:t>[37</w:t>
      </w:r>
      <w:r w:rsidR="00C53746" w:rsidRPr="00C53746">
        <w:rPr>
          <w:rFonts w:ascii="Arial" w:hAnsi="Arial" w:cs="Arial"/>
          <w:sz w:val="24"/>
          <w:szCs w:val="24"/>
        </w:rPr>
        <w:t>]</w:t>
      </w:r>
      <w:r w:rsidR="00C53746" w:rsidRPr="00C53746">
        <w:rPr>
          <w:rFonts w:ascii="Arial" w:hAnsi="Arial" w:cs="Arial"/>
          <w:sz w:val="24"/>
          <w:szCs w:val="24"/>
        </w:rPr>
        <w:tab/>
        <w:t xml:space="preserve">Mr du </w:t>
      </w:r>
      <w:proofErr w:type="spellStart"/>
      <w:r w:rsidR="00C53746" w:rsidRPr="00C53746">
        <w:rPr>
          <w:rFonts w:ascii="Arial" w:hAnsi="Arial" w:cs="Arial"/>
          <w:sz w:val="24"/>
          <w:szCs w:val="24"/>
        </w:rPr>
        <w:t>Plooy</w:t>
      </w:r>
      <w:proofErr w:type="spellEnd"/>
      <w:r w:rsidR="00C53746" w:rsidRPr="00C53746">
        <w:rPr>
          <w:rFonts w:ascii="Arial" w:hAnsi="Arial" w:cs="Arial"/>
          <w:sz w:val="24"/>
          <w:szCs w:val="24"/>
        </w:rPr>
        <w:t xml:space="preserve"> testified that an attorney of </w:t>
      </w:r>
      <w:proofErr w:type="spellStart"/>
      <w:r w:rsidR="00C53746" w:rsidRPr="00C53746">
        <w:rPr>
          <w:rFonts w:ascii="Arial" w:hAnsi="Arial" w:cs="Arial"/>
          <w:sz w:val="24"/>
          <w:szCs w:val="24"/>
        </w:rPr>
        <w:t>Werk</w:t>
      </w:r>
      <w:r>
        <w:rPr>
          <w:rFonts w:ascii="Arial" w:hAnsi="Arial" w:cs="Arial"/>
          <w:sz w:val="24"/>
          <w:szCs w:val="24"/>
        </w:rPr>
        <w:t>s</w:t>
      </w:r>
      <w:r w:rsidR="00C53746" w:rsidRPr="00C53746">
        <w:rPr>
          <w:rFonts w:ascii="Arial" w:hAnsi="Arial" w:cs="Arial"/>
          <w:sz w:val="24"/>
          <w:szCs w:val="24"/>
        </w:rPr>
        <w:t>mans</w:t>
      </w:r>
      <w:proofErr w:type="spellEnd"/>
      <w:r w:rsidR="00C53746" w:rsidRPr="00C53746">
        <w:rPr>
          <w:rFonts w:ascii="Arial" w:hAnsi="Arial" w:cs="Arial"/>
          <w:sz w:val="24"/>
          <w:szCs w:val="24"/>
        </w:rPr>
        <w:t xml:space="preserve"> already in 2016 verbally advised him that the agreements were null and void. If that is so then he had the knowledge that there was no basis to pay the repo fees and had the minimum facts required to institute</w:t>
      </w:r>
      <w:r>
        <w:rPr>
          <w:rFonts w:ascii="Arial" w:hAnsi="Arial" w:cs="Arial"/>
          <w:sz w:val="24"/>
          <w:szCs w:val="24"/>
        </w:rPr>
        <w:t xml:space="preserve"> a claim. In Mr D</w:t>
      </w:r>
      <w:r w:rsidR="00C53746" w:rsidRPr="00C53746">
        <w:rPr>
          <w:rFonts w:ascii="Arial" w:hAnsi="Arial" w:cs="Arial"/>
          <w:sz w:val="24"/>
          <w:szCs w:val="24"/>
        </w:rPr>
        <w:t xml:space="preserve">u </w:t>
      </w:r>
      <w:proofErr w:type="spellStart"/>
      <w:r w:rsidR="00C53746" w:rsidRPr="00C53746">
        <w:rPr>
          <w:rFonts w:ascii="Arial" w:hAnsi="Arial" w:cs="Arial"/>
          <w:sz w:val="24"/>
          <w:szCs w:val="24"/>
        </w:rPr>
        <w:t>Plooy’s</w:t>
      </w:r>
      <w:proofErr w:type="spellEnd"/>
      <w:r w:rsidR="00C53746" w:rsidRPr="00C53746">
        <w:rPr>
          <w:rFonts w:ascii="Arial" w:hAnsi="Arial" w:cs="Arial"/>
          <w:sz w:val="24"/>
          <w:szCs w:val="24"/>
        </w:rPr>
        <w:t xml:space="preserve"> email of 13 August 2019 to Mr </w:t>
      </w:r>
      <w:proofErr w:type="spellStart"/>
      <w:r w:rsidR="00C53746" w:rsidRPr="00C53746">
        <w:rPr>
          <w:rFonts w:ascii="Arial" w:hAnsi="Arial" w:cs="Arial"/>
          <w:sz w:val="24"/>
          <w:szCs w:val="24"/>
        </w:rPr>
        <w:t>Samons</w:t>
      </w:r>
      <w:proofErr w:type="spellEnd"/>
      <w:r w:rsidR="00C53746" w:rsidRPr="00C53746">
        <w:rPr>
          <w:rFonts w:ascii="Arial" w:hAnsi="Arial" w:cs="Arial"/>
          <w:sz w:val="24"/>
          <w:szCs w:val="24"/>
        </w:rPr>
        <w:t xml:space="preserve"> of NMFW he set out that he was in 2015 informed by his previous auditor that the repo fee was a “</w:t>
      </w:r>
      <w:proofErr w:type="spellStart"/>
      <w:r w:rsidR="00C53746" w:rsidRPr="00C53746">
        <w:rPr>
          <w:rFonts w:ascii="Arial" w:hAnsi="Arial" w:cs="Arial"/>
          <w:sz w:val="24"/>
          <w:szCs w:val="24"/>
        </w:rPr>
        <w:t>foefie</w:t>
      </w:r>
      <w:proofErr w:type="spellEnd"/>
      <w:r w:rsidR="00C53746" w:rsidRPr="00C53746">
        <w:rPr>
          <w:rFonts w:ascii="Arial" w:hAnsi="Arial" w:cs="Arial"/>
          <w:sz w:val="24"/>
          <w:szCs w:val="24"/>
        </w:rPr>
        <w:t xml:space="preserve"> and a scam.” He then knew it was not due and payable. I am unconvinced by his evidence that the clear language of his email must be interpreted to read in that the “repo fees” actually meant the </w:t>
      </w:r>
      <w:r w:rsidR="009F3ED3">
        <w:rPr>
          <w:rFonts w:ascii="Arial" w:hAnsi="Arial" w:cs="Arial"/>
          <w:sz w:val="24"/>
          <w:szCs w:val="24"/>
        </w:rPr>
        <w:t>“</w:t>
      </w:r>
      <w:r w:rsidR="00C53746" w:rsidRPr="00C53746">
        <w:rPr>
          <w:rFonts w:ascii="Arial" w:hAnsi="Arial" w:cs="Arial"/>
          <w:sz w:val="24"/>
          <w:szCs w:val="24"/>
        </w:rPr>
        <w:t>SPS fees</w:t>
      </w:r>
      <w:r w:rsidR="009F3ED3">
        <w:rPr>
          <w:rFonts w:ascii="Arial" w:hAnsi="Arial" w:cs="Arial"/>
          <w:sz w:val="24"/>
          <w:szCs w:val="24"/>
        </w:rPr>
        <w:t>”</w:t>
      </w:r>
      <w:r w:rsidR="00C53746" w:rsidRPr="00C53746">
        <w:rPr>
          <w:rFonts w:ascii="Arial" w:hAnsi="Arial" w:cs="Arial"/>
          <w:sz w:val="24"/>
          <w:szCs w:val="24"/>
        </w:rPr>
        <w:t xml:space="preserve"> payable to SPS. This is specially so if one has regard to the context and background of the string of emails. His enquiry was about the monthly fee being paid to NFMW, not about the SPS fee paid to SPS. He knew the SPS fee was not paid to NFMW. He was clearly advising NMFW that the auditors had advised him that the repo fee was already identified as a “</w:t>
      </w:r>
      <w:proofErr w:type="spellStart"/>
      <w:r w:rsidR="00C53746" w:rsidRPr="00C53746">
        <w:rPr>
          <w:rFonts w:ascii="Arial" w:hAnsi="Arial" w:cs="Arial"/>
          <w:sz w:val="24"/>
          <w:szCs w:val="24"/>
        </w:rPr>
        <w:t>foefie</w:t>
      </w:r>
      <w:proofErr w:type="spellEnd"/>
      <w:r w:rsidR="00C53746" w:rsidRPr="00C53746">
        <w:rPr>
          <w:rFonts w:ascii="Arial" w:hAnsi="Arial" w:cs="Arial"/>
          <w:sz w:val="24"/>
          <w:szCs w:val="24"/>
        </w:rPr>
        <w:t>” and a scam by the auditors in 2015. He was alerting NMFW what happened with the SPS fee; payment was stopped, and impliedly threatening that this could happen to the repo fee as well. Upon interpreting these</w:t>
      </w:r>
      <w:r>
        <w:rPr>
          <w:rFonts w:ascii="Arial" w:hAnsi="Arial" w:cs="Arial"/>
          <w:sz w:val="24"/>
          <w:szCs w:val="24"/>
        </w:rPr>
        <w:t xml:space="preserve"> emails and the evidence of Mr D</w:t>
      </w:r>
      <w:r w:rsidR="00C53746" w:rsidRPr="00C53746">
        <w:rPr>
          <w:rFonts w:ascii="Arial" w:hAnsi="Arial" w:cs="Arial"/>
          <w:sz w:val="24"/>
          <w:szCs w:val="24"/>
        </w:rPr>
        <w:t xml:space="preserve">u </w:t>
      </w:r>
      <w:proofErr w:type="spellStart"/>
      <w:r w:rsidR="00C53746" w:rsidRPr="00C53746">
        <w:rPr>
          <w:rFonts w:ascii="Arial" w:hAnsi="Arial" w:cs="Arial"/>
          <w:sz w:val="24"/>
          <w:szCs w:val="24"/>
        </w:rPr>
        <w:t>Plooy</w:t>
      </w:r>
      <w:proofErr w:type="spellEnd"/>
      <w:r w:rsidR="00C53746" w:rsidRPr="00C53746">
        <w:rPr>
          <w:rFonts w:ascii="Arial" w:hAnsi="Arial" w:cs="Arial"/>
          <w:sz w:val="24"/>
          <w:szCs w:val="24"/>
        </w:rPr>
        <w:t xml:space="preserve"> thereon the context speaks for itself and the context of the email string must be considered. If consideration is given to the language used with regard to the </w:t>
      </w:r>
      <w:r w:rsidR="00C53746" w:rsidRPr="00C53746">
        <w:rPr>
          <w:rFonts w:ascii="Arial" w:hAnsi="Arial" w:cs="Arial"/>
          <w:sz w:val="24"/>
          <w:szCs w:val="24"/>
        </w:rPr>
        <w:lastRenderedPageBreak/>
        <w:t xml:space="preserve">ordinary rules of grammar and syntax the meaning as testified to by Mr du </w:t>
      </w:r>
      <w:proofErr w:type="spellStart"/>
      <w:r w:rsidR="00C53746" w:rsidRPr="00C53746">
        <w:rPr>
          <w:rFonts w:ascii="Arial" w:hAnsi="Arial" w:cs="Arial"/>
          <w:sz w:val="24"/>
          <w:szCs w:val="24"/>
        </w:rPr>
        <w:t>Plooy</w:t>
      </w:r>
      <w:proofErr w:type="spellEnd"/>
      <w:r w:rsidR="00C53746" w:rsidRPr="00C53746">
        <w:rPr>
          <w:rFonts w:ascii="Arial" w:hAnsi="Arial" w:cs="Arial"/>
          <w:sz w:val="24"/>
          <w:szCs w:val="24"/>
        </w:rPr>
        <w:t xml:space="preserve"> is rejected.</w:t>
      </w:r>
      <w:r w:rsidR="00B629CD">
        <w:rPr>
          <w:rStyle w:val="FootnoteReference"/>
          <w:rFonts w:ascii="Arial" w:hAnsi="Arial" w:cs="Arial"/>
          <w:sz w:val="24"/>
          <w:szCs w:val="24"/>
        </w:rPr>
        <w:footnoteReference w:id="18"/>
      </w:r>
      <w:r w:rsidR="00C53746" w:rsidRPr="00C53746">
        <w:rPr>
          <w:rFonts w:ascii="Arial" w:hAnsi="Arial" w:cs="Arial"/>
          <w:sz w:val="24"/>
          <w:szCs w:val="24"/>
        </w:rPr>
        <w:t xml:space="preserve"> </w:t>
      </w:r>
    </w:p>
    <w:p w:rsidR="00C53746" w:rsidRPr="00C53746" w:rsidRDefault="00C53746" w:rsidP="00C53746">
      <w:pPr>
        <w:tabs>
          <w:tab w:val="left" w:pos="720"/>
          <w:tab w:val="left" w:pos="1440"/>
          <w:tab w:val="left" w:pos="2160"/>
          <w:tab w:val="left" w:pos="2880"/>
          <w:tab w:val="left" w:pos="3600"/>
          <w:tab w:val="left" w:pos="4320"/>
          <w:tab w:val="left" w:pos="5040"/>
          <w:tab w:val="left" w:pos="5760"/>
          <w:tab w:val="left" w:pos="6589"/>
        </w:tabs>
        <w:spacing w:after="160" w:line="360" w:lineRule="auto"/>
        <w:jc w:val="both"/>
        <w:rPr>
          <w:rFonts w:ascii="Arial" w:hAnsi="Arial" w:cs="Arial"/>
          <w:sz w:val="24"/>
          <w:szCs w:val="24"/>
        </w:rPr>
      </w:pPr>
    </w:p>
    <w:p w:rsidR="00C53746" w:rsidRDefault="00EA0AEE" w:rsidP="00C53746">
      <w:pPr>
        <w:tabs>
          <w:tab w:val="left" w:pos="720"/>
          <w:tab w:val="left" w:pos="1440"/>
          <w:tab w:val="left" w:pos="2160"/>
          <w:tab w:val="left" w:pos="2880"/>
          <w:tab w:val="left" w:pos="3600"/>
          <w:tab w:val="left" w:pos="4320"/>
          <w:tab w:val="left" w:pos="5040"/>
          <w:tab w:val="left" w:pos="5760"/>
          <w:tab w:val="left" w:pos="6589"/>
        </w:tabs>
        <w:spacing w:after="160" w:line="360" w:lineRule="auto"/>
        <w:jc w:val="both"/>
        <w:rPr>
          <w:rFonts w:ascii="Arial" w:hAnsi="Arial" w:cs="Arial"/>
          <w:sz w:val="24"/>
          <w:szCs w:val="24"/>
        </w:rPr>
      </w:pPr>
      <w:r>
        <w:rPr>
          <w:rFonts w:ascii="Arial" w:hAnsi="Arial" w:cs="Arial"/>
          <w:sz w:val="24"/>
          <w:szCs w:val="24"/>
        </w:rPr>
        <w:t>[38</w:t>
      </w:r>
      <w:r w:rsidR="00C53746" w:rsidRPr="00C53746">
        <w:rPr>
          <w:rFonts w:ascii="Arial" w:hAnsi="Arial" w:cs="Arial"/>
          <w:sz w:val="24"/>
          <w:szCs w:val="24"/>
        </w:rPr>
        <w:t>]</w:t>
      </w:r>
      <w:r w:rsidR="00C53746" w:rsidRPr="00C53746">
        <w:rPr>
          <w:rFonts w:ascii="Arial" w:hAnsi="Arial" w:cs="Arial"/>
          <w:sz w:val="24"/>
          <w:szCs w:val="24"/>
        </w:rPr>
        <w:tab/>
        <w:t xml:space="preserve">I am satisfied that NMWF disproved that knowledge of the claim only came to Mr du </w:t>
      </w:r>
      <w:proofErr w:type="spellStart"/>
      <w:r w:rsidR="00C53746" w:rsidRPr="00C53746">
        <w:rPr>
          <w:rFonts w:ascii="Arial" w:hAnsi="Arial" w:cs="Arial"/>
          <w:sz w:val="24"/>
          <w:szCs w:val="24"/>
        </w:rPr>
        <w:t>Plooy</w:t>
      </w:r>
      <w:proofErr w:type="spellEnd"/>
      <w:r w:rsidR="00C53746" w:rsidRPr="00C53746">
        <w:rPr>
          <w:rFonts w:ascii="Arial" w:hAnsi="Arial" w:cs="Arial"/>
          <w:sz w:val="24"/>
          <w:szCs w:val="24"/>
        </w:rPr>
        <w:t xml:space="preserve"> on 31 August 2019. By exercising reasonable </w:t>
      </w:r>
      <w:r w:rsidR="004A0F7B" w:rsidRPr="00C53746">
        <w:rPr>
          <w:rFonts w:ascii="Arial" w:hAnsi="Arial" w:cs="Arial"/>
          <w:sz w:val="24"/>
          <w:szCs w:val="24"/>
        </w:rPr>
        <w:t>care,</w:t>
      </w:r>
      <w:r w:rsidR="00C53746" w:rsidRPr="00C53746">
        <w:rPr>
          <w:rFonts w:ascii="Arial" w:hAnsi="Arial" w:cs="Arial"/>
          <w:sz w:val="24"/>
          <w:szCs w:val="24"/>
        </w:rPr>
        <w:t xml:space="preserve"> he would have knowledge, </w:t>
      </w:r>
      <w:r w:rsidR="004A0F7B">
        <w:rPr>
          <w:rFonts w:ascii="Arial" w:hAnsi="Arial" w:cs="Arial"/>
          <w:sz w:val="24"/>
          <w:szCs w:val="24"/>
        </w:rPr>
        <w:t xml:space="preserve">not on 31 August 2019, but </w:t>
      </w:r>
      <w:r w:rsidR="00775069">
        <w:rPr>
          <w:rFonts w:ascii="Arial" w:hAnsi="Arial" w:cs="Arial"/>
          <w:sz w:val="24"/>
          <w:szCs w:val="24"/>
        </w:rPr>
        <w:t>already in 2015 of the</w:t>
      </w:r>
      <w:r w:rsidR="00C53746" w:rsidRPr="00C53746">
        <w:rPr>
          <w:rFonts w:ascii="Arial" w:hAnsi="Arial" w:cs="Arial"/>
          <w:sz w:val="24"/>
          <w:szCs w:val="24"/>
        </w:rPr>
        <w:t xml:space="preserve"> </w:t>
      </w:r>
      <w:proofErr w:type="spellStart"/>
      <w:r w:rsidR="00C53746" w:rsidRPr="00C53746">
        <w:rPr>
          <w:rFonts w:ascii="Arial" w:hAnsi="Arial" w:cs="Arial"/>
          <w:sz w:val="24"/>
          <w:szCs w:val="24"/>
        </w:rPr>
        <w:t>the</w:t>
      </w:r>
      <w:proofErr w:type="spellEnd"/>
      <w:r w:rsidR="00C53746" w:rsidRPr="00C53746">
        <w:rPr>
          <w:rFonts w:ascii="Arial" w:hAnsi="Arial" w:cs="Arial"/>
          <w:sz w:val="24"/>
          <w:szCs w:val="24"/>
        </w:rPr>
        <w:t xml:space="preserve"> minimum fact that no contractual basis existed for the payments of the repo fees. The amounts thus paid by RFS before 7 April 2018 became prescribed when legal proceedings commenced on 8 April 2021.</w:t>
      </w:r>
    </w:p>
    <w:p w:rsidR="00EA0AEE" w:rsidRPr="00C53746" w:rsidRDefault="00EA0AEE" w:rsidP="00C53746">
      <w:pPr>
        <w:tabs>
          <w:tab w:val="left" w:pos="720"/>
          <w:tab w:val="left" w:pos="1440"/>
          <w:tab w:val="left" w:pos="2160"/>
          <w:tab w:val="left" w:pos="2880"/>
          <w:tab w:val="left" w:pos="3600"/>
          <w:tab w:val="left" w:pos="4320"/>
          <w:tab w:val="left" w:pos="5040"/>
          <w:tab w:val="left" w:pos="5760"/>
          <w:tab w:val="left" w:pos="6589"/>
        </w:tabs>
        <w:spacing w:after="160" w:line="360" w:lineRule="auto"/>
        <w:jc w:val="both"/>
        <w:rPr>
          <w:rFonts w:ascii="Arial" w:hAnsi="Arial" w:cs="Arial"/>
          <w:sz w:val="24"/>
          <w:szCs w:val="24"/>
        </w:rPr>
      </w:pPr>
    </w:p>
    <w:p w:rsidR="00C53746" w:rsidRDefault="00EA0AEE" w:rsidP="00C53746">
      <w:pPr>
        <w:tabs>
          <w:tab w:val="left" w:pos="720"/>
          <w:tab w:val="left" w:pos="1440"/>
          <w:tab w:val="left" w:pos="2160"/>
          <w:tab w:val="left" w:pos="2880"/>
          <w:tab w:val="left" w:pos="3600"/>
          <w:tab w:val="left" w:pos="4320"/>
          <w:tab w:val="left" w:pos="5040"/>
          <w:tab w:val="left" w:pos="5760"/>
          <w:tab w:val="left" w:pos="6589"/>
        </w:tabs>
        <w:spacing w:after="160" w:line="360" w:lineRule="auto"/>
        <w:jc w:val="both"/>
        <w:rPr>
          <w:rFonts w:ascii="Arial" w:hAnsi="Arial" w:cs="Arial"/>
          <w:sz w:val="24"/>
          <w:szCs w:val="24"/>
        </w:rPr>
      </w:pPr>
      <w:r>
        <w:rPr>
          <w:rFonts w:ascii="Arial" w:hAnsi="Arial" w:cs="Arial"/>
          <w:sz w:val="24"/>
          <w:szCs w:val="24"/>
        </w:rPr>
        <w:t>[39]</w:t>
      </w:r>
      <w:r w:rsidR="00C53746" w:rsidRPr="00C53746">
        <w:rPr>
          <w:rFonts w:ascii="Arial" w:hAnsi="Arial" w:cs="Arial"/>
          <w:sz w:val="24"/>
          <w:szCs w:val="24"/>
        </w:rPr>
        <w:tab/>
        <w:t>I accordingly make the following order:</w:t>
      </w:r>
    </w:p>
    <w:p w:rsidR="00CB475E" w:rsidRDefault="00CB475E" w:rsidP="00C53746">
      <w:pPr>
        <w:tabs>
          <w:tab w:val="left" w:pos="720"/>
          <w:tab w:val="left" w:pos="1440"/>
          <w:tab w:val="left" w:pos="2160"/>
          <w:tab w:val="left" w:pos="2880"/>
          <w:tab w:val="left" w:pos="3600"/>
          <w:tab w:val="left" w:pos="4320"/>
          <w:tab w:val="left" w:pos="5040"/>
          <w:tab w:val="left" w:pos="5760"/>
          <w:tab w:val="left" w:pos="6589"/>
        </w:tabs>
        <w:spacing w:after="160" w:line="360" w:lineRule="auto"/>
        <w:jc w:val="both"/>
        <w:rPr>
          <w:rFonts w:ascii="Arial" w:hAnsi="Arial" w:cs="Arial"/>
          <w:sz w:val="24"/>
          <w:szCs w:val="24"/>
        </w:rPr>
      </w:pPr>
    </w:p>
    <w:p w:rsidR="00CB475E" w:rsidRDefault="00CB475E" w:rsidP="00CB475E">
      <w:pPr>
        <w:tabs>
          <w:tab w:val="left" w:pos="720"/>
          <w:tab w:val="left" w:pos="1440"/>
          <w:tab w:val="left" w:pos="2160"/>
          <w:tab w:val="left" w:pos="2880"/>
          <w:tab w:val="left" w:pos="3600"/>
          <w:tab w:val="left" w:pos="4320"/>
          <w:tab w:val="left" w:pos="5040"/>
          <w:tab w:val="left" w:pos="5760"/>
          <w:tab w:val="left" w:pos="6589"/>
        </w:tabs>
        <w:spacing w:after="160" w:line="360" w:lineRule="auto"/>
        <w:ind w:left="1440" w:hanging="1440"/>
        <w:jc w:val="both"/>
        <w:rPr>
          <w:rFonts w:ascii="Arial" w:hAnsi="Arial" w:cs="Arial"/>
          <w:sz w:val="24"/>
          <w:szCs w:val="24"/>
        </w:rPr>
      </w:pPr>
      <w:r>
        <w:rPr>
          <w:rFonts w:ascii="Arial" w:hAnsi="Arial" w:cs="Arial"/>
          <w:sz w:val="24"/>
          <w:szCs w:val="24"/>
        </w:rPr>
        <w:tab/>
        <w:t>39.1</w:t>
      </w:r>
      <w:r>
        <w:rPr>
          <w:rFonts w:ascii="Arial" w:hAnsi="Arial" w:cs="Arial"/>
          <w:sz w:val="24"/>
          <w:szCs w:val="24"/>
        </w:rPr>
        <w:tab/>
        <w:t xml:space="preserve">The Defendant </w:t>
      </w:r>
      <w:r w:rsidR="004A0F7B">
        <w:rPr>
          <w:rFonts w:ascii="Arial" w:hAnsi="Arial" w:cs="Arial"/>
          <w:sz w:val="24"/>
          <w:szCs w:val="24"/>
        </w:rPr>
        <w:t>is ordered to pay</w:t>
      </w:r>
      <w:r>
        <w:rPr>
          <w:rFonts w:ascii="Arial" w:hAnsi="Arial" w:cs="Arial"/>
          <w:sz w:val="24"/>
          <w:szCs w:val="24"/>
        </w:rPr>
        <w:t xml:space="preserve"> of an amount in the sum of R2 456 938.91 (Two Million Four Hundred and Fifty Six Thousand Nine Hundred and Thirty Eight Rand and Ninety One Cents) in respect of the capital portion of the Plaintiff’s  claim as is set out in Annexure “A” hereto which stipulates the dates and amounts of payments effected by the Plaintiff to the Defendant between the dates of 8 April 2018, being three years before the service of the summons and 7 April 2021, being the date of the service of the summons.</w:t>
      </w:r>
    </w:p>
    <w:p w:rsidR="00CB475E" w:rsidRDefault="00CB475E" w:rsidP="00CB475E">
      <w:pPr>
        <w:tabs>
          <w:tab w:val="left" w:pos="720"/>
          <w:tab w:val="left" w:pos="1440"/>
          <w:tab w:val="left" w:pos="2160"/>
          <w:tab w:val="left" w:pos="2880"/>
          <w:tab w:val="left" w:pos="3600"/>
          <w:tab w:val="left" w:pos="4320"/>
          <w:tab w:val="left" w:pos="5040"/>
          <w:tab w:val="left" w:pos="5760"/>
          <w:tab w:val="left" w:pos="6589"/>
        </w:tabs>
        <w:spacing w:after="160" w:line="360" w:lineRule="auto"/>
        <w:ind w:left="1440" w:hanging="1440"/>
        <w:jc w:val="both"/>
        <w:rPr>
          <w:rFonts w:ascii="Arial" w:hAnsi="Arial" w:cs="Arial"/>
          <w:sz w:val="24"/>
          <w:szCs w:val="24"/>
        </w:rPr>
      </w:pPr>
      <w:r>
        <w:rPr>
          <w:rFonts w:ascii="Arial" w:hAnsi="Arial" w:cs="Arial"/>
          <w:sz w:val="24"/>
          <w:szCs w:val="24"/>
        </w:rPr>
        <w:tab/>
        <w:t>3</w:t>
      </w:r>
      <w:r w:rsidR="007E5DDB">
        <w:rPr>
          <w:rFonts w:ascii="Arial" w:hAnsi="Arial" w:cs="Arial"/>
          <w:sz w:val="24"/>
          <w:szCs w:val="24"/>
        </w:rPr>
        <w:t>9.2</w:t>
      </w:r>
      <w:r w:rsidR="007E5DDB">
        <w:rPr>
          <w:rFonts w:ascii="Arial" w:hAnsi="Arial" w:cs="Arial"/>
          <w:sz w:val="24"/>
          <w:szCs w:val="24"/>
        </w:rPr>
        <w:tab/>
        <w:t>The Defendant is ordered</w:t>
      </w:r>
      <w:r>
        <w:rPr>
          <w:rFonts w:ascii="Arial" w:hAnsi="Arial" w:cs="Arial"/>
          <w:sz w:val="24"/>
          <w:szCs w:val="24"/>
        </w:rPr>
        <w:t xml:space="preserve"> to pay to the Plaintiff interest on the amounts listed in Annexure “A” from the date that each such payments were received by the Plaintiff until the date of payment, calculated as provided for in the Prescribed Rate of Interest Act, No. 55 of 1975 (as amended).</w:t>
      </w:r>
    </w:p>
    <w:p w:rsidR="00CB475E" w:rsidRDefault="00CB475E" w:rsidP="00CB475E">
      <w:pPr>
        <w:tabs>
          <w:tab w:val="left" w:pos="720"/>
          <w:tab w:val="left" w:pos="1440"/>
          <w:tab w:val="left" w:pos="2160"/>
          <w:tab w:val="left" w:pos="2880"/>
          <w:tab w:val="left" w:pos="3600"/>
          <w:tab w:val="left" w:pos="4320"/>
          <w:tab w:val="left" w:pos="5040"/>
          <w:tab w:val="left" w:pos="5760"/>
          <w:tab w:val="left" w:pos="6589"/>
        </w:tabs>
        <w:spacing w:after="160" w:line="360" w:lineRule="auto"/>
        <w:ind w:left="1440" w:hanging="1440"/>
        <w:jc w:val="both"/>
        <w:rPr>
          <w:rFonts w:ascii="Arial" w:hAnsi="Arial" w:cs="Arial"/>
          <w:sz w:val="24"/>
          <w:szCs w:val="24"/>
        </w:rPr>
      </w:pPr>
      <w:r>
        <w:rPr>
          <w:rFonts w:ascii="Arial" w:hAnsi="Arial" w:cs="Arial"/>
          <w:sz w:val="24"/>
          <w:szCs w:val="24"/>
        </w:rPr>
        <w:tab/>
        <w:t>39.</w:t>
      </w:r>
      <w:r w:rsidR="00B950FF">
        <w:rPr>
          <w:rFonts w:ascii="Arial" w:hAnsi="Arial" w:cs="Arial"/>
          <w:sz w:val="24"/>
          <w:szCs w:val="24"/>
        </w:rPr>
        <w:t>3</w:t>
      </w:r>
      <w:r w:rsidR="00B950FF">
        <w:rPr>
          <w:rFonts w:ascii="Arial" w:hAnsi="Arial" w:cs="Arial"/>
          <w:sz w:val="24"/>
          <w:szCs w:val="24"/>
        </w:rPr>
        <w:tab/>
        <w:t xml:space="preserve">The Defendant is ordered </w:t>
      </w:r>
      <w:r>
        <w:rPr>
          <w:rFonts w:ascii="Arial" w:hAnsi="Arial" w:cs="Arial"/>
          <w:sz w:val="24"/>
          <w:szCs w:val="24"/>
        </w:rPr>
        <w:t xml:space="preserve">to pay the Plaintiff’s taxed or agreed party and party costs incurred until the date of this offer to settle.  The Defendant’s tender for payment of the stipulated costs incurred by the Plaintiff </w:t>
      </w:r>
      <w:r>
        <w:rPr>
          <w:rFonts w:ascii="Arial" w:hAnsi="Arial" w:cs="Arial"/>
          <w:sz w:val="24"/>
          <w:szCs w:val="24"/>
        </w:rPr>
        <w:lastRenderedPageBreak/>
        <w:t>excludes any costs incurred by the Plaintiff in respect of the Plaintiff’s Application to Compel, dated 8 August 2022.</w:t>
      </w:r>
    </w:p>
    <w:p w:rsidR="00CB475E" w:rsidRPr="00C53746" w:rsidRDefault="00CB475E" w:rsidP="00C53746">
      <w:pPr>
        <w:tabs>
          <w:tab w:val="left" w:pos="720"/>
          <w:tab w:val="left" w:pos="1440"/>
          <w:tab w:val="left" w:pos="2160"/>
          <w:tab w:val="left" w:pos="2880"/>
          <w:tab w:val="left" w:pos="3600"/>
          <w:tab w:val="left" w:pos="4320"/>
          <w:tab w:val="left" w:pos="5040"/>
          <w:tab w:val="left" w:pos="5760"/>
          <w:tab w:val="left" w:pos="6589"/>
        </w:tabs>
        <w:spacing w:after="160" w:line="360" w:lineRule="auto"/>
        <w:jc w:val="both"/>
        <w:rPr>
          <w:rFonts w:ascii="Arial" w:hAnsi="Arial" w:cs="Arial"/>
          <w:sz w:val="24"/>
          <w:szCs w:val="24"/>
        </w:rPr>
      </w:pPr>
      <w:r>
        <w:rPr>
          <w:rFonts w:ascii="Arial" w:hAnsi="Arial" w:cs="Arial"/>
          <w:sz w:val="24"/>
          <w:szCs w:val="24"/>
        </w:rPr>
        <w:tab/>
      </w:r>
    </w:p>
    <w:p w:rsidR="00C07B66" w:rsidRPr="00C53746" w:rsidRDefault="00C07B66" w:rsidP="00C53746">
      <w:pPr>
        <w:spacing w:line="360" w:lineRule="auto"/>
        <w:rPr>
          <w:rFonts w:ascii="Arial" w:hAnsi="Arial" w:cs="Arial"/>
          <w:sz w:val="24"/>
          <w:szCs w:val="24"/>
        </w:rPr>
      </w:pPr>
    </w:p>
    <w:p w:rsidR="00C07B66" w:rsidRPr="00C53746" w:rsidRDefault="00C07B66" w:rsidP="00C53746">
      <w:pPr>
        <w:spacing w:line="360" w:lineRule="auto"/>
        <w:jc w:val="right"/>
        <w:rPr>
          <w:rFonts w:ascii="Arial" w:eastAsia="Calibri" w:hAnsi="Arial" w:cs="Arial"/>
          <w:sz w:val="24"/>
          <w:szCs w:val="24"/>
        </w:rPr>
      </w:pPr>
      <w:r w:rsidRPr="00C53746">
        <w:rPr>
          <w:rFonts w:ascii="Arial" w:eastAsia="Calibri" w:hAnsi="Arial" w:cs="Arial"/>
          <w:b/>
          <w:sz w:val="24"/>
          <w:szCs w:val="24"/>
        </w:rPr>
        <w:t>_</w:t>
      </w:r>
      <w:bookmarkStart w:id="0" w:name="_GoBack"/>
      <w:bookmarkEnd w:id="0"/>
      <w:r w:rsidRPr="00C53746">
        <w:rPr>
          <w:rFonts w:ascii="Arial" w:eastAsia="Calibri" w:hAnsi="Arial" w:cs="Arial"/>
          <w:b/>
          <w:sz w:val="24"/>
          <w:szCs w:val="24"/>
        </w:rPr>
        <w:t>_________________</w:t>
      </w:r>
    </w:p>
    <w:p w:rsidR="00C07B66" w:rsidRPr="00C53746" w:rsidRDefault="00C07B66" w:rsidP="00C53746">
      <w:pPr>
        <w:spacing w:line="360" w:lineRule="auto"/>
        <w:jc w:val="right"/>
        <w:rPr>
          <w:rFonts w:ascii="Arial" w:eastAsia="Calibri" w:hAnsi="Arial" w:cs="Arial"/>
          <w:b/>
          <w:sz w:val="24"/>
          <w:szCs w:val="24"/>
        </w:rPr>
      </w:pPr>
      <w:r w:rsidRPr="00C53746">
        <w:rPr>
          <w:rFonts w:ascii="Arial" w:eastAsia="Calibri" w:hAnsi="Arial" w:cs="Arial"/>
          <w:b/>
          <w:sz w:val="24"/>
          <w:szCs w:val="24"/>
        </w:rPr>
        <w:t>S. POTTERILL</w:t>
      </w:r>
    </w:p>
    <w:p w:rsidR="00C07B66" w:rsidRPr="00C53746" w:rsidRDefault="00C07B66" w:rsidP="00C53746">
      <w:pPr>
        <w:spacing w:line="360" w:lineRule="auto"/>
        <w:jc w:val="right"/>
        <w:rPr>
          <w:rFonts w:ascii="Arial" w:eastAsia="Calibri" w:hAnsi="Arial" w:cs="Arial"/>
          <w:b/>
          <w:sz w:val="24"/>
          <w:szCs w:val="24"/>
        </w:rPr>
      </w:pPr>
      <w:r w:rsidRPr="00C53746">
        <w:rPr>
          <w:rFonts w:ascii="Arial" w:eastAsia="Calibri" w:hAnsi="Arial" w:cs="Arial"/>
          <w:b/>
          <w:sz w:val="24"/>
          <w:szCs w:val="24"/>
        </w:rPr>
        <w:t>JUDGE OF THE HIGH COURT</w:t>
      </w:r>
    </w:p>
    <w:p w:rsidR="00C07B66" w:rsidRPr="00C53746" w:rsidRDefault="00C07B66" w:rsidP="00C53746">
      <w:pPr>
        <w:spacing w:line="360" w:lineRule="auto"/>
        <w:rPr>
          <w:rFonts w:ascii="Arial" w:eastAsia="Calibri" w:hAnsi="Arial" w:cs="Arial"/>
          <w:sz w:val="24"/>
          <w:szCs w:val="24"/>
        </w:rPr>
      </w:pPr>
    </w:p>
    <w:p w:rsidR="00EA6305" w:rsidRDefault="00EA6305">
      <w:pPr>
        <w:spacing w:after="160" w:line="259" w:lineRule="auto"/>
        <w:rPr>
          <w:rFonts w:ascii="Arial" w:eastAsia="Calibri" w:hAnsi="Arial" w:cs="Arial"/>
          <w:sz w:val="24"/>
          <w:szCs w:val="24"/>
        </w:rPr>
      </w:pPr>
      <w:r>
        <w:rPr>
          <w:rFonts w:ascii="Arial" w:eastAsia="Calibri" w:hAnsi="Arial" w:cs="Arial"/>
          <w:sz w:val="24"/>
          <w:szCs w:val="24"/>
        </w:rPr>
        <w:br w:type="page"/>
      </w:r>
    </w:p>
    <w:p w:rsidR="00C07B66" w:rsidRPr="00C53746" w:rsidRDefault="00C07B66" w:rsidP="00C53746">
      <w:pPr>
        <w:spacing w:line="360" w:lineRule="auto"/>
        <w:rPr>
          <w:rFonts w:ascii="Arial" w:eastAsia="Calibri" w:hAnsi="Arial" w:cs="Arial"/>
          <w:sz w:val="24"/>
          <w:szCs w:val="24"/>
        </w:rPr>
      </w:pPr>
      <w:r w:rsidRPr="00C53746">
        <w:rPr>
          <w:rFonts w:ascii="Arial" w:eastAsia="Calibri" w:hAnsi="Arial" w:cs="Arial"/>
          <w:sz w:val="24"/>
          <w:szCs w:val="24"/>
        </w:rPr>
        <w:lastRenderedPageBreak/>
        <w:t>CASE NO:</w:t>
      </w:r>
      <w:r w:rsidR="00CB475E">
        <w:rPr>
          <w:rFonts w:ascii="Arial" w:eastAsia="Calibri" w:hAnsi="Arial" w:cs="Arial"/>
          <w:sz w:val="24"/>
          <w:szCs w:val="24"/>
        </w:rPr>
        <w:t xml:space="preserve">  15023/2021</w:t>
      </w:r>
    </w:p>
    <w:p w:rsidR="00C07B66" w:rsidRPr="00C53746" w:rsidRDefault="00C07B66" w:rsidP="00C53746">
      <w:pPr>
        <w:spacing w:line="360" w:lineRule="auto"/>
        <w:rPr>
          <w:rFonts w:ascii="Arial" w:eastAsia="Calibri" w:hAnsi="Arial" w:cs="Arial"/>
          <w:sz w:val="24"/>
          <w:szCs w:val="24"/>
        </w:rPr>
      </w:pPr>
    </w:p>
    <w:p w:rsidR="00C07B66" w:rsidRPr="00C53746" w:rsidRDefault="00C07B66" w:rsidP="00C53746">
      <w:pPr>
        <w:spacing w:line="360" w:lineRule="auto"/>
        <w:rPr>
          <w:rFonts w:ascii="Arial" w:eastAsia="Calibri" w:hAnsi="Arial" w:cs="Arial"/>
          <w:sz w:val="24"/>
          <w:szCs w:val="24"/>
        </w:rPr>
      </w:pPr>
      <w:r w:rsidRPr="00C53746">
        <w:rPr>
          <w:rFonts w:ascii="Arial" w:eastAsia="Calibri" w:hAnsi="Arial" w:cs="Arial"/>
          <w:sz w:val="24"/>
          <w:szCs w:val="24"/>
        </w:rPr>
        <w:t xml:space="preserve">HEARD ON:    </w:t>
      </w:r>
      <w:r w:rsidR="00431EE0">
        <w:rPr>
          <w:rFonts w:ascii="Arial" w:eastAsia="Calibri" w:hAnsi="Arial" w:cs="Arial"/>
          <w:sz w:val="24"/>
          <w:szCs w:val="24"/>
        </w:rPr>
        <w:t>2-3 OCTOBER 2023</w:t>
      </w:r>
    </w:p>
    <w:p w:rsidR="00C07B66" w:rsidRPr="00C53746" w:rsidRDefault="00C07B66" w:rsidP="00C53746">
      <w:pPr>
        <w:spacing w:line="360" w:lineRule="auto"/>
        <w:rPr>
          <w:rFonts w:ascii="Arial" w:eastAsia="Calibri" w:hAnsi="Arial" w:cs="Arial"/>
          <w:sz w:val="24"/>
          <w:szCs w:val="24"/>
        </w:rPr>
      </w:pPr>
    </w:p>
    <w:p w:rsidR="00C07B66" w:rsidRDefault="00B12060" w:rsidP="00C53746">
      <w:pPr>
        <w:spacing w:line="360" w:lineRule="auto"/>
        <w:rPr>
          <w:rFonts w:ascii="Arial" w:eastAsia="Calibri" w:hAnsi="Arial" w:cs="Arial"/>
          <w:sz w:val="24"/>
          <w:szCs w:val="24"/>
        </w:rPr>
      </w:pPr>
      <w:r>
        <w:rPr>
          <w:rFonts w:ascii="Arial" w:eastAsia="Calibri" w:hAnsi="Arial" w:cs="Arial"/>
          <w:sz w:val="24"/>
          <w:szCs w:val="24"/>
        </w:rPr>
        <w:t xml:space="preserve">FOR THE </w:t>
      </w:r>
      <w:r w:rsidR="00C07B66" w:rsidRPr="00C53746">
        <w:rPr>
          <w:rFonts w:ascii="Arial" w:eastAsia="Calibri" w:hAnsi="Arial" w:cs="Arial"/>
          <w:sz w:val="24"/>
          <w:szCs w:val="24"/>
        </w:rPr>
        <w:t xml:space="preserve">PLAINTIFF:  ADV. </w:t>
      </w:r>
      <w:r>
        <w:rPr>
          <w:rFonts w:ascii="Arial" w:eastAsia="Calibri" w:hAnsi="Arial" w:cs="Arial"/>
          <w:sz w:val="24"/>
          <w:szCs w:val="24"/>
        </w:rPr>
        <w:t>M. SNYMAN SC</w:t>
      </w:r>
    </w:p>
    <w:p w:rsidR="00431EE0" w:rsidRPr="00C53746" w:rsidRDefault="00431EE0" w:rsidP="00C53746">
      <w:pPr>
        <w:spacing w:line="36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ADV. N. NORTJE</w:t>
      </w:r>
    </w:p>
    <w:p w:rsidR="00C07B66" w:rsidRPr="00C53746" w:rsidRDefault="00C07B66" w:rsidP="00C53746">
      <w:pPr>
        <w:spacing w:line="360" w:lineRule="auto"/>
        <w:rPr>
          <w:rFonts w:ascii="Arial" w:eastAsia="Calibri" w:hAnsi="Arial" w:cs="Arial"/>
          <w:sz w:val="24"/>
          <w:szCs w:val="24"/>
        </w:rPr>
      </w:pPr>
    </w:p>
    <w:p w:rsidR="00C07B66" w:rsidRPr="00C53746" w:rsidRDefault="00C07B66" w:rsidP="00C53746">
      <w:pPr>
        <w:spacing w:line="360" w:lineRule="auto"/>
        <w:rPr>
          <w:rFonts w:ascii="Arial" w:eastAsia="Calibri" w:hAnsi="Arial" w:cs="Arial"/>
          <w:sz w:val="24"/>
          <w:szCs w:val="24"/>
        </w:rPr>
      </w:pPr>
      <w:r w:rsidRPr="00C53746">
        <w:rPr>
          <w:rFonts w:ascii="Arial" w:eastAsia="Calibri" w:hAnsi="Arial" w:cs="Arial"/>
          <w:sz w:val="24"/>
          <w:szCs w:val="24"/>
        </w:rPr>
        <w:t xml:space="preserve">INSTRUCTED BY:  </w:t>
      </w:r>
      <w:r w:rsidR="0089458F">
        <w:rPr>
          <w:rFonts w:ascii="Arial" w:eastAsia="Calibri" w:hAnsi="Arial" w:cs="Arial"/>
          <w:sz w:val="24"/>
          <w:szCs w:val="24"/>
        </w:rPr>
        <w:t xml:space="preserve">ML </w:t>
      </w:r>
      <w:proofErr w:type="spellStart"/>
      <w:r w:rsidR="0089458F">
        <w:rPr>
          <w:rFonts w:ascii="Arial" w:eastAsia="Calibri" w:hAnsi="Arial" w:cs="Arial"/>
          <w:sz w:val="24"/>
          <w:szCs w:val="24"/>
        </w:rPr>
        <w:t>Schoeman</w:t>
      </w:r>
      <w:proofErr w:type="spellEnd"/>
      <w:r w:rsidR="0089458F">
        <w:rPr>
          <w:rFonts w:ascii="Arial" w:eastAsia="Calibri" w:hAnsi="Arial" w:cs="Arial"/>
          <w:sz w:val="24"/>
          <w:szCs w:val="24"/>
        </w:rPr>
        <w:t xml:space="preserve"> Attorneys Incorporated</w:t>
      </w:r>
    </w:p>
    <w:p w:rsidR="00C07B66" w:rsidRPr="00C53746" w:rsidRDefault="00C07B66" w:rsidP="00C53746">
      <w:pPr>
        <w:spacing w:line="360" w:lineRule="auto"/>
        <w:rPr>
          <w:rFonts w:ascii="Arial" w:eastAsia="Calibri" w:hAnsi="Arial" w:cs="Arial"/>
          <w:sz w:val="24"/>
          <w:szCs w:val="24"/>
        </w:rPr>
      </w:pPr>
    </w:p>
    <w:p w:rsidR="00C07B66" w:rsidRPr="00C53746" w:rsidRDefault="00B12060" w:rsidP="00C53746">
      <w:pPr>
        <w:spacing w:line="360" w:lineRule="auto"/>
        <w:rPr>
          <w:rFonts w:ascii="Arial" w:eastAsia="Calibri" w:hAnsi="Arial" w:cs="Arial"/>
          <w:sz w:val="24"/>
          <w:szCs w:val="24"/>
        </w:rPr>
      </w:pPr>
      <w:r>
        <w:rPr>
          <w:rFonts w:ascii="Arial" w:eastAsia="Calibri" w:hAnsi="Arial" w:cs="Arial"/>
          <w:sz w:val="24"/>
          <w:szCs w:val="24"/>
        </w:rPr>
        <w:t>FOR THE DEFENDANT:  ADV. P.G. CILLIERS SC</w:t>
      </w:r>
    </w:p>
    <w:p w:rsidR="00C07B66" w:rsidRPr="00C53746" w:rsidRDefault="00C07B66" w:rsidP="00C53746">
      <w:pPr>
        <w:spacing w:line="360" w:lineRule="auto"/>
        <w:rPr>
          <w:rFonts w:ascii="Arial" w:eastAsia="Calibri" w:hAnsi="Arial" w:cs="Arial"/>
          <w:sz w:val="24"/>
          <w:szCs w:val="24"/>
        </w:rPr>
      </w:pPr>
    </w:p>
    <w:p w:rsidR="00C07B66" w:rsidRPr="00C53746" w:rsidRDefault="00C07B66" w:rsidP="00C53746">
      <w:pPr>
        <w:spacing w:line="360" w:lineRule="auto"/>
        <w:rPr>
          <w:rFonts w:ascii="Arial" w:eastAsia="Calibri" w:hAnsi="Arial" w:cs="Arial"/>
          <w:sz w:val="24"/>
          <w:szCs w:val="24"/>
        </w:rPr>
      </w:pPr>
      <w:r w:rsidRPr="00C53746">
        <w:rPr>
          <w:rFonts w:ascii="Arial" w:eastAsia="Calibri" w:hAnsi="Arial" w:cs="Arial"/>
          <w:sz w:val="24"/>
          <w:szCs w:val="24"/>
        </w:rPr>
        <w:t xml:space="preserve">INSTRUCTED BY:  </w:t>
      </w:r>
      <w:r w:rsidR="0089458F">
        <w:rPr>
          <w:rFonts w:ascii="Arial" w:eastAsia="Calibri" w:hAnsi="Arial" w:cs="Arial"/>
          <w:sz w:val="24"/>
          <w:szCs w:val="24"/>
        </w:rPr>
        <w:t>Nysschen Attorneys</w:t>
      </w:r>
    </w:p>
    <w:p w:rsidR="00C07B66" w:rsidRPr="00C53746" w:rsidRDefault="00C07B66" w:rsidP="00C53746">
      <w:pPr>
        <w:spacing w:line="360" w:lineRule="auto"/>
        <w:rPr>
          <w:rFonts w:ascii="Arial" w:eastAsia="Calibri" w:hAnsi="Arial" w:cs="Arial"/>
          <w:sz w:val="24"/>
          <w:szCs w:val="24"/>
        </w:rPr>
      </w:pPr>
    </w:p>
    <w:p w:rsidR="00C07B66" w:rsidRPr="00C53746" w:rsidRDefault="005220DD" w:rsidP="00C53746">
      <w:pPr>
        <w:spacing w:line="360" w:lineRule="auto"/>
        <w:rPr>
          <w:rFonts w:ascii="Arial" w:eastAsia="Calibri" w:hAnsi="Arial" w:cs="Arial"/>
          <w:sz w:val="24"/>
          <w:szCs w:val="24"/>
        </w:rPr>
      </w:pPr>
      <w:r>
        <w:rPr>
          <w:rFonts w:ascii="Arial" w:eastAsia="Calibri" w:hAnsi="Arial" w:cs="Arial"/>
          <w:sz w:val="24"/>
          <w:szCs w:val="24"/>
        </w:rPr>
        <w:t>DATE OF JUDGMENT:  12 December 2023</w:t>
      </w:r>
    </w:p>
    <w:p w:rsidR="00C07B66" w:rsidRPr="00C53746" w:rsidRDefault="00C07B66" w:rsidP="00C53746">
      <w:pPr>
        <w:spacing w:line="360" w:lineRule="auto"/>
        <w:rPr>
          <w:rFonts w:ascii="Arial" w:hAnsi="Arial" w:cs="Arial"/>
          <w:sz w:val="24"/>
          <w:szCs w:val="24"/>
        </w:rPr>
      </w:pPr>
    </w:p>
    <w:p w:rsidR="00C07B66" w:rsidRPr="00C53746" w:rsidRDefault="00C07B66" w:rsidP="00C53746">
      <w:pPr>
        <w:spacing w:line="360" w:lineRule="auto"/>
        <w:rPr>
          <w:rFonts w:ascii="Arial" w:hAnsi="Arial" w:cs="Arial"/>
          <w:b/>
          <w:sz w:val="24"/>
          <w:szCs w:val="24"/>
        </w:rPr>
      </w:pPr>
    </w:p>
    <w:p w:rsidR="00346237" w:rsidRPr="00C53746" w:rsidRDefault="00346237" w:rsidP="00C53746">
      <w:pPr>
        <w:spacing w:line="360" w:lineRule="auto"/>
        <w:rPr>
          <w:rFonts w:ascii="Arial" w:hAnsi="Arial" w:cs="Arial"/>
          <w:sz w:val="24"/>
          <w:szCs w:val="24"/>
        </w:rPr>
      </w:pPr>
    </w:p>
    <w:sectPr w:rsidR="00346237" w:rsidRPr="00C5374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62" w:rsidRDefault="00067862" w:rsidP="00C53746">
      <w:pPr>
        <w:spacing w:after="0" w:line="240" w:lineRule="auto"/>
      </w:pPr>
      <w:r>
        <w:separator/>
      </w:r>
    </w:p>
  </w:endnote>
  <w:endnote w:type="continuationSeparator" w:id="0">
    <w:p w:rsidR="00067862" w:rsidRDefault="00067862" w:rsidP="00C5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62" w:rsidRDefault="00067862" w:rsidP="00C53746">
      <w:pPr>
        <w:spacing w:after="0" w:line="240" w:lineRule="auto"/>
      </w:pPr>
      <w:r>
        <w:separator/>
      </w:r>
    </w:p>
  </w:footnote>
  <w:footnote w:type="continuationSeparator" w:id="0">
    <w:p w:rsidR="00067862" w:rsidRDefault="00067862" w:rsidP="00C53746">
      <w:pPr>
        <w:spacing w:after="0" w:line="240" w:lineRule="auto"/>
      </w:pPr>
      <w:r>
        <w:continuationSeparator/>
      </w:r>
    </w:p>
  </w:footnote>
  <w:footnote w:id="1">
    <w:p w:rsidR="00346237" w:rsidRDefault="00346237">
      <w:pPr>
        <w:pStyle w:val="FootnoteText"/>
      </w:pPr>
      <w:r>
        <w:rPr>
          <w:rStyle w:val="FootnoteReference"/>
        </w:rPr>
        <w:footnoteRef/>
      </w:r>
      <w:r>
        <w:t xml:space="preserve"> (428/2021) [2022] ZASCA 155 (7 November 2022) </w:t>
      </w:r>
    </w:p>
  </w:footnote>
  <w:footnote w:id="2">
    <w:p w:rsidR="00346237" w:rsidRDefault="00346237">
      <w:pPr>
        <w:pStyle w:val="FootnoteText"/>
      </w:pPr>
      <w:r>
        <w:rPr>
          <w:rStyle w:val="FootnoteReference"/>
        </w:rPr>
        <w:footnoteRef/>
      </w:r>
      <w:r w:rsidRPr="00A45ACE">
        <w:rPr>
          <w:i/>
        </w:rPr>
        <w:t xml:space="preserve"> Hurst, </w:t>
      </w:r>
      <w:proofErr w:type="spellStart"/>
      <w:r w:rsidRPr="00A45ACE">
        <w:rPr>
          <w:i/>
        </w:rPr>
        <w:t>Gunson</w:t>
      </w:r>
      <w:proofErr w:type="spellEnd"/>
      <w:r w:rsidRPr="00A45ACE">
        <w:rPr>
          <w:i/>
        </w:rPr>
        <w:t xml:space="preserve">, Cooper, Taber Ltd </w:t>
      </w:r>
      <w:proofErr w:type="gramStart"/>
      <w:r w:rsidRPr="00A45ACE">
        <w:rPr>
          <w:i/>
        </w:rPr>
        <w:t>v</w:t>
      </w:r>
      <w:proofErr w:type="gramEnd"/>
      <w:r w:rsidRPr="00A45ACE">
        <w:rPr>
          <w:i/>
        </w:rPr>
        <w:t xml:space="preserve"> Agricultural Supply Association (Pty) Ltd </w:t>
      </w:r>
      <w:r>
        <w:t>1965 (1) SA 48 (W) at 52</w:t>
      </w:r>
    </w:p>
  </w:footnote>
  <w:footnote w:id="3">
    <w:p w:rsidR="00346237" w:rsidRPr="001873CA" w:rsidRDefault="00346237">
      <w:pPr>
        <w:pStyle w:val="FootnoteText"/>
        <w:rPr>
          <w:i/>
        </w:rPr>
      </w:pPr>
      <w:r>
        <w:rPr>
          <w:rStyle w:val="FootnoteReference"/>
        </w:rPr>
        <w:footnoteRef/>
      </w:r>
      <w:r>
        <w:t xml:space="preserve"> </w:t>
      </w:r>
      <w:r w:rsidRPr="00A45ACE">
        <w:rPr>
          <w:i/>
        </w:rPr>
        <w:t>Hurst</w:t>
      </w:r>
      <w:r>
        <w:t xml:space="preserve"> </w:t>
      </w:r>
      <w:r>
        <w:rPr>
          <w:i/>
        </w:rPr>
        <w:t>ibid</w:t>
      </w:r>
    </w:p>
  </w:footnote>
  <w:footnote w:id="4">
    <w:p w:rsidR="00346237" w:rsidRDefault="00346237">
      <w:pPr>
        <w:pStyle w:val="FootnoteText"/>
      </w:pPr>
      <w:r>
        <w:rPr>
          <w:rStyle w:val="FootnoteReference"/>
        </w:rPr>
        <w:footnoteRef/>
      </w:r>
      <w:r>
        <w:t xml:space="preserve"> See </w:t>
      </w:r>
      <w:r w:rsidRPr="00A45ACE">
        <w:rPr>
          <w:i/>
        </w:rPr>
        <w:t>Links v Member of the Executive Council, Department of Health, Northern Cape Province</w:t>
      </w:r>
      <w:r>
        <w:t xml:space="preserve"> [2016] ZACC </w:t>
      </w:r>
      <w:proofErr w:type="gramStart"/>
      <w:r>
        <w:t>10;  2016</w:t>
      </w:r>
      <w:proofErr w:type="gramEnd"/>
      <w:r>
        <w:t xml:space="preserve"> (4) SA 414 (CC);  2016 (5) BCLR 656 (CC) para 24</w:t>
      </w:r>
    </w:p>
  </w:footnote>
  <w:footnote w:id="5">
    <w:p w:rsidR="00346237" w:rsidRDefault="00346237">
      <w:pPr>
        <w:pStyle w:val="FootnoteText"/>
      </w:pPr>
      <w:r>
        <w:rPr>
          <w:rStyle w:val="FootnoteReference"/>
        </w:rPr>
        <w:footnoteRef/>
      </w:r>
      <w:r w:rsidRPr="00A45ACE">
        <w:rPr>
          <w:i/>
        </w:rPr>
        <w:t xml:space="preserve"> MEC for Health, Western Cape v </w:t>
      </w:r>
      <w:proofErr w:type="spellStart"/>
      <w:r w:rsidRPr="00A45ACE">
        <w:rPr>
          <w:i/>
        </w:rPr>
        <w:t>Coboza</w:t>
      </w:r>
      <w:proofErr w:type="spellEnd"/>
      <w:r>
        <w:t xml:space="preserve"> 20202 ZASCA 165 para 13</w:t>
      </w:r>
    </w:p>
  </w:footnote>
  <w:footnote w:id="6">
    <w:p w:rsidR="00346237" w:rsidRPr="0070625A" w:rsidRDefault="00346237">
      <w:pPr>
        <w:pStyle w:val="FootnoteText"/>
      </w:pPr>
      <w:r>
        <w:rPr>
          <w:rStyle w:val="FootnoteReference"/>
        </w:rPr>
        <w:footnoteRef/>
      </w:r>
      <w:r>
        <w:t xml:space="preserve"> </w:t>
      </w:r>
      <w:r>
        <w:rPr>
          <w:i/>
        </w:rPr>
        <w:t xml:space="preserve">Minister of Finance and </w:t>
      </w:r>
      <w:proofErr w:type="gramStart"/>
      <w:r>
        <w:rPr>
          <w:i/>
        </w:rPr>
        <w:t>Others  v</w:t>
      </w:r>
      <w:proofErr w:type="gramEnd"/>
      <w:r>
        <w:rPr>
          <w:i/>
        </w:rPr>
        <w:t xml:space="preserve"> Gore N.O. </w:t>
      </w:r>
      <w:r>
        <w:t>(230/06) [2006] ZASCA 98;  [2007] 1 All SA 309 (SCA);  2007 (1) SA 111 (SCA) (8 September 2006)</w:t>
      </w:r>
    </w:p>
  </w:footnote>
  <w:footnote w:id="7">
    <w:p w:rsidR="00346237" w:rsidRDefault="00346237">
      <w:pPr>
        <w:pStyle w:val="FootnoteText"/>
      </w:pPr>
      <w:r>
        <w:rPr>
          <w:rStyle w:val="FootnoteReference"/>
        </w:rPr>
        <w:footnoteRef/>
      </w:r>
      <w:r>
        <w:t xml:space="preserve"> Par [16]</w:t>
      </w:r>
    </w:p>
  </w:footnote>
  <w:footnote w:id="8">
    <w:p w:rsidR="00A82382" w:rsidRPr="00A82382" w:rsidRDefault="00A82382">
      <w:pPr>
        <w:pStyle w:val="FootnoteText"/>
      </w:pPr>
      <w:r>
        <w:rPr>
          <w:rStyle w:val="FootnoteReference"/>
        </w:rPr>
        <w:footnoteRef/>
      </w:r>
      <w:r>
        <w:t xml:space="preserve"> </w:t>
      </w:r>
      <w:r>
        <w:rPr>
          <w:i/>
        </w:rPr>
        <w:t xml:space="preserve">Minister of Finance and Others v Gore NO </w:t>
      </w:r>
      <w:r>
        <w:t xml:space="preserve">2007 (1) SA 111 (SCA) ([2007] 1 All SA </w:t>
      </w:r>
      <w:proofErr w:type="gramStart"/>
      <w:r>
        <w:t>309;  [</w:t>
      </w:r>
      <w:proofErr w:type="gramEnd"/>
      <w:r>
        <w:t>2006] ZASCA 98)</w:t>
      </w:r>
    </w:p>
  </w:footnote>
  <w:footnote w:id="9">
    <w:p w:rsidR="00FD1B6A" w:rsidRPr="00715107" w:rsidRDefault="00FD1B6A">
      <w:pPr>
        <w:pStyle w:val="FootnoteText"/>
      </w:pPr>
      <w:r>
        <w:rPr>
          <w:rStyle w:val="FootnoteReference"/>
        </w:rPr>
        <w:footnoteRef/>
      </w:r>
      <w:r>
        <w:t xml:space="preserve"> </w:t>
      </w:r>
      <w:r>
        <w:rPr>
          <w:i/>
        </w:rPr>
        <w:t xml:space="preserve">Links v </w:t>
      </w:r>
      <w:r w:rsidR="00715107">
        <w:rPr>
          <w:i/>
        </w:rPr>
        <w:t xml:space="preserve">Department of Health, Northern Province </w:t>
      </w:r>
      <w:r w:rsidR="00715107">
        <w:t xml:space="preserve">2016 (4) SA 414 (CC) (2016 (5) BCLR </w:t>
      </w:r>
      <w:proofErr w:type="gramStart"/>
      <w:r w:rsidR="00715107">
        <w:t>656;  [</w:t>
      </w:r>
      <w:proofErr w:type="gramEnd"/>
      <w:r w:rsidR="00715107">
        <w:t>2016] ZACC 136)</w:t>
      </w:r>
    </w:p>
  </w:footnote>
  <w:footnote w:id="10">
    <w:p w:rsidR="00110217" w:rsidRPr="00570F02" w:rsidRDefault="00110217">
      <w:pPr>
        <w:pStyle w:val="FootnoteText"/>
      </w:pPr>
      <w:r>
        <w:rPr>
          <w:rStyle w:val="FootnoteReference"/>
        </w:rPr>
        <w:footnoteRef/>
      </w:r>
      <w:r>
        <w:t xml:space="preserve"> </w:t>
      </w:r>
      <w:r>
        <w:rPr>
          <w:i/>
        </w:rPr>
        <w:t xml:space="preserve">Minister of Finance and Others v Gore N.O. </w:t>
      </w:r>
      <w:r>
        <w:t xml:space="preserve">(230/06) [2006] ZASCA </w:t>
      </w:r>
      <w:proofErr w:type="gramStart"/>
      <w:r>
        <w:t>98;  [</w:t>
      </w:r>
      <w:proofErr w:type="gramEnd"/>
      <w:r>
        <w:t>2007] 1 All SA 309 (SCA);  2007 (1) SA 111 (SCA) (8 September 2006 par [16]</w:t>
      </w:r>
      <w:r w:rsidR="001C5BF3">
        <w:t xml:space="preserve"> and </w:t>
      </w:r>
      <w:r w:rsidR="001C5BF3">
        <w:rPr>
          <w:i/>
        </w:rPr>
        <w:t xml:space="preserve">Road Accident Fund and Another v </w:t>
      </w:r>
      <w:proofErr w:type="spellStart"/>
      <w:r w:rsidR="001C5BF3">
        <w:rPr>
          <w:i/>
        </w:rPr>
        <w:t>Mdeyide</w:t>
      </w:r>
      <w:proofErr w:type="spellEnd"/>
      <w:r w:rsidR="001C5BF3">
        <w:rPr>
          <w:i/>
        </w:rPr>
        <w:t xml:space="preserve"> </w:t>
      </w:r>
      <w:r w:rsidR="00570F02">
        <w:t>(CCT10/10) [2010] ZACC 18;  2011 (1) BCLR 1 (CC);  2011 (2) SA 26 (CC) (30 September 2010) at para 8</w:t>
      </w:r>
    </w:p>
  </w:footnote>
  <w:footnote w:id="11">
    <w:p w:rsidR="00B22199" w:rsidRPr="00B22199" w:rsidRDefault="00B22199">
      <w:pPr>
        <w:pStyle w:val="FootnoteText"/>
      </w:pPr>
      <w:r>
        <w:rPr>
          <w:rStyle w:val="FootnoteReference"/>
        </w:rPr>
        <w:footnoteRef/>
      </w:r>
      <w:r>
        <w:t xml:space="preserve"> </w:t>
      </w:r>
      <w:proofErr w:type="spellStart"/>
      <w:r>
        <w:rPr>
          <w:i/>
        </w:rPr>
        <w:t>Mtokonya</w:t>
      </w:r>
      <w:proofErr w:type="spellEnd"/>
      <w:r>
        <w:rPr>
          <w:i/>
        </w:rPr>
        <w:t xml:space="preserve"> v Minister of Police </w:t>
      </w:r>
      <w:r>
        <w:t xml:space="preserve">(CCT200/16) [2017] ZACC </w:t>
      </w:r>
      <w:proofErr w:type="gramStart"/>
      <w:r>
        <w:t>33;  2017</w:t>
      </w:r>
      <w:proofErr w:type="gramEnd"/>
      <w:r>
        <w:t xml:space="preserve"> (11) BCLR 1443 (CC);  2018 (5) SA 22 (CC) (19 September 2017)</w:t>
      </w:r>
    </w:p>
  </w:footnote>
  <w:footnote w:id="12">
    <w:p w:rsidR="001C15B5" w:rsidRDefault="001C15B5">
      <w:pPr>
        <w:pStyle w:val="FootnoteText"/>
      </w:pPr>
      <w:r>
        <w:rPr>
          <w:rStyle w:val="FootnoteReference"/>
        </w:rPr>
        <w:footnoteRef/>
      </w:r>
      <w:r>
        <w:t xml:space="preserve"> [2017] 4 All SA 705 (SCA)</w:t>
      </w:r>
    </w:p>
  </w:footnote>
  <w:footnote w:id="13">
    <w:p w:rsidR="001C15B5" w:rsidRDefault="001C15B5">
      <w:pPr>
        <w:pStyle w:val="FootnoteText"/>
      </w:pPr>
      <w:r>
        <w:rPr>
          <w:rStyle w:val="FootnoteReference"/>
        </w:rPr>
        <w:footnoteRef/>
      </w:r>
      <w:r>
        <w:t xml:space="preserve"> Par [61] </w:t>
      </w:r>
    </w:p>
  </w:footnote>
  <w:footnote w:id="14">
    <w:p w:rsidR="0078161D" w:rsidRPr="00BB2083" w:rsidRDefault="0078161D">
      <w:pPr>
        <w:pStyle w:val="FootnoteText"/>
      </w:pPr>
      <w:r>
        <w:rPr>
          <w:rStyle w:val="FootnoteReference"/>
        </w:rPr>
        <w:footnoteRef/>
      </w:r>
      <w:r>
        <w:t xml:space="preserve"> </w:t>
      </w:r>
      <w:proofErr w:type="spellStart"/>
      <w:r>
        <w:rPr>
          <w:i/>
        </w:rPr>
        <w:t>Gericke</w:t>
      </w:r>
      <w:proofErr w:type="spellEnd"/>
      <w:r>
        <w:rPr>
          <w:i/>
        </w:rPr>
        <w:t xml:space="preserve"> v Sa</w:t>
      </w:r>
      <w:r w:rsidR="00BB2083">
        <w:rPr>
          <w:i/>
        </w:rPr>
        <w:t xml:space="preserve">ck </w:t>
      </w:r>
      <w:r w:rsidR="00BB2083">
        <w:t>1978 (1) SA 821 (A)</w:t>
      </w:r>
    </w:p>
  </w:footnote>
  <w:footnote w:id="15">
    <w:p w:rsidR="00BB2083" w:rsidRPr="009A0E3B" w:rsidRDefault="00BB2083">
      <w:pPr>
        <w:pStyle w:val="FootnoteText"/>
      </w:pPr>
      <w:r>
        <w:rPr>
          <w:rStyle w:val="FootnoteReference"/>
        </w:rPr>
        <w:footnoteRef/>
      </w:r>
      <w:r>
        <w:t xml:space="preserve"> </w:t>
      </w:r>
      <w:proofErr w:type="spellStart"/>
      <w:r w:rsidR="009A0E3B">
        <w:rPr>
          <w:i/>
        </w:rPr>
        <w:t>Truter</w:t>
      </w:r>
      <w:proofErr w:type="spellEnd"/>
      <w:r w:rsidR="009A0E3B">
        <w:rPr>
          <w:i/>
        </w:rPr>
        <w:t xml:space="preserve"> and Another v </w:t>
      </w:r>
      <w:proofErr w:type="spellStart"/>
      <w:r w:rsidR="009A0E3B">
        <w:rPr>
          <w:i/>
        </w:rPr>
        <w:t>Deysel</w:t>
      </w:r>
      <w:proofErr w:type="spellEnd"/>
      <w:r w:rsidR="009A0E3B">
        <w:rPr>
          <w:i/>
        </w:rPr>
        <w:t xml:space="preserve"> </w:t>
      </w:r>
      <w:r w:rsidR="009A0E3B">
        <w:t>2006 (4) SA 168 (SCA)</w:t>
      </w:r>
    </w:p>
  </w:footnote>
  <w:footnote w:id="16">
    <w:p w:rsidR="00611F2A" w:rsidRPr="00611F2A" w:rsidRDefault="00611F2A">
      <w:pPr>
        <w:pStyle w:val="FootnoteText"/>
      </w:pPr>
      <w:r>
        <w:rPr>
          <w:rStyle w:val="FootnoteReference"/>
        </w:rPr>
        <w:footnoteRef/>
      </w:r>
      <w:r>
        <w:t xml:space="preserve"> </w:t>
      </w:r>
      <w:r>
        <w:rPr>
          <w:i/>
        </w:rPr>
        <w:t xml:space="preserve">Links </w:t>
      </w:r>
      <w:r>
        <w:t>par 32-35</w:t>
      </w:r>
    </w:p>
  </w:footnote>
  <w:footnote w:id="17">
    <w:p w:rsidR="00435796" w:rsidRPr="00435796" w:rsidRDefault="00435796">
      <w:pPr>
        <w:pStyle w:val="FootnoteText"/>
      </w:pPr>
      <w:r>
        <w:rPr>
          <w:rStyle w:val="FootnoteReference"/>
        </w:rPr>
        <w:footnoteRef/>
      </w:r>
      <w:r>
        <w:t xml:space="preserve"> </w:t>
      </w:r>
      <w:proofErr w:type="spellStart"/>
      <w:r>
        <w:rPr>
          <w:i/>
        </w:rPr>
        <w:t>Fluxmans</w:t>
      </w:r>
      <w:proofErr w:type="spellEnd"/>
      <w:r>
        <w:rPr>
          <w:i/>
        </w:rPr>
        <w:t xml:space="preserve"> </w:t>
      </w:r>
      <w:proofErr w:type="spellStart"/>
      <w:r>
        <w:rPr>
          <w:i/>
        </w:rPr>
        <w:t>Inc</w:t>
      </w:r>
      <w:proofErr w:type="spellEnd"/>
      <w:r>
        <w:rPr>
          <w:i/>
        </w:rPr>
        <w:t xml:space="preserve"> v </w:t>
      </w:r>
      <w:proofErr w:type="spellStart"/>
      <w:r>
        <w:rPr>
          <w:i/>
        </w:rPr>
        <w:t>Levenson</w:t>
      </w:r>
      <w:proofErr w:type="spellEnd"/>
      <w:r>
        <w:rPr>
          <w:i/>
        </w:rPr>
        <w:t xml:space="preserve"> </w:t>
      </w:r>
      <w:r>
        <w:t>2017 (2) SA 520 (SCA) at par [42]</w:t>
      </w:r>
    </w:p>
  </w:footnote>
  <w:footnote w:id="18">
    <w:p w:rsidR="00B629CD" w:rsidRPr="00A61AB7" w:rsidRDefault="00B629CD">
      <w:pPr>
        <w:pStyle w:val="FootnoteText"/>
      </w:pPr>
      <w:r>
        <w:rPr>
          <w:rStyle w:val="FootnoteReference"/>
        </w:rPr>
        <w:footnoteRef/>
      </w:r>
      <w:r>
        <w:t xml:space="preserve"> </w:t>
      </w:r>
      <w:r w:rsidR="00A61AB7">
        <w:rPr>
          <w:i/>
        </w:rPr>
        <w:t xml:space="preserve">Natal Joint Municipal Pension Fund v </w:t>
      </w:r>
      <w:proofErr w:type="spellStart"/>
      <w:r w:rsidR="00A61AB7">
        <w:rPr>
          <w:i/>
        </w:rPr>
        <w:t>Endumeni</w:t>
      </w:r>
      <w:proofErr w:type="spellEnd"/>
      <w:r w:rsidR="00A61AB7">
        <w:rPr>
          <w:i/>
        </w:rPr>
        <w:t xml:space="preserve"> Municipality </w:t>
      </w:r>
      <w:r w:rsidR="00A61AB7">
        <w:t xml:space="preserve">(920/2010) [2012] ZASCA </w:t>
      </w:r>
      <w:proofErr w:type="gramStart"/>
      <w:r w:rsidR="00A61AB7">
        <w:t>13;  [</w:t>
      </w:r>
      <w:proofErr w:type="gramEnd"/>
      <w:r w:rsidR="00A61AB7">
        <w:t>2012] 2 Al SA 262 (SCA);  2012 (4) SA 593 (SCA) (16 March 2012) par [18]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346237" w:rsidRDefault="00346237">
        <w:pPr>
          <w:pStyle w:val="Header"/>
          <w:jc w:val="center"/>
        </w:pPr>
        <w:r>
          <w:fldChar w:fldCharType="begin"/>
        </w:r>
        <w:r>
          <w:instrText xml:space="preserve"> PAGE   \* MERGEFORMAT </w:instrText>
        </w:r>
        <w:r>
          <w:fldChar w:fldCharType="separate"/>
        </w:r>
        <w:r w:rsidR="00DA0421">
          <w:rPr>
            <w:noProof/>
          </w:rPr>
          <w:t>20</w:t>
        </w:r>
        <w:r>
          <w:rPr>
            <w:noProof/>
          </w:rPr>
          <w:fldChar w:fldCharType="end"/>
        </w:r>
      </w:p>
    </w:sdtContent>
  </w:sdt>
  <w:p w:rsidR="00346237" w:rsidRDefault="003462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C550D"/>
    <w:multiLevelType w:val="hybridMultilevel"/>
    <w:tmpl w:val="279E55CA"/>
    <w:lvl w:ilvl="0" w:tplc="510492CC">
      <w:start w:val="2"/>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07A3FE8"/>
    <w:multiLevelType w:val="hybridMultilevel"/>
    <w:tmpl w:val="EA3EC93A"/>
    <w:lvl w:ilvl="0" w:tplc="B4885A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66"/>
    <w:rsid w:val="00012C14"/>
    <w:rsid w:val="00013104"/>
    <w:rsid w:val="000424AE"/>
    <w:rsid w:val="00042C17"/>
    <w:rsid w:val="00046BA1"/>
    <w:rsid w:val="00067862"/>
    <w:rsid w:val="000A7AD9"/>
    <w:rsid w:val="00110217"/>
    <w:rsid w:val="00186017"/>
    <w:rsid w:val="001873CA"/>
    <w:rsid w:val="001C15B5"/>
    <w:rsid w:val="001C5BF3"/>
    <w:rsid w:val="00203EC8"/>
    <w:rsid w:val="00253933"/>
    <w:rsid w:val="00275EE0"/>
    <w:rsid w:val="00283974"/>
    <w:rsid w:val="002946BB"/>
    <w:rsid w:val="00323639"/>
    <w:rsid w:val="00346237"/>
    <w:rsid w:val="003B6890"/>
    <w:rsid w:val="003D615C"/>
    <w:rsid w:val="003E533B"/>
    <w:rsid w:val="00431EE0"/>
    <w:rsid w:val="00435796"/>
    <w:rsid w:val="00453047"/>
    <w:rsid w:val="0046105C"/>
    <w:rsid w:val="004610B8"/>
    <w:rsid w:val="00464E25"/>
    <w:rsid w:val="004A0F7B"/>
    <w:rsid w:val="00504FD4"/>
    <w:rsid w:val="005220DD"/>
    <w:rsid w:val="00531D69"/>
    <w:rsid w:val="00570F02"/>
    <w:rsid w:val="00582F45"/>
    <w:rsid w:val="005C62DD"/>
    <w:rsid w:val="005F6398"/>
    <w:rsid w:val="006065E6"/>
    <w:rsid w:val="00611F2A"/>
    <w:rsid w:val="00626487"/>
    <w:rsid w:val="006A665C"/>
    <w:rsid w:val="006B7BA7"/>
    <w:rsid w:val="006E25DB"/>
    <w:rsid w:val="006F2989"/>
    <w:rsid w:val="006F41B2"/>
    <w:rsid w:val="0070625A"/>
    <w:rsid w:val="00715107"/>
    <w:rsid w:val="0073159A"/>
    <w:rsid w:val="00775069"/>
    <w:rsid w:val="0078161D"/>
    <w:rsid w:val="007B76F5"/>
    <w:rsid w:val="007C0BAB"/>
    <w:rsid w:val="007E5DDB"/>
    <w:rsid w:val="008200B4"/>
    <w:rsid w:val="00840DCA"/>
    <w:rsid w:val="00886539"/>
    <w:rsid w:val="0089458F"/>
    <w:rsid w:val="00997ABC"/>
    <w:rsid w:val="009A0E3B"/>
    <w:rsid w:val="009D037C"/>
    <w:rsid w:val="009F3ED3"/>
    <w:rsid w:val="00A0343B"/>
    <w:rsid w:val="00A45ACE"/>
    <w:rsid w:val="00A56D53"/>
    <w:rsid w:val="00A61AB7"/>
    <w:rsid w:val="00A82382"/>
    <w:rsid w:val="00AE3A02"/>
    <w:rsid w:val="00B06237"/>
    <w:rsid w:val="00B12060"/>
    <w:rsid w:val="00B20D59"/>
    <w:rsid w:val="00B22199"/>
    <w:rsid w:val="00B40B58"/>
    <w:rsid w:val="00B40F4A"/>
    <w:rsid w:val="00B629CD"/>
    <w:rsid w:val="00B950FF"/>
    <w:rsid w:val="00BB2083"/>
    <w:rsid w:val="00BD1CD6"/>
    <w:rsid w:val="00C02E1F"/>
    <w:rsid w:val="00C07B66"/>
    <w:rsid w:val="00C23F82"/>
    <w:rsid w:val="00C30F9E"/>
    <w:rsid w:val="00C53746"/>
    <w:rsid w:val="00C70020"/>
    <w:rsid w:val="00C719E1"/>
    <w:rsid w:val="00CB475E"/>
    <w:rsid w:val="00CD658D"/>
    <w:rsid w:val="00CD6792"/>
    <w:rsid w:val="00CF63DC"/>
    <w:rsid w:val="00D17CDC"/>
    <w:rsid w:val="00D72015"/>
    <w:rsid w:val="00D91D4A"/>
    <w:rsid w:val="00D93B6F"/>
    <w:rsid w:val="00DA0421"/>
    <w:rsid w:val="00DD4FAD"/>
    <w:rsid w:val="00DE174E"/>
    <w:rsid w:val="00E119F6"/>
    <w:rsid w:val="00E80AEF"/>
    <w:rsid w:val="00EA0AEE"/>
    <w:rsid w:val="00EA6305"/>
    <w:rsid w:val="00F07BD8"/>
    <w:rsid w:val="00F71A85"/>
    <w:rsid w:val="00FA08D2"/>
    <w:rsid w:val="00FA2AAF"/>
    <w:rsid w:val="00FA56BC"/>
    <w:rsid w:val="00FD1B6A"/>
    <w:rsid w:val="00FE31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01F8B-27EA-46EB-83C4-6C3567FA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B66"/>
  </w:style>
  <w:style w:type="paragraph" w:styleId="FootnoteText">
    <w:name w:val="footnote text"/>
    <w:basedOn w:val="Normal"/>
    <w:link w:val="FootnoteTextChar"/>
    <w:uiPriority w:val="99"/>
    <w:semiHidden/>
    <w:unhideWhenUsed/>
    <w:rsid w:val="00C53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746"/>
    <w:rPr>
      <w:sz w:val="20"/>
      <w:szCs w:val="20"/>
    </w:rPr>
  </w:style>
  <w:style w:type="paragraph" w:styleId="ListParagraph">
    <w:name w:val="List Paragraph"/>
    <w:basedOn w:val="Normal"/>
    <w:uiPriority w:val="34"/>
    <w:qFormat/>
    <w:rsid w:val="00B20D59"/>
    <w:pPr>
      <w:ind w:left="720"/>
      <w:contextualSpacing/>
    </w:pPr>
  </w:style>
  <w:style w:type="character" w:styleId="FootnoteReference">
    <w:name w:val="footnote reference"/>
    <w:basedOn w:val="DefaultParagraphFont"/>
    <w:uiPriority w:val="99"/>
    <w:semiHidden/>
    <w:unhideWhenUsed/>
    <w:rsid w:val="006F2989"/>
    <w:rPr>
      <w:vertAlign w:val="superscript"/>
    </w:rPr>
  </w:style>
  <w:style w:type="paragraph" w:styleId="BalloonText">
    <w:name w:val="Balloon Text"/>
    <w:basedOn w:val="Normal"/>
    <w:link w:val="BalloonTextChar"/>
    <w:uiPriority w:val="99"/>
    <w:semiHidden/>
    <w:unhideWhenUsed/>
    <w:rsid w:val="00B4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A308-DD97-4B4D-9EC4-1B6156A9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4822</Words>
  <Characters>27491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Sathish</cp:lastModifiedBy>
  <cp:revision>3</cp:revision>
  <cp:lastPrinted>2023-12-11T13:28:00Z</cp:lastPrinted>
  <dcterms:created xsi:type="dcterms:W3CDTF">2023-12-12T11:26:00Z</dcterms:created>
  <dcterms:modified xsi:type="dcterms:W3CDTF">2024-01-10T09:56:00Z</dcterms:modified>
</cp:coreProperties>
</file>