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9FBF6" w14:textId="77777777" w:rsidR="00B124F4" w:rsidRPr="00B124F4" w:rsidRDefault="00B124F4" w:rsidP="00B124F4">
      <w:pPr>
        <w:spacing w:after="0" w:line="360" w:lineRule="auto"/>
        <w:jc w:val="center"/>
        <w:rPr>
          <w:rFonts w:ascii="Arial" w:eastAsia="Times New Roman" w:hAnsi="Arial" w:cs="Arial"/>
          <w:b/>
          <w:sz w:val="24"/>
          <w:szCs w:val="24"/>
          <w:lang w:val="en-ZA"/>
        </w:rPr>
      </w:pPr>
      <w:bookmarkStart w:id="0" w:name="_GoBack"/>
      <w:r w:rsidRPr="00B124F4">
        <w:rPr>
          <w:rFonts w:ascii="Times New Roman" w:eastAsia="Times New Roman" w:hAnsi="Times New Roman" w:cs="Times New Roman"/>
          <w:noProof/>
          <w:sz w:val="24"/>
          <w:szCs w:val="24"/>
        </w:rPr>
        <w:drawing>
          <wp:inline distT="0" distB="0" distL="0" distR="0" wp14:anchorId="0D425FD8" wp14:editId="466397A4">
            <wp:extent cx="1543050" cy="154305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6F040FB7" w14:textId="77777777" w:rsidR="00B124F4" w:rsidRPr="00B124F4" w:rsidRDefault="00B124F4" w:rsidP="00B124F4">
      <w:pPr>
        <w:spacing w:after="0" w:line="360" w:lineRule="auto"/>
        <w:jc w:val="center"/>
        <w:rPr>
          <w:rFonts w:ascii="Arial" w:eastAsia="Times New Roman" w:hAnsi="Arial" w:cs="Arial"/>
          <w:b/>
          <w:sz w:val="24"/>
          <w:szCs w:val="24"/>
          <w:lang w:val="en-ZA"/>
        </w:rPr>
      </w:pPr>
      <w:r w:rsidRPr="00B124F4">
        <w:rPr>
          <w:rFonts w:ascii="Arial" w:eastAsia="Times New Roman" w:hAnsi="Arial" w:cs="Arial"/>
          <w:b/>
          <w:sz w:val="24"/>
          <w:szCs w:val="24"/>
          <w:lang w:val="en-ZA"/>
        </w:rPr>
        <w:t>IN THE HIGH COURT OF SOUTH AFRICA</w:t>
      </w:r>
    </w:p>
    <w:p w14:paraId="09DBC95C" w14:textId="77777777" w:rsidR="00B124F4" w:rsidRPr="00B124F4" w:rsidRDefault="00B124F4" w:rsidP="00B124F4">
      <w:pPr>
        <w:spacing w:after="0" w:line="360" w:lineRule="auto"/>
        <w:jc w:val="center"/>
        <w:rPr>
          <w:rFonts w:ascii="Arial" w:eastAsia="Times New Roman" w:hAnsi="Arial" w:cs="Arial"/>
          <w:b/>
          <w:sz w:val="24"/>
          <w:szCs w:val="24"/>
          <w:lang w:val="en-ZA"/>
        </w:rPr>
      </w:pPr>
      <w:r w:rsidRPr="00B124F4">
        <w:rPr>
          <w:rFonts w:ascii="Arial" w:eastAsia="Times New Roman" w:hAnsi="Arial" w:cs="Arial"/>
          <w:b/>
          <w:sz w:val="24"/>
          <w:szCs w:val="24"/>
          <w:lang w:val="en-ZA"/>
        </w:rPr>
        <w:t>GAUTENG DIVISION, PRETORIA</w:t>
      </w:r>
    </w:p>
    <w:p w14:paraId="4FC874DC" w14:textId="77777777" w:rsidR="00B124F4" w:rsidRPr="00B124F4" w:rsidRDefault="00B124F4" w:rsidP="00B124F4">
      <w:pPr>
        <w:spacing w:after="0" w:line="360" w:lineRule="auto"/>
        <w:jc w:val="center"/>
        <w:rPr>
          <w:rFonts w:ascii="Arial" w:eastAsia="Times New Roman" w:hAnsi="Arial" w:cs="Arial"/>
          <w:b/>
          <w:sz w:val="24"/>
          <w:szCs w:val="24"/>
          <w:lang w:val="en-ZA"/>
        </w:rPr>
      </w:pPr>
      <w:r w:rsidRPr="00B124F4">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14:anchorId="75BD54ED" wp14:editId="7B700CF1">
                <wp:simplePos x="0" y="0"/>
                <wp:positionH relativeFrom="column">
                  <wp:posOffset>-133350</wp:posOffset>
                </wp:positionH>
                <wp:positionV relativeFrom="paragraph">
                  <wp:posOffset>260985</wp:posOffset>
                </wp:positionV>
                <wp:extent cx="3657600" cy="1543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43050"/>
                        </a:xfrm>
                        <a:prstGeom prst="rect">
                          <a:avLst/>
                        </a:prstGeom>
                        <a:solidFill>
                          <a:srgbClr val="FFFFFF"/>
                        </a:solidFill>
                        <a:ln w="9525">
                          <a:solidFill>
                            <a:srgbClr val="000000"/>
                          </a:solidFill>
                          <a:miter lim="800000"/>
                          <a:headEnd/>
                          <a:tailEnd/>
                        </a:ln>
                      </wps:spPr>
                      <wps:txbx>
                        <w:txbxContent>
                          <w:p w14:paraId="462F8394" w14:textId="77777777" w:rsidR="00B124F4" w:rsidRPr="0038792A" w:rsidRDefault="00B124F4" w:rsidP="00B124F4">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7D7995D" w14:textId="0ABB069F" w:rsidR="00B124F4" w:rsidRPr="0038792A" w:rsidRDefault="00503D2A" w:rsidP="00503D2A">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124F4">
                              <w:rPr>
                                <w:rFonts w:ascii="Century Gothic" w:hAnsi="Century Gothic"/>
                                <w:sz w:val="20"/>
                                <w:szCs w:val="20"/>
                              </w:rPr>
                              <w:t>REPORTABLE: YES/</w:t>
                            </w:r>
                            <w:r w:rsidR="00B124F4" w:rsidRPr="0038792A">
                              <w:rPr>
                                <w:rFonts w:ascii="Century Gothic" w:hAnsi="Century Gothic"/>
                                <w:sz w:val="20"/>
                                <w:szCs w:val="20"/>
                              </w:rPr>
                              <w:t>NO</w:t>
                            </w:r>
                          </w:p>
                          <w:p w14:paraId="15233B09" w14:textId="61DD8819" w:rsidR="00B124F4" w:rsidRPr="0038792A" w:rsidRDefault="00503D2A" w:rsidP="00503D2A">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124F4" w:rsidRPr="0038792A">
                              <w:rPr>
                                <w:rFonts w:ascii="Century Gothic" w:hAnsi="Century Gothic"/>
                                <w:sz w:val="20"/>
                                <w:szCs w:val="20"/>
                              </w:rPr>
                              <w:t xml:space="preserve">OF </w:t>
                            </w:r>
                            <w:r w:rsidR="00B124F4">
                              <w:rPr>
                                <w:rFonts w:ascii="Century Gothic" w:hAnsi="Century Gothic"/>
                                <w:sz w:val="20"/>
                                <w:szCs w:val="20"/>
                              </w:rPr>
                              <w:t>INTEREST TO OTHER JUDGES: YES/NO</w:t>
                            </w:r>
                          </w:p>
                          <w:p w14:paraId="039C8F3B" w14:textId="6376DBDD" w:rsidR="00B124F4" w:rsidRDefault="00503D2A" w:rsidP="00503D2A">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124F4" w:rsidRPr="0038792A">
                              <w:rPr>
                                <w:rFonts w:ascii="Century Gothic" w:hAnsi="Century Gothic"/>
                                <w:sz w:val="20"/>
                                <w:szCs w:val="20"/>
                              </w:rPr>
                              <w:t xml:space="preserve">REVISED: </w:t>
                            </w:r>
                          </w:p>
                          <w:p w14:paraId="282F7E70" w14:textId="77777777" w:rsidR="00B124F4" w:rsidRDefault="00B124F4" w:rsidP="00B124F4">
                            <w:pPr>
                              <w:ind w:left="900"/>
                              <w:rPr>
                                <w:rFonts w:ascii="Century Gothic" w:hAnsi="Century Gothic"/>
                                <w:sz w:val="20"/>
                                <w:szCs w:val="20"/>
                              </w:rPr>
                            </w:pPr>
                          </w:p>
                          <w:p w14:paraId="41124469" w14:textId="77777777" w:rsidR="00B124F4" w:rsidRDefault="00B124F4" w:rsidP="00B124F4">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74D7530C" w14:textId="77777777" w:rsidR="00B124F4" w:rsidRPr="0038792A" w:rsidRDefault="00B124F4" w:rsidP="00B124F4">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0399EA93" w14:textId="77777777" w:rsidR="00B124F4" w:rsidRPr="0038792A" w:rsidRDefault="00B124F4" w:rsidP="00B124F4">
                            <w:pPr>
                              <w:rPr>
                                <w:rFonts w:ascii="Century Gothic" w:hAnsi="Century Gothic"/>
                                <w:sz w:val="20"/>
                                <w:szCs w:val="20"/>
                              </w:rPr>
                            </w:pPr>
                          </w:p>
                          <w:p w14:paraId="42C8BC94" w14:textId="77777777" w:rsidR="00B124F4" w:rsidRDefault="00B124F4" w:rsidP="00B124F4">
                            <w:pPr>
                              <w:rPr>
                                <w:rFonts w:ascii="Century Gothic" w:hAnsi="Century Gothic"/>
                                <w:sz w:val="28"/>
                                <w:szCs w:val="28"/>
                              </w:rPr>
                            </w:pPr>
                          </w:p>
                          <w:p w14:paraId="29F755EE" w14:textId="77777777" w:rsidR="00B124F4" w:rsidRDefault="00B124F4" w:rsidP="00B124F4">
                            <w:pPr>
                              <w:rPr>
                                <w:rFonts w:ascii="Century Gothic" w:hAnsi="Century Gothic"/>
                                <w:sz w:val="28"/>
                                <w:szCs w:val="28"/>
                              </w:rPr>
                            </w:pPr>
                          </w:p>
                          <w:p w14:paraId="10A84EF9" w14:textId="77777777" w:rsidR="00B124F4" w:rsidRDefault="00B124F4" w:rsidP="00B124F4">
                            <w:pPr>
                              <w:rPr>
                                <w:rFonts w:ascii="Century Gothic" w:hAnsi="Century Gothic"/>
                                <w:sz w:val="28"/>
                                <w:szCs w:val="28"/>
                              </w:rPr>
                            </w:pPr>
                            <w:r>
                              <w:rPr>
                                <w:rFonts w:ascii="Century Gothic" w:hAnsi="Century Gothic"/>
                                <w:sz w:val="28"/>
                                <w:szCs w:val="28"/>
                              </w:rPr>
                              <w:t>____________________        ____________________</w:t>
                            </w:r>
                          </w:p>
                          <w:p w14:paraId="23EA7330" w14:textId="77777777" w:rsidR="00B124F4" w:rsidRDefault="00B124F4" w:rsidP="00B124F4">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7451ABE9" w14:textId="77777777" w:rsidR="00B124F4" w:rsidRDefault="00B124F4" w:rsidP="00B124F4">
                            <w:pPr>
                              <w:rPr>
                                <w:rFonts w:ascii="Century Gothic" w:hAnsi="Century Gothic"/>
                                <w:sz w:val="28"/>
                                <w:szCs w:val="28"/>
                              </w:rPr>
                            </w:pPr>
                          </w:p>
                          <w:p w14:paraId="7C3D01AD" w14:textId="77777777" w:rsidR="00B124F4" w:rsidRDefault="00B124F4" w:rsidP="00B124F4">
                            <w:pPr>
                              <w:rPr>
                                <w:rFonts w:ascii="Century Gothic" w:hAnsi="Century Gothic"/>
                                <w:sz w:val="28"/>
                                <w:szCs w:val="28"/>
                              </w:rPr>
                            </w:pPr>
                          </w:p>
                          <w:p w14:paraId="4B7649C0" w14:textId="77777777" w:rsidR="00B124F4" w:rsidRDefault="00B124F4" w:rsidP="00B124F4">
                            <w:pPr>
                              <w:rPr>
                                <w:rFonts w:ascii="Century Gothic" w:hAnsi="Century Gothic"/>
                                <w:sz w:val="28"/>
                                <w:szCs w:val="28"/>
                              </w:rPr>
                            </w:pPr>
                          </w:p>
                          <w:p w14:paraId="13F826FD" w14:textId="77777777" w:rsidR="00B124F4" w:rsidRPr="009533D5" w:rsidRDefault="00B124F4" w:rsidP="00B124F4">
                            <w:pPr>
                              <w:rPr>
                                <w:rFonts w:ascii="Century Gothic" w:hAnsi="Century Gothic"/>
                                <w:sz w:val="28"/>
                                <w:szCs w:val="28"/>
                              </w:rPr>
                            </w:pPr>
                          </w:p>
                          <w:p w14:paraId="31FC8264" w14:textId="77777777" w:rsidR="00B124F4" w:rsidRDefault="00B124F4" w:rsidP="00B124F4">
                            <w:pPr>
                              <w:rPr>
                                <w:rFonts w:ascii="Century Gothic" w:hAnsi="Century Gothic"/>
                                <w:b/>
                                <w:sz w:val="18"/>
                                <w:szCs w:val="18"/>
                              </w:rPr>
                            </w:pPr>
                          </w:p>
                          <w:p w14:paraId="3F22FEEF" w14:textId="77777777" w:rsidR="00B124F4" w:rsidRDefault="00B124F4" w:rsidP="00B124F4">
                            <w:pPr>
                              <w:rPr>
                                <w:rFonts w:ascii="Century Gothic" w:hAnsi="Century Gothic"/>
                                <w:b/>
                                <w:sz w:val="18"/>
                                <w:szCs w:val="18"/>
                              </w:rPr>
                            </w:pPr>
                          </w:p>
                          <w:p w14:paraId="3C9AF10A" w14:textId="77777777" w:rsidR="00B124F4" w:rsidRDefault="00B124F4" w:rsidP="00B124F4">
                            <w:pPr>
                              <w:rPr>
                                <w:rFonts w:ascii="Century Gothic" w:hAnsi="Century Gothic"/>
                                <w:b/>
                                <w:sz w:val="18"/>
                                <w:szCs w:val="18"/>
                              </w:rPr>
                            </w:pPr>
                          </w:p>
                          <w:p w14:paraId="1F1DDAC9" w14:textId="77777777" w:rsidR="00B124F4" w:rsidRPr="00B93709" w:rsidRDefault="00B124F4" w:rsidP="00B124F4">
                            <w:pPr>
                              <w:rPr>
                                <w:rFonts w:ascii="Century Gothic" w:hAnsi="Century Gothic"/>
                                <w:b/>
                                <w:sz w:val="18"/>
                                <w:szCs w:val="18"/>
                              </w:rPr>
                            </w:pPr>
                          </w:p>
                          <w:p w14:paraId="575F15CD" w14:textId="77777777" w:rsidR="00B124F4" w:rsidRPr="00B93709" w:rsidRDefault="00B124F4" w:rsidP="00B124F4">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D54ED" id="_x0000_t202" coordsize="21600,21600" o:spt="202" path="m,l,21600r21600,l21600,xe">
                <v:stroke joinstyle="miter"/>
                <v:path gradientshapeok="t" o:connecttype="rect"/>
              </v:shapetype>
              <v:shape id="Text Box 2" o:spid="_x0000_s1026" type="#_x0000_t202" style="position:absolute;left:0;text-align:left;margin-left:-10.5pt;margin-top:20.55pt;width:4in;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BuKwIAAFEEAAAOAAAAZHJzL2Uyb0RvYy54bWysVNtu2zAMfR+wfxD0vthxk7Q14hRdugwD&#10;ugvQ7gNkWbaFSaImKbG7rx8lp1nQbS/D/CCIInVEnkN6fTNqRQ7CeQmmovNZTokwHBppuop+fdy9&#10;uaLEB2YapsCIij4JT282r1+tB1uKAnpQjXAEQYwvB1vRPgRbZpnnvdDMz8AKg84WnGYBTddljWMD&#10;omuVFXm+ygZwjXXAhfd4ejc56Sbht63g4XPbehGIqijmFtLq0lrHNdusWdk5ZnvJj2mwf8hCM2nw&#10;0RPUHQuM7J38DUpL7sBDG2YcdAZtK7lINWA18/xFNQ89syLVguR4e6LJ/z9Y/unwxRHZVLSgxDCN&#10;Ej2KMZC3MJIisjNYX2LQg8WwMOIxqpwq9fYe+DdPDGx7Zjpx6xwMvWANZjePN7OzqxOOjyD18BEa&#10;fIbtAySgsXU6UodkEERHlZ5OysRUOB5erJaXqxxdHH3z5eIiXybtMlY+X7fOh/cCNImbijqUPsGz&#10;w70PMR1WPofE1zwo2eykUslwXb1VjhwYtskufamCF2HKkKGi18tiOTHwV4g8fX+C0DJgvyupK3p1&#10;CmJl5O2daVI3BibVtMeUlTkSGbmbWAxjPR6FqaF5QkodTH2Nc4ibHtwPSgbs6Yr673vmBCXqg0FZ&#10;rueLRRyCZCyWlwUa7txTn3uY4QhV0UDJtN2GaXD21smux5emRjBwi1K2MpEcNZ+yOuaNfZu4P85Y&#10;HIxzO0X9+hNsfgIAAP//AwBQSwMEFAAGAAgAAAAhAPsNKQThAAAACgEAAA8AAABkcnMvZG93bnJl&#10;di54bWxMj81OwzAQhO9IvIO1SFxQ6zgkbQjZVAgJBDcoFVzdZJtE+CfYbhreHnOC4+yMZr+pNrNW&#10;bCLnB2sQxDIBRqax7WA6hN3bw6IA5oM0rVTWEMI3edjU52eVLFt7Mq80bUPHYonxpUToQxhLzn3T&#10;k5Z+aUcy0TtYp2WI0nW8dfIUy7XiaZKsuJaDiR96OdJ9T83n9qgRiuxp+vDP1y/vzeqgbsLVenr8&#10;coiXF/PdLbBAc/gLwy9+RIc6Mu3t0bSeKYRFKuKWgJAJASwG8jyPhz1CWmQCeF3x/xPqHwAAAP//&#10;AwBQSwECLQAUAAYACAAAACEAtoM4kv4AAADhAQAAEwAAAAAAAAAAAAAAAAAAAAAAW0NvbnRlbnRf&#10;VHlwZXNdLnhtbFBLAQItABQABgAIAAAAIQA4/SH/1gAAAJQBAAALAAAAAAAAAAAAAAAAAC8BAABf&#10;cmVscy8ucmVsc1BLAQItABQABgAIAAAAIQCf5OBuKwIAAFEEAAAOAAAAAAAAAAAAAAAAAC4CAABk&#10;cnMvZTJvRG9jLnhtbFBLAQItABQABgAIAAAAIQD7DSkE4QAAAAoBAAAPAAAAAAAAAAAAAAAAAIUE&#10;AABkcnMvZG93bnJldi54bWxQSwUGAAAAAAQABADzAAAAkwUAAAAA&#10;">
                <v:textbox>
                  <w:txbxContent>
                    <w:p w14:paraId="462F8394" w14:textId="77777777" w:rsidR="00B124F4" w:rsidRPr="0038792A" w:rsidRDefault="00B124F4" w:rsidP="00B124F4">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7D7995D" w14:textId="0ABB069F" w:rsidR="00B124F4" w:rsidRPr="0038792A" w:rsidRDefault="00503D2A" w:rsidP="00503D2A">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124F4">
                        <w:rPr>
                          <w:rFonts w:ascii="Century Gothic" w:hAnsi="Century Gothic"/>
                          <w:sz w:val="20"/>
                          <w:szCs w:val="20"/>
                        </w:rPr>
                        <w:t>REPORTABLE: YES/</w:t>
                      </w:r>
                      <w:r w:rsidR="00B124F4" w:rsidRPr="0038792A">
                        <w:rPr>
                          <w:rFonts w:ascii="Century Gothic" w:hAnsi="Century Gothic"/>
                          <w:sz w:val="20"/>
                          <w:szCs w:val="20"/>
                        </w:rPr>
                        <w:t>NO</w:t>
                      </w:r>
                    </w:p>
                    <w:p w14:paraId="15233B09" w14:textId="61DD8819" w:rsidR="00B124F4" w:rsidRPr="0038792A" w:rsidRDefault="00503D2A" w:rsidP="00503D2A">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124F4" w:rsidRPr="0038792A">
                        <w:rPr>
                          <w:rFonts w:ascii="Century Gothic" w:hAnsi="Century Gothic"/>
                          <w:sz w:val="20"/>
                          <w:szCs w:val="20"/>
                        </w:rPr>
                        <w:t xml:space="preserve">OF </w:t>
                      </w:r>
                      <w:r w:rsidR="00B124F4">
                        <w:rPr>
                          <w:rFonts w:ascii="Century Gothic" w:hAnsi="Century Gothic"/>
                          <w:sz w:val="20"/>
                          <w:szCs w:val="20"/>
                        </w:rPr>
                        <w:t>INTEREST TO OTHER JUDGES: YES/NO</w:t>
                      </w:r>
                    </w:p>
                    <w:p w14:paraId="039C8F3B" w14:textId="6376DBDD" w:rsidR="00B124F4" w:rsidRDefault="00503D2A" w:rsidP="00503D2A">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124F4" w:rsidRPr="0038792A">
                        <w:rPr>
                          <w:rFonts w:ascii="Century Gothic" w:hAnsi="Century Gothic"/>
                          <w:sz w:val="20"/>
                          <w:szCs w:val="20"/>
                        </w:rPr>
                        <w:t xml:space="preserve">REVISED: </w:t>
                      </w:r>
                    </w:p>
                    <w:p w14:paraId="282F7E70" w14:textId="77777777" w:rsidR="00B124F4" w:rsidRDefault="00B124F4" w:rsidP="00B124F4">
                      <w:pPr>
                        <w:ind w:left="900"/>
                        <w:rPr>
                          <w:rFonts w:ascii="Century Gothic" w:hAnsi="Century Gothic"/>
                          <w:sz w:val="20"/>
                          <w:szCs w:val="20"/>
                        </w:rPr>
                      </w:pPr>
                    </w:p>
                    <w:p w14:paraId="41124469" w14:textId="77777777" w:rsidR="00B124F4" w:rsidRDefault="00B124F4" w:rsidP="00B124F4">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74D7530C" w14:textId="77777777" w:rsidR="00B124F4" w:rsidRPr="0038792A" w:rsidRDefault="00B124F4" w:rsidP="00B124F4">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0399EA93" w14:textId="77777777" w:rsidR="00B124F4" w:rsidRPr="0038792A" w:rsidRDefault="00B124F4" w:rsidP="00B124F4">
                      <w:pPr>
                        <w:rPr>
                          <w:rFonts w:ascii="Century Gothic" w:hAnsi="Century Gothic"/>
                          <w:sz w:val="20"/>
                          <w:szCs w:val="20"/>
                        </w:rPr>
                      </w:pPr>
                    </w:p>
                    <w:p w14:paraId="42C8BC94" w14:textId="77777777" w:rsidR="00B124F4" w:rsidRDefault="00B124F4" w:rsidP="00B124F4">
                      <w:pPr>
                        <w:rPr>
                          <w:rFonts w:ascii="Century Gothic" w:hAnsi="Century Gothic"/>
                          <w:sz w:val="28"/>
                          <w:szCs w:val="28"/>
                        </w:rPr>
                      </w:pPr>
                    </w:p>
                    <w:p w14:paraId="29F755EE" w14:textId="77777777" w:rsidR="00B124F4" w:rsidRDefault="00B124F4" w:rsidP="00B124F4">
                      <w:pPr>
                        <w:rPr>
                          <w:rFonts w:ascii="Century Gothic" w:hAnsi="Century Gothic"/>
                          <w:sz w:val="28"/>
                          <w:szCs w:val="28"/>
                        </w:rPr>
                      </w:pPr>
                    </w:p>
                    <w:p w14:paraId="10A84EF9" w14:textId="77777777" w:rsidR="00B124F4" w:rsidRDefault="00B124F4" w:rsidP="00B124F4">
                      <w:pPr>
                        <w:rPr>
                          <w:rFonts w:ascii="Century Gothic" w:hAnsi="Century Gothic"/>
                          <w:sz w:val="28"/>
                          <w:szCs w:val="28"/>
                        </w:rPr>
                      </w:pPr>
                      <w:r>
                        <w:rPr>
                          <w:rFonts w:ascii="Century Gothic" w:hAnsi="Century Gothic"/>
                          <w:sz w:val="28"/>
                          <w:szCs w:val="28"/>
                        </w:rPr>
                        <w:t>____________________        ____________________</w:t>
                      </w:r>
                    </w:p>
                    <w:p w14:paraId="23EA7330" w14:textId="77777777" w:rsidR="00B124F4" w:rsidRDefault="00B124F4" w:rsidP="00B124F4">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7451ABE9" w14:textId="77777777" w:rsidR="00B124F4" w:rsidRDefault="00B124F4" w:rsidP="00B124F4">
                      <w:pPr>
                        <w:rPr>
                          <w:rFonts w:ascii="Century Gothic" w:hAnsi="Century Gothic"/>
                          <w:sz w:val="28"/>
                          <w:szCs w:val="28"/>
                        </w:rPr>
                      </w:pPr>
                    </w:p>
                    <w:p w14:paraId="7C3D01AD" w14:textId="77777777" w:rsidR="00B124F4" w:rsidRDefault="00B124F4" w:rsidP="00B124F4">
                      <w:pPr>
                        <w:rPr>
                          <w:rFonts w:ascii="Century Gothic" w:hAnsi="Century Gothic"/>
                          <w:sz w:val="28"/>
                          <w:szCs w:val="28"/>
                        </w:rPr>
                      </w:pPr>
                    </w:p>
                    <w:p w14:paraId="4B7649C0" w14:textId="77777777" w:rsidR="00B124F4" w:rsidRDefault="00B124F4" w:rsidP="00B124F4">
                      <w:pPr>
                        <w:rPr>
                          <w:rFonts w:ascii="Century Gothic" w:hAnsi="Century Gothic"/>
                          <w:sz w:val="28"/>
                          <w:szCs w:val="28"/>
                        </w:rPr>
                      </w:pPr>
                    </w:p>
                    <w:p w14:paraId="13F826FD" w14:textId="77777777" w:rsidR="00B124F4" w:rsidRPr="009533D5" w:rsidRDefault="00B124F4" w:rsidP="00B124F4">
                      <w:pPr>
                        <w:rPr>
                          <w:rFonts w:ascii="Century Gothic" w:hAnsi="Century Gothic"/>
                          <w:sz w:val="28"/>
                          <w:szCs w:val="28"/>
                        </w:rPr>
                      </w:pPr>
                    </w:p>
                    <w:p w14:paraId="31FC8264" w14:textId="77777777" w:rsidR="00B124F4" w:rsidRDefault="00B124F4" w:rsidP="00B124F4">
                      <w:pPr>
                        <w:rPr>
                          <w:rFonts w:ascii="Century Gothic" w:hAnsi="Century Gothic"/>
                          <w:b/>
                          <w:sz w:val="18"/>
                          <w:szCs w:val="18"/>
                        </w:rPr>
                      </w:pPr>
                    </w:p>
                    <w:p w14:paraId="3F22FEEF" w14:textId="77777777" w:rsidR="00B124F4" w:rsidRDefault="00B124F4" w:rsidP="00B124F4">
                      <w:pPr>
                        <w:rPr>
                          <w:rFonts w:ascii="Century Gothic" w:hAnsi="Century Gothic"/>
                          <w:b/>
                          <w:sz w:val="18"/>
                          <w:szCs w:val="18"/>
                        </w:rPr>
                      </w:pPr>
                    </w:p>
                    <w:p w14:paraId="3C9AF10A" w14:textId="77777777" w:rsidR="00B124F4" w:rsidRDefault="00B124F4" w:rsidP="00B124F4">
                      <w:pPr>
                        <w:rPr>
                          <w:rFonts w:ascii="Century Gothic" w:hAnsi="Century Gothic"/>
                          <w:b/>
                          <w:sz w:val="18"/>
                          <w:szCs w:val="18"/>
                        </w:rPr>
                      </w:pPr>
                    </w:p>
                    <w:p w14:paraId="1F1DDAC9" w14:textId="77777777" w:rsidR="00B124F4" w:rsidRPr="00B93709" w:rsidRDefault="00B124F4" w:rsidP="00B124F4">
                      <w:pPr>
                        <w:rPr>
                          <w:rFonts w:ascii="Century Gothic" w:hAnsi="Century Gothic"/>
                          <w:b/>
                          <w:sz w:val="18"/>
                          <w:szCs w:val="18"/>
                        </w:rPr>
                      </w:pPr>
                    </w:p>
                    <w:p w14:paraId="575F15CD" w14:textId="77777777" w:rsidR="00B124F4" w:rsidRPr="00B93709" w:rsidRDefault="00B124F4" w:rsidP="00B124F4">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5837FCBA" w14:textId="77777777" w:rsidR="00B124F4" w:rsidRPr="00B124F4" w:rsidRDefault="00B124F4" w:rsidP="00B124F4">
      <w:pPr>
        <w:spacing w:after="0" w:line="360" w:lineRule="auto"/>
        <w:jc w:val="right"/>
        <w:rPr>
          <w:rFonts w:ascii="Times New Roman" w:eastAsia="Times New Roman" w:hAnsi="Times New Roman" w:cs="Times New Roman"/>
          <w:color w:val="000000"/>
          <w:sz w:val="24"/>
          <w:szCs w:val="24"/>
          <w:lang w:val="en-GB"/>
        </w:rPr>
      </w:pPr>
      <w:r w:rsidRPr="00B124F4">
        <w:rPr>
          <w:rFonts w:ascii="Arial" w:eastAsia="Times New Roman" w:hAnsi="Arial" w:cs="Arial"/>
          <w:color w:val="000000"/>
          <w:sz w:val="24"/>
          <w:szCs w:val="24"/>
          <w:lang w:val="en-GB"/>
        </w:rPr>
        <w:t xml:space="preserve">CASE NO: </w:t>
      </w:r>
      <w:r>
        <w:rPr>
          <w:rFonts w:ascii="Arial" w:eastAsia="Times New Roman" w:hAnsi="Arial" w:cs="Arial"/>
          <w:w w:val="105"/>
          <w:sz w:val="24"/>
          <w:szCs w:val="24"/>
          <w:lang w:val="en-GB"/>
        </w:rPr>
        <w:t>28814/2020</w:t>
      </w:r>
    </w:p>
    <w:p w14:paraId="76E75F7B" w14:textId="77777777" w:rsidR="00B124F4" w:rsidRPr="00B124F4" w:rsidRDefault="00B124F4" w:rsidP="00B124F4">
      <w:pPr>
        <w:spacing w:after="0" w:line="360" w:lineRule="auto"/>
        <w:rPr>
          <w:rFonts w:ascii="Arial" w:eastAsia="Times New Roman" w:hAnsi="Arial" w:cs="Arial"/>
          <w:color w:val="000000"/>
          <w:sz w:val="24"/>
          <w:szCs w:val="24"/>
          <w:lang w:val="en-ZA"/>
        </w:rPr>
      </w:pPr>
    </w:p>
    <w:p w14:paraId="2546F1D0" w14:textId="77777777" w:rsidR="00B124F4" w:rsidRPr="00B124F4" w:rsidRDefault="00B124F4" w:rsidP="00B124F4">
      <w:pPr>
        <w:spacing w:after="0" w:line="360" w:lineRule="auto"/>
        <w:rPr>
          <w:rFonts w:ascii="Arial" w:eastAsia="Times New Roman" w:hAnsi="Arial" w:cs="Arial"/>
          <w:color w:val="000000"/>
          <w:sz w:val="24"/>
          <w:szCs w:val="24"/>
          <w:lang w:val="en-ZA"/>
        </w:rPr>
      </w:pPr>
    </w:p>
    <w:p w14:paraId="2DB7836B" w14:textId="77777777" w:rsidR="00B124F4" w:rsidRPr="00B124F4" w:rsidRDefault="00B124F4" w:rsidP="00B124F4">
      <w:pPr>
        <w:spacing w:after="0" w:line="360" w:lineRule="auto"/>
        <w:jc w:val="right"/>
        <w:rPr>
          <w:rFonts w:ascii="Arial" w:eastAsia="Times New Roman" w:hAnsi="Arial" w:cs="Arial"/>
          <w:color w:val="000000"/>
          <w:sz w:val="24"/>
          <w:szCs w:val="24"/>
          <w:lang w:val="en-ZA"/>
        </w:rPr>
      </w:pPr>
    </w:p>
    <w:p w14:paraId="743964F4" w14:textId="77777777" w:rsidR="00B124F4" w:rsidRPr="00B124F4" w:rsidRDefault="00B124F4" w:rsidP="00B124F4">
      <w:pPr>
        <w:spacing w:after="0" w:line="360" w:lineRule="auto"/>
        <w:jc w:val="both"/>
        <w:rPr>
          <w:rFonts w:ascii="Arial" w:eastAsia="Times New Roman" w:hAnsi="Arial" w:cs="Arial"/>
          <w:color w:val="000000"/>
          <w:sz w:val="24"/>
          <w:szCs w:val="24"/>
          <w:lang w:val="en-ZA"/>
        </w:rPr>
      </w:pPr>
    </w:p>
    <w:p w14:paraId="58E2D09C" w14:textId="77777777" w:rsidR="00B124F4" w:rsidRPr="00B124F4" w:rsidRDefault="00B124F4" w:rsidP="00B124F4">
      <w:pPr>
        <w:spacing w:after="0" w:line="360" w:lineRule="auto"/>
        <w:jc w:val="both"/>
        <w:rPr>
          <w:rFonts w:ascii="Arial" w:eastAsia="Times New Roman" w:hAnsi="Arial" w:cs="Arial"/>
          <w:color w:val="000000"/>
          <w:sz w:val="24"/>
          <w:szCs w:val="24"/>
          <w:lang w:val="en-ZA"/>
        </w:rPr>
      </w:pPr>
    </w:p>
    <w:p w14:paraId="1069E723" w14:textId="77777777" w:rsidR="00B124F4" w:rsidRDefault="00B124F4" w:rsidP="00AF3806">
      <w:pPr>
        <w:spacing w:after="0" w:line="276" w:lineRule="auto"/>
        <w:jc w:val="both"/>
        <w:rPr>
          <w:rFonts w:ascii="Arial" w:eastAsia="Times New Roman" w:hAnsi="Arial" w:cs="Arial"/>
          <w:color w:val="000000"/>
          <w:sz w:val="24"/>
          <w:szCs w:val="24"/>
          <w:lang w:val="en-ZA"/>
        </w:rPr>
      </w:pPr>
    </w:p>
    <w:p w14:paraId="49D4E3DC" w14:textId="77777777" w:rsidR="00B124F4" w:rsidRPr="00B124F4" w:rsidRDefault="00B124F4" w:rsidP="00AF3806">
      <w:pPr>
        <w:spacing w:after="0" w:line="276" w:lineRule="auto"/>
        <w:jc w:val="both"/>
        <w:rPr>
          <w:rFonts w:ascii="Arial" w:eastAsia="Times New Roman" w:hAnsi="Arial" w:cs="Arial"/>
          <w:color w:val="000000"/>
          <w:sz w:val="24"/>
          <w:szCs w:val="24"/>
          <w:lang w:val="en-ZA"/>
        </w:rPr>
      </w:pPr>
      <w:r w:rsidRPr="00B124F4">
        <w:rPr>
          <w:rFonts w:ascii="Arial" w:eastAsia="Times New Roman" w:hAnsi="Arial" w:cs="Arial"/>
          <w:color w:val="000000"/>
          <w:sz w:val="24"/>
          <w:szCs w:val="24"/>
          <w:lang w:val="en-ZA"/>
        </w:rPr>
        <w:t>In the matter between:</w:t>
      </w:r>
    </w:p>
    <w:p w14:paraId="073646F7" w14:textId="77777777" w:rsidR="00B124F4" w:rsidRPr="00B124F4" w:rsidRDefault="00B124F4" w:rsidP="00AF3806">
      <w:pPr>
        <w:spacing w:after="0" w:line="276" w:lineRule="auto"/>
        <w:jc w:val="both"/>
        <w:rPr>
          <w:rFonts w:ascii="Arial" w:eastAsia="Times New Roman" w:hAnsi="Arial" w:cs="Arial"/>
          <w:color w:val="000000"/>
          <w:sz w:val="24"/>
          <w:szCs w:val="24"/>
          <w:lang w:val="en-ZA"/>
        </w:rPr>
      </w:pPr>
    </w:p>
    <w:p w14:paraId="484D359E" w14:textId="77777777" w:rsidR="00E96165" w:rsidRDefault="00E96165" w:rsidP="00AF3806">
      <w:pPr>
        <w:spacing w:after="120" w:line="276" w:lineRule="auto"/>
        <w:ind w:left="11" w:hanging="11"/>
        <w:rPr>
          <w:rFonts w:ascii="Arial" w:eastAsia="Times New Roman" w:hAnsi="Arial" w:cs="Arial"/>
          <w:b/>
          <w:bCs/>
          <w:color w:val="000000"/>
          <w:sz w:val="24"/>
          <w:szCs w:val="24"/>
          <w:lang w:val="en-GB"/>
        </w:rPr>
      </w:pPr>
    </w:p>
    <w:p w14:paraId="550EB79A" w14:textId="13C63F6B" w:rsidR="00B124F4" w:rsidRPr="00B124F4" w:rsidRDefault="00B124F4" w:rsidP="00AF3806">
      <w:pPr>
        <w:spacing w:after="120" w:line="276" w:lineRule="auto"/>
        <w:ind w:left="11" w:hanging="11"/>
        <w:rPr>
          <w:rFonts w:ascii="Arial" w:eastAsia="Arial" w:hAnsi="Arial" w:cs="Arial"/>
          <w:color w:val="000000"/>
          <w:sz w:val="24"/>
          <w:szCs w:val="24"/>
          <w:lang w:val="en-GB" w:eastAsia="en-ZA"/>
        </w:rPr>
      </w:pPr>
      <w:r>
        <w:rPr>
          <w:rFonts w:ascii="Arial" w:eastAsia="Times New Roman" w:hAnsi="Arial" w:cs="Arial"/>
          <w:b/>
          <w:bCs/>
          <w:color w:val="000000"/>
          <w:sz w:val="24"/>
          <w:szCs w:val="24"/>
          <w:lang w:val="en-GB"/>
        </w:rPr>
        <w:t xml:space="preserve">URBAN ICON (PTY) LTD  </w:t>
      </w:r>
      <w:r w:rsidR="00AF3806">
        <w:rPr>
          <w:rFonts w:ascii="Arial" w:eastAsia="Times New Roman" w:hAnsi="Arial" w:cs="Arial"/>
          <w:b/>
          <w:bCs/>
          <w:color w:val="000000"/>
          <w:sz w:val="24"/>
          <w:szCs w:val="24"/>
          <w:lang w:val="en-GB"/>
        </w:rPr>
        <w:t xml:space="preserve">                                            </w:t>
      </w:r>
      <w:r w:rsidR="005A2EA0">
        <w:rPr>
          <w:rFonts w:ascii="Arial" w:eastAsia="Times New Roman" w:hAnsi="Arial" w:cs="Arial"/>
          <w:b/>
          <w:bCs/>
          <w:color w:val="000000"/>
          <w:sz w:val="24"/>
          <w:szCs w:val="24"/>
          <w:lang w:val="en-GB"/>
        </w:rPr>
        <w:t xml:space="preserve">                                </w:t>
      </w:r>
      <w:r w:rsidR="00AF3806">
        <w:rPr>
          <w:rFonts w:ascii="Arial" w:eastAsia="Times New Roman" w:hAnsi="Arial" w:cs="Arial"/>
          <w:b/>
          <w:bCs/>
          <w:color w:val="000000"/>
          <w:sz w:val="24"/>
          <w:szCs w:val="24"/>
          <w:lang w:val="en-GB"/>
        </w:rPr>
        <w:t xml:space="preserve">      </w:t>
      </w:r>
      <w:r w:rsidR="00AF3806">
        <w:rPr>
          <w:rFonts w:ascii="Arial" w:eastAsia="Times New Roman" w:hAnsi="Arial" w:cs="Arial"/>
          <w:bCs/>
          <w:color w:val="000000"/>
          <w:sz w:val="24"/>
          <w:szCs w:val="24"/>
          <w:lang w:val="en-GB"/>
        </w:rPr>
        <w:t>Applicant</w:t>
      </w:r>
    </w:p>
    <w:p w14:paraId="30A67A8B" w14:textId="77777777" w:rsidR="00B124F4" w:rsidRPr="00B124F4" w:rsidRDefault="00B124F4" w:rsidP="00AF3806">
      <w:pPr>
        <w:tabs>
          <w:tab w:val="left" w:pos="8010"/>
        </w:tabs>
        <w:spacing w:after="120" w:line="276" w:lineRule="auto"/>
        <w:ind w:left="10" w:hanging="10"/>
        <w:rPr>
          <w:rFonts w:ascii="Arial" w:eastAsia="Arial" w:hAnsi="Arial" w:cs="Arial"/>
          <w:color w:val="000000"/>
          <w:sz w:val="24"/>
          <w:szCs w:val="24"/>
          <w:lang w:val="en-GB" w:eastAsia="en-ZA"/>
        </w:rPr>
      </w:pPr>
    </w:p>
    <w:p w14:paraId="7DB7FA0A" w14:textId="77777777" w:rsidR="00B124F4" w:rsidRDefault="00AF3806" w:rsidP="00AF3806">
      <w:pPr>
        <w:spacing w:after="120" w:line="276" w:lineRule="auto"/>
        <w:ind w:left="10" w:hanging="10"/>
        <w:jc w:val="both"/>
        <w:rPr>
          <w:rFonts w:ascii="Arial" w:eastAsia="Arial" w:hAnsi="Arial" w:cs="Arial"/>
          <w:color w:val="000000"/>
          <w:sz w:val="24"/>
          <w:szCs w:val="24"/>
          <w:lang w:val="en-GB" w:eastAsia="en-ZA"/>
        </w:rPr>
      </w:pPr>
      <w:r>
        <w:rPr>
          <w:rFonts w:ascii="Arial" w:eastAsia="Arial" w:hAnsi="Arial" w:cs="Arial"/>
          <w:color w:val="000000"/>
          <w:sz w:val="24"/>
          <w:szCs w:val="24"/>
          <w:lang w:val="en-GB" w:eastAsia="en-ZA"/>
        </w:rPr>
        <w:t>a</w:t>
      </w:r>
      <w:r w:rsidR="00B124F4" w:rsidRPr="00B124F4">
        <w:rPr>
          <w:rFonts w:ascii="Arial" w:eastAsia="Arial" w:hAnsi="Arial" w:cs="Arial"/>
          <w:color w:val="000000"/>
          <w:sz w:val="24"/>
          <w:szCs w:val="24"/>
          <w:lang w:val="en-GB" w:eastAsia="en-ZA"/>
        </w:rPr>
        <w:t>nd</w:t>
      </w:r>
    </w:p>
    <w:p w14:paraId="16003FC8" w14:textId="77777777" w:rsidR="00AF3806" w:rsidRPr="00AF3806" w:rsidRDefault="00AF3806" w:rsidP="00AF3806">
      <w:pPr>
        <w:spacing w:after="120" w:line="276" w:lineRule="auto"/>
        <w:ind w:left="10" w:hanging="10"/>
        <w:jc w:val="both"/>
        <w:rPr>
          <w:rFonts w:ascii="Arial" w:eastAsia="Arial" w:hAnsi="Arial" w:cs="Arial"/>
          <w:color w:val="000000"/>
          <w:sz w:val="24"/>
          <w:szCs w:val="24"/>
          <w:lang w:val="en-GB" w:eastAsia="en-ZA"/>
        </w:rPr>
      </w:pPr>
    </w:p>
    <w:p w14:paraId="229B8FBC" w14:textId="712C0269" w:rsidR="00041170" w:rsidRPr="00AF3806" w:rsidRDefault="00041170" w:rsidP="00AF3806">
      <w:pPr>
        <w:spacing w:after="120" w:line="480" w:lineRule="auto"/>
        <w:ind w:left="10" w:hanging="10"/>
        <w:rPr>
          <w:rFonts w:ascii="Arial" w:eastAsia="Times New Roman" w:hAnsi="Arial" w:cs="Arial"/>
          <w:bCs/>
          <w:color w:val="000000"/>
          <w:sz w:val="24"/>
          <w:szCs w:val="24"/>
          <w:lang w:val="en-GB"/>
        </w:rPr>
      </w:pPr>
      <w:r>
        <w:rPr>
          <w:rFonts w:ascii="Arial" w:eastAsia="Times New Roman" w:hAnsi="Arial" w:cs="Arial"/>
          <w:b/>
          <w:bCs/>
          <w:color w:val="000000"/>
          <w:sz w:val="24"/>
          <w:szCs w:val="24"/>
          <w:lang w:val="en-GB"/>
        </w:rPr>
        <w:t xml:space="preserve">SOUTH AFRICAN NATIONAL ROADS AGENCY SOC LTD  </w:t>
      </w:r>
      <w:r w:rsidR="00AF3806">
        <w:rPr>
          <w:rFonts w:ascii="Arial" w:eastAsia="Times New Roman" w:hAnsi="Arial" w:cs="Arial"/>
          <w:b/>
          <w:bCs/>
          <w:color w:val="000000"/>
          <w:sz w:val="24"/>
          <w:szCs w:val="24"/>
          <w:lang w:val="en-GB"/>
        </w:rPr>
        <w:t xml:space="preserve">              </w:t>
      </w:r>
      <w:r w:rsidR="00AF3806">
        <w:rPr>
          <w:rFonts w:ascii="Arial" w:eastAsia="Times New Roman" w:hAnsi="Arial" w:cs="Arial"/>
          <w:bCs/>
          <w:color w:val="000000"/>
          <w:sz w:val="24"/>
          <w:szCs w:val="24"/>
          <w:lang w:val="en-GB"/>
        </w:rPr>
        <w:t>First Respondent</w:t>
      </w:r>
    </w:p>
    <w:p w14:paraId="44E5DBFD" w14:textId="497C7109" w:rsidR="00041170" w:rsidRPr="00AF3806" w:rsidRDefault="00041170" w:rsidP="00AF3806">
      <w:pPr>
        <w:spacing w:after="120" w:line="480" w:lineRule="auto"/>
        <w:ind w:left="10" w:hanging="10"/>
        <w:rPr>
          <w:rFonts w:ascii="Arial" w:eastAsia="Times New Roman" w:hAnsi="Arial" w:cs="Arial"/>
          <w:bCs/>
          <w:color w:val="000000"/>
          <w:sz w:val="24"/>
          <w:szCs w:val="24"/>
          <w:lang w:val="en-GB"/>
        </w:rPr>
      </w:pPr>
      <w:r>
        <w:rPr>
          <w:rFonts w:ascii="Arial" w:eastAsia="Times New Roman" w:hAnsi="Arial" w:cs="Arial"/>
          <w:b/>
          <w:bCs/>
          <w:color w:val="000000"/>
          <w:sz w:val="24"/>
          <w:szCs w:val="24"/>
          <w:lang w:val="en-GB"/>
        </w:rPr>
        <w:t>NYELETI CONSULTING (PTY) LTD</w:t>
      </w:r>
      <w:r w:rsidR="00AF3806">
        <w:rPr>
          <w:rFonts w:ascii="Arial" w:eastAsia="Times New Roman" w:hAnsi="Arial" w:cs="Arial"/>
          <w:b/>
          <w:bCs/>
          <w:color w:val="000000"/>
          <w:sz w:val="24"/>
          <w:szCs w:val="24"/>
          <w:lang w:val="en-GB"/>
        </w:rPr>
        <w:t xml:space="preserve">                                                 </w:t>
      </w:r>
      <w:r w:rsidR="00AF3806">
        <w:rPr>
          <w:rFonts w:ascii="Arial" w:eastAsia="Times New Roman" w:hAnsi="Arial" w:cs="Arial"/>
          <w:bCs/>
          <w:color w:val="000000"/>
          <w:sz w:val="24"/>
          <w:szCs w:val="24"/>
          <w:lang w:val="en-GB"/>
        </w:rPr>
        <w:t>Second Respondent</w:t>
      </w:r>
    </w:p>
    <w:p w14:paraId="413557B2" w14:textId="77777777" w:rsidR="00041170" w:rsidRPr="00AF3806" w:rsidRDefault="00041170" w:rsidP="00AF3806">
      <w:pPr>
        <w:spacing w:after="120" w:line="480" w:lineRule="auto"/>
        <w:ind w:left="10" w:hanging="10"/>
        <w:rPr>
          <w:rFonts w:ascii="Arial" w:eastAsia="Times New Roman" w:hAnsi="Arial" w:cs="Arial"/>
          <w:bCs/>
          <w:color w:val="000000"/>
          <w:sz w:val="24"/>
          <w:szCs w:val="24"/>
          <w:lang w:val="en-GB"/>
        </w:rPr>
      </w:pPr>
      <w:r>
        <w:rPr>
          <w:rFonts w:ascii="Arial" w:eastAsia="Times New Roman" w:hAnsi="Arial" w:cs="Arial"/>
          <w:b/>
          <w:bCs/>
          <w:color w:val="000000"/>
          <w:sz w:val="24"/>
          <w:szCs w:val="24"/>
          <w:lang w:val="en-GB"/>
        </w:rPr>
        <w:t>ILIFA AFRICA ENGINEERS</w:t>
      </w:r>
      <w:r w:rsidR="00AF3806">
        <w:rPr>
          <w:rFonts w:ascii="Arial" w:eastAsia="Times New Roman" w:hAnsi="Arial" w:cs="Arial"/>
          <w:b/>
          <w:bCs/>
          <w:color w:val="000000"/>
          <w:sz w:val="24"/>
          <w:szCs w:val="24"/>
          <w:lang w:val="en-GB"/>
        </w:rPr>
        <w:t xml:space="preserve">                                                                 </w:t>
      </w:r>
      <w:r w:rsidR="00AF3806">
        <w:rPr>
          <w:rFonts w:ascii="Arial" w:eastAsia="Times New Roman" w:hAnsi="Arial" w:cs="Arial"/>
          <w:bCs/>
          <w:color w:val="000000"/>
          <w:sz w:val="24"/>
          <w:szCs w:val="24"/>
          <w:lang w:val="en-GB"/>
        </w:rPr>
        <w:t>Third Respondent</w:t>
      </w:r>
    </w:p>
    <w:p w14:paraId="367218E3" w14:textId="77777777" w:rsidR="00041170" w:rsidRPr="00A105DE" w:rsidRDefault="00041170" w:rsidP="00AF3806">
      <w:pPr>
        <w:spacing w:after="120" w:line="480" w:lineRule="auto"/>
        <w:ind w:left="10" w:hanging="10"/>
        <w:rPr>
          <w:rFonts w:ascii="Arial" w:eastAsia="Times New Roman" w:hAnsi="Arial" w:cs="Arial"/>
          <w:bCs/>
          <w:color w:val="000000"/>
          <w:sz w:val="24"/>
          <w:szCs w:val="24"/>
          <w:lang w:val="en-GB"/>
        </w:rPr>
      </w:pPr>
      <w:r>
        <w:rPr>
          <w:rFonts w:ascii="Arial" w:eastAsia="Times New Roman" w:hAnsi="Arial" w:cs="Arial"/>
          <w:b/>
          <w:bCs/>
          <w:color w:val="000000"/>
          <w:sz w:val="24"/>
          <w:szCs w:val="24"/>
          <w:lang w:val="en-GB"/>
        </w:rPr>
        <w:t xml:space="preserve">BVI CONSULTING ENGINEERS </w:t>
      </w:r>
      <w:r w:rsidR="00AF3806">
        <w:rPr>
          <w:rFonts w:ascii="Arial" w:eastAsia="Times New Roman" w:hAnsi="Arial" w:cs="Arial"/>
          <w:b/>
          <w:bCs/>
          <w:color w:val="000000"/>
          <w:sz w:val="24"/>
          <w:szCs w:val="24"/>
          <w:lang w:val="en-GB"/>
        </w:rPr>
        <w:t xml:space="preserve">WESTERN </w:t>
      </w:r>
      <w:r>
        <w:rPr>
          <w:rFonts w:ascii="Arial" w:eastAsia="Times New Roman" w:hAnsi="Arial" w:cs="Arial"/>
          <w:b/>
          <w:bCs/>
          <w:color w:val="000000"/>
          <w:sz w:val="24"/>
          <w:szCs w:val="24"/>
          <w:lang w:val="en-GB"/>
        </w:rPr>
        <w:t>CAPE (PTY) LTD</w:t>
      </w:r>
      <w:r w:rsidR="00A105DE">
        <w:rPr>
          <w:rFonts w:ascii="Arial" w:eastAsia="Times New Roman" w:hAnsi="Arial" w:cs="Arial"/>
          <w:b/>
          <w:bCs/>
          <w:color w:val="000000"/>
          <w:sz w:val="24"/>
          <w:szCs w:val="24"/>
          <w:lang w:val="en-GB"/>
        </w:rPr>
        <w:t xml:space="preserve">       </w:t>
      </w:r>
      <w:r w:rsidR="00A105DE">
        <w:rPr>
          <w:rFonts w:ascii="Arial" w:eastAsia="Times New Roman" w:hAnsi="Arial" w:cs="Arial"/>
          <w:bCs/>
          <w:color w:val="000000"/>
          <w:sz w:val="24"/>
          <w:szCs w:val="24"/>
          <w:lang w:val="en-GB"/>
        </w:rPr>
        <w:t>Fourth Respondent</w:t>
      </w:r>
    </w:p>
    <w:p w14:paraId="52319268" w14:textId="77777777" w:rsidR="00041170" w:rsidRPr="00A105DE" w:rsidRDefault="00AF3806" w:rsidP="00AF3806">
      <w:pPr>
        <w:spacing w:after="120" w:line="480" w:lineRule="auto"/>
        <w:ind w:left="10" w:hanging="10"/>
        <w:rPr>
          <w:rFonts w:ascii="Arial" w:eastAsia="Times New Roman" w:hAnsi="Arial" w:cs="Arial"/>
          <w:bCs/>
          <w:color w:val="000000"/>
          <w:sz w:val="24"/>
          <w:szCs w:val="24"/>
          <w:lang w:val="en-GB"/>
        </w:rPr>
      </w:pPr>
      <w:r>
        <w:rPr>
          <w:rFonts w:ascii="Arial" w:eastAsia="Times New Roman" w:hAnsi="Arial" w:cs="Arial"/>
          <w:b/>
          <w:bCs/>
          <w:color w:val="000000"/>
          <w:sz w:val="24"/>
          <w:szCs w:val="24"/>
          <w:lang w:val="en-GB"/>
        </w:rPr>
        <w:t xml:space="preserve">THE MINISTER OF FINANCE </w:t>
      </w:r>
      <w:r w:rsidR="00A105DE">
        <w:rPr>
          <w:rFonts w:ascii="Arial" w:eastAsia="Times New Roman" w:hAnsi="Arial" w:cs="Arial"/>
          <w:b/>
          <w:bCs/>
          <w:color w:val="000000"/>
          <w:sz w:val="24"/>
          <w:szCs w:val="24"/>
          <w:lang w:val="en-GB"/>
        </w:rPr>
        <w:t xml:space="preserve">                                                             </w:t>
      </w:r>
      <w:r w:rsidR="00A105DE">
        <w:rPr>
          <w:rFonts w:ascii="Arial" w:eastAsia="Times New Roman" w:hAnsi="Arial" w:cs="Arial"/>
          <w:bCs/>
          <w:color w:val="000000"/>
          <w:sz w:val="24"/>
          <w:szCs w:val="24"/>
          <w:lang w:val="en-GB"/>
        </w:rPr>
        <w:t>Sixth Respondent</w:t>
      </w:r>
    </w:p>
    <w:tbl>
      <w:tblPr>
        <w:tblpPr w:leftFromText="180" w:rightFromText="180" w:vertAnchor="text" w:horzAnchor="margin" w:tblpY="501"/>
        <w:tblW w:w="9356" w:type="dxa"/>
        <w:tblBorders>
          <w:top w:val="single" w:sz="4" w:space="0" w:color="auto"/>
          <w:bottom w:val="single" w:sz="4" w:space="0" w:color="auto"/>
        </w:tblBorders>
        <w:tblLook w:val="0000" w:firstRow="0" w:lastRow="0" w:firstColumn="0" w:lastColumn="0" w:noHBand="0" w:noVBand="0"/>
      </w:tblPr>
      <w:tblGrid>
        <w:gridCol w:w="9356"/>
      </w:tblGrid>
      <w:tr w:rsidR="00E96165" w:rsidRPr="00B124F4" w14:paraId="3E9FA3CD" w14:textId="77777777" w:rsidTr="00E96165">
        <w:trPr>
          <w:trHeight w:val="1264"/>
        </w:trPr>
        <w:tc>
          <w:tcPr>
            <w:tcW w:w="9356" w:type="dxa"/>
            <w:vAlign w:val="center"/>
          </w:tcPr>
          <w:p w14:paraId="52CA86BB" w14:textId="77777777" w:rsidR="00E96165" w:rsidRPr="00B124F4" w:rsidRDefault="00E96165" w:rsidP="00E96165">
            <w:pPr>
              <w:keepNext/>
              <w:spacing w:after="0" w:line="360" w:lineRule="auto"/>
              <w:jc w:val="center"/>
              <w:outlineLvl w:val="1"/>
              <w:rPr>
                <w:rFonts w:ascii="Arial" w:eastAsia="Times New Roman" w:hAnsi="Arial" w:cs="Arial"/>
                <w:b/>
                <w:bCs/>
                <w:iCs/>
                <w:color w:val="000000"/>
                <w:sz w:val="24"/>
                <w:szCs w:val="24"/>
                <w:lang w:val="en-ZA"/>
              </w:rPr>
            </w:pPr>
            <w:r w:rsidRPr="00B124F4">
              <w:rPr>
                <w:rFonts w:ascii="Arial" w:eastAsia="Times New Roman" w:hAnsi="Arial" w:cs="Arial"/>
                <w:b/>
                <w:bCs/>
                <w:iCs/>
                <w:color w:val="000000"/>
                <w:sz w:val="24"/>
                <w:szCs w:val="24"/>
                <w:lang w:val="en-ZA"/>
              </w:rPr>
              <w:lastRenderedPageBreak/>
              <w:t xml:space="preserve">JUDGMENT </w:t>
            </w:r>
          </w:p>
        </w:tc>
      </w:tr>
    </w:tbl>
    <w:p w14:paraId="0D5BD095" w14:textId="77777777" w:rsidR="00AF3806" w:rsidRPr="00A105DE" w:rsidRDefault="00E96165" w:rsidP="00AF3806">
      <w:pPr>
        <w:spacing w:after="120" w:line="480" w:lineRule="auto"/>
        <w:ind w:left="10" w:hanging="10"/>
        <w:rPr>
          <w:rFonts w:ascii="Arial" w:eastAsia="Times New Roman" w:hAnsi="Arial" w:cs="Arial"/>
          <w:bCs/>
          <w:color w:val="000000"/>
          <w:sz w:val="24"/>
          <w:szCs w:val="24"/>
          <w:lang w:val="en-GB"/>
        </w:rPr>
      </w:pPr>
      <w:r>
        <w:rPr>
          <w:rFonts w:ascii="Arial" w:eastAsia="Times New Roman" w:hAnsi="Arial" w:cs="Arial"/>
          <w:b/>
          <w:bCs/>
          <w:color w:val="000000"/>
          <w:sz w:val="24"/>
          <w:szCs w:val="24"/>
          <w:lang w:val="en-GB"/>
        </w:rPr>
        <w:t xml:space="preserve"> </w:t>
      </w:r>
      <w:r w:rsidR="00AF3806">
        <w:rPr>
          <w:rFonts w:ascii="Arial" w:eastAsia="Times New Roman" w:hAnsi="Arial" w:cs="Arial"/>
          <w:b/>
          <w:bCs/>
          <w:color w:val="000000"/>
          <w:sz w:val="24"/>
          <w:szCs w:val="24"/>
          <w:lang w:val="en-GB"/>
        </w:rPr>
        <w:t>THE MINISTER OF TRANSPORT</w:t>
      </w:r>
      <w:r w:rsidR="00A105DE">
        <w:rPr>
          <w:rFonts w:ascii="Arial" w:eastAsia="Times New Roman" w:hAnsi="Arial" w:cs="Arial"/>
          <w:b/>
          <w:bCs/>
          <w:color w:val="000000"/>
          <w:sz w:val="24"/>
          <w:szCs w:val="24"/>
          <w:lang w:val="en-GB"/>
        </w:rPr>
        <w:t xml:space="preserve">                                              </w:t>
      </w:r>
      <w:r>
        <w:rPr>
          <w:rFonts w:ascii="Arial" w:eastAsia="Times New Roman" w:hAnsi="Arial" w:cs="Arial"/>
          <w:b/>
          <w:bCs/>
          <w:color w:val="000000"/>
          <w:sz w:val="24"/>
          <w:szCs w:val="24"/>
          <w:lang w:val="en-GB"/>
        </w:rPr>
        <w:t xml:space="preserve">   </w:t>
      </w:r>
      <w:r w:rsidR="00A105DE">
        <w:rPr>
          <w:rFonts w:ascii="Arial" w:eastAsia="Times New Roman" w:hAnsi="Arial" w:cs="Arial"/>
          <w:b/>
          <w:bCs/>
          <w:color w:val="000000"/>
          <w:sz w:val="24"/>
          <w:szCs w:val="24"/>
          <w:lang w:val="en-GB"/>
        </w:rPr>
        <w:t xml:space="preserve"> </w:t>
      </w:r>
      <w:r w:rsidR="00A105DE">
        <w:rPr>
          <w:rFonts w:ascii="Arial" w:eastAsia="Times New Roman" w:hAnsi="Arial" w:cs="Arial"/>
          <w:bCs/>
          <w:color w:val="000000"/>
          <w:sz w:val="24"/>
          <w:szCs w:val="24"/>
          <w:lang w:val="en-GB"/>
        </w:rPr>
        <w:t>Seventh Respondent</w:t>
      </w:r>
    </w:p>
    <w:p w14:paraId="165DA731" w14:textId="77777777" w:rsidR="00A876FC" w:rsidRDefault="00041170" w:rsidP="00A876FC">
      <w:pPr>
        <w:spacing w:after="120" w:line="240" w:lineRule="auto"/>
        <w:ind w:left="10" w:hanging="100"/>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 xml:space="preserve">  </w:t>
      </w:r>
    </w:p>
    <w:p w14:paraId="21E3CC15" w14:textId="0FCD32B2" w:rsidR="00A876FC" w:rsidRDefault="00041170" w:rsidP="00E96165">
      <w:pPr>
        <w:spacing w:after="120" w:line="600" w:lineRule="auto"/>
        <w:ind w:left="10" w:hanging="100"/>
        <w:rPr>
          <w:rFonts w:ascii="Arial" w:eastAsia="Times New Roman" w:hAnsi="Arial" w:cs="Arial"/>
          <w:bCs/>
          <w:color w:val="000000"/>
          <w:sz w:val="24"/>
          <w:szCs w:val="24"/>
          <w:lang w:val="en-GB"/>
        </w:rPr>
      </w:pPr>
      <w:r>
        <w:rPr>
          <w:rFonts w:ascii="Arial" w:eastAsia="Times New Roman" w:hAnsi="Arial" w:cs="Arial"/>
          <w:b/>
          <w:bCs/>
          <w:color w:val="000000"/>
          <w:sz w:val="24"/>
          <w:szCs w:val="24"/>
          <w:lang w:val="en-GB"/>
        </w:rPr>
        <w:t xml:space="preserve"> </w:t>
      </w:r>
      <w:r w:rsidR="00E96165" w:rsidRPr="00E96165">
        <w:rPr>
          <w:rFonts w:ascii="Arial" w:eastAsia="Times New Roman" w:hAnsi="Arial" w:cs="Arial"/>
          <w:bCs/>
          <w:color w:val="000000"/>
          <w:sz w:val="24"/>
          <w:szCs w:val="24"/>
          <w:lang w:val="en-GB"/>
        </w:rPr>
        <w:t>TOLMAY J</w:t>
      </w:r>
      <w:r w:rsidRPr="00E96165">
        <w:rPr>
          <w:rFonts w:ascii="Arial" w:eastAsia="Times New Roman" w:hAnsi="Arial" w:cs="Arial"/>
          <w:bCs/>
          <w:color w:val="000000"/>
          <w:sz w:val="24"/>
          <w:szCs w:val="24"/>
          <w:lang w:val="en-GB"/>
        </w:rPr>
        <w:t xml:space="preserve">         </w:t>
      </w:r>
    </w:p>
    <w:p w14:paraId="4E1E8D70" w14:textId="77777777" w:rsidR="005A2EA0" w:rsidRDefault="005A2EA0" w:rsidP="00E96165">
      <w:pPr>
        <w:spacing w:after="120" w:line="600" w:lineRule="auto"/>
        <w:ind w:left="10" w:hanging="100"/>
        <w:rPr>
          <w:rFonts w:ascii="Arial" w:eastAsia="Times New Roman" w:hAnsi="Arial" w:cs="Arial"/>
          <w:bCs/>
          <w:color w:val="000000"/>
          <w:sz w:val="24"/>
          <w:szCs w:val="24"/>
          <w:lang w:val="en-GB"/>
        </w:rPr>
      </w:pPr>
    </w:p>
    <w:p w14:paraId="3B190DD5" w14:textId="4C75EFA1" w:rsidR="00C435BA"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The applicant (Urban Icon) approached the court on an urgent basis in July 2020 and sought in Part A of the application interdictory relief against the first four respondents pending the determination of Part B of the application. The first respondent (SANRAL) and the third respondent (ILIFA) opposed the application. None of the other respondents entered an appearance to defend. Part A was not proceeded with, and no relief is sought pertaining to Part A. This court is accordingly</w:t>
      </w:r>
      <w:r w:rsidR="000B0392" w:rsidRPr="00503D2A">
        <w:rPr>
          <w:rFonts w:ascii="Arial" w:eastAsia="Times New Roman" w:hAnsi="Arial" w:cs="Arial"/>
          <w:bCs/>
          <w:color w:val="000000"/>
          <w:sz w:val="24"/>
          <w:szCs w:val="24"/>
          <w:lang w:val="en-GB"/>
        </w:rPr>
        <w:t>, but for the costs of Part A</w:t>
      </w:r>
      <w:r w:rsidR="002B16D4"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xml:space="preserve"> only to determine Part B.</w:t>
      </w:r>
    </w:p>
    <w:p w14:paraId="4B3473CD" w14:textId="77777777" w:rsidR="00C435BA" w:rsidRDefault="00C435BA" w:rsidP="00C435BA">
      <w:pPr>
        <w:pStyle w:val="ListParagraph"/>
        <w:spacing w:after="120" w:line="480" w:lineRule="auto"/>
        <w:ind w:left="400"/>
        <w:jc w:val="both"/>
        <w:rPr>
          <w:rFonts w:ascii="Arial" w:eastAsia="Times New Roman" w:hAnsi="Arial" w:cs="Arial"/>
          <w:bCs/>
          <w:color w:val="000000"/>
          <w:sz w:val="24"/>
          <w:szCs w:val="24"/>
          <w:lang w:val="en-GB"/>
        </w:rPr>
      </w:pPr>
    </w:p>
    <w:p w14:paraId="364B6DFE" w14:textId="2208313E" w:rsidR="00C77EF8"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In Part B</w:t>
      </w:r>
      <w:r w:rsidR="00C02084"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xml:space="preserve"> Urban Icon seeks to review and set aside five decisions by SANRAL. Four of the decisions relate to the award of contracts to </w:t>
      </w:r>
      <w:r w:rsidR="00D72764" w:rsidRPr="00503D2A">
        <w:rPr>
          <w:rFonts w:ascii="Arial" w:eastAsia="Times New Roman" w:hAnsi="Arial" w:cs="Arial"/>
          <w:bCs/>
          <w:color w:val="000000"/>
          <w:sz w:val="24"/>
          <w:szCs w:val="24"/>
          <w:lang w:val="en-GB"/>
        </w:rPr>
        <w:t xml:space="preserve">the </w:t>
      </w:r>
      <w:r w:rsidR="002B7D1B" w:rsidRPr="00503D2A">
        <w:rPr>
          <w:rFonts w:ascii="Arial" w:eastAsia="Times New Roman" w:hAnsi="Arial" w:cs="Arial"/>
          <w:bCs/>
          <w:color w:val="000000"/>
          <w:sz w:val="24"/>
          <w:szCs w:val="24"/>
          <w:lang w:val="en-GB"/>
        </w:rPr>
        <w:t xml:space="preserve">second, third and fourth respondents. The fifth decision Urban Icon seeks to set aside relates to a decision by SANRAL not to award any further contracts for a </w:t>
      </w:r>
      <w:r w:rsidR="002B16D4" w:rsidRPr="00503D2A">
        <w:rPr>
          <w:rFonts w:ascii="Arial" w:eastAsia="Times New Roman" w:hAnsi="Arial" w:cs="Arial"/>
          <w:bCs/>
          <w:color w:val="000000"/>
          <w:sz w:val="24"/>
          <w:szCs w:val="24"/>
          <w:lang w:val="en-GB"/>
        </w:rPr>
        <w:t>period of one year to it</w:t>
      </w:r>
      <w:r w:rsidR="002B7D1B" w:rsidRPr="00503D2A">
        <w:rPr>
          <w:rFonts w:ascii="Arial" w:eastAsia="Times New Roman" w:hAnsi="Arial" w:cs="Arial"/>
          <w:bCs/>
          <w:color w:val="000000"/>
          <w:sz w:val="24"/>
          <w:szCs w:val="24"/>
          <w:lang w:val="en-GB"/>
        </w:rPr>
        <w:t xml:space="preserve"> for purposes of establishing whether it, as a recently established entity, could deliver on the tenders awarded to it. Urban Icon also seeks a declaration of invalidity in respect of the contracts entered into between SANRAL and each of the respondents, consequent on the decision to award the tenders. ILIFA contends that if the court were to find that </w:t>
      </w:r>
      <w:r w:rsidR="002B7D1B" w:rsidRPr="00503D2A">
        <w:rPr>
          <w:rFonts w:ascii="Arial" w:eastAsia="Times New Roman" w:hAnsi="Arial" w:cs="Arial"/>
          <w:bCs/>
          <w:color w:val="000000"/>
          <w:sz w:val="24"/>
          <w:szCs w:val="24"/>
          <w:lang w:val="en-GB"/>
        </w:rPr>
        <w:lastRenderedPageBreak/>
        <w:t>there are valid grounds of review, the court is enjoined to formulate</w:t>
      </w:r>
      <w:r w:rsidR="009A2A73" w:rsidRPr="00503D2A">
        <w:rPr>
          <w:rFonts w:ascii="Arial" w:eastAsia="Times New Roman" w:hAnsi="Arial" w:cs="Arial"/>
          <w:bCs/>
          <w:color w:val="000000"/>
          <w:sz w:val="24"/>
          <w:szCs w:val="24"/>
          <w:lang w:val="en-GB"/>
        </w:rPr>
        <w:t xml:space="preserve"> </w:t>
      </w:r>
      <w:r w:rsidR="00C77EF8"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a just and equitable remedy in terms of Section 172(1) of the Constitution</w:t>
      </w:r>
      <w:r w:rsidR="00D72764">
        <w:rPr>
          <w:rStyle w:val="FootnoteReference"/>
          <w:rFonts w:ascii="Arial" w:eastAsia="Times New Roman" w:hAnsi="Arial" w:cs="Arial"/>
          <w:bCs/>
          <w:color w:val="000000"/>
          <w:sz w:val="24"/>
          <w:szCs w:val="24"/>
          <w:lang w:val="en-GB"/>
        </w:rPr>
        <w:footnoteReference w:id="1"/>
      </w:r>
      <w:r w:rsidR="002B7D1B" w:rsidRPr="00503D2A">
        <w:rPr>
          <w:rFonts w:ascii="Arial" w:eastAsia="Times New Roman" w:hAnsi="Arial" w:cs="Arial"/>
          <w:bCs/>
          <w:color w:val="000000"/>
          <w:sz w:val="24"/>
          <w:szCs w:val="24"/>
          <w:lang w:val="en-GB"/>
        </w:rPr>
        <w:t xml:space="preserve"> and section 8(1) of the Promotion of Administrative Justice</w:t>
      </w:r>
      <w:r w:rsidR="00C77EF8">
        <w:rPr>
          <w:rStyle w:val="FootnoteReference"/>
          <w:rFonts w:ascii="Arial" w:eastAsia="Times New Roman" w:hAnsi="Arial" w:cs="Arial"/>
          <w:bCs/>
          <w:color w:val="000000"/>
          <w:sz w:val="24"/>
          <w:szCs w:val="24"/>
          <w:lang w:val="en-GB"/>
        </w:rPr>
        <w:footnoteReference w:id="2"/>
      </w:r>
      <w:r w:rsidR="00C77EF8"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(PAJA).</w:t>
      </w:r>
    </w:p>
    <w:p w14:paraId="06C7800B" w14:textId="77777777" w:rsidR="00C77EF8" w:rsidRPr="00C77EF8" w:rsidRDefault="00C77EF8" w:rsidP="00C77EF8">
      <w:pPr>
        <w:pStyle w:val="ListParagraph"/>
        <w:rPr>
          <w:rFonts w:ascii="Arial" w:eastAsia="Times New Roman" w:hAnsi="Arial" w:cs="Arial"/>
          <w:bCs/>
          <w:color w:val="000000"/>
          <w:sz w:val="24"/>
          <w:szCs w:val="24"/>
          <w:lang w:val="en-GB"/>
        </w:rPr>
      </w:pPr>
    </w:p>
    <w:p w14:paraId="2E87E683" w14:textId="5D9D7DCA" w:rsidR="008E1CE2"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3.</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During the period from March to July 2017</w:t>
      </w:r>
      <w:r w:rsidR="000D5544"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xml:space="preserve"> SANRAL advertised several tenders for consulting engineering services for the improvement of roads, </w:t>
      </w:r>
      <w:r w:rsidR="00B364B2" w:rsidRPr="00503D2A">
        <w:rPr>
          <w:rFonts w:ascii="Arial" w:eastAsia="Times New Roman" w:hAnsi="Arial" w:cs="Arial"/>
          <w:bCs/>
          <w:color w:val="000000"/>
          <w:sz w:val="24"/>
          <w:szCs w:val="24"/>
          <w:lang w:val="en-GB"/>
        </w:rPr>
        <w:t xml:space="preserve">namely bid no. R524-010-2019/3F; R524-010-2019/4F; R501-030-2019/1F; R511-020-2018/1F; R511-020-2018/2F; </w:t>
      </w:r>
      <w:r w:rsidR="002B7D1B" w:rsidRPr="00503D2A">
        <w:rPr>
          <w:rFonts w:ascii="Arial" w:eastAsia="Times New Roman" w:hAnsi="Arial" w:cs="Arial"/>
          <w:bCs/>
          <w:color w:val="000000"/>
          <w:sz w:val="24"/>
          <w:szCs w:val="24"/>
          <w:lang w:val="en-GB"/>
        </w:rPr>
        <w:t>R565-010-2019/2F and R040-050-2020/1F.</w:t>
      </w:r>
      <w:r w:rsidR="000D5544" w:rsidRPr="00503D2A">
        <w:rPr>
          <w:rFonts w:ascii="Arial" w:eastAsia="Times New Roman" w:hAnsi="Arial" w:cs="Arial"/>
          <w:bCs/>
          <w:color w:val="000000"/>
          <w:sz w:val="24"/>
          <w:szCs w:val="24"/>
          <w:lang w:val="en-GB"/>
        </w:rPr>
        <w:t xml:space="preserve"> </w:t>
      </w:r>
      <w:r w:rsidR="006835C5" w:rsidRPr="00503D2A">
        <w:rPr>
          <w:rFonts w:ascii="Arial" w:eastAsia="Times New Roman" w:hAnsi="Arial" w:cs="Arial"/>
          <w:bCs/>
          <w:color w:val="000000"/>
          <w:sz w:val="24"/>
          <w:szCs w:val="24"/>
          <w:lang w:val="en-GB"/>
        </w:rPr>
        <w:t xml:space="preserve">Urban Icon </w:t>
      </w:r>
      <w:r w:rsidR="002B7D1B" w:rsidRPr="00503D2A">
        <w:rPr>
          <w:rFonts w:ascii="Arial" w:eastAsia="Times New Roman" w:hAnsi="Arial" w:cs="Arial"/>
          <w:bCs/>
          <w:color w:val="000000"/>
          <w:sz w:val="24"/>
          <w:szCs w:val="24"/>
          <w:lang w:val="en-GB"/>
        </w:rPr>
        <w:t>was registere</w:t>
      </w:r>
      <w:r w:rsidR="000D5544" w:rsidRPr="00503D2A">
        <w:rPr>
          <w:rFonts w:ascii="Arial" w:eastAsia="Times New Roman" w:hAnsi="Arial" w:cs="Arial"/>
          <w:bCs/>
          <w:color w:val="000000"/>
          <w:sz w:val="24"/>
          <w:szCs w:val="24"/>
          <w:lang w:val="en-GB"/>
        </w:rPr>
        <w:t>d as a company during March 2017</w:t>
      </w:r>
      <w:r w:rsidR="002B7D1B" w:rsidRPr="00503D2A">
        <w:rPr>
          <w:rFonts w:ascii="Arial" w:eastAsia="Times New Roman" w:hAnsi="Arial" w:cs="Arial"/>
          <w:bCs/>
          <w:color w:val="000000"/>
          <w:sz w:val="24"/>
          <w:szCs w:val="24"/>
          <w:lang w:val="en-GB"/>
        </w:rPr>
        <w:t>,</w:t>
      </w:r>
      <w:r w:rsidR="000D5544"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at virtually the same time as the first tender was advertised.</w:t>
      </w:r>
      <w:r w:rsidR="000D5544"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It submitted bids and was the highest scoring bidder in respect of all seven tenders. It appeared to SANRAL that there was a significant risk associated with awarding all the tenders to Urban Icon, despite the fact that it was the highest scorer in all the tenders. During 2019</w:t>
      </w:r>
      <w:r w:rsidR="00C02084"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xml:space="preserve"> Urban Icon was award</w:t>
      </w:r>
      <w:r w:rsidR="006835C5" w:rsidRPr="00503D2A">
        <w:rPr>
          <w:rFonts w:ascii="Arial" w:eastAsia="Times New Roman" w:hAnsi="Arial" w:cs="Arial"/>
          <w:bCs/>
          <w:color w:val="000000"/>
          <w:sz w:val="24"/>
          <w:szCs w:val="24"/>
          <w:lang w:val="en-GB"/>
        </w:rPr>
        <w:t>ed tenders no. R524-010-2019/3F,</w:t>
      </w:r>
      <w:r w:rsidR="002B7D1B" w:rsidRPr="00503D2A">
        <w:rPr>
          <w:rFonts w:ascii="Arial" w:eastAsia="Times New Roman" w:hAnsi="Arial" w:cs="Arial"/>
          <w:bCs/>
          <w:color w:val="000000"/>
          <w:sz w:val="24"/>
          <w:szCs w:val="24"/>
          <w:lang w:val="en-GB"/>
        </w:rPr>
        <w:t xml:space="preserve"> R524-010-2019/4F and R501-030-2019/1F.</w:t>
      </w:r>
      <w:r w:rsidR="008E1CE2" w:rsidRPr="00503D2A">
        <w:rPr>
          <w:rFonts w:ascii="Arial" w:eastAsia="Times New Roman" w:hAnsi="Arial" w:cs="Arial"/>
          <w:bCs/>
          <w:color w:val="000000"/>
          <w:sz w:val="24"/>
          <w:szCs w:val="24"/>
          <w:lang w:val="en-GB"/>
        </w:rPr>
        <w:t xml:space="preserve"> </w:t>
      </w:r>
    </w:p>
    <w:p w14:paraId="2EA2F221" w14:textId="77777777" w:rsidR="008E1CE2" w:rsidRPr="008E1CE2" w:rsidRDefault="008E1CE2" w:rsidP="008E1CE2">
      <w:pPr>
        <w:pStyle w:val="ListParagraph"/>
        <w:rPr>
          <w:rFonts w:ascii="Arial" w:eastAsia="Times New Roman" w:hAnsi="Arial" w:cs="Arial"/>
          <w:bCs/>
          <w:color w:val="000000"/>
          <w:sz w:val="24"/>
          <w:szCs w:val="24"/>
          <w:lang w:val="en-GB"/>
        </w:rPr>
      </w:pPr>
    </w:p>
    <w:p w14:paraId="3C2F9ADB" w14:textId="57410A9C" w:rsidR="00F25FD2"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4.</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 xml:space="preserve">According to SANRAL these tenders related to the design and construction monitoring of roads which were less complex and posed less of a risk to SANRAL. The remaining tenders (the impugned tenders), which related to the construction monitoring of roads with a higher traffic volume, which were riskier and more complex, were awarded to the second highest scoring bidders which were the second, third and fourth respondents (the successful bidders), who were not new entrants and according to SANRAL had proven track records in providing engineering design and construction. </w:t>
      </w:r>
      <w:r w:rsidR="002B7D1B" w:rsidRPr="00503D2A">
        <w:rPr>
          <w:rFonts w:ascii="Arial" w:eastAsia="Times New Roman" w:hAnsi="Arial" w:cs="Arial"/>
          <w:bCs/>
          <w:color w:val="000000"/>
          <w:sz w:val="24"/>
          <w:szCs w:val="24"/>
          <w:lang w:val="en-GB"/>
        </w:rPr>
        <w:lastRenderedPageBreak/>
        <w:t xml:space="preserve">Urban Icon is of the view that all the tenders should have been awarded to it as it was the highest scoring bidder. </w:t>
      </w:r>
    </w:p>
    <w:p w14:paraId="09548640" w14:textId="77777777" w:rsidR="00F25FD2" w:rsidRPr="00F25FD2" w:rsidRDefault="00F25FD2" w:rsidP="00F25FD2">
      <w:pPr>
        <w:pStyle w:val="ListParagraph"/>
        <w:rPr>
          <w:rFonts w:ascii="Arial" w:eastAsia="Times New Roman" w:hAnsi="Arial" w:cs="Arial"/>
          <w:bCs/>
          <w:color w:val="000000"/>
          <w:sz w:val="24"/>
          <w:szCs w:val="24"/>
          <w:lang w:val="en-GB"/>
        </w:rPr>
      </w:pPr>
    </w:p>
    <w:p w14:paraId="0AAEEBB1" w14:textId="4CE45013" w:rsidR="00F25FD2"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C02084">
        <w:rPr>
          <w:rFonts w:ascii="Arial" w:eastAsia="Times New Roman" w:hAnsi="Arial" w:cs="Arial"/>
          <w:bCs/>
          <w:color w:val="000000"/>
          <w:sz w:val="24"/>
          <w:szCs w:val="24"/>
          <w:lang w:val="en-GB"/>
        </w:rPr>
        <w:t>5.</w:t>
      </w:r>
      <w:r w:rsidRPr="00C02084">
        <w:rPr>
          <w:rFonts w:ascii="Arial" w:eastAsia="Times New Roman" w:hAnsi="Arial" w:cs="Arial"/>
          <w:bCs/>
          <w:color w:val="000000"/>
          <w:sz w:val="24"/>
          <w:szCs w:val="24"/>
          <w:lang w:val="en-GB"/>
        </w:rPr>
        <w:tab/>
      </w:r>
      <w:r w:rsidR="00446D38" w:rsidRPr="00503D2A">
        <w:rPr>
          <w:rFonts w:ascii="Arial" w:eastAsia="Times New Roman" w:hAnsi="Arial" w:cs="Arial"/>
          <w:bCs/>
          <w:color w:val="000000"/>
          <w:sz w:val="24"/>
          <w:szCs w:val="24"/>
          <w:lang w:val="en-GB"/>
        </w:rPr>
        <w:t xml:space="preserve">Bidders were first assessed </w:t>
      </w:r>
      <w:r w:rsidR="00C02084" w:rsidRPr="00503D2A">
        <w:rPr>
          <w:rFonts w:ascii="Arial" w:eastAsia="Times New Roman" w:hAnsi="Arial" w:cs="Arial"/>
          <w:bCs/>
          <w:color w:val="000000"/>
          <w:sz w:val="24"/>
          <w:szCs w:val="24"/>
          <w:lang w:val="en-GB"/>
        </w:rPr>
        <w:t>on “</w:t>
      </w:r>
      <w:r w:rsidR="00DC4AAB" w:rsidRPr="00503D2A">
        <w:rPr>
          <w:rFonts w:ascii="Arial" w:eastAsia="Times New Roman" w:hAnsi="Arial" w:cs="Arial"/>
          <w:bCs/>
          <w:color w:val="000000"/>
          <w:sz w:val="24"/>
          <w:szCs w:val="24"/>
          <w:lang w:val="en-GB"/>
        </w:rPr>
        <w:t>responsiveness</w:t>
      </w:r>
      <w:r w:rsidR="002B7D1B" w:rsidRPr="00503D2A">
        <w:rPr>
          <w:rFonts w:ascii="Arial" w:eastAsia="Times New Roman" w:hAnsi="Arial" w:cs="Arial"/>
          <w:bCs/>
          <w:color w:val="000000"/>
          <w:sz w:val="24"/>
          <w:szCs w:val="24"/>
          <w:lang w:val="en-GB"/>
        </w:rPr>
        <w:t>” which included testing if the bidder met the eligibility requirements as stated in the tender documents. All bidders who met the eligibility requirements were then evaluated on functionality. Urban Icon met the minimum functionality points and qualified for further evaluation in terms of the price and preference points system. Urban Icon scored the highest points in terms of the price and preference point system in respect of the impugned tenders. On</w:t>
      </w:r>
      <w:r w:rsidR="00C02084" w:rsidRPr="00503D2A">
        <w:rPr>
          <w:rFonts w:ascii="Arial" w:eastAsia="Times New Roman" w:hAnsi="Arial" w:cs="Arial"/>
          <w:bCs/>
          <w:color w:val="000000"/>
          <w:sz w:val="24"/>
          <w:szCs w:val="24"/>
          <w:lang w:val="en-GB"/>
        </w:rPr>
        <w:t xml:space="preserve"> an individual basis,</w:t>
      </w:r>
      <w:r w:rsidR="002B7D1B" w:rsidRPr="00503D2A">
        <w:rPr>
          <w:rFonts w:ascii="Arial" w:eastAsia="Times New Roman" w:hAnsi="Arial" w:cs="Arial"/>
          <w:bCs/>
          <w:color w:val="000000"/>
          <w:sz w:val="24"/>
          <w:szCs w:val="24"/>
          <w:lang w:val="en-GB"/>
        </w:rPr>
        <w:t xml:space="preserve"> Urban Icon appeared to be the correct candidate for each of the projects. </w:t>
      </w:r>
    </w:p>
    <w:p w14:paraId="73949FBE" w14:textId="77777777" w:rsidR="00F25FD2" w:rsidRPr="00F25FD2" w:rsidRDefault="00F25FD2" w:rsidP="00F25FD2">
      <w:pPr>
        <w:pStyle w:val="ListParagraph"/>
        <w:rPr>
          <w:rFonts w:ascii="Arial" w:eastAsia="Times New Roman" w:hAnsi="Arial" w:cs="Arial"/>
          <w:bCs/>
          <w:color w:val="000000"/>
          <w:sz w:val="24"/>
          <w:szCs w:val="24"/>
          <w:lang w:val="en-GB"/>
        </w:rPr>
      </w:pPr>
    </w:p>
    <w:p w14:paraId="27C12FF0" w14:textId="0AFB518B" w:rsidR="00000813"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6.</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 xml:space="preserve">Initially, on 8 November 2017, it was recommended that tender bids no. R511-020-2018/1F and R511-020-2018/2F be awarded to Urban Icon. Mr. Moloto, a project manager at SANRAL conducted an assessment of Urban Icon’s financial ability, as well as its capacity to perform its obligations in respect of the two tenders awarded to </w:t>
      </w:r>
      <w:r w:rsidR="00DB6EFA" w:rsidRPr="00503D2A">
        <w:rPr>
          <w:rFonts w:ascii="Arial" w:eastAsia="Times New Roman" w:hAnsi="Arial" w:cs="Arial"/>
          <w:bCs/>
          <w:color w:val="000000"/>
          <w:sz w:val="24"/>
          <w:szCs w:val="24"/>
          <w:lang w:val="en-GB"/>
        </w:rPr>
        <w:t>it</w:t>
      </w:r>
      <w:r w:rsidR="002B7D1B" w:rsidRPr="00503D2A">
        <w:rPr>
          <w:rFonts w:ascii="Arial" w:eastAsia="Times New Roman" w:hAnsi="Arial" w:cs="Arial"/>
          <w:bCs/>
          <w:color w:val="000000"/>
          <w:sz w:val="24"/>
          <w:szCs w:val="24"/>
          <w:lang w:val="en-GB"/>
        </w:rPr>
        <w:t>. Based on the information available, Mr. Moloto took the view that Urban Icon did not pose a serious financial risk. Consequently, during May 2018, the recommendation of 8 November 2017 was approved by the Management Bid Adjudication Commit</w:t>
      </w:r>
      <w:r w:rsidR="008209C3" w:rsidRPr="00503D2A">
        <w:rPr>
          <w:rFonts w:ascii="Arial" w:eastAsia="Times New Roman" w:hAnsi="Arial" w:cs="Arial"/>
          <w:bCs/>
          <w:color w:val="000000"/>
          <w:sz w:val="24"/>
          <w:szCs w:val="24"/>
          <w:lang w:val="en-GB"/>
        </w:rPr>
        <w:t xml:space="preserve">tee (MBAC) on 16 February 2018 </w:t>
      </w:r>
      <w:r w:rsidR="002B7D1B" w:rsidRPr="00503D2A">
        <w:rPr>
          <w:rFonts w:ascii="Arial" w:eastAsia="Times New Roman" w:hAnsi="Arial" w:cs="Arial"/>
          <w:bCs/>
          <w:color w:val="000000"/>
          <w:sz w:val="24"/>
          <w:szCs w:val="24"/>
          <w:lang w:val="en-GB"/>
        </w:rPr>
        <w:t>and</w:t>
      </w:r>
      <w:r w:rsidR="001A75DB" w:rsidRPr="00503D2A">
        <w:rPr>
          <w:rFonts w:ascii="Arial" w:eastAsia="Times New Roman" w:hAnsi="Arial" w:cs="Arial"/>
          <w:bCs/>
          <w:color w:val="000000"/>
          <w:sz w:val="24"/>
          <w:szCs w:val="24"/>
          <w:lang w:val="en-GB"/>
        </w:rPr>
        <w:t xml:space="preserve"> by</w:t>
      </w:r>
      <w:r w:rsidR="002B7D1B" w:rsidRPr="00503D2A">
        <w:rPr>
          <w:rFonts w:ascii="Arial" w:eastAsia="Times New Roman" w:hAnsi="Arial" w:cs="Arial"/>
          <w:bCs/>
          <w:color w:val="000000"/>
          <w:sz w:val="24"/>
          <w:szCs w:val="24"/>
          <w:lang w:val="en-GB"/>
        </w:rPr>
        <w:t xml:space="preserve"> SANRAL’s Contracts Committee, on 6 March</w:t>
      </w:r>
      <w:r w:rsidR="008209C3"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2018.</w:t>
      </w:r>
      <w:r w:rsidR="008209C3"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 xml:space="preserve">The approval by the Contracts Committee </w:t>
      </w:r>
      <w:r w:rsidR="001A75DB" w:rsidRPr="00503D2A">
        <w:rPr>
          <w:rFonts w:ascii="Arial" w:eastAsia="Times New Roman" w:hAnsi="Arial" w:cs="Arial"/>
          <w:bCs/>
          <w:color w:val="000000"/>
          <w:sz w:val="24"/>
          <w:szCs w:val="24"/>
          <w:lang w:val="en-GB"/>
        </w:rPr>
        <w:t>stated</w:t>
      </w:r>
      <w:r w:rsidR="002B7D1B" w:rsidRPr="00503D2A">
        <w:rPr>
          <w:rFonts w:ascii="Arial" w:eastAsia="Times New Roman" w:hAnsi="Arial" w:cs="Arial"/>
          <w:bCs/>
          <w:color w:val="000000"/>
          <w:sz w:val="24"/>
          <w:szCs w:val="24"/>
          <w:lang w:val="en-GB"/>
        </w:rPr>
        <w:t xml:space="preserve"> that Urban Icon’s appointment was subject to it being called in to indicate, officially, if it had the requisite capacity to deliver</w:t>
      </w:r>
      <w:r w:rsidR="00000813" w:rsidRPr="00503D2A">
        <w:rPr>
          <w:rFonts w:ascii="Arial" w:eastAsia="Times New Roman" w:hAnsi="Arial" w:cs="Arial"/>
          <w:bCs/>
          <w:color w:val="000000"/>
          <w:sz w:val="24"/>
          <w:szCs w:val="24"/>
          <w:lang w:val="en-GB"/>
        </w:rPr>
        <w:t xml:space="preserve"> and/</w:t>
      </w:r>
      <w:r w:rsidR="00C02084" w:rsidRPr="00503D2A">
        <w:rPr>
          <w:rFonts w:ascii="Arial" w:eastAsia="Times New Roman" w:hAnsi="Arial" w:cs="Arial"/>
          <w:bCs/>
          <w:color w:val="000000"/>
          <w:sz w:val="24"/>
          <w:szCs w:val="24"/>
          <w:lang w:val="en-GB"/>
        </w:rPr>
        <w:t xml:space="preserve"> </w:t>
      </w:r>
      <w:r w:rsidR="00000813" w:rsidRPr="00503D2A">
        <w:rPr>
          <w:rFonts w:ascii="Arial" w:eastAsia="Times New Roman" w:hAnsi="Arial" w:cs="Arial"/>
          <w:bCs/>
          <w:color w:val="000000"/>
          <w:sz w:val="24"/>
          <w:szCs w:val="24"/>
          <w:lang w:val="en-GB"/>
        </w:rPr>
        <w:t>or perform in terms of the</w:t>
      </w:r>
      <w:r w:rsidR="002B7D1B" w:rsidRPr="00503D2A">
        <w:rPr>
          <w:rFonts w:ascii="Arial" w:eastAsia="Times New Roman" w:hAnsi="Arial" w:cs="Arial"/>
          <w:bCs/>
          <w:color w:val="000000"/>
          <w:sz w:val="24"/>
          <w:szCs w:val="24"/>
          <w:lang w:val="en-GB"/>
        </w:rPr>
        <w:t xml:space="preserve"> tenders. SANRAL </w:t>
      </w:r>
      <w:r w:rsidR="002B7D1B" w:rsidRPr="00503D2A">
        <w:rPr>
          <w:rFonts w:ascii="Arial" w:eastAsia="Times New Roman" w:hAnsi="Arial" w:cs="Arial"/>
          <w:bCs/>
          <w:color w:val="000000"/>
          <w:sz w:val="24"/>
          <w:szCs w:val="24"/>
          <w:lang w:val="en-GB"/>
        </w:rPr>
        <w:lastRenderedPageBreak/>
        <w:t>stated that there was a concern as some of the projects were to run concurrently a</w:t>
      </w:r>
      <w:r w:rsidR="009C4F9D" w:rsidRPr="00503D2A">
        <w:rPr>
          <w:rFonts w:ascii="Arial" w:eastAsia="Times New Roman" w:hAnsi="Arial" w:cs="Arial"/>
          <w:bCs/>
          <w:color w:val="000000"/>
          <w:sz w:val="24"/>
          <w:szCs w:val="24"/>
          <w:lang w:val="en-GB"/>
        </w:rPr>
        <w:t>nd Urban Icon was a new entrant and</w:t>
      </w:r>
      <w:r w:rsidR="002B7D1B" w:rsidRPr="00503D2A">
        <w:rPr>
          <w:rFonts w:ascii="Arial" w:eastAsia="Times New Roman" w:hAnsi="Arial" w:cs="Arial"/>
          <w:bCs/>
          <w:color w:val="000000"/>
          <w:sz w:val="24"/>
          <w:szCs w:val="24"/>
          <w:lang w:val="en-GB"/>
        </w:rPr>
        <w:t xml:space="preserve"> did not have a proven track record. The projects collectively amounted to close to R700 000 000.00</w:t>
      </w:r>
      <w:r w:rsidR="00B0735B"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(seven hundred million rand).</w:t>
      </w:r>
    </w:p>
    <w:p w14:paraId="3958E407" w14:textId="77777777" w:rsidR="00000813" w:rsidRDefault="00000813" w:rsidP="00000813">
      <w:pPr>
        <w:pStyle w:val="ListParagraph"/>
        <w:spacing w:after="120" w:line="480" w:lineRule="auto"/>
        <w:ind w:left="400"/>
        <w:jc w:val="both"/>
        <w:rPr>
          <w:rFonts w:ascii="Arial" w:eastAsia="Times New Roman" w:hAnsi="Arial" w:cs="Arial"/>
          <w:bCs/>
          <w:color w:val="000000"/>
          <w:sz w:val="24"/>
          <w:szCs w:val="24"/>
          <w:lang w:val="en-GB"/>
        </w:rPr>
      </w:pPr>
    </w:p>
    <w:p w14:paraId="4131C15F" w14:textId="4DC47349" w:rsidR="009678FB"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C02084">
        <w:rPr>
          <w:rFonts w:ascii="Arial" w:eastAsia="Times New Roman" w:hAnsi="Arial" w:cs="Arial"/>
          <w:bCs/>
          <w:color w:val="000000"/>
          <w:sz w:val="24"/>
          <w:szCs w:val="24"/>
          <w:lang w:val="en-GB"/>
        </w:rPr>
        <w:t>7.</w:t>
      </w:r>
      <w:r w:rsidRPr="00C02084">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A meeting was held on 7 September 2018 between Urban Icon and officials of SANRAL where the resources of Urban Icon was discussed, especially the technical staff required for the design and construction monitoring for the two projects. It transpired from t</w:t>
      </w:r>
      <w:r w:rsidR="009C4F9D" w:rsidRPr="00503D2A">
        <w:rPr>
          <w:rFonts w:ascii="Arial" w:eastAsia="Times New Roman" w:hAnsi="Arial" w:cs="Arial"/>
          <w:bCs/>
          <w:color w:val="000000"/>
          <w:sz w:val="24"/>
          <w:szCs w:val="24"/>
          <w:lang w:val="en-GB"/>
        </w:rPr>
        <w:t>his meeting that Urban Icon wa</w:t>
      </w:r>
      <w:r w:rsidR="002B7D1B" w:rsidRPr="00503D2A">
        <w:rPr>
          <w:rFonts w:ascii="Arial" w:eastAsia="Times New Roman" w:hAnsi="Arial" w:cs="Arial"/>
          <w:bCs/>
          <w:color w:val="000000"/>
          <w:sz w:val="24"/>
          <w:szCs w:val="24"/>
          <w:lang w:val="en-GB"/>
        </w:rPr>
        <w:t>s 100% black female owned, but the specialist/</w:t>
      </w:r>
      <w:r w:rsidR="00C02084"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key personnel involved in the del</w:t>
      </w:r>
      <w:r w:rsidR="009C4F9D" w:rsidRPr="00503D2A">
        <w:rPr>
          <w:rFonts w:ascii="Arial" w:eastAsia="Times New Roman" w:hAnsi="Arial" w:cs="Arial"/>
          <w:bCs/>
          <w:color w:val="000000"/>
          <w:sz w:val="24"/>
          <w:szCs w:val="24"/>
          <w:lang w:val="en-GB"/>
        </w:rPr>
        <w:t>ivery of the projects that were</w:t>
      </w:r>
      <w:r w:rsidR="002B7D1B" w:rsidRPr="00503D2A">
        <w:rPr>
          <w:rFonts w:ascii="Arial" w:eastAsia="Times New Roman" w:hAnsi="Arial" w:cs="Arial"/>
          <w:bCs/>
          <w:color w:val="000000"/>
          <w:sz w:val="24"/>
          <w:szCs w:val="24"/>
          <w:lang w:val="en-GB"/>
        </w:rPr>
        <w:t xml:space="preserve"> put forward in Urban Icon’s tender submissions in relation to the impugned tenders were individuals who were not shareholders, nor in the employ of Urban Icon. The other concerning aspect</w:t>
      </w:r>
      <w:r w:rsidR="009C4F9D" w:rsidRPr="00503D2A">
        <w:rPr>
          <w:rFonts w:ascii="Arial" w:eastAsia="Times New Roman" w:hAnsi="Arial" w:cs="Arial"/>
          <w:bCs/>
          <w:color w:val="000000"/>
          <w:sz w:val="24"/>
          <w:szCs w:val="24"/>
          <w:lang w:val="en-GB"/>
        </w:rPr>
        <w:t xml:space="preserve"> that arose</w:t>
      </w:r>
      <w:r w:rsidR="002B7D1B" w:rsidRPr="00503D2A">
        <w:rPr>
          <w:rFonts w:ascii="Arial" w:eastAsia="Times New Roman" w:hAnsi="Arial" w:cs="Arial"/>
          <w:bCs/>
          <w:color w:val="000000"/>
          <w:sz w:val="24"/>
          <w:szCs w:val="24"/>
          <w:lang w:val="en-GB"/>
        </w:rPr>
        <w:t xml:space="preserve">, was that Urban Icon had no proven track record and the cumulative amount for the three projects that it had previously performed was far less than the value of even one of the tenders that it bid for. </w:t>
      </w:r>
    </w:p>
    <w:p w14:paraId="2CD427BD" w14:textId="77777777" w:rsidR="009678FB" w:rsidRPr="009678FB" w:rsidRDefault="009678FB" w:rsidP="009678FB">
      <w:pPr>
        <w:pStyle w:val="ListParagraph"/>
        <w:spacing w:after="120" w:line="480" w:lineRule="auto"/>
        <w:ind w:left="400"/>
        <w:jc w:val="both"/>
        <w:rPr>
          <w:rFonts w:ascii="Arial" w:eastAsia="Times New Roman" w:hAnsi="Arial" w:cs="Arial"/>
          <w:bCs/>
          <w:color w:val="000000"/>
          <w:sz w:val="24"/>
          <w:szCs w:val="24"/>
          <w:lang w:val="en-GB"/>
        </w:rPr>
      </w:pPr>
    </w:p>
    <w:p w14:paraId="62054969" w14:textId="31EAB36C" w:rsidR="007E6F4C"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8.</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On 18 September 2018, MBAC resolved that a letter detailing further information from Urban Icon was required and</w:t>
      </w:r>
      <w:r w:rsidR="003579C3" w:rsidRPr="00503D2A">
        <w:rPr>
          <w:rFonts w:ascii="Arial" w:eastAsia="Times New Roman" w:hAnsi="Arial" w:cs="Arial"/>
          <w:bCs/>
          <w:color w:val="000000"/>
          <w:sz w:val="24"/>
          <w:szCs w:val="24"/>
          <w:lang w:val="en-GB"/>
        </w:rPr>
        <w:t xml:space="preserve"> a</w:t>
      </w:r>
      <w:r w:rsidR="002B7D1B" w:rsidRPr="00503D2A">
        <w:rPr>
          <w:rFonts w:ascii="Arial" w:eastAsia="Times New Roman" w:hAnsi="Arial" w:cs="Arial"/>
          <w:bCs/>
          <w:color w:val="000000"/>
          <w:sz w:val="24"/>
          <w:szCs w:val="24"/>
          <w:lang w:val="en-GB"/>
        </w:rPr>
        <w:t xml:space="preserve"> Mr. Essa</w:t>
      </w:r>
      <w:r w:rsidR="00C13481" w:rsidRPr="00503D2A">
        <w:rPr>
          <w:rFonts w:ascii="Arial" w:eastAsia="Times New Roman" w:hAnsi="Arial" w:cs="Arial"/>
          <w:bCs/>
          <w:color w:val="000000"/>
          <w:sz w:val="24"/>
          <w:szCs w:val="24"/>
          <w:lang w:val="en-GB"/>
        </w:rPr>
        <w:t>,</w:t>
      </w:r>
      <w:r w:rsidR="00C02084" w:rsidRPr="00503D2A">
        <w:rPr>
          <w:rFonts w:ascii="Arial" w:eastAsia="Times New Roman" w:hAnsi="Arial" w:cs="Arial"/>
          <w:bCs/>
          <w:color w:val="000000"/>
          <w:sz w:val="24"/>
          <w:szCs w:val="24"/>
          <w:lang w:val="en-GB"/>
        </w:rPr>
        <w:t xml:space="preserve"> </w:t>
      </w:r>
      <w:r w:rsidR="00C13481" w:rsidRPr="00503D2A">
        <w:rPr>
          <w:rFonts w:ascii="Arial" w:eastAsia="Times New Roman" w:hAnsi="Arial" w:cs="Arial"/>
          <w:bCs/>
          <w:color w:val="000000"/>
          <w:sz w:val="24"/>
          <w:szCs w:val="24"/>
          <w:lang w:val="en-GB"/>
        </w:rPr>
        <w:t>who was a consultant</w:t>
      </w:r>
      <w:r w:rsidR="002B7D1B" w:rsidRPr="00503D2A">
        <w:rPr>
          <w:rFonts w:ascii="Arial" w:eastAsia="Times New Roman" w:hAnsi="Arial" w:cs="Arial"/>
          <w:bCs/>
          <w:color w:val="000000"/>
          <w:sz w:val="24"/>
          <w:szCs w:val="24"/>
          <w:lang w:val="en-GB"/>
        </w:rPr>
        <w:t xml:space="preserve"> </w:t>
      </w:r>
      <w:r w:rsidR="00C13481" w:rsidRPr="00503D2A">
        <w:rPr>
          <w:rFonts w:ascii="Arial" w:eastAsia="Times New Roman" w:hAnsi="Arial" w:cs="Arial"/>
          <w:bCs/>
          <w:color w:val="000000"/>
          <w:sz w:val="24"/>
          <w:szCs w:val="24"/>
          <w:lang w:val="en-GB"/>
        </w:rPr>
        <w:t>to SANRAL,</w:t>
      </w:r>
      <w:r w:rsidR="00C02084"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was mandated to obtain the relevant information from Urban Icon and conduct a risk assessment/ due diligence in respect of Urban Icon’s capacity. Urban Icon questioned Mr. Essa’s authority to conduct a risk assessment/</w:t>
      </w:r>
      <w:r w:rsidR="00C02084"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 xml:space="preserve">due diligence. SANRAL however </w:t>
      </w:r>
      <w:r w:rsidR="00CB29FB" w:rsidRPr="00503D2A">
        <w:rPr>
          <w:rFonts w:ascii="Arial" w:eastAsia="Times New Roman" w:hAnsi="Arial" w:cs="Arial"/>
          <w:bCs/>
          <w:color w:val="000000"/>
          <w:sz w:val="24"/>
          <w:szCs w:val="24"/>
          <w:lang w:val="en-GB"/>
        </w:rPr>
        <w:t>pointed out</w:t>
      </w:r>
      <w:r w:rsidR="002B7D1B" w:rsidRPr="00503D2A">
        <w:rPr>
          <w:rFonts w:ascii="Arial" w:eastAsia="Times New Roman" w:hAnsi="Arial" w:cs="Arial"/>
          <w:bCs/>
          <w:color w:val="000000"/>
          <w:sz w:val="24"/>
          <w:szCs w:val="24"/>
          <w:lang w:val="en-GB"/>
        </w:rPr>
        <w:t xml:space="preserve"> that Mr. Essa was properly appointed in accordance with its procedure dealing with the appointment of consultants and his knowledge of the industry and the </w:t>
      </w:r>
      <w:r w:rsidR="002B7D1B" w:rsidRPr="00503D2A">
        <w:rPr>
          <w:rFonts w:ascii="Arial" w:eastAsia="Times New Roman" w:hAnsi="Arial" w:cs="Arial"/>
          <w:bCs/>
          <w:color w:val="000000"/>
          <w:sz w:val="24"/>
          <w:szCs w:val="24"/>
          <w:lang w:val="en-GB"/>
        </w:rPr>
        <w:lastRenderedPageBreak/>
        <w:t>processes in SANRAL placed him in a position to undertake the investigation as required by MBAC.</w:t>
      </w:r>
      <w:r w:rsidR="002E21D1" w:rsidRPr="00503D2A">
        <w:rPr>
          <w:rFonts w:ascii="Arial" w:eastAsia="Times New Roman" w:hAnsi="Arial" w:cs="Arial"/>
          <w:bCs/>
          <w:color w:val="000000"/>
          <w:sz w:val="24"/>
          <w:szCs w:val="24"/>
          <w:lang w:val="en-GB"/>
        </w:rPr>
        <w:t xml:space="preserve"> </w:t>
      </w:r>
    </w:p>
    <w:p w14:paraId="24D47BA4" w14:textId="77777777" w:rsidR="00C02084" w:rsidRPr="00C02084" w:rsidRDefault="00C02084" w:rsidP="00C02084">
      <w:pPr>
        <w:pStyle w:val="ListParagraph"/>
        <w:rPr>
          <w:rFonts w:ascii="Arial" w:eastAsia="Times New Roman" w:hAnsi="Arial" w:cs="Arial"/>
          <w:bCs/>
          <w:color w:val="000000"/>
          <w:sz w:val="24"/>
          <w:szCs w:val="24"/>
          <w:lang w:val="en-GB"/>
        </w:rPr>
      </w:pPr>
    </w:p>
    <w:p w14:paraId="27CDB2D3" w14:textId="77777777" w:rsidR="00C02084" w:rsidRPr="001D00A6" w:rsidRDefault="00C02084" w:rsidP="00C02084">
      <w:pPr>
        <w:pStyle w:val="ListParagraph"/>
        <w:spacing w:after="120" w:line="480" w:lineRule="auto"/>
        <w:ind w:left="400"/>
        <w:jc w:val="both"/>
        <w:rPr>
          <w:rFonts w:ascii="Arial" w:eastAsia="Times New Roman" w:hAnsi="Arial" w:cs="Arial"/>
          <w:bCs/>
          <w:color w:val="000000"/>
          <w:sz w:val="24"/>
          <w:szCs w:val="24"/>
          <w:lang w:val="en-GB"/>
        </w:rPr>
      </w:pPr>
    </w:p>
    <w:p w14:paraId="7FDE337B" w14:textId="582DAA03" w:rsidR="0054591F"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9.</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On the instructions of MBAC</w:t>
      </w:r>
      <w:r w:rsidR="007E6F4C"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xml:space="preserve"> correspondence was exchanged between Mr. Essa and Urban Icon </w:t>
      </w:r>
      <w:r w:rsidR="00CC7996" w:rsidRPr="00503D2A">
        <w:rPr>
          <w:rFonts w:ascii="Arial" w:eastAsia="Times New Roman" w:hAnsi="Arial" w:cs="Arial"/>
          <w:bCs/>
          <w:color w:val="000000"/>
          <w:sz w:val="24"/>
          <w:szCs w:val="24"/>
          <w:lang w:val="en-GB"/>
        </w:rPr>
        <w:t>between the period 27 September</w:t>
      </w:r>
      <w:r w:rsidR="002B7D1B" w:rsidRPr="00503D2A">
        <w:rPr>
          <w:rFonts w:ascii="Arial" w:eastAsia="Times New Roman" w:hAnsi="Arial" w:cs="Arial"/>
          <w:bCs/>
          <w:color w:val="000000"/>
          <w:sz w:val="24"/>
          <w:szCs w:val="24"/>
          <w:lang w:val="en-GB"/>
        </w:rPr>
        <w:t xml:space="preserve"> and 30 October 2018. In this correspondence</w:t>
      </w:r>
      <w:r w:rsidR="006B0150"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xml:space="preserve"> Mr. Essa attempted to obtain the necessary confirmation that Urban Icon did have the capacity to carry out the tenders. Urban Icon was dissatisfied with the manner in which SANRAL proceeded to determine its capacity. Urban Icon was of the view that the demands by SANRAL for Urban Icon to provide evidence of its ability to perform the works fell outside of SANRAL's rights when assessing the tenders, and appeared to be motivated by suspicion because it was 100% black female owned. SANRAL however argued that the request was bona fide and in compliance with section 2(1)(f) of the</w:t>
      </w:r>
      <w:r w:rsidR="00AD6B26" w:rsidRPr="00503D2A">
        <w:rPr>
          <w:rFonts w:ascii="Arial" w:eastAsia="Times New Roman" w:hAnsi="Arial" w:cs="Arial"/>
          <w:bCs/>
          <w:color w:val="000000"/>
          <w:sz w:val="24"/>
          <w:szCs w:val="24"/>
          <w:lang w:val="en-GB"/>
        </w:rPr>
        <w:t xml:space="preserve"> Preferential Procurement Policy Framework Act</w:t>
      </w:r>
      <w:r w:rsidR="00F8780C">
        <w:rPr>
          <w:rStyle w:val="FootnoteReference"/>
          <w:rFonts w:ascii="Arial" w:eastAsia="Times New Roman" w:hAnsi="Arial" w:cs="Arial"/>
          <w:bCs/>
          <w:color w:val="000000"/>
          <w:sz w:val="24"/>
          <w:szCs w:val="24"/>
          <w:lang w:val="en-GB"/>
        </w:rPr>
        <w:footnoteReference w:id="3"/>
      </w:r>
      <w:r w:rsidR="00AD6B26" w:rsidRPr="00503D2A">
        <w:rPr>
          <w:rFonts w:ascii="Arial" w:eastAsia="Times New Roman" w:hAnsi="Arial" w:cs="Arial"/>
          <w:bCs/>
          <w:color w:val="000000"/>
          <w:sz w:val="24"/>
          <w:szCs w:val="24"/>
          <w:lang w:val="en-GB"/>
        </w:rPr>
        <w:t xml:space="preserve"> (PPP</w:t>
      </w:r>
      <w:r w:rsidR="002B7D1B" w:rsidRPr="00503D2A">
        <w:rPr>
          <w:rFonts w:ascii="Arial" w:eastAsia="Times New Roman" w:hAnsi="Arial" w:cs="Arial"/>
          <w:bCs/>
          <w:color w:val="000000"/>
          <w:sz w:val="24"/>
          <w:szCs w:val="24"/>
          <w:lang w:val="en-GB"/>
        </w:rPr>
        <w:t>FA</w:t>
      </w:r>
      <w:r w:rsidR="00AD6B26"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as well as the Standard Conditions of Tenders.</w:t>
      </w:r>
    </w:p>
    <w:p w14:paraId="77880193" w14:textId="77777777" w:rsidR="002012AF" w:rsidRDefault="002012AF" w:rsidP="005A2EA0">
      <w:pPr>
        <w:pStyle w:val="ListParagraph"/>
        <w:spacing w:after="120" w:line="480" w:lineRule="auto"/>
        <w:ind w:left="400"/>
        <w:jc w:val="both"/>
        <w:rPr>
          <w:rFonts w:ascii="Arial" w:eastAsia="Times New Roman" w:hAnsi="Arial" w:cs="Arial"/>
          <w:bCs/>
          <w:color w:val="000000"/>
          <w:sz w:val="24"/>
          <w:szCs w:val="24"/>
          <w:lang w:val="en-GB"/>
        </w:rPr>
      </w:pPr>
    </w:p>
    <w:p w14:paraId="0A69FCEF" w14:textId="7287B004" w:rsidR="00CC7996"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10.</w:t>
      </w:r>
      <w:r>
        <w:rPr>
          <w:rFonts w:ascii="Arial" w:eastAsia="Times New Roman" w:hAnsi="Arial" w:cs="Arial"/>
          <w:bCs/>
          <w:color w:val="000000"/>
          <w:sz w:val="24"/>
          <w:szCs w:val="24"/>
          <w:lang w:val="en-GB"/>
        </w:rPr>
        <w:tab/>
      </w:r>
      <w:r w:rsidR="00CC7996" w:rsidRPr="00503D2A">
        <w:rPr>
          <w:rFonts w:ascii="Arial" w:eastAsia="Times New Roman" w:hAnsi="Arial" w:cs="Arial"/>
          <w:bCs/>
          <w:color w:val="000000"/>
          <w:sz w:val="24"/>
          <w:szCs w:val="24"/>
          <w:lang w:val="en-GB"/>
        </w:rPr>
        <w:t>On 27 September 2018, Mr. Essa, on instructions of MBAC requested certain documentation relevant to Urban Icon’s ability to execute on the tenders. On 18 October</w:t>
      </w:r>
      <w:r w:rsidR="00C02084" w:rsidRPr="00503D2A">
        <w:rPr>
          <w:rFonts w:ascii="Arial" w:eastAsia="Times New Roman" w:hAnsi="Arial" w:cs="Arial"/>
          <w:bCs/>
          <w:color w:val="000000"/>
          <w:sz w:val="24"/>
          <w:szCs w:val="24"/>
          <w:lang w:val="en-GB"/>
        </w:rPr>
        <w:t>,</w:t>
      </w:r>
      <w:r w:rsidR="00CC7996" w:rsidRPr="00503D2A">
        <w:rPr>
          <w:rFonts w:ascii="Arial" w:eastAsia="Times New Roman" w:hAnsi="Arial" w:cs="Arial"/>
          <w:bCs/>
          <w:color w:val="000000"/>
          <w:sz w:val="24"/>
          <w:szCs w:val="24"/>
          <w:lang w:val="en-GB"/>
        </w:rPr>
        <w:t xml:space="preserve"> Urban Icon responded and only provided some of the information and complained that some of the information requested was not required in the tender documents. On 19 October</w:t>
      </w:r>
      <w:r w:rsidR="00C02084" w:rsidRPr="00503D2A">
        <w:rPr>
          <w:rFonts w:ascii="Arial" w:eastAsia="Times New Roman" w:hAnsi="Arial" w:cs="Arial"/>
          <w:bCs/>
          <w:color w:val="000000"/>
          <w:sz w:val="24"/>
          <w:szCs w:val="24"/>
          <w:lang w:val="en-GB"/>
        </w:rPr>
        <w:t>,</w:t>
      </w:r>
      <w:r w:rsidR="00CC7996" w:rsidRPr="00503D2A">
        <w:rPr>
          <w:rFonts w:ascii="Arial" w:eastAsia="Times New Roman" w:hAnsi="Arial" w:cs="Arial"/>
          <w:bCs/>
          <w:color w:val="000000"/>
          <w:sz w:val="24"/>
          <w:szCs w:val="24"/>
          <w:lang w:val="en-GB"/>
        </w:rPr>
        <w:t xml:space="preserve"> Mr. Essa responded and explained the reasoning behind the request for further information. On 30 October 2018</w:t>
      </w:r>
      <w:r w:rsidR="00C02084" w:rsidRPr="00503D2A">
        <w:rPr>
          <w:rFonts w:ascii="Arial" w:eastAsia="Times New Roman" w:hAnsi="Arial" w:cs="Arial"/>
          <w:bCs/>
          <w:color w:val="000000"/>
          <w:sz w:val="24"/>
          <w:szCs w:val="24"/>
          <w:lang w:val="en-GB"/>
        </w:rPr>
        <w:t>,</w:t>
      </w:r>
      <w:r w:rsidR="00CC7996" w:rsidRPr="00503D2A">
        <w:rPr>
          <w:rFonts w:ascii="Arial" w:eastAsia="Times New Roman" w:hAnsi="Arial" w:cs="Arial"/>
          <w:bCs/>
          <w:color w:val="000000"/>
          <w:sz w:val="24"/>
          <w:szCs w:val="24"/>
          <w:lang w:val="en-GB"/>
        </w:rPr>
        <w:t xml:space="preserve"> Urban Icon responded and </w:t>
      </w:r>
      <w:r w:rsidR="00CC7996" w:rsidRPr="00503D2A">
        <w:rPr>
          <w:rFonts w:ascii="Arial" w:eastAsia="Times New Roman" w:hAnsi="Arial" w:cs="Arial"/>
          <w:bCs/>
          <w:color w:val="000000"/>
          <w:sz w:val="24"/>
          <w:szCs w:val="24"/>
          <w:lang w:val="en-GB"/>
        </w:rPr>
        <w:lastRenderedPageBreak/>
        <w:t>the response showed that the cumulative amount of the three projects completed by Urban Icon was far less than the value o</w:t>
      </w:r>
      <w:r w:rsidR="00C02084" w:rsidRPr="00503D2A">
        <w:rPr>
          <w:rFonts w:ascii="Arial" w:eastAsia="Times New Roman" w:hAnsi="Arial" w:cs="Arial"/>
          <w:bCs/>
          <w:color w:val="000000"/>
          <w:sz w:val="24"/>
          <w:szCs w:val="24"/>
          <w:lang w:val="en-GB"/>
        </w:rPr>
        <w:t>f a single tender it bid for. I</w:t>
      </w:r>
      <w:r w:rsidR="00CC7996" w:rsidRPr="00503D2A">
        <w:rPr>
          <w:rFonts w:ascii="Arial" w:eastAsia="Times New Roman" w:hAnsi="Arial" w:cs="Arial"/>
          <w:bCs/>
          <w:color w:val="000000"/>
          <w:sz w:val="24"/>
          <w:szCs w:val="24"/>
          <w:lang w:val="en-GB"/>
        </w:rPr>
        <w:t>t also indicated that Urban Icon was a sub-contractor in respec</w:t>
      </w:r>
      <w:r w:rsidR="00C02084" w:rsidRPr="00503D2A">
        <w:rPr>
          <w:rFonts w:ascii="Arial" w:eastAsia="Times New Roman" w:hAnsi="Arial" w:cs="Arial"/>
          <w:bCs/>
          <w:color w:val="000000"/>
          <w:sz w:val="24"/>
          <w:szCs w:val="24"/>
          <w:lang w:val="en-GB"/>
        </w:rPr>
        <w:t>t of two of the three projects, f</w:t>
      </w:r>
      <w:r w:rsidR="00CC7996" w:rsidRPr="00503D2A">
        <w:rPr>
          <w:rFonts w:ascii="Arial" w:eastAsia="Times New Roman" w:hAnsi="Arial" w:cs="Arial"/>
          <w:bCs/>
          <w:color w:val="000000"/>
          <w:sz w:val="24"/>
          <w:szCs w:val="24"/>
          <w:lang w:val="en-GB"/>
        </w:rPr>
        <w:t>urthermore, one of its references was a company related to it. The engagement with Urban Icon also revealed that it had a high reliance on external experts, who had their own companies and were also involved in other SANRAL projects. According to SANRAL this raised concerns about their capacity. Urban Icon indicated in addition that it required a two-month leeway between the implementation of the projects which were packaged into two packages a</w:t>
      </w:r>
      <w:r w:rsidR="00C02084" w:rsidRPr="00503D2A">
        <w:rPr>
          <w:rFonts w:ascii="Arial" w:eastAsia="Times New Roman" w:hAnsi="Arial" w:cs="Arial"/>
          <w:bCs/>
          <w:color w:val="000000"/>
          <w:sz w:val="24"/>
          <w:szCs w:val="24"/>
          <w:lang w:val="en-GB"/>
        </w:rPr>
        <w:t>nd further subdivided into sub-</w:t>
      </w:r>
      <w:r w:rsidR="00CC7996" w:rsidRPr="00503D2A">
        <w:rPr>
          <w:rFonts w:ascii="Arial" w:eastAsia="Times New Roman" w:hAnsi="Arial" w:cs="Arial"/>
          <w:bCs/>
          <w:color w:val="000000"/>
          <w:sz w:val="24"/>
          <w:szCs w:val="24"/>
          <w:lang w:val="en-GB"/>
        </w:rPr>
        <w:t xml:space="preserve">packages. </w:t>
      </w:r>
    </w:p>
    <w:p w14:paraId="1F190B0F" w14:textId="77777777" w:rsidR="00CC7996" w:rsidRDefault="00CC7996" w:rsidP="00CC7996">
      <w:pPr>
        <w:pStyle w:val="ListParagraph"/>
        <w:spacing w:after="120" w:line="480" w:lineRule="auto"/>
        <w:ind w:left="400"/>
        <w:jc w:val="both"/>
        <w:rPr>
          <w:rFonts w:ascii="Arial" w:eastAsia="Times New Roman" w:hAnsi="Arial" w:cs="Arial"/>
          <w:bCs/>
          <w:color w:val="000000"/>
          <w:sz w:val="24"/>
          <w:szCs w:val="24"/>
          <w:lang w:val="en-GB"/>
        </w:rPr>
      </w:pPr>
    </w:p>
    <w:p w14:paraId="216ED95A" w14:textId="5A58AD5D" w:rsidR="00C02084"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11.</w:t>
      </w:r>
      <w:r>
        <w:rPr>
          <w:rFonts w:ascii="Arial" w:eastAsia="Times New Roman" w:hAnsi="Arial" w:cs="Arial"/>
          <w:bCs/>
          <w:color w:val="000000"/>
          <w:sz w:val="24"/>
          <w:szCs w:val="24"/>
          <w:lang w:val="en-GB"/>
        </w:rPr>
        <w:tab/>
      </w:r>
      <w:r w:rsidR="00CC7996" w:rsidRPr="00503D2A">
        <w:rPr>
          <w:rFonts w:ascii="Arial" w:eastAsia="Times New Roman" w:hAnsi="Arial" w:cs="Arial"/>
          <w:bCs/>
          <w:color w:val="000000"/>
          <w:sz w:val="24"/>
          <w:szCs w:val="24"/>
          <w:lang w:val="en-GB"/>
        </w:rPr>
        <w:t>The correspond</w:t>
      </w:r>
      <w:r w:rsidR="0048079B" w:rsidRPr="00503D2A">
        <w:rPr>
          <w:rFonts w:ascii="Arial" w:eastAsia="Times New Roman" w:hAnsi="Arial" w:cs="Arial"/>
          <w:bCs/>
          <w:color w:val="000000"/>
          <w:sz w:val="24"/>
          <w:szCs w:val="24"/>
          <w:lang w:val="en-GB"/>
        </w:rPr>
        <w:t>ence from SANRAL emphasized</w:t>
      </w:r>
      <w:r w:rsidR="00CC7996" w:rsidRPr="00503D2A">
        <w:rPr>
          <w:rFonts w:ascii="Arial" w:eastAsia="Times New Roman" w:hAnsi="Arial" w:cs="Arial"/>
          <w:bCs/>
          <w:color w:val="000000"/>
          <w:sz w:val="24"/>
          <w:szCs w:val="24"/>
          <w:lang w:val="en-GB"/>
        </w:rPr>
        <w:t xml:space="preserve"> the fact that Urban Icon was in the running for several tenders and that fact informed the decision to establish Urban Icon’s experience, capability,</w:t>
      </w:r>
      <w:r w:rsidR="00C02084" w:rsidRPr="00503D2A">
        <w:rPr>
          <w:rFonts w:ascii="Arial" w:eastAsia="Times New Roman" w:hAnsi="Arial" w:cs="Arial"/>
          <w:bCs/>
          <w:color w:val="000000"/>
          <w:sz w:val="24"/>
          <w:szCs w:val="24"/>
          <w:lang w:val="en-GB"/>
        </w:rPr>
        <w:t xml:space="preserve"> capacity and sustainability</w:t>
      </w:r>
      <w:r w:rsidR="00CC7996" w:rsidRPr="00503D2A">
        <w:rPr>
          <w:rFonts w:ascii="Arial" w:eastAsia="Times New Roman" w:hAnsi="Arial" w:cs="Arial"/>
          <w:bCs/>
          <w:color w:val="000000"/>
          <w:sz w:val="24"/>
          <w:szCs w:val="24"/>
          <w:lang w:val="en-GB"/>
        </w:rPr>
        <w:t xml:space="preserve"> based on the engagements with Urban Icon</w:t>
      </w:r>
      <w:r w:rsidR="00042427" w:rsidRPr="00503D2A">
        <w:rPr>
          <w:rFonts w:ascii="Arial" w:eastAsia="Times New Roman" w:hAnsi="Arial" w:cs="Arial"/>
          <w:bCs/>
          <w:color w:val="000000"/>
          <w:sz w:val="24"/>
          <w:szCs w:val="24"/>
          <w:lang w:val="en-GB"/>
        </w:rPr>
        <w:t>.</w:t>
      </w:r>
      <w:r w:rsidR="00CC7996" w:rsidRPr="00503D2A">
        <w:rPr>
          <w:rFonts w:ascii="Arial" w:eastAsia="Times New Roman" w:hAnsi="Arial" w:cs="Arial"/>
          <w:bCs/>
          <w:color w:val="000000"/>
          <w:sz w:val="24"/>
          <w:szCs w:val="24"/>
          <w:lang w:val="en-GB"/>
        </w:rPr>
        <w:t xml:space="preserve"> Mr. Essa concluded that awarding all the tenders to Urban Icon would pose an unacceptable commercial risk as Urban Icon had only completed minor contracts, its proven track record did not warrant awarding simultaneous large tenders  to it and the high reliance on external experts presented a high risk. A withdrawal of these external experts would render Urban Icon without sufficient capacity to execute in respect of multiple projects. </w:t>
      </w:r>
      <w:r w:rsidR="002D577A" w:rsidRPr="00503D2A">
        <w:rPr>
          <w:rFonts w:ascii="Arial" w:eastAsia="Times New Roman" w:hAnsi="Arial" w:cs="Arial"/>
          <w:bCs/>
          <w:color w:val="000000"/>
          <w:sz w:val="24"/>
          <w:szCs w:val="24"/>
          <w:lang w:val="en-GB"/>
        </w:rPr>
        <w:t xml:space="preserve"> </w:t>
      </w:r>
      <w:r w:rsidR="00CC7996" w:rsidRPr="00503D2A">
        <w:rPr>
          <w:rFonts w:ascii="Arial" w:eastAsia="Times New Roman" w:hAnsi="Arial" w:cs="Arial"/>
          <w:bCs/>
          <w:color w:val="000000"/>
          <w:sz w:val="24"/>
          <w:szCs w:val="24"/>
          <w:lang w:val="en-GB"/>
        </w:rPr>
        <w:t xml:space="preserve"> The decision was also made to monitor Urban Icon and not to award any further tenders to it for a period of twelve months, this </w:t>
      </w:r>
      <w:r w:rsidR="00C02084" w:rsidRPr="00503D2A">
        <w:rPr>
          <w:rFonts w:ascii="Arial" w:eastAsia="Times New Roman" w:hAnsi="Arial" w:cs="Arial"/>
          <w:bCs/>
          <w:color w:val="000000"/>
          <w:sz w:val="24"/>
          <w:szCs w:val="24"/>
          <w:lang w:val="en-GB"/>
        </w:rPr>
        <w:t>period has since lapsed.</w:t>
      </w:r>
    </w:p>
    <w:p w14:paraId="1B82C6C6" w14:textId="77777777" w:rsidR="0048079B" w:rsidRPr="0048079B" w:rsidRDefault="0048079B" w:rsidP="0048079B">
      <w:pPr>
        <w:pStyle w:val="ListParagraph"/>
        <w:rPr>
          <w:rFonts w:ascii="Arial" w:eastAsia="Times New Roman" w:hAnsi="Arial" w:cs="Arial"/>
          <w:bCs/>
          <w:color w:val="000000"/>
          <w:sz w:val="24"/>
          <w:szCs w:val="24"/>
          <w:lang w:val="en-GB"/>
        </w:rPr>
      </w:pPr>
    </w:p>
    <w:p w14:paraId="727E2ACF" w14:textId="6A44FC9B" w:rsidR="0048079B"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lastRenderedPageBreak/>
        <w:t>12.</w:t>
      </w:r>
      <w:r>
        <w:rPr>
          <w:rFonts w:ascii="Arial" w:eastAsia="Times New Roman" w:hAnsi="Arial" w:cs="Arial"/>
          <w:bCs/>
          <w:color w:val="000000"/>
          <w:sz w:val="24"/>
          <w:szCs w:val="24"/>
          <w:lang w:val="en-GB"/>
        </w:rPr>
        <w:tab/>
      </w:r>
      <w:r w:rsidR="0048079B" w:rsidRPr="00503D2A">
        <w:rPr>
          <w:rFonts w:ascii="Arial" w:eastAsia="Times New Roman" w:hAnsi="Arial" w:cs="Arial"/>
          <w:bCs/>
          <w:color w:val="000000"/>
          <w:sz w:val="24"/>
          <w:szCs w:val="24"/>
          <w:lang w:val="en-GB"/>
        </w:rPr>
        <w:t>Mr. Essa recommended that SANRAL provide a reasonable workload to Urban Icon and advised that once it has settled and stabilized its employees, structures and systems, it would be able to bid on future tenders. On this basis, Mr. Essa initially recommended that tenders no. R511-020-2018/1F and R511-020-2018/2F be awarded to Urban Icon. On 12 December 2018 MBAC convened a meeting to which Mr. Essa was invited. After this meeting it was decided that tender no. R524-010-2019/3F could also be awarded to Urban Icon. The Contracts Committee was of the view that there was a reasonable risk that Urban Icon would not be able to deliver on all seven contracts and on 5 April 2019 the Contracts Committee revoked its decision to award the rest of the tenders to Urban Icon and they were awarded to the second highest bidders.</w:t>
      </w:r>
    </w:p>
    <w:p w14:paraId="6D3D36B1" w14:textId="77777777" w:rsidR="0048079B" w:rsidRPr="0049651C" w:rsidRDefault="0048079B" w:rsidP="0048079B">
      <w:pPr>
        <w:pStyle w:val="ListParagraph"/>
        <w:rPr>
          <w:rFonts w:ascii="Arial" w:eastAsia="Times New Roman" w:hAnsi="Arial" w:cs="Arial"/>
          <w:bCs/>
          <w:color w:val="000000"/>
          <w:sz w:val="24"/>
          <w:szCs w:val="24"/>
          <w:lang w:val="en-GB"/>
        </w:rPr>
      </w:pPr>
    </w:p>
    <w:p w14:paraId="5DDF4405" w14:textId="668FD5F0" w:rsidR="0048079B"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48079B">
        <w:rPr>
          <w:rFonts w:ascii="Arial" w:eastAsia="Times New Roman" w:hAnsi="Arial" w:cs="Arial"/>
          <w:bCs/>
          <w:color w:val="000000"/>
          <w:sz w:val="24"/>
          <w:szCs w:val="24"/>
          <w:lang w:val="en-GB"/>
        </w:rPr>
        <w:t>13.</w:t>
      </w:r>
      <w:r w:rsidRPr="0048079B">
        <w:rPr>
          <w:rFonts w:ascii="Arial" w:eastAsia="Times New Roman" w:hAnsi="Arial" w:cs="Arial"/>
          <w:bCs/>
          <w:color w:val="000000"/>
          <w:sz w:val="24"/>
          <w:szCs w:val="24"/>
          <w:lang w:val="en-GB"/>
        </w:rPr>
        <w:tab/>
      </w:r>
      <w:r w:rsidR="0048079B" w:rsidRPr="00503D2A">
        <w:rPr>
          <w:rFonts w:ascii="Arial" w:eastAsia="Times New Roman" w:hAnsi="Arial" w:cs="Arial"/>
          <w:bCs/>
          <w:color w:val="000000"/>
          <w:sz w:val="24"/>
          <w:szCs w:val="24"/>
          <w:lang w:val="en-GB"/>
        </w:rPr>
        <w:t>After finding out that the impugned tenders were not awarded to it, Urban Icon on 3 April 2020 addressed correspondence to SANRAL in which it, inter alia, requested reasons for the awards and an undertaking that SANRAL would not conclude and implement contracts with the successful bidders. These reasons were provided on 4 June 2020. Urban Icon was not satisfied with the reasons and launched this application.</w:t>
      </w:r>
    </w:p>
    <w:p w14:paraId="44BD3DFC" w14:textId="77777777" w:rsidR="00875B42" w:rsidRPr="00875B42" w:rsidRDefault="00875B42" w:rsidP="00875B42">
      <w:pPr>
        <w:pStyle w:val="ListParagraph"/>
        <w:rPr>
          <w:rFonts w:ascii="Arial" w:eastAsia="Times New Roman" w:hAnsi="Arial" w:cs="Arial"/>
          <w:bCs/>
          <w:color w:val="000000"/>
          <w:sz w:val="24"/>
          <w:szCs w:val="24"/>
          <w:lang w:val="en-GB"/>
        </w:rPr>
      </w:pPr>
    </w:p>
    <w:p w14:paraId="6D3A0AFC" w14:textId="0679C92D" w:rsidR="00C02084" w:rsidRPr="00503D2A" w:rsidRDefault="00503D2A" w:rsidP="00503D2A">
      <w:pPr>
        <w:tabs>
          <w:tab w:val="left" w:pos="1350"/>
          <w:tab w:val="left" w:pos="1440"/>
        </w:tabs>
        <w:spacing w:after="120" w:line="480" w:lineRule="auto"/>
        <w:ind w:left="400" w:hanging="580"/>
        <w:jc w:val="both"/>
        <w:rPr>
          <w:rFonts w:ascii="Arial" w:eastAsia="Times New Roman" w:hAnsi="Arial" w:cs="Arial"/>
          <w:bCs/>
          <w:color w:val="000000"/>
          <w:sz w:val="24"/>
          <w:szCs w:val="24"/>
          <w:lang w:val="en-GB"/>
        </w:rPr>
      </w:pPr>
      <w:r w:rsidRPr="00C02084">
        <w:rPr>
          <w:rFonts w:ascii="Arial" w:eastAsia="Times New Roman" w:hAnsi="Arial" w:cs="Arial"/>
          <w:bCs/>
          <w:color w:val="000000"/>
          <w:sz w:val="24"/>
          <w:szCs w:val="24"/>
          <w:lang w:val="en-GB"/>
        </w:rPr>
        <w:t>14.</w:t>
      </w:r>
      <w:r w:rsidRPr="00C02084">
        <w:rPr>
          <w:rFonts w:ascii="Arial" w:eastAsia="Times New Roman" w:hAnsi="Arial" w:cs="Arial"/>
          <w:bCs/>
          <w:color w:val="000000"/>
          <w:sz w:val="24"/>
          <w:szCs w:val="24"/>
          <w:lang w:val="en-GB"/>
        </w:rPr>
        <w:tab/>
      </w:r>
      <w:r w:rsidR="00875B42" w:rsidRPr="00503D2A">
        <w:rPr>
          <w:rFonts w:ascii="Arial" w:eastAsia="Times New Roman" w:hAnsi="Arial" w:cs="Arial"/>
          <w:bCs/>
          <w:color w:val="000000"/>
          <w:sz w:val="24"/>
          <w:szCs w:val="24"/>
          <w:lang w:val="en-GB"/>
        </w:rPr>
        <w:t xml:space="preserve">Urban Icon </w:t>
      </w:r>
      <w:r w:rsidR="0005565C" w:rsidRPr="00503D2A">
        <w:rPr>
          <w:rFonts w:ascii="Arial" w:eastAsia="Times New Roman" w:hAnsi="Arial" w:cs="Arial"/>
          <w:bCs/>
          <w:color w:val="000000"/>
          <w:sz w:val="24"/>
          <w:szCs w:val="24"/>
          <w:lang w:val="en-GB"/>
        </w:rPr>
        <w:t>raised various</w:t>
      </w:r>
      <w:r w:rsidR="00875B42" w:rsidRPr="00503D2A">
        <w:rPr>
          <w:rFonts w:ascii="Arial" w:eastAsia="Times New Roman" w:hAnsi="Arial" w:cs="Arial"/>
          <w:bCs/>
          <w:color w:val="000000"/>
          <w:sz w:val="24"/>
          <w:szCs w:val="24"/>
          <w:lang w:val="en-GB"/>
        </w:rPr>
        <w:t xml:space="preserve"> grounds of review</w:t>
      </w:r>
      <w:r w:rsidR="00C02084" w:rsidRPr="00503D2A">
        <w:rPr>
          <w:rFonts w:ascii="Arial" w:eastAsia="Times New Roman" w:hAnsi="Arial" w:cs="Arial"/>
          <w:bCs/>
          <w:color w:val="000000"/>
          <w:sz w:val="24"/>
          <w:szCs w:val="24"/>
          <w:lang w:val="en-GB"/>
        </w:rPr>
        <w:t>, which were that:</w:t>
      </w:r>
    </w:p>
    <w:p w14:paraId="7C6B8B97" w14:textId="5D4DEF9C" w:rsidR="00C02084" w:rsidRPr="00503D2A" w:rsidRDefault="00503D2A" w:rsidP="00503D2A">
      <w:pPr>
        <w:tabs>
          <w:tab w:val="left" w:pos="1350"/>
          <w:tab w:val="left" w:pos="1440"/>
        </w:tabs>
        <w:spacing w:after="120" w:line="480" w:lineRule="auto"/>
        <w:ind w:left="810" w:hanging="63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14.1</w:t>
      </w:r>
      <w:r>
        <w:rPr>
          <w:rFonts w:ascii="Arial" w:eastAsia="Times New Roman" w:hAnsi="Arial" w:cs="Arial"/>
          <w:bCs/>
          <w:color w:val="000000"/>
          <w:sz w:val="24"/>
          <w:szCs w:val="24"/>
          <w:lang w:val="en-GB"/>
        </w:rPr>
        <w:tab/>
      </w:r>
      <w:r w:rsidR="00C15682" w:rsidRPr="00503D2A">
        <w:rPr>
          <w:rFonts w:ascii="Arial" w:eastAsia="Times New Roman" w:hAnsi="Arial" w:cs="Arial"/>
          <w:bCs/>
          <w:color w:val="000000"/>
          <w:sz w:val="24"/>
          <w:szCs w:val="24"/>
          <w:lang w:val="en-GB"/>
        </w:rPr>
        <w:t>It was of the vie</w:t>
      </w:r>
      <w:r w:rsidR="007226DC" w:rsidRPr="00503D2A">
        <w:rPr>
          <w:rFonts w:ascii="Arial" w:eastAsia="Times New Roman" w:hAnsi="Arial" w:cs="Arial"/>
          <w:bCs/>
          <w:color w:val="000000"/>
          <w:sz w:val="24"/>
          <w:szCs w:val="24"/>
          <w:lang w:val="en-GB"/>
        </w:rPr>
        <w:t>w</w:t>
      </w:r>
      <w:r w:rsidR="00BF1133" w:rsidRPr="00503D2A">
        <w:rPr>
          <w:rFonts w:ascii="Arial" w:eastAsia="Times New Roman" w:hAnsi="Arial" w:cs="Arial"/>
          <w:bCs/>
          <w:color w:val="000000"/>
          <w:sz w:val="24"/>
          <w:szCs w:val="24"/>
          <w:lang w:val="en-GB"/>
        </w:rPr>
        <w:t xml:space="preserve"> that the assessment over and above the</w:t>
      </w:r>
      <w:r w:rsidR="008B6994" w:rsidRPr="00503D2A">
        <w:rPr>
          <w:rFonts w:ascii="Arial" w:eastAsia="Times New Roman" w:hAnsi="Arial" w:cs="Arial"/>
          <w:bCs/>
          <w:color w:val="000000"/>
          <w:sz w:val="24"/>
          <w:szCs w:val="24"/>
          <w:lang w:val="en-GB"/>
        </w:rPr>
        <w:t xml:space="preserve"> functionality assessment was </w:t>
      </w:r>
      <w:r w:rsidR="00C02084" w:rsidRPr="00503D2A">
        <w:rPr>
          <w:rFonts w:ascii="Arial" w:eastAsia="Times New Roman" w:hAnsi="Arial" w:cs="Arial"/>
          <w:bCs/>
          <w:color w:val="000000"/>
          <w:sz w:val="24"/>
          <w:szCs w:val="24"/>
          <w:lang w:val="en-GB"/>
        </w:rPr>
        <w:t>irregular a</w:t>
      </w:r>
      <w:r w:rsidR="00952792" w:rsidRPr="00503D2A">
        <w:rPr>
          <w:rFonts w:ascii="Arial" w:eastAsia="Times New Roman" w:hAnsi="Arial" w:cs="Arial"/>
          <w:bCs/>
          <w:color w:val="000000"/>
          <w:sz w:val="24"/>
          <w:szCs w:val="24"/>
          <w:lang w:val="en-GB"/>
        </w:rPr>
        <w:t>s it submitted the highest scoring bid it should have been awarded all the tenders.</w:t>
      </w:r>
      <w:r w:rsidR="00C02084" w:rsidRPr="00503D2A">
        <w:rPr>
          <w:rFonts w:ascii="Arial" w:eastAsia="Times New Roman" w:hAnsi="Arial" w:cs="Arial"/>
          <w:bCs/>
          <w:color w:val="000000"/>
          <w:sz w:val="24"/>
          <w:szCs w:val="24"/>
          <w:lang w:val="en-GB"/>
        </w:rPr>
        <w:t xml:space="preserve"> </w:t>
      </w:r>
    </w:p>
    <w:p w14:paraId="5F2796FE" w14:textId="2B28F2C8" w:rsidR="00C02084"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lastRenderedPageBreak/>
        <w:t>14.2</w:t>
      </w:r>
      <w:r>
        <w:rPr>
          <w:rFonts w:ascii="Arial" w:eastAsia="Times New Roman" w:hAnsi="Arial" w:cs="Arial"/>
          <w:bCs/>
          <w:color w:val="000000"/>
          <w:sz w:val="24"/>
          <w:szCs w:val="24"/>
          <w:lang w:val="en-GB"/>
        </w:rPr>
        <w:tab/>
      </w:r>
      <w:r w:rsidR="00FC3044" w:rsidRPr="00503D2A">
        <w:rPr>
          <w:rFonts w:ascii="Arial" w:eastAsia="Times New Roman" w:hAnsi="Arial" w:cs="Arial"/>
          <w:bCs/>
          <w:color w:val="000000"/>
          <w:sz w:val="24"/>
          <w:szCs w:val="24"/>
          <w:lang w:val="en-GB"/>
        </w:rPr>
        <w:t xml:space="preserve">The successful tenderers </w:t>
      </w:r>
      <w:r w:rsidR="003B7C69" w:rsidRPr="00503D2A">
        <w:rPr>
          <w:rFonts w:ascii="Arial" w:eastAsia="Times New Roman" w:hAnsi="Arial" w:cs="Arial"/>
          <w:bCs/>
          <w:color w:val="000000"/>
          <w:sz w:val="24"/>
          <w:szCs w:val="24"/>
          <w:lang w:val="en-GB"/>
        </w:rPr>
        <w:t>were improperly allowed to vary their bids.</w:t>
      </w:r>
      <w:r w:rsidR="00C02084" w:rsidRPr="00503D2A">
        <w:rPr>
          <w:rFonts w:ascii="Arial" w:eastAsia="Times New Roman" w:hAnsi="Arial" w:cs="Arial"/>
          <w:bCs/>
          <w:color w:val="000000"/>
          <w:sz w:val="24"/>
          <w:szCs w:val="24"/>
          <w:lang w:val="en-GB"/>
        </w:rPr>
        <w:t xml:space="preserve"> </w:t>
      </w:r>
    </w:p>
    <w:p w14:paraId="62643E32" w14:textId="382F50FB" w:rsidR="00C02084"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14.3</w:t>
      </w:r>
      <w:r>
        <w:rPr>
          <w:rFonts w:ascii="Arial" w:eastAsia="Times New Roman" w:hAnsi="Arial" w:cs="Arial"/>
          <w:bCs/>
          <w:color w:val="000000"/>
          <w:sz w:val="24"/>
          <w:szCs w:val="24"/>
          <w:lang w:val="en-GB"/>
        </w:rPr>
        <w:tab/>
      </w:r>
      <w:r w:rsidR="00931D98" w:rsidRPr="00503D2A">
        <w:rPr>
          <w:rFonts w:ascii="Arial" w:eastAsia="Times New Roman" w:hAnsi="Arial" w:cs="Arial"/>
          <w:bCs/>
          <w:color w:val="000000"/>
          <w:sz w:val="24"/>
          <w:szCs w:val="24"/>
          <w:lang w:val="en-GB"/>
        </w:rPr>
        <w:t>SANRAL unreasonably and improperly found that Urban Icon posed an unacceptable commercial risk</w:t>
      </w:r>
      <w:r w:rsidR="006543A2" w:rsidRPr="00503D2A">
        <w:rPr>
          <w:rFonts w:ascii="Arial" w:eastAsia="Times New Roman" w:hAnsi="Arial" w:cs="Arial"/>
          <w:bCs/>
          <w:color w:val="000000"/>
          <w:sz w:val="24"/>
          <w:szCs w:val="24"/>
          <w:lang w:val="en-GB"/>
        </w:rPr>
        <w:t>.</w:t>
      </w:r>
      <w:r w:rsidR="00C02084" w:rsidRPr="00503D2A">
        <w:rPr>
          <w:rFonts w:ascii="Arial" w:eastAsia="Times New Roman" w:hAnsi="Arial" w:cs="Arial"/>
          <w:bCs/>
          <w:color w:val="000000"/>
          <w:sz w:val="24"/>
          <w:szCs w:val="24"/>
          <w:lang w:val="en-GB"/>
        </w:rPr>
        <w:t xml:space="preserve"> </w:t>
      </w:r>
    </w:p>
    <w:p w14:paraId="7B57B873" w14:textId="5F80CE9F" w:rsidR="00C02084"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14.4</w:t>
      </w:r>
      <w:r>
        <w:rPr>
          <w:rFonts w:ascii="Arial" w:eastAsia="Times New Roman" w:hAnsi="Arial" w:cs="Arial"/>
          <w:bCs/>
          <w:color w:val="000000"/>
          <w:sz w:val="24"/>
          <w:szCs w:val="24"/>
          <w:lang w:val="en-GB"/>
        </w:rPr>
        <w:tab/>
      </w:r>
      <w:r w:rsidR="006543A2" w:rsidRPr="00503D2A">
        <w:rPr>
          <w:rFonts w:ascii="Arial" w:eastAsia="Times New Roman" w:hAnsi="Arial" w:cs="Arial"/>
          <w:bCs/>
          <w:color w:val="000000"/>
          <w:sz w:val="24"/>
          <w:szCs w:val="24"/>
          <w:lang w:val="en-GB"/>
        </w:rPr>
        <w:t>Mr. Essa</w:t>
      </w:r>
      <w:r w:rsidR="0048079B" w:rsidRPr="00503D2A">
        <w:rPr>
          <w:rFonts w:ascii="Arial" w:eastAsia="Times New Roman" w:hAnsi="Arial" w:cs="Arial"/>
          <w:bCs/>
          <w:color w:val="000000"/>
          <w:sz w:val="24"/>
          <w:szCs w:val="24"/>
          <w:lang w:val="en-GB"/>
        </w:rPr>
        <w:t>’</w:t>
      </w:r>
      <w:r w:rsidR="006543A2" w:rsidRPr="00503D2A">
        <w:rPr>
          <w:rFonts w:ascii="Arial" w:eastAsia="Times New Roman" w:hAnsi="Arial" w:cs="Arial"/>
          <w:bCs/>
          <w:color w:val="000000"/>
          <w:sz w:val="24"/>
          <w:szCs w:val="24"/>
          <w:lang w:val="en-GB"/>
        </w:rPr>
        <w:t>s involvement was unlawful.</w:t>
      </w:r>
      <w:r w:rsidR="00C02084" w:rsidRPr="00503D2A">
        <w:rPr>
          <w:rFonts w:ascii="Arial" w:eastAsia="Times New Roman" w:hAnsi="Arial" w:cs="Arial"/>
          <w:bCs/>
          <w:color w:val="000000"/>
          <w:sz w:val="24"/>
          <w:szCs w:val="24"/>
          <w:lang w:val="en-GB"/>
        </w:rPr>
        <w:t xml:space="preserve"> </w:t>
      </w:r>
    </w:p>
    <w:p w14:paraId="6150A958" w14:textId="2512D143" w:rsidR="00875B42"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sidRPr="00C02084">
        <w:rPr>
          <w:rFonts w:ascii="Arial" w:eastAsia="Times New Roman" w:hAnsi="Arial" w:cs="Arial"/>
          <w:bCs/>
          <w:color w:val="000000"/>
          <w:sz w:val="24"/>
          <w:szCs w:val="24"/>
          <w:lang w:val="en-GB"/>
        </w:rPr>
        <w:t>14.5</w:t>
      </w:r>
      <w:r w:rsidRPr="00C02084">
        <w:rPr>
          <w:rFonts w:ascii="Arial" w:eastAsia="Times New Roman" w:hAnsi="Arial" w:cs="Arial"/>
          <w:bCs/>
          <w:color w:val="000000"/>
          <w:sz w:val="24"/>
          <w:szCs w:val="24"/>
          <w:lang w:val="en-GB"/>
        </w:rPr>
        <w:tab/>
      </w:r>
      <w:r w:rsidR="008E1304" w:rsidRPr="00503D2A">
        <w:rPr>
          <w:rFonts w:ascii="Arial" w:eastAsia="Times New Roman" w:hAnsi="Arial" w:cs="Arial"/>
          <w:bCs/>
          <w:color w:val="000000"/>
          <w:sz w:val="24"/>
          <w:szCs w:val="24"/>
          <w:lang w:val="en-GB"/>
        </w:rPr>
        <w:t>SANRAL unlawfully relied on par</w:t>
      </w:r>
      <w:r w:rsidR="00C02084" w:rsidRPr="00503D2A">
        <w:rPr>
          <w:rFonts w:ascii="Arial" w:eastAsia="Times New Roman" w:hAnsi="Arial" w:cs="Arial"/>
          <w:bCs/>
          <w:color w:val="000000"/>
          <w:sz w:val="24"/>
          <w:szCs w:val="24"/>
          <w:lang w:val="en-GB"/>
        </w:rPr>
        <w:t xml:space="preserve">agraph </w:t>
      </w:r>
      <w:r w:rsidR="008E1304" w:rsidRPr="00503D2A">
        <w:rPr>
          <w:rFonts w:ascii="Arial" w:eastAsia="Times New Roman" w:hAnsi="Arial" w:cs="Arial"/>
          <w:bCs/>
          <w:color w:val="000000"/>
          <w:sz w:val="24"/>
          <w:szCs w:val="24"/>
          <w:lang w:val="en-GB"/>
        </w:rPr>
        <w:t>5(</w:t>
      </w:r>
      <w:r w:rsidR="005C5C4C" w:rsidRPr="00503D2A">
        <w:rPr>
          <w:rFonts w:ascii="Arial" w:eastAsia="Times New Roman" w:hAnsi="Arial" w:cs="Arial"/>
          <w:bCs/>
          <w:color w:val="000000"/>
          <w:sz w:val="24"/>
          <w:szCs w:val="24"/>
          <w:lang w:val="en-GB"/>
        </w:rPr>
        <w:t>13)</w:t>
      </w:r>
      <w:r w:rsidR="00C02084" w:rsidRPr="00503D2A">
        <w:rPr>
          <w:rFonts w:ascii="Arial" w:eastAsia="Times New Roman" w:hAnsi="Arial" w:cs="Arial"/>
          <w:bCs/>
          <w:color w:val="000000"/>
          <w:sz w:val="24"/>
          <w:szCs w:val="24"/>
          <w:lang w:val="en-GB"/>
        </w:rPr>
        <w:t xml:space="preserve"> </w:t>
      </w:r>
      <w:r w:rsidR="005C5C4C" w:rsidRPr="00503D2A">
        <w:rPr>
          <w:rFonts w:ascii="Arial" w:eastAsia="Times New Roman" w:hAnsi="Arial" w:cs="Arial"/>
          <w:bCs/>
          <w:color w:val="000000"/>
          <w:sz w:val="24"/>
          <w:szCs w:val="24"/>
          <w:lang w:val="en-GB"/>
        </w:rPr>
        <w:t>(b) of the Conditions of Tender,</w:t>
      </w:r>
      <w:r w:rsidR="00C02084" w:rsidRPr="00503D2A">
        <w:rPr>
          <w:rFonts w:ascii="Arial" w:eastAsia="Times New Roman" w:hAnsi="Arial" w:cs="Arial"/>
          <w:bCs/>
          <w:color w:val="000000"/>
          <w:sz w:val="24"/>
          <w:szCs w:val="24"/>
          <w:lang w:val="en-GB"/>
        </w:rPr>
        <w:t xml:space="preserve"> </w:t>
      </w:r>
      <w:r w:rsidR="005C5C4C" w:rsidRPr="00503D2A">
        <w:rPr>
          <w:rFonts w:ascii="Arial" w:eastAsia="Times New Roman" w:hAnsi="Arial" w:cs="Arial"/>
          <w:bCs/>
          <w:color w:val="000000"/>
          <w:sz w:val="24"/>
          <w:szCs w:val="24"/>
          <w:lang w:val="en-GB"/>
        </w:rPr>
        <w:t>acted ultra vires as it had no authority</w:t>
      </w:r>
      <w:r w:rsidR="00315007" w:rsidRPr="00503D2A">
        <w:rPr>
          <w:rFonts w:ascii="Arial" w:eastAsia="Times New Roman" w:hAnsi="Arial" w:cs="Arial"/>
          <w:bCs/>
          <w:color w:val="000000"/>
          <w:sz w:val="24"/>
          <w:szCs w:val="24"/>
          <w:lang w:val="en-GB"/>
        </w:rPr>
        <w:t xml:space="preserve"> to impose the monitoring decision and Urban Icon did not have a fair hearing on the proposed</w:t>
      </w:r>
      <w:r w:rsidR="006253E2" w:rsidRPr="00503D2A">
        <w:rPr>
          <w:rFonts w:ascii="Arial" w:eastAsia="Times New Roman" w:hAnsi="Arial" w:cs="Arial"/>
          <w:bCs/>
          <w:color w:val="000000"/>
          <w:sz w:val="24"/>
          <w:szCs w:val="24"/>
          <w:lang w:val="en-GB"/>
        </w:rPr>
        <w:t xml:space="preserve"> ban.</w:t>
      </w:r>
    </w:p>
    <w:p w14:paraId="6E7D89C8" w14:textId="77777777" w:rsidR="00875B42" w:rsidRDefault="00875B42" w:rsidP="00875B42">
      <w:pPr>
        <w:pStyle w:val="ListParagraph"/>
        <w:tabs>
          <w:tab w:val="left" w:pos="1350"/>
          <w:tab w:val="left" w:pos="1440"/>
        </w:tabs>
        <w:spacing w:after="120" w:line="480" w:lineRule="auto"/>
        <w:ind w:left="900"/>
        <w:jc w:val="both"/>
        <w:rPr>
          <w:rFonts w:ascii="Arial" w:eastAsia="Times New Roman" w:hAnsi="Arial" w:cs="Arial"/>
          <w:bCs/>
          <w:color w:val="000000"/>
          <w:sz w:val="24"/>
          <w:szCs w:val="24"/>
          <w:lang w:val="en-GB"/>
        </w:rPr>
      </w:pPr>
    </w:p>
    <w:p w14:paraId="611B9E50" w14:textId="1EBE1978" w:rsidR="00875B42" w:rsidRPr="00503D2A" w:rsidRDefault="00503D2A" w:rsidP="00503D2A">
      <w:pPr>
        <w:tabs>
          <w:tab w:val="left" w:pos="1350"/>
          <w:tab w:val="left" w:pos="1440"/>
        </w:tabs>
        <w:spacing w:after="120" w:line="480" w:lineRule="auto"/>
        <w:ind w:left="360" w:hanging="54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15.</w:t>
      </w:r>
      <w:r>
        <w:rPr>
          <w:rFonts w:ascii="Arial" w:eastAsia="Times New Roman" w:hAnsi="Arial" w:cs="Arial"/>
          <w:bCs/>
          <w:color w:val="000000"/>
          <w:sz w:val="24"/>
          <w:szCs w:val="24"/>
          <w:lang w:val="en-GB"/>
        </w:rPr>
        <w:tab/>
      </w:r>
      <w:r w:rsidR="00875B42" w:rsidRPr="00503D2A">
        <w:rPr>
          <w:rFonts w:ascii="Arial" w:eastAsia="Times New Roman" w:hAnsi="Arial" w:cs="Arial"/>
          <w:bCs/>
          <w:color w:val="000000"/>
          <w:sz w:val="24"/>
          <w:szCs w:val="24"/>
          <w:lang w:val="en-GB"/>
        </w:rPr>
        <w:t>The following issues arise for determination:</w:t>
      </w:r>
    </w:p>
    <w:p w14:paraId="7B954930" w14:textId="72DD9D71" w:rsidR="00875B42"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15.1</w:t>
      </w:r>
      <w:r>
        <w:rPr>
          <w:rFonts w:ascii="Arial" w:eastAsia="Times New Roman" w:hAnsi="Arial" w:cs="Arial"/>
          <w:bCs/>
          <w:color w:val="000000"/>
          <w:sz w:val="24"/>
          <w:szCs w:val="24"/>
          <w:lang w:val="en-GB"/>
        </w:rPr>
        <w:tab/>
      </w:r>
      <w:r w:rsidR="00875B42" w:rsidRPr="00503D2A">
        <w:rPr>
          <w:rFonts w:ascii="Arial" w:eastAsia="Times New Roman" w:hAnsi="Arial" w:cs="Arial"/>
          <w:bCs/>
          <w:color w:val="000000"/>
          <w:sz w:val="24"/>
          <w:szCs w:val="24"/>
          <w:lang w:val="en-GB"/>
        </w:rPr>
        <w:t>Whether the Preferential Procurement Policy Framework Act 5 of 2000</w:t>
      </w:r>
      <w:r w:rsidR="00C02084" w:rsidRPr="00503D2A">
        <w:rPr>
          <w:rFonts w:ascii="Arial" w:eastAsia="Times New Roman" w:hAnsi="Arial" w:cs="Arial"/>
          <w:bCs/>
          <w:color w:val="000000"/>
          <w:sz w:val="24"/>
          <w:szCs w:val="24"/>
          <w:lang w:val="en-GB"/>
        </w:rPr>
        <w:t xml:space="preserve"> </w:t>
      </w:r>
      <w:r w:rsidR="00875B42" w:rsidRPr="00503D2A">
        <w:rPr>
          <w:rFonts w:ascii="Arial" w:eastAsia="Times New Roman" w:hAnsi="Arial" w:cs="Arial"/>
          <w:bCs/>
          <w:color w:val="000000"/>
          <w:sz w:val="24"/>
          <w:szCs w:val="24"/>
          <w:lang w:val="en-GB"/>
        </w:rPr>
        <w:t>(PPPFA) permits a due diligence and risk evaluation on a holistic basis, and in the context of many tenders submitted by the tenderer for a number of projects to be simultaneously delivered after functionality and price scoring, or whether such assessment must be limited to the functionality and the 90/10 scoring.</w:t>
      </w:r>
    </w:p>
    <w:p w14:paraId="2925A662" w14:textId="62E94BA8" w:rsidR="00875B42"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15.2</w:t>
      </w:r>
      <w:r>
        <w:rPr>
          <w:rFonts w:ascii="Arial" w:eastAsia="Times New Roman" w:hAnsi="Arial" w:cs="Arial"/>
          <w:bCs/>
          <w:color w:val="000000"/>
          <w:sz w:val="24"/>
          <w:szCs w:val="24"/>
          <w:lang w:val="en-GB"/>
        </w:rPr>
        <w:tab/>
      </w:r>
      <w:r w:rsidR="00875B42" w:rsidRPr="00503D2A">
        <w:rPr>
          <w:rFonts w:ascii="Arial" w:eastAsia="Times New Roman" w:hAnsi="Arial" w:cs="Arial"/>
          <w:bCs/>
          <w:color w:val="000000"/>
          <w:sz w:val="24"/>
          <w:szCs w:val="24"/>
          <w:lang w:val="en-GB"/>
        </w:rPr>
        <w:t>If SANRAL could perform such an assessment in principle, whether the invitation to tender disclosed that it would do so and, if not, whether that rendered the award procedurally unfair.</w:t>
      </w:r>
    </w:p>
    <w:p w14:paraId="246CBF77" w14:textId="5A1FA246" w:rsidR="00875B42"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15.3</w:t>
      </w:r>
      <w:r>
        <w:rPr>
          <w:rFonts w:ascii="Arial" w:eastAsia="Times New Roman" w:hAnsi="Arial" w:cs="Arial"/>
          <w:bCs/>
          <w:color w:val="000000"/>
          <w:sz w:val="24"/>
          <w:szCs w:val="24"/>
          <w:lang w:val="en-GB"/>
        </w:rPr>
        <w:tab/>
      </w:r>
      <w:r w:rsidR="00875B42" w:rsidRPr="00503D2A">
        <w:rPr>
          <w:rFonts w:ascii="Arial" w:eastAsia="Times New Roman" w:hAnsi="Arial" w:cs="Arial"/>
          <w:bCs/>
          <w:color w:val="000000"/>
          <w:sz w:val="24"/>
          <w:szCs w:val="24"/>
          <w:lang w:val="en-GB"/>
        </w:rPr>
        <w:t>Whether there were objective criteria as envisaged in section 2(1)</w:t>
      </w:r>
      <w:r w:rsidR="00C02084" w:rsidRPr="00503D2A">
        <w:rPr>
          <w:rFonts w:ascii="Arial" w:eastAsia="Times New Roman" w:hAnsi="Arial" w:cs="Arial"/>
          <w:bCs/>
          <w:color w:val="000000"/>
          <w:sz w:val="24"/>
          <w:szCs w:val="24"/>
          <w:lang w:val="en-GB"/>
        </w:rPr>
        <w:t xml:space="preserve"> </w:t>
      </w:r>
      <w:r w:rsidR="00875B42" w:rsidRPr="00503D2A">
        <w:rPr>
          <w:rFonts w:ascii="Arial" w:eastAsia="Times New Roman" w:hAnsi="Arial" w:cs="Arial"/>
          <w:bCs/>
          <w:color w:val="000000"/>
          <w:sz w:val="24"/>
          <w:szCs w:val="24"/>
          <w:lang w:val="en-GB"/>
        </w:rPr>
        <w:t>(f) of the PPPFA which justified the award of the tender to the successful tenderers.</w:t>
      </w:r>
    </w:p>
    <w:p w14:paraId="7AFA051B" w14:textId="6F2E9637" w:rsidR="00875B42"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15.4</w:t>
      </w:r>
      <w:r>
        <w:rPr>
          <w:rFonts w:ascii="Arial" w:eastAsia="Times New Roman" w:hAnsi="Arial" w:cs="Arial"/>
          <w:bCs/>
          <w:color w:val="000000"/>
          <w:sz w:val="24"/>
          <w:szCs w:val="24"/>
          <w:lang w:val="en-GB"/>
        </w:rPr>
        <w:tab/>
      </w:r>
      <w:r w:rsidR="00875B42" w:rsidRPr="00503D2A">
        <w:rPr>
          <w:rFonts w:ascii="Arial" w:eastAsia="Times New Roman" w:hAnsi="Arial" w:cs="Arial"/>
          <w:bCs/>
          <w:color w:val="000000"/>
          <w:sz w:val="24"/>
          <w:szCs w:val="24"/>
          <w:lang w:val="en-GB"/>
        </w:rPr>
        <w:t>Whether the requirements in paragraph 5.13 of the Standard Conditions of Tender that a tenderer may not constitute an unacceptable commercial risk constitutes an objective criterion as contemplated in section 2(1) (f).</w:t>
      </w:r>
    </w:p>
    <w:p w14:paraId="64A2C495" w14:textId="1C4ABF56" w:rsidR="00875B42"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lastRenderedPageBreak/>
        <w:t>15.5</w:t>
      </w:r>
      <w:r>
        <w:rPr>
          <w:rFonts w:ascii="Arial" w:eastAsia="Times New Roman" w:hAnsi="Arial" w:cs="Arial"/>
          <w:bCs/>
          <w:color w:val="000000"/>
          <w:sz w:val="24"/>
          <w:szCs w:val="24"/>
          <w:lang w:val="en-GB"/>
        </w:rPr>
        <w:tab/>
      </w:r>
      <w:r w:rsidR="00875B42" w:rsidRPr="00503D2A">
        <w:rPr>
          <w:rFonts w:ascii="Arial" w:eastAsia="Times New Roman" w:hAnsi="Arial" w:cs="Arial"/>
          <w:bCs/>
          <w:color w:val="000000"/>
          <w:sz w:val="24"/>
          <w:szCs w:val="24"/>
          <w:lang w:val="en-GB"/>
        </w:rPr>
        <w:t>To the extent that there was non-compliance by SANRAL, whether this was material given the purpose and spirit of the relevant provisions.</w:t>
      </w:r>
    </w:p>
    <w:p w14:paraId="535C77FF" w14:textId="5C113D8A" w:rsidR="00CC7996" w:rsidRPr="00503D2A" w:rsidRDefault="00503D2A" w:rsidP="00503D2A">
      <w:pPr>
        <w:tabs>
          <w:tab w:val="left" w:pos="1350"/>
          <w:tab w:val="left" w:pos="1440"/>
        </w:tabs>
        <w:spacing w:after="120" w:line="480" w:lineRule="auto"/>
        <w:ind w:left="860" w:hanging="6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15.6</w:t>
      </w:r>
      <w:r>
        <w:rPr>
          <w:rFonts w:ascii="Arial" w:eastAsia="Times New Roman" w:hAnsi="Arial" w:cs="Arial"/>
          <w:bCs/>
          <w:color w:val="000000"/>
          <w:sz w:val="24"/>
          <w:szCs w:val="24"/>
          <w:lang w:val="en-GB"/>
        </w:rPr>
        <w:tab/>
      </w:r>
      <w:r w:rsidR="00875B42" w:rsidRPr="00503D2A">
        <w:rPr>
          <w:rFonts w:ascii="Arial" w:eastAsia="Times New Roman" w:hAnsi="Arial" w:cs="Arial"/>
          <w:bCs/>
          <w:color w:val="000000"/>
          <w:sz w:val="24"/>
          <w:szCs w:val="24"/>
          <w:lang w:val="en-GB"/>
        </w:rPr>
        <w:t>If the court should find that the impugned tenders were inconsistent with the Constitution and invalid, what, if any, remedial relief ought to be awarded, in particular whether the awards of the impugned tenders should be set aside; and whether it is permissible and just and equitable for the court to award what remains of the contracts to Urban Icon, or to refer it back to SANRAL for re-determination.</w:t>
      </w:r>
    </w:p>
    <w:p w14:paraId="54698C5F" w14:textId="37133C21" w:rsidR="0048079B"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48079B">
        <w:rPr>
          <w:rFonts w:ascii="Arial" w:eastAsia="Times New Roman" w:hAnsi="Arial" w:cs="Arial"/>
          <w:bCs/>
          <w:color w:val="000000"/>
          <w:sz w:val="24"/>
          <w:szCs w:val="24"/>
          <w:lang w:val="en-GB"/>
        </w:rPr>
        <w:t>16.</w:t>
      </w:r>
      <w:r w:rsidRPr="0048079B">
        <w:rPr>
          <w:rFonts w:ascii="Arial" w:eastAsia="Times New Roman" w:hAnsi="Arial" w:cs="Arial"/>
          <w:bCs/>
          <w:color w:val="000000"/>
          <w:sz w:val="24"/>
          <w:szCs w:val="24"/>
          <w:lang w:val="en-GB"/>
        </w:rPr>
        <w:tab/>
      </w:r>
      <w:r w:rsidR="0048079B" w:rsidRPr="00503D2A">
        <w:rPr>
          <w:rFonts w:ascii="Arial" w:eastAsia="Times New Roman" w:hAnsi="Arial" w:cs="Arial"/>
          <w:bCs/>
          <w:color w:val="000000"/>
          <w:sz w:val="24"/>
          <w:szCs w:val="24"/>
          <w:lang w:val="en-GB"/>
        </w:rPr>
        <w:t>Before dealing with the grounds of review and legislation, another issue needs addressing first. It was argued on behalf of SANRAL that it was obliged to comply with the Construction Industry Development Board Act</w:t>
      </w:r>
      <w:r w:rsidR="0048079B">
        <w:rPr>
          <w:rStyle w:val="FootnoteReference"/>
          <w:rFonts w:ascii="Arial" w:eastAsia="Times New Roman" w:hAnsi="Arial" w:cs="Arial"/>
          <w:bCs/>
          <w:color w:val="000000"/>
          <w:sz w:val="24"/>
          <w:szCs w:val="24"/>
          <w:lang w:val="en-GB"/>
        </w:rPr>
        <w:footnoteReference w:id="4"/>
      </w:r>
      <w:r w:rsidR="0048079B" w:rsidRPr="00503D2A">
        <w:rPr>
          <w:rFonts w:ascii="Arial" w:eastAsia="Times New Roman" w:hAnsi="Arial" w:cs="Arial"/>
          <w:bCs/>
          <w:color w:val="000000"/>
          <w:sz w:val="24"/>
          <w:szCs w:val="24"/>
          <w:lang w:val="en-GB"/>
        </w:rPr>
        <w:t xml:space="preserve"> (CIDB Act) and CIDB Regulations, a view that was not shared by Urban Icon. It was pointed out by Urban Icon that compliance with the CIDB Act and CIDB Regulations were never raised by SANRAL as a reason for its impugned decision, nor did the record show that it informed SANRAL’s decision. The tender documents did not require the bidders to be registered contractors and the second to fourth respondents were also not registered contractors. As this issue was not raised by SANRAL as a reason for its decision to award the tenders in the manner that it did, it will not be appropriate to rely on it at this belated stage. </w:t>
      </w:r>
    </w:p>
    <w:p w14:paraId="1D7452BF" w14:textId="77777777" w:rsidR="0054591F" w:rsidRPr="0054591F" w:rsidRDefault="0054591F" w:rsidP="0054591F">
      <w:pPr>
        <w:pStyle w:val="ListParagraph"/>
        <w:rPr>
          <w:rFonts w:ascii="Arial" w:eastAsia="Times New Roman" w:hAnsi="Arial" w:cs="Arial"/>
          <w:bCs/>
          <w:color w:val="000000"/>
          <w:sz w:val="24"/>
          <w:szCs w:val="24"/>
          <w:lang w:val="en-GB"/>
        </w:rPr>
      </w:pPr>
    </w:p>
    <w:p w14:paraId="1AC05625" w14:textId="7EF38F09" w:rsidR="00A90688"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677723">
        <w:rPr>
          <w:rFonts w:ascii="Arial" w:eastAsia="Times New Roman" w:hAnsi="Arial" w:cs="Arial"/>
          <w:bCs/>
          <w:color w:val="000000"/>
          <w:sz w:val="24"/>
          <w:szCs w:val="24"/>
          <w:lang w:val="en-GB"/>
        </w:rPr>
        <w:t>17.</w:t>
      </w:r>
      <w:r w:rsidRPr="00677723">
        <w:rPr>
          <w:rFonts w:ascii="Arial" w:eastAsia="Times New Roman" w:hAnsi="Arial" w:cs="Arial"/>
          <w:bCs/>
          <w:color w:val="000000"/>
          <w:sz w:val="24"/>
          <w:szCs w:val="24"/>
          <w:lang w:val="en-GB"/>
        </w:rPr>
        <w:tab/>
      </w:r>
      <w:r w:rsidR="00677723" w:rsidRPr="00503D2A">
        <w:rPr>
          <w:rFonts w:ascii="Arial" w:eastAsia="Times New Roman" w:hAnsi="Arial" w:cs="Arial"/>
          <w:bCs/>
          <w:color w:val="000000"/>
          <w:sz w:val="24"/>
          <w:szCs w:val="24"/>
          <w:lang w:val="en-GB"/>
        </w:rPr>
        <w:t xml:space="preserve">It was argued on behalf of SANRAL that the monitoring decision did not constitute an administrative action as it did not have any direct external legal effect, and even if it </w:t>
      </w:r>
      <w:r w:rsidR="00677723" w:rsidRPr="00503D2A">
        <w:rPr>
          <w:rFonts w:ascii="Arial" w:eastAsia="Times New Roman" w:hAnsi="Arial" w:cs="Arial"/>
          <w:bCs/>
          <w:color w:val="000000"/>
          <w:sz w:val="24"/>
          <w:szCs w:val="24"/>
          <w:lang w:val="en-GB"/>
        </w:rPr>
        <w:lastRenderedPageBreak/>
        <w:t>was, it was inconsequential because SANRAL would in any event not have awarded Urban Icon tenders in addition to the tenders awarded to it</w:t>
      </w:r>
      <w:r w:rsidR="009272C2" w:rsidRPr="00503D2A">
        <w:rPr>
          <w:rFonts w:ascii="Arial" w:eastAsia="Times New Roman" w:hAnsi="Arial" w:cs="Arial"/>
          <w:bCs/>
          <w:color w:val="000000"/>
          <w:sz w:val="24"/>
          <w:szCs w:val="24"/>
          <w:lang w:val="en-GB"/>
        </w:rPr>
        <w:t>,</w:t>
      </w:r>
      <w:r w:rsidR="00677723" w:rsidRPr="00503D2A">
        <w:rPr>
          <w:rFonts w:ascii="Arial" w:eastAsia="Times New Roman" w:hAnsi="Arial" w:cs="Arial"/>
          <w:bCs/>
          <w:color w:val="000000"/>
          <w:sz w:val="24"/>
          <w:szCs w:val="24"/>
          <w:lang w:val="en-GB"/>
        </w:rPr>
        <w:t xml:space="preserve"> because of the unacceptable commercial risk explained above. </w:t>
      </w:r>
      <w:r w:rsidR="00A90688" w:rsidRPr="00503D2A">
        <w:rPr>
          <w:rFonts w:ascii="Arial" w:eastAsia="Times New Roman" w:hAnsi="Arial" w:cs="Arial"/>
          <w:bCs/>
          <w:color w:val="000000"/>
          <w:sz w:val="24"/>
          <w:szCs w:val="24"/>
          <w:lang w:val="en-GB"/>
        </w:rPr>
        <w:t>It is clear from the record and papers filed that the monitoring decision was a result of the due diligence which resulted in the finding of an unacceptable commercial risk and was not the reason for not awarding the tender to Urban Icon.</w:t>
      </w:r>
      <w:r w:rsidR="00AE1573" w:rsidRPr="00503D2A">
        <w:rPr>
          <w:rFonts w:ascii="Arial" w:eastAsia="Times New Roman" w:hAnsi="Arial" w:cs="Arial"/>
          <w:bCs/>
          <w:color w:val="000000"/>
          <w:sz w:val="24"/>
          <w:szCs w:val="24"/>
          <w:lang w:val="en-GB"/>
        </w:rPr>
        <w:t xml:space="preserve"> </w:t>
      </w:r>
      <w:r w:rsidR="00677723" w:rsidRPr="00503D2A">
        <w:rPr>
          <w:rFonts w:ascii="Arial" w:eastAsia="Times New Roman" w:hAnsi="Arial" w:cs="Arial"/>
          <w:bCs/>
          <w:color w:val="000000"/>
          <w:sz w:val="24"/>
          <w:szCs w:val="24"/>
          <w:lang w:val="en-GB"/>
        </w:rPr>
        <w:t>T</w:t>
      </w:r>
      <w:r w:rsidR="00A90688" w:rsidRPr="00503D2A">
        <w:rPr>
          <w:rFonts w:ascii="Arial" w:eastAsia="Times New Roman" w:hAnsi="Arial" w:cs="Arial"/>
          <w:bCs/>
          <w:color w:val="000000"/>
          <w:sz w:val="24"/>
          <w:szCs w:val="24"/>
          <w:lang w:val="en-GB"/>
        </w:rPr>
        <w:t xml:space="preserve">he monitoring decision </w:t>
      </w:r>
      <w:r w:rsidR="00AE1573" w:rsidRPr="00503D2A">
        <w:rPr>
          <w:rFonts w:ascii="Arial" w:eastAsia="Times New Roman" w:hAnsi="Arial" w:cs="Arial"/>
          <w:bCs/>
          <w:color w:val="000000"/>
          <w:sz w:val="24"/>
          <w:szCs w:val="24"/>
          <w:lang w:val="en-GB"/>
        </w:rPr>
        <w:t>did not constitute</w:t>
      </w:r>
      <w:r w:rsidR="00A90688" w:rsidRPr="00503D2A">
        <w:rPr>
          <w:rFonts w:ascii="Arial" w:eastAsia="Times New Roman" w:hAnsi="Arial" w:cs="Arial"/>
          <w:bCs/>
          <w:color w:val="000000"/>
          <w:sz w:val="24"/>
          <w:szCs w:val="24"/>
          <w:lang w:val="en-GB"/>
        </w:rPr>
        <w:t xml:space="preserve"> an administrative action which is subject to review</w:t>
      </w:r>
      <w:r w:rsidR="00AE1573" w:rsidRPr="00503D2A">
        <w:rPr>
          <w:rFonts w:ascii="Arial" w:eastAsia="Times New Roman" w:hAnsi="Arial" w:cs="Arial"/>
          <w:bCs/>
          <w:color w:val="000000"/>
          <w:sz w:val="24"/>
          <w:szCs w:val="24"/>
          <w:lang w:val="en-GB"/>
        </w:rPr>
        <w:t xml:space="preserve"> as it did not have any external legal effect when evaluated</w:t>
      </w:r>
      <w:r w:rsidR="00FC3C5C" w:rsidRPr="00503D2A">
        <w:rPr>
          <w:rFonts w:ascii="Arial" w:eastAsia="Times New Roman" w:hAnsi="Arial" w:cs="Arial"/>
          <w:bCs/>
          <w:color w:val="000000"/>
          <w:sz w:val="24"/>
          <w:szCs w:val="24"/>
          <w:lang w:val="en-GB"/>
        </w:rPr>
        <w:t xml:space="preserve"> on its own</w:t>
      </w:r>
      <w:r w:rsidR="00A90688" w:rsidRPr="00503D2A">
        <w:rPr>
          <w:rFonts w:ascii="Arial" w:eastAsia="Times New Roman" w:hAnsi="Arial" w:cs="Arial"/>
          <w:bCs/>
          <w:color w:val="000000"/>
          <w:sz w:val="24"/>
          <w:szCs w:val="24"/>
          <w:lang w:val="en-GB"/>
        </w:rPr>
        <w:t xml:space="preserve"> and as the period has expired it is no longer </w:t>
      </w:r>
      <w:r w:rsidR="009272C2" w:rsidRPr="00503D2A">
        <w:rPr>
          <w:rFonts w:ascii="Arial" w:eastAsia="Times New Roman" w:hAnsi="Arial" w:cs="Arial"/>
          <w:bCs/>
          <w:color w:val="000000"/>
          <w:sz w:val="24"/>
          <w:szCs w:val="24"/>
          <w:lang w:val="en-GB"/>
        </w:rPr>
        <w:t>a life issue</w:t>
      </w:r>
      <w:r w:rsidR="00A90688" w:rsidRPr="00503D2A">
        <w:rPr>
          <w:rFonts w:ascii="Arial" w:eastAsia="Times New Roman" w:hAnsi="Arial" w:cs="Arial"/>
          <w:bCs/>
          <w:color w:val="000000"/>
          <w:sz w:val="24"/>
          <w:szCs w:val="24"/>
          <w:lang w:val="en-GB"/>
        </w:rPr>
        <w:t xml:space="preserve"> </w:t>
      </w:r>
      <w:r w:rsidR="00276530" w:rsidRPr="00503D2A">
        <w:rPr>
          <w:rFonts w:ascii="Arial" w:eastAsia="Times New Roman" w:hAnsi="Arial" w:cs="Arial"/>
          <w:bCs/>
          <w:color w:val="000000"/>
          <w:sz w:val="24"/>
          <w:szCs w:val="24"/>
          <w:lang w:val="en-GB"/>
        </w:rPr>
        <w:t>that requires determination.</w:t>
      </w:r>
    </w:p>
    <w:p w14:paraId="5FB589F4" w14:textId="0E027CBB" w:rsidR="00A90688" w:rsidRDefault="00A90688" w:rsidP="00A90688">
      <w:pPr>
        <w:pStyle w:val="ListParagraph"/>
        <w:rPr>
          <w:rFonts w:ascii="Arial" w:eastAsia="Times New Roman" w:hAnsi="Arial" w:cs="Arial"/>
          <w:bCs/>
          <w:color w:val="000000"/>
          <w:sz w:val="24"/>
          <w:szCs w:val="24"/>
          <w:lang w:val="en-GB"/>
        </w:rPr>
      </w:pPr>
    </w:p>
    <w:p w14:paraId="1077DBBE" w14:textId="77777777" w:rsidR="00C02084" w:rsidRPr="0025472E" w:rsidRDefault="00C02084" w:rsidP="00A90688">
      <w:pPr>
        <w:pStyle w:val="ListParagraph"/>
        <w:rPr>
          <w:rFonts w:ascii="Arial" w:eastAsia="Times New Roman" w:hAnsi="Arial" w:cs="Arial"/>
          <w:bCs/>
          <w:color w:val="000000"/>
          <w:sz w:val="24"/>
          <w:szCs w:val="24"/>
          <w:lang w:val="en-GB"/>
        </w:rPr>
      </w:pPr>
    </w:p>
    <w:p w14:paraId="64F439C2" w14:textId="28D56FDC" w:rsidR="00875B42"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18.</w:t>
      </w:r>
      <w:r>
        <w:rPr>
          <w:rFonts w:ascii="Arial" w:eastAsia="Times New Roman" w:hAnsi="Arial" w:cs="Arial"/>
          <w:bCs/>
          <w:color w:val="000000"/>
          <w:sz w:val="24"/>
          <w:szCs w:val="24"/>
          <w:lang w:val="en-GB"/>
        </w:rPr>
        <w:tab/>
      </w:r>
      <w:r w:rsidR="00A90688" w:rsidRPr="00503D2A">
        <w:rPr>
          <w:rFonts w:ascii="Arial" w:eastAsia="Times New Roman" w:hAnsi="Arial" w:cs="Arial"/>
          <w:bCs/>
          <w:color w:val="000000"/>
          <w:sz w:val="24"/>
          <w:szCs w:val="24"/>
          <w:lang w:val="en-GB"/>
        </w:rPr>
        <w:t xml:space="preserve">Urban Icon is of the view that there was an untoward reason for not awarding all seven tenders to it and questioned whether Mr. Essa was entitled to do the due diligence and concluded that his involvement was unlawful. Mr. Essa was appointed by MBAC as a consultant according to SANRAL’s procedures and </w:t>
      </w:r>
      <w:r w:rsidR="008C7AFE" w:rsidRPr="00503D2A">
        <w:rPr>
          <w:rFonts w:ascii="Arial" w:eastAsia="Times New Roman" w:hAnsi="Arial" w:cs="Arial"/>
          <w:bCs/>
          <w:color w:val="000000"/>
          <w:sz w:val="24"/>
          <w:szCs w:val="24"/>
          <w:lang w:val="en-GB"/>
        </w:rPr>
        <w:t>no objective evidence was provided</w:t>
      </w:r>
      <w:r w:rsidR="007C5C79" w:rsidRPr="00503D2A">
        <w:rPr>
          <w:rFonts w:ascii="Arial" w:eastAsia="Times New Roman" w:hAnsi="Arial" w:cs="Arial"/>
          <w:bCs/>
          <w:color w:val="000000"/>
          <w:sz w:val="24"/>
          <w:szCs w:val="24"/>
          <w:lang w:val="en-GB"/>
        </w:rPr>
        <w:t xml:space="preserve"> to prove that his appointment was either irregular or unlawful.</w:t>
      </w:r>
      <w:r w:rsidR="00A90688" w:rsidRPr="00503D2A">
        <w:rPr>
          <w:rFonts w:ascii="Arial" w:eastAsia="Times New Roman" w:hAnsi="Arial" w:cs="Arial"/>
          <w:bCs/>
          <w:color w:val="000000"/>
          <w:sz w:val="24"/>
          <w:szCs w:val="24"/>
          <w:lang w:val="en-GB"/>
        </w:rPr>
        <w:t xml:space="preserve"> He did the due diligence in accordance with a lawful instruction from SANRAL</w:t>
      </w:r>
      <w:r w:rsidR="008770B3" w:rsidRPr="00503D2A">
        <w:rPr>
          <w:rFonts w:ascii="Arial" w:eastAsia="Times New Roman" w:hAnsi="Arial" w:cs="Arial"/>
          <w:bCs/>
          <w:color w:val="000000"/>
          <w:sz w:val="24"/>
          <w:szCs w:val="24"/>
          <w:lang w:val="en-GB"/>
        </w:rPr>
        <w:t>.</w:t>
      </w:r>
      <w:r w:rsidR="00C02084" w:rsidRPr="00503D2A">
        <w:rPr>
          <w:rFonts w:ascii="Arial" w:eastAsia="Times New Roman" w:hAnsi="Arial" w:cs="Arial"/>
          <w:bCs/>
          <w:color w:val="000000"/>
          <w:sz w:val="24"/>
          <w:szCs w:val="24"/>
          <w:lang w:val="en-GB"/>
        </w:rPr>
        <w:t xml:space="preserve"> </w:t>
      </w:r>
      <w:r w:rsidR="008770B3" w:rsidRPr="00503D2A">
        <w:rPr>
          <w:rFonts w:ascii="Arial" w:eastAsia="Times New Roman" w:hAnsi="Arial" w:cs="Arial"/>
          <w:bCs/>
          <w:color w:val="000000"/>
          <w:sz w:val="24"/>
          <w:szCs w:val="24"/>
          <w:lang w:val="en-GB"/>
        </w:rPr>
        <w:t xml:space="preserve">He was at pains to explain </w:t>
      </w:r>
      <w:r w:rsidR="0048079B" w:rsidRPr="00503D2A">
        <w:rPr>
          <w:rFonts w:ascii="Arial" w:eastAsia="Times New Roman" w:hAnsi="Arial" w:cs="Arial"/>
          <w:bCs/>
          <w:color w:val="000000"/>
          <w:sz w:val="24"/>
          <w:szCs w:val="24"/>
          <w:lang w:val="en-GB"/>
        </w:rPr>
        <w:t>his reasoning</w:t>
      </w:r>
      <w:r w:rsidR="008770B3" w:rsidRPr="00503D2A">
        <w:rPr>
          <w:rFonts w:ascii="Arial" w:eastAsia="Times New Roman" w:hAnsi="Arial" w:cs="Arial"/>
          <w:bCs/>
          <w:color w:val="000000"/>
          <w:sz w:val="24"/>
          <w:szCs w:val="24"/>
          <w:lang w:val="en-GB"/>
        </w:rPr>
        <w:t xml:space="preserve"> and concerns in the correspondence and Urban Icon was given ample opportunity to address these </w:t>
      </w:r>
      <w:r w:rsidR="00025F92" w:rsidRPr="00503D2A">
        <w:rPr>
          <w:rFonts w:ascii="Arial" w:eastAsia="Times New Roman" w:hAnsi="Arial" w:cs="Arial"/>
          <w:bCs/>
          <w:color w:val="000000"/>
          <w:sz w:val="24"/>
          <w:szCs w:val="24"/>
          <w:lang w:val="en-GB"/>
        </w:rPr>
        <w:t>concerns. There</w:t>
      </w:r>
      <w:r w:rsidR="00AF5917" w:rsidRPr="00503D2A">
        <w:rPr>
          <w:rFonts w:ascii="Arial" w:eastAsia="Times New Roman" w:hAnsi="Arial" w:cs="Arial"/>
          <w:bCs/>
          <w:color w:val="000000"/>
          <w:sz w:val="24"/>
          <w:szCs w:val="24"/>
          <w:lang w:val="en-GB"/>
        </w:rPr>
        <w:t xml:space="preserve"> is no legitimate basis for the suspicion that he was suspicious of Urban Icon’s ability because it is 100</w:t>
      </w:r>
      <w:r w:rsidR="00362274" w:rsidRPr="00503D2A">
        <w:rPr>
          <w:rFonts w:ascii="Arial" w:eastAsia="Times New Roman" w:hAnsi="Arial" w:cs="Arial"/>
          <w:bCs/>
          <w:color w:val="000000"/>
          <w:sz w:val="24"/>
          <w:szCs w:val="24"/>
          <w:lang w:val="en-GB"/>
        </w:rPr>
        <w:t>% black female owned.</w:t>
      </w:r>
    </w:p>
    <w:p w14:paraId="3E650821" w14:textId="77777777" w:rsidR="0048079B" w:rsidRPr="0048079B" w:rsidRDefault="0048079B" w:rsidP="0048079B">
      <w:pPr>
        <w:pStyle w:val="ListParagraph"/>
        <w:spacing w:after="120" w:line="480" w:lineRule="auto"/>
        <w:ind w:left="400"/>
        <w:jc w:val="both"/>
        <w:rPr>
          <w:rFonts w:ascii="Arial" w:eastAsia="Times New Roman" w:hAnsi="Arial" w:cs="Arial"/>
          <w:bCs/>
          <w:color w:val="000000"/>
          <w:sz w:val="24"/>
          <w:szCs w:val="24"/>
          <w:lang w:val="en-GB"/>
        </w:rPr>
      </w:pPr>
    </w:p>
    <w:p w14:paraId="0858A84A" w14:textId="4008040C" w:rsidR="000D6D85"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lastRenderedPageBreak/>
        <w:t>19.</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It is common cause that the procurement process and the tenders were subject to inter alia sections 33 and 217 of the Constitution, PAJA, the PPPFA and the PPPFA Regulations.</w:t>
      </w:r>
      <w:r w:rsidR="00937046"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A procurement system that is “fair, transparent and cost-effective” should be followed in terms of section 217 of the Constitution. SANRAL argued</w:t>
      </w:r>
      <w:r w:rsidR="00122FC9" w:rsidRPr="00503D2A">
        <w:rPr>
          <w:rFonts w:ascii="Arial" w:eastAsia="Times New Roman" w:hAnsi="Arial" w:cs="Arial"/>
          <w:bCs/>
          <w:color w:val="000000"/>
          <w:sz w:val="24"/>
          <w:szCs w:val="24"/>
          <w:lang w:val="en-GB"/>
        </w:rPr>
        <w:t xml:space="preserve"> and correctly so,</w:t>
      </w:r>
      <w:r w:rsidR="002B7D1B" w:rsidRPr="00503D2A">
        <w:rPr>
          <w:rFonts w:ascii="Arial" w:eastAsia="Times New Roman" w:hAnsi="Arial" w:cs="Arial"/>
          <w:bCs/>
          <w:color w:val="000000"/>
          <w:sz w:val="24"/>
          <w:szCs w:val="24"/>
          <w:lang w:val="en-GB"/>
        </w:rPr>
        <w:t xml:space="preserve"> that the ability of a tenderer to deliver bears directly on whether the tender would be cost-effective, to merely tick the boxes regarding price and preference is not sufficient if the entity is unable to do the job</w:t>
      </w:r>
      <w:r w:rsidR="00937046">
        <w:rPr>
          <w:rStyle w:val="FootnoteReference"/>
          <w:rFonts w:ascii="Arial" w:eastAsia="Times New Roman" w:hAnsi="Arial" w:cs="Arial"/>
          <w:bCs/>
          <w:color w:val="000000"/>
          <w:sz w:val="24"/>
          <w:szCs w:val="24"/>
          <w:lang w:val="en-GB"/>
        </w:rPr>
        <w:footnoteReference w:id="5"/>
      </w:r>
      <w:r w:rsidR="002B7D1B" w:rsidRPr="00503D2A">
        <w:rPr>
          <w:rFonts w:ascii="Arial" w:eastAsia="Times New Roman" w:hAnsi="Arial" w:cs="Arial"/>
          <w:bCs/>
          <w:color w:val="000000"/>
          <w:sz w:val="24"/>
          <w:szCs w:val="24"/>
          <w:lang w:val="en-GB"/>
        </w:rPr>
        <w:t xml:space="preserve">. </w:t>
      </w:r>
    </w:p>
    <w:p w14:paraId="4C3CC612" w14:textId="77777777" w:rsidR="000D6D85" w:rsidRDefault="000D6D85" w:rsidP="000D6D85">
      <w:pPr>
        <w:pStyle w:val="ListParagraph"/>
        <w:spacing w:after="120" w:line="480" w:lineRule="auto"/>
        <w:ind w:left="400"/>
        <w:jc w:val="both"/>
        <w:rPr>
          <w:rFonts w:ascii="Arial" w:eastAsia="Times New Roman" w:hAnsi="Arial" w:cs="Arial"/>
          <w:bCs/>
          <w:color w:val="000000"/>
          <w:sz w:val="24"/>
          <w:szCs w:val="24"/>
          <w:lang w:val="en-GB"/>
        </w:rPr>
      </w:pPr>
    </w:p>
    <w:p w14:paraId="52877A4D" w14:textId="0B93317E" w:rsidR="00F87196"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20.</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The PPPFA is the legislation that gives effect to the system envisaged in the Constitution. The PPPFA generally requires that tenders be awarded to the bidder who scores the most points according to a weighted system</w:t>
      </w:r>
      <w:r w:rsidR="00B12569" w:rsidRPr="00503D2A">
        <w:rPr>
          <w:rFonts w:ascii="Arial" w:eastAsia="Times New Roman" w:hAnsi="Arial" w:cs="Arial"/>
          <w:bCs/>
          <w:color w:val="000000"/>
          <w:sz w:val="24"/>
          <w:szCs w:val="24"/>
          <w:lang w:val="en-GB"/>
        </w:rPr>
        <w:t>, subject to certain exceptions. T</w:t>
      </w:r>
      <w:r w:rsidR="002B7D1B" w:rsidRPr="00503D2A">
        <w:rPr>
          <w:rFonts w:ascii="Arial" w:eastAsia="Times New Roman" w:hAnsi="Arial" w:cs="Arial"/>
          <w:bCs/>
          <w:color w:val="000000"/>
          <w:sz w:val="24"/>
          <w:szCs w:val="24"/>
          <w:lang w:val="en-GB"/>
        </w:rPr>
        <w:t>he first exception relates to functionality and is not relevant to this matter. The second is the exception set out in section 2(1)(f) of the PPPFA which stipulates that “the contract must be awarded to the tenderer who scores the highest points, unless objective criteria in addition to those contemplated in paragraph (d) and (e) justify the award to another tenderer”</w:t>
      </w:r>
      <w:r w:rsidR="00F87196"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xml:space="preserve"> The first step is to determine which tenderer scored the highest points and the next step would be to determine whether objective criteria in addition to those contemplated in paragraphs (d) and (e) exist which may justify the award to another tenderer</w:t>
      </w:r>
      <w:r w:rsidR="00096D59">
        <w:rPr>
          <w:rStyle w:val="FootnoteReference"/>
          <w:rFonts w:ascii="Arial" w:eastAsia="Times New Roman" w:hAnsi="Arial" w:cs="Arial"/>
          <w:bCs/>
          <w:color w:val="000000"/>
          <w:sz w:val="24"/>
          <w:szCs w:val="24"/>
          <w:lang w:val="en-GB"/>
        </w:rPr>
        <w:footnoteReference w:id="6"/>
      </w:r>
      <w:r w:rsidR="00096D59" w:rsidRPr="00503D2A">
        <w:rPr>
          <w:rFonts w:ascii="Arial" w:eastAsia="Times New Roman" w:hAnsi="Arial" w:cs="Arial"/>
          <w:bCs/>
          <w:color w:val="000000"/>
          <w:sz w:val="24"/>
          <w:szCs w:val="24"/>
          <w:lang w:val="en-GB"/>
        </w:rPr>
        <w:t xml:space="preserve">. </w:t>
      </w:r>
    </w:p>
    <w:p w14:paraId="326BCD0A" w14:textId="77777777" w:rsidR="007D0E16" w:rsidRPr="007D0E16" w:rsidRDefault="007D0E16" w:rsidP="007D0E16">
      <w:pPr>
        <w:pStyle w:val="ListParagraph"/>
        <w:rPr>
          <w:rFonts w:ascii="Arial" w:eastAsia="Times New Roman" w:hAnsi="Arial" w:cs="Arial"/>
          <w:bCs/>
          <w:color w:val="000000"/>
          <w:sz w:val="24"/>
          <w:szCs w:val="24"/>
          <w:lang w:val="en-GB"/>
        </w:rPr>
      </w:pPr>
    </w:p>
    <w:p w14:paraId="3115174B" w14:textId="6807A0AF" w:rsidR="007D0E16"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C02084">
        <w:rPr>
          <w:rFonts w:ascii="Arial" w:eastAsia="Times New Roman" w:hAnsi="Arial" w:cs="Arial"/>
          <w:bCs/>
          <w:color w:val="000000"/>
          <w:sz w:val="24"/>
          <w:szCs w:val="24"/>
          <w:lang w:val="en-GB"/>
        </w:rPr>
        <w:lastRenderedPageBreak/>
        <w:t>21.</w:t>
      </w:r>
      <w:r w:rsidRPr="00C02084">
        <w:rPr>
          <w:rFonts w:ascii="Arial" w:eastAsia="Times New Roman" w:hAnsi="Arial" w:cs="Arial"/>
          <w:bCs/>
          <w:color w:val="000000"/>
          <w:sz w:val="24"/>
          <w:szCs w:val="24"/>
          <w:lang w:val="en-GB"/>
        </w:rPr>
        <w:tab/>
      </w:r>
      <w:r w:rsidR="007D0E16" w:rsidRPr="00503D2A">
        <w:rPr>
          <w:rFonts w:ascii="Arial" w:eastAsia="Times New Roman" w:hAnsi="Arial" w:cs="Arial"/>
          <w:bCs/>
          <w:color w:val="000000"/>
          <w:sz w:val="24"/>
          <w:szCs w:val="24"/>
          <w:lang w:val="en-GB"/>
        </w:rPr>
        <w:t>It was argued on behalf of Urban Icon that having passed the functionality evaluation and being the highest scoring bidder, SANRAL was obliged to award all seven tenders to it and was not entitled to investigate its actual capacity as the exact nature of such scrutiny was not set out in the tend</w:t>
      </w:r>
      <w:r w:rsidR="00BD742B" w:rsidRPr="00503D2A">
        <w:rPr>
          <w:rFonts w:ascii="Arial" w:eastAsia="Times New Roman" w:hAnsi="Arial" w:cs="Arial"/>
          <w:bCs/>
          <w:color w:val="000000"/>
          <w:sz w:val="24"/>
          <w:szCs w:val="24"/>
          <w:lang w:val="en-GB"/>
        </w:rPr>
        <w:t>er documents. SANRAL said that</w:t>
      </w:r>
      <w:r w:rsidR="007D0E16" w:rsidRPr="00503D2A">
        <w:rPr>
          <w:rFonts w:ascii="Arial" w:eastAsia="Times New Roman" w:hAnsi="Arial" w:cs="Arial"/>
          <w:bCs/>
          <w:color w:val="000000"/>
          <w:sz w:val="24"/>
          <w:szCs w:val="24"/>
          <w:lang w:val="en-GB"/>
        </w:rPr>
        <w:t xml:space="preserve"> this argument is n</w:t>
      </w:r>
      <w:r w:rsidR="00BD742B" w:rsidRPr="00503D2A">
        <w:rPr>
          <w:rFonts w:ascii="Arial" w:eastAsia="Times New Roman" w:hAnsi="Arial" w:cs="Arial"/>
          <w:bCs/>
          <w:color w:val="000000"/>
          <w:sz w:val="24"/>
          <w:szCs w:val="24"/>
          <w:lang w:val="en-GB"/>
        </w:rPr>
        <w:t>ot sustainable. I agree with SANRAL’s</w:t>
      </w:r>
      <w:r w:rsidR="007D0E16" w:rsidRPr="00503D2A">
        <w:rPr>
          <w:rFonts w:ascii="Arial" w:eastAsia="Times New Roman" w:hAnsi="Arial" w:cs="Arial"/>
          <w:bCs/>
          <w:color w:val="000000"/>
          <w:sz w:val="24"/>
          <w:szCs w:val="24"/>
          <w:lang w:val="en-GB"/>
        </w:rPr>
        <w:t xml:space="preserve"> argument that if a bidder passed the functionality assessment it does not mean that the objective criteria assessment has</w:t>
      </w:r>
      <w:r w:rsidR="00BD742B" w:rsidRPr="00503D2A">
        <w:rPr>
          <w:rFonts w:ascii="Arial" w:eastAsia="Times New Roman" w:hAnsi="Arial" w:cs="Arial"/>
          <w:bCs/>
          <w:color w:val="000000"/>
          <w:sz w:val="24"/>
          <w:szCs w:val="24"/>
          <w:lang w:val="en-GB"/>
        </w:rPr>
        <w:t xml:space="preserve"> also been passed. I agree</w:t>
      </w:r>
      <w:r w:rsidR="007D0E16" w:rsidRPr="00503D2A">
        <w:rPr>
          <w:rFonts w:ascii="Arial" w:eastAsia="Times New Roman" w:hAnsi="Arial" w:cs="Arial"/>
          <w:bCs/>
          <w:color w:val="000000"/>
          <w:sz w:val="24"/>
          <w:szCs w:val="24"/>
          <w:lang w:val="en-GB"/>
        </w:rPr>
        <w:t xml:space="preserve"> that even though the two assessments consider the same general topics the assessments are different. The second assessment is indeed, by its very nature, more extensive than the functionality assessment. In this instance, Urban Icon was given advance notice of the reason for due diligence and was given an opportunity to prepare for, and address the concerns raised. </w:t>
      </w:r>
    </w:p>
    <w:p w14:paraId="112B6799" w14:textId="77777777" w:rsidR="007D0E16" w:rsidRDefault="007D0E16" w:rsidP="007D0E16">
      <w:pPr>
        <w:pStyle w:val="ListParagraph"/>
        <w:spacing w:after="120" w:line="480" w:lineRule="auto"/>
        <w:ind w:left="400"/>
        <w:jc w:val="both"/>
        <w:rPr>
          <w:rFonts w:ascii="Arial" w:eastAsia="Times New Roman" w:hAnsi="Arial" w:cs="Arial"/>
          <w:bCs/>
          <w:color w:val="000000"/>
          <w:sz w:val="24"/>
          <w:szCs w:val="24"/>
          <w:lang w:val="en-GB"/>
        </w:rPr>
      </w:pPr>
    </w:p>
    <w:p w14:paraId="493219C5" w14:textId="7DB9E3F6" w:rsidR="007D0E16" w:rsidRPr="00503D2A" w:rsidRDefault="00503D2A" w:rsidP="00503D2A">
      <w:pPr>
        <w:spacing w:after="120" w:line="480" w:lineRule="auto"/>
        <w:ind w:left="400" w:hanging="580"/>
        <w:jc w:val="both"/>
        <w:rPr>
          <w:rFonts w:ascii="Arial" w:eastAsia="Times New Roman" w:hAnsi="Arial" w:cs="Arial"/>
          <w:bCs/>
          <w:i/>
          <w:color w:val="000000"/>
          <w:sz w:val="24"/>
          <w:szCs w:val="24"/>
          <w:lang w:val="en-GB"/>
        </w:rPr>
      </w:pPr>
      <w:r w:rsidRPr="00AD26C0">
        <w:rPr>
          <w:rFonts w:ascii="Arial" w:eastAsia="Times New Roman" w:hAnsi="Arial" w:cs="Arial"/>
          <w:bCs/>
          <w:i/>
          <w:color w:val="000000"/>
          <w:sz w:val="24"/>
          <w:szCs w:val="24"/>
          <w:lang w:val="en-GB"/>
        </w:rPr>
        <w:t>22.</w:t>
      </w:r>
      <w:r w:rsidRPr="00AD26C0">
        <w:rPr>
          <w:rFonts w:ascii="Arial" w:eastAsia="Times New Roman" w:hAnsi="Arial" w:cs="Arial"/>
          <w:bCs/>
          <w:i/>
          <w:color w:val="000000"/>
          <w:sz w:val="24"/>
          <w:szCs w:val="24"/>
          <w:lang w:val="en-GB"/>
        </w:rPr>
        <w:tab/>
      </w:r>
      <w:r w:rsidR="007D0E16" w:rsidRPr="00503D2A">
        <w:rPr>
          <w:rFonts w:ascii="Arial" w:eastAsia="Times New Roman" w:hAnsi="Arial" w:cs="Arial"/>
          <w:bCs/>
          <w:color w:val="000000"/>
          <w:sz w:val="24"/>
          <w:szCs w:val="24"/>
          <w:lang w:val="en-GB"/>
        </w:rPr>
        <w:t>At the time that the tenders concerned was advertised, the 2017 Preferential Procurement Regulations were in force. Regulation 11 thereof provides that the contract may be awarded to a tenderer that did not score the highest points only in accordance with section 2(1</w:t>
      </w:r>
      <w:r w:rsidR="00C02084" w:rsidRPr="00503D2A">
        <w:rPr>
          <w:rFonts w:ascii="Arial" w:eastAsia="Times New Roman" w:hAnsi="Arial" w:cs="Arial"/>
          <w:bCs/>
          <w:color w:val="000000"/>
          <w:sz w:val="24"/>
          <w:szCs w:val="24"/>
          <w:lang w:val="en-GB"/>
        </w:rPr>
        <w:t xml:space="preserve">) </w:t>
      </w:r>
      <w:r w:rsidR="007D0E16" w:rsidRPr="00503D2A">
        <w:rPr>
          <w:rFonts w:ascii="Arial" w:eastAsia="Times New Roman" w:hAnsi="Arial" w:cs="Arial"/>
          <w:bCs/>
          <w:color w:val="000000"/>
          <w:sz w:val="24"/>
          <w:szCs w:val="24"/>
          <w:lang w:val="en-GB"/>
        </w:rPr>
        <w:t xml:space="preserve">(f) of the PPPFA and that if an organ of state intends to apply objective criteria in terms of the section, the organ of state must stipulate the objective criteria in the tender documents. These objective criteria were stipulated in paragraphs 5.11.4 and 5.13 of the Conditions of Tender. Paragraph 5.11.4 (d) provides that the tenderer with the highest number of points will be recommended unless there are compelling reasons not to do so. Paragraph 5.13 of the Standard Conditions of Tender that deals with the acceptance of a tender offer reads in relevant </w:t>
      </w:r>
      <w:r w:rsidR="007D0E16" w:rsidRPr="00503D2A">
        <w:rPr>
          <w:rFonts w:ascii="Arial" w:eastAsia="Times New Roman" w:hAnsi="Arial" w:cs="Arial"/>
          <w:bCs/>
          <w:color w:val="000000"/>
          <w:sz w:val="24"/>
          <w:szCs w:val="24"/>
          <w:lang w:val="en-GB"/>
        </w:rPr>
        <w:lastRenderedPageBreak/>
        <w:t>part as follows: “</w:t>
      </w:r>
      <w:r w:rsidR="007D0E16" w:rsidRPr="00503D2A">
        <w:rPr>
          <w:rFonts w:ascii="Arial" w:eastAsia="Times New Roman" w:hAnsi="Arial" w:cs="Arial"/>
          <w:bCs/>
          <w:i/>
          <w:color w:val="000000"/>
          <w:sz w:val="24"/>
          <w:szCs w:val="24"/>
          <w:lang w:val="en-GB"/>
        </w:rPr>
        <w:t>Accept a tender offer should it be considered not to present any unacceptable commercial risk, only if the tenderer</w:t>
      </w:r>
    </w:p>
    <w:p w14:paraId="22137575" w14:textId="77777777" w:rsidR="007D0E16" w:rsidRPr="00AD26C0" w:rsidRDefault="007D0E16" w:rsidP="007D0E16">
      <w:pPr>
        <w:spacing w:after="120" w:line="480" w:lineRule="auto"/>
        <w:ind w:left="10" w:hanging="100"/>
        <w:jc w:val="both"/>
        <w:rPr>
          <w:rFonts w:ascii="Arial" w:eastAsia="Times New Roman" w:hAnsi="Arial" w:cs="Arial"/>
          <w:bCs/>
          <w:i/>
          <w:color w:val="000000"/>
          <w:sz w:val="24"/>
          <w:szCs w:val="24"/>
          <w:lang w:val="en-GB"/>
        </w:rPr>
      </w:pPr>
      <w:r w:rsidRPr="00AD26C0">
        <w:rPr>
          <w:rFonts w:ascii="Arial" w:eastAsia="Times New Roman" w:hAnsi="Arial" w:cs="Arial"/>
          <w:bCs/>
          <w:i/>
          <w:color w:val="000000"/>
          <w:sz w:val="24"/>
          <w:szCs w:val="24"/>
          <w:lang w:val="en-GB"/>
        </w:rPr>
        <w:t>a</w:t>
      </w:r>
      <w:r>
        <w:rPr>
          <w:rFonts w:ascii="Arial" w:eastAsia="Times New Roman" w:hAnsi="Arial" w:cs="Arial"/>
          <w:bCs/>
          <w:i/>
          <w:color w:val="000000"/>
          <w:sz w:val="24"/>
          <w:szCs w:val="24"/>
          <w:lang w:val="en-GB"/>
        </w:rPr>
        <w:t>) ………….;</w:t>
      </w:r>
    </w:p>
    <w:p w14:paraId="5F8DC9A4" w14:textId="77777777" w:rsidR="007D0E16" w:rsidRPr="00AD26C0" w:rsidRDefault="007D0E16" w:rsidP="007D0E16">
      <w:pPr>
        <w:spacing w:after="120" w:line="480" w:lineRule="auto"/>
        <w:ind w:left="10" w:hanging="100"/>
        <w:jc w:val="both"/>
        <w:rPr>
          <w:rFonts w:ascii="Arial" w:eastAsia="Times New Roman" w:hAnsi="Arial" w:cs="Arial"/>
          <w:bCs/>
          <w:i/>
          <w:color w:val="000000"/>
          <w:sz w:val="24"/>
          <w:szCs w:val="24"/>
          <w:lang w:val="en-GB"/>
        </w:rPr>
      </w:pPr>
      <w:r w:rsidRPr="00AD26C0">
        <w:rPr>
          <w:rFonts w:ascii="Arial" w:eastAsia="Times New Roman" w:hAnsi="Arial" w:cs="Arial"/>
          <w:bCs/>
          <w:i/>
          <w:color w:val="000000"/>
          <w:sz w:val="24"/>
          <w:szCs w:val="24"/>
          <w:lang w:val="en-GB"/>
        </w:rPr>
        <w:t>b) can, as necessary and in relation to the proposed contract, demonstrate the possession of the professional and technical qualifications, professional and technical competence, financial resources, equipment and other physical facilities, managerial capability, reliability, experience and reputation, expertise and personnel, to perform the contract,</w:t>
      </w:r>
    </w:p>
    <w:p w14:paraId="5D7D84FF" w14:textId="77777777" w:rsidR="007D0E16" w:rsidRPr="00AD26C0" w:rsidRDefault="007D0E16" w:rsidP="007D0E16">
      <w:pPr>
        <w:spacing w:after="120" w:line="480" w:lineRule="auto"/>
        <w:ind w:left="10" w:hanging="100"/>
        <w:jc w:val="both"/>
        <w:rPr>
          <w:rFonts w:ascii="Arial" w:eastAsia="Times New Roman" w:hAnsi="Arial" w:cs="Arial"/>
          <w:bCs/>
          <w:i/>
          <w:color w:val="000000"/>
          <w:sz w:val="24"/>
          <w:szCs w:val="24"/>
          <w:lang w:val="en-GB"/>
        </w:rPr>
      </w:pPr>
      <w:r>
        <w:rPr>
          <w:rFonts w:ascii="Arial" w:eastAsia="Times New Roman" w:hAnsi="Arial" w:cs="Arial"/>
          <w:bCs/>
          <w:i/>
          <w:color w:val="000000"/>
          <w:sz w:val="24"/>
          <w:szCs w:val="24"/>
          <w:lang w:val="en-GB"/>
        </w:rPr>
        <w:t>c)…………;</w:t>
      </w:r>
    </w:p>
    <w:p w14:paraId="33642479" w14:textId="77777777" w:rsidR="007D0E16" w:rsidRPr="00AD26C0" w:rsidRDefault="007D0E16" w:rsidP="007D0E16">
      <w:pPr>
        <w:spacing w:after="120" w:line="480" w:lineRule="auto"/>
        <w:ind w:left="10" w:hanging="100"/>
        <w:jc w:val="both"/>
        <w:rPr>
          <w:rFonts w:ascii="Arial" w:eastAsia="Times New Roman" w:hAnsi="Arial" w:cs="Arial"/>
          <w:bCs/>
          <w:i/>
          <w:color w:val="000000"/>
          <w:sz w:val="24"/>
          <w:szCs w:val="24"/>
          <w:lang w:val="en-GB"/>
        </w:rPr>
      </w:pPr>
      <w:r>
        <w:rPr>
          <w:rFonts w:ascii="Arial" w:eastAsia="Times New Roman" w:hAnsi="Arial" w:cs="Arial"/>
          <w:bCs/>
          <w:i/>
          <w:color w:val="000000"/>
          <w:sz w:val="24"/>
          <w:szCs w:val="24"/>
          <w:lang w:val="en-GB"/>
        </w:rPr>
        <w:t>d)…………;</w:t>
      </w:r>
    </w:p>
    <w:p w14:paraId="23D7F6C6" w14:textId="77777777" w:rsidR="007D0E16" w:rsidRPr="00AD26C0" w:rsidRDefault="007D0E16" w:rsidP="007D0E16">
      <w:pPr>
        <w:spacing w:after="120" w:line="480" w:lineRule="auto"/>
        <w:ind w:left="10" w:hanging="100"/>
        <w:jc w:val="both"/>
        <w:rPr>
          <w:rFonts w:ascii="Arial" w:eastAsia="Times New Roman" w:hAnsi="Arial" w:cs="Arial"/>
          <w:bCs/>
          <w:i/>
          <w:color w:val="000000"/>
          <w:sz w:val="24"/>
          <w:szCs w:val="24"/>
          <w:lang w:val="en-GB"/>
        </w:rPr>
      </w:pPr>
      <w:r>
        <w:rPr>
          <w:rFonts w:ascii="Arial" w:eastAsia="Times New Roman" w:hAnsi="Arial" w:cs="Arial"/>
          <w:bCs/>
          <w:i/>
          <w:color w:val="000000"/>
          <w:sz w:val="24"/>
          <w:szCs w:val="24"/>
          <w:lang w:val="en-GB"/>
        </w:rPr>
        <w:t>e) ………..;</w:t>
      </w:r>
    </w:p>
    <w:p w14:paraId="2F22C1FA" w14:textId="77777777" w:rsidR="007D0E16" w:rsidRPr="00AD26C0" w:rsidRDefault="007D0E16" w:rsidP="007D0E16">
      <w:pPr>
        <w:spacing w:after="120" w:line="480" w:lineRule="auto"/>
        <w:ind w:left="10" w:hanging="100"/>
        <w:jc w:val="both"/>
        <w:rPr>
          <w:rFonts w:ascii="Arial" w:eastAsia="Times New Roman" w:hAnsi="Arial" w:cs="Arial"/>
          <w:bCs/>
          <w:i/>
          <w:color w:val="000000"/>
          <w:sz w:val="24"/>
          <w:szCs w:val="24"/>
          <w:lang w:val="en-GB"/>
        </w:rPr>
      </w:pPr>
      <w:r w:rsidRPr="00AD26C0">
        <w:rPr>
          <w:rFonts w:ascii="Arial" w:eastAsia="Times New Roman" w:hAnsi="Arial" w:cs="Arial"/>
          <w:bCs/>
          <w:i/>
          <w:color w:val="000000"/>
          <w:sz w:val="24"/>
          <w:szCs w:val="24"/>
          <w:lang w:val="en-GB"/>
        </w:rPr>
        <w:t>f) ………..</w:t>
      </w:r>
      <w:r>
        <w:rPr>
          <w:rFonts w:ascii="Arial" w:eastAsia="Times New Roman" w:hAnsi="Arial" w:cs="Arial"/>
          <w:bCs/>
          <w:i/>
          <w:color w:val="000000"/>
          <w:sz w:val="24"/>
          <w:szCs w:val="24"/>
          <w:lang w:val="en-GB"/>
        </w:rPr>
        <w:t>”</w:t>
      </w:r>
    </w:p>
    <w:p w14:paraId="63786890" w14:textId="4BB4CF78" w:rsidR="007D0E16" w:rsidRDefault="007D0E16" w:rsidP="007D0E16">
      <w:pPr>
        <w:pStyle w:val="ListParagraph"/>
        <w:spacing w:after="120" w:line="480" w:lineRule="auto"/>
        <w:ind w:left="400"/>
        <w:jc w:val="both"/>
        <w:rPr>
          <w:rFonts w:ascii="Arial" w:eastAsia="Times New Roman" w:hAnsi="Arial" w:cs="Arial"/>
          <w:bCs/>
          <w:color w:val="000000"/>
          <w:sz w:val="24"/>
          <w:szCs w:val="24"/>
          <w:lang w:val="en-GB"/>
        </w:rPr>
      </w:pPr>
      <w:r w:rsidRPr="000335A5">
        <w:rPr>
          <w:rFonts w:ascii="Arial" w:eastAsia="Times New Roman" w:hAnsi="Arial" w:cs="Arial"/>
          <w:bCs/>
          <w:color w:val="000000"/>
          <w:sz w:val="24"/>
          <w:szCs w:val="24"/>
          <w:lang w:val="en-GB"/>
        </w:rPr>
        <w:t xml:space="preserve">The tender documents made provision for a due diligence to be performed and there </w:t>
      </w:r>
      <w:r w:rsidR="00EC0FB1">
        <w:rPr>
          <w:rFonts w:ascii="Arial" w:eastAsia="Times New Roman" w:hAnsi="Arial" w:cs="Arial"/>
          <w:bCs/>
          <w:color w:val="000000"/>
          <w:sz w:val="24"/>
          <w:szCs w:val="24"/>
          <w:lang w:val="en-GB"/>
        </w:rPr>
        <w:t>was</w:t>
      </w:r>
      <w:r w:rsidRPr="000335A5">
        <w:rPr>
          <w:rFonts w:ascii="Arial" w:eastAsia="Times New Roman" w:hAnsi="Arial" w:cs="Arial"/>
          <w:bCs/>
          <w:color w:val="000000"/>
          <w:sz w:val="24"/>
          <w:szCs w:val="24"/>
          <w:lang w:val="en-GB"/>
        </w:rPr>
        <w:t xml:space="preserve"> nothing untoward in SANRAL’s decision to do so</w:t>
      </w:r>
      <w:r w:rsidR="00925B08">
        <w:rPr>
          <w:rFonts w:ascii="Arial" w:eastAsia="Times New Roman" w:hAnsi="Arial" w:cs="Arial"/>
          <w:bCs/>
          <w:color w:val="000000"/>
          <w:sz w:val="24"/>
          <w:szCs w:val="24"/>
          <w:lang w:val="en-GB"/>
        </w:rPr>
        <w:t>.</w:t>
      </w:r>
      <w:r w:rsidR="00C02084">
        <w:rPr>
          <w:rFonts w:ascii="Arial" w:eastAsia="Times New Roman" w:hAnsi="Arial" w:cs="Arial"/>
          <w:bCs/>
          <w:color w:val="000000"/>
          <w:sz w:val="24"/>
          <w:szCs w:val="24"/>
          <w:lang w:val="en-GB"/>
        </w:rPr>
        <w:t xml:space="preserve"> </w:t>
      </w:r>
      <w:r w:rsidR="00925B08">
        <w:rPr>
          <w:rFonts w:ascii="Arial" w:eastAsia="Times New Roman" w:hAnsi="Arial" w:cs="Arial"/>
          <w:bCs/>
          <w:color w:val="000000"/>
          <w:sz w:val="24"/>
          <w:szCs w:val="24"/>
          <w:lang w:val="en-GB"/>
        </w:rPr>
        <w:t xml:space="preserve">The reliance on </w:t>
      </w:r>
      <w:r w:rsidR="00214005">
        <w:rPr>
          <w:rFonts w:ascii="Arial" w:eastAsia="Times New Roman" w:hAnsi="Arial" w:cs="Arial"/>
          <w:bCs/>
          <w:color w:val="000000"/>
          <w:sz w:val="24"/>
          <w:szCs w:val="24"/>
          <w:lang w:val="en-GB"/>
        </w:rPr>
        <w:t>15(3)</w:t>
      </w:r>
      <w:r w:rsidR="00C02084">
        <w:rPr>
          <w:rFonts w:ascii="Arial" w:eastAsia="Times New Roman" w:hAnsi="Arial" w:cs="Arial"/>
          <w:bCs/>
          <w:color w:val="000000"/>
          <w:sz w:val="24"/>
          <w:szCs w:val="24"/>
          <w:lang w:val="en-GB"/>
        </w:rPr>
        <w:t xml:space="preserve"> </w:t>
      </w:r>
      <w:r w:rsidR="00214005">
        <w:rPr>
          <w:rFonts w:ascii="Arial" w:eastAsia="Times New Roman" w:hAnsi="Arial" w:cs="Arial"/>
          <w:bCs/>
          <w:color w:val="000000"/>
          <w:sz w:val="24"/>
          <w:szCs w:val="24"/>
          <w:lang w:val="en-GB"/>
        </w:rPr>
        <w:t>(b) of the Conditions of Tender cannot by any stretch of the imagination be unlawful.</w:t>
      </w:r>
      <w:r w:rsidRPr="000335A5">
        <w:rPr>
          <w:rFonts w:ascii="Arial" w:eastAsia="Times New Roman" w:hAnsi="Arial" w:cs="Arial"/>
          <w:bCs/>
          <w:color w:val="000000"/>
          <w:sz w:val="24"/>
          <w:szCs w:val="24"/>
          <w:lang w:val="en-GB"/>
        </w:rPr>
        <w:t xml:space="preserve"> To the contrary it would have been irresponsible not to do so under the prevail</w:t>
      </w:r>
      <w:r>
        <w:rPr>
          <w:rFonts w:ascii="Arial" w:eastAsia="Times New Roman" w:hAnsi="Arial" w:cs="Arial"/>
          <w:bCs/>
          <w:color w:val="000000"/>
          <w:sz w:val="24"/>
          <w:szCs w:val="24"/>
          <w:lang w:val="en-GB"/>
        </w:rPr>
        <w:t>ing circumstances of this case</w:t>
      </w:r>
      <w:r w:rsidR="0048079B">
        <w:rPr>
          <w:rFonts w:ascii="Arial" w:eastAsia="Times New Roman" w:hAnsi="Arial" w:cs="Arial"/>
          <w:bCs/>
          <w:color w:val="000000"/>
          <w:sz w:val="24"/>
          <w:szCs w:val="24"/>
          <w:lang w:val="en-GB"/>
        </w:rPr>
        <w:t>. Urban Icon was given ample opportunity to address the concerns raised and the allegation that it was not given a fair hearing is without merit.</w:t>
      </w:r>
    </w:p>
    <w:p w14:paraId="1D5046DD" w14:textId="77777777" w:rsidR="00F87196" w:rsidRPr="00F87196" w:rsidRDefault="00F87196" w:rsidP="00F87196">
      <w:pPr>
        <w:pStyle w:val="ListParagraph"/>
        <w:rPr>
          <w:rFonts w:ascii="Arial" w:eastAsia="Times New Roman" w:hAnsi="Arial" w:cs="Arial"/>
          <w:bCs/>
          <w:color w:val="000000"/>
          <w:sz w:val="24"/>
          <w:szCs w:val="24"/>
          <w:lang w:val="en-GB"/>
        </w:rPr>
      </w:pPr>
    </w:p>
    <w:p w14:paraId="2BBB4B00" w14:textId="141909AA" w:rsidR="001158E0"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23.</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It was argued on behalf of SANRAL that as the PPPFA does not define objective criteria</w:t>
      </w:r>
      <w:r w:rsidR="00F87196"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xml:space="preserve"> the phrase must be understood in its plain meaning and the meaning that has been given to it</w:t>
      </w:r>
      <w:r w:rsidR="00DA4E3A" w:rsidRPr="00503D2A">
        <w:rPr>
          <w:rFonts w:ascii="Arial" w:eastAsia="Times New Roman" w:hAnsi="Arial" w:cs="Arial"/>
          <w:bCs/>
          <w:color w:val="000000"/>
          <w:sz w:val="24"/>
          <w:szCs w:val="24"/>
          <w:lang w:val="en-GB"/>
        </w:rPr>
        <w:t xml:space="preserve"> by the courts. In </w:t>
      </w:r>
      <w:r w:rsidR="00DA4E3A" w:rsidRPr="00503D2A">
        <w:rPr>
          <w:rFonts w:ascii="Arial" w:eastAsia="Times New Roman" w:hAnsi="Arial" w:cs="Arial"/>
          <w:bCs/>
          <w:i/>
          <w:color w:val="000000"/>
          <w:sz w:val="24"/>
          <w:szCs w:val="24"/>
          <w:lang w:val="en-GB"/>
        </w:rPr>
        <w:t>Lohan Civil-</w:t>
      </w:r>
      <w:r w:rsidR="002B7D1B" w:rsidRPr="00503D2A">
        <w:rPr>
          <w:rFonts w:ascii="Arial" w:eastAsia="Times New Roman" w:hAnsi="Arial" w:cs="Arial"/>
          <w:bCs/>
          <w:i/>
          <w:color w:val="000000"/>
          <w:sz w:val="24"/>
          <w:szCs w:val="24"/>
          <w:lang w:val="en-GB"/>
        </w:rPr>
        <w:t xml:space="preserve">Tebogo Joint Venture en Andere v </w:t>
      </w:r>
      <w:r w:rsidR="002B7D1B" w:rsidRPr="00503D2A">
        <w:rPr>
          <w:rFonts w:ascii="Arial" w:eastAsia="Times New Roman" w:hAnsi="Arial" w:cs="Arial"/>
          <w:bCs/>
          <w:i/>
          <w:color w:val="000000"/>
          <w:sz w:val="24"/>
          <w:szCs w:val="24"/>
          <w:lang w:val="en-GB"/>
        </w:rPr>
        <w:lastRenderedPageBreak/>
        <w:t>Mangaung Plaaslike Munisipaliteit en Andere</w:t>
      </w:r>
      <w:r w:rsidR="00DA4E3A">
        <w:rPr>
          <w:rStyle w:val="FootnoteReference"/>
          <w:rFonts w:ascii="Arial" w:eastAsia="Times New Roman" w:hAnsi="Arial" w:cs="Arial"/>
          <w:bCs/>
          <w:i/>
          <w:color w:val="000000"/>
          <w:sz w:val="24"/>
          <w:szCs w:val="24"/>
          <w:lang w:val="en-GB"/>
        </w:rPr>
        <w:footnoteReference w:id="7"/>
      </w:r>
      <w:r w:rsidR="002B7D1B" w:rsidRPr="00503D2A">
        <w:rPr>
          <w:rFonts w:ascii="Arial" w:eastAsia="Times New Roman" w:hAnsi="Arial" w:cs="Arial"/>
          <w:bCs/>
          <w:color w:val="000000"/>
          <w:sz w:val="24"/>
          <w:szCs w:val="24"/>
          <w:lang w:val="en-GB"/>
        </w:rPr>
        <w:t xml:space="preserve">  the applicant’s bid scored the highest points under t</w:t>
      </w:r>
      <w:r w:rsidR="00DA4E3A" w:rsidRPr="00503D2A">
        <w:rPr>
          <w:rFonts w:ascii="Arial" w:eastAsia="Times New Roman" w:hAnsi="Arial" w:cs="Arial"/>
          <w:bCs/>
          <w:color w:val="000000"/>
          <w:sz w:val="24"/>
          <w:szCs w:val="24"/>
          <w:lang w:val="en-GB"/>
        </w:rPr>
        <w:t>he preference-points assessment</w:t>
      </w:r>
      <w:r w:rsidR="002B7D1B" w:rsidRPr="00503D2A">
        <w:rPr>
          <w:rFonts w:ascii="Arial" w:eastAsia="Times New Roman" w:hAnsi="Arial" w:cs="Arial"/>
          <w:bCs/>
          <w:color w:val="000000"/>
          <w:sz w:val="24"/>
          <w:szCs w:val="24"/>
          <w:lang w:val="en-GB"/>
        </w:rPr>
        <w:t>,</w:t>
      </w:r>
      <w:r w:rsidR="00DA4E3A"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but the tender documents provided that the tenderer’s past performance in engineering works of comparable magnitude and the degree to which it possessed the necessary technical,</w:t>
      </w:r>
      <w:r w:rsidR="001158E0"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 xml:space="preserve">financial and other resources </w:t>
      </w:r>
      <w:r w:rsidR="0048079B" w:rsidRPr="00503D2A">
        <w:rPr>
          <w:rFonts w:ascii="Arial" w:eastAsia="Times New Roman" w:hAnsi="Arial" w:cs="Arial"/>
          <w:bCs/>
          <w:color w:val="000000"/>
          <w:sz w:val="24"/>
          <w:szCs w:val="24"/>
          <w:lang w:val="en-GB"/>
        </w:rPr>
        <w:t xml:space="preserve">to </w:t>
      </w:r>
      <w:r w:rsidR="002B7D1B" w:rsidRPr="00503D2A">
        <w:rPr>
          <w:rFonts w:ascii="Arial" w:eastAsia="Times New Roman" w:hAnsi="Arial" w:cs="Arial"/>
          <w:bCs/>
          <w:color w:val="000000"/>
          <w:sz w:val="24"/>
          <w:szCs w:val="24"/>
          <w:lang w:val="en-GB"/>
        </w:rPr>
        <w:t>enable it to complete the work within the contract period would be taken into account. The court held that these criteria were objective criteria within the meaning of the PPPFA.</w:t>
      </w:r>
    </w:p>
    <w:p w14:paraId="4B391A1D" w14:textId="77777777" w:rsidR="001158E0" w:rsidRPr="001158E0" w:rsidRDefault="001158E0" w:rsidP="001158E0">
      <w:pPr>
        <w:pStyle w:val="ListParagraph"/>
        <w:rPr>
          <w:rFonts w:ascii="Arial" w:eastAsia="Times New Roman" w:hAnsi="Arial" w:cs="Arial"/>
          <w:bCs/>
          <w:color w:val="000000"/>
          <w:sz w:val="24"/>
          <w:szCs w:val="24"/>
          <w:lang w:val="en-GB"/>
        </w:rPr>
      </w:pPr>
    </w:p>
    <w:p w14:paraId="68AB9F94" w14:textId="1AC93DB1" w:rsidR="0049597F"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24.</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 xml:space="preserve">In </w:t>
      </w:r>
      <w:r w:rsidR="002B7D1B" w:rsidRPr="00503D2A">
        <w:rPr>
          <w:rFonts w:ascii="Arial" w:eastAsia="Times New Roman" w:hAnsi="Arial" w:cs="Arial"/>
          <w:bCs/>
          <w:i/>
          <w:color w:val="000000"/>
          <w:sz w:val="24"/>
          <w:szCs w:val="24"/>
          <w:lang w:val="en-GB"/>
        </w:rPr>
        <w:t>Simunye Developers CC v Lovedale Public FET College</w:t>
      </w:r>
      <w:r w:rsidR="001158E0">
        <w:rPr>
          <w:rStyle w:val="FootnoteReference"/>
          <w:rFonts w:ascii="Arial" w:eastAsia="Times New Roman" w:hAnsi="Arial" w:cs="Arial"/>
          <w:bCs/>
          <w:i/>
          <w:color w:val="000000"/>
          <w:sz w:val="24"/>
          <w:szCs w:val="24"/>
          <w:lang w:val="en-GB"/>
        </w:rPr>
        <w:footnoteReference w:id="8"/>
      </w:r>
      <w:r w:rsidR="007D0E16" w:rsidRPr="00503D2A">
        <w:rPr>
          <w:rFonts w:ascii="Arial" w:eastAsia="Times New Roman" w:hAnsi="Arial" w:cs="Arial"/>
          <w:bCs/>
          <w:color w:val="000000"/>
          <w:sz w:val="24"/>
          <w:szCs w:val="24"/>
          <w:lang w:val="en-GB"/>
        </w:rPr>
        <w:t xml:space="preserve">  it was held</w:t>
      </w:r>
      <w:r w:rsidR="002B7D1B" w:rsidRPr="00503D2A">
        <w:rPr>
          <w:rFonts w:ascii="Arial" w:eastAsia="Times New Roman" w:hAnsi="Arial" w:cs="Arial"/>
          <w:bCs/>
          <w:color w:val="000000"/>
          <w:sz w:val="24"/>
          <w:szCs w:val="24"/>
          <w:lang w:val="en-GB"/>
        </w:rPr>
        <w:t xml:space="preserve"> that objective criteria “would invariably relate to work in accordance with the tender specifications”</w:t>
      </w:r>
      <w:r w:rsidR="00527188" w:rsidRPr="00503D2A">
        <w:rPr>
          <w:rFonts w:ascii="Arial" w:eastAsia="Times New Roman" w:hAnsi="Arial" w:cs="Arial"/>
          <w:bCs/>
          <w:color w:val="000000"/>
          <w:sz w:val="24"/>
          <w:szCs w:val="24"/>
          <w:lang w:val="en-GB"/>
        </w:rPr>
        <w:t>. I</w:t>
      </w:r>
      <w:r w:rsidR="002B7D1B" w:rsidRPr="00503D2A">
        <w:rPr>
          <w:rFonts w:ascii="Arial" w:eastAsia="Times New Roman" w:hAnsi="Arial" w:cs="Arial"/>
          <w:bCs/>
          <w:color w:val="000000"/>
          <w:sz w:val="24"/>
          <w:szCs w:val="24"/>
          <w:lang w:val="en-GB"/>
        </w:rPr>
        <w:t>t was also said that these criteria would often relate to the track record of a tenderer in other related projects and the duty of a state organ to ensure that an appointment of a tenderer should result in v</w:t>
      </w:r>
      <w:r w:rsidR="007D0E16" w:rsidRPr="00503D2A">
        <w:rPr>
          <w:rFonts w:ascii="Arial" w:eastAsia="Times New Roman" w:hAnsi="Arial" w:cs="Arial"/>
          <w:bCs/>
          <w:color w:val="000000"/>
          <w:sz w:val="24"/>
          <w:szCs w:val="24"/>
          <w:lang w:val="en-GB"/>
        </w:rPr>
        <w:t>alue for money. It goes further to say</w:t>
      </w:r>
      <w:r w:rsidR="002B7D1B" w:rsidRPr="00503D2A">
        <w:rPr>
          <w:rFonts w:ascii="Arial" w:eastAsia="Times New Roman" w:hAnsi="Arial" w:cs="Arial"/>
          <w:bCs/>
          <w:color w:val="000000"/>
          <w:sz w:val="24"/>
          <w:szCs w:val="24"/>
          <w:lang w:val="en-GB"/>
        </w:rPr>
        <w:t xml:space="preserve"> that to award a tender in the face of objective criteria which puts serious doubts on the tenderer’s ability to complete the work satisfactorily and in accordance with the tender specifications may constitute wasteful expenditure.</w:t>
      </w:r>
      <w:r w:rsidR="005078C3" w:rsidRPr="00503D2A">
        <w:rPr>
          <w:rFonts w:ascii="Arial" w:eastAsia="Times New Roman" w:hAnsi="Arial" w:cs="Arial"/>
          <w:bCs/>
          <w:color w:val="000000"/>
          <w:sz w:val="24"/>
          <w:szCs w:val="24"/>
          <w:lang w:val="en-GB"/>
        </w:rPr>
        <w:t xml:space="preserve"> </w:t>
      </w:r>
      <w:r w:rsidR="00E36041" w:rsidRPr="00503D2A">
        <w:rPr>
          <w:rFonts w:ascii="Arial" w:eastAsia="Times New Roman" w:hAnsi="Arial" w:cs="Arial"/>
          <w:bCs/>
          <w:color w:val="000000"/>
          <w:sz w:val="24"/>
          <w:szCs w:val="24"/>
          <w:lang w:val="en-GB"/>
        </w:rPr>
        <w:t>I am in agreement with the reasonin</w:t>
      </w:r>
      <w:r w:rsidR="00C02084" w:rsidRPr="00503D2A">
        <w:rPr>
          <w:rFonts w:ascii="Arial" w:eastAsia="Times New Roman" w:hAnsi="Arial" w:cs="Arial"/>
          <w:bCs/>
          <w:color w:val="000000"/>
          <w:sz w:val="24"/>
          <w:szCs w:val="24"/>
          <w:lang w:val="en-GB"/>
        </w:rPr>
        <w:t>g</w:t>
      </w:r>
      <w:r w:rsidR="002D6A13" w:rsidRPr="00503D2A">
        <w:rPr>
          <w:rFonts w:ascii="Arial" w:eastAsia="Times New Roman" w:hAnsi="Arial" w:cs="Arial"/>
          <w:bCs/>
          <w:color w:val="000000"/>
          <w:sz w:val="24"/>
          <w:szCs w:val="24"/>
          <w:lang w:val="en-GB"/>
        </w:rPr>
        <w:t>,</w:t>
      </w:r>
      <w:r w:rsidR="00E36041" w:rsidRPr="00503D2A">
        <w:rPr>
          <w:rFonts w:ascii="Arial" w:eastAsia="Times New Roman" w:hAnsi="Arial" w:cs="Arial"/>
          <w:bCs/>
          <w:color w:val="000000"/>
          <w:sz w:val="24"/>
          <w:szCs w:val="24"/>
          <w:lang w:val="en-GB"/>
        </w:rPr>
        <w:t xml:space="preserve"> as state organs have a duty to ensure </w:t>
      </w:r>
      <w:r w:rsidR="001A1240" w:rsidRPr="00503D2A">
        <w:rPr>
          <w:rFonts w:ascii="Arial" w:eastAsia="Times New Roman" w:hAnsi="Arial" w:cs="Arial"/>
          <w:bCs/>
          <w:color w:val="000000"/>
          <w:sz w:val="24"/>
          <w:szCs w:val="24"/>
          <w:lang w:val="en-GB"/>
        </w:rPr>
        <w:t>that money from the fiscus is spent</w:t>
      </w:r>
      <w:r w:rsidR="0005087F" w:rsidRPr="00503D2A">
        <w:rPr>
          <w:rFonts w:ascii="Arial" w:eastAsia="Times New Roman" w:hAnsi="Arial" w:cs="Arial"/>
          <w:bCs/>
          <w:color w:val="000000"/>
          <w:sz w:val="24"/>
          <w:szCs w:val="24"/>
          <w:lang w:val="en-GB"/>
        </w:rPr>
        <w:t xml:space="preserve"> in a manner th</w:t>
      </w:r>
      <w:r w:rsidR="007D0E16" w:rsidRPr="00503D2A">
        <w:rPr>
          <w:rFonts w:ascii="Arial" w:eastAsia="Times New Roman" w:hAnsi="Arial" w:cs="Arial"/>
          <w:bCs/>
          <w:color w:val="000000"/>
          <w:sz w:val="24"/>
          <w:szCs w:val="24"/>
          <w:lang w:val="en-GB"/>
        </w:rPr>
        <w:t>at will advance the common good</w:t>
      </w:r>
      <w:r w:rsidR="002D6A13" w:rsidRPr="00503D2A">
        <w:rPr>
          <w:rFonts w:ascii="Arial" w:eastAsia="Times New Roman" w:hAnsi="Arial" w:cs="Arial"/>
          <w:bCs/>
          <w:color w:val="000000"/>
          <w:sz w:val="24"/>
          <w:szCs w:val="24"/>
          <w:lang w:val="en-GB"/>
        </w:rPr>
        <w:t xml:space="preserve"> and to do so, a tenderer must have the ability and resources to complete the work required by the tender.</w:t>
      </w:r>
      <w:r w:rsidR="00C02084" w:rsidRPr="00503D2A">
        <w:rPr>
          <w:rFonts w:ascii="Arial" w:eastAsia="Times New Roman" w:hAnsi="Arial" w:cs="Arial"/>
          <w:bCs/>
          <w:color w:val="000000"/>
          <w:sz w:val="24"/>
          <w:szCs w:val="24"/>
          <w:lang w:val="en-GB"/>
        </w:rPr>
        <w:t xml:space="preserve"> </w:t>
      </w:r>
      <w:r w:rsidR="00A73FC0" w:rsidRPr="00503D2A">
        <w:rPr>
          <w:rFonts w:ascii="Arial" w:eastAsia="Times New Roman" w:hAnsi="Arial" w:cs="Arial"/>
          <w:bCs/>
          <w:color w:val="000000"/>
          <w:sz w:val="24"/>
          <w:szCs w:val="24"/>
          <w:lang w:val="en-GB"/>
        </w:rPr>
        <w:t>The ability</w:t>
      </w:r>
      <w:r w:rsidR="006737C0" w:rsidRPr="00503D2A">
        <w:rPr>
          <w:rFonts w:ascii="Arial" w:eastAsia="Times New Roman" w:hAnsi="Arial" w:cs="Arial"/>
          <w:bCs/>
          <w:color w:val="000000"/>
          <w:sz w:val="24"/>
          <w:szCs w:val="24"/>
          <w:lang w:val="en-GB"/>
        </w:rPr>
        <w:t xml:space="preserve"> to complete the work</w:t>
      </w:r>
      <w:r w:rsidR="00A73FC0" w:rsidRPr="00503D2A">
        <w:rPr>
          <w:rFonts w:ascii="Arial" w:eastAsia="Times New Roman" w:hAnsi="Arial" w:cs="Arial"/>
          <w:bCs/>
          <w:color w:val="000000"/>
          <w:sz w:val="24"/>
          <w:szCs w:val="24"/>
          <w:lang w:val="en-GB"/>
        </w:rPr>
        <w:t xml:space="preserve"> </w:t>
      </w:r>
      <w:r w:rsidR="00004057" w:rsidRPr="00503D2A">
        <w:rPr>
          <w:rFonts w:ascii="Arial" w:eastAsia="Times New Roman" w:hAnsi="Arial" w:cs="Arial"/>
          <w:bCs/>
          <w:color w:val="000000"/>
          <w:sz w:val="24"/>
          <w:szCs w:val="24"/>
          <w:lang w:val="en-GB"/>
        </w:rPr>
        <w:t>by</w:t>
      </w:r>
      <w:r w:rsidR="00A73FC0" w:rsidRPr="00503D2A">
        <w:rPr>
          <w:rFonts w:ascii="Arial" w:eastAsia="Times New Roman" w:hAnsi="Arial" w:cs="Arial"/>
          <w:bCs/>
          <w:color w:val="000000"/>
          <w:sz w:val="24"/>
          <w:szCs w:val="24"/>
          <w:lang w:val="en-GB"/>
        </w:rPr>
        <w:t xml:space="preserve"> a relative new entrant into the arena</w:t>
      </w:r>
      <w:r w:rsidR="00C113C8" w:rsidRPr="00503D2A">
        <w:rPr>
          <w:rFonts w:ascii="Arial" w:eastAsia="Times New Roman" w:hAnsi="Arial" w:cs="Arial"/>
          <w:bCs/>
          <w:color w:val="000000"/>
          <w:sz w:val="24"/>
          <w:szCs w:val="24"/>
          <w:lang w:val="en-GB"/>
        </w:rPr>
        <w:t>,</w:t>
      </w:r>
      <w:r w:rsidR="00A73FC0" w:rsidRPr="00503D2A">
        <w:rPr>
          <w:rFonts w:ascii="Arial" w:eastAsia="Times New Roman" w:hAnsi="Arial" w:cs="Arial"/>
          <w:bCs/>
          <w:color w:val="000000"/>
          <w:sz w:val="24"/>
          <w:szCs w:val="24"/>
          <w:lang w:val="en-GB"/>
        </w:rPr>
        <w:t xml:space="preserve"> especially where several </w:t>
      </w:r>
      <w:r w:rsidR="00A73FC0" w:rsidRPr="00503D2A">
        <w:rPr>
          <w:rFonts w:ascii="Arial" w:eastAsia="Times New Roman" w:hAnsi="Arial" w:cs="Arial"/>
          <w:bCs/>
          <w:color w:val="000000"/>
          <w:sz w:val="24"/>
          <w:szCs w:val="24"/>
          <w:lang w:val="en-GB"/>
        </w:rPr>
        <w:lastRenderedPageBreak/>
        <w:t xml:space="preserve">tenders </w:t>
      </w:r>
      <w:r w:rsidR="009B0B48" w:rsidRPr="00503D2A">
        <w:rPr>
          <w:rFonts w:ascii="Arial" w:eastAsia="Times New Roman" w:hAnsi="Arial" w:cs="Arial"/>
          <w:bCs/>
          <w:color w:val="000000"/>
          <w:sz w:val="24"/>
          <w:szCs w:val="24"/>
          <w:lang w:val="en-GB"/>
        </w:rPr>
        <w:t xml:space="preserve">of a complex nature and </w:t>
      </w:r>
      <w:r w:rsidR="00AD746A" w:rsidRPr="00503D2A">
        <w:rPr>
          <w:rFonts w:ascii="Arial" w:eastAsia="Times New Roman" w:hAnsi="Arial" w:cs="Arial"/>
          <w:bCs/>
          <w:color w:val="000000"/>
          <w:sz w:val="24"/>
          <w:szCs w:val="24"/>
          <w:lang w:val="en-GB"/>
        </w:rPr>
        <w:t>huge financial exposure</w:t>
      </w:r>
      <w:r w:rsidR="00004057" w:rsidRPr="00503D2A">
        <w:rPr>
          <w:rFonts w:ascii="Arial" w:eastAsia="Times New Roman" w:hAnsi="Arial" w:cs="Arial"/>
          <w:bCs/>
          <w:color w:val="000000"/>
          <w:sz w:val="24"/>
          <w:szCs w:val="24"/>
          <w:lang w:val="en-GB"/>
        </w:rPr>
        <w:t xml:space="preserve"> are involved</w:t>
      </w:r>
      <w:r w:rsidR="00C113C8" w:rsidRPr="00503D2A">
        <w:rPr>
          <w:rFonts w:ascii="Arial" w:eastAsia="Times New Roman" w:hAnsi="Arial" w:cs="Arial"/>
          <w:bCs/>
          <w:color w:val="000000"/>
          <w:sz w:val="24"/>
          <w:szCs w:val="24"/>
          <w:lang w:val="en-GB"/>
        </w:rPr>
        <w:t xml:space="preserve">, </w:t>
      </w:r>
      <w:r w:rsidR="00E82844" w:rsidRPr="00503D2A">
        <w:rPr>
          <w:rFonts w:ascii="Arial" w:eastAsia="Times New Roman" w:hAnsi="Arial" w:cs="Arial"/>
          <w:bCs/>
          <w:color w:val="000000"/>
          <w:sz w:val="24"/>
          <w:szCs w:val="24"/>
          <w:lang w:val="en-GB"/>
        </w:rPr>
        <w:t>must constitute objective criteria as envisaged in the applicable legislation.</w:t>
      </w:r>
    </w:p>
    <w:p w14:paraId="1B15D0D4" w14:textId="77777777" w:rsidR="0049597F" w:rsidRPr="00DF1B5D" w:rsidRDefault="0049597F" w:rsidP="00DF1B5D">
      <w:pPr>
        <w:pStyle w:val="ListParagraph"/>
        <w:rPr>
          <w:rFonts w:ascii="Arial" w:eastAsia="Times New Roman" w:hAnsi="Arial" w:cs="Arial"/>
          <w:bCs/>
          <w:color w:val="000000"/>
          <w:sz w:val="24"/>
          <w:szCs w:val="24"/>
          <w:lang w:val="en-GB"/>
        </w:rPr>
      </w:pPr>
    </w:p>
    <w:p w14:paraId="21FE6480" w14:textId="79F27B0B" w:rsidR="001D4131"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C02084">
        <w:rPr>
          <w:rFonts w:ascii="Arial" w:eastAsia="Times New Roman" w:hAnsi="Arial" w:cs="Arial"/>
          <w:bCs/>
          <w:color w:val="000000"/>
          <w:sz w:val="24"/>
          <w:szCs w:val="24"/>
          <w:lang w:val="en-GB"/>
        </w:rPr>
        <w:t>25.</w:t>
      </w:r>
      <w:r w:rsidRPr="00C02084">
        <w:rPr>
          <w:rFonts w:ascii="Arial" w:eastAsia="Times New Roman" w:hAnsi="Arial" w:cs="Arial"/>
          <w:bCs/>
          <w:color w:val="000000"/>
          <w:sz w:val="24"/>
          <w:szCs w:val="24"/>
          <w:lang w:val="en-GB"/>
        </w:rPr>
        <w:tab/>
      </w:r>
      <w:r w:rsidR="00527188"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 xml:space="preserve">The PPPFA Regulations define “functionality” as “the ability of a tenderer to provide goods or services in accordance with specifications as set out in the tender </w:t>
      </w:r>
      <w:r w:rsidR="001670BE" w:rsidRPr="00503D2A">
        <w:rPr>
          <w:rFonts w:ascii="Arial" w:eastAsia="Times New Roman" w:hAnsi="Arial" w:cs="Arial"/>
          <w:bCs/>
          <w:color w:val="000000"/>
          <w:sz w:val="24"/>
          <w:szCs w:val="24"/>
          <w:lang w:val="en-GB"/>
        </w:rPr>
        <w:t>documents</w:t>
      </w:r>
      <w:r w:rsidR="00C02084" w:rsidRPr="00503D2A">
        <w:rPr>
          <w:rFonts w:ascii="Arial" w:eastAsia="Times New Roman" w:hAnsi="Arial" w:cs="Arial"/>
          <w:bCs/>
          <w:color w:val="000000"/>
          <w:sz w:val="24"/>
          <w:szCs w:val="24"/>
          <w:lang w:val="en-GB"/>
        </w:rPr>
        <w:t>”</w:t>
      </w:r>
      <w:r w:rsidR="002C2C4D"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In terms of regulation 5(5) a tender that fails to obtain the minimum qualifying score for functionality as indicated in the tender documents would not be regarded as an acceptable tender.</w:t>
      </w:r>
      <w:r w:rsidR="00F45D40" w:rsidRPr="00503D2A">
        <w:rPr>
          <w:rFonts w:ascii="Arial" w:eastAsia="Times New Roman" w:hAnsi="Arial" w:cs="Arial"/>
          <w:bCs/>
          <w:color w:val="000000"/>
          <w:sz w:val="24"/>
          <w:szCs w:val="24"/>
          <w:lang w:val="en-GB"/>
        </w:rPr>
        <w:t xml:space="preserve"> Regulation 5</w:t>
      </w:r>
      <w:r w:rsidR="002B7D1B" w:rsidRPr="00503D2A">
        <w:rPr>
          <w:rFonts w:ascii="Arial" w:eastAsia="Times New Roman" w:hAnsi="Arial" w:cs="Arial"/>
          <w:bCs/>
          <w:color w:val="000000"/>
          <w:sz w:val="24"/>
          <w:szCs w:val="24"/>
          <w:lang w:val="en-GB"/>
        </w:rPr>
        <w:t>(7) provides that each bid that obtained the minimum qualification score for functionality must be evaluated further in terms of price and the preference point system and any objective criteria envisaged in Regulation 11. The objective criteria referred to in Regulation 11 are the objective criteria contemplated in section 2(1)(f) of the PPPFA</w:t>
      </w:r>
      <w:r w:rsidR="001D4131" w:rsidRPr="00503D2A">
        <w:rPr>
          <w:rFonts w:ascii="Arial" w:eastAsia="Times New Roman" w:hAnsi="Arial" w:cs="Arial"/>
          <w:bCs/>
          <w:color w:val="000000"/>
          <w:sz w:val="24"/>
          <w:szCs w:val="24"/>
          <w:lang w:val="en-GB"/>
        </w:rPr>
        <w:t>.</w:t>
      </w:r>
      <w:r w:rsidR="001D4131">
        <w:rPr>
          <w:rStyle w:val="FootnoteReference"/>
          <w:rFonts w:ascii="Arial" w:eastAsia="Times New Roman" w:hAnsi="Arial" w:cs="Arial"/>
          <w:bCs/>
          <w:color w:val="000000"/>
          <w:sz w:val="24"/>
          <w:szCs w:val="24"/>
          <w:lang w:val="en-GB"/>
        </w:rPr>
        <w:footnoteReference w:id="9"/>
      </w:r>
      <w:r w:rsidR="001D4131"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 xml:space="preserve">SANRAL argued that it is clear from the language and scheme of the </w:t>
      </w:r>
      <w:r w:rsidR="0067225B" w:rsidRPr="00503D2A">
        <w:rPr>
          <w:rFonts w:ascii="Arial" w:eastAsia="Times New Roman" w:hAnsi="Arial" w:cs="Arial"/>
          <w:bCs/>
          <w:color w:val="000000"/>
          <w:sz w:val="24"/>
          <w:szCs w:val="24"/>
          <w:lang w:val="en-GB"/>
        </w:rPr>
        <w:t>PPPFA and</w:t>
      </w:r>
      <w:r w:rsidR="002B7D1B" w:rsidRPr="00503D2A">
        <w:rPr>
          <w:rFonts w:ascii="Arial" w:eastAsia="Times New Roman" w:hAnsi="Arial" w:cs="Arial"/>
          <w:bCs/>
          <w:color w:val="000000"/>
          <w:sz w:val="24"/>
          <w:szCs w:val="24"/>
          <w:lang w:val="en-GB"/>
        </w:rPr>
        <w:t xml:space="preserve"> the applicable regulations that functionality is simply a threshold assessment to determine if a bidder has the minimum attributes necessary to provide the services as specified in the tender documents. It was argued</w:t>
      </w:r>
      <w:r w:rsidR="002C2C4D" w:rsidRPr="00503D2A">
        <w:rPr>
          <w:rFonts w:ascii="Arial" w:eastAsia="Times New Roman" w:hAnsi="Arial" w:cs="Arial"/>
          <w:bCs/>
          <w:color w:val="000000"/>
          <w:sz w:val="24"/>
          <w:szCs w:val="24"/>
          <w:lang w:val="en-GB"/>
        </w:rPr>
        <w:t xml:space="preserve"> correctly</w:t>
      </w:r>
      <w:r w:rsidR="002B7D1B" w:rsidRPr="00503D2A">
        <w:rPr>
          <w:rFonts w:ascii="Arial" w:eastAsia="Times New Roman" w:hAnsi="Arial" w:cs="Arial"/>
          <w:bCs/>
          <w:color w:val="000000"/>
          <w:sz w:val="24"/>
          <w:szCs w:val="24"/>
          <w:lang w:val="en-GB"/>
        </w:rPr>
        <w:t xml:space="preserve"> that an assessment into functionality and an objective criteria assessment may consider similar general topics, but the assessments are not the same for three reasons:</w:t>
      </w:r>
    </w:p>
    <w:p w14:paraId="37624975" w14:textId="4DBB7EF3" w:rsidR="001D4131" w:rsidRPr="00503D2A" w:rsidRDefault="00503D2A" w:rsidP="00503D2A">
      <w:pPr>
        <w:spacing w:after="120" w:line="480" w:lineRule="auto"/>
        <w:ind w:left="1080" w:hanging="63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25.1</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The functionality assessment occurs before the preference points assessment and the objective criteria assessment occurs after the preference points assessment.</w:t>
      </w:r>
    </w:p>
    <w:p w14:paraId="50A8E7DE" w14:textId="26B4EEDE" w:rsidR="001D4131" w:rsidRPr="00503D2A" w:rsidRDefault="00503D2A" w:rsidP="00503D2A">
      <w:pPr>
        <w:spacing w:after="120" w:line="480" w:lineRule="auto"/>
        <w:ind w:left="1080" w:hanging="63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lastRenderedPageBreak/>
        <w:t>25.2</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The functionality assessment is ordinarily a binary assessment of all timeously submitted bids. The due diligence assessment is an assessment of</w:t>
      </w:r>
      <w:r w:rsidR="005078C3" w:rsidRPr="00503D2A">
        <w:rPr>
          <w:rFonts w:ascii="Arial" w:eastAsia="Times New Roman" w:hAnsi="Arial" w:cs="Arial"/>
          <w:bCs/>
          <w:color w:val="000000"/>
          <w:sz w:val="24"/>
          <w:szCs w:val="24"/>
          <w:lang w:val="en-GB"/>
        </w:rPr>
        <w:t xml:space="preserve"> the highest scoring bid vis-a-</w:t>
      </w:r>
      <w:r w:rsidR="002B7D1B" w:rsidRPr="00503D2A">
        <w:rPr>
          <w:rFonts w:ascii="Arial" w:eastAsia="Times New Roman" w:hAnsi="Arial" w:cs="Arial"/>
          <w:bCs/>
          <w:color w:val="000000"/>
          <w:sz w:val="24"/>
          <w:szCs w:val="24"/>
          <w:lang w:val="en-GB"/>
        </w:rPr>
        <w:t>vis one or more other acceptable bids.</w:t>
      </w:r>
    </w:p>
    <w:p w14:paraId="7AD40BBB" w14:textId="1E000BCA" w:rsidR="002B7D1B" w:rsidRPr="00503D2A" w:rsidRDefault="00503D2A" w:rsidP="00503D2A">
      <w:pPr>
        <w:spacing w:after="120" w:line="480" w:lineRule="auto"/>
        <w:ind w:left="1080" w:hanging="63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25.3</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The purpose of the functionality assessment is to determine whether bids are acceptable or not. The purpose of the due diligence assessment is to determine whether the tender should be awarded to a bidder other than the highest scoring bidder.</w:t>
      </w:r>
    </w:p>
    <w:p w14:paraId="33D30E34" w14:textId="77777777" w:rsidR="001D4131" w:rsidRPr="001D4131" w:rsidRDefault="001D4131" w:rsidP="001D4131">
      <w:pPr>
        <w:pStyle w:val="ListParagraph"/>
        <w:spacing w:after="120" w:line="480" w:lineRule="auto"/>
        <w:ind w:left="450"/>
        <w:jc w:val="both"/>
        <w:rPr>
          <w:rFonts w:ascii="Arial" w:eastAsia="Times New Roman" w:hAnsi="Arial" w:cs="Arial"/>
          <w:bCs/>
          <w:color w:val="000000"/>
          <w:sz w:val="24"/>
          <w:szCs w:val="24"/>
          <w:lang w:val="en-GB"/>
        </w:rPr>
      </w:pPr>
    </w:p>
    <w:p w14:paraId="42D4B1BD" w14:textId="221C45EC" w:rsidR="00BE3556"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26.</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Urban Icon’s argument on the other hand is that once it passed the binary functionality assessment SANRAL was</w:t>
      </w:r>
      <w:r w:rsidR="0048079B" w:rsidRPr="00503D2A">
        <w:rPr>
          <w:rFonts w:ascii="Arial" w:eastAsia="Times New Roman" w:hAnsi="Arial" w:cs="Arial"/>
          <w:bCs/>
          <w:color w:val="000000"/>
          <w:sz w:val="24"/>
          <w:szCs w:val="24"/>
          <w:lang w:val="en-GB"/>
        </w:rPr>
        <w:t xml:space="preserve"> obliged to assess it</w:t>
      </w:r>
      <w:r w:rsidR="002B7D1B" w:rsidRPr="00503D2A">
        <w:rPr>
          <w:rFonts w:ascii="Arial" w:eastAsia="Times New Roman" w:hAnsi="Arial" w:cs="Arial"/>
          <w:bCs/>
          <w:color w:val="000000"/>
          <w:sz w:val="24"/>
          <w:szCs w:val="24"/>
          <w:lang w:val="en-GB"/>
        </w:rPr>
        <w:t xml:space="preserve"> in terms of the 90/10 principle. Thereafter it was not permissible to take into consideration any other factor, including the fact that the tenderer was to be appointed to deliver all seven projects. Urban Icon’s argument basically is that if such considerations were relevant, they ought to have been included in the tender documents. However, this proposition loses sight of the fact, as was correctly argued by SANRAL, that the ability to deliver on a number of tenders cumulatively would not be included in the subject matter of each individual tender. I agree that the consideration of the capacity and ability of a tenderer to deliver on more than one tender is a relevant and rational consideration.</w:t>
      </w:r>
      <w:r w:rsidR="00BE3556" w:rsidRPr="00503D2A">
        <w:rPr>
          <w:rFonts w:ascii="Arial" w:eastAsia="Times New Roman" w:hAnsi="Arial" w:cs="Arial"/>
          <w:bCs/>
          <w:color w:val="000000"/>
          <w:sz w:val="24"/>
          <w:szCs w:val="24"/>
          <w:lang w:val="en-GB"/>
        </w:rPr>
        <w:t xml:space="preserve"> The holistic approach argued for by SANRAL is both rational and in accordance with the applicable legislation.</w:t>
      </w:r>
      <w:r w:rsidR="00C02084" w:rsidRPr="00503D2A">
        <w:rPr>
          <w:rFonts w:ascii="Arial" w:eastAsia="Times New Roman" w:hAnsi="Arial" w:cs="Arial"/>
          <w:bCs/>
          <w:color w:val="000000"/>
          <w:sz w:val="24"/>
          <w:szCs w:val="24"/>
          <w:lang w:val="en-GB"/>
        </w:rPr>
        <w:t xml:space="preserve"> </w:t>
      </w:r>
      <w:r w:rsidR="00DD3357" w:rsidRPr="00503D2A">
        <w:rPr>
          <w:rFonts w:ascii="Arial" w:eastAsia="Times New Roman" w:hAnsi="Arial" w:cs="Arial"/>
          <w:bCs/>
          <w:color w:val="000000"/>
          <w:sz w:val="24"/>
          <w:szCs w:val="24"/>
          <w:lang w:val="en-GB"/>
        </w:rPr>
        <w:t xml:space="preserve">To ignore the background and facts would be </w:t>
      </w:r>
      <w:r w:rsidR="00093537" w:rsidRPr="00503D2A">
        <w:rPr>
          <w:rFonts w:ascii="Arial" w:eastAsia="Times New Roman" w:hAnsi="Arial" w:cs="Arial"/>
          <w:bCs/>
          <w:color w:val="000000"/>
          <w:sz w:val="24"/>
          <w:szCs w:val="24"/>
          <w:lang w:val="en-GB"/>
        </w:rPr>
        <w:t>particularly</w:t>
      </w:r>
      <w:r w:rsidR="0006427C" w:rsidRPr="00503D2A">
        <w:rPr>
          <w:rFonts w:ascii="Arial" w:eastAsia="Times New Roman" w:hAnsi="Arial" w:cs="Arial"/>
          <w:bCs/>
          <w:color w:val="000000"/>
          <w:sz w:val="24"/>
          <w:szCs w:val="24"/>
          <w:lang w:val="en-GB"/>
        </w:rPr>
        <w:t xml:space="preserve"> shortsighted and could have devastating consequences for SANRAL and also for the country.</w:t>
      </w:r>
      <w:r w:rsidR="008F5626" w:rsidRPr="00503D2A">
        <w:rPr>
          <w:rFonts w:ascii="Arial" w:eastAsia="Times New Roman" w:hAnsi="Arial" w:cs="Arial"/>
          <w:bCs/>
          <w:color w:val="000000"/>
          <w:sz w:val="24"/>
          <w:szCs w:val="24"/>
          <w:lang w:val="en-GB"/>
        </w:rPr>
        <w:t xml:space="preserve"> A</w:t>
      </w:r>
      <w:r w:rsidR="00A30C0A" w:rsidRPr="00503D2A">
        <w:rPr>
          <w:rFonts w:ascii="Arial" w:eastAsia="Times New Roman" w:hAnsi="Arial" w:cs="Arial"/>
          <w:bCs/>
          <w:color w:val="000000"/>
          <w:sz w:val="24"/>
          <w:szCs w:val="24"/>
          <w:lang w:val="en-GB"/>
        </w:rPr>
        <w:t xml:space="preserve"> </w:t>
      </w:r>
      <w:r w:rsidR="008F5626" w:rsidRPr="00503D2A">
        <w:rPr>
          <w:rFonts w:ascii="Arial" w:eastAsia="Times New Roman" w:hAnsi="Arial" w:cs="Arial"/>
          <w:bCs/>
          <w:color w:val="000000"/>
          <w:sz w:val="24"/>
          <w:szCs w:val="24"/>
          <w:lang w:val="en-GB"/>
        </w:rPr>
        <w:t>contextual approach is therefore called for</w:t>
      </w:r>
      <w:r w:rsidR="00C02084" w:rsidRPr="00503D2A">
        <w:rPr>
          <w:rFonts w:ascii="Arial" w:eastAsia="Times New Roman" w:hAnsi="Arial" w:cs="Arial"/>
          <w:bCs/>
          <w:color w:val="000000"/>
          <w:sz w:val="24"/>
          <w:szCs w:val="24"/>
          <w:lang w:val="en-GB"/>
        </w:rPr>
        <w:t>,</w:t>
      </w:r>
      <w:r w:rsidR="00A30C0A" w:rsidRPr="00503D2A">
        <w:rPr>
          <w:rFonts w:ascii="Arial" w:eastAsia="Times New Roman" w:hAnsi="Arial" w:cs="Arial"/>
          <w:bCs/>
          <w:color w:val="000000"/>
          <w:sz w:val="24"/>
          <w:szCs w:val="24"/>
          <w:lang w:val="en-GB"/>
        </w:rPr>
        <w:t xml:space="preserve"> taking into account the ability</w:t>
      </w:r>
      <w:r w:rsidR="00EB61F6" w:rsidRPr="00503D2A">
        <w:rPr>
          <w:rFonts w:ascii="Arial" w:eastAsia="Times New Roman" w:hAnsi="Arial" w:cs="Arial"/>
          <w:bCs/>
          <w:color w:val="000000"/>
          <w:sz w:val="24"/>
          <w:szCs w:val="24"/>
          <w:lang w:val="en-GB"/>
        </w:rPr>
        <w:t xml:space="preserve"> </w:t>
      </w:r>
      <w:r w:rsidR="00EB61F6" w:rsidRPr="00503D2A">
        <w:rPr>
          <w:rFonts w:ascii="Arial" w:eastAsia="Times New Roman" w:hAnsi="Arial" w:cs="Arial"/>
          <w:bCs/>
          <w:color w:val="000000"/>
          <w:sz w:val="24"/>
          <w:szCs w:val="24"/>
          <w:lang w:val="en-GB"/>
        </w:rPr>
        <w:lastRenderedPageBreak/>
        <w:t>of a tenderer</w:t>
      </w:r>
      <w:r w:rsidR="00A30C0A" w:rsidRPr="00503D2A">
        <w:rPr>
          <w:rFonts w:ascii="Arial" w:eastAsia="Times New Roman" w:hAnsi="Arial" w:cs="Arial"/>
          <w:bCs/>
          <w:color w:val="000000"/>
          <w:sz w:val="24"/>
          <w:szCs w:val="24"/>
          <w:lang w:val="en-GB"/>
        </w:rPr>
        <w:t xml:space="preserve"> to</w:t>
      </w:r>
      <w:r w:rsidR="00B307B0" w:rsidRPr="00503D2A">
        <w:rPr>
          <w:rFonts w:ascii="Arial" w:eastAsia="Times New Roman" w:hAnsi="Arial" w:cs="Arial"/>
          <w:bCs/>
          <w:color w:val="000000"/>
          <w:sz w:val="24"/>
          <w:szCs w:val="24"/>
          <w:lang w:val="en-GB"/>
        </w:rPr>
        <w:t xml:space="preserve"> perform in seven tenders, simultaneously is both lawful and rational</w:t>
      </w:r>
      <w:r w:rsidR="00C02084" w:rsidRPr="00503D2A">
        <w:rPr>
          <w:rFonts w:ascii="Arial" w:eastAsia="Times New Roman" w:hAnsi="Arial" w:cs="Arial"/>
          <w:bCs/>
          <w:color w:val="000000"/>
          <w:sz w:val="24"/>
          <w:szCs w:val="24"/>
          <w:lang w:val="en-GB"/>
        </w:rPr>
        <w:t>,</w:t>
      </w:r>
      <w:r w:rsidR="00EB61F6" w:rsidRPr="00503D2A">
        <w:rPr>
          <w:rFonts w:ascii="Arial" w:eastAsia="Times New Roman" w:hAnsi="Arial" w:cs="Arial"/>
          <w:bCs/>
          <w:color w:val="000000"/>
          <w:sz w:val="24"/>
          <w:szCs w:val="24"/>
          <w:lang w:val="en-GB"/>
        </w:rPr>
        <w:t xml:space="preserve"> even if the individual tenders did not make provision for such</w:t>
      </w:r>
      <w:r w:rsidR="00653CB3" w:rsidRPr="00503D2A">
        <w:rPr>
          <w:rFonts w:ascii="Arial" w:eastAsia="Times New Roman" w:hAnsi="Arial" w:cs="Arial"/>
          <w:bCs/>
          <w:color w:val="000000"/>
          <w:sz w:val="24"/>
          <w:szCs w:val="24"/>
          <w:lang w:val="en-GB"/>
        </w:rPr>
        <w:t xml:space="preserve"> an eventuality.</w:t>
      </w:r>
    </w:p>
    <w:p w14:paraId="74B3791F" w14:textId="77777777" w:rsidR="00BE3556" w:rsidRDefault="00BE3556" w:rsidP="00BE3556">
      <w:pPr>
        <w:pStyle w:val="ListParagraph"/>
        <w:spacing w:after="120" w:line="480" w:lineRule="auto"/>
        <w:ind w:left="400"/>
        <w:jc w:val="both"/>
        <w:rPr>
          <w:rFonts w:ascii="Arial" w:eastAsia="Times New Roman" w:hAnsi="Arial" w:cs="Arial"/>
          <w:bCs/>
          <w:color w:val="000000"/>
          <w:sz w:val="24"/>
          <w:szCs w:val="24"/>
          <w:lang w:val="en-GB"/>
        </w:rPr>
      </w:pPr>
    </w:p>
    <w:p w14:paraId="243A95D2" w14:textId="6C3B8599" w:rsidR="000335A5"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5A2EA0">
        <w:rPr>
          <w:rFonts w:ascii="Arial" w:eastAsia="Times New Roman" w:hAnsi="Arial" w:cs="Arial"/>
          <w:bCs/>
          <w:color w:val="000000"/>
          <w:sz w:val="24"/>
          <w:szCs w:val="24"/>
          <w:lang w:val="en-GB"/>
        </w:rPr>
        <w:t>27.</w:t>
      </w:r>
      <w:r w:rsidRPr="005A2EA0">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 xml:space="preserve">In </w:t>
      </w:r>
      <w:r w:rsidR="002B7D1B" w:rsidRPr="00503D2A">
        <w:rPr>
          <w:rFonts w:ascii="Arial" w:eastAsia="Times New Roman" w:hAnsi="Arial" w:cs="Arial"/>
          <w:bCs/>
          <w:i/>
          <w:color w:val="000000"/>
          <w:sz w:val="24"/>
          <w:szCs w:val="24"/>
          <w:lang w:val="en-GB"/>
        </w:rPr>
        <w:t>Khosa v Minister of Social Development</w:t>
      </w:r>
      <w:r w:rsidR="00BE3556">
        <w:rPr>
          <w:rStyle w:val="FootnoteReference"/>
          <w:rFonts w:ascii="Arial" w:eastAsia="Times New Roman" w:hAnsi="Arial" w:cs="Arial"/>
          <w:bCs/>
          <w:i/>
          <w:color w:val="000000"/>
          <w:sz w:val="24"/>
          <w:szCs w:val="24"/>
          <w:lang w:val="en-GB"/>
        </w:rPr>
        <w:footnoteReference w:id="10"/>
      </w:r>
      <w:r w:rsidR="002B7D1B" w:rsidRPr="00503D2A">
        <w:rPr>
          <w:rFonts w:ascii="Arial" w:eastAsia="Times New Roman" w:hAnsi="Arial" w:cs="Arial"/>
          <w:bCs/>
          <w:color w:val="000000"/>
          <w:sz w:val="24"/>
          <w:szCs w:val="24"/>
          <w:lang w:val="en-GB"/>
        </w:rPr>
        <w:t xml:space="preserve"> the court stated that the test for rationality is a relatively low one, as long as the purp</w:t>
      </w:r>
      <w:r w:rsidR="00C02084" w:rsidRPr="00503D2A">
        <w:rPr>
          <w:rFonts w:ascii="Arial" w:eastAsia="Times New Roman" w:hAnsi="Arial" w:cs="Arial"/>
          <w:bCs/>
          <w:color w:val="000000"/>
          <w:sz w:val="24"/>
          <w:szCs w:val="24"/>
          <w:lang w:val="en-GB"/>
        </w:rPr>
        <w:t>ose of government is legitimate</w:t>
      </w:r>
      <w:r w:rsidR="002B7D1B" w:rsidRPr="00503D2A">
        <w:rPr>
          <w:rFonts w:ascii="Arial" w:eastAsia="Times New Roman" w:hAnsi="Arial" w:cs="Arial"/>
          <w:bCs/>
          <w:color w:val="000000"/>
          <w:sz w:val="24"/>
          <w:szCs w:val="24"/>
          <w:lang w:val="en-GB"/>
        </w:rPr>
        <w:t xml:space="preserve"> and </w:t>
      </w:r>
      <w:r w:rsidR="00C02084" w:rsidRPr="00503D2A">
        <w:rPr>
          <w:rFonts w:ascii="Arial" w:eastAsia="Times New Roman" w:hAnsi="Arial" w:cs="Arial"/>
          <w:bCs/>
          <w:color w:val="000000"/>
          <w:sz w:val="24"/>
          <w:szCs w:val="24"/>
          <w:lang w:val="en-GB"/>
        </w:rPr>
        <w:t>“</w:t>
      </w:r>
      <w:r w:rsidR="002B7D1B" w:rsidRPr="00503D2A">
        <w:rPr>
          <w:rFonts w:ascii="Arial" w:eastAsia="Times New Roman" w:hAnsi="Arial" w:cs="Arial"/>
          <w:bCs/>
          <w:color w:val="000000"/>
          <w:sz w:val="24"/>
          <w:szCs w:val="24"/>
          <w:lang w:val="en-GB"/>
        </w:rPr>
        <w:t xml:space="preserve">the connection between the law and the government purpose is rational and not arbitrary…”. It can hardly be argued that </w:t>
      </w:r>
      <w:r w:rsidR="00981C92" w:rsidRPr="00503D2A">
        <w:rPr>
          <w:rFonts w:ascii="Arial" w:eastAsia="Times New Roman" w:hAnsi="Arial" w:cs="Arial"/>
          <w:bCs/>
          <w:color w:val="000000"/>
          <w:sz w:val="24"/>
          <w:szCs w:val="24"/>
          <w:lang w:val="en-GB"/>
        </w:rPr>
        <w:t xml:space="preserve">for a state entity </w:t>
      </w:r>
      <w:r w:rsidR="002B7D1B" w:rsidRPr="00503D2A">
        <w:rPr>
          <w:rFonts w:ascii="Arial" w:eastAsia="Times New Roman" w:hAnsi="Arial" w:cs="Arial"/>
          <w:bCs/>
          <w:color w:val="000000"/>
          <w:sz w:val="24"/>
          <w:szCs w:val="24"/>
          <w:lang w:val="en-GB"/>
        </w:rPr>
        <w:t>to take into consideration the ability of a tenderer to deliver on several tenders simultaneously is irrational</w:t>
      </w:r>
      <w:r w:rsidR="00981C92" w:rsidRPr="00503D2A">
        <w:rPr>
          <w:rFonts w:ascii="Arial" w:eastAsia="Times New Roman" w:hAnsi="Arial" w:cs="Arial"/>
          <w:bCs/>
          <w:color w:val="000000"/>
          <w:sz w:val="24"/>
          <w:szCs w:val="24"/>
          <w:lang w:val="en-GB"/>
        </w:rPr>
        <w:t xml:space="preserve"> or untoward</w:t>
      </w:r>
      <w:r w:rsidR="002B7D1B" w:rsidRPr="00503D2A">
        <w:rPr>
          <w:rFonts w:ascii="Arial" w:eastAsia="Times New Roman" w:hAnsi="Arial" w:cs="Arial"/>
          <w:bCs/>
          <w:color w:val="000000"/>
          <w:sz w:val="24"/>
          <w:szCs w:val="24"/>
          <w:lang w:val="en-GB"/>
        </w:rPr>
        <w:t xml:space="preserve">. </w:t>
      </w:r>
      <w:commentRangeStart w:id="1"/>
      <w:commentRangeEnd w:id="1"/>
      <w:r w:rsidR="004D18B9" w:rsidRPr="00C02084">
        <w:rPr>
          <w:rStyle w:val="CommentReference"/>
        </w:rPr>
        <w:commentReference w:id="1"/>
      </w:r>
      <w:r w:rsidR="002B7D1B" w:rsidRPr="00503D2A">
        <w:rPr>
          <w:rFonts w:ascii="Arial" w:eastAsia="Times New Roman" w:hAnsi="Arial" w:cs="Arial"/>
          <w:bCs/>
          <w:color w:val="000000"/>
          <w:sz w:val="24"/>
          <w:szCs w:val="24"/>
          <w:lang w:val="en-GB"/>
        </w:rPr>
        <w:t xml:space="preserve"> Despite the fact that </w:t>
      </w:r>
      <w:r w:rsidR="002B7D1B" w:rsidRPr="00503D2A">
        <w:rPr>
          <w:rFonts w:ascii="Arial" w:eastAsia="Times New Roman" w:hAnsi="Arial" w:cs="Arial"/>
          <w:bCs/>
          <w:i/>
          <w:color w:val="000000"/>
          <w:sz w:val="24"/>
          <w:szCs w:val="24"/>
          <w:lang w:val="en-GB"/>
        </w:rPr>
        <w:t>Waco Africa (Pty) Ltd v Eskom SOC Limited and others</w:t>
      </w:r>
      <w:r w:rsidR="005D6DBF">
        <w:rPr>
          <w:rStyle w:val="FootnoteReference"/>
          <w:rFonts w:ascii="Arial" w:eastAsia="Times New Roman" w:hAnsi="Arial" w:cs="Arial"/>
          <w:bCs/>
          <w:i/>
          <w:color w:val="000000"/>
          <w:sz w:val="24"/>
          <w:szCs w:val="24"/>
          <w:lang w:val="en-GB"/>
        </w:rPr>
        <w:footnoteReference w:id="11"/>
      </w:r>
      <w:r w:rsidR="005D6DBF"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is not on all fours with the present matter, I agree with SANRAL’s argument that the principle enunciated in the reasoning of the court that, in principle it is rational for a state owned entity to consider as part of its assessment the ability of a single contractor to deliver a single project with a multitude of elements, as was the case in that matter, could equally be applied in circumstances where the ability of one contractor to deliver  on several tenders simultaneously is taken into consideration. SANRAL argued that the various features of the bids viewed collectively were noteworthy and informed the key focus of the due diligence that followed</w:t>
      </w:r>
      <w:r w:rsidR="00D961F5" w:rsidRPr="00503D2A">
        <w:rPr>
          <w:rFonts w:ascii="Arial" w:eastAsia="Times New Roman" w:hAnsi="Arial" w:cs="Arial"/>
          <w:bCs/>
          <w:color w:val="000000"/>
          <w:sz w:val="24"/>
          <w:szCs w:val="24"/>
          <w:lang w:val="en-GB"/>
        </w:rPr>
        <w:t>.</w:t>
      </w:r>
      <w:r w:rsidR="00C02084" w:rsidRPr="00503D2A">
        <w:rPr>
          <w:rFonts w:ascii="Arial" w:eastAsia="Times New Roman" w:hAnsi="Arial" w:cs="Arial"/>
          <w:bCs/>
          <w:color w:val="000000"/>
          <w:sz w:val="24"/>
          <w:szCs w:val="24"/>
          <w:lang w:val="en-GB"/>
        </w:rPr>
        <w:t xml:space="preserve"> </w:t>
      </w:r>
      <w:r w:rsidR="00D961F5" w:rsidRPr="00503D2A">
        <w:rPr>
          <w:rFonts w:ascii="Arial" w:eastAsia="Times New Roman" w:hAnsi="Arial" w:cs="Arial"/>
          <w:bCs/>
          <w:color w:val="000000"/>
          <w:sz w:val="24"/>
          <w:szCs w:val="24"/>
          <w:lang w:val="en-GB"/>
        </w:rPr>
        <w:t xml:space="preserve">This much is clear when </w:t>
      </w:r>
      <w:r w:rsidR="00AC272B" w:rsidRPr="00503D2A">
        <w:rPr>
          <w:rFonts w:ascii="Arial" w:eastAsia="Times New Roman" w:hAnsi="Arial" w:cs="Arial"/>
          <w:bCs/>
          <w:color w:val="000000"/>
          <w:sz w:val="24"/>
          <w:szCs w:val="24"/>
          <w:lang w:val="en-GB"/>
        </w:rPr>
        <w:t>one consider</w:t>
      </w:r>
      <w:r w:rsidR="00C02084" w:rsidRPr="00503D2A">
        <w:rPr>
          <w:rFonts w:ascii="Arial" w:eastAsia="Times New Roman" w:hAnsi="Arial" w:cs="Arial"/>
          <w:bCs/>
          <w:color w:val="000000"/>
          <w:sz w:val="24"/>
          <w:szCs w:val="24"/>
          <w:lang w:val="en-GB"/>
        </w:rPr>
        <w:t>s</w:t>
      </w:r>
      <w:r w:rsidR="00AC272B" w:rsidRPr="00503D2A">
        <w:rPr>
          <w:rFonts w:ascii="Arial" w:eastAsia="Times New Roman" w:hAnsi="Arial" w:cs="Arial"/>
          <w:bCs/>
          <w:color w:val="000000"/>
          <w:sz w:val="24"/>
          <w:szCs w:val="24"/>
          <w:lang w:val="en-GB"/>
        </w:rPr>
        <w:t xml:space="preserve"> all the facts.</w:t>
      </w:r>
      <w:r w:rsidR="00C02084" w:rsidRPr="00503D2A">
        <w:rPr>
          <w:rFonts w:ascii="Arial" w:eastAsia="Times New Roman" w:hAnsi="Arial" w:cs="Arial"/>
          <w:bCs/>
          <w:color w:val="000000"/>
          <w:sz w:val="24"/>
          <w:szCs w:val="24"/>
          <w:lang w:val="en-GB"/>
        </w:rPr>
        <w:t xml:space="preserve"> </w:t>
      </w:r>
      <w:r w:rsidR="00AC272B" w:rsidRPr="00503D2A">
        <w:rPr>
          <w:rFonts w:ascii="Arial" w:eastAsia="Times New Roman" w:hAnsi="Arial" w:cs="Arial"/>
          <w:bCs/>
          <w:color w:val="000000"/>
          <w:sz w:val="24"/>
          <w:szCs w:val="24"/>
          <w:lang w:val="en-GB"/>
        </w:rPr>
        <w:t xml:space="preserve">SANRAL did not arbitrarily exclude Urban Icon </w:t>
      </w:r>
      <w:r w:rsidR="00FF0E1F" w:rsidRPr="00503D2A">
        <w:rPr>
          <w:rFonts w:ascii="Arial" w:eastAsia="Times New Roman" w:hAnsi="Arial" w:cs="Arial"/>
          <w:bCs/>
          <w:color w:val="000000"/>
          <w:sz w:val="24"/>
          <w:szCs w:val="24"/>
          <w:lang w:val="en-GB"/>
        </w:rPr>
        <w:t>from</w:t>
      </w:r>
      <w:r w:rsidR="00AC272B" w:rsidRPr="00503D2A">
        <w:rPr>
          <w:rFonts w:ascii="Arial" w:eastAsia="Times New Roman" w:hAnsi="Arial" w:cs="Arial"/>
          <w:bCs/>
          <w:color w:val="000000"/>
          <w:sz w:val="24"/>
          <w:szCs w:val="24"/>
          <w:lang w:val="en-GB"/>
        </w:rPr>
        <w:t xml:space="preserve"> the tenders,</w:t>
      </w:r>
      <w:r w:rsidR="00C02084" w:rsidRPr="00503D2A">
        <w:rPr>
          <w:rFonts w:ascii="Arial" w:eastAsia="Times New Roman" w:hAnsi="Arial" w:cs="Arial"/>
          <w:bCs/>
          <w:color w:val="000000"/>
          <w:sz w:val="24"/>
          <w:szCs w:val="24"/>
          <w:lang w:val="en-GB"/>
        </w:rPr>
        <w:t xml:space="preserve"> </w:t>
      </w:r>
      <w:r w:rsidR="00AC272B" w:rsidRPr="00503D2A">
        <w:rPr>
          <w:rFonts w:ascii="Arial" w:eastAsia="Times New Roman" w:hAnsi="Arial" w:cs="Arial"/>
          <w:bCs/>
          <w:color w:val="000000"/>
          <w:sz w:val="24"/>
          <w:szCs w:val="24"/>
          <w:lang w:val="en-GB"/>
        </w:rPr>
        <w:t>but</w:t>
      </w:r>
      <w:r w:rsidR="00FF0E1F" w:rsidRPr="00503D2A">
        <w:rPr>
          <w:rFonts w:ascii="Arial" w:eastAsia="Times New Roman" w:hAnsi="Arial" w:cs="Arial"/>
          <w:bCs/>
          <w:color w:val="000000"/>
          <w:sz w:val="24"/>
          <w:szCs w:val="24"/>
          <w:lang w:val="en-GB"/>
        </w:rPr>
        <w:t xml:space="preserve"> awarded three tenders to it and made it clear th</w:t>
      </w:r>
      <w:r w:rsidR="0048079B" w:rsidRPr="00503D2A">
        <w:rPr>
          <w:rFonts w:ascii="Arial" w:eastAsia="Times New Roman" w:hAnsi="Arial" w:cs="Arial"/>
          <w:bCs/>
          <w:color w:val="000000"/>
          <w:sz w:val="24"/>
          <w:szCs w:val="24"/>
          <w:lang w:val="en-GB"/>
        </w:rPr>
        <w:t>at once the ability to perform wa</w:t>
      </w:r>
      <w:r w:rsidR="00FF0E1F" w:rsidRPr="00503D2A">
        <w:rPr>
          <w:rFonts w:ascii="Arial" w:eastAsia="Times New Roman" w:hAnsi="Arial" w:cs="Arial"/>
          <w:bCs/>
          <w:color w:val="000000"/>
          <w:sz w:val="24"/>
          <w:szCs w:val="24"/>
          <w:lang w:val="en-GB"/>
        </w:rPr>
        <w:t>s establis</w:t>
      </w:r>
      <w:r w:rsidR="00133F03" w:rsidRPr="00503D2A">
        <w:rPr>
          <w:rFonts w:ascii="Arial" w:eastAsia="Times New Roman" w:hAnsi="Arial" w:cs="Arial"/>
          <w:bCs/>
          <w:color w:val="000000"/>
          <w:sz w:val="24"/>
          <w:szCs w:val="24"/>
          <w:lang w:val="en-GB"/>
        </w:rPr>
        <w:t>hed</w:t>
      </w:r>
      <w:r w:rsidR="00FF0E1F" w:rsidRPr="00503D2A">
        <w:rPr>
          <w:rFonts w:ascii="Arial" w:eastAsia="Times New Roman" w:hAnsi="Arial" w:cs="Arial"/>
          <w:bCs/>
          <w:color w:val="000000"/>
          <w:sz w:val="24"/>
          <w:szCs w:val="24"/>
          <w:lang w:val="en-GB"/>
        </w:rPr>
        <w:t xml:space="preserve"> it would be considered for further tenders</w:t>
      </w:r>
      <w:r w:rsidR="00C02084" w:rsidRPr="00503D2A">
        <w:rPr>
          <w:rFonts w:ascii="Arial" w:eastAsia="Times New Roman" w:hAnsi="Arial" w:cs="Arial"/>
          <w:bCs/>
          <w:color w:val="000000"/>
          <w:sz w:val="24"/>
          <w:szCs w:val="24"/>
          <w:lang w:val="en-GB"/>
        </w:rPr>
        <w:t xml:space="preserve">. </w:t>
      </w:r>
      <w:r w:rsidR="00133F03" w:rsidRPr="00503D2A">
        <w:rPr>
          <w:rFonts w:ascii="Arial" w:eastAsia="Times New Roman" w:hAnsi="Arial" w:cs="Arial"/>
          <w:bCs/>
          <w:color w:val="000000"/>
          <w:sz w:val="24"/>
          <w:szCs w:val="24"/>
          <w:lang w:val="en-GB"/>
        </w:rPr>
        <w:t xml:space="preserve">The </w:t>
      </w:r>
      <w:r w:rsidR="00133F03" w:rsidRPr="00503D2A">
        <w:rPr>
          <w:rFonts w:ascii="Arial" w:eastAsia="Times New Roman" w:hAnsi="Arial" w:cs="Arial"/>
          <w:bCs/>
          <w:color w:val="000000"/>
          <w:sz w:val="24"/>
          <w:szCs w:val="24"/>
          <w:lang w:val="en-GB"/>
        </w:rPr>
        <w:lastRenderedPageBreak/>
        <w:t>approach was both sensible and considered and the perceived bias that Urban Icon expressed</w:t>
      </w:r>
      <w:r w:rsidR="00250046" w:rsidRPr="00503D2A">
        <w:rPr>
          <w:rFonts w:ascii="Arial" w:eastAsia="Times New Roman" w:hAnsi="Arial" w:cs="Arial"/>
          <w:bCs/>
          <w:color w:val="000000"/>
          <w:sz w:val="24"/>
          <w:szCs w:val="24"/>
          <w:lang w:val="en-GB"/>
        </w:rPr>
        <w:t xml:space="preserve"> is not borne out by the objective facts</w:t>
      </w:r>
      <w:r w:rsidR="0035261E" w:rsidRPr="00503D2A">
        <w:rPr>
          <w:rFonts w:ascii="Arial" w:eastAsia="Times New Roman" w:hAnsi="Arial" w:cs="Arial"/>
          <w:bCs/>
          <w:color w:val="000000"/>
          <w:sz w:val="24"/>
          <w:szCs w:val="24"/>
          <w:lang w:val="en-GB"/>
        </w:rPr>
        <w:t>.</w:t>
      </w:r>
    </w:p>
    <w:p w14:paraId="769260FE" w14:textId="77777777" w:rsidR="00040C70" w:rsidRPr="00040C70" w:rsidRDefault="00040C70" w:rsidP="00040C70">
      <w:pPr>
        <w:pStyle w:val="ListParagraph"/>
        <w:spacing w:after="120" w:line="480" w:lineRule="auto"/>
        <w:ind w:left="400"/>
        <w:jc w:val="both"/>
        <w:rPr>
          <w:rFonts w:ascii="Arial" w:eastAsia="Times New Roman" w:hAnsi="Arial" w:cs="Arial"/>
          <w:bCs/>
          <w:color w:val="000000"/>
          <w:sz w:val="24"/>
          <w:szCs w:val="24"/>
          <w:lang w:val="en-GB"/>
        </w:rPr>
      </w:pPr>
    </w:p>
    <w:p w14:paraId="689FE9F4" w14:textId="004688F1" w:rsidR="000A5BCE"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28.</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To consider whether a tenderer constitutes a</w:t>
      </w:r>
      <w:r w:rsidR="000A5BCE" w:rsidRPr="00503D2A">
        <w:rPr>
          <w:rFonts w:ascii="Arial" w:eastAsia="Times New Roman" w:hAnsi="Arial" w:cs="Arial"/>
          <w:bCs/>
          <w:color w:val="000000"/>
          <w:sz w:val="24"/>
          <w:szCs w:val="24"/>
          <w:lang w:val="en-GB"/>
        </w:rPr>
        <w:t xml:space="preserve">n unacceptable commercial risk, </w:t>
      </w:r>
      <w:r w:rsidR="002B7D1B" w:rsidRPr="00503D2A">
        <w:rPr>
          <w:rFonts w:ascii="Arial" w:eastAsia="Times New Roman" w:hAnsi="Arial" w:cs="Arial"/>
          <w:bCs/>
          <w:color w:val="000000"/>
          <w:sz w:val="24"/>
          <w:szCs w:val="24"/>
          <w:lang w:val="en-GB"/>
        </w:rPr>
        <w:t xml:space="preserve">SANRAL could and should indeed have inquired whether Urban Icon could, in relation to the tenders demonstrate the possession of the professional and technical qualifications, professional and technical competence, financial resources, equipment and other physical facilities, managerial capability, reliability, experience and reputation expertise and personnel to perform the different contracts. As was correctly argued by counsel for ILIFA, once it is established that there were objective criteria that justified the award of the tender concerned to someone other than the tender that scored the highest points, the only relevant question is whether SANRAL's decision </w:t>
      </w:r>
      <w:r w:rsidR="000A5BCE" w:rsidRPr="00503D2A">
        <w:rPr>
          <w:rFonts w:ascii="Arial" w:eastAsia="Times New Roman" w:hAnsi="Arial" w:cs="Arial"/>
          <w:bCs/>
          <w:color w:val="000000"/>
          <w:sz w:val="24"/>
          <w:szCs w:val="24"/>
          <w:lang w:val="en-GB"/>
        </w:rPr>
        <w:t>was based on</w:t>
      </w:r>
      <w:r w:rsidR="002B7D1B" w:rsidRPr="00503D2A">
        <w:rPr>
          <w:rFonts w:ascii="Arial" w:eastAsia="Times New Roman" w:hAnsi="Arial" w:cs="Arial"/>
          <w:bCs/>
          <w:color w:val="000000"/>
          <w:sz w:val="24"/>
          <w:szCs w:val="24"/>
          <w:lang w:val="en-GB"/>
        </w:rPr>
        <w:t xml:space="preserve"> objective criteria which were reasonable and justifiable</w:t>
      </w:r>
      <w:r w:rsidR="000A5BCE" w:rsidRPr="00503D2A">
        <w:rPr>
          <w:rFonts w:ascii="Arial" w:eastAsia="Times New Roman" w:hAnsi="Arial" w:cs="Arial"/>
          <w:bCs/>
          <w:color w:val="000000"/>
          <w:sz w:val="24"/>
          <w:szCs w:val="24"/>
          <w:lang w:val="en-GB"/>
        </w:rPr>
        <w:t>.</w:t>
      </w:r>
      <w:r w:rsidR="000A5BCE">
        <w:rPr>
          <w:rStyle w:val="FootnoteReference"/>
          <w:rFonts w:ascii="Arial" w:eastAsia="Times New Roman" w:hAnsi="Arial" w:cs="Arial"/>
          <w:bCs/>
          <w:color w:val="000000"/>
          <w:sz w:val="24"/>
          <w:szCs w:val="24"/>
          <w:lang w:val="en-GB"/>
        </w:rPr>
        <w:footnoteReference w:id="12"/>
      </w:r>
    </w:p>
    <w:p w14:paraId="2BA3D13E" w14:textId="77777777" w:rsidR="00E136D3" w:rsidRPr="00E136D3" w:rsidRDefault="00E136D3" w:rsidP="00E136D3">
      <w:pPr>
        <w:pStyle w:val="ListParagraph"/>
        <w:rPr>
          <w:rFonts w:ascii="Arial" w:eastAsia="Times New Roman" w:hAnsi="Arial" w:cs="Arial"/>
          <w:bCs/>
          <w:color w:val="000000"/>
          <w:sz w:val="24"/>
          <w:szCs w:val="24"/>
          <w:lang w:val="en-GB"/>
        </w:rPr>
      </w:pPr>
    </w:p>
    <w:p w14:paraId="436BA67E" w14:textId="784DE091" w:rsidR="00E136D3"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29.</w:t>
      </w:r>
      <w:r>
        <w:rPr>
          <w:rFonts w:ascii="Arial" w:eastAsia="Times New Roman" w:hAnsi="Arial" w:cs="Arial"/>
          <w:bCs/>
          <w:color w:val="000000"/>
          <w:sz w:val="24"/>
          <w:szCs w:val="24"/>
          <w:lang w:val="en-GB"/>
        </w:rPr>
        <w:tab/>
      </w:r>
      <w:r w:rsidR="00E136D3" w:rsidRPr="00503D2A">
        <w:rPr>
          <w:rFonts w:ascii="Arial" w:eastAsia="Times New Roman" w:hAnsi="Arial" w:cs="Arial"/>
          <w:bCs/>
          <w:color w:val="000000"/>
          <w:sz w:val="24"/>
          <w:szCs w:val="24"/>
          <w:lang w:val="en-GB"/>
        </w:rPr>
        <w:t>Regarding the allegation that the successful tendered were permitted to vary their bids, no factual basis was provided. SANRAL only after awarding the tenders to the second highest bidders, negotiated a downwards adjustment.</w:t>
      </w:r>
    </w:p>
    <w:p w14:paraId="4A101898" w14:textId="77777777" w:rsidR="00E136D3" w:rsidRPr="00E136D3" w:rsidRDefault="00E136D3" w:rsidP="00E136D3">
      <w:pPr>
        <w:pStyle w:val="ListParagraph"/>
        <w:rPr>
          <w:rFonts w:ascii="Arial" w:eastAsia="Times New Roman" w:hAnsi="Arial" w:cs="Arial"/>
          <w:bCs/>
          <w:color w:val="000000"/>
          <w:sz w:val="24"/>
          <w:szCs w:val="24"/>
          <w:lang w:val="en-GB"/>
        </w:rPr>
      </w:pPr>
    </w:p>
    <w:p w14:paraId="630A722C" w14:textId="5B315567" w:rsidR="006B6766"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E136D3">
        <w:rPr>
          <w:rFonts w:ascii="Arial" w:eastAsia="Times New Roman" w:hAnsi="Arial" w:cs="Arial"/>
          <w:bCs/>
          <w:color w:val="000000"/>
          <w:sz w:val="24"/>
          <w:szCs w:val="24"/>
          <w:lang w:val="en-GB"/>
        </w:rPr>
        <w:t>30.</w:t>
      </w:r>
      <w:r w:rsidRPr="00E136D3">
        <w:rPr>
          <w:rFonts w:ascii="Arial" w:eastAsia="Times New Roman" w:hAnsi="Arial" w:cs="Arial"/>
          <w:bCs/>
          <w:color w:val="000000"/>
          <w:sz w:val="24"/>
          <w:szCs w:val="24"/>
          <w:lang w:val="en-GB"/>
        </w:rPr>
        <w:tab/>
      </w:r>
      <w:r w:rsidR="00E136D3" w:rsidRPr="00503D2A">
        <w:rPr>
          <w:rFonts w:ascii="Arial" w:eastAsia="Times New Roman" w:hAnsi="Arial" w:cs="Arial"/>
          <w:bCs/>
          <w:color w:val="000000"/>
          <w:sz w:val="24"/>
          <w:szCs w:val="24"/>
          <w:lang w:val="en-GB"/>
        </w:rPr>
        <w:t xml:space="preserve">An evaluation of the prevailing facts and circumstances of this case for the reasons set out above do not support any of the grounds of review raised, as a result the application must be dismissed. </w:t>
      </w:r>
    </w:p>
    <w:p w14:paraId="22CAFC58" w14:textId="77777777" w:rsidR="006B6766" w:rsidRPr="006B6766" w:rsidRDefault="006B6766" w:rsidP="006B6766">
      <w:pPr>
        <w:pStyle w:val="ListParagraph"/>
        <w:rPr>
          <w:rFonts w:ascii="Arial" w:eastAsia="Times New Roman" w:hAnsi="Arial" w:cs="Arial"/>
          <w:bCs/>
          <w:color w:val="000000"/>
          <w:sz w:val="24"/>
          <w:szCs w:val="24"/>
          <w:lang w:val="en-GB"/>
        </w:rPr>
      </w:pPr>
    </w:p>
    <w:p w14:paraId="4C27ADC3" w14:textId="54D430C0" w:rsidR="0048079B"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31.</w:t>
      </w:r>
      <w:r>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One further point raised by counsel for ILIFA needs mentioning</w:t>
      </w:r>
      <w:r w:rsidR="00DD3EF2" w:rsidRPr="00503D2A">
        <w:rPr>
          <w:rFonts w:ascii="Arial" w:eastAsia="Times New Roman" w:hAnsi="Arial" w:cs="Arial"/>
          <w:bCs/>
          <w:color w:val="000000"/>
          <w:sz w:val="24"/>
          <w:szCs w:val="24"/>
          <w:lang w:val="en-GB"/>
        </w:rPr>
        <w:t xml:space="preserve"> and even if the conclusions referred to above are found to be incorrect, the application must fail for this reason alone</w:t>
      </w:r>
      <w:r w:rsidR="002B7D1B" w:rsidRPr="00503D2A">
        <w:rPr>
          <w:rFonts w:ascii="Arial" w:eastAsia="Times New Roman" w:hAnsi="Arial" w:cs="Arial"/>
          <w:bCs/>
          <w:color w:val="000000"/>
          <w:sz w:val="24"/>
          <w:szCs w:val="24"/>
          <w:lang w:val="en-GB"/>
        </w:rPr>
        <w:t>. The tenders concerned relate to the supply of consulting engineering services and to practice in the engineering profession a person is obliged to register in terms of section 19 of the Engineering Professions Act</w:t>
      </w:r>
      <w:r w:rsidR="00F7137D">
        <w:rPr>
          <w:rStyle w:val="FootnoteReference"/>
          <w:rFonts w:ascii="Arial" w:eastAsia="Times New Roman" w:hAnsi="Arial" w:cs="Arial"/>
          <w:bCs/>
          <w:color w:val="000000"/>
          <w:sz w:val="24"/>
          <w:szCs w:val="24"/>
          <w:lang w:val="en-GB"/>
        </w:rPr>
        <w:footnoteReference w:id="13"/>
      </w:r>
      <w:r w:rsidR="00F7137D"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in one of the cate</w:t>
      </w:r>
      <w:r w:rsidR="00C02084" w:rsidRPr="00503D2A">
        <w:rPr>
          <w:rFonts w:ascii="Arial" w:eastAsia="Times New Roman" w:hAnsi="Arial" w:cs="Arial"/>
          <w:bCs/>
          <w:color w:val="000000"/>
          <w:sz w:val="24"/>
          <w:szCs w:val="24"/>
          <w:lang w:val="en-GB"/>
        </w:rPr>
        <w:t>gories recognized in section 18</w:t>
      </w:r>
      <w:r w:rsidR="002B7D1B" w:rsidRPr="00503D2A">
        <w:rPr>
          <w:rFonts w:ascii="Arial" w:eastAsia="Times New Roman" w:hAnsi="Arial" w:cs="Arial"/>
          <w:bCs/>
          <w:color w:val="000000"/>
          <w:sz w:val="24"/>
          <w:szCs w:val="24"/>
          <w:lang w:val="en-GB"/>
        </w:rPr>
        <w:t>(1) of that Act.</w:t>
      </w:r>
      <w:r w:rsidR="00F7137D"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Section 18(2) provides that no person may practice in any of the categories as contemplated in section 18(1) being a professional or candidate engineer, a professional or candidate engineering technologist, a professional or candidate engineer, or a professional or candidate engineering technician unless registered in the category.</w:t>
      </w:r>
      <w:r w:rsidR="00475567" w:rsidRPr="00503D2A">
        <w:rPr>
          <w:rFonts w:ascii="Arial" w:eastAsia="Times New Roman" w:hAnsi="Arial" w:cs="Arial"/>
          <w:bCs/>
          <w:color w:val="000000"/>
          <w:sz w:val="24"/>
          <w:szCs w:val="24"/>
          <w:lang w:val="en-GB"/>
        </w:rPr>
        <w:t xml:space="preserve"> </w:t>
      </w:r>
      <w:r w:rsidR="002B7D1B" w:rsidRPr="00503D2A">
        <w:rPr>
          <w:rFonts w:ascii="Arial" w:eastAsia="Times New Roman" w:hAnsi="Arial" w:cs="Arial"/>
          <w:bCs/>
          <w:color w:val="000000"/>
          <w:sz w:val="24"/>
          <w:szCs w:val="24"/>
          <w:lang w:val="en-GB"/>
        </w:rPr>
        <w:t xml:space="preserve">Neither Urban Icon or any of its directors are registered in any of the categories mentioned in section 18(1). </w:t>
      </w:r>
    </w:p>
    <w:p w14:paraId="182AEB88" w14:textId="77777777" w:rsidR="0048079B" w:rsidRPr="0048079B" w:rsidRDefault="0048079B" w:rsidP="0048079B">
      <w:pPr>
        <w:pStyle w:val="ListParagraph"/>
        <w:rPr>
          <w:rFonts w:ascii="Arial" w:eastAsia="Times New Roman" w:hAnsi="Arial" w:cs="Arial"/>
          <w:bCs/>
          <w:color w:val="000000"/>
          <w:sz w:val="24"/>
          <w:szCs w:val="24"/>
          <w:lang w:val="en-GB"/>
        </w:rPr>
      </w:pPr>
    </w:p>
    <w:p w14:paraId="6426DFBD" w14:textId="693C3B11" w:rsidR="00E136D3"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E136D3">
        <w:rPr>
          <w:rFonts w:ascii="Arial" w:eastAsia="Times New Roman" w:hAnsi="Arial" w:cs="Arial"/>
          <w:bCs/>
          <w:color w:val="000000"/>
          <w:sz w:val="24"/>
          <w:szCs w:val="24"/>
          <w:lang w:val="en-GB"/>
        </w:rPr>
        <w:t>32.</w:t>
      </w:r>
      <w:r w:rsidRPr="00E136D3">
        <w:rPr>
          <w:rFonts w:ascii="Arial" w:eastAsia="Times New Roman" w:hAnsi="Arial" w:cs="Arial"/>
          <w:bCs/>
          <w:color w:val="000000"/>
          <w:sz w:val="24"/>
          <w:szCs w:val="24"/>
          <w:lang w:val="en-GB"/>
        </w:rPr>
        <w:tab/>
      </w:r>
      <w:r w:rsidR="002B7D1B" w:rsidRPr="00503D2A">
        <w:rPr>
          <w:rFonts w:ascii="Arial" w:eastAsia="Times New Roman" w:hAnsi="Arial" w:cs="Arial"/>
          <w:bCs/>
          <w:color w:val="000000"/>
          <w:sz w:val="24"/>
          <w:szCs w:val="24"/>
          <w:lang w:val="en-GB"/>
        </w:rPr>
        <w:t>The Tende</w:t>
      </w:r>
      <w:r w:rsidR="00094B75" w:rsidRPr="00503D2A">
        <w:rPr>
          <w:rFonts w:ascii="Arial" w:eastAsia="Times New Roman" w:hAnsi="Arial" w:cs="Arial"/>
          <w:bCs/>
          <w:color w:val="000000"/>
          <w:sz w:val="24"/>
          <w:szCs w:val="24"/>
          <w:lang w:val="en-GB"/>
        </w:rPr>
        <w:t>r Conditions provide in clause</w:t>
      </w:r>
      <w:r w:rsidR="002B7D1B" w:rsidRPr="00503D2A">
        <w:rPr>
          <w:rFonts w:ascii="Arial" w:eastAsia="Times New Roman" w:hAnsi="Arial" w:cs="Arial"/>
          <w:bCs/>
          <w:color w:val="000000"/>
          <w:sz w:val="24"/>
          <w:szCs w:val="24"/>
          <w:lang w:val="en-GB"/>
        </w:rPr>
        <w:t xml:space="preserve"> 4.1 that certain criteria for eligibility may be set in the Tender Data to which a prospective tenderer must comply, and that a failure to satisfy eligibility criteria is a breach of the conditions of tender, and as such will result in instant disqualification of the ten</w:t>
      </w:r>
      <w:r w:rsidR="00CE3AD5" w:rsidRPr="00503D2A">
        <w:rPr>
          <w:rFonts w:ascii="Arial" w:eastAsia="Times New Roman" w:hAnsi="Arial" w:cs="Arial"/>
          <w:bCs/>
          <w:color w:val="000000"/>
          <w:sz w:val="24"/>
          <w:szCs w:val="24"/>
          <w:lang w:val="en-GB"/>
        </w:rPr>
        <w:t>derer. SANRAL set in clause 4.1</w:t>
      </w:r>
      <w:r w:rsidR="002B7D1B" w:rsidRPr="00503D2A">
        <w:rPr>
          <w:rFonts w:ascii="Arial" w:eastAsia="Times New Roman" w:hAnsi="Arial" w:cs="Arial"/>
          <w:bCs/>
          <w:color w:val="000000"/>
          <w:sz w:val="24"/>
          <w:szCs w:val="24"/>
          <w:lang w:val="en-GB"/>
        </w:rPr>
        <w:t>.1 of the Tender Data the requirement that the tend</w:t>
      </w:r>
      <w:r w:rsidR="00CE3AD5" w:rsidRPr="00503D2A">
        <w:rPr>
          <w:rFonts w:ascii="Arial" w:eastAsia="Times New Roman" w:hAnsi="Arial" w:cs="Arial"/>
          <w:bCs/>
          <w:color w:val="000000"/>
          <w:sz w:val="24"/>
          <w:szCs w:val="24"/>
          <w:lang w:val="en-GB"/>
        </w:rPr>
        <w:t>erer must be registered as a Con</w:t>
      </w:r>
      <w:r w:rsidR="002B7D1B" w:rsidRPr="00503D2A">
        <w:rPr>
          <w:rFonts w:ascii="Arial" w:eastAsia="Times New Roman" w:hAnsi="Arial" w:cs="Arial"/>
          <w:bCs/>
          <w:color w:val="000000"/>
          <w:sz w:val="24"/>
          <w:szCs w:val="24"/>
          <w:lang w:val="en-GB"/>
        </w:rPr>
        <w:t xml:space="preserve">sulting Engineering Firm. Urban Icon did not present any evidence whatsoever that it was registered as a Consulting Engineering Firm at the time that it submitted its bid documents in regard to the tenders concerned, or at any other relevant time. </w:t>
      </w:r>
      <w:r w:rsidR="002B7D1B" w:rsidRPr="00503D2A">
        <w:rPr>
          <w:rFonts w:ascii="Arial" w:eastAsia="Times New Roman" w:hAnsi="Arial" w:cs="Arial"/>
          <w:bCs/>
          <w:color w:val="000000"/>
          <w:sz w:val="24"/>
          <w:szCs w:val="24"/>
          <w:lang w:val="en-GB"/>
        </w:rPr>
        <w:lastRenderedPageBreak/>
        <w:t>Consequently, Urban Icon was also disqualified from being considered for the award of the tenders and for this reason to</w:t>
      </w:r>
      <w:r w:rsidR="0056586E" w:rsidRPr="00503D2A">
        <w:rPr>
          <w:rFonts w:ascii="Arial" w:eastAsia="Times New Roman" w:hAnsi="Arial" w:cs="Arial"/>
          <w:bCs/>
          <w:color w:val="000000"/>
          <w:sz w:val="24"/>
          <w:szCs w:val="24"/>
          <w:lang w:val="en-GB"/>
        </w:rPr>
        <w:t>o</w:t>
      </w:r>
      <w:r w:rsidR="002B7D1B" w:rsidRPr="00503D2A">
        <w:rPr>
          <w:rFonts w:ascii="Arial" w:eastAsia="Times New Roman" w:hAnsi="Arial" w:cs="Arial"/>
          <w:bCs/>
          <w:color w:val="000000"/>
          <w:sz w:val="24"/>
          <w:szCs w:val="24"/>
          <w:lang w:val="en-GB"/>
        </w:rPr>
        <w:t>, the review must fail</w:t>
      </w:r>
      <w:r w:rsidR="009C222B" w:rsidRPr="00503D2A">
        <w:rPr>
          <w:rFonts w:ascii="Arial" w:eastAsia="Times New Roman" w:hAnsi="Arial" w:cs="Arial"/>
          <w:bCs/>
          <w:color w:val="000000"/>
          <w:sz w:val="24"/>
          <w:szCs w:val="24"/>
          <w:lang w:val="en-GB"/>
        </w:rPr>
        <w:t>.</w:t>
      </w:r>
    </w:p>
    <w:p w14:paraId="5F7D1112" w14:textId="77777777" w:rsidR="00E136D3" w:rsidRPr="00E136D3" w:rsidRDefault="00E136D3" w:rsidP="00E136D3">
      <w:pPr>
        <w:pStyle w:val="ListParagraph"/>
        <w:spacing w:after="120" w:line="480" w:lineRule="auto"/>
        <w:ind w:left="400"/>
        <w:jc w:val="both"/>
        <w:rPr>
          <w:rFonts w:ascii="Arial" w:eastAsia="Times New Roman" w:hAnsi="Arial" w:cs="Arial"/>
          <w:bCs/>
          <w:color w:val="000000"/>
          <w:sz w:val="24"/>
          <w:szCs w:val="24"/>
          <w:lang w:val="en-GB"/>
        </w:rPr>
      </w:pPr>
    </w:p>
    <w:p w14:paraId="2A2956B9" w14:textId="7F36C224" w:rsidR="009C222B" w:rsidRPr="00503D2A" w:rsidRDefault="00503D2A" w:rsidP="00503D2A">
      <w:pPr>
        <w:spacing w:after="120" w:line="480" w:lineRule="auto"/>
        <w:ind w:left="400" w:hanging="580"/>
        <w:jc w:val="both"/>
        <w:rPr>
          <w:rFonts w:ascii="Arial" w:eastAsia="Times New Roman" w:hAnsi="Arial" w:cs="Arial"/>
          <w:bCs/>
          <w:color w:val="000000"/>
          <w:sz w:val="24"/>
          <w:szCs w:val="24"/>
          <w:lang w:val="en-GB"/>
        </w:rPr>
      </w:pPr>
      <w:r w:rsidRPr="00475567">
        <w:rPr>
          <w:rFonts w:ascii="Arial" w:eastAsia="Times New Roman" w:hAnsi="Arial" w:cs="Arial"/>
          <w:bCs/>
          <w:color w:val="000000"/>
          <w:sz w:val="24"/>
          <w:szCs w:val="24"/>
          <w:lang w:val="en-GB"/>
        </w:rPr>
        <w:t>33.</w:t>
      </w:r>
      <w:r w:rsidRPr="00475567">
        <w:rPr>
          <w:rFonts w:ascii="Arial" w:eastAsia="Times New Roman" w:hAnsi="Arial" w:cs="Arial"/>
          <w:bCs/>
          <w:color w:val="000000"/>
          <w:sz w:val="24"/>
          <w:szCs w:val="24"/>
          <w:lang w:val="en-GB"/>
        </w:rPr>
        <w:tab/>
      </w:r>
      <w:r w:rsidR="00E42A5E" w:rsidRPr="00503D2A">
        <w:rPr>
          <w:rFonts w:ascii="Arial" w:eastAsia="Times New Roman" w:hAnsi="Arial" w:cs="Arial"/>
          <w:bCs/>
          <w:color w:val="000000"/>
          <w:sz w:val="24"/>
          <w:szCs w:val="24"/>
          <w:lang w:val="en-GB"/>
        </w:rPr>
        <w:t>The costs should follow the result</w:t>
      </w:r>
      <w:r w:rsidR="00EA601B" w:rsidRPr="00503D2A">
        <w:rPr>
          <w:rFonts w:ascii="Arial" w:eastAsia="Times New Roman" w:hAnsi="Arial" w:cs="Arial"/>
          <w:bCs/>
          <w:color w:val="000000"/>
          <w:sz w:val="24"/>
          <w:szCs w:val="24"/>
          <w:lang w:val="en-GB"/>
        </w:rPr>
        <w:t>,</w:t>
      </w:r>
      <w:r w:rsidR="00E42A5E" w:rsidRPr="00503D2A">
        <w:rPr>
          <w:rFonts w:ascii="Arial" w:eastAsia="Times New Roman" w:hAnsi="Arial" w:cs="Arial"/>
          <w:bCs/>
          <w:color w:val="000000"/>
          <w:sz w:val="24"/>
          <w:szCs w:val="24"/>
          <w:lang w:val="en-GB"/>
        </w:rPr>
        <w:t xml:space="preserve"> and as Urban Icon for all practical purposes abandoned Part A, it should </w:t>
      </w:r>
      <w:r w:rsidR="007735AC" w:rsidRPr="00503D2A">
        <w:rPr>
          <w:rFonts w:ascii="Arial" w:eastAsia="Times New Roman" w:hAnsi="Arial" w:cs="Arial"/>
          <w:bCs/>
          <w:color w:val="000000"/>
          <w:sz w:val="24"/>
          <w:szCs w:val="24"/>
          <w:lang w:val="en-GB"/>
        </w:rPr>
        <w:t>also pay the costs of Part A</w:t>
      </w:r>
      <w:r w:rsidR="00EA601B" w:rsidRPr="00503D2A">
        <w:rPr>
          <w:rFonts w:ascii="Arial" w:eastAsia="Times New Roman" w:hAnsi="Arial" w:cs="Arial"/>
          <w:bCs/>
          <w:color w:val="000000"/>
          <w:sz w:val="24"/>
          <w:szCs w:val="24"/>
          <w:lang w:val="en-GB"/>
        </w:rPr>
        <w:t>.</w:t>
      </w:r>
    </w:p>
    <w:p w14:paraId="0EF0C91C" w14:textId="77777777" w:rsidR="002B7D1B" w:rsidRPr="002B7D1B" w:rsidRDefault="002B7D1B" w:rsidP="00C435BA">
      <w:pPr>
        <w:spacing w:after="120" w:line="480" w:lineRule="auto"/>
        <w:ind w:left="10" w:hanging="100"/>
        <w:jc w:val="both"/>
        <w:rPr>
          <w:rFonts w:ascii="Arial" w:eastAsia="Times New Roman" w:hAnsi="Arial" w:cs="Arial"/>
          <w:bCs/>
          <w:color w:val="000000"/>
          <w:sz w:val="24"/>
          <w:szCs w:val="24"/>
          <w:lang w:val="en-GB"/>
        </w:rPr>
      </w:pPr>
    </w:p>
    <w:p w14:paraId="465FE720" w14:textId="77777777" w:rsidR="00475567" w:rsidRPr="002B7D1B" w:rsidRDefault="00475567" w:rsidP="00475567">
      <w:pPr>
        <w:spacing w:after="120" w:line="480" w:lineRule="auto"/>
        <w:ind w:left="10" w:hanging="10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The following order is made:</w:t>
      </w:r>
    </w:p>
    <w:p w14:paraId="68329A0D" w14:textId="77777777" w:rsidR="002B7D1B" w:rsidRPr="002B7D1B" w:rsidRDefault="00475567" w:rsidP="00C435BA">
      <w:pPr>
        <w:spacing w:after="120" w:line="480" w:lineRule="auto"/>
        <w:ind w:left="10" w:hanging="10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 xml:space="preserve">1. </w:t>
      </w:r>
      <w:r w:rsidR="002B7D1B" w:rsidRPr="002B7D1B">
        <w:rPr>
          <w:rFonts w:ascii="Arial" w:eastAsia="Times New Roman" w:hAnsi="Arial" w:cs="Arial"/>
          <w:bCs/>
          <w:color w:val="000000"/>
          <w:sz w:val="24"/>
          <w:szCs w:val="24"/>
          <w:lang w:val="en-GB"/>
        </w:rPr>
        <w:t>The application is dismissed.</w:t>
      </w:r>
    </w:p>
    <w:p w14:paraId="784CE658" w14:textId="77777777" w:rsidR="002B7D1B" w:rsidRPr="002B7D1B" w:rsidRDefault="00475567" w:rsidP="00475567">
      <w:pPr>
        <w:spacing w:after="120" w:line="480" w:lineRule="auto"/>
        <w:ind w:left="180" w:hanging="27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 xml:space="preserve">2. </w:t>
      </w:r>
      <w:r w:rsidR="002B7D1B" w:rsidRPr="002B7D1B">
        <w:rPr>
          <w:rFonts w:ascii="Arial" w:eastAsia="Times New Roman" w:hAnsi="Arial" w:cs="Arial"/>
          <w:bCs/>
          <w:color w:val="000000"/>
          <w:sz w:val="24"/>
          <w:szCs w:val="24"/>
          <w:lang w:val="en-GB"/>
        </w:rPr>
        <w:t>The applicant to pay the costs of the first and third respondents, pertaining to Part A and B of the application, which costs will include the costs of two counsel and senior counsel where applicable.</w:t>
      </w:r>
    </w:p>
    <w:p w14:paraId="392DC750" w14:textId="77777777" w:rsidR="002B7D1B" w:rsidRPr="002B7D1B" w:rsidRDefault="002B7D1B" w:rsidP="00C435BA">
      <w:pPr>
        <w:spacing w:after="120" w:line="480" w:lineRule="auto"/>
        <w:ind w:left="10" w:hanging="100"/>
        <w:jc w:val="both"/>
        <w:rPr>
          <w:rFonts w:ascii="Arial" w:eastAsia="Times New Roman" w:hAnsi="Arial" w:cs="Arial"/>
          <w:bCs/>
          <w:color w:val="000000"/>
          <w:sz w:val="24"/>
          <w:szCs w:val="24"/>
          <w:lang w:val="en-GB"/>
        </w:rPr>
      </w:pPr>
    </w:p>
    <w:p w14:paraId="2C441FF4" w14:textId="77777777" w:rsidR="002B7D1B" w:rsidRDefault="002B7D1B" w:rsidP="00C02084">
      <w:pPr>
        <w:spacing w:after="120" w:line="480" w:lineRule="auto"/>
        <w:jc w:val="both"/>
        <w:rPr>
          <w:rFonts w:ascii="Arial" w:eastAsia="Times New Roman" w:hAnsi="Arial" w:cs="Arial"/>
          <w:bCs/>
          <w:color w:val="000000"/>
          <w:sz w:val="24"/>
          <w:szCs w:val="24"/>
          <w:lang w:val="en-GB"/>
        </w:rPr>
      </w:pPr>
    </w:p>
    <w:p w14:paraId="4C8AAFF4" w14:textId="77777777" w:rsidR="00B93B35" w:rsidRPr="002B7D1B" w:rsidRDefault="00B93B35" w:rsidP="0008427E">
      <w:pPr>
        <w:spacing w:after="120" w:line="480" w:lineRule="auto"/>
        <w:ind w:left="10" w:hanging="100"/>
        <w:jc w:val="right"/>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________________________</w:t>
      </w:r>
    </w:p>
    <w:p w14:paraId="7F8CF516" w14:textId="77777777" w:rsidR="002B7D1B" w:rsidRDefault="0008427E" w:rsidP="0008427E">
      <w:pPr>
        <w:spacing w:after="120" w:line="240" w:lineRule="auto"/>
        <w:ind w:left="10" w:hanging="100"/>
        <w:jc w:val="right"/>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R G TOLMAY</w:t>
      </w:r>
    </w:p>
    <w:p w14:paraId="5DA337D7" w14:textId="77777777" w:rsidR="0008427E" w:rsidRDefault="0008427E" w:rsidP="0008427E">
      <w:pPr>
        <w:spacing w:after="120" w:line="240" w:lineRule="auto"/>
        <w:ind w:left="10" w:hanging="100"/>
        <w:jc w:val="right"/>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JUDGE OF THE HIGH COURT</w:t>
      </w:r>
    </w:p>
    <w:p w14:paraId="59A20DD8" w14:textId="77777777" w:rsidR="0008427E" w:rsidRPr="002B7D1B" w:rsidRDefault="0008427E" w:rsidP="0008427E">
      <w:pPr>
        <w:spacing w:after="120" w:line="240" w:lineRule="auto"/>
        <w:ind w:left="10" w:hanging="100"/>
        <w:jc w:val="right"/>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GAUTENG DIVISION, PRETORIA</w:t>
      </w:r>
    </w:p>
    <w:p w14:paraId="367502DC" w14:textId="77777777" w:rsidR="00E136D3" w:rsidRDefault="00E136D3" w:rsidP="00E136D3">
      <w:pPr>
        <w:spacing w:after="120" w:line="480" w:lineRule="auto"/>
        <w:jc w:val="both"/>
        <w:rPr>
          <w:rFonts w:ascii="Arial" w:eastAsia="Times New Roman" w:hAnsi="Arial" w:cs="Arial"/>
          <w:bCs/>
          <w:color w:val="000000"/>
          <w:sz w:val="24"/>
          <w:szCs w:val="24"/>
          <w:lang w:val="en-GB"/>
        </w:rPr>
      </w:pPr>
    </w:p>
    <w:p w14:paraId="6FA3CBBA" w14:textId="77777777" w:rsidR="00E136D3" w:rsidRDefault="00E136D3" w:rsidP="00E136D3">
      <w:pPr>
        <w:spacing w:after="120" w:line="480" w:lineRule="auto"/>
        <w:jc w:val="both"/>
        <w:rPr>
          <w:rFonts w:ascii="Arial" w:eastAsia="Times New Roman" w:hAnsi="Arial" w:cs="Arial"/>
          <w:bCs/>
          <w:color w:val="000000"/>
          <w:sz w:val="24"/>
          <w:szCs w:val="24"/>
          <w:lang w:val="en-GB"/>
        </w:rPr>
      </w:pPr>
    </w:p>
    <w:p w14:paraId="5B7E4EC2" w14:textId="7A1E18A1" w:rsidR="005D54F1" w:rsidRDefault="00E00D6B" w:rsidP="00E136D3">
      <w:pPr>
        <w:spacing w:after="120" w:line="480" w:lineRule="auto"/>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Appearances: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6205"/>
      </w:tblGrid>
      <w:tr w:rsidR="00E00D6B" w14:paraId="7A60BE23" w14:textId="77777777" w:rsidTr="00843C27">
        <w:trPr>
          <w:trHeight w:val="1430"/>
        </w:trPr>
        <w:tc>
          <w:tcPr>
            <w:tcW w:w="3135" w:type="dxa"/>
          </w:tcPr>
          <w:p w14:paraId="17A056B3" w14:textId="77777777" w:rsidR="00D949FF" w:rsidRDefault="00D949FF" w:rsidP="00E00D6B">
            <w:pPr>
              <w:spacing w:after="120" w:line="480" w:lineRule="auto"/>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lastRenderedPageBreak/>
              <w:t>For Applicant:</w:t>
            </w:r>
          </w:p>
        </w:tc>
        <w:tc>
          <w:tcPr>
            <w:tcW w:w="6205" w:type="dxa"/>
          </w:tcPr>
          <w:p w14:paraId="7D2ACBEB" w14:textId="77777777" w:rsidR="00B20896" w:rsidRDefault="00B20896" w:rsidP="00B20896">
            <w:pPr>
              <w:spacing w:after="12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Adv M</w:t>
            </w:r>
            <w:r w:rsidR="00D80BE0">
              <w:rPr>
                <w:rFonts w:ascii="Arial" w:eastAsia="Times New Roman" w:hAnsi="Arial" w:cs="Arial"/>
                <w:bCs/>
                <w:color w:val="000000"/>
                <w:sz w:val="24"/>
                <w:szCs w:val="24"/>
                <w:lang w:val="en-GB"/>
              </w:rPr>
              <w:t>I Maunatlala</w:t>
            </w:r>
            <w:r>
              <w:rPr>
                <w:rFonts w:ascii="Arial" w:eastAsia="Times New Roman" w:hAnsi="Arial" w:cs="Arial"/>
                <w:bCs/>
                <w:color w:val="000000"/>
                <w:sz w:val="24"/>
                <w:szCs w:val="24"/>
                <w:lang w:val="en-GB"/>
              </w:rPr>
              <w:t xml:space="preserve"> </w:t>
            </w:r>
          </w:p>
          <w:p w14:paraId="6DDDEDBB" w14:textId="77777777" w:rsidR="00B20896" w:rsidRDefault="00B20896" w:rsidP="00B20896">
            <w:pPr>
              <w:spacing w:after="12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Adv P Buckland</w:t>
            </w:r>
          </w:p>
          <w:p w14:paraId="75F60668" w14:textId="77777777" w:rsidR="00B20896" w:rsidRDefault="00B20896" w:rsidP="00B20896">
            <w:pPr>
              <w:spacing w:after="12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Instructed by Malose Matsaung Attorneys</w:t>
            </w:r>
          </w:p>
        </w:tc>
      </w:tr>
      <w:tr w:rsidR="00E00D6B" w14:paraId="5331A410" w14:textId="77777777" w:rsidTr="00843C27">
        <w:trPr>
          <w:trHeight w:val="1430"/>
        </w:trPr>
        <w:tc>
          <w:tcPr>
            <w:tcW w:w="3135" w:type="dxa"/>
          </w:tcPr>
          <w:p w14:paraId="6C6B3661" w14:textId="77777777" w:rsidR="00E00D6B" w:rsidRDefault="00D949FF" w:rsidP="00E00D6B">
            <w:pPr>
              <w:spacing w:after="120" w:line="480" w:lineRule="auto"/>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For First Respondent:</w:t>
            </w:r>
          </w:p>
        </w:tc>
        <w:tc>
          <w:tcPr>
            <w:tcW w:w="6205" w:type="dxa"/>
          </w:tcPr>
          <w:p w14:paraId="68121634" w14:textId="77777777" w:rsidR="00E00D6B" w:rsidRDefault="00B20896" w:rsidP="007C3649">
            <w:pPr>
              <w:spacing w:after="12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Adv A Milova</w:t>
            </w:r>
            <w:r w:rsidR="00D214DB">
              <w:rPr>
                <w:rFonts w:ascii="Arial" w:eastAsia="Times New Roman" w:hAnsi="Arial" w:cs="Arial"/>
                <w:bCs/>
                <w:color w:val="000000"/>
                <w:sz w:val="24"/>
                <w:szCs w:val="24"/>
                <w:lang w:val="en-GB"/>
              </w:rPr>
              <w:t>novic-Bitter</w:t>
            </w:r>
          </w:p>
          <w:p w14:paraId="18EAC98C" w14:textId="77777777" w:rsidR="00D214DB" w:rsidRDefault="00D214DB" w:rsidP="007C3649">
            <w:pPr>
              <w:spacing w:after="12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Adv PJ Daniel</w:t>
            </w:r>
          </w:p>
          <w:p w14:paraId="0242AE9E" w14:textId="77777777" w:rsidR="00D214DB" w:rsidRDefault="00D214DB" w:rsidP="007C3649">
            <w:pPr>
              <w:spacing w:after="12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Instr</w:t>
            </w:r>
            <w:r w:rsidR="007C3649">
              <w:rPr>
                <w:rFonts w:ascii="Arial" w:eastAsia="Times New Roman" w:hAnsi="Arial" w:cs="Arial"/>
                <w:bCs/>
                <w:color w:val="000000"/>
                <w:sz w:val="24"/>
                <w:szCs w:val="24"/>
                <w:lang w:val="en-GB"/>
              </w:rPr>
              <w:t>uc</w:t>
            </w:r>
            <w:r>
              <w:rPr>
                <w:rFonts w:ascii="Arial" w:eastAsia="Times New Roman" w:hAnsi="Arial" w:cs="Arial"/>
                <w:bCs/>
                <w:color w:val="000000"/>
                <w:sz w:val="24"/>
                <w:szCs w:val="24"/>
                <w:lang w:val="en-GB"/>
              </w:rPr>
              <w:t xml:space="preserve">ted by </w:t>
            </w:r>
            <w:r w:rsidR="007C3649">
              <w:rPr>
                <w:rFonts w:ascii="Arial" w:eastAsia="Times New Roman" w:hAnsi="Arial" w:cs="Arial"/>
                <w:bCs/>
                <w:color w:val="000000"/>
                <w:sz w:val="24"/>
                <w:szCs w:val="24"/>
                <w:lang w:val="en-GB"/>
              </w:rPr>
              <w:t>ENS Africa</w:t>
            </w:r>
          </w:p>
        </w:tc>
      </w:tr>
      <w:tr w:rsidR="00E00D6B" w14:paraId="1889A8F4" w14:textId="77777777" w:rsidTr="00843C27">
        <w:trPr>
          <w:trHeight w:val="980"/>
        </w:trPr>
        <w:tc>
          <w:tcPr>
            <w:tcW w:w="3135" w:type="dxa"/>
          </w:tcPr>
          <w:p w14:paraId="326FCA4A" w14:textId="77777777" w:rsidR="00E00D6B" w:rsidRDefault="00D949FF" w:rsidP="00E00D6B">
            <w:pPr>
              <w:spacing w:after="120" w:line="480" w:lineRule="auto"/>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For Third Respondent:</w:t>
            </w:r>
          </w:p>
        </w:tc>
        <w:tc>
          <w:tcPr>
            <w:tcW w:w="6205" w:type="dxa"/>
          </w:tcPr>
          <w:p w14:paraId="05B04683" w14:textId="77777777" w:rsidR="00E00D6B" w:rsidRDefault="007C3649" w:rsidP="007C3649">
            <w:pPr>
              <w:spacing w:after="12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 xml:space="preserve">Adv SD Wagener SC </w:t>
            </w:r>
          </w:p>
          <w:p w14:paraId="568DC9F5" w14:textId="77777777" w:rsidR="007C3649" w:rsidRDefault="007C3649" w:rsidP="007C3649">
            <w:pPr>
              <w:spacing w:after="120"/>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Instructed by Weavind &amp; Weavind</w:t>
            </w:r>
          </w:p>
        </w:tc>
      </w:tr>
      <w:tr w:rsidR="00E00D6B" w14:paraId="37F9CC86" w14:textId="77777777" w:rsidTr="00843C27">
        <w:trPr>
          <w:trHeight w:val="890"/>
        </w:trPr>
        <w:tc>
          <w:tcPr>
            <w:tcW w:w="3135" w:type="dxa"/>
          </w:tcPr>
          <w:p w14:paraId="74235029" w14:textId="77777777" w:rsidR="00E00D6B" w:rsidRDefault="00D949FF" w:rsidP="00E00D6B">
            <w:pPr>
              <w:spacing w:after="120" w:line="480" w:lineRule="auto"/>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Date of hearing:</w:t>
            </w:r>
          </w:p>
        </w:tc>
        <w:tc>
          <w:tcPr>
            <w:tcW w:w="6205" w:type="dxa"/>
          </w:tcPr>
          <w:p w14:paraId="09C72597" w14:textId="77777777" w:rsidR="00E00D6B" w:rsidRDefault="00FE7F50" w:rsidP="00E00D6B">
            <w:pPr>
              <w:spacing w:after="120" w:line="480" w:lineRule="auto"/>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25 July 2023</w:t>
            </w:r>
          </w:p>
        </w:tc>
      </w:tr>
      <w:tr w:rsidR="00E00D6B" w14:paraId="6DE591B9" w14:textId="77777777" w:rsidTr="00843C27">
        <w:tc>
          <w:tcPr>
            <w:tcW w:w="3135" w:type="dxa"/>
          </w:tcPr>
          <w:p w14:paraId="05281324" w14:textId="77777777" w:rsidR="00E00D6B" w:rsidRDefault="00D949FF" w:rsidP="00E00D6B">
            <w:pPr>
              <w:spacing w:after="120" w:line="480" w:lineRule="auto"/>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Date of delivery</w:t>
            </w:r>
            <w:r w:rsidR="00793FCA">
              <w:rPr>
                <w:rFonts w:ascii="Arial" w:eastAsia="Times New Roman" w:hAnsi="Arial" w:cs="Arial"/>
                <w:bCs/>
                <w:color w:val="000000"/>
                <w:sz w:val="24"/>
                <w:szCs w:val="24"/>
                <w:lang w:val="en-GB"/>
              </w:rPr>
              <w:t>:</w:t>
            </w:r>
          </w:p>
        </w:tc>
        <w:tc>
          <w:tcPr>
            <w:tcW w:w="6205" w:type="dxa"/>
          </w:tcPr>
          <w:p w14:paraId="6D72F31D" w14:textId="04D7161F" w:rsidR="00E00D6B" w:rsidRDefault="0048079B" w:rsidP="00E00D6B">
            <w:pPr>
              <w:spacing w:after="120" w:line="480" w:lineRule="auto"/>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11 December 2023</w:t>
            </w:r>
          </w:p>
        </w:tc>
      </w:tr>
    </w:tbl>
    <w:p w14:paraId="1B145F85" w14:textId="77777777" w:rsidR="00E00D6B" w:rsidRPr="002B7D1B" w:rsidRDefault="00E00D6B" w:rsidP="00E00D6B">
      <w:pPr>
        <w:spacing w:after="120" w:line="480" w:lineRule="auto"/>
        <w:ind w:left="10" w:hanging="100"/>
        <w:jc w:val="both"/>
        <w:rPr>
          <w:rFonts w:ascii="Arial" w:eastAsia="Times New Roman" w:hAnsi="Arial" w:cs="Arial"/>
          <w:bCs/>
          <w:color w:val="000000"/>
          <w:sz w:val="24"/>
          <w:szCs w:val="24"/>
          <w:lang w:val="en-GB"/>
        </w:rPr>
      </w:pPr>
    </w:p>
    <w:p w14:paraId="77A127C9" w14:textId="77777777" w:rsidR="002B7D1B" w:rsidRPr="002B7D1B" w:rsidRDefault="002B7D1B" w:rsidP="00C435BA">
      <w:pPr>
        <w:spacing w:after="120" w:line="480" w:lineRule="auto"/>
        <w:ind w:left="10" w:hanging="100"/>
        <w:jc w:val="both"/>
        <w:rPr>
          <w:rFonts w:ascii="Arial" w:eastAsia="Times New Roman" w:hAnsi="Arial" w:cs="Arial"/>
          <w:bCs/>
          <w:color w:val="000000"/>
          <w:sz w:val="24"/>
          <w:szCs w:val="24"/>
          <w:lang w:val="en-GB"/>
        </w:rPr>
      </w:pPr>
      <w:r w:rsidRPr="002B7D1B">
        <w:rPr>
          <w:rFonts w:ascii="Arial" w:eastAsia="Times New Roman" w:hAnsi="Arial" w:cs="Arial"/>
          <w:bCs/>
          <w:color w:val="000000"/>
          <w:sz w:val="24"/>
          <w:szCs w:val="24"/>
          <w:lang w:val="en-GB"/>
        </w:rPr>
        <w:t>.</w:t>
      </w:r>
    </w:p>
    <w:p w14:paraId="7C804C3E" w14:textId="77777777" w:rsidR="002B7D1B" w:rsidRPr="002B7D1B" w:rsidRDefault="002B7D1B" w:rsidP="00C435BA">
      <w:pPr>
        <w:spacing w:after="120" w:line="480" w:lineRule="auto"/>
        <w:ind w:left="10" w:hanging="100"/>
        <w:jc w:val="both"/>
        <w:rPr>
          <w:rFonts w:ascii="Arial" w:eastAsia="Times New Roman" w:hAnsi="Arial" w:cs="Arial"/>
          <w:bCs/>
          <w:color w:val="000000"/>
          <w:sz w:val="24"/>
          <w:szCs w:val="24"/>
          <w:lang w:val="en-GB"/>
        </w:rPr>
      </w:pPr>
    </w:p>
    <w:p w14:paraId="60F9DB09" w14:textId="77777777" w:rsidR="00041170" w:rsidRPr="00B124F4" w:rsidRDefault="00041170" w:rsidP="00C435BA">
      <w:pPr>
        <w:spacing w:after="120" w:line="480" w:lineRule="auto"/>
        <w:ind w:left="10" w:hanging="100"/>
        <w:jc w:val="both"/>
        <w:rPr>
          <w:rFonts w:ascii="Arial" w:eastAsia="Times New Roman" w:hAnsi="Arial" w:cs="Arial"/>
          <w:bCs/>
          <w:color w:val="000000"/>
          <w:sz w:val="24"/>
          <w:szCs w:val="24"/>
          <w:lang w:val="en-GB"/>
        </w:rPr>
      </w:pPr>
    </w:p>
    <w:bookmarkEnd w:id="0"/>
    <w:p w14:paraId="6C54D37D" w14:textId="77777777" w:rsidR="00725DC3" w:rsidRDefault="00725DC3" w:rsidP="00C435BA">
      <w:pPr>
        <w:spacing w:line="480" w:lineRule="auto"/>
        <w:jc w:val="both"/>
      </w:pPr>
    </w:p>
    <w:sectPr w:rsidR="00725DC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nel Tolmay" w:date="2023-11-29T14:31:00Z" w:initials="RT">
    <w:p w14:paraId="14AD7BB4" w14:textId="77777777" w:rsidR="004D18B9" w:rsidRDefault="004D18B9" w:rsidP="00146E30">
      <w:pPr>
        <w:pStyle w:val="CommentText"/>
      </w:pPr>
      <w:r>
        <w:rPr>
          <w:rStyle w:val="CommentReference"/>
        </w:rPr>
        <w:annotationRef/>
      </w:r>
      <w:r>
        <w:t>Any suggestions?I think it should merely be deleted?</w:t>
      </w:r>
    </w:p>
    <w:p w14:paraId="5E6F6F7F" w14:textId="77777777" w:rsidR="001132FB" w:rsidRDefault="001132FB" w:rsidP="00146E30">
      <w:pPr>
        <w:pStyle w:val="CommentText"/>
      </w:pPr>
    </w:p>
    <w:p w14:paraId="7415436F" w14:textId="77777777" w:rsidR="001132FB" w:rsidRDefault="001132FB" w:rsidP="00146E30">
      <w:pPr>
        <w:pStyle w:val="CommentText"/>
      </w:pPr>
      <w:r>
        <w:t>T: Edited it Judge, what do you think? Do you still want to remove it?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1543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65C250">
    <w16cex:extLst>
      <w16:ext w16:uri="{CE6994B0-6A32-4C9F-8C6B-6E91EDA988CE}">
        <cr:reactions xmlns:cr="http://schemas.microsoft.com/office/comments/2020/reactions">
          <cr:reaction reactionType="1">
            <cr:reactionInfo dateUtc="2023-12-07T06:55:07Z">
              <cr:user userId="S::RTolmay@judiciary.org.za::035aacc6-ee17-45ee-8b28-bc2b97658226" userProvider="AD" userName="Ronel Tolmay"/>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5436F" w16cid:durableId="7665C2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AE90" w14:textId="77777777" w:rsidR="00C3721E" w:rsidRDefault="00C3721E" w:rsidP="00D72764">
      <w:pPr>
        <w:spacing w:after="0" w:line="240" w:lineRule="auto"/>
      </w:pPr>
      <w:r>
        <w:separator/>
      </w:r>
    </w:p>
  </w:endnote>
  <w:endnote w:type="continuationSeparator" w:id="0">
    <w:p w14:paraId="38004E9A" w14:textId="77777777" w:rsidR="00C3721E" w:rsidRDefault="00C3721E" w:rsidP="00D7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59388"/>
      <w:docPartObj>
        <w:docPartGallery w:val="Page Numbers (Bottom of Page)"/>
        <w:docPartUnique/>
      </w:docPartObj>
    </w:sdtPr>
    <w:sdtEndPr>
      <w:rPr>
        <w:noProof/>
      </w:rPr>
    </w:sdtEndPr>
    <w:sdtContent>
      <w:p w14:paraId="36320048" w14:textId="7F866CE6" w:rsidR="005F0149" w:rsidRDefault="005F0149">
        <w:pPr>
          <w:pStyle w:val="Footer"/>
          <w:jc w:val="right"/>
        </w:pPr>
        <w:r>
          <w:fldChar w:fldCharType="begin"/>
        </w:r>
        <w:r>
          <w:instrText xml:space="preserve"> PAGE   \* MERGEFORMAT </w:instrText>
        </w:r>
        <w:r>
          <w:fldChar w:fldCharType="separate"/>
        </w:r>
        <w:r w:rsidR="00503D2A">
          <w:rPr>
            <w:noProof/>
          </w:rPr>
          <w:t>20</w:t>
        </w:r>
        <w:r>
          <w:rPr>
            <w:noProof/>
          </w:rPr>
          <w:fldChar w:fldCharType="end"/>
        </w:r>
      </w:p>
    </w:sdtContent>
  </w:sdt>
  <w:p w14:paraId="3741A9FE" w14:textId="77777777" w:rsidR="005F0149" w:rsidRDefault="005F0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1D9F" w14:textId="77777777" w:rsidR="00C3721E" w:rsidRDefault="00C3721E" w:rsidP="00D72764">
      <w:pPr>
        <w:spacing w:after="0" w:line="240" w:lineRule="auto"/>
      </w:pPr>
      <w:r>
        <w:separator/>
      </w:r>
    </w:p>
  </w:footnote>
  <w:footnote w:type="continuationSeparator" w:id="0">
    <w:p w14:paraId="7980A3CD" w14:textId="77777777" w:rsidR="00C3721E" w:rsidRDefault="00C3721E" w:rsidP="00D72764">
      <w:pPr>
        <w:spacing w:after="0" w:line="240" w:lineRule="auto"/>
      </w:pPr>
      <w:r>
        <w:continuationSeparator/>
      </w:r>
    </w:p>
  </w:footnote>
  <w:footnote w:id="1">
    <w:p w14:paraId="599AB7E0" w14:textId="77777777" w:rsidR="00D72764" w:rsidRPr="00C77EF8" w:rsidRDefault="00D72764" w:rsidP="00C77EF8">
      <w:pPr>
        <w:pStyle w:val="FootnoteText"/>
      </w:pPr>
      <w:r>
        <w:rPr>
          <w:rStyle w:val="FootnoteReference"/>
        </w:rPr>
        <w:footnoteRef/>
      </w:r>
      <w:r>
        <w:t xml:space="preserve"> </w:t>
      </w:r>
      <w:r w:rsidR="00C77EF8">
        <w:t>Act 108 of 1996.</w:t>
      </w:r>
    </w:p>
  </w:footnote>
  <w:footnote w:id="2">
    <w:p w14:paraId="1F8CF859" w14:textId="77777777" w:rsidR="00C77EF8" w:rsidRDefault="00C77EF8">
      <w:pPr>
        <w:pStyle w:val="FootnoteText"/>
      </w:pPr>
      <w:r>
        <w:rPr>
          <w:rStyle w:val="FootnoteReference"/>
        </w:rPr>
        <w:footnoteRef/>
      </w:r>
      <w:r>
        <w:t xml:space="preserve"> Act 3 of 2000.</w:t>
      </w:r>
    </w:p>
  </w:footnote>
  <w:footnote w:id="3">
    <w:p w14:paraId="7E203E5A" w14:textId="77777777" w:rsidR="00F8780C" w:rsidRDefault="00F8780C">
      <w:pPr>
        <w:pStyle w:val="FootnoteText"/>
      </w:pPr>
      <w:r>
        <w:rPr>
          <w:rStyle w:val="FootnoteReference"/>
        </w:rPr>
        <w:footnoteRef/>
      </w:r>
      <w:r>
        <w:t xml:space="preserve"> 5 of 2000.</w:t>
      </w:r>
    </w:p>
  </w:footnote>
  <w:footnote w:id="4">
    <w:p w14:paraId="3B4FB542" w14:textId="77777777" w:rsidR="0048079B" w:rsidRPr="00ED1E45" w:rsidRDefault="0048079B" w:rsidP="0048079B">
      <w:pPr>
        <w:pStyle w:val="FootnoteText"/>
      </w:pPr>
      <w:r>
        <w:rPr>
          <w:rStyle w:val="FootnoteReference"/>
        </w:rPr>
        <w:footnoteRef/>
      </w:r>
      <w:r>
        <w:t xml:space="preserve"> </w:t>
      </w:r>
      <w:r w:rsidRPr="00ED1E45">
        <w:t>38 of 2000</w:t>
      </w:r>
      <w:r>
        <w:t>.</w:t>
      </w:r>
    </w:p>
  </w:footnote>
  <w:footnote w:id="5">
    <w:p w14:paraId="794183D1" w14:textId="77777777" w:rsidR="00937046" w:rsidRDefault="00937046">
      <w:pPr>
        <w:pStyle w:val="FootnoteText"/>
      </w:pPr>
      <w:r>
        <w:rPr>
          <w:rStyle w:val="FootnoteReference"/>
        </w:rPr>
        <w:footnoteRef/>
      </w:r>
      <w:r>
        <w:t xml:space="preserve"> </w:t>
      </w:r>
      <w:r w:rsidR="002B7D1B" w:rsidRPr="00937046">
        <w:rPr>
          <w:bCs/>
          <w:lang w:val="en-GB"/>
        </w:rPr>
        <w:t>Wattpower Solutions CC and anoth</w:t>
      </w:r>
      <w:r w:rsidR="000D6D85">
        <w:rPr>
          <w:bCs/>
          <w:lang w:val="en-GB"/>
        </w:rPr>
        <w:t xml:space="preserve">er v Transnet SOC Limited </w:t>
      </w:r>
      <w:r w:rsidR="00096D59">
        <w:rPr>
          <w:bCs/>
          <w:lang w:val="en-GB"/>
        </w:rPr>
        <w:t>(</w:t>
      </w:r>
      <w:r w:rsidR="000D6D85">
        <w:rPr>
          <w:bCs/>
          <w:lang w:val="en-GB"/>
        </w:rPr>
        <w:t>2022</w:t>
      </w:r>
      <w:r w:rsidR="00096D59">
        <w:rPr>
          <w:bCs/>
          <w:lang w:val="en-GB"/>
        </w:rPr>
        <w:t>)</w:t>
      </w:r>
      <w:r w:rsidR="002B7D1B" w:rsidRPr="00937046">
        <w:rPr>
          <w:bCs/>
          <w:lang w:val="en-GB"/>
        </w:rPr>
        <w:t xml:space="preserve"> 1 ALL SA 892</w:t>
      </w:r>
      <w:r w:rsidR="000D6D85">
        <w:rPr>
          <w:bCs/>
          <w:lang w:val="en-GB"/>
        </w:rPr>
        <w:t xml:space="preserve"> </w:t>
      </w:r>
      <w:r w:rsidR="002B7D1B" w:rsidRPr="00937046">
        <w:rPr>
          <w:bCs/>
          <w:lang w:val="en-GB"/>
        </w:rPr>
        <w:t>(KZD)</w:t>
      </w:r>
      <w:r w:rsidR="000D6D85">
        <w:rPr>
          <w:bCs/>
          <w:lang w:val="en-GB"/>
        </w:rPr>
        <w:t>.</w:t>
      </w:r>
    </w:p>
  </w:footnote>
  <w:footnote w:id="6">
    <w:p w14:paraId="616AD9C4" w14:textId="77777777" w:rsidR="00096D59" w:rsidRDefault="00096D59">
      <w:pPr>
        <w:pStyle w:val="FootnoteText"/>
      </w:pPr>
      <w:r>
        <w:rPr>
          <w:rStyle w:val="FootnoteReference"/>
        </w:rPr>
        <w:footnoteRef/>
      </w:r>
      <w:r>
        <w:t xml:space="preserve"> </w:t>
      </w:r>
      <w:r w:rsidRPr="00096D59">
        <w:t>Grinaker LTA v Tender Boar</w:t>
      </w:r>
      <w:r>
        <w:t>d (Mpumalanga) and Others (2002)</w:t>
      </w:r>
      <w:r w:rsidRPr="00096D59">
        <w:t xml:space="preserve"> 3 ALL SA 336</w:t>
      </w:r>
      <w:r>
        <w:t xml:space="preserve"> </w:t>
      </w:r>
      <w:r w:rsidRPr="00096D59">
        <w:t>(T)</w:t>
      </w:r>
      <w:r w:rsidR="00D7401C">
        <w:t>.</w:t>
      </w:r>
    </w:p>
  </w:footnote>
  <w:footnote w:id="7">
    <w:p w14:paraId="5B312352" w14:textId="77777777" w:rsidR="00DA4E3A" w:rsidRDefault="00DA4E3A">
      <w:pPr>
        <w:pStyle w:val="FootnoteText"/>
      </w:pPr>
      <w:r>
        <w:rPr>
          <w:rStyle w:val="FootnoteReference"/>
        </w:rPr>
        <w:footnoteRef/>
      </w:r>
      <w:r>
        <w:t xml:space="preserve"> </w:t>
      </w:r>
      <w:r w:rsidRPr="00DA4E3A">
        <w:t>(508/2009)</w:t>
      </w:r>
      <w:r>
        <w:t xml:space="preserve"> </w:t>
      </w:r>
      <w:r w:rsidRPr="00DA4E3A">
        <w:t>[2009] ZAFSHC 46 (6 APRIL 2009)</w:t>
      </w:r>
      <w:r>
        <w:t>.</w:t>
      </w:r>
    </w:p>
  </w:footnote>
  <w:footnote w:id="8">
    <w:p w14:paraId="0724E8F1" w14:textId="77777777" w:rsidR="001158E0" w:rsidRDefault="001158E0">
      <w:pPr>
        <w:pStyle w:val="FootnoteText"/>
      </w:pPr>
      <w:r>
        <w:rPr>
          <w:rStyle w:val="FootnoteReference"/>
        </w:rPr>
        <w:footnoteRef/>
      </w:r>
      <w:r>
        <w:t xml:space="preserve"> </w:t>
      </w:r>
      <w:r w:rsidRPr="001158E0">
        <w:t>2010 JDR 1568</w:t>
      </w:r>
      <w:r>
        <w:t xml:space="preserve"> </w:t>
      </w:r>
      <w:r w:rsidRPr="001158E0">
        <w:t xml:space="preserve">(ECG) </w:t>
      </w:r>
      <w:r>
        <w:t xml:space="preserve">at </w:t>
      </w:r>
      <w:r w:rsidRPr="001158E0">
        <w:t>par</w:t>
      </w:r>
      <w:r>
        <w:t>a</w:t>
      </w:r>
      <w:r w:rsidRPr="001158E0">
        <w:t xml:space="preserve"> 3</w:t>
      </w:r>
      <w:r>
        <w:t>4.</w:t>
      </w:r>
    </w:p>
  </w:footnote>
  <w:footnote w:id="9">
    <w:p w14:paraId="2E092B76" w14:textId="77777777" w:rsidR="001D4131" w:rsidRDefault="001D4131">
      <w:pPr>
        <w:pStyle w:val="FootnoteText"/>
      </w:pPr>
      <w:r>
        <w:rPr>
          <w:rStyle w:val="FootnoteReference"/>
        </w:rPr>
        <w:footnoteRef/>
      </w:r>
      <w:r>
        <w:t xml:space="preserve"> Ibid, regulation 11.</w:t>
      </w:r>
    </w:p>
  </w:footnote>
  <w:footnote w:id="10">
    <w:p w14:paraId="30D51367" w14:textId="77777777" w:rsidR="00BE3556" w:rsidRPr="00BE3556" w:rsidRDefault="00BE3556" w:rsidP="00BE3556">
      <w:pPr>
        <w:pStyle w:val="FootnoteText"/>
      </w:pPr>
      <w:r>
        <w:rPr>
          <w:rStyle w:val="FootnoteReference"/>
        </w:rPr>
        <w:footnoteRef/>
      </w:r>
      <w:r>
        <w:t xml:space="preserve"> 2004 (6) SA 505 (CC) at para 67.</w:t>
      </w:r>
    </w:p>
  </w:footnote>
  <w:footnote w:id="11">
    <w:p w14:paraId="79561F78" w14:textId="77777777" w:rsidR="005D6DBF" w:rsidRDefault="005D6DBF">
      <w:pPr>
        <w:pStyle w:val="FootnoteText"/>
      </w:pPr>
      <w:r>
        <w:rPr>
          <w:rStyle w:val="FootnoteReference"/>
        </w:rPr>
        <w:footnoteRef/>
      </w:r>
      <w:r>
        <w:t xml:space="preserve"> </w:t>
      </w:r>
      <w:r w:rsidRPr="005D6DBF">
        <w:rPr>
          <w:rFonts w:eastAsia="Times New Roman" w:cstheme="minorHAnsi"/>
          <w:bCs/>
          <w:color w:val="000000"/>
          <w:lang w:val="en-GB"/>
        </w:rPr>
        <w:t>2022 JDR2589</w:t>
      </w:r>
      <w:r>
        <w:rPr>
          <w:rFonts w:eastAsia="Times New Roman" w:cstheme="minorHAnsi"/>
          <w:bCs/>
          <w:color w:val="000000"/>
          <w:lang w:val="en-GB"/>
        </w:rPr>
        <w:t xml:space="preserve"> </w:t>
      </w:r>
      <w:r w:rsidRPr="005D6DBF">
        <w:rPr>
          <w:rFonts w:eastAsia="Times New Roman" w:cstheme="minorHAnsi"/>
          <w:bCs/>
          <w:color w:val="000000"/>
          <w:lang w:val="en-GB"/>
        </w:rPr>
        <w:t>(GJ)</w:t>
      </w:r>
      <w:r>
        <w:rPr>
          <w:rFonts w:eastAsia="Times New Roman" w:cstheme="minorHAnsi"/>
          <w:bCs/>
          <w:color w:val="000000"/>
          <w:lang w:val="en-GB"/>
        </w:rPr>
        <w:t>.</w:t>
      </w:r>
    </w:p>
  </w:footnote>
  <w:footnote w:id="12">
    <w:p w14:paraId="7802429D" w14:textId="77777777" w:rsidR="000A5BCE" w:rsidRDefault="000A5BCE">
      <w:pPr>
        <w:pStyle w:val="FootnoteText"/>
      </w:pPr>
      <w:r>
        <w:rPr>
          <w:rStyle w:val="FootnoteReference"/>
        </w:rPr>
        <w:footnoteRef/>
      </w:r>
      <w:r>
        <w:t xml:space="preserve"> </w:t>
      </w:r>
      <w:r w:rsidR="006B6766" w:rsidRPr="006B6766">
        <w:t>WJ Building and Civil Engineering Contractors CC V Umhlatuze Municipality and Another 2013</w:t>
      </w:r>
      <w:r w:rsidR="006B6766">
        <w:t xml:space="preserve"> (5) SA 461 (KZD) at para 12.</w:t>
      </w:r>
    </w:p>
  </w:footnote>
  <w:footnote w:id="13">
    <w:p w14:paraId="09C28357" w14:textId="77777777" w:rsidR="00F7137D" w:rsidRDefault="00F7137D">
      <w:pPr>
        <w:pStyle w:val="FootnoteText"/>
      </w:pPr>
      <w:r>
        <w:rPr>
          <w:rStyle w:val="FootnoteReference"/>
        </w:rPr>
        <w:footnoteRef/>
      </w:r>
      <w:r>
        <w:t xml:space="preserve"> Act 46 of 2000.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7032640"/>
    <w:multiLevelType w:val="multilevel"/>
    <w:tmpl w:val="FC12D8E2"/>
    <w:lvl w:ilvl="0">
      <w:start w:val="1"/>
      <w:numFmt w:val="decimal"/>
      <w:lvlText w:val="%1."/>
      <w:lvlJc w:val="left"/>
      <w:pPr>
        <w:ind w:left="400" w:hanging="360"/>
      </w:pPr>
      <w:rPr>
        <w:rFonts w:hint="default"/>
      </w:rPr>
    </w:lvl>
    <w:lvl w:ilvl="1">
      <w:start w:val="1"/>
      <w:numFmt w:val="decimal"/>
      <w:isLgl/>
      <w:lvlText w:val="%1.%2"/>
      <w:lvlJc w:val="left"/>
      <w:pPr>
        <w:ind w:left="860" w:hanging="4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200" w:hanging="108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3280" w:hanging="1440"/>
      </w:pPr>
      <w:rPr>
        <w:rFonts w:hint="default"/>
      </w:rPr>
    </w:lvl>
    <w:lvl w:ilvl="6">
      <w:start w:val="1"/>
      <w:numFmt w:val="decimal"/>
      <w:isLgl/>
      <w:lvlText w:val="%1.%2.%3.%4.%5.%6.%7"/>
      <w:lvlJc w:val="left"/>
      <w:pPr>
        <w:ind w:left="3640" w:hanging="1440"/>
      </w:pPr>
      <w:rPr>
        <w:rFonts w:hint="default"/>
      </w:rPr>
    </w:lvl>
    <w:lvl w:ilvl="7">
      <w:start w:val="1"/>
      <w:numFmt w:val="decimal"/>
      <w:isLgl/>
      <w:lvlText w:val="%1.%2.%3.%4.%5.%6.%7.%8"/>
      <w:lvlJc w:val="left"/>
      <w:pPr>
        <w:ind w:left="4360" w:hanging="1800"/>
      </w:pPr>
      <w:rPr>
        <w:rFonts w:hint="default"/>
      </w:rPr>
    </w:lvl>
    <w:lvl w:ilvl="8">
      <w:start w:val="1"/>
      <w:numFmt w:val="decimal"/>
      <w:isLgl/>
      <w:lvlText w:val="%1.%2.%3.%4.%5.%6.%7.%8.%9"/>
      <w:lvlJc w:val="left"/>
      <w:pPr>
        <w:ind w:left="472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el Tolmay">
    <w15:presenceInfo w15:providerId="AD" w15:userId="S::RTolmay@judiciary.org.za::035aacc6-ee17-45ee-8b28-bc2b97658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F4"/>
    <w:rsid w:val="00000813"/>
    <w:rsid w:val="00004057"/>
    <w:rsid w:val="00025F92"/>
    <w:rsid w:val="000335A5"/>
    <w:rsid w:val="00033F82"/>
    <w:rsid w:val="00040C70"/>
    <w:rsid w:val="00041170"/>
    <w:rsid w:val="00042427"/>
    <w:rsid w:val="0005087F"/>
    <w:rsid w:val="0005115E"/>
    <w:rsid w:val="0005565C"/>
    <w:rsid w:val="0006427C"/>
    <w:rsid w:val="0008427E"/>
    <w:rsid w:val="00093537"/>
    <w:rsid w:val="00094B75"/>
    <w:rsid w:val="00096D59"/>
    <w:rsid w:val="000A5BCE"/>
    <w:rsid w:val="000B0392"/>
    <w:rsid w:val="000D243D"/>
    <w:rsid w:val="000D5544"/>
    <w:rsid w:val="000D6D85"/>
    <w:rsid w:val="000F6137"/>
    <w:rsid w:val="001132FB"/>
    <w:rsid w:val="001158E0"/>
    <w:rsid w:val="00122FC9"/>
    <w:rsid w:val="00133F03"/>
    <w:rsid w:val="0015328A"/>
    <w:rsid w:val="00155029"/>
    <w:rsid w:val="00165F7F"/>
    <w:rsid w:val="00166BEE"/>
    <w:rsid w:val="001670BE"/>
    <w:rsid w:val="001A1240"/>
    <w:rsid w:val="001A75DB"/>
    <w:rsid w:val="001D00A6"/>
    <w:rsid w:val="001D4131"/>
    <w:rsid w:val="001D5698"/>
    <w:rsid w:val="001E0B08"/>
    <w:rsid w:val="002012AF"/>
    <w:rsid w:val="00202450"/>
    <w:rsid w:val="00203E85"/>
    <w:rsid w:val="00214005"/>
    <w:rsid w:val="0021735E"/>
    <w:rsid w:val="00250046"/>
    <w:rsid w:val="0025472E"/>
    <w:rsid w:val="00274112"/>
    <w:rsid w:val="00276530"/>
    <w:rsid w:val="002A08F5"/>
    <w:rsid w:val="002B16D4"/>
    <w:rsid w:val="002B7D1B"/>
    <w:rsid w:val="002C2C4D"/>
    <w:rsid w:val="002D577A"/>
    <w:rsid w:val="002D6A13"/>
    <w:rsid w:val="002E21D1"/>
    <w:rsid w:val="003105B7"/>
    <w:rsid w:val="00315007"/>
    <w:rsid w:val="0035261E"/>
    <w:rsid w:val="003579C3"/>
    <w:rsid w:val="00362274"/>
    <w:rsid w:val="003B7C69"/>
    <w:rsid w:val="003C0924"/>
    <w:rsid w:val="00415E3B"/>
    <w:rsid w:val="00416BE8"/>
    <w:rsid w:val="00417C2C"/>
    <w:rsid w:val="00423340"/>
    <w:rsid w:val="004425FB"/>
    <w:rsid w:val="00446D38"/>
    <w:rsid w:val="004573C4"/>
    <w:rsid w:val="00474070"/>
    <w:rsid w:val="00475567"/>
    <w:rsid w:val="0048079B"/>
    <w:rsid w:val="00491BDB"/>
    <w:rsid w:val="0049597F"/>
    <w:rsid w:val="0049651C"/>
    <w:rsid w:val="004C56B7"/>
    <w:rsid w:val="004D18B9"/>
    <w:rsid w:val="004D1E2D"/>
    <w:rsid w:val="004F67B1"/>
    <w:rsid w:val="00503D2A"/>
    <w:rsid w:val="005078C3"/>
    <w:rsid w:val="00527188"/>
    <w:rsid w:val="00536F5E"/>
    <w:rsid w:val="0054591F"/>
    <w:rsid w:val="00554D1A"/>
    <w:rsid w:val="0056586E"/>
    <w:rsid w:val="005671E3"/>
    <w:rsid w:val="00567AA7"/>
    <w:rsid w:val="005A22C8"/>
    <w:rsid w:val="005A2EA0"/>
    <w:rsid w:val="005B72D3"/>
    <w:rsid w:val="005C5C4C"/>
    <w:rsid w:val="005D54F1"/>
    <w:rsid w:val="005D6DBF"/>
    <w:rsid w:val="005F0149"/>
    <w:rsid w:val="00604418"/>
    <w:rsid w:val="0061610F"/>
    <w:rsid w:val="006253E2"/>
    <w:rsid w:val="00643479"/>
    <w:rsid w:val="006529BB"/>
    <w:rsid w:val="00653788"/>
    <w:rsid w:val="00653CB3"/>
    <w:rsid w:val="00653D60"/>
    <w:rsid w:val="006543A2"/>
    <w:rsid w:val="0067225B"/>
    <w:rsid w:val="006737C0"/>
    <w:rsid w:val="00677723"/>
    <w:rsid w:val="006835C5"/>
    <w:rsid w:val="00693FD1"/>
    <w:rsid w:val="006B0150"/>
    <w:rsid w:val="006B6766"/>
    <w:rsid w:val="006B7201"/>
    <w:rsid w:val="006D5D07"/>
    <w:rsid w:val="006E7A8E"/>
    <w:rsid w:val="007040CE"/>
    <w:rsid w:val="007226DC"/>
    <w:rsid w:val="00725DC3"/>
    <w:rsid w:val="0073297E"/>
    <w:rsid w:val="007440ED"/>
    <w:rsid w:val="007640AD"/>
    <w:rsid w:val="007735AC"/>
    <w:rsid w:val="0078406D"/>
    <w:rsid w:val="00787867"/>
    <w:rsid w:val="00793FCA"/>
    <w:rsid w:val="007B0458"/>
    <w:rsid w:val="007C3649"/>
    <w:rsid w:val="007C5C79"/>
    <w:rsid w:val="007D0E16"/>
    <w:rsid w:val="007D469A"/>
    <w:rsid w:val="007E6F4C"/>
    <w:rsid w:val="008041F6"/>
    <w:rsid w:val="00810D9E"/>
    <w:rsid w:val="008209C3"/>
    <w:rsid w:val="00827ABA"/>
    <w:rsid w:val="00843C27"/>
    <w:rsid w:val="0085776D"/>
    <w:rsid w:val="00875B42"/>
    <w:rsid w:val="008770B3"/>
    <w:rsid w:val="008B1BA1"/>
    <w:rsid w:val="008B6705"/>
    <w:rsid w:val="008B6994"/>
    <w:rsid w:val="008C7AFE"/>
    <w:rsid w:val="008E1304"/>
    <w:rsid w:val="008E1CE2"/>
    <w:rsid w:val="008E4A9A"/>
    <w:rsid w:val="008F5626"/>
    <w:rsid w:val="00925B08"/>
    <w:rsid w:val="009272C2"/>
    <w:rsid w:val="00931D98"/>
    <w:rsid w:val="00937046"/>
    <w:rsid w:val="00943B50"/>
    <w:rsid w:val="00947627"/>
    <w:rsid w:val="00952792"/>
    <w:rsid w:val="0095405F"/>
    <w:rsid w:val="00956D4A"/>
    <w:rsid w:val="00957945"/>
    <w:rsid w:val="009678FB"/>
    <w:rsid w:val="00981C92"/>
    <w:rsid w:val="00982833"/>
    <w:rsid w:val="0098740B"/>
    <w:rsid w:val="009A2A73"/>
    <w:rsid w:val="009B0B48"/>
    <w:rsid w:val="009C222B"/>
    <w:rsid w:val="009C4F9D"/>
    <w:rsid w:val="009D6A28"/>
    <w:rsid w:val="009E0EDE"/>
    <w:rsid w:val="00A105DE"/>
    <w:rsid w:val="00A30C0A"/>
    <w:rsid w:val="00A32A00"/>
    <w:rsid w:val="00A41659"/>
    <w:rsid w:val="00A6025C"/>
    <w:rsid w:val="00A73FC0"/>
    <w:rsid w:val="00A77949"/>
    <w:rsid w:val="00A876FC"/>
    <w:rsid w:val="00A90688"/>
    <w:rsid w:val="00AB6761"/>
    <w:rsid w:val="00AC272B"/>
    <w:rsid w:val="00AD26C0"/>
    <w:rsid w:val="00AD6B26"/>
    <w:rsid w:val="00AD746A"/>
    <w:rsid w:val="00AE1573"/>
    <w:rsid w:val="00AF3806"/>
    <w:rsid w:val="00AF5917"/>
    <w:rsid w:val="00B0735B"/>
    <w:rsid w:val="00B124F4"/>
    <w:rsid w:val="00B12569"/>
    <w:rsid w:val="00B20896"/>
    <w:rsid w:val="00B27342"/>
    <w:rsid w:val="00B307B0"/>
    <w:rsid w:val="00B364B2"/>
    <w:rsid w:val="00B36FF8"/>
    <w:rsid w:val="00B451FB"/>
    <w:rsid w:val="00B53395"/>
    <w:rsid w:val="00B93B35"/>
    <w:rsid w:val="00BB0D52"/>
    <w:rsid w:val="00BD42F5"/>
    <w:rsid w:val="00BD742B"/>
    <w:rsid w:val="00BE3556"/>
    <w:rsid w:val="00BF1133"/>
    <w:rsid w:val="00C02084"/>
    <w:rsid w:val="00C113C8"/>
    <w:rsid w:val="00C13481"/>
    <w:rsid w:val="00C15682"/>
    <w:rsid w:val="00C21205"/>
    <w:rsid w:val="00C26BF9"/>
    <w:rsid w:val="00C3721E"/>
    <w:rsid w:val="00C435BA"/>
    <w:rsid w:val="00C46E2D"/>
    <w:rsid w:val="00C535D9"/>
    <w:rsid w:val="00C62F0D"/>
    <w:rsid w:val="00C77EF8"/>
    <w:rsid w:val="00C83F5A"/>
    <w:rsid w:val="00C93F92"/>
    <w:rsid w:val="00CB29FB"/>
    <w:rsid w:val="00CB2E04"/>
    <w:rsid w:val="00CC12D5"/>
    <w:rsid w:val="00CC7996"/>
    <w:rsid w:val="00CE3AD5"/>
    <w:rsid w:val="00CF1F80"/>
    <w:rsid w:val="00D137C7"/>
    <w:rsid w:val="00D214DB"/>
    <w:rsid w:val="00D32254"/>
    <w:rsid w:val="00D649C3"/>
    <w:rsid w:val="00D72764"/>
    <w:rsid w:val="00D7401C"/>
    <w:rsid w:val="00D80BE0"/>
    <w:rsid w:val="00D91638"/>
    <w:rsid w:val="00D949FF"/>
    <w:rsid w:val="00D961F5"/>
    <w:rsid w:val="00DA4E3A"/>
    <w:rsid w:val="00DB6EFA"/>
    <w:rsid w:val="00DC4AAB"/>
    <w:rsid w:val="00DD2D41"/>
    <w:rsid w:val="00DD3357"/>
    <w:rsid w:val="00DD3EF2"/>
    <w:rsid w:val="00DD6A9C"/>
    <w:rsid w:val="00DF1B5D"/>
    <w:rsid w:val="00E00D6B"/>
    <w:rsid w:val="00E136D3"/>
    <w:rsid w:val="00E17C9C"/>
    <w:rsid w:val="00E22E90"/>
    <w:rsid w:val="00E25ABA"/>
    <w:rsid w:val="00E3093B"/>
    <w:rsid w:val="00E36041"/>
    <w:rsid w:val="00E42A5E"/>
    <w:rsid w:val="00E42B5B"/>
    <w:rsid w:val="00E6491C"/>
    <w:rsid w:val="00E82844"/>
    <w:rsid w:val="00E96165"/>
    <w:rsid w:val="00EA601B"/>
    <w:rsid w:val="00EB0A98"/>
    <w:rsid w:val="00EB61F6"/>
    <w:rsid w:val="00EC0FB1"/>
    <w:rsid w:val="00ED1E45"/>
    <w:rsid w:val="00EE3FA1"/>
    <w:rsid w:val="00F16851"/>
    <w:rsid w:val="00F25FD2"/>
    <w:rsid w:val="00F45D40"/>
    <w:rsid w:val="00F6122E"/>
    <w:rsid w:val="00F7137D"/>
    <w:rsid w:val="00F87196"/>
    <w:rsid w:val="00F8780C"/>
    <w:rsid w:val="00F907A3"/>
    <w:rsid w:val="00F94D16"/>
    <w:rsid w:val="00FC3044"/>
    <w:rsid w:val="00FC3C5C"/>
    <w:rsid w:val="00FE7F50"/>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69B1"/>
  <w15:chartTrackingRefBased/>
  <w15:docId w15:val="{74237C56-76F7-408F-89F6-3B3BC95E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E8"/>
    <w:pPr>
      <w:ind w:left="720"/>
      <w:contextualSpacing/>
    </w:pPr>
  </w:style>
  <w:style w:type="paragraph" w:styleId="FootnoteText">
    <w:name w:val="footnote text"/>
    <w:basedOn w:val="Normal"/>
    <w:link w:val="FootnoteTextChar"/>
    <w:uiPriority w:val="99"/>
    <w:semiHidden/>
    <w:unhideWhenUsed/>
    <w:rsid w:val="00D72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764"/>
    <w:rPr>
      <w:sz w:val="20"/>
      <w:szCs w:val="20"/>
    </w:rPr>
  </w:style>
  <w:style w:type="character" w:styleId="FootnoteReference">
    <w:name w:val="footnote reference"/>
    <w:basedOn w:val="DefaultParagraphFont"/>
    <w:uiPriority w:val="99"/>
    <w:semiHidden/>
    <w:unhideWhenUsed/>
    <w:rsid w:val="00D72764"/>
    <w:rPr>
      <w:vertAlign w:val="superscript"/>
    </w:rPr>
  </w:style>
  <w:style w:type="paragraph" w:styleId="Header">
    <w:name w:val="header"/>
    <w:basedOn w:val="Normal"/>
    <w:link w:val="HeaderChar"/>
    <w:uiPriority w:val="99"/>
    <w:unhideWhenUsed/>
    <w:rsid w:val="005F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149"/>
  </w:style>
  <w:style w:type="paragraph" w:styleId="Footer">
    <w:name w:val="footer"/>
    <w:basedOn w:val="Normal"/>
    <w:link w:val="FooterChar"/>
    <w:uiPriority w:val="99"/>
    <w:unhideWhenUsed/>
    <w:rsid w:val="005F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149"/>
  </w:style>
  <w:style w:type="table" w:styleId="TableGrid">
    <w:name w:val="Table Grid"/>
    <w:basedOn w:val="TableNormal"/>
    <w:uiPriority w:val="39"/>
    <w:rsid w:val="00E0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2A00"/>
    <w:pPr>
      <w:spacing w:after="0" w:line="240" w:lineRule="auto"/>
    </w:pPr>
  </w:style>
  <w:style w:type="character" w:styleId="CommentReference">
    <w:name w:val="annotation reference"/>
    <w:basedOn w:val="DefaultParagraphFont"/>
    <w:uiPriority w:val="99"/>
    <w:semiHidden/>
    <w:unhideWhenUsed/>
    <w:rsid w:val="00A32A00"/>
    <w:rPr>
      <w:sz w:val="16"/>
      <w:szCs w:val="16"/>
    </w:rPr>
  </w:style>
  <w:style w:type="paragraph" w:styleId="CommentText">
    <w:name w:val="annotation text"/>
    <w:basedOn w:val="Normal"/>
    <w:link w:val="CommentTextChar"/>
    <w:uiPriority w:val="99"/>
    <w:unhideWhenUsed/>
    <w:rsid w:val="00A32A00"/>
    <w:pPr>
      <w:spacing w:line="240" w:lineRule="auto"/>
    </w:pPr>
    <w:rPr>
      <w:sz w:val="20"/>
      <w:szCs w:val="20"/>
    </w:rPr>
  </w:style>
  <w:style w:type="character" w:customStyle="1" w:styleId="CommentTextChar">
    <w:name w:val="Comment Text Char"/>
    <w:basedOn w:val="DefaultParagraphFont"/>
    <w:link w:val="CommentText"/>
    <w:uiPriority w:val="99"/>
    <w:rsid w:val="00A32A00"/>
    <w:rPr>
      <w:sz w:val="20"/>
      <w:szCs w:val="20"/>
    </w:rPr>
  </w:style>
  <w:style w:type="paragraph" w:styleId="CommentSubject">
    <w:name w:val="annotation subject"/>
    <w:basedOn w:val="CommentText"/>
    <w:next w:val="CommentText"/>
    <w:link w:val="CommentSubjectChar"/>
    <w:uiPriority w:val="99"/>
    <w:semiHidden/>
    <w:unhideWhenUsed/>
    <w:rsid w:val="00A32A00"/>
    <w:rPr>
      <w:b/>
      <w:bCs/>
    </w:rPr>
  </w:style>
  <w:style w:type="character" w:customStyle="1" w:styleId="CommentSubjectChar">
    <w:name w:val="Comment Subject Char"/>
    <w:basedOn w:val="CommentTextChar"/>
    <w:link w:val="CommentSubject"/>
    <w:uiPriority w:val="99"/>
    <w:semiHidden/>
    <w:rsid w:val="00A32A00"/>
    <w:rPr>
      <w:b/>
      <w:bCs/>
      <w:sz w:val="20"/>
      <w:szCs w:val="20"/>
    </w:rPr>
  </w:style>
  <w:style w:type="paragraph" w:styleId="BalloonText">
    <w:name w:val="Balloon Text"/>
    <w:basedOn w:val="Normal"/>
    <w:link w:val="BalloonTextChar"/>
    <w:uiPriority w:val="99"/>
    <w:semiHidden/>
    <w:unhideWhenUsed/>
    <w:rsid w:val="002C2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484E-F2F5-4329-8A8F-43C18B97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Tshireletso Peele</dc:creator>
  <cp:keywords/>
  <dc:description/>
  <cp:lastModifiedBy>Sathish</cp:lastModifiedBy>
  <cp:revision>6</cp:revision>
  <cp:lastPrinted>2023-12-11T12:12:00Z</cp:lastPrinted>
  <dcterms:created xsi:type="dcterms:W3CDTF">2023-12-11T08:15:00Z</dcterms:created>
  <dcterms:modified xsi:type="dcterms:W3CDTF">2024-01-10T20:02:00Z</dcterms:modified>
</cp:coreProperties>
</file>