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5522" w:rsidRPr="000C7880" w:rsidRDefault="00E85522" w:rsidP="00E85522">
      <w:pPr>
        <w:rPr>
          <w:rFonts w:ascii="Times New Roman" w:hAnsi="Times New Roman" w:cs="Times New Roman"/>
          <w:sz w:val="28"/>
          <w:szCs w:val="28"/>
        </w:rPr>
      </w:pPr>
      <w:r w:rsidRPr="000C7880">
        <w:rPr>
          <w:rFonts w:ascii="Times New Roman" w:hAnsi="Times New Roman" w:cs="Times New Roman"/>
          <w:noProof/>
          <w:color w:val="000000" w:themeColor="text1"/>
          <w:sz w:val="28"/>
          <w:szCs w:val="28"/>
          <w:lang w:eastAsia="en-ZA"/>
        </w:rPr>
        <w:drawing>
          <wp:anchor distT="0" distB="0" distL="114300" distR="114300" simplePos="0" relativeHeight="251659264" behindDoc="0" locked="0" layoutInCell="1" allowOverlap="1" wp14:anchorId="3A653D40" wp14:editId="58EB98D0">
            <wp:simplePos x="0" y="0"/>
            <wp:positionH relativeFrom="column">
              <wp:posOffset>2295525</wp:posOffset>
            </wp:positionH>
            <wp:positionV relativeFrom="paragraph">
              <wp:posOffset>52705</wp:posOffset>
            </wp:positionV>
            <wp:extent cx="1247775" cy="1247775"/>
            <wp:effectExtent l="0" t="0" r="9525" b="9525"/>
            <wp:wrapSquare wrapText="bothSides"/>
            <wp:docPr id="1"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7775" cy="1247775"/>
                    </a:xfrm>
                    <a:prstGeom prst="rect">
                      <a:avLst/>
                    </a:prstGeom>
                    <a:noFill/>
                    <a:ln>
                      <a:noFill/>
                    </a:ln>
                  </pic:spPr>
                </pic:pic>
              </a:graphicData>
            </a:graphic>
          </wp:anchor>
        </w:drawing>
      </w:r>
    </w:p>
    <w:p w:rsidR="00E85522" w:rsidRPr="000C7880" w:rsidRDefault="00E85522" w:rsidP="00E85522">
      <w:pPr>
        <w:tabs>
          <w:tab w:val="left" w:pos="2415"/>
        </w:tabs>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p>
    <w:p w:rsidR="00E85522" w:rsidRPr="000C7880" w:rsidRDefault="00E85522" w:rsidP="00E85522">
      <w:pPr>
        <w:spacing w:after="0"/>
        <w:rPr>
          <w:rFonts w:ascii="Times New Roman" w:hAnsi="Times New Roman" w:cs="Times New Roman"/>
          <w:color w:val="000000" w:themeColor="text1"/>
          <w:sz w:val="28"/>
          <w:szCs w:val="28"/>
        </w:rPr>
      </w:pPr>
    </w:p>
    <w:p w:rsidR="00E85522" w:rsidRPr="000C7880" w:rsidRDefault="00E85522" w:rsidP="00E85522">
      <w:pPr>
        <w:spacing w:after="0"/>
        <w:rPr>
          <w:rFonts w:ascii="Times New Roman" w:hAnsi="Times New Roman" w:cs="Times New Roman"/>
          <w:b/>
          <w:color w:val="000000" w:themeColor="text1"/>
          <w:sz w:val="28"/>
          <w:szCs w:val="28"/>
        </w:rPr>
      </w:pPr>
      <w:r w:rsidRPr="000C788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r w:rsidRPr="000C7880">
        <w:rPr>
          <w:rFonts w:ascii="Times New Roman" w:hAnsi="Times New Roman" w:cs="Times New Roman"/>
          <w:b/>
          <w:color w:val="000000" w:themeColor="text1"/>
          <w:sz w:val="28"/>
          <w:szCs w:val="28"/>
        </w:rPr>
        <w:t>HIGH COURT OF SOUTH AFRICA</w:t>
      </w:r>
    </w:p>
    <w:p w:rsidR="00E85522" w:rsidRPr="00D72A63" w:rsidRDefault="00E85522" w:rsidP="00D72A63">
      <w:pPr>
        <w:tabs>
          <w:tab w:val="center" w:pos="4513"/>
          <w:tab w:val="left" w:pos="7826"/>
        </w:tabs>
        <w:spacing w:after="120"/>
        <w:rPr>
          <w:rFonts w:ascii="Times New Roman" w:hAnsi="Times New Roman" w:cs="Times New Roman"/>
          <w:b/>
          <w:color w:val="000000" w:themeColor="text1"/>
          <w:sz w:val="28"/>
          <w:szCs w:val="28"/>
        </w:rPr>
      </w:pPr>
      <w:r w:rsidRPr="000C7880">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 xml:space="preserve">                             </w:t>
      </w:r>
      <w:r w:rsidRPr="000C7880">
        <w:rPr>
          <w:rFonts w:ascii="Times New Roman" w:hAnsi="Times New Roman" w:cs="Times New Roman"/>
          <w:b/>
          <w:color w:val="000000" w:themeColor="text1"/>
          <w:sz w:val="28"/>
          <w:szCs w:val="28"/>
        </w:rPr>
        <w:t>(GAUTENG DIVISION, PRETORIA)</w:t>
      </w:r>
      <w:r>
        <w:rPr>
          <w:rFonts w:ascii="Times New Roman" w:hAnsi="Times New Roman" w:cs="Times New Roman"/>
          <w:b/>
          <w:color w:val="000000" w:themeColor="text1"/>
          <w:sz w:val="28"/>
          <w:szCs w:val="28"/>
        </w:rPr>
        <w:tab/>
      </w:r>
      <w:r>
        <w:rPr>
          <w:rFonts w:ascii="Times New Roman" w:hAnsi="Times New Roman" w:cs="Times New Roman"/>
          <w:b/>
          <w:color w:val="000000" w:themeColor="text1"/>
          <w:sz w:val="28"/>
          <w:szCs w:val="28"/>
        </w:rPr>
        <w:tab/>
      </w:r>
      <w:r w:rsidRPr="000C7880">
        <w:rPr>
          <w:rFonts w:ascii="Times New Roman" w:hAnsi="Times New Roman" w:cs="Times New Roman"/>
          <w:b/>
          <w:color w:val="000000" w:themeColor="text1"/>
          <w:sz w:val="28"/>
          <w:szCs w:val="28"/>
          <w:highlight w:val="yellow"/>
        </w:rPr>
        <w:t xml:space="preserve">                                                                    </w:t>
      </w:r>
    </w:p>
    <w:p w:rsidR="00EE1DF4" w:rsidRDefault="00D72A63" w:rsidP="007211EC">
      <w:pPr>
        <w:spacing w:after="240" w:line="240" w:lineRule="auto"/>
        <w:ind w:right="-46"/>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w:t>
      </w:r>
      <w:r w:rsidR="00E85522" w:rsidRPr="000C7880">
        <w:rPr>
          <w:rFonts w:ascii="Times New Roman" w:hAnsi="Times New Roman" w:cs="Times New Roman"/>
          <w:b/>
          <w:color w:val="000000" w:themeColor="text1"/>
          <w:sz w:val="28"/>
          <w:szCs w:val="28"/>
        </w:rPr>
        <w:t xml:space="preserve">                                                      </w:t>
      </w:r>
      <w:r w:rsidR="007211EC">
        <w:rPr>
          <w:rFonts w:ascii="Times New Roman" w:hAnsi="Times New Roman" w:cs="Times New Roman"/>
          <w:b/>
          <w:color w:val="000000" w:themeColor="text1"/>
          <w:sz w:val="28"/>
          <w:szCs w:val="28"/>
        </w:rPr>
        <w:t xml:space="preserve">    </w:t>
      </w:r>
      <w:r w:rsidR="008A6E18">
        <w:rPr>
          <w:rFonts w:ascii="Times New Roman" w:hAnsi="Times New Roman" w:cs="Times New Roman"/>
          <w:b/>
          <w:color w:val="000000" w:themeColor="text1"/>
          <w:sz w:val="28"/>
          <w:szCs w:val="28"/>
        </w:rPr>
        <w:tab/>
      </w:r>
      <w:r w:rsidR="008A6E18">
        <w:rPr>
          <w:rFonts w:ascii="Times New Roman" w:hAnsi="Times New Roman" w:cs="Times New Roman"/>
          <w:b/>
          <w:color w:val="000000" w:themeColor="text1"/>
          <w:sz w:val="28"/>
          <w:szCs w:val="28"/>
        </w:rPr>
        <w:tab/>
        <w:t xml:space="preserve">      </w:t>
      </w:r>
      <w:r w:rsidR="005B68C4">
        <w:rPr>
          <w:rFonts w:ascii="Times New Roman" w:hAnsi="Times New Roman" w:cs="Times New Roman"/>
          <w:b/>
          <w:color w:val="000000" w:themeColor="text1"/>
          <w:sz w:val="28"/>
          <w:szCs w:val="28"/>
        </w:rPr>
        <w:t xml:space="preserve">    </w:t>
      </w:r>
      <w:r w:rsidR="00E85522">
        <w:rPr>
          <w:rFonts w:ascii="Times New Roman" w:hAnsi="Times New Roman" w:cs="Times New Roman"/>
          <w:b/>
          <w:color w:val="000000" w:themeColor="text1"/>
          <w:sz w:val="28"/>
          <w:szCs w:val="28"/>
        </w:rPr>
        <w:t>CASE NO:</w:t>
      </w:r>
      <w:r w:rsidR="008A6E18">
        <w:rPr>
          <w:rFonts w:ascii="Times New Roman" w:hAnsi="Times New Roman" w:cs="Times New Roman"/>
          <w:b/>
          <w:color w:val="000000" w:themeColor="text1"/>
          <w:sz w:val="28"/>
          <w:szCs w:val="28"/>
        </w:rPr>
        <w:t xml:space="preserve"> </w:t>
      </w:r>
      <w:r w:rsidR="005B68C4">
        <w:rPr>
          <w:rFonts w:ascii="Times New Roman" w:hAnsi="Times New Roman" w:cs="Times New Roman"/>
          <w:b/>
          <w:color w:val="000000" w:themeColor="text1"/>
          <w:sz w:val="28"/>
          <w:szCs w:val="28"/>
        </w:rPr>
        <w:t>9077/2022</w:t>
      </w:r>
    </w:p>
    <w:tbl>
      <w:tblPr>
        <w:tblpPr w:leftFromText="180" w:rightFromText="180" w:vertAnchor="text" w:horzAnchor="margin" w:tblpXSpec="right" w:tblpY="2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tblGrid>
      <w:tr w:rsidR="00D72A63" w:rsidRPr="00D72A63" w:rsidTr="00C53475">
        <w:tc>
          <w:tcPr>
            <w:tcW w:w="4428" w:type="dxa"/>
          </w:tcPr>
          <w:p w:rsidR="00D72A63" w:rsidRPr="00D72A63" w:rsidRDefault="00D72A63" w:rsidP="00D72A63">
            <w:pPr>
              <w:spacing w:after="0"/>
              <w:jc w:val="left"/>
              <w:rPr>
                <w:rFonts w:ascii="Times New Roman" w:eastAsia="Calibri" w:hAnsi="Times New Roman" w:cs="Arial"/>
                <w:b/>
                <w:spacing w:val="3"/>
                <w:w w:val="104"/>
                <w:kern w:val="24"/>
                <w:sz w:val="18"/>
                <w:szCs w:val="18"/>
                <w:lang w:val="en-GB"/>
              </w:rPr>
            </w:pPr>
            <w:bookmarkStart w:id="0" w:name="OLE_LINK1"/>
            <w:bookmarkStart w:id="1" w:name="OLE_LINK2"/>
            <w:bookmarkStart w:id="2" w:name="OLE_LINK3"/>
            <w:bookmarkStart w:id="3" w:name="OLE_LINK4"/>
          </w:p>
          <w:p w:rsidR="00D72A63" w:rsidRPr="00D72A63" w:rsidRDefault="00016BC0" w:rsidP="00D72A63">
            <w:pPr>
              <w:spacing w:after="0"/>
              <w:jc w:val="left"/>
              <w:rPr>
                <w:rFonts w:ascii="Times New Roman" w:eastAsia="Calibri" w:hAnsi="Times New Roman" w:cs="Arial"/>
                <w:b/>
                <w:spacing w:val="3"/>
                <w:w w:val="104"/>
                <w:kern w:val="24"/>
                <w:sz w:val="18"/>
                <w:szCs w:val="18"/>
                <w:lang w:val="en-GB"/>
              </w:rPr>
            </w:pPr>
            <w:r>
              <w:rPr>
                <w:rFonts w:ascii="Times New Roman" w:eastAsia="Calibri" w:hAnsi="Times New Roman" w:cs="Arial"/>
                <w:b/>
                <w:spacing w:val="3"/>
                <w:w w:val="104"/>
                <w:kern w:val="24"/>
                <w:sz w:val="18"/>
                <w:szCs w:val="18"/>
                <w:lang w:val="en-GB"/>
              </w:rPr>
              <w:t xml:space="preserve">(1) REPORTABLE: </w:t>
            </w:r>
            <w:r w:rsidR="00D72A63" w:rsidRPr="00D72A63">
              <w:rPr>
                <w:rFonts w:ascii="Times New Roman" w:eastAsia="Calibri" w:hAnsi="Times New Roman" w:cs="Arial"/>
                <w:b/>
                <w:spacing w:val="3"/>
                <w:w w:val="104"/>
                <w:kern w:val="24"/>
                <w:sz w:val="18"/>
                <w:szCs w:val="18"/>
                <w:lang w:val="en-GB"/>
              </w:rPr>
              <w:t xml:space="preserve"> NO.</w:t>
            </w:r>
          </w:p>
          <w:p w:rsidR="00D72A63" w:rsidRPr="00D72A63" w:rsidRDefault="00D72A63" w:rsidP="00D72A63">
            <w:pPr>
              <w:spacing w:after="0"/>
              <w:jc w:val="left"/>
              <w:rPr>
                <w:rFonts w:ascii="Times New Roman" w:eastAsia="Calibri" w:hAnsi="Times New Roman" w:cs="Arial"/>
                <w:b/>
                <w:spacing w:val="3"/>
                <w:w w:val="104"/>
                <w:kern w:val="24"/>
                <w:sz w:val="18"/>
                <w:szCs w:val="18"/>
                <w:lang w:val="en-GB"/>
              </w:rPr>
            </w:pPr>
            <w:r w:rsidRPr="00D72A63">
              <w:rPr>
                <w:rFonts w:ascii="Times New Roman" w:eastAsia="Calibri" w:hAnsi="Times New Roman" w:cs="Arial"/>
                <w:b/>
                <w:spacing w:val="3"/>
                <w:w w:val="104"/>
                <w:kern w:val="24"/>
                <w:sz w:val="18"/>
                <w:szCs w:val="18"/>
                <w:lang w:val="en-GB"/>
              </w:rPr>
              <w:t>(2) OF INTE</w:t>
            </w:r>
            <w:r w:rsidR="00016BC0">
              <w:rPr>
                <w:rFonts w:ascii="Times New Roman" w:eastAsia="Calibri" w:hAnsi="Times New Roman" w:cs="Arial"/>
                <w:b/>
                <w:spacing w:val="3"/>
                <w:w w:val="104"/>
                <w:kern w:val="24"/>
                <w:sz w:val="18"/>
                <w:szCs w:val="18"/>
                <w:lang w:val="en-GB"/>
              </w:rPr>
              <w:t xml:space="preserve">REST TO OTHER JUDGES:  </w:t>
            </w:r>
            <w:r w:rsidR="0083716B">
              <w:rPr>
                <w:rFonts w:ascii="Times New Roman" w:eastAsia="Calibri" w:hAnsi="Times New Roman" w:cs="Arial"/>
                <w:b/>
                <w:spacing w:val="3"/>
                <w:w w:val="104"/>
                <w:kern w:val="24"/>
                <w:sz w:val="18"/>
                <w:szCs w:val="18"/>
                <w:lang w:val="en-GB"/>
              </w:rPr>
              <w:t>YES</w:t>
            </w:r>
            <w:r w:rsidR="00016BC0">
              <w:rPr>
                <w:rFonts w:ascii="Times New Roman" w:eastAsia="Calibri" w:hAnsi="Times New Roman" w:cs="Arial"/>
                <w:b/>
                <w:spacing w:val="3"/>
                <w:w w:val="104"/>
                <w:kern w:val="24"/>
                <w:sz w:val="18"/>
                <w:szCs w:val="18"/>
                <w:lang w:val="en-GB"/>
              </w:rPr>
              <w:t xml:space="preserve"> </w:t>
            </w:r>
          </w:p>
          <w:p w:rsidR="00D72A63" w:rsidRPr="00D72A63" w:rsidRDefault="00D72A63" w:rsidP="00D72A63">
            <w:pPr>
              <w:spacing w:after="0"/>
              <w:jc w:val="left"/>
              <w:rPr>
                <w:rFonts w:ascii="Times New Roman" w:eastAsia="Calibri" w:hAnsi="Times New Roman" w:cs="Arial"/>
                <w:b/>
                <w:spacing w:val="3"/>
                <w:w w:val="104"/>
                <w:kern w:val="24"/>
                <w:sz w:val="18"/>
                <w:szCs w:val="18"/>
                <w:lang w:val="en-GB"/>
              </w:rPr>
            </w:pPr>
            <w:r w:rsidRPr="00D72A63">
              <w:rPr>
                <w:rFonts w:ascii="Times New Roman" w:eastAsia="Calibri" w:hAnsi="Times New Roman" w:cs="Arial"/>
                <w:b/>
                <w:spacing w:val="3"/>
                <w:w w:val="104"/>
                <w:kern w:val="24"/>
                <w:sz w:val="18"/>
                <w:szCs w:val="18"/>
                <w:lang w:val="en-GB"/>
              </w:rPr>
              <w:t>(3) REVISED.</w:t>
            </w:r>
          </w:p>
          <w:p w:rsidR="00E82EE6" w:rsidRDefault="006122C4" w:rsidP="00D72A63">
            <w:pPr>
              <w:spacing w:after="0"/>
              <w:jc w:val="left"/>
              <w:rPr>
                <w:rFonts w:ascii="Times New Roman" w:eastAsia="Calibri" w:hAnsi="Times New Roman" w:cs="Arial"/>
                <w:b/>
                <w:spacing w:val="3"/>
                <w:w w:val="104"/>
                <w:kern w:val="24"/>
                <w:sz w:val="18"/>
                <w:szCs w:val="18"/>
                <w:lang w:val="en-GB"/>
              </w:rPr>
            </w:pPr>
            <w:r w:rsidRPr="00D72A63">
              <w:rPr>
                <w:rFonts w:ascii="Times New Roman" w:eastAsia="Calibri" w:hAnsi="Times New Roman" w:cs="Arial"/>
                <w:b/>
                <w:spacing w:val="3"/>
                <w:w w:val="104"/>
                <w:kern w:val="24"/>
                <w:sz w:val="18"/>
                <w:szCs w:val="18"/>
                <w:u w:val="single"/>
                <w:lang w:val="en-GB"/>
              </w:rPr>
              <w:t>DATE</w:t>
            </w:r>
            <w:r w:rsidR="002B0B14" w:rsidRPr="002B0B14">
              <w:rPr>
                <w:rFonts w:ascii="Times New Roman" w:eastAsia="Calibri" w:hAnsi="Times New Roman" w:cs="Arial"/>
                <w:b/>
                <w:spacing w:val="3"/>
                <w:w w:val="104"/>
                <w:kern w:val="24"/>
                <w:sz w:val="18"/>
                <w:szCs w:val="18"/>
                <w:lang w:val="en-GB"/>
              </w:rPr>
              <w:t>:</w:t>
            </w:r>
            <w:r w:rsidR="007E6238">
              <w:rPr>
                <w:rFonts w:ascii="Times New Roman" w:eastAsia="Calibri" w:hAnsi="Times New Roman" w:cs="Arial"/>
                <w:b/>
                <w:spacing w:val="3"/>
                <w:w w:val="104"/>
                <w:kern w:val="24"/>
                <w:sz w:val="18"/>
                <w:szCs w:val="18"/>
                <w:lang w:val="en-GB"/>
              </w:rPr>
              <w:t xml:space="preserve"> 19</w:t>
            </w:r>
            <w:r w:rsidR="005B68C4">
              <w:rPr>
                <w:rFonts w:ascii="Times New Roman" w:eastAsia="Calibri" w:hAnsi="Times New Roman" w:cs="Arial"/>
                <w:b/>
                <w:spacing w:val="3"/>
                <w:w w:val="104"/>
                <w:kern w:val="24"/>
                <w:sz w:val="18"/>
                <w:szCs w:val="18"/>
                <w:lang w:val="en-GB"/>
              </w:rPr>
              <w:t xml:space="preserve"> JANUARY 2023</w:t>
            </w:r>
          </w:p>
          <w:p w:rsidR="00D72A63" w:rsidRPr="00D72A63" w:rsidRDefault="00D72A63" w:rsidP="00D72A63">
            <w:pPr>
              <w:spacing w:after="0"/>
              <w:jc w:val="left"/>
              <w:rPr>
                <w:rFonts w:ascii="Times New Roman" w:eastAsia="Calibri" w:hAnsi="Times New Roman" w:cs="Arial"/>
                <w:b/>
                <w:spacing w:val="3"/>
                <w:w w:val="104"/>
                <w:kern w:val="24"/>
                <w:sz w:val="18"/>
                <w:szCs w:val="18"/>
                <w:lang w:val="en-GB"/>
              </w:rPr>
            </w:pPr>
            <w:r w:rsidRPr="00D72A63">
              <w:rPr>
                <w:rFonts w:ascii="Times New Roman" w:eastAsia="Calibri" w:hAnsi="Times New Roman" w:cs="Arial"/>
                <w:b/>
                <w:spacing w:val="3"/>
                <w:w w:val="104"/>
                <w:kern w:val="24"/>
                <w:sz w:val="18"/>
                <w:szCs w:val="18"/>
                <w:lang w:val="en-GB"/>
              </w:rPr>
              <w:t xml:space="preserve">                      </w:t>
            </w:r>
          </w:p>
          <w:p w:rsidR="00D72A63" w:rsidRPr="00D72A63" w:rsidRDefault="00D72A63" w:rsidP="00D72A63">
            <w:pPr>
              <w:spacing w:after="0"/>
              <w:jc w:val="left"/>
              <w:rPr>
                <w:rFonts w:ascii="Times New Roman" w:eastAsia="Calibri" w:hAnsi="Times New Roman" w:cs="Arial"/>
                <w:b/>
                <w:spacing w:val="3"/>
                <w:w w:val="104"/>
                <w:kern w:val="24"/>
                <w:sz w:val="18"/>
                <w:szCs w:val="18"/>
                <w:u w:val="single"/>
                <w:lang w:val="en-GB"/>
              </w:rPr>
            </w:pPr>
            <w:r w:rsidRPr="00D72A63">
              <w:rPr>
                <w:rFonts w:ascii="Times New Roman" w:eastAsia="Calibri" w:hAnsi="Times New Roman" w:cs="Arial"/>
                <w:b/>
                <w:spacing w:val="3"/>
                <w:w w:val="104"/>
                <w:kern w:val="24"/>
                <w:sz w:val="18"/>
                <w:szCs w:val="18"/>
                <w:u w:val="single"/>
                <w:lang w:val="en-GB"/>
              </w:rPr>
              <w:t>SIGNATURE</w:t>
            </w:r>
            <w:r w:rsidR="009461F2">
              <w:rPr>
                <w:rFonts w:ascii="Times New Roman" w:eastAsia="Calibri" w:hAnsi="Times New Roman" w:cs="Arial"/>
                <w:b/>
                <w:spacing w:val="3"/>
                <w:w w:val="104"/>
                <w:kern w:val="24"/>
                <w:sz w:val="18"/>
                <w:szCs w:val="18"/>
                <w:u w:val="single"/>
                <w:lang w:val="en-GB"/>
              </w:rPr>
              <w:t xml:space="preserve">  </w:t>
            </w:r>
          </w:p>
        </w:tc>
      </w:tr>
      <w:bookmarkEnd w:id="0"/>
      <w:bookmarkEnd w:id="1"/>
      <w:bookmarkEnd w:id="2"/>
      <w:bookmarkEnd w:id="3"/>
    </w:tbl>
    <w:p w:rsidR="00D72A63" w:rsidRDefault="00D72A63" w:rsidP="00D72A63">
      <w:pPr>
        <w:spacing w:after="240"/>
        <w:ind w:right="-46"/>
        <w:jc w:val="right"/>
        <w:rPr>
          <w:rFonts w:ascii="Times New Roman" w:hAnsi="Times New Roman" w:cs="Times New Roman"/>
          <w:b/>
          <w:color w:val="000000" w:themeColor="text1"/>
          <w:sz w:val="28"/>
          <w:szCs w:val="28"/>
        </w:rPr>
      </w:pPr>
    </w:p>
    <w:p w:rsidR="00D72A63" w:rsidRDefault="00D72A63" w:rsidP="00D72A63">
      <w:pPr>
        <w:spacing w:after="240"/>
        <w:ind w:right="-46"/>
        <w:jc w:val="right"/>
        <w:rPr>
          <w:rFonts w:ascii="Times New Roman" w:hAnsi="Times New Roman" w:cs="Times New Roman"/>
          <w:b/>
          <w:color w:val="000000" w:themeColor="text1"/>
          <w:sz w:val="28"/>
          <w:szCs w:val="28"/>
        </w:rPr>
      </w:pPr>
    </w:p>
    <w:p w:rsidR="00D72A63" w:rsidRDefault="00D72A63" w:rsidP="00E85522">
      <w:pPr>
        <w:spacing w:after="240"/>
        <w:ind w:right="-46"/>
        <w:rPr>
          <w:rFonts w:ascii="Times New Roman" w:hAnsi="Times New Roman" w:cs="Times New Roman"/>
          <w:b/>
          <w:color w:val="000000" w:themeColor="text1"/>
          <w:sz w:val="28"/>
          <w:szCs w:val="28"/>
        </w:rPr>
      </w:pPr>
    </w:p>
    <w:p w:rsidR="00D72A63" w:rsidRPr="00D72A63" w:rsidRDefault="00D72A63" w:rsidP="00E85522">
      <w:pPr>
        <w:spacing w:after="240"/>
        <w:ind w:right="-46"/>
        <w:rPr>
          <w:rFonts w:ascii="Times New Roman" w:hAnsi="Times New Roman" w:cs="Times New Roman"/>
          <w:color w:val="000000" w:themeColor="text1"/>
          <w:sz w:val="28"/>
          <w:szCs w:val="28"/>
        </w:rPr>
      </w:pPr>
    </w:p>
    <w:p w:rsidR="004C58F4" w:rsidRDefault="00D72A63" w:rsidP="004C58F4">
      <w:pPr>
        <w:spacing w:after="120"/>
        <w:ind w:right="-45"/>
        <w:rPr>
          <w:rFonts w:ascii="Times New Roman" w:hAnsi="Times New Roman" w:cs="Times New Roman"/>
          <w:color w:val="000000" w:themeColor="text1"/>
          <w:sz w:val="28"/>
          <w:szCs w:val="28"/>
        </w:rPr>
      </w:pPr>
      <w:r w:rsidRPr="00D72A63">
        <w:rPr>
          <w:rFonts w:ascii="Times New Roman" w:hAnsi="Times New Roman" w:cs="Times New Roman"/>
          <w:color w:val="000000" w:themeColor="text1"/>
          <w:sz w:val="28"/>
          <w:szCs w:val="28"/>
        </w:rPr>
        <w:t>In the matter between:</w:t>
      </w:r>
    </w:p>
    <w:p w:rsidR="008A6E18" w:rsidRDefault="005B68C4" w:rsidP="005B68C4">
      <w:pPr>
        <w:ind w:right="-45"/>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BOY MAKUAPANE</w:t>
      </w:r>
      <w:r>
        <w:rPr>
          <w:rFonts w:ascii="Times New Roman" w:hAnsi="Times New Roman" w:cs="Times New Roman"/>
          <w:b/>
          <w:color w:val="000000" w:themeColor="text1"/>
          <w:sz w:val="28"/>
          <w:szCs w:val="28"/>
        </w:rPr>
        <w:tab/>
      </w:r>
      <w:r>
        <w:rPr>
          <w:rFonts w:ascii="Times New Roman" w:hAnsi="Times New Roman" w:cs="Times New Roman"/>
          <w:b/>
          <w:color w:val="000000" w:themeColor="text1"/>
          <w:sz w:val="28"/>
          <w:szCs w:val="28"/>
        </w:rPr>
        <w:tab/>
      </w:r>
      <w:r>
        <w:rPr>
          <w:rFonts w:ascii="Times New Roman" w:hAnsi="Times New Roman" w:cs="Times New Roman"/>
          <w:b/>
          <w:color w:val="000000" w:themeColor="text1"/>
          <w:sz w:val="28"/>
          <w:szCs w:val="28"/>
        </w:rPr>
        <w:tab/>
      </w:r>
      <w:r>
        <w:rPr>
          <w:rFonts w:ascii="Times New Roman" w:hAnsi="Times New Roman" w:cs="Times New Roman"/>
          <w:b/>
          <w:color w:val="000000" w:themeColor="text1"/>
          <w:sz w:val="28"/>
          <w:szCs w:val="28"/>
        </w:rPr>
        <w:tab/>
      </w:r>
      <w:r w:rsidR="008A6E18">
        <w:rPr>
          <w:rFonts w:ascii="Times New Roman" w:hAnsi="Times New Roman" w:cs="Times New Roman"/>
          <w:b/>
          <w:color w:val="000000" w:themeColor="text1"/>
          <w:sz w:val="28"/>
          <w:szCs w:val="28"/>
        </w:rPr>
        <w:t xml:space="preserve"> </w:t>
      </w:r>
      <w:r w:rsidR="003B1D50">
        <w:rPr>
          <w:rFonts w:ascii="Times New Roman" w:hAnsi="Times New Roman" w:cs="Times New Roman"/>
          <w:b/>
          <w:color w:val="000000" w:themeColor="text1"/>
          <w:sz w:val="28"/>
          <w:szCs w:val="28"/>
        </w:rPr>
        <w:tab/>
      </w:r>
      <w:r w:rsidR="008A6E18">
        <w:rPr>
          <w:rFonts w:ascii="Times New Roman" w:hAnsi="Times New Roman" w:cs="Times New Roman"/>
          <w:b/>
          <w:color w:val="000000" w:themeColor="text1"/>
          <w:sz w:val="28"/>
          <w:szCs w:val="28"/>
        </w:rPr>
        <w:tab/>
      </w:r>
      <w:r w:rsidR="008A6E18">
        <w:rPr>
          <w:rFonts w:ascii="Times New Roman" w:hAnsi="Times New Roman" w:cs="Times New Roman"/>
          <w:color w:val="000000" w:themeColor="text1"/>
          <w:sz w:val="28"/>
          <w:szCs w:val="28"/>
        </w:rPr>
        <w:tab/>
      </w:r>
      <w:r w:rsidR="008A6E18">
        <w:rPr>
          <w:rFonts w:ascii="Times New Roman" w:hAnsi="Times New Roman" w:cs="Times New Roman"/>
          <w:color w:val="000000" w:themeColor="text1"/>
          <w:sz w:val="28"/>
          <w:szCs w:val="28"/>
        </w:rPr>
        <w:tab/>
      </w:r>
      <w:r w:rsidR="008A6E18" w:rsidRPr="008A6E18">
        <w:rPr>
          <w:rFonts w:ascii="Times New Roman" w:hAnsi="Times New Roman" w:cs="Times New Roman"/>
          <w:color w:val="000000" w:themeColor="text1"/>
          <w:sz w:val="28"/>
          <w:szCs w:val="28"/>
        </w:rPr>
        <w:t>Applicant</w:t>
      </w:r>
    </w:p>
    <w:p w:rsidR="00885474" w:rsidRDefault="00C85571" w:rsidP="005B68C4">
      <w:pPr>
        <w:ind w:right="-45"/>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w:t>
      </w:r>
      <w:r w:rsidR="00A3586D">
        <w:rPr>
          <w:rFonts w:ascii="Times New Roman" w:hAnsi="Times New Roman" w:cs="Times New Roman"/>
          <w:color w:val="000000" w:themeColor="text1"/>
          <w:sz w:val="28"/>
          <w:szCs w:val="28"/>
        </w:rPr>
        <w:t>nd</w:t>
      </w:r>
    </w:p>
    <w:p w:rsidR="00AD5705" w:rsidRPr="00AD5705" w:rsidRDefault="005B68C4" w:rsidP="005B68C4">
      <w:pPr>
        <w:ind w:right="-45"/>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ROAD ACCIDENT FUND</w:t>
      </w:r>
      <w:r>
        <w:rPr>
          <w:rFonts w:ascii="Times New Roman" w:hAnsi="Times New Roman" w:cs="Times New Roman"/>
          <w:b/>
          <w:color w:val="000000" w:themeColor="text1"/>
          <w:sz w:val="28"/>
          <w:szCs w:val="28"/>
        </w:rPr>
        <w:tab/>
      </w:r>
      <w:r>
        <w:rPr>
          <w:rFonts w:ascii="Times New Roman" w:hAnsi="Times New Roman" w:cs="Times New Roman"/>
          <w:b/>
          <w:color w:val="000000" w:themeColor="text1"/>
          <w:sz w:val="28"/>
          <w:szCs w:val="28"/>
        </w:rPr>
        <w:tab/>
      </w:r>
      <w:r>
        <w:rPr>
          <w:rFonts w:ascii="Times New Roman" w:hAnsi="Times New Roman" w:cs="Times New Roman"/>
          <w:b/>
          <w:color w:val="000000" w:themeColor="text1"/>
          <w:sz w:val="28"/>
          <w:szCs w:val="28"/>
        </w:rPr>
        <w:tab/>
      </w:r>
      <w:r w:rsidR="00AD5705">
        <w:rPr>
          <w:rFonts w:ascii="Times New Roman" w:hAnsi="Times New Roman" w:cs="Times New Roman"/>
          <w:b/>
          <w:color w:val="000000" w:themeColor="text1"/>
          <w:sz w:val="28"/>
          <w:szCs w:val="28"/>
        </w:rPr>
        <w:tab/>
      </w:r>
      <w:r w:rsidR="00AD5705">
        <w:rPr>
          <w:rFonts w:ascii="Times New Roman" w:hAnsi="Times New Roman" w:cs="Times New Roman"/>
          <w:b/>
          <w:color w:val="000000" w:themeColor="text1"/>
          <w:sz w:val="28"/>
          <w:szCs w:val="28"/>
        </w:rPr>
        <w:tab/>
        <w:t xml:space="preserve">          </w:t>
      </w:r>
      <w:r>
        <w:rPr>
          <w:rFonts w:ascii="Times New Roman" w:hAnsi="Times New Roman" w:cs="Times New Roman"/>
          <w:b/>
          <w:color w:val="000000" w:themeColor="text1"/>
          <w:sz w:val="28"/>
          <w:szCs w:val="28"/>
        </w:rPr>
        <w:t xml:space="preserve">        </w:t>
      </w:r>
      <w:r w:rsidR="00AD5705">
        <w:rPr>
          <w:rFonts w:ascii="Times New Roman" w:hAnsi="Times New Roman" w:cs="Times New Roman"/>
          <w:color w:val="000000" w:themeColor="text1"/>
          <w:sz w:val="28"/>
          <w:szCs w:val="28"/>
        </w:rPr>
        <w:t>Respondent</w:t>
      </w:r>
    </w:p>
    <w:p w:rsidR="00902205" w:rsidRDefault="005B1CBB" w:rsidP="00AD5705">
      <w:pPr>
        <w:spacing w:after="0"/>
        <w:ind w:left="1440" w:right="-45" w:hanging="1440"/>
        <w:rPr>
          <w:rFonts w:ascii="Times New Roman" w:hAnsi="Times New Roman" w:cs="Times New Roman"/>
          <w:color w:val="000000" w:themeColor="text1"/>
          <w:sz w:val="28"/>
          <w:szCs w:val="28"/>
        </w:rPr>
      </w:pPr>
      <w:r w:rsidRPr="00885474">
        <w:rPr>
          <w:rFonts w:ascii="Times New Roman" w:hAnsi="Times New Roman" w:cs="Times New Roman"/>
          <w:b/>
          <w:color w:val="000000" w:themeColor="text1"/>
          <w:sz w:val="28"/>
          <w:szCs w:val="28"/>
        </w:rPr>
        <w:t>Summary</w:t>
      </w:r>
      <w:r>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ab/>
      </w:r>
      <w:r w:rsidR="005B68C4" w:rsidRPr="005B68C4">
        <w:rPr>
          <w:rFonts w:ascii="Times New Roman" w:hAnsi="Times New Roman" w:cs="Times New Roman"/>
          <w:i/>
          <w:color w:val="000000" w:themeColor="text1"/>
          <w:sz w:val="28"/>
          <w:szCs w:val="28"/>
        </w:rPr>
        <w:t>Road Accident Fund (RAF) – claim for general damages – jurisdictional requirement – satisfaction of RAF that injuries “serious” – failure of RAF to take a decision to accept or reject assessment contained in plaintiff’s RAF 4 form – plaintiff entitled to a mandamus to compel</w:t>
      </w:r>
      <w:r w:rsidR="00F5133C">
        <w:rPr>
          <w:rFonts w:ascii="Times New Roman" w:hAnsi="Times New Roman" w:cs="Times New Roman"/>
          <w:i/>
          <w:color w:val="000000" w:themeColor="text1"/>
          <w:sz w:val="28"/>
          <w:szCs w:val="28"/>
        </w:rPr>
        <w:t xml:space="preserve"> the making of such a decision - failure to comply</w:t>
      </w:r>
      <w:r w:rsidR="005B68C4" w:rsidRPr="005B68C4">
        <w:rPr>
          <w:rFonts w:ascii="Times New Roman" w:hAnsi="Times New Roman" w:cs="Times New Roman"/>
          <w:i/>
          <w:color w:val="000000" w:themeColor="text1"/>
          <w:sz w:val="28"/>
          <w:szCs w:val="28"/>
        </w:rPr>
        <w:t xml:space="preserve"> with a court order not having deemed </w:t>
      </w:r>
      <w:r w:rsidR="00F5133C">
        <w:rPr>
          <w:rFonts w:ascii="Times New Roman" w:hAnsi="Times New Roman" w:cs="Times New Roman"/>
          <w:i/>
          <w:color w:val="000000" w:themeColor="text1"/>
          <w:sz w:val="28"/>
          <w:szCs w:val="28"/>
        </w:rPr>
        <w:t>effect amounting to</w:t>
      </w:r>
      <w:r w:rsidR="005B68C4" w:rsidRPr="005B68C4">
        <w:rPr>
          <w:rFonts w:ascii="Times New Roman" w:hAnsi="Times New Roman" w:cs="Times New Roman"/>
          <w:i/>
          <w:color w:val="000000" w:themeColor="text1"/>
          <w:sz w:val="28"/>
          <w:szCs w:val="28"/>
        </w:rPr>
        <w:t xml:space="preserve"> satisfaction of injuries being serious –</w:t>
      </w:r>
      <w:r w:rsidR="00F5133C">
        <w:rPr>
          <w:rFonts w:ascii="Times New Roman" w:hAnsi="Times New Roman" w:cs="Times New Roman"/>
          <w:i/>
          <w:color w:val="000000" w:themeColor="text1"/>
          <w:sz w:val="28"/>
          <w:szCs w:val="28"/>
        </w:rPr>
        <w:t xml:space="preserve"> </w:t>
      </w:r>
      <w:r w:rsidR="005B68C4" w:rsidRPr="005B68C4">
        <w:rPr>
          <w:rFonts w:ascii="Times New Roman" w:hAnsi="Times New Roman" w:cs="Times New Roman"/>
          <w:i/>
          <w:color w:val="000000" w:themeColor="text1"/>
          <w:sz w:val="28"/>
          <w:szCs w:val="28"/>
        </w:rPr>
        <w:t>plaintiff’s remedy a</w:t>
      </w:r>
      <w:r w:rsidR="00F5133C">
        <w:rPr>
          <w:rFonts w:ascii="Times New Roman" w:hAnsi="Times New Roman" w:cs="Times New Roman"/>
          <w:i/>
          <w:color w:val="000000" w:themeColor="text1"/>
          <w:sz w:val="28"/>
          <w:szCs w:val="28"/>
        </w:rPr>
        <w:t xml:space="preserve"> formal</w:t>
      </w:r>
      <w:r w:rsidR="005B68C4" w:rsidRPr="005B68C4">
        <w:rPr>
          <w:rFonts w:ascii="Times New Roman" w:hAnsi="Times New Roman" w:cs="Times New Roman"/>
          <w:i/>
          <w:color w:val="000000" w:themeColor="text1"/>
          <w:sz w:val="28"/>
          <w:szCs w:val="28"/>
        </w:rPr>
        <w:t xml:space="preserve"> review in terms of PAJA – such review can only be pursued after </w:t>
      </w:r>
      <w:r w:rsidR="005B68C4" w:rsidRPr="005B68C4">
        <w:rPr>
          <w:rFonts w:ascii="Times New Roman" w:hAnsi="Times New Roman" w:cs="Times New Roman"/>
          <w:i/>
          <w:color w:val="000000" w:themeColor="text1"/>
          <w:sz w:val="28"/>
          <w:szCs w:val="28"/>
        </w:rPr>
        <w:lastRenderedPageBreak/>
        <w:t xml:space="preserve">exhaustion of internal appeal processes, being a referral to the appeal tribunal of the Health Professions Council in terms of </w:t>
      </w:r>
      <w:proofErr w:type="spellStart"/>
      <w:r w:rsidR="005B68C4" w:rsidRPr="005B68C4">
        <w:rPr>
          <w:rFonts w:ascii="Times New Roman" w:hAnsi="Times New Roman" w:cs="Times New Roman"/>
          <w:i/>
          <w:color w:val="000000" w:themeColor="text1"/>
          <w:sz w:val="28"/>
          <w:szCs w:val="28"/>
        </w:rPr>
        <w:t>Reg</w:t>
      </w:r>
      <w:proofErr w:type="spellEnd"/>
      <w:r w:rsidR="005B68C4" w:rsidRPr="005B68C4">
        <w:rPr>
          <w:rFonts w:ascii="Times New Roman" w:hAnsi="Times New Roman" w:cs="Times New Roman"/>
          <w:i/>
          <w:color w:val="000000" w:themeColor="text1"/>
          <w:sz w:val="28"/>
          <w:szCs w:val="28"/>
        </w:rPr>
        <w:t xml:space="preserve"> 3 of RAF regulations (utilising RAF 5</w:t>
      </w:r>
      <w:r w:rsidR="00F5133C">
        <w:rPr>
          <w:rFonts w:ascii="Times New Roman" w:hAnsi="Times New Roman" w:cs="Times New Roman"/>
          <w:i/>
          <w:color w:val="000000" w:themeColor="text1"/>
          <w:sz w:val="28"/>
          <w:szCs w:val="28"/>
        </w:rPr>
        <w:t xml:space="preserve"> form</w:t>
      </w:r>
      <w:r w:rsidR="005B68C4" w:rsidRPr="005B68C4">
        <w:rPr>
          <w:rFonts w:ascii="Times New Roman" w:hAnsi="Times New Roman" w:cs="Times New Roman"/>
          <w:i/>
          <w:color w:val="000000" w:themeColor="text1"/>
          <w:sz w:val="28"/>
          <w:szCs w:val="28"/>
        </w:rPr>
        <w:t>)</w:t>
      </w:r>
      <w:r w:rsidR="005B68C4">
        <w:rPr>
          <w:rFonts w:ascii="Times New Roman" w:hAnsi="Times New Roman" w:cs="Times New Roman"/>
          <w:color w:val="000000" w:themeColor="text1"/>
          <w:sz w:val="28"/>
          <w:szCs w:val="28"/>
        </w:rPr>
        <w:t>.</w:t>
      </w:r>
    </w:p>
    <w:p w:rsidR="007411CE" w:rsidRDefault="007411CE" w:rsidP="00AD5705">
      <w:pPr>
        <w:pBdr>
          <w:bottom w:val="single" w:sz="12" w:space="1" w:color="auto"/>
        </w:pBdr>
        <w:spacing w:after="0"/>
        <w:ind w:left="1440" w:right="-45" w:hanging="1440"/>
        <w:rPr>
          <w:rFonts w:ascii="Times New Roman" w:hAnsi="Times New Roman" w:cs="Times New Roman"/>
          <w:color w:val="000000" w:themeColor="text1"/>
          <w:sz w:val="28"/>
          <w:szCs w:val="28"/>
        </w:rPr>
      </w:pPr>
    </w:p>
    <w:p w:rsidR="005B1CBB" w:rsidRDefault="005B1CBB" w:rsidP="00EE1DF4">
      <w:pPr>
        <w:spacing w:after="0" w:line="240" w:lineRule="auto"/>
        <w:ind w:left="1440" w:right="-45" w:hanging="1440"/>
        <w:rPr>
          <w:rFonts w:ascii="Times New Roman" w:hAnsi="Times New Roman" w:cs="Times New Roman"/>
          <w:color w:val="000000" w:themeColor="text1"/>
          <w:sz w:val="28"/>
          <w:szCs w:val="28"/>
        </w:rPr>
      </w:pPr>
    </w:p>
    <w:p w:rsidR="005B1CBB" w:rsidRPr="00C53A51" w:rsidRDefault="005B1CBB" w:rsidP="00C53A51">
      <w:pPr>
        <w:pBdr>
          <w:bottom w:val="single" w:sz="12" w:space="1" w:color="auto"/>
        </w:pBdr>
        <w:spacing w:after="0"/>
        <w:ind w:left="1440" w:right="-45" w:hanging="1440"/>
        <w:jc w:val="center"/>
        <w:rPr>
          <w:rFonts w:ascii="Times New Roman" w:hAnsi="Times New Roman" w:cs="Times New Roman"/>
          <w:b/>
          <w:color w:val="000000" w:themeColor="text1"/>
          <w:sz w:val="28"/>
          <w:szCs w:val="28"/>
        </w:rPr>
      </w:pPr>
      <w:r w:rsidRPr="005B1CBB">
        <w:rPr>
          <w:rFonts w:ascii="Times New Roman" w:hAnsi="Times New Roman" w:cs="Times New Roman"/>
          <w:b/>
          <w:color w:val="000000" w:themeColor="text1"/>
          <w:sz w:val="28"/>
          <w:szCs w:val="28"/>
        </w:rPr>
        <w:t>ORDER</w:t>
      </w:r>
    </w:p>
    <w:p w:rsidR="00FA6585" w:rsidRDefault="00FA6585" w:rsidP="00F47A12">
      <w:pPr>
        <w:pStyle w:val="MEMONUMBERED"/>
        <w:numPr>
          <w:ilvl w:val="0"/>
          <w:numId w:val="0"/>
        </w:numPr>
        <w:spacing w:after="360" w:line="360" w:lineRule="auto"/>
        <w:rPr>
          <w:sz w:val="28"/>
          <w:szCs w:val="28"/>
        </w:rPr>
      </w:pPr>
    </w:p>
    <w:p w:rsidR="005B68C4" w:rsidRDefault="005B68C4" w:rsidP="005B68C4">
      <w:pPr>
        <w:pStyle w:val="ListParagraph"/>
        <w:numPr>
          <w:ilvl w:val="0"/>
          <w:numId w:val="41"/>
        </w:numPr>
        <w:spacing w:after="120"/>
        <w:ind w:left="851" w:right="-45" w:hanging="567"/>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The respondent is directed </w:t>
      </w:r>
      <w:r w:rsidR="00F5133C">
        <w:rPr>
          <w:rFonts w:ascii="Times New Roman" w:hAnsi="Times New Roman" w:cs="Times New Roman"/>
          <w:color w:val="000000" w:themeColor="text1"/>
          <w:sz w:val="28"/>
          <w:szCs w:val="28"/>
        </w:rPr>
        <w:t>t</w:t>
      </w:r>
      <w:r w:rsidR="007E6238">
        <w:rPr>
          <w:rFonts w:ascii="Times New Roman" w:hAnsi="Times New Roman" w:cs="Times New Roman"/>
          <w:color w:val="000000" w:themeColor="text1"/>
          <w:sz w:val="28"/>
          <w:szCs w:val="28"/>
        </w:rPr>
        <w:t>o, within 3 (three</w:t>
      </w:r>
      <w:r>
        <w:rPr>
          <w:rFonts w:ascii="Times New Roman" w:hAnsi="Times New Roman" w:cs="Times New Roman"/>
          <w:color w:val="000000" w:themeColor="text1"/>
          <w:sz w:val="28"/>
          <w:szCs w:val="28"/>
        </w:rPr>
        <w:t xml:space="preserve">) days from date of service of this order, make a decision and transmit same to the applicant’s attorney of record in writing, in respect of whether or not the applicant’s </w:t>
      </w:r>
      <w:r w:rsidR="00C303FF">
        <w:rPr>
          <w:rFonts w:ascii="Times New Roman" w:hAnsi="Times New Roman" w:cs="Times New Roman"/>
          <w:color w:val="000000" w:themeColor="text1"/>
          <w:sz w:val="28"/>
          <w:szCs w:val="28"/>
        </w:rPr>
        <w:t xml:space="preserve">injuries are assessed as serious </w:t>
      </w:r>
      <w:r w:rsidR="00F5133C">
        <w:rPr>
          <w:rFonts w:ascii="Times New Roman" w:hAnsi="Times New Roman" w:cs="Times New Roman"/>
          <w:color w:val="000000" w:themeColor="text1"/>
          <w:sz w:val="28"/>
          <w:szCs w:val="28"/>
        </w:rPr>
        <w:t xml:space="preserve">or not </w:t>
      </w:r>
      <w:r w:rsidR="00C303FF">
        <w:rPr>
          <w:rFonts w:ascii="Times New Roman" w:hAnsi="Times New Roman" w:cs="Times New Roman"/>
          <w:color w:val="000000" w:themeColor="text1"/>
          <w:sz w:val="28"/>
          <w:szCs w:val="28"/>
        </w:rPr>
        <w:t>in ter</w:t>
      </w:r>
      <w:r w:rsidR="00FF0C4E">
        <w:rPr>
          <w:rFonts w:ascii="Times New Roman" w:hAnsi="Times New Roman" w:cs="Times New Roman"/>
          <w:color w:val="000000" w:themeColor="text1"/>
          <w:sz w:val="28"/>
          <w:szCs w:val="28"/>
        </w:rPr>
        <w:t>ms of Regulations 3(3)(c) and</w:t>
      </w:r>
      <w:r w:rsidR="00C303FF">
        <w:rPr>
          <w:rFonts w:ascii="Times New Roman" w:hAnsi="Times New Roman" w:cs="Times New Roman"/>
          <w:color w:val="000000" w:themeColor="text1"/>
          <w:sz w:val="28"/>
          <w:szCs w:val="28"/>
        </w:rPr>
        <w:t xml:space="preserve"> 3(3)(d) of the Road Accident Fund Act No 56 of 1996.  In so doing the respondent must:</w:t>
      </w:r>
    </w:p>
    <w:p w:rsidR="00C303FF" w:rsidRDefault="00C303FF" w:rsidP="00C303FF">
      <w:pPr>
        <w:pStyle w:val="ListParagraph"/>
        <w:spacing w:after="120"/>
        <w:ind w:left="851" w:right="-45"/>
        <w:rPr>
          <w:rFonts w:ascii="Times New Roman" w:hAnsi="Times New Roman" w:cs="Times New Roman"/>
          <w:color w:val="000000" w:themeColor="text1"/>
          <w:sz w:val="28"/>
          <w:szCs w:val="28"/>
        </w:rPr>
      </w:pPr>
    </w:p>
    <w:p w:rsidR="00C303FF" w:rsidRDefault="00C303FF" w:rsidP="00C303FF">
      <w:pPr>
        <w:pStyle w:val="ListParagraph"/>
        <w:numPr>
          <w:ilvl w:val="1"/>
          <w:numId w:val="42"/>
        </w:numPr>
        <w:spacing w:after="120"/>
        <w:ind w:left="1418" w:right="-45" w:hanging="58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Determine whether</w:t>
      </w:r>
      <w:r w:rsidR="00F5133C">
        <w:rPr>
          <w:rFonts w:ascii="Times New Roman" w:hAnsi="Times New Roman" w:cs="Times New Roman"/>
          <w:color w:val="000000" w:themeColor="text1"/>
          <w:sz w:val="28"/>
          <w:szCs w:val="28"/>
        </w:rPr>
        <w:t xml:space="preserve"> it is satisfied that</w:t>
      </w:r>
      <w:r>
        <w:rPr>
          <w:rFonts w:ascii="Times New Roman" w:hAnsi="Times New Roman" w:cs="Times New Roman"/>
          <w:color w:val="000000" w:themeColor="text1"/>
          <w:sz w:val="28"/>
          <w:szCs w:val="28"/>
        </w:rPr>
        <w:t xml:space="preserve"> the applicant’s injuries which he sustained in the motor vehicle collision that occurred on 13 October 2019 have been assessed as serious in terms of the method provided for in the Road Accident Fund Regulations and accordingly accepts that the applicant qualifies to claim non-pecuniary loss;</w:t>
      </w:r>
    </w:p>
    <w:p w:rsidR="00C303FF" w:rsidRDefault="00C303FF" w:rsidP="00C303FF">
      <w:pPr>
        <w:pStyle w:val="ListParagraph"/>
        <w:spacing w:after="120"/>
        <w:ind w:left="1418" w:right="-45"/>
        <w:rPr>
          <w:rFonts w:ascii="Times New Roman" w:hAnsi="Times New Roman" w:cs="Times New Roman"/>
          <w:color w:val="000000" w:themeColor="text1"/>
          <w:sz w:val="28"/>
          <w:szCs w:val="28"/>
        </w:rPr>
      </w:pPr>
    </w:p>
    <w:p w:rsidR="00C303FF" w:rsidRDefault="00C303FF" w:rsidP="00C303FF">
      <w:pPr>
        <w:pStyle w:val="ListParagraph"/>
        <w:numPr>
          <w:ilvl w:val="1"/>
          <w:numId w:val="42"/>
        </w:numPr>
        <w:spacing w:after="120"/>
        <w:ind w:left="1418" w:right="-45" w:hanging="589"/>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Alt</w:t>
      </w:r>
      <w:r w:rsidR="00F5133C">
        <w:rPr>
          <w:rFonts w:ascii="Times New Roman" w:hAnsi="Times New Roman" w:cs="Times New Roman"/>
          <w:color w:val="000000" w:themeColor="text1"/>
          <w:sz w:val="28"/>
          <w:szCs w:val="28"/>
        </w:rPr>
        <w:t>ernatively</w:t>
      </w:r>
      <w:proofErr w:type="gramEnd"/>
      <w:r w:rsidR="00F5133C">
        <w:rPr>
          <w:rFonts w:ascii="Times New Roman" w:hAnsi="Times New Roman" w:cs="Times New Roman"/>
          <w:color w:val="000000" w:themeColor="text1"/>
          <w:sz w:val="28"/>
          <w:szCs w:val="28"/>
        </w:rPr>
        <w:t xml:space="preserve"> to 1.1 above, reject</w:t>
      </w:r>
      <w:r>
        <w:rPr>
          <w:rFonts w:ascii="Times New Roman" w:hAnsi="Times New Roman" w:cs="Times New Roman"/>
          <w:color w:val="000000" w:themeColor="text1"/>
          <w:sz w:val="28"/>
          <w:szCs w:val="28"/>
        </w:rPr>
        <w:t xml:space="preserve"> the applicant’s Serious Injury Assessment Report</w:t>
      </w:r>
      <w:r w:rsidR="00F5133C">
        <w:rPr>
          <w:rFonts w:ascii="Times New Roman" w:hAnsi="Times New Roman" w:cs="Times New Roman"/>
          <w:color w:val="000000" w:themeColor="text1"/>
          <w:sz w:val="28"/>
          <w:szCs w:val="28"/>
        </w:rPr>
        <w:t xml:space="preserve"> (the RAF 4</w:t>
      </w:r>
      <w:r>
        <w:rPr>
          <w:rFonts w:ascii="Times New Roman" w:hAnsi="Times New Roman" w:cs="Times New Roman"/>
          <w:color w:val="000000" w:themeColor="text1"/>
          <w:sz w:val="28"/>
          <w:szCs w:val="28"/>
        </w:rPr>
        <w:t xml:space="preserve"> form</w:t>
      </w:r>
      <w:r w:rsidR="00F5133C">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and in so doing, shall simultaneously furnish the applicant’s attorney of record with wr</w:t>
      </w:r>
      <w:r w:rsidR="00F5133C">
        <w:rPr>
          <w:rFonts w:ascii="Times New Roman" w:hAnsi="Times New Roman" w:cs="Times New Roman"/>
          <w:color w:val="000000" w:themeColor="text1"/>
          <w:sz w:val="28"/>
          <w:szCs w:val="28"/>
        </w:rPr>
        <w:t>itten reasons for the rejection</w:t>
      </w:r>
      <w:r>
        <w:rPr>
          <w:rFonts w:ascii="Times New Roman" w:hAnsi="Times New Roman" w:cs="Times New Roman"/>
          <w:color w:val="000000" w:themeColor="text1"/>
          <w:sz w:val="28"/>
          <w:szCs w:val="28"/>
        </w:rPr>
        <w:t>;</w:t>
      </w:r>
    </w:p>
    <w:p w:rsidR="00C303FF" w:rsidRPr="00C303FF" w:rsidRDefault="00C303FF" w:rsidP="00C303FF">
      <w:pPr>
        <w:pStyle w:val="ListParagraph"/>
        <w:rPr>
          <w:rFonts w:ascii="Times New Roman" w:hAnsi="Times New Roman" w:cs="Times New Roman"/>
          <w:color w:val="000000" w:themeColor="text1"/>
          <w:sz w:val="28"/>
          <w:szCs w:val="28"/>
        </w:rPr>
      </w:pPr>
    </w:p>
    <w:p w:rsidR="00C303FF" w:rsidRDefault="00C303FF" w:rsidP="00C303FF">
      <w:pPr>
        <w:pStyle w:val="ListParagraph"/>
        <w:numPr>
          <w:ilvl w:val="1"/>
          <w:numId w:val="42"/>
        </w:numPr>
        <w:spacing w:after="120"/>
        <w:ind w:left="1418" w:right="-45" w:hanging="589"/>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Alternatively</w:t>
      </w:r>
      <w:proofErr w:type="gramEnd"/>
      <w:r>
        <w:rPr>
          <w:rFonts w:ascii="Times New Roman" w:hAnsi="Times New Roman" w:cs="Times New Roman"/>
          <w:color w:val="000000" w:themeColor="text1"/>
          <w:sz w:val="28"/>
          <w:szCs w:val="28"/>
        </w:rPr>
        <w:t xml:space="preserve"> to 1.1 and 1.2 above, direct the applicant to submit himself for a further assessment at the respondent’s costs with a medical practitioner appointed by the respondent to determine whether the applicant’s injuries are serious or not.</w:t>
      </w:r>
    </w:p>
    <w:p w:rsidR="00C303FF" w:rsidRPr="00C303FF" w:rsidRDefault="00C303FF" w:rsidP="00C303FF">
      <w:pPr>
        <w:spacing w:after="120"/>
        <w:ind w:right="-45"/>
        <w:rPr>
          <w:rFonts w:ascii="Times New Roman" w:hAnsi="Times New Roman" w:cs="Times New Roman"/>
          <w:color w:val="000000" w:themeColor="text1"/>
          <w:sz w:val="28"/>
          <w:szCs w:val="28"/>
        </w:rPr>
      </w:pPr>
    </w:p>
    <w:p w:rsidR="00C303FF" w:rsidRPr="005B68C4" w:rsidRDefault="00C303FF" w:rsidP="005B68C4">
      <w:pPr>
        <w:pStyle w:val="ListParagraph"/>
        <w:numPr>
          <w:ilvl w:val="0"/>
          <w:numId w:val="41"/>
        </w:numPr>
        <w:spacing w:after="120"/>
        <w:ind w:left="851" w:right="-45" w:hanging="567"/>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The respondent is ordered to pay the costs of the application.</w:t>
      </w:r>
    </w:p>
    <w:p w:rsidR="00E85522" w:rsidRPr="005B68C4" w:rsidRDefault="00E85522" w:rsidP="005B68C4">
      <w:pPr>
        <w:spacing w:after="120"/>
        <w:ind w:right="-45"/>
        <w:rPr>
          <w:rFonts w:ascii="Times New Roman" w:hAnsi="Times New Roman" w:cs="Times New Roman"/>
          <w:color w:val="000000" w:themeColor="text1"/>
          <w:sz w:val="28"/>
          <w:szCs w:val="28"/>
        </w:rPr>
      </w:pPr>
      <w:r w:rsidRPr="005B68C4">
        <w:rPr>
          <w:rFonts w:ascii="Times New Roman" w:hAnsi="Times New Roman" w:cs="Times New Roman"/>
          <w:b/>
          <w:color w:val="000000" w:themeColor="text1"/>
          <w:sz w:val="28"/>
          <w:szCs w:val="28"/>
        </w:rPr>
        <w:t xml:space="preserve">________________________________________________________________                                                     </w:t>
      </w:r>
    </w:p>
    <w:p w:rsidR="00E85522" w:rsidRDefault="00E85522" w:rsidP="00E85522">
      <w:pPr>
        <w:spacing w:after="120" w:line="240" w:lineRule="auto"/>
        <w:ind w:right="-57"/>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J</w:t>
      </w:r>
      <w:r w:rsidR="00FF214C">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U</w:t>
      </w:r>
      <w:r w:rsidR="00FF214C">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D</w:t>
      </w:r>
      <w:r w:rsidR="00FF214C">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G</w:t>
      </w:r>
      <w:r w:rsidR="00FF214C">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M</w:t>
      </w:r>
      <w:r w:rsidR="00FF214C">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E</w:t>
      </w:r>
      <w:r w:rsidR="00FF214C">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N</w:t>
      </w:r>
      <w:r w:rsidR="00FF214C">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T</w:t>
      </w:r>
      <w:r w:rsidR="00DE7A19">
        <w:rPr>
          <w:rFonts w:ascii="Times New Roman" w:hAnsi="Times New Roman" w:cs="Times New Roman"/>
          <w:b/>
          <w:color w:val="000000" w:themeColor="text1"/>
          <w:sz w:val="28"/>
          <w:szCs w:val="28"/>
        </w:rPr>
        <w:t xml:space="preserve"> </w:t>
      </w:r>
    </w:p>
    <w:p w:rsidR="00E85522" w:rsidRPr="000C7880" w:rsidRDefault="00E85522" w:rsidP="00E85522">
      <w:pPr>
        <w:spacing w:after="240"/>
        <w:ind w:right="-57"/>
        <w:rPr>
          <w:rFonts w:ascii="Times New Roman" w:hAnsi="Times New Roman" w:cs="Times New Roman"/>
          <w:b/>
          <w:color w:val="000000" w:themeColor="text1"/>
          <w:sz w:val="28"/>
          <w:szCs w:val="28"/>
        </w:rPr>
      </w:pPr>
      <w:r w:rsidRPr="000C7880">
        <w:rPr>
          <w:rFonts w:ascii="Times New Roman" w:hAnsi="Times New Roman" w:cs="Times New Roman"/>
          <w:b/>
          <w:color w:val="000000" w:themeColor="text1"/>
          <w:sz w:val="28"/>
          <w:szCs w:val="28"/>
        </w:rPr>
        <w:t>__________________________________</w:t>
      </w:r>
      <w:r>
        <w:rPr>
          <w:rFonts w:ascii="Times New Roman" w:hAnsi="Times New Roman" w:cs="Times New Roman"/>
          <w:b/>
          <w:color w:val="000000" w:themeColor="text1"/>
          <w:sz w:val="28"/>
          <w:szCs w:val="28"/>
        </w:rPr>
        <w:t>______________________________</w:t>
      </w:r>
    </w:p>
    <w:p w:rsidR="005F291D" w:rsidRDefault="007D16EB" w:rsidP="007D16EB">
      <w:pPr>
        <w:pStyle w:val="MEMONUMBERED"/>
        <w:numPr>
          <w:ilvl w:val="0"/>
          <w:numId w:val="0"/>
        </w:numPr>
        <w:spacing w:after="360" w:line="360" w:lineRule="auto"/>
        <w:rPr>
          <w:b/>
          <w:color w:val="000000" w:themeColor="text1"/>
          <w:sz w:val="28"/>
          <w:szCs w:val="28"/>
          <w:u w:val="single"/>
        </w:rPr>
      </w:pPr>
      <w:r>
        <w:rPr>
          <w:i/>
          <w:color w:val="000000" w:themeColor="text1"/>
          <w:sz w:val="28"/>
          <w:szCs w:val="28"/>
        </w:rPr>
        <w:t xml:space="preserve">This </w:t>
      </w:r>
      <w:r w:rsidR="00B1466D">
        <w:rPr>
          <w:i/>
          <w:color w:val="000000" w:themeColor="text1"/>
          <w:sz w:val="28"/>
          <w:szCs w:val="28"/>
        </w:rPr>
        <w:t>matter has been heard</w:t>
      </w:r>
      <w:r w:rsidR="00080C2F">
        <w:rPr>
          <w:i/>
          <w:color w:val="000000" w:themeColor="text1"/>
          <w:sz w:val="28"/>
          <w:szCs w:val="28"/>
        </w:rPr>
        <w:t xml:space="preserve"> </w:t>
      </w:r>
      <w:r w:rsidR="00624D2B">
        <w:rPr>
          <w:i/>
          <w:color w:val="000000" w:themeColor="text1"/>
          <w:sz w:val="28"/>
          <w:szCs w:val="28"/>
        </w:rPr>
        <w:t xml:space="preserve">in open court </w:t>
      </w:r>
      <w:r w:rsidR="00185667">
        <w:rPr>
          <w:i/>
          <w:color w:val="000000" w:themeColor="text1"/>
          <w:sz w:val="28"/>
          <w:szCs w:val="28"/>
        </w:rPr>
        <w:t>and</w:t>
      </w:r>
      <w:r w:rsidR="00D55B6B">
        <w:rPr>
          <w:i/>
          <w:color w:val="000000" w:themeColor="text1"/>
          <w:sz w:val="28"/>
          <w:szCs w:val="28"/>
        </w:rPr>
        <w:t xml:space="preserve"> is otherwise</w:t>
      </w:r>
      <w:r>
        <w:rPr>
          <w:i/>
          <w:color w:val="000000" w:themeColor="text1"/>
          <w:sz w:val="28"/>
          <w:szCs w:val="28"/>
        </w:rPr>
        <w:t xml:space="preserve"> disposed of in terms of the </w:t>
      </w:r>
      <w:r w:rsidRPr="00CD187A">
        <w:rPr>
          <w:i/>
          <w:color w:val="000000" w:themeColor="text1"/>
          <w:sz w:val="28"/>
          <w:szCs w:val="28"/>
        </w:rPr>
        <w:t>Directives of the Judge President of this Division</w:t>
      </w:r>
      <w:r>
        <w:rPr>
          <w:i/>
          <w:color w:val="000000" w:themeColor="text1"/>
          <w:sz w:val="28"/>
          <w:szCs w:val="28"/>
        </w:rPr>
        <w:t xml:space="preserve">. </w:t>
      </w:r>
      <w:r w:rsidRPr="00CD187A">
        <w:rPr>
          <w:i/>
          <w:color w:val="000000" w:themeColor="text1"/>
          <w:sz w:val="28"/>
          <w:szCs w:val="28"/>
        </w:rPr>
        <w:t xml:space="preserve"> </w:t>
      </w:r>
      <w:r w:rsidR="005F291D" w:rsidRPr="00CD187A">
        <w:rPr>
          <w:i/>
          <w:color w:val="000000" w:themeColor="text1"/>
          <w:sz w:val="28"/>
          <w:szCs w:val="28"/>
        </w:rPr>
        <w:t>The judgment and order are accordingly published and distributed electronically.</w:t>
      </w:r>
    </w:p>
    <w:p w:rsidR="00E85522" w:rsidRDefault="00834376" w:rsidP="00B875CA">
      <w:pPr>
        <w:pStyle w:val="MEMONUMBERED"/>
        <w:numPr>
          <w:ilvl w:val="0"/>
          <w:numId w:val="0"/>
        </w:numPr>
        <w:spacing w:after="360" w:line="240" w:lineRule="auto"/>
        <w:rPr>
          <w:b/>
          <w:color w:val="000000" w:themeColor="text1"/>
          <w:sz w:val="28"/>
          <w:szCs w:val="28"/>
          <w:u w:val="single"/>
        </w:rPr>
      </w:pPr>
      <w:r>
        <w:rPr>
          <w:b/>
          <w:color w:val="000000" w:themeColor="text1"/>
          <w:sz w:val="28"/>
          <w:szCs w:val="28"/>
          <w:u w:val="single"/>
        </w:rPr>
        <w:t>DAVIS</w:t>
      </w:r>
      <w:r w:rsidR="00E85522" w:rsidRPr="000C7880">
        <w:rPr>
          <w:b/>
          <w:color w:val="000000" w:themeColor="text1"/>
          <w:sz w:val="28"/>
          <w:szCs w:val="28"/>
          <w:u w:val="single"/>
        </w:rPr>
        <w:t>, J</w:t>
      </w:r>
    </w:p>
    <w:p w:rsidR="00D26624" w:rsidRPr="00D26624" w:rsidRDefault="00D26624" w:rsidP="006C068A">
      <w:pPr>
        <w:pStyle w:val="MEMONUMBERED"/>
        <w:numPr>
          <w:ilvl w:val="0"/>
          <w:numId w:val="0"/>
        </w:numPr>
        <w:spacing w:after="120" w:line="360" w:lineRule="auto"/>
        <w:rPr>
          <w:b/>
          <w:color w:val="000000" w:themeColor="text1"/>
          <w:sz w:val="28"/>
          <w:szCs w:val="28"/>
        </w:rPr>
      </w:pPr>
      <w:r>
        <w:rPr>
          <w:b/>
          <w:color w:val="000000" w:themeColor="text1"/>
          <w:sz w:val="28"/>
          <w:szCs w:val="28"/>
        </w:rPr>
        <w:t xml:space="preserve">Introduction </w:t>
      </w:r>
    </w:p>
    <w:p w:rsidR="009D45F9" w:rsidRDefault="00136B14" w:rsidP="007211EC">
      <w:pPr>
        <w:pStyle w:val="MEMONUMBERED"/>
        <w:numPr>
          <w:ilvl w:val="0"/>
          <w:numId w:val="34"/>
        </w:numPr>
        <w:spacing w:after="360" w:line="360" w:lineRule="auto"/>
        <w:ind w:left="0" w:firstLine="0"/>
        <w:rPr>
          <w:color w:val="000000" w:themeColor="text1"/>
          <w:sz w:val="28"/>
          <w:szCs w:val="28"/>
        </w:rPr>
      </w:pPr>
      <w:r>
        <w:rPr>
          <w:color w:val="000000" w:themeColor="text1"/>
          <w:sz w:val="28"/>
          <w:szCs w:val="28"/>
        </w:rPr>
        <w:t xml:space="preserve">This matter </w:t>
      </w:r>
      <w:r w:rsidR="00763A8B">
        <w:rPr>
          <w:color w:val="000000" w:themeColor="text1"/>
          <w:sz w:val="28"/>
          <w:szCs w:val="28"/>
        </w:rPr>
        <w:t>came before the unopposed motion court of 12 January 2023 but has some measure of urgency attached to it as the trial has been set down for hearing on 27 January 2023.</w:t>
      </w:r>
      <w:r w:rsidR="00F5133C">
        <w:rPr>
          <w:color w:val="000000" w:themeColor="text1"/>
          <w:sz w:val="28"/>
          <w:szCs w:val="28"/>
        </w:rPr>
        <w:t xml:space="preserve">  No cogent reason has however been furnished why this application has not been made long ago already and why it has been left to so late in the litigation day.</w:t>
      </w:r>
    </w:p>
    <w:p w:rsidR="00072F47" w:rsidRDefault="00F5133C" w:rsidP="007211EC">
      <w:pPr>
        <w:pStyle w:val="MEMONUMBERED"/>
        <w:numPr>
          <w:ilvl w:val="0"/>
          <w:numId w:val="34"/>
        </w:numPr>
        <w:spacing w:after="360" w:line="360" w:lineRule="auto"/>
        <w:ind w:left="0" w:firstLine="0"/>
        <w:rPr>
          <w:color w:val="000000" w:themeColor="text1"/>
          <w:sz w:val="28"/>
          <w:szCs w:val="28"/>
        </w:rPr>
      </w:pPr>
      <w:r>
        <w:rPr>
          <w:color w:val="000000" w:themeColor="text1"/>
          <w:sz w:val="28"/>
          <w:szCs w:val="28"/>
        </w:rPr>
        <w:t>The p</w:t>
      </w:r>
      <w:r w:rsidR="00763A8B">
        <w:rPr>
          <w:color w:val="000000" w:themeColor="text1"/>
          <w:sz w:val="28"/>
          <w:szCs w:val="28"/>
        </w:rPr>
        <w:t>laintiff seeks to pursue a claim for</w:t>
      </w:r>
      <w:r>
        <w:rPr>
          <w:color w:val="000000" w:themeColor="text1"/>
          <w:sz w:val="28"/>
          <w:szCs w:val="28"/>
        </w:rPr>
        <w:t xml:space="preserve"> non-pecuniary loss</w:t>
      </w:r>
      <w:r w:rsidR="00763A8B">
        <w:rPr>
          <w:color w:val="000000" w:themeColor="text1"/>
          <w:sz w:val="28"/>
          <w:szCs w:val="28"/>
        </w:rPr>
        <w:t xml:space="preserve"> </w:t>
      </w:r>
      <w:r>
        <w:rPr>
          <w:color w:val="000000" w:themeColor="text1"/>
          <w:sz w:val="28"/>
          <w:szCs w:val="28"/>
        </w:rPr>
        <w:t>(</w:t>
      </w:r>
      <w:r w:rsidR="00763A8B">
        <w:rPr>
          <w:color w:val="000000" w:themeColor="text1"/>
          <w:sz w:val="28"/>
          <w:szCs w:val="28"/>
        </w:rPr>
        <w:t>general damages</w:t>
      </w:r>
      <w:r>
        <w:rPr>
          <w:color w:val="000000" w:themeColor="text1"/>
          <w:sz w:val="28"/>
          <w:szCs w:val="28"/>
        </w:rPr>
        <w:t>)</w:t>
      </w:r>
      <w:r w:rsidR="00763A8B">
        <w:rPr>
          <w:color w:val="000000" w:themeColor="text1"/>
          <w:sz w:val="28"/>
          <w:szCs w:val="28"/>
        </w:rPr>
        <w:t xml:space="preserve"> but the Road Accident Fund (RAF) has not yet made a</w:t>
      </w:r>
      <w:r w:rsidR="007E6238">
        <w:rPr>
          <w:color w:val="000000" w:themeColor="text1"/>
          <w:sz w:val="28"/>
          <w:szCs w:val="28"/>
        </w:rPr>
        <w:t xml:space="preserve"> formal</w:t>
      </w:r>
      <w:r w:rsidR="00763A8B">
        <w:rPr>
          <w:color w:val="000000" w:themeColor="text1"/>
          <w:sz w:val="28"/>
          <w:szCs w:val="28"/>
        </w:rPr>
        <w:t xml:space="preserve"> decision to accept or reject the serious injury assessment contained in a RAF 4 form submitted by the plaintiff.  The</w:t>
      </w:r>
      <w:r>
        <w:rPr>
          <w:color w:val="000000" w:themeColor="text1"/>
          <w:sz w:val="28"/>
          <w:szCs w:val="28"/>
        </w:rPr>
        <w:t>re is little doubt that the p</w:t>
      </w:r>
      <w:r w:rsidR="00763A8B">
        <w:rPr>
          <w:color w:val="000000" w:themeColor="text1"/>
          <w:sz w:val="28"/>
          <w:szCs w:val="28"/>
        </w:rPr>
        <w:t>laintiff is entitled to a mandamus compelling the RAF to make</w:t>
      </w:r>
      <w:r>
        <w:rPr>
          <w:color w:val="000000" w:themeColor="text1"/>
          <w:sz w:val="28"/>
          <w:szCs w:val="28"/>
        </w:rPr>
        <w:t xml:space="preserve"> such</w:t>
      </w:r>
      <w:r w:rsidR="00763A8B">
        <w:rPr>
          <w:color w:val="000000" w:themeColor="text1"/>
          <w:sz w:val="28"/>
          <w:szCs w:val="28"/>
        </w:rPr>
        <w:t xml:space="preserve"> a decision.</w:t>
      </w:r>
    </w:p>
    <w:p w:rsidR="00763A8B" w:rsidRDefault="00F5133C" w:rsidP="007211EC">
      <w:pPr>
        <w:pStyle w:val="MEMONUMBERED"/>
        <w:numPr>
          <w:ilvl w:val="0"/>
          <w:numId w:val="34"/>
        </w:numPr>
        <w:spacing w:after="360" w:line="360" w:lineRule="auto"/>
        <w:ind w:left="0" w:firstLine="0"/>
        <w:rPr>
          <w:color w:val="000000" w:themeColor="text1"/>
          <w:sz w:val="28"/>
          <w:szCs w:val="28"/>
        </w:rPr>
      </w:pPr>
      <w:r>
        <w:rPr>
          <w:color w:val="000000" w:themeColor="text1"/>
          <w:sz w:val="28"/>
          <w:szCs w:val="28"/>
        </w:rPr>
        <w:t>The question which arose, is</w:t>
      </w:r>
      <w:r w:rsidR="00763A8B">
        <w:rPr>
          <w:color w:val="000000" w:themeColor="text1"/>
          <w:sz w:val="28"/>
          <w:szCs w:val="28"/>
        </w:rPr>
        <w:t xml:space="preserve"> what the consequences would be, should the RAF, despite having</w:t>
      </w:r>
      <w:r>
        <w:rPr>
          <w:color w:val="000000" w:themeColor="text1"/>
          <w:sz w:val="28"/>
          <w:szCs w:val="28"/>
        </w:rPr>
        <w:t xml:space="preserve"> been</w:t>
      </w:r>
      <w:r w:rsidR="00763A8B">
        <w:rPr>
          <w:color w:val="000000" w:themeColor="text1"/>
          <w:sz w:val="28"/>
          <w:szCs w:val="28"/>
        </w:rPr>
        <w:t xml:space="preserve"> compelled by an order of court to make a decision within a stipulate</w:t>
      </w:r>
      <w:r>
        <w:rPr>
          <w:color w:val="000000" w:themeColor="text1"/>
          <w:sz w:val="28"/>
          <w:szCs w:val="28"/>
        </w:rPr>
        <w:t>d time, still fail (or refuse</w:t>
      </w:r>
      <w:r w:rsidR="00763A8B">
        <w:rPr>
          <w:color w:val="000000" w:themeColor="text1"/>
          <w:sz w:val="28"/>
          <w:szCs w:val="28"/>
        </w:rPr>
        <w:t>) to do so.  Apart from the issue of contempt of court, the plaintiff contends that the consequence should be that the RAF then be deemed to have accepted the plaintiff’s injuries as being serious, satisfying the requirements of section 17(1) of the Road Accident Fund Act</w:t>
      </w:r>
      <w:r w:rsidR="00763A8B">
        <w:rPr>
          <w:rStyle w:val="FootnoteReference"/>
          <w:color w:val="000000" w:themeColor="text1"/>
          <w:sz w:val="28"/>
          <w:szCs w:val="28"/>
        </w:rPr>
        <w:footnoteReference w:id="1"/>
      </w:r>
      <w:r w:rsidR="00763A8B">
        <w:rPr>
          <w:color w:val="000000" w:themeColor="text1"/>
          <w:sz w:val="28"/>
          <w:szCs w:val="28"/>
        </w:rPr>
        <w:t xml:space="preserve"> and </w:t>
      </w:r>
      <w:r>
        <w:rPr>
          <w:color w:val="000000" w:themeColor="text1"/>
          <w:sz w:val="28"/>
          <w:szCs w:val="28"/>
        </w:rPr>
        <w:t>the Regulation</w:t>
      </w:r>
      <w:r w:rsidR="00FF0C4E">
        <w:rPr>
          <w:color w:val="000000" w:themeColor="text1"/>
          <w:sz w:val="28"/>
          <w:szCs w:val="28"/>
        </w:rPr>
        <w:t>s</w:t>
      </w:r>
      <w:r w:rsidR="00763A8B">
        <w:rPr>
          <w:rStyle w:val="FootnoteReference"/>
          <w:color w:val="000000" w:themeColor="text1"/>
          <w:sz w:val="28"/>
          <w:szCs w:val="28"/>
        </w:rPr>
        <w:footnoteReference w:id="2"/>
      </w:r>
      <w:r w:rsidR="00763A8B">
        <w:rPr>
          <w:color w:val="000000" w:themeColor="text1"/>
          <w:sz w:val="28"/>
          <w:szCs w:val="28"/>
        </w:rPr>
        <w:t>.</w:t>
      </w:r>
    </w:p>
    <w:p w:rsidR="00595E78" w:rsidRPr="008E28AB" w:rsidRDefault="00763A8B" w:rsidP="008E28AB">
      <w:pPr>
        <w:pStyle w:val="MEMONUMBERED"/>
        <w:numPr>
          <w:ilvl w:val="0"/>
          <w:numId w:val="0"/>
        </w:numPr>
        <w:spacing w:after="120" w:line="360" w:lineRule="auto"/>
        <w:rPr>
          <w:b/>
          <w:color w:val="000000" w:themeColor="text1"/>
          <w:sz w:val="28"/>
          <w:szCs w:val="28"/>
        </w:rPr>
      </w:pPr>
      <w:r>
        <w:rPr>
          <w:b/>
          <w:color w:val="000000" w:themeColor="text1"/>
          <w:sz w:val="28"/>
          <w:szCs w:val="28"/>
        </w:rPr>
        <w:t>Claims for general damages against the RAF</w:t>
      </w:r>
    </w:p>
    <w:p w:rsidR="00763A8B" w:rsidRDefault="00763A8B" w:rsidP="00763A8B">
      <w:pPr>
        <w:pStyle w:val="MEMONUMBERED"/>
        <w:numPr>
          <w:ilvl w:val="0"/>
          <w:numId w:val="34"/>
        </w:numPr>
        <w:spacing w:after="360" w:line="360" w:lineRule="auto"/>
        <w:ind w:left="0" w:firstLine="0"/>
        <w:rPr>
          <w:color w:val="000000" w:themeColor="text1"/>
          <w:sz w:val="28"/>
          <w:szCs w:val="28"/>
        </w:rPr>
      </w:pPr>
      <w:r>
        <w:rPr>
          <w:color w:val="000000" w:themeColor="text1"/>
          <w:sz w:val="28"/>
          <w:szCs w:val="28"/>
        </w:rPr>
        <w:t>It is now settled law that a court cannot make a determination whether a plaintiff’s injuries are so serious that such a plaintiff</w:t>
      </w:r>
      <w:r w:rsidR="005F05F4">
        <w:rPr>
          <w:color w:val="000000" w:themeColor="text1"/>
          <w:sz w:val="28"/>
          <w:szCs w:val="28"/>
        </w:rPr>
        <w:t xml:space="preserve"> is entitled to a claim for general damages against the RAF.  The stipulation in </w:t>
      </w:r>
      <w:proofErr w:type="spellStart"/>
      <w:r w:rsidR="005F05F4">
        <w:rPr>
          <w:color w:val="000000" w:themeColor="text1"/>
          <w:sz w:val="28"/>
          <w:szCs w:val="28"/>
        </w:rPr>
        <w:t>Reg</w:t>
      </w:r>
      <w:proofErr w:type="spellEnd"/>
      <w:r w:rsidR="005F05F4">
        <w:rPr>
          <w:color w:val="000000" w:themeColor="text1"/>
          <w:sz w:val="28"/>
          <w:szCs w:val="28"/>
        </w:rPr>
        <w:t xml:space="preserve"> 3(3)(c) is</w:t>
      </w:r>
      <w:r w:rsidR="007E6238">
        <w:rPr>
          <w:color w:val="000000" w:themeColor="text1"/>
          <w:sz w:val="28"/>
          <w:szCs w:val="28"/>
        </w:rPr>
        <w:t xml:space="preserve"> to the effect</w:t>
      </w:r>
      <w:r w:rsidR="005F05F4">
        <w:rPr>
          <w:color w:val="000000" w:themeColor="text1"/>
          <w:sz w:val="28"/>
          <w:szCs w:val="28"/>
        </w:rPr>
        <w:t xml:space="preserve"> that </w:t>
      </w:r>
      <w:r w:rsidR="005F05F4" w:rsidRPr="005F05F4">
        <w:rPr>
          <w:i/>
          <w:color w:val="000000" w:themeColor="text1"/>
          <w:sz w:val="28"/>
          <w:szCs w:val="28"/>
        </w:rPr>
        <w:t>“… the Fund shall only be obliged to pay general damages if the Fund – and not the court -  is satisfied that the injury has correctly being assess</w:t>
      </w:r>
      <w:r w:rsidR="00F5133C">
        <w:rPr>
          <w:i/>
          <w:color w:val="000000" w:themeColor="text1"/>
          <w:sz w:val="28"/>
          <w:szCs w:val="28"/>
        </w:rPr>
        <w:t>ed</w:t>
      </w:r>
      <w:r w:rsidR="005F05F4" w:rsidRPr="005F05F4">
        <w:rPr>
          <w:i/>
          <w:color w:val="000000" w:themeColor="text1"/>
          <w:sz w:val="28"/>
          <w:szCs w:val="28"/>
        </w:rPr>
        <w:t xml:space="preserve"> in accordance with the RAF 4 Form as Serious”</w:t>
      </w:r>
      <w:r w:rsidR="007E6238" w:rsidRPr="007E6238">
        <w:rPr>
          <w:rStyle w:val="FootnoteReference"/>
          <w:color w:val="000000" w:themeColor="text1"/>
          <w:sz w:val="28"/>
          <w:szCs w:val="28"/>
        </w:rPr>
        <w:t xml:space="preserve"> </w:t>
      </w:r>
      <w:r w:rsidR="007E6238">
        <w:rPr>
          <w:rStyle w:val="FootnoteReference"/>
          <w:color w:val="000000" w:themeColor="text1"/>
          <w:sz w:val="28"/>
          <w:szCs w:val="28"/>
        </w:rPr>
        <w:footnoteReference w:id="3"/>
      </w:r>
      <w:r w:rsidR="005F05F4">
        <w:rPr>
          <w:color w:val="000000" w:themeColor="text1"/>
          <w:sz w:val="28"/>
          <w:szCs w:val="28"/>
        </w:rPr>
        <w:t>.</w:t>
      </w:r>
      <w:r>
        <w:rPr>
          <w:color w:val="000000" w:themeColor="text1"/>
          <w:sz w:val="28"/>
          <w:szCs w:val="28"/>
        </w:rPr>
        <w:t xml:space="preserve"> </w:t>
      </w:r>
    </w:p>
    <w:p w:rsidR="00127D03" w:rsidRDefault="005F05F4" w:rsidP="005862DB">
      <w:pPr>
        <w:pStyle w:val="MEMONUMBERED"/>
        <w:numPr>
          <w:ilvl w:val="0"/>
          <w:numId w:val="34"/>
        </w:numPr>
        <w:spacing w:after="360" w:line="360" w:lineRule="auto"/>
        <w:ind w:left="0" w:firstLine="0"/>
        <w:rPr>
          <w:color w:val="000000" w:themeColor="text1"/>
          <w:sz w:val="28"/>
          <w:szCs w:val="28"/>
        </w:rPr>
      </w:pPr>
      <w:r>
        <w:rPr>
          <w:color w:val="000000" w:themeColor="text1"/>
          <w:sz w:val="28"/>
          <w:szCs w:val="28"/>
        </w:rPr>
        <w:t xml:space="preserve">The above remains the position, even if the RAF is in default and even if its </w:t>
      </w:r>
      <w:proofErr w:type="spellStart"/>
      <w:r>
        <w:rPr>
          <w:color w:val="000000" w:themeColor="text1"/>
          <w:sz w:val="28"/>
          <w:szCs w:val="28"/>
        </w:rPr>
        <w:t>defence</w:t>
      </w:r>
      <w:proofErr w:type="spellEnd"/>
      <w:r>
        <w:rPr>
          <w:color w:val="000000" w:themeColor="text1"/>
          <w:sz w:val="28"/>
          <w:szCs w:val="28"/>
        </w:rPr>
        <w:t xml:space="preserve"> has been</w:t>
      </w:r>
      <w:r w:rsidR="005B6C96">
        <w:rPr>
          <w:color w:val="000000" w:themeColor="text1"/>
          <w:sz w:val="28"/>
          <w:szCs w:val="28"/>
        </w:rPr>
        <w:t xml:space="preserve"> struck out</w:t>
      </w:r>
      <w:r w:rsidR="005B6C96">
        <w:rPr>
          <w:rStyle w:val="FootnoteReference"/>
          <w:color w:val="000000" w:themeColor="text1"/>
          <w:sz w:val="28"/>
          <w:szCs w:val="28"/>
        </w:rPr>
        <w:footnoteReference w:id="4"/>
      </w:r>
      <w:r w:rsidR="005B6C96">
        <w:rPr>
          <w:color w:val="000000" w:themeColor="text1"/>
          <w:sz w:val="28"/>
          <w:szCs w:val="28"/>
        </w:rPr>
        <w:t>.</w:t>
      </w:r>
      <w:r>
        <w:rPr>
          <w:color w:val="000000" w:themeColor="text1"/>
          <w:sz w:val="28"/>
          <w:szCs w:val="28"/>
        </w:rPr>
        <w:t xml:space="preserve"> </w:t>
      </w:r>
      <w:r w:rsidR="00127D03">
        <w:rPr>
          <w:color w:val="000000" w:themeColor="text1"/>
          <w:sz w:val="28"/>
          <w:szCs w:val="28"/>
        </w:rPr>
        <w:t xml:space="preserve"> </w:t>
      </w:r>
    </w:p>
    <w:p w:rsidR="0002586B" w:rsidRDefault="005B6C96" w:rsidP="005862DB">
      <w:pPr>
        <w:pStyle w:val="MEMONUMBERED"/>
        <w:numPr>
          <w:ilvl w:val="0"/>
          <w:numId w:val="34"/>
        </w:numPr>
        <w:spacing w:after="360" w:line="360" w:lineRule="auto"/>
        <w:ind w:left="0" w:firstLine="0"/>
        <w:rPr>
          <w:color w:val="000000" w:themeColor="text1"/>
          <w:sz w:val="28"/>
          <w:szCs w:val="28"/>
        </w:rPr>
      </w:pPr>
      <w:r>
        <w:rPr>
          <w:color w:val="000000" w:themeColor="text1"/>
          <w:sz w:val="28"/>
          <w:szCs w:val="28"/>
        </w:rPr>
        <w:t>Despite numerous exhortations contained in various judgments and practice directives of this court, the RAF remains</w:t>
      </w:r>
      <w:r w:rsidR="0002586B">
        <w:rPr>
          <w:color w:val="000000" w:themeColor="text1"/>
          <w:sz w:val="28"/>
          <w:szCs w:val="28"/>
        </w:rPr>
        <w:t xml:space="preserve"> a delinquent litigant.  A consequence hereof is the numerous instances of failure by the RAF to make a decision as contemplated in </w:t>
      </w:r>
      <w:proofErr w:type="spellStart"/>
      <w:r w:rsidR="0002586B">
        <w:rPr>
          <w:color w:val="000000" w:themeColor="text1"/>
          <w:sz w:val="28"/>
          <w:szCs w:val="28"/>
        </w:rPr>
        <w:t>Reg</w:t>
      </w:r>
      <w:proofErr w:type="spellEnd"/>
      <w:r w:rsidR="0002586B">
        <w:rPr>
          <w:color w:val="000000" w:themeColor="text1"/>
          <w:sz w:val="28"/>
          <w:szCs w:val="28"/>
        </w:rPr>
        <w:t xml:space="preserve"> 3.</w:t>
      </w:r>
    </w:p>
    <w:p w:rsidR="005B6C96" w:rsidRDefault="0002586B" w:rsidP="005862DB">
      <w:pPr>
        <w:pStyle w:val="MEMONUMBERED"/>
        <w:numPr>
          <w:ilvl w:val="0"/>
          <w:numId w:val="34"/>
        </w:numPr>
        <w:spacing w:after="360" w:line="360" w:lineRule="auto"/>
        <w:ind w:left="0" w:firstLine="0"/>
        <w:rPr>
          <w:color w:val="000000" w:themeColor="text1"/>
          <w:sz w:val="28"/>
          <w:szCs w:val="28"/>
        </w:rPr>
      </w:pPr>
      <w:r>
        <w:rPr>
          <w:color w:val="000000" w:themeColor="text1"/>
          <w:sz w:val="28"/>
          <w:szCs w:val="28"/>
        </w:rPr>
        <w:t>For the sak</w:t>
      </w:r>
      <w:r w:rsidR="00F5133C">
        <w:rPr>
          <w:color w:val="000000" w:themeColor="text1"/>
          <w:sz w:val="28"/>
          <w:szCs w:val="28"/>
        </w:rPr>
        <w:t>e of completeness and e</w:t>
      </w:r>
      <w:r>
        <w:rPr>
          <w:color w:val="000000" w:themeColor="text1"/>
          <w:sz w:val="28"/>
          <w:szCs w:val="28"/>
        </w:rPr>
        <w:t xml:space="preserve">ase of reference, the procedures contemplated in </w:t>
      </w:r>
      <w:proofErr w:type="spellStart"/>
      <w:r>
        <w:rPr>
          <w:color w:val="000000" w:themeColor="text1"/>
          <w:sz w:val="28"/>
          <w:szCs w:val="28"/>
        </w:rPr>
        <w:t>Reg</w:t>
      </w:r>
      <w:proofErr w:type="spellEnd"/>
      <w:r>
        <w:rPr>
          <w:color w:val="000000" w:themeColor="text1"/>
          <w:sz w:val="28"/>
          <w:szCs w:val="28"/>
        </w:rPr>
        <w:t xml:space="preserve"> 3 </w:t>
      </w:r>
      <w:r w:rsidR="00F5133C">
        <w:rPr>
          <w:color w:val="000000" w:themeColor="text1"/>
          <w:sz w:val="28"/>
          <w:szCs w:val="28"/>
        </w:rPr>
        <w:t xml:space="preserve">preceding an entitlement to claim general damages </w:t>
      </w:r>
      <w:r>
        <w:rPr>
          <w:color w:val="000000" w:themeColor="text1"/>
          <w:sz w:val="28"/>
          <w:szCs w:val="28"/>
        </w:rPr>
        <w:t>can be summed up as follow</w:t>
      </w:r>
      <w:r w:rsidR="007E6238">
        <w:rPr>
          <w:color w:val="000000" w:themeColor="text1"/>
          <w:sz w:val="28"/>
          <w:szCs w:val="28"/>
        </w:rPr>
        <w:t>s</w:t>
      </w:r>
      <w:r>
        <w:rPr>
          <w:color w:val="000000" w:themeColor="text1"/>
          <w:sz w:val="28"/>
          <w:szCs w:val="28"/>
        </w:rPr>
        <w:t xml:space="preserve">: a plaintiff wishing to claim general damages must in terms of </w:t>
      </w:r>
      <w:proofErr w:type="spellStart"/>
      <w:r>
        <w:rPr>
          <w:color w:val="000000" w:themeColor="text1"/>
          <w:sz w:val="28"/>
          <w:szCs w:val="28"/>
        </w:rPr>
        <w:t>Reg</w:t>
      </w:r>
      <w:proofErr w:type="spellEnd"/>
      <w:r>
        <w:rPr>
          <w:color w:val="000000" w:themeColor="text1"/>
          <w:sz w:val="28"/>
          <w:szCs w:val="28"/>
        </w:rPr>
        <w:t xml:space="preserve"> 3(1)(a) submit himself or </w:t>
      </w:r>
      <w:r w:rsidR="00813C38">
        <w:rPr>
          <w:color w:val="000000" w:themeColor="text1"/>
          <w:sz w:val="28"/>
          <w:szCs w:val="28"/>
        </w:rPr>
        <w:t>herself</w:t>
      </w:r>
      <w:r>
        <w:rPr>
          <w:color w:val="000000" w:themeColor="text1"/>
          <w:sz w:val="28"/>
          <w:szCs w:val="28"/>
        </w:rPr>
        <w:t xml:space="preserve"> to an assessment by a medical practitioner in order to assess the seriousness of the injuries sustained.  The medical practitioner then records the findings in a “serious injury assessment report”, known as the RAF 4</w:t>
      </w:r>
      <w:r w:rsidR="00F5133C">
        <w:rPr>
          <w:color w:val="000000" w:themeColor="text1"/>
          <w:sz w:val="28"/>
          <w:szCs w:val="28"/>
        </w:rPr>
        <w:t xml:space="preserve"> report</w:t>
      </w:r>
      <w:r>
        <w:rPr>
          <w:color w:val="000000" w:themeColor="text1"/>
          <w:sz w:val="28"/>
          <w:szCs w:val="28"/>
        </w:rPr>
        <w:t xml:space="preserve"> (with reference to the form prescribed in the Regulations).  The RAF 4 </w:t>
      </w:r>
      <w:r w:rsidR="00F5133C">
        <w:rPr>
          <w:color w:val="000000" w:themeColor="text1"/>
          <w:sz w:val="28"/>
          <w:szCs w:val="28"/>
        </w:rPr>
        <w:t xml:space="preserve">report </w:t>
      </w:r>
      <w:r>
        <w:rPr>
          <w:color w:val="000000" w:themeColor="text1"/>
          <w:sz w:val="28"/>
          <w:szCs w:val="28"/>
        </w:rPr>
        <w:t>is then presented to the RAF who is obliged</w:t>
      </w:r>
      <w:r w:rsidR="00F5133C">
        <w:rPr>
          <w:color w:val="000000" w:themeColor="text1"/>
          <w:sz w:val="28"/>
          <w:szCs w:val="28"/>
        </w:rPr>
        <w:t xml:space="preserve"> to make a decision as to whether</w:t>
      </w:r>
      <w:r w:rsidR="00A176DC">
        <w:rPr>
          <w:color w:val="000000" w:themeColor="text1"/>
          <w:sz w:val="28"/>
          <w:szCs w:val="28"/>
        </w:rPr>
        <w:t xml:space="preserve">, in terms of </w:t>
      </w:r>
      <w:proofErr w:type="spellStart"/>
      <w:r w:rsidR="00A176DC">
        <w:rPr>
          <w:color w:val="000000" w:themeColor="text1"/>
          <w:sz w:val="28"/>
          <w:szCs w:val="28"/>
        </w:rPr>
        <w:t>Reg</w:t>
      </w:r>
      <w:proofErr w:type="spellEnd"/>
      <w:r w:rsidR="00A176DC">
        <w:rPr>
          <w:color w:val="000000" w:themeColor="text1"/>
          <w:sz w:val="28"/>
          <w:szCs w:val="28"/>
        </w:rPr>
        <w:t xml:space="preserve"> 3(3)(c) it is satisfied that the injuries have correctly been assessed as being serious or, in terms of</w:t>
      </w:r>
      <w:r>
        <w:rPr>
          <w:color w:val="000000" w:themeColor="text1"/>
          <w:sz w:val="28"/>
          <w:szCs w:val="28"/>
        </w:rPr>
        <w:t xml:space="preserve"> </w:t>
      </w:r>
      <w:proofErr w:type="spellStart"/>
      <w:r>
        <w:rPr>
          <w:color w:val="000000" w:themeColor="text1"/>
          <w:sz w:val="28"/>
          <w:szCs w:val="28"/>
        </w:rPr>
        <w:t>Reg</w:t>
      </w:r>
      <w:proofErr w:type="spellEnd"/>
      <w:r>
        <w:rPr>
          <w:color w:val="000000" w:themeColor="text1"/>
          <w:sz w:val="28"/>
          <w:szCs w:val="28"/>
        </w:rPr>
        <w:t xml:space="preserve"> 3(3)(d) to reject the findings contained in the report (and furnish reasons for such </w:t>
      </w:r>
      <w:r w:rsidR="007C403F">
        <w:rPr>
          <w:color w:val="000000" w:themeColor="text1"/>
          <w:sz w:val="28"/>
          <w:szCs w:val="28"/>
        </w:rPr>
        <w:t>rejection)</w:t>
      </w:r>
      <w:r w:rsidR="00A176DC">
        <w:rPr>
          <w:color w:val="000000" w:themeColor="text1"/>
          <w:sz w:val="28"/>
          <w:szCs w:val="28"/>
        </w:rPr>
        <w:t xml:space="preserve">.  As a third alternative, the RAF may </w:t>
      </w:r>
      <w:r>
        <w:rPr>
          <w:color w:val="000000" w:themeColor="text1"/>
          <w:sz w:val="28"/>
          <w:szCs w:val="28"/>
        </w:rPr>
        <w:t xml:space="preserve">direct that the plaintiff </w:t>
      </w:r>
      <w:proofErr w:type="gramStart"/>
      <w:r>
        <w:rPr>
          <w:color w:val="000000" w:themeColor="text1"/>
          <w:sz w:val="28"/>
          <w:szCs w:val="28"/>
        </w:rPr>
        <w:t>undergo</w:t>
      </w:r>
      <w:proofErr w:type="gramEnd"/>
      <w:r>
        <w:rPr>
          <w:color w:val="000000" w:themeColor="text1"/>
          <w:sz w:val="28"/>
          <w:szCs w:val="28"/>
        </w:rPr>
        <w:t xml:space="preserve"> a further assessment by a medical practitioner designated by the RAF.  In terms of </w:t>
      </w:r>
      <w:proofErr w:type="spellStart"/>
      <w:r>
        <w:rPr>
          <w:color w:val="000000" w:themeColor="text1"/>
          <w:sz w:val="28"/>
          <w:szCs w:val="28"/>
        </w:rPr>
        <w:t>Reg</w:t>
      </w:r>
      <w:proofErr w:type="spellEnd"/>
      <w:r>
        <w:rPr>
          <w:color w:val="000000" w:themeColor="text1"/>
          <w:sz w:val="28"/>
          <w:szCs w:val="28"/>
        </w:rPr>
        <w:t xml:space="preserve"> 3(4), should the </w:t>
      </w:r>
      <w:r w:rsidR="007C403F">
        <w:rPr>
          <w:color w:val="000000" w:themeColor="text1"/>
          <w:sz w:val="28"/>
          <w:szCs w:val="28"/>
        </w:rPr>
        <w:t>plaintiff</w:t>
      </w:r>
      <w:r>
        <w:rPr>
          <w:color w:val="000000" w:themeColor="text1"/>
          <w:sz w:val="28"/>
          <w:szCs w:val="28"/>
        </w:rPr>
        <w:t xml:space="preserve"> dis</w:t>
      </w:r>
      <w:r w:rsidR="007C403F">
        <w:rPr>
          <w:color w:val="000000" w:themeColor="text1"/>
          <w:sz w:val="28"/>
          <w:szCs w:val="28"/>
        </w:rPr>
        <w:t>pute the RAF’s rejecti</w:t>
      </w:r>
      <w:r w:rsidR="00A176DC">
        <w:rPr>
          <w:color w:val="000000" w:themeColor="text1"/>
          <w:sz w:val="28"/>
          <w:szCs w:val="28"/>
        </w:rPr>
        <w:t>on or if either the plaintiff or</w:t>
      </w:r>
      <w:r w:rsidR="007C403F">
        <w:rPr>
          <w:color w:val="000000" w:themeColor="text1"/>
          <w:sz w:val="28"/>
          <w:szCs w:val="28"/>
        </w:rPr>
        <w:t xml:space="preserve"> the RAF wish</w:t>
      </w:r>
      <w:r w:rsidR="00FF0C4E">
        <w:rPr>
          <w:color w:val="000000" w:themeColor="text1"/>
          <w:sz w:val="28"/>
          <w:szCs w:val="28"/>
        </w:rPr>
        <w:t>es</w:t>
      </w:r>
      <w:r w:rsidR="007C403F">
        <w:rPr>
          <w:color w:val="000000" w:themeColor="text1"/>
          <w:sz w:val="28"/>
          <w:szCs w:val="28"/>
        </w:rPr>
        <w:t xml:space="preserve"> to challenge the</w:t>
      </w:r>
      <w:r w:rsidR="00A176DC">
        <w:rPr>
          <w:color w:val="000000" w:themeColor="text1"/>
          <w:sz w:val="28"/>
          <w:szCs w:val="28"/>
        </w:rPr>
        <w:t xml:space="preserve"> further</w:t>
      </w:r>
      <w:r w:rsidR="007C403F">
        <w:rPr>
          <w:color w:val="000000" w:themeColor="text1"/>
          <w:sz w:val="28"/>
          <w:szCs w:val="28"/>
        </w:rPr>
        <w:t xml:space="preserve"> assessment by the medical practitioner designated by the RAF, the aggrieved party must formally declare a dispute by lodging a pre</w:t>
      </w:r>
      <w:r w:rsidR="00A176DC">
        <w:rPr>
          <w:color w:val="000000" w:themeColor="text1"/>
          <w:sz w:val="28"/>
          <w:szCs w:val="28"/>
        </w:rPr>
        <w:t>scribed dispute resolution form</w:t>
      </w:r>
      <w:r w:rsidR="007C403F">
        <w:rPr>
          <w:color w:val="000000" w:themeColor="text1"/>
          <w:sz w:val="28"/>
          <w:szCs w:val="28"/>
        </w:rPr>
        <w:t xml:space="preserve"> (RAF 5) with the registrar of the Health Professions Council of South Africa (the HPCSA).  Once such a dispute has been declared it is determined by an appeal tribunal</w:t>
      </w:r>
      <w:r w:rsidR="00FF0C4E">
        <w:rPr>
          <w:color w:val="000000" w:themeColor="text1"/>
          <w:sz w:val="28"/>
          <w:szCs w:val="28"/>
        </w:rPr>
        <w:t xml:space="preserve"> consisting</w:t>
      </w:r>
      <w:r w:rsidR="007C403F">
        <w:rPr>
          <w:color w:val="000000" w:themeColor="text1"/>
          <w:sz w:val="28"/>
          <w:szCs w:val="28"/>
        </w:rPr>
        <w:t xml:space="preserve"> of th</w:t>
      </w:r>
      <w:r w:rsidR="00813C38">
        <w:rPr>
          <w:color w:val="000000" w:themeColor="text1"/>
          <w:sz w:val="28"/>
          <w:szCs w:val="28"/>
        </w:rPr>
        <w:t>r</w:t>
      </w:r>
      <w:r w:rsidR="007C403F">
        <w:rPr>
          <w:color w:val="000000" w:themeColor="text1"/>
          <w:sz w:val="28"/>
          <w:szCs w:val="28"/>
        </w:rPr>
        <w:t>ee independent medical practitioners with expertise in the appropriate area of medicine, appointed by the HPCSA registrar.  The procedure before such an appeal tribunal has</w:t>
      </w:r>
      <w:r w:rsidR="00FF0C4E">
        <w:rPr>
          <w:color w:val="000000" w:themeColor="text1"/>
          <w:sz w:val="28"/>
          <w:szCs w:val="28"/>
        </w:rPr>
        <w:t xml:space="preserve"> been prescribed in some detail</w:t>
      </w:r>
      <w:r w:rsidR="007C403F">
        <w:rPr>
          <w:color w:val="000000" w:themeColor="text1"/>
          <w:sz w:val="28"/>
          <w:szCs w:val="28"/>
        </w:rPr>
        <w:t xml:space="preserve"> in </w:t>
      </w:r>
      <w:proofErr w:type="spellStart"/>
      <w:r w:rsidR="007C403F">
        <w:rPr>
          <w:color w:val="000000" w:themeColor="text1"/>
          <w:sz w:val="28"/>
          <w:szCs w:val="28"/>
        </w:rPr>
        <w:t>Reg</w:t>
      </w:r>
      <w:r w:rsidR="007E6238">
        <w:rPr>
          <w:color w:val="000000" w:themeColor="text1"/>
          <w:sz w:val="28"/>
          <w:szCs w:val="28"/>
        </w:rPr>
        <w:t>s</w:t>
      </w:r>
      <w:proofErr w:type="spellEnd"/>
      <w:r w:rsidR="007E6238">
        <w:rPr>
          <w:color w:val="000000" w:themeColor="text1"/>
          <w:sz w:val="28"/>
          <w:szCs w:val="28"/>
        </w:rPr>
        <w:t xml:space="preserve"> 3(</w:t>
      </w:r>
      <w:r w:rsidR="00272580">
        <w:rPr>
          <w:color w:val="000000" w:themeColor="text1"/>
          <w:sz w:val="28"/>
          <w:szCs w:val="28"/>
        </w:rPr>
        <w:t>5</w:t>
      </w:r>
      <w:r w:rsidR="007C403F">
        <w:rPr>
          <w:color w:val="000000" w:themeColor="text1"/>
          <w:sz w:val="28"/>
          <w:szCs w:val="28"/>
        </w:rPr>
        <w:t>)</w:t>
      </w:r>
      <w:r w:rsidR="00272580">
        <w:rPr>
          <w:color w:val="000000" w:themeColor="text1"/>
          <w:sz w:val="28"/>
          <w:szCs w:val="28"/>
        </w:rPr>
        <w:t xml:space="preserve"> – (12)</w:t>
      </w:r>
      <w:r w:rsidR="007C403F">
        <w:rPr>
          <w:color w:val="000000" w:themeColor="text1"/>
          <w:sz w:val="28"/>
          <w:szCs w:val="28"/>
        </w:rPr>
        <w:t xml:space="preserve">.  </w:t>
      </w:r>
      <w:r w:rsidR="00272580">
        <w:rPr>
          <w:color w:val="000000" w:themeColor="text1"/>
          <w:sz w:val="28"/>
          <w:szCs w:val="28"/>
        </w:rPr>
        <w:t xml:space="preserve">In terms of </w:t>
      </w:r>
      <w:proofErr w:type="spellStart"/>
      <w:r w:rsidR="00272580">
        <w:rPr>
          <w:color w:val="000000" w:themeColor="text1"/>
          <w:sz w:val="28"/>
          <w:szCs w:val="28"/>
        </w:rPr>
        <w:t>Reg</w:t>
      </w:r>
      <w:proofErr w:type="spellEnd"/>
      <w:r w:rsidR="00272580">
        <w:rPr>
          <w:color w:val="000000" w:themeColor="text1"/>
          <w:sz w:val="28"/>
          <w:szCs w:val="28"/>
        </w:rPr>
        <w:t xml:space="preserve"> 3(13)</w:t>
      </w:r>
      <w:r w:rsidR="007C403F">
        <w:rPr>
          <w:color w:val="000000" w:themeColor="text1"/>
          <w:sz w:val="28"/>
          <w:szCs w:val="28"/>
        </w:rPr>
        <w:t xml:space="preserve"> the appeal tribunal’s decision</w:t>
      </w:r>
      <w:r w:rsidR="00A176DC">
        <w:rPr>
          <w:color w:val="000000" w:themeColor="text1"/>
          <w:sz w:val="28"/>
          <w:szCs w:val="28"/>
        </w:rPr>
        <w:t xml:space="preserve"> itself</w:t>
      </w:r>
      <w:r w:rsidR="007C403F">
        <w:rPr>
          <w:color w:val="000000" w:themeColor="text1"/>
          <w:sz w:val="28"/>
          <w:szCs w:val="28"/>
        </w:rPr>
        <w:t xml:space="preserve"> is final.</w:t>
      </w:r>
    </w:p>
    <w:p w:rsidR="00A176DC" w:rsidRPr="00A176DC" w:rsidRDefault="00A176DC" w:rsidP="00A176DC">
      <w:pPr>
        <w:pStyle w:val="MEMONUMBERED"/>
        <w:numPr>
          <w:ilvl w:val="0"/>
          <w:numId w:val="0"/>
        </w:numPr>
        <w:spacing w:after="120" w:line="360" w:lineRule="auto"/>
        <w:rPr>
          <w:b/>
          <w:color w:val="000000" w:themeColor="text1"/>
          <w:sz w:val="28"/>
          <w:szCs w:val="28"/>
        </w:rPr>
      </w:pPr>
      <w:r w:rsidRPr="00A176DC">
        <w:rPr>
          <w:b/>
          <w:color w:val="000000" w:themeColor="text1"/>
          <w:sz w:val="28"/>
          <w:szCs w:val="28"/>
        </w:rPr>
        <w:t xml:space="preserve">The </w:t>
      </w:r>
      <w:r w:rsidRPr="00A176DC">
        <w:rPr>
          <w:b/>
          <w:i/>
          <w:color w:val="000000" w:themeColor="text1"/>
          <w:sz w:val="28"/>
          <w:szCs w:val="28"/>
        </w:rPr>
        <w:t>mandamu</w:t>
      </w:r>
      <w:r w:rsidRPr="00A176DC">
        <w:rPr>
          <w:b/>
          <w:color w:val="000000" w:themeColor="text1"/>
          <w:sz w:val="28"/>
          <w:szCs w:val="28"/>
        </w:rPr>
        <w:t>s</w:t>
      </w:r>
    </w:p>
    <w:p w:rsidR="00FF0C4E" w:rsidRDefault="007C403F" w:rsidP="005862DB">
      <w:pPr>
        <w:pStyle w:val="MEMONUMBERED"/>
        <w:numPr>
          <w:ilvl w:val="0"/>
          <w:numId w:val="34"/>
        </w:numPr>
        <w:spacing w:after="360" w:line="360" w:lineRule="auto"/>
        <w:ind w:left="0" w:firstLine="0"/>
        <w:rPr>
          <w:color w:val="000000" w:themeColor="text1"/>
          <w:sz w:val="28"/>
          <w:szCs w:val="28"/>
        </w:rPr>
      </w:pPr>
      <w:r>
        <w:rPr>
          <w:color w:val="000000" w:themeColor="text1"/>
          <w:sz w:val="28"/>
          <w:szCs w:val="28"/>
        </w:rPr>
        <w:t xml:space="preserve">It follows </w:t>
      </w:r>
      <w:r w:rsidR="00F81313">
        <w:rPr>
          <w:color w:val="000000" w:themeColor="text1"/>
          <w:sz w:val="28"/>
          <w:szCs w:val="28"/>
        </w:rPr>
        <w:t>f</w:t>
      </w:r>
      <w:r>
        <w:rPr>
          <w:color w:val="000000" w:themeColor="text1"/>
          <w:sz w:val="28"/>
          <w:szCs w:val="28"/>
        </w:rPr>
        <w:t>r</w:t>
      </w:r>
      <w:r w:rsidR="00F81313">
        <w:rPr>
          <w:color w:val="000000" w:themeColor="text1"/>
          <w:sz w:val="28"/>
          <w:szCs w:val="28"/>
        </w:rPr>
        <w:t>o</w:t>
      </w:r>
      <w:r>
        <w:rPr>
          <w:color w:val="000000" w:themeColor="text1"/>
          <w:sz w:val="28"/>
          <w:szCs w:val="28"/>
        </w:rPr>
        <w:t xml:space="preserve">m the above that, after a plaintiff has submitted the RAF </w:t>
      </w:r>
      <w:r w:rsidR="00A176DC">
        <w:rPr>
          <w:color w:val="000000" w:themeColor="text1"/>
          <w:sz w:val="28"/>
          <w:szCs w:val="28"/>
        </w:rPr>
        <w:t xml:space="preserve">4 report </w:t>
      </w:r>
      <w:r>
        <w:rPr>
          <w:color w:val="000000" w:themeColor="text1"/>
          <w:sz w:val="28"/>
          <w:szCs w:val="28"/>
        </w:rPr>
        <w:t>to the RAF, the ball is in the latter’s court and it is obliged to make a decision.</w:t>
      </w:r>
      <w:r w:rsidR="00FF0C4E">
        <w:rPr>
          <w:color w:val="000000" w:themeColor="text1"/>
          <w:sz w:val="28"/>
          <w:szCs w:val="28"/>
        </w:rPr>
        <w:t xml:space="preserve">  In terms of </w:t>
      </w:r>
      <w:proofErr w:type="spellStart"/>
      <w:r w:rsidR="00FF0C4E">
        <w:rPr>
          <w:color w:val="000000" w:themeColor="text1"/>
          <w:sz w:val="28"/>
          <w:szCs w:val="28"/>
        </w:rPr>
        <w:t>Reg</w:t>
      </w:r>
      <w:proofErr w:type="spellEnd"/>
      <w:r w:rsidR="00FF0C4E">
        <w:rPr>
          <w:color w:val="000000" w:themeColor="text1"/>
          <w:sz w:val="28"/>
          <w:szCs w:val="28"/>
        </w:rPr>
        <w:t xml:space="preserve"> 3(</w:t>
      </w:r>
      <w:proofErr w:type="gramStart"/>
      <w:r w:rsidR="00FF0C4E">
        <w:rPr>
          <w:color w:val="000000" w:themeColor="text1"/>
          <w:sz w:val="28"/>
          <w:szCs w:val="28"/>
        </w:rPr>
        <w:t>3)(</w:t>
      </w:r>
      <w:proofErr w:type="spellStart"/>
      <w:proofErr w:type="gramEnd"/>
      <w:r w:rsidR="00FF0C4E">
        <w:rPr>
          <w:color w:val="000000" w:themeColor="text1"/>
          <w:sz w:val="28"/>
          <w:szCs w:val="28"/>
        </w:rPr>
        <w:t>dA</w:t>
      </w:r>
      <w:proofErr w:type="spellEnd"/>
      <w:r w:rsidR="00FF0C4E">
        <w:rPr>
          <w:color w:val="000000" w:themeColor="text1"/>
          <w:sz w:val="28"/>
          <w:szCs w:val="28"/>
        </w:rPr>
        <w:t xml:space="preserve">), this must be done within 90 days after receipt of the RAF 4 report. </w:t>
      </w:r>
      <w:r>
        <w:rPr>
          <w:color w:val="000000" w:themeColor="text1"/>
          <w:sz w:val="28"/>
          <w:szCs w:val="28"/>
        </w:rPr>
        <w:t xml:space="preserve">  </w:t>
      </w:r>
    </w:p>
    <w:p w:rsidR="007C403F" w:rsidRDefault="007C403F" w:rsidP="005862DB">
      <w:pPr>
        <w:pStyle w:val="MEMONUMBERED"/>
        <w:numPr>
          <w:ilvl w:val="0"/>
          <w:numId w:val="34"/>
        </w:numPr>
        <w:spacing w:after="360" w:line="360" w:lineRule="auto"/>
        <w:ind w:left="0" w:firstLine="0"/>
        <w:rPr>
          <w:color w:val="000000" w:themeColor="text1"/>
          <w:sz w:val="28"/>
          <w:szCs w:val="28"/>
        </w:rPr>
      </w:pPr>
      <w:r>
        <w:rPr>
          <w:color w:val="000000" w:themeColor="text1"/>
          <w:sz w:val="28"/>
          <w:szCs w:val="28"/>
        </w:rPr>
        <w:t>The RAF is an organ of state as defined in section 239 of</w:t>
      </w:r>
      <w:r w:rsidR="00A176DC">
        <w:rPr>
          <w:color w:val="000000" w:themeColor="text1"/>
          <w:sz w:val="28"/>
          <w:szCs w:val="28"/>
        </w:rPr>
        <w:t xml:space="preserve"> the Constitution and it is performing a public function</w:t>
      </w:r>
      <w:r>
        <w:rPr>
          <w:color w:val="000000" w:themeColor="text1"/>
          <w:sz w:val="28"/>
          <w:szCs w:val="28"/>
        </w:rPr>
        <w:t xml:space="preserve"> in considering RAF 4 </w:t>
      </w:r>
      <w:r w:rsidR="00A176DC">
        <w:rPr>
          <w:color w:val="000000" w:themeColor="text1"/>
          <w:sz w:val="28"/>
          <w:szCs w:val="28"/>
        </w:rPr>
        <w:t>report</w:t>
      </w:r>
      <w:r w:rsidR="00FF0C4E">
        <w:rPr>
          <w:color w:val="000000" w:themeColor="text1"/>
          <w:sz w:val="28"/>
          <w:szCs w:val="28"/>
        </w:rPr>
        <w:t>s</w:t>
      </w:r>
      <w:r>
        <w:rPr>
          <w:color w:val="000000" w:themeColor="text1"/>
          <w:sz w:val="28"/>
          <w:szCs w:val="28"/>
        </w:rPr>
        <w:t xml:space="preserve"> submitted to it.  Where the RAF is vested with the discretion and powers to consider and determine the acceptance of an assessment of a plaintiff’s injuries </w:t>
      </w:r>
      <w:r w:rsidR="00A176DC">
        <w:rPr>
          <w:color w:val="000000" w:themeColor="text1"/>
          <w:sz w:val="28"/>
          <w:szCs w:val="28"/>
        </w:rPr>
        <w:t>as serious or not, it has</w:t>
      </w:r>
      <w:r>
        <w:rPr>
          <w:color w:val="000000" w:themeColor="text1"/>
          <w:sz w:val="28"/>
          <w:szCs w:val="28"/>
        </w:rPr>
        <w:t xml:space="preserve"> </w:t>
      </w:r>
      <w:r w:rsidR="000D2AF9">
        <w:rPr>
          <w:color w:val="000000" w:themeColor="text1"/>
          <w:sz w:val="28"/>
          <w:szCs w:val="28"/>
        </w:rPr>
        <w:t>concomitant</w:t>
      </w:r>
      <w:r>
        <w:rPr>
          <w:color w:val="000000" w:themeColor="text1"/>
          <w:sz w:val="28"/>
          <w:szCs w:val="28"/>
        </w:rPr>
        <w:t xml:space="preserve"> duty to exercise that power</w:t>
      </w:r>
      <w:r w:rsidR="000D2AF9">
        <w:rPr>
          <w:rStyle w:val="FootnoteReference"/>
          <w:color w:val="000000" w:themeColor="text1"/>
          <w:sz w:val="28"/>
          <w:szCs w:val="28"/>
        </w:rPr>
        <w:footnoteReference w:id="5"/>
      </w:r>
      <w:r w:rsidR="000D2AF9">
        <w:rPr>
          <w:color w:val="000000" w:themeColor="text1"/>
          <w:sz w:val="28"/>
          <w:szCs w:val="28"/>
        </w:rPr>
        <w:t xml:space="preserve">.  The exercise of that power, </w:t>
      </w:r>
      <w:proofErr w:type="spellStart"/>
      <w:r w:rsidR="000D2AF9">
        <w:rPr>
          <w:color w:val="000000" w:themeColor="text1"/>
          <w:sz w:val="28"/>
          <w:szCs w:val="28"/>
        </w:rPr>
        <w:t>i.e</w:t>
      </w:r>
      <w:proofErr w:type="spellEnd"/>
      <w:r w:rsidR="000D2AF9">
        <w:rPr>
          <w:color w:val="000000" w:themeColor="text1"/>
          <w:sz w:val="28"/>
          <w:szCs w:val="28"/>
        </w:rPr>
        <w:t>, the making of a d</w:t>
      </w:r>
      <w:r w:rsidR="00A176DC">
        <w:rPr>
          <w:color w:val="000000" w:themeColor="text1"/>
          <w:sz w:val="28"/>
          <w:szCs w:val="28"/>
        </w:rPr>
        <w:t>ecision to accept or reject the</w:t>
      </w:r>
      <w:r w:rsidR="000D2AF9">
        <w:rPr>
          <w:color w:val="000000" w:themeColor="text1"/>
          <w:sz w:val="28"/>
          <w:szCs w:val="28"/>
        </w:rPr>
        <w:t xml:space="preserve"> ass</w:t>
      </w:r>
      <w:r w:rsidR="00F81313">
        <w:rPr>
          <w:color w:val="000000" w:themeColor="text1"/>
          <w:sz w:val="28"/>
          <w:szCs w:val="28"/>
        </w:rPr>
        <w:t xml:space="preserve">essment contained in the RAF 4 </w:t>
      </w:r>
      <w:r w:rsidR="00A176DC">
        <w:rPr>
          <w:color w:val="000000" w:themeColor="text1"/>
          <w:sz w:val="28"/>
          <w:szCs w:val="28"/>
        </w:rPr>
        <w:t>report</w:t>
      </w:r>
      <w:r w:rsidR="000D2AF9">
        <w:rPr>
          <w:color w:val="000000" w:themeColor="text1"/>
          <w:sz w:val="28"/>
          <w:szCs w:val="28"/>
        </w:rPr>
        <w:t>, amounts to administrative action, which is reviewable in terms of the Promotion of Administrative Justice Act</w:t>
      </w:r>
      <w:r w:rsidR="000D2AF9">
        <w:rPr>
          <w:rStyle w:val="FootnoteReference"/>
          <w:color w:val="000000" w:themeColor="text1"/>
          <w:sz w:val="28"/>
          <w:szCs w:val="28"/>
        </w:rPr>
        <w:footnoteReference w:id="6"/>
      </w:r>
      <w:r w:rsidR="000D2AF9">
        <w:rPr>
          <w:color w:val="000000" w:themeColor="text1"/>
          <w:sz w:val="28"/>
          <w:szCs w:val="28"/>
        </w:rPr>
        <w:t xml:space="preserve"> (PAJA).  This has expressly been found by our courts to be the position</w:t>
      </w:r>
      <w:r w:rsidR="000D2AF9">
        <w:rPr>
          <w:rStyle w:val="FootnoteReference"/>
          <w:color w:val="000000" w:themeColor="text1"/>
          <w:sz w:val="28"/>
          <w:szCs w:val="28"/>
        </w:rPr>
        <w:footnoteReference w:id="7"/>
      </w:r>
      <w:r w:rsidR="000D2AF9">
        <w:rPr>
          <w:color w:val="000000" w:themeColor="text1"/>
          <w:sz w:val="28"/>
          <w:szCs w:val="28"/>
        </w:rPr>
        <w:t>.</w:t>
      </w:r>
    </w:p>
    <w:p w:rsidR="000D2AF9" w:rsidRDefault="000D2AF9" w:rsidP="005862DB">
      <w:pPr>
        <w:pStyle w:val="MEMONUMBERED"/>
        <w:numPr>
          <w:ilvl w:val="0"/>
          <w:numId w:val="34"/>
        </w:numPr>
        <w:spacing w:after="360" w:line="360" w:lineRule="auto"/>
        <w:ind w:left="0" w:firstLine="0"/>
        <w:rPr>
          <w:color w:val="000000" w:themeColor="text1"/>
          <w:sz w:val="28"/>
          <w:szCs w:val="28"/>
        </w:rPr>
      </w:pPr>
      <w:r>
        <w:rPr>
          <w:color w:val="000000" w:themeColor="text1"/>
          <w:sz w:val="28"/>
          <w:szCs w:val="28"/>
        </w:rPr>
        <w:t xml:space="preserve">Once an administrator has duty to exercise a power, it cannot </w:t>
      </w:r>
      <w:r w:rsidRPr="00813C38">
        <w:rPr>
          <w:i/>
          <w:color w:val="000000" w:themeColor="text1"/>
          <w:sz w:val="28"/>
          <w:szCs w:val="28"/>
        </w:rPr>
        <w:t>“… simply decline to act or to decide</w:t>
      </w:r>
      <w:r>
        <w:rPr>
          <w:color w:val="000000" w:themeColor="text1"/>
          <w:sz w:val="28"/>
          <w:szCs w:val="28"/>
        </w:rPr>
        <w:t>”</w:t>
      </w:r>
      <w:r>
        <w:rPr>
          <w:rStyle w:val="FootnoteReference"/>
          <w:color w:val="000000" w:themeColor="text1"/>
          <w:sz w:val="28"/>
          <w:szCs w:val="28"/>
        </w:rPr>
        <w:footnoteReference w:id="8"/>
      </w:r>
      <w:r>
        <w:rPr>
          <w:color w:val="000000" w:themeColor="text1"/>
          <w:sz w:val="28"/>
          <w:szCs w:val="28"/>
        </w:rPr>
        <w:t xml:space="preserve"> and, should it fail to exercise the power in question, a court may compel it to do so</w:t>
      </w:r>
      <w:r>
        <w:rPr>
          <w:rStyle w:val="FootnoteReference"/>
          <w:color w:val="000000" w:themeColor="text1"/>
          <w:sz w:val="28"/>
          <w:szCs w:val="28"/>
        </w:rPr>
        <w:footnoteReference w:id="9"/>
      </w:r>
      <w:r>
        <w:rPr>
          <w:color w:val="000000" w:themeColor="text1"/>
          <w:sz w:val="28"/>
          <w:szCs w:val="28"/>
        </w:rPr>
        <w:t>.</w:t>
      </w:r>
    </w:p>
    <w:p w:rsidR="000D2AF9" w:rsidRDefault="000D2AF9" w:rsidP="005862DB">
      <w:pPr>
        <w:pStyle w:val="MEMONUMBERED"/>
        <w:numPr>
          <w:ilvl w:val="0"/>
          <w:numId w:val="34"/>
        </w:numPr>
        <w:spacing w:after="360" w:line="360" w:lineRule="auto"/>
        <w:ind w:left="0" w:firstLine="0"/>
        <w:rPr>
          <w:color w:val="000000" w:themeColor="text1"/>
          <w:sz w:val="28"/>
          <w:szCs w:val="28"/>
        </w:rPr>
      </w:pPr>
      <w:r>
        <w:rPr>
          <w:color w:val="000000" w:themeColor="text1"/>
          <w:sz w:val="28"/>
          <w:szCs w:val="28"/>
        </w:rPr>
        <w:t>This is exactly what the plaintiff in the present matter sought to do.  The principal relief sought, was a mandamus compelling the RAF to exercise its powers and to make a decision whether it is “</w:t>
      </w:r>
      <w:r w:rsidRPr="00813C38">
        <w:rPr>
          <w:i/>
          <w:color w:val="000000" w:themeColor="text1"/>
          <w:sz w:val="28"/>
          <w:szCs w:val="28"/>
        </w:rPr>
        <w:t>satisfied that the injury has been correctly assessed as serious in terms of the method provided for in these Regulations</w:t>
      </w:r>
      <w:r>
        <w:rPr>
          <w:color w:val="000000" w:themeColor="text1"/>
          <w:sz w:val="28"/>
          <w:szCs w:val="28"/>
        </w:rPr>
        <w:t>”</w:t>
      </w:r>
      <w:r w:rsidR="00FB4BE9">
        <w:rPr>
          <w:color w:val="000000" w:themeColor="text1"/>
          <w:sz w:val="28"/>
          <w:szCs w:val="28"/>
        </w:rPr>
        <w:t>.  The plaintiff is clearly entitled to such relief.</w:t>
      </w:r>
    </w:p>
    <w:p w:rsidR="00251F26" w:rsidRPr="00251F26" w:rsidRDefault="00FB4BE9" w:rsidP="00320BDE">
      <w:pPr>
        <w:pStyle w:val="MEMONUMBERED"/>
        <w:numPr>
          <w:ilvl w:val="0"/>
          <w:numId w:val="0"/>
        </w:numPr>
        <w:spacing w:after="120" w:line="360" w:lineRule="auto"/>
        <w:rPr>
          <w:b/>
          <w:color w:val="000000" w:themeColor="text1"/>
          <w:sz w:val="28"/>
          <w:szCs w:val="28"/>
        </w:rPr>
      </w:pPr>
      <w:r>
        <w:rPr>
          <w:b/>
          <w:color w:val="000000" w:themeColor="text1"/>
          <w:sz w:val="28"/>
          <w:szCs w:val="28"/>
        </w:rPr>
        <w:t>The issue</w:t>
      </w:r>
    </w:p>
    <w:p w:rsidR="00763A8B" w:rsidRPr="00FB4BE9" w:rsidRDefault="00FB4BE9" w:rsidP="00763A8B">
      <w:pPr>
        <w:pStyle w:val="MEMONUMBERED"/>
        <w:numPr>
          <w:ilvl w:val="0"/>
          <w:numId w:val="34"/>
        </w:numPr>
        <w:spacing w:after="360" w:line="360" w:lineRule="auto"/>
        <w:ind w:left="0" w:firstLine="0"/>
        <w:rPr>
          <w:b/>
          <w:color w:val="000000" w:themeColor="text1"/>
          <w:sz w:val="28"/>
          <w:szCs w:val="28"/>
        </w:rPr>
      </w:pPr>
      <w:r>
        <w:rPr>
          <w:color w:val="000000" w:themeColor="text1"/>
          <w:sz w:val="28"/>
          <w:szCs w:val="28"/>
        </w:rPr>
        <w:t>The question which arose, was what the plaintiff</w:t>
      </w:r>
      <w:r w:rsidR="00FF0C4E">
        <w:rPr>
          <w:color w:val="000000" w:themeColor="text1"/>
          <w:sz w:val="28"/>
          <w:szCs w:val="28"/>
        </w:rPr>
        <w:t>’s remedy would be</w:t>
      </w:r>
      <w:r>
        <w:rPr>
          <w:color w:val="000000" w:themeColor="text1"/>
          <w:sz w:val="28"/>
          <w:szCs w:val="28"/>
        </w:rPr>
        <w:t>, should the RAF fail (or refuse) to comply with the compelling order.  Clearly, if this had been done with the requisite animus, it might amount to contempt of court, but that won’t assist the plaintiff in prosecuting its claim for general damages at the trial.</w:t>
      </w:r>
    </w:p>
    <w:p w:rsidR="00FB4BE9" w:rsidRPr="00FB4BE9" w:rsidRDefault="00FB4BE9" w:rsidP="00763A8B">
      <w:pPr>
        <w:pStyle w:val="MEMONUMBERED"/>
        <w:numPr>
          <w:ilvl w:val="0"/>
          <w:numId w:val="34"/>
        </w:numPr>
        <w:spacing w:after="360" w:line="360" w:lineRule="auto"/>
        <w:ind w:left="0" w:firstLine="0"/>
        <w:rPr>
          <w:b/>
          <w:color w:val="000000" w:themeColor="text1"/>
          <w:sz w:val="28"/>
          <w:szCs w:val="28"/>
        </w:rPr>
      </w:pPr>
      <w:r>
        <w:rPr>
          <w:color w:val="000000" w:themeColor="text1"/>
          <w:sz w:val="28"/>
          <w:szCs w:val="28"/>
        </w:rPr>
        <w:t xml:space="preserve">The solution proposed by the plaintiff was that, upon the RAF’s failure to comply with the compelling order, it be deemed that the assessment contained in the plaintiff’s RAF 4 </w:t>
      </w:r>
      <w:r w:rsidR="00A176DC">
        <w:rPr>
          <w:color w:val="000000" w:themeColor="text1"/>
          <w:sz w:val="28"/>
          <w:szCs w:val="28"/>
        </w:rPr>
        <w:t xml:space="preserve">report </w:t>
      </w:r>
      <w:r>
        <w:rPr>
          <w:color w:val="000000" w:themeColor="text1"/>
          <w:sz w:val="28"/>
          <w:szCs w:val="28"/>
        </w:rPr>
        <w:t>is accepted i.e. that the RAF is deemed to be satisfied that the plaintiff suffered serious injury.</w:t>
      </w:r>
    </w:p>
    <w:p w:rsidR="00FB4BE9" w:rsidRPr="00813C38" w:rsidRDefault="00FB4BE9" w:rsidP="00763A8B">
      <w:pPr>
        <w:pStyle w:val="MEMONUMBERED"/>
        <w:numPr>
          <w:ilvl w:val="0"/>
          <w:numId w:val="34"/>
        </w:numPr>
        <w:spacing w:after="360" w:line="360" w:lineRule="auto"/>
        <w:ind w:left="0" w:firstLine="0"/>
        <w:rPr>
          <w:b/>
          <w:color w:val="000000" w:themeColor="text1"/>
          <w:sz w:val="28"/>
          <w:szCs w:val="28"/>
        </w:rPr>
      </w:pPr>
      <w:r>
        <w:rPr>
          <w:color w:val="000000" w:themeColor="text1"/>
          <w:sz w:val="28"/>
          <w:szCs w:val="28"/>
        </w:rPr>
        <w:t xml:space="preserve">This proposition, attractive as it may be on a practical level as an answer to literally thousands of </w:t>
      </w:r>
      <w:r w:rsidR="00A176DC">
        <w:rPr>
          <w:color w:val="000000" w:themeColor="text1"/>
          <w:sz w:val="28"/>
          <w:szCs w:val="28"/>
        </w:rPr>
        <w:t>plaintiff</w:t>
      </w:r>
      <w:r w:rsidR="00813C38">
        <w:rPr>
          <w:color w:val="000000" w:themeColor="text1"/>
          <w:sz w:val="28"/>
          <w:szCs w:val="28"/>
        </w:rPr>
        <w:t>s</w:t>
      </w:r>
      <w:r>
        <w:rPr>
          <w:color w:val="000000" w:themeColor="text1"/>
          <w:sz w:val="28"/>
          <w:szCs w:val="28"/>
        </w:rPr>
        <w:t xml:space="preserve"> in this court faced with the RAF’s virtual perpetual inac</w:t>
      </w:r>
      <w:r w:rsidR="00A176DC">
        <w:rPr>
          <w:color w:val="000000" w:themeColor="text1"/>
          <w:sz w:val="28"/>
          <w:szCs w:val="28"/>
        </w:rPr>
        <w:t xml:space="preserve">tion in the majority of cases, may </w:t>
      </w:r>
      <w:r>
        <w:rPr>
          <w:color w:val="000000" w:themeColor="text1"/>
          <w:sz w:val="28"/>
          <w:szCs w:val="28"/>
        </w:rPr>
        <w:t xml:space="preserve">not </w:t>
      </w:r>
      <w:r w:rsidR="00A176DC">
        <w:rPr>
          <w:color w:val="000000" w:themeColor="text1"/>
          <w:sz w:val="28"/>
          <w:szCs w:val="28"/>
        </w:rPr>
        <w:t>b</w:t>
      </w:r>
      <w:r>
        <w:rPr>
          <w:color w:val="000000" w:themeColor="text1"/>
          <w:sz w:val="28"/>
          <w:szCs w:val="28"/>
        </w:rPr>
        <w:t>e sound in law.</w:t>
      </w:r>
    </w:p>
    <w:p w:rsidR="00813C38" w:rsidRPr="00813C38" w:rsidRDefault="00813C38" w:rsidP="00813C38">
      <w:pPr>
        <w:pStyle w:val="MEMONUMBERED"/>
        <w:numPr>
          <w:ilvl w:val="0"/>
          <w:numId w:val="34"/>
        </w:numPr>
        <w:spacing w:after="360" w:line="360" w:lineRule="auto"/>
        <w:ind w:left="0" w:firstLine="0"/>
        <w:rPr>
          <w:b/>
          <w:color w:val="000000" w:themeColor="text1"/>
          <w:sz w:val="28"/>
          <w:szCs w:val="28"/>
        </w:rPr>
      </w:pPr>
      <w:r>
        <w:rPr>
          <w:color w:val="000000" w:themeColor="text1"/>
          <w:sz w:val="28"/>
          <w:szCs w:val="28"/>
        </w:rPr>
        <w:t>The common law position</w:t>
      </w:r>
      <w:r w:rsidR="00FF0C4E">
        <w:rPr>
          <w:color w:val="000000" w:themeColor="text1"/>
          <w:sz w:val="28"/>
          <w:szCs w:val="28"/>
        </w:rPr>
        <w:t>,</w:t>
      </w:r>
      <w:r>
        <w:rPr>
          <w:color w:val="000000" w:themeColor="text1"/>
          <w:sz w:val="28"/>
          <w:szCs w:val="28"/>
        </w:rPr>
        <w:t xml:space="preserve"> which included the failure to act in the definition of “administrative action”</w:t>
      </w:r>
      <w:r>
        <w:rPr>
          <w:rStyle w:val="FootnoteReference"/>
          <w:color w:val="000000" w:themeColor="text1"/>
          <w:sz w:val="28"/>
          <w:szCs w:val="28"/>
        </w:rPr>
        <w:footnoteReference w:id="10"/>
      </w:r>
      <w:r w:rsidR="00FF0C4E">
        <w:rPr>
          <w:color w:val="000000" w:themeColor="text1"/>
          <w:sz w:val="28"/>
          <w:szCs w:val="28"/>
        </w:rPr>
        <w:t>,</w:t>
      </w:r>
      <w:r>
        <w:rPr>
          <w:color w:val="000000" w:themeColor="text1"/>
          <w:sz w:val="28"/>
          <w:szCs w:val="28"/>
        </w:rPr>
        <w:t xml:space="preserve"> has been codified in section 1 of PAJA.  There it is provided that “</w:t>
      </w:r>
      <w:r w:rsidRPr="00813C38">
        <w:rPr>
          <w:i/>
          <w:color w:val="000000" w:themeColor="text1"/>
          <w:sz w:val="28"/>
          <w:szCs w:val="28"/>
        </w:rPr>
        <w:t xml:space="preserve">administrative action means any decision taken or </w:t>
      </w:r>
      <w:r w:rsidRPr="00813C38">
        <w:rPr>
          <w:i/>
          <w:color w:val="000000" w:themeColor="text1"/>
          <w:sz w:val="28"/>
          <w:szCs w:val="28"/>
          <w:u w:val="single"/>
        </w:rPr>
        <w:t>any failure to take a decision</w:t>
      </w:r>
      <w:r w:rsidRPr="00813C38">
        <w:rPr>
          <w:i/>
          <w:color w:val="000000" w:themeColor="text1"/>
          <w:sz w:val="28"/>
          <w:szCs w:val="28"/>
        </w:rPr>
        <w:t xml:space="preserve"> …</w:t>
      </w:r>
      <w:r>
        <w:rPr>
          <w:color w:val="000000" w:themeColor="text1"/>
          <w:sz w:val="28"/>
          <w:szCs w:val="28"/>
        </w:rPr>
        <w:t>” (my emphasis)</w:t>
      </w:r>
      <w:r w:rsidRPr="00813C38">
        <w:rPr>
          <w:color w:val="000000" w:themeColor="text1"/>
          <w:sz w:val="28"/>
          <w:szCs w:val="28"/>
        </w:rPr>
        <w:t>.</w:t>
      </w:r>
    </w:p>
    <w:p w:rsidR="00813C38" w:rsidRPr="00813C38" w:rsidRDefault="00813C38" w:rsidP="00813C38">
      <w:pPr>
        <w:pStyle w:val="MEMONUMBERED"/>
        <w:numPr>
          <w:ilvl w:val="0"/>
          <w:numId w:val="34"/>
        </w:numPr>
        <w:spacing w:after="360" w:line="360" w:lineRule="auto"/>
        <w:ind w:left="0" w:firstLine="0"/>
        <w:rPr>
          <w:b/>
          <w:color w:val="000000" w:themeColor="text1"/>
          <w:sz w:val="28"/>
          <w:szCs w:val="28"/>
        </w:rPr>
      </w:pPr>
      <w:r>
        <w:rPr>
          <w:color w:val="000000" w:themeColor="text1"/>
          <w:sz w:val="28"/>
          <w:szCs w:val="28"/>
        </w:rPr>
        <w:t>Section 6 of PAJA then goes further and provi</w:t>
      </w:r>
      <w:r w:rsidR="00A176DC">
        <w:rPr>
          <w:color w:val="000000" w:themeColor="text1"/>
          <w:sz w:val="28"/>
          <w:szCs w:val="28"/>
        </w:rPr>
        <w:t>des that a court or tribunal has</w:t>
      </w:r>
      <w:r>
        <w:rPr>
          <w:color w:val="000000" w:themeColor="text1"/>
          <w:sz w:val="28"/>
          <w:szCs w:val="28"/>
        </w:rPr>
        <w:t xml:space="preserve"> the power to judicially review an administrative action if, in terms of section 6(2)(g) </w:t>
      </w:r>
      <w:r w:rsidRPr="00813C38">
        <w:rPr>
          <w:color w:val="000000" w:themeColor="text1"/>
          <w:sz w:val="28"/>
          <w:szCs w:val="28"/>
        </w:rPr>
        <w:t>“</w:t>
      </w:r>
      <w:r w:rsidRPr="00813C38">
        <w:rPr>
          <w:i/>
          <w:color w:val="000000" w:themeColor="text1"/>
          <w:sz w:val="28"/>
          <w:szCs w:val="28"/>
        </w:rPr>
        <w:t>… the action concerned consists of a failure to take a decision</w:t>
      </w:r>
      <w:r>
        <w:rPr>
          <w:color w:val="000000" w:themeColor="text1"/>
          <w:sz w:val="28"/>
          <w:szCs w:val="28"/>
        </w:rPr>
        <w:t>”.</w:t>
      </w:r>
      <w:r w:rsidR="00A176DC">
        <w:rPr>
          <w:color w:val="000000" w:themeColor="text1"/>
          <w:sz w:val="28"/>
          <w:szCs w:val="28"/>
        </w:rPr>
        <w:t xml:space="preserve">  This would amount to a “proper” review</w:t>
      </w:r>
      <w:r w:rsidR="00FF0C4E">
        <w:rPr>
          <w:color w:val="000000" w:themeColor="text1"/>
          <w:sz w:val="28"/>
          <w:szCs w:val="28"/>
        </w:rPr>
        <w:t xml:space="preserve"> and was also the remedy contemplated in </w:t>
      </w:r>
      <w:r w:rsidR="00FF0C4E" w:rsidRPr="00FF0C4E">
        <w:rPr>
          <w:i/>
          <w:color w:val="000000" w:themeColor="text1"/>
          <w:sz w:val="28"/>
          <w:szCs w:val="28"/>
        </w:rPr>
        <w:t>Duma</w:t>
      </w:r>
      <w:r w:rsidR="00A176DC">
        <w:rPr>
          <w:color w:val="000000" w:themeColor="text1"/>
          <w:sz w:val="28"/>
          <w:szCs w:val="28"/>
        </w:rPr>
        <w:t>.</w:t>
      </w:r>
    </w:p>
    <w:p w:rsidR="00D6696D" w:rsidRPr="0083716B" w:rsidRDefault="00A176DC" w:rsidP="004F134C">
      <w:pPr>
        <w:pStyle w:val="MEMONUMBERED"/>
        <w:numPr>
          <w:ilvl w:val="0"/>
          <w:numId w:val="34"/>
        </w:numPr>
        <w:spacing w:after="360" w:line="360" w:lineRule="auto"/>
        <w:ind w:left="0" w:firstLine="0"/>
        <w:rPr>
          <w:b/>
          <w:color w:val="000000" w:themeColor="text1"/>
          <w:sz w:val="28"/>
          <w:szCs w:val="28"/>
        </w:rPr>
      </w:pPr>
      <w:r>
        <w:rPr>
          <w:color w:val="000000" w:themeColor="text1"/>
          <w:sz w:val="28"/>
          <w:szCs w:val="28"/>
        </w:rPr>
        <w:t>Such a review application would</w:t>
      </w:r>
      <w:r w:rsidR="00FF0C4E">
        <w:rPr>
          <w:color w:val="000000" w:themeColor="text1"/>
          <w:sz w:val="28"/>
          <w:szCs w:val="28"/>
        </w:rPr>
        <w:t xml:space="preserve"> however,</w:t>
      </w:r>
      <w:r>
        <w:rPr>
          <w:color w:val="000000" w:themeColor="text1"/>
          <w:sz w:val="28"/>
          <w:szCs w:val="28"/>
        </w:rPr>
        <w:t xml:space="preserve"> be subject to the customary pre-conditions relating to timing and the duty to exhaust internal remedies</w:t>
      </w:r>
      <w:r>
        <w:rPr>
          <w:rStyle w:val="FootnoteReference"/>
          <w:color w:val="000000" w:themeColor="text1"/>
          <w:sz w:val="28"/>
          <w:szCs w:val="28"/>
        </w:rPr>
        <w:footnoteReference w:id="11"/>
      </w:r>
      <w:r>
        <w:rPr>
          <w:color w:val="000000" w:themeColor="text1"/>
          <w:sz w:val="28"/>
          <w:szCs w:val="28"/>
        </w:rPr>
        <w:t>.</w:t>
      </w:r>
    </w:p>
    <w:p w:rsidR="0083716B" w:rsidRPr="0083716B" w:rsidRDefault="0083716B" w:rsidP="004F134C">
      <w:pPr>
        <w:pStyle w:val="MEMONUMBERED"/>
        <w:numPr>
          <w:ilvl w:val="0"/>
          <w:numId w:val="34"/>
        </w:numPr>
        <w:spacing w:after="360" w:line="360" w:lineRule="auto"/>
        <w:ind w:left="0" w:firstLine="0"/>
        <w:rPr>
          <w:b/>
          <w:color w:val="000000" w:themeColor="text1"/>
          <w:sz w:val="28"/>
          <w:szCs w:val="28"/>
        </w:rPr>
      </w:pPr>
      <w:r>
        <w:rPr>
          <w:color w:val="000000" w:themeColor="text1"/>
          <w:sz w:val="28"/>
          <w:szCs w:val="28"/>
        </w:rPr>
        <w:t>It does not follow automatically that, in the event of the RAF failing (or refusing) to make a decision, the outcome preferred by the plaintiff, namely a deemed satisfaction by the RAF that the inju</w:t>
      </w:r>
      <w:r w:rsidR="00FF0C4E">
        <w:rPr>
          <w:color w:val="000000" w:themeColor="text1"/>
          <w:sz w:val="28"/>
          <w:szCs w:val="28"/>
        </w:rPr>
        <w:t xml:space="preserve">ries are serious should follow.  </w:t>
      </w:r>
      <w:r>
        <w:rPr>
          <w:color w:val="000000" w:themeColor="text1"/>
          <w:sz w:val="28"/>
          <w:szCs w:val="28"/>
        </w:rPr>
        <w:t>Although a court may have sympathy for plaintiffs regularly put to expense and effort due to a failure by an organ of state to at least make a decision (which in this case</w:t>
      </w:r>
      <w:r w:rsidR="00FF0C4E">
        <w:rPr>
          <w:color w:val="000000" w:themeColor="text1"/>
          <w:sz w:val="28"/>
          <w:szCs w:val="28"/>
        </w:rPr>
        <w:t xml:space="preserve"> is not an unduly onerous one being </w:t>
      </w:r>
      <w:r>
        <w:rPr>
          <w:color w:val="000000" w:themeColor="text1"/>
          <w:sz w:val="28"/>
          <w:szCs w:val="28"/>
        </w:rPr>
        <w:t>either a) satisfaction; b) rejection or, even if the RAF is in doubt; c) referral to a further medical practitioner for assessment), “s</w:t>
      </w:r>
      <w:r w:rsidRPr="007E6238">
        <w:rPr>
          <w:i/>
          <w:color w:val="000000" w:themeColor="text1"/>
          <w:sz w:val="28"/>
          <w:szCs w:val="28"/>
        </w:rPr>
        <w:t>ympathy is not a proper basis for a court to grant orders</w:t>
      </w:r>
      <w:r w:rsidR="007E6238">
        <w:rPr>
          <w:color w:val="000000" w:themeColor="text1"/>
          <w:sz w:val="28"/>
          <w:szCs w:val="28"/>
        </w:rPr>
        <w:t>”</w:t>
      </w:r>
      <w:r>
        <w:rPr>
          <w:rStyle w:val="FootnoteReference"/>
          <w:color w:val="000000" w:themeColor="text1"/>
          <w:sz w:val="28"/>
          <w:szCs w:val="28"/>
        </w:rPr>
        <w:footnoteReference w:id="12"/>
      </w:r>
      <w:r>
        <w:rPr>
          <w:color w:val="000000" w:themeColor="text1"/>
          <w:sz w:val="28"/>
          <w:szCs w:val="28"/>
        </w:rPr>
        <w:t xml:space="preserve">. </w:t>
      </w:r>
    </w:p>
    <w:p w:rsidR="00225FAE" w:rsidRPr="00225FAE" w:rsidRDefault="0083716B" w:rsidP="004F134C">
      <w:pPr>
        <w:pStyle w:val="MEMONUMBERED"/>
        <w:numPr>
          <w:ilvl w:val="0"/>
          <w:numId w:val="34"/>
        </w:numPr>
        <w:spacing w:after="360" w:line="360" w:lineRule="auto"/>
        <w:ind w:left="0" w:firstLine="0"/>
        <w:rPr>
          <w:b/>
          <w:color w:val="000000" w:themeColor="text1"/>
          <w:sz w:val="28"/>
          <w:szCs w:val="28"/>
        </w:rPr>
      </w:pPr>
      <w:r>
        <w:rPr>
          <w:color w:val="000000" w:themeColor="text1"/>
          <w:sz w:val="28"/>
          <w:szCs w:val="28"/>
        </w:rPr>
        <w:t xml:space="preserve">The failure by the RAF to elect either of the three options referred to above, not only constitutes a ground of review as </w:t>
      </w:r>
      <w:r w:rsidR="00B20D21">
        <w:rPr>
          <w:color w:val="000000" w:themeColor="text1"/>
          <w:sz w:val="28"/>
          <w:szCs w:val="28"/>
        </w:rPr>
        <w:t>contemplated in</w:t>
      </w:r>
      <w:r>
        <w:rPr>
          <w:color w:val="000000" w:themeColor="text1"/>
          <w:sz w:val="28"/>
          <w:szCs w:val="28"/>
        </w:rPr>
        <w:t xml:space="preserve"> Section 6(2)(g) of PAJA, but also a dispute between the plaintiff and the RAF as to whether the plaintiff is ent</w:t>
      </w:r>
      <w:r w:rsidR="00225FAE">
        <w:rPr>
          <w:color w:val="000000" w:themeColor="text1"/>
          <w:sz w:val="28"/>
          <w:szCs w:val="28"/>
        </w:rPr>
        <w:t xml:space="preserve">itled to claim general damages.  The existence of such a dispute is confirmed by the RAF’s pleas in the action.  As a second special plea, </w:t>
      </w:r>
      <w:r w:rsidR="007E6238">
        <w:rPr>
          <w:color w:val="000000" w:themeColor="text1"/>
          <w:sz w:val="28"/>
          <w:szCs w:val="28"/>
        </w:rPr>
        <w:t>the RAF not only pleaded that it</w:t>
      </w:r>
      <w:r w:rsidR="00225FAE">
        <w:rPr>
          <w:color w:val="000000" w:themeColor="text1"/>
          <w:sz w:val="28"/>
          <w:szCs w:val="28"/>
        </w:rPr>
        <w:t xml:space="preserve"> had not yet taken a decision but, as an alternative, pleaded (in para 9 of the pleading) that the RAF has rejected the plaintiff</w:t>
      </w:r>
      <w:r w:rsidR="007E6238">
        <w:rPr>
          <w:color w:val="000000" w:themeColor="text1"/>
          <w:sz w:val="28"/>
          <w:szCs w:val="28"/>
        </w:rPr>
        <w:t>’s Serious</w:t>
      </w:r>
      <w:r w:rsidR="00225FAE">
        <w:rPr>
          <w:color w:val="000000" w:themeColor="text1"/>
          <w:sz w:val="28"/>
          <w:szCs w:val="28"/>
        </w:rPr>
        <w:t xml:space="preserve"> Injury Report in te</w:t>
      </w:r>
      <w:r w:rsidR="007E6238">
        <w:rPr>
          <w:color w:val="000000" w:themeColor="text1"/>
          <w:sz w:val="28"/>
          <w:szCs w:val="28"/>
        </w:rPr>
        <w:t>rms of Regulation 3(3)(d)(</w:t>
      </w:r>
      <w:proofErr w:type="spellStart"/>
      <w:r w:rsidR="007E6238">
        <w:rPr>
          <w:color w:val="000000" w:themeColor="text1"/>
          <w:sz w:val="28"/>
          <w:szCs w:val="28"/>
        </w:rPr>
        <w:t>i</w:t>
      </w:r>
      <w:proofErr w:type="spellEnd"/>
      <w:r w:rsidR="007E6238">
        <w:rPr>
          <w:color w:val="000000" w:themeColor="text1"/>
          <w:sz w:val="28"/>
          <w:szCs w:val="28"/>
        </w:rPr>
        <w:t>).  B</w:t>
      </w:r>
      <w:r w:rsidR="00225FAE">
        <w:rPr>
          <w:color w:val="000000" w:themeColor="text1"/>
          <w:sz w:val="28"/>
          <w:szCs w:val="28"/>
        </w:rPr>
        <w:t>ased hereon, the liability to compensate the plaintiff for general damages is denied.  This denial is repeated in the main plea.</w:t>
      </w:r>
      <w:r w:rsidR="007E6238">
        <w:rPr>
          <w:color w:val="000000" w:themeColor="text1"/>
          <w:sz w:val="28"/>
          <w:szCs w:val="28"/>
        </w:rPr>
        <w:t xml:space="preserve">  Clearly, in this case the plaintiff disputes this rejection, thereby bringing itself within the ambit of </w:t>
      </w:r>
      <w:proofErr w:type="spellStart"/>
      <w:r w:rsidR="007E6238">
        <w:rPr>
          <w:color w:val="000000" w:themeColor="text1"/>
          <w:sz w:val="28"/>
          <w:szCs w:val="28"/>
        </w:rPr>
        <w:t>Reg</w:t>
      </w:r>
      <w:proofErr w:type="spellEnd"/>
      <w:r w:rsidR="007E6238">
        <w:rPr>
          <w:color w:val="000000" w:themeColor="text1"/>
          <w:sz w:val="28"/>
          <w:szCs w:val="28"/>
        </w:rPr>
        <w:t xml:space="preserve"> 3(4).</w:t>
      </w:r>
    </w:p>
    <w:p w:rsidR="0083716B" w:rsidRPr="00B20D21" w:rsidRDefault="0083716B" w:rsidP="004F134C">
      <w:pPr>
        <w:pStyle w:val="MEMONUMBERED"/>
        <w:numPr>
          <w:ilvl w:val="0"/>
          <w:numId w:val="34"/>
        </w:numPr>
        <w:spacing w:after="360" w:line="360" w:lineRule="auto"/>
        <w:ind w:left="0" w:firstLine="0"/>
        <w:rPr>
          <w:b/>
          <w:color w:val="000000" w:themeColor="text1"/>
          <w:sz w:val="28"/>
          <w:szCs w:val="28"/>
        </w:rPr>
      </w:pPr>
      <w:r>
        <w:rPr>
          <w:color w:val="000000" w:themeColor="text1"/>
          <w:sz w:val="28"/>
          <w:szCs w:val="28"/>
        </w:rPr>
        <w:t>The plaintiff is therefore</w:t>
      </w:r>
      <w:r w:rsidR="00225FAE">
        <w:rPr>
          <w:color w:val="000000" w:themeColor="text1"/>
          <w:sz w:val="28"/>
          <w:szCs w:val="28"/>
        </w:rPr>
        <w:t xml:space="preserve"> not only</w:t>
      </w:r>
      <w:r>
        <w:rPr>
          <w:color w:val="000000" w:themeColor="text1"/>
          <w:sz w:val="28"/>
          <w:szCs w:val="28"/>
        </w:rPr>
        <w:t xml:space="preserve"> entitled to refer such a dispute t</w:t>
      </w:r>
      <w:r w:rsidR="00B236F6">
        <w:rPr>
          <w:color w:val="000000" w:themeColor="text1"/>
          <w:sz w:val="28"/>
          <w:szCs w:val="28"/>
        </w:rPr>
        <w:t>o the HPCSA as contemplated in p</w:t>
      </w:r>
      <w:r>
        <w:rPr>
          <w:color w:val="000000" w:themeColor="text1"/>
          <w:sz w:val="28"/>
          <w:szCs w:val="28"/>
        </w:rPr>
        <w:t xml:space="preserve">ara </w:t>
      </w:r>
      <w:r w:rsidR="00CA58BB">
        <w:rPr>
          <w:color w:val="000000" w:themeColor="text1"/>
          <w:sz w:val="28"/>
          <w:szCs w:val="28"/>
        </w:rPr>
        <w:t>7</w:t>
      </w:r>
      <w:r>
        <w:rPr>
          <w:color w:val="000000" w:themeColor="text1"/>
          <w:sz w:val="28"/>
          <w:szCs w:val="28"/>
        </w:rPr>
        <w:t xml:space="preserve"> above, but more so, is obliged to exhaust this available internal remedy in terms of section 7(2) of </w:t>
      </w:r>
      <w:r w:rsidR="00B20D21">
        <w:rPr>
          <w:color w:val="000000" w:themeColor="text1"/>
          <w:sz w:val="28"/>
          <w:szCs w:val="28"/>
        </w:rPr>
        <w:t>PAJA before proceeding with its review application.</w:t>
      </w:r>
      <w:r w:rsidR="00225FAE">
        <w:rPr>
          <w:color w:val="000000" w:themeColor="text1"/>
          <w:sz w:val="28"/>
          <w:szCs w:val="28"/>
        </w:rPr>
        <w:t xml:space="preserve">  In view of the RAF’s plea, it can also hardly object to such a referral, for which it will be liable to pay the costs in terms of </w:t>
      </w:r>
      <w:proofErr w:type="spellStart"/>
      <w:r w:rsidR="00225FAE">
        <w:rPr>
          <w:color w:val="000000" w:themeColor="text1"/>
          <w:sz w:val="28"/>
          <w:szCs w:val="28"/>
        </w:rPr>
        <w:t>Reg</w:t>
      </w:r>
      <w:proofErr w:type="spellEnd"/>
      <w:r w:rsidR="00225FAE">
        <w:rPr>
          <w:color w:val="000000" w:themeColor="text1"/>
          <w:sz w:val="28"/>
          <w:szCs w:val="28"/>
        </w:rPr>
        <w:t xml:space="preserve"> 3(14).</w:t>
      </w:r>
    </w:p>
    <w:p w:rsidR="00B20D21" w:rsidRDefault="00B20D21" w:rsidP="004F134C">
      <w:pPr>
        <w:pStyle w:val="MEMONUMBERED"/>
        <w:numPr>
          <w:ilvl w:val="0"/>
          <w:numId w:val="34"/>
        </w:numPr>
        <w:spacing w:after="360" w:line="360" w:lineRule="auto"/>
        <w:ind w:left="0" w:firstLine="0"/>
        <w:rPr>
          <w:color w:val="000000" w:themeColor="text1"/>
          <w:sz w:val="28"/>
          <w:szCs w:val="28"/>
        </w:rPr>
      </w:pPr>
      <w:r w:rsidRPr="00B20D21">
        <w:rPr>
          <w:color w:val="000000" w:themeColor="text1"/>
          <w:sz w:val="28"/>
          <w:szCs w:val="28"/>
        </w:rPr>
        <w:t>It might also well be that the decision</w:t>
      </w:r>
      <w:r>
        <w:rPr>
          <w:color w:val="000000" w:themeColor="text1"/>
          <w:sz w:val="28"/>
          <w:szCs w:val="28"/>
        </w:rPr>
        <w:t xml:space="preserve"> by the appeal tribunal referred to in paragraph </w:t>
      </w:r>
      <w:r w:rsidR="00CA58BB">
        <w:rPr>
          <w:color w:val="000000" w:themeColor="text1"/>
          <w:sz w:val="28"/>
          <w:szCs w:val="28"/>
        </w:rPr>
        <w:t>7</w:t>
      </w:r>
      <w:r>
        <w:rPr>
          <w:color w:val="000000" w:themeColor="text1"/>
          <w:sz w:val="28"/>
          <w:szCs w:val="28"/>
        </w:rPr>
        <w:t xml:space="preserve"> above, puts an end to the question as to whether the plaintiff’s injuries are serious or not.  The further beneficial consequence </w:t>
      </w:r>
      <w:r w:rsidR="007E6238">
        <w:rPr>
          <w:color w:val="000000" w:themeColor="text1"/>
          <w:sz w:val="28"/>
          <w:szCs w:val="28"/>
        </w:rPr>
        <w:t>of such a referral</w:t>
      </w:r>
      <w:r>
        <w:rPr>
          <w:color w:val="000000" w:themeColor="text1"/>
          <w:sz w:val="28"/>
          <w:szCs w:val="28"/>
        </w:rPr>
        <w:t xml:space="preserve"> is that an assessment is </w:t>
      </w:r>
      <w:r w:rsidR="007E6238">
        <w:rPr>
          <w:color w:val="000000" w:themeColor="text1"/>
          <w:sz w:val="28"/>
          <w:szCs w:val="28"/>
        </w:rPr>
        <w:t>then perfo</w:t>
      </w:r>
      <w:r w:rsidR="001020F5">
        <w:rPr>
          <w:color w:val="000000" w:themeColor="text1"/>
          <w:sz w:val="28"/>
          <w:szCs w:val="28"/>
        </w:rPr>
        <w:t>r</w:t>
      </w:r>
      <w:r w:rsidR="007E6238">
        <w:rPr>
          <w:color w:val="000000" w:themeColor="text1"/>
          <w:sz w:val="28"/>
          <w:szCs w:val="28"/>
        </w:rPr>
        <w:t>med</w:t>
      </w:r>
      <w:r>
        <w:rPr>
          <w:color w:val="000000" w:themeColor="text1"/>
          <w:sz w:val="28"/>
          <w:szCs w:val="28"/>
        </w:rPr>
        <w:t xml:space="preserve"> by a panel of medical experts in terms of the Regulations.  This is further in accordance with </w:t>
      </w:r>
      <w:r w:rsidRPr="00CA58BB">
        <w:rPr>
          <w:i/>
          <w:color w:val="000000" w:themeColor="text1"/>
          <w:sz w:val="28"/>
          <w:szCs w:val="28"/>
        </w:rPr>
        <w:t>Duma</w:t>
      </w:r>
      <w:r>
        <w:rPr>
          <w:color w:val="000000" w:themeColor="text1"/>
          <w:sz w:val="28"/>
          <w:szCs w:val="28"/>
        </w:rPr>
        <w:t xml:space="preserve"> </w:t>
      </w:r>
      <w:r w:rsidR="001020F5">
        <w:rPr>
          <w:color w:val="000000" w:themeColor="text1"/>
          <w:sz w:val="28"/>
          <w:szCs w:val="28"/>
        </w:rPr>
        <w:t xml:space="preserve">which confirmed </w:t>
      </w:r>
      <w:r>
        <w:rPr>
          <w:color w:val="000000" w:themeColor="text1"/>
          <w:sz w:val="28"/>
          <w:szCs w:val="28"/>
        </w:rPr>
        <w:t>that the scheme of the legislation is that the assessment and determination of the seriousness of the injuries is not a question for determination by the court.</w:t>
      </w:r>
    </w:p>
    <w:p w:rsidR="00B20D21" w:rsidRPr="00B20D21" w:rsidRDefault="00B20D21" w:rsidP="00B20D21">
      <w:pPr>
        <w:pStyle w:val="MEMONUMBERED"/>
        <w:numPr>
          <w:ilvl w:val="0"/>
          <w:numId w:val="0"/>
        </w:numPr>
        <w:spacing w:after="120" w:line="360" w:lineRule="auto"/>
        <w:rPr>
          <w:b/>
          <w:color w:val="000000" w:themeColor="text1"/>
          <w:sz w:val="28"/>
          <w:szCs w:val="28"/>
        </w:rPr>
      </w:pPr>
      <w:r w:rsidRPr="00B20D21">
        <w:rPr>
          <w:b/>
          <w:color w:val="000000" w:themeColor="text1"/>
          <w:sz w:val="28"/>
          <w:szCs w:val="28"/>
        </w:rPr>
        <w:t>Costs</w:t>
      </w:r>
      <w:r>
        <w:rPr>
          <w:b/>
          <w:color w:val="000000" w:themeColor="text1"/>
          <w:sz w:val="28"/>
          <w:szCs w:val="28"/>
        </w:rPr>
        <w:t xml:space="preserve"> </w:t>
      </w:r>
    </w:p>
    <w:p w:rsidR="00B20D21" w:rsidRDefault="00B20D21" w:rsidP="00B20D21">
      <w:pPr>
        <w:pStyle w:val="MEMONUMBERED"/>
        <w:numPr>
          <w:ilvl w:val="0"/>
          <w:numId w:val="34"/>
        </w:numPr>
        <w:spacing w:after="360" w:line="360" w:lineRule="auto"/>
        <w:ind w:left="0" w:firstLine="0"/>
        <w:rPr>
          <w:color w:val="000000" w:themeColor="text1"/>
          <w:sz w:val="28"/>
          <w:szCs w:val="28"/>
        </w:rPr>
      </w:pPr>
      <w:r>
        <w:rPr>
          <w:color w:val="000000" w:themeColor="text1"/>
          <w:sz w:val="28"/>
          <w:szCs w:val="28"/>
        </w:rPr>
        <w:t>Much has been said in recent times about the appropriateness of awarding costs on a punitive scale against a delinquent, but absent organ of state.</w:t>
      </w:r>
      <w:r w:rsidR="00CA58BB">
        <w:rPr>
          <w:color w:val="000000" w:themeColor="text1"/>
          <w:sz w:val="28"/>
          <w:szCs w:val="28"/>
        </w:rPr>
        <w:t xml:space="preserve">  In Duma it was stated: </w:t>
      </w:r>
      <w:r w:rsidR="00CA58BB" w:rsidRPr="00225FAE">
        <w:rPr>
          <w:i/>
          <w:color w:val="000000" w:themeColor="text1"/>
          <w:sz w:val="28"/>
          <w:szCs w:val="28"/>
        </w:rPr>
        <w:t xml:space="preserve">“…unless the Fund was to </w:t>
      </w:r>
      <w:r w:rsidR="00225FAE" w:rsidRPr="00225FAE">
        <w:rPr>
          <w:i/>
          <w:color w:val="000000" w:themeColor="text1"/>
          <w:sz w:val="28"/>
          <w:szCs w:val="28"/>
        </w:rPr>
        <w:t>p</w:t>
      </w:r>
      <w:r w:rsidR="00CA58BB" w:rsidRPr="00225FAE">
        <w:rPr>
          <w:i/>
          <w:color w:val="000000" w:themeColor="text1"/>
          <w:sz w:val="28"/>
          <w:szCs w:val="28"/>
        </w:rPr>
        <w:t>resent a plausible explanation for its unreasonable delay there is no reason why it should not be mulcted in attorney and client costs or worse</w:t>
      </w:r>
      <w:r w:rsidR="00CA58BB">
        <w:rPr>
          <w:color w:val="000000" w:themeColor="text1"/>
          <w:sz w:val="28"/>
          <w:szCs w:val="28"/>
        </w:rPr>
        <w:t>”</w:t>
      </w:r>
      <w:r w:rsidR="00225FAE">
        <w:rPr>
          <w:rStyle w:val="FootnoteReference"/>
          <w:color w:val="000000" w:themeColor="text1"/>
          <w:sz w:val="28"/>
          <w:szCs w:val="28"/>
        </w:rPr>
        <w:footnoteReference w:id="13"/>
      </w:r>
      <w:r w:rsidR="00CA58BB">
        <w:rPr>
          <w:color w:val="000000" w:themeColor="text1"/>
          <w:sz w:val="28"/>
          <w:szCs w:val="28"/>
        </w:rPr>
        <w:t>.</w:t>
      </w:r>
      <w:r>
        <w:rPr>
          <w:color w:val="000000" w:themeColor="text1"/>
          <w:sz w:val="28"/>
          <w:szCs w:val="28"/>
        </w:rPr>
        <w:t xml:space="preserve">  In my view, the indemnity principle</w:t>
      </w:r>
      <w:r>
        <w:rPr>
          <w:rStyle w:val="FootnoteReference"/>
          <w:color w:val="000000" w:themeColor="text1"/>
          <w:sz w:val="28"/>
          <w:szCs w:val="28"/>
        </w:rPr>
        <w:footnoteReference w:id="14"/>
      </w:r>
      <w:r>
        <w:rPr>
          <w:color w:val="000000" w:themeColor="text1"/>
          <w:sz w:val="28"/>
          <w:szCs w:val="28"/>
        </w:rPr>
        <w:t xml:space="preserve">, namely that a successful litigant should be indemnified for litigation expenses incurred as a result of another party’s conduct, would justify such an order in circumstances such as the present.  Although a court has a wide discretion in respect of costs, in the present matter where the plaintiff has alerted the RAF in the Notice of Motion that costs would only be sought on a party and party scale, I find that it would unduly offend against the </w:t>
      </w:r>
      <w:proofErr w:type="spellStart"/>
      <w:r w:rsidRPr="00305410">
        <w:rPr>
          <w:i/>
          <w:color w:val="000000" w:themeColor="text1"/>
          <w:sz w:val="28"/>
          <w:szCs w:val="28"/>
        </w:rPr>
        <w:t>audi</w:t>
      </w:r>
      <w:proofErr w:type="spellEnd"/>
      <w:r w:rsidRPr="00305410">
        <w:rPr>
          <w:i/>
          <w:color w:val="000000" w:themeColor="text1"/>
          <w:sz w:val="28"/>
          <w:szCs w:val="28"/>
        </w:rPr>
        <w:t xml:space="preserve"> </w:t>
      </w:r>
      <w:proofErr w:type="spellStart"/>
      <w:r w:rsidRPr="00305410">
        <w:rPr>
          <w:i/>
          <w:color w:val="000000" w:themeColor="text1"/>
          <w:sz w:val="28"/>
          <w:szCs w:val="28"/>
        </w:rPr>
        <w:t>alter</w:t>
      </w:r>
      <w:r w:rsidR="005E4961">
        <w:rPr>
          <w:i/>
          <w:color w:val="000000" w:themeColor="text1"/>
          <w:sz w:val="28"/>
          <w:szCs w:val="28"/>
        </w:rPr>
        <w:t>e</w:t>
      </w:r>
      <w:r w:rsidRPr="00305410">
        <w:rPr>
          <w:i/>
          <w:color w:val="000000" w:themeColor="text1"/>
          <w:sz w:val="28"/>
          <w:szCs w:val="28"/>
        </w:rPr>
        <w:t>m</w:t>
      </w:r>
      <w:proofErr w:type="spellEnd"/>
      <w:r w:rsidRPr="00305410">
        <w:rPr>
          <w:i/>
          <w:color w:val="000000" w:themeColor="text1"/>
          <w:sz w:val="28"/>
          <w:szCs w:val="28"/>
        </w:rPr>
        <w:t xml:space="preserve"> </w:t>
      </w:r>
      <w:proofErr w:type="spellStart"/>
      <w:r w:rsidRPr="00305410">
        <w:rPr>
          <w:i/>
          <w:color w:val="000000" w:themeColor="text1"/>
          <w:sz w:val="28"/>
          <w:szCs w:val="28"/>
        </w:rPr>
        <w:t>partem</w:t>
      </w:r>
      <w:proofErr w:type="spellEnd"/>
      <w:r w:rsidR="00225FAE">
        <w:rPr>
          <w:color w:val="000000" w:themeColor="text1"/>
          <w:sz w:val="28"/>
          <w:szCs w:val="28"/>
        </w:rPr>
        <w:t>-rule if punitive costs are</w:t>
      </w:r>
      <w:r w:rsidRPr="00B20D21">
        <w:rPr>
          <w:color w:val="000000" w:themeColor="text1"/>
          <w:sz w:val="28"/>
          <w:szCs w:val="28"/>
        </w:rPr>
        <w:t xml:space="preserve"> awarded.</w:t>
      </w:r>
    </w:p>
    <w:p w:rsidR="00B20D21" w:rsidRPr="00305410" w:rsidRDefault="00B20D21" w:rsidP="00305410">
      <w:pPr>
        <w:pStyle w:val="MEMONUMBERED"/>
        <w:numPr>
          <w:ilvl w:val="0"/>
          <w:numId w:val="0"/>
        </w:numPr>
        <w:spacing w:after="120" w:line="360" w:lineRule="auto"/>
        <w:rPr>
          <w:b/>
          <w:color w:val="000000" w:themeColor="text1"/>
          <w:sz w:val="28"/>
          <w:szCs w:val="28"/>
        </w:rPr>
      </w:pPr>
      <w:r w:rsidRPr="00305410">
        <w:rPr>
          <w:b/>
          <w:color w:val="000000" w:themeColor="text1"/>
          <w:sz w:val="28"/>
          <w:szCs w:val="28"/>
        </w:rPr>
        <w:t xml:space="preserve">Timing </w:t>
      </w:r>
    </w:p>
    <w:p w:rsidR="00B20D21" w:rsidRPr="00B20D21" w:rsidRDefault="00CA58BB" w:rsidP="00B20D21">
      <w:pPr>
        <w:pStyle w:val="MEMONUMBERED"/>
        <w:numPr>
          <w:ilvl w:val="0"/>
          <w:numId w:val="34"/>
        </w:numPr>
        <w:spacing w:after="360" w:line="360" w:lineRule="auto"/>
        <w:ind w:left="0" w:firstLine="0"/>
        <w:rPr>
          <w:color w:val="000000" w:themeColor="text1"/>
          <w:sz w:val="28"/>
          <w:szCs w:val="28"/>
        </w:rPr>
      </w:pPr>
      <w:r>
        <w:rPr>
          <w:color w:val="000000" w:themeColor="text1"/>
          <w:sz w:val="28"/>
          <w:szCs w:val="28"/>
        </w:rPr>
        <w:t xml:space="preserve">The circumstances of this case compels me to add a concluding remark.  </w:t>
      </w:r>
      <w:r w:rsidR="00305410">
        <w:rPr>
          <w:color w:val="000000" w:themeColor="text1"/>
          <w:sz w:val="28"/>
          <w:szCs w:val="28"/>
        </w:rPr>
        <w:t>Although I have found that the referral to the HPCSA constitutes an internal remedy which has to be exhausted in terms of section 7(2) of PAJA and although the starting point for</w:t>
      </w:r>
      <w:r>
        <w:rPr>
          <w:color w:val="000000" w:themeColor="text1"/>
          <w:sz w:val="28"/>
          <w:szCs w:val="28"/>
        </w:rPr>
        <w:t xml:space="preserve"> the running of time within which to satisfy</w:t>
      </w:r>
      <w:r w:rsidR="00305410">
        <w:rPr>
          <w:color w:val="000000" w:themeColor="text1"/>
          <w:sz w:val="28"/>
          <w:szCs w:val="28"/>
        </w:rPr>
        <w:t xml:space="preserve"> the requirement in section 7(1)(a) of PAJA to launch review proceedings within a reasonable time, commences once the internal remedy proceedings have been concluded, plaintiffs are reminded </w:t>
      </w:r>
      <w:bookmarkStart w:id="4" w:name="_GoBack"/>
      <w:bookmarkEnd w:id="4"/>
      <w:r w:rsidR="00305410">
        <w:rPr>
          <w:color w:val="000000" w:themeColor="text1"/>
          <w:sz w:val="28"/>
          <w:szCs w:val="28"/>
        </w:rPr>
        <w:t>of this fact.</w:t>
      </w:r>
      <w:r>
        <w:rPr>
          <w:color w:val="000000" w:themeColor="text1"/>
          <w:sz w:val="28"/>
          <w:szCs w:val="28"/>
        </w:rPr>
        <w:t xml:space="preserve">  </w:t>
      </w:r>
      <w:r w:rsidR="001020F5">
        <w:rPr>
          <w:color w:val="000000" w:themeColor="text1"/>
          <w:sz w:val="28"/>
          <w:szCs w:val="28"/>
        </w:rPr>
        <w:t>It is further important to note that</w:t>
      </w:r>
      <w:r>
        <w:rPr>
          <w:color w:val="000000" w:themeColor="text1"/>
          <w:sz w:val="28"/>
          <w:szCs w:val="28"/>
        </w:rPr>
        <w:t xml:space="preserve"> the right to claim a mandamus against the RAF arises once the </w:t>
      </w:r>
      <w:proofErr w:type="gramStart"/>
      <w:r>
        <w:rPr>
          <w:color w:val="000000" w:themeColor="text1"/>
          <w:sz w:val="28"/>
          <w:szCs w:val="28"/>
        </w:rPr>
        <w:t>90 day</w:t>
      </w:r>
      <w:proofErr w:type="gramEnd"/>
      <w:r>
        <w:rPr>
          <w:color w:val="000000" w:themeColor="text1"/>
          <w:sz w:val="28"/>
          <w:szCs w:val="28"/>
        </w:rPr>
        <w:t xml:space="preserve"> period prescribed in </w:t>
      </w:r>
      <w:proofErr w:type="spellStart"/>
      <w:r>
        <w:rPr>
          <w:color w:val="000000" w:themeColor="text1"/>
          <w:sz w:val="28"/>
          <w:szCs w:val="28"/>
        </w:rPr>
        <w:t>Reg</w:t>
      </w:r>
      <w:proofErr w:type="spellEnd"/>
      <w:r>
        <w:rPr>
          <w:color w:val="000000" w:themeColor="text1"/>
          <w:sz w:val="28"/>
          <w:szCs w:val="28"/>
        </w:rPr>
        <w:t xml:space="preserve"> 3(3) (</w:t>
      </w:r>
      <w:proofErr w:type="spellStart"/>
      <w:r w:rsidR="00DE12C3">
        <w:rPr>
          <w:color w:val="000000" w:themeColor="text1"/>
          <w:sz w:val="28"/>
          <w:szCs w:val="28"/>
        </w:rPr>
        <w:t>dA</w:t>
      </w:r>
      <w:proofErr w:type="spellEnd"/>
      <w:r w:rsidR="00DE12C3">
        <w:rPr>
          <w:color w:val="000000" w:themeColor="text1"/>
          <w:sz w:val="28"/>
          <w:szCs w:val="28"/>
        </w:rPr>
        <w:t>)</w:t>
      </w:r>
      <w:r>
        <w:rPr>
          <w:color w:val="000000" w:themeColor="text1"/>
          <w:sz w:val="28"/>
          <w:szCs w:val="28"/>
        </w:rPr>
        <w:t xml:space="preserve"> has ex</w:t>
      </w:r>
      <w:r w:rsidR="001020F5">
        <w:rPr>
          <w:color w:val="000000" w:themeColor="text1"/>
          <w:sz w:val="28"/>
          <w:szCs w:val="28"/>
        </w:rPr>
        <w:t>pired and there is no reason for</w:t>
      </w:r>
      <w:r>
        <w:rPr>
          <w:color w:val="000000" w:themeColor="text1"/>
          <w:sz w:val="28"/>
          <w:szCs w:val="28"/>
        </w:rPr>
        <w:t xml:space="preserve"> plaintiffs</w:t>
      </w:r>
      <w:r w:rsidR="001020F5">
        <w:rPr>
          <w:color w:val="000000" w:themeColor="text1"/>
          <w:sz w:val="28"/>
          <w:szCs w:val="28"/>
        </w:rPr>
        <w:t xml:space="preserve"> to</w:t>
      </w:r>
      <w:r>
        <w:rPr>
          <w:color w:val="000000" w:themeColor="text1"/>
          <w:sz w:val="28"/>
          <w:szCs w:val="28"/>
        </w:rPr>
        <w:t xml:space="preserve"> wait until close to a trial date in order to exhaust their remedies.  Th</w:t>
      </w:r>
      <w:r w:rsidR="001020F5">
        <w:rPr>
          <w:color w:val="000000" w:themeColor="text1"/>
          <w:sz w:val="28"/>
          <w:szCs w:val="28"/>
        </w:rPr>
        <w:t xml:space="preserve">e failure to do so expeditiously </w:t>
      </w:r>
      <w:r w:rsidR="00225FAE">
        <w:rPr>
          <w:color w:val="000000" w:themeColor="text1"/>
          <w:sz w:val="28"/>
          <w:szCs w:val="28"/>
        </w:rPr>
        <w:t>o</w:t>
      </w:r>
      <w:r w:rsidR="00DC32C7">
        <w:rPr>
          <w:color w:val="000000" w:themeColor="text1"/>
          <w:sz w:val="28"/>
          <w:szCs w:val="28"/>
        </w:rPr>
        <w:t>ften</w:t>
      </w:r>
      <w:r>
        <w:rPr>
          <w:color w:val="000000" w:themeColor="text1"/>
          <w:sz w:val="28"/>
          <w:szCs w:val="28"/>
        </w:rPr>
        <w:t xml:space="preserve"> results in claims for general damages</w:t>
      </w:r>
      <w:r w:rsidR="00DE12C3">
        <w:rPr>
          <w:color w:val="000000" w:themeColor="text1"/>
          <w:sz w:val="28"/>
          <w:szCs w:val="28"/>
        </w:rPr>
        <w:t xml:space="preserve"> being postponed.  In </w:t>
      </w:r>
      <w:r w:rsidR="001020F5">
        <w:rPr>
          <w:color w:val="000000" w:themeColor="text1"/>
          <w:sz w:val="28"/>
          <w:szCs w:val="28"/>
        </w:rPr>
        <w:t xml:space="preserve">allowing literally </w:t>
      </w:r>
      <w:r w:rsidR="00DE12C3">
        <w:rPr>
          <w:color w:val="000000" w:themeColor="text1"/>
          <w:sz w:val="28"/>
          <w:szCs w:val="28"/>
        </w:rPr>
        <w:t>years</w:t>
      </w:r>
      <w:r w:rsidR="001020F5">
        <w:rPr>
          <w:color w:val="000000" w:themeColor="text1"/>
          <w:sz w:val="28"/>
          <w:szCs w:val="28"/>
        </w:rPr>
        <w:t xml:space="preserve"> to slip</w:t>
      </w:r>
      <w:r w:rsidR="00DE12C3">
        <w:rPr>
          <w:color w:val="000000" w:themeColor="text1"/>
          <w:sz w:val="28"/>
          <w:szCs w:val="28"/>
        </w:rPr>
        <w:t xml:space="preserve"> by</w:t>
      </w:r>
      <w:r w:rsidR="001020F5">
        <w:rPr>
          <w:color w:val="000000" w:themeColor="text1"/>
          <w:sz w:val="28"/>
          <w:szCs w:val="28"/>
        </w:rPr>
        <w:t>,</w:t>
      </w:r>
      <w:r w:rsidR="00DE12C3">
        <w:rPr>
          <w:color w:val="000000" w:themeColor="text1"/>
          <w:sz w:val="28"/>
          <w:szCs w:val="28"/>
        </w:rPr>
        <w:t xml:space="preserve"> practitioners acting for plaintiffs often fail their clients in this regard and it is a practice which should stop.</w:t>
      </w:r>
    </w:p>
    <w:p w:rsidR="004A4374" w:rsidRDefault="00FB626F" w:rsidP="006C068A">
      <w:pPr>
        <w:pStyle w:val="MEMONUMBERED"/>
        <w:numPr>
          <w:ilvl w:val="0"/>
          <w:numId w:val="0"/>
        </w:numPr>
        <w:spacing w:after="120" w:line="360" w:lineRule="auto"/>
        <w:ind w:left="720" w:hanging="720"/>
        <w:rPr>
          <w:color w:val="000000" w:themeColor="text1"/>
          <w:sz w:val="28"/>
          <w:szCs w:val="28"/>
        </w:rPr>
      </w:pPr>
      <w:r>
        <w:rPr>
          <w:b/>
          <w:color w:val="000000" w:themeColor="text1"/>
          <w:sz w:val="28"/>
          <w:szCs w:val="28"/>
        </w:rPr>
        <w:t>The o</w:t>
      </w:r>
      <w:r w:rsidR="004A4374" w:rsidRPr="004A4374">
        <w:rPr>
          <w:b/>
          <w:color w:val="000000" w:themeColor="text1"/>
          <w:sz w:val="28"/>
          <w:szCs w:val="28"/>
        </w:rPr>
        <w:t>rder</w:t>
      </w:r>
    </w:p>
    <w:p w:rsidR="004A4374" w:rsidRDefault="00AA491F" w:rsidP="00FB626F">
      <w:pPr>
        <w:pStyle w:val="MEMONUMBERED"/>
        <w:numPr>
          <w:ilvl w:val="0"/>
          <w:numId w:val="34"/>
        </w:numPr>
        <w:spacing w:after="360" w:line="360" w:lineRule="auto"/>
        <w:ind w:left="0" w:firstLine="0"/>
        <w:rPr>
          <w:sz w:val="28"/>
          <w:szCs w:val="28"/>
        </w:rPr>
      </w:pPr>
      <w:r>
        <w:rPr>
          <w:color w:val="000000" w:themeColor="text1"/>
          <w:sz w:val="28"/>
          <w:szCs w:val="28"/>
        </w:rPr>
        <w:t>In the premises the following order is made:</w:t>
      </w:r>
    </w:p>
    <w:p w:rsidR="00A176DC" w:rsidRPr="00A176DC" w:rsidRDefault="00A176DC" w:rsidP="00AA491F">
      <w:pPr>
        <w:pStyle w:val="MEMONUMBERED"/>
        <w:numPr>
          <w:ilvl w:val="0"/>
          <w:numId w:val="0"/>
        </w:numPr>
        <w:spacing w:after="360" w:line="360" w:lineRule="auto"/>
        <w:ind w:left="1440" w:hanging="720"/>
        <w:rPr>
          <w:sz w:val="28"/>
          <w:szCs w:val="28"/>
        </w:rPr>
      </w:pPr>
      <w:r w:rsidRPr="00A176DC">
        <w:rPr>
          <w:sz w:val="28"/>
          <w:szCs w:val="28"/>
        </w:rPr>
        <w:t>1.</w:t>
      </w:r>
      <w:r w:rsidRPr="00A176DC">
        <w:rPr>
          <w:sz w:val="28"/>
          <w:szCs w:val="28"/>
        </w:rPr>
        <w:tab/>
        <w:t>The resp</w:t>
      </w:r>
      <w:r w:rsidR="001020F5">
        <w:rPr>
          <w:sz w:val="28"/>
          <w:szCs w:val="28"/>
        </w:rPr>
        <w:t>ondent is directed to, within 3</w:t>
      </w:r>
      <w:r w:rsidRPr="00A176DC">
        <w:rPr>
          <w:sz w:val="28"/>
          <w:szCs w:val="28"/>
        </w:rPr>
        <w:t xml:space="preserve"> (</w:t>
      </w:r>
      <w:r w:rsidR="001020F5">
        <w:rPr>
          <w:sz w:val="28"/>
          <w:szCs w:val="28"/>
        </w:rPr>
        <w:t>three</w:t>
      </w:r>
      <w:r w:rsidRPr="00A176DC">
        <w:rPr>
          <w:sz w:val="28"/>
          <w:szCs w:val="28"/>
        </w:rPr>
        <w:t xml:space="preserve">) days from date of service of this order, make a decision and transmit same to the applicant’s attorney of record in writing, in respect of whether or not the applicant’s injuries are assessed as serious or not in terms of </w:t>
      </w:r>
      <w:r w:rsidR="00DE12C3">
        <w:rPr>
          <w:sz w:val="28"/>
          <w:szCs w:val="28"/>
        </w:rPr>
        <w:t>Regulations 3(3)(c) and</w:t>
      </w:r>
      <w:r w:rsidRPr="00A176DC">
        <w:rPr>
          <w:sz w:val="28"/>
          <w:szCs w:val="28"/>
        </w:rPr>
        <w:t xml:space="preserve"> 3(3)(d) of the Road Accident Fund Act No 56 of 1996.  In so doing the respondent must:</w:t>
      </w:r>
    </w:p>
    <w:p w:rsidR="00A176DC" w:rsidRPr="00A176DC" w:rsidRDefault="00A176DC" w:rsidP="00AA491F">
      <w:pPr>
        <w:pStyle w:val="MEMONUMBERED"/>
        <w:numPr>
          <w:ilvl w:val="0"/>
          <w:numId w:val="0"/>
        </w:numPr>
        <w:spacing w:after="360" w:line="360" w:lineRule="auto"/>
        <w:ind w:left="2160" w:hanging="720"/>
        <w:rPr>
          <w:sz w:val="28"/>
          <w:szCs w:val="28"/>
        </w:rPr>
      </w:pPr>
      <w:r w:rsidRPr="00A176DC">
        <w:rPr>
          <w:sz w:val="28"/>
          <w:szCs w:val="28"/>
        </w:rPr>
        <w:t>1.1</w:t>
      </w:r>
      <w:r w:rsidRPr="00A176DC">
        <w:rPr>
          <w:sz w:val="28"/>
          <w:szCs w:val="28"/>
        </w:rPr>
        <w:tab/>
        <w:t>Determine whether it is satisfied that the applicant’s injuries which he sustained in the motor vehicle collision that occurred on 13 October 2019 have been assessed as serious in terms of the method provided for in the Road Accident Fund Regulations and accordingly accepts that the applicant qualifies to claim non-pecuniary loss;</w:t>
      </w:r>
    </w:p>
    <w:p w:rsidR="00A176DC" w:rsidRPr="00A176DC" w:rsidRDefault="00A176DC" w:rsidP="00AA491F">
      <w:pPr>
        <w:pStyle w:val="MEMONUMBERED"/>
        <w:numPr>
          <w:ilvl w:val="0"/>
          <w:numId w:val="0"/>
        </w:numPr>
        <w:spacing w:after="360" w:line="360" w:lineRule="auto"/>
        <w:ind w:left="2160" w:hanging="720"/>
        <w:rPr>
          <w:sz w:val="28"/>
          <w:szCs w:val="28"/>
        </w:rPr>
      </w:pPr>
      <w:r w:rsidRPr="00A176DC">
        <w:rPr>
          <w:sz w:val="28"/>
          <w:szCs w:val="28"/>
        </w:rPr>
        <w:t>1.2</w:t>
      </w:r>
      <w:r w:rsidRPr="00A176DC">
        <w:rPr>
          <w:sz w:val="28"/>
          <w:szCs w:val="28"/>
        </w:rPr>
        <w:tab/>
        <w:t>Alternatively to 1.1 above, reject the applicant’s Serious Injury Assessment Report (the RAF 4 form) and in so doing, shall simultaneously furnish the applicant’s attorney of record with written reasons for the rejection;</w:t>
      </w:r>
    </w:p>
    <w:p w:rsidR="00A176DC" w:rsidRPr="00A176DC" w:rsidRDefault="00A176DC" w:rsidP="00AA491F">
      <w:pPr>
        <w:pStyle w:val="MEMONUMBERED"/>
        <w:numPr>
          <w:ilvl w:val="0"/>
          <w:numId w:val="0"/>
        </w:numPr>
        <w:spacing w:after="360" w:line="360" w:lineRule="auto"/>
        <w:ind w:left="2160" w:hanging="720"/>
        <w:rPr>
          <w:sz w:val="28"/>
          <w:szCs w:val="28"/>
        </w:rPr>
      </w:pPr>
      <w:r w:rsidRPr="00A176DC">
        <w:rPr>
          <w:sz w:val="28"/>
          <w:szCs w:val="28"/>
        </w:rPr>
        <w:t>1.3</w:t>
      </w:r>
      <w:r w:rsidRPr="00A176DC">
        <w:rPr>
          <w:sz w:val="28"/>
          <w:szCs w:val="28"/>
        </w:rPr>
        <w:tab/>
        <w:t>Alternatively to 1.1 and 1.2 above, direct the applicant to submit himself for a further assessment at the respondent’s costs with a medical practitioner appointed by the respondent to determine whether the applicant’s injuries are serious or not.</w:t>
      </w:r>
    </w:p>
    <w:p w:rsidR="001256BE" w:rsidRDefault="00A176DC" w:rsidP="00AA491F">
      <w:pPr>
        <w:pStyle w:val="MEMONUMBERED"/>
        <w:numPr>
          <w:ilvl w:val="0"/>
          <w:numId w:val="0"/>
        </w:numPr>
        <w:spacing w:after="360" w:line="360" w:lineRule="auto"/>
        <w:ind w:left="1418" w:hanging="709"/>
        <w:rPr>
          <w:sz w:val="28"/>
          <w:szCs w:val="28"/>
        </w:rPr>
      </w:pPr>
      <w:r w:rsidRPr="00A176DC">
        <w:rPr>
          <w:sz w:val="28"/>
          <w:szCs w:val="28"/>
        </w:rPr>
        <w:t>2.</w:t>
      </w:r>
      <w:r w:rsidRPr="00A176DC">
        <w:rPr>
          <w:sz w:val="28"/>
          <w:szCs w:val="28"/>
        </w:rPr>
        <w:tab/>
        <w:t>The respondent is ordered to pay the costs of the application.</w:t>
      </w:r>
    </w:p>
    <w:p w:rsidR="00AA491F" w:rsidRDefault="00AA491F" w:rsidP="00AA491F">
      <w:pPr>
        <w:pStyle w:val="MEMONUMBERED"/>
        <w:numPr>
          <w:ilvl w:val="0"/>
          <w:numId w:val="0"/>
        </w:numPr>
        <w:spacing w:after="360" w:line="360" w:lineRule="auto"/>
        <w:ind w:left="1418" w:hanging="709"/>
        <w:rPr>
          <w:sz w:val="28"/>
          <w:szCs w:val="28"/>
        </w:rPr>
      </w:pPr>
    </w:p>
    <w:p w:rsidR="00AA491F" w:rsidRPr="00310383" w:rsidRDefault="00AA491F" w:rsidP="00AA491F">
      <w:pPr>
        <w:pStyle w:val="MEMONUMBERED"/>
        <w:numPr>
          <w:ilvl w:val="0"/>
          <w:numId w:val="0"/>
        </w:numPr>
        <w:spacing w:after="360" w:line="360" w:lineRule="auto"/>
        <w:ind w:left="1418" w:hanging="709"/>
        <w:rPr>
          <w:sz w:val="28"/>
          <w:szCs w:val="28"/>
        </w:rPr>
      </w:pPr>
    </w:p>
    <w:p w:rsidR="007103CD" w:rsidRPr="007332AE" w:rsidRDefault="007103CD" w:rsidP="007103CD">
      <w:pPr>
        <w:pStyle w:val="MEMONUMBERED"/>
        <w:numPr>
          <w:ilvl w:val="0"/>
          <w:numId w:val="0"/>
        </w:numPr>
        <w:spacing w:line="240" w:lineRule="auto"/>
        <w:jc w:val="right"/>
        <w:rPr>
          <w:sz w:val="28"/>
          <w:szCs w:val="28"/>
        </w:rPr>
      </w:pPr>
      <w:r>
        <w:t xml:space="preserve">                                                                                              </w:t>
      </w:r>
      <w:r w:rsidRPr="007332AE">
        <w:rPr>
          <w:sz w:val="28"/>
          <w:szCs w:val="28"/>
        </w:rPr>
        <w:t>____________________</w:t>
      </w:r>
      <w:r w:rsidR="00F33886">
        <w:rPr>
          <w:sz w:val="28"/>
          <w:szCs w:val="28"/>
        </w:rPr>
        <w:t>__</w:t>
      </w:r>
    </w:p>
    <w:p w:rsidR="007103CD" w:rsidRPr="007D5375" w:rsidRDefault="007103CD" w:rsidP="007103CD">
      <w:pPr>
        <w:pStyle w:val="MEMONUMBERED"/>
        <w:numPr>
          <w:ilvl w:val="0"/>
          <w:numId w:val="0"/>
        </w:numPr>
        <w:spacing w:line="240" w:lineRule="auto"/>
        <w:rPr>
          <w:b/>
          <w:sz w:val="28"/>
          <w:szCs w:val="28"/>
        </w:rPr>
      </w:pPr>
      <w:r w:rsidRPr="007332AE">
        <w:rPr>
          <w:sz w:val="28"/>
          <w:szCs w:val="28"/>
        </w:rPr>
        <w:t xml:space="preserve">                                                          </w:t>
      </w:r>
      <w:r>
        <w:rPr>
          <w:sz w:val="28"/>
          <w:szCs w:val="28"/>
        </w:rPr>
        <w:t xml:space="preserve">                                </w:t>
      </w:r>
      <w:r w:rsidR="00D40DCF">
        <w:rPr>
          <w:sz w:val="28"/>
          <w:szCs w:val="28"/>
        </w:rPr>
        <w:t xml:space="preserve">    </w:t>
      </w:r>
      <w:r w:rsidR="00F33886">
        <w:rPr>
          <w:sz w:val="28"/>
          <w:szCs w:val="28"/>
        </w:rPr>
        <w:t xml:space="preserve">   </w:t>
      </w:r>
      <w:r w:rsidRPr="007D5375">
        <w:rPr>
          <w:b/>
          <w:sz w:val="28"/>
          <w:szCs w:val="28"/>
        </w:rPr>
        <w:t>N DAVIS</w:t>
      </w:r>
    </w:p>
    <w:p w:rsidR="007103CD" w:rsidRDefault="007103CD" w:rsidP="007103CD">
      <w:pPr>
        <w:pStyle w:val="MEMONUMBERED"/>
        <w:numPr>
          <w:ilvl w:val="0"/>
          <w:numId w:val="0"/>
        </w:numPr>
        <w:spacing w:line="240" w:lineRule="auto"/>
        <w:jc w:val="center"/>
        <w:rPr>
          <w:sz w:val="28"/>
          <w:szCs w:val="28"/>
        </w:rPr>
      </w:pPr>
      <w:r w:rsidRPr="007332AE">
        <w:rPr>
          <w:sz w:val="28"/>
          <w:szCs w:val="28"/>
        </w:rPr>
        <w:t xml:space="preserve">                                                                            </w:t>
      </w:r>
      <w:r>
        <w:rPr>
          <w:sz w:val="28"/>
          <w:szCs w:val="28"/>
        </w:rPr>
        <w:t xml:space="preserve"> </w:t>
      </w:r>
      <w:r w:rsidR="00D40DCF">
        <w:rPr>
          <w:sz w:val="28"/>
          <w:szCs w:val="28"/>
        </w:rPr>
        <w:t xml:space="preserve">      </w:t>
      </w:r>
      <w:r w:rsidRPr="007332AE">
        <w:rPr>
          <w:sz w:val="28"/>
          <w:szCs w:val="28"/>
        </w:rPr>
        <w:t>Judge of the High Court</w:t>
      </w:r>
    </w:p>
    <w:p w:rsidR="000D6B2B" w:rsidRDefault="007103CD" w:rsidP="000D6B2B">
      <w:pPr>
        <w:pStyle w:val="MEMONUMBERED"/>
        <w:numPr>
          <w:ilvl w:val="0"/>
          <w:numId w:val="0"/>
        </w:numPr>
        <w:spacing w:line="240" w:lineRule="auto"/>
        <w:jc w:val="cente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Gauteng Division, </w:t>
      </w:r>
      <w:r w:rsidR="007D5375">
        <w:rPr>
          <w:sz w:val="28"/>
          <w:szCs w:val="28"/>
        </w:rPr>
        <w:t>Pretoria</w:t>
      </w:r>
    </w:p>
    <w:p w:rsidR="00EF7B5E" w:rsidRDefault="00EF7B5E" w:rsidP="003C026D">
      <w:pPr>
        <w:pStyle w:val="MEMONUMBERED"/>
        <w:numPr>
          <w:ilvl w:val="0"/>
          <w:numId w:val="0"/>
        </w:numPr>
        <w:spacing w:line="240" w:lineRule="auto"/>
        <w:jc w:val="right"/>
        <w:rPr>
          <w:sz w:val="28"/>
          <w:szCs w:val="28"/>
        </w:rPr>
      </w:pPr>
    </w:p>
    <w:p w:rsidR="007D5375" w:rsidRDefault="007D5375" w:rsidP="007D5375">
      <w:pPr>
        <w:pStyle w:val="MEMONUMBERED"/>
        <w:numPr>
          <w:ilvl w:val="0"/>
          <w:numId w:val="0"/>
        </w:numPr>
        <w:spacing w:line="240" w:lineRule="auto"/>
        <w:rPr>
          <w:sz w:val="28"/>
          <w:szCs w:val="28"/>
        </w:rPr>
      </w:pPr>
    </w:p>
    <w:p w:rsidR="007D5375" w:rsidRDefault="007D5375" w:rsidP="007D5375">
      <w:pPr>
        <w:pStyle w:val="MEMONUMBERED"/>
        <w:numPr>
          <w:ilvl w:val="0"/>
          <w:numId w:val="0"/>
        </w:numPr>
        <w:spacing w:line="240" w:lineRule="auto"/>
        <w:rPr>
          <w:sz w:val="28"/>
          <w:szCs w:val="28"/>
        </w:rPr>
      </w:pPr>
    </w:p>
    <w:p w:rsidR="007103CD" w:rsidRDefault="007103CD" w:rsidP="007103CD">
      <w:pPr>
        <w:pStyle w:val="MEMONUMBERED"/>
        <w:numPr>
          <w:ilvl w:val="0"/>
          <w:numId w:val="0"/>
        </w:numPr>
        <w:rPr>
          <w:sz w:val="28"/>
          <w:szCs w:val="28"/>
        </w:rPr>
      </w:pPr>
      <w:r>
        <w:rPr>
          <w:sz w:val="28"/>
          <w:szCs w:val="28"/>
        </w:rPr>
        <w:t>Date of Hearing:</w:t>
      </w:r>
      <w:r w:rsidR="007D5375">
        <w:rPr>
          <w:sz w:val="28"/>
          <w:szCs w:val="28"/>
        </w:rPr>
        <w:t xml:space="preserve"> </w:t>
      </w:r>
      <w:r w:rsidR="00C303FF">
        <w:rPr>
          <w:sz w:val="28"/>
          <w:szCs w:val="28"/>
        </w:rPr>
        <w:t>12 January 2023</w:t>
      </w:r>
      <w:r w:rsidR="00D553BE">
        <w:rPr>
          <w:sz w:val="28"/>
          <w:szCs w:val="28"/>
        </w:rPr>
        <w:tab/>
      </w:r>
    </w:p>
    <w:p w:rsidR="007103CD" w:rsidRDefault="007103CD" w:rsidP="007103CD">
      <w:pPr>
        <w:pStyle w:val="MEMONUMBERED"/>
        <w:numPr>
          <w:ilvl w:val="0"/>
          <w:numId w:val="0"/>
        </w:numPr>
        <w:rPr>
          <w:sz w:val="28"/>
          <w:szCs w:val="28"/>
        </w:rPr>
      </w:pPr>
      <w:r>
        <w:rPr>
          <w:sz w:val="28"/>
          <w:szCs w:val="28"/>
        </w:rPr>
        <w:t>Judgment delivered</w:t>
      </w:r>
      <w:r w:rsidR="001020F5">
        <w:rPr>
          <w:sz w:val="28"/>
          <w:szCs w:val="28"/>
        </w:rPr>
        <w:t>: 19</w:t>
      </w:r>
      <w:r w:rsidR="00C303FF">
        <w:rPr>
          <w:sz w:val="28"/>
          <w:szCs w:val="28"/>
        </w:rPr>
        <w:t xml:space="preserve"> January 2023</w:t>
      </w:r>
      <w:r w:rsidR="000A6F67">
        <w:rPr>
          <w:sz w:val="28"/>
          <w:szCs w:val="28"/>
        </w:rPr>
        <w:t xml:space="preserve">  </w:t>
      </w:r>
    </w:p>
    <w:p w:rsidR="00310383" w:rsidRDefault="00310383" w:rsidP="00BD05D0">
      <w:pPr>
        <w:pStyle w:val="MEMONUMBERED"/>
        <w:numPr>
          <w:ilvl w:val="0"/>
          <w:numId w:val="0"/>
        </w:numPr>
        <w:rPr>
          <w:sz w:val="28"/>
          <w:szCs w:val="28"/>
        </w:rPr>
      </w:pPr>
    </w:p>
    <w:p w:rsidR="00917AA6" w:rsidRDefault="00BD05D0" w:rsidP="00141739">
      <w:pPr>
        <w:pStyle w:val="MEMONUMBERED"/>
        <w:numPr>
          <w:ilvl w:val="0"/>
          <w:numId w:val="0"/>
        </w:numPr>
        <w:rPr>
          <w:sz w:val="28"/>
          <w:szCs w:val="28"/>
        </w:rPr>
      </w:pPr>
      <w:r w:rsidRPr="003E4489">
        <w:rPr>
          <w:sz w:val="28"/>
          <w:szCs w:val="28"/>
        </w:rPr>
        <w:t>APPEARANCES:</w:t>
      </w:r>
    </w:p>
    <w:p w:rsidR="00BD05D0" w:rsidRDefault="005862DB" w:rsidP="00BD05D0">
      <w:pPr>
        <w:spacing w:after="0"/>
        <w:rPr>
          <w:rFonts w:ascii="Times New Roman" w:hAnsi="Times New Roman" w:cs="Times New Roman"/>
          <w:sz w:val="28"/>
          <w:szCs w:val="28"/>
        </w:rPr>
      </w:pPr>
      <w:r>
        <w:rPr>
          <w:rFonts w:ascii="Times New Roman" w:hAnsi="Times New Roman" w:cs="Times New Roman"/>
          <w:sz w:val="28"/>
          <w:szCs w:val="28"/>
        </w:rPr>
        <w:t>For the Applicant</w:t>
      </w:r>
      <w:r w:rsidR="00141739">
        <w:rPr>
          <w:rFonts w:ascii="Times New Roman" w:hAnsi="Times New Roman" w:cs="Times New Roman"/>
          <w:sz w:val="28"/>
          <w:szCs w:val="28"/>
        </w:rPr>
        <w:t>:</w:t>
      </w:r>
      <w:r w:rsidR="00141739">
        <w:rPr>
          <w:rFonts w:ascii="Times New Roman" w:hAnsi="Times New Roman" w:cs="Times New Roman"/>
          <w:sz w:val="28"/>
          <w:szCs w:val="28"/>
        </w:rPr>
        <w:tab/>
      </w:r>
      <w:r w:rsidR="00C303FF">
        <w:rPr>
          <w:rFonts w:ascii="Times New Roman" w:hAnsi="Times New Roman" w:cs="Times New Roman"/>
          <w:sz w:val="28"/>
          <w:szCs w:val="28"/>
        </w:rPr>
        <w:tab/>
      </w:r>
      <w:r w:rsidR="00141739">
        <w:rPr>
          <w:rFonts w:ascii="Times New Roman" w:hAnsi="Times New Roman" w:cs="Times New Roman"/>
          <w:sz w:val="28"/>
          <w:szCs w:val="28"/>
        </w:rPr>
        <w:tab/>
      </w:r>
      <w:r w:rsidR="00141739">
        <w:rPr>
          <w:rFonts w:ascii="Times New Roman" w:hAnsi="Times New Roman" w:cs="Times New Roman"/>
          <w:sz w:val="28"/>
          <w:szCs w:val="28"/>
        </w:rPr>
        <w:tab/>
      </w:r>
      <w:r w:rsidR="00C303FF">
        <w:rPr>
          <w:rFonts w:ascii="Times New Roman" w:hAnsi="Times New Roman" w:cs="Times New Roman"/>
          <w:sz w:val="28"/>
          <w:szCs w:val="28"/>
        </w:rPr>
        <w:t xml:space="preserve">Adv C </w:t>
      </w:r>
      <w:proofErr w:type="spellStart"/>
      <w:r w:rsidR="00C303FF">
        <w:rPr>
          <w:rFonts w:ascii="Times New Roman" w:hAnsi="Times New Roman" w:cs="Times New Roman"/>
          <w:sz w:val="28"/>
          <w:szCs w:val="28"/>
        </w:rPr>
        <w:t>D’Alton</w:t>
      </w:r>
      <w:proofErr w:type="spellEnd"/>
    </w:p>
    <w:p w:rsidR="00405429" w:rsidRDefault="00141739" w:rsidP="00FB626F">
      <w:pPr>
        <w:spacing w:after="0"/>
        <w:rPr>
          <w:rFonts w:ascii="Times New Roman" w:hAnsi="Times New Roman" w:cs="Times New Roman"/>
          <w:sz w:val="28"/>
          <w:szCs w:val="28"/>
        </w:rPr>
      </w:pPr>
      <w:r>
        <w:rPr>
          <w:rFonts w:ascii="Times New Roman" w:hAnsi="Times New Roman" w:cs="Times New Roman"/>
          <w:sz w:val="28"/>
          <w:szCs w:val="28"/>
        </w:rPr>
        <w:t xml:space="preserve">Attorney for the </w:t>
      </w:r>
      <w:r w:rsidR="005862DB">
        <w:rPr>
          <w:rFonts w:ascii="Times New Roman" w:hAnsi="Times New Roman" w:cs="Times New Roman"/>
          <w:sz w:val="28"/>
          <w:szCs w:val="28"/>
        </w:rPr>
        <w:t>Applicant</w:t>
      </w:r>
      <w:r w:rsidR="00BD05D0">
        <w:rPr>
          <w:rFonts w:ascii="Times New Roman" w:hAnsi="Times New Roman" w:cs="Times New Roman"/>
          <w:sz w:val="28"/>
          <w:szCs w:val="28"/>
        </w:rPr>
        <w:t>:</w:t>
      </w:r>
      <w:r w:rsidR="00BD05D0">
        <w:rPr>
          <w:rFonts w:ascii="Times New Roman" w:hAnsi="Times New Roman" w:cs="Times New Roman"/>
          <w:sz w:val="28"/>
          <w:szCs w:val="28"/>
        </w:rPr>
        <w:tab/>
      </w:r>
      <w:r>
        <w:rPr>
          <w:rFonts w:ascii="Times New Roman" w:hAnsi="Times New Roman" w:cs="Times New Roman"/>
          <w:sz w:val="28"/>
          <w:szCs w:val="28"/>
        </w:rPr>
        <w:tab/>
      </w:r>
      <w:r w:rsidR="00C303FF">
        <w:rPr>
          <w:rFonts w:ascii="Times New Roman" w:hAnsi="Times New Roman" w:cs="Times New Roman"/>
          <w:sz w:val="28"/>
          <w:szCs w:val="28"/>
        </w:rPr>
        <w:t>Savage, Jooste and Adams</w:t>
      </w:r>
      <w:r w:rsidR="00FB626F">
        <w:rPr>
          <w:rFonts w:ascii="Times New Roman" w:hAnsi="Times New Roman" w:cs="Times New Roman"/>
          <w:sz w:val="28"/>
          <w:szCs w:val="28"/>
        </w:rPr>
        <w:t xml:space="preserve"> Inc.</w:t>
      </w:r>
      <w:r w:rsidR="00405429">
        <w:rPr>
          <w:rFonts w:ascii="Times New Roman" w:hAnsi="Times New Roman" w:cs="Times New Roman"/>
          <w:sz w:val="28"/>
          <w:szCs w:val="28"/>
        </w:rPr>
        <w:t xml:space="preserve">, Pretoria </w:t>
      </w:r>
    </w:p>
    <w:p w:rsidR="00310383" w:rsidRPr="00457350" w:rsidRDefault="00310383" w:rsidP="00310383">
      <w:pPr>
        <w:spacing w:after="0"/>
        <w:ind w:left="4320" w:firstLine="720"/>
        <w:rPr>
          <w:rFonts w:ascii="Times New Roman" w:hAnsi="Times New Roman" w:cs="Times New Roman"/>
          <w:sz w:val="28"/>
          <w:szCs w:val="28"/>
        </w:rPr>
      </w:pPr>
    </w:p>
    <w:sectPr w:rsidR="00310383" w:rsidRPr="00457350" w:rsidSect="00EE1DF4">
      <w:headerReference w:type="default" r:id="rId9"/>
      <w:pgSz w:w="11906" w:h="16838"/>
      <w:pgMar w:top="1440" w:right="1440" w:bottom="1418"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6A2F" w:rsidRDefault="00A86A2F" w:rsidP="00AA0559">
      <w:pPr>
        <w:spacing w:after="0" w:line="240" w:lineRule="auto"/>
      </w:pPr>
      <w:r>
        <w:separator/>
      </w:r>
    </w:p>
  </w:endnote>
  <w:endnote w:type="continuationSeparator" w:id="0">
    <w:p w:rsidR="00A86A2F" w:rsidRDefault="00A86A2F" w:rsidP="00AA05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6A2F" w:rsidRDefault="00A86A2F" w:rsidP="00AA0559">
      <w:pPr>
        <w:spacing w:after="0" w:line="240" w:lineRule="auto"/>
      </w:pPr>
      <w:r>
        <w:separator/>
      </w:r>
    </w:p>
  </w:footnote>
  <w:footnote w:type="continuationSeparator" w:id="0">
    <w:p w:rsidR="00A86A2F" w:rsidRDefault="00A86A2F" w:rsidP="00AA0559">
      <w:pPr>
        <w:spacing w:after="0" w:line="240" w:lineRule="auto"/>
      </w:pPr>
      <w:r>
        <w:continuationSeparator/>
      </w:r>
    </w:p>
  </w:footnote>
  <w:footnote w:id="1">
    <w:p w:rsidR="00763A8B" w:rsidRPr="00763A8B" w:rsidRDefault="00763A8B">
      <w:pPr>
        <w:pStyle w:val="FootnoteText"/>
        <w:rPr>
          <w:lang w:val="en-US"/>
        </w:rPr>
      </w:pPr>
      <w:r>
        <w:rPr>
          <w:rStyle w:val="FootnoteReference"/>
        </w:rPr>
        <w:footnoteRef/>
      </w:r>
      <w:r>
        <w:t xml:space="preserve"> </w:t>
      </w:r>
      <w:r>
        <w:rPr>
          <w:lang w:val="en-US"/>
        </w:rPr>
        <w:t>56 of 1996.</w:t>
      </w:r>
    </w:p>
  </w:footnote>
  <w:footnote w:id="2">
    <w:p w:rsidR="00763A8B" w:rsidRPr="00763A8B" w:rsidRDefault="00763A8B">
      <w:pPr>
        <w:pStyle w:val="FootnoteText"/>
        <w:rPr>
          <w:lang w:val="en-US"/>
        </w:rPr>
      </w:pPr>
      <w:r>
        <w:rPr>
          <w:rStyle w:val="FootnoteReference"/>
        </w:rPr>
        <w:footnoteRef/>
      </w:r>
      <w:r>
        <w:t xml:space="preserve"> </w:t>
      </w:r>
      <w:r w:rsidR="00FF0C4E">
        <w:t xml:space="preserve">In particular </w:t>
      </w:r>
      <w:r w:rsidR="00F5133C">
        <w:t xml:space="preserve">Regulation 3 of the </w:t>
      </w:r>
      <w:r>
        <w:rPr>
          <w:lang w:val="en-US"/>
        </w:rPr>
        <w:t>Regulations promulgated under the Road Accident Fund Act in GN R 769 and R 777 in Government Gazette 31249 of 21 July 2008.</w:t>
      </w:r>
    </w:p>
  </w:footnote>
  <w:footnote w:id="3">
    <w:p w:rsidR="007E6238" w:rsidRPr="00FF0C4E" w:rsidRDefault="007E6238" w:rsidP="007E6238">
      <w:pPr>
        <w:pStyle w:val="FootnoteText"/>
        <w:rPr>
          <w:lang w:val="en-US"/>
        </w:rPr>
      </w:pPr>
      <w:r>
        <w:rPr>
          <w:rStyle w:val="FootnoteReference"/>
        </w:rPr>
        <w:footnoteRef/>
      </w:r>
      <w:r>
        <w:t xml:space="preserve"> </w:t>
      </w:r>
      <w:r w:rsidRPr="005F05F4">
        <w:rPr>
          <w:i/>
          <w:lang w:val="en-US"/>
        </w:rPr>
        <w:t xml:space="preserve">Road Accident Fund </w:t>
      </w:r>
      <w:proofErr w:type="gramStart"/>
      <w:r w:rsidRPr="005F05F4">
        <w:rPr>
          <w:i/>
          <w:lang w:val="en-US"/>
        </w:rPr>
        <w:t>v</w:t>
      </w:r>
      <w:proofErr w:type="gramEnd"/>
      <w:r w:rsidRPr="005F05F4">
        <w:rPr>
          <w:i/>
          <w:lang w:val="en-US"/>
        </w:rPr>
        <w:t xml:space="preserve"> Duma and three similar cases</w:t>
      </w:r>
      <w:r>
        <w:rPr>
          <w:lang w:val="en-US"/>
        </w:rPr>
        <w:t xml:space="preserve"> 2013 (6) SA 9 (SCA) (</w:t>
      </w:r>
      <w:r w:rsidRPr="005F05F4">
        <w:rPr>
          <w:i/>
          <w:lang w:val="en-US"/>
        </w:rPr>
        <w:t>Duma</w:t>
      </w:r>
      <w:r>
        <w:rPr>
          <w:lang w:val="en-US"/>
        </w:rPr>
        <w:t>) at para 19.</w:t>
      </w:r>
    </w:p>
  </w:footnote>
  <w:footnote w:id="4">
    <w:p w:rsidR="005B6C96" w:rsidRPr="005B6C96" w:rsidRDefault="005B6C96">
      <w:pPr>
        <w:pStyle w:val="FootnoteText"/>
        <w:rPr>
          <w:lang w:val="en-US"/>
        </w:rPr>
      </w:pPr>
      <w:r>
        <w:rPr>
          <w:rStyle w:val="FootnoteReference"/>
        </w:rPr>
        <w:footnoteRef/>
      </w:r>
      <w:r>
        <w:t xml:space="preserve"> </w:t>
      </w:r>
      <w:r w:rsidRPr="005B6C96">
        <w:rPr>
          <w:i/>
          <w:lang w:val="en-US"/>
        </w:rPr>
        <w:t>Knoetze NO v Road Accident Fund</w:t>
      </w:r>
      <w:r>
        <w:rPr>
          <w:lang w:val="en-US"/>
        </w:rPr>
        <w:t xml:space="preserve"> (77573/2018 &amp; 54997/2020 (plus six amici) [2022] ZAGPPHC 819 (2 November 2022) (</w:t>
      </w:r>
      <w:r w:rsidRPr="005B6C96">
        <w:rPr>
          <w:i/>
          <w:lang w:val="en-US"/>
        </w:rPr>
        <w:t>Knoetze</w:t>
      </w:r>
      <w:r>
        <w:rPr>
          <w:lang w:val="en-US"/>
        </w:rPr>
        <w:t>)</w:t>
      </w:r>
    </w:p>
  </w:footnote>
  <w:footnote w:id="5">
    <w:p w:rsidR="000D2AF9" w:rsidRPr="000D2AF9" w:rsidRDefault="000D2AF9">
      <w:pPr>
        <w:pStyle w:val="FootnoteText"/>
        <w:rPr>
          <w:lang w:val="en-US"/>
        </w:rPr>
      </w:pPr>
      <w:r>
        <w:rPr>
          <w:rStyle w:val="FootnoteReference"/>
        </w:rPr>
        <w:footnoteRef/>
      </w:r>
      <w:r>
        <w:t xml:space="preserve"> </w:t>
      </w:r>
      <w:proofErr w:type="spellStart"/>
      <w:r w:rsidRPr="00813C38">
        <w:rPr>
          <w:i/>
          <w:lang w:val="en-US"/>
        </w:rPr>
        <w:t>Hoexter</w:t>
      </w:r>
      <w:proofErr w:type="spellEnd"/>
      <w:r>
        <w:rPr>
          <w:lang w:val="en-US"/>
        </w:rPr>
        <w:t>, Administrative Law in South Africa, 2</w:t>
      </w:r>
      <w:r w:rsidRPr="000D2AF9">
        <w:rPr>
          <w:vertAlign w:val="superscript"/>
          <w:lang w:val="en-US"/>
        </w:rPr>
        <w:t>nd</w:t>
      </w:r>
      <w:r>
        <w:rPr>
          <w:lang w:val="en-US"/>
        </w:rPr>
        <w:t xml:space="preserve"> Ed at 313 </w:t>
      </w:r>
      <w:proofErr w:type="gramStart"/>
      <w:r>
        <w:rPr>
          <w:lang w:val="en-US"/>
        </w:rPr>
        <w:t>para</w:t>
      </w:r>
      <w:proofErr w:type="gramEnd"/>
      <w:r>
        <w:rPr>
          <w:lang w:val="en-US"/>
        </w:rPr>
        <w:t xml:space="preserve"> 5.9 (a).</w:t>
      </w:r>
    </w:p>
  </w:footnote>
  <w:footnote w:id="6">
    <w:p w:rsidR="000D2AF9" w:rsidRPr="000D2AF9" w:rsidRDefault="000D2AF9">
      <w:pPr>
        <w:pStyle w:val="FootnoteText"/>
        <w:rPr>
          <w:lang w:val="en-US"/>
        </w:rPr>
      </w:pPr>
      <w:r>
        <w:rPr>
          <w:rStyle w:val="FootnoteReference"/>
        </w:rPr>
        <w:footnoteRef/>
      </w:r>
      <w:r>
        <w:t xml:space="preserve"> </w:t>
      </w:r>
      <w:r>
        <w:rPr>
          <w:lang w:val="en-US"/>
        </w:rPr>
        <w:t>3 of 2000.</w:t>
      </w:r>
    </w:p>
  </w:footnote>
  <w:footnote w:id="7">
    <w:p w:rsidR="000D2AF9" w:rsidRPr="000D2AF9" w:rsidRDefault="000D2AF9">
      <w:pPr>
        <w:pStyle w:val="FootnoteText"/>
        <w:rPr>
          <w:lang w:val="en-US"/>
        </w:rPr>
      </w:pPr>
      <w:r>
        <w:rPr>
          <w:rStyle w:val="FootnoteReference"/>
        </w:rPr>
        <w:footnoteRef/>
      </w:r>
      <w:r>
        <w:t xml:space="preserve"> </w:t>
      </w:r>
      <w:r>
        <w:rPr>
          <w:lang w:val="en-US"/>
        </w:rPr>
        <w:t xml:space="preserve">See inter alia </w:t>
      </w:r>
      <w:r w:rsidRPr="000D2AF9">
        <w:rPr>
          <w:i/>
          <w:lang w:val="en-US"/>
        </w:rPr>
        <w:t>Duma</w:t>
      </w:r>
      <w:r>
        <w:rPr>
          <w:lang w:val="en-US"/>
        </w:rPr>
        <w:t xml:space="preserve"> at para</w:t>
      </w:r>
      <w:r w:rsidR="00FF0C4E">
        <w:rPr>
          <w:lang w:val="en-US"/>
        </w:rPr>
        <w:t>s 19(a</w:t>
      </w:r>
      <w:r>
        <w:rPr>
          <w:lang w:val="en-US"/>
        </w:rPr>
        <w:t>)</w:t>
      </w:r>
      <w:r w:rsidR="00FF0C4E">
        <w:rPr>
          <w:lang w:val="en-US"/>
        </w:rPr>
        <w:t xml:space="preserve"> and 24.</w:t>
      </w:r>
    </w:p>
  </w:footnote>
  <w:footnote w:id="8">
    <w:p w:rsidR="000D2AF9" w:rsidRPr="000D2AF9" w:rsidRDefault="000D2AF9">
      <w:pPr>
        <w:pStyle w:val="FootnoteText"/>
        <w:rPr>
          <w:lang w:val="en-US"/>
        </w:rPr>
      </w:pPr>
      <w:r>
        <w:rPr>
          <w:rStyle w:val="FootnoteReference"/>
        </w:rPr>
        <w:footnoteRef/>
      </w:r>
      <w:r>
        <w:t xml:space="preserve"> </w:t>
      </w:r>
      <w:proofErr w:type="spellStart"/>
      <w:r w:rsidRPr="00F81313">
        <w:rPr>
          <w:i/>
          <w:lang w:val="en-US"/>
        </w:rPr>
        <w:t>Hoexter</w:t>
      </w:r>
      <w:proofErr w:type="spellEnd"/>
      <w:r>
        <w:rPr>
          <w:lang w:val="en-US"/>
        </w:rPr>
        <w:t xml:space="preserve"> ibid.</w:t>
      </w:r>
    </w:p>
  </w:footnote>
  <w:footnote w:id="9">
    <w:p w:rsidR="000D2AF9" w:rsidRPr="000D2AF9" w:rsidRDefault="000D2AF9">
      <w:pPr>
        <w:pStyle w:val="FootnoteText"/>
        <w:rPr>
          <w:lang w:val="en-US"/>
        </w:rPr>
      </w:pPr>
      <w:r>
        <w:rPr>
          <w:rStyle w:val="FootnoteReference"/>
        </w:rPr>
        <w:footnoteRef/>
      </w:r>
      <w:r>
        <w:t xml:space="preserve"> </w:t>
      </w:r>
      <w:r>
        <w:rPr>
          <w:lang w:val="en-US"/>
        </w:rPr>
        <w:t xml:space="preserve">See </w:t>
      </w:r>
      <w:proofErr w:type="spellStart"/>
      <w:r>
        <w:rPr>
          <w:lang w:val="en-US"/>
        </w:rPr>
        <w:t>eg</w:t>
      </w:r>
      <w:proofErr w:type="spellEnd"/>
      <w:r>
        <w:rPr>
          <w:lang w:val="en-US"/>
        </w:rPr>
        <w:t xml:space="preserve"> </w:t>
      </w:r>
      <w:proofErr w:type="spellStart"/>
      <w:r w:rsidR="00FF0C4E">
        <w:rPr>
          <w:i/>
          <w:lang w:val="en-US"/>
        </w:rPr>
        <w:t>Laerskool</w:t>
      </w:r>
      <w:proofErr w:type="spellEnd"/>
      <w:r w:rsidR="00FF0C4E">
        <w:rPr>
          <w:i/>
          <w:lang w:val="en-US"/>
        </w:rPr>
        <w:t xml:space="preserve"> </w:t>
      </w:r>
      <w:proofErr w:type="spellStart"/>
      <w:r w:rsidR="00FF0C4E">
        <w:rPr>
          <w:i/>
          <w:lang w:val="en-US"/>
        </w:rPr>
        <w:t>Gaffie</w:t>
      </w:r>
      <w:proofErr w:type="spellEnd"/>
      <w:r w:rsidR="00FF0C4E">
        <w:rPr>
          <w:i/>
          <w:lang w:val="en-US"/>
        </w:rPr>
        <w:t xml:space="preserve"> Ma</w:t>
      </w:r>
      <w:r w:rsidRPr="000D2AF9">
        <w:rPr>
          <w:i/>
          <w:lang w:val="en-US"/>
        </w:rPr>
        <w:t>ree v MEC for Education, Training, Arts and Culture, Norther Cape</w:t>
      </w:r>
      <w:r w:rsidR="00FF0C4E">
        <w:rPr>
          <w:i/>
          <w:lang w:val="en-US"/>
        </w:rPr>
        <w:t xml:space="preserve"> </w:t>
      </w:r>
      <w:r w:rsidR="007E6238">
        <w:rPr>
          <w:lang w:val="en-US"/>
        </w:rPr>
        <w:t xml:space="preserve">2003 (5) SA 367 (NC) </w:t>
      </w:r>
      <w:r w:rsidR="00FF0C4E" w:rsidRPr="007E6238">
        <w:rPr>
          <w:lang w:val="en-US"/>
        </w:rPr>
        <w:t xml:space="preserve">and </w:t>
      </w:r>
      <w:r w:rsidR="00FF0C4E">
        <w:rPr>
          <w:i/>
          <w:lang w:val="en-US"/>
        </w:rPr>
        <w:t xml:space="preserve">Cape Furniture Workers Union v McGregor NO </w:t>
      </w:r>
      <w:r w:rsidR="00FF0C4E" w:rsidRPr="007E6238">
        <w:rPr>
          <w:lang w:val="en-US"/>
        </w:rPr>
        <w:t>1930 TPD 682 at 685-686</w:t>
      </w:r>
      <w:r w:rsidR="00FF0C4E">
        <w:rPr>
          <w:i/>
          <w:lang w:val="en-US"/>
        </w:rPr>
        <w:t>.</w:t>
      </w:r>
    </w:p>
  </w:footnote>
  <w:footnote w:id="10">
    <w:p w:rsidR="00813C38" w:rsidRPr="00813C38" w:rsidRDefault="00813C38">
      <w:pPr>
        <w:pStyle w:val="FootnoteText"/>
        <w:rPr>
          <w:lang w:val="en-US"/>
        </w:rPr>
      </w:pPr>
      <w:r>
        <w:rPr>
          <w:rStyle w:val="FootnoteReference"/>
        </w:rPr>
        <w:footnoteRef/>
      </w:r>
      <w:r>
        <w:t xml:space="preserve"> </w:t>
      </w:r>
      <w:proofErr w:type="spellStart"/>
      <w:r w:rsidRPr="00F81313">
        <w:rPr>
          <w:i/>
          <w:lang w:val="en-US"/>
        </w:rPr>
        <w:t>Hoexter</w:t>
      </w:r>
      <w:proofErr w:type="spellEnd"/>
      <w:r>
        <w:rPr>
          <w:lang w:val="en-US"/>
        </w:rPr>
        <w:t xml:space="preserve"> at 198 and 313.</w:t>
      </w:r>
    </w:p>
  </w:footnote>
  <w:footnote w:id="11">
    <w:p w:rsidR="00A176DC" w:rsidRPr="00A176DC" w:rsidRDefault="00A176DC">
      <w:pPr>
        <w:pStyle w:val="FootnoteText"/>
        <w:rPr>
          <w:lang w:val="en-US"/>
        </w:rPr>
      </w:pPr>
      <w:r>
        <w:rPr>
          <w:rStyle w:val="FootnoteReference"/>
        </w:rPr>
        <w:footnoteRef/>
      </w:r>
      <w:r>
        <w:t xml:space="preserve"> </w:t>
      </w:r>
      <w:r>
        <w:rPr>
          <w:lang w:val="en-US"/>
        </w:rPr>
        <w:t>Sections 7(1) and 7(2) of PAJA.</w:t>
      </w:r>
    </w:p>
  </w:footnote>
  <w:footnote w:id="12">
    <w:p w:rsidR="0083716B" w:rsidRPr="0083716B" w:rsidRDefault="0083716B">
      <w:pPr>
        <w:pStyle w:val="FootnoteText"/>
        <w:rPr>
          <w:lang w:val="en-US"/>
        </w:rPr>
      </w:pPr>
      <w:r>
        <w:rPr>
          <w:rStyle w:val="FootnoteReference"/>
        </w:rPr>
        <w:footnoteRef/>
      </w:r>
      <w:r>
        <w:t xml:space="preserve"> </w:t>
      </w:r>
      <w:proofErr w:type="spellStart"/>
      <w:r w:rsidRPr="0083716B">
        <w:rPr>
          <w:i/>
          <w:lang w:val="en-US"/>
        </w:rPr>
        <w:t>Thusi</w:t>
      </w:r>
      <w:proofErr w:type="spellEnd"/>
      <w:r w:rsidRPr="0083716B">
        <w:rPr>
          <w:i/>
          <w:lang w:val="en-US"/>
        </w:rPr>
        <w:t xml:space="preserve"> v Minister of Home Affairs</w:t>
      </w:r>
      <w:r>
        <w:rPr>
          <w:lang w:val="en-US"/>
        </w:rPr>
        <w:t xml:space="preserve"> 2011 (2) SA 561 (KZP) (</w:t>
      </w:r>
      <w:proofErr w:type="spellStart"/>
      <w:r w:rsidRPr="0083716B">
        <w:rPr>
          <w:i/>
          <w:lang w:val="en-US"/>
        </w:rPr>
        <w:t>Thusi</w:t>
      </w:r>
      <w:proofErr w:type="spellEnd"/>
      <w:r>
        <w:rPr>
          <w:lang w:val="en-US"/>
        </w:rPr>
        <w:t>) per Wallis J (as he then was) at para 52, being comment made in equally exasperating circumstances.</w:t>
      </w:r>
    </w:p>
  </w:footnote>
  <w:footnote w:id="13">
    <w:p w:rsidR="00225FAE" w:rsidRPr="00225FAE" w:rsidRDefault="00225FAE">
      <w:pPr>
        <w:pStyle w:val="FootnoteText"/>
        <w:rPr>
          <w:lang w:val="en-US"/>
        </w:rPr>
      </w:pPr>
      <w:r>
        <w:rPr>
          <w:rStyle w:val="FootnoteReference"/>
        </w:rPr>
        <w:footnoteRef/>
      </w:r>
      <w:r>
        <w:t xml:space="preserve"> </w:t>
      </w:r>
      <w:r w:rsidRPr="00225FAE">
        <w:rPr>
          <w:lang w:val="en-US"/>
        </w:rPr>
        <w:t xml:space="preserve">At para 21 see also </w:t>
      </w:r>
      <w:proofErr w:type="spellStart"/>
      <w:r w:rsidRPr="00225FAE">
        <w:rPr>
          <w:i/>
          <w:lang w:val="en-US"/>
        </w:rPr>
        <w:t>Mlatsheni</w:t>
      </w:r>
      <w:proofErr w:type="spellEnd"/>
      <w:r w:rsidRPr="00225FAE">
        <w:rPr>
          <w:i/>
          <w:lang w:val="en-US"/>
        </w:rPr>
        <w:t xml:space="preserve"> v RAF</w:t>
      </w:r>
      <w:r w:rsidRPr="00225FAE">
        <w:rPr>
          <w:lang w:val="en-US"/>
        </w:rPr>
        <w:t xml:space="preserve"> 2009 (2) SA 401 (E) para 18 and </w:t>
      </w:r>
      <w:proofErr w:type="spellStart"/>
      <w:r w:rsidRPr="00225FAE">
        <w:rPr>
          <w:i/>
          <w:lang w:val="en-US"/>
        </w:rPr>
        <w:t>Bovungana</w:t>
      </w:r>
      <w:proofErr w:type="spellEnd"/>
      <w:r w:rsidRPr="00225FAE">
        <w:rPr>
          <w:i/>
          <w:lang w:val="en-US"/>
        </w:rPr>
        <w:t xml:space="preserve"> v RAF</w:t>
      </w:r>
      <w:r w:rsidRPr="00225FAE">
        <w:rPr>
          <w:lang w:val="en-US"/>
        </w:rPr>
        <w:t xml:space="preserve"> 2009 (4) SA 123 (E) para 7.</w:t>
      </w:r>
    </w:p>
  </w:footnote>
  <w:footnote w:id="14">
    <w:p w:rsidR="00B20D21" w:rsidRPr="00B20D21" w:rsidRDefault="00B20D21">
      <w:pPr>
        <w:pStyle w:val="FootnoteText"/>
        <w:rPr>
          <w:lang w:val="en-US"/>
        </w:rPr>
      </w:pPr>
      <w:r>
        <w:rPr>
          <w:rStyle w:val="FootnoteReference"/>
        </w:rPr>
        <w:footnoteRef/>
      </w:r>
      <w:r>
        <w:t xml:space="preserve"> </w:t>
      </w:r>
      <w:proofErr w:type="spellStart"/>
      <w:r w:rsidR="00CA58BB" w:rsidRPr="00CA58BB">
        <w:rPr>
          <w:i/>
        </w:rPr>
        <w:t>Thusi</w:t>
      </w:r>
      <w:proofErr w:type="spellEnd"/>
      <w:r w:rsidR="00CA58BB">
        <w:t xml:space="preserve"> at para 99 and the cases cited there.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5205627"/>
      <w:docPartObj>
        <w:docPartGallery w:val="Page Numbers (Top of Page)"/>
        <w:docPartUnique/>
      </w:docPartObj>
    </w:sdtPr>
    <w:sdtEndPr>
      <w:rPr>
        <w:noProof/>
      </w:rPr>
    </w:sdtEndPr>
    <w:sdtContent>
      <w:p w:rsidR="00FA4311" w:rsidRDefault="00FA4311">
        <w:pPr>
          <w:pStyle w:val="Header"/>
          <w:jc w:val="right"/>
        </w:pPr>
        <w:r>
          <w:fldChar w:fldCharType="begin"/>
        </w:r>
        <w:r>
          <w:instrText xml:space="preserve"> PAGE   \* MERGEFORMAT </w:instrText>
        </w:r>
        <w:r>
          <w:fldChar w:fldCharType="separate"/>
        </w:r>
        <w:r w:rsidR="00E02254">
          <w:rPr>
            <w:noProof/>
          </w:rPr>
          <w:t>10</w:t>
        </w:r>
        <w:r>
          <w:rPr>
            <w:noProof/>
          </w:rPr>
          <w:fldChar w:fldCharType="end"/>
        </w:r>
      </w:p>
    </w:sdtContent>
  </w:sdt>
  <w:p w:rsidR="00FA4311" w:rsidRDefault="00FA431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52839"/>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903752D"/>
    <w:multiLevelType w:val="hybridMultilevel"/>
    <w:tmpl w:val="C5805DBA"/>
    <w:lvl w:ilvl="0" w:tplc="AC46AB4A">
      <w:start w:val="1"/>
      <w:numFmt w:val="decimal"/>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2" w15:restartNumberingAfterBreak="0">
    <w:nsid w:val="095A7A26"/>
    <w:multiLevelType w:val="hybridMultilevel"/>
    <w:tmpl w:val="99A6E560"/>
    <w:lvl w:ilvl="0" w:tplc="3DC4DBC4">
      <w:start w:val="1"/>
      <w:numFmt w:val="decimal"/>
      <w:pStyle w:val="MEMONUMBERED"/>
      <w:lvlText w:val="[%1]"/>
      <w:lvlJc w:val="left"/>
      <w:rPr>
        <w:rFonts w:ascii="Arial" w:hAnsi="Arial" w:cs="Arial" w:hint="default"/>
        <w:b w:val="0"/>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27B0D4B0">
      <w:start w:val="1"/>
      <w:numFmt w:val="lowerLetter"/>
      <w:lvlText w:val="%2."/>
      <w:lvlJc w:val="left"/>
      <w:pPr>
        <w:ind w:left="2215" w:hanging="360"/>
      </w:pPr>
      <w:rPr>
        <w:rFonts w:cs="Times New Roman"/>
      </w:rPr>
    </w:lvl>
    <w:lvl w:ilvl="2" w:tplc="0409001B">
      <w:start w:val="1"/>
      <w:numFmt w:val="lowerRoman"/>
      <w:lvlText w:val="%3."/>
      <w:lvlJc w:val="right"/>
      <w:pPr>
        <w:ind w:left="2880" w:hanging="180"/>
      </w:pPr>
      <w:rPr>
        <w:rFonts w:cs="Times New Roman"/>
      </w:rPr>
    </w:lvl>
    <w:lvl w:ilvl="3" w:tplc="4B2A1C24">
      <w:start w:val="1"/>
      <w:numFmt w:val="decimal"/>
      <w:lvlText w:val="%4."/>
      <w:lvlJc w:val="left"/>
      <w:pPr>
        <w:ind w:left="1080" w:hanging="360"/>
      </w:pPr>
      <w:rPr>
        <w:rFonts w:ascii="Arial" w:hAnsi="Arial" w:cs="Arial" w:hint="default"/>
        <w:b w:val="0"/>
        <w:i w:val="0"/>
        <w:strike w:val="0"/>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 w15:restartNumberingAfterBreak="0">
    <w:nsid w:val="0BBC6DC2"/>
    <w:multiLevelType w:val="multilevel"/>
    <w:tmpl w:val="C546BA8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D8C5343"/>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E3E13F0"/>
    <w:multiLevelType w:val="hybridMultilevel"/>
    <w:tmpl w:val="18CA6E06"/>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0E905778"/>
    <w:multiLevelType w:val="multilevel"/>
    <w:tmpl w:val="A7088534"/>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7" w15:restartNumberingAfterBreak="0">
    <w:nsid w:val="116C0F18"/>
    <w:multiLevelType w:val="hybridMultilevel"/>
    <w:tmpl w:val="9C980C30"/>
    <w:lvl w:ilvl="0" w:tplc="E95622BA">
      <w:start w:val="2"/>
      <w:numFmt w:val="bullet"/>
      <w:lvlText w:val="-"/>
      <w:lvlJc w:val="left"/>
      <w:pPr>
        <w:ind w:left="1069" w:hanging="360"/>
      </w:pPr>
      <w:rPr>
        <w:rFonts w:ascii="Times New Roman" w:eastAsia="Times New Roman" w:hAnsi="Times New Roman" w:cs="Times New Roman" w:hint="default"/>
      </w:rPr>
    </w:lvl>
    <w:lvl w:ilvl="1" w:tplc="1C090003" w:tentative="1">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8" w15:restartNumberingAfterBreak="0">
    <w:nsid w:val="14524D09"/>
    <w:multiLevelType w:val="multilevel"/>
    <w:tmpl w:val="27C62E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19E8110A"/>
    <w:multiLevelType w:val="hybridMultilevel"/>
    <w:tmpl w:val="D7A43CB4"/>
    <w:lvl w:ilvl="0" w:tplc="1C09000F">
      <w:start w:val="1"/>
      <w:numFmt w:val="decimal"/>
      <w:lvlText w:val="%1."/>
      <w:lvlJc w:val="left"/>
      <w:pPr>
        <w:ind w:left="1429" w:hanging="360"/>
      </w:p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10" w15:restartNumberingAfterBreak="0">
    <w:nsid w:val="1B7632BE"/>
    <w:multiLevelType w:val="multilevel"/>
    <w:tmpl w:val="C546BA8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21D46938"/>
    <w:multiLevelType w:val="multilevel"/>
    <w:tmpl w:val="978AFA4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26220E80"/>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72C7ED7"/>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1A9525D"/>
    <w:multiLevelType w:val="multilevel"/>
    <w:tmpl w:val="C546BA8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37D22C96"/>
    <w:multiLevelType w:val="multilevel"/>
    <w:tmpl w:val="6C26499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15:restartNumberingAfterBreak="0">
    <w:nsid w:val="382939AD"/>
    <w:multiLevelType w:val="hybridMultilevel"/>
    <w:tmpl w:val="EA28AB60"/>
    <w:lvl w:ilvl="0" w:tplc="FD08B28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386C5451"/>
    <w:multiLevelType w:val="hybridMultilevel"/>
    <w:tmpl w:val="BF9C62E4"/>
    <w:lvl w:ilvl="0" w:tplc="D30E7D8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3C320FE9"/>
    <w:multiLevelType w:val="multilevel"/>
    <w:tmpl w:val="AA60B49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3D971A87"/>
    <w:multiLevelType w:val="multilevel"/>
    <w:tmpl w:val="B5A27A0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3FCE7D27"/>
    <w:multiLevelType w:val="hybridMultilevel"/>
    <w:tmpl w:val="876EE974"/>
    <w:lvl w:ilvl="0" w:tplc="0930F1AA">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1" w15:restartNumberingAfterBreak="0">
    <w:nsid w:val="422844A8"/>
    <w:multiLevelType w:val="hybridMultilevel"/>
    <w:tmpl w:val="748239DA"/>
    <w:lvl w:ilvl="0" w:tplc="68DC1F8A">
      <w:numFmt w:val="bullet"/>
      <w:lvlText w:val="-"/>
      <w:lvlJc w:val="left"/>
      <w:pPr>
        <w:ind w:left="720" w:hanging="360"/>
      </w:pPr>
      <w:rPr>
        <w:rFonts w:ascii="Times New Roman" w:eastAsia="Times New Roman" w:hAnsi="Times New Roman"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43542F8A"/>
    <w:multiLevelType w:val="hybridMultilevel"/>
    <w:tmpl w:val="88D605F8"/>
    <w:lvl w:ilvl="0" w:tplc="7A62951A">
      <w:start w:val="1"/>
      <w:numFmt w:val="bullet"/>
      <w:lvlText w:val="-"/>
      <w:lvlJc w:val="left"/>
      <w:pPr>
        <w:ind w:left="1069" w:hanging="360"/>
      </w:pPr>
      <w:rPr>
        <w:rFonts w:ascii="Times New Roman" w:eastAsia="Times New Roman" w:hAnsi="Times New Roman" w:cs="Times New Roman" w:hint="default"/>
        <w:u w:val="none"/>
      </w:rPr>
    </w:lvl>
    <w:lvl w:ilvl="1" w:tplc="1C090003" w:tentative="1">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23" w15:restartNumberingAfterBreak="0">
    <w:nsid w:val="44FC469C"/>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97A0BBA"/>
    <w:multiLevelType w:val="multilevel"/>
    <w:tmpl w:val="2EF85C0E"/>
    <w:lvl w:ilvl="0">
      <w:start w:val="1"/>
      <w:numFmt w:val="decimal"/>
      <w:lvlText w:val="%1"/>
      <w:lvlJc w:val="left"/>
      <w:pPr>
        <w:ind w:left="360" w:hanging="360"/>
      </w:pPr>
      <w:rPr>
        <w:rFonts w:hint="default"/>
        <w:color w:val="000000" w:themeColor="text1"/>
        <w:sz w:val="28"/>
      </w:rPr>
    </w:lvl>
    <w:lvl w:ilvl="1">
      <w:start w:val="1"/>
      <w:numFmt w:val="decimal"/>
      <w:lvlText w:val="%1.%2"/>
      <w:lvlJc w:val="left"/>
      <w:pPr>
        <w:ind w:left="360" w:hanging="360"/>
      </w:pPr>
      <w:rPr>
        <w:rFonts w:hint="default"/>
        <w:color w:val="000000" w:themeColor="text1"/>
        <w:sz w:val="28"/>
      </w:rPr>
    </w:lvl>
    <w:lvl w:ilvl="2">
      <w:start w:val="1"/>
      <w:numFmt w:val="decimal"/>
      <w:lvlText w:val="%1.%2.%3"/>
      <w:lvlJc w:val="left"/>
      <w:pPr>
        <w:ind w:left="720" w:hanging="720"/>
      </w:pPr>
      <w:rPr>
        <w:rFonts w:hint="default"/>
        <w:color w:val="000000" w:themeColor="text1"/>
        <w:sz w:val="28"/>
      </w:rPr>
    </w:lvl>
    <w:lvl w:ilvl="3">
      <w:start w:val="1"/>
      <w:numFmt w:val="decimal"/>
      <w:lvlText w:val="%1.%2.%3.%4"/>
      <w:lvlJc w:val="left"/>
      <w:pPr>
        <w:ind w:left="720" w:hanging="720"/>
      </w:pPr>
      <w:rPr>
        <w:rFonts w:hint="default"/>
        <w:color w:val="000000" w:themeColor="text1"/>
        <w:sz w:val="28"/>
      </w:rPr>
    </w:lvl>
    <w:lvl w:ilvl="4">
      <w:start w:val="1"/>
      <w:numFmt w:val="decimal"/>
      <w:lvlText w:val="%1.%2.%3.%4.%5"/>
      <w:lvlJc w:val="left"/>
      <w:pPr>
        <w:ind w:left="1080" w:hanging="1080"/>
      </w:pPr>
      <w:rPr>
        <w:rFonts w:hint="default"/>
        <w:color w:val="000000" w:themeColor="text1"/>
        <w:sz w:val="28"/>
      </w:rPr>
    </w:lvl>
    <w:lvl w:ilvl="5">
      <w:start w:val="1"/>
      <w:numFmt w:val="decimal"/>
      <w:lvlText w:val="%1.%2.%3.%4.%5.%6"/>
      <w:lvlJc w:val="left"/>
      <w:pPr>
        <w:ind w:left="1080" w:hanging="1080"/>
      </w:pPr>
      <w:rPr>
        <w:rFonts w:hint="default"/>
        <w:color w:val="000000" w:themeColor="text1"/>
        <w:sz w:val="28"/>
      </w:rPr>
    </w:lvl>
    <w:lvl w:ilvl="6">
      <w:start w:val="1"/>
      <w:numFmt w:val="decimal"/>
      <w:lvlText w:val="%1.%2.%3.%4.%5.%6.%7"/>
      <w:lvlJc w:val="left"/>
      <w:pPr>
        <w:ind w:left="1440" w:hanging="1440"/>
      </w:pPr>
      <w:rPr>
        <w:rFonts w:hint="default"/>
        <w:color w:val="000000" w:themeColor="text1"/>
        <w:sz w:val="28"/>
      </w:rPr>
    </w:lvl>
    <w:lvl w:ilvl="7">
      <w:start w:val="1"/>
      <w:numFmt w:val="decimal"/>
      <w:lvlText w:val="%1.%2.%3.%4.%5.%6.%7.%8"/>
      <w:lvlJc w:val="left"/>
      <w:pPr>
        <w:ind w:left="1440" w:hanging="1440"/>
      </w:pPr>
      <w:rPr>
        <w:rFonts w:hint="default"/>
        <w:color w:val="000000" w:themeColor="text1"/>
        <w:sz w:val="28"/>
      </w:rPr>
    </w:lvl>
    <w:lvl w:ilvl="8">
      <w:start w:val="1"/>
      <w:numFmt w:val="decimal"/>
      <w:lvlText w:val="%1.%2.%3.%4.%5.%6.%7.%8.%9"/>
      <w:lvlJc w:val="left"/>
      <w:pPr>
        <w:ind w:left="1800" w:hanging="1800"/>
      </w:pPr>
      <w:rPr>
        <w:rFonts w:hint="default"/>
        <w:color w:val="000000" w:themeColor="text1"/>
        <w:sz w:val="28"/>
      </w:rPr>
    </w:lvl>
  </w:abstractNum>
  <w:abstractNum w:abstractNumId="25" w15:restartNumberingAfterBreak="0">
    <w:nsid w:val="49B90D4B"/>
    <w:multiLevelType w:val="multilevel"/>
    <w:tmpl w:val="408820D4"/>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6" w15:restartNumberingAfterBreak="0">
    <w:nsid w:val="4AEA3C54"/>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BEE26EB"/>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E236418"/>
    <w:multiLevelType w:val="multilevel"/>
    <w:tmpl w:val="7DA6BEE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511F47A4"/>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6FE13DA"/>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96D60C7"/>
    <w:multiLevelType w:val="hybridMultilevel"/>
    <w:tmpl w:val="32984E44"/>
    <w:lvl w:ilvl="0" w:tplc="03F87B0E">
      <w:start w:val="1"/>
      <w:numFmt w:val="decimal"/>
      <w:lvlText w:val="[%1]"/>
      <w:lvlJc w:val="left"/>
      <w:pPr>
        <w:ind w:left="3600" w:hanging="360"/>
      </w:pPr>
      <w:rPr>
        <w:rFonts w:hint="default"/>
        <w:b w:val="0"/>
        <w:i w:val="0"/>
      </w:rPr>
    </w:lvl>
    <w:lvl w:ilvl="1" w:tplc="1C090019">
      <w:start w:val="1"/>
      <w:numFmt w:val="lowerLetter"/>
      <w:lvlText w:val="%2."/>
      <w:lvlJc w:val="left"/>
      <w:pPr>
        <w:ind w:left="4320" w:hanging="360"/>
      </w:pPr>
    </w:lvl>
    <w:lvl w:ilvl="2" w:tplc="1C09001B" w:tentative="1">
      <w:start w:val="1"/>
      <w:numFmt w:val="lowerRoman"/>
      <w:lvlText w:val="%3."/>
      <w:lvlJc w:val="right"/>
      <w:pPr>
        <w:ind w:left="5040" w:hanging="180"/>
      </w:pPr>
    </w:lvl>
    <w:lvl w:ilvl="3" w:tplc="1C09000F" w:tentative="1">
      <w:start w:val="1"/>
      <w:numFmt w:val="decimal"/>
      <w:lvlText w:val="%4."/>
      <w:lvlJc w:val="left"/>
      <w:pPr>
        <w:ind w:left="5760" w:hanging="360"/>
      </w:pPr>
    </w:lvl>
    <w:lvl w:ilvl="4" w:tplc="1C090019" w:tentative="1">
      <w:start w:val="1"/>
      <w:numFmt w:val="lowerLetter"/>
      <w:lvlText w:val="%5."/>
      <w:lvlJc w:val="left"/>
      <w:pPr>
        <w:ind w:left="6480" w:hanging="360"/>
      </w:pPr>
    </w:lvl>
    <w:lvl w:ilvl="5" w:tplc="1C09001B" w:tentative="1">
      <w:start w:val="1"/>
      <w:numFmt w:val="lowerRoman"/>
      <w:lvlText w:val="%6."/>
      <w:lvlJc w:val="right"/>
      <w:pPr>
        <w:ind w:left="7200" w:hanging="180"/>
      </w:pPr>
    </w:lvl>
    <w:lvl w:ilvl="6" w:tplc="1C09000F" w:tentative="1">
      <w:start w:val="1"/>
      <w:numFmt w:val="decimal"/>
      <w:lvlText w:val="%7."/>
      <w:lvlJc w:val="left"/>
      <w:pPr>
        <w:ind w:left="7920" w:hanging="360"/>
      </w:pPr>
    </w:lvl>
    <w:lvl w:ilvl="7" w:tplc="1C090019" w:tentative="1">
      <w:start w:val="1"/>
      <w:numFmt w:val="lowerLetter"/>
      <w:lvlText w:val="%8."/>
      <w:lvlJc w:val="left"/>
      <w:pPr>
        <w:ind w:left="8640" w:hanging="360"/>
      </w:pPr>
    </w:lvl>
    <w:lvl w:ilvl="8" w:tplc="1C09001B" w:tentative="1">
      <w:start w:val="1"/>
      <w:numFmt w:val="lowerRoman"/>
      <w:lvlText w:val="%9."/>
      <w:lvlJc w:val="right"/>
      <w:pPr>
        <w:ind w:left="9360" w:hanging="180"/>
      </w:pPr>
    </w:lvl>
  </w:abstractNum>
  <w:abstractNum w:abstractNumId="32" w15:restartNumberingAfterBreak="0">
    <w:nsid w:val="5D402252"/>
    <w:multiLevelType w:val="hybridMultilevel"/>
    <w:tmpl w:val="A19ED0AA"/>
    <w:lvl w:ilvl="0" w:tplc="D30E7D8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612C2294"/>
    <w:multiLevelType w:val="multilevel"/>
    <w:tmpl w:val="6B82BEEC"/>
    <w:lvl w:ilvl="0">
      <w:start w:val="4"/>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2160" w:hanging="2160"/>
      </w:pPr>
      <w:rPr>
        <w:rFonts w:hint="default"/>
        <w:u w:val="none"/>
      </w:rPr>
    </w:lvl>
  </w:abstractNum>
  <w:abstractNum w:abstractNumId="34" w15:restartNumberingAfterBreak="0">
    <w:nsid w:val="615C62E5"/>
    <w:multiLevelType w:val="multilevel"/>
    <w:tmpl w:val="6C26499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5" w15:restartNumberingAfterBreak="0">
    <w:nsid w:val="6A6E599C"/>
    <w:multiLevelType w:val="multilevel"/>
    <w:tmpl w:val="FF085C4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6" w15:restartNumberingAfterBreak="0">
    <w:nsid w:val="6ABA413F"/>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DF2228F"/>
    <w:multiLevelType w:val="multilevel"/>
    <w:tmpl w:val="75387EF0"/>
    <w:lvl w:ilvl="0">
      <w:start w:val="1"/>
      <w:numFmt w:val="decimal"/>
      <w:lvlText w:val="%1."/>
      <w:lvlJc w:val="left"/>
      <w:pPr>
        <w:ind w:left="1429" w:hanging="360"/>
      </w:pPr>
    </w:lvl>
    <w:lvl w:ilvl="1">
      <w:start w:val="1"/>
      <w:numFmt w:val="decimal"/>
      <w:isLgl/>
      <w:lvlText w:val="%1.%2"/>
      <w:lvlJc w:val="left"/>
      <w:pPr>
        <w:ind w:left="1440" w:hanging="360"/>
      </w:pPr>
      <w:rPr>
        <w:rFonts w:hint="default"/>
        <w:sz w:val="28"/>
        <w:szCs w:val="28"/>
      </w:rPr>
    </w:lvl>
    <w:lvl w:ilvl="2">
      <w:start w:val="1"/>
      <w:numFmt w:val="decimal"/>
      <w:isLgl/>
      <w:lvlText w:val="%1.%2.%3"/>
      <w:lvlJc w:val="left"/>
      <w:pPr>
        <w:ind w:left="1811" w:hanging="720"/>
      </w:pPr>
      <w:rPr>
        <w:rFonts w:hint="default"/>
      </w:rPr>
    </w:lvl>
    <w:lvl w:ilvl="3">
      <w:start w:val="1"/>
      <w:numFmt w:val="decimal"/>
      <w:isLgl/>
      <w:lvlText w:val="%1.%2.%3.%4"/>
      <w:lvlJc w:val="left"/>
      <w:pPr>
        <w:ind w:left="1822" w:hanging="720"/>
      </w:pPr>
      <w:rPr>
        <w:rFonts w:hint="default"/>
      </w:rPr>
    </w:lvl>
    <w:lvl w:ilvl="4">
      <w:start w:val="1"/>
      <w:numFmt w:val="decimal"/>
      <w:isLgl/>
      <w:lvlText w:val="%1.%2.%3.%4.%5"/>
      <w:lvlJc w:val="left"/>
      <w:pPr>
        <w:ind w:left="2193" w:hanging="1080"/>
      </w:pPr>
      <w:rPr>
        <w:rFonts w:hint="default"/>
      </w:rPr>
    </w:lvl>
    <w:lvl w:ilvl="5">
      <w:start w:val="1"/>
      <w:numFmt w:val="decimal"/>
      <w:isLgl/>
      <w:lvlText w:val="%1.%2.%3.%4.%5.%6"/>
      <w:lvlJc w:val="left"/>
      <w:pPr>
        <w:ind w:left="2204" w:hanging="1080"/>
      </w:pPr>
      <w:rPr>
        <w:rFonts w:hint="default"/>
      </w:rPr>
    </w:lvl>
    <w:lvl w:ilvl="6">
      <w:start w:val="1"/>
      <w:numFmt w:val="decimal"/>
      <w:isLgl/>
      <w:lvlText w:val="%1.%2.%3.%4.%5.%6.%7"/>
      <w:lvlJc w:val="left"/>
      <w:pPr>
        <w:ind w:left="2575" w:hanging="1440"/>
      </w:pPr>
      <w:rPr>
        <w:rFonts w:hint="default"/>
      </w:rPr>
    </w:lvl>
    <w:lvl w:ilvl="7">
      <w:start w:val="1"/>
      <w:numFmt w:val="decimal"/>
      <w:isLgl/>
      <w:lvlText w:val="%1.%2.%3.%4.%5.%6.%7.%8"/>
      <w:lvlJc w:val="left"/>
      <w:pPr>
        <w:ind w:left="2586" w:hanging="1440"/>
      </w:pPr>
      <w:rPr>
        <w:rFonts w:hint="default"/>
      </w:rPr>
    </w:lvl>
    <w:lvl w:ilvl="8">
      <w:start w:val="1"/>
      <w:numFmt w:val="decimal"/>
      <w:isLgl/>
      <w:lvlText w:val="%1.%2.%3.%4.%5.%6.%7.%8.%9"/>
      <w:lvlJc w:val="left"/>
      <w:pPr>
        <w:ind w:left="2957" w:hanging="1800"/>
      </w:pPr>
      <w:rPr>
        <w:rFonts w:hint="default"/>
      </w:rPr>
    </w:lvl>
  </w:abstractNum>
  <w:abstractNum w:abstractNumId="38" w15:restartNumberingAfterBreak="0">
    <w:nsid w:val="6EA46560"/>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F171925"/>
    <w:multiLevelType w:val="multilevel"/>
    <w:tmpl w:val="B9081E2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15:restartNumberingAfterBreak="0">
    <w:nsid w:val="77BD5CF5"/>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87D1F28"/>
    <w:multiLevelType w:val="multilevel"/>
    <w:tmpl w:val="EB9C536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
  </w:num>
  <w:num w:numId="2">
    <w:abstractNumId w:val="18"/>
  </w:num>
  <w:num w:numId="3">
    <w:abstractNumId w:val="33"/>
  </w:num>
  <w:num w:numId="4">
    <w:abstractNumId w:val="24"/>
  </w:num>
  <w:num w:numId="5">
    <w:abstractNumId w:val="41"/>
  </w:num>
  <w:num w:numId="6">
    <w:abstractNumId w:val="10"/>
  </w:num>
  <w:num w:numId="7">
    <w:abstractNumId w:val="14"/>
  </w:num>
  <w:num w:numId="8">
    <w:abstractNumId w:val="3"/>
  </w:num>
  <w:num w:numId="9">
    <w:abstractNumId w:val="29"/>
  </w:num>
  <w:num w:numId="10">
    <w:abstractNumId w:val="13"/>
  </w:num>
  <w:num w:numId="11">
    <w:abstractNumId w:val="34"/>
  </w:num>
  <w:num w:numId="12">
    <w:abstractNumId w:val="15"/>
  </w:num>
  <w:num w:numId="13">
    <w:abstractNumId w:val="1"/>
  </w:num>
  <w:num w:numId="14">
    <w:abstractNumId w:val="22"/>
  </w:num>
  <w:num w:numId="15">
    <w:abstractNumId w:val="36"/>
  </w:num>
  <w:num w:numId="16">
    <w:abstractNumId w:val="19"/>
  </w:num>
  <w:num w:numId="17">
    <w:abstractNumId w:val="9"/>
  </w:num>
  <w:num w:numId="18">
    <w:abstractNumId w:val="37"/>
  </w:num>
  <w:num w:numId="19">
    <w:abstractNumId w:val="30"/>
  </w:num>
  <w:num w:numId="20">
    <w:abstractNumId w:val="0"/>
  </w:num>
  <w:num w:numId="21">
    <w:abstractNumId w:val="27"/>
  </w:num>
  <w:num w:numId="22">
    <w:abstractNumId w:val="28"/>
  </w:num>
  <w:num w:numId="23">
    <w:abstractNumId w:val="7"/>
  </w:num>
  <w:num w:numId="24">
    <w:abstractNumId w:val="23"/>
  </w:num>
  <w:num w:numId="25">
    <w:abstractNumId w:val="8"/>
  </w:num>
  <w:num w:numId="26">
    <w:abstractNumId w:val="26"/>
  </w:num>
  <w:num w:numId="27">
    <w:abstractNumId w:val="11"/>
  </w:num>
  <w:num w:numId="28">
    <w:abstractNumId w:val="4"/>
  </w:num>
  <w:num w:numId="29">
    <w:abstractNumId w:val="38"/>
  </w:num>
  <w:num w:numId="30">
    <w:abstractNumId w:val="39"/>
  </w:num>
  <w:num w:numId="31">
    <w:abstractNumId w:val="12"/>
  </w:num>
  <w:num w:numId="32">
    <w:abstractNumId w:val="40"/>
  </w:num>
  <w:num w:numId="33">
    <w:abstractNumId w:val="6"/>
  </w:num>
  <w:num w:numId="34">
    <w:abstractNumId w:val="31"/>
  </w:num>
  <w:num w:numId="35">
    <w:abstractNumId w:val="16"/>
  </w:num>
  <w:num w:numId="36">
    <w:abstractNumId w:val="35"/>
  </w:num>
  <w:num w:numId="37">
    <w:abstractNumId w:val="17"/>
  </w:num>
  <w:num w:numId="38">
    <w:abstractNumId w:val="32"/>
  </w:num>
  <w:num w:numId="39">
    <w:abstractNumId w:val="21"/>
  </w:num>
  <w:num w:numId="40">
    <w:abstractNumId w:val="20"/>
  </w:num>
  <w:num w:numId="41">
    <w:abstractNumId w:val="5"/>
  </w:num>
  <w:num w:numId="42">
    <w:abstractNumId w:val="2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522"/>
    <w:rsid w:val="00001250"/>
    <w:rsid w:val="00005E47"/>
    <w:rsid w:val="00006413"/>
    <w:rsid w:val="000114F9"/>
    <w:rsid w:val="00011CFB"/>
    <w:rsid w:val="00011D11"/>
    <w:rsid w:val="00012788"/>
    <w:rsid w:val="00015A97"/>
    <w:rsid w:val="00016209"/>
    <w:rsid w:val="00016BC0"/>
    <w:rsid w:val="00017C97"/>
    <w:rsid w:val="00022E9F"/>
    <w:rsid w:val="00023CF2"/>
    <w:rsid w:val="00025281"/>
    <w:rsid w:val="00025297"/>
    <w:rsid w:val="0002586B"/>
    <w:rsid w:val="000259E1"/>
    <w:rsid w:val="000305A5"/>
    <w:rsid w:val="00030A67"/>
    <w:rsid w:val="000317C6"/>
    <w:rsid w:val="00033FCE"/>
    <w:rsid w:val="00034412"/>
    <w:rsid w:val="00035B9F"/>
    <w:rsid w:val="0003669C"/>
    <w:rsid w:val="00037F5C"/>
    <w:rsid w:val="00041065"/>
    <w:rsid w:val="00042AEE"/>
    <w:rsid w:val="00042C2E"/>
    <w:rsid w:val="00042FF2"/>
    <w:rsid w:val="00043182"/>
    <w:rsid w:val="000434D3"/>
    <w:rsid w:val="00045BD7"/>
    <w:rsid w:val="00045D96"/>
    <w:rsid w:val="00046C79"/>
    <w:rsid w:val="00047933"/>
    <w:rsid w:val="00047E03"/>
    <w:rsid w:val="000516D4"/>
    <w:rsid w:val="000532CD"/>
    <w:rsid w:val="000542FF"/>
    <w:rsid w:val="00055BE0"/>
    <w:rsid w:val="000566E3"/>
    <w:rsid w:val="00057A72"/>
    <w:rsid w:val="00057E9E"/>
    <w:rsid w:val="00060A8C"/>
    <w:rsid w:val="00061BF3"/>
    <w:rsid w:val="00061EFE"/>
    <w:rsid w:val="00061F98"/>
    <w:rsid w:val="000624C5"/>
    <w:rsid w:val="0006355E"/>
    <w:rsid w:val="000639A7"/>
    <w:rsid w:val="0006707B"/>
    <w:rsid w:val="000703AC"/>
    <w:rsid w:val="00071793"/>
    <w:rsid w:val="00072BFD"/>
    <w:rsid w:val="00072CBF"/>
    <w:rsid w:val="00072F47"/>
    <w:rsid w:val="0007523E"/>
    <w:rsid w:val="00075525"/>
    <w:rsid w:val="0007620F"/>
    <w:rsid w:val="000770ED"/>
    <w:rsid w:val="000806F6"/>
    <w:rsid w:val="00080C2F"/>
    <w:rsid w:val="000825E2"/>
    <w:rsid w:val="00083384"/>
    <w:rsid w:val="00083FBA"/>
    <w:rsid w:val="00084CCD"/>
    <w:rsid w:val="00086D93"/>
    <w:rsid w:val="00087699"/>
    <w:rsid w:val="000917D0"/>
    <w:rsid w:val="00091D60"/>
    <w:rsid w:val="000963FB"/>
    <w:rsid w:val="00097E48"/>
    <w:rsid w:val="000A0CAC"/>
    <w:rsid w:val="000A0EDC"/>
    <w:rsid w:val="000A17D7"/>
    <w:rsid w:val="000A1D68"/>
    <w:rsid w:val="000A2ECD"/>
    <w:rsid w:val="000A3383"/>
    <w:rsid w:val="000A36D5"/>
    <w:rsid w:val="000A4C26"/>
    <w:rsid w:val="000A51AA"/>
    <w:rsid w:val="000A58D6"/>
    <w:rsid w:val="000A6C85"/>
    <w:rsid w:val="000A6F67"/>
    <w:rsid w:val="000A7AF5"/>
    <w:rsid w:val="000B123F"/>
    <w:rsid w:val="000B1F53"/>
    <w:rsid w:val="000B4277"/>
    <w:rsid w:val="000B4EAB"/>
    <w:rsid w:val="000B5D09"/>
    <w:rsid w:val="000B6EA0"/>
    <w:rsid w:val="000B710E"/>
    <w:rsid w:val="000B7286"/>
    <w:rsid w:val="000B72C9"/>
    <w:rsid w:val="000C0769"/>
    <w:rsid w:val="000C2192"/>
    <w:rsid w:val="000C39B9"/>
    <w:rsid w:val="000C4B4E"/>
    <w:rsid w:val="000C69BF"/>
    <w:rsid w:val="000C6D5D"/>
    <w:rsid w:val="000C70D0"/>
    <w:rsid w:val="000D280A"/>
    <w:rsid w:val="000D2AF9"/>
    <w:rsid w:val="000D2DFB"/>
    <w:rsid w:val="000D3F2C"/>
    <w:rsid w:val="000D4E82"/>
    <w:rsid w:val="000D53E7"/>
    <w:rsid w:val="000D697B"/>
    <w:rsid w:val="000D6B2B"/>
    <w:rsid w:val="000E145E"/>
    <w:rsid w:val="000E289C"/>
    <w:rsid w:val="000E2BB2"/>
    <w:rsid w:val="000E2E36"/>
    <w:rsid w:val="000E3B71"/>
    <w:rsid w:val="000E3C72"/>
    <w:rsid w:val="000E4D8F"/>
    <w:rsid w:val="000E671B"/>
    <w:rsid w:val="000F2E64"/>
    <w:rsid w:val="000F35C1"/>
    <w:rsid w:val="000F3B5F"/>
    <w:rsid w:val="000F5981"/>
    <w:rsid w:val="000F5CFF"/>
    <w:rsid w:val="000F6ADD"/>
    <w:rsid w:val="000F6F0B"/>
    <w:rsid w:val="000F72F9"/>
    <w:rsid w:val="00100B4D"/>
    <w:rsid w:val="001020F5"/>
    <w:rsid w:val="001026BF"/>
    <w:rsid w:val="001029BE"/>
    <w:rsid w:val="00105745"/>
    <w:rsid w:val="00111541"/>
    <w:rsid w:val="00112C06"/>
    <w:rsid w:val="00113BAA"/>
    <w:rsid w:val="00114297"/>
    <w:rsid w:val="001154F7"/>
    <w:rsid w:val="00115843"/>
    <w:rsid w:val="00115A7D"/>
    <w:rsid w:val="00120752"/>
    <w:rsid w:val="0012123B"/>
    <w:rsid w:val="00122F2A"/>
    <w:rsid w:val="001256BE"/>
    <w:rsid w:val="00125D4D"/>
    <w:rsid w:val="00126BE3"/>
    <w:rsid w:val="00127156"/>
    <w:rsid w:val="00127979"/>
    <w:rsid w:val="00127BE5"/>
    <w:rsid w:val="00127D03"/>
    <w:rsid w:val="00130162"/>
    <w:rsid w:val="001328BC"/>
    <w:rsid w:val="00132E4B"/>
    <w:rsid w:val="00133B51"/>
    <w:rsid w:val="00133E05"/>
    <w:rsid w:val="00134102"/>
    <w:rsid w:val="00134508"/>
    <w:rsid w:val="001348C0"/>
    <w:rsid w:val="00136B14"/>
    <w:rsid w:val="001379F2"/>
    <w:rsid w:val="00140000"/>
    <w:rsid w:val="00141739"/>
    <w:rsid w:val="00141A99"/>
    <w:rsid w:val="00142AB8"/>
    <w:rsid w:val="001430D2"/>
    <w:rsid w:val="0014349A"/>
    <w:rsid w:val="001451A4"/>
    <w:rsid w:val="00145921"/>
    <w:rsid w:val="00145B15"/>
    <w:rsid w:val="00145E2C"/>
    <w:rsid w:val="00146336"/>
    <w:rsid w:val="00147D17"/>
    <w:rsid w:val="0015347A"/>
    <w:rsid w:val="001555BF"/>
    <w:rsid w:val="001611A4"/>
    <w:rsid w:val="00163CCE"/>
    <w:rsid w:val="0016708B"/>
    <w:rsid w:val="00167EC4"/>
    <w:rsid w:val="001710E5"/>
    <w:rsid w:val="00172A0C"/>
    <w:rsid w:val="00175EEB"/>
    <w:rsid w:val="0017796A"/>
    <w:rsid w:val="0018055B"/>
    <w:rsid w:val="00182869"/>
    <w:rsid w:val="00182A50"/>
    <w:rsid w:val="001835BA"/>
    <w:rsid w:val="00183601"/>
    <w:rsid w:val="00184B1E"/>
    <w:rsid w:val="00184CA2"/>
    <w:rsid w:val="00185350"/>
    <w:rsid w:val="00185667"/>
    <w:rsid w:val="00185A2C"/>
    <w:rsid w:val="00190131"/>
    <w:rsid w:val="00193794"/>
    <w:rsid w:val="00193798"/>
    <w:rsid w:val="0019651B"/>
    <w:rsid w:val="00197D01"/>
    <w:rsid w:val="001A0E70"/>
    <w:rsid w:val="001A22E2"/>
    <w:rsid w:val="001A4E2E"/>
    <w:rsid w:val="001A4F3D"/>
    <w:rsid w:val="001A587F"/>
    <w:rsid w:val="001A5B15"/>
    <w:rsid w:val="001A5E10"/>
    <w:rsid w:val="001A6F9C"/>
    <w:rsid w:val="001B0C22"/>
    <w:rsid w:val="001B1471"/>
    <w:rsid w:val="001B1570"/>
    <w:rsid w:val="001B1C76"/>
    <w:rsid w:val="001B1CE7"/>
    <w:rsid w:val="001B2F0C"/>
    <w:rsid w:val="001B322B"/>
    <w:rsid w:val="001B5257"/>
    <w:rsid w:val="001B7AF5"/>
    <w:rsid w:val="001C11DE"/>
    <w:rsid w:val="001C25C0"/>
    <w:rsid w:val="001C2F6E"/>
    <w:rsid w:val="001C369D"/>
    <w:rsid w:val="001C3B85"/>
    <w:rsid w:val="001C470D"/>
    <w:rsid w:val="001C5BC2"/>
    <w:rsid w:val="001C6A75"/>
    <w:rsid w:val="001C7785"/>
    <w:rsid w:val="001D0E42"/>
    <w:rsid w:val="001D173A"/>
    <w:rsid w:val="001D621F"/>
    <w:rsid w:val="001D6D2E"/>
    <w:rsid w:val="001D7D46"/>
    <w:rsid w:val="001E0669"/>
    <w:rsid w:val="001E0CE1"/>
    <w:rsid w:val="001E0F19"/>
    <w:rsid w:val="001E1A55"/>
    <w:rsid w:val="001E3ED7"/>
    <w:rsid w:val="001E5486"/>
    <w:rsid w:val="001E5656"/>
    <w:rsid w:val="001F127F"/>
    <w:rsid w:val="001F2EFB"/>
    <w:rsid w:val="001F4F2B"/>
    <w:rsid w:val="001F56C4"/>
    <w:rsid w:val="001F6A2A"/>
    <w:rsid w:val="001F7DA3"/>
    <w:rsid w:val="00200552"/>
    <w:rsid w:val="002008BB"/>
    <w:rsid w:val="00200E99"/>
    <w:rsid w:val="00204FE1"/>
    <w:rsid w:val="002100DA"/>
    <w:rsid w:val="00210ABE"/>
    <w:rsid w:val="002116B4"/>
    <w:rsid w:val="0021291E"/>
    <w:rsid w:val="00212E7A"/>
    <w:rsid w:val="00213148"/>
    <w:rsid w:val="00213674"/>
    <w:rsid w:val="00213C67"/>
    <w:rsid w:val="00214CD5"/>
    <w:rsid w:val="002162B8"/>
    <w:rsid w:val="00216D5F"/>
    <w:rsid w:val="00216E77"/>
    <w:rsid w:val="00217DD9"/>
    <w:rsid w:val="00220D0C"/>
    <w:rsid w:val="00222B7F"/>
    <w:rsid w:val="00222C8D"/>
    <w:rsid w:val="002239A2"/>
    <w:rsid w:val="00223DCD"/>
    <w:rsid w:val="00225FAE"/>
    <w:rsid w:val="0023155E"/>
    <w:rsid w:val="00240B2C"/>
    <w:rsid w:val="002434A7"/>
    <w:rsid w:val="002438D1"/>
    <w:rsid w:val="00245618"/>
    <w:rsid w:val="002465F4"/>
    <w:rsid w:val="00251F26"/>
    <w:rsid w:val="002537BA"/>
    <w:rsid w:val="00253FFE"/>
    <w:rsid w:val="00254203"/>
    <w:rsid w:val="00255C64"/>
    <w:rsid w:val="00257018"/>
    <w:rsid w:val="002577E4"/>
    <w:rsid w:val="00267BED"/>
    <w:rsid w:val="00270A14"/>
    <w:rsid w:val="0027160E"/>
    <w:rsid w:val="00272580"/>
    <w:rsid w:val="00272C77"/>
    <w:rsid w:val="00273A27"/>
    <w:rsid w:val="00274C56"/>
    <w:rsid w:val="00274CED"/>
    <w:rsid w:val="00276F39"/>
    <w:rsid w:val="0028003E"/>
    <w:rsid w:val="00282FE1"/>
    <w:rsid w:val="002856D3"/>
    <w:rsid w:val="00286AD5"/>
    <w:rsid w:val="00287ADF"/>
    <w:rsid w:val="0029512E"/>
    <w:rsid w:val="0029581B"/>
    <w:rsid w:val="002A09A1"/>
    <w:rsid w:val="002A3FB2"/>
    <w:rsid w:val="002A546E"/>
    <w:rsid w:val="002A63A5"/>
    <w:rsid w:val="002A6D98"/>
    <w:rsid w:val="002A7021"/>
    <w:rsid w:val="002B0B14"/>
    <w:rsid w:val="002B3C88"/>
    <w:rsid w:val="002B5A11"/>
    <w:rsid w:val="002B5F01"/>
    <w:rsid w:val="002B692B"/>
    <w:rsid w:val="002C0DDC"/>
    <w:rsid w:val="002C322C"/>
    <w:rsid w:val="002C33A2"/>
    <w:rsid w:val="002C379B"/>
    <w:rsid w:val="002C45C1"/>
    <w:rsid w:val="002C5CFD"/>
    <w:rsid w:val="002C5F49"/>
    <w:rsid w:val="002C7C07"/>
    <w:rsid w:val="002D1B78"/>
    <w:rsid w:val="002D2FD8"/>
    <w:rsid w:val="002D3433"/>
    <w:rsid w:val="002D360F"/>
    <w:rsid w:val="002D5469"/>
    <w:rsid w:val="002D7820"/>
    <w:rsid w:val="002E0F9C"/>
    <w:rsid w:val="002E2287"/>
    <w:rsid w:val="002E3D6A"/>
    <w:rsid w:val="002E3E99"/>
    <w:rsid w:val="002E546D"/>
    <w:rsid w:val="002E62F6"/>
    <w:rsid w:val="002E6A3A"/>
    <w:rsid w:val="002E7030"/>
    <w:rsid w:val="002E791C"/>
    <w:rsid w:val="002F11D4"/>
    <w:rsid w:val="002F55F6"/>
    <w:rsid w:val="002F63E1"/>
    <w:rsid w:val="002F6F7E"/>
    <w:rsid w:val="002F7FC9"/>
    <w:rsid w:val="00301D68"/>
    <w:rsid w:val="003037F4"/>
    <w:rsid w:val="003043A5"/>
    <w:rsid w:val="00305410"/>
    <w:rsid w:val="003100A9"/>
    <w:rsid w:val="003102DE"/>
    <w:rsid w:val="00310383"/>
    <w:rsid w:val="0031116C"/>
    <w:rsid w:val="00311426"/>
    <w:rsid w:val="00312DD5"/>
    <w:rsid w:val="00315DF2"/>
    <w:rsid w:val="00316280"/>
    <w:rsid w:val="003177A0"/>
    <w:rsid w:val="00317C2D"/>
    <w:rsid w:val="00320BDE"/>
    <w:rsid w:val="00320E7B"/>
    <w:rsid w:val="003259BF"/>
    <w:rsid w:val="00326058"/>
    <w:rsid w:val="00326A4B"/>
    <w:rsid w:val="0032722B"/>
    <w:rsid w:val="003311A3"/>
    <w:rsid w:val="00331307"/>
    <w:rsid w:val="00331946"/>
    <w:rsid w:val="00333616"/>
    <w:rsid w:val="0033543A"/>
    <w:rsid w:val="00335F0B"/>
    <w:rsid w:val="00336CFE"/>
    <w:rsid w:val="003378DF"/>
    <w:rsid w:val="00337E9C"/>
    <w:rsid w:val="003415EC"/>
    <w:rsid w:val="0034203B"/>
    <w:rsid w:val="00342B69"/>
    <w:rsid w:val="003434DB"/>
    <w:rsid w:val="00345CC4"/>
    <w:rsid w:val="00351B20"/>
    <w:rsid w:val="003532DB"/>
    <w:rsid w:val="003540E5"/>
    <w:rsid w:val="003542D6"/>
    <w:rsid w:val="00354462"/>
    <w:rsid w:val="003551DF"/>
    <w:rsid w:val="0035534D"/>
    <w:rsid w:val="0036071F"/>
    <w:rsid w:val="003608F6"/>
    <w:rsid w:val="00363643"/>
    <w:rsid w:val="003648BA"/>
    <w:rsid w:val="003650D9"/>
    <w:rsid w:val="00366C84"/>
    <w:rsid w:val="00370E37"/>
    <w:rsid w:val="00371395"/>
    <w:rsid w:val="00374CC3"/>
    <w:rsid w:val="003759C0"/>
    <w:rsid w:val="00375CC0"/>
    <w:rsid w:val="003769BB"/>
    <w:rsid w:val="00376F2E"/>
    <w:rsid w:val="003809D1"/>
    <w:rsid w:val="003818E8"/>
    <w:rsid w:val="00381DCC"/>
    <w:rsid w:val="00382FDC"/>
    <w:rsid w:val="00385D25"/>
    <w:rsid w:val="00390D1B"/>
    <w:rsid w:val="00391CA3"/>
    <w:rsid w:val="00393057"/>
    <w:rsid w:val="00393112"/>
    <w:rsid w:val="003954C5"/>
    <w:rsid w:val="00397C42"/>
    <w:rsid w:val="003A0859"/>
    <w:rsid w:val="003A1568"/>
    <w:rsid w:val="003A1C1F"/>
    <w:rsid w:val="003A2C75"/>
    <w:rsid w:val="003A4D7A"/>
    <w:rsid w:val="003A75D0"/>
    <w:rsid w:val="003A7831"/>
    <w:rsid w:val="003A7990"/>
    <w:rsid w:val="003B0968"/>
    <w:rsid w:val="003B1932"/>
    <w:rsid w:val="003B1D50"/>
    <w:rsid w:val="003B2C23"/>
    <w:rsid w:val="003B4628"/>
    <w:rsid w:val="003B4E46"/>
    <w:rsid w:val="003B663E"/>
    <w:rsid w:val="003B78D9"/>
    <w:rsid w:val="003C026D"/>
    <w:rsid w:val="003C419C"/>
    <w:rsid w:val="003C50B4"/>
    <w:rsid w:val="003D0F00"/>
    <w:rsid w:val="003D4011"/>
    <w:rsid w:val="003D46D7"/>
    <w:rsid w:val="003D4E22"/>
    <w:rsid w:val="003D77CC"/>
    <w:rsid w:val="003E1931"/>
    <w:rsid w:val="003E26DA"/>
    <w:rsid w:val="003E3B9F"/>
    <w:rsid w:val="003E4489"/>
    <w:rsid w:val="003E4EC2"/>
    <w:rsid w:val="003E5AFA"/>
    <w:rsid w:val="003E6E23"/>
    <w:rsid w:val="003F239E"/>
    <w:rsid w:val="003F3B5A"/>
    <w:rsid w:val="003F4598"/>
    <w:rsid w:val="003F5C30"/>
    <w:rsid w:val="0040206E"/>
    <w:rsid w:val="004033C6"/>
    <w:rsid w:val="00403849"/>
    <w:rsid w:val="004040BB"/>
    <w:rsid w:val="00404DEE"/>
    <w:rsid w:val="00405429"/>
    <w:rsid w:val="00410EB3"/>
    <w:rsid w:val="004117A5"/>
    <w:rsid w:val="00412736"/>
    <w:rsid w:val="004135FD"/>
    <w:rsid w:val="00413917"/>
    <w:rsid w:val="00413F27"/>
    <w:rsid w:val="00415832"/>
    <w:rsid w:val="00415CEE"/>
    <w:rsid w:val="004160C3"/>
    <w:rsid w:val="00423311"/>
    <w:rsid w:val="004238BC"/>
    <w:rsid w:val="004276AC"/>
    <w:rsid w:val="00430743"/>
    <w:rsid w:val="004321F6"/>
    <w:rsid w:val="0043243C"/>
    <w:rsid w:val="00432496"/>
    <w:rsid w:val="0043287B"/>
    <w:rsid w:val="00435B17"/>
    <w:rsid w:val="00435E00"/>
    <w:rsid w:val="004402F6"/>
    <w:rsid w:val="0044155F"/>
    <w:rsid w:val="0044208E"/>
    <w:rsid w:val="004425E6"/>
    <w:rsid w:val="0044324A"/>
    <w:rsid w:val="00443C72"/>
    <w:rsid w:val="00443E13"/>
    <w:rsid w:val="00443F15"/>
    <w:rsid w:val="00451AFA"/>
    <w:rsid w:val="00451FD9"/>
    <w:rsid w:val="00451FE6"/>
    <w:rsid w:val="0045437C"/>
    <w:rsid w:val="00454D02"/>
    <w:rsid w:val="004559E9"/>
    <w:rsid w:val="00457350"/>
    <w:rsid w:val="004573C2"/>
    <w:rsid w:val="00457C74"/>
    <w:rsid w:val="00460D57"/>
    <w:rsid w:val="00461C12"/>
    <w:rsid w:val="0046244D"/>
    <w:rsid w:val="004631C6"/>
    <w:rsid w:val="00463533"/>
    <w:rsid w:val="004635B0"/>
    <w:rsid w:val="0046655B"/>
    <w:rsid w:val="00470A69"/>
    <w:rsid w:val="00470DDD"/>
    <w:rsid w:val="004721D9"/>
    <w:rsid w:val="004744DE"/>
    <w:rsid w:val="00474BB5"/>
    <w:rsid w:val="00475438"/>
    <w:rsid w:val="004754F5"/>
    <w:rsid w:val="00475E75"/>
    <w:rsid w:val="004762A0"/>
    <w:rsid w:val="00477416"/>
    <w:rsid w:val="004812FC"/>
    <w:rsid w:val="00481794"/>
    <w:rsid w:val="00481BF7"/>
    <w:rsid w:val="004821A0"/>
    <w:rsid w:val="00482B26"/>
    <w:rsid w:val="004846FD"/>
    <w:rsid w:val="00484DFC"/>
    <w:rsid w:val="004864B6"/>
    <w:rsid w:val="00486E9D"/>
    <w:rsid w:val="0048784B"/>
    <w:rsid w:val="00490F69"/>
    <w:rsid w:val="0049411B"/>
    <w:rsid w:val="00495527"/>
    <w:rsid w:val="00496968"/>
    <w:rsid w:val="004A2304"/>
    <w:rsid w:val="004A26BF"/>
    <w:rsid w:val="004A2A32"/>
    <w:rsid w:val="004A2B93"/>
    <w:rsid w:val="004A3590"/>
    <w:rsid w:val="004A4374"/>
    <w:rsid w:val="004A4EEA"/>
    <w:rsid w:val="004A53D7"/>
    <w:rsid w:val="004A5A2E"/>
    <w:rsid w:val="004A6391"/>
    <w:rsid w:val="004A79E5"/>
    <w:rsid w:val="004A7EF9"/>
    <w:rsid w:val="004B0324"/>
    <w:rsid w:val="004B1C79"/>
    <w:rsid w:val="004B226D"/>
    <w:rsid w:val="004B2765"/>
    <w:rsid w:val="004B34FC"/>
    <w:rsid w:val="004B60D8"/>
    <w:rsid w:val="004B710D"/>
    <w:rsid w:val="004B7F28"/>
    <w:rsid w:val="004C0209"/>
    <w:rsid w:val="004C26BF"/>
    <w:rsid w:val="004C347D"/>
    <w:rsid w:val="004C4B76"/>
    <w:rsid w:val="004C4CAE"/>
    <w:rsid w:val="004C58F4"/>
    <w:rsid w:val="004C5C24"/>
    <w:rsid w:val="004C7B21"/>
    <w:rsid w:val="004C7D2B"/>
    <w:rsid w:val="004D0992"/>
    <w:rsid w:val="004D21ED"/>
    <w:rsid w:val="004D24EE"/>
    <w:rsid w:val="004E0A01"/>
    <w:rsid w:val="004E1905"/>
    <w:rsid w:val="004E40BC"/>
    <w:rsid w:val="004E4ABC"/>
    <w:rsid w:val="004E55A9"/>
    <w:rsid w:val="004E577E"/>
    <w:rsid w:val="004E61F2"/>
    <w:rsid w:val="004E6516"/>
    <w:rsid w:val="004E6738"/>
    <w:rsid w:val="004E7693"/>
    <w:rsid w:val="004F0D00"/>
    <w:rsid w:val="004F134C"/>
    <w:rsid w:val="004F15B0"/>
    <w:rsid w:val="004F1791"/>
    <w:rsid w:val="004F3303"/>
    <w:rsid w:val="004F5130"/>
    <w:rsid w:val="004F576F"/>
    <w:rsid w:val="00500C18"/>
    <w:rsid w:val="0050255C"/>
    <w:rsid w:val="005035AA"/>
    <w:rsid w:val="00503949"/>
    <w:rsid w:val="00503A80"/>
    <w:rsid w:val="005061A3"/>
    <w:rsid w:val="00506A45"/>
    <w:rsid w:val="00506AB9"/>
    <w:rsid w:val="00510415"/>
    <w:rsid w:val="005107AB"/>
    <w:rsid w:val="00513010"/>
    <w:rsid w:val="00514C08"/>
    <w:rsid w:val="00516383"/>
    <w:rsid w:val="00516F7E"/>
    <w:rsid w:val="0051793E"/>
    <w:rsid w:val="0052100E"/>
    <w:rsid w:val="00524020"/>
    <w:rsid w:val="00527336"/>
    <w:rsid w:val="00527BC0"/>
    <w:rsid w:val="005320DF"/>
    <w:rsid w:val="00532CFD"/>
    <w:rsid w:val="0053517D"/>
    <w:rsid w:val="00541570"/>
    <w:rsid w:val="00541D87"/>
    <w:rsid w:val="00541E26"/>
    <w:rsid w:val="005431B6"/>
    <w:rsid w:val="00543216"/>
    <w:rsid w:val="005534FA"/>
    <w:rsid w:val="00553D63"/>
    <w:rsid w:val="00556A9F"/>
    <w:rsid w:val="005624F2"/>
    <w:rsid w:val="00563DDA"/>
    <w:rsid w:val="0056465B"/>
    <w:rsid w:val="00564E18"/>
    <w:rsid w:val="00571327"/>
    <w:rsid w:val="00571602"/>
    <w:rsid w:val="00571944"/>
    <w:rsid w:val="0057232F"/>
    <w:rsid w:val="00576695"/>
    <w:rsid w:val="00576B66"/>
    <w:rsid w:val="005775D4"/>
    <w:rsid w:val="00577E87"/>
    <w:rsid w:val="0058101D"/>
    <w:rsid w:val="00582084"/>
    <w:rsid w:val="00582786"/>
    <w:rsid w:val="00583D93"/>
    <w:rsid w:val="0058433C"/>
    <w:rsid w:val="005845AF"/>
    <w:rsid w:val="005857F0"/>
    <w:rsid w:val="005862DB"/>
    <w:rsid w:val="005910C8"/>
    <w:rsid w:val="0059193B"/>
    <w:rsid w:val="00592725"/>
    <w:rsid w:val="00593F39"/>
    <w:rsid w:val="00594B4F"/>
    <w:rsid w:val="00595AC8"/>
    <w:rsid w:val="00595E78"/>
    <w:rsid w:val="0059602E"/>
    <w:rsid w:val="00596461"/>
    <w:rsid w:val="005A081F"/>
    <w:rsid w:val="005A0B18"/>
    <w:rsid w:val="005A0BB0"/>
    <w:rsid w:val="005A0C31"/>
    <w:rsid w:val="005A0C53"/>
    <w:rsid w:val="005A1ED7"/>
    <w:rsid w:val="005A20F3"/>
    <w:rsid w:val="005A59D5"/>
    <w:rsid w:val="005A650C"/>
    <w:rsid w:val="005B1CBB"/>
    <w:rsid w:val="005B3393"/>
    <w:rsid w:val="005B3CDD"/>
    <w:rsid w:val="005B4583"/>
    <w:rsid w:val="005B4907"/>
    <w:rsid w:val="005B4921"/>
    <w:rsid w:val="005B49C2"/>
    <w:rsid w:val="005B642D"/>
    <w:rsid w:val="005B68C4"/>
    <w:rsid w:val="005B6C96"/>
    <w:rsid w:val="005B758D"/>
    <w:rsid w:val="005B78D3"/>
    <w:rsid w:val="005C1C1A"/>
    <w:rsid w:val="005C617D"/>
    <w:rsid w:val="005C62B8"/>
    <w:rsid w:val="005D3618"/>
    <w:rsid w:val="005D3C81"/>
    <w:rsid w:val="005D47F9"/>
    <w:rsid w:val="005D5321"/>
    <w:rsid w:val="005E03BD"/>
    <w:rsid w:val="005E0A5F"/>
    <w:rsid w:val="005E1627"/>
    <w:rsid w:val="005E2A9F"/>
    <w:rsid w:val="005E2BC9"/>
    <w:rsid w:val="005E2E4D"/>
    <w:rsid w:val="005E4961"/>
    <w:rsid w:val="005E5538"/>
    <w:rsid w:val="005E55EF"/>
    <w:rsid w:val="005E7C18"/>
    <w:rsid w:val="005E7C9D"/>
    <w:rsid w:val="005F05F4"/>
    <w:rsid w:val="005F0D9B"/>
    <w:rsid w:val="005F1FA1"/>
    <w:rsid w:val="005F291D"/>
    <w:rsid w:val="005F2A87"/>
    <w:rsid w:val="005F326D"/>
    <w:rsid w:val="005F3FF1"/>
    <w:rsid w:val="005F4190"/>
    <w:rsid w:val="005F5E51"/>
    <w:rsid w:val="005F65D2"/>
    <w:rsid w:val="005F662B"/>
    <w:rsid w:val="00600038"/>
    <w:rsid w:val="00601FF5"/>
    <w:rsid w:val="0060200B"/>
    <w:rsid w:val="00602A9C"/>
    <w:rsid w:val="00603219"/>
    <w:rsid w:val="0060399B"/>
    <w:rsid w:val="006044DD"/>
    <w:rsid w:val="00611CEE"/>
    <w:rsid w:val="006122C4"/>
    <w:rsid w:val="00613321"/>
    <w:rsid w:val="006144C0"/>
    <w:rsid w:val="00615545"/>
    <w:rsid w:val="006159A6"/>
    <w:rsid w:val="00617015"/>
    <w:rsid w:val="00620477"/>
    <w:rsid w:val="006205B7"/>
    <w:rsid w:val="00621099"/>
    <w:rsid w:val="006221BC"/>
    <w:rsid w:val="006228B9"/>
    <w:rsid w:val="00624082"/>
    <w:rsid w:val="00624317"/>
    <w:rsid w:val="00624A32"/>
    <w:rsid w:val="00624B64"/>
    <w:rsid w:val="00624D2B"/>
    <w:rsid w:val="006312E1"/>
    <w:rsid w:val="0063155B"/>
    <w:rsid w:val="00631B34"/>
    <w:rsid w:val="00631C01"/>
    <w:rsid w:val="006329ED"/>
    <w:rsid w:val="00634114"/>
    <w:rsid w:val="006352A2"/>
    <w:rsid w:val="006356BF"/>
    <w:rsid w:val="006366BA"/>
    <w:rsid w:val="006376F2"/>
    <w:rsid w:val="00637EFE"/>
    <w:rsid w:val="0064001F"/>
    <w:rsid w:val="006422CF"/>
    <w:rsid w:val="00642757"/>
    <w:rsid w:val="00642CA8"/>
    <w:rsid w:val="00645580"/>
    <w:rsid w:val="00645B7E"/>
    <w:rsid w:val="006471D9"/>
    <w:rsid w:val="00647E02"/>
    <w:rsid w:val="00650540"/>
    <w:rsid w:val="0065057E"/>
    <w:rsid w:val="00650F70"/>
    <w:rsid w:val="006520BB"/>
    <w:rsid w:val="00652C41"/>
    <w:rsid w:val="00655242"/>
    <w:rsid w:val="0065570B"/>
    <w:rsid w:val="00655737"/>
    <w:rsid w:val="006559C3"/>
    <w:rsid w:val="00661C05"/>
    <w:rsid w:val="00661E0F"/>
    <w:rsid w:val="00663010"/>
    <w:rsid w:val="00664F68"/>
    <w:rsid w:val="00666982"/>
    <w:rsid w:val="00667864"/>
    <w:rsid w:val="00667C87"/>
    <w:rsid w:val="00670679"/>
    <w:rsid w:val="00671123"/>
    <w:rsid w:val="00672C28"/>
    <w:rsid w:val="0067340E"/>
    <w:rsid w:val="006755EC"/>
    <w:rsid w:val="00675A37"/>
    <w:rsid w:val="00675F16"/>
    <w:rsid w:val="00676904"/>
    <w:rsid w:val="006834B7"/>
    <w:rsid w:val="00684668"/>
    <w:rsid w:val="00684BAC"/>
    <w:rsid w:val="00685E3E"/>
    <w:rsid w:val="00686976"/>
    <w:rsid w:val="006879E0"/>
    <w:rsid w:val="00687A2C"/>
    <w:rsid w:val="00693B08"/>
    <w:rsid w:val="00693F97"/>
    <w:rsid w:val="006941C5"/>
    <w:rsid w:val="00694E64"/>
    <w:rsid w:val="006955BB"/>
    <w:rsid w:val="00695885"/>
    <w:rsid w:val="00695A24"/>
    <w:rsid w:val="00697479"/>
    <w:rsid w:val="00697626"/>
    <w:rsid w:val="00697A20"/>
    <w:rsid w:val="006A00DA"/>
    <w:rsid w:val="006A2CC6"/>
    <w:rsid w:val="006A3265"/>
    <w:rsid w:val="006A4872"/>
    <w:rsid w:val="006A5A6B"/>
    <w:rsid w:val="006A5FC3"/>
    <w:rsid w:val="006A6962"/>
    <w:rsid w:val="006A6D3D"/>
    <w:rsid w:val="006A7C65"/>
    <w:rsid w:val="006B0512"/>
    <w:rsid w:val="006B06C6"/>
    <w:rsid w:val="006B1503"/>
    <w:rsid w:val="006B29BF"/>
    <w:rsid w:val="006B2B86"/>
    <w:rsid w:val="006B2DDD"/>
    <w:rsid w:val="006B3AD7"/>
    <w:rsid w:val="006B43C8"/>
    <w:rsid w:val="006B4BDA"/>
    <w:rsid w:val="006B54E3"/>
    <w:rsid w:val="006B5EE2"/>
    <w:rsid w:val="006B5FB3"/>
    <w:rsid w:val="006B65D6"/>
    <w:rsid w:val="006C003B"/>
    <w:rsid w:val="006C068A"/>
    <w:rsid w:val="006C198E"/>
    <w:rsid w:val="006C1EA5"/>
    <w:rsid w:val="006C21A9"/>
    <w:rsid w:val="006C2A6E"/>
    <w:rsid w:val="006C2B85"/>
    <w:rsid w:val="006C3C8A"/>
    <w:rsid w:val="006C4C03"/>
    <w:rsid w:val="006C4CFF"/>
    <w:rsid w:val="006C56D6"/>
    <w:rsid w:val="006C5A73"/>
    <w:rsid w:val="006D46B8"/>
    <w:rsid w:val="006D60DB"/>
    <w:rsid w:val="006D79B0"/>
    <w:rsid w:val="006E168A"/>
    <w:rsid w:val="006E1D96"/>
    <w:rsid w:val="006E1FAF"/>
    <w:rsid w:val="006E2533"/>
    <w:rsid w:val="006E28BC"/>
    <w:rsid w:val="006E2B00"/>
    <w:rsid w:val="006E5B15"/>
    <w:rsid w:val="006E5FF8"/>
    <w:rsid w:val="006E6423"/>
    <w:rsid w:val="006E7431"/>
    <w:rsid w:val="006F01F1"/>
    <w:rsid w:val="006F07EC"/>
    <w:rsid w:val="006F0B5A"/>
    <w:rsid w:val="006F0C26"/>
    <w:rsid w:val="006F2452"/>
    <w:rsid w:val="006F24EB"/>
    <w:rsid w:val="006F2E22"/>
    <w:rsid w:val="006F32E9"/>
    <w:rsid w:val="006F3D0A"/>
    <w:rsid w:val="006F3E17"/>
    <w:rsid w:val="006F4F1F"/>
    <w:rsid w:val="006F5FB6"/>
    <w:rsid w:val="006F786F"/>
    <w:rsid w:val="00702CA0"/>
    <w:rsid w:val="00704D51"/>
    <w:rsid w:val="00705887"/>
    <w:rsid w:val="00707250"/>
    <w:rsid w:val="00710267"/>
    <w:rsid w:val="007103CD"/>
    <w:rsid w:val="0071098A"/>
    <w:rsid w:val="007154EC"/>
    <w:rsid w:val="007154FB"/>
    <w:rsid w:val="00716E6B"/>
    <w:rsid w:val="007206A6"/>
    <w:rsid w:val="00720D1F"/>
    <w:rsid w:val="007211EC"/>
    <w:rsid w:val="00722C56"/>
    <w:rsid w:val="00723559"/>
    <w:rsid w:val="00724AF6"/>
    <w:rsid w:val="00725A3F"/>
    <w:rsid w:val="00725D66"/>
    <w:rsid w:val="0072611F"/>
    <w:rsid w:val="00730616"/>
    <w:rsid w:val="00731C27"/>
    <w:rsid w:val="007334E6"/>
    <w:rsid w:val="00737B36"/>
    <w:rsid w:val="00737C90"/>
    <w:rsid w:val="007411CE"/>
    <w:rsid w:val="007415E2"/>
    <w:rsid w:val="007416B9"/>
    <w:rsid w:val="007443C3"/>
    <w:rsid w:val="00744576"/>
    <w:rsid w:val="0074692B"/>
    <w:rsid w:val="00747504"/>
    <w:rsid w:val="00754B9F"/>
    <w:rsid w:val="00754E8E"/>
    <w:rsid w:val="00755A19"/>
    <w:rsid w:val="00756317"/>
    <w:rsid w:val="007608FA"/>
    <w:rsid w:val="007620DD"/>
    <w:rsid w:val="00762A2E"/>
    <w:rsid w:val="00763A8B"/>
    <w:rsid w:val="00767B3F"/>
    <w:rsid w:val="00767DF0"/>
    <w:rsid w:val="0077050B"/>
    <w:rsid w:val="0077059C"/>
    <w:rsid w:val="007736F3"/>
    <w:rsid w:val="007806DB"/>
    <w:rsid w:val="0078115B"/>
    <w:rsid w:val="00782356"/>
    <w:rsid w:val="00782E80"/>
    <w:rsid w:val="0078533D"/>
    <w:rsid w:val="007910C0"/>
    <w:rsid w:val="0079202F"/>
    <w:rsid w:val="00792C07"/>
    <w:rsid w:val="00792D3B"/>
    <w:rsid w:val="007933F3"/>
    <w:rsid w:val="00793861"/>
    <w:rsid w:val="00794BAC"/>
    <w:rsid w:val="007A1708"/>
    <w:rsid w:val="007A3FE8"/>
    <w:rsid w:val="007A4A24"/>
    <w:rsid w:val="007A4DE1"/>
    <w:rsid w:val="007A60C4"/>
    <w:rsid w:val="007B141A"/>
    <w:rsid w:val="007B265C"/>
    <w:rsid w:val="007B2A66"/>
    <w:rsid w:val="007B5D39"/>
    <w:rsid w:val="007B626F"/>
    <w:rsid w:val="007B6AE7"/>
    <w:rsid w:val="007C403F"/>
    <w:rsid w:val="007C472A"/>
    <w:rsid w:val="007C5A85"/>
    <w:rsid w:val="007C6197"/>
    <w:rsid w:val="007D10D4"/>
    <w:rsid w:val="007D16EB"/>
    <w:rsid w:val="007D175C"/>
    <w:rsid w:val="007D294C"/>
    <w:rsid w:val="007D447F"/>
    <w:rsid w:val="007D5363"/>
    <w:rsid w:val="007D5375"/>
    <w:rsid w:val="007D7A41"/>
    <w:rsid w:val="007D7E2A"/>
    <w:rsid w:val="007E09BC"/>
    <w:rsid w:val="007E1095"/>
    <w:rsid w:val="007E129E"/>
    <w:rsid w:val="007E1B93"/>
    <w:rsid w:val="007E3256"/>
    <w:rsid w:val="007E3281"/>
    <w:rsid w:val="007E3B5C"/>
    <w:rsid w:val="007E4882"/>
    <w:rsid w:val="007E5210"/>
    <w:rsid w:val="007E606A"/>
    <w:rsid w:val="007E6238"/>
    <w:rsid w:val="007E67CB"/>
    <w:rsid w:val="007E68FC"/>
    <w:rsid w:val="007E7BE6"/>
    <w:rsid w:val="007F2210"/>
    <w:rsid w:val="007F3385"/>
    <w:rsid w:val="007F5305"/>
    <w:rsid w:val="007F7544"/>
    <w:rsid w:val="007F7720"/>
    <w:rsid w:val="007F7FD5"/>
    <w:rsid w:val="00801C5E"/>
    <w:rsid w:val="0080320E"/>
    <w:rsid w:val="00803FE0"/>
    <w:rsid w:val="0081050C"/>
    <w:rsid w:val="00812F4A"/>
    <w:rsid w:val="00813C38"/>
    <w:rsid w:val="00814577"/>
    <w:rsid w:val="008157DE"/>
    <w:rsid w:val="0081698E"/>
    <w:rsid w:val="00817AB2"/>
    <w:rsid w:val="00820049"/>
    <w:rsid w:val="00821A52"/>
    <w:rsid w:val="00821DFB"/>
    <w:rsid w:val="00822F4D"/>
    <w:rsid w:val="008230AA"/>
    <w:rsid w:val="008238F7"/>
    <w:rsid w:val="008246F1"/>
    <w:rsid w:val="00825FE7"/>
    <w:rsid w:val="00826B94"/>
    <w:rsid w:val="00827631"/>
    <w:rsid w:val="008277EB"/>
    <w:rsid w:val="00833B1F"/>
    <w:rsid w:val="008340F4"/>
    <w:rsid w:val="00834376"/>
    <w:rsid w:val="0083445C"/>
    <w:rsid w:val="008345B1"/>
    <w:rsid w:val="00834DC3"/>
    <w:rsid w:val="00835836"/>
    <w:rsid w:val="00835F61"/>
    <w:rsid w:val="008360A9"/>
    <w:rsid w:val="00836AC4"/>
    <w:rsid w:val="0083716B"/>
    <w:rsid w:val="00837A26"/>
    <w:rsid w:val="008408FD"/>
    <w:rsid w:val="00840DE1"/>
    <w:rsid w:val="0084132C"/>
    <w:rsid w:val="00841479"/>
    <w:rsid w:val="008414D3"/>
    <w:rsid w:val="00842CC6"/>
    <w:rsid w:val="0084316C"/>
    <w:rsid w:val="0084464F"/>
    <w:rsid w:val="008459D4"/>
    <w:rsid w:val="0084769B"/>
    <w:rsid w:val="0085363B"/>
    <w:rsid w:val="008537CB"/>
    <w:rsid w:val="00855D5A"/>
    <w:rsid w:val="00855EAB"/>
    <w:rsid w:val="00856277"/>
    <w:rsid w:val="00857D55"/>
    <w:rsid w:val="00860860"/>
    <w:rsid w:val="00862EB3"/>
    <w:rsid w:val="00864292"/>
    <w:rsid w:val="00871517"/>
    <w:rsid w:val="00871B8B"/>
    <w:rsid w:val="00873BAE"/>
    <w:rsid w:val="00874429"/>
    <w:rsid w:val="008762D7"/>
    <w:rsid w:val="00882575"/>
    <w:rsid w:val="00882ED1"/>
    <w:rsid w:val="008846D2"/>
    <w:rsid w:val="008850E8"/>
    <w:rsid w:val="00885474"/>
    <w:rsid w:val="0088679D"/>
    <w:rsid w:val="00893C5B"/>
    <w:rsid w:val="00893DEC"/>
    <w:rsid w:val="00894530"/>
    <w:rsid w:val="008968E0"/>
    <w:rsid w:val="008A268F"/>
    <w:rsid w:val="008A4A6E"/>
    <w:rsid w:val="008A6176"/>
    <w:rsid w:val="008A6E18"/>
    <w:rsid w:val="008A70AD"/>
    <w:rsid w:val="008B09F7"/>
    <w:rsid w:val="008B1518"/>
    <w:rsid w:val="008B19A1"/>
    <w:rsid w:val="008B4813"/>
    <w:rsid w:val="008B4FFA"/>
    <w:rsid w:val="008B6BB8"/>
    <w:rsid w:val="008C01A9"/>
    <w:rsid w:val="008C2808"/>
    <w:rsid w:val="008C36A7"/>
    <w:rsid w:val="008C6430"/>
    <w:rsid w:val="008D1B8A"/>
    <w:rsid w:val="008D2F44"/>
    <w:rsid w:val="008D56CD"/>
    <w:rsid w:val="008E02C4"/>
    <w:rsid w:val="008E113C"/>
    <w:rsid w:val="008E1471"/>
    <w:rsid w:val="008E2623"/>
    <w:rsid w:val="008E28AB"/>
    <w:rsid w:val="008E313D"/>
    <w:rsid w:val="008E71A4"/>
    <w:rsid w:val="008F105D"/>
    <w:rsid w:val="008F2E39"/>
    <w:rsid w:val="008F34DA"/>
    <w:rsid w:val="008F38C2"/>
    <w:rsid w:val="008F3DF9"/>
    <w:rsid w:val="008F65C5"/>
    <w:rsid w:val="00901630"/>
    <w:rsid w:val="00902205"/>
    <w:rsid w:val="0090310E"/>
    <w:rsid w:val="00903DD2"/>
    <w:rsid w:val="00904CCE"/>
    <w:rsid w:val="00906593"/>
    <w:rsid w:val="00911651"/>
    <w:rsid w:val="00912E21"/>
    <w:rsid w:val="009167B6"/>
    <w:rsid w:val="00916E47"/>
    <w:rsid w:val="00917AA6"/>
    <w:rsid w:val="00922C62"/>
    <w:rsid w:val="00922EDD"/>
    <w:rsid w:val="00926111"/>
    <w:rsid w:val="00926C60"/>
    <w:rsid w:val="00930C3D"/>
    <w:rsid w:val="00933262"/>
    <w:rsid w:val="00933531"/>
    <w:rsid w:val="00934827"/>
    <w:rsid w:val="00935055"/>
    <w:rsid w:val="00935763"/>
    <w:rsid w:val="00937EC6"/>
    <w:rsid w:val="009416F9"/>
    <w:rsid w:val="0094226B"/>
    <w:rsid w:val="0094387D"/>
    <w:rsid w:val="009461F2"/>
    <w:rsid w:val="009466EB"/>
    <w:rsid w:val="009467EC"/>
    <w:rsid w:val="00950726"/>
    <w:rsid w:val="00953D3F"/>
    <w:rsid w:val="00954143"/>
    <w:rsid w:val="00954A64"/>
    <w:rsid w:val="00960982"/>
    <w:rsid w:val="00964BF5"/>
    <w:rsid w:val="00965F81"/>
    <w:rsid w:val="009670E0"/>
    <w:rsid w:val="00967207"/>
    <w:rsid w:val="00967890"/>
    <w:rsid w:val="009722E6"/>
    <w:rsid w:val="00972E4E"/>
    <w:rsid w:val="0097388E"/>
    <w:rsid w:val="00973D5C"/>
    <w:rsid w:val="00974FA5"/>
    <w:rsid w:val="009752EA"/>
    <w:rsid w:val="0097666D"/>
    <w:rsid w:val="009776A0"/>
    <w:rsid w:val="0098171D"/>
    <w:rsid w:val="0098237E"/>
    <w:rsid w:val="00982B0C"/>
    <w:rsid w:val="00983D3F"/>
    <w:rsid w:val="00983DFF"/>
    <w:rsid w:val="00983F5A"/>
    <w:rsid w:val="00984A6D"/>
    <w:rsid w:val="00985155"/>
    <w:rsid w:val="00993C5D"/>
    <w:rsid w:val="00995360"/>
    <w:rsid w:val="009978BD"/>
    <w:rsid w:val="009A2315"/>
    <w:rsid w:val="009A4B95"/>
    <w:rsid w:val="009A5AE4"/>
    <w:rsid w:val="009A6E57"/>
    <w:rsid w:val="009A726C"/>
    <w:rsid w:val="009A7525"/>
    <w:rsid w:val="009A784D"/>
    <w:rsid w:val="009B176A"/>
    <w:rsid w:val="009B232C"/>
    <w:rsid w:val="009B2B24"/>
    <w:rsid w:val="009B3852"/>
    <w:rsid w:val="009B3EEF"/>
    <w:rsid w:val="009B3FD7"/>
    <w:rsid w:val="009B5060"/>
    <w:rsid w:val="009B5FBE"/>
    <w:rsid w:val="009B775C"/>
    <w:rsid w:val="009C30CF"/>
    <w:rsid w:val="009C5EE7"/>
    <w:rsid w:val="009C61C7"/>
    <w:rsid w:val="009C642D"/>
    <w:rsid w:val="009C6D08"/>
    <w:rsid w:val="009D0225"/>
    <w:rsid w:val="009D0AE0"/>
    <w:rsid w:val="009D45F9"/>
    <w:rsid w:val="009D5BB5"/>
    <w:rsid w:val="009E0409"/>
    <w:rsid w:val="009E1D39"/>
    <w:rsid w:val="009E1FA6"/>
    <w:rsid w:val="009E3346"/>
    <w:rsid w:val="009E3E04"/>
    <w:rsid w:val="009E41E9"/>
    <w:rsid w:val="009E6B1B"/>
    <w:rsid w:val="009F0F1A"/>
    <w:rsid w:val="009F1EFB"/>
    <w:rsid w:val="009F426C"/>
    <w:rsid w:val="009F5C05"/>
    <w:rsid w:val="009F62B6"/>
    <w:rsid w:val="00A001E8"/>
    <w:rsid w:val="00A00CB5"/>
    <w:rsid w:val="00A02601"/>
    <w:rsid w:val="00A02E02"/>
    <w:rsid w:val="00A10B48"/>
    <w:rsid w:val="00A10E93"/>
    <w:rsid w:val="00A12DCC"/>
    <w:rsid w:val="00A12EBA"/>
    <w:rsid w:val="00A12FC7"/>
    <w:rsid w:val="00A1422D"/>
    <w:rsid w:val="00A142C0"/>
    <w:rsid w:val="00A15758"/>
    <w:rsid w:val="00A176DC"/>
    <w:rsid w:val="00A20301"/>
    <w:rsid w:val="00A20CD1"/>
    <w:rsid w:val="00A22634"/>
    <w:rsid w:val="00A22BAF"/>
    <w:rsid w:val="00A23A35"/>
    <w:rsid w:val="00A24BDD"/>
    <w:rsid w:val="00A257CF"/>
    <w:rsid w:val="00A2671A"/>
    <w:rsid w:val="00A3226D"/>
    <w:rsid w:val="00A33287"/>
    <w:rsid w:val="00A33C3B"/>
    <w:rsid w:val="00A3586D"/>
    <w:rsid w:val="00A35ECA"/>
    <w:rsid w:val="00A3648F"/>
    <w:rsid w:val="00A36FCB"/>
    <w:rsid w:val="00A370E6"/>
    <w:rsid w:val="00A37CEF"/>
    <w:rsid w:val="00A4455E"/>
    <w:rsid w:val="00A47F76"/>
    <w:rsid w:val="00A57E36"/>
    <w:rsid w:val="00A60206"/>
    <w:rsid w:val="00A6023F"/>
    <w:rsid w:val="00A631BF"/>
    <w:rsid w:val="00A6561C"/>
    <w:rsid w:val="00A66AD7"/>
    <w:rsid w:val="00A67273"/>
    <w:rsid w:val="00A679BA"/>
    <w:rsid w:val="00A717B4"/>
    <w:rsid w:val="00A74921"/>
    <w:rsid w:val="00A75402"/>
    <w:rsid w:val="00A75A28"/>
    <w:rsid w:val="00A75BB6"/>
    <w:rsid w:val="00A76535"/>
    <w:rsid w:val="00A778AE"/>
    <w:rsid w:val="00A8356E"/>
    <w:rsid w:val="00A84249"/>
    <w:rsid w:val="00A8495E"/>
    <w:rsid w:val="00A85F66"/>
    <w:rsid w:val="00A86A2F"/>
    <w:rsid w:val="00A87B7B"/>
    <w:rsid w:val="00A90BC8"/>
    <w:rsid w:val="00A91788"/>
    <w:rsid w:val="00A92C38"/>
    <w:rsid w:val="00A946CE"/>
    <w:rsid w:val="00A9484B"/>
    <w:rsid w:val="00A95C57"/>
    <w:rsid w:val="00A966A7"/>
    <w:rsid w:val="00A97AF9"/>
    <w:rsid w:val="00A97CCB"/>
    <w:rsid w:val="00A97E57"/>
    <w:rsid w:val="00AA015B"/>
    <w:rsid w:val="00AA0559"/>
    <w:rsid w:val="00AA1AA0"/>
    <w:rsid w:val="00AA228B"/>
    <w:rsid w:val="00AA2619"/>
    <w:rsid w:val="00AA491F"/>
    <w:rsid w:val="00AA5EDC"/>
    <w:rsid w:val="00AA6E32"/>
    <w:rsid w:val="00AA7BB7"/>
    <w:rsid w:val="00AB057B"/>
    <w:rsid w:val="00AB1748"/>
    <w:rsid w:val="00AB17F0"/>
    <w:rsid w:val="00AB20DF"/>
    <w:rsid w:val="00AB3CEB"/>
    <w:rsid w:val="00AB585F"/>
    <w:rsid w:val="00AC0624"/>
    <w:rsid w:val="00AC0E3C"/>
    <w:rsid w:val="00AC18EC"/>
    <w:rsid w:val="00AC3ABF"/>
    <w:rsid w:val="00AC3D9A"/>
    <w:rsid w:val="00AC4350"/>
    <w:rsid w:val="00AC6E25"/>
    <w:rsid w:val="00AC70E3"/>
    <w:rsid w:val="00AC72EE"/>
    <w:rsid w:val="00AC789E"/>
    <w:rsid w:val="00AD030F"/>
    <w:rsid w:val="00AD3C72"/>
    <w:rsid w:val="00AD4457"/>
    <w:rsid w:val="00AD5705"/>
    <w:rsid w:val="00AD6B7F"/>
    <w:rsid w:val="00AD79AE"/>
    <w:rsid w:val="00AE0EC5"/>
    <w:rsid w:val="00AE13E3"/>
    <w:rsid w:val="00AE352C"/>
    <w:rsid w:val="00AE382F"/>
    <w:rsid w:val="00AE3F41"/>
    <w:rsid w:val="00AE405A"/>
    <w:rsid w:val="00AE4C81"/>
    <w:rsid w:val="00AE57BB"/>
    <w:rsid w:val="00AE7ACB"/>
    <w:rsid w:val="00AF052F"/>
    <w:rsid w:val="00AF1A6F"/>
    <w:rsid w:val="00AF1DCE"/>
    <w:rsid w:val="00AF27F3"/>
    <w:rsid w:val="00AF3545"/>
    <w:rsid w:val="00AF73ED"/>
    <w:rsid w:val="00AF7E2F"/>
    <w:rsid w:val="00B0050B"/>
    <w:rsid w:val="00B00D82"/>
    <w:rsid w:val="00B02E7E"/>
    <w:rsid w:val="00B03441"/>
    <w:rsid w:val="00B0454A"/>
    <w:rsid w:val="00B04AAC"/>
    <w:rsid w:val="00B053C8"/>
    <w:rsid w:val="00B05797"/>
    <w:rsid w:val="00B05EE5"/>
    <w:rsid w:val="00B07083"/>
    <w:rsid w:val="00B11799"/>
    <w:rsid w:val="00B12519"/>
    <w:rsid w:val="00B12E05"/>
    <w:rsid w:val="00B1368A"/>
    <w:rsid w:val="00B13DC5"/>
    <w:rsid w:val="00B1466D"/>
    <w:rsid w:val="00B16491"/>
    <w:rsid w:val="00B165DE"/>
    <w:rsid w:val="00B20D21"/>
    <w:rsid w:val="00B210D1"/>
    <w:rsid w:val="00B2307D"/>
    <w:rsid w:val="00B2316D"/>
    <w:rsid w:val="00B236F6"/>
    <w:rsid w:val="00B255AC"/>
    <w:rsid w:val="00B26737"/>
    <w:rsid w:val="00B26EAB"/>
    <w:rsid w:val="00B276B2"/>
    <w:rsid w:val="00B27BA0"/>
    <w:rsid w:val="00B27F6B"/>
    <w:rsid w:val="00B30175"/>
    <w:rsid w:val="00B30B66"/>
    <w:rsid w:val="00B3311D"/>
    <w:rsid w:val="00B33342"/>
    <w:rsid w:val="00B34822"/>
    <w:rsid w:val="00B3593D"/>
    <w:rsid w:val="00B36FBC"/>
    <w:rsid w:val="00B40FFB"/>
    <w:rsid w:val="00B41096"/>
    <w:rsid w:val="00B4211D"/>
    <w:rsid w:val="00B43373"/>
    <w:rsid w:val="00B44056"/>
    <w:rsid w:val="00B44844"/>
    <w:rsid w:val="00B45DF0"/>
    <w:rsid w:val="00B474AB"/>
    <w:rsid w:val="00B47AEE"/>
    <w:rsid w:val="00B47CBF"/>
    <w:rsid w:val="00B50DF8"/>
    <w:rsid w:val="00B52559"/>
    <w:rsid w:val="00B53DDF"/>
    <w:rsid w:val="00B54F07"/>
    <w:rsid w:val="00B55399"/>
    <w:rsid w:val="00B5589A"/>
    <w:rsid w:val="00B55F36"/>
    <w:rsid w:val="00B567F1"/>
    <w:rsid w:val="00B579F7"/>
    <w:rsid w:val="00B643DF"/>
    <w:rsid w:val="00B65A5F"/>
    <w:rsid w:val="00B6750C"/>
    <w:rsid w:val="00B67671"/>
    <w:rsid w:val="00B70686"/>
    <w:rsid w:val="00B70A17"/>
    <w:rsid w:val="00B7194C"/>
    <w:rsid w:val="00B71BC8"/>
    <w:rsid w:val="00B722D8"/>
    <w:rsid w:val="00B7257E"/>
    <w:rsid w:val="00B726AE"/>
    <w:rsid w:val="00B72ABC"/>
    <w:rsid w:val="00B74BEF"/>
    <w:rsid w:val="00B74D56"/>
    <w:rsid w:val="00B74FD2"/>
    <w:rsid w:val="00B776F5"/>
    <w:rsid w:val="00B819B0"/>
    <w:rsid w:val="00B81B2A"/>
    <w:rsid w:val="00B81E1B"/>
    <w:rsid w:val="00B82F3F"/>
    <w:rsid w:val="00B835A1"/>
    <w:rsid w:val="00B859A9"/>
    <w:rsid w:val="00B85DB8"/>
    <w:rsid w:val="00B86FFB"/>
    <w:rsid w:val="00B875CA"/>
    <w:rsid w:val="00B91DB1"/>
    <w:rsid w:val="00B92E13"/>
    <w:rsid w:val="00B93D38"/>
    <w:rsid w:val="00B94221"/>
    <w:rsid w:val="00B95B68"/>
    <w:rsid w:val="00B96472"/>
    <w:rsid w:val="00B97090"/>
    <w:rsid w:val="00BA05AE"/>
    <w:rsid w:val="00BA07EE"/>
    <w:rsid w:val="00BA082F"/>
    <w:rsid w:val="00BA13B6"/>
    <w:rsid w:val="00BA291C"/>
    <w:rsid w:val="00BA589A"/>
    <w:rsid w:val="00BA7CCC"/>
    <w:rsid w:val="00BB14BB"/>
    <w:rsid w:val="00BB1E97"/>
    <w:rsid w:val="00BB27BF"/>
    <w:rsid w:val="00BB2951"/>
    <w:rsid w:val="00BB5F95"/>
    <w:rsid w:val="00BB7231"/>
    <w:rsid w:val="00BB7E63"/>
    <w:rsid w:val="00BC04AB"/>
    <w:rsid w:val="00BC127E"/>
    <w:rsid w:val="00BC143E"/>
    <w:rsid w:val="00BC7A42"/>
    <w:rsid w:val="00BD05D0"/>
    <w:rsid w:val="00BD6842"/>
    <w:rsid w:val="00BD7AAA"/>
    <w:rsid w:val="00BE0958"/>
    <w:rsid w:val="00BE18B8"/>
    <w:rsid w:val="00BE19D7"/>
    <w:rsid w:val="00BE22C7"/>
    <w:rsid w:val="00BE478D"/>
    <w:rsid w:val="00BE6AE6"/>
    <w:rsid w:val="00BE7391"/>
    <w:rsid w:val="00BE766F"/>
    <w:rsid w:val="00BF06BB"/>
    <w:rsid w:val="00BF06C8"/>
    <w:rsid w:val="00BF0B85"/>
    <w:rsid w:val="00BF1484"/>
    <w:rsid w:val="00BF1BC5"/>
    <w:rsid w:val="00BF1EB4"/>
    <w:rsid w:val="00BF3208"/>
    <w:rsid w:val="00BF3F42"/>
    <w:rsid w:val="00BF456E"/>
    <w:rsid w:val="00BF4F0B"/>
    <w:rsid w:val="00BF5F62"/>
    <w:rsid w:val="00BF6E4D"/>
    <w:rsid w:val="00BF7805"/>
    <w:rsid w:val="00BF7949"/>
    <w:rsid w:val="00BF7B5F"/>
    <w:rsid w:val="00BF7CF9"/>
    <w:rsid w:val="00C001AB"/>
    <w:rsid w:val="00C00E37"/>
    <w:rsid w:val="00C01B2B"/>
    <w:rsid w:val="00C02EAC"/>
    <w:rsid w:val="00C05BEF"/>
    <w:rsid w:val="00C06D63"/>
    <w:rsid w:val="00C07A60"/>
    <w:rsid w:val="00C105F1"/>
    <w:rsid w:val="00C11962"/>
    <w:rsid w:val="00C15E96"/>
    <w:rsid w:val="00C16161"/>
    <w:rsid w:val="00C1743B"/>
    <w:rsid w:val="00C21AA9"/>
    <w:rsid w:val="00C23D0E"/>
    <w:rsid w:val="00C2554A"/>
    <w:rsid w:val="00C2619E"/>
    <w:rsid w:val="00C27F69"/>
    <w:rsid w:val="00C30037"/>
    <w:rsid w:val="00C303FF"/>
    <w:rsid w:val="00C30B0C"/>
    <w:rsid w:val="00C310A3"/>
    <w:rsid w:val="00C33606"/>
    <w:rsid w:val="00C40059"/>
    <w:rsid w:val="00C4125E"/>
    <w:rsid w:val="00C41E4D"/>
    <w:rsid w:val="00C42D54"/>
    <w:rsid w:val="00C43ABF"/>
    <w:rsid w:val="00C456B2"/>
    <w:rsid w:val="00C51113"/>
    <w:rsid w:val="00C51738"/>
    <w:rsid w:val="00C5223D"/>
    <w:rsid w:val="00C53475"/>
    <w:rsid w:val="00C537FA"/>
    <w:rsid w:val="00C53A51"/>
    <w:rsid w:val="00C53DD0"/>
    <w:rsid w:val="00C5443F"/>
    <w:rsid w:val="00C57563"/>
    <w:rsid w:val="00C576D1"/>
    <w:rsid w:val="00C57846"/>
    <w:rsid w:val="00C60F5C"/>
    <w:rsid w:val="00C61354"/>
    <w:rsid w:val="00C65FF7"/>
    <w:rsid w:val="00C66C36"/>
    <w:rsid w:val="00C6743A"/>
    <w:rsid w:val="00C7030D"/>
    <w:rsid w:val="00C718F6"/>
    <w:rsid w:val="00C723D2"/>
    <w:rsid w:val="00C73A3C"/>
    <w:rsid w:val="00C748F8"/>
    <w:rsid w:val="00C77190"/>
    <w:rsid w:val="00C77C4C"/>
    <w:rsid w:val="00C80CA6"/>
    <w:rsid w:val="00C82A94"/>
    <w:rsid w:val="00C82ACB"/>
    <w:rsid w:val="00C83F01"/>
    <w:rsid w:val="00C841D0"/>
    <w:rsid w:val="00C8458B"/>
    <w:rsid w:val="00C8528D"/>
    <w:rsid w:val="00C85571"/>
    <w:rsid w:val="00C90495"/>
    <w:rsid w:val="00C91C9D"/>
    <w:rsid w:val="00C92888"/>
    <w:rsid w:val="00C92E06"/>
    <w:rsid w:val="00C9312F"/>
    <w:rsid w:val="00C931B2"/>
    <w:rsid w:val="00C93741"/>
    <w:rsid w:val="00C93E3D"/>
    <w:rsid w:val="00C93E5D"/>
    <w:rsid w:val="00C9537B"/>
    <w:rsid w:val="00C9543C"/>
    <w:rsid w:val="00C974BE"/>
    <w:rsid w:val="00CA3540"/>
    <w:rsid w:val="00CA3576"/>
    <w:rsid w:val="00CA58BB"/>
    <w:rsid w:val="00CA7114"/>
    <w:rsid w:val="00CA7435"/>
    <w:rsid w:val="00CA7894"/>
    <w:rsid w:val="00CB0BD7"/>
    <w:rsid w:val="00CB0E90"/>
    <w:rsid w:val="00CB166A"/>
    <w:rsid w:val="00CB34C0"/>
    <w:rsid w:val="00CB3AF5"/>
    <w:rsid w:val="00CB75CB"/>
    <w:rsid w:val="00CC04AA"/>
    <w:rsid w:val="00CC1EF2"/>
    <w:rsid w:val="00CC3EF4"/>
    <w:rsid w:val="00CC487F"/>
    <w:rsid w:val="00CC549E"/>
    <w:rsid w:val="00CD0C00"/>
    <w:rsid w:val="00CD27D6"/>
    <w:rsid w:val="00CD31F7"/>
    <w:rsid w:val="00CD3888"/>
    <w:rsid w:val="00CD447C"/>
    <w:rsid w:val="00CD4804"/>
    <w:rsid w:val="00CD6C8D"/>
    <w:rsid w:val="00CD7690"/>
    <w:rsid w:val="00CE03AA"/>
    <w:rsid w:val="00CE2E45"/>
    <w:rsid w:val="00CE4A25"/>
    <w:rsid w:val="00CE501B"/>
    <w:rsid w:val="00CE57EB"/>
    <w:rsid w:val="00CE5B07"/>
    <w:rsid w:val="00CE6DCC"/>
    <w:rsid w:val="00CE7023"/>
    <w:rsid w:val="00CF4A88"/>
    <w:rsid w:val="00CF552B"/>
    <w:rsid w:val="00CF56FB"/>
    <w:rsid w:val="00CF665B"/>
    <w:rsid w:val="00D02E71"/>
    <w:rsid w:val="00D04140"/>
    <w:rsid w:val="00D06637"/>
    <w:rsid w:val="00D07341"/>
    <w:rsid w:val="00D07F44"/>
    <w:rsid w:val="00D115A1"/>
    <w:rsid w:val="00D12DF1"/>
    <w:rsid w:val="00D13583"/>
    <w:rsid w:val="00D138E6"/>
    <w:rsid w:val="00D149A9"/>
    <w:rsid w:val="00D150D4"/>
    <w:rsid w:val="00D15B69"/>
    <w:rsid w:val="00D2140D"/>
    <w:rsid w:val="00D217D3"/>
    <w:rsid w:val="00D21E96"/>
    <w:rsid w:val="00D2323F"/>
    <w:rsid w:val="00D23355"/>
    <w:rsid w:val="00D23397"/>
    <w:rsid w:val="00D246A0"/>
    <w:rsid w:val="00D258FB"/>
    <w:rsid w:val="00D26624"/>
    <w:rsid w:val="00D276D6"/>
    <w:rsid w:val="00D27B96"/>
    <w:rsid w:val="00D3108F"/>
    <w:rsid w:val="00D3476D"/>
    <w:rsid w:val="00D34EF4"/>
    <w:rsid w:val="00D358E6"/>
    <w:rsid w:val="00D368E4"/>
    <w:rsid w:val="00D37D75"/>
    <w:rsid w:val="00D40DCF"/>
    <w:rsid w:val="00D42DA3"/>
    <w:rsid w:val="00D432A3"/>
    <w:rsid w:val="00D45154"/>
    <w:rsid w:val="00D45B38"/>
    <w:rsid w:val="00D46FFA"/>
    <w:rsid w:val="00D47D8D"/>
    <w:rsid w:val="00D5014A"/>
    <w:rsid w:val="00D51C65"/>
    <w:rsid w:val="00D51FF9"/>
    <w:rsid w:val="00D52CE2"/>
    <w:rsid w:val="00D553BE"/>
    <w:rsid w:val="00D55417"/>
    <w:rsid w:val="00D55B6B"/>
    <w:rsid w:val="00D5700A"/>
    <w:rsid w:val="00D64554"/>
    <w:rsid w:val="00D65295"/>
    <w:rsid w:val="00D6696D"/>
    <w:rsid w:val="00D66FC9"/>
    <w:rsid w:val="00D67576"/>
    <w:rsid w:val="00D71047"/>
    <w:rsid w:val="00D719C3"/>
    <w:rsid w:val="00D72A63"/>
    <w:rsid w:val="00D73449"/>
    <w:rsid w:val="00D777AC"/>
    <w:rsid w:val="00D8007B"/>
    <w:rsid w:val="00D80E4C"/>
    <w:rsid w:val="00D81ED7"/>
    <w:rsid w:val="00D82582"/>
    <w:rsid w:val="00D85127"/>
    <w:rsid w:val="00D8592A"/>
    <w:rsid w:val="00D85E77"/>
    <w:rsid w:val="00D8600B"/>
    <w:rsid w:val="00D8685E"/>
    <w:rsid w:val="00D90E83"/>
    <w:rsid w:val="00D9285E"/>
    <w:rsid w:val="00D97E96"/>
    <w:rsid w:val="00DA1421"/>
    <w:rsid w:val="00DA15EF"/>
    <w:rsid w:val="00DA68D0"/>
    <w:rsid w:val="00DA6CDA"/>
    <w:rsid w:val="00DB06CA"/>
    <w:rsid w:val="00DB077A"/>
    <w:rsid w:val="00DB0C5D"/>
    <w:rsid w:val="00DB1B4A"/>
    <w:rsid w:val="00DB275E"/>
    <w:rsid w:val="00DB2A2E"/>
    <w:rsid w:val="00DB68D2"/>
    <w:rsid w:val="00DB6A87"/>
    <w:rsid w:val="00DC012F"/>
    <w:rsid w:val="00DC04A9"/>
    <w:rsid w:val="00DC1BC6"/>
    <w:rsid w:val="00DC30A1"/>
    <w:rsid w:val="00DC32C7"/>
    <w:rsid w:val="00DC371F"/>
    <w:rsid w:val="00DC64D7"/>
    <w:rsid w:val="00DC7462"/>
    <w:rsid w:val="00DD0AB9"/>
    <w:rsid w:val="00DD0B11"/>
    <w:rsid w:val="00DD140D"/>
    <w:rsid w:val="00DD256C"/>
    <w:rsid w:val="00DD3A56"/>
    <w:rsid w:val="00DD64F6"/>
    <w:rsid w:val="00DD6629"/>
    <w:rsid w:val="00DD6E33"/>
    <w:rsid w:val="00DE12C3"/>
    <w:rsid w:val="00DE42EE"/>
    <w:rsid w:val="00DE46EB"/>
    <w:rsid w:val="00DE4966"/>
    <w:rsid w:val="00DE510D"/>
    <w:rsid w:val="00DE64E0"/>
    <w:rsid w:val="00DE67FD"/>
    <w:rsid w:val="00DE7640"/>
    <w:rsid w:val="00DE7A19"/>
    <w:rsid w:val="00DF2676"/>
    <w:rsid w:val="00DF4942"/>
    <w:rsid w:val="00DF4CBD"/>
    <w:rsid w:val="00DF73EC"/>
    <w:rsid w:val="00DF7577"/>
    <w:rsid w:val="00E00182"/>
    <w:rsid w:val="00E004F6"/>
    <w:rsid w:val="00E00E11"/>
    <w:rsid w:val="00E00E50"/>
    <w:rsid w:val="00E01BD7"/>
    <w:rsid w:val="00E02254"/>
    <w:rsid w:val="00E03404"/>
    <w:rsid w:val="00E03760"/>
    <w:rsid w:val="00E044FC"/>
    <w:rsid w:val="00E0506A"/>
    <w:rsid w:val="00E067A7"/>
    <w:rsid w:val="00E073A6"/>
    <w:rsid w:val="00E13409"/>
    <w:rsid w:val="00E1390E"/>
    <w:rsid w:val="00E1415E"/>
    <w:rsid w:val="00E16370"/>
    <w:rsid w:val="00E1655E"/>
    <w:rsid w:val="00E20D9A"/>
    <w:rsid w:val="00E219CD"/>
    <w:rsid w:val="00E21DD7"/>
    <w:rsid w:val="00E235E3"/>
    <w:rsid w:val="00E2482C"/>
    <w:rsid w:val="00E27C7D"/>
    <w:rsid w:val="00E30B41"/>
    <w:rsid w:val="00E3174A"/>
    <w:rsid w:val="00E3276D"/>
    <w:rsid w:val="00E36302"/>
    <w:rsid w:val="00E36B5F"/>
    <w:rsid w:val="00E36E4B"/>
    <w:rsid w:val="00E4044E"/>
    <w:rsid w:val="00E42572"/>
    <w:rsid w:val="00E429CE"/>
    <w:rsid w:val="00E42AF7"/>
    <w:rsid w:val="00E42D8A"/>
    <w:rsid w:val="00E4348F"/>
    <w:rsid w:val="00E50877"/>
    <w:rsid w:val="00E522AF"/>
    <w:rsid w:val="00E56499"/>
    <w:rsid w:val="00E565BA"/>
    <w:rsid w:val="00E56C70"/>
    <w:rsid w:val="00E56D10"/>
    <w:rsid w:val="00E56D52"/>
    <w:rsid w:val="00E625CF"/>
    <w:rsid w:val="00E62710"/>
    <w:rsid w:val="00E64B23"/>
    <w:rsid w:val="00E664B6"/>
    <w:rsid w:val="00E71E4E"/>
    <w:rsid w:val="00E72A74"/>
    <w:rsid w:val="00E73E0D"/>
    <w:rsid w:val="00E7500D"/>
    <w:rsid w:val="00E8084C"/>
    <w:rsid w:val="00E81FD6"/>
    <w:rsid w:val="00E82404"/>
    <w:rsid w:val="00E82EE6"/>
    <w:rsid w:val="00E85522"/>
    <w:rsid w:val="00E86598"/>
    <w:rsid w:val="00E9076A"/>
    <w:rsid w:val="00E90D2B"/>
    <w:rsid w:val="00E96708"/>
    <w:rsid w:val="00E97637"/>
    <w:rsid w:val="00EA0606"/>
    <w:rsid w:val="00EA0C3D"/>
    <w:rsid w:val="00EA6364"/>
    <w:rsid w:val="00EA7043"/>
    <w:rsid w:val="00EA7FC1"/>
    <w:rsid w:val="00EB0209"/>
    <w:rsid w:val="00EB04F8"/>
    <w:rsid w:val="00EB053B"/>
    <w:rsid w:val="00EB4942"/>
    <w:rsid w:val="00EB6090"/>
    <w:rsid w:val="00EB6608"/>
    <w:rsid w:val="00EB67B0"/>
    <w:rsid w:val="00EC32BC"/>
    <w:rsid w:val="00EC465F"/>
    <w:rsid w:val="00EC530E"/>
    <w:rsid w:val="00EC5C57"/>
    <w:rsid w:val="00EC636D"/>
    <w:rsid w:val="00ED16E0"/>
    <w:rsid w:val="00ED1FB6"/>
    <w:rsid w:val="00ED26C1"/>
    <w:rsid w:val="00ED3032"/>
    <w:rsid w:val="00ED5A1C"/>
    <w:rsid w:val="00ED5F19"/>
    <w:rsid w:val="00EE1DF4"/>
    <w:rsid w:val="00EE3695"/>
    <w:rsid w:val="00EE51B2"/>
    <w:rsid w:val="00EE638D"/>
    <w:rsid w:val="00EF0085"/>
    <w:rsid w:val="00EF07A9"/>
    <w:rsid w:val="00EF3352"/>
    <w:rsid w:val="00EF43A6"/>
    <w:rsid w:val="00EF69A4"/>
    <w:rsid w:val="00EF7534"/>
    <w:rsid w:val="00EF7B5E"/>
    <w:rsid w:val="00F001A8"/>
    <w:rsid w:val="00F00B67"/>
    <w:rsid w:val="00F01785"/>
    <w:rsid w:val="00F01BD2"/>
    <w:rsid w:val="00F0411A"/>
    <w:rsid w:val="00F04A41"/>
    <w:rsid w:val="00F05406"/>
    <w:rsid w:val="00F054C0"/>
    <w:rsid w:val="00F06636"/>
    <w:rsid w:val="00F07DC5"/>
    <w:rsid w:val="00F117A7"/>
    <w:rsid w:val="00F11ED4"/>
    <w:rsid w:val="00F12012"/>
    <w:rsid w:val="00F12533"/>
    <w:rsid w:val="00F12910"/>
    <w:rsid w:val="00F14F72"/>
    <w:rsid w:val="00F1628D"/>
    <w:rsid w:val="00F16595"/>
    <w:rsid w:val="00F17C8A"/>
    <w:rsid w:val="00F20CC2"/>
    <w:rsid w:val="00F20FC4"/>
    <w:rsid w:val="00F21E76"/>
    <w:rsid w:val="00F23343"/>
    <w:rsid w:val="00F24969"/>
    <w:rsid w:val="00F265D9"/>
    <w:rsid w:val="00F267DE"/>
    <w:rsid w:val="00F30EAA"/>
    <w:rsid w:val="00F33886"/>
    <w:rsid w:val="00F35FAF"/>
    <w:rsid w:val="00F37065"/>
    <w:rsid w:val="00F3722B"/>
    <w:rsid w:val="00F400EC"/>
    <w:rsid w:val="00F43E31"/>
    <w:rsid w:val="00F44AC2"/>
    <w:rsid w:val="00F45779"/>
    <w:rsid w:val="00F45993"/>
    <w:rsid w:val="00F47A12"/>
    <w:rsid w:val="00F50AAB"/>
    <w:rsid w:val="00F51241"/>
    <w:rsid w:val="00F5133C"/>
    <w:rsid w:val="00F527D0"/>
    <w:rsid w:val="00F53956"/>
    <w:rsid w:val="00F53D99"/>
    <w:rsid w:val="00F5524D"/>
    <w:rsid w:val="00F600AB"/>
    <w:rsid w:val="00F603DE"/>
    <w:rsid w:val="00F60F6F"/>
    <w:rsid w:val="00F61C4B"/>
    <w:rsid w:val="00F61D8D"/>
    <w:rsid w:val="00F62027"/>
    <w:rsid w:val="00F64753"/>
    <w:rsid w:val="00F64F8A"/>
    <w:rsid w:val="00F65D15"/>
    <w:rsid w:val="00F66D1F"/>
    <w:rsid w:val="00F676B1"/>
    <w:rsid w:val="00F70072"/>
    <w:rsid w:val="00F72A05"/>
    <w:rsid w:val="00F7350F"/>
    <w:rsid w:val="00F740B9"/>
    <w:rsid w:val="00F7640A"/>
    <w:rsid w:val="00F76B6F"/>
    <w:rsid w:val="00F76FD8"/>
    <w:rsid w:val="00F803C2"/>
    <w:rsid w:val="00F81313"/>
    <w:rsid w:val="00F81A93"/>
    <w:rsid w:val="00F824F5"/>
    <w:rsid w:val="00F82848"/>
    <w:rsid w:val="00F84263"/>
    <w:rsid w:val="00F862FE"/>
    <w:rsid w:val="00F87E63"/>
    <w:rsid w:val="00F90EBE"/>
    <w:rsid w:val="00F916BF"/>
    <w:rsid w:val="00F91762"/>
    <w:rsid w:val="00F91CDB"/>
    <w:rsid w:val="00F9222D"/>
    <w:rsid w:val="00F932D2"/>
    <w:rsid w:val="00F9437C"/>
    <w:rsid w:val="00F945D5"/>
    <w:rsid w:val="00F95F12"/>
    <w:rsid w:val="00F96DF1"/>
    <w:rsid w:val="00FA061A"/>
    <w:rsid w:val="00FA4311"/>
    <w:rsid w:val="00FA43A3"/>
    <w:rsid w:val="00FA4C73"/>
    <w:rsid w:val="00FA5129"/>
    <w:rsid w:val="00FA6585"/>
    <w:rsid w:val="00FA6A49"/>
    <w:rsid w:val="00FA6C6B"/>
    <w:rsid w:val="00FB00AC"/>
    <w:rsid w:val="00FB1C48"/>
    <w:rsid w:val="00FB2835"/>
    <w:rsid w:val="00FB4BE9"/>
    <w:rsid w:val="00FB6142"/>
    <w:rsid w:val="00FB626F"/>
    <w:rsid w:val="00FC44DB"/>
    <w:rsid w:val="00FC56B9"/>
    <w:rsid w:val="00FC5F75"/>
    <w:rsid w:val="00FD04B5"/>
    <w:rsid w:val="00FD27C0"/>
    <w:rsid w:val="00FD2F39"/>
    <w:rsid w:val="00FD61A3"/>
    <w:rsid w:val="00FD61DB"/>
    <w:rsid w:val="00FD64E6"/>
    <w:rsid w:val="00FE4571"/>
    <w:rsid w:val="00FE4EDA"/>
    <w:rsid w:val="00FE5DFC"/>
    <w:rsid w:val="00FE7ED6"/>
    <w:rsid w:val="00FF01D9"/>
    <w:rsid w:val="00FF0C4E"/>
    <w:rsid w:val="00FF1D4A"/>
    <w:rsid w:val="00FF214C"/>
    <w:rsid w:val="00FF2B3F"/>
    <w:rsid w:val="00FF3DB4"/>
    <w:rsid w:val="00FF542C"/>
    <w:rsid w:val="00FF61D1"/>
    <w:rsid w:val="00FF7B7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0142A"/>
  <w15:docId w15:val="{E00C2EDF-1CC3-4C39-9E0B-2BCB3888E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360"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7B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ONUMBERED">
    <w:name w:val="MEMO NUMBERED"/>
    <w:basedOn w:val="Normal"/>
    <w:link w:val="MEMONUMBEREDChar"/>
    <w:qFormat/>
    <w:rsid w:val="00E85522"/>
    <w:pPr>
      <w:numPr>
        <w:numId w:val="1"/>
      </w:numPr>
      <w:spacing w:after="0" w:line="480" w:lineRule="auto"/>
    </w:pPr>
    <w:rPr>
      <w:rFonts w:ascii="Times New Roman" w:eastAsia="Times New Roman" w:hAnsi="Times New Roman" w:cs="Times New Roman"/>
      <w:sz w:val="24"/>
      <w:szCs w:val="24"/>
      <w:lang w:val="en-US" w:eastAsia="en-ZA"/>
    </w:rPr>
  </w:style>
  <w:style w:type="character" w:customStyle="1" w:styleId="MEMONUMBEREDChar">
    <w:name w:val="MEMO NUMBERED Char"/>
    <w:basedOn w:val="DefaultParagraphFont"/>
    <w:link w:val="MEMONUMBERED"/>
    <w:locked/>
    <w:rsid w:val="00E85522"/>
    <w:rPr>
      <w:rFonts w:ascii="Times New Roman" w:eastAsia="Times New Roman" w:hAnsi="Times New Roman" w:cs="Times New Roman"/>
      <w:sz w:val="24"/>
      <w:szCs w:val="24"/>
      <w:lang w:val="en-US" w:eastAsia="en-ZA"/>
    </w:rPr>
  </w:style>
  <w:style w:type="character" w:styleId="CommentReference">
    <w:name w:val="annotation reference"/>
    <w:basedOn w:val="DefaultParagraphFont"/>
    <w:uiPriority w:val="99"/>
    <w:semiHidden/>
    <w:unhideWhenUsed/>
    <w:rsid w:val="00600038"/>
    <w:rPr>
      <w:sz w:val="16"/>
      <w:szCs w:val="16"/>
    </w:rPr>
  </w:style>
  <w:style w:type="paragraph" w:styleId="CommentText">
    <w:name w:val="annotation text"/>
    <w:basedOn w:val="Normal"/>
    <w:link w:val="CommentTextChar"/>
    <w:uiPriority w:val="99"/>
    <w:semiHidden/>
    <w:unhideWhenUsed/>
    <w:rsid w:val="00600038"/>
    <w:pPr>
      <w:spacing w:line="240" w:lineRule="auto"/>
    </w:pPr>
    <w:rPr>
      <w:sz w:val="20"/>
      <w:szCs w:val="20"/>
    </w:rPr>
  </w:style>
  <w:style w:type="character" w:customStyle="1" w:styleId="CommentTextChar">
    <w:name w:val="Comment Text Char"/>
    <w:basedOn w:val="DefaultParagraphFont"/>
    <w:link w:val="CommentText"/>
    <w:uiPriority w:val="99"/>
    <w:semiHidden/>
    <w:rsid w:val="00600038"/>
    <w:rPr>
      <w:sz w:val="20"/>
      <w:szCs w:val="20"/>
    </w:rPr>
  </w:style>
  <w:style w:type="paragraph" w:styleId="CommentSubject">
    <w:name w:val="annotation subject"/>
    <w:basedOn w:val="CommentText"/>
    <w:next w:val="CommentText"/>
    <w:link w:val="CommentSubjectChar"/>
    <w:uiPriority w:val="99"/>
    <w:semiHidden/>
    <w:unhideWhenUsed/>
    <w:rsid w:val="00600038"/>
    <w:rPr>
      <w:b/>
      <w:bCs/>
    </w:rPr>
  </w:style>
  <w:style w:type="character" w:customStyle="1" w:styleId="CommentSubjectChar">
    <w:name w:val="Comment Subject Char"/>
    <w:basedOn w:val="CommentTextChar"/>
    <w:link w:val="CommentSubject"/>
    <w:uiPriority w:val="99"/>
    <w:semiHidden/>
    <w:rsid w:val="00600038"/>
    <w:rPr>
      <w:b/>
      <w:bCs/>
      <w:sz w:val="20"/>
      <w:szCs w:val="20"/>
    </w:rPr>
  </w:style>
  <w:style w:type="paragraph" w:styleId="BalloonText">
    <w:name w:val="Balloon Text"/>
    <w:basedOn w:val="Normal"/>
    <w:link w:val="BalloonTextChar"/>
    <w:uiPriority w:val="99"/>
    <w:semiHidden/>
    <w:unhideWhenUsed/>
    <w:rsid w:val="006000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0038"/>
    <w:rPr>
      <w:rFonts w:ascii="Segoe UI" w:hAnsi="Segoe UI" w:cs="Segoe UI"/>
      <w:sz w:val="18"/>
      <w:szCs w:val="18"/>
    </w:rPr>
  </w:style>
  <w:style w:type="paragraph" w:styleId="FootnoteText">
    <w:name w:val="footnote text"/>
    <w:basedOn w:val="Normal"/>
    <w:link w:val="FootnoteTextChar"/>
    <w:uiPriority w:val="99"/>
    <w:semiHidden/>
    <w:unhideWhenUsed/>
    <w:rsid w:val="00AA055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A0559"/>
    <w:rPr>
      <w:sz w:val="20"/>
      <w:szCs w:val="20"/>
    </w:rPr>
  </w:style>
  <w:style w:type="character" w:styleId="FootnoteReference">
    <w:name w:val="footnote reference"/>
    <w:basedOn w:val="DefaultParagraphFont"/>
    <w:uiPriority w:val="99"/>
    <w:semiHidden/>
    <w:unhideWhenUsed/>
    <w:rsid w:val="00AA0559"/>
    <w:rPr>
      <w:vertAlign w:val="superscript"/>
    </w:rPr>
  </w:style>
  <w:style w:type="paragraph" w:styleId="Header">
    <w:name w:val="header"/>
    <w:basedOn w:val="Normal"/>
    <w:link w:val="HeaderChar"/>
    <w:uiPriority w:val="99"/>
    <w:unhideWhenUsed/>
    <w:rsid w:val="00D928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285E"/>
  </w:style>
  <w:style w:type="paragraph" w:styleId="Footer">
    <w:name w:val="footer"/>
    <w:basedOn w:val="Normal"/>
    <w:link w:val="FooterChar"/>
    <w:uiPriority w:val="99"/>
    <w:unhideWhenUsed/>
    <w:rsid w:val="00D928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285E"/>
  </w:style>
  <w:style w:type="paragraph" w:styleId="ListParagraph">
    <w:name w:val="List Paragraph"/>
    <w:basedOn w:val="Normal"/>
    <w:uiPriority w:val="34"/>
    <w:qFormat/>
    <w:rsid w:val="002C5F49"/>
    <w:pPr>
      <w:ind w:left="720"/>
      <w:contextualSpacing/>
    </w:pPr>
  </w:style>
  <w:style w:type="character" w:styleId="Hyperlink">
    <w:name w:val="Hyperlink"/>
    <w:rsid w:val="00AA5EDC"/>
    <w:rPr>
      <w:color w:val="0563C1"/>
      <w:u w:val="single"/>
    </w:rPr>
  </w:style>
  <w:style w:type="table" w:styleId="TableGrid">
    <w:name w:val="Table Grid"/>
    <w:basedOn w:val="TableNormal"/>
    <w:uiPriority w:val="59"/>
    <w:rsid w:val="001E56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B7764C-DBB2-4F25-9A83-5B3650B3F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11</Pages>
  <Words>2409</Words>
  <Characters>13736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16113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Tumi T. Mabona</dc:creator>
  <cp:lastModifiedBy>Tumi T. Mabona</cp:lastModifiedBy>
  <cp:revision>19</cp:revision>
  <cp:lastPrinted>2023-01-19T07:41:00Z</cp:lastPrinted>
  <dcterms:created xsi:type="dcterms:W3CDTF">2023-01-16T08:55:00Z</dcterms:created>
  <dcterms:modified xsi:type="dcterms:W3CDTF">2023-01-19T07:58:00Z</dcterms:modified>
</cp:coreProperties>
</file>