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D4D4" w14:textId="77777777"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73D25AB" w:rsidR="00034996" w:rsidRPr="00034996" w:rsidRDefault="00F663D1" w:rsidP="00034996">
      <w:pPr>
        <w:pStyle w:val="LegalTitle"/>
        <w:spacing w:line="360" w:lineRule="auto"/>
        <w:rPr>
          <w:rFonts w:cs="Arial"/>
          <w:u w:val="single"/>
        </w:rPr>
      </w:pPr>
      <w:r w:rsidRPr="00034996">
        <w:rPr>
          <w:rFonts w:eastAsiaTheme="minorEastAsia" w:cs="Arial"/>
          <w:noProof/>
          <w:lang w:val="en-ZA" w:eastAsia="en-ZA"/>
        </w:rPr>
        <mc:AlternateContent>
          <mc:Choice Requires="wps">
            <w:drawing>
              <wp:anchor distT="0" distB="0" distL="114300" distR="114300" simplePos="0" relativeHeight="251659264" behindDoc="0" locked="0" layoutInCell="1" allowOverlap="1" wp14:anchorId="7C9EE0E3" wp14:editId="6C1CE319">
                <wp:simplePos x="0" y="0"/>
                <wp:positionH relativeFrom="margin">
                  <wp:posOffset>-190500</wp:posOffset>
                </wp:positionH>
                <wp:positionV relativeFrom="paragraph">
                  <wp:posOffset>328930</wp:posOffset>
                </wp:positionV>
                <wp:extent cx="3409950" cy="1752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526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E9D439B" w:rsidR="00B621CF" w:rsidRPr="0038792A" w:rsidRDefault="00E430C7" w:rsidP="00E430C7">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33271D56" w:rsidR="00B621CF" w:rsidRPr="0038792A" w:rsidRDefault="00E430C7" w:rsidP="00E430C7">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2D79C27E" w:rsidR="00B621CF" w:rsidRDefault="00E430C7" w:rsidP="00E430C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25ED7408" w14:textId="3EA07A1F" w:rsidR="00FA6668" w:rsidRPr="00DA5427" w:rsidRDefault="00E430C7" w:rsidP="00E430C7">
                            <w:pPr>
                              <w:tabs>
                                <w:tab w:val="left" w:pos="900"/>
                              </w:tabs>
                              <w:ind w:left="900" w:hanging="720"/>
                              <w:rPr>
                                <w:rFonts w:ascii="Century Gothic" w:hAnsi="Century Gothic"/>
                                <w:sz w:val="20"/>
                                <w:szCs w:val="20"/>
                              </w:rPr>
                            </w:pPr>
                            <w:r w:rsidRPr="00DA5427">
                              <w:rPr>
                                <w:rFonts w:ascii="Century Gothic" w:hAnsi="Century Gothic"/>
                                <w:sz w:val="20"/>
                                <w:szCs w:val="20"/>
                              </w:rPr>
                              <w:t>(4)</w:t>
                            </w:r>
                            <w:r w:rsidRPr="00DA5427">
                              <w:rPr>
                                <w:rFonts w:ascii="Century Gothic" w:hAnsi="Century Gothic"/>
                                <w:sz w:val="20"/>
                                <w:szCs w:val="20"/>
                              </w:rPr>
                              <w:tab/>
                            </w:r>
                            <w:r w:rsidR="00C57DE4" w:rsidRPr="00117E26">
                              <w:rPr>
                                <w:rFonts w:ascii="Century Gothic" w:hAnsi="Century Gothic"/>
                                <w:sz w:val="20"/>
                                <w:szCs w:val="20"/>
                              </w:rPr>
                              <w:t>Date:</w:t>
                            </w:r>
                            <w:r w:rsidR="00A977A0">
                              <w:rPr>
                                <w:rFonts w:ascii="Century Gothic" w:hAnsi="Century Gothic"/>
                                <w:sz w:val="20"/>
                                <w:szCs w:val="20"/>
                              </w:rPr>
                              <w:t xml:space="preserve"> </w:t>
                            </w:r>
                            <w:r w:rsidR="003E7763">
                              <w:rPr>
                                <w:rFonts w:ascii="Century Gothic" w:hAnsi="Century Gothic"/>
                                <w:sz w:val="20"/>
                                <w:szCs w:val="20"/>
                              </w:rPr>
                              <w:t>20</w:t>
                            </w:r>
                            <w:r w:rsidR="00C57DE4" w:rsidRPr="00117E26">
                              <w:rPr>
                                <w:rFonts w:ascii="Century Gothic" w:hAnsi="Century Gothic"/>
                                <w:sz w:val="20"/>
                                <w:szCs w:val="20"/>
                              </w:rPr>
                              <w:t xml:space="preserve"> </w:t>
                            </w:r>
                            <w:r w:rsidR="00AA6BB8">
                              <w:rPr>
                                <w:rFonts w:ascii="Century Gothic" w:hAnsi="Century Gothic"/>
                                <w:sz w:val="20"/>
                                <w:szCs w:val="20"/>
                              </w:rPr>
                              <w:t>Dec</w:t>
                            </w:r>
                            <w:r w:rsidR="004B5DBA">
                              <w:rPr>
                                <w:rFonts w:ascii="Century Gothic" w:hAnsi="Century Gothic"/>
                                <w:sz w:val="20"/>
                                <w:szCs w:val="20"/>
                              </w:rPr>
                              <w:t>e</w:t>
                            </w:r>
                            <w:r w:rsidR="003E6AAF" w:rsidRPr="00117E26">
                              <w:rPr>
                                <w:rFonts w:ascii="Century Gothic" w:hAnsi="Century Gothic"/>
                                <w:sz w:val="20"/>
                                <w:szCs w:val="20"/>
                              </w:rPr>
                              <w:t>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pt;margin-top:25.9pt;width:268.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7k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t/N8uVyQS5JvermYXeS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E9D439B" w:rsidR="00B621CF" w:rsidRPr="0038792A" w:rsidRDefault="00E430C7" w:rsidP="00E430C7">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33271D56" w:rsidR="00B621CF" w:rsidRPr="0038792A" w:rsidRDefault="00E430C7" w:rsidP="00E430C7">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2D79C27E" w:rsidR="00B621CF" w:rsidRDefault="00E430C7" w:rsidP="00E430C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25ED7408" w14:textId="3EA07A1F" w:rsidR="00FA6668" w:rsidRPr="00DA5427" w:rsidRDefault="00E430C7" w:rsidP="00E430C7">
                      <w:pPr>
                        <w:tabs>
                          <w:tab w:val="left" w:pos="900"/>
                        </w:tabs>
                        <w:ind w:left="900" w:hanging="720"/>
                        <w:rPr>
                          <w:rFonts w:ascii="Century Gothic" w:hAnsi="Century Gothic"/>
                          <w:sz w:val="20"/>
                          <w:szCs w:val="20"/>
                        </w:rPr>
                      </w:pPr>
                      <w:r w:rsidRPr="00DA5427">
                        <w:rPr>
                          <w:rFonts w:ascii="Century Gothic" w:hAnsi="Century Gothic"/>
                          <w:sz w:val="20"/>
                          <w:szCs w:val="20"/>
                        </w:rPr>
                        <w:t>(4)</w:t>
                      </w:r>
                      <w:r w:rsidRPr="00DA5427">
                        <w:rPr>
                          <w:rFonts w:ascii="Century Gothic" w:hAnsi="Century Gothic"/>
                          <w:sz w:val="20"/>
                          <w:szCs w:val="20"/>
                        </w:rPr>
                        <w:tab/>
                      </w:r>
                      <w:r w:rsidR="00C57DE4" w:rsidRPr="00117E26">
                        <w:rPr>
                          <w:rFonts w:ascii="Century Gothic" w:hAnsi="Century Gothic"/>
                          <w:sz w:val="20"/>
                          <w:szCs w:val="20"/>
                        </w:rPr>
                        <w:t>Date:</w:t>
                      </w:r>
                      <w:r w:rsidR="00A977A0">
                        <w:rPr>
                          <w:rFonts w:ascii="Century Gothic" w:hAnsi="Century Gothic"/>
                          <w:sz w:val="20"/>
                          <w:szCs w:val="20"/>
                        </w:rPr>
                        <w:t xml:space="preserve"> </w:t>
                      </w:r>
                      <w:r w:rsidR="003E7763">
                        <w:rPr>
                          <w:rFonts w:ascii="Century Gothic" w:hAnsi="Century Gothic"/>
                          <w:sz w:val="20"/>
                          <w:szCs w:val="20"/>
                        </w:rPr>
                        <w:t>20</w:t>
                      </w:r>
                      <w:r w:rsidR="00C57DE4" w:rsidRPr="00117E26">
                        <w:rPr>
                          <w:rFonts w:ascii="Century Gothic" w:hAnsi="Century Gothic"/>
                          <w:sz w:val="20"/>
                          <w:szCs w:val="20"/>
                        </w:rPr>
                        <w:t xml:space="preserve"> </w:t>
                      </w:r>
                      <w:r w:rsidR="00AA6BB8">
                        <w:rPr>
                          <w:rFonts w:ascii="Century Gothic" w:hAnsi="Century Gothic"/>
                          <w:sz w:val="20"/>
                          <w:szCs w:val="20"/>
                        </w:rPr>
                        <w:t>Dec</w:t>
                      </w:r>
                      <w:r w:rsidR="004B5DBA">
                        <w:rPr>
                          <w:rFonts w:ascii="Century Gothic" w:hAnsi="Century Gothic"/>
                          <w:sz w:val="20"/>
                          <w:szCs w:val="20"/>
                        </w:rPr>
                        <w:t>e</w:t>
                      </w:r>
                      <w:r w:rsidR="003E6AAF" w:rsidRPr="00117E26">
                        <w:rPr>
                          <w:rFonts w:ascii="Century Gothic" w:hAnsi="Century Gothic"/>
                          <w:sz w:val="20"/>
                          <w:szCs w:val="20"/>
                        </w:rPr>
                        <w:t>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4466A8"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32C5D6BC" w14:textId="778F0E2E" w:rsidR="00B621CF" w:rsidRPr="00F07058" w:rsidRDefault="00D4115A" w:rsidP="00D4115A">
      <w:pPr>
        <w:pStyle w:val="LegalNormal"/>
        <w:tabs>
          <w:tab w:val="left" w:pos="6840"/>
        </w:tabs>
        <w:rPr>
          <w:rFonts w:ascii="Times New Roman" w:hAnsi="Times New Roman"/>
          <w:sz w:val="28"/>
          <w:szCs w:val="28"/>
        </w:rPr>
      </w:pPr>
      <w:r>
        <w:rPr>
          <w:rFonts w:ascii="Times New Roman" w:hAnsi="Times New Roman"/>
          <w:sz w:val="28"/>
          <w:szCs w:val="28"/>
        </w:rPr>
        <w:tab/>
      </w:r>
    </w:p>
    <w:p w14:paraId="2DC22220" w14:textId="6E5E6D01" w:rsidR="00310AC5" w:rsidRDefault="00310AC5" w:rsidP="00310AC5">
      <w:pPr>
        <w:pStyle w:val="LegalNormal"/>
      </w:pPr>
    </w:p>
    <w:p w14:paraId="10C8C1D6" w14:textId="57455F3E" w:rsidR="00784B5D" w:rsidRDefault="00310AC5" w:rsidP="00310AC5">
      <w:pPr>
        <w:pStyle w:val="LegalNormal"/>
        <w:rPr>
          <w:b/>
        </w:rPr>
      </w:pPr>
      <w:r>
        <w:rPr>
          <w:b/>
        </w:rPr>
        <w:t xml:space="preserve">                                                                   </w:t>
      </w:r>
      <w:r w:rsidR="00784B5D">
        <w:rPr>
          <w:b/>
        </w:rPr>
        <w:t xml:space="preserve">                               </w:t>
      </w:r>
    </w:p>
    <w:p w14:paraId="43854107" w14:textId="718CAD13" w:rsidR="00117E26" w:rsidRPr="00784B5D" w:rsidRDefault="00784B5D" w:rsidP="00310AC5">
      <w:pPr>
        <w:pStyle w:val="LegalNormal"/>
        <w:rPr>
          <w:b/>
        </w:rPr>
      </w:pPr>
      <w:r>
        <w:rPr>
          <w:b/>
        </w:rPr>
        <w:t xml:space="preserve">                                                                                                   </w:t>
      </w:r>
      <w:r w:rsidR="00310AC5">
        <w:rPr>
          <w:b/>
        </w:rPr>
        <w:t xml:space="preserve"> </w:t>
      </w:r>
      <w:r w:rsidR="001F4034">
        <w:rPr>
          <w:b/>
        </w:rPr>
        <w:t xml:space="preserve"> </w:t>
      </w:r>
      <w:r w:rsidR="00310AC5" w:rsidRPr="00310AC5">
        <w:rPr>
          <w:b/>
        </w:rPr>
        <w:t>CASE</w:t>
      </w:r>
      <w:r w:rsidR="001F4034">
        <w:rPr>
          <w:b/>
        </w:rPr>
        <w:t xml:space="preserve"> </w:t>
      </w:r>
      <w:r w:rsidR="00310AC5" w:rsidRPr="00310AC5">
        <w:rPr>
          <w:b/>
        </w:rPr>
        <w:t>NO</w:t>
      </w:r>
      <w:r w:rsidR="001F4034">
        <w:rPr>
          <w:b/>
        </w:rPr>
        <w:t xml:space="preserve">. </w:t>
      </w:r>
      <w:r w:rsidR="00BF1FEE">
        <w:rPr>
          <w:b/>
        </w:rPr>
        <w:t>3</w:t>
      </w:r>
      <w:r w:rsidR="007A1943">
        <w:rPr>
          <w:b/>
        </w:rPr>
        <w:t>0</w:t>
      </w:r>
      <w:r w:rsidR="006C581D">
        <w:rPr>
          <w:b/>
        </w:rPr>
        <w:t>3</w:t>
      </w:r>
      <w:r w:rsidR="007A1943">
        <w:rPr>
          <w:b/>
        </w:rPr>
        <w:t>4</w:t>
      </w:r>
      <w:r w:rsidR="008C36A3">
        <w:rPr>
          <w:b/>
        </w:rPr>
        <w:t>3</w:t>
      </w:r>
      <w:r w:rsidR="002621C1">
        <w:rPr>
          <w:b/>
        </w:rPr>
        <w:t>/</w:t>
      </w:r>
      <w:r w:rsidR="001F4034">
        <w:rPr>
          <w:b/>
        </w:rPr>
        <w:t>20</w:t>
      </w:r>
      <w:r w:rsidR="00EA3A92">
        <w:rPr>
          <w:b/>
        </w:rPr>
        <w:t>2</w:t>
      </w:r>
      <w:r w:rsidR="00BF1FEE">
        <w:rPr>
          <w:b/>
        </w:rPr>
        <w:t>1</w:t>
      </w:r>
    </w:p>
    <w:p w14:paraId="4689B533" w14:textId="75B889A4" w:rsidR="00310AC5" w:rsidRPr="00310AC5" w:rsidRDefault="00310AC5" w:rsidP="00310AC5">
      <w:pPr>
        <w:pStyle w:val="LegalNormal"/>
        <w:rPr>
          <w:b/>
        </w:rPr>
      </w:pPr>
      <w:r w:rsidRPr="00310AC5">
        <w:t>In the matter between:</w:t>
      </w:r>
    </w:p>
    <w:p w14:paraId="2BF936AD" w14:textId="218804BB" w:rsidR="00310AC5" w:rsidRPr="00814B29" w:rsidRDefault="006C581D" w:rsidP="00FA6668">
      <w:pPr>
        <w:pStyle w:val="LegalNormal"/>
        <w:spacing w:line="276" w:lineRule="auto"/>
        <w:rPr>
          <w:bCs/>
        </w:rPr>
      </w:pPr>
      <w:r>
        <w:rPr>
          <w:b/>
        </w:rPr>
        <w:t>D</w:t>
      </w:r>
      <w:r w:rsidR="00DD7984">
        <w:rPr>
          <w:b/>
        </w:rPr>
        <w:t>AN</w:t>
      </w:r>
      <w:r w:rsidR="0017564E">
        <w:rPr>
          <w:b/>
        </w:rPr>
        <w:t>I</w:t>
      </w:r>
      <w:r w:rsidR="00DD7984">
        <w:rPr>
          <w:b/>
        </w:rPr>
        <w:t>E</w:t>
      </w:r>
      <w:r w:rsidR="0017564E">
        <w:rPr>
          <w:b/>
        </w:rPr>
        <w:t xml:space="preserve"> DEYER</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17564E">
        <w:rPr>
          <w:bCs/>
        </w:rPr>
        <w:t xml:space="preserve">  </w:t>
      </w:r>
      <w:r w:rsidR="0017564E">
        <w:rPr>
          <w:bCs/>
        </w:rPr>
        <w:tab/>
      </w:r>
      <w:r w:rsidR="0017564E" w:rsidRPr="00814B29">
        <w:rPr>
          <w:bCs/>
        </w:rPr>
        <w:t xml:space="preserve">        </w:t>
      </w:r>
      <w:r w:rsidR="00FF237F" w:rsidRPr="00814B29">
        <w:rPr>
          <w:bCs/>
        </w:rPr>
        <w:t xml:space="preserve"> </w:t>
      </w:r>
      <w:r w:rsidR="0017564E" w:rsidRPr="00814B29">
        <w:rPr>
          <w:bCs/>
        </w:rPr>
        <w:t>First</w:t>
      </w:r>
      <w:r w:rsidR="00C517F5" w:rsidRPr="00814B29">
        <w:rPr>
          <w:bCs/>
        </w:rPr>
        <w:t xml:space="preserve"> </w:t>
      </w:r>
      <w:r w:rsidR="002940B9" w:rsidRPr="00814B29">
        <w:rPr>
          <w:bCs/>
        </w:rPr>
        <w:t>A</w:t>
      </w:r>
      <w:r w:rsidR="000324B4" w:rsidRPr="00814B29">
        <w:rPr>
          <w:bCs/>
        </w:rPr>
        <w:t>ppl</w:t>
      </w:r>
      <w:r w:rsidR="00744AB5" w:rsidRPr="00814B29">
        <w:rPr>
          <w:bCs/>
        </w:rPr>
        <w:t>i</w:t>
      </w:r>
      <w:r w:rsidR="000324B4" w:rsidRPr="00814B29">
        <w:rPr>
          <w:bCs/>
        </w:rPr>
        <w:t>cant</w:t>
      </w:r>
    </w:p>
    <w:p w14:paraId="4F2EB35C" w14:textId="70736934" w:rsidR="0017564E" w:rsidRPr="00814B29" w:rsidRDefault="00D845A1" w:rsidP="00FA6668">
      <w:pPr>
        <w:pStyle w:val="LegalNormal"/>
        <w:spacing w:line="276" w:lineRule="auto"/>
        <w:rPr>
          <w:bCs/>
        </w:rPr>
      </w:pPr>
      <w:r w:rsidRPr="009F3A64">
        <w:rPr>
          <w:b/>
        </w:rPr>
        <w:t>JAQUES ANDRE VAN DER MERWE</w:t>
      </w:r>
      <w:r w:rsidRPr="00814B29">
        <w:rPr>
          <w:bCs/>
        </w:rPr>
        <w:t xml:space="preserve"> </w:t>
      </w:r>
      <w:r w:rsidRPr="00814B29">
        <w:rPr>
          <w:bCs/>
        </w:rPr>
        <w:tab/>
      </w:r>
      <w:r w:rsidRPr="00814B29">
        <w:rPr>
          <w:bCs/>
        </w:rPr>
        <w:tab/>
      </w:r>
      <w:r w:rsidRPr="00814B29">
        <w:rPr>
          <w:bCs/>
        </w:rPr>
        <w:tab/>
      </w:r>
      <w:r w:rsidRPr="00814B29">
        <w:rPr>
          <w:bCs/>
        </w:rPr>
        <w:tab/>
      </w:r>
      <w:r w:rsidRPr="00814B29">
        <w:rPr>
          <w:bCs/>
        </w:rPr>
        <w:tab/>
      </w:r>
      <w:r w:rsidR="00FF237F" w:rsidRPr="00814B29">
        <w:rPr>
          <w:bCs/>
        </w:rPr>
        <w:t xml:space="preserve">    Second Applicant</w:t>
      </w:r>
    </w:p>
    <w:p w14:paraId="40A0F55C" w14:textId="09401522" w:rsidR="00427D39" w:rsidRPr="00814B29" w:rsidRDefault="00427D39" w:rsidP="00FA6668">
      <w:pPr>
        <w:pStyle w:val="LegalNormal"/>
        <w:spacing w:line="276" w:lineRule="auto"/>
        <w:rPr>
          <w:bCs/>
        </w:rPr>
      </w:pPr>
      <w:r w:rsidRPr="009F3A64">
        <w:rPr>
          <w:b/>
        </w:rPr>
        <w:t>PETRUS JOHANNES JACOBUS BEKKER</w:t>
      </w:r>
      <w:r w:rsidR="00C63149" w:rsidRPr="00814B29">
        <w:rPr>
          <w:bCs/>
        </w:rPr>
        <w:tab/>
      </w:r>
      <w:r w:rsidR="00C63149" w:rsidRPr="00814B29">
        <w:rPr>
          <w:bCs/>
        </w:rPr>
        <w:tab/>
      </w:r>
      <w:r w:rsidR="00C63149" w:rsidRPr="00814B29">
        <w:rPr>
          <w:bCs/>
        </w:rPr>
        <w:tab/>
      </w:r>
      <w:r w:rsidR="00C63149" w:rsidRPr="00814B29">
        <w:rPr>
          <w:bCs/>
        </w:rPr>
        <w:tab/>
        <w:t xml:space="preserve">      </w:t>
      </w:r>
      <w:r w:rsidR="00840FFB" w:rsidRPr="00814B29">
        <w:rPr>
          <w:bCs/>
        </w:rPr>
        <w:t xml:space="preserve">  </w:t>
      </w:r>
      <w:r w:rsidR="00C63149" w:rsidRPr="00814B29">
        <w:rPr>
          <w:bCs/>
        </w:rPr>
        <w:t>Third Applicant</w:t>
      </w:r>
    </w:p>
    <w:p w14:paraId="12B359D3" w14:textId="77777777" w:rsidR="00310AC5" w:rsidRPr="00814B29" w:rsidRDefault="00310AC5" w:rsidP="00FA6668">
      <w:pPr>
        <w:pStyle w:val="LegalNormal"/>
        <w:spacing w:line="276" w:lineRule="auto"/>
        <w:rPr>
          <w:bCs/>
        </w:rPr>
      </w:pPr>
      <w:r w:rsidRPr="00814B29">
        <w:rPr>
          <w:bCs/>
        </w:rPr>
        <w:t>And</w:t>
      </w:r>
    </w:p>
    <w:p w14:paraId="3E8ED2E4" w14:textId="7CE783BD" w:rsidR="006A778B" w:rsidRPr="00814B29" w:rsidRDefault="00DD7984" w:rsidP="003C30AA">
      <w:pPr>
        <w:pStyle w:val="LegalNormal"/>
        <w:spacing w:line="240" w:lineRule="auto"/>
        <w:rPr>
          <w:bCs/>
        </w:rPr>
      </w:pPr>
      <w:r w:rsidRPr="009F3A64">
        <w:rPr>
          <w:b/>
        </w:rPr>
        <w:t>A</w:t>
      </w:r>
      <w:r w:rsidR="00840FFB" w:rsidRPr="009F3A64">
        <w:rPr>
          <w:b/>
        </w:rPr>
        <w:t>DV A</w:t>
      </w:r>
      <w:r w:rsidRPr="009F3A64">
        <w:rPr>
          <w:b/>
        </w:rPr>
        <w:t>N</w:t>
      </w:r>
      <w:r w:rsidR="00840FFB" w:rsidRPr="009F3A64">
        <w:rPr>
          <w:b/>
        </w:rPr>
        <w:t>TH</w:t>
      </w:r>
      <w:r w:rsidRPr="009F3A64">
        <w:rPr>
          <w:b/>
        </w:rPr>
        <w:t>E</w:t>
      </w:r>
      <w:r w:rsidR="00840FFB" w:rsidRPr="009F3A64">
        <w:rPr>
          <w:b/>
        </w:rPr>
        <w:t xml:space="preserve">A L </w:t>
      </w:r>
      <w:r w:rsidR="006D09DD" w:rsidRPr="009F3A64">
        <w:rPr>
          <w:b/>
        </w:rPr>
        <w:t>PLATT SC N.O.</w:t>
      </w:r>
      <w:r w:rsidR="006B1A6A" w:rsidRPr="009F3A64">
        <w:rPr>
          <w:b/>
        </w:rPr>
        <w:tab/>
      </w:r>
      <w:r w:rsidR="009F031D" w:rsidRPr="00814B29">
        <w:rPr>
          <w:bCs/>
        </w:rPr>
        <w:tab/>
      </w:r>
      <w:r w:rsidR="009F031D" w:rsidRPr="00814B29">
        <w:rPr>
          <w:bCs/>
        </w:rPr>
        <w:tab/>
      </w:r>
      <w:r w:rsidR="009F031D" w:rsidRPr="00814B29">
        <w:rPr>
          <w:bCs/>
        </w:rPr>
        <w:tab/>
      </w:r>
      <w:r w:rsidR="009F031D" w:rsidRPr="00814B29">
        <w:rPr>
          <w:bCs/>
        </w:rPr>
        <w:tab/>
      </w:r>
      <w:r w:rsidR="006423B2" w:rsidRPr="00814B29">
        <w:rPr>
          <w:bCs/>
        </w:rPr>
        <w:t xml:space="preserve">       </w:t>
      </w:r>
      <w:r w:rsidR="007C3283" w:rsidRPr="00814B29">
        <w:rPr>
          <w:bCs/>
        </w:rPr>
        <w:t xml:space="preserve"> </w:t>
      </w:r>
      <w:r w:rsidR="00406581" w:rsidRPr="00814B29">
        <w:rPr>
          <w:bCs/>
        </w:rPr>
        <w:tab/>
      </w:r>
      <w:r w:rsidR="006D09DD" w:rsidRPr="00814B29">
        <w:rPr>
          <w:bCs/>
        </w:rPr>
        <w:t xml:space="preserve">     First </w:t>
      </w:r>
      <w:r w:rsidR="004B27AC" w:rsidRPr="00814B29">
        <w:rPr>
          <w:bCs/>
        </w:rPr>
        <w:t>Respondent</w:t>
      </w:r>
      <w:r w:rsidR="009F031D" w:rsidRPr="00814B29">
        <w:rPr>
          <w:bCs/>
        </w:rPr>
        <w:t xml:space="preserve"> </w:t>
      </w:r>
    </w:p>
    <w:p w14:paraId="554F9B3D" w14:textId="063F5A17" w:rsidR="006D09DD" w:rsidRDefault="006D09DD" w:rsidP="003C30AA">
      <w:pPr>
        <w:pStyle w:val="LegalNormal"/>
        <w:spacing w:line="240" w:lineRule="auto"/>
        <w:rPr>
          <w:bCs/>
        </w:rPr>
      </w:pPr>
      <w:r>
        <w:rPr>
          <w:bCs/>
        </w:rPr>
        <w:t>(In her capacity as the Chairperson</w:t>
      </w:r>
      <w:r w:rsidR="00DA2B59">
        <w:rPr>
          <w:bCs/>
        </w:rPr>
        <w:t xml:space="preserve"> of the Disciplinary</w:t>
      </w:r>
    </w:p>
    <w:p w14:paraId="2B94D713" w14:textId="037B7FCE" w:rsidR="00DA2B59" w:rsidRDefault="00DA2B59" w:rsidP="00CC5A34">
      <w:pPr>
        <w:pStyle w:val="LegalNormal"/>
        <w:rPr>
          <w:bCs/>
        </w:rPr>
      </w:pPr>
      <w:r>
        <w:rPr>
          <w:bCs/>
        </w:rPr>
        <w:lastRenderedPageBreak/>
        <w:t>Committee</w:t>
      </w:r>
      <w:r w:rsidR="00AA4D55">
        <w:rPr>
          <w:bCs/>
        </w:rPr>
        <w:t xml:space="preserve"> of the </w:t>
      </w:r>
      <w:r w:rsidR="00ED475D">
        <w:rPr>
          <w:bCs/>
        </w:rPr>
        <w:t xml:space="preserve">Independent Regulatory </w:t>
      </w:r>
      <w:r w:rsidR="003C30AA">
        <w:rPr>
          <w:bCs/>
        </w:rPr>
        <w:t>Board for Auditors)</w:t>
      </w:r>
    </w:p>
    <w:p w14:paraId="7217B65D" w14:textId="1F598403" w:rsidR="00CC5A34" w:rsidRDefault="00CC5A34" w:rsidP="00CC5A34">
      <w:pPr>
        <w:pStyle w:val="LegalNormal"/>
        <w:rPr>
          <w:bCs/>
        </w:rPr>
      </w:pPr>
      <w:r w:rsidRPr="00CC5A34">
        <w:rPr>
          <w:b/>
        </w:rPr>
        <w:t>SUREN SOOKLAL</w:t>
      </w:r>
      <w:r>
        <w:rPr>
          <w:b/>
        </w:rPr>
        <w:tab/>
      </w:r>
      <w:r>
        <w:rPr>
          <w:b/>
        </w:rPr>
        <w:tab/>
      </w:r>
      <w:r>
        <w:rPr>
          <w:b/>
        </w:rPr>
        <w:tab/>
      </w:r>
      <w:r>
        <w:rPr>
          <w:b/>
        </w:rPr>
        <w:tab/>
      </w:r>
      <w:r>
        <w:rPr>
          <w:b/>
        </w:rPr>
        <w:tab/>
      </w:r>
      <w:r>
        <w:rPr>
          <w:b/>
        </w:rPr>
        <w:tab/>
      </w:r>
      <w:r>
        <w:rPr>
          <w:b/>
        </w:rPr>
        <w:tab/>
      </w:r>
      <w:r w:rsidRPr="00814B29">
        <w:rPr>
          <w:bCs/>
        </w:rPr>
        <w:t xml:space="preserve">  </w:t>
      </w:r>
      <w:r w:rsidR="00814B29">
        <w:rPr>
          <w:bCs/>
        </w:rPr>
        <w:t xml:space="preserve"> </w:t>
      </w:r>
      <w:r w:rsidRPr="00814B29">
        <w:rPr>
          <w:bCs/>
        </w:rPr>
        <w:t>Second Respondent</w:t>
      </w:r>
    </w:p>
    <w:p w14:paraId="169F8C6E" w14:textId="1C8744C2" w:rsidR="00814B29" w:rsidRDefault="00814B29" w:rsidP="00CC5A34">
      <w:pPr>
        <w:pStyle w:val="LegalNormal"/>
        <w:rPr>
          <w:bCs/>
        </w:rPr>
      </w:pPr>
      <w:r w:rsidRPr="00A46DCD">
        <w:rPr>
          <w:b/>
        </w:rPr>
        <w:t>HORTON GRIFFITHS</w:t>
      </w:r>
      <w:r w:rsidR="00A46DCD">
        <w:rPr>
          <w:b/>
        </w:rPr>
        <w:tab/>
      </w:r>
      <w:r w:rsidR="00A46DCD">
        <w:rPr>
          <w:b/>
        </w:rPr>
        <w:tab/>
      </w:r>
      <w:r w:rsidR="00A46DCD">
        <w:rPr>
          <w:b/>
        </w:rPr>
        <w:tab/>
      </w:r>
      <w:r w:rsidR="00A46DCD">
        <w:rPr>
          <w:b/>
        </w:rPr>
        <w:tab/>
      </w:r>
      <w:r w:rsidR="00A46DCD">
        <w:rPr>
          <w:b/>
        </w:rPr>
        <w:tab/>
      </w:r>
      <w:r w:rsidR="00A46DCD">
        <w:rPr>
          <w:b/>
        </w:rPr>
        <w:tab/>
        <w:t xml:space="preserve">       </w:t>
      </w:r>
      <w:r w:rsidR="00A46DCD">
        <w:rPr>
          <w:bCs/>
        </w:rPr>
        <w:t>Third Respondent</w:t>
      </w:r>
    </w:p>
    <w:p w14:paraId="42E82996" w14:textId="0EB1E544" w:rsidR="00DB5BBA" w:rsidRPr="00DB5BBA" w:rsidRDefault="00DB5BBA" w:rsidP="00DB5BBA">
      <w:pPr>
        <w:pStyle w:val="LegalNormal"/>
        <w:spacing w:line="240" w:lineRule="auto"/>
        <w:rPr>
          <w:b/>
        </w:rPr>
      </w:pPr>
      <w:r w:rsidRPr="00DB5BBA">
        <w:rPr>
          <w:b/>
        </w:rPr>
        <w:t xml:space="preserve">THE INDEPENDENT REGULATORY BOARD </w:t>
      </w:r>
      <w:r>
        <w:rPr>
          <w:b/>
        </w:rPr>
        <w:tab/>
      </w:r>
      <w:r>
        <w:rPr>
          <w:b/>
        </w:rPr>
        <w:tab/>
      </w:r>
      <w:r>
        <w:rPr>
          <w:b/>
        </w:rPr>
        <w:tab/>
      </w:r>
      <w:r w:rsidRPr="003A3C05">
        <w:rPr>
          <w:bCs/>
        </w:rPr>
        <w:t xml:space="preserve">       </w:t>
      </w:r>
      <w:r w:rsidR="003A3C05" w:rsidRPr="003A3C05">
        <w:rPr>
          <w:bCs/>
        </w:rPr>
        <w:t>Fourth Respondent</w:t>
      </w:r>
    </w:p>
    <w:p w14:paraId="302347DA" w14:textId="1B1FDEDE" w:rsidR="00A46DCD" w:rsidRDefault="00DB5BBA" w:rsidP="003A3C05">
      <w:pPr>
        <w:pStyle w:val="LegalNormal"/>
        <w:rPr>
          <w:b/>
        </w:rPr>
      </w:pPr>
      <w:r w:rsidRPr="00DB5BBA">
        <w:rPr>
          <w:b/>
        </w:rPr>
        <w:t>FOR AUDITORS</w:t>
      </w:r>
      <w:r w:rsidR="00B3523E">
        <w:rPr>
          <w:b/>
        </w:rPr>
        <w:t xml:space="preserve"> (“IRBA”)</w:t>
      </w:r>
    </w:p>
    <w:p w14:paraId="13FA2BE0" w14:textId="1E5A7EEB" w:rsidR="003A3C05" w:rsidRPr="003A3C05" w:rsidRDefault="003A3C05" w:rsidP="003A3C05">
      <w:pPr>
        <w:pStyle w:val="LegalNormal"/>
        <w:rPr>
          <w:bCs/>
        </w:rPr>
      </w:pPr>
      <w:r>
        <w:rPr>
          <w:b/>
        </w:rPr>
        <w:t>THE PRO FORMA COMPLAINANT</w:t>
      </w:r>
      <w:r>
        <w:rPr>
          <w:b/>
        </w:rPr>
        <w:tab/>
      </w:r>
      <w:r>
        <w:rPr>
          <w:b/>
        </w:rPr>
        <w:tab/>
      </w:r>
      <w:r>
        <w:rPr>
          <w:b/>
        </w:rPr>
        <w:tab/>
      </w:r>
      <w:r>
        <w:rPr>
          <w:b/>
        </w:rPr>
        <w:tab/>
        <w:t xml:space="preserve">        </w:t>
      </w:r>
      <w:r>
        <w:rPr>
          <w:bCs/>
        </w:rPr>
        <w:t>Fifth Respondent</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64D79C9F" w:rsidR="00310AC5" w:rsidRPr="00310AC5" w:rsidRDefault="00E430C7" w:rsidP="00E430C7">
      <w:pPr>
        <w:pStyle w:val="LegalNormal"/>
        <w:ind w:left="720" w:hanging="360"/>
        <w:rPr>
          <w:b/>
        </w:rPr>
      </w:pPr>
      <w:r w:rsidRPr="00310AC5">
        <w:rPr>
          <w:b/>
        </w:rPr>
        <w:t>A.</w:t>
      </w:r>
      <w:r w:rsidRPr="00310AC5">
        <w:rPr>
          <w:b/>
        </w:rPr>
        <w:tab/>
      </w:r>
      <w:r w:rsidR="00310AC5" w:rsidRPr="00310AC5">
        <w:rPr>
          <w:b/>
        </w:rPr>
        <w:t>INTRODUCTION</w:t>
      </w:r>
    </w:p>
    <w:p w14:paraId="6F6A5789" w14:textId="48F11C4D" w:rsidR="008F51AB" w:rsidRPr="008F51AB" w:rsidRDefault="00E430C7" w:rsidP="00E430C7">
      <w:pPr>
        <w:pStyle w:val="LegalNormal"/>
        <w:tabs>
          <w:tab w:val="left" w:pos="927"/>
        </w:tabs>
        <w:ind w:left="927" w:hanging="567"/>
        <w:rPr>
          <w:lang w:val="en-US"/>
        </w:rPr>
      </w:pPr>
      <w:r w:rsidRPr="008F51AB">
        <w:rPr>
          <w:lang w:val="en-US"/>
        </w:rPr>
        <w:t>[1]</w:t>
      </w:r>
      <w:r w:rsidRPr="008F51AB">
        <w:rPr>
          <w:lang w:val="en-US"/>
        </w:rPr>
        <w:tab/>
      </w:r>
      <w:r w:rsidR="003535D0" w:rsidRPr="003535D0">
        <w:rPr>
          <w:lang w:val="en-US"/>
        </w:rPr>
        <w:t>Th</w:t>
      </w:r>
      <w:r w:rsidR="00B157B5">
        <w:rPr>
          <w:lang w:val="en-US"/>
        </w:rPr>
        <w:t>e</w:t>
      </w:r>
      <w:r w:rsidR="00837799">
        <w:rPr>
          <w:lang w:val="en-US"/>
        </w:rPr>
        <w:t xml:space="preserve"> </w:t>
      </w:r>
      <w:r w:rsidR="00413902">
        <w:rPr>
          <w:lang w:val="en-US"/>
        </w:rPr>
        <w:t>A</w:t>
      </w:r>
      <w:r w:rsidR="00A51B4D" w:rsidRPr="00A51B4D">
        <w:t>pplican</w:t>
      </w:r>
      <w:r w:rsidR="00413902">
        <w:t>ts</w:t>
      </w:r>
      <w:r w:rsidR="0060652C">
        <w:t xml:space="preserve"> </w:t>
      </w:r>
      <w:r w:rsidR="00266994">
        <w:t xml:space="preserve">who </w:t>
      </w:r>
      <w:r w:rsidR="0060652C">
        <w:t>are</w:t>
      </w:r>
      <w:r w:rsidR="00266994">
        <w:t xml:space="preserve"> registered </w:t>
      </w:r>
      <w:r w:rsidR="00784B5D">
        <w:t>auditors practicing as such,</w:t>
      </w:r>
      <w:r w:rsidR="0060652C">
        <w:t xml:space="preserve"> </w:t>
      </w:r>
      <w:r w:rsidR="00141FEC">
        <w:t>seek</w:t>
      </w:r>
      <w:r w:rsidR="0060652C">
        <w:t>ing</w:t>
      </w:r>
      <w:r w:rsidR="00141FEC">
        <w:t xml:space="preserve"> an order</w:t>
      </w:r>
      <w:r w:rsidR="00A51B4D" w:rsidRPr="00A51B4D">
        <w:t xml:space="preserve"> setting aside the disciplinary proceedings </w:t>
      </w:r>
      <w:r w:rsidR="00C25A44">
        <w:t>initia</w:t>
      </w:r>
      <w:r w:rsidR="00B3523E">
        <w:t xml:space="preserve">ted </w:t>
      </w:r>
      <w:r w:rsidR="00A51B4D" w:rsidRPr="00A51B4D">
        <w:t>by IRBA against the</w:t>
      </w:r>
      <w:r w:rsidR="0060652C">
        <w:t>m</w:t>
      </w:r>
      <w:r w:rsidR="00B3523E">
        <w:t xml:space="preserve">. </w:t>
      </w:r>
      <w:r w:rsidR="00C86D49">
        <w:t>The</w:t>
      </w:r>
      <w:r w:rsidR="00F45232">
        <w:t>y</w:t>
      </w:r>
      <w:r w:rsidR="00C86D49">
        <w:t xml:space="preserve"> </w:t>
      </w:r>
      <w:r w:rsidR="00E9490A">
        <w:t xml:space="preserve">allege that </w:t>
      </w:r>
      <w:r w:rsidR="00A51B4D" w:rsidRPr="00A51B4D">
        <w:t>there has been a material infringement of the</w:t>
      </w:r>
      <w:r w:rsidR="00E9490A">
        <w:t xml:space="preserve">ir </w:t>
      </w:r>
      <w:r w:rsidR="00DE274E">
        <w:t xml:space="preserve">right </w:t>
      </w:r>
      <w:r w:rsidR="00A51B4D" w:rsidRPr="00A51B4D">
        <w:t xml:space="preserve">under Section 34 </w:t>
      </w:r>
      <w:r w:rsidR="00A51B4D" w:rsidRPr="00A51B4D">
        <w:lastRenderedPageBreak/>
        <w:t>of the Constitution to</w:t>
      </w:r>
      <w:r w:rsidR="001A0E94">
        <w:t xml:space="preserve"> </w:t>
      </w:r>
      <w:r w:rsidR="00A51B4D" w:rsidRPr="00A51B4D">
        <w:t>a fair hearing in front of an independent and impartial committee.</w:t>
      </w:r>
      <w:r w:rsidR="0069036E">
        <w:t xml:space="preserve"> </w:t>
      </w:r>
      <w:r w:rsidR="00D64B31">
        <w:t xml:space="preserve">This can be </w:t>
      </w:r>
      <w:r w:rsidR="00DB1037">
        <w:t>r</w:t>
      </w:r>
      <w:r w:rsidR="001A0E94">
        <w:t xml:space="preserve">eferred to as </w:t>
      </w:r>
      <w:r w:rsidR="00283040" w:rsidRPr="00283040">
        <w:rPr>
          <w:i/>
          <w:iCs/>
        </w:rPr>
        <w:t>“</w:t>
      </w:r>
      <w:r w:rsidR="001A0E94" w:rsidRPr="00283040">
        <w:rPr>
          <w:i/>
          <w:iCs/>
        </w:rPr>
        <w:t>the</w:t>
      </w:r>
      <w:r w:rsidR="00283040" w:rsidRPr="00283040">
        <w:rPr>
          <w:i/>
          <w:iCs/>
        </w:rPr>
        <w:t xml:space="preserve"> </w:t>
      </w:r>
      <w:r w:rsidR="001A0E94" w:rsidRPr="00283040">
        <w:rPr>
          <w:i/>
          <w:iCs/>
        </w:rPr>
        <w:t>Constitutional</w:t>
      </w:r>
      <w:r w:rsidR="001A0E94" w:rsidRPr="00C615A1">
        <w:rPr>
          <w:i/>
          <w:iCs/>
        </w:rPr>
        <w:t xml:space="preserve"> relief</w:t>
      </w:r>
      <w:r w:rsidR="00C615A1" w:rsidRPr="00C615A1">
        <w:rPr>
          <w:i/>
          <w:iCs/>
        </w:rPr>
        <w:t>”</w:t>
      </w:r>
      <w:r w:rsidR="003A6890">
        <w:rPr>
          <w:rStyle w:val="FootnoteReference"/>
          <w:i/>
          <w:iCs/>
        </w:rPr>
        <w:footnoteReference w:id="1"/>
      </w:r>
      <w:r w:rsidR="00C615A1">
        <w:t>.</w:t>
      </w:r>
      <w:r w:rsidR="00A51B4D" w:rsidRPr="00A51B4D">
        <w:t xml:space="preserve"> </w:t>
      </w:r>
    </w:p>
    <w:p w14:paraId="3A2876AB" w14:textId="1A68FE51" w:rsidR="00E20690" w:rsidRPr="000E381B" w:rsidRDefault="00E430C7" w:rsidP="00E430C7">
      <w:pPr>
        <w:pStyle w:val="LegalNormal"/>
        <w:tabs>
          <w:tab w:val="left" w:pos="927"/>
        </w:tabs>
        <w:ind w:left="927" w:hanging="567"/>
        <w:rPr>
          <w:lang w:val="en-US"/>
        </w:rPr>
      </w:pPr>
      <w:r w:rsidRPr="000E381B">
        <w:rPr>
          <w:lang w:val="en-US"/>
        </w:rPr>
        <w:t>[2]</w:t>
      </w:r>
      <w:r w:rsidRPr="000E381B">
        <w:rPr>
          <w:lang w:val="en-US"/>
        </w:rPr>
        <w:tab/>
      </w:r>
      <w:r w:rsidR="00725217">
        <w:t>In t</w:t>
      </w:r>
      <w:r w:rsidR="00A51B4D" w:rsidRPr="00A51B4D">
        <w:t>he alternative</w:t>
      </w:r>
      <w:r w:rsidR="00725217">
        <w:t>,</w:t>
      </w:r>
      <w:r w:rsidR="00B84D04">
        <w:t xml:space="preserve"> the Applicants seek a</w:t>
      </w:r>
      <w:r w:rsidR="00A51B4D" w:rsidRPr="00A51B4D">
        <w:t xml:space="preserve"> review and setting aside of the decision by the </w:t>
      </w:r>
      <w:r w:rsidR="004D45B2">
        <w:t>C</w:t>
      </w:r>
      <w:r w:rsidR="00A51B4D" w:rsidRPr="00A51B4D">
        <w:t>ommittee to refuse the recusal of two of its members (</w:t>
      </w:r>
      <w:r w:rsidR="004D45B2">
        <w:t xml:space="preserve">Messrs. </w:t>
      </w:r>
      <w:r w:rsidR="00A51B4D" w:rsidRPr="00A51B4D">
        <w:t>Sooklal and Griffiths) and for an order compelling their recusal.</w:t>
      </w:r>
      <w:r w:rsidR="00C02F9F">
        <w:t xml:space="preserve"> This is </w:t>
      </w:r>
      <w:r w:rsidR="00283040">
        <w:t>“</w:t>
      </w:r>
      <w:r w:rsidR="00C02F9F" w:rsidRPr="00283040">
        <w:rPr>
          <w:i/>
          <w:iCs/>
        </w:rPr>
        <w:t>the recusal relief”</w:t>
      </w:r>
      <w:r w:rsidR="00C02F9F">
        <w:t>.</w:t>
      </w:r>
      <w:r w:rsidR="00E43055">
        <w:rPr>
          <w:rStyle w:val="FootnoteReference"/>
        </w:rPr>
        <w:footnoteReference w:id="2"/>
      </w:r>
    </w:p>
    <w:p w14:paraId="781AB45F" w14:textId="17906B17" w:rsidR="009125F7" w:rsidRPr="00784B5D" w:rsidRDefault="00E430C7" w:rsidP="00E430C7">
      <w:pPr>
        <w:pStyle w:val="LegalNormal"/>
        <w:tabs>
          <w:tab w:val="left" w:pos="927"/>
        </w:tabs>
        <w:ind w:left="927" w:hanging="567"/>
        <w:rPr>
          <w:lang w:val="en-US"/>
        </w:rPr>
      </w:pPr>
      <w:r w:rsidRPr="00784B5D">
        <w:rPr>
          <w:lang w:val="en-US"/>
        </w:rPr>
        <w:t>[3]</w:t>
      </w:r>
      <w:r w:rsidRPr="00784B5D">
        <w:rPr>
          <w:lang w:val="en-US"/>
        </w:rPr>
        <w:tab/>
      </w:r>
      <w:r w:rsidR="000E381B" w:rsidRPr="000E381B">
        <w:t xml:space="preserve">The Applicants are the Respondents in the disciplinary proceedings </w:t>
      </w:r>
      <w:r w:rsidR="007936E9" w:rsidRPr="000E381B">
        <w:t>aforesaid but</w:t>
      </w:r>
      <w:r w:rsidR="000E381B" w:rsidRPr="000E381B">
        <w:t xml:space="preserve"> are </w:t>
      </w:r>
      <w:r w:rsidR="008733E9">
        <w:t xml:space="preserve">also </w:t>
      </w:r>
      <w:r w:rsidR="000E381B" w:rsidRPr="000E381B">
        <w:t>herein</w:t>
      </w:r>
      <w:r w:rsidR="00BF4814">
        <w:t xml:space="preserve"> interchangeably</w:t>
      </w:r>
      <w:r w:rsidR="000E381B" w:rsidRPr="000E381B">
        <w:t xml:space="preserve"> referred to as </w:t>
      </w:r>
      <w:r w:rsidR="005751B9">
        <w:t>“</w:t>
      </w:r>
      <w:r w:rsidR="000E381B" w:rsidRPr="000E381B">
        <w:t>the practitioners</w:t>
      </w:r>
      <w:r w:rsidR="005751B9">
        <w:t>”</w:t>
      </w:r>
      <w:r w:rsidR="000E381B" w:rsidRPr="000E381B">
        <w:t>.</w:t>
      </w:r>
    </w:p>
    <w:p w14:paraId="3567E9BF" w14:textId="594718D4" w:rsidR="00DD495B" w:rsidRPr="00DD495B" w:rsidRDefault="00E430C7" w:rsidP="00E430C7">
      <w:pPr>
        <w:pStyle w:val="LegalNormal"/>
        <w:ind w:left="720" w:hanging="360"/>
        <w:rPr>
          <w:b/>
          <w:bCs/>
          <w:lang w:val="en-US"/>
        </w:rPr>
      </w:pPr>
      <w:r w:rsidRPr="00DD495B">
        <w:rPr>
          <w:b/>
          <w:bCs/>
          <w:lang w:val="en-US"/>
        </w:rPr>
        <w:t>B.</w:t>
      </w:r>
      <w:r w:rsidRPr="00DD495B">
        <w:rPr>
          <w:b/>
          <w:bCs/>
          <w:lang w:val="en-US"/>
        </w:rPr>
        <w:tab/>
      </w:r>
      <w:r w:rsidR="00DD495B" w:rsidRPr="00DD495B">
        <w:rPr>
          <w:b/>
          <w:bCs/>
        </w:rPr>
        <w:t>BACKGROUND</w:t>
      </w:r>
    </w:p>
    <w:p w14:paraId="23230583" w14:textId="489362EE" w:rsidR="008E2F86" w:rsidRPr="005E27B6" w:rsidRDefault="00E430C7" w:rsidP="00E430C7">
      <w:pPr>
        <w:pStyle w:val="LegalNormal"/>
        <w:tabs>
          <w:tab w:val="left" w:pos="927"/>
        </w:tabs>
        <w:ind w:left="927" w:hanging="567"/>
        <w:rPr>
          <w:lang w:val="en-US"/>
        </w:rPr>
      </w:pPr>
      <w:r w:rsidRPr="005E27B6">
        <w:rPr>
          <w:lang w:val="en-US"/>
        </w:rPr>
        <w:t>[4]</w:t>
      </w:r>
      <w:r w:rsidRPr="005E27B6">
        <w:rPr>
          <w:lang w:val="en-US"/>
        </w:rPr>
        <w:tab/>
      </w:r>
      <w:r w:rsidR="008E2F86" w:rsidRPr="008E2F86">
        <w:t>The Sharemax Group of Companies conducted various property syndication schemes whereby the public were, through prospectuses, invited to invest in completed and fully tenanted shopping centres.</w:t>
      </w:r>
    </w:p>
    <w:p w14:paraId="67248B8C" w14:textId="1A36EF9F" w:rsidR="005E27B6" w:rsidRPr="00A37572" w:rsidRDefault="00E430C7" w:rsidP="00E430C7">
      <w:pPr>
        <w:pStyle w:val="LegalNormal"/>
        <w:tabs>
          <w:tab w:val="left" w:pos="927"/>
        </w:tabs>
        <w:ind w:left="927" w:hanging="567"/>
        <w:rPr>
          <w:lang w:val="en-US"/>
        </w:rPr>
      </w:pPr>
      <w:r w:rsidRPr="00A37572">
        <w:rPr>
          <w:lang w:val="en-US"/>
        </w:rPr>
        <w:t>[5]</w:t>
      </w:r>
      <w:r w:rsidRPr="00A37572">
        <w:rPr>
          <w:lang w:val="en-US"/>
        </w:rPr>
        <w:tab/>
      </w:r>
      <w:r w:rsidR="005E27B6" w:rsidRPr="005E27B6">
        <w:t>The practitioners, as practicing and registered auditors, were engaged to perform reasonable assurance work (</w:t>
      </w:r>
      <w:r w:rsidR="00A37572" w:rsidRPr="005E27B6">
        <w:t>i.e.,</w:t>
      </w:r>
      <w:r w:rsidR="00A37572">
        <w:t xml:space="preserve"> </w:t>
      </w:r>
      <w:r w:rsidR="005E27B6" w:rsidRPr="005E27B6">
        <w:t>audits) in respect of financial statements of entities in the group of companies and limited assurance work in respect of the various prospectuses issued.</w:t>
      </w:r>
    </w:p>
    <w:p w14:paraId="576FA1CB" w14:textId="18D7647E" w:rsidR="00A37572" w:rsidRPr="00B247DD" w:rsidRDefault="00E430C7" w:rsidP="00E430C7">
      <w:pPr>
        <w:pStyle w:val="LegalNormal"/>
        <w:tabs>
          <w:tab w:val="left" w:pos="927"/>
        </w:tabs>
        <w:ind w:left="927" w:hanging="567"/>
        <w:rPr>
          <w:lang w:val="en-US"/>
        </w:rPr>
      </w:pPr>
      <w:r w:rsidRPr="00B247DD">
        <w:rPr>
          <w:lang w:val="en-US"/>
        </w:rPr>
        <w:lastRenderedPageBreak/>
        <w:t>[6]</w:t>
      </w:r>
      <w:r w:rsidRPr="00B247DD">
        <w:rPr>
          <w:lang w:val="en-US"/>
        </w:rPr>
        <w:tab/>
      </w:r>
      <w:r w:rsidR="00B247DD">
        <w:t>I</w:t>
      </w:r>
      <w:r w:rsidR="00B247DD" w:rsidRPr="00B247DD">
        <w:t>t is submitted on Applicants' behalf that some 56 of these syndications were over a number of years successfully completed in the sense that the investors all received the returns that they were contractually entitled to.</w:t>
      </w:r>
    </w:p>
    <w:p w14:paraId="316CD333" w14:textId="103693F9" w:rsidR="00B247DD" w:rsidRPr="005F74BF" w:rsidRDefault="00E430C7" w:rsidP="00E430C7">
      <w:pPr>
        <w:pStyle w:val="LegalNormal"/>
        <w:tabs>
          <w:tab w:val="left" w:pos="927"/>
        </w:tabs>
        <w:ind w:left="927" w:hanging="567"/>
        <w:rPr>
          <w:lang w:val="en-US"/>
        </w:rPr>
      </w:pPr>
      <w:r w:rsidRPr="005F74BF">
        <w:rPr>
          <w:lang w:val="en-US"/>
        </w:rPr>
        <w:t>[7]</w:t>
      </w:r>
      <w:r w:rsidRPr="005F74BF">
        <w:rPr>
          <w:lang w:val="en-US"/>
        </w:rPr>
        <w:tab/>
      </w:r>
      <w:r w:rsidR="00A41050" w:rsidRPr="00A41050">
        <w:t>The last two syndications (also by far the biggest), known as Zambezi and the Villa respectively, involved the acquisition of as yet undeveloped property and the construction of a mega shopping centre on each. In terms of the contractual arrangement, the completed and fully tenanted shopping centre would in each case be acquired from a third</w:t>
      </w:r>
      <w:r w:rsidR="00691033">
        <w:t>-</w:t>
      </w:r>
      <w:r w:rsidR="00A41050" w:rsidRPr="00A41050">
        <w:t>party developer at a price to be then determined based on the rental income stream at completion and a fixed capitalisation rate.</w:t>
      </w:r>
    </w:p>
    <w:p w14:paraId="7028241B" w14:textId="7639531E" w:rsidR="005F74BF" w:rsidRPr="005841DA" w:rsidRDefault="00E430C7" w:rsidP="00E430C7">
      <w:pPr>
        <w:pStyle w:val="LegalNormal"/>
        <w:tabs>
          <w:tab w:val="left" w:pos="927"/>
        </w:tabs>
        <w:ind w:left="927" w:hanging="567"/>
        <w:rPr>
          <w:lang w:val="en-US"/>
        </w:rPr>
      </w:pPr>
      <w:r w:rsidRPr="005841DA">
        <w:rPr>
          <w:lang w:val="en-US"/>
        </w:rPr>
        <w:t>[8]</w:t>
      </w:r>
      <w:r w:rsidRPr="005841DA">
        <w:rPr>
          <w:lang w:val="en-US"/>
        </w:rPr>
        <w:tab/>
      </w:r>
      <w:r w:rsidR="005841DA" w:rsidRPr="005841DA">
        <w:t xml:space="preserve">After a substantial sum had been obtained through several prospectuses and while the construction of the two shopping centres was still underway, the Registrar of Banks intervened and issued directives that because it considered that the schemes were in contravention of the Banks Act, all monies received from </w:t>
      </w:r>
      <w:r w:rsidR="00AE0ED6" w:rsidRPr="005841DA">
        <w:t>all</w:t>
      </w:r>
      <w:r w:rsidR="005841DA" w:rsidRPr="005841DA">
        <w:t xml:space="preserve"> </w:t>
      </w:r>
      <w:r w:rsidR="00274383">
        <w:t xml:space="preserve">of </w:t>
      </w:r>
      <w:r w:rsidR="005841DA" w:rsidRPr="005841DA">
        <w:t>the syndication schemes had to be repaid. This step was taken notwithstanding the then existence of conflicting legal opinion in this regard.</w:t>
      </w:r>
    </w:p>
    <w:p w14:paraId="235C35BE" w14:textId="51C10DC0" w:rsidR="005841DA" w:rsidRPr="004766B7" w:rsidRDefault="00E430C7" w:rsidP="00E430C7">
      <w:pPr>
        <w:pStyle w:val="LegalNormal"/>
        <w:tabs>
          <w:tab w:val="left" w:pos="927"/>
        </w:tabs>
        <w:ind w:left="927" w:hanging="567"/>
        <w:rPr>
          <w:lang w:val="en-US"/>
        </w:rPr>
      </w:pPr>
      <w:r w:rsidRPr="004766B7">
        <w:rPr>
          <w:lang w:val="en-US"/>
        </w:rPr>
        <w:t>[9]</w:t>
      </w:r>
      <w:r w:rsidRPr="004766B7">
        <w:rPr>
          <w:lang w:val="en-US"/>
        </w:rPr>
        <w:tab/>
      </w:r>
      <w:r w:rsidR="00784B5D">
        <w:t xml:space="preserve">As a </w:t>
      </w:r>
      <w:r w:rsidR="00FB6BAB" w:rsidRPr="00FB6BAB">
        <w:t>result of this intervention and the inevitable subsequent adverse media coverage, these two schemes came to an abrupt halt.</w:t>
      </w:r>
    </w:p>
    <w:p w14:paraId="26138EBD" w14:textId="07F4B499" w:rsidR="004766B7" w:rsidRPr="00890A65" w:rsidRDefault="00E430C7" w:rsidP="00E430C7">
      <w:pPr>
        <w:pStyle w:val="LegalNormal"/>
        <w:tabs>
          <w:tab w:val="left" w:pos="927"/>
        </w:tabs>
        <w:ind w:left="927" w:hanging="567"/>
        <w:rPr>
          <w:lang w:val="en-US"/>
        </w:rPr>
      </w:pPr>
      <w:r w:rsidRPr="00890A65">
        <w:rPr>
          <w:lang w:val="en-US"/>
        </w:rPr>
        <w:t>[10]</w:t>
      </w:r>
      <w:r w:rsidRPr="00890A65">
        <w:rPr>
          <w:lang w:val="en-US"/>
        </w:rPr>
        <w:tab/>
      </w:r>
      <w:r w:rsidR="004766B7">
        <w:t>As a result of a complaint lodged by a certain Mr. Kocks</w:t>
      </w:r>
      <w:r w:rsidR="00BA3521">
        <w:t xml:space="preserve"> </w:t>
      </w:r>
      <w:r w:rsidR="001D7391">
        <w:t>so</w:t>
      </w:r>
      <w:r w:rsidR="00F9786D">
        <w:t>metimes in</w:t>
      </w:r>
      <w:r w:rsidR="00BA3521">
        <w:t xml:space="preserve"> 2010, the </w:t>
      </w:r>
      <w:r w:rsidR="00ED6719">
        <w:t>disciplinary proceeding</w:t>
      </w:r>
      <w:r w:rsidR="00EE5821">
        <w:t>s</w:t>
      </w:r>
      <w:r w:rsidR="00ED6719">
        <w:t xml:space="preserve"> that are subject of this application were initiated by the IRBA</w:t>
      </w:r>
      <w:r w:rsidR="005F776A">
        <w:t xml:space="preserve"> against the Applicants.</w:t>
      </w:r>
    </w:p>
    <w:p w14:paraId="4DA0D829" w14:textId="203AB9C0" w:rsidR="00620CFC" w:rsidRPr="00514D4A" w:rsidRDefault="00E430C7" w:rsidP="00E430C7">
      <w:pPr>
        <w:pStyle w:val="LegalNormal"/>
        <w:tabs>
          <w:tab w:val="left" w:pos="927"/>
        </w:tabs>
        <w:ind w:left="927" w:hanging="567"/>
        <w:rPr>
          <w:b/>
          <w:bCs/>
          <w:lang w:val="en-US"/>
        </w:rPr>
      </w:pPr>
      <w:r w:rsidRPr="00514D4A">
        <w:rPr>
          <w:bCs/>
          <w:lang w:val="en-US"/>
        </w:rPr>
        <w:lastRenderedPageBreak/>
        <w:t>[11]</w:t>
      </w:r>
      <w:r w:rsidRPr="00514D4A">
        <w:rPr>
          <w:bCs/>
          <w:lang w:val="en-US"/>
        </w:rPr>
        <w:tab/>
      </w:r>
      <w:r w:rsidR="00890A65" w:rsidRPr="00890A65">
        <w:t xml:space="preserve">After </w:t>
      </w:r>
      <w:r w:rsidR="00925B36" w:rsidRPr="00890A65">
        <w:t>several</w:t>
      </w:r>
      <w:r w:rsidR="00890A65" w:rsidRPr="00890A65">
        <w:t xml:space="preserve"> iterations of the charge sheet, the final amended charge sheet, comprising in excess of 340 charges, were presented to the practitioners during February of 2020, nearly ten years after the original complaint.</w:t>
      </w:r>
    </w:p>
    <w:p w14:paraId="64A227F3" w14:textId="37E32622" w:rsidR="002E4962" w:rsidRPr="00AC67F0" w:rsidRDefault="00E430C7" w:rsidP="00E430C7">
      <w:pPr>
        <w:pStyle w:val="LegalNormal"/>
        <w:tabs>
          <w:tab w:val="left" w:pos="927"/>
        </w:tabs>
        <w:ind w:left="927" w:hanging="567"/>
        <w:rPr>
          <w:lang w:val="en-US"/>
        </w:rPr>
      </w:pPr>
      <w:r w:rsidRPr="00AC67F0">
        <w:rPr>
          <w:lang w:val="en-US"/>
        </w:rPr>
        <w:t>[12]</w:t>
      </w:r>
      <w:r w:rsidRPr="00AC67F0">
        <w:rPr>
          <w:lang w:val="en-US"/>
        </w:rPr>
        <w:tab/>
      </w:r>
      <w:r w:rsidR="00F661BA">
        <w:t xml:space="preserve">The </w:t>
      </w:r>
      <w:r w:rsidR="0067418A">
        <w:t>charge sheet had a preamble named “Part A”</w:t>
      </w:r>
      <w:r w:rsidR="00076740">
        <w:t xml:space="preserve">. </w:t>
      </w:r>
      <w:r w:rsidR="00E304D6">
        <w:t>T</w:t>
      </w:r>
      <w:r w:rsidR="00076740">
        <w:t xml:space="preserve">his served as a summary of the </w:t>
      </w:r>
      <w:r w:rsidR="00F3133C">
        <w:t>allegations.</w:t>
      </w:r>
    </w:p>
    <w:p w14:paraId="6E6EB415" w14:textId="20A36840" w:rsidR="00514D4A" w:rsidRPr="00F65014" w:rsidRDefault="00E430C7" w:rsidP="00E430C7">
      <w:pPr>
        <w:pStyle w:val="LegalNormal"/>
        <w:tabs>
          <w:tab w:val="left" w:pos="927"/>
        </w:tabs>
        <w:ind w:left="927" w:hanging="567"/>
        <w:rPr>
          <w:lang w:val="en-US"/>
        </w:rPr>
      </w:pPr>
      <w:r w:rsidRPr="00F65014">
        <w:rPr>
          <w:lang w:val="en-US"/>
        </w:rPr>
        <w:t>[13]</w:t>
      </w:r>
      <w:r w:rsidRPr="00F65014">
        <w:rPr>
          <w:lang w:val="en-US"/>
        </w:rPr>
        <w:tab/>
      </w:r>
      <w:r w:rsidR="00AC67F0">
        <w:t>On the day th</w:t>
      </w:r>
      <w:r w:rsidR="000C1429">
        <w:t xml:space="preserve">e hearing </w:t>
      </w:r>
      <w:r w:rsidR="00A937C6">
        <w:t>commenced, Adv. Hofmeyr (</w:t>
      </w:r>
      <w:r w:rsidR="000C1429">
        <w:t xml:space="preserve">the </w:t>
      </w:r>
      <w:r w:rsidR="000C1429" w:rsidRPr="00E304D6">
        <w:rPr>
          <w:i/>
          <w:iCs/>
        </w:rPr>
        <w:t>pro forma</w:t>
      </w:r>
      <w:r w:rsidR="000C1429">
        <w:t xml:space="preserve"> complainant)</w:t>
      </w:r>
      <w:r w:rsidR="008772BF">
        <w:t xml:space="preserve"> made an opening statement.</w:t>
      </w:r>
      <w:r w:rsidR="00C66D35">
        <w:t xml:space="preserve"> The proceedings were then interrupted</w:t>
      </w:r>
      <w:r w:rsidR="005E5438">
        <w:t xml:space="preserve"> and postponed</w:t>
      </w:r>
      <w:r w:rsidR="00C66D35">
        <w:t xml:space="preserve"> with the onse</w:t>
      </w:r>
      <w:r w:rsidR="00BD3599">
        <w:t>t of the Covid-19 pandemic.</w:t>
      </w:r>
    </w:p>
    <w:p w14:paraId="2CC75CF1" w14:textId="3FB86910" w:rsidR="00E9264D" w:rsidRPr="003D21F5" w:rsidRDefault="00E430C7" w:rsidP="00E430C7">
      <w:pPr>
        <w:pStyle w:val="LegalNormal"/>
        <w:ind w:left="720" w:hanging="360"/>
        <w:rPr>
          <w:b/>
          <w:bCs/>
          <w:lang w:val="en-US"/>
        </w:rPr>
      </w:pPr>
      <w:r w:rsidRPr="003D21F5">
        <w:rPr>
          <w:b/>
          <w:bCs/>
          <w:lang w:val="en-US"/>
        </w:rPr>
        <w:t>C.</w:t>
      </w:r>
      <w:r w:rsidRPr="003D21F5">
        <w:rPr>
          <w:b/>
          <w:bCs/>
          <w:lang w:val="en-US"/>
        </w:rPr>
        <w:tab/>
      </w:r>
      <w:r w:rsidR="003D21F5" w:rsidRPr="003D21F5">
        <w:rPr>
          <w:b/>
          <w:bCs/>
        </w:rPr>
        <w:t>THE APPLICANTS’ CASE</w:t>
      </w:r>
    </w:p>
    <w:p w14:paraId="02876088" w14:textId="1FA6091D" w:rsidR="00AC51A7" w:rsidRPr="0081277E" w:rsidRDefault="00E430C7" w:rsidP="00E430C7">
      <w:pPr>
        <w:pStyle w:val="LegalNormal"/>
        <w:tabs>
          <w:tab w:val="left" w:pos="927"/>
        </w:tabs>
        <w:ind w:left="927" w:hanging="567"/>
        <w:rPr>
          <w:lang w:val="en-US"/>
        </w:rPr>
      </w:pPr>
      <w:r w:rsidRPr="0081277E">
        <w:rPr>
          <w:lang w:val="en-US"/>
        </w:rPr>
        <w:t>[14]</w:t>
      </w:r>
      <w:r w:rsidRPr="0081277E">
        <w:rPr>
          <w:lang w:val="en-US"/>
        </w:rPr>
        <w:tab/>
      </w:r>
      <w:r w:rsidR="00AC51A7">
        <w:t xml:space="preserve">The </w:t>
      </w:r>
      <w:r w:rsidR="00F350AE">
        <w:t>A</w:t>
      </w:r>
      <w:r w:rsidR="00415F4B">
        <w:t>pplicants</w:t>
      </w:r>
      <w:r w:rsidR="00F350AE">
        <w:t xml:space="preserve"> have a major gripe with both </w:t>
      </w:r>
      <w:r w:rsidR="00B27C5C">
        <w:t>“Part A” and the opening address by Ms. Hofmeyr.</w:t>
      </w:r>
      <w:r w:rsidR="00613096">
        <w:t xml:space="preserve"> They allege that the charge sheet </w:t>
      </w:r>
      <w:r w:rsidR="00172328">
        <w:t>was</w:t>
      </w:r>
      <w:r w:rsidR="00710887">
        <w:t xml:space="preserve"> based on or triggered by </w:t>
      </w:r>
      <w:r w:rsidR="00F502FC" w:rsidRPr="00F502FC">
        <w:t>some wild, speculative and completely unfounded adverse allegations made in some media articles</w:t>
      </w:r>
      <w:r w:rsidR="0075408A">
        <w:t>.</w:t>
      </w:r>
      <w:r w:rsidR="00FB3F89">
        <w:t xml:space="preserve"> They opine that </w:t>
      </w:r>
      <w:r w:rsidR="005912DA">
        <w:t xml:space="preserve">the directives issued by the Registrar of Banks </w:t>
      </w:r>
      <w:r w:rsidR="007B0688">
        <w:t xml:space="preserve">added tremendous impetus to </w:t>
      </w:r>
      <w:r w:rsidR="003163AE" w:rsidRPr="003163AE">
        <w:t xml:space="preserve">such adverse media coverage during the course of which wild and completely unfounded allegations of a fraudulent </w:t>
      </w:r>
      <w:r w:rsidR="00E755E2">
        <w:t>P</w:t>
      </w:r>
      <w:r w:rsidR="003163AE" w:rsidRPr="003163AE">
        <w:t xml:space="preserve">yramid or </w:t>
      </w:r>
      <w:r w:rsidR="00E755E2" w:rsidRPr="003163AE">
        <w:t>Ponzi</w:t>
      </w:r>
      <w:r w:rsidR="003163AE" w:rsidRPr="003163AE">
        <w:t xml:space="preserve"> scheme were made.</w:t>
      </w:r>
    </w:p>
    <w:p w14:paraId="504A5F80" w14:textId="1F807F72" w:rsidR="0081277E" w:rsidRPr="00C90E2B" w:rsidRDefault="00E430C7" w:rsidP="00E430C7">
      <w:pPr>
        <w:pStyle w:val="LegalNormal"/>
        <w:tabs>
          <w:tab w:val="left" w:pos="927"/>
        </w:tabs>
        <w:ind w:left="927" w:hanging="567"/>
        <w:rPr>
          <w:lang w:val="en-US"/>
        </w:rPr>
      </w:pPr>
      <w:r w:rsidRPr="00C90E2B">
        <w:rPr>
          <w:lang w:val="en-US"/>
        </w:rPr>
        <w:t>[15]</w:t>
      </w:r>
      <w:r w:rsidRPr="00C90E2B">
        <w:rPr>
          <w:lang w:val="en-US"/>
        </w:rPr>
        <w:tab/>
      </w:r>
      <w:r w:rsidR="00CA7F69" w:rsidRPr="00CA7F69">
        <w:t>IRBA, in Part A of the charge sheet, selected and compiled the most serious and most sensationalist of these wild</w:t>
      </w:r>
      <w:r w:rsidR="00E304D6">
        <w:t>,</w:t>
      </w:r>
      <w:r w:rsidR="00CA7F69" w:rsidRPr="00CA7F69">
        <w:t xml:space="preserve"> speculative and unfounded media allegations.</w:t>
      </w:r>
    </w:p>
    <w:p w14:paraId="3E806DAD" w14:textId="1DBE1035" w:rsidR="00BC654B" w:rsidRPr="00BC654B" w:rsidRDefault="00E430C7" w:rsidP="00E430C7">
      <w:pPr>
        <w:pStyle w:val="LegalNormal"/>
        <w:tabs>
          <w:tab w:val="left" w:pos="927"/>
        </w:tabs>
        <w:ind w:left="927" w:hanging="567"/>
        <w:rPr>
          <w:lang w:val="en-US"/>
        </w:rPr>
      </w:pPr>
      <w:r w:rsidRPr="00BC654B">
        <w:rPr>
          <w:lang w:val="en-US"/>
        </w:rPr>
        <w:lastRenderedPageBreak/>
        <w:t>[16]</w:t>
      </w:r>
      <w:r w:rsidRPr="00BC654B">
        <w:rPr>
          <w:lang w:val="en-US"/>
        </w:rPr>
        <w:tab/>
      </w:r>
      <w:r w:rsidR="00C90E2B" w:rsidRPr="00C90E2B">
        <w:t xml:space="preserve">Part A was then presented as the relevant true and correct factual background to the charges against the practitioners. </w:t>
      </w:r>
    </w:p>
    <w:p w14:paraId="776C36EE" w14:textId="1B8D7B40" w:rsidR="00000697" w:rsidRPr="00000697" w:rsidRDefault="00E430C7" w:rsidP="00E430C7">
      <w:pPr>
        <w:pStyle w:val="LegalNormal"/>
        <w:tabs>
          <w:tab w:val="left" w:pos="927"/>
        </w:tabs>
        <w:ind w:left="927" w:hanging="567"/>
        <w:rPr>
          <w:lang w:val="en-US"/>
        </w:rPr>
      </w:pPr>
      <w:r w:rsidRPr="00000697">
        <w:rPr>
          <w:lang w:val="en-US"/>
        </w:rPr>
        <w:t>[17]</w:t>
      </w:r>
      <w:r w:rsidRPr="00000697">
        <w:rPr>
          <w:lang w:val="en-US"/>
        </w:rPr>
        <w:tab/>
      </w:r>
      <w:r w:rsidR="00C90E2B" w:rsidRPr="00C90E2B">
        <w:t xml:space="preserve">The narrative presented in Part A was that the syndication schemes were fraudulent </w:t>
      </w:r>
      <w:r w:rsidR="00BC654B">
        <w:t>P</w:t>
      </w:r>
      <w:r w:rsidR="00C90E2B" w:rsidRPr="00C90E2B">
        <w:t xml:space="preserve">yramid or </w:t>
      </w:r>
      <w:r w:rsidR="00BC654B" w:rsidRPr="00C90E2B">
        <w:t>Ponzi</w:t>
      </w:r>
      <w:r w:rsidR="00C90E2B" w:rsidRPr="00C90E2B">
        <w:t xml:space="preserve"> schemes in which the practitioners</w:t>
      </w:r>
      <w:r w:rsidR="00BC654B">
        <w:t xml:space="preserve"> </w:t>
      </w:r>
      <w:r w:rsidR="0094615D" w:rsidRPr="0094615D">
        <w:t xml:space="preserve">did not perform an independent professional role, but in which they were an important cog in the Sharemax machinery. </w:t>
      </w:r>
    </w:p>
    <w:p w14:paraId="4CEC1815" w14:textId="48DB2E56" w:rsidR="00C90E2B" w:rsidRPr="00576C72" w:rsidRDefault="00E430C7" w:rsidP="00E430C7">
      <w:pPr>
        <w:pStyle w:val="LegalNormal"/>
        <w:tabs>
          <w:tab w:val="left" w:pos="927"/>
        </w:tabs>
        <w:ind w:left="927" w:hanging="567"/>
        <w:rPr>
          <w:lang w:val="en-US"/>
        </w:rPr>
      </w:pPr>
      <w:r w:rsidRPr="00576C72">
        <w:rPr>
          <w:lang w:val="en-US"/>
        </w:rPr>
        <w:t>[18]</w:t>
      </w:r>
      <w:r w:rsidRPr="00576C72">
        <w:rPr>
          <w:lang w:val="en-US"/>
        </w:rPr>
        <w:tab/>
      </w:r>
      <w:r w:rsidR="0094615D" w:rsidRPr="0094615D">
        <w:t>Part A was presented as aforesaid by IRBA, although IRBA at the time had absolutely no evidence in support of such narrative.</w:t>
      </w:r>
    </w:p>
    <w:p w14:paraId="6AD40BEA" w14:textId="2C72BD76" w:rsidR="00AE6345" w:rsidRPr="00AE6345" w:rsidRDefault="00E430C7" w:rsidP="00E430C7">
      <w:pPr>
        <w:pStyle w:val="LegalNormal"/>
        <w:tabs>
          <w:tab w:val="left" w:pos="927"/>
        </w:tabs>
        <w:ind w:left="927" w:hanging="567"/>
        <w:rPr>
          <w:lang w:val="en-US"/>
        </w:rPr>
      </w:pPr>
      <w:r w:rsidRPr="00AE6345">
        <w:rPr>
          <w:lang w:val="en-US"/>
        </w:rPr>
        <w:t>[19]</w:t>
      </w:r>
      <w:r w:rsidRPr="00AE6345">
        <w:rPr>
          <w:lang w:val="en-US"/>
        </w:rPr>
        <w:tab/>
      </w:r>
      <w:r w:rsidR="00576C72" w:rsidRPr="00576C72">
        <w:t>The opening address was a continuation of the same false narrative and presented as the relevant background to the charges</w:t>
      </w:r>
      <w:r w:rsidR="00F65014">
        <w:t>……..</w:t>
      </w:r>
      <w:r w:rsidR="00576C72" w:rsidRPr="00576C72">
        <w:t xml:space="preserve">. </w:t>
      </w:r>
    </w:p>
    <w:p w14:paraId="17B9ABAF" w14:textId="023E55EB" w:rsidR="00576C72" w:rsidRPr="00332E99" w:rsidRDefault="00E430C7" w:rsidP="00E430C7">
      <w:pPr>
        <w:pStyle w:val="LegalNormal"/>
        <w:tabs>
          <w:tab w:val="left" w:pos="927"/>
        </w:tabs>
        <w:ind w:left="927" w:hanging="567"/>
        <w:rPr>
          <w:lang w:val="en-US"/>
        </w:rPr>
      </w:pPr>
      <w:r w:rsidRPr="00332E99">
        <w:rPr>
          <w:lang w:val="en-US"/>
        </w:rPr>
        <w:t>[20]</w:t>
      </w:r>
      <w:r w:rsidRPr="00332E99">
        <w:rPr>
          <w:lang w:val="en-US"/>
        </w:rPr>
        <w:tab/>
      </w:r>
      <w:r w:rsidR="00576C72" w:rsidRPr="00576C72">
        <w:t>The opening address predictably resulted in further adverse media articles and a continuation of the same narrative.</w:t>
      </w:r>
      <w:r w:rsidR="00B052CC">
        <w:t xml:space="preserve"> T</w:t>
      </w:r>
      <w:r w:rsidR="00DC7C3C">
        <w:t xml:space="preserve">he Applicants </w:t>
      </w:r>
      <w:r w:rsidR="00496E96">
        <w:t xml:space="preserve">allege that </w:t>
      </w:r>
      <w:r w:rsidR="00163E61">
        <w:t xml:space="preserve">during the hearing so far, </w:t>
      </w:r>
      <w:r w:rsidR="00726E7B">
        <w:t>two of the disciplinary panel members</w:t>
      </w:r>
      <w:r w:rsidR="00AB3674">
        <w:t>, to wit Messrs Sooklal and Griffiths</w:t>
      </w:r>
      <w:r w:rsidR="00AE7407">
        <w:t xml:space="preserve"> have exhibited undisguised</w:t>
      </w:r>
      <w:r w:rsidR="0080149F">
        <w:t xml:space="preserve"> and unbridled hostility</w:t>
      </w:r>
      <w:r w:rsidR="007762CF">
        <w:t xml:space="preserve"> and bias towards them</w:t>
      </w:r>
      <w:r w:rsidR="00B046B2">
        <w:t xml:space="preserve">. They conclude that the latter were successfully </w:t>
      </w:r>
      <w:r w:rsidR="00AF4019">
        <w:t xml:space="preserve">influenced by Part A and the opening address of the </w:t>
      </w:r>
      <w:r w:rsidR="00AF4019" w:rsidRPr="00876FDA">
        <w:rPr>
          <w:i/>
          <w:iCs/>
        </w:rPr>
        <w:t>pro forma</w:t>
      </w:r>
      <w:r w:rsidR="00AF4019">
        <w:t xml:space="preserve"> complainant.</w:t>
      </w:r>
    </w:p>
    <w:p w14:paraId="4100CF99" w14:textId="499207B4" w:rsidR="00332E99" w:rsidRPr="00B8108A" w:rsidRDefault="00E430C7" w:rsidP="00E430C7">
      <w:pPr>
        <w:pStyle w:val="LegalNormal"/>
        <w:tabs>
          <w:tab w:val="left" w:pos="927"/>
        </w:tabs>
        <w:ind w:left="927" w:hanging="567"/>
        <w:rPr>
          <w:lang w:val="en-US"/>
        </w:rPr>
      </w:pPr>
      <w:r w:rsidRPr="00B8108A">
        <w:rPr>
          <w:lang w:val="en-US"/>
        </w:rPr>
        <w:t>[21]</w:t>
      </w:r>
      <w:r w:rsidRPr="00B8108A">
        <w:rPr>
          <w:lang w:val="en-US"/>
        </w:rPr>
        <w:tab/>
      </w:r>
      <w:r w:rsidR="00D343D7">
        <w:t>Mr Brian William Smith</w:t>
      </w:r>
      <w:r w:rsidR="001969A7">
        <w:t xml:space="preserve"> an expert witness who testified </w:t>
      </w:r>
      <w:r w:rsidR="00522F64">
        <w:t xml:space="preserve">on behalf of IRBA was highly compromised due to his </w:t>
      </w:r>
      <w:r w:rsidR="00ED1116">
        <w:t>previous association with the IRBA</w:t>
      </w:r>
      <w:r w:rsidR="003F49F1">
        <w:t>, which ties were not disclosed.</w:t>
      </w:r>
    </w:p>
    <w:p w14:paraId="593DAC21" w14:textId="2DF5CBA3" w:rsidR="00B8108A" w:rsidRPr="00C75AC1" w:rsidRDefault="00E430C7" w:rsidP="00E430C7">
      <w:pPr>
        <w:pStyle w:val="LegalNormal"/>
        <w:tabs>
          <w:tab w:val="left" w:pos="927"/>
        </w:tabs>
        <w:ind w:left="927" w:hanging="567"/>
        <w:rPr>
          <w:lang w:val="en-US"/>
        </w:rPr>
      </w:pPr>
      <w:r w:rsidRPr="00C75AC1">
        <w:rPr>
          <w:lang w:val="en-US"/>
        </w:rPr>
        <w:lastRenderedPageBreak/>
        <w:t>[22]</w:t>
      </w:r>
      <w:r w:rsidRPr="00C75AC1">
        <w:rPr>
          <w:lang w:val="en-US"/>
        </w:rPr>
        <w:tab/>
      </w:r>
      <w:r w:rsidR="00762B54">
        <w:t>Mr Griffiths</w:t>
      </w:r>
      <w:r w:rsidR="00095BE8">
        <w:t xml:space="preserve"> is a member of the </w:t>
      </w:r>
      <w:r w:rsidR="00876FDA">
        <w:t>D</w:t>
      </w:r>
      <w:r w:rsidR="00095BE8">
        <w:t>isciplinary Committee</w:t>
      </w:r>
      <w:r w:rsidR="00EC7B1B">
        <w:t xml:space="preserve">. </w:t>
      </w:r>
      <w:r w:rsidR="00AD6763">
        <w:t xml:space="preserve">The Applicants allege that </w:t>
      </w:r>
      <w:r w:rsidR="00077BE5">
        <w:t>i</w:t>
      </w:r>
      <w:r w:rsidR="00EC7B1B">
        <w:t xml:space="preserve">t has </w:t>
      </w:r>
      <w:r w:rsidR="00DC379B">
        <w:t>become apparent that</w:t>
      </w:r>
      <w:r w:rsidR="00B95DE8">
        <w:t xml:space="preserve"> he has a longstanding involvement</w:t>
      </w:r>
      <w:r w:rsidR="00B27433">
        <w:t xml:space="preserve"> in IRBA’s committees. </w:t>
      </w:r>
      <w:r w:rsidR="00787372">
        <w:t>Furthermore, he and Smith served on the sa</w:t>
      </w:r>
      <w:r w:rsidR="00F509B0">
        <w:t>me investigating committee for at least 3 year</w:t>
      </w:r>
      <w:r w:rsidR="00C8268F">
        <w:t>s while he was Chairman thereof.</w:t>
      </w:r>
      <w:r w:rsidR="00340665">
        <w:t xml:space="preserve"> Griffiths failed to disclose</w:t>
      </w:r>
      <w:r w:rsidR="00C75AC1">
        <w:t xml:space="preserve"> all this.</w:t>
      </w:r>
    </w:p>
    <w:p w14:paraId="57212ACD" w14:textId="586ECE86" w:rsidR="00C75AC1" w:rsidRPr="0081127B" w:rsidRDefault="00E430C7" w:rsidP="00E430C7">
      <w:pPr>
        <w:pStyle w:val="LegalNormal"/>
        <w:tabs>
          <w:tab w:val="left" w:pos="927"/>
        </w:tabs>
        <w:ind w:left="927" w:hanging="567"/>
        <w:rPr>
          <w:lang w:val="en-US"/>
        </w:rPr>
      </w:pPr>
      <w:r w:rsidRPr="0081127B">
        <w:rPr>
          <w:lang w:val="en-US"/>
        </w:rPr>
        <w:t>[23]</w:t>
      </w:r>
      <w:r w:rsidRPr="0081127B">
        <w:rPr>
          <w:lang w:val="en-US"/>
        </w:rPr>
        <w:tab/>
      </w:r>
      <w:r w:rsidR="00C75AC1">
        <w:t xml:space="preserve">The objection against Sooklal centres on his conduct. </w:t>
      </w:r>
      <w:r w:rsidR="00053D30">
        <w:t xml:space="preserve">The practitioners </w:t>
      </w:r>
      <w:r w:rsidR="00FF63F8">
        <w:t xml:space="preserve">complain that </w:t>
      </w:r>
      <w:r w:rsidR="0001576F">
        <w:t xml:space="preserve">adverse body language, </w:t>
      </w:r>
      <w:r w:rsidR="00A31CA1">
        <w:t>the voice intonation conveyed, hostility, irritation</w:t>
      </w:r>
      <w:r w:rsidR="00DD7FB7">
        <w:t xml:space="preserve">, disrespect, discourtesy and a dismissive </w:t>
      </w:r>
      <w:r w:rsidR="00AE1C50">
        <w:t xml:space="preserve">attitude on his part, </w:t>
      </w:r>
      <w:r w:rsidR="00B723EF">
        <w:t xml:space="preserve">betrayed </w:t>
      </w:r>
      <w:r w:rsidR="00BE009D">
        <w:t>Sooklal’s innate</w:t>
      </w:r>
      <w:r w:rsidR="00980216">
        <w:t xml:space="preserve"> hostility</w:t>
      </w:r>
      <w:r w:rsidR="00C20E56">
        <w:t xml:space="preserve"> and bias complained about already.</w:t>
      </w:r>
      <w:r w:rsidR="00053D30">
        <w:t xml:space="preserve"> </w:t>
      </w:r>
    </w:p>
    <w:p w14:paraId="55488770" w14:textId="1F353CEB" w:rsidR="0081127B" w:rsidRPr="000D41C7" w:rsidRDefault="00E430C7" w:rsidP="00E430C7">
      <w:pPr>
        <w:pStyle w:val="LegalNormal"/>
        <w:tabs>
          <w:tab w:val="left" w:pos="927"/>
        </w:tabs>
        <w:ind w:left="927" w:hanging="567"/>
        <w:rPr>
          <w:lang w:val="en-US"/>
        </w:rPr>
      </w:pPr>
      <w:r w:rsidRPr="000D41C7">
        <w:rPr>
          <w:lang w:val="en-US"/>
        </w:rPr>
        <w:t>[24]</w:t>
      </w:r>
      <w:r w:rsidRPr="000D41C7">
        <w:rPr>
          <w:lang w:val="en-US"/>
        </w:rPr>
        <w:tab/>
      </w:r>
      <w:r w:rsidR="00B24641">
        <w:t xml:space="preserve">When the hearings resumed, the Applicants made </w:t>
      </w:r>
      <w:r w:rsidR="00502A09">
        <w:t>an application for the recusal of two of the seven</w:t>
      </w:r>
      <w:r w:rsidR="00F94DFC">
        <w:t xml:space="preserve"> members of the disciplinary panel. The Applicants based their application on </w:t>
      </w:r>
      <w:r w:rsidR="00A042B6">
        <w:t>alleged bias due to conduct, body language</w:t>
      </w:r>
      <w:r w:rsidR="009B78A3">
        <w:t>, utterances etc.</w:t>
      </w:r>
    </w:p>
    <w:p w14:paraId="3D818901" w14:textId="758234EC" w:rsidR="000D41C7" w:rsidRPr="000D41C7" w:rsidRDefault="00E430C7" w:rsidP="00E430C7">
      <w:pPr>
        <w:pStyle w:val="LegalNormal"/>
        <w:tabs>
          <w:tab w:val="left" w:pos="927"/>
        </w:tabs>
        <w:ind w:left="927" w:hanging="567"/>
        <w:rPr>
          <w:lang w:val="en-US"/>
        </w:rPr>
      </w:pPr>
      <w:r w:rsidRPr="000D41C7">
        <w:rPr>
          <w:lang w:val="en-US"/>
        </w:rPr>
        <w:t>[25]</w:t>
      </w:r>
      <w:r w:rsidRPr="000D41C7">
        <w:rPr>
          <w:lang w:val="en-US"/>
        </w:rPr>
        <w:tab/>
      </w:r>
      <w:r w:rsidR="000D41C7">
        <w:t xml:space="preserve">The </w:t>
      </w:r>
      <w:r w:rsidR="00D5618E">
        <w:t xml:space="preserve">Applicants sought the recusal of panel members </w:t>
      </w:r>
      <w:r w:rsidR="005B4B77">
        <w:t>Mr. Griffiths</w:t>
      </w:r>
      <w:r w:rsidR="00D5618E">
        <w:t xml:space="preserve"> and </w:t>
      </w:r>
      <w:r w:rsidR="005B4B77">
        <w:t xml:space="preserve">Mr. </w:t>
      </w:r>
      <w:r w:rsidR="00D5618E">
        <w:t>Sooklal</w:t>
      </w:r>
      <w:r w:rsidR="00B979A2">
        <w:t xml:space="preserve"> due to their alleged host</w:t>
      </w:r>
      <w:r w:rsidR="00F00EF0">
        <w:t xml:space="preserve">ility to the Applicants and for being </w:t>
      </w:r>
      <w:r w:rsidR="00AB5018">
        <w:t>dismissive and disrespectful.</w:t>
      </w:r>
    </w:p>
    <w:p w14:paraId="3A16F371" w14:textId="5729B143" w:rsidR="006E7A19" w:rsidRPr="00B10F79" w:rsidRDefault="00E430C7" w:rsidP="00E430C7">
      <w:pPr>
        <w:pStyle w:val="LegalNormal"/>
        <w:tabs>
          <w:tab w:val="left" w:pos="927"/>
        </w:tabs>
        <w:ind w:left="927" w:hanging="567"/>
        <w:rPr>
          <w:lang w:val="en-US"/>
        </w:rPr>
      </w:pPr>
      <w:r w:rsidRPr="00B10F79">
        <w:rPr>
          <w:lang w:val="en-US"/>
        </w:rPr>
        <w:t>[26]</w:t>
      </w:r>
      <w:r w:rsidRPr="00B10F79">
        <w:rPr>
          <w:lang w:val="en-US"/>
        </w:rPr>
        <w:tab/>
      </w:r>
      <w:r w:rsidR="000D41C7">
        <w:t>The recusal application was refused.</w:t>
      </w:r>
    </w:p>
    <w:p w14:paraId="11942F2F" w14:textId="7B6119DA" w:rsidR="00101FE2" w:rsidRPr="006E7A19" w:rsidRDefault="00E430C7" w:rsidP="00E430C7">
      <w:pPr>
        <w:pStyle w:val="LegalNormal"/>
        <w:ind w:left="720" w:hanging="360"/>
        <w:rPr>
          <w:lang w:val="en-US"/>
        </w:rPr>
      </w:pPr>
      <w:r w:rsidRPr="006E7A19">
        <w:rPr>
          <w:b/>
          <w:lang w:val="en-US"/>
        </w:rPr>
        <w:t>D.</w:t>
      </w:r>
      <w:r w:rsidRPr="006E7A19">
        <w:rPr>
          <w:b/>
          <w:lang w:val="en-US"/>
        </w:rPr>
        <w:tab/>
      </w:r>
      <w:r w:rsidR="00CA22AD" w:rsidRPr="006E7A19">
        <w:rPr>
          <w:b/>
          <w:bCs/>
        </w:rPr>
        <w:t xml:space="preserve">THE </w:t>
      </w:r>
      <w:r w:rsidR="00377E4B" w:rsidRPr="006E7A19">
        <w:rPr>
          <w:b/>
          <w:bCs/>
        </w:rPr>
        <w:t>4</w:t>
      </w:r>
      <w:r w:rsidR="00377E4B" w:rsidRPr="006E7A19">
        <w:rPr>
          <w:b/>
          <w:bCs/>
          <w:vertAlign w:val="superscript"/>
        </w:rPr>
        <w:t>TH</w:t>
      </w:r>
      <w:r w:rsidR="00377E4B" w:rsidRPr="006E7A19">
        <w:rPr>
          <w:b/>
          <w:bCs/>
        </w:rPr>
        <w:t xml:space="preserve"> </w:t>
      </w:r>
      <w:r w:rsidR="00CA22AD" w:rsidRPr="006E7A19">
        <w:rPr>
          <w:b/>
          <w:bCs/>
        </w:rPr>
        <w:t>RESPONDENT’S CASE</w:t>
      </w:r>
    </w:p>
    <w:p w14:paraId="322D71A4" w14:textId="352C3103" w:rsidR="00B04392" w:rsidRPr="000B204C" w:rsidRDefault="00E430C7" w:rsidP="00E430C7">
      <w:pPr>
        <w:pStyle w:val="LegalNormal"/>
        <w:tabs>
          <w:tab w:val="left" w:pos="927"/>
        </w:tabs>
        <w:ind w:left="927" w:hanging="567"/>
        <w:rPr>
          <w:lang w:val="en-US"/>
        </w:rPr>
      </w:pPr>
      <w:r w:rsidRPr="000B204C">
        <w:rPr>
          <w:lang w:val="en-US"/>
        </w:rPr>
        <w:lastRenderedPageBreak/>
        <w:t>[27]</w:t>
      </w:r>
      <w:r w:rsidRPr="000B204C">
        <w:rPr>
          <w:lang w:val="en-US"/>
        </w:rPr>
        <w:tab/>
      </w:r>
      <w:r w:rsidR="00905D3C" w:rsidRPr="00905D3C">
        <w:t>IRBA bears a statutory responsibility to take disciplinary action against registered auditors where this is warranted, so as to protect the public from practitioners</w:t>
      </w:r>
      <w:r w:rsidR="00905D3C">
        <w:t>’ I</w:t>
      </w:r>
      <w:r w:rsidR="00905D3C" w:rsidRPr="00905D3C">
        <w:t>mproper conduct.</w:t>
      </w:r>
    </w:p>
    <w:p w14:paraId="14A4F2BD" w14:textId="459D0DEE" w:rsidR="000B204C" w:rsidRPr="00E7482E" w:rsidRDefault="00E430C7" w:rsidP="00E430C7">
      <w:pPr>
        <w:pStyle w:val="LegalNormal"/>
        <w:tabs>
          <w:tab w:val="left" w:pos="927"/>
        </w:tabs>
        <w:ind w:left="927" w:hanging="567"/>
        <w:rPr>
          <w:lang w:val="en-US"/>
        </w:rPr>
      </w:pPr>
      <w:r w:rsidRPr="00E7482E">
        <w:rPr>
          <w:lang w:val="en-US"/>
        </w:rPr>
        <w:t>[28]</w:t>
      </w:r>
      <w:r w:rsidRPr="00E7482E">
        <w:rPr>
          <w:lang w:val="en-US"/>
        </w:rPr>
        <w:tab/>
      </w:r>
      <w:r w:rsidR="000B204C" w:rsidRPr="000B204C">
        <w:t>Registered auditors, such as the applicants in this case, are required to conduct their work in accordance with the applicable professional standards and to comply with IRBA's Code of Professional Conduct, as well as any other applicable laws. A registered auditor who is alleged to have fallen short of the required standards may be subject to IRBA disciplinary proceedings and sanctions under the Act.</w:t>
      </w:r>
    </w:p>
    <w:p w14:paraId="769F7A03" w14:textId="682DF1AB" w:rsidR="00E7482E" w:rsidRPr="0070031D" w:rsidRDefault="00E430C7" w:rsidP="00E430C7">
      <w:pPr>
        <w:pStyle w:val="LegalNormal"/>
        <w:tabs>
          <w:tab w:val="left" w:pos="927"/>
        </w:tabs>
        <w:ind w:left="927" w:hanging="567"/>
        <w:rPr>
          <w:lang w:val="en-US"/>
        </w:rPr>
      </w:pPr>
      <w:r w:rsidRPr="0070031D">
        <w:rPr>
          <w:lang w:val="en-US"/>
        </w:rPr>
        <w:t>[29]</w:t>
      </w:r>
      <w:r w:rsidRPr="0070031D">
        <w:rPr>
          <w:lang w:val="en-US"/>
        </w:rPr>
        <w:tab/>
      </w:r>
      <w:r w:rsidR="00410DFA" w:rsidRPr="00410DFA">
        <w:t>The High Court has already held</w:t>
      </w:r>
      <w:r w:rsidR="00F0146D">
        <w:rPr>
          <w:rStyle w:val="FootnoteReference"/>
        </w:rPr>
        <w:footnoteReference w:id="3"/>
      </w:r>
      <w:r w:rsidR="00F0146D">
        <w:t xml:space="preserve"> </w:t>
      </w:r>
      <w:r w:rsidR="00410DFA" w:rsidRPr="00410DFA">
        <w:t>that IRBA disciplinary hearings are administrative processes. This means that IRBA disciplinary hearings must comply with the requirements for lawful, reasonable and procedurally fair administrative action. If, at the end of those proceedings, it can be shown that the proceedings did not meet</w:t>
      </w:r>
      <w:r w:rsidR="0029566C">
        <w:t xml:space="preserve"> </w:t>
      </w:r>
      <w:r w:rsidR="0029566C" w:rsidRPr="0029566C">
        <w:t>those requirements, then the affected practitioners have their full rights under the Promotion of Administrative Justice Act 3 of 2000 (PAJA) to approach a court to review and set aside those proceedings.</w:t>
      </w:r>
    </w:p>
    <w:p w14:paraId="0F6B4168" w14:textId="4EA9EE76" w:rsidR="000B66C9" w:rsidRPr="000B66C9" w:rsidRDefault="00E430C7" w:rsidP="00E430C7">
      <w:pPr>
        <w:pStyle w:val="LegalNormal"/>
        <w:tabs>
          <w:tab w:val="left" w:pos="927"/>
        </w:tabs>
        <w:ind w:left="927" w:hanging="567"/>
        <w:rPr>
          <w:lang w:val="en-US"/>
        </w:rPr>
      </w:pPr>
      <w:r w:rsidRPr="000B66C9">
        <w:rPr>
          <w:lang w:val="en-US"/>
        </w:rPr>
        <w:lastRenderedPageBreak/>
        <w:t>[30]</w:t>
      </w:r>
      <w:r w:rsidRPr="000B66C9">
        <w:rPr>
          <w:lang w:val="en-US"/>
        </w:rPr>
        <w:tab/>
      </w:r>
      <w:r w:rsidR="00D36605">
        <w:t>The disciplinary hearing</w:t>
      </w:r>
      <w:r w:rsidR="006B7A94">
        <w:t xml:space="preserve"> is currently mid-</w:t>
      </w:r>
      <w:r w:rsidR="00ED64F3">
        <w:t>stream,</w:t>
      </w:r>
      <w:r w:rsidR="006B7A94">
        <w:t xml:space="preserve"> and the Applicants are seeking to </w:t>
      </w:r>
      <w:r w:rsidR="003535D1">
        <w:t xml:space="preserve">stop the </w:t>
      </w:r>
      <w:r w:rsidR="00FF4832">
        <w:t xml:space="preserve">disciplinary </w:t>
      </w:r>
      <w:r w:rsidR="003535D1">
        <w:t>proce</w:t>
      </w:r>
      <w:r w:rsidR="00FF4832">
        <w:t xml:space="preserve">ss </w:t>
      </w:r>
      <w:r w:rsidR="003535D1">
        <w:t>in its tracks</w:t>
      </w:r>
      <w:r w:rsidR="002359A2">
        <w:t xml:space="preserve">, rendering </w:t>
      </w:r>
      <w:r w:rsidR="00686530">
        <w:t>4 weeks of hearing a nullity in essence.</w:t>
      </w:r>
      <w:r w:rsidR="00BB69AD">
        <w:t xml:space="preserve"> </w:t>
      </w:r>
    </w:p>
    <w:p w14:paraId="295891FC" w14:textId="3F3AD27D" w:rsidR="0070031D" w:rsidRPr="00FE68E8" w:rsidRDefault="00E430C7" w:rsidP="00E430C7">
      <w:pPr>
        <w:pStyle w:val="LegalNormal"/>
        <w:tabs>
          <w:tab w:val="left" w:pos="927"/>
        </w:tabs>
        <w:ind w:left="927" w:hanging="567"/>
        <w:rPr>
          <w:lang w:val="en-US"/>
        </w:rPr>
      </w:pPr>
      <w:r w:rsidRPr="00FE68E8">
        <w:rPr>
          <w:lang w:val="en-US"/>
        </w:rPr>
        <w:t>[31]</w:t>
      </w:r>
      <w:r w:rsidRPr="00FE68E8">
        <w:rPr>
          <w:lang w:val="en-US"/>
        </w:rPr>
        <w:tab/>
      </w:r>
      <w:r w:rsidR="00BB69AD">
        <w:t xml:space="preserve">The disciplinary hearing, contends the </w:t>
      </w:r>
      <w:r w:rsidR="00202AF7">
        <w:t>4</w:t>
      </w:r>
      <w:r w:rsidR="00202AF7" w:rsidRPr="00202AF7">
        <w:rPr>
          <w:vertAlign w:val="superscript"/>
        </w:rPr>
        <w:t>th</w:t>
      </w:r>
      <w:r w:rsidR="00202AF7">
        <w:t xml:space="preserve"> Respondent, is </w:t>
      </w:r>
      <w:r w:rsidR="004926DA">
        <w:t xml:space="preserve">not completed. </w:t>
      </w:r>
      <w:r w:rsidR="00202AF7">
        <w:t xml:space="preserve"> </w:t>
      </w:r>
      <w:r w:rsidR="003432F0" w:rsidRPr="003432F0">
        <w:t>So far, the Committee has made only one decision: that is, to dismiss the practitioners'</w:t>
      </w:r>
      <w:r w:rsidR="000B66C9">
        <w:t xml:space="preserve"> r</w:t>
      </w:r>
      <w:r w:rsidR="003432F0" w:rsidRPr="003432F0">
        <w:t xml:space="preserve">ecusal application. The Committee has not made any decision concerning the guilt or innocence of the practitioners. It is not yet </w:t>
      </w:r>
      <w:r w:rsidR="000B66C9" w:rsidRPr="003432F0">
        <w:t>able</w:t>
      </w:r>
      <w:r w:rsidR="003432F0" w:rsidRPr="003432F0">
        <w:t xml:space="preserve"> to do so.</w:t>
      </w:r>
    </w:p>
    <w:p w14:paraId="56CDDAB0" w14:textId="06A9E820" w:rsidR="00FE68E8" w:rsidRDefault="00E430C7" w:rsidP="00E430C7">
      <w:pPr>
        <w:pStyle w:val="LegalNormal"/>
        <w:tabs>
          <w:tab w:val="left" w:pos="927"/>
        </w:tabs>
        <w:ind w:left="927" w:hanging="567"/>
        <w:rPr>
          <w:lang w:val="en-US"/>
        </w:rPr>
      </w:pPr>
      <w:r>
        <w:rPr>
          <w:lang w:val="en-US"/>
        </w:rPr>
        <w:t>[32]</w:t>
      </w:r>
      <w:r>
        <w:rPr>
          <w:lang w:val="en-US"/>
        </w:rPr>
        <w:tab/>
      </w:r>
      <w:r w:rsidR="00FE68E8">
        <w:t xml:space="preserve">IRBA </w:t>
      </w:r>
      <w:r w:rsidR="00861BAD" w:rsidRPr="00861BAD">
        <w:rPr>
          <w:lang w:val="en-US"/>
        </w:rPr>
        <w:t xml:space="preserve">contends that it is </w:t>
      </w:r>
      <w:r w:rsidR="0056034A" w:rsidRPr="0056034A">
        <w:rPr>
          <w:lang w:val="en-US"/>
        </w:rPr>
        <w:t>far</w:t>
      </w:r>
      <w:r w:rsidR="00064FD3">
        <w:rPr>
          <w:lang w:val="en-US"/>
        </w:rPr>
        <w:t>-</w:t>
      </w:r>
      <w:r w:rsidR="0056034A" w:rsidRPr="0056034A">
        <w:rPr>
          <w:lang w:val="en-US"/>
        </w:rPr>
        <w:t>reaching relief</w:t>
      </w:r>
      <w:r w:rsidR="00574790">
        <w:rPr>
          <w:lang w:val="en-US"/>
        </w:rPr>
        <w:t xml:space="preserve"> t</w:t>
      </w:r>
      <w:r w:rsidR="0056034A" w:rsidRPr="0056034A">
        <w:rPr>
          <w:lang w:val="en-US"/>
        </w:rPr>
        <w:t>hat if</w:t>
      </w:r>
      <w:r w:rsidR="00574790">
        <w:rPr>
          <w:lang w:val="en-US"/>
        </w:rPr>
        <w:t xml:space="preserve"> it is</w:t>
      </w:r>
      <w:r w:rsidR="0056034A" w:rsidRPr="0056034A">
        <w:rPr>
          <w:lang w:val="en-US"/>
        </w:rPr>
        <w:t xml:space="preserve"> granted, will mean that the disciplinary proceedings will be stymied </w:t>
      </w:r>
      <w:r w:rsidR="00574790">
        <w:rPr>
          <w:lang w:val="en-US"/>
        </w:rPr>
        <w:t xml:space="preserve">and almost four weeks of hearing </w:t>
      </w:r>
      <w:r w:rsidR="001516AB">
        <w:rPr>
          <w:lang w:val="en-US"/>
        </w:rPr>
        <w:t>that have passed will be scrapped, and the IRBD will have to begin afresh.</w:t>
      </w:r>
    </w:p>
    <w:p w14:paraId="7DB29C6A" w14:textId="51AD768D" w:rsidR="00706666" w:rsidRDefault="00E430C7" w:rsidP="00E430C7">
      <w:pPr>
        <w:pStyle w:val="LegalNormal"/>
        <w:tabs>
          <w:tab w:val="left" w:pos="927"/>
        </w:tabs>
        <w:ind w:left="927" w:hanging="567"/>
        <w:rPr>
          <w:lang w:val="en-US"/>
        </w:rPr>
      </w:pPr>
      <w:r>
        <w:rPr>
          <w:lang w:val="en-US"/>
        </w:rPr>
        <w:t>[33]</w:t>
      </w:r>
      <w:r>
        <w:rPr>
          <w:lang w:val="en-US"/>
        </w:rPr>
        <w:tab/>
      </w:r>
      <w:r w:rsidR="00706666">
        <w:rPr>
          <w:lang w:val="en-US"/>
        </w:rPr>
        <w:t xml:space="preserve">It is submitted on behalf of IRBA that </w:t>
      </w:r>
      <w:r w:rsidR="00766DAF">
        <w:rPr>
          <w:lang w:val="en-US"/>
        </w:rPr>
        <w:t>the courts are generally loath to entertain midstream reviews of this nature</w:t>
      </w:r>
      <w:r w:rsidR="008D7AFE">
        <w:rPr>
          <w:lang w:val="en-US"/>
        </w:rPr>
        <w:t xml:space="preserve"> since piecemeal litigation</w:t>
      </w:r>
      <w:r w:rsidR="00183C74">
        <w:rPr>
          <w:lang w:val="en-US"/>
        </w:rPr>
        <w:t xml:space="preserve"> ought to be avoided.</w:t>
      </w:r>
      <w:r w:rsidR="00BF2326">
        <w:rPr>
          <w:lang w:val="en-US"/>
        </w:rPr>
        <w:t xml:space="preserve"> It is only in exceptional circumstances that a court will intervene </w:t>
      </w:r>
      <w:r w:rsidR="00406385">
        <w:rPr>
          <w:lang w:val="en-US"/>
        </w:rPr>
        <w:t>and stop proceedings before they are completed.</w:t>
      </w:r>
    </w:p>
    <w:p w14:paraId="2126A241" w14:textId="41BED991" w:rsidR="00656D5D" w:rsidRDefault="00E430C7" w:rsidP="00E430C7">
      <w:pPr>
        <w:pStyle w:val="LegalNormal"/>
        <w:tabs>
          <w:tab w:val="left" w:pos="927"/>
        </w:tabs>
        <w:ind w:left="927" w:hanging="567"/>
        <w:rPr>
          <w:lang w:val="en-US"/>
        </w:rPr>
      </w:pPr>
      <w:r>
        <w:rPr>
          <w:lang w:val="en-US"/>
        </w:rPr>
        <w:t>[34]</w:t>
      </w:r>
      <w:r>
        <w:rPr>
          <w:lang w:val="en-US"/>
        </w:rPr>
        <w:tab/>
      </w:r>
      <w:r w:rsidR="00A24673">
        <w:rPr>
          <w:lang w:val="en-US"/>
        </w:rPr>
        <w:t xml:space="preserve">IRBA </w:t>
      </w:r>
      <w:r w:rsidR="00B03894">
        <w:rPr>
          <w:lang w:val="en-US"/>
        </w:rPr>
        <w:t xml:space="preserve">submits that </w:t>
      </w:r>
      <w:r w:rsidR="00824A6E">
        <w:rPr>
          <w:lang w:val="en-US"/>
        </w:rPr>
        <w:t>from a legal perspective the</w:t>
      </w:r>
      <w:r w:rsidR="004D7577">
        <w:rPr>
          <w:lang w:val="en-US"/>
        </w:rPr>
        <w:t xml:space="preserve"> Applicants</w:t>
      </w:r>
      <w:r w:rsidR="00A072D6">
        <w:rPr>
          <w:lang w:val="en-US"/>
        </w:rPr>
        <w:t xml:space="preserve"> primarily seek </w:t>
      </w:r>
      <w:r w:rsidR="00FA6FE2">
        <w:rPr>
          <w:lang w:val="en-US"/>
        </w:rPr>
        <w:t xml:space="preserve">an order declaring that their rights under </w:t>
      </w:r>
      <w:r w:rsidR="00902A99">
        <w:rPr>
          <w:lang w:val="en-US"/>
        </w:rPr>
        <w:t xml:space="preserve">section 34 of </w:t>
      </w:r>
      <w:r w:rsidR="00FA6FE2">
        <w:rPr>
          <w:lang w:val="en-US"/>
        </w:rPr>
        <w:t>the</w:t>
      </w:r>
      <w:r w:rsidR="00902A99">
        <w:rPr>
          <w:lang w:val="en-US"/>
        </w:rPr>
        <w:t xml:space="preserve"> Constitution have been infringed</w:t>
      </w:r>
      <w:r w:rsidR="006D56C7">
        <w:rPr>
          <w:lang w:val="en-US"/>
        </w:rPr>
        <w:t xml:space="preserve">, coupled with an order declaring that the proceedings </w:t>
      </w:r>
      <w:r w:rsidR="00CC1938">
        <w:rPr>
          <w:lang w:val="en-US"/>
        </w:rPr>
        <w:t>thus far</w:t>
      </w:r>
      <w:r w:rsidR="006D56C7">
        <w:rPr>
          <w:lang w:val="en-US"/>
        </w:rPr>
        <w:t xml:space="preserve"> are</w:t>
      </w:r>
      <w:r w:rsidR="00CC1938">
        <w:rPr>
          <w:lang w:val="en-US"/>
        </w:rPr>
        <w:t xml:space="preserve"> a nullity, and setting them </w:t>
      </w:r>
      <w:r w:rsidR="00EC7620">
        <w:rPr>
          <w:lang w:val="en-US"/>
        </w:rPr>
        <w:t xml:space="preserve">and the charge sheet aside. </w:t>
      </w:r>
      <w:r w:rsidR="008B3707">
        <w:rPr>
          <w:lang w:val="en-US"/>
        </w:rPr>
        <w:t>This Constitutional relief</w:t>
      </w:r>
      <w:r w:rsidR="00064FD3">
        <w:rPr>
          <w:lang w:val="en-US"/>
        </w:rPr>
        <w:t>, argues IRBA,</w:t>
      </w:r>
      <w:r w:rsidR="00792E68">
        <w:rPr>
          <w:lang w:val="en-US"/>
        </w:rPr>
        <w:t xml:space="preserve"> should not be granted for 3 main reasons, namely: </w:t>
      </w:r>
    </w:p>
    <w:p w14:paraId="112B14A7" w14:textId="21F4A731" w:rsidR="0099746E" w:rsidRPr="0099746E" w:rsidRDefault="00E430C7" w:rsidP="00E430C7">
      <w:pPr>
        <w:pStyle w:val="LegalHeading2"/>
        <w:numPr>
          <w:ilvl w:val="0"/>
          <w:numId w:val="0"/>
        </w:numPr>
        <w:tabs>
          <w:tab w:val="left" w:pos="2629"/>
        </w:tabs>
        <w:ind w:left="2629" w:hanging="1134"/>
        <w:rPr>
          <w:b w:val="0"/>
          <w:bCs/>
          <w:lang w:val="en-US"/>
        </w:rPr>
      </w:pPr>
      <w:r w:rsidRPr="0099746E">
        <w:rPr>
          <w:rFonts w:cs="Arial"/>
          <w:b w:val="0"/>
          <w:bCs/>
          <w:lang w:val="en-US"/>
        </w:rPr>
        <w:lastRenderedPageBreak/>
        <w:t>34.1</w:t>
      </w:r>
      <w:r w:rsidRPr="0099746E">
        <w:rPr>
          <w:rFonts w:cs="Arial"/>
          <w:b w:val="0"/>
          <w:bCs/>
          <w:lang w:val="en-US"/>
        </w:rPr>
        <w:tab/>
      </w:r>
      <w:r w:rsidR="00DE5ED7" w:rsidRPr="00626131">
        <w:rPr>
          <w:b w:val="0"/>
          <w:bCs/>
          <w:u w:val="single"/>
          <w:lang w:val="en-US"/>
        </w:rPr>
        <w:t>Firstly</w:t>
      </w:r>
      <w:r w:rsidR="00626131">
        <w:rPr>
          <w:b w:val="0"/>
          <w:bCs/>
          <w:lang w:val="en-US"/>
        </w:rPr>
        <w:t xml:space="preserve">, </w:t>
      </w:r>
      <w:r w:rsidR="00626131" w:rsidRPr="0099746E">
        <w:rPr>
          <w:b w:val="0"/>
          <w:bCs/>
          <w:lang w:val="en-US"/>
        </w:rPr>
        <w:t>it</w:t>
      </w:r>
      <w:r w:rsidR="00656D5D" w:rsidRPr="0099746E">
        <w:rPr>
          <w:b w:val="0"/>
          <w:bCs/>
          <w:lang w:val="en-US"/>
        </w:rPr>
        <w:t xml:space="preserve"> is incompetent. </w:t>
      </w:r>
      <w:r w:rsidR="0099746E" w:rsidRPr="0099746E">
        <w:rPr>
          <w:b w:val="0"/>
          <w:bCs/>
        </w:rPr>
        <w:t>The practitioners</w:t>
      </w:r>
      <w:r w:rsidR="002F708B">
        <w:rPr>
          <w:b w:val="0"/>
          <w:bCs/>
        </w:rPr>
        <w:t>’</w:t>
      </w:r>
      <w:r w:rsidR="0099746E" w:rsidRPr="0099746E">
        <w:rPr>
          <w:b w:val="0"/>
          <w:bCs/>
        </w:rPr>
        <w:t xml:space="preserve"> complaint is that an administrative process to which they are subject, is unfair. Their remedy, if they are correct that the process has been unfair, or that the decision-maker is biased, is a review in terms of PAJA. Instead, the practitioners have grounded their case in the wrong right. They contend that their rights under </w:t>
      </w:r>
      <w:r w:rsidR="0099746E" w:rsidRPr="002F708B">
        <w:t>section 34 of the Constitution</w:t>
      </w:r>
      <w:r w:rsidR="0099746E" w:rsidRPr="0099746E">
        <w:rPr>
          <w:b w:val="0"/>
          <w:bCs/>
        </w:rPr>
        <w:t xml:space="preserve"> have been violated, but that right does not apply to administrative processes. </w:t>
      </w:r>
      <w:r w:rsidR="0099746E" w:rsidRPr="002F708B">
        <w:t>Administrative processes are governed by section 33 of the Constitution</w:t>
      </w:r>
      <w:r w:rsidR="0099746E" w:rsidRPr="0099746E">
        <w:rPr>
          <w:b w:val="0"/>
          <w:bCs/>
        </w:rPr>
        <w:t xml:space="preserve">, and complaints about them must be brought before the courts in terms of the legislation specifically promulgated by Parliament to vindicate that right: PAJA. The practitioners cannot side-step PAJA and seek to rely directly on section 34 of the Constitution to litigate what is, </w:t>
      </w:r>
      <w:r w:rsidR="003870CE">
        <w:rPr>
          <w:b w:val="0"/>
          <w:bCs/>
        </w:rPr>
        <w:t xml:space="preserve">in </w:t>
      </w:r>
      <w:r w:rsidR="0099746E" w:rsidRPr="0099746E">
        <w:rPr>
          <w:b w:val="0"/>
          <w:bCs/>
        </w:rPr>
        <w:t xml:space="preserve">effect, a challenge to an administrative process. </w:t>
      </w:r>
      <w:r w:rsidR="00EA23C3">
        <w:rPr>
          <w:b w:val="0"/>
          <w:bCs/>
        </w:rPr>
        <w:lastRenderedPageBreak/>
        <w:t>Crispl</w:t>
      </w:r>
      <w:r w:rsidR="0016514C">
        <w:rPr>
          <w:b w:val="0"/>
          <w:bCs/>
        </w:rPr>
        <w:t xml:space="preserve">y put, the Applicants are in breach of the </w:t>
      </w:r>
      <w:r w:rsidR="003D0323">
        <w:rPr>
          <w:b w:val="0"/>
          <w:bCs/>
        </w:rPr>
        <w:t>“subsidiarity principle”</w:t>
      </w:r>
      <w:r w:rsidR="00D740DD">
        <w:rPr>
          <w:b w:val="0"/>
          <w:bCs/>
        </w:rPr>
        <w:t xml:space="preserve">, </w:t>
      </w:r>
      <w:r w:rsidR="001773CA">
        <w:rPr>
          <w:b w:val="0"/>
          <w:bCs/>
        </w:rPr>
        <w:t xml:space="preserve">it was contended on behalf of the </w:t>
      </w:r>
      <w:r w:rsidR="000F525E">
        <w:rPr>
          <w:b w:val="0"/>
          <w:bCs/>
        </w:rPr>
        <w:t>Respondents.</w:t>
      </w:r>
    </w:p>
    <w:p w14:paraId="5943872B" w14:textId="395C389D" w:rsidR="0023068D" w:rsidRPr="0023068D" w:rsidRDefault="00E430C7" w:rsidP="00E430C7">
      <w:pPr>
        <w:pStyle w:val="LegalHeading2"/>
        <w:numPr>
          <w:ilvl w:val="0"/>
          <w:numId w:val="0"/>
        </w:numPr>
        <w:tabs>
          <w:tab w:val="left" w:pos="2629"/>
        </w:tabs>
        <w:ind w:left="2629" w:hanging="1134"/>
        <w:rPr>
          <w:b w:val="0"/>
          <w:bCs/>
          <w:lang w:val="en-US"/>
        </w:rPr>
      </w:pPr>
      <w:r w:rsidRPr="0023068D">
        <w:rPr>
          <w:rFonts w:cs="Arial"/>
          <w:b w:val="0"/>
          <w:bCs/>
          <w:lang w:val="en-US"/>
        </w:rPr>
        <w:t>34.2</w:t>
      </w:r>
      <w:r w:rsidRPr="0023068D">
        <w:rPr>
          <w:rFonts w:cs="Arial"/>
          <w:b w:val="0"/>
          <w:bCs/>
          <w:lang w:val="en-US"/>
        </w:rPr>
        <w:tab/>
      </w:r>
      <w:r w:rsidR="003870CE" w:rsidRPr="00626131">
        <w:rPr>
          <w:b w:val="0"/>
          <w:bCs/>
          <w:u w:val="single"/>
        </w:rPr>
        <w:t>Secondly</w:t>
      </w:r>
      <w:r w:rsidR="003870CE" w:rsidRPr="0023068D">
        <w:rPr>
          <w:b w:val="0"/>
          <w:bCs/>
        </w:rPr>
        <w:t xml:space="preserve">, </w:t>
      </w:r>
      <w:r w:rsidR="00534CFA" w:rsidRPr="0023068D">
        <w:rPr>
          <w:b w:val="0"/>
          <w:bCs/>
        </w:rPr>
        <w:t>the application is premature in two respects</w:t>
      </w:r>
      <w:r w:rsidR="00D72416" w:rsidRPr="0023068D">
        <w:rPr>
          <w:b w:val="0"/>
          <w:bCs/>
        </w:rPr>
        <w:t>, namely:</w:t>
      </w:r>
    </w:p>
    <w:p w14:paraId="47B8E173" w14:textId="67B22C59" w:rsidR="00B22E6A" w:rsidRPr="00DE5ED7" w:rsidRDefault="00E430C7" w:rsidP="00E430C7">
      <w:pPr>
        <w:pStyle w:val="LegalHeading3"/>
        <w:numPr>
          <w:ilvl w:val="0"/>
          <w:numId w:val="0"/>
        </w:numPr>
        <w:tabs>
          <w:tab w:val="left" w:pos="2061"/>
        </w:tabs>
        <w:ind w:left="2061" w:hanging="1701"/>
        <w:rPr>
          <w:b w:val="0"/>
          <w:bCs/>
          <w:lang w:val="en-US"/>
        </w:rPr>
      </w:pPr>
      <w:r w:rsidRPr="00DE5ED7">
        <w:rPr>
          <w:b w:val="0"/>
          <w:bCs/>
          <w:lang w:val="en-US"/>
        </w:rPr>
        <w:t>34.2.1</w:t>
      </w:r>
      <w:r w:rsidRPr="00DE5ED7">
        <w:rPr>
          <w:b w:val="0"/>
          <w:bCs/>
          <w:lang w:val="en-US"/>
        </w:rPr>
        <w:tab/>
      </w:r>
      <w:r w:rsidR="00FE0B4D" w:rsidRPr="00DE5ED7">
        <w:rPr>
          <w:b w:val="0"/>
          <w:bCs/>
        </w:rPr>
        <w:t xml:space="preserve">The disciplinary hearing is midstream, and </w:t>
      </w:r>
    </w:p>
    <w:p w14:paraId="52EC6151" w14:textId="02C20122" w:rsidR="00FE0B4D" w:rsidRPr="00DE5ED7" w:rsidRDefault="00E430C7" w:rsidP="00E430C7">
      <w:pPr>
        <w:pStyle w:val="LegalHeading3"/>
        <w:numPr>
          <w:ilvl w:val="0"/>
          <w:numId w:val="0"/>
        </w:numPr>
        <w:tabs>
          <w:tab w:val="left" w:pos="2061"/>
        </w:tabs>
        <w:ind w:left="2061" w:hanging="1701"/>
        <w:rPr>
          <w:b w:val="0"/>
          <w:bCs/>
          <w:lang w:val="en-US"/>
        </w:rPr>
      </w:pPr>
      <w:r w:rsidRPr="00DE5ED7">
        <w:rPr>
          <w:b w:val="0"/>
          <w:bCs/>
          <w:lang w:val="en-US"/>
        </w:rPr>
        <w:t>34.2.2</w:t>
      </w:r>
      <w:r w:rsidRPr="00DE5ED7">
        <w:rPr>
          <w:b w:val="0"/>
          <w:bCs/>
          <w:lang w:val="en-US"/>
        </w:rPr>
        <w:tab/>
      </w:r>
      <w:r w:rsidR="00DE5ED7">
        <w:rPr>
          <w:b w:val="0"/>
          <w:bCs/>
        </w:rPr>
        <w:t>W</w:t>
      </w:r>
      <w:r w:rsidR="00FE0B4D" w:rsidRPr="00DE5ED7">
        <w:rPr>
          <w:b w:val="0"/>
          <w:bCs/>
        </w:rPr>
        <w:t>hile the Applicants contend that the entire committee is biased against them, they never sought the entire committee’s recusal but have cherry-picked Mr. Griffiths and Mr. Sooklal</w:t>
      </w:r>
    </w:p>
    <w:p w14:paraId="111C6423" w14:textId="16E24D73" w:rsidR="00992851" w:rsidRPr="00992851" w:rsidRDefault="00E430C7" w:rsidP="00E430C7">
      <w:pPr>
        <w:pStyle w:val="LegalHeading2"/>
        <w:numPr>
          <w:ilvl w:val="0"/>
          <w:numId w:val="0"/>
        </w:numPr>
        <w:tabs>
          <w:tab w:val="left" w:pos="2629"/>
        </w:tabs>
        <w:ind w:left="2629" w:hanging="1134"/>
        <w:rPr>
          <w:lang w:val="en-US"/>
        </w:rPr>
      </w:pPr>
      <w:r w:rsidRPr="00992851">
        <w:rPr>
          <w:rFonts w:cs="Arial"/>
          <w:b w:val="0"/>
          <w:lang w:val="en-US"/>
        </w:rPr>
        <w:t>34.3</w:t>
      </w:r>
      <w:r w:rsidRPr="00992851">
        <w:rPr>
          <w:rFonts w:cs="Arial"/>
          <w:b w:val="0"/>
          <w:lang w:val="en-US"/>
        </w:rPr>
        <w:tab/>
      </w:r>
      <w:r w:rsidR="00007F87" w:rsidRPr="00626131">
        <w:rPr>
          <w:b w:val="0"/>
          <w:bCs/>
          <w:u w:val="single"/>
        </w:rPr>
        <w:t>Thirdly</w:t>
      </w:r>
      <w:r w:rsidR="00007F87">
        <w:rPr>
          <w:b w:val="0"/>
          <w:bCs/>
        </w:rPr>
        <w:t xml:space="preserve">, and in any event, there is no infringement of the </w:t>
      </w:r>
      <w:r w:rsidR="00DE5ED7">
        <w:rPr>
          <w:b w:val="0"/>
          <w:bCs/>
        </w:rPr>
        <w:t>Applicants’ rights under Section 34 of the Constitution.</w:t>
      </w:r>
    </w:p>
    <w:p w14:paraId="4CCE7FA4" w14:textId="713B9C26" w:rsidR="00FC7F8F" w:rsidRPr="00B35C10" w:rsidRDefault="00E430C7" w:rsidP="00E430C7">
      <w:pPr>
        <w:pStyle w:val="LegalNormal"/>
        <w:tabs>
          <w:tab w:val="left" w:pos="927"/>
        </w:tabs>
        <w:ind w:left="927" w:hanging="567"/>
        <w:rPr>
          <w:lang w:val="en-US"/>
        </w:rPr>
      </w:pPr>
      <w:r w:rsidRPr="00B35C10">
        <w:rPr>
          <w:lang w:val="en-US"/>
        </w:rPr>
        <w:t>[35]</w:t>
      </w:r>
      <w:r w:rsidRPr="00B35C10">
        <w:rPr>
          <w:lang w:val="en-US"/>
        </w:rPr>
        <w:tab/>
      </w:r>
      <w:r w:rsidR="004E66B2" w:rsidRPr="001D4C94">
        <w:rPr>
          <w:u w:val="single"/>
          <w:lang w:val="en-US"/>
        </w:rPr>
        <w:t>In the alternative</w:t>
      </w:r>
      <w:r w:rsidR="004E66B2">
        <w:rPr>
          <w:lang w:val="en-US"/>
        </w:rPr>
        <w:t xml:space="preserve">, </w:t>
      </w:r>
      <w:r w:rsidR="001907D5" w:rsidRPr="001907D5">
        <w:t xml:space="preserve">to the constitutional relief, the practitioners seek an order reviewing and setting aside the Committee's recusal decision and substituting that decision with one recusing Mr Sooklal and Mr Griffiths. This relief is based on the only decision the Committee has </w:t>
      </w:r>
      <w:r w:rsidR="00AE624A" w:rsidRPr="001907D5">
        <w:t>taken</w:t>
      </w:r>
      <w:r w:rsidR="001907D5" w:rsidRPr="001907D5">
        <w:t>. It relates to the decision whether Mr Sooklal and Mr Griffiths should recuse themselves ("the recusal relief").</w:t>
      </w:r>
    </w:p>
    <w:p w14:paraId="22C93984" w14:textId="1B475C12" w:rsidR="00B35C10" w:rsidRPr="00A10382" w:rsidRDefault="00497AC1" w:rsidP="00DF7B08">
      <w:pPr>
        <w:pStyle w:val="LegalNormal"/>
        <w:ind w:left="360"/>
        <w:rPr>
          <w:b/>
          <w:bCs/>
          <w:lang w:val="en-US"/>
        </w:rPr>
      </w:pPr>
      <w:r>
        <w:rPr>
          <w:b/>
          <w:bCs/>
          <w:lang w:val="en-US"/>
        </w:rPr>
        <w:t>T</w:t>
      </w:r>
      <w:r w:rsidR="00A10382" w:rsidRPr="00A10382">
        <w:rPr>
          <w:b/>
          <w:bCs/>
          <w:lang w:val="en-US"/>
        </w:rPr>
        <w:t xml:space="preserve">he </w:t>
      </w:r>
      <w:r w:rsidR="00DF7B08" w:rsidRPr="00A10382">
        <w:rPr>
          <w:b/>
          <w:bCs/>
          <w:lang w:val="en-US"/>
        </w:rPr>
        <w:t>status</w:t>
      </w:r>
      <w:r w:rsidR="00A10382" w:rsidRPr="00A10382">
        <w:rPr>
          <w:b/>
          <w:bCs/>
          <w:lang w:val="en-US"/>
        </w:rPr>
        <w:t xml:space="preserve"> of the matter so far:</w:t>
      </w:r>
    </w:p>
    <w:p w14:paraId="56C93269" w14:textId="2E759E03" w:rsidR="00CD7889" w:rsidRPr="00B86290" w:rsidRDefault="00E430C7" w:rsidP="00E430C7">
      <w:pPr>
        <w:pStyle w:val="LegalNormal"/>
        <w:tabs>
          <w:tab w:val="left" w:pos="927"/>
        </w:tabs>
        <w:ind w:left="927" w:hanging="567"/>
        <w:rPr>
          <w:rFonts w:cs="Arial"/>
          <w:lang w:val="en-US"/>
        </w:rPr>
      </w:pPr>
      <w:r w:rsidRPr="00B86290">
        <w:rPr>
          <w:rFonts w:cs="Arial"/>
          <w:lang w:val="en-US"/>
        </w:rPr>
        <w:t>[36]</w:t>
      </w:r>
      <w:r w:rsidRPr="00B86290">
        <w:rPr>
          <w:rFonts w:cs="Arial"/>
          <w:lang w:val="en-US"/>
        </w:rPr>
        <w:tab/>
      </w:r>
      <w:r w:rsidR="0006590F" w:rsidRPr="00B86290">
        <w:rPr>
          <w:rFonts w:cs="Arial"/>
          <w:color w:val="000000"/>
        </w:rPr>
        <w:t xml:space="preserve">The </w:t>
      </w:r>
      <w:r w:rsidR="0006590F" w:rsidRPr="00B86290">
        <w:rPr>
          <w:rFonts w:cs="Arial"/>
          <w:i/>
          <w:iCs/>
          <w:color w:val="000000"/>
        </w:rPr>
        <w:t>pro forma</w:t>
      </w:r>
      <w:r w:rsidR="0006590F" w:rsidRPr="00B86290">
        <w:rPr>
          <w:rFonts w:cs="Arial"/>
          <w:color w:val="000000"/>
        </w:rPr>
        <w:t xml:space="preserve"> complainant has made its opening statement and presented its case. The </w:t>
      </w:r>
      <w:r w:rsidR="0006590F" w:rsidRPr="00B86290">
        <w:rPr>
          <w:rFonts w:cs="Arial"/>
          <w:i/>
          <w:iCs/>
          <w:color w:val="000000"/>
        </w:rPr>
        <w:t>pro forma</w:t>
      </w:r>
      <w:r w:rsidR="0006590F" w:rsidRPr="00B86290">
        <w:rPr>
          <w:rFonts w:cs="Arial"/>
          <w:color w:val="000000"/>
        </w:rPr>
        <w:t xml:space="preserve"> complainant presented the evidence of three witnesses, all of whom were cross-examined by the practitioners. After these three witnesses, the </w:t>
      </w:r>
      <w:r w:rsidR="0006590F" w:rsidRPr="00B86290">
        <w:rPr>
          <w:rFonts w:cs="Arial"/>
          <w:i/>
          <w:iCs/>
          <w:color w:val="000000"/>
        </w:rPr>
        <w:t>pro forma</w:t>
      </w:r>
      <w:r w:rsidR="0006590F" w:rsidRPr="00B86290">
        <w:rPr>
          <w:rFonts w:cs="Arial"/>
          <w:color w:val="000000"/>
        </w:rPr>
        <w:t xml:space="preserve"> complainant closed its case.</w:t>
      </w:r>
      <w:r w:rsidR="0074038A" w:rsidRPr="00B86290">
        <w:rPr>
          <w:rFonts w:cs="Arial"/>
          <w:color w:val="000000"/>
        </w:rPr>
        <w:t xml:space="preserve"> </w:t>
      </w:r>
    </w:p>
    <w:p w14:paraId="712BBCB5" w14:textId="6A573413" w:rsidR="00B2235E" w:rsidRPr="00B86290" w:rsidRDefault="00E430C7" w:rsidP="00E430C7">
      <w:pPr>
        <w:pStyle w:val="LegalNormal"/>
        <w:tabs>
          <w:tab w:val="left" w:pos="927"/>
        </w:tabs>
        <w:ind w:left="927" w:hanging="567"/>
        <w:rPr>
          <w:rFonts w:cs="Arial"/>
          <w:lang w:val="en-US"/>
        </w:rPr>
      </w:pPr>
      <w:r w:rsidRPr="00B86290">
        <w:rPr>
          <w:rFonts w:cs="Arial"/>
          <w:lang w:val="en-US"/>
        </w:rPr>
        <w:lastRenderedPageBreak/>
        <w:t>[37]</w:t>
      </w:r>
      <w:r w:rsidRPr="00B86290">
        <w:rPr>
          <w:rFonts w:cs="Arial"/>
          <w:lang w:val="en-US"/>
        </w:rPr>
        <w:tab/>
      </w:r>
      <w:r w:rsidR="000721DF" w:rsidRPr="00B86290">
        <w:rPr>
          <w:rFonts w:cs="Arial"/>
          <w:color w:val="000000"/>
        </w:rPr>
        <w:t xml:space="preserve">The practitioners then presented the evidence of two witnesses, Mr Le Roux and Prof Wainer, both of whom were cross-examined by the </w:t>
      </w:r>
      <w:r w:rsidR="000721DF" w:rsidRPr="00B86290">
        <w:rPr>
          <w:rFonts w:cs="Arial"/>
          <w:i/>
          <w:iCs/>
          <w:color w:val="000000"/>
        </w:rPr>
        <w:t>pro forma</w:t>
      </w:r>
      <w:r w:rsidR="000721DF" w:rsidRPr="00B86290">
        <w:rPr>
          <w:rFonts w:cs="Arial"/>
          <w:color w:val="000000"/>
        </w:rPr>
        <w:t xml:space="preserve"> complainant.</w:t>
      </w:r>
      <w:r w:rsidR="00B2235E" w:rsidRPr="00B86290">
        <w:rPr>
          <w:rFonts w:cs="Arial"/>
          <w:color w:val="000000"/>
        </w:rPr>
        <w:t xml:space="preserve"> </w:t>
      </w:r>
    </w:p>
    <w:p w14:paraId="09FD0392" w14:textId="208A07BA" w:rsidR="0096426A" w:rsidRPr="00B86290" w:rsidRDefault="00E430C7" w:rsidP="00E430C7">
      <w:pPr>
        <w:pStyle w:val="LegalNormal"/>
        <w:tabs>
          <w:tab w:val="left" w:pos="927"/>
        </w:tabs>
        <w:ind w:left="927" w:hanging="567"/>
        <w:rPr>
          <w:rFonts w:cs="Arial"/>
          <w:lang w:val="en-US"/>
        </w:rPr>
      </w:pPr>
      <w:r w:rsidRPr="00B86290">
        <w:rPr>
          <w:rFonts w:cs="Arial"/>
          <w:lang w:val="en-US"/>
        </w:rPr>
        <w:t>[38]</w:t>
      </w:r>
      <w:r w:rsidRPr="00B86290">
        <w:rPr>
          <w:rFonts w:cs="Arial"/>
          <w:lang w:val="en-US"/>
        </w:rPr>
        <w:tab/>
      </w:r>
      <w:r w:rsidR="00B2235E" w:rsidRPr="00B86290">
        <w:rPr>
          <w:rFonts w:cs="Arial"/>
          <w:color w:val="000000"/>
        </w:rPr>
        <w:t>The practitioners had indicated that they intended to call further witnesses before closing their case: Mr Heymans (another expert) and, potentially, the practitioners themselves. However, at the end of Prof Wainer's evidence, the practitioners sought the recusal of two Committee members: Mr Sooklal and Mr Griffiths.</w:t>
      </w:r>
      <w:r w:rsidR="0096426A" w:rsidRPr="00B86290">
        <w:rPr>
          <w:rFonts w:cs="Arial"/>
          <w:color w:val="000000"/>
        </w:rPr>
        <w:t xml:space="preserve"> </w:t>
      </w:r>
    </w:p>
    <w:p w14:paraId="45C1EAD1" w14:textId="46114B7E" w:rsidR="00172328" w:rsidRPr="00B86290" w:rsidRDefault="00E430C7" w:rsidP="00E430C7">
      <w:pPr>
        <w:pStyle w:val="LegalNormal"/>
        <w:tabs>
          <w:tab w:val="left" w:pos="927"/>
        </w:tabs>
        <w:ind w:left="927" w:hanging="567"/>
        <w:rPr>
          <w:rFonts w:cs="Arial"/>
          <w:color w:val="000000"/>
          <w:lang w:val="en-ZA"/>
        </w:rPr>
      </w:pPr>
      <w:r w:rsidRPr="00B86290">
        <w:rPr>
          <w:rFonts w:cs="Arial"/>
          <w:color w:val="000000"/>
          <w:lang w:val="en-ZA"/>
        </w:rPr>
        <w:t>[39]</w:t>
      </w:r>
      <w:r w:rsidRPr="00B86290">
        <w:rPr>
          <w:rFonts w:cs="Arial"/>
          <w:color w:val="000000"/>
          <w:lang w:val="en-ZA"/>
        </w:rPr>
        <w:tab/>
      </w:r>
      <w:r w:rsidR="0096426A" w:rsidRPr="00B86290">
        <w:rPr>
          <w:rFonts w:cs="Arial"/>
          <w:color w:val="000000"/>
        </w:rPr>
        <w:t xml:space="preserve">The recusal application was argued on 15 and 17 February 2021. The Committee then postponed the disciplinary hearing </w:t>
      </w:r>
      <w:r w:rsidR="0096426A" w:rsidRPr="00B86290">
        <w:rPr>
          <w:rFonts w:cs="Arial"/>
          <w:i/>
          <w:iCs/>
          <w:color w:val="000000"/>
        </w:rPr>
        <w:t>sine die</w:t>
      </w:r>
      <w:r w:rsidR="0096426A" w:rsidRPr="00B86290">
        <w:rPr>
          <w:rFonts w:cs="Arial"/>
          <w:color w:val="000000"/>
        </w:rPr>
        <w:t xml:space="preserve"> to determine the recusal application. On 18 March 2021, the Committee made a ruling refusing the practitioners' recusal application.</w:t>
      </w:r>
      <w:r w:rsidR="00FC63D5" w:rsidRPr="00B86290">
        <w:rPr>
          <w:rFonts w:cs="Arial"/>
          <w:color w:val="000000"/>
        </w:rPr>
        <w:t xml:space="preserve"> </w:t>
      </w:r>
    </w:p>
    <w:p w14:paraId="68ADC09C" w14:textId="0CAC38F2" w:rsidR="00FC63D5" w:rsidRPr="00B86290" w:rsidRDefault="00E430C7" w:rsidP="00E430C7">
      <w:pPr>
        <w:pStyle w:val="LegalNormal"/>
        <w:tabs>
          <w:tab w:val="left" w:pos="927"/>
        </w:tabs>
        <w:ind w:left="927" w:hanging="567"/>
        <w:rPr>
          <w:rFonts w:cs="Arial"/>
          <w:color w:val="000000"/>
          <w:lang w:val="en-ZA"/>
        </w:rPr>
      </w:pPr>
      <w:r w:rsidRPr="00B86290">
        <w:rPr>
          <w:rFonts w:cs="Arial"/>
          <w:color w:val="000000"/>
          <w:lang w:val="en-ZA"/>
        </w:rPr>
        <w:t>[40]</w:t>
      </w:r>
      <w:r w:rsidRPr="00B86290">
        <w:rPr>
          <w:rFonts w:cs="Arial"/>
          <w:color w:val="000000"/>
          <w:lang w:val="en-ZA"/>
        </w:rPr>
        <w:tab/>
      </w:r>
      <w:r w:rsidR="00FC63D5" w:rsidRPr="00B86290">
        <w:rPr>
          <w:rFonts w:cs="Arial"/>
          <w:color w:val="000000"/>
        </w:rPr>
        <w:t>T</w:t>
      </w:r>
      <w:r w:rsidR="00FC63D5" w:rsidRPr="00B86290">
        <w:rPr>
          <w:rFonts w:cs="Arial"/>
          <w:color w:val="000000"/>
          <w:lang w:val="en-ZA"/>
        </w:rPr>
        <w:t>he practitioners</w:t>
      </w:r>
      <w:r w:rsidR="001A444B" w:rsidRPr="00B86290">
        <w:rPr>
          <w:rFonts w:cs="Arial"/>
          <w:color w:val="000000"/>
          <w:lang w:val="en-ZA"/>
        </w:rPr>
        <w:t xml:space="preserve"> </w:t>
      </w:r>
      <w:r w:rsidR="00172328" w:rsidRPr="00B86290">
        <w:rPr>
          <w:rFonts w:cs="Arial"/>
          <w:color w:val="000000"/>
          <w:lang w:val="en-ZA"/>
        </w:rPr>
        <w:t>are now</w:t>
      </w:r>
      <w:r w:rsidR="00FC63D5" w:rsidRPr="00B86290">
        <w:rPr>
          <w:rFonts w:cs="Arial"/>
          <w:color w:val="000000"/>
          <w:lang w:val="en-ZA"/>
        </w:rPr>
        <w:t xml:space="preserve"> ask</w:t>
      </w:r>
      <w:r w:rsidR="00F13F82" w:rsidRPr="00B86290">
        <w:rPr>
          <w:rFonts w:cs="Arial"/>
          <w:color w:val="000000"/>
          <w:lang w:val="en-ZA"/>
        </w:rPr>
        <w:t>ing</w:t>
      </w:r>
      <w:r w:rsidR="00FC63D5" w:rsidRPr="00B86290">
        <w:rPr>
          <w:rFonts w:cs="Arial"/>
          <w:color w:val="000000"/>
          <w:lang w:val="en-ZA"/>
        </w:rPr>
        <w:t xml:space="preserve"> this Court to declare the proceedings, in their entirety, a nullity, on the basis that their "fair trial" rights, in terms of section 34 of the Constitution, have been infringed.</w:t>
      </w:r>
      <w:r w:rsidR="00F13F82" w:rsidRPr="00B86290">
        <w:rPr>
          <w:rFonts w:cs="Arial"/>
          <w:color w:val="000000"/>
          <w:lang w:val="en-ZA"/>
        </w:rPr>
        <w:t xml:space="preserve"> </w:t>
      </w:r>
      <w:r w:rsidR="003D0318" w:rsidRPr="00B86290">
        <w:rPr>
          <w:rFonts w:cs="Arial"/>
          <w:color w:val="000000"/>
          <w:lang w:val="en-ZA"/>
        </w:rPr>
        <w:t xml:space="preserve">In the alternative, the practitioners </w:t>
      </w:r>
      <w:r w:rsidR="00951498" w:rsidRPr="00B86290">
        <w:rPr>
          <w:rFonts w:cs="Arial"/>
          <w:color w:val="000000"/>
          <w:lang w:val="en-ZA"/>
        </w:rPr>
        <w:t>ask- this Court t</w:t>
      </w:r>
      <w:r w:rsidR="003D0318" w:rsidRPr="00B86290">
        <w:rPr>
          <w:rFonts w:cs="Arial"/>
          <w:color w:val="000000"/>
          <w:lang w:val="en-ZA"/>
        </w:rPr>
        <w:t>o</w:t>
      </w:r>
      <w:r w:rsidR="00951498" w:rsidRPr="00B86290">
        <w:rPr>
          <w:rFonts w:cs="Arial"/>
          <w:color w:val="000000"/>
          <w:lang w:val="en-ZA"/>
        </w:rPr>
        <w:t xml:space="preserve"> order the recusal of </w:t>
      </w:r>
      <w:r w:rsidR="00F01818" w:rsidRPr="00B86290">
        <w:rPr>
          <w:rFonts w:cs="Arial"/>
          <w:color w:val="000000"/>
          <w:lang w:val="en-ZA"/>
        </w:rPr>
        <w:t>Messrs. Sooklal and Griffiths.</w:t>
      </w:r>
    </w:p>
    <w:p w14:paraId="56433940" w14:textId="2AD01B18" w:rsidR="005F776A" w:rsidRPr="008739B9" w:rsidRDefault="00E430C7" w:rsidP="00E430C7">
      <w:pPr>
        <w:pStyle w:val="LegalNormal"/>
        <w:ind w:left="720" w:hanging="360"/>
        <w:rPr>
          <w:b/>
          <w:bCs/>
          <w:lang w:val="en-US"/>
        </w:rPr>
      </w:pPr>
      <w:r w:rsidRPr="008739B9">
        <w:rPr>
          <w:b/>
          <w:bCs/>
          <w:lang w:val="en-US"/>
        </w:rPr>
        <w:t>E.</w:t>
      </w:r>
      <w:r w:rsidRPr="008739B9">
        <w:rPr>
          <w:b/>
          <w:bCs/>
          <w:lang w:val="en-US"/>
        </w:rPr>
        <w:tab/>
      </w:r>
      <w:r w:rsidR="001D4C94" w:rsidRPr="008739B9">
        <w:rPr>
          <w:b/>
          <w:bCs/>
          <w:lang w:val="en-US"/>
        </w:rPr>
        <w:t xml:space="preserve"> THE </w:t>
      </w:r>
      <w:r w:rsidR="009B47E9" w:rsidRPr="008739B9">
        <w:rPr>
          <w:b/>
          <w:bCs/>
          <w:lang w:val="en-US"/>
        </w:rPr>
        <w:t>APPLICABLE LEGAL PROVISIONS</w:t>
      </w:r>
    </w:p>
    <w:p w14:paraId="687B1361" w14:textId="3F57EA9B" w:rsidR="007D7838" w:rsidRPr="007D7838" w:rsidRDefault="00E430C7" w:rsidP="00E430C7">
      <w:pPr>
        <w:pStyle w:val="LegalNormal"/>
        <w:tabs>
          <w:tab w:val="left" w:pos="927"/>
        </w:tabs>
        <w:ind w:left="927" w:hanging="567"/>
        <w:rPr>
          <w:lang w:val="en-US"/>
        </w:rPr>
      </w:pPr>
      <w:r w:rsidRPr="007D7838">
        <w:rPr>
          <w:lang w:val="en-US"/>
        </w:rPr>
        <w:t>[41]</w:t>
      </w:r>
      <w:r w:rsidRPr="007D7838">
        <w:rPr>
          <w:lang w:val="en-US"/>
        </w:rPr>
        <w:tab/>
      </w:r>
      <w:r w:rsidR="007D7838" w:rsidRPr="001F68C3">
        <w:t xml:space="preserve">IRBA is the auditing regulator, established in terms of the Auditing Profession Act 26 of 2005. IRBA is required, in terms of section 4 of the Act, to take steps to promote the integrity of the auditing profession by, amongst others, investigating improper conduct, conducting disciplinary hearings and imposing </w:t>
      </w:r>
      <w:r w:rsidR="007D7838" w:rsidRPr="001F68C3">
        <w:lastRenderedPageBreak/>
        <w:t>sanctions for improper conduct.</w:t>
      </w:r>
      <w:r w:rsidR="007D7838">
        <w:t xml:space="preserve"> I</w:t>
      </w:r>
      <w:r w:rsidR="007D7838" w:rsidRPr="001F68C3">
        <w:t>RBA is also required to take steps it considers necessary to protect the public in their dealings with registered auditors.</w:t>
      </w:r>
    </w:p>
    <w:p w14:paraId="60A02455" w14:textId="5B3FF2F1" w:rsidR="007D7838" w:rsidRPr="00AB2E05" w:rsidRDefault="00E430C7" w:rsidP="00E430C7">
      <w:pPr>
        <w:pStyle w:val="LegalNormal"/>
        <w:tabs>
          <w:tab w:val="left" w:pos="927"/>
        </w:tabs>
        <w:ind w:left="927" w:hanging="567"/>
        <w:rPr>
          <w:rFonts w:cs="Arial"/>
          <w:lang w:val="en-US"/>
        </w:rPr>
      </w:pPr>
      <w:r w:rsidRPr="00AB2E05">
        <w:rPr>
          <w:rFonts w:cs="Arial"/>
          <w:lang w:val="en-US"/>
        </w:rPr>
        <w:t>[42]</w:t>
      </w:r>
      <w:r w:rsidRPr="00AB2E05">
        <w:rPr>
          <w:rFonts w:cs="Arial"/>
          <w:lang w:val="en-US"/>
        </w:rPr>
        <w:tab/>
      </w:r>
      <w:r w:rsidR="00CD0298">
        <w:t xml:space="preserve">It is trite that </w:t>
      </w:r>
      <w:r w:rsidR="00CE09D5">
        <w:t xml:space="preserve">IRBA </w:t>
      </w:r>
      <w:r w:rsidR="00CD0298">
        <w:t xml:space="preserve">disciplinary hearings </w:t>
      </w:r>
      <w:r w:rsidR="00CE09D5">
        <w:t xml:space="preserve">are administrative </w:t>
      </w:r>
      <w:r w:rsidR="009D385E">
        <w:t>processes</w:t>
      </w:r>
      <w:r w:rsidR="009D385E">
        <w:rPr>
          <w:rStyle w:val="FootnoteReference"/>
        </w:rPr>
        <w:footnoteReference w:id="4"/>
      </w:r>
      <w:r w:rsidR="00142E15">
        <w:t>. It follows that</w:t>
      </w:r>
      <w:r w:rsidR="004478C3">
        <w:t xml:space="preserve"> such hearings must </w:t>
      </w:r>
      <w:r w:rsidR="00DA3B53">
        <w:t xml:space="preserve">comply </w:t>
      </w:r>
      <w:r w:rsidR="009D6573">
        <w:t>with the</w:t>
      </w:r>
      <w:r w:rsidR="00DA3B53">
        <w:t xml:space="preserve"> requirements for lawful</w:t>
      </w:r>
      <w:r w:rsidR="009E46C1">
        <w:t xml:space="preserve">, reasonable and procedurally </w:t>
      </w:r>
      <w:r w:rsidR="00DA3B53">
        <w:t>fair</w:t>
      </w:r>
      <w:r w:rsidR="00C97AE9">
        <w:t xml:space="preserve"> administrative hearings.</w:t>
      </w:r>
      <w:r w:rsidR="008A3DF1">
        <w:t xml:space="preserve"> If at the conclusion of th</w:t>
      </w:r>
      <w:r w:rsidR="00DC529E">
        <w:t xml:space="preserve">ose hearings, </w:t>
      </w:r>
      <w:r w:rsidR="00DC529E" w:rsidRPr="00AB2E05">
        <w:rPr>
          <w:rFonts w:cs="Arial"/>
        </w:rPr>
        <w:t>it can be shown that th</w:t>
      </w:r>
      <w:r w:rsidR="00472A24" w:rsidRPr="00AB2E05">
        <w:rPr>
          <w:rFonts w:cs="Arial"/>
        </w:rPr>
        <w:t xml:space="preserve">ey fell short of these standards, then </w:t>
      </w:r>
      <w:r w:rsidR="009D6573" w:rsidRPr="00AB2E05">
        <w:rPr>
          <w:rFonts w:cs="Arial"/>
        </w:rPr>
        <w:t>the affected</w:t>
      </w:r>
      <w:r w:rsidR="009D6573" w:rsidRPr="00AB2E05">
        <w:rPr>
          <w:rFonts w:cs="Arial"/>
          <w:color w:val="000000"/>
        </w:rPr>
        <w:t xml:space="preserve"> practitioners have their full rights under the Promotion of Administrative Justice Act 3 of 2000 (PAJA) to approach a court to review and set aside those proceedings.</w:t>
      </w:r>
    </w:p>
    <w:p w14:paraId="6ECC2A42" w14:textId="696ED074" w:rsidR="002F1960" w:rsidRPr="00AB2E05" w:rsidRDefault="00E430C7" w:rsidP="00E430C7">
      <w:pPr>
        <w:pStyle w:val="LegalNormal"/>
        <w:tabs>
          <w:tab w:val="left" w:pos="927"/>
        </w:tabs>
        <w:ind w:left="927" w:hanging="567"/>
        <w:rPr>
          <w:rFonts w:cs="Arial"/>
          <w:lang w:val="en-US"/>
        </w:rPr>
      </w:pPr>
      <w:r w:rsidRPr="00AB2E05">
        <w:rPr>
          <w:rFonts w:cs="Arial"/>
          <w:lang w:val="en-US"/>
        </w:rPr>
        <w:t>[43]</w:t>
      </w:r>
      <w:r w:rsidRPr="00AB2E05">
        <w:rPr>
          <w:rFonts w:cs="Arial"/>
          <w:lang w:val="en-US"/>
        </w:rPr>
        <w:tab/>
      </w:r>
      <w:r w:rsidR="00D8068C" w:rsidRPr="00AB2E05">
        <w:rPr>
          <w:rFonts w:cs="Arial"/>
          <w:color w:val="000000"/>
        </w:rPr>
        <w:t>IRBA's disciplinary process begins with an investigation, conducted by IRBA's Investigating Committee. The members of the Investigating Committee are required to bring their independent professional judgment to bear on the cases th</w:t>
      </w:r>
      <w:r w:rsidR="00B047F9" w:rsidRPr="00AB2E05">
        <w:rPr>
          <w:rFonts w:cs="Arial"/>
          <w:color w:val="000000"/>
        </w:rPr>
        <w:t xml:space="preserve">ey </w:t>
      </w:r>
      <w:r w:rsidR="00D8068C" w:rsidRPr="00AB2E05">
        <w:rPr>
          <w:rFonts w:cs="Arial"/>
          <w:color w:val="000000"/>
        </w:rPr>
        <w:t>a</w:t>
      </w:r>
      <w:r w:rsidR="00B047F9" w:rsidRPr="00AB2E05">
        <w:rPr>
          <w:rFonts w:cs="Arial"/>
          <w:color w:val="000000"/>
        </w:rPr>
        <w:t>re</w:t>
      </w:r>
      <w:r w:rsidR="00D8068C" w:rsidRPr="00AB2E05">
        <w:rPr>
          <w:rFonts w:cs="Arial"/>
          <w:color w:val="000000"/>
        </w:rPr>
        <w:t xml:space="preserve"> investigating. The Investigating Committee is tasked with determining whether there is a basis on which to charge an auditor with improper conduct, and if so, what charges should be preferred. The Investigating Committee does not decide whether a practitioner is guilty but rather whether there are grounds to charge the practitioner</w:t>
      </w:r>
      <w:r w:rsidR="00564A38" w:rsidRPr="00AB2E05">
        <w:rPr>
          <w:rFonts w:cs="Arial"/>
          <w:color w:val="000000"/>
        </w:rPr>
        <w:t xml:space="preserve"> concerned</w:t>
      </w:r>
      <w:r w:rsidR="00D8068C" w:rsidRPr="00AB2E05">
        <w:rPr>
          <w:rFonts w:cs="Arial"/>
          <w:color w:val="000000"/>
        </w:rPr>
        <w:t>. It is the Disciplinary Committee that decides whether the practitioner is guilty or innocent.</w:t>
      </w:r>
    </w:p>
    <w:p w14:paraId="2B999444" w14:textId="7F86977F" w:rsidR="00B27EB5" w:rsidRPr="00AB2E05" w:rsidRDefault="00E430C7" w:rsidP="00E430C7">
      <w:pPr>
        <w:pStyle w:val="LegalNormal"/>
        <w:tabs>
          <w:tab w:val="left" w:pos="927"/>
        </w:tabs>
        <w:ind w:left="927" w:hanging="567"/>
        <w:rPr>
          <w:rFonts w:cs="Arial"/>
          <w:lang w:val="en-US"/>
        </w:rPr>
      </w:pPr>
      <w:r w:rsidRPr="00AB2E05">
        <w:rPr>
          <w:rFonts w:cs="Arial"/>
          <w:lang w:val="en-US"/>
        </w:rPr>
        <w:lastRenderedPageBreak/>
        <w:t>[44]</w:t>
      </w:r>
      <w:r w:rsidRPr="00AB2E05">
        <w:rPr>
          <w:rFonts w:cs="Arial"/>
          <w:lang w:val="en-US"/>
        </w:rPr>
        <w:tab/>
      </w:r>
      <w:r w:rsidR="00B27EB5" w:rsidRPr="00AB2E05">
        <w:rPr>
          <w:rFonts w:cs="Arial"/>
          <w:color w:val="000000"/>
        </w:rPr>
        <w:t xml:space="preserve">The Investigating Committee then makes a recommendation to the Disciplinary Advisory Committee (DAC) — a sub-committee of the IRBA board. The DAC then decides whether to charge an auditor formally. If the DAC decides to charge the </w:t>
      </w:r>
      <w:r w:rsidR="004B2140" w:rsidRPr="00AB2E05">
        <w:rPr>
          <w:rFonts w:cs="Arial"/>
          <w:color w:val="000000"/>
        </w:rPr>
        <w:t>auditor, the DAC must furnish the auditor with a charge sheet, as envisaged in section 49 of the Act. The auditor must then plead to the charges. If he or she denies guilt, the matter proceeds to a disciplinary hearing before a panel comprising members of IRBA's Disciplinary Committee. The Disciplinary Committee comprises both registered auditors and other suitably qualified persons, including lawyers.</w:t>
      </w:r>
    </w:p>
    <w:p w14:paraId="5A5A2BE9" w14:textId="1958D240" w:rsidR="00150220" w:rsidRPr="00AB2E05" w:rsidRDefault="00E430C7" w:rsidP="00E430C7">
      <w:pPr>
        <w:pStyle w:val="LegalNormal"/>
        <w:tabs>
          <w:tab w:val="left" w:pos="927"/>
        </w:tabs>
        <w:ind w:left="927" w:hanging="567"/>
        <w:rPr>
          <w:rFonts w:cs="Arial"/>
          <w:lang w:val="en-US"/>
        </w:rPr>
      </w:pPr>
      <w:r w:rsidRPr="00AB2E05">
        <w:rPr>
          <w:rFonts w:cs="Arial"/>
          <w:lang w:val="en-US"/>
        </w:rPr>
        <w:t>[45]</w:t>
      </w:r>
      <w:r w:rsidRPr="00AB2E05">
        <w:rPr>
          <w:rFonts w:cs="Arial"/>
          <w:lang w:val="en-US"/>
        </w:rPr>
        <w:tab/>
      </w:r>
      <w:r w:rsidR="00B57A6E" w:rsidRPr="00AB2E05">
        <w:rPr>
          <w:rFonts w:cs="Arial"/>
          <w:color w:val="000000"/>
        </w:rPr>
        <w:t xml:space="preserve">Section 50 of the Act and the </w:t>
      </w:r>
      <w:r w:rsidR="00E74340" w:rsidRPr="00AB2E05">
        <w:rPr>
          <w:rFonts w:cs="Arial"/>
          <w:color w:val="000000"/>
        </w:rPr>
        <w:t>R</w:t>
      </w:r>
      <w:r w:rsidR="00B57A6E" w:rsidRPr="00AB2E05">
        <w:rPr>
          <w:rFonts w:cs="Arial"/>
          <w:color w:val="000000"/>
        </w:rPr>
        <w:t>ules</w:t>
      </w:r>
      <w:r w:rsidR="00E74340" w:rsidRPr="00AB2E05">
        <w:rPr>
          <w:rFonts w:cs="Arial"/>
          <w:color w:val="000000"/>
        </w:rPr>
        <w:t xml:space="preserve"> promulgated under the Act sets out the </w:t>
      </w:r>
      <w:r w:rsidR="008F4338" w:rsidRPr="00AB2E05">
        <w:rPr>
          <w:rFonts w:cs="Arial"/>
          <w:color w:val="000000"/>
        </w:rPr>
        <w:t xml:space="preserve">order of procedure </w:t>
      </w:r>
      <w:r w:rsidR="001064EA" w:rsidRPr="00AB2E05">
        <w:rPr>
          <w:rFonts w:cs="Arial"/>
          <w:color w:val="000000"/>
        </w:rPr>
        <w:t>in which the hearing is conducted.</w:t>
      </w:r>
    </w:p>
    <w:p w14:paraId="61E09F12" w14:textId="0D79EBD4" w:rsidR="00A105FF" w:rsidRPr="00AB2E05" w:rsidRDefault="00E430C7" w:rsidP="00E430C7">
      <w:pPr>
        <w:pStyle w:val="LegalNormal"/>
        <w:tabs>
          <w:tab w:val="left" w:pos="927"/>
        </w:tabs>
        <w:ind w:left="927" w:hanging="567"/>
        <w:rPr>
          <w:rFonts w:cs="Arial"/>
          <w:lang w:val="en-US"/>
        </w:rPr>
      </w:pPr>
      <w:r w:rsidRPr="00AB2E05">
        <w:rPr>
          <w:rFonts w:cs="Arial"/>
          <w:lang w:val="en-US"/>
        </w:rPr>
        <w:t>[46]</w:t>
      </w:r>
      <w:r w:rsidRPr="00AB2E05">
        <w:rPr>
          <w:rFonts w:cs="Arial"/>
          <w:lang w:val="en-US"/>
        </w:rPr>
        <w:tab/>
      </w:r>
      <w:r w:rsidR="00A84A94" w:rsidRPr="00AB2E05">
        <w:rPr>
          <w:rFonts w:cs="Arial"/>
          <w:color w:val="000000"/>
        </w:rPr>
        <w:t xml:space="preserve">Before </w:t>
      </w:r>
      <w:r w:rsidR="00A537FE" w:rsidRPr="00AB2E05">
        <w:rPr>
          <w:rFonts w:cs="Arial"/>
          <w:color w:val="000000"/>
        </w:rPr>
        <w:t xml:space="preserve">dealing with the Constitutional relief and the recusal relief, I propose to deal </w:t>
      </w:r>
      <w:r w:rsidR="00721CBD" w:rsidRPr="00AB2E05">
        <w:rPr>
          <w:rFonts w:cs="Arial"/>
          <w:color w:val="000000"/>
        </w:rPr>
        <w:t>with the issue of the timing of the review application</w:t>
      </w:r>
      <w:r w:rsidR="00745B1C" w:rsidRPr="00AB2E05">
        <w:rPr>
          <w:rFonts w:cs="Arial"/>
          <w:color w:val="000000"/>
        </w:rPr>
        <w:t xml:space="preserve">. This </w:t>
      </w:r>
      <w:r w:rsidR="00A7468D" w:rsidRPr="00AB2E05">
        <w:rPr>
          <w:rFonts w:cs="Arial"/>
          <w:color w:val="000000"/>
        </w:rPr>
        <w:t>has been referred to as “the midstream review problem” in the heads of argument.</w:t>
      </w:r>
    </w:p>
    <w:p w14:paraId="75BE0599" w14:textId="1BA3E9C5" w:rsidR="00B57A6E" w:rsidRPr="002E3771" w:rsidRDefault="00A105FF" w:rsidP="00497AC1">
      <w:pPr>
        <w:pStyle w:val="LegalNormal"/>
        <w:ind w:left="360"/>
        <w:rPr>
          <w:b/>
          <w:bCs/>
          <w:lang w:val="en-US"/>
        </w:rPr>
      </w:pPr>
      <w:r w:rsidRPr="00AB2E05">
        <w:rPr>
          <w:rFonts w:cs="Arial"/>
          <w:b/>
          <w:bCs/>
          <w:color w:val="000000"/>
        </w:rPr>
        <w:t>The midstream review problem</w:t>
      </w:r>
      <w:r w:rsidR="00497AC1" w:rsidRPr="00AB2E05">
        <w:rPr>
          <w:rFonts w:cs="Arial"/>
          <w:b/>
          <w:bCs/>
          <w:color w:val="000000"/>
        </w:rPr>
        <w:t>:</w:t>
      </w:r>
      <w:r w:rsidR="00A7468D" w:rsidRPr="00AB2E05">
        <w:rPr>
          <w:rFonts w:cs="Arial"/>
          <w:b/>
          <w:bCs/>
          <w:color w:val="000000"/>
        </w:rPr>
        <w:t xml:space="preserve"> </w:t>
      </w:r>
      <w:r w:rsidR="00721CBD" w:rsidRPr="002E3771">
        <w:rPr>
          <w:rFonts w:ascii="Segoe UI" w:hAnsi="Segoe UI" w:cs="Segoe UI"/>
          <w:b/>
          <w:bCs/>
          <w:color w:val="000000"/>
        </w:rPr>
        <w:t xml:space="preserve"> </w:t>
      </w:r>
      <w:r w:rsidR="008F4338" w:rsidRPr="002E3771">
        <w:rPr>
          <w:rFonts w:ascii="Segoe UI" w:hAnsi="Segoe UI" w:cs="Segoe UI"/>
          <w:b/>
          <w:bCs/>
          <w:color w:val="000000"/>
        </w:rPr>
        <w:t xml:space="preserve"> </w:t>
      </w:r>
      <w:r w:rsidR="00B57A6E" w:rsidRPr="002E3771">
        <w:rPr>
          <w:rFonts w:ascii="Segoe UI" w:hAnsi="Segoe UI" w:cs="Segoe UI"/>
          <w:b/>
          <w:bCs/>
          <w:color w:val="000000"/>
        </w:rPr>
        <w:t xml:space="preserve"> </w:t>
      </w:r>
    </w:p>
    <w:p w14:paraId="574A1D32" w14:textId="08C87695" w:rsidR="00D8068C" w:rsidRDefault="00E430C7" w:rsidP="00E430C7">
      <w:pPr>
        <w:pStyle w:val="LegalNormal"/>
        <w:tabs>
          <w:tab w:val="left" w:pos="927"/>
        </w:tabs>
        <w:ind w:left="927" w:hanging="567"/>
        <w:rPr>
          <w:lang w:val="en-US"/>
        </w:rPr>
      </w:pPr>
      <w:r>
        <w:rPr>
          <w:lang w:val="en-US"/>
        </w:rPr>
        <w:t>[47]</w:t>
      </w:r>
      <w:r>
        <w:rPr>
          <w:lang w:val="en-US"/>
        </w:rPr>
        <w:tab/>
      </w:r>
      <w:r w:rsidR="005A4D90">
        <w:rPr>
          <w:lang w:val="en-US"/>
        </w:rPr>
        <w:t>Generally,</w:t>
      </w:r>
      <w:r w:rsidR="0001182B">
        <w:rPr>
          <w:lang w:val="en-US"/>
        </w:rPr>
        <w:t xml:space="preserve"> </w:t>
      </w:r>
      <w:r w:rsidR="005A4D90">
        <w:rPr>
          <w:lang w:val="en-US"/>
        </w:rPr>
        <w:t>the High C</w:t>
      </w:r>
      <w:r w:rsidR="0001182B">
        <w:rPr>
          <w:lang w:val="en-US"/>
        </w:rPr>
        <w:t xml:space="preserve">ourt should be approached </w:t>
      </w:r>
      <w:r w:rsidR="00DA3FAD">
        <w:rPr>
          <w:lang w:val="en-US"/>
        </w:rPr>
        <w:t>with</w:t>
      </w:r>
      <w:r w:rsidR="0001182B">
        <w:rPr>
          <w:lang w:val="en-US"/>
        </w:rPr>
        <w:t xml:space="preserve"> review </w:t>
      </w:r>
      <w:r w:rsidR="00DA3FAD">
        <w:rPr>
          <w:lang w:val="en-US"/>
        </w:rPr>
        <w:t>applications only after the conclusion of the disciplinary process</w:t>
      </w:r>
      <w:r w:rsidR="00EF2C02">
        <w:rPr>
          <w:lang w:val="en-US"/>
        </w:rPr>
        <w:t xml:space="preserve"> or trial in the lower courts.</w:t>
      </w:r>
      <w:r w:rsidR="00E86A77">
        <w:rPr>
          <w:lang w:val="en-US"/>
        </w:rPr>
        <w:t xml:space="preserve"> This is also the case with arbitration </w:t>
      </w:r>
      <w:r w:rsidR="00CF2EA7">
        <w:rPr>
          <w:lang w:val="en-US"/>
        </w:rPr>
        <w:t xml:space="preserve">proceedings in labour disputes at the CCMA or </w:t>
      </w:r>
      <w:r w:rsidR="007D6A11">
        <w:rPr>
          <w:lang w:val="en-US"/>
        </w:rPr>
        <w:t>Bargaining Councils.</w:t>
      </w:r>
      <w:r w:rsidR="00C23362">
        <w:rPr>
          <w:lang w:val="en-US"/>
        </w:rPr>
        <w:t xml:space="preserve"> </w:t>
      </w:r>
    </w:p>
    <w:p w14:paraId="57EA1AF7" w14:textId="636DDD1C" w:rsidR="00C4443B" w:rsidRPr="00C4443B" w:rsidRDefault="00E430C7" w:rsidP="00E430C7">
      <w:pPr>
        <w:pStyle w:val="LegalNormal"/>
        <w:tabs>
          <w:tab w:val="left" w:pos="927"/>
        </w:tabs>
        <w:ind w:left="927" w:hanging="567"/>
        <w:rPr>
          <w:rFonts w:cs="Arial"/>
          <w:lang w:val="en-US"/>
        </w:rPr>
      </w:pPr>
      <w:r w:rsidRPr="00C4443B">
        <w:rPr>
          <w:rFonts w:cs="Arial"/>
          <w:lang w:val="en-US"/>
        </w:rPr>
        <w:lastRenderedPageBreak/>
        <w:t>[48]</w:t>
      </w:r>
      <w:r w:rsidRPr="00C4443B">
        <w:rPr>
          <w:rFonts w:cs="Arial"/>
          <w:lang w:val="en-US"/>
        </w:rPr>
        <w:tab/>
      </w:r>
      <w:r w:rsidR="00C4443B" w:rsidRPr="00C4443B">
        <w:rPr>
          <w:rFonts w:cs="Arial"/>
          <w:color w:val="000000"/>
        </w:rPr>
        <w:t>The High Court will not in general entertain an application such as this one</w:t>
      </w:r>
      <w:r w:rsidR="0097414E">
        <w:rPr>
          <w:rFonts w:cs="Arial"/>
          <w:color w:val="000000"/>
        </w:rPr>
        <w:t xml:space="preserve"> and</w:t>
      </w:r>
      <w:r w:rsidR="00C4443B" w:rsidRPr="00C4443B">
        <w:rPr>
          <w:rFonts w:cs="Arial"/>
          <w:color w:val="000000"/>
        </w:rPr>
        <w:t xml:space="preserve"> interfere with uncompleted proceedings. This is because piecemeal litigation is undesirable. The court will intervene only in </w:t>
      </w:r>
      <w:r w:rsidR="00B92A41">
        <w:rPr>
          <w:rFonts w:cs="Arial"/>
          <w:color w:val="000000"/>
        </w:rPr>
        <w:t xml:space="preserve">exceptional circumstances </w:t>
      </w:r>
      <w:r w:rsidR="00C4443B" w:rsidRPr="00C4443B">
        <w:rPr>
          <w:rFonts w:cs="Arial"/>
          <w:color w:val="000000"/>
        </w:rPr>
        <w:t>where grave injustice would otherwise result.</w:t>
      </w:r>
      <w:r w:rsidR="00110942">
        <w:rPr>
          <w:rFonts w:cs="Arial"/>
          <w:color w:val="000000"/>
        </w:rPr>
        <w:t xml:space="preserve"> </w:t>
      </w:r>
      <w:r w:rsidR="00110942" w:rsidRPr="001F7B71">
        <w:rPr>
          <w:rFonts w:cs="Arial"/>
          <w:color w:val="000000"/>
        </w:rPr>
        <w:t xml:space="preserve">In </w:t>
      </w:r>
      <w:r w:rsidR="00110942" w:rsidRPr="001F7B71">
        <w:rPr>
          <w:rFonts w:cs="Arial"/>
          <w:i/>
          <w:iCs/>
          <w:color w:val="000000"/>
        </w:rPr>
        <w:t>Matshikwe v M</w:t>
      </w:r>
      <w:r w:rsidR="00110942" w:rsidRPr="001F7B71">
        <w:rPr>
          <w:rFonts w:cs="Arial"/>
          <w:color w:val="000000"/>
        </w:rPr>
        <w:t xml:space="preserve"> [2003] 3 All SA 11 (SCA) para 14 the Court said that </w:t>
      </w:r>
      <w:r w:rsidR="00110942" w:rsidRPr="00875F05">
        <w:rPr>
          <w:rFonts w:cs="Arial"/>
          <w:i/>
          <w:color w:val="000000"/>
        </w:rPr>
        <w:t>"the power to intervene in unconcluded proceedings in lower courts will be exercised only in cases of great rarity".</w:t>
      </w:r>
    </w:p>
    <w:p w14:paraId="4FE92B03" w14:textId="7F3D0821" w:rsidR="00111A06" w:rsidRPr="007E2BD0" w:rsidRDefault="00E430C7" w:rsidP="00E430C7">
      <w:pPr>
        <w:pStyle w:val="LegalNormal"/>
        <w:tabs>
          <w:tab w:val="left" w:pos="927"/>
        </w:tabs>
        <w:ind w:left="927" w:hanging="567"/>
        <w:rPr>
          <w:lang w:val="en-US"/>
        </w:rPr>
      </w:pPr>
      <w:r w:rsidRPr="007E2BD0">
        <w:rPr>
          <w:lang w:val="en-US"/>
        </w:rPr>
        <w:t>[49]</w:t>
      </w:r>
      <w:r w:rsidRPr="007E2BD0">
        <w:rPr>
          <w:lang w:val="en-US"/>
        </w:rPr>
        <w:tab/>
      </w:r>
      <w:r w:rsidR="00B54D12" w:rsidRPr="00B54D12">
        <w:t>Courts are hesitant to entertain review of ongoing proceedings, including of recusal decisions, which are brought in </w:t>
      </w:r>
      <w:r w:rsidR="00B54D12" w:rsidRPr="00B03D32">
        <w:rPr>
          <w:i/>
        </w:rPr>
        <w:t>medias res</w:t>
      </w:r>
      <w:r w:rsidR="00B54D12" w:rsidRPr="00B54D12">
        <w:t> – It is only in rare cases where grave injustice might otherwise result or where justice might not by other means be attained that a court will</w:t>
      </w:r>
      <w:r w:rsidR="00674C74">
        <w:t xml:space="preserve"> entertain a review before the conclusion of proceedings.</w:t>
      </w:r>
      <w:r w:rsidR="00674C74">
        <w:rPr>
          <w:rStyle w:val="FootnoteReference"/>
        </w:rPr>
        <w:footnoteReference w:id="5"/>
      </w:r>
    </w:p>
    <w:p w14:paraId="78EF9488" w14:textId="4F3D56F0" w:rsidR="00A448D1" w:rsidRDefault="00E430C7" w:rsidP="00E430C7">
      <w:pPr>
        <w:pStyle w:val="LegalNormal"/>
        <w:tabs>
          <w:tab w:val="left" w:pos="927"/>
        </w:tabs>
        <w:ind w:left="927" w:hanging="567"/>
        <w:rPr>
          <w:lang w:val="en-ZA"/>
        </w:rPr>
      </w:pPr>
      <w:r>
        <w:rPr>
          <w:lang w:val="en-ZA"/>
        </w:rPr>
        <w:t>[50]</w:t>
      </w:r>
      <w:r>
        <w:rPr>
          <w:lang w:val="en-ZA"/>
        </w:rPr>
        <w:tab/>
      </w:r>
      <w:r w:rsidR="00A448D1" w:rsidRPr="00A448D1">
        <w:rPr>
          <w:lang w:val="en-ZA"/>
        </w:rPr>
        <w:t>In considering whether to permit such a challenge </w:t>
      </w:r>
      <w:r w:rsidR="00A448D1" w:rsidRPr="00A448D1">
        <w:rPr>
          <w:i/>
          <w:iCs/>
          <w:lang w:val="en-ZA"/>
        </w:rPr>
        <w:t>in medias </w:t>
      </w:r>
      <w:r w:rsidR="00D44ED4" w:rsidRPr="00DC3018">
        <w:rPr>
          <w:i/>
          <w:iCs/>
          <w:lang w:val="en-ZA"/>
        </w:rPr>
        <w:t>res,</w:t>
      </w:r>
      <w:r w:rsidR="00A448D1" w:rsidRPr="00A448D1">
        <w:rPr>
          <w:lang w:val="en-ZA"/>
        </w:rPr>
        <w:t xml:space="preserve"> relevant considerations include the nature of the matter, the nature of the objection to the composition</w:t>
      </w:r>
      <w:r w:rsidR="00DC3018">
        <w:rPr>
          <w:lang w:val="en-ZA"/>
        </w:rPr>
        <w:t xml:space="preserve"> </w:t>
      </w:r>
      <w:r w:rsidR="00A448D1" w:rsidRPr="00A448D1">
        <w:rPr>
          <w:lang w:val="en-ZA"/>
        </w:rPr>
        <w:t>of the court, the prospects of success in the recusal and the length of the record in the proceedings. It is only in rare cases where grave injustice might otherwise result or where justice might not by other means be attained that a court will entertain a review before the conclusion of proceedings. Such judicial intervention </w:t>
      </w:r>
      <w:r w:rsidR="00A448D1" w:rsidRPr="00B03D32">
        <w:rPr>
          <w:iCs/>
          <w:lang w:val="en-ZA"/>
        </w:rPr>
        <w:t>in</w:t>
      </w:r>
      <w:r w:rsidR="00A448D1" w:rsidRPr="00A448D1">
        <w:rPr>
          <w:i/>
          <w:iCs/>
          <w:lang w:val="en-ZA"/>
        </w:rPr>
        <w:t> medias res </w:t>
      </w:r>
      <w:r w:rsidR="00A448D1" w:rsidRPr="00A448D1">
        <w:rPr>
          <w:lang w:val="en-ZA"/>
        </w:rPr>
        <w:t xml:space="preserve">has been said to be warranted only where there is a gross irregularity in the proceedings and in a rare case, because the perpetrators </w:t>
      </w:r>
      <w:r w:rsidR="00A448D1" w:rsidRPr="00A448D1">
        <w:rPr>
          <w:lang w:val="en-ZA"/>
        </w:rPr>
        <w:lastRenderedPageBreak/>
        <w:t>perpetuating the irregularities are those that have been entrusted with safeguarding constitutional rights. In the absence of exceptional circumstances, reviews should ordinarily be brought at the end of proceedings in order not to threaten the effectiveness of all tribunals and courts.</w:t>
      </w:r>
      <w:r w:rsidR="00DC3018">
        <w:rPr>
          <w:rStyle w:val="FootnoteReference"/>
          <w:lang w:val="en-ZA"/>
        </w:rPr>
        <w:footnoteReference w:id="6"/>
      </w:r>
    </w:p>
    <w:p w14:paraId="28895668" w14:textId="6BD46BED" w:rsidR="00B13964" w:rsidRDefault="00E430C7" w:rsidP="00E430C7">
      <w:pPr>
        <w:pStyle w:val="LegalNormal"/>
        <w:tabs>
          <w:tab w:val="left" w:pos="927"/>
        </w:tabs>
        <w:ind w:left="927" w:hanging="567"/>
        <w:rPr>
          <w:lang w:val="en-ZA"/>
        </w:rPr>
      </w:pPr>
      <w:r>
        <w:rPr>
          <w:lang w:val="en-ZA"/>
        </w:rPr>
        <w:t>[51]</w:t>
      </w:r>
      <w:r>
        <w:rPr>
          <w:lang w:val="en-ZA"/>
        </w:rPr>
        <w:tab/>
      </w:r>
      <w:r w:rsidR="00F81969" w:rsidRPr="00E35576">
        <w:rPr>
          <w:lang w:val="en-ZA"/>
        </w:rPr>
        <w:t xml:space="preserve">The full court in Public Protector </w:t>
      </w:r>
      <w:r w:rsidR="005E118F" w:rsidRPr="00E35576">
        <w:rPr>
          <w:lang w:val="en-ZA"/>
        </w:rPr>
        <w:t xml:space="preserve">(supra) referred with approval to the SCA decision </w:t>
      </w:r>
      <w:r w:rsidR="00842AD8" w:rsidRPr="00E35576">
        <w:rPr>
          <w:lang w:val="en-ZA"/>
        </w:rPr>
        <w:t>in </w:t>
      </w:r>
      <w:r w:rsidR="00842AD8" w:rsidRPr="00E35576">
        <w:rPr>
          <w:i/>
          <w:iCs/>
          <w:lang w:val="en-ZA"/>
        </w:rPr>
        <w:t>Take &amp; Save Trading CC and others v The Standard Bank of SA Ltd</w:t>
      </w:r>
      <w:r w:rsidR="00AE703F">
        <w:rPr>
          <w:rStyle w:val="FootnoteReference"/>
          <w:i/>
          <w:iCs/>
          <w:lang w:val="en-ZA"/>
        </w:rPr>
        <w:footnoteReference w:id="7"/>
      </w:r>
      <w:r w:rsidR="00E35576">
        <w:rPr>
          <w:lang w:val="en-ZA"/>
        </w:rPr>
        <w:t xml:space="preserve"> where it was held</w:t>
      </w:r>
      <w:r w:rsidR="00B13964">
        <w:rPr>
          <w:lang w:val="en-ZA"/>
        </w:rPr>
        <w:t xml:space="preserve"> that:</w:t>
      </w:r>
    </w:p>
    <w:p w14:paraId="09A7835D" w14:textId="4BC387EE" w:rsidR="00147140" w:rsidRPr="00E74FD3" w:rsidRDefault="00842AD8" w:rsidP="00236672">
      <w:pPr>
        <w:pStyle w:val="LegalNormal"/>
        <w:ind w:left="1440"/>
        <w:rPr>
          <w:sz w:val="22"/>
          <w:szCs w:val="22"/>
          <w:lang w:val="en-ZA"/>
        </w:rPr>
      </w:pPr>
      <w:r w:rsidRPr="00E74FD3">
        <w:rPr>
          <w:sz w:val="22"/>
          <w:szCs w:val="22"/>
          <w:lang w:val="en-ZA"/>
        </w:rPr>
        <w:t>“. . . an appeal </w:t>
      </w:r>
      <w:r w:rsidRPr="00E74FD3">
        <w:rPr>
          <w:i/>
          <w:iCs/>
          <w:sz w:val="22"/>
          <w:szCs w:val="22"/>
          <w:lang w:val="en-ZA"/>
        </w:rPr>
        <w:t>in medias res </w:t>
      </w:r>
      <w:r w:rsidRPr="00E74FD3">
        <w:rPr>
          <w:sz w:val="22"/>
          <w:szCs w:val="22"/>
          <w:lang w:val="en-ZA"/>
        </w:rPr>
        <w:t>in the event of a refusal to recuse, although legally permissible, is not available as a matter of right and it is usually not the route to follow because the balance of convenience more often than not requires that the case be brought to a conclusion at the first level and the whole case then be appealed.”</w:t>
      </w:r>
    </w:p>
    <w:p w14:paraId="5D7A0BE4" w14:textId="155331D5" w:rsidR="00523845" w:rsidRPr="00147140" w:rsidRDefault="002A3A9E" w:rsidP="00147140">
      <w:pPr>
        <w:pStyle w:val="LegalNormal"/>
        <w:ind w:left="927" w:firstLine="513"/>
        <w:rPr>
          <w:b/>
          <w:bCs/>
          <w:lang w:val="en-ZA"/>
        </w:rPr>
      </w:pPr>
      <w:r>
        <w:rPr>
          <w:b/>
          <w:bCs/>
          <w:lang w:val="en-ZA"/>
        </w:rPr>
        <w:t xml:space="preserve"> </w:t>
      </w:r>
      <w:r w:rsidR="00C21E34" w:rsidRPr="00147140">
        <w:rPr>
          <w:b/>
          <w:bCs/>
          <w:lang w:val="en-ZA"/>
        </w:rPr>
        <w:t>The doctrine of subsidiarity</w:t>
      </w:r>
    </w:p>
    <w:p w14:paraId="168639CC" w14:textId="4226F6BC" w:rsidR="00C21E34" w:rsidRDefault="00E430C7" w:rsidP="00E430C7">
      <w:pPr>
        <w:pStyle w:val="LegalNormal"/>
        <w:tabs>
          <w:tab w:val="left" w:pos="927"/>
        </w:tabs>
        <w:ind w:left="927" w:hanging="567"/>
        <w:rPr>
          <w:lang w:val="en-ZA"/>
        </w:rPr>
      </w:pPr>
      <w:r>
        <w:rPr>
          <w:lang w:val="en-ZA"/>
        </w:rPr>
        <w:t>[52]</w:t>
      </w:r>
      <w:r>
        <w:rPr>
          <w:lang w:val="en-ZA"/>
        </w:rPr>
        <w:tab/>
      </w:r>
      <w:r w:rsidR="00D95A40">
        <w:rPr>
          <w:lang w:val="en-ZA"/>
        </w:rPr>
        <w:t>Adv. Hofmeyr submi</w:t>
      </w:r>
      <w:r w:rsidR="007C7437">
        <w:rPr>
          <w:lang w:val="en-ZA"/>
        </w:rPr>
        <w:t xml:space="preserve">tted that the applicants have </w:t>
      </w:r>
      <w:r w:rsidR="007847EE">
        <w:rPr>
          <w:lang w:val="en-ZA"/>
        </w:rPr>
        <w:t>relied on</w:t>
      </w:r>
      <w:r w:rsidR="007C7437">
        <w:rPr>
          <w:lang w:val="en-ZA"/>
        </w:rPr>
        <w:t xml:space="preserve"> sect</w:t>
      </w:r>
      <w:r w:rsidR="007847EE">
        <w:rPr>
          <w:lang w:val="en-ZA"/>
        </w:rPr>
        <w:t>ion 34 of the Constitution</w:t>
      </w:r>
      <w:r w:rsidR="005732DA">
        <w:rPr>
          <w:lang w:val="en-ZA"/>
        </w:rPr>
        <w:t>; and the latter does not apply to disciplinary</w:t>
      </w:r>
      <w:r w:rsidR="00E85510">
        <w:rPr>
          <w:lang w:val="en-ZA"/>
        </w:rPr>
        <w:t xml:space="preserve"> hearings, t</w:t>
      </w:r>
      <w:r w:rsidR="00004B10">
        <w:rPr>
          <w:lang w:val="en-ZA"/>
        </w:rPr>
        <w:t xml:space="preserve">he cause of action is thus not competent. </w:t>
      </w:r>
      <w:r w:rsidR="0042541E">
        <w:rPr>
          <w:lang w:val="en-ZA"/>
        </w:rPr>
        <w:t xml:space="preserve">The </w:t>
      </w:r>
      <w:r w:rsidR="00D620A4">
        <w:rPr>
          <w:lang w:val="en-ZA"/>
        </w:rPr>
        <w:t xml:space="preserve">applicants should have relied on PAJA being the </w:t>
      </w:r>
      <w:r w:rsidR="00754EFE">
        <w:rPr>
          <w:lang w:val="en-ZA"/>
        </w:rPr>
        <w:t xml:space="preserve">application promulgated </w:t>
      </w:r>
      <w:r w:rsidR="00566636">
        <w:rPr>
          <w:lang w:val="en-ZA"/>
        </w:rPr>
        <w:t>pursuant to the provisions of section 33</w:t>
      </w:r>
      <w:r w:rsidR="005B4311">
        <w:rPr>
          <w:lang w:val="en-ZA"/>
        </w:rPr>
        <w:t xml:space="preserve">. In terms of </w:t>
      </w:r>
      <w:r w:rsidR="005B4311">
        <w:rPr>
          <w:lang w:val="en-ZA"/>
        </w:rPr>
        <w:lastRenderedPageBreak/>
        <w:t>the subsidiarity principle</w:t>
      </w:r>
      <w:r w:rsidR="00D72BEC">
        <w:rPr>
          <w:lang w:val="en-ZA"/>
        </w:rPr>
        <w:t xml:space="preserve"> therefore, the applicants </w:t>
      </w:r>
      <w:r w:rsidR="00A30DB9">
        <w:rPr>
          <w:lang w:val="en-ZA"/>
        </w:rPr>
        <w:t>cannot rely directly on the Constitution.</w:t>
      </w:r>
    </w:p>
    <w:p w14:paraId="1A529194" w14:textId="5D19CEFF" w:rsidR="003665D1" w:rsidRDefault="00E430C7" w:rsidP="00E430C7">
      <w:pPr>
        <w:pStyle w:val="LegalNormal"/>
        <w:tabs>
          <w:tab w:val="left" w:pos="927"/>
        </w:tabs>
        <w:ind w:left="927" w:hanging="567"/>
        <w:rPr>
          <w:lang w:val="en-ZA"/>
        </w:rPr>
      </w:pPr>
      <w:r>
        <w:rPr>
          <w:lang w:val="en-ZA"/>
        </w:rPr>
        <w:t>[53]</w:t>
      </w:r>
      <w:r>
        <w:rPr>
          <w:lang w:val="en-ZA"/>
        </w:rPr>
        <w:tab/>
      </w:r>
      <w:r w:rsidR="0092588D">
        <w:rPr>
          <w:lang w:val="en-ZA"/>
        </w:rPr>
        <w:t xml:space="preserve">In </w:t>
      </w:r>
      <w:r w:rsidR="0092588D" w:rsidRPr="00C97211">
        <w:rPr>
          <w:i/>
          <w:iCs/>
          <w:lang w:val="en-ZA"/>
        </w:rPr>
        <w:t xml:space="preserve">Pretorius and Another </w:t>
      </w:r>
      <w:r w:rsidR="00C97211" w:rsidRPr="00C97211">
        <w:rPr>
          <w:i/>
          <w:iCs/>
          <w:lang w:val="en-ZA"/>
        </w:rPr>
        <w:t>v Transport Pension Fund and others</w:t>
      </w:r>
      <w:r w:rsidR="00C97211">
        <w:rPr>
          <w:i/>
          <w:iCs/>
          <w:lang w:val="en-ZA"/>
        </w:rPr>
        <w:t>,</w:t>
      </w:r>
      <w:r w:rsidR="00DB1C07">
        <w:rPr>
          <w:rStyle w:val="FootnoteReference"/>
          <w:i/>
          <w:iCs/>
          <w:lang w:val="en-ZA"/>
        </w:rPr>
        <w:footnoteReference w:id="8"/>
      </w:r>
      <w:r w:rsidR="00C97211">
        <w:rPr>
          <w:i/>
          <w:iCs/>
          <w:lang w:val="en-ZA"/>
        </w:rPr>
        <w:t xml:space="preserve"> </w:t>
      </w:r>
      <w:r w:rsidR="00DE208B">
        <w:rPr>
          <w:lang w:val="en-ZA"/>
        </w:rPr>
        <w:t>the Constitutional Court</w:t>
      </w:r>
      <w:r w:rsidR="002A3A9E">
        <w:rPr>
          <w:lang w:val="en-ZA"/>
        </w:rPr>
        <w:t xml:space="preserve"> held that the general rule that claimants</w:t>
      </w:r>
      <w:r w:rsidR="00211886">
        <w:rPr>
          <w:lang w:val="en-ZA"/>
        </w:rPr>
        <w:t xml:space="preserve"> may not rely directly on the Constitution when a right </w:t>
      </w:r>
      <w:r w:rsidR="00025A48">
        <w:rPr>
          <w:lang w:val="en-ZA"/>
        </w:rPr>
        <w:t xml:space="preserve">is </w:t>
      </w:r>
      <w:r w:rsidR="00211886">
        <w:rPr>
          <w:lang w:val="en-ZA"/>
        </w:rPr>
        <w:t>regulated</w:t>
      </w:r>
      <w:r w:rsidR="00025A48">
        <w:rPr>
          <w:lang w:val="en-ZA"/>
        </w:rPr>
        <w:t xml:space="preserve"> by specific legislation</w:t>
      </w:r>
      <w:r w:rsidR="009B2577">
        <w:rPr>
          <w:lang w:val="en-ZA"/>
        </w:rPr>
        <w:t xml:space="preserve"> is not inflexible. </w:t>
      </w:r>
      <w:r w:rsidR="005E375E">
        <w:rPr>
          <w:lang w:val="en-ZA"/>
        </w:rPr>
        <w:t xml:space="preserve">The Constitutional Court </w:t>
      </w:r>
      <w:r w:rsidR="00214625">
        <w:rPr>
          <w:lang w:val="en-ZA"/>
        </w:rPr>
        <w:t xml:space="preserve">then quoted the majority judgment in </w:t>
      </w:r>
      <w:r w:rsidR="00214625" w:rsidRPr="00ED7163">
        <w:rPr>
          <w:i/>
          <w:iCs/>
          <w:lang w:val="en-ZA"/>
        </w:rPr>
        <w:t>My Vote Counts NPC v Speaker of the National Assembly</w:t>
      </w:r>
      <w:r w:rsidR="00ED7163">
        <w:rPr>
          <w:rStyle w:val="FootnoteReference"/>
          <w:i/>
          <w:iCs/>
          <w:lang w:val="en-ZA"/>
        </w:rPr>
        <w:footnoteReference w:id="9"/>
      </w:r>
      <w:r w:rsidR="005579DB">
        <w:rPr>
          <w:lang w:val="en-ZA"/>
        </w:rPr>
        <w:t xml:space="preserve"> where the court expressly</w:t>
      </w:r>
      <w:r w:rsidR="007E2EEA">
        <w:rPr>
          <w:lang w:val="en-ZA"/>
        </w:rPr>
        <w:t xml:space="preserve"> disavowed that subsidiarity was a hard rule</w:t>
      </w:r>
      <w:r w:rsidR="00FA1C52">
        <w:rPr>
          <w:lang w:val="en-ZA"/>
        </w:rPr>
        <w:t xml:space="preserve">. </w:t>
      </w:r>
      <w:r w:rsidR="00A05255">
        <w:rPr>
          <w:lang w:val="en-ZA"/>
        </w:rPr>
        <w:t>The court</w:t>
      </w:r>
      <w:r w:rsidR="003665D1">
        <w:rPr>
          <w:lang w:val="en-ZA"/>
        </w:rPr>
        <w:t xml:space="preserve"> cautioned that:  </w:t>
      </w:r>
    </w:p>
    <w:p w14:paraId="6A4715AE" w14:textId="77777777" w:rsidR="00660237" w:rsidRPr="00E74FD3" w:rsidRDefault="003665D1" w:rsidP="00236672">
      <w:pPr>
        <w:pStyle w:val="LegalNormal"/>
        <w:ind w:left="1440"/>
        <w:rPr>
          <w:sz w:val="22"/>
          <w:szCs w:val="22"/>
          <w:lang w:val="en-ZA"/>
        </w:rPr>
      </w:pPr>
      <w:r w:rsidRPr="00E74FD3">
        <w:rPr>
          <w:sz w:val="22"/>
          <w:szCs w:val="22"/>
        </w:rPr>
        <w:t>“We should not be understood to suggest that the principle of constitutional subsidiarity applies as a hard and fast rule.  There are decisions in which this Court has said that the principle may not apply.  This Court is yet to develop the principle to a point where the inner and outer contours of its reach are clearly delineated.  It is not necessary to do that in this case.”</w:t>
      </w:r>
    </w:p>
    <w:p w14:paraId="6F54FDF5" w14:textId="6F1CFC49" w:rsidR="00297CB0" w:rsidRPr="0005060C" w:rsidRDefault="007450C9" w:rsidP="0005060C">
      <w:pPr>
        <w:pStyle w:val="LegalNormal"/>
        <w:ind w:left="927"/>
        <w:rPr>
          <w:b/>
          <w:bCs/>
          <w:lang w:val="en-US"/>
        </w:rPr>
      </w:pPr>
      <w:r w:rsidRPr="0005060C">
        <w:rPr>
          <w:b/>
          <w:bCs/>
          <w:lang w:val="en-US"/>
        </w:rPr>
        <w:t xml:space="preserve">The </w:t>
      </w:r>
      <w:r w:rsidR="0005060C" w:rsidRPr="0005060C">
        <w:rPr>
          <w:b/>
          <w:bCs/>
          <w:lang w:val="en-US"/>
        </w:rPr>
        <w:t>law on recusal:</w:t>
      </w:r>
      <w:r w:rsidRPr="0005060C">
        <w:rPr>
          <w:b/>
          <w:bCs/>
          <w:lang w:val="en-US"/>
        </w:rPr>
        <w:t xml:space="preserve"> </w:t>
      </w:r>
    </w:p>
    <w:p w14:paraId="554B1C4C" w14:textId="1D9AF79C" w:rsidR="00E30AA1" w:rsidRPr="00E30AA1" w:rsidRDefault="00E430C7" w:rsidP="00E430C7">
      <w:pPr>
        <w:pStyle w:val="LegalNormal"/>
        <w:tabs>
          <w:tab w:val="left" w:pos="927"/>
        </w:tabs>
        <w:ind w:left="927" w:hanging="567"/>
        <w:rPr>
          <w:sz w:val="20"/>
          <w:szCs w:val="20"/>
          <w:lang w:val="en-US"/>
        </w:rPr>
      </w:pPr>
      <w:r w:rsidRPr="00E30AA1">
        <w:rPr>
          <w:lang w:val="en-US"/>
        </w:rPr>
        <w:t>[54]</w:t>
      </w:r>
      <w:r w:rsidRPr="00E30AA1">
        <w:rPr>
          <w:lang w:val="en-US"/>
        </w:rPr>
        <w:tab/>
      </w:r>
      <w:r w:rsidR="006774F1">
        <w:rPr>
          <w:lang w:val="en-US"/>
        </w:rPr>
        <w:t>The</w:t>
      </w:r>
      <w:r w:rsidR="00F54B05">
        <w:rPr>
          <w:lang w:val="en-US"/>
        </w:rPr>
        <w:t xml:space="preserve"> SCA in </w:t>
      </w:r>
      <w:r w:rsidR="005353DB" w:rsidRPr="008B28F2">
        <w:rPr>
          <w:i/>
          <w:iCs/>
          <w:lang w:val="en-US"/>
        </w:rPr>
        <w:t xml:space="preserve">Basson v </w:t>
      </w:r>
      <w:r w:rsidR="00F54B05" w:rsidRPr="008B28F2">
        <w:rPr>
          <w:i/>
          <w:iCs/>
          <w:lang w:val="en-US"/>
        </w:rPr>
        <w:t xml:space="preserve">Hugo </w:t>
      </w:r>
      <w:r w:rsidR="005353DB" w:rsidRPr="008B28F2">
        <w:rPr>
          <w:i/>
          <w:iCs/>
          <w:lang w:val="en-US"/>
        </w:rPr>
        <w:t>&amp; Others</w:t>
      </w:r>
      <w:r w:rsidR="005353DB">
        <w:rPr>
          <w:rStyle w:val="FootnoteReference"/>
          <w:lang w:val="en-US"/>
        </w:rPr>
        <w:footnoteReference w:id="10"/>
      </w:r>
      <w:r w:rsidR="00F54B05">
        <w:rPr>
          <w:lang w:val="en-US"/>
        </w:rPr>
        <w:t xml:space="preserve"> </w:t>
      </w:r>
      <w:r w:rsidR="009567B4">
        <w:rPr>
          <w:lang w:val="en-US"/>
        </w:rPr>
        <w:t xml:space="preserve">considered the law </w:t>
      </w:r>
      <w:r w:rsidR="00FF66B8">
        <w:rPr>
          <w:lang w:val="en-US"/>
        </w:rPr>
        <w:t xml:space="preserve">governing recusals and referred to </w:t>
      </w:r>
      <w:r w:rsidR="00873346">
        <w:rPr>
          <w:lang w:val="en-US"/>
        </w:rPr>
        <w:t>i</w:t>
      </w:r>
      <w:r w:rsidR="00FF66B8">
        <w:rPr>
          <w:lang w:val="en-US"/>
        </w:rPr>
        <w:t>t</w:t>
      </w:r>
      <w:r w:rsidR="00873346">
        <w:rPr>
          <w:lang w:val="en-US"/>
        </w:rPr>
        <w:t>s</w:t>
      </w:r>
      <w:r w:rsidR="00FF66B8">
        <w:rPr>
          <w:lang w:val="en-US"/>
        </w:rPr>
        <w:t xml:space="preserve"> earlier decision </w:t>
      </w:r>
      <w:r w:rsidR="00873346">
        <w:rPr>
          <w:lang w:val="en-US"/>
        </w:rPr>
        <w:t>in</w:t>
      </w:r>
      <w:r w:rsidR="006774F1">
        <w:rPr>
          <w:lang w:val="en-US"/>
        </w:rPr>
        <w:t xml:space="preserve"> </w:t>
      </w:r>
      <w:r w:rsidR="00092CA5" w:rsidRPr="00331C20">
        <w:rPr>
          <w:i/>
          <w:iCs/>
        </w:rPr>
        <w:t>Moch v Nedtravel (Pty) Ltd t/</w:t>
      </w:r>
      <w:r w:rsidR="00ED45FA">
        <w:rPr>
          <w:i/>
          <w:iCs/>
        </w:rPr>
        <w:t>a</w:t>
      </w:r>
      <w:r w:rsidR="00092CA5" w:rsidRPr="00331C20">
        <w:rPr>
          <w:i/>
          <w:iCs/>
        </w:rPr>
        <w:t xml:space="preserve"> American Express Travel </w:t>
      </w:r>
      <w:r w:rsidR="00ED45FA">
        <w:rPr>
          <w:i/>
          <w:iCs/>
        </w:rPr>
        <w:t>S</w:t>
      </w:r>
      <w:r w:rsidR="00092CA5" w:rsidRPr="00331C20">
        <w:rPr>
          <w:i/>
          <w:iCs/>
        </w:rPr>
        <w:t xml:space="preserve">ervice 1996 (3) SA </w:t>
      </w:r>
      <w:r w:rsidR="00241756">
        <w:rPr>
          <w:i/>
          <w:iCs/>
        </w:rPr>
        <w:t>1</w:t>
      </w:r>
      <w:r w:rsidR="00092CA5" w:rsidRPr="00331C20">
        <w:rPr>
          <w:i/>
          <w:iCs/>
        </w:rPr>
        <w:t xml:space="preserve"> (A)</w:t>
      </w:r>
      <w:r w:rsidR="00ED45FA">
        <w:rPr>
          <w:i/>
          <w:iCs/>
        </w:rPr>
        <w:t>,</w:t>
      </w:r>
      <w:r w:rsidR="00092CA5" w:rsidRPr="00331C20">
        <w:rPr>
          <w:i/>
          <w:iCs/>
        </w:rPr>
        <w:t xml:space="preserve"> ([1996]</w:t>
      </w:r>
      <w:r w:rsidR="00241756">
        <w:rPr>
          <w:i/>
          <w:iCs/>
        </w:rPr>
        <w:t xml:space="preserve"> </w:t>
      </w:r>
      <w:r w:rsidR="00092CA5" w:rsidRPr="00331C20">
        <w:rPr>
          <w:i/>
          <w:iCs/>
        </w:rPr>
        <w:t>ZASCA 2)</w:t>
      </w:r>
      <w:r w:rsidR="00092CA5" w:rsidRPr="00092CA5">
        <w:t xml:space="preserve"> at 8</w:t>
      </w:r>
      <w:r w:rsidR="00D03C46">
        <w:t>J</w:t>
      </w:r>
      <w:r w:rsidR="00092CA5" w:rsidRPr="00092CA5">
        <w:t xml:space="preserve"> </w:t>
      </w:r>
      <w:r w:rsidR="00D03C46">
        <w:t>–</w:t>
      </w:r>
      <w:r w:rsidR="00092CA5" w:rsidRPr="00092CA5">
        <w:t xml:space="preserve"> 9</w:t>
      </w:r>
      <w:r w:rsidR="00D03C46">
        <w:t>B</w:t>
      </w:r>
      <w:r w:rsidR="00092CA5" w:rsidRPr="00092CA5">
        <w:t>,</w:t>
      </w:r>
      <w:r w:rsidR="00A15E73">
        <w:t xml:space="preserve"> where</w:t>
      </w:r>
      <w:r w:rsidR="00092CA5" w:rsidRPr="00092CA5">
        <w:t xml:space="preserve"> </w:t>
      </w:r>
      <w:r w:rsidR="007B500D">
        <w:lastRenderedPageBreak/>
        <w:t>i</w:t>
      </w:r>
      <w:r w:rsidR="00092CA5" w:rsidRPr="00092CA5">
        <w:t>t</w:t>
      </w:r>
      <w:r w:rsidR="007B500D">
        <w:t xml:space="preserve"> had</w:t>
      </w:r>
      <w:r w:rsidR="00092CA5" w:rsidRPr="00092CA5">
        <w:t xml:space="preserve"> rejected the notion that a refusal by a judge (in this case an administrator) to recuse himself </w:t>
      </w:r>
      <w:r w:rsidR="006C1E49">
        <w:t>from proceedings in respect of </w:t>
      </w:r>
      <w:r w:rsidR="00092CA5" w:rsidRPr="00092CA5">
        <w:t>which he is reasonably suspected of bias, renders that decision voidable; and held that the consequence of a failure to recuse renders the proceedings a nullity. Hefer JA observed:</w:t>
      </w:r>
    </w:p>
    <w:p w14:paraId="5B8F3342" w14:textId="4B90A471" w:rsidR="00161DE4" w:rsidRPr="00E74FD3" w:rsidRDefault="003641E0" w:rsidP="00E74FD3">
      <w:pPr>
        <w:pStyle w:val="LegalNormal"/>
        <w:ind w:left="1440"/>
        <w:rPr>
          <w:sz w:val="22"/>
          <w:szCs w:val="22"/>
          <w:lang w:val="en-US"/>
        </w:rPr>
      </w:pPr>
      <w:r w:rsidRPr="00E74FD3">
        <w:rPr>
          <w:sz w:val="22"/>
          <w:szCs w:val="22"/>
        </w:rPr>
        <w:t>“</w:t>
      </w:r>
      <w:r w:rsidR="00092CA5" w:rsidRPr="00E74FD3">
        <w:rPr>
          <w:sz w:val="22"/>
          <w:szCs w:val="22"/>
        </w:rPr>
        <w:t>The effect of a refusal to do so is clear. Unlike the seemingly controversial status In English adm</w:t>
      </w:r>
      <w:r w:rsidR="000F5027" w:rsidRPr="00E74FD3">
        <w:rPr>
          <w:sz w:val="22"/>
          <w:szCs w:val="22"/>
        </w:rPr>
        <w:t>i</w:t>
      </w:r>
      <w:r w:rsidR="00092CA5" w:rsidRPr="00E74FD3">
        <w:rPr>
          <w:sz w:val="22"/>
          <w:szCs w:val="22"/>
        </w:rPr>
        <w:t>nistrative law of the decisions of biased officials (cf</w:t>
      </w:r>
      <w:r w:rsidR="009A4512" w:rsidRPr="00E74FD3">
        <w:rPr>
          <w:sz w:val="22"/>
          <w:szCs w:val="22"/>
        </w:rPr>
        <w:t>.</w:t>
      </w:r>
      <w:r w:rsidR="00092CA5" w:rsidRPr="00E74FD3">
        <w:rPr>
          <w:sz w:val="22"/>
          <w:szCs w:val="22"/>
        </w:rPr>
        <w:t xml:space="preserve"> </w:t>
      </w:r>
      <w:r w:rsidR="009A4512" w:rsidRPr="00E74FD3">
        <w:rPr>
          <w:sz w:val="22"/>
          <w:szCs w:val="22"/>
        </w:rPr>
        <w:t>C</w:t>
      </w:r>
      <w:r w:rsidR="00092CA5" w:rsidRPr="00E74FD3">
        <w:rPr>
          <w:sz w:val="22"/>
          <w:szCs w:val="22"/>
        </w:rPr>
        <w:t xml:space="preserve">raig Administrative </w:t>
      </w:r>
      <w:r w:rsidR="009A4512" w:rsidRPr="00E74FD3">
        <w:rPr>
          <w:sz w:val="22"/>
          <w:szCs w:val="22"/>
        </w:rPr>
        <w:t>Law</w:t>
      </w:r>
      <w:r w:rsidR="00092CA5" w:rsidRPr="00E74FD3">
        <w:rPr>
          <w:sz w:val="22"/>
          <w:szCs w:val="22"/>
        </w:rPr>
        <w:t xml:space="preserve"> 3 ed at 467 - 5; </w:t>
      </w:r>
      <w:r w:rsidR="009A4512" w:rsidRPr="00E74FD3">
        <w:rPr>
          <w:sz w:val="22"/>
          <w:szCs w:val="22"/>
        </w:rPr>
        <w:t>W</w:t>
      </w:r>
      <w:r w:rsidR="00092CA5" w:rsidRPr="00E74FD3">
        <w:rPr>
          <w:sz w:val="22"/>
          <w:szCs w:val="22"/>
        </w:rPr>
        <w:t>ade 'Unlawful Administrative Action: void or voidable'</w:t>
      </w:r>
      <w:r w:rsidR="002128AB" w:rsidRPr="00E74FD3">
        <w:rPr>
          <w:sz w:val="22"/>
          <w:szCs w:val="22"/>
        </w:rPr>
        <w:t>(1</w:t>
      </w:r>
      <w:r w:rsidR="00301C88" w:rsidRPr="00E74FD3">
        <w:rPr>
          <w:sz w:val="22"/>
          <w:szCs w:val="22"/>
        </w:rPr>
        <w:t>9</w:t>
      </w:r>
      <w:r w:rsidR="00092CA5" w:rsidRPr="00E74FD3">
        <w:rPr>
          <w:sz w:val="22"/>
          <w:szCs w:val="22"/>
        </w:rPr>
        <w:t>6</w:t>
      </w:r>
      <w:r w:rsidR="00301C88" w:rsidRPr="00E74FD3">
        <w:rPr>
          <w:sz w:val="22"/>
          <w:szCs w:val="22"/>
        </w:rPr>
        <w:t>8</w:t>
      </w:r>
      <w:r w:rsidR="00092CA5" w:rsidRPr="00E74FD3">
        <w:rPr>
          <w:sz w:val="22"/>
          <w:szCs w:val="22"/>
        </w:rPr>
        <w:t xml:space="preserve">) </w:t>
      </w:r>
      <w:r w:rsidR="00301C88" w:rsidRPr="00E74FD3">
        <w:rPr>
          <w:sz w:val="22"/>
          <w:szCs w:val="22"/>
        </w:rPr>
        <w:t>8</w:t>
      </w:r>
      <w:r w:rsidR="00092CA5" w:rsidRPr="00E74FD3">
        <w:rPr>
          <w:sz w:val="22"/>
          <w:szCs w:val="22"/>
        </w:rPr>
        <w:t xml:space="preserve">4 LQR 95), </w:t>
      </w:r>
      <w:r w:rsidR="002019EB" w:rsidRPr="00E74FD3">
        <w:rPr>
          <w:sz w:val="22"/>
          <w:szCs w:val="22"/>
        </w:rPr>
        <w:t>firm</w:t>
      </w:r>
      <w:r w:rsidR="00092CA5" w:rsidRPr="00E74FD3">
        <w:rPr>
          <w:sz w:val="22"/>
          <w:szCs w:val="22"/>
        </w:rPr>
        <w:t xml:space="preserve"> and authoritative views have been expressed In South Africa regarding the effect on judicial </w:t>
      </w:r>
      <w:r w:rsidR="002019EB" w:rsidRPr="00E74FD3">
        <w:rPr>
          <w:sz w:val="22"/>
          <w:szCs w:val="22"/>
        </w:rPr>
        <w:t>proceedings</w:t>
      </w:r>
      <w:r w:rsidR="00092CA5" w:rsidRPr="00E74FD3">
        <w:rPr>
          <w:sz w:val="22"/>
          <w:szCs w:val="22"/>
        </w:rPr>
        <w:t xml:space="preserve"> </w:t>
      </w:r>
      <w:r w:rsidR="002019EB" w:rsidRPr="00E74FD3">
        <w:rPr>
          <w:sz w:val="22"/>
          <w:szCs w:val="22"/>
        </w:rPr>
        <w:t>of</w:t>
      </w:r>
      <w:r w:rsidR="00092CA5" w:rsidRPr="00E74FD3">
        <w:rPr>
          <w:sz w:val="22"/>
          <w:szCs w:val="22"/>
        </w:rPr>
        <w:t xml:space="preserve"> a judge's refusal to withdraw from the matter from which he should have recused himself. </w:t>
      </w:r>
      <w:r w:rsidR="002019EB" w:rsidRPr="00E74FD3">
        <w:rPr>
          <w:sz w:val="22"/>
          <w:szCs w:val="22"/>
        </w:rPr>
        <w:t>W</w:t>
      </w:r>
      <w:r w:rsidR="00092CA5" w:rsidRPr="00E74FD3">
        <w:rPr>
          <w:sz w:val="22"/>
          <w:szCs w:val="22"/>
        </w:rPr>
        <w:t>ithout spe</w:t>
      </w:r>
      <w:r w:rsidR="007620B0" w:rsidRPr="00E74FD3">
        <w:rPr>
          <w:sz w:val="22"/>
          <w:szCs w:val="22"/>
        </w:rPr>
        <w:t>l</w:t>
      </w:r>
      <w:r w:rsidR="00092CA5" w:rsidRPr="00E74FD3">
        <w:rPr>
          <w:sz w:val="22"/>
          <w:szCs w:val="22"/>
        </w:rPr>
        <w:t>l</w:t>
      </w:r>
      <w:r w:rsidR="007620B0" w:rsidRPr="00E74FD3">
        <w:rPr>
          <w:sz w:val="22"/>
          <w:szCs w:val="22"/>
        </w:rPr>
        <w:t>i</w:t>
      </w:r>
      <w:r w:rsidR="00092CA5" w:rsidRPr="00E74FD3">
        <w:rPr>
          <w:sz w:val="22"/>
          <w:szCs w:val="22"/>
        </w:rPr>
        <w:t xml:space="preserve">ng out its actual effect, </w:t>
      </w:r>
      <w:r w:rsidR="007620B0" w:rsidRPr="00E74FD3">
        <w:rPr>
          <w:sz w:val="22"/>
          <w:szCs w:val="22"/>
        </w:rPr>
        <w:t>C</w:t>
      </w:r>
      <w:r w:rsidR="00092CA5" w:rsidRPr="00E74FD3">
        <w:rPr>
          <w:sz w:val="22"/>
          <w:szCs w:val="22"/>
        </w:rPr>
        <w:t>entl</w:t>
      </w:r>
      <w:r w:rsidR="007620B0" w:rsidRPr="00E74FD3">
        <w:rPr>
          <w:sz w:val="22"/>
          <w:szCs w:val="22"/>
        </w:rPr>
        <w:t>i</w:t>
      </w:r>
      <w:r w:rsidR="00092CA5" w:rsidRPr="00E74FD3">
        <w:rPr>
          <w:sz w:val="22"/>
          <w:szCs w:val="22"/>
        </w:rPr>
        <w:t xml:space="preserve">vres </w:t>
      </w:r>
      <w:r w:rsidR="007620B0" w:rsidRPr="00E74FD3">
        <w:rPr>
          <w:sz w:val="22"/>
          <w:szCs w:val="22"/>
        </w:rPr>
        <w:t>CJ</w:t>
      </w:r>
      <w:r w:rsidR="00092CA5" w:rsidRPr="00E74FD3">
        <w:rPr>
          <w:sz w:val="22"/>
          <w:szCs w:val="22"/>
        </w:rPr>
        <w:t xml:space="preserve"> observed ln R v Milne and Erleigh (6) (supra at 6 in Fin) that 1 a biased judge who continues to try a matter after refusing an application for his recusal thereby- "</w:t>
      </w:r>
      <w:r w:rsidR="00165933" w:rsidRPr="00E74FD3">
        <w:rPr>
          <w:sz w:val="22"/>
          <w:szCs w:val="22"/>
        </w:rPr>
        <w:t>commits</w:t>
      </w:r>
      <w:r w:rsidR="00092CA5" w:rsidRPr="00E74FD3">
        <w:rPr>
          <w:sz w:val="22"/>
          <w:szCs w:val="22"/>
        </w:rPr>
        <w:t xml:space="preserve">... an </w:t>
      </w:r>
      <w:r w:rsidR="00165933" w:rsidRPr="00E74FD3">
        <w:rPr>
          <w:sz w:val="22"/>
          <w:szCs w:val="22"/>
        </w:rPr>
        <w:t>i</w:t>
      </w:r>
      <w:r w:rsidR="00092CA5" w:rsidRPr="00E74FD3">
        <w:rPr>
          <w:sz w:val="22"/>
          <w:szCs w:val="22"/>
        </w:rPr>
        <w:t xml:space="preserve">rregularity </w:t>
      </w:r>
      <w:r w:rsidR="00165933" w:rsidRPr="00E74FD3">
        <w:rPr>
          <w:sz w:val="22"/>
          <w:szCs w:val="22"/>
        </w:rPr>
        <w:t>i</w:t>
      </w:r>
      <w:r w:rsidR="00092CA5" w:rsidRPr="00E74FD3">
        <w:rPr>
          <w:sz w:val="22"/>
          <w:szCs w:val="22"/>
        </w:rPr>
        <w:t>n the proceedings every minute he remains on the bench during the trial of the accused.</w:t>
      </w:r>
      <w:r w:rsidR="00E30AA1" w:rsidRPr="00E74FD3">
        <w:rPr>
          <w:sz w:val="22"/>
          <w:szCs w:val="22"/>
        </w:rPr>
        <w:t>”</w:t>
      </w:r>
      <w:r w:rsidR="000F348A" w:rsidRPr="00E74FD3">
        <w:rPr>
          <w:rStyle w:val="FootnoteReference"/>
          <w:szCs w:val="22"/>
        </w:rPr>
        <w:footnoteReference w:id="11"/>
      </w:r>
    </w:p>
    <w:p w14:paraId="3D169D8E" w14:textId="09806478" w:rsidR="0073248C" w:rsidRDefault="00E430C7" w:rsidP="00E430C7">
      <w:pPr>
        <w:pStyle w:val="LegalNormal"/>
        <w:tabs>
          <w:tab w:val="left" w:pos="927"/>
        </w:tabs>
        <w:ind w:left="927" w:hanging="567"/>
        <w:rPr>
          <w:lang w:val="en-US"/>
        </w:rPr>
      </w:pPr>
      <w:r>
        <w:rPr>
          <w:lang w:val="en-US"/>
        </w:rPr>
        <w:t>[55]</w:t>
      </w:r>
      <w:r>
        <w:rPr>
          <w:lang w:val="en-US"/>
        </w:rPr>
        <w:tab/>
      </w:r>
      <w:r w:rsidR="000E02D8">
        <w:rPr>
          <w:lang w:val="en-US"/>
        </w:rPr>
        <w:t xml:space="preserve">The </w:t>
      </w:r>
      <w:r w:rsidR="00216005">
        <w:rPr>
          <w:lang w:val="en-US"/>
        </w:rPr>
        <w:t>S</w:t>
      </w:r>
      <w:r w:rsidR="007F1943">
        <w:rPr>
          <w:lang w:val="en-US"/>
        </w:rPr>
        <w:t>C</w:t>
      </w:r>
      <w:r w:rsidR="00216005">
        <w:rPr>
          <w:lang w:val="en-US"/>
        </w:rPr>
        <w:t xml:space="preserve">A </w:t>
      </w:r>
      <w:r w:rsidR="007F1943">
        <w:rPr>
          <w:lang w:val="en-US"/>
        </w:rPr>
        <w:t xml:space="preserve">in </w:t>
      </w:r>
      <w:r w:rsidR="00216005" w:rsidRPr="00216005">
        <w:rPr>
          <w:i/>
          <w:iCs/>
          <w:lang w:val="en-US"/>
        </w:rPr>
        <w:t>Basson</w:t>
      </w:r>
      <w:r w:rsidR="00216005">
        <w:rPr>
          <w:lang w:val="en-US"/>
        </w:rPr>
        <w:t xml:space="preserve"> held that the failure of </w:t>
      </w:r>
      <w:r w:rsidR="00360BD7">
        <w:rPr>
          <w:lang w:val="en-US"/>
        </w:rPr>
        <w:t>2 panel members (Profs Hugo and Mhlanga</w:t>
      </w:r>
      <w:r w:rsidR="00DE23CA">
        <w:rPr>
          <w:lang w:val="en-US"/>
        </w:rPr>
        <w:t xml:space="preserve">) to recuse themselves rendered the proceedings of the </w:t>
      </w:r>
      <w:r w:rsidR="00E75FF0">
        <w:rPr>
          <w:lang w:val="en-US"/>
        </w:rPr>
        <w:t xml:space="preserve">disciplinary hearing </w:t>
      </w:r>
      <w:r w:rsidR="0089435A">
        <w:rPr>
          <w:lang w:val="en-US"/>
        </w:rPr>
        <w:t>a nullity</w:t>
      </w:r>
      <w:r w:rsidR="00E75FF0">
        <w:rPr>
          <w:lang w:val="en-US"/>
        </w:rPr>
        <w:t xml:space="preserve">. </w:t>
      </w:r>
    </w:p>
    <w:p w14:paraId="5D474460" w14:textId="1EAA620E" w:rsidR="007368DE" w:rsidRPr="00473012" w:rsidRDefault="00E430C7" w:rsidP="00E430C7">
      <w:pPr>
        <w:pStyle w:val="LegalNormal"/>
        <w:tabs>
          <w:tab w:val="left" w:pos="927"/>
        </w:tabs>
        <w:ind w:left="927" w:hanging="567"/>
        <w:rPr>
          <w:lang w:val="en-US"/>
        </w:rPr>
      </w:pPr>
      <w:r w:rsidRPr="00473012">
        <w:rPr>
          <w:lang w:val="en-US"/>
        </w:rPr>
        <w:t>[56]</w:t>
      </w:r>
      <w:r w:rsidRPr="00473012">
        <w:rPr>
          <w:lang w:val="en-US"/>
        </w:rPr>
        <w:tab/>
      </w:r>
      <w:r w:rsidR="0073248C">
        <w:rPr>
          <w:lang w:val="en-US"/>
        </w:rPr>
        <w:t xml:space="preserve">On the question of the </w:t>
      </w:r>
      <w:r w:rsidR="00605B9F">
        <w:rPr>
          <w:lang w:val="en-US"/>
        </w:rPr>
        <w:t xml:space="preserve">appellant’s obligation to exhaust </w:t>
      </w:r>
      <w:r w:rsidR="008F4575">
        <w:rPr>
          <w:lang w:val="en-US"/>
        </w:rPr>
        <w:t xml:space="preserve">all internal remedies, it held </w:t>
      </w:r>
      <w:r w:rsidR="00E75FF0">
        <w:rPr>
          <w:lang w:val="en-US"/>
        </w:rPr>
        <w:t>that</w:t>
      </w:r>
      <w:r w:rsidR="0089435A">
        <w:rPr>
          <w:lang w:val="en-US"/>
        </w:rPr>
        <w:t xml:space="preserve"> </w:t>
      </w:r>
      <w:r w:rsidR="00403015" w:rsidRPr="00403015">
        <w:t xml:space="preserve">the court </w:t>
      </w:r>
      <w:r w:rsidR="00403015" w:rsidRPr="006C1E49">
        <w:rPr>
          <w:i/>
        </w:rPr>
        <w:t>a quo</w:t>
      </w:r>
      <w:r w:rsidR="00403015" w:rsidRPr="00403015">
        <w:t xml:space="preserve"> should have found that there were exceptional circumstances as contemplated in s 7(2)(c) of PAJA, which required the </w:t>
      </w:r>
      <w:r w:rsidR="00403015" w:rsidRPr="00403015">
        <w:lastRenderedPageBreak/>
        <w:t>immediate intervention of the court rather than resort to the internal remedy</w:t>
      </w:r>
      <w:r w:rsidR="000C1938">
        <w:t xml:space="preserve"> provided for by the enabling legislation</w:t>
      </w:r>
      <w:r w:rsidR="006770A0">
        <w:t>, to wit</w:t>
      </w:r>
      <w:r w:rsidR="00403015" w:rsidRPr="00403015">
        <w:t xml:space="preserve"> s</w:t>
      </w:r>
      <w:r w:rsidR="006770A0">
        <w:t>ection</w:t>
      </w:r>
      <w:r w:rsidR="00403015" w:rsidRPr="00403015">
        <w:t xml:space="preserve"> 10(3) of the </w:t>
      </w:r>
      <w:r w:rsidR="006770A0">
        <w:t>HPC</w:t>
      </w:r>
      <w:r w:rsidR="00B32899">
        <w:t>S</w:t>
      </w:r>
      <w:r w:rsidR="00403015" w:rsidRPr="00403015">
        <w:t>A</w:t>
      </w:r>
      <w:r w:rsidR="00134764">
        <w:t xml:space="preserve"> A</w:t>
      </w:r>
      <w:r w:rsidR="00403015" w:rsidRPr="00403015">
        <w:t xml:space="preserve">ct. The internal remedy </w:t>
      </w:r>
      <w:r w:rsidR="0061116B">
        <w:t>wa</w:t>
      </w:r>
      <w:r w:rsidR="00403015" w:rsidRPr="00403015">
        <w:t xml:space="preserve">s </w:t>
      </w:r>
      <w:r w:rsidR="0061116B">
        <w:t xml:space="preserve">found to be </w:t>
      </w:r>
      <w:r w:rsidR="00403015" w:rsidRPr="00403015">
        <w:t>ineffective and inadequate</w:t>
      </w:r>
      <w:r w:rsidR="0061116B">
        <w:t xml:space="preserve">. </w:t>
      </w:r>
      <w:r w:rsidR="00403015" w:rsidRPr="00403015">
        <w:t>It d</w:t>
      </w:r>
      <w:r w:rsidR="006F5C23">
        <w:t xml:space="preserve">id </w:t>
      </w:r>
      <w:r w:rsidR="00403015" w:rsidRPr="00403015">
        <w:t>not offer a prospect of success and c</w:t>
      </w:r>
      <w:r w:rsidR="006F5C23">
        <w:t>ould not</w:t>
      </w:r>
      <w:r w:rsidR="00403015" w:rsidRPr="00403015">
        <w:t xml:space="preserve"> redress the appellant</w:t>
      </w:r>
      <w:r w:rsidR="006F5C23">
        <w:t>’</w:t>
      </w:r>
      <w:r w:rsidR="00403015" w:rsidRPr="00403015">
        <w:t>s complaint.</w:t>
      </w:r>
      <w:r w:rsidR="006F5C23">
        <w:rPr>
          <w:rStyle w:val="FootnoteReference"/>
        </w:rPr>
        <w:footnoteReference w:id="12"/>
      </w:r>
    </w:p>
    <w:p w14:paraId="2B65DAD3" w14:textId="4E15354B" w:rsidR="00CE7EE1" w:rsidRPr="00CE7EE1" w:rsidRDefault="00E430C7" w:rsidP="00E430C7">
      <w:pPr>
        <w:pStyle w:val="LegalNormal"/>
        <w:tabs>
          <w:tab w:val="left" w:pos="927"/>
        </w:tabs>
        <w:ind w:left="927" w:hanging="567"/>
        <w:rPr>
          <w:lang w:val="en-US"/>
        </w:rPr>
      </w:pPr>
      <w:r w:rsidRPr="00CE7EE1">
        <w:rPr>
          <w:lang w:val="en-US"/>
        </w:rPr>
        <w:t>[57]</w:t>
      </w:r>
      <w:r w:rsidRPr="00CE7EE1">
        <w:rPr>
          <w:lang w:val="en-US"/>
        </w:rPr>
        <w:tab/>
      </w:r>
      <w:r w:rsidR="007E05B4">
        <w:t xml:space="preserve">The SCA </w:t>
      </w:r>
      <w:r w:rsidR="00597019">
        <w:t xml:space="preserve">held that </w:t>
      </w:r>
      <w:r w:rsidR="00F62BEC" w:rsidRPr="00F62BEC">
        <w:t xml:space="preserve">an impartial judge (or other presiding officer) is a fundamental prerequisite for a fair trial and a presiding officer should not hesitate to recuse herself or himself where a litigant has reasonable grounds to apprehend that the presiding officer, for whatever reason, was not or will not be impartial. Impartiality, </w:t>
      </w:r>
    </w:p>
    <w:p w14:paraId="086A836B" w14:textId="488C6BED" w:rsidR="000E7C7C" w:rsidRPr="000E7C7C" w:rsidRDefault="00E430C7" w:rsidP="00E430C7">
      <w:pPr>
        <w:pStyle w:val="LegalNormal"/>
        <w:tabs>
          <w:tab w:val="left" w:pos="927"/>
        </w:tabs>
        <w:ind w:left="927" w:hanging="567"/>
        <w:rPr>
          <w:lang w:val="en-US"/>
        </w:rPr>
      </w:pPr>
      <w:r w:rsidRPr="000E7C7C">
        <w:rPr>
          <w:lang w:val="en-US"/>
        </w:rPr>
        <w:t>[58]</w:t>
      </w:r>
      <w:r w:rsidRPr="000E7C7C">
        <w:rPr>
          <w:lang w:val="en-US"/>
        </w:rPr>
        <w:tab/>
      </w:r>
      <w:r w:rsidR="00CE7EE1">
        <w:t>T</w:t>
      </w:r>
      <w:r w:rsidR="00F62BEC" w:rsidRPr="00F62BEC">
        <w:t>he</w:t>
      </w:r>
      <w:r w:rsidR="00997EAF">
        <w:t xml:space="preserve"> </w:t>
      </w:r>
      <w:r w:rsidR="00F62BEC" w:rsidRPr="00F62BEC">
        <w:t xml:space="preserve">Constitutional Court has </w:t>
      </w:r>
      <w:r w:rsidR="004B6F04">
        <w:t xml:space="preserve">also </w:t>
      </w:r>
      <w:r w:rsidR="00F62BEC" w:rsidRPr="00F62BEC">
        <w:t>said</w:t>
      </w:r>
      <w:r w:rsidR="00B545E7">
        <w:t xml:space="preserve"> that impartiality</w:t>
      </w:r>
      <w:r w:rsidR="00F62BEC" w:rsidRPr="00F62BEC">
        <w:t xml:space="preserve"> 'is the keystone of a civilised system of adjudication', and an absolute requirement in every judicial proceeding and proceedings before other tribunals</w:t>
      </w:r>
      <w:r w:rsidR="00B4494F">
        <w:t>.</w:t>
      </w:r>
      <w:r w:rsidR="00B4494F">
        <w:rPr>
          <w:rStyle w:val="FootnoteReference"/>
        </w:rPr>
        <w:footnoteReference w:id="13"/>
      </w:r>
      <w:r w:rsidR="000E7C7C">
        <w:t xml:space="preserve"> </w:t>
      </w:r>
    </w:p>
    <w:p w14:paraId="7E4FE4AD" w14:textId="29AF6397" w:rsidR="002803BF" w:rsidRPr="002803BF" w:rsidRDefault="00E430C7" w:rsidP="00E430C7">
      <w:pPr>
        <w:pStyle w:val="LegalNormal"/>
        <w:tabs>
          <w:tab w:val="left" w:pos="927"/>
        </w:tabs>
        <w:ind w:left="927" w:hanging="567"/>
        <w:rPr>
          <w:lang w:val="en-US"/>
        </w:rPr>
      </w:pPr>
      <w:r w:rsidRPr="002803BF">
        <w:rPr>
          <w:lang w:val="en-US"/>
        </w:rPr>
        <w:t>[59]</w:t>
      </w:r>
      <w:r w:rsidRPr="002803BF">
        <w:rPr>
          <w:lang w:val="en-US"/>
        </w:rPr>
        <w:tab/>
      </w:r>
      <w:r w:rsidR="000E7C7C" w:rsidRPr="000E7C7C">
        <w:rPr>
          <w:lang w:val="en-US"/>
        </w:rPr>
        <w:t xml:space="preserve">Shongwe J referred with approval to </w:t>
      </w:r>
      <w:r w:rsidR="000E7C7C" w:rsidRPr="00A62A99">
        <w:rPr>
          <w:i/>
          <w:iCs/>
          <w:lang w:val="en-US"/>
        </w:rPr>
        <w:t>President of the RSA v</w:t>
      </w:r>
      <w:r w:rsidR="000E7C7C" w:rsidRPr="000E7C7C">
        <w:rPr>
          <w:lang w:val="en-US"/>
        </w:rPr>
        <w:t xml:space="preserve"> </w:t>
      </w:r>
      <w:r w:rsidR="000E7C7C" w:rsidRPr="000E7C7C">
        <w:rPr>
          <w:i/>
          <w:iCs/>
          <w:lang w:val="en-US"/>
        </w:rPr>
        <w:t>SARFU 1999 (4) SA 147 (CC) para 35,</w:t>
      </w:r>
      <w:r w:rsidR="000E7C7C" w:rsidRPr="000E7C7C">
        <w:rPr>
          <w:lang w:val="en-US"/>
        </w:rPr>
        <w:t xml:space="preserve"> and </w:t>
      </w:r>
      <w:r w:rsidR="000E7C7C" w:rsidRPr="000E7C7C">
        <w:rPr>
          <w:i/>
          <w:iCs/>
        </w:rPr>
        <w:t>South African Commercial Catering and Allied Workers Union and Others v Irvin &amp; Johnson Ltd</w:t>
      </w:r>
      <w:r w:rsidR="000E7C7C" w:rsidRPr="000E7C7C">
        <w:t xml:space="preserve"> 2000 (3) 5A 705 (CC) para 13. </w:t>
      </w:r>
      <w:r w:rsidR="00063F44">
        <w:t>He restated</w:t>
      </w:r>
      <w:r w:rsidR="00B22597">
        <w:t xml:space="preserve"> that</w:t>
      </w:r>
      <w:r w:rsidR="00ED5790">
        <w:t xml:space="preserve">: </w:t>
      </w:r>
    </w:p>
    <w:p w14:paraId="438A8C37" w14:textId="374D4B82" w:rsidR="000E7C7C" w:rsidRPr="00E74FD3" w:rsidRDefault="00ED5790" w:rsidP="00E74FD3">
      <w:pPr>
        <w:pStyle w:val="LegalNormal"/>
        <w:ind w:left="1500"/>
        <w:rPr>
          <w:sz w:val="22"/>
          <w:szCs w:val="22"/>
          <w:lang w:val="en-US"/>
        </w:rPr>
      </w:pPr>
      <w:r w:rsidRPr="00E74FD3">
        <w:rPr>
          <w:sz w:val="22"/>
          <w:szCs w:val="22"/>
        </w:rPr>
        <w:lastRenderedPageBreak/>
        <w:t xml:space="preserve">'A cornerstone of any fair and just legal system is the impartial adjudication of disputes which come before courts and other tribunals.... Nothing is more likely to impair confidence in such proceedings, whether on the part of litigants or the general public, than actual bias or the appearance of bias in the official or officials who have the power to adjudicate on </w:t>
      </w:r>
      <w:r w:rsidR="002803BF" w:rsidRPr="00E74FD3">
        <w:rPr>
          <w:sz w:val="22"/>
          <w:szCs w:val="22"/>
        </w:rPr>
        <w:t>disputes</w:t>
      </w:r>
      <w:r w:rsidRPr="00E74FD3">
        <w:rPr>
          <w:sz w:val="22"/>
          <w:szCs w:val="22"/>
        </w:rPr>
        <w:t>.</w:t>
      </w:r>
      <w:r w:rsidR="002803BF" w:rsidRPr="00E74FD3">
        <w:rPr>
          <w:sz w:val="22"/>
          <w:szCs w:val="22"/>
        </w:rPr>
        <w:t>’</w:t>
      </w:r>
      <w:r w:rsidRPr="00E74FD3">
        <w:rPr>
          <w:sz w:val="22"/>
          <w:szCs w:val="22"/>
        </w:rPr>
        <w:t> </w:t>
      </w:r>
    </w:p>
    <w:p w14:paraId="09129E06" w14:textId="0976B2A0" w:rsidR="00233E4C" w:rsidRPr="006C1E49" w:rsidRDefault="00E430C7" w:rsidP="00E430C7">
      <w:pPr>
        <w:pStyle w:val="LegalNormal"/>
        <w:tabs>
          <w:tab w:val="left" w:pos="927"/>
        </w:tabs>
        <w:ind w:left="927" w:hanging="567"/>
        <w:rPr>
          <w:lang w:val="en-US"/>
        </w:rPr>
      </w:pPr>
      <w:r w:rsidRPr="006C1E49">
        <w:rPr>
          <w:lang w:val="en-US"/>
        </w:rPr>
        <w:t>[60]</w:t>
      </w:r>
      <w:r w:rsidRPr="006C1E49">
        <w:rPr>
          <w:lang w:val="en-US"/>
        </w:rPr>
        <w:tab/>
      </w:r>
      <w:r w:rsidR="002E3FE3">
        <w:rPr>
          <w:lang w:val="en-US"/>
        </w:rPr>
        <w:t xml:space="preserve">It </w:t>
      </w:r>
      <w:r w:rsidR="00346357">
        <w:rPr>
          <w:lang w:val="en-US"/>
        </w:rPr>
        <w:t>is accepted</w:t>
      </w:r>
      <w:r w:rsidR="00F56200">
        <w:rPr>
          <w:lang w:val="en-US"/>
        </w:rPr>
        <w:t xml:space="preserve"> that the </w:t>
      </w:r>
      <w:r w:rsidR="00A96ABB">
        <w:rPr>
          <w:lang w:val="en-US"/>
        </w:rPr>
        <w:t xml:space="preserve">rule against bias </w:t>
      </w:r>
      <w:r w:rsidR="00553662">
        <w:rPr>
          <w:lang w:val="en-US"/>
        </w:rPr>
        <w:t>is firmly etched in section 34 of the Constitution</w:t>
      </w:r>
      <w:r w:rsidR="00346357">
        <w:rPr>
          <w:lang w:val="en-US"/>
        </w:rPr>
        <w:t>.</w:t>
      </w:r>
      <w:r w:rsidR="008A7FCD">
        <w:rPr>
          <w:rStyle w:val="FootnoteReference"/>
          <w:lang w:val="en-US"/>
        </w:rPr>
        <w:footnoteReference w:id="14"/>
      </w:r>
    </w:p>
    <w:p w14:paraId="33688965" w14:textId="2941F08E" w:rsidR="00B34F5A" w:rsidRPr="00233E4C" w:rsidRDefault="00D5073C" w:rsidP="00233E4C">
      <w:pPr>
        <w:pStyle w:val="LegalNormal"/>
        <w:ind w:left="360"/>
        <w:rPr>
          <w:b/>
          <w:bCs/>
          <w:lang w:val="en-US"/>
        </w:rPr>
      </w:pPr>
      <w:r w:rsidRPr="00233E4C">
        <w:rPr>
          <w:b/>
          <w:bCs/>
          <w:lang w:val="en-US"/>
        </w:rPr>
        <w:t xml:space="preserve">The law </w:t>
      </w:r>
      <w:r w:rsidR="00233E4C" w:rsidRPr="00233E4C">
        <w:rPr>
          <w:b/>
          <w:bCs/>
          <w:lang w:val="en-US"/>
        </w:rPr>
        <w:t xml:space="preserve">on the duty to exhaust an internal </w:t>
      </w:r>
      <w:r w:rsidR="00FF0193" w:rsidRPr="00233E4C">
        <w:rPr>
          <w:b/>
          <w:bCs/>
          <w:lang w:val="en-US"/>
        </w:rPr>
        <w:t>remedy.</w:t>
      </w:r>
    </w:p>
    <w:p w14:paraId="33086C87" w14:textId="5E4B4A85" w:rsidR="00BD28EF" w:rsidRDefault="00E430C7" w:rsidP="00E430C7">
      <w:pPr>
        <w:pStyle w:val="LegalNormal"/>
        <w:tabs>
          <w:tab w:val="left" w:pos="927"/>
        </w:tabs>
        <w:ind w:left="927" w:hanging="567"/>
        <w:rPr>
          <w:lang w:val="en-US"/>
        </w:rPr>
      </w:pPr>
      <w:r>
        <w:rPr>
          <w:lang w:val="en-US"/>
        </w:rPr>
        <w:t>[61]</w:t>
      </w:r>
      <w:r>
        <w:rPr>
          <w:lang w:val="en-US"/>
        </w:rPr>
        <w:tab/>
      </w:r>
      <w:r w:rsidR="00E341E7">
        <w:rPr>
          <w:lang w:val="en-US"/>
        </w:rPr>
        <w:t xml:space="preserve">In cases where the impugned decision </w:t>
      </w:r>
      <w:r w:rsidR="00B45018">
        <w:rPr>
          <w:lang w:val="en-US"/>
        </w:rPr>
        <w:t>constitutes administrative action as defined in PAJA</w:t>
      </w:r>
      <w:r w:rsidR="00406C1B">
        <w:rPr>
          <w:lang w:val="en-US"/>
        </w:rPr>
        <w:t>, internal remedy must</w:t>
      </w:r>
      <w:r w:rsidR="00BC669E">
        <w:rPr>
          <w:lang w:val="en-US"/>
        </w:rPr>
        <w:t xml:space="preserve"> be exhausted prior to judicial review, unless</w:t>
      </w:r>
      <w:r w:rsidR="00F23CCC">
        <w:rPr>
          <w:lang w:val="en-US"/>
        </w:rPr>
        <w:t xml:space="preserve"> the appellant can show exceptional circumstances</w:t>
      </w:r>
      <w:r w:rsidR="00F162C0">
        <w:rPr>
          <w:lang w:val="en-US"/>
        </w:rPr>
        <w:t xml:space="preserve"> to exempt him or her from this requirement.</w:t>
      </w:r>
      <w:r w:rsidR="0004797D">
        <w:rPr>
          <w:rStyle w:val="FootnoteReference"/>
          <w:lang w:val="en-US"/>
        </w:rPr>
        <w:footnoteReference w:id="15"/>
      </w:r>
      <w:r w:rsidR="000077F4">
        <w:rPr>
          <w:lang w:val="en-US"/>
        </w:rPr>
        <w:t xml:space="preserve"> </w:t>
      </w:r>
      <w:r w:rsidR="008D51B3">
        <w:rPr>
          <w:lang w:val="en-US"/>
        </w:rPr>
        <w:t>E</w:t>
      </w:r>
      <w:r w:rsidR="008D51B3" w:rsidRPr="008D51B3">
        <w:rPr>
          <w:lang w:val="en-US"/>
        </w:rPr>
        <w:t>xemption from the duty may be granted only in exceptional circumstances where it is in the interests of justice to do so.</w:t>
      </w:r>
      <w:r w:rsidR="008D51B3">
        <w:rPr>
          <w:rStyle w:val="FootnoteReference"/>
          <w:lang w:val="en-US"/>
        </w:rPr>
        <w:footnoteReference w:id="16"/>
      </w:r>
    </w:p>
    <w:p w14:paraId="1DDAF9AD" w14:textId="3354FBC4" w:rsidR="00821428" w:rsidRDefault="00E430C7" w:rsidP="00E430C7">
      <w:pPr>
        <w:pStyle w:val="LegalNormal"/>
        <w:tabs>
          <w:tab w:val="left" w:pos="927"/>
        </w:tabs>
        <w:ind w:left="927" w:hanging="567"/>
        <w:rPr>
          <w:lang w:val="en-US"/>
        </w:rPr>
      </w:pPr>
      <w:r>
        <w:rPr>
          <w:lang w:val="en-US"/>
        </w:rPr>
        <w:t>[62]</w:t>
      </w:r>
      <w:r>
        <w:rPr>
          <w:lang w:val="en-US"/>
        </w:rPr>
        <w:tab/>
      </w:r>
      <w:r w:rsidR="00040E90">
        <w:rPr>
          <w:lang w:val="en-US"/>
        </w:rPr>
        <w:t xml:space="preserve">Mokgoro J stated in </w:t>
      </w:r>
      <w:r w:rsidR="00040E90" w:rsidRPr="00573B3C">
        <w:rPr>
          <w:i/>
          <w:iCs/>
          <w:lang w:val="en-US"/>
        </w:rPr>
        <w:t>Koyabe</w:t>
      </w:r>
      <w:r w:rsidR="00573B3C">
        <w:rPr>
          <w:lang w:val="en-US"/>
        </w:rPr>
        <w:t xml:space="preserve">, that </w:t>
      </w:r>
      <w:r w:rsidR="00002A26" w:rsidRPr="00002A26">
        <w:rPr>
          <w:lang w:val="en-US"/>
        </w:rPr>
        <w:t>the duty to exhaust available internal remedies should not be</w:t>
      </w:r>
      <w:r w:rsidR="004D69B3" w:rsidRPr="004D69B3">
        <w:rPr>
          <w:lang w:val="en-US"/>
        </w:rPr>
        <w:t xml:space="preserve"> rigidly imposed, and nor should it be</w:t>
      </w:r>
      <w:r w:rsidR="004D69B3">
        <w:rPr>
          <w:lang w:val="en-US"/>
        </w:rPr>
        <w:t xml:space="preserve"> </w:t>
      </w:r>
      <w:r w:rsidR="00F011D5" w:rsidRPr="00F011D5">
        <w:rPr>
          <w:lang w:val="en-US"/>
        </w:rPr>
        <w:t>used by administrators to frustrate the efforts of an aggrieved person</w:t>
      </w:r>
      <w:r w:rsidR="00F011D5">
        <w:rPr>
          <w:lang w:val="en-US"/>
        </w:rPr>
        <w:t xml:space="preserve"> </w:t>
      </w:r>
      <w:r w:rsidR="00F011D5" w:rsidRPr="00F011D5">
        <w:rPr>
          <w:lang w:val="en-US"/>
        </w:rPr>
        <w:t>o</w:t>
      </w:r>
      <w:r w:rsidR="00DB1E03">
        <w:rPr>
          <w:lang w:val="en-US"/>
        </w:rPr>
        <w:t>r</w:t>
      </w:r>
      <w:r w:rsidR="00F011D5" w:rsidRPr="00F011D5">
        <w:rPr>
          <w:lang w:val="en-US"/>
        </w:rPr>
        <w:t xml:space="preserve"> to shield</w:t>
      </w:r>
      <w:r w:rsidR="00DB1E03" w:rsidRPr="00DB1E03">
        <w:rPr>
          <w:lang w:val="en-US"/>
        </w:rPr>
        <w:t xml:space="preserve"> the administrative process </w:t>
      </w:r>
      <w:r w:rsidR="00DB1E03" w:rsidRPr="00DB1E03">
        <w:rPr>
          <w:lang w:val="en-US"/>
        </w:rPr>
        <w:lastRenderedPageBreak/>
        <w:t>from judicial scrutiny.</w:t>
      </w:r>
      <w:r w:rsidR="00DB1E03">
        <w:rPr>
          <w:rStyle w:val="FootnoteReference"/>
          <w:lang w:val="en-US"/>
        </w:rPr>
        <w:footnoteReference w:id="17"/>
      </w:r>
      <w:r w:rsidR="0088621D">
        <w:rPr>
          <w:lang w:val="en-US"/>
        </w:rPr>
        <w:t xml:space="preserve"> </w:t>
      </w:r>
      <w:r w:rsidR="000C3F8C">
        <w:rPr>
          <w:lang w:val="en-US"/>
        </w:rPr>
        <w:t xml:space="preserve">The learned Justice emphasized that </w:t>
      </w:r>
      <w:r w:rsidR="00C4705E">
        <w:rPr>
          <w:lang w:val="en-US"/>
        </w:rPr>
        <w:t>a remedy would have to be available, effective</w:t>
      </w:r>
      <w:r w:rsidR="00666A1C">
        <w:rPr>
          <w:lang w:val="en-US"/>
        </w:rPr>
        <w:t xml:space="preserve"> and adequate in order to count as </w:t>
      </w:r>
      <w:r w:rsidR="00CE10FF">
        <w:rPr>
          <w:lang w:val="en-US"/>
        </w:rPr>
        <w:t>an existing internal remedy.</w:t>
      </w:r>
    </w:p>
    <w:p w14:paraId="600309DE" w14:textId="04EDD6C5" w:rsidR="00366D60" w:rsidRPr="009E0830" w:rsidRDefault="00E430C7" w:rsidP="00E430C7">
      <w:pPr>
        <w:pStyle w:val="LegalNormal"/>
        <w:tabs>
          <w:tab w:val="left" w:pos="927"/>
        </w:tabs>
        <w:ind w:left="927" w:hanging="567"/>
        <w:rPr>
          <w:lang w:val="en-US"/>
        </w:rPr>
      </w:pPr>
      <w:r w:rsidRPr="009E0830">
        <w:rPr>
          <w:lang w:val="en-US"/>
        </w:rPr>
        <w:t>[63]</w:t>
      </w:r>
      <w:r w:rsidRPr="009E0830">
        <w:rPr>
          <w:lang w:val="en-US"/>
        </w:rPr>
        <w:tab/>
      </w:r>
      <w:r w:rsidR="00CF4CDA" w:rsidRPr="00CF4CDA">
        <w:rPr>
          <w:lang w:val="en-US"/>
        </w:rPr>
        <w:t>What constitutes exceptional circumstances depends on the facts and circumstances of the case and the nature of the administrative action in issue.</w:t>
      </w:r>
      <w:r w:rsidR="009E7467">
        <w:rPr>
          <w:rStyle w:val="FootnoteReference"/>
          <w:lang w:val="en-US"/>
        </w:rPr>
        <w:footnoteReference w:id="18"/>
      </w:r>
      <w:r w:rsidR="005B73A6">
        <w:rPr>
          <w:lang w:val="en-US"/>
        </w:rPr>
        <w:t xml:space="preserve"> </w:t>
      </w:r>
      <w:r w:rsidR="00B415B1" w:rsidRPr="00B415B1">
        <w:t>An Internal remedy is effective if it offers a pr</w:t>
      </w:r>
      <w:r w:rsidR="00117799">
        <w:t>ospect of success, and can be ‘</w:t>
      </w:r>
      <w:r w:rsidR="00B415B1" w:rsidRPr="00B415B1">
        <w:t>objectively implemented, taking into account relevant principles and values of administrative justice present in the Constitution and our law'; and available if it can be pursued 'without any obstruction, whether systemic or arising from unwarranted administrative conduct'</w:t>
      </w:r>
      <w:r w:rsidR="00B415B1">
        <w:t>.</w:t>
      </w:r>
      <w:r w:rsidR="00B415B1">
        <w:rPr>
          <w:rStyle w:val="FootnoteReference"/>
        </w:rPr>
        <w:footnoteReference w:id="19"/>
      </w:r>
    </w:p>
    <w:p w14:paraId="2ADE7091" w14:textId="52258861" w:rsidR="009E0830" w:rsidRPr="00077BB2" w:rsidRDefault="00E430C7" w:rsidP="00E430C7">
      <w:pPr>
        <w:pStyle w:val="LegalNormal"/>
        <w:tabs>
          <w:tab w:val="left" w:pos="927"/>
        </w:tabs>
        <w:ind w:left="927" w:hanging="567"/>
        <w:rPr>
          <w:lang w:val="en-US"/>
        </w:rPr>
      </w:pPr>
      <w:r w:rsidRPr="00077BB2">
        <w:rPr>
          <w:lang w:val="en-US"/>
        </w:rPr>
        <w:t>[64]</w:t>
      </w:r>
      <w:r w:rsidRPr="00077BB2">
        <w:rPr>
          <w:lang w:val="en-US"/>
        </w:rPr>
        <w:tab/>
      </w:r>
      <w:r w:rsidR="005B37A1">
        <w:t>In Basson, it was concluded that an internal remedy</w:t>
      </w:r>
      <w:r w:rsidR="00E569BA">
        <w:t xml:space="preserve"> is adequate if it </w:t>
      </w:r>
      <w:r w:rsidR="00431E49">
        <w:t>can redress</w:t>
      </w:r>
      <w:r w:rsidR="00E569BA">
        <w:t xml:space="preserve"> the complaint.</w:t>
      </w:r>
      <w:r w:rsidR="00E569BA">
        <w:rPr>
          <w:rStyle w:val="FootnoteReference"/>
        </w:rPr>
        <w:footnoteReference w:id="20"/>
      </w:r>
    </w:p>
    <w:p w14:paraId="7F2A3EE3" w14:textId="77777777" w:rsidR="00077BB2" w:rsidRDefault="00077BB2" w:rsidP="00077BB2">
      <w:pPr>
        <w:pStyle w:val="LegalNormal"/>
        <w:ind w:left="927"/>
        <w:rPr>
          <w:lang w:val="en-US"/>
        </w:rPr>
      </w:pPr>
    </w:p>
    <w:p w14:paraId="25DF2126" w14:textId="71D6A284" w:rsidR="001535A7" w:rsidRPr="00077BB2" w:rsidRDefault="00E430C7" w:rsidP="00E430C7">
      <w:pPr>
        <w:pStyle w:val="LegalNormal"/>
        <w:ind w:left="720" w:hanging="360"/>
        <w:rPr>
          <w:b/>
          <w:bCs/>
          <w:lang w:val="en-US"/>
        </w:rPr>
      </w:pPr>
      <w:r w:rsidRPr="00077BB2">
        <w:rPr>
          <w:b/>
          <w:bCs/>
          <w:lang w:val="en-US"/>
        </w:rPr>
        <w:t>F.</w:t>
      </w:r>
      <w:r w:rsidRPr="00077BB2">
        <w:rPr>
          <w:b/>
          <w:bCs/>
          <w:lang w:val="en-US"/>
        </w:rPr>
        <w:tab/>
      </w:r>
      <w:r w:rsidR="007A3DD8" w:rsidRPr="00077BB2">
        <w:rPr>
          <w:b/>
          <w:bCs/>
          <w:lang w:val="en-US"/>
        </w:rPr>
        <w:t>DISCUSSION</w:t>
      </w:r>
    </w:p>
    <w:p w14:paraId="4015755E" w14:textId="44C91926" w:rsidR="00C41795" w:rsidRDefault="00E430C7" w:rsidP="00E430C7">
      <w:pPr>
        <w:pStyle w:val="LegalNormal"/>
        <w:tabs>
          <w:tab w:val="left" w:pos="927"/>
        </w:tabs>
        <w:ind w:left="927" w:hanging="567"/>
        <w:rPr>
          <w:lang w:val="en-US"/>
        </w:rPr>
      </w:pPr>
      <w:r>
        <w:rPr>
          <w:lang w:val="en-US"/>
        </w:rPr>
        <w:t>[65]</w:t>
      </w:r>
      <w:r>
        <w:rPr>
          <w:lang w:val="en-US"/>
        </w:rPr>
        <w:tab/>
      </w:r>
      <w:r w:rsidR="00021F2D">
        <w:rPr>
          <w:lang w:val="en-US"/>
        </w:rPr>
        <w:t xml:space="preserve">Whilst there </w:t>
      </w:r>
      <w:r w:rsidR="009207D5">
        <w:rPr>
          <w:lang w:val="en-US"/>
        </w:rPr>
        <w:t xml:space="preserve">are substantial pages </w:t>
      </w:r>
      <w:r w:rsidR="0043354B">
        <w:rPr>
          <w:lang w:val="en-US"/>
        </w:rPr>
        <w:t xml:space="preserve">in the file </w:t>
      </w:r>
      <w:r w:rsidR="009207D5">
        <w:rPr>
          <w:lang w:val="en-US"/>
        </w:rPr>
        <w:t xml:space="preserve">devoted to the practitioners’ </w:t>
      </w:r>
      <w:r w:rsidR="00313356">
        <w:rPr>
          <w:lang w:val="en-US"/>
        </w:rPr>
        <w:t>objections against Mr. Smith and his status as an expert witness</w:t>
      </w:r>
      <w:r w:rsidR="00071D57">
        <w:rPr>
          <w:lang w:val="en-US"/>
        </w:rPr>
        <w:t xml:space="preserve"> in the </w:t>
      </w:r>
      <w:r w:rsidR="00071D57">
        <w:rPr>
          <w:lang w:val="en-US"/>
        </w:rPr>
        <w:lastRenderedPageBreak/>
        <w:t xml:space="preserve">disciplinary hearing, </w:t>
      </w:r>
      <w:r w:rsidR="0030256F">
        <w:rPr>
          <w:lang w:val="en-US"/>
        </w:rPr>
        <w:t xml:space="preserve">I am minded not to delve </w:t>
      </w:r>
      <w:r w:rsidR="00070C92">
        <w:rPr>
          <w:lang w:val="en-US"/>
        </w:rPr>
        <w:t xml:space="preserve">further </w:t>
      </w:r>
      <w:r w:rsidR="0030256F">
        <w:rPr>
          <w:lang w:val="en-US"/>
        </w:rPr>
        <w:t>into that asp</w:t>
      </w:r>
      <w:r w:rsidR="00D31E46">
        <w:rPr>
          <w:lang w:val="en-US"/>
        </w:rPr>
        <w:t>e</w:t>
      </w:r>
      <w:r w:rsidR="0030256F">
        <w:rPr>
          <w:lang w:val="en-US"/>
        </w:rPr>
        <w:t>ct</w:t>
      </w:r>
      <w:r w:rsidR="00D31E46">
        <w:rPr>
          <w:lang w:val="en-US"/>
        </w:rPr>
        <w:t xml:space="preserve"> </w:t>
      </w:r>
      <w:r w:rsidR="00495EC8">
        <w:rPr>
          <w:lang w:val="en-US"/>
        </w:rPr>
        <w:t xml:space="preserve">seeing that the application for recusal </w:t>
      </w:r>
      <w:r w:rsidR="00BD5241">
        <w:rPr>
          <w:lang w:val="en-US"/>
        </w:rPr>
        <w:t xml:space="preserve">does not relate to him. This does not detract from any </w:t>
      </w:r>
      <w:r w:rsidR="008A5B1E">
        <w:rPr>
          <w:lang w:val="en-US"/>
        </w:rPr>
        <w:t xml:space="preserve">perception of bias on his </w:t>
      </w:r>
      <w:r w:rsidR="00911726">
        <w:rPr>
          <w:lang w:val="en-US"/>
        </w:rPr>
        <w:t>part though.</w:t>
      </w:r>
      <w:r w:rsidR="001D29A8">
        <w:rPr>
          <w:rStyle w:val="FootnoteReference"/>
          <w:lang w:val="en-US"/>
        </w:rPr>
        <w:footnoteReference w:id="21"/>
      </w:r>
      <w:r w:rsidR="0030256F">
        <w:rPr>
          <w:lang w:val="en-US"/>
        </w:rPr>
        <w:t xml:space="preserve"> </w:t>
      </w:r>
    </w:p>
    <w:p w14:paraId="5E920D83" w14:textId="1D32E6B3" w:rsidR="00251C34" w:rsidRDefault="00E430C7" w:rsidP="00E430C7">
      <w:pPr>
        <w:pStyle w:val="LegalNormal"/>
        <w:tabs>
          <w:tab w:val="left" w:pos="927"/>
        </w:tabs>
        <w:ind w:left="927" w:hanging="567"/>
        <w:rPr>
          <w:lang w:val="en-US"/>
        </w:rPr>
      </w:pPr>
      <w:r>
        <w:rPr>
          <w:lang w:val="en-US"/>
        </w:rPr>
        <w:t>[66]</w:t>
      </w:r>
      <w:r>
        <w:rPr>
          <w:lang w:val="en-US"/>
        </w:rPr>
        <w:tab/>
      </w:r>
      <w:r w:rsidR="00F54493">
        <w:rPr>
          <w:lang w:val="en-US"/>
        </w:rPr>
        <w:t>During the entire period in which the Investigating Committee of the IRBA investigated the complaint</w:t>
      </w:r>
      <w:r w:rsidR="00335213">
        <w:rPr>
          <w:lang w:val="en-US"/>
        </w:rPr>
        <w:t xml:space="preserve"> or charges against the practitioners</w:t>
      </w:r>
      <w:r w:rsidR="00CC47AB">
        <w:rPr>
          <w:lang w:val="en-US"/>
        </w:rPr>
        <w:t>, Mr. Smith served on the Investigating Committee</w:t>
      </w:r>
      <w:r w:rsidR="00CC50F1">
        <w:rPr>
          <w:lang w:val="en-US"/>
        </w:rPr>
        <w:t xml:space="preserve"> and chaired it even.</w:t>
      </w:r>
      <w:r w:rsidR="00CC50F1">
        <w:rPr>
          <w:rStyle w:val="FootnoteReference"/>
          <w:lang w:val="en-US"/>
        </w:rPr>
        <w:footnoteReference w:id="22"/>
      </w:r>
    </w:p>
    <w:p w14:paraId="4657F43D" w14:textId="32024C39" w:rsidR="008433E5" w:rsidRDefault="00E430C7" w:rsidP="00E430C7">
      <w:pPr>
        <w:pStyle w:val="LegalNormal"/>
        <w:tabs>
          <w:tab w:val="left" w:pos="927"/>
        </w:tabs>
        <w:ind w:left="927" w:hanging="567"/>
        <w:rPr>
          <w:lang w:val="en-US"/>
        </w:rPr>
      </w:pPr>
      <w:r>
        <w:rPr>
          <w:lang w:val="en-US"/>
        </w:rPr>
        <w:t>[67]</w:t>
      </w:r>
      <w:r>
        <w:rPr>
          <w:lang w:val="en-US"/>
        </w:rPr>
        <w:tab/>
      </w:r>
      <w:r w:rsidR="008433E5">
        <w:rPr>
          <w:lang w:val="en-US"/>
        </w:rPr>
        <w:t xml:space="preserve">Mr. Sooklal’s </w:t>
      </w:r>
      <w:r w:rsidR="007C10ED">
        <w:rPr>
          <w:lang w:val="en-US"/>
        </w:rPr>
        <w:t>conduct, attitude, remarks</w:t>
      </w:r>
      <w:r w:rsidR="00783242">
        <w:rPr>
          <w:lang w:val="en-US"/>
        </w:rPr>
        <w:t>, utterances and visible disrespect</w:t>
      </w:r>
      <w:r w:rsidR="00C456C8">
        <w:rPr>
          <w:lang w:val="en-US"/>
        </w:rPr>
        <w:t xml:space="preserve"> towards the practitioners and to some </w:t>
      </w:r>
      <w:r w:rsidR="00DA669C">
        <w:rPr>
          <w:lang w:val="en-US"/>
        </w:rPr>
        <w:t>extent towards Prof. Wainer</w:t>
      </w:r>
      <w:r w:rsidR="00866550">
        <w:rPr>
          <w:lang w:val="en-US"/>
        </w:rPr>
        <w:t xml:space="preserve"> who testified on behalf of the practitioners</w:t>
      </w:r>
      <w:r w:rsidR="001F74D7">
        <w:rPr>
          <w:lang w:val="en-US"/>
        </w:rPr>
        <w:t xml:space="preserve"> has not been denied</w:t>
      </w:r>
      <w:r w:rsidR="00AC6A63">
        <w:rPr>
          <w:lang w:val="en-US"/>
        </w:rPr>
        <w:t xml:space="preserve"> in any discernible </w:t>
      </w:r>
      <w:r w:rsidR="0061485D">
        <w:rPr>
          <w:lang w:val="en-US"/>
        </w:rPr>
        <w:t>way</w:t>
      </w:r>
      <w:r w:rsidR="001F74D7">
        <w:rPr>
          <w:lang w:val="en-US"/>
        </w:rPr>
        <w:t>.</w:t>
      </w:r>
      <w:r w:rsidR="0061485D">
        <w:rPr>
          <w:lang w:val="en-US"/>
        </w:rPr>
        <w:t xml:space="preserve"> </w:t>
      </w:r>
      <w:r w:rsidR="00AF297E">
        <w:rPr>
          <w:lang w:val="en-US"/>
        </w:rPr>
        <w:t xml:space="preserve">The </w:t>
      </w:r>
      <w:r w:rsidR="00DF5962">
        <w:rPr>
          <w:lang w:val="en-US"/>
        </w:rPr>
        <w:t xml:space="preserve">Committee afforded both Sooklal and Griffiths </w:t>
      </w:r>
      <w:r w:rsidR="00102E0E">
        <w:rPr>
          <w:lang w:val="en-US"/>
        </w:rPr>
        <w:t xml:space="preserve">an opportunity to explain themselves as regards these complaints. </w:t>
      </w:r>
      <w:r w:rsidR="006A62F0">
        <w:rPr>
          <w:lang w:val="en-US"/>
        </w:rPr>
        <w:t>Without denying same, Sooklal</w:t>
      </w:r>
      <w:r w:rsidR="006A03EA">
        <w:rPr>
          <w:lang w:val="en-US"/>
        </w:rPr>
        <w:t xml:space="preserve"> apologi</w:t>
      </w:r>
      <w:r w:rsidR="00A04E70">
        <w:rPr>
          <w:lang w:val="en-US"/>
        </w:rPr>
        <w:t>zes and</w:t>
      </w:r>
      <w:r w:rsidR="006A62F0">
        <w:rPr>
          <w:lang w:val="en-US"/>
        </w:rPr>
        <w:t xml:space="preserve"> said that he had made the utterances “in jest”</w:t>
      </w:r>
      <w:r w:rsidR="00A04E70">
        <w:rPr>
          <w:lang w:val="en-US"/>
        </w:rPr>
        <w:t>.</w:t>
      </w:r>
      <w:r w:rsidR="00A04E70">
        <w:rPr>
          <w:rStyle w:val="FootnoteReference"/>
          <w:lang w:val="en-US"/>
        </w:rPr>
        <w:footnoteReference w:id="23"/>
      </w:r>
      <w:r w:rsidR="001F74D7">
        <w:rPr>
          <w:lang w:val="en-US"/>
        </w:rPr>
        <w:t xml:space="preserve">  </w:t>
      </w:r>
    </w:p>
    <w:p w14:paraId="4FEC7351" w14:textId="77777777" w:rsidR="00E2787F" w:rsidRDefault="00E2787F" w:rsidP="00E2787F">
      <w:pPr>
        <w:pStyle w:val="LegalNormal"/>
        <w:ind w:left="927"/>
        <w:rPr>
          <w:lang w:val="en-US"/>
        </w:rPr>
      </w:pPr>
    </w:p>
    <w:p w14:paraId="716AE219" w14:textId="401CF57B" w:rsidR="00826C20" w:rsidRPr="00E2787F" w:rsidRDefault="00E430C7" w:rsidP="00E430C7">
      <w:pPr>
        <w:pStyle w:val="LegalNormal"/>
        <w:ind w:left="720" w:hanging="360"/>
        <w:rPr>
          <w:b/>
          <w:bCs/>
          <w:lang w:val="en-US"/>
        </w:rPr>
      </w:pPr>
      <w:r w:rsidRPr="00E2787F">
        <w:rPr>
          <w:b/>
          <w:bCs/>
          <w:lang w:val="en-US"/>
        </w:rPr>
        <w:t>G.</w:t>
      </w:r>
      <w:r w:rsidRPr="00E2787F">
        <w:rPr>
          <w:b/>
          <w:bCs/>
          <w:lang w:val="en-US"/>
        </w:rPr>
        <w:tab/>
      </w:r>
      <w:r w:rsidR="00826C20" w:rsidRPr="00E2787F">
        <w:rPr>
          <w:b/>
          <w:bCs/>
          <w:lang w:val="en-US"/>
        </w:rPr>
        <w:t>CONCLUSION</w:t>
      </w:r>
    </w:p>
    <w:p w14:paraId="6D3CE22F" w14:textId="7BD89D71" w:rsidR="00682023" w:rsidRDefault="00E430C7" w:rsidP="00E430C7">
      <w:pPr>
        <w:pStyle w:val="LegalNormal"/>
        <w:tabs>
          <w:tab w:val="left" w:pos="927"/>
        </w:tabs>
        <w:ind w:left="927" w:hanging="567"/>
        <w:rPr>
          <w:lang w:val="en-US"/>
        </w:rPr>
      </w:pPr>
      <w:r>
        <w:rPr>
          <w:lang w:val="en-US"/>
        </w:rPr>
        <w:t>[68]</w:t>
      </w:r>
      <w:r>
        <w:rPr>
          <w:lang w:val="en-US"/>
        </w:rPr>
        <w:tab/>
      </w:r>
      <w:r w:rsidR="00A238A4">
        <w:rPr>
          <w:lang w:val="en-US"/>
        </w:rPr>
        <w:t xml:space="preserve">A conspectus of the SCA judgment in </w:t>
      </w:r>
      <w:r w:rsidR="00A238A4" w:rsidRPr="00A238A4">
        <w:rPr>
          <w:i/>
          <w:iCs/>
          <w:lang w:val="en-US"/>
        </w:rPr>
        <w:t>Basson</w:t>
      </w:r>
      <w:r w:rsidR="00A238A4">
        <w:rPr>
          <w:i/>
          <w:iCs/>
          <w:lang w:val="en-US"/>
        </w:rPr>
        <w:t xml:space="preserve"> </w:t>
      </w:r>
      <w:r w:rsidR="00FC334D">
        <w:rPr>
          <w:lang w:val="en-US"/>
        </w:rPr>
        <w:t xml:space="preserve">highlights many similarities of facts and applicable legal provisions with the current </w:t>
      </w:r>
      <w:r w:rsidR="00725B2A">
        <w:rPr>
          <w:lang w:val="en-US"/>
        </w:rPr>
        <w:t>review application.</w:t>
      </w:r>
    </w:p>
    <w:p w14:paraId="1B7A9252" w14:textId="1AE5C58E" w:rsidR="001C609B" w:rsidRDefault="00E430C7" w:rsidP="00E430C7">
      <w:pPr>
        <w:pStyle w:val="LegalNormal"/>
        <w:tabs>
          <w:tab w:val="left" w:pos="927"/>
        </w:tabs>
        <w:ind w:left="927" w:hanging="567"/>
        <w:rPr>
          <w:lang w:val="en-US"/>
        </w:rPr>
      </w:pPr>
      <w:r>
        <w:rPr>
          <w:lang w:val="en-US"/>
        </w:rPr>
        <w:lastRenderedPageBreak/>
        <w:t>[69]</w:t>
      </w:r>
      <w:r>
        <w:rPr>
          <w:lang w:val="en-US"/>
        </w:rPr>
        <w:tab/>
      </w:r>
      <w:r w:rsidR="00642AC6">
        <w:rPr>
          <w:lang w:val="en-US"/>
        </w:rPr>
        <w:t xml:space="preserve">I proceed to </w:t>
      </w:r>
      <w:r w:rsidR="00E545B2">
        <w:rPr>
          <w:lang w:val="en-US"/>
        </w:rPr>
        <w:t xml:space="preserve">briskly </w:t>
      </w:r>
      <w:r w:rsidR="00642AC6">
        <w:rPr>
          <w:lang w:val="en-US"/>
        </w:rPr>
        <w:t xml:space="preserve">set out </w:t>
      </w:r>
      <w:r w:rsidR="00E545B2">
        <w:rPr>
          <w:lang w:val="en-US"/>
        </w:rPr>
        <w:t>some of the salient similarities</w:t>
      </w:r>
      <w:r w:rsidR="00F81EF9">
        <w:rPr>
          <w:lang w:val="en-US"/>
        </w:rPr>
        <w:t xml:space="preserve"> dealt with in both matters: </w:t>
      </w:r>
    </w:p>
    <w:p w14:paraId="361A3CF2" w14:textId="7EBFB092" w:rsidR="001C609B" w:rsidRPr="008A3181" w:rsidRDefault="00E430C7" w:rsidP="00E430C7">
      <w:pPr>
        <w:pStyle w:val="LegalHeading2"/>
        <w:numPr>
          <w:ilvl w:val="0"/>
          <w:numId w:val="0"/>
        </w:numPr>
        <w:tabs>
          <w:tab w:val="left" w:pos="2629"/>
        </w:tabs>
        <w:ind w:left="2629" w:hanging="1134"/>
        <w:rPr>
          <w:b w:val="0"/>
          <w:bCs/>
          <w:lang w:val="en-US"/>
        </w:rPr>
      </w:pPr>
      <w:r w:rsidRPr="008A3181">
        <w:rPr>
          <w:rFonts w:cs="Arial"/>
          <w:b w:val="0"/>
          <w:bCs/>
          <w:lang w:val="en-US"/>
        </w:rPr>
        <w:t>69.1</w:t>
      </w:r>
      <w:r w:rsidRPr="008A3181">
        <w:rPr>
          <w:rFonts w:cs="Arial"/>
          <w:b w:val="0"/>
          <w:bCs/>
          <w:lang w:val="en-US"/>
        </w:rPr>
        <w:tab/>
      </w:r>
      <w:r w:rsidR="000D115C" w:rsidRPr="008A3181">
        <w:rPr>
          <w:b w:val="0"/>
          <w:bCs/>
          <w:lang w:val="en-US"/>
        </w:rPr>
        <w:t xml:space="preserve">The applicants’ duty to exhaust </w:t>
      </w:r>
      <w:r w:rsidR="00C44E12" w:rsidRPr="008A3181">
        <w:rPr>
          <w:b w:val="0"/>
          <w:bCs/>
          <w:lang w:val="en-US"/>
        </w:rPr>
        <w:t>internal remedy before instituting proceedings for judicial rev</w:t>
      </w:r>
      <w:r w:rsidR="0021008C" w:rsidRPr="008A3181">
        <w:rPr>
          <w:b w:val="0"/>
          <w:bCs/>
          <w:lang w:val="en-US"/>
        </w:rPr>
        <w:t xml:space="preserve">iew. </w:t>
      </w:r>
      <w:r w:rsidR="00AC5655">
        <w:rPr>
          <w:b w:val="0"/>
          <w:bCs/>
          <w:lang w:val="en-US"/>
        </w:rPr>
        <w:t>Applicable in both cases.</w:t>
      </w:r>
    </w:p>
    <w:p w14:paraId="6EB7B939" w14:textId="0810920D" w:rsidR="00707C59" w:rsidRDefault="00E430C7" w:rsidP="00E430C7">
      <w:pPr>
        <w:pStyle w:val="LegalHeading2"/>
        <w:numPr>
          <w:ilvl w:val="0"/>
          <w:numId w:val="0"/>
        </w:numPr>
        <w:tabs>
          <w:tab w:val="left" w:pos="2629"/>
        </w:tabs>
        <w:ind w:left="2629" w:hanging="1134"/>
        <w:rPr>
          <w:b w:val="0"/>
          <w:bCs/>
          <w:lang w:val="en-US"/>
        </w:rPr>
      </w:pPr>
      <w:r>
        <w:rPr>
          <w:rFonts w:cs="Arial"/>
          <w:b w:val="0"/>
          <w:bCs/>
          <w:lang w:val="en-US"/>
        </w:rPr>
        <w:t>69.2</w:t>
      </w:r>
      <w:r>
        <w:rPr>
          <w:rFonts w:cs="Arial"/>
          <w:b w:val="0"/>
          <w:bCs/>
          <w:lang w:val="en-US"/>
        </w:rPr>
        <w:tab/>
      </w:r>
      <w:r w:rsidR="0021008C" w:rsidRPr="008A3181">
        <w:rPr>
          <w:b w:val="0"/>
          <w:bCs/>
          <w:lang w:val="en-US"/>
        </w:rPr>
        <w:t>Exceptional circumstances</w:t>
      </w:r>
      <w:r w:rsidR="001C609B" w:rsidRPr="008A3181">
        <w:rPr>
          <w:b w:val="0"/>
          <w:bCs/>
          <w:lang w:val="en-US"/>
        </w:rPr>
        <w:t xml:space="preserve"> exempting from duty</w:t>
      </w:r>
      <w:r w:rsidR="003F3C29" w:rsidRPr="008A3181">
        <w:rPr>
          <w:b w:val="0"/>
          <w:bCs/>
          <w:lang w:val="en-US"/>
        </w:rPr>
        <w:t>.</w:t>
      </w:r>
      <w:r w:rsidR="00AC5655">
        <w:rPr>
          <w:b w:val="0"/>
          <w:bCs/>
          <w:lang w:val="en-US"/>
        </w:rPr>
        <w:t xml:space="preserve"> A requirement in both cases.</w:t>
      </w:r>
      <w:r w:rsidR="00EE31A5">
        <w:rPr>
          <w:b w:val="0"/>
          <w:bCs/>
          <w:lang w:val="en-US"/>
        </w:rPr>
        <w:t xml:space="preserve"> </w:t>
      </w:r>
      <w:r w:rsidR="00507D45">
        <w:rPr>
          <w:b w:val="0"/>
          <w:bCs/>
          <w:lang w:val="en-US"/>
        </w:rPr>
        <w:t xml:space="preserve">This </w:t>
      </w:r>
      <w:r w:rsidR="00754807">
        <w:rPr>
          <w:b w:val="0"/>
          <w:bCs/>
          <w:lang w:val="en-US"/>
        </w:rPr>
        <w:t>touches also on the issue of irreparable harm that s</w:t>
      </w:r>
      <w:r w:rsidR="0010761B">
        <w:rPr>
          <w:b w:val="0"/>
          <w:bCs/>
          <w:lang w:val="en-US"/>
        </w:rPr>
        <w:t>tands to befall the practitioner(s) in both matters</w:t>
      </w:r>
      <w:r w:rsidR="005020B8">
        <w:rPr>
          <w:b w:val="0"/>
          <w:bCs/>
          <w:lang w:val="en-US"/>
        </w:rPr>
        <w:t xml:space="preserve">. In the instant case, the applicants set out the extent to which they </w:t>
      </w:r>
      <w:r w:rsidR="007F5FB1">
        <w:rPr>
          <w:b w:val="0"/>
          <w:bCs/>
          <w:lang w:val="en-US"/>
        </w:rPr>
        <w:t xml:space="preserve">are being </w:t>
      </w:r>
      <w:r w:rsidR="00375DDD">
        <w:rPr>
          <w:b w:val="0"/>
          <w:bCs/>
          <w:lang w:val="en-US"/>
        </w:rPr>
        <w:t xml:space="preserve">professionally </w:t>
      </w:r>
      <w:r w:rsidR="007F5FB1">
        <w:rPr>
          <w:b w:val="0"/>
          <w:bCs/>
          <w:lang w:val="en-US"/>
        </w:rPr>
        <w:t xml:space="preserve">prejudiced by the negative press reports and the </w:t>
      </w:r>
      <w:r w:rsidR="00EF4EFA">
        <w:rPr>
          <w:b w:val="0"/>
          <w:bCs/>
          <w:lang w:val="en-US"/>
        </w:rPr>
        <w:t>contents of Part A of the charge sheet</w:t>
      </w:r>
      <w:r w:rsidR="00375DDD">
        <w:rPr>
          <w:b w:val="0"/>
          <w:bCs/>
          <w:lang w:val="en-US"/>
        </w:rPr>
        <w:t xml:space="preserve">. </w:t>
      </w:r>
    </w:p>
    <w:p w14:paraId="3537E671" w14:textId="48D75624" w:rsidR="000228CE" w:rsidRPr="008A3181" w:rsidRDefault="00E430C7" w:rsidP="00E430C7">
      <w:pPr>
        <w:pStyle w:val="LegalHeading2"/>
        <w:numPr>
          <w:ilvl w:val="0"/>
          <w:numId w:val="0"/>
        </w:numPr>
        <w:tabs>
          <w:tab w:val="left" w:pos="2629"/>
        </w:tabs>
        <w:ind w:left="2629" w:hanging="1134"/>
        <w:rPr>
          <w:b w:val="0"/>
          <w:bCs/>
          <w:lang w:val="en-US"/>
        </w:rPr>
      </w:pPr>
      <w:r w:rsidRPr="008A3181">
        <w:rPr>
          <w:rFonts w:cs="Arial"/>
          <w:b w:val="0"/>
          <w:bCs/>
          <w:lang w:val="en-US"/>
        </w:rPr>
        <w:t>69.3</w:t>
      </w:r>
      <w:r w:rsidRPr="008A3181">
        <w:rPr>
          <w:rFonts w:cs="Arial"/>
          <w:b w:val="0"/>
          <w:bCs/>
          <w:lang w:val="en-US"/>
        </w:rPr>
        <w:tab/>
      </w:r>
      <w:r w:rsidR="00707C59">
        <w:rPr>
          <w:b w:val="0"/>
          <w:bCs/>
          <w:lang w:val="en-US"/>
        </w:rPr>
        <w:t>I</w:t>
      </w:r>
      <w:r w:rsidR="00EE31A5">
        <w:rPr>
          <w:b w:val="0"/>
          <w:bCs/>
          <w:lang w:val="en-US"/>
        </w:rPr>
        <w:t>neffective</w:t>
      </w:r>
      <w:r w:rsidR="00707C59">
        <w:rPr>
          <w:b w:val="0"/>
          <w:bCs/>
          <w:lang w:val="en-US"/>
        </w:rPr>
        <w:t xml:space="preserve"> internal remedy.</w:t>
      </w:r>
      <w:r w:rsidR="00F5425F">
        <w:rPr>
          <w:b w:val="0"/>
          <w:bCs/>
          <w:lang w:val="en-US"/>
        </w:rPr>
        <w:t xml:space="preserve"> The internal</w:t>
      </w:r>
      <w:r w:rsidR="004874FF">
        <w:rPr>
          <w:b w:val="0"/>
          <w:bCs/>
          <w:lang w:val="en-US"/>
        </w:rPr>
        <w:t xml:space="preserve"> remedy and the appellate mechanism provided</w:t>
      </w:r>
      <w:r w:rsidR="00496D8F">
        <w:rPr>
          <w:b w:val="0"/>
          <w:bCs/>
          <w:lang w:val="en-US"/>
        </w:rPr>
        <w:t xml:space="preserve"> does not provide the practitioner with effective</w:t>
      </w:r>
      <w:r w:rsidR="000E23C7">
        <w:rPr>
          <w:b w:val="0"/>
          <w:bCs/>
          <w:lang w:val="en-US"/>
        </w:rPr>
        <w:t xml:space="preserve"> redress for his/her complaint. This is so because</w:t>
      </w:r>
      <w:r w:rsidR="00A46DAC">
        <w:rPr>
          <w:b w:val="0"/>
          <w:bCs/>
          <w:lang w:val="en-US"/>
        </w:rPr>
        <w:t xml:space="preserve"> the appeal committee is not competent</w:t>
      </w:r>
      <w:r w:rsidR="00411F8B">
        <w:rPr>
          <w:b w:val="0"/>
          <w:bCs/>
          <w:lang w:val="en-US"/>
        </w:rPr>
        <w:t xml:space="preserve"> to adjudicate the issue of bias because it lacks the necessary</w:t>
      </w:r>
      <w:r w:rsidR="00617718">
        <w:rPr>
          <w:b w:val="0"/>
          <w:bCs/>
          <w:lang w:val="en-US"/>
        </w:rPr>
        <w:t xml:space="preserve"> authority to grant the type</w:t>
      </w:r>
      <w:r w:rsidR="00DB511A">
        <w:rPr>
          <w:b w:val="0"/>
          <w:bCs/>
          <w:lang w:val="en-US"/>
        </w:rPr>
        <w:t xml:space="preserve"> </w:t>
      </w:r>
      <w:r w:rsidR="00617718">
        <w:rPr>
          <w:b w:val="0"/>
          <w:bCs/>
          <w:lang w:val="en-US"/>
        </w:rPr>
        <w:lastRenderedPageBreak/>
        <w:t>of relief requested</w:t>
      </w:r>
      <w:r w:rsidR="005C105B">
        <w:rPr>
          <w:b w:val="0"/>
          <w:bCs/>
          <w:lang w:val="en-US"/>
        </w:rPr>
        <w:t>, namely, setting aside the proceedings on the ground</w:t>
      </w:r>
      <w:r w:rsidR="008843A3">
        <w:rPr>
          <w:b w:val="0"/>
          <w:bCs/>
          <w:lang w:val="en-US"/>
        </w:rPr>
        <w:t xml:space="preserve"> that they are a nullity.</w:t>
      </w:r>
      <w:r w:rsidR="008843A3">
        <w:rPr>
          <w:rStyle w:val="FootnoteReference"/>
          <w:b w:val="0"/>
          <w:bCs/>
          <w:lang w:val="en-US"/>
        </w:rPr>
        <w:footnoteReference w:id="24"/>
      </w:r>
      <w:r w:rsidR="000E23C7">
        <w:rPr>
          <w:b w:val="0"/>
          <w:bCs/>
          <w:lang w:val="en-US"/>
        </w:rPr>
        <w:t xml:space="preserve"> </w:t>
      </w:r>
    </w:p>
    <w:p w14:paraId="6397CB4C" w14:textId="75F067CC" w:rsidR="008A3181" w:rsidRPr="008A3181" w:rsidRDefault="00E430C7" w:rsidP="00E430C7">
      <w:pPr>
        <w:pStyle w:val="LegalHeading2"/>
        <w:numPr>
          <w:ilvl w:val="0"/>
          <w:numId w:val="0"/>
        </w:numPr>
        <w:tabs>
          <w:tab w:val="left" w:pos="2629"/>
        </w:tabs>
        <w:ind w:left="2629" w:hanging="1134"/>
        <w:rPr>
          <w:b w:val="0"/>
          <w:bCs/>
          <w:lang w:val="en-US"/>
        </w:rPr>
      </w:pPr>
      <w:r w:rsidRPr="008A3181">
        <w:rPr>
          <w:rFonts w:cs="Arial"/>
          <w:b w:val="0"/>
          <w:bCs/>
          <w:lang w:val="en-US"/>
        </w:rPr>
        <w:t>69.4</w:t>
      </w:r>
      <w:r w:rsidRPr="008A3181">
        <w:rPr>
          <w:rFonts w:cs="Arial"/>
          <w:b w:val="0"/>
          <w:bCs/>
          <w:lang w:val="en-US"/>
        </w:rPr>
        <w:tab/>
      </w:r>
      <w:r w:rsidR="007D75D0" w:rsidRPr="008A3181">
        <w:rPr>
          <w:b w:val="0"/>
          <w:bCs/>
          <w:lang w:val="en-US"/>
        </w:rPr>
        <w:t xml:space="preserve"> Practitioner(s) asking members </w:t>
      </w:r>
      <w:r w:rsidR="001516F9" w:rsidRPr="008A3181">
        <w:rPr>
          <w:b w:val="0"/>
          <w:bCs/>
          <w:lang w:val="en-US"/>
        </w:rPr>
        <w:t xml:space="preserve">of professional conduct committee to recuse themselves for bias but they </w:t>
      </w:r>
      <w:r w:rsidR="0052494F" w:rsidRPr="008A3181">
        <w:rPr>
          <w:b w:val="0"/>
          <w:bCs/>
          <w:lang w:val="en-US"/>
        </w:rPr>
        <w:t>refuse</w:t>
      </w:r>
      <w:r w:rsidR="0052494F">
        <w:rPr>
          <w:b w:val="0"/>
          <w:bCs/>
          <w:lang w:val="en-US"/>
        </w:rPr>
        <w:t>d</w:t>
      </w:r>
      <w:r w:rsidR="001516F9" w:rsidRPr="008A3181">
        <w:rPr>
          <w:b w:val="0"/>
          <w:bCs/>
          <w:lang w:val="en-US"/>
        </w:rPr>
        <w:t>.</w:t>
      </w:r>
      <w:r w:rsidR="007D75D0" w:rsidRPr="008A3181">
        <w:rPr>
          <w:b w:val="0"/>
          <w:bCs/>
          <w:lang w:val="en-US"/>
        </w:rPr>
        <w:t xml:space="preserve"> </w:t>
      </w:r>
      <w:r w:rsidR="0052494F">
        <w:rPr>
          <w:b w:val="0"/>
          <w:bCs/>
          <w:lang w:val="en-US"/>
        </w:rPr>
        <w:t>A similar complaint with a similar outcome.</w:t>
      </w:r>
    </w:p>
    <w:p w14:paraId="44274F08" w14:textId="404A1ABC" w:rsidR="008A3181" w:rsidRPr="008A3181" w:rsidRDefault="00E430C7" w:rsidP="00E430C7">
      <w:pPr>
        <w:pStyle w:val="LegalHeading2"/>
        <w:numPr>
          <w:ilvl w:val="0"/>
          <w:numId w:val="0"/>
        </w:numPr>
        <w:tabs>
          <w:tab w:val="left" w:pos="2629"/>
        </w:tabs>
        <w:ind w:left="2629" w:hanging="1134"/>
        <w:rPr>
          <w:b w:val="0"/>
          <w:bCs/>
          <w:lang w:val="en-US"/>
        </w:rPr>
      </w:pPr>
      <w:r w:rsidRPr="008A3181">
        <w:rPr>
          <w:rFonts w:cs="Arial"/>
          <w:b w:val="0"/>
          <w:bCs/>
          <w:lang w:val="en-US"/>
        </w:rPr>
        <w:t>69.5</w:t>
      </w:r>
      <w:r w:rsidRPr="008A3181">
        <w:rPr>
          <w:rFonts w:cs="Arial"/>
          <w:b w:val="0"/>
          <w:bCs/>
          <w:lang w:val="en-US"/>
        </w:rPr>
        <w:tab/>
      </w:r>
      <w:r w:rsidR="00FC334D" w:rsidRPr="008A3181">
        <w:rPr>
          <w:b w:val="0"/>
          <w:bCs/>
          <w:lang w:val="en-US"/>
        </w:rPr>
        <w:t xml:space="preserve"> </w:t>
      </w:r>
      <w:r w:rsidR="000228CE" w:rsidRPr="008A3181">
        <w:rPr>
          <w:b w:val="0"/>
          <w:bCs/>
          <w:lang w:val="en-US"/>
        </w:rPr>
        <w:t>Whether practitioner</w:t>
      </w:r>
      <w:r w:rsidR="000D246C" w:rsidRPr="008A3181">
        <w:rPr>
          <w:b w:val="0"/>
          <w:bCs/>
          <w:lang w:val="en-US"/>
        </w:rPr>
        <w:t>(</w:t>
      </w:r>
      <w:r w:rsidR="000228CE" w:rsidRPr="008A3181">
        <w:rPr>
          <w:b w:val="0"/>
          <w:bCs/>
          <w:lang w:val="en-US"/>
        </w:rPr>
        <w:t>s</w:t>
      </w:r>
      <w:r w:rsidR="000D246C" w:rsidRPr="008A3181">
        <w:rPr>
          <w:b w:val="0"/>
          <w:bCs/>
          <w:lang w:val="en-US"/>
        </w:rPr>
        <w:t>) obliged to appeal refusal</w:t>
      </w:r>
      <w:r w:rsidR="00F24AE8" w:rsidRPr="008A3181">
        <w:rPr>
          <w:b w:val="0"/>
          <w:bCs/>
          <w:lang w:val="en-US"/>
        </w:rPr>
        <w:t xml:space="preserve"> to appellate committee before instituting review thereof.</w:t>
      </w:r>
      <w:r w:rsidR="0056322F">
        <w:rPr>
          <w:b w:val="0"/>
          <w:bCs/>
          <w:lang w:val="en-US"/>
        </w:rPr>
        <w:t xml:space="preserve"> </w:t>
      </w:r>
      <w:r w:rsidR="00AC5655">
        <w:rPr>
          <w:b w:val="0"/>
          <w:bCs/>
          <w:lang w:val="en-US"/>
        </w:rPr>
        <w:t>S</w:t>
      </w:r>
      <w:r w:rsidR="0056322F">
        <w:rPr>
          <w:b w:val="0"/>
          <w:bCs/>
          <w:lang w:val="en-US"/>
        </w:rPr>
        <w:t>imil</w:t>
      </w:r>
      <w:r w:rsidR="00AC5655">
        <w:rPr>
          <w:b w:val="0"/>
          <w:bCs/>
          <w:lang w:val="en-US"/>
        </w:rPr>
        <w:t>ar in both matters.</w:t>
      </w:r>
    </w:p>
    <w:p w14:paraId="7BC37082" w14:textId="540E3668" w:rsidR="008A3181" w:rsidRPr="008A3181" w:rsidRDefault="00E430C7" w:rsidP="00E430C7">
      <w:pPr>
        <w:pStyle w:val="LegalHeading2"/>
        <w:numPr>
          <w:ilvl w:val="0"/>
          <w:numId w:val="0"/>
        </w:numPr>
        <w:tabs>
          <w:tab w:val="left" w:pos="2629"/>
        </w:tabs>
        <w:ind w:left="2629" w:hanging="1134"/>
        <w:rPr>
          <w:b w:val="0"/>
          <w:bCs/>
          <w:lang w:val="en-US"/>
        </w:rPr>
      </w:pPr>
      <w:r w:rsidRPr="008A3181">
        <w:rPr>
          <w:rFonts w:cs="Arial"/>
          <w:b w:val="0"/>
          <w:bCs/>
          <w:lang w:val="en-US"/>
        </w:rPr>
        <w:t>69.6</w:t>
      </w:r>
      <w:r w:rsidRPr="008A3181">
        <w:rPr>
          <w:rFonts w:cs="Arial"/>
          <w:b w:val="0"/>
          <w:bCs/>
          <w:lang w:val="en-US"/>
        </w:rPr>
        <w:tab/>
      </w:r>
      <w:r w:rsidR="00F90FB7" w:rsidRPr="008A3181">
        <w:rPr>
          <w:b w:val="0"/>
          <w:bCs/>
          <w:lang w:val="en-US"/>
        </w:rPr>
        <w:t xml:space="preserve"> Professional statute:</w:t>
      </w:r>
      <w:r w:rsidR="00282F79">
        <w:rPr>
          <w:b w:val="0"/>
          <w:bCs/>
          <w:lang w:val="en-US"/>
        </w:rPr>
        <w:t xml:space="preserve"> In </w:t>
      </w:r>
      <w:r w:rsidR="00282F79" w:rsidRPr="0056322F">
        <w:rPr>
          <w:b w:val="0"/>
          <w:bCs/>
          <w:i/>
          <w:iCs/>
          <w:lang w:val="en-US"/>
        </w:rPr>
        <w:t>Basson</w:t>
      </w:r>
      <w:r w:rsidR="0056322F">
        <w:rPr>
          <w:b w:val="0"/>
          <w:bCs/>
          <w:lang w:val="en-US"/>
        </w:rPr>
        <w:t xml:space="preserve"> it was the</w:t>
      </w:r>
      <w:r w:rsidR="00F90FB7" w:rsidRPr="008A3181">
        <w:rPr>
          <w:b w:val="0"/>
          <w:bCs/>
          <w:lang w:val="en-US"/>
        </w:rPr>
        <w:t xml:space="preserve"> Health Professions Act 56 of 1974 section 10 (3)</w:t>
      </w:r>
      <w:r w:rsidR="0056322F">
        <w:rPr>
          <w:b w:val="0"/>
          <w:bCs/>
          <w:lang w:val="en-US"/>
        </w:rPr>
        <w:t xml:space="preserve">, </w:t>
      </w:r>
      <w:r w:rsidR="0056322F" w:rsidRPr="0056322F">
        <w:rPr>
          <w:b w:val="0"/>
          <w:bCs/>
          <w:i/>
          <w:iCs/>
          <w:lang w:val="en-US"/>
        </w:rPr>
        <w:t>in</w:t>
      </w:r>
      <w:r w:rsidR="0056322F">
        <w:rPr>
          <w:b w:val="0"/>
          <w:bCs/>
          <w:lang w:val="en-US"/>
        </w:rPr>
        <w:t xml:space="preserve"> </w:t>
      </w:r>
      <w:r w:rsidR="0056322F" w:rsidRPr="0056322F">
        <w:rPr>
          <w:b w:val="0"/>
          <w:bCs/>
          <w:i/>
          <w:iCs/>
          <w:lang w:val="en-US"/>
        </w:rPr>
        <w:t>casu</w:t>
      </w:r>
      <w:r w:rsidR="0056322F">
        <w:rPr>
          <w:b w:val="0"/>
          <w:bCs/>
          <w:i/>
          <w:iCs/>
          <w:lang w:val="en-US"/>
        </w:rPr>
        <w:t xml:space="preserve">, </w:t>
      </w:r>
      <w:r w:rsidR="0056322F">
        <w:rPr>
          <w:b w:val="0"/>
          <w:bCs/>
          <w:lang w:val="en-US"/>
        </w:rPr>
        <w:t>it is the Auditing Professions Act 26 of 2005.</w:t>
      </w:r>
    </w:p>
    <w:p w14:paraId="35648A1E" w14:textId="1C2F0CE4" w:rsidR="004D6333" w:rsidRDefault="00E430C7" w:rsidP="00E430C7">
      <w:pPr>
        <w:pStyle w:val="LegalHeading2"/>
        <w:numPr>
          <w:ilvl w:val="0"/>
          <w:numId w:val="0"/>
        </w:numPr>
        <w:tabs>
          <w:tab w:val="left" w:pos="2629"/>
        </w:tabs>
        <w:ind w:left="2629" w:hanging="1134"/>
        <w:rPr>
          <w:b w:val="0"/>
          <w:bCs/>
          <w:lang w:val="en-US"/>
        </w:rPr>
      </w:pPr>
      <w:r>
        <w:rPr>
          <w:rFonts w:cs="Arial"/>
          <w:b w:val="0"/>
          <w:bCs/>
          <w:lang w:val="en-US"/>
        </w:rPr>
        <w:t>69.7</w:t>
      </w:r>
      <w:r>
        <w:rPr>
          <w:rFonts w:cs="Arial"/>
          <w:b w:val="0"/>
          <w:bCs/>
          <w:lang w:val="en-US"/>
        </w:rPr>
        <w:tab/>
      </w:r>
      <w:r w:rsidR="00F90FB7" w:rsidRPr="008A3181">
        <w:rPr>
          <w:b w:val="0"/>
          <w:bCs/>
          <w:lang w:val="en-US"/>
        </w:rPr>
        <w:t xml:space="preserve">PAJA 3 of </w:t>
      </w:r>
      <w:r w:rsidR="008A3181" w:rsidRPr="008A3181">
        <w:rPr>
          <w:b w:val="0"/>
          <w:bCs/>
          <w:lang w:val="en-US"/>
        </w:rPr>
        <w:t>2000 section 7 (2).</w:t>
      </w:r>
      <w:r w:rsidR="000D246C" w:rsidRPr="008A3181">
        <w:rPr>
          <w:b w:val="0"/>
          <w:bCs/>
          <w:lang w:val="en-US"/>
        </w:rPr>
        <w:t xml:space="preserve"> </w:t>
      </w:r>
      <w:r w:rsidR="0052494F">
        <w:rPr>
          <w:b w:val="0"/>
          <w:bCs/>
          <w:lang w:val="en-US"/>
        </w:rPr>
        <w:t>Similar in both instances.</w:t>
      </w:r>
    </w:p>
    <w:p w14:paraId="4141170C" w14:textId="77777777" w:rsidR="00920506" w:rsidRPr="00920506" w:rsidRDefault="00920506" w:rsidP="00920506">
      <w:pPr>
        <w:pStyle w:val="LegalBodyText2"/>
        <w:rPr>
          <w:lang w:val="en-US"/>
        </w:rPr>
      </w:pPr>
    </w:p>
    <w:p w14:paraId="62FAD649" w14:textId="6B5AF9D3" w:rsidR="00BD28EF" w:rsidRPr="00A977A0" w:rsidRDefault="00E430C7" w:rsidP="00E430C7">
      <w:pPr>
        <w:pStyle w:val="LegalNormal"/>
        <w:ind w:left="720" w:hanging="360"/>
        <w:rPr>
          <w:b/>
          <w:bCs/>
          <w:lang w:val="en-US"/>
        </w:rPr>
      </w:pPr>
      <w:r w:rsidRPr="00A977A0">
        <w:rPr>
          <w:b/>
          <w:bCs/>
          <w:lang w:val="en-US"/>
        </w:rPr>
        <w:t>H.</w:t>
      </w:r>
      <w:r w:rsidRPr="00A977A0">
        <w:rPr>
          <w:b/>
          <w:bCs/>
          <w:lang w:val="en-US"/>
        </w:rPr>
        <w:tab/>
      </w:r>
      <w:r w:rsidR="00920506" w:rsidRPr="00920506">
        <w:rPr>
          <w:b/>
          <w:bCs/>
        </w:rPr>
        <w:t xml:space="preserve"> COSTS</w:t>
      </w:r>
      <w:r w:rsidR="00A977A0">
        <w:rPr>
          <w:b/>
          <w:bCs/>
        </w:rPr>
        <w:t xml:space="preserve"> </w:t>
      </w:r>
    </w:p>
    <w:p w14:paraId="07908AD7" w14:textId="235E1511" w:rsidR="00524E24" w:rsidRPr="00524E24" w:rsidRDefault="00E430C7" w:rsidP="00E430C7">
      <w:pPr>
        <w:pStyle w:val="LegalNormal"/>
        <w:tabs>
          <w:tab w:val="left" w:pos="927"/>
        </w:tabs>
        <w:ind w:left="927" w:hanging="567"/>
        <w:rPr>
          <w:lang w:val="en-US"/>
        </w:rPr>
      </w:pPr>
      <w:r w:rsidRPr="00524E24">
        <w:rPr>
          <w:lang w:val="en-US"/>
        </w:rPr>
        <w:lastRenderedPageBreak/>
        <w:t>[70]</w:t>
      </w:r>
      <w:r w:rsidRPr="00524E24">
        <w:rPr>
          <w:lang w:val="en-US"/>
        </w:rPr>
        <w:tab/>
      </w:r>
      <w:r w:rsidR="00073BFD">
        <w:t>T</w:t>
      </w:r>
      <w:r w:rsidR="00157AE6">
        <w:t>he normal</w:t>
      </w:r>
      <w:r w:rsidR="00D45FFD">
        <w:t xml:space="preserve"> rule that </w:t>
      </w:r>
      <w:r w:rsidR="00C72966">
        <w:t>costs must follow the cause</w:t>
      </w:r>
      <w:r w:rsidR="00073BFD">
        <w:t xml:space="preserve"> </w:t>
      </w:r>
      <w:r w:rsidR="008B591F">
        <w:t>is trite</w:t>
      </w:r>
      <w:r w:rsidR="00C72966">
        <w:t>. My attention was drawn on behalf of the applicant</w:t>
      </w:r>
      <w:r w:rsidR="002B1E48">
        <w:t xml:space="preserve">s to consider the </w:t>
      </w:r>
      <w:r w:rsidR="002B1E48" w:rsidRPr="008B591F">
        <w:rPr>
          <w:i/>
          <w:iCs/>
        </w:rPr>
        <w:t>Biowatch</w:t>
      </w:r>
      <w:r w:rsidR="002B1E48">
        <w:t xml:space="preserve"> principle in the event that the court finds against them.</w:t>
      </w:r>
    </w:p>
    <w:p w14:paraId="571E746B" w14:textId="3DDEB1F7" w:rsidR="00524E24" w:rsidRPr="00BA3AD2" w:rsidRDefault="00E430C7" w:rsidP="00E430C7">
      <w:pPr>
        <w:pStyle w:val="LegalNormal"/>
        <w:ind w:left="720" w:hanging="360"/>
        <w:rPr>
          <w:b/>
          <w:bCs/>
          <w:lang w:val="en-US"/>
        </w:rPr>
      </w:pPr>
      <w:r w:rsidRPr="00BA3AD2">
        <w:rPr>
          <w:b/>
          <w:bCs/>
          <w:lang w:val="en-US"/>
        </w:rPr>
        <w:t>I.</w:t>
      </w:r>
      <w:r w:rsidRPr="00BA3AD2">
        <w:rPr>
          <w:b/>
          <w:bCs/>
          <w:lang w:val="en-US"/>
        </w:rPr>
        <w:tab/>
      </w:r>
      <w:r w:rsidR="008B591F" w:rsidRPr="00BA3AD2">
        <w:rPr>
          <w:b/>
          <w:bCs/>
        </w:rPr>
        <w:t>ORDER</w:t>
      </w:r>
    </w:p>
    <w:p w14:paraId="5D7FE3E9" w14:textId="1179C212" w:rsidR="00BA3AD2" w:rsidRDefault="00E414C8" w:rsidP="00BA3AD2">
      <w:pPr>
        <w:pStyle w:val="LegalNormal"/>
        <w:ind w:left="720"/>
      </w:pPr>
      <w:r>
        <w:t>In consideration of the afo</w:t>
      </w:r>
      <w:r w:rsidR="00DA48AF">
        <w:t>rementioned considerations, the following order is made:</w:t>
      </w:r>
    </w:p>
    <w:p w14:paraId="1554A53B" w14:textId="5B5DF075" w:rsidR="000D1B75" w:rsidRPr="000D1B75" w:rsidRDefault="00E430C7" w:rsidP="00E430C7">
      <w:pPr>
        <w:pStyle w:val="LegalNormal"/>
        <w:ind w:left="1080" w:hanging="360"/>
        <w:rPr>
          <w:lang w:val="en-US"/>
        </w:rPr>
      </w:pPr>
      <w:r w:rsidRPr="000D1B75">
        <w:rPr>
          <w:lang w:val="en-US"/>
        </w:rPr>
        <w:t>i.</w:t>
      </w:r>
      <w:r w:rsidRPr="000D1B75">
        <w:rPr>
          <w:lang w:val="en-US"/>
        </w:rPr>
        <w:tab/>
      </w:r>
      <w:r w:rsidR="00AF5552">
        <w:t xml:space="preserve">The decision </w:t>
      </w:r>
      <w:r w:rsidR="004D12F1">
        <w:t>of the IRBA disciplinary committee</w:t>
      </w:r>
      <w:r w:rsidR="00A13B0D">
        <w:t xml:space="preserve"> to refuse the recusal of two of its members</w:t>
      </w:r>
      <w:r w:rsidR="008E5D0E">
        <w:t xml:space="preserve"> Messrs. Sooklal and Griffiths </w:t>
      </w:r>
      <w:r w:rsidR="000D1B75">
        <w:t>because of</w:t>
      </w:r>
      <w:r w:rsidR="002E0E46">
        <w:t xml:space="preserve"> bias is reviewed and set aside. An order for their recusal </w:t>
      </w:r>
      <w:r w:rsidR="00DA7DEE">
        <w:t>is hereby granted.</w:t>
      </w:r>
      <w:r w:rsidR="002159F9">
        <w:t xml:space="preserve"> </w:t>
      </w:r>
    </w:p>
    <w:p w14:paraId="1BF56E4E" w14:textId="75D3D9F8" w:rsidR="00310AC5" w:rsidRPr="00B767CE" w:rsidRDefault="00E430C7" w:rsidP="00E430C7">
      <w:pPr>
        <w:pStyle w:val="LegalNormal"/>
        <w:ind w:left="1080" w:hanging="360"/>
        <w:rPr>
          <w:lang w:val="en-US"/>
        </w:rPr>
      </w:pPr>
      <w:r w:rsidRPr="00B767CE">
        <w:rPr>
          <w:lang w:val="en-US"/>
        </w:rPr>
        <w:t>ii.</w:t>
      </w:r>
      <w:r w:rsidRPr="00B767CE">
        <w:rPr>
          <w:lang w:val="en-US"/>
        </w:rPr>
        <w:tab/>
      </w:r>
      <w:r w:rsidR="002159F9">
        <w:t xml:space="preserve">The </w:t>
      </w:r>
      <w:r w:rsidR="008B00DD">
        <w:t>4</w:t>
      </w:r>
      <w:r w:rsidR="008B00DD" w:rsidRPr="008B00DD">
        <w:rPr>
          <w:vertAlign w:val="superscript"/>
        </w:rPr>
        <w:t>th</w:t>
      </w:r>
      <w:r w:rsidR="008B00DD">
        <w:t xml:space="preserve"> </w:t>
      </w:r>
      <w:r w:rsidR="002159F9">
        <w:t>respondents</w:t>
      </w:r>
      <w:r w:rsidR="008B00DD">
        <w:t xml:space="preserve"> are ordered to</w:t>
      </w:r>
      <w:r w:rsidR="006C2D81">
        <w:t xml:space="preserve"> pay the </w:t>
      </w:r>
      <w:r w:rsidR="003935A3">
        <w:t>applicants’</w:t>
      </w:r>
      <w:r w:rsidR="002F653F">
        <w:t xml:space="preserve"> costs including the costs of two</w:t>
      </w:r>
      <w:r w:rsidR="006C2D81">
        <w:t xml:space="preserve"> counsel </w:t>
      </w:r>
      <w:r w:rsidR="003935A3">
        <w:t>where so employed.</w:t>
      </w:r>
      <w:r w:rsidR="008B00DD">
        <w:t xml:space="preserve"> </w:t>
      </w:r>
    </w:p>
    <w:p w14:paraId="1DD1166B" w14:textId="5BB1551B" w:rsidR="00310AC5" w:rsidRDefault="00310AC5" w:rsidP="00310AC5">
      <w:pPr>
        <w:pStyle w:val="LegalNormal"/>
        <w:rPr>
          <w:lang w:val="en-US"/>
        </w:rPr>
      </w:pPr>
    </w:p>
    <w:p w14:paraId="44705A57" w14:textId="0F3303D7" w:rsidR="00310AC5" w:rsidRPr="00310AC5" w:rsidRDefault="00310AC5" w:rsidP="00310AC5">
      <w:pPr>
        <w:pStyle w:val="LegalNormal"/>
        <w:spacing w:after="0"/>
      </w:pPr>
      <w:r>
        <w:rPr>
          <w:lang w:val="en-US"/>
        </w:rPr>
        <w:t xml:space="preserve">                                                                          </w:t>
      </w:r>
      <w:r w:rsidR="00B767CE">
        <w:rPr>
          <w:lang w:val="en-US"/>
        </w:rPr>
        <w:t xml:space="preserve">     </w:t>
      </w:r>
      <w:r>
        <w:rPr>
          <w:lang w:val="en-US"/>
        </w:rPr>
        <w:t xml:space="preserve">  </w:t>
      </w:r>
      <w:r w:rsidRPr="00310AC5">
        <w:t>___________________</w:t>
      </w:r>
      <w:r w:rsidR="00EC30D5">
        <w:t>____</w:t>
      </w:r>
      <w:r w:rsidRPr="00310AC5">
        <w:t>_</w:t>
      </w:r>
    </w:p>
    <w:p w14:paraId="25468423" w14:textId="293AACB4" w:rsidR="00310AC5" w:rsidRPr="00B767CE" w:rsidRDefault="00310AC5" w:rsidP="00310AC5">
      <w:pPr>
        <w:pStyle w:val="LegalNormal"/>
        <w:spacing w:after="0"/>
        <w:ind w:left="4320" w:firstLine="720"/>
        <w:rPr>
          <w:b/>
        </w:rPr>
      </w:pPr>
      <w:r w:rsidRPr="00B767CE">
        <w:rPr>
          <w:b/>
        </w:rPr>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7EE57DAF" w:rsidR="00310AC5" w:rsidRDefault="00310AC5" w:rsidP="00310AC5">
      <w:pPr>
        <w:pStyle w:val="LegalNormal"/>
        <w:spacing w:after="0"/>
      </w:pPr>
      <w:r>
        <w:t xml:space="preserve">Date of hearing: </w:t>
      </w:r>
      <w:r w:rsidR="00CE20D1">
        <w:t>23 &amp; 24</w:t>
      </w:r>
      <w:r>
        <w:t xml:space="preserve"> </w:t>
      </w:r>
      <w:r w:rsidR="0022009C">
        <w:t>February</w:t>
      </w:r>
      <w:r>
        <w:t xml:space="preserve"> 202</w:t>
      </w:r>
      <w:r w:rsidR="0093569F">
        <w:t>3</w:t>
      </w:r>
    </w:p>
    <w:p w14:paraId="0AA0BB52" w14:textId="5CA98B03" w:rsidR="000410CB" w:rsidRDefault="00310AC5" w:rsidP="00310AC5">
      <w:pPr>
        <w:pStyle w:val="LegalNormal"/>
        <w:spacing w:after="0"/>
      </w:pPr>
      <w:r w:rsidRPr="00310AC5">
        <w:t xml:space="preserve">Date of Judgment: </w:t>
      </w:r>
      <w:r w:rsidR="003E7763">
        <w:t>20</w:t>
      </w:r>
      <w:r w:rsidR="0022009C">
        <w:t xml:space="preserve"> </w:t>
      </w:r>
      <w:r w:rsidR="00AA6BB8">
        <w:t>Dec</w:t>
      </w:r>
      <w:r w:rsidR="0022009C">
        <w:t>ember</w:t>
      </w:r>
      <w:r>
        <w:t xml:space="preserve"> 2023</w:t>
      </w:r>
    </w:p>
    <w:p w14:paraId="2E571142" w14:textId="77777777" w:rsidR="000410CB" w:rsidRPr="00310AC5" w:rsidRDefault="000410CB" w:rsidP="00310AC5">
      <w:pPr>
        <w:pStyle w:val="LegalNormal"/>
        <w:spacing w:after="0"/>
      </w:pPr>
    </w:p>
    <w:p w14:paraId="480657A7" w14:textId="1047C1D2" w:rsidR="00836B91" w:rsidRDefault="00310AC5" w:rsidP="00310AC5">
      <w:pPr>
        <w:pStyle w:val="LegalNormal"/>
        <w:spacing w:after="0"/>
      </w:pPr>
      <w:r w:rsidRPr="00310AC5">
        <w:lastRenderedPageBreak/>
        <w:t xml:space="preserve">On behalf of the </w:t>
      </w:r>
      <w:r w:rsidR="009303F9">
        <w:t>Applicant</w:t>
      </w:r>
      <w:r w:rsidR="00905636">
        <w:t>s</w:t>
      </w:r>
      <w:r w:rsidRPr="00310AC5">
        <w:t xml:space="preserve">: </w:t>
      </w:r>
      <w:r w:rsidR="00D2668B">
        <w:t xml:space="preserve">Adv. </w:t>
      </w:r>
      <w:r w:rsidR="007A7892">
        <w:t xml:space="preserve">M.C. </w:t>
      </w:r>
      <w:r w:rsidR="00D2668B">
        <w:t xml:space="preserve">Maritz </w:t>
      </w:r>
      <w:r w:rsidR="00836B91">
        <w:t>SC</w:t>
      </w:r>
    </w:p>
    <w:p w14:paraId="6AC03B56" w14:textId="3BDF8B01" w:rsidR="00715E25" w:rsidRDefault="00836B91" w:rsidP="00310AC5">
      <w:pPr>
        <w:pStyle w:val="LegalNormal"/>
        <w:spacing w:after="0"/>
      </w:pPr>
      <w:r>
        <w:t xml:space="preserve">With him: </w:t>
      </w:r>
      <w:r>
        <w:tab/>
      </w:r>
      <w:r>
        <w:tab/>
      </w:r>
      <w:r>
        <w:tab/>
      </w:r>
      <w:r w:rsidR="006768D4">
        <w:t xml:space="preserve"> </w:t>
      </w:r>
      <w:r>
        <w:t xml:space="preserve">Adv. </w:t>
      </w:r>
      <w:r w:rsidR="007A7892">
        <w:t>G.F. Heyns SC</w:t>
      </w:r>
      <w:r w:rsidR="00310AC5" w:rsidRPr="00310AC5">
        <w:tab/>
      </w:r>
      <w:r w:rsidR="00310AC5" w:rsidRPr="00310AC5">
        <w:tab/>
      </w:r>
    </w:p>
    <w:p w14:paraId="3A5C1A38" w14:textId="58961511" w:rsidR="005B63F8" w:rsidRDefault="00310AC5" w:rsidP="00770B05">
      <w:pPr>
        <w:pStyle w:val="LegalNormal"/>
        <w:spacing w:after="0"/>
      </w:pPr>
      <w:r>
        <w:t xml:space="preserve"> </w:t>
      </w:r>
      <w:r w:rsidR="00770B05">
        <w:t xml:space="preserve">Attorneys for the </w:t>
      </w:r>
      <w:r w:rsidR="004A0E60">
        <w:t>Applicant</w:t>
      </w:r>
      <w:r w:rsidR="006768D4">
        <w:t>s</w:t>
      </w:r>
      <w:r w:rsidR="00770B05">
        <w:t xml:space="preserve">: </w:t>
      </w:r>
      <w:r w:rsidR="00C23B7B">
        <w:t>Clyde &amp; Co</w:t>
      </w:r>
      <w:r w:rsidR="005F1231">
        <w:t>mpany</w:t>
      </w:r>
      <w:r w:rsidR="00C23B7B">
        <w:t>.</w:t>
      </w:r>
      <w:r w:rsidR="003F325C">
        <w:t xml:space="preserve"> (Mr. Cilliers)</w:t>
      </w:r>
    </w:p>
    <w:p w14:paraId="111CB2AA" w14:textId="421C8D64" w:rsidR="007D519E" w:rsidRDefault="007D519E" w:rsidP="00770B05">
      <w:pPr>
        <w:pStyle w:val="LegalNormal"/>
        <w:spacing w:after="0"/>
      </w:pPr>
      <w:r>
        <w:t xml:space="preserve">E-mail: </w:t>
      </w:r>
      <w:hyperlink r:id="rId9" w:history="1">
        <w:r w:rsidRPr="00DB2154">
          <w:rPr>
            <w:rStyle w:val="Hyperlink"/>
          </w:rPr>
          <w:t>Webber.cilliers@clydeco.com</w:t>
        </w:r>
      </w:hyperlink>
    </w:p>
    <w:p w14:paraId="5E2DF1C0" w14:textId="2EBFBF8E" w:rsidR="00310AC5" w:rsidRPr="00310AC5" w:rsidRDefault="00310AC5" w:rsidP="00310AC5">
      <w:pPr>
        <w:pStyle w:val="LegalNormal"/>
        <w:spacing w:after="0"/>
      </w:pPr>
    </w:p>
    <w:p w14:paraId="23A03356" w14:textId="77777777" w:rsidR="00310AC5" w:rsidRPr="00310AC5" w:rsidRDefault="00310AC5" w:rsidP="00310AC5">
      <w:pPr>
        <w:pStyle w:val="LegalNormal"/>
        <w:spacing w:after="0"/>
      </w:pPr>
    </w:p>
    <w:p w14:paraId="7BB9CD8B" w14:textId="59E4DC2D" w:rsidR="00DC152D" w:rsidRDefault="00310AC5" w:rsidP="00310AC5">
      <w:pPr>
        <w:pStyle w:val="LegalNormal"/>
        <w:spacing w:after="0"/>
      </w:pPr>
      <w:r w:rsidRPr="00310AC5">
        <w:t xml:space="preserve">On behalf of </w:t>
      </w:r>
      <w:r w:rsidR="00BD23DB">
        <w:t xml:space="preserve">the </w:t>
      </w:r>
      <w:r w:rsidR="00483E9E">
        <w:t>Respo</w:t>
      </w:r>
      <w:r w:rsidR="00BD23DB">
        <w:t>nd</w:t>
      </w:r>
      <w:r w:rsidR="00483E9E">
        <w:t>e</w:t>
      </w:r>
      <w:r w:rsidR="00BD23DB">
        <w:t>nt</w:t>
      </w:r>
      <w:r w:rsidR="006768D4">
        <w:t>s</w:t>
      </w:r>
      <w:r w:rsidRPr="00310AC5">
        <w:t xml:space="preserve">: </w:t>
      </w:r>
      <w:r w:rsidR="0072663F">
        <w:t>Adv</w:t>
      </w:r>
      <w:r w:rsidR="00E53278">
        <w:t xml:space="preserve">. </w:t>
      </w:r>
      <w:r w:rsidR="00C23B7B">
        <w:t>K</w:t>
      </w:r>
      <w:r w:rsidR="00304B7B">
        <w:t>. Hofmeyr SC</w:t>
      </w:r>
    </w:p>
    <w:p w14:paraId="01C80554" w14:textId="09E48B58" w:rsidR="00304B7B" w:rsidRDefault="00304B7B" w:rsidP="00310AC5">
      <w:pPr>
        <w:pStyle w:val="LegalNormal"/>
        <w:spacing w:after="0"/>
      </w:pPr>
      <w:r>
        <w:t xml:space="preserve">With </w:t>
      </w:r>
      <w:r>
        <w:tab/>
      </w:r>
      <w:r>
        <w:tab/>
      </w:r>
      <w:r>
        <w:tab/>
      </w:r>
      <w:r>
        <w:tab/>
        <w:t xml:space="preserve">    </w:t>
      </w:r>
      <w:r w:rsidR="006768D4">
        <w:t xml:space="preserve"> </w:t>
      </w:r>
      <w:r>
        <w:t xml:space="preserve"> Adv. I. Cloete</w:t>
      </w:r>
      <w:r>
        <w:tab/>
      </w:r>
    </w:p>
    <w:p w14:paraId="2CF5C8B7" w14:textId="4D4C6703" w:rsidR="00F1291D" w:rsidRDefault="00BD1E48" w:rsidP="002A7057">
      <w:pPr>
        <w:pStyle w:val="LegalNormal"/>
        <w:spacing w:after="0"/>
      </w:pPr>
      <w:r>
        <w:t>Attorney</w:t>
      </w:r>
      <w:r w:rsidR="009E7D6D">
        <w:t>s</w:t>
      </w:r>
      <w:r w:rsidR="0047436C">
        <w:t xml:space="preserve"> for the </w:t>
      </w:r>
      <w:r w:rsidR="004A0E60">
        <w:t>Respondent</w:t>
      </w:r>
      <w:r w:rsidR="006768D4">
        <w:t>s</w:t>
      </w:r>
      <w:r w:rsidR="00E30EF8">
        <w:t>;</w:t>
      </w:r>
      <w:r w:rsidR="00CA6D9D">
        <w:t xml:space="preserve"> </w:t>
      </w:r>
      <w:r w:rsidR="002A7057">
        <w:t>Lawtons</w:t>
      </w:r>
      <w:r w:rsidR="00CA0156">
        <w:t xml:space="preserve"> Africa</w:t>
      </w:r>
    </w:p>
    <w:p w14:paraId="6B29D887" w14:textId="255497D0" w:rsidR="00CA0156" w:rsidRDefault="00CA0156" w:rsidP="002A7057">
      <w:pPr>
        <w:pStyle w:val="LegalNormal"/>
        <w:spacing w:after="0"/>
      </w:pPr>
      <w:r>
        <w:t xml:space="preserve">E-mail: </w:t>
      </w:r>
      <w:hyperlink r:id="rId10" w:history="1">
        <w:r w:rsidRPr="00DB2154">
          <w:rPr>
            <w:rStyle w:val="Hyperlink"/>
          </w:rPr>
          <w:t>tshavhungwe.tshivhase@lawtonsafrica.com</w:t>
        </w:r>
      </w:hyperlink>
    </w:p>
    <w:p w14:paraId="4BF13AC0" w14:textId="77777777" w:rsidR="00CA0156" w:rsidRDefault="00CA0156" w:rsidP="002A7057">
      <w:pPr>
        <w:pStyle w:val="LegalNormal"/>
        <w:spacing w:after="0"/>
      </w:pPr>
    </w:p>
    <w:p w14:paraId="486ECFED" w14:textId="77777777" w:rsidR="00AF2740" w:rsidRDefault="00AF2740" w:rsidP="0030600D">
      <w:pPr>
        <w:pStyle w:val="LegalNormal"/>
        <w:spacing w:after="0"/>
      </w:pPr>
    </w:p>
    <w:p w14:paraId="57C031C8" w14:textId="77777777" w:rsidR="00B0739E" w:rsidRDefault="00B0739E" w:rsidP="0030600D">
      <w:pPr>
        <w:pStyle w:val="LegalNormal"/>
        <w:spacing w:after="0"/>
      </w:pPr>
    </w:p>
    <w:p w14:paraId="4D86BA84" w14:textId="00A78CB4" w:rsidR="00473375" w:rsidRDefault="00790D97" w:rsidP="00BE7670">
      <w:pPr>
        <w:pStyle w:val="LegalNormal"/>
        <w:spacing w:after="0"/>
      </w:pPr>
      <w:r>
        <w:tab/>
      </w:r>
      <w:r>
        <w:tab/>
      </w:r>
    </w:p>
    <w:p w14:paraId="77C1B4A9" w14:textId="77777777" w:rsidR="001B60B6" w:rsidRDefault="001B60B6" w:rsidP="00704FE8">
      <w:pPr>
        <w:pStyle w:val="LegalNormal"/>
        <w:spacing w:after="0"/>
      </w:pPr>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1AC5E66B"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B767CE">
        <w:rPr>
          <w:sz w:val="22"/>
          <w:szCs w:val="22"/>
        </w:rPr>
        <w:t>20</w:t>
      </w:r>
      <w:r w:rsidR="007D519E">
        <w:rPr>
          <w:sz w:val="22"/>
          <w:szCs w:val="22"/>
        </w:rPr>
        <w:t xml:space="preserve"> </w:t>
      </w:r>
      <w:r w:rsidR="00AA6BB8">
        <w:rPr>
          <w:sz w:val="22"/>
          <w:szCs w:val="22"/>
        </w:rPr>
        <w:t>December</w:t>
      </w:r>
      <w:r w:rsidR="00212564">
        <w:rPr>
          <w:sz w:val="22"/>
          <w:szCs w:val="22"/>
        </w:rPr>
        <w:t xml:space="preserve"> 2023.</w:t>
      </w:r>
      <w:r>
        <w:rPr>
          <w:rFonts w:ascii="Segoe UI Semilight" w:hAnsi="Segoe UI Semilight" w:cs="Segoe UI Semilight"/>
        </w:rPr>
        <w:t xml:space="preserve">                                                                                     </w:t>
      </w:r>
    </w:p>
    <w:sectPr w:rsidR="00012A18" w:rsidSect="004D37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78D3" w14:textId="77777777" w:rsidR="004D3740" w:rsidRDefault="004D3740" w:rsidP="004466A8">
      <w:r>
        <w:separator/>
      </w:r>
    </w:p>
  </w:endnote>
  <w:endnote w:type="continuationSeparator" w:id="0">
    <w:p w14:paraId="5F7BDC97" w14:textId="77777777" w:rsidR="004D3740" w:rsidRDefault="004D3740"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30839"/>
      <w:docPartObj>
        <w:docPartGallery w:val="Page Numbers (Bottom of Page)"/>
        <w:docPartUnique/>
      </w:docPartObj>
    </w:sdtPr>
    <w:sdtEndPr>
      <w:rPr>
        <w:noProof/>
      </w:rPr>
    </w:sdtEndPr>
    <w:sdtContent>
      <w:p w14:paraId="379869DB" w14:textId="2BA06CFB" w:rsidR="000A4529" w:rsidRDefault="000A4529">
        <w:pPr>
          <w:pStyle w:val="Footer"/>
          <w:jc w:val="center"/>
        </w:pPr>
        <w:r>
          <w:fldChar w:fldCharType="begin"/>
        </w:r>
        <w:r>
          <w:instrText xml:space="preserve"> PAGE   \* MERGEFORMAT </w:instrText>
        </w:r>
        <w:r>
          <w:fldChar w:fldCharType="separate"/>
        </w:r>
        <w:r w:rsidR="00E74FD3">
          <w:rPr>
            <w:noProof/>
          </w:rPr>
          <w:t>20</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99FB" w14:textId="77777777" w:rsidR="004D3740" w:rsidRDefault="004D3740" w:rsidP="004466A8">
      <w:r>
        <w:separator/>
      </w:r>
    </w:p>
  </w:footnote>
  <w:footnote w:type="continuationSeparator" w:id="0">
    <w:p w14:paraId="6DA388FC" w14:textId="77777777" w:rsidR="004D3740" w:rsidRDefault="004D3740" w:rsidP="004466A8">
      <w:r>
        <w:continuationSeparator/>
      </w:r>
    </w:p>
  </w:footnote>
  <w:footnote w:id="1">
    <w:p w14:paraId="52300CA6" w14:textId="7616CA77" w:rsidR="003A6890" w:rsidRPr="003A6890" w:rsidRDefault="003A6890">
      <w:pPr>
        <w:pStyle w:val="FootnoteText"/>
        <w:rPr>
          <w:lang w:val="en-US"/>
        </w:rPr>
      </w:pPr>
      <w:r>
        <w:rPr>
          <w:rStyle w:val="FootnoteReference"/>
        </w:rPr>
        <w:footnoteRef/>
      </w:r>
      <w:r>
        <w:t xml:space="preserve"> </w:t>
      </w:r>
      <w:r>
        <w:rPr>
          <w:lang w:val="en-US"/>
        </w:rPr>
        <w:t xml:space="preserve">Nomenclature </w:t>
      </w:r>
      <w:r w:rsidR="00E43055">
        <w:rPr>
          <w:lang w:val="en-US"/>
        </w:rPr>
        <w:t>borrowed from Respondents heads of argument.</w:t>
      </w:r>
    </w:p>
  </w:footnote>
  <w:footnote w:id="2">
    <w:p w14:paraId="4851C1F4" w14:textId="09592CC2" w:rsidR="00E43055" w:rsidRPr="00E43055" w:rsidRDefault="00E43055">
      <w:pPr>
        <w:pStyle w:val="FootnoteText"/>
        <w:rPr>
          <w:lang w:val="en-US"/>
        </w:rPr>
      </w:pPr>
      <w:r>
        <w:rPr>
          <w:rStyle w:val="FootnoteReference"/>
        </w:rPr>
        <w:footnoteRef/>
      </w:r>
      <w:r>
        <w:t xml:space="preserve"> </w:t>
      </w:r>
      <w:r w:rsidR="00C872F2">
        <w:rPr>
          <w:i/>
          <w:iCs/>
          <w:lang w:val="en-US"/>
        </w:rPr>
        <w:t>I</w:t>
      </w:r>
      <w:r w:rsidR="00C872F2" w:rsidRPr="00C872F2">
        <w:rPr>
          <w:i/>
          <w:iCs/>
          <w:lang w:val="en-US"/>
        </w:rPr>
        <w:t>bid</w:t>
      </w:r>
      <w:r w:rsidR="00C872F2">
        <w:rPr>
          <w:i/>
          <w:iCs/>
          <w:lang w:val="en-US"/>
        </w:rPr>
        <w:t>.</w:t>
      </w:r>
    </w:p>
  </w:footnote>
  <w:footnote w:id="3">
    <w:p w14:paraId="0752CB62" w14:textId="5AEFC1A5" w:rsidR="00F0146D" w:rsidRPr="00F0146D" w:rsidRDefault="00F0146D" w:rsidP="00F0146D">
      <w:pPr>
        <w:pStyle w:val="FootnoteText"/>
        <w:rPr>
          <w:lang w:val="en-ZA"/>
        </w:rPr>
      </w:pPr>
      <w:r>
        <w:rPr>
          <w:rStyle w:val="FootnoteReference"/>
        </w:rPr>
        <w:footnoteRef/>
      </w:r>
      <w:r>
        <w:t xml:space="preserve"> </w:t>
      </w:r>
      <w:r w:rsidRPr="00F0146D">
        <w:rPr>
          <w:lang w:val="en-ZA"/>
        </w:rPr>
        <w:t>Du Plessis v The Independent Regulatory Board for Auditors 2017 JDR 0902 (WCC) at paras 6 to 18.</w:t>
      </w:r>
    </w:p>
    <w:p w14:paraId="063AECA5" w14:textId="0E513051" w:rsidR="00F0146D" w:rsidRPr="00F0146D" w:rsidRDefault="00F0146D">
      <w:pPr>
        <w:pStyle w:val="FootnoteText"/>
        <w:rPr>
          <w:lang w:val="en-US"/>
        </w:rPr>
      </w:pPr>
    </w:p>
  </w:footnote>
  <w:footnote w:id="4">
    <w:p w14:paraId="25FA76AD" w14:textId="4B6A9008" w:rsidR="009D385E" w:rsidRPr="009D385E" w:rsidRDefault="009D385E">
      <w:pPr>
        <w:pStyle w:val="FootnoteText"/>
        <w:rPr>
          <w:lang w:val="en-US"/>
        </w:rPr>
      </w:pPr>
      <w:r>
        <w:rPr>
          <w:rStyle w:val="FootnoteReference"/>
        </w:rPr>
        <w:footnoteRef/>
      </w:r>
      <w:r>
        <w:t xml:space="preserve"> </w:t>
      </w:r>
      <w:r w:rsidR="00A63D79" w:rsidRPr="00A63D79">
        <w:t>Du Plessis v The Independent Regulatory Board for Auditors 2017 JDR 0902 (WCC) at paras 6 to 18.</w:t>
      </w:r>
    </w:p>
  </w:footnote>
  <w:footnote w:id="5">
    <w:p w14:paraId="02CC27EE" w14:textId="77777777" w:rsidR="00EF3B4F" w:rsidRPr="00EF3B4F" w:rsidRDefault="00674C74" w:rsidP="00EF3B4F">
      <w:pPr>
        <w:pStyle w:val="FootnoteText"/>
        <w:rPr>
          <w:sz w:val="16"/>
          <w:szCs w:val="16"/>
        </w:rPr>
      </w:pPr>
      <w:r>
        <w:rPr>
          <w:rStyle w:val="FootnoteReference"/>
        </w:rPr>
        <w:footnoteRef/>
      </w:r>
      <w:r>
        <w:t xml:space="preserve"> </w:t>
      </w:r>
      <w:r w:rsidR="00EF3B4F" w:rsidRPr="00EF3B4F">
        <w:rPr>
          <w:sz w:val="16"/>
          <w:szCs w:val="16"/>
        </w:rPr>
        <w:t>Public Protector of South Africa v Chairperson: Section 194(1) Committee and others</w:t>
      </w:r>
    </w:p>
    <w:p w14:paraId="1AFFCDA8" w14:textId="6D24930D" w:rsidR="00674C74" w:rsidRPr="00674C74" w:rsidRDefault="00EF3B4F" w:rsidP="00EF3B4F">
      <w:pPr>
        <w:pStyle w:val="FootnoteText"/>
        <w:rPr>
          <w:lang w:val="en-US"/>
        </w:rPr>
      </w:pPr>
      <w:r w:rsidRPr="00EF3B4F">
        <w:rPr>
          <w:sz w:val="16"/>
          <w:szCs w:val="16"/>
        </w:rPr>
        <w:t>[2023] 2 All SA 818 (WCC)</w:t>
      </w:r>
    </w:p>
  </w:footnote>
  <w:footnote w:id="6">
    <w:p w14:paraId="7EF4618B" w14:textId="578BE563" w:rsidR="00DC3018" w:rsidRPr="00236672" w:rsidRDefault="00DC3018" w:rsidP="00236672">
      <w:pPr>
        <w:pStyle w:val="FootnoteText"/>
        <w:rPr>
          <w:sz w:val="16"/>
          <w:szCs w:val="16"/>
        </w:rPr>
      </w:pPr>
      <w:r>
        <w:rPr>
          <w:rStyle w:val="FootnoteReference"/>
        </w:rPr>
        <w:footnoteRef/>
      </w:r>
      <w:r>
        <w:t xml:space="preserve"> </w:t>
      </w:r>
      <w:r w:rsidR="00EC37A6">
        <w:rPr>
          <w:lang w:val="en-US"/>
        </w:rPr>
        <w:t>Supra P</w:t>
      </w:r>
      <w:r w:rsidR="0063564C">
        <w:rPr>
          <w:lang w:val="en-US"/>
        </w:rPr>
        <w:t>a</w:t>
      </w:r>
      <w:r w:rsidR="009D79A2">
        <w:rPr>
          <w:lang w:val="en-US"/>
        </w:rPr>
        <w:t>ra [40]</w:t>
      </w:r>
      <w:r w:rsidR="00DC23C4">
        <w:rPr>
          <w:lang w:val="en-US"/>
        </w:rPr>
        <w:t xml:space="preserve"> – [41]</w:t>
      </w:r>
      <w:r w:rsidR="0063564C">
        <w:rPr>
          <w:lang w:val="en-US"/>
        </w:rPr>
        <w:t xml:space="preserve"> of </w:t>
      </w:r>
      <w:r w:rsidR="0063564C" w:rsidRPr="00EF3B4F">
        <w:rPr>
          <w:sz w:val="16"/>
          <w:szCs w:val="16"/>
        </w:rPr>
        <w:t>Public Protector of South Africa v Chairperson: Section 194(1) Committee and others</w:t>
      </w:r>
      <w:r w:rsidR="0063564C">
        <w:rPr>
          <w:sz w:val="16"/>
          <w:szCs w:val="16"/>
        </w:rPr>
        <w:t xml:space="preserve"> [2023] 2 All SA </w:t>
      </w:r>
      <w:r w:rsidR="00D9076D">
        <w:rPr>
          <w:sz w:val="16"/>
          <w:szCs w:val="16"/>
        </w:rPr>
        <w:t>818.</w:t>
      </w:r>
    </w:p>
  </w:footnote>
  <w:footnote w:id="7">
    <w:p w14:paraId="41A021CE" w14:textId="4BEB4D4E" w:rsidR="00AE703F" w:rsidRPr="00AE703F" w:rsidRDefault="00AE703F">
      <w:pPr>
        <w:pStyle w:val="FootnoteText"/>
        <w:rPr>
          <w:lang w:val="en-US"/>
        </w:rPr>
      </w:pPr>
      <w:r>
        <w:rPr>
          <w:rStyle w:val="FootnoteReference"/>
        </w:rPr>
        <w:footnoteRef/>
      </w:r>
      <w:r>
        <w:t xml:space="preserve"> </w:t>
      </w:r>
      <w:r w:rsidRPr="00236672">
        <w:rPr>
          <w:sz w:val="16"/>
          <w:szCs w:val="16"/>
          <w:lang w:val="en-US"/>
        </w:rPr>
        <w:t>Take &amp; Save</w:t>
      </w:r>
      <w:r w:rsidR="00C407FC" w:rsidRPr="00236672">
        <w:rPr>
          <w:sz w:val="16"/>
          <w:szCs w:val="16"/>
          <w:lang w:val="en-US"/>
        </w:rPr>
        <w:t xml:space="preserve"> </w:t>
      </w:r>
      <w:r w:rsidR="00563F51" w:rsidRPr="00236672">
        <w:rPr>
          <w:sz w:val="16"/>
          <w:szCs w:val="16"/>
          <w:lang w:val="en-US"/>
        </w:rPr>
        <w:t xml:space="preserve">Trading CC and Others </w:t>
      </w:r>
      <w:r w:rsidR="008171B0" w:rsidRPr="00236672">
        <w:rPr>
          <w:sz w:val="16"/>
          <w:szCs w:val="16"/>
          <w:lang w:val="en-US"/>
        </w:rPr>
        <w:t xml:space="preserve">v The Standard Bank of SA Ltd </w:t>
      </w:r>
      <w:r w:rsidR="00C407FC" w:rsidRPr="00236672">
        <w:rPr>
          <w:sz w:val="16"/>
          <w:szCs w:val="16"/>
          <w:lang w:val="en-US"/>
        </w:rPr>
        <w:t xml:space="preserve">2004 (4) SA 1 (SCA), </w:t>
      </w:r>
      <w:r w:rsidR="00563F51" w:rsidRPr="00236672">
        <w:rPr>
          <w:sz w:val="16"/>
          <w:szCs w:val="16"/>
          <w:lang w:val="en-US"/>
        </w:rPr>
        <w:t>2004 ZASCA 1</w:t>
      </w:r>
      <w:r w:rsidR="00563F51">
        <w:rPr>
          <w:lang w:val="en-US"/>
        </w:rPr>
        <w:t>.</w:t>
      </w:r>
    </w:p>
  </w:footnote>
  <w:footnote w:id="8">
    <w:p w14:paraId="11A3E12E" w14:textId="1C9A87A6" w:rsidR="00DB1C07" w:rsidRPr="00DB1C07" w:rsidRDefault="00DB1C07">
      <w:pPr>
        <w:pStyle w:val="FootnoteText"/>
        <w:rPr>
          <w:lang w:val="en-US"/>
        </w:rPr>
      </w:pPr>
      <w:r>
        <w:rPr>
          <w:rStyle w:val="FootnoteReference"/>
        </w:rPr>
        <w:footnoteRef/>
      </w:r>
      <w:r>
        <w:t xml:space="preserve"> </w:t>
      </w:r>
      <w:r>
        <w:rPr>
          <w:lang w:val="en-US"/>
        </w:rPr>
        <w:t xml:space="preserve">Pretorius and </w:t>
      </w:r>
      <w:r w:rsidR="00014D54">
        <w:rPr>
          <w:lang w:val="en-US"/>
        </w:rPr>
        <w:t>Another</w:t>
      </w:r>
      <w:r>
        <w:rPr>
          <w:lang w:val="en-US"/>
        </w:rPr>
        <w:t xml:space="preserve"> v Transport Pension Fund and Other</w:t>
      </w:r>
      <w:r w:rsidR="00014D54">
        <w:rPr>
          <w:lang w:val="en-US"/>
        </w:rPr>
        <w:t>s 20</w:t>
      </w:r>
      <w:r w:rsidR="00597CC2">
        <w:rPr>
          <w:lang w:val="en-US"/>
        </w:rPr>
        <w:t>19 (2) SA 37 (CC), [2018] ZACC 10 (CC)</w:t>
      </w:r>
      <w:r w:rsidR="00DE208B">
        <w:rPr>
          <w:lang w:val="en-US"/>
        </w:rPr>
        <w:t>.</w:t>
      </w:r>
    </w:p>
  </w:footnote>
  <w:footnote w:id="9">
    <w:p w14:paraId="4C8D45A2" w14:textId="0BD9AE8C" w:rsidR="00ED7163" w:rsidRPr="00ED7163" w:rsidRDefault="00ED7163">
      <w:pPr>
        <w:pStyle w:val="FootnoteText"/>
        <w:rPr>
          <w:lang w:val="en-US"/>
        </w:rPr>
      </w:pPr>
      <w:r>
        <w:rPr>
          <w:rStyle w:val="FootnoteReference"/>
        </w:rPr>
        <w:footnoteRef/>
      </w:r>
      <w:r>
        <w:t xml:space="preserve"> </w:t>
      </w:r>
      <w:r>
        <w:rPr>
          <w:lang w:val="en-US"/>
        </w:rPr>
        <w:t xml:space="preserve">My Vote Counts NPC v </w:t>
      </w:r>
      <w:r w:rsidR="00317E1F">
        <w:rPr>
          <w:lang w:val="en-US"/>
        </w:rPr>
        <w:t xml:space="preserve">Speaker of the National Assembly [2015] ZACC 31 (CC), </w:t>
      </w:r>
      <w:r w:rsidR="005579DB">
        <w:rPr>
          <w:lang w:val="en-US"/>
        </w:rPr>
        <w:t>2015 (1) SA 132 (CC).</w:t>
      </w:r>
    </w:p>
  </w:footnote>
  <w:footnote w:id="10">
    <w:p w14:paraId="14202EE4" w14:textId="4E0E0D3C" w:rsidR="005353DB" w:rsidRPr="005353DB" w:rsidRDefault="005353DB">
      <w:pPr>
        <w:pStyle w:val="FootnoteText"/>
        <w:rPr>
          <w:lang w:val="en-US"/>
        </w:rPr>
      </w:pPr>
      <w:r>
        <w:rPr>
          <w:rStyle w:val="FootnoteReference"/>
        </w:rPr>
        <w:footnoteRef/>
      </w:r>
      <w:r>
        <w:t xml:space="preserve"> </w:t>
      </w:r>
      <w:r w:rsidR="008B28F2">
        <w:rPr>
          <w:lang w:val="en-US"/>
        </w:rPr>
        <w:t>Basson v Hugo &amp; Others 2018 (3) SA 46 (SCA).</w:t>
      </w:r>
    </w:p>
  </w:footnote>
  <w:footnote w:id="11">
    <w:p w14:paraId="5CAD8145" w14:textId="700A0C74" w:rsidR="000F348A" w:rsidRPr="000F348A" w:rsidRDefault="000F348A">
      <w:pPr>
        <w:pStyle w:val="FootnoteText"/>
        <w:rPr>
          <w:lang w:val="en-US"/>
        </w:rPr>
      </w:pPr>
      <w:r>
        <w:rPr>
          <w:rStyle w:val="FootnoteReference"/>
        </w:rPr>
        <w:footnoteRef/>
      </w:r>
      <w:r>
        <w:t xml:space="preserve"> </w:t>
      </w:r>
      <w:r>
        <w:rPr>
          <w:lang w:val="en-US"/>
        </w:rPr>
        <w:t>Basson v Hugo &amp; Others</w:t>
      </w:r>
      <w:r w:rsidR="00A56775">
        <w:rPr>
          <w:lang w:val="en-US"/>
        </w:rPr>
        <w:t xml:space="preserve"> para [17] to [21].</w:t>
      </w:r>
    </w:p>
  </w:footnote>
  <w:footnote w:id="12">
    <w:p w14:paraId="474EC4EE" w14:textId="5E651B57" w:rsidR="006F5C23" w:rsidRPr="006F5C23" w:rsidRDefault="006F5C23">
      <w:pPr>
        <w:pStyle w:val="FootnoteText"/>
        <w:rPr>
          <w:lang w:val="en-US"/>
        </w:rPr>
      </w:pPr>
      <w:r>
        <w:rPr>
          <w:rStyle w:val="FootnoteReference"/>
        </w:rPr>
        <w:footnoteRef/>
      </w:r>
      <w:r>
        <w:t xml:space="preserve"> </w:t>
      </w:r>
      <w:r w:rsidR="00F578A2">
        <w:rPr>
          <w:lang w:val="en-US"/>
        </w:rPr>
        <w:t>Basson Para [22].</w:t>
      </w:r>
    </w:p>
  </w:footnote>
  <w:footnote w:id="13">
    <w:p w14:paraId="1C3565C8" w14:textId="44412CBC" w:rsidR="00B4494F" w:rsidRPr="00B4494F" w:rsidRDefault="00B4494F" w:rsidP="00ED2B18">
      <w:pPr>
        <w:pStyle w:val="FootnoteText"/>
        <w:rPr>
          <w:lang w:val="en-US"/>
        </w:rPr>
      </w:pPr>
      <w:r>
        <w:rPr>
          <w:rStyle w:val="FootnoteReference"/>
        </w:rPr>
        <w:footnoteRef/>
      </w:r>
      <w:r>
        <w:t xml:space="preserve"> </w:t>
      </w:r>
      <w:r>
        <w:rPr>
          <w:lang w:val="en-US"/>
        </w:rPr>
        <w:t xml:space="preserve">Basson </w:t>
      </w:r>
      <w:r w:rsidR="00D33580">
        <w:rPr>
          <w:lang w:val="en-US"/>
        </w:rPr>
        <w:t xml:space="preserve">Para [25], </w:t>
      </w:r>
      <w:bookmarkStart w:id="0" w:name="_Hlk153106067"/>
      <w:bookmarkStart w:id="1" w:name="_Hlk153106068"/>
      <w:bookmarkStart w:id="2" w:name="_Hlk153106069"/>
      <w:bookmarkStart w:id="3" w:name="_Hlk153106070"/>
      <w:bookmarkStart w:id="4" w:name="_Hlk153106074"/>
      <w:bookmarkStart w:id="5" w:name="_Hlk153106075"/>
      <w:r w:rsidR="008F76B4">
        <w:rPr>
          <w:lang w:val="en-US"/>
        </w:rPr>
        <w:t xml:space="preserve">President of the RSA v </w:t>
      </w:r>
      <w:r w:rsidR="00EE3AE3" w:rsidRPr="00EE3AE3">
        <w:rPr>
          <w:i/>
          <w:iCs/>
          <w:lang w:val="en-US"/>
        </w:rPr>
        <w:t xml:space="preserve">SARFU </w:t>
      </w:r>
      <w:r w:rsidR="00EF20D7">
        <w:rPr>
          <w:i/>
          <w:iCs/>
          <w:lang w:val="en-US"/>
        </w:rPr>
        <w:t>1999</w:t>
      </w:r>
      <w:r w:rsidR="00B2557F">
        <w:rPr>
          <w:i/>
          <w:iCs/>
          <w:lang w:val="en-US"/>
        </w:rPr>
        <w:t xml:space="preserve"> (4) SA 147 (CC)</w:t>
      </w:r>
      <w:r w:rsidR="00011B9A">
        <w:rPr>
          <w:i/>
          <w:iCs/>
          <w:lang w:val="en-US"/>
        </w:rPr>
        <w:t xml:space="preserve"> </w:t>
      </w:r>
      <w:r w:rsidR="001001DF">
        <w:rPr>
          <w:i/>
          <w:iCs/>
          <w:lang w:val="en-US"/>
        </w:rPr>
        <w:t>para 35,</w:t>
      </w:r>
      <w:r w:rsidR="00EE3AE3">
        <w:rPr>
          <w:lang w:val="en-US"/>
        </w:rPr>
        <w:t xml:space="preserve"> and </w:t>
      </w:r>
      <w:r w:rsidR="00CB2ED2" w:rsidRPr="00872983">
        <w:rPr>
          <w:i/>
          <w:iCs/>
        </w:rPr>
        <w:t xml:space="preserve">South African Commercial Catering and Allied Workers Union and Others v Irvin &amp; Johnson </w:t>
      </w:r>
      <w:r w:rsidR="00872983" w:rsidRPr="00872983">
        <w:rPr>
          <w:i/>
          <w:iCs/>
        </w:rPr>
        <w:t>Ltd</w:t>
      </w:r>
      <w:r w:rsidR="00872983" w:rsidRPr="00CB2ED2">
        <w:t xml:space="preserve"> </w:t>
      </w:r>
      <w:r w:rsidR="00872983">
        <w:t>2000</w:t>
      </w:r>
      <w:r w:rsidR="00CB2ED2" w:rsidRPr="00CB2ED2">
        <w:t xml:space="preserve"> (3) 5A 705 (</w:t>
      </w:r>
      <w:r w:rsidR="00872983" w:rsidRPr="00CB2ED2">
        <w:t>CC</w:t>
      </w:r>
      <w:r w:rsidR="00CB2ED2" w:rsidRPr="00CB2ED2">
        <w:t>)</w:t>
      </w:r>
      <w:r w:rsidR="001001DF">
        <w:t xml:space="preserve"> para 13.</w:t>
      </w:r>
      <w:r w:rsidR="00CB2ED2" w:rsidRPr="00CB2ED2">
        <w:t xml:space="preserve"> </w:t>
      </w:r>
      <w:bookmarkEnd w:id="0"/>
      <w:bookmarkEnd w:id="1"/>
      <w:bookmarkEnd w:id="2"/>
      <w:bookmarkEnd w:id="3"/>
      <w:bookmarkEnd w:id="4"/>
      <w:bookmarkEnd w:id="5"/>
    </w:p>
  </w:footnote>
  <w:footnote w:id="14">
    <w:p w14:paraId="015F8CB3" w14:textId="749A45C4" w:rsidR="008A7FCD" w:rsidRPr="008A7FCD" w:rsidRDefault="008A7FCD">
      <w:pPr>
        <w:pStyle w:val="FootnoteText"/>
        <w:rPr>
          <w:lang w:val="en-US"/>
        </w:rPr>
      </w:pPr>
      <w:r>
        <w:rPr>
          <w:rStyle w:val="FootnoteReference"/>
        </w:rPr>
        <w:footnoteRef/>
      </w:r>
      <w:r>
        <w:t xml:space="preserve"> </w:t>
      </w:r>
      <w:r w:rsidR="00D359F6" w:rsidRPr="00D359F6">
        <w:t xml:space="preserve">Bernert v Absa </w:t>
      </w:r>
      <w:r w:rsidR="00D359F6">
        <w:t>B</w:t>
      </w:r>
      <w:r w:rsidR="00D359F6" w:rsidRPr="00D359F6">
        <w:t>ank Ltd 2011 (3) SA 92 (CC) (2011 (4) BC</w:t>
      </w:r>
      <w:r w:rsidR="00D359F6">
        <w:t>L</w:t>
      </w:r>
      <w:r w:rsidR="00D359F6" w:rsidRPr="00D359F6">
        <w:t>R 329; 9 [2010] ZACC 28) paras 28 and 31.</w:t>
      </w:r>
    </w:p>
  </w:footnote>
  <w:footnote w:id="15">
    <w:p w14:paraId="482B03FA" w14:textId="06C7B81B" w:rsidR="0004797D" w:rsidRPr="0004797D" w:rsidRDefault="0004797D">
      <w:pPr>
        <w:pStyle w:val="FootnoteText"/>
        <w:rPr>
          <w:lang w:val="en-US"/>
        </w:rPr>
      </w:pPr>
      <w:r>
        <w:rPr>
          <w:rStyle w:val="FootnoteReference"/>
        </w:rPr>
        <w:footnoteRef/>
      </w:r>
      <w:r>
        <w:t xml:space="preserve"> </w:t>
      </w:r>
      <w:r>
        <w:rPr>
          <w:lang w:val="en-US"/>
        </w:rPr>
        <w:t xml:space="preserve">Section 7 (2) of PAJA; </w:t>
      </w:r>
      <w:r w:rsidR="00E9178D" w:rsidRPr="00E9178D">
        <w:t>Koyabe and Others v Minister for Home Affairs and Others (Lawyers for Human Rights as Amicus Curiae) 2010 (4) SA 327 (CC) (2009 (12) BCLR 1192; [2009] ZACC 23</w:t>
      </w:r>
      <w:r w:rsidR="00F72746">
        <w:t xml:space="preserve"> Para 34.</w:t>
      </w:r>
    </w:p>
  </w:footnote>
  <w:footnote w:id="16">
    <w:p w14:paraId="7F129444" w14:textId="4F34005C" w:rsidR="008D51B3" w:rsidRPr="008D51B3" w:rsidRDefault="008D51B3">
      <w:pPr>
        <w:pStyle w:val="FootnoteText"/>
        <w:rPr>
          <w:lang w:val="en-US"/>
        </w:rPr>
      </w:pPr>
      <w:r>
        <w:rPr>
          <w:rStyle w:val="FootnoteReference"/>
        </w:rPr>
        <w:footnoteRef/>
      </w:r>
      <w:r>
        <w:t xml:space="preserve"> </w:t>
      </w:r>
      <w:r w:rsidR="00265BE2">
        <w:rPr>
          <w:lang w:val="en-US"/>
        </w:rPr>
        <w:t>Hoexter &amp; Penfold – Administrative law</w:t>
      </w:r>
      <w:r w:rsidR="00F1728B">
        <w:rPr>
          <w:lang w:val="en-US"/>
        </w:rPr>
        <w:t xml:space="preserve"> in South Africa 3ed p</w:t>
      </w:r>
      <w:r w:rsidR="007A236A">
        <w:rPr>
          <w:lang w:val="en-US"/>
        </w:rPr>
        <w:t>746</w:t>
      </w:r>
      <w:r w:rsidR="001535A7">
        <w:rPr>
          <w:lang w:val="en-US"/>
        </w:rPr>
        <w:t xml:space="preserve"> note 365.</w:t>
      </w:r>
    </w:p>
  </w:footnote>
  <w:footnote w:id="17">
    <w:p w14:paraId="1ABDB908" w14:textId="22AE0684" w:rsidR="00DB1E03" w:rsidRPr="00DB1E03" w:rsidRDefault="00DB1E03">
      <w:pPr>
        <w:pStyle w:val="FootnoteText"/>
        <w:rPr>
          <w:lang w:val="en-US"/>
        </w:rPr>
      </w:pPr>
      <w:r>
        <w:rPr>
          <w:rStyle w:val="FootnoteReference"/>
        </w:rPr>
        <w:footnoteRef/>
      </w:r>
      <w:r>
        <w:t xml:space="preserve"> </w:t>
      </w:r>
      <w:r>
        <w:rPr>
          <w:lang w:val="en-US"/>
        </w:rPr>
        <w:t xml:space="preserve">Koyabe </w:t>
      </w:r>
      <w:r w:rsidR="009E7467">
        <w:rPr>
          <w:lang w:val="en-US"/>
        </w:rPr>
        <w:t>para 38.</w:t>
      </w:r>
    </w:p>
  </w:footnote>
  <w:footnote w:id="18">
    <w:p w14:paraId="7A9B0BD5" w14:textId="4C365208" w:rsidR="009E7467" w:rsidRPr="009E7467" w:rsidRDefault="009E7467">
      <w:pPr>
        <w:pStyle w:val="FootnoteText"/>
        <w:rPr>
          <w:lang w:val="en-US"/>
        </w:rPr>
      </w:pPr>
      <w:r>
        <w:rPr>
          <w:rStyle w:val="FootnoteReference"/>
        </w:rPr>
        <w:footnoteRef/>
      </w:r>
      <w:r>
        <w:t xml:space="preserve"> </w:t>
      </w:r>
      <w:r>
        <w:rPr>
          <w:lang w:val="en-US"/>
        </w:rPr>
        <w:t xml:space="preserve">Ibid </w:t>
      </w:r>
      <w:r w:rsidR="00F02849">
        <w:rPr>
          <w:lang w:val="en-US"/>
        </w:rPr>
        <w:t>para 39.</w:t>
      </w:r>
    </w:p>
  </w:footnote>
  <w:footnote w:id="19">
    <w:p w14:paraId="2ECEB4A6" w14:textId="7D46D77A" w:rsidR="00B415B1" w:rsidRPr="00B415B1" w:rsidRDefault="00B415B1">
      <w:pPr>
        <w:pStyle w:val="FootnoteText"/>
        <w:rPr>
          <w:lang w:val="en-US"/>
        </w:rPr>
      </w:pPr>
      <w:r>
        <w:rPr>
          <w:rStyle w:val="FootnoteReference"/>
        </w:rPr>
        <w:footnoteRef/>
      </w:r>
      <w:r>
        <w:t xml:space="preserve"> </w:t>
      </w:r>
      <w:r>
        <w:rPr>
          <w:lang w:val="en-US"/>
        </w:rPr>
        <w:t>Ibid para</w:t>
      </w:r>
      <w:r w:rsidR="00836D08">
        <w:rPr>
          <w:lang w:val="en-US"/>
        </w:rPr>
        <w:t xml:space="preserve"> </w:t>
      </w:r>
      <w:r w:rsidR="009E0830">
        <w:rPr>
          <w:lang w:val="en-US"/>
        </w:rPr>
        <w:t>44.</w:t>
      </w:r>
    </w:p>
  </w:footnote>
  <w:footnote w:id="20">
    <w:p w14:paraId="4C180503" w14:textId="1D7E20E7" w:rsidR="00E569BA" w:rsidRPr="00E569BA" w:rsidRDefault="00E569BA">
      <w:pPr>
        <w:pStyle w:val="FootnoteText"/>
        <w:rPr>
          <w:lang w:val="en-US"/>
        </w:rPr>
      </w:pPr>
      <w:r>
        <w:rPr>
          <w:rStyle w:val="FootnoteReference"/>
        </w:rPr>
        <w:footnoteRef/>
      </w:r>
      <w:r>
        <w:t xml:space="preserve"> </w:t>
      </w:r>
      <w:r>
        <w:rPr>
          <w:lang w:val="en-US"/>
        </w:rPr>
        <w:t>Basson (</w:t>
      </w:r>
      <w:r w:rsidR="00C61AD0">
        <w:rPr>
          <w:lang w:val="en-US"/>
        </w:rPr>
        <w:t>supra) para 12.</w:t>
      </w:r>
    </w:p>
  </w:footnote>
  <w:footnote w:id="21">
    <w:p w14:paraId="590FA139" w14:textId="4510440C" w:rsidR="001D29A8" w:rsidRPr="001D29A8" w:rsidRDefault="001D29A8">
      <w:pPr>
        <w:pStyle w:val="FootnoteText"/>
        <w:rPr>
          <w:lang w:val="en-US"/>
        </w:rPr>
      </w:pPr>
      <w:r>
        <w:rPr>
          <w:rStyle w:val="FootnoteReference"/>
        </w:rPr>
        <w:footnoteRef/>
      </w:r>
      <w:r>
        <w:t xml:space="preserve"> </w:t>
      </w:r>
      <w:r>
        <w:rPr>
          <w:lang w:val="en-US"/>
        </w:rPr>
        <w:t xml:space="preserve">Mr. Maritz’s analogy of 3 elephants </w:t>
      </w:r>
      <w:r w:rsidR="003B2C98">
        <w:rPr>
          <w:lang w:val="en-US"/>
        </w:rPr>
        <w:t>as recorded in Caselines volume 18 of 028 (Transcript)</w:t>
      </w:r>
      <w:r w:rsidR="009C4A62">
        <w:rPr>
          <w:lang w:val="en-US"/>
        </w:rPr>
        <w:t>.</w:t>
      </w:r>
    </w:p>
  </w:footnote>
  <w:footnote w:id="22">
    <w:p w14:paraId="786B918E" w14:textId="2AE25EA0" w:rsidR="00CC50F1" w:rsidRPr="00CC50F1" w:rsidRDefault="00CC50F1">
      <w:pPr>
        <w:pStyle w:val="FootnoteText"/>
        <w:rPr>
          <w:lang w:val="en-US"/>
        </w:rPr>
      </w:pPr>
      <w:r>
        <w:rPr>
          <w:rStyle w:val="FootnoteReference"/>
        </w:rPr>
        <w:footnoteRef/>
      </w:r>
      <w:r>
        <w:t xml:space="preserve"> </w:t>
      </w:r>
      <w:r w:rsidR="00B51BA2">
        <w:rPr>
          <w:lang w:val="en-US"/>
        </w:rPr>
        <w:t>Paragraph 11 at Caselines 002-</w:t>
      </w:r>
      <w:r w:rsidR="00850386">
        <w:rPr>
          <w:lang w:val="en-US"/>
        </w:rPr>
        <w:t>76 inter alia.</w:t>
      </w:r>
    </w:p>
  </w:footnote>
  <w:footnote w:id="23">
    <w:p w14:paraId="00A165EB" w14:textId="30209508" w:rsidR="00A04E70" w:rsidRPr="00A04E70" w:rsidRDefault="00A04E70">
      <w:pPr>
        <w:pStyle w:val="FootnoteText"/>
        <w:rPr>
          <w:lang w:val="en-US"/>
        </w:rPr>
      </w:pPr>
      <w:r>
        <w:rPr>
          <w:rStyle w:val="FootnoteReference"/>
        </w:rPr>
        <w:footnoteRef/>
      </w:r>
      <w:r>
        <w:t xml:space="preserve"> </w:t>
      </w:r>
      <w:r w:rsidR="00524E24">
        <w:rPr>
          <w:lang w:val="en-US"/>
        </w:rPr>
        <w:t>Caselines 002-251 at para 4.2.</w:t>
      </w:r>
    </w:p>
  </w:footnote>
  <w:footnote w:id="24">
    <w:p w14:paraId="2FA22091" w14:textId="3E9E53EA" w:rsidR="008843A3" w:rsidRPr="008843A3" w:rsidRDefault="008843A3">
      <w:pPr>
        <w:pStyle w:val="FootnoteText"/>
        <w:rPr>
          <w:lang w:val="en-US"/>
        </w:rPr>
      </w:pPr>
      <w:r>
        <w:rPr>
          <w:rStyle w:val="FootnoteReference"/>
        </w:rPr>
        <w:footnoteRef/>
      </w:r>
      <w:r>
        <w:t xml:space="preserve"> </w:t>
      </w:r>
      <w:r w:rsidR="00CD1CAD">
        <w:rPr>
          <w:lang w:val="en-US"/>
        </w:rPr>
        <w:t>Basson Para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1B5C5F"/>
    <w:multiLevelType w:val="hybridMultilevel"/>
    <w:tmpl w:val="926EEBF8"/>
    <w:lvl w:ilvl="0" w:tplc="774AE70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1C0287"/>
    <w:multiLevelType w:val="multilevel"/>
    <w:tmpl w:val="2EFA78B0"/>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15:restartNumberingAfterBreak="0">
    <w:nsid w:val="532441A9"/>
    <w:multiLevelType w:val="hybridMultilevel"/>
    <w:tmpl w:val="2582536E"/>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6D7A297C"/>
    <w:multiLevelType w:val="hybridMultilevel"/>
    <w:tmpl w:val="5D2CD614"/>
    <w:lvl w:ilvl="0" w:tplc="872881A0">
      <w:start w:val="1"/>
      <w:numFmt w:val="decimal"/>
      <w:lvlText w:val="[%1]"/>
      <w:lvlJc w:val="left"/>
      <w:pPr>
        <w:ind w:left="1440" w:hanging="360"/>
      </w:pPr>
      <w:rPr>
        <w:rFonts w:hint="default"/>
        <w:color w:val="000000" w:themeColor="text1"/>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63A5083"/>
    <w:multiLevelType w:val="hybridMultilevel"/>
    <w:tmpl w:val="0E320F64"/>
    <w:lvl w:ilvl="0" w:tplc="872881A0">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8"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844368587">
    <w:abstractNumId w:val="9"/>
  </w:num>
  <w:num w:numId="2" w16cid:durableId="952129661">
    <w:abstractNumId w:val="2"/>
  </w:num>
  <w:num w:numId="3" w16cid:durableId="1614558638">
    <w:abstractNumId w:val="17"/>
  </w:num>
  <w:num w:numId="4" w16cid:durableId="1618675417">
    <w:abstractNumId w:val="7"/>
  </w:num>
  <w:num w:numId="5" w16cid:durableId="1538009166">
    <w:abstractNumId w:val="6"/>
  </w:num>
  <w:num w:numId="6" w16cid:durableId="2139059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814847">
    <w:abstractNumId w:val="18"/>
  </w:num>
  <w:num w:numId="8" w16cid:durableId="2125884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57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649716">
    <w:abstractNumId w:val="12"/>
  </w:num>
  <w:num w:numId="11" w16cid:durableId="1170363581">
    <w:abstractNumId w:val="1"/>
  </w:num>
  <w:num w:numId="12" w16cid:durableId="1833256806">
    <w:abstractNumId w:val="5"/>
  </w:num>
  <w:num w:numId="13" w16cid:durableId="585502241">
    <w:abstractNumId w:val="3"/>
  </w:num>
  <w:num w:numId="14" w16cid:durableId="2031762310">
    <w:abstractNumId w:val="16"/>
  </w:num>
  <w:num w:numId="15" w16cid:durableId="1158421165">
    <w:abstractNumId w:val="10"/>
  </w:num>
  <w:num w:numId="16" w16cid:durableId="1746680014">
    <w:abstractNumId w:val="4"/>
  </w:num>
  <w:num w:numId="17" w16cid:durableId="769199296">
    <w:abstractNumId w:val="13"/>
  </w:num>
  <w:num w:numId="18" w16cid:durableId="1959486857">
    <w:abstractNumId w:val="0"/>
  </w:num>
  <w:num w:numId="19" w16cid:durableId="269705662">
    <w:abstractNumId w:val="14"/>
  </w:num>
  <w:num w:numId="20" w16cid:durableId="966276542">
    <w:abstractNumId w:val="15"/>
  </w:num>
  <w:num w:numId="21" w16cid:durableId="287587945">
    <w:abstractNumId w:val="11"/>
  </w:num>
  <w:num w:numId="22" w16cid:durableId="630325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697"/>
    <w:rsid w:val="00000B8C"/>
    <w:rsid w:val="000017BA"/>
    <w:rsid w:val="00002A26"/>
    <w:rsid w:val="0000452E"/>
    <w:rsid w:val="00004B10"/>
    <w:rsid w:val="00004B2E"/>
    <w:rsid w:val="0000633E"/>
    <w:rsid w:val="00006D46"/>
    <w:rsid w:val="000077F4"/>
    <w:rsid w:val="00007F15"/>
    <w:rsid w:val="00007F87"/>
    <w:rsid w:val="0001182B"/>
    <w:rsid w:val="00011B9A"/>
    <w:rsid w:val="00012781"/>
    <w:rsid w:val="0001286D"/>
    <w:rsid w:val="00012A18"/>
    <w:rsid w:val="00012A83"/>
    <w:rsid w:val="00013845"/>
    <w:rsid w:val="00013F71"/>
    <w:rsid w:val="00014D54"/>
    <w:rsid w:val="00015489"/>
    <w:rsid w:val="0001576F"/>
    <w:rsid w:val="000158CB"/>
    <w:rsid w:val="00015913"/>
    <w:rsid w:val="000176F3"/>
    <w:rsid w:val="000206C6"/>
    <w:rsid w:val="00021F2D"/>
    <w:rsid w:val="000228CE"/>
    <w:rsid w:val="00023D43"/>
    <w:rsid w:val="00025A48"/>
    <w:rsid w:val="00026395"/>
    <w:rsid w:val="00026CCB"/>
    <w:rsid w:val="0003053D"/>
    <w:rsid w:val="000324B4"/>
    <w:rsid w:val="00032E89"/>
    <w:rsid w:val="00034996"/>
    <w:rsid w:val="00040E90"/>
    <w:rsid w:val="000410CB"/>
    <w:rsid w:val="000417D8"/>
    <w:rsid w:val="00041E02"/>
    <w:rsid w:val="00041FF8"/>
    <w:rsid w:val="00042399"/>
    <w:rsid w:val="00044644"/>
    <w:rsid w:val="00044D86"/>
    <w:rsid w:val="00045AB1"/>
    <w:rsid w:val="00045BCB"/>
    <w:rsid w:val="00045F21"/>
    <w:rsid w:val="00046BC8"/>
    <w:rsid w:val="00046DD6"/>
    <w:rsid w:val="0004797D"/>
    <w:rsid w:val="0005060C"/>
    <w:rsid w:val="0005076C"/>
    <w:rsid w:val="00052440"/>
    <w:rsid w:val="00052665"/>
    <w:rsid w:val="00053B4E"/>
    <w:rsid w:val="00053D30"/>
    <w:rsid w:val="00053F59"/>
    <w:rsid w:val="000541ED"/>
    <w:rsid w:val="00056306"/>
    <w:rsid w:val="000565E0"/>
    <w:rsid w:val="0005718D"/>
    <w:rsid w:val="00063047"/>
    <w:rsid w:val="00063F44"/>
    <w:rsid w:val="00064FD3"/>
    <w:rsid w:val="0006590F"/>
    <w:rsid w:val="00070C92"/>
    <w:rsid w:val="00070D60"/>
    <w:rsid w:val="000713CF"/>
    <w:rsid w:val="00071D57"/>
    <w:rsid w:val="000721DF"/>
    <w:rsid w:val="00072435"/>
    <w:rsid w:val="00073BFD"/>
    <w:rsid w:val="00075708"/>
    <w:rsid w:val="00076740"/>
    <w:rsid w:val="00077BB2"/>
    <w:rsid w:val="00077BE5"/>
    <w:rsid w:val="0008114E"/>
    <w:rsid w:val="00081DB4"/>
    <w:rsid w:val="000874CB"/>
    <w:rsid w:val="00092485"/>
    <w:rsid w:val="00092C48"/>
    <w:rsid w:val="00092CA5"/>
    <w:rsid w:val="000930E8"/>
    <w:rsid w:val="000934F2"/>
    <w:rsid w:val="000956FF"/>
    <w:rsid w:val="00095BE8"/>
    <w:rsid w:val="00096022"/>
    <w:rsid w:val="000A134C"/>
    <w:rsid w:val="000A19F0"/>
    <w:rsid w:val="000A1FAF"/>
    <w:rsid w:val="000A3564"/>
    <w:rsid w:val="000A36B8"/>
    <w:rsid w:val="000A4529"/>
    <w:rsid w:val="000A49CD"/>
    <w:rsid w:val="000A59A0"/>
    <w:rsid w:val="000A5AF8"/>
    <w:rsid w:val="000A6572"/>
    <w:rsid w:val="000A678A"/>
    <w:rsid w:val="000A6E89"/>
    <w:rsid w:val="000A731F"/>
    <w:rsid w:val="000B1025"/>
    <w:rsid w:val="000B204C"/>
    <w:rsid w:val="000B2100"/>
    <w:rsid w:val="000B2477"/>
    <w:rsid w:val="000B4699"/>
    <w:rsid w:val="000B4D56"/>
    <w:rsid w:val="000B5B3C"/>
    <w:rsid w:val="000B5EC0"/>
    <w:rsid w:val="000B66C9"/>
    <w:rsid w:val="000C1429"/>
    <w:rsid w:val="000C1938"/>
    <w:rsid w:val="000C3484"/>
    <w:rsid w:val="000C3F8C"/>
    <w:rsid w:val="000C6C70"/>
    <w:rsid w:val="000D115C"/>
    <w:rsid w:val="000D15BD"/>
    <w:rsid w:val="000D1B75"/>
    <w:rsid w:val="000D246C"/>
    <w:rsid w:val="000D3633"/>
    <w:rsid w:val="000D41C7"/>
    <w:rsid w:val="000D4B5B"/>
    <w:rsid w:val="000D604C"/>
    <w:rsid w:val="000D72CE"/>
    <w:rsid w:val="000D78D8"/>
    <w:rsid w:val="000D7C9F"/>
    <w:rsid w:val="000E02D8"/>
    <w:rsid w:val="000E0ECB"/>
    <w:rsid w:val="000E146C"/>
    <w:rsid w:val="000E23C7"/>
    <w:rsid w:val="000E381B"/>
    <w:rsid w:val="000E54D2"/>
    <w:rsid w:val="000E5CF3"/>
    <w:rsid w:val="000E64E1"/>
    <w:rsid w:val="000E6743"/>
    <w:rsid w:val="000E7137"/>
    <w:rsid w:val="000E7C7C"/>
    <w:rsid w:val="000F239E"/>
    <w:rsid w:val="000F348A"/>
    <w:rsid w:val="000F4395"/>
    <w:rsid w:val="000F5027"/>
    <w:rsid w:val="000F525E"/>
    <w:rsid w:val="000F5F9D"/>
    <w:rsid w:val="000F6959"/>
    <w:rsid w:val="000F69AA"/>
    <w:rsid w:val="001001DF"/>
    <w:rsid w:val="00100B25"/>
    <w:rsid w:val="0010159A"/>
    <w:rsid w:val="00101FE2"/>
    <w:rsid w:val="00102E0E"/>
    <w:rsid w:val="00104DF9"/>
    <w:rsid w:val="001064EA"/>
    <w:rsid w:val="00106F23"/>
    <w:rsid w:val="0010761B"/>
    <w:rsid w:val="00110942"/>
    <w:rsid w:val="00111A06"/>
    <w:rsid w:val="001124E1"/>
    <w:rsid w:val="00112FF4"/>
    <w:rsid w:val="00117233"/>
    <w:rsid w:val="00117799"/>
    <w:rsid w:val="00117E26"/>
    <w:rsid w:val="001206E3"/>
    <w:rsid w:val="00120BD8"/>
    <w:rsid w:val="00122AF8"/>
    <w:rsid w:val="00122AFC"/>
    <w:rsid w:val="00123D26"/>
    <w:rsid w:val="00125DDE"/>
    <w:rsid w:val="00127822"/>
    <w:rsid w:val="00127EE8"/>
    <w:rsid w:val="00131748"/>
    <w:rsid w:val="001340F0"/>
    <w:rsid w:val="001346CF"/>
    <w:rsid w:val="00134764"/>
    <w:rsid w:val="001351A5"/>
    <w:rsid w:val="00140763"/>
    <w:rsid w:val="00140E2C"/>
    <w:rsid w:val="00141FEC"/>
    <w:rsid w:val="00142C7A"/>
    <w:rsid w:val="00142D20"/>
    <w:rsid w:val="00142E15"/>
    <w:rsid w:val="00145C17"/>
    <w:rsid w:val="00147140"/>
    <w:rsid w:val="00150220"/>
    <w:rsid w:val="00150347"/>
    <w:rsid w:val="0015042C"/>
    <w:rsid w:val="00150AAA"/>
    <w:rsid w:val="001516AB"/>
    <w:rsid w:val="001516F9"/>
    <w:rsid w:val="001522BF"/>
    <w:rsid w:val="001525CE"/>
    <w:rsid w:val="0015309C"/>
    <w:rsid w:val="001535A7"/>
    <w:rsid w:val="00154A98"/>
    <w:rsid w:val="00154B54"/>
    <w:rsid w:val="00154D4D"/>
    <w:rsid w:val="00157AE6"/>
    <w:rsid w:val="00157DE0"/>
    <w:rsid w:val="00160CFF"/>
    <w:rsid w:val="00161DE4"/>
    <w:rsid w:val="00163E61"/>
    <w:rsid w:val="0016514C"/>
    <w:rsid w:val="00165933"/>
    <w:rsid w:val="00166BE2"/>
    <w:rsid w:val="00170B08"/>
    <w:rsid w:val="00171E1C"/>
    <w:rsid w:val="00172328"/>
    <w:rsid w:val="00174ECE"/>
    <w:rsid w:val="0017564E"/>
    <w:rsid w:val="001773CA"/>
    <w:rsid w:val="00180C68"/>
    <w:rsid w:val="00183965"/>
    <w:rsid w:val="00183C74"/>
    <w:rsid w:val="0018563F"/>
    <w:rsid w:val="00186FE7"/>
    <w:rsid w:val="001879AC"/>
    <w:rsid w:val="00187E92"/>
    <w:rsid w:val="001907D5"/>
    <w:rsid w:val="001929B7"/>
    <w:rsid w:val="001936EE"/>
    <w:rsid w:val="00193E19"/>
    <w:rsid w:val="00194E30"/>
    <w:rsid w:val="001969A7"/>
    <w:rsid w:val="001A0211"/>
    <w:rsid w:val="001A0E94"/>
    <w:rsid w:val="001A18A5"/>
    <w:rsid w:val="001A426A"/>
    <w:rsid w:val="001A444B"/>
    <w:rsid w:val="001A5E34"/>
    <w:rsid w:val="001A7D35"/>
    <w:rsid w:val="001B087E"/>
    <w:rsid w:val="001B154A"/>
    <w:rsid w:val="001B271A"/>
    <w:rsid w:val="001B39E5"/>
    <w:rsid w:val="001B54C1"/>
    <w:rsid w:val="001B554E"/>
    <w:rsid w:val="001B55D9"/>
    <w:rsid w:val="001B567B"/>
    <w:rsid w:val="001B60B6"/>
    <w:rsid w:val="001C119B"/>
    <w:rsid w:val="001C292E"/>
    <w:rsid w:val="001C3512"/>
    <w:rsid w:val="001C3668"/>
    <w:rsid w:val="001C4A09"/>
    <w:rsid w:val="001C609A"/>
    <w:rsid w:val="001C609B"/>
    <w:rsid w:val="001C7CBD"/>
    <w:rsid w:val="001D1352"/>
    <w:rsid w:val="001D29A8"/>
    <w:rsid w:val="001D4C94"/>
    <w:rsid w:val="001D7391"/>
    <w:rsid w:val="001E3002"/>
    <w:rsid w:val="001E3272"/>
    <w:rsid w:val="001E5012"/>
    <w:rsid w:val="001E758B"/>
    <w:rsid w:val="001F2478"/>
    <w:rsid w:val="001F24DD"/>
    <w:rsid w:val="001F3D61"/>
    <w:rsid w:val="001F4034"/>
    <w:rsid w:val="001F5D70"/>
    <w:rsid w:val="001F68C3"/>
    <w:rsid w:val="001F74D7"/>
    <w:rsid w:val="001F7B71"/>
    <w:rsid w:val="002019EB"/>
    <w:rsid w:val="00202AF7"/>
    <w:rsid w:val="002050FB"/>
    <w:rsid w:val="00206D30"/>
    <w:rsid w:val="0021008C"/>
    <w:rsid w:val="00211886"/>
    <w:rsid w:val="00212564"/>
    <w:rsid w:val="002128AB"/>
    <w:rsid w:val="00212AFF"/>
    <w:rsid w:val="00212EAB"/>
    <w:rsid w:val="00213E80"/>
    <w:rsid w:val="00214117"/>
    <w:rsid w:val="002144E7"/>
    <w:rsid w:val="00214625"/>
    <w:rsid w:val="0021532A"/>
    <w:rsid w:val="00215340"/>
    <w:rsid w:val="002159F9"/>
    <w:rsid w:val="00215B62"/>
    <w:rsid w:val="00216005"/>
    <w:rsid w:val="0021656D"/>
    <w:rsid w:val="0021755E"/>
    <w:rsid w:val="0022009C"/>
    <w:rsid w:val="00220F3B"/>
    <w:rsid w:val="002210BF"/>
    <w:rsid w:val="00222CEF"/>
    <w:rsid w:val="00226526"/>
    <w:rsid w:val="0023068D"/>
    <w:rsid w:val="00230814"/>
    <w:rsid w:val="00230DF1"/>
    <w:rsid w:val="00231079"/>
    <w:rsid w:val="00232A8E"/>
    <w:rsid w:val="002339B4"/>
    <w:rsid w:val="00233E4C"/>
    <w:rsid w:val="002359A2"/>
    <w:rsid w:val="00236087"/>
    <w:rsid w:val="00236672"/>
    <w:rsid w:val="00241756"/>
    <w:rsid w:val="0024301F"/>
    <w:rsid w:val="00244BEA"/>
    <w:rsid w:val="00246FC1"/>
    <w:rsid w:val="0025116F"/>
    <w:rsid w:val="00251C34"/>
    <w:rsid w:val="002522D6"/>
    <w:rsid w:val="002539B8"/>
    <w:rsid w:val="00254BE5"/>
    <w:rsid w:val="00255104"/>
    <w:rsid w:val="00257B41"/>
    <w:rsid w:val="00257E56"/>
    <w:rsid w:val="002601E8"/>
    <w:rsid w:val="00260D1A"/>
    <w:rsid w:val="00261618"/>
    <w:rsid w:val="0026172C"/>
    <w:rsid w:val="002621C1"/>
    <w:rsid w:val="00265058"/>
    <w:rsid w:val="002654CD"/>
    <w:rsid w:val="00265BE2"/>
    <w:rsid w:val="00266994"/>
    <w:rsid w:val="002672A5"/>
    <w:rsid w:val="00267411"/>
    <w:rsid w:val="002705D2"/>
    <w:rsid w:val="002729D8"/>
    <w:rsid w:val="00274383"/>
    <w:rsid w:val="00274693"/>
    <w:rsid w:val="0027774A"/>
    <w:rsid w:val="002803BF"/>
    <w:rsid w:val="002809E0"/>
    <w:rsid w:val="002818B1"/>
    <w:rsid w:val="002820B5"/>
    <w:rsid w:val="00282B15"/>
    <w:rsid w:val="00282F79"/>
    <w:rsid w:val="00283040"/>
    <w:rsid w:val="0028349D"/>
    <w:rsid w:val="0028363A"/>
    <w:rsid w:val="0028397B"/>
    <w:rsid w:val="002848C2"/>
    <w:rsid w:val="00286CA7"/>
    <w:rsid w:val="00291000"/>
    <w:rsid w:val="00292A7A"/>
    <w:rsid w:val="00294047"/>
    <w:rsid w:val="002940B9"/>
    <w:rsid w:val="002948C9"/>
    <w:rsid w:val="0029566C"/>
    <w:rsid w:val="002976C6"/>
    <w:rsid w:val="00297CB0"/>
    <w:rsid w:val="00297E4B"/>
    <w:rsid w:val="002A0D22"/>
    <w:rsid w:val="002A3236"/>
    <w:rsid w:val="002A3A9E"/>
    <w:rsid w:val="002A40EE"/>
    <w:rsid w:val="002A452D"/>
    <w:rsid w:val="002A4941"/>
    <w:rsid w:val="002A57EF"/>
    <w:rsid w:val="002A7057"/>
    <w:rsid w:val="002B020E"/>
    <w:rsid w:val="002B1690"/>
    <w:rsid w:val="002B1E48"/>
    <w:rsid w:val="002B5165"/>
    <w:rsid w:val="002B61A6"/>
    <w:rsid w:val="002C03EB"/>
    <w:rsid w:val="002C1526"/>
    <w:rsid w:val="002C2AB6"/>
    <w:rsid w:val="002C52AC"/>
    <w:rsid w:val="002C5803"/>
    <w:rsid w:val="002C7405"/>
    <w:rsid w:val="002D043B"/>
    <w:rsid w:val="002D193B"/>
    <w:rsid w:val="002D1952"/>
    <w:rsid w:val="002D285C"/>
    <w:rsid w:val="002D4AC5"/>
    <w:rsid w:val="002D4BB7"/>
    <w:rsid w:val="002E0E46"/>
    <w:rsid w:val="002E2D5A"/>
    <w:rsid w:val="002E3771"/>
    <w:rsid w:val="002E3FE3"/>
    <w:rsid w:val="002E4962"/>
    <w:rsid w:val="002E5125"/>
    <w:rsid w:val="002E69C8"/>
    <w:rsid w:val="002E7AC1"/>
    <w:rsid w:val="002F1960"/>
    <w:rsid w:val="002F23CF"/>
    <w:rsid w:val="002F3F1A"/>
    <w:rsid w:val="002F4682"/>
    <w:rsid w:val="002F575E"/>
    <w:rsid w:val="002F653F"/>
    <w:rsid w:val="002F708B"/>
    <w:rsid w:val="00300CF5"/>
    <w:rsid w:val="00300CF8"/>
    <w:rsid w:val="003019DC"/>
    <w:rsid w:val="00301C88"/>
    <w:rsid w:val="0030256F"/>
    <w:rsid w:val="00303338"/>
    <w:rsid w:val="00304B7B"/>
    <w:rsid w:val="0030600D"/>
    <w:rsid w:val="003064BF"/>
    <w:rsid w:val="00310AC5"/>
    <w:rsid w:val="0031100A"/>
    <w:rsid w:val="00313356"/>
    <w:rsid w:val="00314226"/>
    <w:rsid w:val="00314953"/>
    <w:rsid w:val="00314B4C"/>
    <w:rsid w:val="003163AE"/>
    <w:rsid w:val="0031678C"/>
    <w:rsid w:val="00316C65"/>
    <w:rsid w:val="003170CC"/>
    <w:rsid w:val="003175B4"/>
    <w:rsid w:val="00317E1F"/>
    <w:rsid w:val="00322A09"/>
    <w:rsid w:val="00323D51"/>
    <w:rsid w:val="00331C20"/>
    <w:rsid w:val="00331FB0"/>
    <w:rsid w:val="00332E99"/>
    <w:rsid w:val="00335213"/>
    <w:rsid w:val="00336FD1"/>
    <w:rsid w:val="00340665"/>
    <w:rsid w:val="00340761"/>
    <w:rsid w:val="00340F30"/>
    <w:rsid w:val="00341B67"/>
    <w:rsid w:val="003432F0"/>
    <w:rsid w:val="00345192"/>
    <w:rsid w:val="00346357"/>
    <w:rsid w:val="00346997"/>
    <w:rsid w:val="00346C63"/>
    <w:rsid w:val="00346FC7"/>
    <w:rsid w:val="003477F2"/>
    <w:rsid w:val="00350383"/>
    <w:rsid w:val="00350901"/>
    <w:rsid w:val="003535D0"/>
    <w:rsid w:val="003535D1"/>
    <w:rsid w:val="00354480"/>
    <w:rsid w:val="0035549B"/>
    <w:rsid w:val="00357D59"/>
    <w:rsid w:val="00360A37"/>
    <w:rsid w:val="00360BD7"/>
    <w:rsid w:val="003641E0"/>
    <w:rsid w:val="003646ED"/>
    <w:rsid w:val="00365BB3"/>
    <w:rsid w:val="003665D1"/>
    <w:rsid w:val="00366D60"/>
    <w:rsid w:val="00373007"/>
    <w:rsid w:val="00374E4A"/>
    <w:rsid w:val="0037547B"/>
    <w:rsid w:val="00375B44"/>
    <w:rsid w:val="00375DDD"/>
    <w:rsid w:val="00377E4B"/>
    <w:rsid w:val="00380224"/>
    <w:rsid w:val="00381D5B"/>
    <w:rsid w:val="0038245A"/>
    <w:rsid w:val="00382FAE"/>
    <w:rsid w:val="00383C3A"/>
    <w:rsid w:val="003856A1"/>
    <w:rsid w:val="00386526"/>
    <w:rsid w:val="00386BA5"/>
    <w:rsid w:val="003870CE"/>
    <w:rsid w:val="00390817"/>
    <w:rsid w:val="00390B63"/>
    <w:rsid w:val="0039296B"/>
    <w:rsid w:val="003935A3"/>
    <w:rsid w:val="00397C6C"/>
    <w:rsid w:val="003A3610"/>
    <w:rsid w:val="003A3C05"/>
    <w:rsid w:val="003A3DC0"/>
    <w:rsid w:val="003A6890"/>
    <w:rsid w:val="003A6A3D"/>
    <w:rsid w:val="003B0F74"/>
    <w:rsid w:val="003B18E3"/>
    <w:rsid w:val="003B1BA9"/>
    <w:rsid w:val="003B2C98"/>
    <w:rsid w:val="003B51F0"/>
    <w:rsid w:val="003B5843"/>
    <w:rsid w:val="003C2D48"/>
    <w:rsid w:val="003C30AA"/>
    <w:rsid w:val="003D0318"/>
    <w:rsid w:val="003D0323"/>
    <w:rsid w:val="003D0B82"/>
    <w:rsid w:val="003D21F5"/>
    <w:rsid w:val="003D40A9"/>
    <w:rsid w:val="003D6896"/>
    <w:rsid w:val="003D7610"/>
    <w:rsid w:val="003E01E4"/>
    <w:rsid w:val="003E2D7F"/>
    <w:rsid w:val="003E6AAF"/>
    <w:rsid w:val="003E7763"/>
    <w:rsid w:val="003E7D46"/>
    <w:rsid w:val="003F10D1"/>
    <w:rsid w:val="003F2339"/>
    <w:rsid w:val="003F325C"/>
    <w:rsid w:val="003F3614"/>
    <w:rsid w:val="003F3C29"/>
    <w:rsid w:val="003F49F1"/>
    <w:rsid w:val="00402425"/>
    <w:rsid w:val="004027B9"/>
    <w:rsid w:val="00403015"/>
    <w:rsid w:val="004056C4"/>
    <w:rsid w:val="00406385"/>
    <w:rsid w:val="00406581"/>
    <w:rsid w:val="00406C1B"/>
    <w:rsid w:val="004104F6"/>
    <w:rsid w:val="00410DFA"/>
    <w:rsid w:val="00411297"/>
    <w:rsid w:val="00411F8B"/>
    <w:rsid w:val="00412441"/>
    <w:rsid w:val="00413902"/>
    <w:rsid w:val="00415F4B"/>
    <w:rsid w:val="0042065F"/>
    <w:rsid w:val="00420FFF"/>
    <w:rsid w:val="00421BE1"/>
    <w:rsid w:val="00424638"/>
    <w:rsid w:val="0042541E"/>
    <w:rsid w:val="00427D39"/>
    <w:rsid w:val="004302B0"/>
    <w:rsid w:val="00431E49"/>
    <w:rsid w:val="0043354B"/>
    <w:rsid w:val="00434981"/>
    <w:rsid w:val="004349D2"/>
    <w:rsid w:val="00437EA4"/>
    <w:rsid w:val="0044303B"/>
    <w:rsid w:val="004438FE"/>
    <w:rsid w:val="004466A8"/>
    <w:rsid w:val="00446737"/>
    <w:rsid w:val="004478C3"/>
    <w:rsid w:val="00447C74"/>
    <w:rsid w:val="0045041E"/>
    <w:rsid w:val="00460C59"/>
    <w:rsid w:val="00460CEE"/>
    <w:rsid w:val="00461CEF"/>
    <w:rsid w:val="004627F4"/>
    <w:rsid w:val="00462BF0"/>
    <w:rsid w:val="00463B8B"/>
    <w:rsid w:val="0046585A"/>
    <w:rsid w:val="0047086F"/>
    <w:rsid w:val="004716DD"/>
    <w:rsid w:val="00472A24"/>
    <w:rsid w:val="00473012"/>
    <w:rsid w:val="00473375"/>
    <w:rsid w:val="0047436C"/>
    <w:rsid w:val="00474A1F"/>
    <w:rsid w:val="00475381"/>
    <w:rsid w:val="004766B7"/>
    <w:rsid w:val="00476EC3"/>
    <w:rsid w:val="0047705C"/>
    <w:rsid w:val="00477A24"/>
    <w:rsid w:val="00481070"/>
    <w:rsid w:val="0048171F"/>
    <w:rsid w:val="00483920"/>
    <w:rsid w:val="00483E9E"/>
    <w:rsid w:val="00486792"/>
    <w:rsid w:val="004868DD"/>
    <w:rsid w:val="004874FF"/>
    <w:rsid w:val="00487578"/>
    <w:rsid w:val="00487B5C"/>
    <w:rsid w:val="004916C9"/>
    <w:rsid w:val="004926DA"/>
    <w:rsid w:val="004938C5"/>
    <w:rsid w:val="0049561B"/>
    <w:rsid w:val="00495EC8"/>
    <w:rsid w:val="00496D8F"/>
    <w:rsid w:val="00496E96"/>
    <w:rsid w:val="00497AC1"/>
    <w:rsid w:val="004A0D82"/>
    <w:rsid w:val="004A0E60"/>
    <w:rsid w:val="004A1258"/>
    <w:rsid w:val="004A23A7"/>
    <w:rsid w:val="004A3DE8"/>
    <w:rsid w:val="004A417D"/>
    <w:rsid w:val="004A63F1"/>
    <w:rsid w:val="004A7566"/>
    <w:rsid w:val="004B0045"/>
    <w:rsid w:val="004B182B"/>
    <w:rsid w:val="004B2140"/>
    <w:rsid w:val="004B27AC"/>
    <w:rsid w:val="004B376D"/>
    <w:rsid w:val="004B4EC8"/>
    <w:rsid w:val="004B5DBA"/>
    <w:rsid w:val="004B6F04"/>
    <w:rsid w:val="004C054F"/>
    <w:rsid w:val="004C3A65"/>
    <w:rsid w:val="004C78D1"/>
    <w:rsid w:val="004D12F1"/>
    <w:rsid w:val="004D2C2D"/>
    <w:rsid w:val="004D2F7D"/>
    <w:rsid w:val="004D3740"/>
    <w:rsid w:val="004D3A7B"/>
    <w:rsid w:val="004D4436"/>
    <w:rsid w:val="004D45B2"/>
    <w:rsid w:val="004D6333"/>
    <w:rsid w:val="004D69B3"/>
    <w:rsid w:val="004D7577"/>
    <w:rsid w:val="004E101C"/>
    <w:rsid w:val="004E66B2"/>
    <w:rsid w:val="004E72CB"/>
    <w:rsid w:val="004F16B1"/>
    <w:rsid w:val="004F7FEA"/>
    <w:rsid w:val="005018DD"/>
    <w:rsid w:val="00501C40"/>
    <w:rsid w:val="00501D7E"/>
    <w:rsid w:val="005020B8"/>
    <w:rsid w:val="00502A09"/>
    <w:rsid w:val="00506B6B"/>
    <w:rsid w:val="00507D45"/>
    <w:rsid w:val="005131A8"/>
    <w:rsid w:val="00514D4A"/>
    <w:rsid w:val="005169E8"/>
    <w:rsid w:val="00517392"/>
    <w:rsid w:val="00517E23"/>
    <w:rsid w:val="005201CF"/>
    <w:rsid w:val="00521645"/>
    <w:rsid w:val="00522F64"/>
    <w:rsid w:val="00523169"/>
    <w:rsid w:val="005233B8"/>
    <w:rsid w:val="005235A5"/>
    <w:rsid w:val="00523698"/>
    <w:rsid w:val="00523845"/>
    <w:rsid w:val="0052494F"/>
    <w:rsid w:val="00524AD4"/>
    <w:rsid w:val="00524E24"/>
    <w:rsid w:val="005256DB"/>
    <w:rsid w:val="00525E79"/>
    <w:rsid w:val="00532C9A"/>
    <w:rsid w:val="00534CFA"/>
    <w:rsid w:val="005353DB"/>
    <w:rsid w:val="00537171"/>
    <w:rsid w:val="00541167"/>
    <w:rsid w:val="00542D2C"/>
    <w:rsid w:val="005431E5"/>
    <w:rsid w:val="00546869"/>
    <w:rsid w:val="00550B3B"/>
    <w:rsid w:val="00553662"/>
    <w:rsid w:val="00555205"/>
    <w:rsid w:val="00556732"/>
    <w:rsid w:val="005579DB"/>
    <w:rsid w:val="00557AA9"/>
    <w:rsid w:val="00557BC6"/>
    <w:rsid w:val="00557E37"/>
    <w:rsid w:val="005601D1"/>
    <w:rsid w:val="0056034A"/>
    <w:rsid w:val="00562C83"/>
    <w:rsid w:val="0056322F"/>
    <w:rsid w:val="00563F51"/>
    <w:rsid w:val="00564A38"/>
    <w:rsid w:val="005664A7"/>
    <w:rsid w:val="00566636"/>
    <w:rsid w:val="00567DE3"/>
    <w:rsid w:val="005708AA"/>
    <w:rsid w:val="0057253E"/>
    <w:rsid w:val="0057256F"/>
    <w:rsid w:val="005732DA"/>
    <w:rsid w:val="005735F4"/>
    <w:rsid w:val="00573B3C"/>
    <w:rsid w:val="00574790"/>
    <w:rsid w:val="00574C5E"/>
    <w:rsid w:val="005751B9"/>
    <w:rsid w:val="00575287"/>
    <w:rsid w:val="00576B53"/>
    <w:rsid w:val="00576C72"/>
    <w:rsid w:val="005828BD"/>
    <w:rsid w:val="005841DA"/>
    <w:rsid w:val="0059028F"/>
    <w:rsid w:val="005909E4"/>
    <w:rsid w:val="00590D8C"/>
    <w:rsid w:val="0059103D"/>
    <w:rsid w:val="005912DA"/>
    <w:rsid w:val="00591EE2"/>
    <w:rsid w:val="00592087"/>
    <w:rsid w:val="00596C62"/>
    <w:rsid w:val="00597019"/>
    <w:rsid w:val="00597CC2"/>
    <w:rsid w:val="005A1E63"/>
    <w:rsid w:val="005A4D90"/>
    <w:rsid w:val="005A651A"/>
    <w:rsid w:val="005A6757"/>
    <w:rsid w:val="005A6FDC"/>
    <w:rsid w:val="005A7CBD"/>
    <w:rsid w:val="005B1D2D"/>
    <w:rsid w:val="005B37A1"/>
    <w:rsid w:val="005B3CC3"/>
    <w:rsid w:val="005B4311"/>
    <w:rsid w:val="005B4B77"/>
    <w:rsid w:val="005B535D"/>
    <w:rsid w:val="005B63F8"/>
    <w:rsid w:val="005B73A6"/>
    <w:rsid w:val="005B7878"/>
    <w:rsid w:val="005C0665"/>
    <w:rsid w:val="005C105B"/>
    <w:rsid w:val="005C115A"/>
    <w:rsid w:val="005C2295"/>
    <w:rsid w:val="005C29A9"/>
    <w:rsid w:val="005C342D"/>
    <w:rsid w:val="005C3A35"/>
    <w:rsid w:val="005C7688"/>
    <w:rsid w:val="005D3D9A"/>
    <w:rsid w:val="005E118F"/>
    <w:rsid w:val="005E23DE"/>
    <w:rsid w:val="005E27B6"/>
    <w:rsid w:val="005E3212"/>
    <w:rsid w:val="005E375E"/>
    <w:rsid w:val="005E5438"/>
    <w:rsid w:val="005E5AB7"/>
    <w:rsid w:val="005E5BBA"/>
    <w:rsid w:val="005E6BFC"/>
    <w:rsid w:val="005F1231"/>
    <w:rsid w:val="005F2C06"/>
    <w:rsid w:val="005F3D31"/>
    <w:rsid w:val="005F74BF"/>
    <w:rsid w:val="005F776A"/>
    <w:rsid w:val="006002CD"/>
    <w:rsid w:val="006004A1"/>
    <w:rsid w:val="00603EBC"/>
    <w:rsid w:val="00604681"/>
    <w:rsid w:val="00605B9F"/>
    <w:rsid w:val="00605ECF"/>
    <w:rsid w:val="0060652C"/>
    <w:rsid w:val="006070D5"/>
    <w:rsid w:val="00610FED"/>
    <w:rsid w:val="0061116B"/>
    <w:rsid w:val="0061200C"/>
    <w:rsid w:val="006123F4"/>
    <w:rsid w:val="00613096"/>
    <w:rsid w:val="00613581"/>
    <w:rsid w:val="0061485D"/>
    <w:rsid w:val="006167C7"/>
    <w:rsid w:val="00617718"/>
    <w:rsid w:val="00620CFC"/>
    <w:rsid w:val="00621B49"/>
    <w:rsid w:val="006238F1"/>
    <w:rsid w:val="00623A92"/>
    <w:rsid w:val="00624A79"/>
    <w:rsid w:val="00625637"/>
    <w:rsid w:val="00626131"/>
    <w:rsid w:val="00631257"/>
    <w:rsid w:val="00631344"/>
    <w:rsid w:val="006313A3"/>
    <w:rsid w:val="00632FEC"/>
    <w:rsid w:val="0063441C"/>
    <w:rsid w:val="006345DC"/>
    <w:rsid w:val="0063564C"/>
    <w:rsid w:val="00636FF1"/>
    <w:rsid w:val="006403F2"/>
    <w:rsid w:val="00640548"/>
    <w:rsid w:val="006417E4"/>
    <w:rsid w:val="0064212A"/>
    <w:rsid w:val="006423B2"/>
    <w:rsid w:val="00642AC6"/>
    <w:rsid w:val="00644C73"/>
    <w:rsid w:val="00646CAC"/>
    <w:rsid w:val="00650256"/>
    <w:rsid w:val="006504FF"/>
    <w:rsid w:val="0065126B"/>
    <w:rsid w:val="006514A2"/>
    <w:rsid w:val="006536D9"/>
    <w:rsid w:val="006555CC"/>
    <w:rsid w:val="00656D5D"/>
    <w:rsid w:val="00656ECF"/>
    <w:rsid w:val="0065766D"/>
    <w:rsid w:val="00660237"/>
    <w:rsid w:val="00666963"/>
    <w:rsid w:val="00666A1C"/>
    <w:rsid w:val="006727E5"/>
    <w:rsid w:val="00672B56"/>
    <w:rsid w:val="00673136"/>
    <w:rsid w:val="006739E2"/>
    <w:rsid w:val="0067418A"/>
    <w:rsid w:val="006744D5"/>
    <w:rsid w:val="00674C74"/>
    <w:rsid w:val="006768D4"/>
    <w:rsid w:val="006770A0"/>
    <w:rsid w:val="006774F1"/>
    <w:rsid w:val="00681696"/>
    <w:rsid w:val="00682023"/>
    <w:rsid w:val="00684C25"/>
    <w:rsid w:val="00686530"/>
    <w:rsid w:val="0069036E"/>
    <w:rsid w:val="00690583"/>
    <w:rsid w:val="00691033"/>
    <w:rsid w:val="006934C3"/>
    <w:rsid w:val="00694DFC"/>
    <w:rsid w:val="0069609A"/>
    <w:rsid w:val="006A003D"/>
    <w:rsid w:val="006A03EA"/>
    <w:rsid w:val="006A28A5"/>
    <w:rsid w:val="006A3147"/>
    <w:rsid w:val="006A38D3"/>
    <w:rsid w:val="006A4026"/>
    <w:rsid w:val="006A5774"/>
    <w:rsid w:val="006A62F0"/>
    <w:rsid w:val="006A6FCC"/>
    <w:rsid w:val="006A778B"/>
    <w:rsid w:val="006A782B"/>
    <w:rsid w:val="006B0FE1"/>
    <w:rsid w:val="006B10F8"/>
    <w:rsid w:val="006B1A6A"/>
    <w:rsid w:val="006B2F6C"/>
    <w:rsid w:val="006B6D89"/>
    <w:rsid w:val="006B7A94"/>
    <w:rsid w:val="006C03E4"/>
    <w:rsid w:val="006C1111"/>
    <w:rsid w:val="006C118A"/>
    <w:rsid w:val="006C1E49"/>
    <w:rsid w:val="006C2D81"/>
    <w:rsid w:val="006C2FFD"/>
    <w:rsid w:val="006C437A"/>
    <w:rsid w:val="006C581D"/>
    <w:rsid w:val="006C7823"/>
    <w:rsid w:val="006C7B4E"/>
    <w:rsid w:val="006D09DD"/>
    <w:rsid w:val="006D56C7"/>
    <w:rsid w:val="006D6A78"/>
    <w:rsid w:val="006D6E5E"/>
    <w:rsid w:val="006E339E"/>
    <w:rsid w:val="006E71A2"/>
    <w:rsid w:val="006E7A19"/>
    <w:rsid w:val="006F0055"/>
    <w:rsid w:val="006F0ED8"/>
    <w:rsid w:val="006F1D3F"/>
    <w:rsid w:val="006F4484"/>
    <w:rsid w:val="006F48B1"/>
    <w:rsid w:val="006F5C23"/>
    <w:rsid w:val="006F5F46"/>
    <w:rsid w:val="006F6684"/>
    <w:rsid w:val="006F6B2B"/>
    <w:rsid w:val="006F7938"/>
    <w:rsid w:val="006F7F3F"/>
    <w:rsid w:val="0070031D"/>
    <w:rsid w:val="00704FE8"/>
    <w:rsid w:val="00706666"/>
    <w:rsid w:val="0070682B"/>
    <w:rsid w:val="0070736B"/>
    <w:rsid w:val="00707C59"/>
    <w:rsid w:val="00710887"/>
    <w:rsid w:val="00710BF3"/>
    <w:rsid w:val="00711712"/>
    <w:rsid w:val="00712C0D"/>
    <w:rsid w:val="007145CB"/>
    <w:rsid w:val="00714A2E"/>
    <w:rsid w:val="00715868"/>
    <w:rsid w:val="00715E25"/>
    <w:rsid w:val="00721CBD"/>
    <w:rsid w:val="007235ED"/>
    <w:rsid w:val="00723E3A"/>
    <w:rsid w:val="00725217"/>
    <w:rsid w:val="00725B2A"/>
    <w:rsid w:val="0072663F"/>
    <w:rsid w:val="00726E7B"/>
    <w:rsid w:val="00727584"/>
    <w:rsid w:val="0073006D"/>
    <w:rsid w:val="0073248C"/>
    <w:rsid w:val="007368DE"/>
    <w:rsid w:val="0074038A"/>
    <w:rsid w:val="00740C03"/>
    <w:rsid w:val="00740DF3"/>
    <w:rsid w:val="00744AB5"/>
    <w:rsid w:val="007450C9"/>
    <w:rsid w:val="007453D5"/>
    <w:rsid w:val="00745B1C"/>
    <w:rsid w:val="00750FC8"/>
    <w:rsid w:val="00753354"/>
    <w:rsid w:val="0075408A"/>
    <w:rsid w:val="00754807"/>
    <w:rsid w:val="00754EFE"/>
    <w:rsid w:val="00755329"/>
    <w:rsid w:val="007620B0"/>
    <w:rsid w:val="007624FD"/>
    <w:rsid w:val="00762B54"/>
    <w:rsid w:val="00765999"/>
    <w:rsid w:val="007668F9"/>
    <w:rsid w:val="00766DAF"/>
    <w:rsid w:val="00770B05"/>
    <w:rsid w:val="00771307"/>
    <w:rsid w:val="00773260"/>
    <w:rsid w:val="00774FD3"/>
    <w:rsid w:val="007759E1"/>
    <w:rsid w:val="007762CF"/>
    <w:rsid w:val="00777E30"/>
    <w:rsid w:val="00777E99"/>
    <w:rsid w:val="00780B5C"/>
    <w:rsid w:val="00782174"/>
    <w:rsid w:val="00783242"/>
    <w:rsid w:val="00783A61"/>
    <w:rsid w:val="007847EE"/>
    <w:rsid w:val="00784B5D"/>
    <w:rsid w:val="00787372"/>
    <w:rsid w:val="00787395"/>
    <w:rsid w:val="00787911"/>
    <w:rsid w:val="00790D97"/>
    <w:rsid w:val="00791DE0"/>
    <w:rsid w:val="00792293"/>
    <w:rsid w:val="00792E68"/>
    <w:rsid w:val="007936E9"/>
    <w:rsid w:val="00795F08"/>
    <w:rsid w:val="00795FBB"/>
    <w:rsid w:val="007A1943"/>
    <w:rsid w:val="007A1CC0"/>
    <w:rsid w:val="007A236A"/>
    <w:rsid w:val="007A305C"/>
    <w:rsid w:val="007A3DD8"/>
    <w:rsid w:val="007A4E81"/>
    <w:rsid w:val="007A56FB"/>
    <w:rsid w:val="007A5E79"/>
    <w:rsid w:val="007A7892"/>
    <w:rsid w:val="007B0688"/>
    <w:rsid w:val="007B0C47"/>
    <w:rsid w:val="007B2755"/>
    <w:rsid w:val="007B3310"/>
    <w:rsid w:val="007B3F75"/>
    <w:rsid w:val="007B500D"/>
    <w:rsid w:val="007B6856"/>
    <w:rsid w:val="007B70CC"/>
    <w:rsid w:val="007B78BF"/>
    <w:rsid w:val="007C10ED"/>
    <w:rsid w:val="007C1DF0"/>
    <w:rsid w:val="007C1EAD"/>
    <w:rsid w:val="007C2044"/>
    <w:rsid w:val="007C3283"/>
    <w:rsid w:val="007C345D"/>
    <w:rsid w:val="007C46C3"/>
    <w:rsid w:val="007C7437"/>
    <w:rsid w:val="007D519E"/>
    <w:rsid w:val="007D6A11"/>
    <w:rsid w:val="007D75D0"/>
    <w:rsid w:val="007D7838"/>
    <w:rsid w:val="007E05B4"/>
    <w:rsid w:val="007E08AC"/>
    <w:rsid w:val="007E2408"/>
    <w:rsid w:val="007E2B90"/>
    <w:rsid w:val="007E2BD0"/>
    <w:rsid w:val="007E2EEA"/>
    <w:rsid w:val="007E2FF7"/>
    <w:rsid w:val="007F0FA0"/>
    <w:rsid w:val="007F1943"/>
    <w:rsid w:val="007F4A82"/>
    <w:rsid w:val="007F5FB1"/>
    <w:rsid w:val="007F6BEF"/>
    <w:rsid w:val="0080149F"/>
    <w:rsid w:val="008027AE"/>
    <w:rsid w:val="0080389E"/>
    <w:rsid w:val="008042F7"/>
    <w:rsid w:val="0080452F"/>
    <w:rsid w:val="0080456C"/>
    <w:rsid w:val="0080504B"/>
    <w:rsid w:val="00805C7F"/>
    <w:rsid w:val="00807E9A"/>
    <w:rsid w:val="0081127B"/>
    <w:rsid w:val="0081277E"/>
    <w:rsid w:val="00812961"/>
    <w:rsid w:val="00814707"/>
    <w:rsid w:val="00814B29"/>
    <w:rsid w:val="00815A14"/>
    <w:rsid w:val="008171B0"/>
    <w:rsid w:val="00817883"/>
    <w:rsid w:val="008209E6"/>
    <w:rsid w:val="00821428"/>
    <w:rsid w:val="0082228A"/>
    <w:rsid w:val="00824A6E"/>
    <w:rsid w:val="008254F8"/>
    <w:rsid w:val="00825602"/>
    <w:rsid w:val="00825E38"/>
    <w:rsid w:val="00826714"/>
    <w:rsid w:val="00826C20"/>
    <w:rsid w:val="008340B8"/>
    <w:rsid w:val="00834B24"/>
    <w:rsid w:val="0083527D"/>
    <w:rsid w:val="00836B91"/>
    <w:rsid w:val="00836D08"/>
    <w:rsid w:val="00837799"/>
    <w:rsid w:val="00840FFB"/>
    <w:rsid w:val="00842AD8"/>
    <w:rsid w:val="00842B88"/>
    <w:rsid w:val="00842F88"/>
    <w:rsid w:val="008433E5"/>
    <w:rsid w:val="00850386"/>
    <w:rsid w:val="0085638A"/>
    <w:rsid w:val="00861BAD"/>
    <w:rsid w:val="008639AE"/>
    <w:rsid w:val="00863F01"/>
    <w:rsid w:val="00864F53"/>
    <w:rsid w:val="008653EF"/>
    <w:rsid w:val="00866550"/>
    <w:rsid w:val="00867294"/>
    <w:rsid w:val="00872983"/>
    <w:rsid w:val="00873346"/>
    <w:rsid w:val="008733E9"/>
    <w:rsid w:val="008739B9"/>
    <w:rsid w:val="00875F05"/>
    <w:rsid w:val="0087606B"/>
    <w:rsid w:val="00876FDA"/>
    <w:rsid w:val="008772BF"/>
    <w:rsid w:val="008843A3"/>
    <w:rsid w:val="008852F9"/>
    <w:rsid w:val="0088621D"/>
    <w:rsid w:val="008903D0"/>
    <w:rsid w:val="00890A65"/>
    <w:rsid w:val="0089435A"/>
    <w:rsid w:val="008A1178"/>
    <w:rsid w:val="008A2C2E"/>
    <w:rsid w:val="008A3181"/>
    <w:rsid w:val="008A3DF1"/>
    <w:rsid w:val="008A5B1E"/>
    <w:rsid w:val="008A6A30"/>
    <w:rsid w:val="008A6D08"/>
    <w:rsid w:val="008A7FCD"/>
    <w:rsid w:val="008B00DD"/>
    <w:rsid w:val="008B0311"/>
    <w:rsid w:val="008B08BC"/>
    <w:rsid w:val="008B17AB"/>
    <w:rsid w:val="008B24B0"/>
    <w:rsid w:val="008B28F2"/>
    <w:rsid w:val="008B3707"/>
    <w:rsid w:val="008B4A76"/>
    <w:rsid w:val="008B4C0B"/>
    <w:rsid w:val="008B502E"/>
    <w:rsid w:val="008B591F"/>
    <w:rsid w:val="008C1260"/>
    <w:rsid w:val="008C32B6"/>
    <w:rsid w:val="008C36A3"/>
    <w:rsid w:val="008C3FEB"/>
    <w:rsid w:val="008C6890"/>
    <w:rsid w:val="008C7204"/>
    <w:rsid w:val="008D1EBF"/>
    <w:rsid w:val="008D3D80"/>
    <w:rsid w:val="008D421C"/>
    <w:rsid w:val="008D4472"/>
    <w:rsid w:val="008D51B3"/>
    <w:rsid w:val="008D679A"/>
    <w:rsid w:val="008D6999"/>
    <w:rsid w:val="008D7AFE"/>
    <w:rsid w:val="008D7B20"/>
    <w:rsid w:val="008E18EB"/>
    <w:rsid w:val="008E2B78"/>
    <w:rsid w:val="008E2F86"/>
    <w:rsid w:val="008E5D0E"/>
    <w:rsid w:val="008E63E2"/>
    <w:rsid w:val="008E6ECA"/>
    <w:rsid w:val="008E7C70"/>
    <w:rsid w:val="008F4338"/>
    <w:rsid w:val="008F4362"/>
    <w:rsid w:val="008F4575"/>
    <w:rsid w:val="008F51AB"/>
    <w:rsid w:val="008F6C10"/>
    <w:rsid w:val="008F76B4"/>
    <w:rsid w:val="00901FFB"/>
    <w:rsid w:val="00902A99"/>
    <w:rsid w:val="00905636"/>
    <w:rsid w:val="00905D3C"/>
    <w:rsid w:val="00906392"/>
    <w:rsid w:val="00910139"/>
    <w:rsid w:val="00911726"/>
    <w:rsid w:val="009125F7"/>
    <w:rsid w:val="00913849"/>
    <w:rsid w:val="009164E2"/>
    <w:rsid w:val="00916B90"/>
    <w:rsid w:val="00920506"/>
    <w:rsid w:val="009207D5"/>
    <w:rsid w:val="009224E2"/>
    <w:rsid w:val="00923BFC"/>
    <w:rsid w:val="00924715"/>
    <w:rsid w:val="009254FE"/>
    <w:rsid w:val="0092588D"/>
    <w:rsid w:val="00925B36"/>
    <w:rsid w:val="00930259"/>
    <w:rsid w:val="009303F9"/>
    <w:rsid w:val="009318BB"/>
    <w:rsid w:val="00931AF0"/>
    <w:rsid w:val="00933D4F"/>
    <w:rsid w:val="0093451C"/>
    <w:rsid w:val="0093569F"/>
    <w:rsid w:val="00936927"/>
    <w:rsid w:val="00940FDD"/>
    <w:rsid w:val="00942AF9"/>
    <w:rsid w:val="009443D9"/>
    <w:rsid w:val="00945C15"/>
    <w:rsid w:val="0094615D"/>
    <w:rsid w:val="00947405"/>
    <w:rsid w:val="00947ECD"/>
    <w:rsid w:val="00951498"/>
    <w:rsid w:val="009562DC"/>
    <w:rsid w:val="009567B4"/>
    <w:rsid w:val="00960F50"/>
    <w:rsid w:val="009622FE"/>
    <w:rsid w:val="00962968"/>
    <w:rsid w:val="0096426A"/>
    <w:rsid w:val="00964E27"/>
    <w:rsid w:val="0096505C"/>
    <w:rsid w:val="00965D44"/>
    <w:rsid w:val="00970B4B"/>
    <w:rsid w:val="009734D0"/>
    <w:rsid w:val="00973C14"/>
    <w:rsid w:val="0097414E"/>
    <w:rsid w:val="0097428E"/>
    <w:rsid w:val="00976D6C"/>
    <w:rsid w:val="0098020C"/>
    <w:rsid w:val="00980216"/>
    <w:rsid w:val="00980835"/>
    <w:rsid w:val="009843EF"/>
    <w:rsid w:val="00990A96"/>
    <w:rsid w:val="009911EB"/>
    <w:rsid w:val="00992851"/>
    <w:rsid w:val="00994277"/>
    <w:rsid w:val="00995C9F"/>
    <w:rsid w:val="0099746E"/>
    <w:rsid w:val="009978DA"/>
    <w:rsid w:val="00997EAF"/>
    <w:rsid w:val="009A2EEC"/>
    <w:rsid w:val="009A4512"/>
    <w:rsid w:val="009A6958"/>
    <w:rsid w:val="009A7794"/>
    <w:rsid w:val="009B215D"/>
    <w:rsid w:val="009B2577"/>
    <w:rsid w:val="009B2ABA"/>
    <w:rsid w:val="009B456F"/>
    <w:rsid w:val="009B47E9"/>
    <w:rsid w:val="009B5B0B"/>
    <w:rsid w:val="009B6EDB"/>
    <w:rsid w:val="009B78A3"/>
    <w:rsid w:val="009C03F5"/>
    <w:rsid w:val="009C147B"/>
    <w:rsid w:val="009C1DA0"/>
    <w:rsid w:val="009C2245"/>
    <w:rsid w:val="009C4A62"/>
    <w:rsid w:val="009C4E5C"/>
    <w:rsid w:val="009C639E"/>
    <w:rsid w:val="009C7E87"/>
    <w:rsid w:val="009D09F3"/>
    <w:rsid w:val="009D0DEE"/>
    <w:rsid w:val="009D385E"/>
    <w:rsid w:val="009D6573"/>
    <w:rsid w:val="009D79A2"/>
    <w:rsid w:val="009D7D1C"/>
    <w:rsid w:val="009E0830"/>
    <w:rsid w:val="009E0A9A"/>
    <w:rsid w:val="009E46C1"/>
    <w:rsid w:val="009E5C15"/>
    <w:rsid w:val="009E7467"/>
    <w:rsid w:val="009E7BED"/>
    <w:rsid w:val="009E7D6D"/>
    <w:rsid w:val="009F0162"/>
    <w:rsid w:val="009F031D"/>
    <w:rsid w:val="009F165C"/>
    <w:rsid w:val="009F20B9"/>
    <w:rsid w:val="009F3A64"/>
    <w:rsid w:val="009F4559"/>
    <w:rsid w:val="009F5582"/>
    <w:rsid w:val="00A01FB4"/>
    <w:rsid w:val="00A02DA9"/>
    <w:rsid w:val="00A042B6"/>
    <w:rsid w:val="00A04E70"/>
    <w:rsid w:val="00A05255"/>
    <w:rsid w:val="00A072D6"/>
    <w:rsid w:val="00A10382"/>
    <w:rsid w:val="00A103D2"/>
    <w:rsid w:val="00A105FF"/>
    <w:rsid w:val="00A13B0D"/>
    <w:rsid w:val="00A14807"/>
    <w:rsid w:val="00A14B1C"/>
    <w:rsid w:val="00A14F63"/>
    <w:rsid w:val="00A15E73"/>
    <w:rsid w:val="00A20FCE"/>
    <w:rsid w:val="00A21359"/>
    <w:rsid w:val="00A22190"/>
    <w:rsid w:val="00A23292"/>
    <w:rsid w:val="00A238A4"/>
    <w:rsid w:val="00A23F91"/>
    <w:rsid w:val="00A24370"/>
    <w:rsid w:val="00A24673"/>
    <w:rsid w:val="00A259C9"/>
    <w:rsid w:val="00A265C9"/>
    <w:rsid w:val="00A300DC"/>
    <w:rsid w:val="00A30DB9"/>
    <w:rsid w:val="00A30E0F"/>
    <w:rsid w:val="00A31767"/>
    <w:rsid w:val="00A31CA1"/>
    <w:rsid w:val="00A337D5"/>
    <w:rsid w:val="00A34B57"/>
    <w:rsid w:val="00A34C62"/>
    <w:rsid w:val="00A3663C"/>
    <w:rsid w:val="00A37572"/>
    <w:rsid w:val="00A3792A"/>
    <w:rsid w:val="00A37B52"/>
    <w:rsid w:val="00A41050"/>
    <w:rsid w:val="00A41A71"/>
    <w:rsid w:val="00A4275F"/>
    <w:rsid w:val="00A43F67"/>
    <w:rsid w:val="00A448D1"/>
    <w:rsid w:val="00A44BBF"/>
    <w:rsid w:val="00A46DAC"/>
    <w:rsid w:val="00A46DCD"/>
    <w:rsid w:val="00A51B4D"/>
    <w:rsid w:val="00A537FE"/>
    <w:rsid w:val="00A54028"/>
    <w:rsid w:val="00A55811"/>
    <w:rsid w:val="00A56775"/>
    <w:rsid w:val="00A607B2"/>
    <w:rsid w:val="00A613D2"/>
    <w:rsid w:val="00A6181A"/>
    <w:rsid w:val="00A62A99"/>
    <w:rsid w:val="00A63D0A"/>
    <w:rsid w:val="00A63D79"/>
    <w:rsid w:val="00A71697"/>
    <w:rsid w:val="00A721A8"/>
    <w:rsid w:val="00A73377"/>
    <w:rsid w:val="00A7423E"/>
    <w:rsid w:val="00A74533"/>
    <w:rsid w:val="00A7459B"/>
    <w:rsid w:val="00A7468D"/>
    <w:rsid w:val="00A8196A"/>
    <w:rsid w:val="00A833AE"/>
    <w:rsid w:val="00A84192"/>
    <w:rsid w:val="00A84A94"/>
    <w:rsid w:val="00A86A82"/>
    <w:rsid w:val="00A86CF1"/>
    <w:rsid w:val="00A90321"/>
    <w:rsid w:val="00A91E25"/>
    <w:rsid w:val="00A9248C"/>
    <w:rsid w:val="00A937C6"/>
    <w:rsid w:val="00A94E59"/>
    <w:rsid w:val="00A95059"/>
    <w:rsid w:val="00A95322"/>
    <w:rsid w:val="00A96ABB"/>
    <w:rsid w:val="00A977A0"/>
    <w:rsid w:val="00A978EC"/>
    <w:rsid w:val="00AA1D29"/>
    <w:rsid w:val="00AA2ACF"/>
    <w:rsid w:val="00AA47C0"/>
    <w:rsid w:val="00AA4D55"/>
    <w:rsid w:val="00AA6BB8"/>
    <w:rsid w:val="00AA76FF"/>
    <w:rsid w:val="00AB2E05"/>
    <w:rsid w:val="00AB3674"/>
    <w:rsid w:val="00AB485A"/>
    <w:rsid w:val="00AB4FF0"/>
    <w:rsid w:val="00AB5018"/>
    <w:rsid w:val="00AB5DCD"/>
    <w:rsid w:val="00AC0233"/>
    <w:rsid w:val="00AC51A7"/>
    <w:rsid w:val="00AC5259"/>
    <w:rsid w:val="00AC5655"/>
    <w:rsid w:val="00AC67F0"/>
    <w:rsid w:val="00AC6A63"/>
    <w:rsid w:val="00AC6E16"/>
    <w:rsid w:val="00AD18E6"/>
    <w:rsid w:val="00AD1B3A"/>
    <w:rsid w:val="00AD2F94"/>
    <w:rsid w:val="00AD45B7"/>
    <w:rsid w:val="00AD488B"/>
    <w:rsid w:val="00AD5927"/>
    <w:rsid w:val="00AD6763"/>
    <w:rsid w:val="00AD70D2"/>
    <w:rsid w:val="00AE0ED6"/>
    <w:rsid w:val="00AE1384"/>
    <w:rsid w:val="00AE1C50"/>
    <w:rsid w:val="00AE2756"/>
    <w:rsid w:val="00AE2BAD"/>
    <w:rsid w:val="00AE2D3E"/>
    <w:rsid w:val="00AE522E"/>
    <w:rsid w:val="00AE624A"/>
    <w:rsid w:val="00AE6345"/>
    <w:rsid w:val="00AE703F"/>
    <w:rsid w:val="00AE712E"/>
    <w:rsid w:val="00AE72C1"/>
    <w:rsid w:val="00AE7407"/>
    <w:rsid w:val="00AE7C6E"/>
    <w:rsid w:val="00AF17F6"/>
    <w:rsid w:val="00AF2740"/>
    <w:rsid w:val="00AF297E"/>
    <w:rsid w:val="00AF2BA9"/>
    <w:rsid w:val="00AF3AC2"/>
    <w:rsid w:val="00AF4019"/>
    <w:rsid w:val="00AF4082"/>
    <w:rsid w:val="00AF5552"/>
    <w:rsid w:val="00B0051E"/>
    <w:rsid w:val="00B012C7"/>
    <w:rsid w:val="00B02C59"/>
    <w:rsid w:val="00B0303C"/>
    <w:rsid w:val="00B03894"/>
    <w:rsid w:val="00B03CDC"/>
    <w:rsid w:val="00B03D32"/>
    <w:rsid w:val="00B04392"/>
    <w:rsid w:val="00B046B2"/>
    <w:rsid w:val="00B047F9"/>
    <w:rsid w:val="00B052CC"/>
    <w:rsid w:val="00B0734A"/>
    <w:rsid w:val="00B0739E"/>
    <w:rsid w:val="00B07D40"/>
    <w:rsid w:val="00B10F79"/>
    <w:rsid w:val="00B134B4"/>
    <w:rsid w:val="00B13964"/>
    <w:rsid w:val="00B157B5"/>
    <w:rsid w:val="00B17613"/>
    <w:rsid w:val="00B2235E"/>
    <w:rsid w:val="00B22597"/>
    <w:rsid w:val="00B22E6A"/>
    <w:rsid w:val="00B24641"/>
    <w:rsid w:val="00B247DD"/>
    <w:rsid w:val="00B2557F"/>
    <w:rsid w:val="00B27433"/>
    <w:rsid w:val="00B27C5C"/>
    <w:rsid w:val="00B27EB5"/>
    <w:rsid w:val="00B30725"/>
    <w:rsid w:val="00B32899"/>
    <w:rsid w:val="00B34E44"/>
    <w:rsid w:val="00B34F5A"/>
    <w:rsid w:val="00B3523E"/>
    <w:rsid w:val="00B358E3"/>
    <w:rsid w:val="00B35C10"/>
    <w:rsid w:val="00B36C37"/>
    <w:rsid w:val="00B404BD"/>
    <w:rsid w:val="00B407D6"/>
    <w:rsid w:val="00B40800"/>
    <w:rsid w:val="00B408EC"/>
    <w:rsid w:val="00B415B1"/>
    <w:rsid w:val="00B41BF0"/>
    <w:rsid w:val="00B42483"/>
    <w:rsid w:val="00B44237"/>
    <w:rsid w:val="00B4494F"/>
    <w:rsid w:val="00B44D55"/>
    <w:rsid w:val="00B45018"/>
    <w:rsid w:val="00B45216"/>
    <w:rsid w:val="00B45709"/>
    <w:rsid w:val="00B46188"/>
    <w:rsid w:val="00B51BA2"/>
    <w:rsid w:val="00B52205"/>
    <w:rsid w:val="00B525F5"/>
    <w:rsid w:val="00B545E7"/>
    <w:rsid w:val="00B54D12"/>
    <w:rsid w:val="00B5547D"/>
    <w:rsid w:val="00B556A5"/>
    <w:rsid w:val="00B55969"/>
    <w:rsid w:val="00B564C9"/>
    <w:rsid w:val="00B56A5B"/>
    <w:rsid w:val="00B5709E"/>
    <w:rsid w:val="00B57A6E"/>
    <w:rsid w:val="00B608EA"/>
    <w:rsid w:val="00B61C56"/>
    <w:rsid w:val="00B621CF"/>
    <w:rsid w:val="00B6226F"/>
    <w:rsid w:val="00B632F1"/>
    <w:rsid w:val="00B64108"/>
    <w:rsid w:val="00B65658"/>
    <w:rsid w:val="00B66514"/>
    <w:rsid w:val="00B70A7D"/>
    <w:rsid w:val="00B723EF"/>
    <w:rsid w:val="00B741E7"/>
    <w:rsid w:val="00B767CE"/>
    <w:rsid w:val="00B77601"/>
    <w:rsid w:val="00B8108A"/>
    <w:rsid w:val="00B81379"/>
    <w:rsid w:val="00B823A5"/>
    <w:rsid w:val="00B8311D"/>
    <w:rsid w:val="00B8329F"/>
    <w:rsid w:val="00B84D04"/>
    <w:rsid w:val="00B852AA"/>
    <w:rsid w:val="00B86290"/>
    <w:rsid w:val="00B87159"/>
    <w:rsid w:val="00B87F3B"/>
    <w:rsid w:val="00B92A41"/>
    <w:rsid w:val="00B959EA"/>
    <w:rsid w:val="00B95DE8"/>
    <w:rsid w:val="00B96C10"/>
    <w:rsid w:val="00B979A2"/>
    <w:rsid w:val="00BA0496"/>
    <w:rsid w:val="00BA1B29"/>
    <w:rsid w:val="00BA3521"/>
    <w:rsid w:val="00BA3AD2"/>
    <w:rsid w:val="00BA489B"/>
    <w:rsid w:val="00BA675B"/>
    <w:rsid w:val="00BB2D47"/>
    <w:rsid w:val="00BB318E"/>
    <w:rsid w:val="00BB3BD9"/>
    <w:rsid w:val="00BB41CC"/>
    <w:rsid w:val="00BB69AD"/>
    <w:rsid w:val="00BC0897"/>
    <w:rsid w:val="00BC0B58"/>
    <w:rsid w:val="00BC2942"/>
    <w:rsid w:val="00BC3D7D"/>
    <w:rsid w:val="00BC540C"/>
    <w:rsid w:val="00BC654B"/>
    <w:rsid w:val="00BC669E"/>
    <w:rsid w:val="00BC69F9"/>
    <w:rsid w:val="00BC6F73"/>
    <w:rsid w:val="00BC7E29"/>
    <w:rsid w:val="00BD0BC6"/>
    <w:rsid w:val="00BD0FD5"/>
    <w:rsid w:val="00BD17CD"/>
    <w:rsid w:val="00BD1E48"/>
    <w:rsid w:val="00BD23DB"/>
    <w:rsid w:val="00BD2865"/>
    <w:rsid w:val="00BD28EF"/>
    <w:rsid w:val="00BD3599"/>
    <w:rsid w:val="00BD3DD5"/>
    <w:rsid w:val="00BD4F60"/>
    <w:rsid w:val="00BD5241"/>
    <w:rsid w:val="00BD64C8"/>
    <w:rsid w:val="00BD66B1"/>
    <w:rsid w:val="00BD6C18"/>
    <w:rsid w:val="00BD71E4"/>
    <w:rsid w:val="00BE009D"/>
    <w:rsid w:val="00BE134A"/>
    <w:rsid w:val="00BE349C"/>
    <w:rsid w:val="00BE357A"/>
    <w:rsid w:val="00BE382D"/>
    <w:rsid w:val="00BE3E2B"/>
    <w:rsid w:val="00BE4E23"/>
    <w:rsid w:val="00BE7670"/>
    <w:rsid w:val="00BF1FEE"/>
    <w:rsid w:val="00BF2326"/>
    <w:rsid w:val="00BF4706"/>
    <w:rsid w:val="00BF4814"/>
    <w:rsid w:val="00C02F9F"/>
    <w:rsid w:val="00C04ECA"/>
    <w:rsid w:val="00C06E1D"/>
    <w:rsid w:val="00C10A4C"/>
    <w:rsid w:val="00C1324C"/>
    <w:rsid w:val="00C14620"/>
    <w:rsid w:val="00C20E56"/>
    <w:rsid w:val="00C21815"/>
    <w:rsid w:val="00C21E34"/>
    <w:rsid w:val="00C23362"/>
    <w:rsid w:val="00C23B7B"/>
    <w:rsid w:val="00C2455E"/>
    <w:rsid w:val="00C25101"/>
    <w:rsid w:val="00C2552B"/>
    <w:rsid w:val="00C25A44"/>
    <w:rsid w:val="00C26DEE"/>
    <w:rsid w:val="00C32D36"/>
    <w:rsid w:val="00C3434B"/>
    <w:rsid w:val="00C346DC"/>
    <w:rsid w:val="00C3499E"/>
    <w:rsid w:val="00C36862"/>
    <w:rsid w:val="00C407FC"/>
    <w:rsid w:val="00C40A06"/>
    <w:rsid w:val="00C40DB1"/>
    <w:rsid w:val="00C41684"/>
    <w:rsid w:val="00C41795"/>
    <w:rsid w:val="00C4443B"/>
    <w:rsid w:val="00C44E12"/>
    <w:rsid w:val="00C45376"/>
    <w:rsid w:val="00C456C8"/>
    <w:rsid w:val="00C4705E"/>
    <w:rsid w:val="00C517F5"/>
    <w:rsid w:val="00C526B4"/>
    <w:rsid w:val="00C578B2"/>
    <w:rsid w:val="00C57DE4"/>
    <w:rsid w:val="00C615A1"/>
    <w:rsid w:val="00C61AD0"/>
    <w:rsid w:val="00C61FA6"/>
    <w:rsid w:val="00C6239E"/>
    <w:rsid w:val="00C62517"/>
    <w:rsid w:val="00C63149"/>
    <w:rsid w:val="00C647F9"/>
    <w:rsid w:val="00C66D35"/>
    <w:rsid w:val="00C71242"/>
    <w:rsid w:val="00C71BEA"/>
    <w:rsid w:val="00C72966"/>
    <w:rsid w:val="00C750A9"/>
    <w:rsid w:val="00C75AC1"/>
    <w:rsid w:val="00C75C76"/>
    <w:rsid w:val="00C81559"/>
    <w:rsid w:val="00C81E32"/>
    <w:rsid w:val="00C8268F"/>
    <w:rsid w:val="00C86611"/>
    <w:rsid w:val="00C86D49"/>
    <w:rsid w:val="00C872F2"/>
    <w:rsid w:val="00C90C84"/>
    <w:rsid w:val="00C90D85"/>
    <w:rsid w:val="00C90E2B"/>
    <w:rsid w:val="00C97211"/>
    <w:rsid w:val="00C97AE9"/>
    <w:rsid w:val="00CA0156"/>
    <w:rsid w:val="00CA22AD"/>
    <w:rsid w:val="00CA39B9"/>
    <w:rsid w:val="00CA4DE7"/>
    <w:rsid w:val="00CA5DE0"/>
    <w:rsid w:val="00CA6D9D"/>
    <w:rsid w:val="00CA7F69"/>
    <w:rsid w:val="00CB1AA9"/>
    <w:rsid w:val="00CB1CF4"/>
    <w:rsid w:val="00CB2ED2"/>
    <w:rsid w:val="00CB4863"/>
    <w:rsid w:val="00CB59F2"/>
    <w:rsid w:val="00CB7AAC"/>
    <w:rsid w:val="00CB7F09"/>
    <w:rsid w:val="00CC1938"/>
    <w:rsid w:val="00CC19A4"/>
    <w:rsid w:val="00CC1B46"/>
    <w:rsid w:val="00CC2037"/>
    <w:rsid w:val="00CC292C"/>
    <w:rsid w:val="00CC296B"/>
    <w:rsid w:val="00CC2EFF"/>
    <w:rsid w:val="00CC3A7D"/>
    <w:rsid w:val="00CC3EC4"/>
    <w:rsid w:val="00CC47AB"/>
    <w:rsid w:val="00CC50F1"/>
    <w:rsid w:val="00CC5A34"/>
    <w:rsid w:val="00CC5D0D"/>
    <w:rsid w:val="00CC6AE4"/>
    <w:rsid w:val="00CD0227"/>
    <w:rsid w:val="00CD0298"/>
    <w:rsid w:val="00CD1CAD"/>
    <w:rsid w:val="00CD546E"/>
    <w:rsid w:val="00CD6083"/>
    <w:rsid w:val="00CD7889"/>
    <w:rsid w:val="00CD7D31"/>
    <w:rsid w:val="00CE09D5"/>
    <w:rsid w:val="00CE10FF"/>
    <w:rsid w:val="00CE20D1"/>
    <w:rsid w:val="00CE279A"/>
    <w:rsid w:val="00CE3C09"/>
    <w:rsid w:val="00CE75AE"/>
    <w:rsid w:val="00CE78D1"/>
    <w:rsid w:val="00CE7EE1"/>
    <w:rsid w:val="00CF00A8"/>
    <w:rsid w:val="00CF28F0"/>
    <w:rsid w:val="00CF2EA7"/>
    <w:rsid w:val="00CF40E0"/>
    <w:rsid w:val="00CF47EF"/>
    <w:rsid w:val="00CF4CDA"/>
    <w:rsid w:val="00CF62DC"/>
    <w:rsid w:val="00CF6507"/>
    <w:rsid w:val="00CF6B77"/>
    <w:rsid w:val="00CF7B1D"/>
    <w:rsid w:val="00CF7C45"/>
    <w:rsid w:val="00D01A31"/>
    <w:rsid w:val="00D026D9"/>
    <w:rsid w:val="00D03047"/>
    <w:rsid w:val="00D0328E"/>
    <w:rsid w:val="00D03C46"/>
    <w:rsid w:val="00D03E04"/>
    <w:rsid w:val="00D04B07"/>
    <w:rsid w:val="00D04FB2"/>
    <w:rsid w:val="00D10504"/>
    <w:rsid w:val="00D11E53"/>
    <w:rsid w:val="00D16753"/>
    <w:rsid w:val="00D20F4A"/>
    <w:rsid w:val="00D21CCE"/>
    <w:rsid w:val="00D252DE"/>
    <w:rsid w:val="00D2668B"/>
    <w:rsid w:val="00D266E5"/>
    <w:rsid w:val="00D26982"/>
    <w:rsid w:val="00D26C38"/>
    <w:rsid w:val="00D31E46"/>
    <w:rsid w:val="00D32A67"/>
    <w:rsid w:val="00D33142"/>
    <w:rsid w:val="00D3346C"/>
    <w:rsid w:val="00D33580"/>
    <w:rsid w:val="00D343D7"/>
    <w:rsid w:val="00D359F6"/>
    <w:rsid w:val="00D36605"/>
    <w:rsid w:val="00D4115A"/>
    <w:rsid w:val="00D4128C"/>
    <w:rsid w:val="00D42FAB"/>
    <w:rsid w:val="00D441A7"/>
    <w:rsid w:val="00D44ED4"/>
    <w:rsid w:val="00D45FFD"/>
    <w:rsid w:val="00D46A02"/>
    <w:rsid w:val="00D500D5"/>
    <w:rsid w:val="00D5073C"/>
    <w:rsid w:val="00D5618E"/>
    <w:rsid w:val="00D56C0A"/>
    <w:rsid w:val="00D57378"/>
    <w:rsid w:val="00D61EB7"/>
    <w:rsid w:val="00D620A4"/>
    <w:rsid w:val="00D625E7"/>
    <w:rsid w:val="00D636A4"/>
    <w:rsid w:val="00D63B0F"/>
    <w:rsid w:val="00D64B31"/>
    <w:rsid w:val="00D7014A"/>
    <w:rsid w:val="00D70AC3"/>
    <w:rsid w:val="00D71B6E"/>
    <w:rsid w:val="00D72416"/>
    <w:rsid w:val="00D729F4"/>
    <w:rsid w:val="00D72BEC"/>
    <w:rsid w:val="00D72CDE"/>
    <w:rsid w:val="00D740DD"/>
    <w:rsid w:val="00D8038F"/>
    <w:rsid w:val="00D8068C"/>
    <w:rsid w:val="00D81633"/>
    <w:rsid w:val="00D82D00"/>
    <w:rsid w:val="00D8392D"/>
    <w:rsid w:val="00D845A1"/>
    <w:rsid w:val="00D877AE"/>
    <w:rsid w:val="00D9076D"/>
    <w:rsid w:val="00D90DE2"/>
    <w:rsid w:val="00D91A19"/>
    <w:rsid w:val="00D91B11"/>
    <w:rsid w:val="00D9418C"/>
    <w:rsid w:val="00D9534E"/>
    <w:rsid w:val="00D95782"/>
    <w:rsid w:val="00D95A40"/>
    <w:rsid w:val="00DA2B59"/>
    <w:rsid w:val="00DA2BC2"/>
    <w:rsid w:val="00DA3B53"/>
    <w:rsid w:val="00DA3FAD"/>
    <w:rsid w:val="00DA48AF"/>
    <w:rsid w:val="00DA515C"/>
    <w:rsid w:val="00DA52FB"/>
    <w:rsid w:val="00DA5427"/>
    <w:rsid w:val="00DA6152"/>
    <w:rsid w:val="00DA669C"/>
    <w:rsid w:val="00DA7DEE"/>
    <w:rsid w:val="00DA7F1E"/>
    <w:rsid w:val="00DB0448"/>
    <w:rsid w:val="00DB0931"/>
    <w:rsid w:val="00DB0E88"/>
    <w:rsid w:val="00DB1037"/>
    <w:rsid w:val="00DB1C07"/>
    <w:rsid w:val="00DB1E03"/>
    <w:rsid w:val="00DB2343"/>
    <w:rsid w:val="00DB38B1"/>
    <w:rsid w:val="00DB40A5"/>
    <w:rsid w:val="00DB511A"/>
    <w:rsid w:val="00DB5BBA"/>
    <w:rsid w:val="00DB742D"/>
    <w:rsid w:val="00DB77EC"/>
    <w:rsid w:val="00DB7D73"/>
    <w:rsid w:val="00DC152D"/>
    <w:rsid w:val="00DC2110"/>
    <w:rsid w:val="00DC23C4"/>
    <w:rsid w:val="00DC3018"/>
    <w:rsid w:val="00DC379B"/>
    <w:rsid w:val="00DC39A0"/>
    <w:rsid w:val="00DC51D2"/>
    <w:rsid w:val="00DC529E"/>
    <w:rsid w:val="00DC657F"/>
    <w:rsid w:val="00DC691F"/>
    <w:rsid w:val="00DC6D30"/>
    <w:rsid w:val="00DC7C3C"/>
    <w:rsid w:val="00DC7C96"/>
    <w:rsid w:val="00DC7C9A"/>
    <w:rsid w:val="00DD1B6F"/>
    <w:rsid w:val="00DD1EA0"/>
    <w:rsid w:val="00DD2D90"/>
    <w:rsid w:val="00DD3DF8"/>
    <w:rsid w:val="00DD495B"/>
    <w:rsid w:val="00DD60CC"/>
    <w:rsid w:val="00DD7984"/>
    <w:rsid w:val="00DD7FB7"/>
    <w:rsid w:val="00DE208B"/>
    <w:rsid w:val="00DE23CA"/>
    <w:rsid w:val="00DE274E"/>
    <w:rsid w:val="00DE399B"/>
    <w:rsid w:val="00DE427B"/>
    <w:rsid w:val="00DE5C90"/>
    <w:rsid w:val="00DE5ED7"/>
    <w:rsid w:val="00DF055A"/>
    <w:rsid w:val="00DF4B3D"/>
    <w:rsid w:val="00DF5962"/>
    <w:rsid w:val="00DF5CF0"/>
    <w:rsid w:val="00DF7B08"/>
    <w:rsid w:val="00DF7FE1"/>
    <w:rsid w:val="00E003E7"/>
    <w:rsid w:val="00E03520"/>
    <w:rsid w:val="00E03AAF"/>
    <w:rsid w:val="00E07782"/>
    <w:rsid w:val="00E1299D"/>
    <w:rsid w:val="00E135AD"/>
    <w:rsid w:val="00E15B7F"/>
    <w:rsid w:val="00E16C85"/>
    <w:rsid w:val="00E173DE"/>
    <w:rsid w:val="00E17477"/>
    <w:rsid w:val="00E200FC"/>
    <w:rsid w:val="00E20690"/>
    <w:rsid w:val="00E244F7"/>
    <w:rsid w:val="00E25806"/>
    <w:rsid w:val="00E25ACF"/>
    <w:rsid w:val="00E264B4"/>
    <w:rsid w:val="00E26AD4"/>
    <w:rsid w:val="00E2787F"/>
    <w:rsid w:val="00E304D6"/>
    <w:rsid w:val="00E30AA1"/>
    <w:rsid w:val="00E30EF8"/>
    <w:rsid w:val="00E341E7"/>
    <w:rsid w:val="00E35576"/>
    <w:rsid w:val="00E36E6E"/>
    <w:rsid w:val="00E3711D"/>
    <w:rsid w:val="00E3754F"/>
    <w:rsid w:val="00E37B95"/>
    <w:rsid w:val="00E414C8"/>
    <w:rsid w:val="00E42E34"/>
    <w:rsid w:val="00E43055"/>
    <w:rsid w:val="00E430C7"/>
    <w:rsid w:val="00E431A9"/>
    <w:rsid w:val="00E43B34"/>
    <w:rsid w:val="00E4491E"/>
    <w:rsid w:val="00E473E0"/>
    <w:rsid w:val="00E52D9C"/>
    <w:rsid w:val="00E53278"/>
    <w:rsid w:val="00E53B5A"/>
    <w:rsid w:val="00E545B2"/>
    <w:rsid w:val="00E55E33"/>
    <w:rsid w:val="00E569BA"/>
    <w:rsid w:val="00E57CC5"/>
    <w:rsid w:val="00E611B7"/>
    <w:rsid w:val="00E613C7"/>
    <w:rsid w:val="00E6549E"/>
    <w:rsid w:val="00E70F4D"/>
    <w:rsid w:val="00E74340"/>
    <w:rsid w:val="00E7482E"/>
    <w:rsid w:val="00E74C1B"/>
    <w:rsid w:val="00E74FD3"/>
    <w:rsid w:val="00E755E2"/>
    <w:rsid w:val="00E75FF0"/>
    <w:rsid w:val="00E7731E"/>
    <w:rsid w:val="00E81B28"/>
    <w:rsid w:val="00E82EA1"/>
    <w:rsid w:val="00E835B3"/>
    <w:rsid w:val="00E842CC"/>
    <w:rsid w:val="00E85510"/>
    <w:rsid w:val="00E86A77"/>
    <w:rsid w:val="00E86F21"/>
    <w:rsid w:val="00E9178D"/>
    <w:rsid w:val="00E9246F"/>
    <w:rsid w:val="00E9264D"/>
    <w:rsid w:val="00E92D68"/>
    <w:rsid w:val="00E9490A"/>
    <w:rsid w:val="00E94D5B"/>
    <w:rsid w:val="00E9576C"/>
    <w:rsid w:val="00E966CA"/>
    <w:rsid w:val="00EA1FCC"/>
    <w:rsid w:val="00EA23C3"/>
    <w:rsid w:val="00EA375E"/>
    <w:rsid w:val="00EA3A92"/>
    <w:rsid w:val="00EA3D17"/>
    <w:rsid w:val="00EA3E45"/>
    <w:rsid w:val="00EA45EA"/>
    <w:rsid w:val="00EB1221"/>
    <w:rsid w:val="00EB2C35"/>
    <w:rsid w:val="00EB41C2"/>
    <w:rsid w:val="00EB4CFE"/>
    <w:rsid w:val="00EB5389"/>
    <w:rsid w:val="00EB5606"/>
    <w:rsid w:val="00EB6107"/>
    <w:rsid w:val="00EC0B15"/>
    <w:rsid w:val="00EC2310"/>
    <w:rsid w:val="00EC23EF"/>
    <w:rsid w:val="00EC26AF"/>
    <w:rsid w:val="00EC30D5"/>
    <w:rsid w:val="00EC37A6"/>
    <w:rsid w:val="00EC47D2"/>
    <w:rsid w:val="00EC50DA"/>
    <w:rsid w:val="00EC518F"/>
    <w:rsid w:val="00EC6B1F"/>
    <w:rsid w:val="00EC71BC"/>
    <w:rsid w:val="00EC723D"/>
    <w:rsid w:val="00EC74DF"/>
    <w:rsid w:val="00EC75F4"/>
    <w:rsid w:val="00EC7620"/>
    <w:rsid w:val="00EC7B1B"/>
    <w:rsid w:val="00ED0DC6"/>
    <w:rsid w:val="00ED1116"/>
    <w:rsid w:val="00ED1917"/>
    <w:rsid w:val="00ED2B18"/>
    <w:rsid w:val="00ED45FA"/>
    <w:rsid w:val="00ED475D"/>
    <w:rsid w:val="00ED5790"/>
    <w:rsid w:val="00ED59CE"/>
    <w:rsid w:val="00ED64F3"/>
    <w:rsid w:val="00ED6719"/>
    <w:rsid w:val="00ED672B"/>
    <w:rsid w:val="00ED693A"/>
    <w:rsid w:val="00ED69E2"/>
    <w:rsid w:val="00ED7163"/>
    <w:rsid w:val="00ED71A0"/>
    <w:rsid w:val="00ED7D24"/>
    <w:rsid w:val="00EE0653"/>
    <w:rsid w:val="00EE0D1B"/>
    <w:rsid w:val="00EE1706"/>
    <w:rsid w:val="00EE1EEA"/>
    <w:rsid w:val="00EE31A5"/>
    <w:rsid w:val="00EE3AE3"/>
    <w:rsid w:val="00EE5821"/>
    <w:rsid w:val="00EE5EA9"/>
    <w:rsid w:val="00EF1B9B"/>
    <w:rsid w:val="00EF20D7"/>
    <w:rsid w:val="00EF2844"/>
    <w:rsid w:val="00EF2C02"/>
    <w:rsid w:val="00EF3B4F"/>
    <w:rsid w:val="00EF4EFA"/>
    <w:rsid w:val="00F00EF0"/>
    <w:rsid w:val="00F011D5"/>
    <w:rsid w:val="00F0146D"/>
    <w:rsid w:val="00F01818"/>
    <w:rsid w:val="00F02849"/>
    <w:rsid w:val="00F04828"/>
    <w:rsid w:val="00F07058"/>
    <w:rsid w:val="00F070F7"/>
    <w:rsid w:val="00F07DD5"/>
    <w:rsid w:val="00F10DDE"/>
    <w:rsid w:val="00F111A9"/>
    <w:rsid w:val="00F12621"/>
    <w:rsid w:val="00F127B0"/>
    <w:rsid w:val="00F1291D"/>
    <w:rsid w:val="00F13F82"/>
    <w:rsid w:val="00F162C0"/>
    <w:rsid w:val="00F1728B"/>
    <w:rsid w:val="00F200E2"/>
    <w:rsid w:val="00F20CBA"/>
    <w:rsid w:val="00F21EBB"/>
    <w:rsid w:val="00F229EF"/>
    <w:rsid w:val="00F23CCC"/>
    <w:rsid w:val="00F24AE8"/>
    <w:rsid w:val="00F2620A"/>
    <w:rsid w:val="00F2742E"/>
    <w:rsid w:val="00F3079A"/>
    <w:rsid w:val="00F30FE6"/>
    <w:rsid w:val="00F3133C"/>
    <w:rsid w:val="00F322D6"/>
    <w:rsid w:val="00F34043"/>
    <w:rsid w:val="00F34C13"/>
    <w:rsid w:val="00F350AE"/>
    <w:rsid w:val="00F35C2A"/>
    <w:rsid w:val="00F369A0"/>
    <w:rsid w:val="00F36CEC"/>
    <w:rsid w:val="00F42C3D"/>
    <w:rsid w:val="00F43096"/>
    <w:rsid w:val="00F431DF"/>
    <w:rsid w:val="00F44384"/>
    <w:rsid w:val="00F45232"/>
    <w:rsid w:val="00F478A6"/>
    <w:rsid w:val="00F502FC"/>
    <w:rsid w:val="00F509B0"/>
    <w:rsid w:val="00F51083"/>
    <w:rsid w:val="00F513B3"/>
    <w:rsid w:val="00F51570"/>
    <w:rsid w:val="00F51ED4"/>
    <w:rsid w:val="00F52950"/>
    <w:rsid w:val="00F53E09"/>
    <w:rsid w:val="00F5425F"/>
    <w:rsid w:val="00F54493"/>
    <w:rsid w:val="00F54B05"/>
    <w:rsid w:val="00F56200"/>
    <w:rsid w:val="00F578A2"/>
    <w:rsid w:val="00F60480"/>
    <w:rsid w:val="00F62BEC"/>
    <w:rsid w:val="00F6500B"/>
    <w:rsid w:val="00F65014"/>
    <w:rsid w:val="00F661BA"/>
    <w:rsid w:val="00F663D1"/>
    <w:rsid w:val="00F67E61"/>
    <w:rsid w:val="00F7062A"/>
    <w:rsid w:val="00F70F4A"/>
    <w:rsid w:val="00F7157F"/>
    <w:rsid w:val="00F72691"/>
    <w:rsid w:val="00F72746"/>
    <w:rsid w:val="00F7415E"/>
    <w:rsid w:val="00F74C71"/>
    <w:rsid w:val="00F75788"/>
    <w:rsid w:val="00F81969"/>
    <w:rsid w:val="00F81EF9"/>
    <w:rsid w:val="00F870FC"/>
    <w:rsid w:val="00F90FB7"/>
    <w:rsid w:val="00F91CE3"/>
    <w:rsid w:val="00F922B4"/>
    <w:rsid w:val="00F92DB6"/>
    <w:rsid w:val="00F9429E"/>
    <w:rsid w:val="00F94DFC"/>
    <w:rsid w:val="00F94E10"/>
    <w:rsid w:val="00F9593C"/>
    <w:rsid w:val="00F95986"/>
    <w:rsid w:val="00F9786D"/>
    <w:rsid w:val="00F97D6A"/>
    <w:rsid w:val="00FA0E33"/>
    <w:rsid w:val="00FA1C52"/>
    <w:rsid w:val="00FA2198"/>
    <w:rsid w:val="00FA2735"/>
    <w:rsid w:val="00FA2993"/>
    <w:rsid w:val="00FA2BD2"/>
    <w:rsid w:val="00FA2BDB"/>
    <w:rsid w:val="00FA3313"/>
    <w:rsid w:val="00FA6668"/>
    <w:rsid w:val="00FA6FE2"/>
    <w:rsid w:val="00FA7F14"/>
    <w:rsid w:val="00FB2D8E"/>
    <w:rsid w:val="00FB3C65"/>
    <w:rsid w:val="00FB3F89"/>
    <w:rsid w:val="00FB47B9"/>
    <w:rsid w:val="00FB5D6F"/>
    <w:rsid w:val="00FB6BAB"/>
    <w:rsid w:val="00FC334D"/>
    <w:rsid w:val="00FC47CC"/>
    <w:rsid w:val="00FC48E1"/>
    <w:rsid w:val="00FC5466"/>
    <w:rsid w:val="00FC5EB6"/>
    <w:rsid w:val="00FC63D5"/>
    <w:rsid w:val="00FC6FB4"/>
    <w:rsid w:val="00FC7F8F"/>
    <w:rsid w:val="00FD57D6"/>
    <w:rsid w:val="00FD5EFA"/>
    <w:rsid w:val="00FD70B9"/>
    <w:rsid w:val="00FE0B4D"/>
    <w:rsid w:val="00FE0C58"/>
    <w:rsid w:val="00FE1467"/>
    <w:rsid w:val="00FE1CD1"/>
    <w:rsid w:val="00FE4221"/>
    <w:rsid w:val="00FE5B73"/>
    <w:rsid w:val="00FE68E8"/>
    <w:rsid w:val="00FE6AC4"/>
    <w:rsid w:val="00FE7D4B"/>
    <w:rsid w:val="00FF0193"/>
    <w:rsid w:val="00FF13DF"/>
    <w:rsid w:val="00FF237F"/>
    <w:rsid w:val="00FF4832"/>
    <w:rsid w:val="00FF63F8"/>
    <w:rsid w:val="00FF66B8"/>
    <w:rsid w:val="00FF6CDA"/>
  </w:rsids>
  <m:mathPr>
    <m:mathFont m:val="Cambria Math"/>
    <m:brkBin m:val="before"/>
    <m:brkBinSub m:val="--"/>
    <m:smallFrac/>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 w:type="paragraph" w:styleId="Revision">
    <w:name w:val="Revision"/>
    <w:hidden/>
    <w:uiPriority w:val="99"/>
    <w:semiHidden/>
    <w:rsid w:val="004D3A7B"/>
    <w:pPr>
      <w:spacing w:line="240" w:lineRule="auto"/>
      <w:jc w:val="left"/>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37520490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08">
          <w:marLeft w:val="0"/>
          <w:marRight w:val="0"/>
          <w:marTop w:val="0"/>
          <w:marBottom w:val="0"/>
          <w:divBdr>
            <w:top w:val="none" w:sz="0" w:space="0" w:color="auto"/>
            <w:left w:val="none" w:sz="0" w:space="0" w:color="auto"/>
            <w:bottom w:val="none" w:sz="0" w:space="0" w:color="auto"/>
            <w:right w:val="none" w:sz="0" w:space="0" w:color="auto"/>
          </w:divBdr>
        </w:div>
      </w:divsChild>
    </w:div>
    <w:div w:id="595134717">
      <w:bodyDiv w:val="1"/>
      <w:marLeft w:val="0"/>
      <w:marRight w:val="0"/>
      <w:marTop w:val="0"/>
      <w:marBottom w:val="0"/>
      <w:divBdr>
        <w:top w:val="none" w:sz="0" w:space="0" w:color="auto"/>
        <w:left w:val="none" w:sz="0" w:space="0" w:color="auto"/>
        <w:bottom w:val="none" w:sz="0" w:space="0" w:color="auto"/>
        <w:right w:val="none" w:sz="0" w:space="0" w:color="auto"/>
      </w:divBdr>
      <w:divsChild>
        <w:div w:id="1545825976">
          <w:marLeft w:val="0"/>
          <w:marRight w:val="0"/>
          <w:marTop w:val="0"/>
          <w:marBottom w:val="0"/>
          <w:divBdr>
            <w:top w:val="none" w:sz="0" w:space="0" w:color="auto"/>
            <w:left w:val="none" w:sz="0" w:space="0" w:color="auto"/>
            <w:bottom w:val="none" w:sz="0" w:space="0" w:color="auto"/>
            <w:right w:val="none" w:sz="0" w:space="0" w:color="auto"/>
          </w:divBdr>
        </w:div>
      </w:divsChild>
    </w:div>
    <w:div w:id="923149312">
      <w:bodyDiv w:val="1"/>
      <w:marLeft w:val="0"/>
      <w:marRight w:val="0"/>
      <w:marTop w:val="0"/>
      <w:marBottom w:val="0"/>
      <w:divBdr>
        <w:top w:val="none" w:sz="0" w:space="0" w:color="auto"/>
        <w:left w:val="none" w:sz="0" w:space="0" w:color="auto"/>
        <w:bottom w:val="none" w:sz="0" w:space="0" w:color="auto"/>
        <w:right w:val="none" w:sz="0" w:space="0" w:color="auto"/>
      </w:divBdr>
    </w:div>
    <w:div w:id="988707354">
      <w:bodyDiv w:val="1"/>
      <w:marLeft w:val="0"/>
      <w:marRight w:val="0"/>
      <w:marTop w:val="0"/>
      <w:marBottom w:val="0"/>
      <w:divBdr>
        <w:top w:val="none" w:sz="0" w:space="0" w:color="auto"/>
        <w:left w:val="none" w:sz="0" w:space="0" w:color="auto"/>
        <w:bottom w:val="none" w:sz="0" w:space="0" w:color="auto"/>
        <w:right w:val="none" w:sz="0" w:space="0" w:color="auto"/>
      </w:divBdr>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340813213">
      <w:bodyDiv w:val="1"/>
      <w:marLeft w:val="0"/>
      <w:marRight w:val="0"/>
      <w:marTop w:val="0"/>
      <w:marBottom w:val="0"/>
      <w:divBdr>
        <w:top w:val="none" w:sz="0" w:space="0" w:color="auto"/>
        <w:left w:val="none" w:sz="0" w:space="0" w:color="auto"/>
        <w:bottom w:val="none" w:sz="0" w:space="0" w:color="auto"/>
        <w:right w:val="none" w:sz="0" w:space="0" w:color="auto"/>
      </w:divBdr>
      <w:divsChild>
        <w:div w:id="101877679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29156033">
      <w:bodyDiv w:val="1"/>
      <w:marLeft w:val="0"/>
      <w:marRight w:val="0"/>
      <w:marTop w:val="0"/>
      <w:marBottom w:val="0"/>
      <w:divBdr>
        <w:top w:val="none" w:sz="0" w:space="0" w:color="auto"/>
        <w:left w:val="none" w:sz="0" w:space="0" w:color="auto"/>
        <w:bottom w:val="none" w:sz="0" w:space="0" w:color="auto"/>
        <w:right w:val="none" w:sz="0" w:space="0" w:color="auto"/>
      </w:divBdr>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havhungwe.tshivhase@lawtonsafrica.com" TargetMode="External"/><Relationship Id="rId4" Type="http://schemas.openxmlformats.org/officeDocument/2006/relationships/settings" Target="settings.xml"/><Relationship Id="rId9" Type="http://schemas.openxmlformats.org/officeDocument/2006/relationships/hyperlink" Target="mailto:Webber.cilliers@clydeco.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35FB-0F54-47EC-AB2F-B350EA29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Lilitha Mdleleni</cp:lastModifiedBy>
  <cp:revision>4</cp:revision>
  <cp:lastPrinted>2023-12-20T10:21:00Z</cp:lastPrinted>
  <dcterms:created xsi:type="dcterms:W3CDTF">2023-12-20T10:20:00Z</dcterms:created>
  <dcterms:modified xsi:type="dcterms:W3CDTF">2024-01-18T11:22:00Z</dcterms:modified>
</cp:coreProperties>
</file>