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7FE31" w14:textId="77777777" w:rsidR="00A96A33" w:rsidRPr="00E92DE2" w:rsidRDefault="00A96A33" w:rsidP="00A96A33">
      <w:pPr>
        <w:spacing w:line="360" w:lineRule="auto"/>
        <w:rPr>
          <w:rFonts w:ascii="Arial" w:hAnsi="Arial" w:cs="Arial"/>
          <w:b/>
        </w:rPr>
      </w:pPr>
      <w:bookmarkStart w:id="0" w:name="_GoBack"/>
      <w:bookmarkEnd w:id="0"/>
    </w:p>
    <w:p w14:paraId="7B0F8D4A" w14:textId="77777777" w:rsidR="00A96A33" w:rsidRPr="00E92DE2" w:rsidRDefault="00A96A33" w:rsidP="00A96A33">
      <w:pPr>
        <w:spacing w:line="360" w:lineRule="auto"/>
        <w:jc w:val="center"/>
        <w:rPr>
          <w:rFonts w:ascii="Arial" w:hAnsi="Arial" w:cs="Arial"/>
          <w:b/>
        </w:rPr>
      </w:pPr>
      <w:r w:rsidRPr="00E92DE2">
        <w:rPr>
          <w:rFonts w:ascii="Arial" w:hAnsi="Arial" w:cs="Arial"/>
          <w:b/>
        </w:rPr>
        <w:t xml:space="preserve"> </w:t>
      </w:r>
    </w:p>
    <w:p w14:paraId="1EAC5AE1" w14:textId="77777777" w:rsidR="00A96A33" w:rsidRPr="009E60F5" w:rsidRDefault="00A96A33" w:rsidP="00A96A33">
      <w:pPr>
        <w:spacing w:line="360" w:lineRule="auto"/>
        <w:jc w:val="center"/>
        <w:rPr>
          <w:rFonts w:ascii="Arial" w:hAnsi="Arial" w:cs="Arial"/>
          <w:b/>
        </w:rPr>
      </w:pPr>
      <w:r w:rsidRPr="009E60F5">
        <w:rPr>
          <w:rFonts w:ascii="Arial" w:hAnsi="Arial" w:cs="Arial"/>
          <w:b/>
        </w:rPr>
        <w:t xml:space="preserve">    IN THE HIGH COURT OF SOUTH AFRICA</w:t>
      </w:r>
    </w:p>
    <w:p w14:paraId="55271B1D" w14:textId="77777777" w:rsidR="00A96A33" w:rsidRPr="009E60F5" w:rsidRDefault="00A96A33" w:rsidP="00A96A33">
      <w:pPr>
        <w:spacing w:line="360" w:lineRule="auto"/>
        <w:jc w:val="center"/>
        <w:rPr>
          <w:rFonts w:ascii="Arial" w:hAnsi="Arial" w:cs="Arial"/>
          <w:b/>
        </w:rPr>
      </w:pPr>
      <w:r w:rsidRPr="009E60F5">
        <w:rPr>
          <w:rFonts w:ascii="Arial" w:hAnsi="Arial" w:cs="Arial"/>
          <w:b/>
        </w:rPr>
        <w:t>GAUTENG DIVISION PRETORIA</w:t>
      </w:r>
    </w:p>
    <w:p w14:paraId="58481C46" w14:textId="77777777" w:rsidR="00A96A33" w:rsidRPr="009E60F5" w:rsidRDefault="00A96A33" w:rsidP="00A96A33">
      <w:pPr>
        <w:spacing w:line="360" w:lineRule="auto"/>
        <w:jc w:val="center"/>
        <w:rPr>
          <w:rFonts w:ascii="Arial" w:hAnsi="Arial" w:cs="Arial"/>
          <w:b/>
        </w:rPr>
      </w:pPr>
    </w:p>
    <w:p w14:paraId="6171831E" w14:textId="77777777" w:rsidR="00A96A33" w:rsidRPr="009E60F5" w:rsidRDefault="00A96A33" w:rsidP="00A96A33">
      <w:pPr>
        <w:spacing w:line="360" w:lineRule="auto"/>
        <w:jc w:val="right"/>
        <w:rPr>
          <w:rFonts w:ascii="Arial" w:hAnsi="Arial" w:cs="Arial"/>
          <w:b/>
          <w:i/>
        </w:rPr>
      </w:pPr>
      <w:r w:rsidRPr="009E60F5">
        <w:rPr>
          <w:rFonts w:ascii="Arial" w:hAnsi="Arial" w:cs="Arial"/>
          <w:b/>
          <w:noProof/>
          <w:lang w:val="en-US"/>
        </w:rPr>
        <mc:AlternateContent>
          <mc:Choice Requires="wps">
            <w:drawing>
              <wp:anchor distT="0" distB="0" distL="114300" distR="114300" simplePos="0" relativeHeight="251659264" behindDoc="0" locked="0" layoutInCell="1" allowOverlap="1" wp14:anchorId="4A6F374A" wp14:editId="27A8DF83">
                <wp:simplePos x="0" y="0"/>
                <wp:positionH relativeFrom="column">
                  <wp:posOffset>-2540</wp:posOffset>
                </wp:positionH>
                <wp:positionV relativeFrom="paragraph">
                  <wp:posOffset>7620</wp:posOffset>
                </wp:positionV>
                <wp:extent cx="3286760" cy="1344930"/>
                <wp:effectExtent l="0" t="0" r="2794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344930"/>
                        </a:xfrm>
                        <a:prstGeom prst="rect">
                          <a:avLst/>
                        </a:prstGeom>
                        <a:solidFill>
                          <a:srgbClr val="FFFFFF"/>
                        </a:solidFill>
                        <a:ln w="9525">
                          <a:solidFill>
                            <a:srgbClr val="000000"/>
                          </a:solidFill>
                          <a:miter lim="800000"/>
                          <a:headEnd/>
                          <a:tailEnd/>
                        </a:ln>
                      </wps:spPr>
                      <wps:txbx>
                        <w:txbxContent>
                          <w:p w14:paraId="2D4BDE3A" w14:textId="47D4A8CE" w:rsidR="00A96A33" w:rsidRDefault="00A96A33" w:rsidP="00A96A33">
                            <w:pPr>
                              <w:numPr>
                                <w:ilvl w:val="0"/>
                                <w:numId w:val="7"/>
                              </w:numPr>
                              <w:rPr>
                                <w:rFonts w:ascii="Century Gothic" w:hAnsi="Century Gothic"/>
                                <w:sz w:val="20"/>
                                <w:szCs w:val="20"/>
                              </w:rPr>
                            </w:pPr>
                            <w:r>
                              <w:rPr>
                                <w:rFonts w:ascii="Century Gothic" w:hAnsi="Century Gothic"/>
                                <w:sz w:val="20"/>
                                <w:szCs w:val="20"/>
                              </w:rPr>
                              <w:t xml:space="preserve">REPORTABLE:  </w:t>
                            </w:r>
                            <w:r w:rsidR="002A1A3E">
                              <w:rPr>
                                <w:rFonts w:ascii="Century Gothic" w:hAnsi="Century Gothic"/>
                                <w:sz w:val="20"/>
                                <w:szCs w:val="20"/>
                              </w:rPr>
                              <w:t>NO</w:t>
                            </w:r>
                          </w:p>
                          <w:p w14:paraId="5299333B" w14:textId="382CDDEE" w:rsidR="00A96A33" w:rsidRDefault="00A96A33" w:rsidP="00A96A33">
                            <w:pPr>
                              <w:numPr>
                                <w:ilvl w:val="0"/>
                                <w:numId w:val="7"/>
                              </w:numPr>
                              <w:rPr>
                                <w:rFonts w:ascii="Century Gothic" w:hAnsi="Century Gothic"/>
                                <w:sz w:val="20"/>
                                <w:szCs w:val="20"/>
                              </w:rPr>
                            </w:pPr>
                            <w:r>
                              <w:rPr>
                                <w:rFonts w:ascii="Century Gothic" w:hAnsi="Century Gothic"/>
                                <w:sz w:val="20"/>
                                <w:szCs w:val="20"/>
                              </w:rPr>
                              <w:t xml:space="preserve">OF INTEREST TO OTHER JUDGES: </w:t>
                            </w:r>
                            <w:r w:rsidR="002A1A3E">
                              <w:rPr>
                                <w:rFonts w:ascii="Century Gothic" w:hAnsi="Century Gothic"/>
                                <w:sz w:val="20"/>
                                <w:szCs w:val="20"/>
                              </w:rPr>
                              <w:t>NO</w:t>
                            </w:r>
                          </w:p>
                          <w:p w14:paraId="5A4F484E" w14:textId="651C4609" w:rsidR="00A96A33" w:rsidRDefault="00A96A33" w:rsidP="00A96A33">
                            <w:pPr>
                              <w:numPr>
                                <w:ilvl w:val="0"/>
                                <w:numId w:val="7"/>
                              </w:numPr>
                              <w:rPr>
                                <w:rFonts w:ascii="Century Gothic" w:hAnsi="Century Gothic"/>
                                <w:sz w:val="20"/>
                                <w:szCs w:val="20"/>
                              </w:rPr>
                            </w:pPr>
                            <w:r>
                              <w:rPr>
                                <w:rFonts w:ascii="Century Gothic" w:hAnsi="Century Gothic"/>
                                <w:sz w:val="20"/>
                                <w:szCs w:val="20"/>
                              </w:rPr>
                              <w:t>REVISED</w:t>
                            </w:r>
                          </w:p>
                          <w:p w14:paraId="2E95CB6D" w14:textId="77777777" w:rsidR="00A96A33" w:rsidRDefault="00A96A33" w:rsidP="00A96A33">
                            <w:pPr>
                              <w:rPr>
                                <w:rFonts w:ascii="Century Gothic" w:hAnsi="Century Gothic"/>
                                <w:b/>
                                <w:sz w:val="18"/>
                                <w:szCs w:val="18"/>
                              </w:rPr>
                            </w:pPr>
                          </w:p>
                          <w:p w14:paraId="43A9EE70" w14:textId="77777777" w:rsidR="00A96A33" w:rsidRDefault="00A96A33" w:rsidP="00A96A33">
                            <w:pPr>
                              <w:rPr>
                                <w:rFonts w:ascii="Century Gothic" w:hAnsi="Century Gothic"/>
                                <w:b/>
                                <w:sz w:val="18"/>
                                <w:szCs w:val="18"/>
                              </w:rPr>
                            </w:pPr>
                          </w:p>
                          <w:p w14:paraId="692D105B" w14:textId="57989443" w:rsidR="00A96A33" w:rsidRDefault="00D13750" w:rsidP="00A96A33">
                            <w:pPr>
                              <w:rPr>
                                <w:rFonts w:ascii="Century Gothic" w:hAnsi="Century Gothic"/>
                                <w:b/>
                                <w:sz w:val="18"/>
                                <w:szCs w:val="18"/>
                              </w:rPr>
                            </w:pPr>
                            <w:r>
                              <w:rPr>
                                <w:rFonts w:ascii="Century Gothic" w:hAnsi="Century Gothic"/>
                                <w:b/>
                                <w:sz w:val="18"/>
                                <w:szCs w:val="18"/>
                              </w:rPr>
                              <w:t xml:space="preserve">      </w:t>
                            </w:r>
                            <w:r w:rsidR="00A055C0">
                              <w:rPr>
                                <w:rFonts w:ascii="Century Gothic" w:hAnsi="Century Gothic"/>
                                <w:b/>
                                <w:sz w:val="18"/>
                                <w:szCs w:val="18"/>
                              </w:rPr>
                              <w:t>27</w:t>
                            </w:r>
                            <w:r w:rsidR="00746367">
                              <w:rPr>
                                <w:rFonts w:ascii="Century Gothic" w:hAnsi="Century Gothic"/>
                                <w:b/>
                                <w:sz w:val="18"/>
                                <w:szCs w:val="18"/>
                              </w:rPr>
                              <w:t xml:space="preserve"> February</w:t>
                            </w:r>
                            <w:r>
                              <w:rPr>
                                <w:rFonts w:ascii="Century Gothic" w:hAnsi="Century Gothic"/>
                                <w:b/>
                                <w:sz w:val="18"/>
                                <w:szCs w:val="18"/>
                              </w:rPr>
                              <w:t xml:space="preserve"> </w:t>
                            </w:r>
                            <w:r w:rsidR="00960D9C">
                              <w:rPr>
                                <w:rFonts w:ascii="Century Gothic" w:hAnsi="Century Gothic"/>
                                <w:b/>
                                <w:sz w:val="18"/>
                                <w:szCs w:val="18"/>
                              </w:rPr>
                              <w:t>2023</w:t>
                            </w:r>
                          </w:p>
                          <w:p w14:paraId="00D972D1" w14:textId="77777777" w:rsidR="00A96A33" w:rsidRDefault="00A96A33" w:rsidP="00A96A33">
                            <w:pPr>
                              <w:rPr>
                                <w:rFonts w:ascii="Century Gothic" w:hAnsi="Century Gothic"/>
                                <w:b/>
                                <w:sz w:val="18"/>
                                <w:szCs w:val="18"/>
                              </w:rPr>
                            </w:pPr>
                            <w:r>
                              <w:rPr>
                                <w:rFonts w:ascii="Century Gothic" w:hAnsi="Century Gothic"/>
                                <w:b/>
                                <w:sz w:val="18"/>
                                <w:szCs w:val="18"/>
                              </w:rPr>
                              <w:t xml:space="preserve"> ………...............................         …………………………….</w:t>
                            </w:r>
                          </w:p>
                          <w:p w14:paraId="311663CA" w14:textId="77777777" w:rsidR="00A96A33" w:rsidRDefault="00A96A33" w:rsidP="00A96A33">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6F374A" id="_x0000_t202" coordsize="21600,21600" o:spt="202" path="m,l,21600r21600,l21600,xe">
                <v:stroke joinstyle="miter"/>
                <v:path gradientshapeok="t" o:connecttype="rect"/>
              </v:shapetype>
              <v:shape id="Text Box 2" o:spid="_x0000_s1026" type="#_x0000_t202" style="position:absolute;left:0;text-align:left;margin-left:-.2pt;margin-top:.6pt;width:258.8pt;height:10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PxFwIAACwEAAAOAAAAZHJzL2Uyb0RvYy54bWysU9tu2zAMfR+wfxD0vjj3JkacokuXYUB3&#10;Abp9gCLLsTBZ1Cgldvb1o+Q0DbrtZZgeBFGkjsjDw9Vt1xh2VOg12IKPBkPOlJVQarsv+Lev2zcL&#10;znwQthQGrCr4SXl+u379atW6XI2hBlMqZARifd66gtchuDzLvKxVI/wAnLLkrAAbEcjEfVaiaAm9&#10;Mdl4OJxnLWDpEKTynm7veydfJ/yqUjJ8riqvAjMFp9xC2jHtu7hn65XI9yhcreU5DfEPWTRCW/r0&#10;AnUvgmAH1L9BNVoieKjCQEKTQVVpqVINVM1o+KKax1o4lWohcry70OT/H6z8dHx0X5CF7i101MBU&#10;hHcPIL97ZmFTC7tXd4jQ1kqU9PEoUpa1zufnp5Fqn/sIsms/QklNFocACairsImsUJ2M0KkBpwvp&#10;qgtM0uVkvJjfzMklyTeaTKfLSWpLJvKn5w59eK+gYfFQcKSuJnhxfPAhpiPyp5D4mwejy602Jhm4&#10;320MsqMgBWzTShW8CDOWtQVfzsaznoG/QgzT+hNEowNJ2eim4ItLkMgjb+9smYQWhDb9mVI29kxk&#10;5K5nMXS7jgIjoTsoT0QpQi9ZGjE61IA/OWtJrgX3Pw4CFWfmg6W2LEfTadR3MqazmzEZeO3ZXXuE&#10;lQRV8MBZf9yEfiYODvW+pp96IVi4o1ZWOpH8nNU5b5Jk4v48PlHz13aKeh7y9S8AAAD//wMAUEsD&#10;BBQABgAIAAAAIQAA3Nj14QAAAAwBAAAPAAAAZHJzL2Rvd25yZXYueG1sTE9NT8MwDL0j8R8iI3FB&#10;W9pubKNrOiEQaNxgILhmjddWJE5psq78e8wJLpbtZ7+PYjM6KwbsQ+tJQTpNQCBV3rRUK3h7fZis&#10;QISoyWjrCRV8Y4BNeX5W6Nz4E73gsIu1YBIKuVbQxNjlUoaqQafD1HdIjB1873Tksa+l6fWJyZ2V&#10;WZIspNMtsUKjO7xrsPrcHZ2C1Xw7fISn2fN7tTjYm3i1HB6/eqUuL8b7NZfbNYiIY/z7gN8M7B9K&#10;Nrb3RzJBWAWTOR/yOgPB6HW65GavIEtnCciykP9DlD8AAAD//wMAUEsBAi0AFAAGAAgAAAAhALaD&#10;OJL+AAAA4QEAABMAAAAAAAAAAAAAAAAAAAAAAFtDb250ZW50X1R5cGVzXS54bWxQSwECLQAUAAYA&#10;CAAAACEAOP0h/9YAAACUAQAACwAAAAAAAAAAAAAAAAAvAQAAX3JlbHMvLnJlbHNQSwECLQAUAAYA&#10;CAAAACEAKFUj8RcCAAAsBAAADgAAAAAAAAAAAAAAAAAuAgAAZHJzL2Uyb0RvYy54bWxQSwECLQAU&#10;AAYACAAAACEAANzY9eEAAAAMAQAADwAAAAAAAAAAAAAAAABxBAAAZHJzL2Rvd25yZXYueG1sUEsF&#10;BgAAAAAEAAQA8wAAAH8FAAAAAA==&#10;">
                <v:textbox>
                  <w:txbxContent>
                    <w:p w14:paraId="2D4BDE3A" w14:textId="47D4A8CE" w:rsidR="00A96A33" w:rsidRDefault="00A96A33" w:rsidP="00A96A33">
                      <w:pPr>
                        <w:numPr>
                          <w:ilvl w:val="0"/>
                          <w:numId w:val="7"/>
                        </w:numPr>
                        <w:rPr>
                          <w:rFonts w:ascii="Century Gothic" w:hAnsi="Century Gothic"/>
                          <w:sz w:val="20"/>
                          <w:szCs w:val="20"/>
                        </w:rPr>
                      </w:pPr>
                      <w:r>
                        <w:rPr>
                          <w:rFonts w:ascii="Century Gothic" w:hAnsi="Century Gothic"/>
                          <w:sz w:val="20"/>
                          <w:szCs w:val="20"/>
                        </w:rPr>
                        <w:t xml:space="preserve">REPORTABLE:  </w:t>
                      </w:r>
                      <w:r w:rsidR="002A1A3E">
                        <w:rPr>
                          <w:rFonts w:ascii="Century Gothic" w:hAnsi="Century Gothic"/>
                          <w:sz w:val="20"/>
                          <w:szCs w:val="20"/>
                        </w:rPr>
                        <w:t>NO</w:t>
                      </w:r>
                    </w:p>
                    <w:p w14:paraId="5299333B" w14:textId="382CDDEE" w:rsidR="00A96A33" w:rsidRDefault="00A96A33" w:rsidP="00A96A33">
                      <w:pPr>
                        <w:numPr>
                          <w:ilvl w:val="0"/>
                          <w:numId w:val="7"/>
                        </w:numPr>
                        <w:rPr>
                          <w:rFonts w:ascii="Century Gothic" w:hAnsi="Century Gothic"/>
                          <w:sz w:val="20"/>
                          <w:szCs w:val="20"/>
                        </w:rPr>
                      </w:pPr>
                      <w:r>
                        <w:rPr>
                          <w:rFonts w:ascii="Century Gothic" w:hAnsi="Century Gothic"/>
                          <w:sz w:val="20"/>
                          <w:szCs w:val="20"/>
                        </w:rPr>
                        <w:t xml:space="preserve">OF INTEREST TO OTHER JUDGES: </w:t>
                      </w:r>
                      <w:r w:rsidR="002A1A3E">
                        <w:rPr>
                          <w:rFonts w:ascii="Century Gothic" w:hAnsi="Century Gothic"/>
                          <w:sz w:val="20"/>
                          <w:szCs w:val="20"/>
                        </w:rPr>
                        <w:t>NO</w:t>
                      </w:r>
                    </w:p>
                    <w:p w14:paraId="5A4F484E" w14:textId="651C4609" w:rsidR="00A96A33" w:rsidRDefault="00A96A33" w:rsidP="00A96A33">
                      <w:pPr>
                        <w:numPr>
                          <w:ilvl w:val="0"/>
                          <w:numId w:val="7"/>
                        </w:numPr>
                        <w:rPr>
                          <w:rFonts w:ascii="Century Gothic" w:hAnsi="Century Gothic"/>
                          <w:sz w:val="20"/>
                          <w:szCs w:val="20"/>
                        </w:rPr>
                      </w:pPr>
                      <w:r>
                        <w:rPr>
                          <w:rFonts w:ascii="Century Gothic" w:hAnsi="Century Gothic"/>
                          <w:sz w:val="20"/>
                          <w:szCs w:val="20"/>
                        </w:rPr>
                        <w:t>REVISED</w:t>
                      </w:r>
                    </w:p>
                    <w:p w14:paraId="2E95CB6D" w14:textId="77777777" w:rsidR="00A96A33" w:rsidRDefault="00A96A33" w:rsidP="00A96A33">
                      <w:pPr>
                        <w:rPr>
                          <w:rFonts w:ascii="Century Gothic" w:hAnsi="Century Gothic"/>
                          <w:b/>
                          <w:sz w:val="18"/>
                          <w:szCs w:val="18"/>
                        </w:rPr>
                      </w:pPr>
                    </w:p>
                    <w:p w14:paraId="43A9EE70" w14:textId="77777777" w:rsidR="00A96A33" w:rsidRDefault="00A96A33" w:rsidP="00A96A33">
                      <w:pPr>
                        <w:rPr>
                          <w:rFonts w:ascii="Century Gothic" w:hAnsi="Century Gothic"/>
                          <w:b/>
                          <w:sz w:val="18"/>
                          <w:szCs w:val="18"/>
                        </w:rPr>
                      </w:pPr>
                    </w:p>
                    <w:p w14:paraId="692D105B" w14:textId="57989443" w:rsidR="00A96A33" w:rsidRDefault="00D13750" w:rsidP="00A96A33">
                      <w:pPr>
                        <w:rPr>
                          <w:rFonts w:ascii="Century Gothic" w:hAnsi="Century Gothic"/>
                          <w:b/>
                          <w:sz w:val="18"/>
                          <w:szCs w:val="18"/>
                        </w:rPr>
                      </w:pPr>
                      <w:r>
                        <w:rPr>
                          <w:rFonts w:ascii="Century Gothic" w:hAnsi="Century Gothic"/>
                          <w:b/>
                          <w:sz w:val="18"/>
                          <w:szCs w:val="18"/>
                        </w:rPr>
                        <w:t xml:space="preserve">      </w:t>
                      </w:r>
                      <w:r w:rsidR="00A055C0">
                        <w:rPr>
                          <w:rFonts w:ascii="Century Gothic" w:hAnsi="Century Gothic"/>
                          <w:b/>
                          <w:sz w:val="18"/>
                          <w:szCs w:val="18"/>
                        </w:rPr>
                        <w:t>27</w:t>
                      </w:r>
                      <w:r w:rsidR="00746367">
                        <w:rPr>
                          <w:rFonts w:ascii="Century Gothic" w:hAnsi="Century Gothic"/>
                          <w:b/>
                          <w:sz w:val="18"/>
                          <w:szCs w:val="18"/>
                        </w:rPr>
                        <w:t xml:space="preserve"> February</w:t>
                      </w:r>
                      <w:r>
                        <w:rPr>
                          <w:rFonts w:ascii="Century Gothic" w:hAnsi="Century Gothic"/>
                          <w:b/>
                          <w:sz w:val="18"/>
                          <w:szCs w:val="18"/>
                        </w:rPr>
                        <w:t xml:space="preserve"> </w:t>
                      </w:r>
                      <w:r w:rsidR="00960D9C">
                        <w:rPr>
                          <w:rFonts w:ascii="Century Gothic" w:hAnsi="Century Gothic"/>
                          <w:b/>
                          <w:sz w:val="18"/>
                          <w:szCs w:val="18"/>
                        </w:rPr>
                        <w:t>2023</w:t>
                      </w:r>
                    </w:p>
                    <w:p w14:paraId="00D972D1" w14:textId="77777777" w:rsidR="00A96A33" w:rsidRDefault="00A96A33" w:rsidP="00A96A33">
                      <w:pPr>
                        <w:rPr>
                          <w:rFonts w:ascii="Century Gothic" w:hAnsi="Century Gothic"/>
                          <w:b/>
                          <w:sz w:val="18"/>
                          <w:szCs w:val="18"/>
                        </w:rPr>
                      </w:pPr>
                      <w:r>
                        <w:rPr>
                          <w:rFonts w:ascii="Century Gothic" w:hAnsi="Century Gothic"/>
                          <w:b/>
                          <w:sz w:val="18"/>
                          <w:szCs w:val="18"/>
                        </w:rPr>
                        <w:t xml:space="preserve"> ………...............................         …………………………….</w:t>
                      </w:r>
                    </w:p>
                    <w:p w14:paraId="311663CA" w14:textId="77777777" w:rsidR="00A96A33" w:rsidRDefault="00A96A33" w:rsidP="00A96A33">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p>
    <w:p w14:paraId="5ABFFFFF" w14:textId="77777777" w:rsidR="00A96A33" w:rsidRPr="009E60F5" w:rsidRDefault="00A96A33" w:rsidP="00A96A33">
      <w:pPr>
        <w:pStyle w:val="Heading1"/>
        <w:tabs>
          <w:tab w:val="clear" w:pos="540"/>
        </w:tabs>
        <w:ind w:right="-29"/>
        <w:jc w:val="right"/>
        <w:rPr>
          <w:rFonts w:ascii="Arial" w:hAnsi="Arial" w:cs="Arial"/>
        </w:rPr>
      </w:pPr>
    </w:p>
    <w:p w14:paraId="12CCBB45" w14:textId="77777777" w:rsidR="00A96A33" w:rsidRPr="009E60F5" w:rsidRDefault="00A96A33" w:rsidP="00A96A33">
      <w:pPr>
        <w:pStyle w:val="Heading1"/>
        <w:tabs>
          <w:tab w:val="clear" w:pos="540"/>
        </w:tabs>
        <w:ind w:right="-29"/>
        <w:jc w:val="right"/>
        <w:rPr>
          <w:rFonts w:ascii="Arial" w:hAnsi="Arial" w:cs="Arial"/>
        </w:rPr>
      </w:pPr>
    </w:p>
    <w:p w14:paraId="5339138B" w14:textId="77777777" w:rsidR="00A96A33" w:rsidRPr="009E60F5" w:rsidRDefault="00A96A33" w:rsidP="00A96A33">
      <w:pPr>
        <w:jc w:val="center"/>
        <w:rPr>
          <w:rFonts w:ascii="Arial" w:hAnsi="Arial" w:cs="Arial"/>
          <w:b/>
        </w:rPr>
      </w:pPr>
    </w:p>
    <w:p w14:paraId="4FAF8E4B" w14:textId="77777777" w:rsidR="00A96A33" w:rsidRPr="009E60F5" w:rsidRDefault="00A96A33" w:rsidP="00A96A33">
      <w:pPr>
        <w:jc w:val="center"/>
        <w:rPr>
          <w:rFonts w:ascii="Arial" w:hAnsi="Arial" w:cs="Arial"/>
          <w:b/>
        </w:rPr>
      </w:pPr>
    </w:p>
    <w:p w14:paraId="1CF2A213" w14:textId="77777777" w:rsidR="00A96A33" w:rsidRPr="009E60F5" w:rsidRDefault="00A96A33" w:rsidP="00A96A33">
      <w:pPr>
        <w:jc w:val="both"/>
        <w:rPr>
          <w:rFonts w:ascii="Arial" w:hAnsi="Arial" w:cs="Arial"/>
        </w:rPr>
      </w:pPr>
    </w:p>
    <w:p w14:paraId="234069AD" w14:textId="77777777" w:rsidR="00A96A33" w:rsidRPr="009E60F5" w:rsidRDefault="00A96A33" w:rsidP="00A96A33">
      <w:pPr>
        <w:jc w:val="both"/>
        <w:rPr>
          <w:rFonts w:ascii="Arial" w:hAnsi="Arial" w:cs="Arial"/>
        </w:rPr>
      </w:pPr>
    </w:p>
    <w:tbl>
      <w:tblPr>
        <w:tblW w:w="9073" w:type="dxa"/>
        <w:tblInd w:w="-142" w:type="dxa"/>
        <w:tblLook w:val="01E0" w:firstRow="1" w:lastRow="1" w:firstColumn="1" w:lastColumn="1" w:noHBand="0" w:noVBand="0"/>
      </w:tblPr>
      <w:tblGrid>
        <w:gridCol w:w="34"/>
        <w:gridCol w:w="5778"/>
        <w:gridCol w:w="3261"/>
      </w:tblGrid>
      <w:tr w:rsidR="00A96A33" w:rsidRPr="009E60F5" w14:paraId="557BCC7E" w14:textId="77777777" w:rsidTr="001E46C7">
        <w:tc>
          <w:tcPr>
            <w:tcW w:w="5812" w:type="dxa"/>
            <w:gridSpan w:val="2"/>
            <w:shd w:val="clear" w:color="auto" w:fill="auto"/>
          </w:tcPr>
          <w:p w14:paraId="7922E337" w14:textId="77777777" w:rsidR="00A96A33" w:rsidRPr="009E60F5" w:rsidRDefault="00A96A33" w:rsidP="001E46C7">
            <w:pPr>
              <w:widowControl w:val="0"/>
              <w:spacing w:line="360" w:lineRule="auto"/>
              <w:rPr>
                <w:rFonts w:ascii="Arial" w:hAnsi="Arial" w:cs="Arial"/>
              </w:rPr>
            </w:pPr>
          </w:p>
        </w:tc>
        <w:tc>
          <w:tcPr>
            <w:tcW w:w="3261" w:type="dxa"/>
            <w:shd w:val="clear" w:color="auto" w:fill="auto"/>
          </w:tcPr>
          <w:p w14:paraId="4A73BF39" w14:textId="4255CD9C" w:rsidR="00A96A33" w:rsidRPr="009E60F5" w:rsidRDefault="00A96A33" w:rsidP="001E46C7">
            <w:pPr>
              <w:widowControl w:val="0"/>
              <w:spacing w:line="360" w:lineRule="auto"/>
              <w:jc w:val="right"/>
              <w:rPr>
                <w:rFonts w:ascii="Arial" w:hAnsi="Arial" w:cs="Arial"/>
                <w:b/>
              </w:rPr>
            </w:pPr>
            <w:r w:rsidRPr="009E60F5">
              <w:rPr>
                <w:rFonts w:ascii="Arial" w:hAnsi="Arial" w:cs="Arial"/>
                <w:b/>
              </w:rPr>
              <w:t xml:space="preserve">Case Number: </w:t>
            </w:r>
            <w:r w:rsidR="00DA7CB9">
              <w:rPr>
                <w:rFonts w:ascii="Arial" w:hAnsi="Arial" w:cs="Arial"/>
                <w:b/>
                <w:bCs/>
              </w:rPr>
              <w:t>28399/2021</w:t>
            </w:r>
          </w:p>
        </w:tc>
      </w:tr>
      <w:tr w:rsidR="00A96A33" w:rsidRPr="009E60F5" w14:paraId="178E2EB8" w14:textId="77777777" w:rsidTr="001E46C7">
        <w:tc>
          <w:tcPr>
            <w:tcW w:w="5812" w:type="dxa"/>
            <w:gridSpan w:val="2"/>
            <w:shd w:val="clear" w:color="auto" w:fill="auto"/>
          </w:tcPr>
          <w:p w14:paraId="0960CF00" w14:textId="77777777" w:rsidR="00A96A33" w:rsidRPr="009E60F5" w:rsidRDefault="00A96A33" w:rsidP="001E46C7">
            <w:pPr>
              <w:widowControl w:val="0"/>
              <w:spacing w:line="360" w:lineRule="auto"/>
              <w:rPr>
                <w:rFonts w:ascii="Arial" w:hAnsi="Arial" w:cs="Arial"/>
              </w:rPr>
            </w:pPr>
          </w:p>
        </w:tc>
        <w:tc>
          <w:tcPr>
            <w:tcW w:w="3261" w:type="dxa"/>
            <w:shd w:val="clear" w:color="auto" w:fill="auto"/>
          </w:tcPr>
          <w:p w14:paraId="61F1E294" w14:textId="77777777" w:rsidR="00A96A33" w:rsidRPr="009E60F5" w:rsidRDefault="00A96A33" w:rsidP="001E46C7">
            <w:pPr>
              <w:widowControl w:val="0"/>
              <w:spacing w:line="360" w:lineRule="auto"/>
              <w:jc w:val="right"/>
              <w:rPr>
                <w:rFonts w:ascii="Arial" w:hAnsi="Arial" w:cs="Arial"/>
                <w:b/>
              </w:rPr>
            </w:pPr>
          </w:p>
        </w:tc>
      </w:tr>
      <w:tr w:rsidR="00A96A33" w:rsidRPr="009E60F5" w14:paraId="0E20CF1D" w14:textId="77777777" w:rsidTr="001E46C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44A31259" w14:textId="2629204E" w:rsidR="00A90B49" w:rsidRPr="009E60F5" w:rsidRDefault="00DA7CB9" w:rsidP="001E46C7">
            <w:pPr>
              <w:widowControl w:val="0"/>
              <w:spacing w:line="360" w:lineRule="auto"/>
              <w:rPr>
                <w:rFonts w:ascii="Arial" w:hAnsi="Arial" w:cs="Arial"/>
                <w:b/>
                <w:bCs/>
              </w:rPr>
            </w:pPr>
            <w:r>
              <w:rPr>
                <w:rFonts w:ascii="Arial" w:hAnsi="Arial" w:cs="Arial"/>
                <w:b/>
                <w:bCs/>
              </w:rPr>
              <w:t>EDGAR DAVIDS</w:t>
            </w:r>
          </w:p>
        </w:tc>
        <w:tc>
          <w:tcPr>
            <w:tcW w:w="3261" w:type="dxa"/>
            <w:tcBorders>
              <w:top w:val="nil"/>
              <w:left w:val="nil"/>
              <w:bottom w:val="nil"/>
              <w:right w:val="nil"/>
            </w:tcBorders>
          </w:tcPr>
          <w:p w14:paraId="3F03C171" w14:textId="0A194422" w:rsidR="00A96A33" w:rsidRPr="009E60F5" w:rsidRDefault="000012D8" w:rsidP="000012D8">
            <w:pPr>
              <w:widowControl w:val="0"/>
              <w:spacing w:line="360" w:lineRule="auto"/>
              <w:jc w:val="right"/>
              <w:rPr>
                <w:rFonts w:ascii="Arial" w:hAnsi="Arial" w:cs="Arial"/>
              </w:rPr>
            </w:pPr>
            <w:r>
              <w:rPr>
                <w:rFonts w:ascii="Arial" w:hAnsi="Arial" w:cs="Arial"/>
              </w:rPr>
              <w:t>Applicant</w:t>
            </w:r>
          </w:p>
        </w:tc>
      </w:tr>
      <w:tr w:rsidR="00A96A33" w:rsidRPr="009E60F5" w14:paraId="10B89B6A" w14:textId="77777777" w:rsidTr="001E46C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1BB654D1" w14:textId="77777777" w:rsidR="00A96A33" w:rsidRPr="009E60F5" w:rsidRDefault="00A96A33" w:rsidP="001E46C7">
            <w:pPr>
              <w:widowControl w:val="0"/>
              <w:spacing w:line="360" w:lineRule="auto"/>
              <w:rPr>
                <w:rFonts w:ascii="Arial" w:hAnsi="Arial" w:cs="Arial"/>
                <w:b/>
              </w:rPr>
            </w:pPr>
          </w:p>
        </w:tc>
        <w:tc>
          <w:tcPr>
            <w:tcW w:w="3261" w:type="dxa"/>
            <w:tcBorders>
              <w:top w:val="nil"/>
              <w:left w:val="nil"/>
              <w:bottom w:val="nil"/>
              <w:right w:val="nil"/>
            </w:tcBorders>
          </w:tcPr>
          <w:p w14:paraId="3CE0A221" w14:textId="77777777" w:rsidR="00A96A33" w:rsidRPr="009E60F5" w:rsidRDefault="00A96A33" w:rsidP="001E46C7">
            <w:pPr>
              <w:widowControl w:val="0"/>
              <w:spacing w:line="360" w:lineRule="auto"/>
              <w:jc w:val="right"/>
              <w:rPr>
                <w:rFonts w:ascii="Arial" w:hAnsi="Arial" w:cs="Arial"/>
              </w:rPr>
            </w:pPr>
          </w:p>
        </w:tc>
      </w:tr>
      <w:tr w:rsidR="00A96A33" w:rsidRPr="009E60F5" w14:paraId="3EA28C8E" w14:textId="77777777" w:rsidTr="001E46C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152EF9AB" w14:textId="082BA3CF" w:rsidR="00A96A33" w:rsidRPr="009E60F5" w:rsidRDefault="00DA7CB9" w:rsidP="001E46C7">
            <w:pPr>
              <w:widowControl w:val="0"/>
              <w:spacing w:line="360" w:lineRule="auto"/>
              <w:rPr>
                <w:rFonts w:ascii="Arial" w:hAnsi="Arial" w:cs="Arial"/>
              </w:rPr>
            </w:pPr>
            <w:r>
              <w:rPr>
                <w:rFonts w:ascii="Arial" w:hAnsi="Arial" w:cs="Arial"/>
              </w:rPr>
              <w:t>a</w:t>
            </w:r>
            <w:r w:rsidR="002A1A3E">
              <w:rPr>
                <w:rFonts w:ascii="Arial" w:hAnsi="Arial" w:cs="Arial"/>
              </w:rPr>
              <w:t>nd</w:t>
            </w:r>
          </w:p>
        </w:tc>
        <w:tc>
          <w:tcPr>
            <w:tcW w:w="3261" w:type="dxa"/>
            <w:tcBorders>
              <w:top w:val="nil"/>
              <w:left w:val="nil"/>
              <w:bottom w:val="nil"/>
              <w:right w:val="nil"/>
            </w:tcBorders>
          </w:tcPr>
          <w:p w14:paraId="462CC586" w14:textId="77777777" w:rsidR="00A96A33" w:rsidRPr="009E60F5" w:rsidRDefault="00A96A33" w:rsidP="001E46C7">
            <w:pPr>
              <w:widowControl w:val="0"/>
              <w:spacing w:line="360" w:lineRule="auto"/>
              <w:jc w:val="right"/>
              <w:rPr>
                <w:rFonts w:ascii="Arial" w:hAnsi="Arial" w:cs="Arial"/>
              </w:rPr>
            </w:pPr>
          </w:p>
        </w:tc>
      </w:tr>
      <w:tr w:rsidR="00A96A33" w:rsidRPr="009E60F5" w14:paraId="1777248F" w14:textId="77777777" w:rsidTr="001E46C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7CF70C7B" w14:textId="104BE88E" w:rsidR="00A96A33" w:rsidRPr="009E60F5" w:rsidRDefault="00A96A33" w:rsidP="001E46C7">
            <w:pPr>
              <w:widowControl w:val="0"/>
              <w:spacing w:line="360" w:lineRule="auto"/>
              <w:rPr>
                <w:rFonts w:ascii="Arial" w:hAnsi="Arial" w:cs="Arial"/>
              </w:rPr>
            </w:pPr>
          </w:p>
        </w:tc>
        <w:tc>
          <w:tcPr>
            <w:tcW w:w="3261" w:type="dxa"/>
            <w:tcBorders>
              <w:top w:val="nil"/>
              <w:left w:val="nil"/>
              <w:bottom w:val="nil"/>
              <w:right w:val="nil"/>
            </w:tcBorders>
          </w:tcPr>
          <w:p w14:paraId="2CA6D647" w14:textId="77777777" w:rsidR="00A96A33" w:rsidRPr="009E60F5" w:rsidRDefault="00A96A33" w:rsidP="001E46C7">
            <w:pPr>
              <w:widowControl w:val="0"/>
              <w:spacing w:line="360" w:lineRule="auto"/>
              <w:jc w:val="right"/>
              <w:rPr>
                <w:rFonts w:ascii="Arial" w:hAnsi="Arial" w:cs="Arial"/>
              </w:rPr>
            </w:pPr>
          </w:p>
        </w:tc>
      </w:tr>
      <w:tr w:rsidR="00A96A33" w:rsidRPr="009E60F5" w14:paraId="38CD7750" w14:textId="77777777" w:rsidTr="001E46C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2618D205" w14:textId="1ECC0A31" w:rsidR="00A96A33" w:rsidRDefault="00DA7CB9" w:rsidP="001E46C7">
            <w:pPr>
              <w:widowControl w:val="0"/>
              <w:spacing w:line="360" w:lineRule="auto"/>
              <w:rPr>
                <w:rFonts w:ascii="Arial" w:hAnsi="Arial" w:cs="Arial"/>
                <w:b/>
                <w:bCs/>
              </w:rPr>
            </w:pPr>
            <w:r>
              <w:rPr>
                <w:rFonts w:ascii="Arial" w:hAnsi="Arial" w:cs="Arial"/>
                <w:b/>
                <w:bCs/>
              </w:rPr>
              <w:t>THE MINISTER OF DEFENCE AND MILITARY VETERANS</w:t>
            </w:r>
          </w:p>
          <w:p w14:paraId="14AFBFB6" w14:textId="207C0440" w:rsidR="00DA7CB9" w:rsidRDefault="00DA7CB9" w:rsidP="001E46C7">
            <w:pPr>
              <w:widowControl w:val="0"/>
              <w:spacing w:line="360" w:lineRule="auto"/>
              <w:rPr>
                <w:rFonts w:ascii="Arial" w:hAnsi="Arial" w:cs="Arial"/>
                <w:b/>
                <w:bCs/>
              </w:rPr>
            </w:pPr>
            <w:r>
              <w:rPr>
                <w:rFonts w:ascii="Arial" w:hAnsi="Arial" w:cs="Arial"/>
                <w:b/>
                <w:bCs/>
              </w:rPr>
              <w:t>and two others</w:t>
            </w:r>
          </w:p>
          <w:p w14:paraId="22F20570" w14:textId="39C76537" w:rsidR="00DA7CB9" w:rsidRDefault="00DA7CB9" w:rsidP="001E46C7">
            <w:pPr>
              <w:widowControl w:val="0"/>
              <w:spacing w:line="360" w:lineRule="auto"/>
              <w:rPr>
                <w:rFonts w:ascii="Arial" w:hAnsi="Arial" w:cs="Arial"/>
                <w:b/>
                <w:bCs/>
              </w:rPr>
            </w:pPr>
          </w:p>
          <w:p w14:paraId="3182CC6B" w14:textId="77777777" w:rsidR="00DA7CB9" w:rsidRDefault="00DA7CB9" w:rsidP="001E46C7">
            <w:pPr>
              <w:widowControl w:val="0"/>
              <w:spacing w:line="360" w:lineRule="auto"/>
              <w:rPr>
                <w:rFonts w:ascii="Arial" w:hAnsi="Arial" w:cs="Arial"/>
                <w:b/>
                <w:bCs/>
              </w:rPr>
            </w:pPr>
          </w:p>
          <w:p w14:paraId="7D93FA50" w14:textId="77777777" w:rsidR="00A96A33" w:rsidRDefault="00A96A33" w:rsidP="00960D9C">
            <w:pPr>
              <w:widowControl w:val="0"/>
              <w:spacing w:line="360" w:lineRule="auto"/>
              <w:rPr>
                <w:rFonts w:ascii="Arial" w:hAnsi="Arial" w:cs="Arial"/>
                <w:b/>
                <w:bCs/>
              </w:rPr>
            </w:pPr>
          </w:p>
          <w:p w14:paraId="0FF1DDD9" w14:textId="77777777" w:rsidR="00DA7CB9" w:rsidRDefault="00DA7CB9" w:rsidP="00960D9C">
            <w:pPr>
              <w:widowControl w:val="0"/>
              <w:spacing w:line="360" w:lineRule="auto"/>
              <w:rPr>
                <w:rFonts w:ascii="Arial" w:hAnsi="Arial" w:cs="Arial"/>
                <w:b/>
                <w:bCs/>
              </w:rPr>
            </w:pPr>
            <w:r>
              <w:rPr>
                <w:rFonts w:ascii="Arial" w:hAnsi="Arial" w:cs="Arial"/>
                <w:b/>
                <w:bCs/>
              </w:rPr>
              <w:t>ZILTA MILES</w:t>
            </w:r>
          </w:p>
          <w:p w14:paraId="27E2D103" w14:textId="77777777" w:rsidR="00DA7CB9" w:rsidRDefault="00DA7CB9" w:rsidP="00960D9C">
            <w:pPr>
              <w:widowControl w:val="0"/>
              <w:spacing w:line="360" w:lineRule="auto"/>
              <w:rPr>
                <w:rFonts w:ascii="Arial" w:hAnsi="Arial" w:cs="Arial"/>
                <w:b/>
                <w:bCs/>
              </w:rPr>
            </w:pPr>
          </w:p>
          <w:p w14:paraId="72C74B0E" w14:textId="77777777" w:rsidR="00DA7CB9" w:rsidRDefault="00DA7CB9" w:rsidP="00960D9C">
            <w:pPr>
              <w:widowControl w:val="0"/>
              <w:spacing w:line="360" w:lineRule="auto"/>
              <w:rPr>
                <w:rFonts w:ascii="Arial" w:hAnsi="Arial" w:cs="Arial"/>
              </w:rPr>
            </w:pPr>
            <w:r>
              <w:rPr>
                <w:rFonts w:ascii="Arial" w:hAnsi="Arial" w:cs="Arial"/>
              </w:rPr>
              <w:t>and</w:t>
            </w:r>
          </w:p>
          <w:p w14:paraId="04E57456" w14:textId="77777777" w:rsidR="00DA7CB9" w:rsidRDefault="00DA7CB9" w:rsidP="00960D9C">
            <w:pPr>
              <w:widowControl w:val="0"/>
              <w:spacing w:line="360" w:lineRule="auto"/>
              <w:rPr>
                <w:rFonts w:ascii="Arial" w:hAnsi="Arial" w:cs="Arial"/>
              </w:rPr>
            </w:pPr>
          </w:p>
          <w:p w14:paraId="71ACBC4A" w14:textId="77777777" w:rsidR="00DA7CB9" w:rsidRDefault="00DA7CB9" w:rsidP="00DA7CB9">
            <w:pPr>
              <w:widowControl w:val="0"/>
              <w:spacing w:line="360" w:lineRule="auto"/>
              <w:rPr>
                <w:rFonts w:ascii="Arial" w:hAnsi="Arial" w:cs="Arial"/>
                <w:b/>
                <w:bCs/>
              </w:rPr>
            </w:pPr>
            <w:r>
              <w:rPr>
                <w:rFonts w:ascii="Arial" w:hAnsi="Arial" w:cs="Arial"/>
                <w:b/>
                <w:bCs/>
              </w:rPr>
              <w:t>THE MINISTER OF DEFENCE AND MILITARY VETERANS</w:t>
            </w:r>
          </w:p>
          <w:p w14:paraId="50C22F5B" w14:textId="0AC053CE" w:rsidR="00DA7CB9" w:rsidRPr="00DA7CB9" w:rsidRDefault="00DA7CB9" w:rsidP="00DA7CB9">
            <w:pPr>
              <w:widowControl w:val="0"/>
              <w:spacing w:line="360" w:lineRule="auto"/>
              <w:rPr>
                <w:rFonts w:ascii="Arial" w:hAnsi="Arial" w:cs="Arial"/>
              </w:rPr>
            </w:pPr>
            <w:r>
              <w:rPr>
                <w:rFonts w:ascii="Arial" w:hAnsi="Arial" w:cs="Arial"/>
                <w:b/>
                <w:bCs/>
              </w:rPr>
              <w:t>and three others</w:t>
            </w:r>
          </w:p>
        </w:tc>
        <w:tc>
          <w:tcPr>
            <w:tcW w:w="3261" w:type="dxa"/>
            <w:tcBorders>
              <w:top w:val="nil"/>
              <w:left w:val="nil"/>
              <w:bottom w:val="nil"/>
              <w:right w:val="nil"/>
            </w:tcBorders>
          </w:tcPr>
          <w:p w14:paraId="0609C42D" w14:textId="3F183592" w:rsidR="00A96A33" w:rsidRDefault="009B43B4" w:rsidP="001E46C7">
            <w:pPr>
              <w:widowControl w:val="0"/>
              <w:spacing w:line="360" w:lineRule="auto"/>
              <w:jc w:val="right"/>
              <w:rPr>
                <w:rFonts w:ascii="Arial" w:hAnsi="Arial" w:cs="Arial"/>
              </w:rPr>
            </w:pPr>
            <w:r>
              <w:rPr>
                <w:rFonts w:ascii="Arial" w:hAnsi="Arial" w:cs="Arial"/>
              </w:rPr>
              <w:t xml:space="preserve"> </w:t>
            </w:r>
            <w:r w:rsidR="00DA7CB9">
              <w:rPr>
                <w:rFonts w:ascii="Arial" w:hAnsi="Arial" w:cs="Arial"/>
              </w:rPr>
              <w:t xml:space="preserve">First </w:t>
            </w:r>
            <w:r w:rsidR="00A96A33">
              <w:rPr>
                <w:rFonts w:ascii="Arial" w:hAnsi="Arial" w:cs="Arial"/>
              </w:rPr>
              <w:t>Respondent</w:t>
            </w:r>
          </w:p>
          <w:p w14:paraId="193B91AB" w14:textId="77777777" w:rsidR="005C4521" w:rsidRDefault="005C4521" w:rsidP="001E46C7">
            <w:pPr>
              <w:widowControl w:val="0"/>
              <w:spacing w:line="360" w:lineRule="auto"/>
              <w:jc w:val="right"/>
              <w:rPr>
                <w:rFonts w:ascii="Arial" w:hAnsi="Arial" w:cs="Arial"/>
              </w:rPr>
            </w:pPr>
          </w:p>
          <w:p w14:paraId="5FA91E82" w14:textId="77777777" w:rsidR="000012D8" w:rsidRDefault="000012D8" w:rsidP="001E46C7">
            <w:pPr>
              <w:widowControl w:val="0"/>
              <w:spacing w:line="360" w:lineRule="auto"/>
              <w:jc w:val="right"/>
              <w:rPr>
                <w:rFonts w:ascii="Arial" w:hAnsi="Arial" w:cs="Arial"/>
              </w:rPr>
            </w:pPr>
          </w:p>
          <w:p w14:paraId="1C4F38DC" w14:textId="77777777" w:rsidR="00DA7CB9" w:rsidRDefault="00DA7CB9" w:rsidP="001E46C7">
            <w:pPr>
              <w:widowControl w:val="0"/>
              <w:spacing w:line="360" w:lineRule="auto"/>
              <w:jc w:val="right"/>
              <w:rPr>
                <w:rFonts w:ascii="Arial" w:hAnsi="Arial" w:cs="Arial"/>
              </w:rPr>
            </w:pPr>
          </w:p>
          <w:p w14:paraId="43A3C876" w14:textId="4CF3963E" w:rsidR="00DA7CB9" w:rsidRDefault="00DA7CB9" w:rsidP="001E46C7">
            <w:pPr>
              <w:widowControl w:val="0"/>
              <w:spacing w:line="360" w:lineRule="auto"/>
              <w:jc w:val="right"/>
              <w:rPr>
                <w:rFonts w:ascii="Arial" w:hAnsi="Arial" w:cs="Arial"/>
                <w:b/>
                <w:bCs/>
              </w:rPr>
            </w:pPr>
            <w:r>
              <w:rPr>
                <w:rFonts w:ascii="Arial" w:hAnsi="Arial" w:cs="Arial"/>
                <w:b/>
                <w:bCs/>
              </w:rPr>
              <w:t>Case Number: 13</w:t>
            </w:r>
            <w:r w:rsidR="00B807CA">
              <w:rPr>
                <w:rFonts w:ascii="Arial" w:hAnsi="Arial" w:cs="Arial"/>
                <w:b/>
                <w:bCs/>
              </w:rPr>
              <w:t>678</w:t>
            </w:r>
            <w:r>
              <w:rPr>
                <w:rFonts w:ascii="Arial" w:hAnsi="Arial" w:cs="Arial"/>
                <w:b/>
                <w:bCs/>
              </w:rPr>
              <w:t>/2022</w:t>
            </w:r>
          </w:p>
          <w:p w14:paraId="3BF17E74" w14:textId="77777777" w:rsidR="00DA7CB9" w:rsidRDefault="00DA7CB9" w:rsidP="001E46C7">
            <w:pPr>
              <w:widowControl w:val="0"/>
              <w:spacing w:line="360" w:lineRule="auto"/>
              <w:jc w:val="right"/>
              <w:rPr>
                <w:rFonts w:ascii="Arial" w:hAnsi="Arial" w:cs="Arial"/>
                <w:b/>
                <w:bCs/>
              </w:rPr>
            </w:pPr>
          </w:p>
          <w:p w14:paraId="71BF5F2A" w14:textId="77777777" w:rsidR="00DA7CB9" w:rsidRDefault="00DA7CB9" w:rsidP="001E46C7">
            <w:pPr>
              <w:widowControl w:val="0"/>
              <w:spacing w:line="360" w:lineRule="auto"/>
              <w:jc w:val="right"/>
              <w:rPr>
                <w:rFonts w:ascii="Arial" w:hAnsi="Arial" w:cs="Arial"/>
                <w:b/>
                <w:bCs/>
              </w:rPr>
            </w:pPr>
            <w:r>
              <w:rPr>
                <w:rFonts w:ascii="Arial" w:hAnsi="Arial" w:cs="Arial"/>
              </w:rPr>
              <w:t>Applicant</w:t>
            </w:r>
            <w:r>
              <w:rPr>
                <w:rFonts w:ascii="Arial" w:hAnsi="Arial" w:cs="Arial"/>
                <w:b/>
                <w:bCs/>
              </w:rPr>
              <w:t xml:space="preserve"> </w:t>
            </w:r>
          </w:p>
          <w:p w14:paraId="4798F756" w14:textId="77777777" w:rsidR="00DA7CB9" w:rsidRDefault="00DA7CB9" w:rsidP="001E46C7">
            <w:pPr>
              <w:widowControl w:val="0"/>
              <w:spacing w:line="360" w:lineRule="auto"/>
              <w:jc w:val="right"/>
              <w:rPr>
                <w:rFonts w:ascii="Arial" w:hAnsi="Arial" w:cs="Arial"/>
                <w:b/>
                <w:bCs/>
              </w:rPr>
            </w:pPr>
          </w:p>
          <w:p w14:paraId="3348B6AC" w14:textId="77777777" w:rsidR="00DA7CB9" w:rsidRDefault="00DA7CB9" w:rsidP="001E46C7">
            <w:pPr>
              <w:widowControl w:val="0"/>
              <w:spacing w:line="360" w:lineRule="auto"/>
              <w:jc w:val="right"/>
              <w:rPr>
                <w:rFonts w:ascii="Arial" w:hAnsi="Arial" w:cs="Arial"/>
                <w:b/>
                <w:bCs/>
              </w:rPr>
            </w:pPr>
          </w:p>
          <w:p w14:paraId="70FA2073" w14:textId="77777777" w:rsidR="00DA7CB9" w:rsidRPr="00DA7CB9" w:rsidRDefault="00DA7CB9" w:rsidP="001E46C7">
            <w:pPr>
              <w:widowControl w:val="0"/>
              <w:spacing w:line="360" w:lineRule="auto"/>
              <w:jc w:val="right"/>
              <w:rPr>
                <w:rFonts w:ascii="Arial" w:hAnsi="Arial" w:cs="Arial"/>
              </w:rPr>
            </w:pPr>
          </w:p>
          <w:p w14:paraId="449F92BF" w14:textId="357CC783" w:rsidR="00DA7CB9" w:rsidRPr="00DA7CB9" w:rsidRDefault="00DA7CB9" w:rsidP="001E46C7">
            <w:pPr>
              <w:widowControl w:val="0"/>
              <w:spacing w:line="360" w:lineRule="auto"/>
              <w:jc w:val="right"/>
              <w:rPr>
                <w:rFonts w:ascii="Arial" w:hAnsi="Arial" w:cs="Arial"/>
                <w:b/>
                <w:bCs/>
              </w:rPr>
            </w:pPr>
            <w:r w:rsidRPr="00DA7CB9">
              <w:rPr>
                <w:rFonts w:ascii="Arial" w:hAnsi="Arial" w:cs="Arial"/>
              </w:rPr>
              <w:t>First Respondent</w:t>
            </w:r>
          </w:p>
        </w:tc>
      </w:tr>
    </w:tbl>
    <w:p w14:paraId="23C8AF08" w14:textId="0DB08397" w:rsidR="00DA7CB9" w:rsidRDefault="00DA7CB9" w:rsidP="00DA7CB9">
      <w:pPr>
        <w:widowControl w:val="0"/>
        <w:spacing w:line="360" w:lineRule="auto"/>
        <w:rPr>
          <w:rFonts w:ascii="Arial" w:hAnsi="Arial" w:cs="Arial"/>
          <w:b/>
          <w:bCs/>
        </w:rPr>
      </w:pPr>
    </w:p>
    <w:p w14:paraId="359CA2CC" w14:textId="382DBC01" w:rsidR="00A96A33" w:rsidRPr="00DA7CB9" w:rsidRDefault="00A96A33" w:rsidP="00A96A33">
      <w:pPr>
        <w:rPr>
          <w:rFonts w:ascii="Arial" w:hAnsi="Arial" w:cs="Arial"/>
          <w:b/>
          <w:bCs/>
        </w:rPr>
      </w:pPr>
    </w:p>
    <w:p w14:paraId="4E40265B" w14:textId="0E0C528B" w:rsidR="00DA7CB9" w:rsidRDefault="00DA7CB9" w:rsidP="00A96A33">
      <w:pPr>
        <w:rPr>
          <w:rFonts w:ascii="Arial" w:hAnsi="Arial" w:cs="Arial"/>
        </w:rPr>
      </w:pPr>
    </w:p>
    <w:p w14:paraId="09C75E0A" w14:textId="406F5A4F" w:rsidR="00DA7CB9" w:rsidRDefault="00DA7CB9" w:rsidP="00A96A33">
      <w:pPr>
        <w:rPr>
          <w:rFonts w:ascii="Arial" w:hAnsi="Arial" w:cs="Arial"/>
        </w:rPr>
      </w:pPr>
    </w:p>
    <w:p w14:paraId="0AE856C7" w14:textId="77777777" w:rsidR="00DA7CB9" w:rsidRPr="009E60F5" w:rsidRDefault="00DA7CB9" w:rsidP="00A96A33">
      <w:pPr>
        <w:rPr>
          <w:rFonts w:ascii="Arial" w:hAnsi="Arial" w:cs="Arial"/>
        </w:rPr>
      </w:pPr>
    </w:p>
    <w:tbl>
      <w:tblPr>
        <w:tblW w:w="8931" w:type="dxa"/>
        <w:tblBorders>
          <w:top w:val="single" w:sz="4" w:space="0" w:color="auto"/>
          <w:bottom w:val="single" w:sz="4" w:space="0" w:color="auto"/>
        </w:tblBorders>
        <w:tblLook w:val="01E0" w:firstRow="1" w:lastRow="1" w:firstColumn="1" w:lastColumn="1" w:noHBand="0" w:noVBand="0"/>
      </w:tblPr>
      <w:tblGrid>
        <w:gridCol w:w="8931"/>
      </w:tblGrid>
      <w:tr w:rsidR="00A96A33" w:rsidRPr="009E60F5" w14:paraId="25C2A05A" w14:textId="77777777" w:rsidTr="001E46C7">
        <w:tc>
          <w:tcPr>
            <w:tcW w:w="8931" w:type="dxa"/>
            <w:shd w:val="clear" w:color="auto" w:fill="auto"/>
          </w:tcPr>
          <w:p w14:paraId="551E4B7E" w14:textId="77777777" w:rsidR="00A96A33" w:rsidRPr="009E60F5" w:rsidRDefault="00A96A33" w:rsidP="001E46C7">
            <w:pPr>
              <w:rPr>
                <w:rFonts w:ascii="Arial" w:hAnsi="Arial" w:cs="Arial"/>
              </w:rPr>
            </w:pPr>
          </w:p>
          <w:p w14:paraId="06430362" w14:textId="559AB560" w:rsidR="00A96A33" w:rsidRPr="009E60F5" w:rsidRDefault="00D53522" w:rsidP="001E46C7">
            <w:pPr>
              <w:jc w:val="center"/>
              <w:rPr>
                <w:rFonts w:ascii="Arial" w:hAnsi="Arial" w:cs="Arial"/>
                <w:b/>
              </w:rPr>
            </w:pPr>
            <w:r>
              <w:rPr>
                <w:rFonts w:ascii="Arial" w:hAnsi="Arial" w:cs="Arial"/>
                <w:b/>
              </w:rPr>
              <w:t>JUDGMENT</w:t>
            </w:r>
          </w:p>
          <w:p w14:paraId="53E57B93" w14:textId="77777777" w:rsidR="00A96A33" w:rsidRPr="009E60F5" w:rsidRDefault="00A96A33" w:rsidP="001E46C7">
            <w:pPr>
              <w:jc w:val="center"/>
              <w:rPr>
                <w:rFonts w:ascii="Arial" w:hAnsi="Arial" w:cs="Arial"/>
              </w:rPr>
            </w:pPr>
          </w:p>
        </w:tc>
      </w:tr>
    </w:tbl>
    <w:p w14:paraId="368E7064" w14:textId="77777777" w:rsidR="00A96A33" w:rsidRPr="009E60F5" w:rsidRDefault="00A96A33" w:rsidP="00A96A33">
      <w:pPr>
        <w:widowControl w:val="0"/>
        <w:autoSpaceDE w:val="0"/>
        <w:autoSpaceDN w:val="0"/>
        <w:adjustRightInd w:val="0"/>
        <w:spacing w:line="480" w:lineRule="auto"/>
        <w:ind w:right="-455"/>
        <w:jc w:val="center"/>
        <w:rPr>
          <w:rFonts w:ascii="Arial" w:hAnsi="Arial" w:cs="Arial"/>
          <w:b/>
          <w:u w:val="single"/>
        </w:rPr>
      </w:pPr>
      <w:bookmarkStart w:id="1" w:name="QuickMark"/>
      <w:bookmarkEnd w:id="1"/>
    </w:p>
    <w:p w14:paraId="117A820D" w14:textId="3FC1396F" w:rsidR="00A96A33" w:rsidRPr="009E60F5" w:rsidRDefault="00A96A33" w:rsidP="00A96A33">
      <w:pPr>
        <w:widowControl w:val="0"/>
        <w:autoSpaceDE w:val="0"/>
        <w:autoSpaceDN w:val="0"/>
        <w:adjustRightInd w:val="0"/>
        <w:spacing w:line="480" w:lineRule="auto"/>
        <w:ind w:right="-455"/>
        <w:rPr>
          <w:rFonts w:ascii="Arial" w:hAnsi="Arial" w:cs="Arial"/>
          <w:bCs/>
        </w:rPr>
      </w:pPr>
      <w:r>
        <w:rPr>
          <w:rFonts w:ascii="Arial" w:hAnsi="Arial" w:cs="Arial"/>
          <w:b/>
          <w:u w:val="single"/>
        </w:rPr>
        <w:t>SC VIVIAN</w:t>
      </w:r>
      <w:r w:rsidRPr="009E60F5">
        <w:rPr>
          <w:rFonts w:ascii="Arial" w:hAnsi="Arial" w:cs="Arial"/>
          <w:b/>
          <w:u w:val="single"/>
        </w:rPr>
        <w:t xml:space="preserve"> AJ</w:t>
      </w:r>
    </w:p>
    <w:p w14:paraId="23DBD868" w14:textId="77777777" w:rsidR="00A96A33" w:rsidRPr="009E60F5" w:rsidRDefault="00A96A33" w:rsidP="00A96A33">
      <w:pPr>
        <w:widowControl w:val="0"/>
        <w:autoSpaceDE w:val="0"/>
        <w:autoSpaceDN w:val="0"/>
        <w:adjustRightInd w:val="0"/>
        <w:spacing w:line="480" w:lineRule="auto"/>
        <w:ind w:right="-455"/>
        <w:rPr>
          <w:rFonts w:ascii="Arial" w:hAnsi="Arial" w:cs="Arial"/>
          <w:bCs/>
        </w:rPr>
      </w:pPr>
    </w:p>
    <w:p w14:paraId="3D525537" w14:textId="5ACAE929" w:rsidR="00BE6E44" w:rsidRDefault="00DA7CB9" w:rsidP="004129C8">
      <w:pPr>
        <w:pStyle w:val="ListParagraph"/>
        <w:numPr>
          <w:ilvl w:val="0"/>
          <w:numId w:val="1"/>
        </w:numPr>
        <w:spacing w:line="480" w:lineRule="auto"/>
        <w:jc w:val="both"/>
        <w:rPr>
          <w:rFonts w:ascii="Arial" w:hAnsi="Arial" w:cs="Arial"/>
        </w:rPr>
      </w:pPr>
      <w:bookmarkStart w:id="2" w:name="_Toc299712776"/>
      <w:bookmarkStart w:id="3" w:name="_Toc419271086"/>
      <w:bookmarkEnd w:id="2"/>
      <w:bookmarkEnd w:id="3"/>
      <w:r>
        <w:rPr>
          <w:rFonts w:ascii="Arial" w:hAnsi="Arial" w:cs="Arial"/>
        </w:rPr>
        <w:t xml:space="preserve">The Applicants in </w:t>
      </w:r>
      <w:r w:rsidR="00A055C0">
        <w:rPr>
          <w:rFonts w:ascii="Arial" w:hAnsi="Arial" w:cs="Arial"/>
        </w:rPr>
        <w:t>each</w:t>
      </w:r>
      <w:r>
        <w:rPr>
          <w:rFonts w:ascii="Arial" w:hAnsi="Arial" w:cs="Arial"/>
        </w:rPr>
        <w:t xml:space="preserve"> of these matters seek orders enforcing a recommendation </w:t>
      </w:r>
      <w:r w:rsidR="00C37698">
        <w:rPr>
          <w:rFonts w:ascii="Arial" w:hAnsi="Arial" w:cs="Arial"/>
        </w:rPr>
        <w:t xml:space="preserve">made by </w:t>
      </w:r>
      <w:r>
        <w:rPr>
          <w:rFonts w:ascii="Arial" w:hAnsi="Arial" w:cs="Arial"/>
        </w:rPr>
        <w:t>the Military Ombud</w:t>
      </w:r>
      <w:r w:rsidR="00C37698">
        <w:rPr>
          <w:rFonts w:ascii="Arial" w:hAnsi="Arial" w:cs="Arial"/>
        </w:rPr>
        <w:t xml:space="preserve"> to the Minister of Defence and Military Veterans (“the Minister”)</w:t>
      </w:r>
      <w:r>
        <w:rPr>
          <w:rFonts w:ascii="Arial" w:hAnsi="Arial" w:cs="Arial"/>
        </w:rPr>
        <w:t>.</w:t>
      </w:r>
      <w:r w:rsidR="00C37698">
        <w:rPr>
          <w:rFonts w:ascii="Arial" w:hAnsi="Arial" w:cs="Arial"/>
        </w:rPr>
        <w:t xml:space="preserve"> </w:t>
      </w:r>
    </w:p>
    <w:p w14:paraId="0F2E7867" w14:textId="77777777" w:rsidR="0073624D" w:rsidRDefault="0073624D" w:rsidP="0073624D">
      <w:pPr>
        <w:pStyle w:val="ListParagraph"/>
        <w:ind w:left="567"/>
        <w:jc w:val="both"/>
        <w:rPr>
          <w:rFonts w:ascii="Arial" w:hAnsi="Arial" w:cs="Arial"/>
        </w:rPr>
      </w:pPr>
    </w:p>
    <w:p w14:paraId="3268AAF6" w14:textId="0A9E49C2" w:rsidR="00F37218" w:rsidRDefault="00E25360" w:rsidP="00F37218">
      <w:pPr>
        <w:pStyle w:val="ListParagraph"/>
        <w:numPr>
          <w:ilvl w:val="0"/>
          <w:numId w:val="1"/>
        </w:numPr>
        <w:spacing w:line="480" w:lineRule="auto"/>
        <w:jc w:val="both"/>
        <w:rPr>
          <w:rFonts w:ascii="Arial" w:hAnsi="Arial" w:cs="Arial"/>
        </w:rPr>
      </w:pPr>
      <w:r>
        <w:rPr>
          <w:rFonts w:ascii="Arial" w:hAnsi="Arial" w:cs="Arial"/>
        </w:rPr>
        <w:t>On 6 March 2018, Mr Davids lodged a complaint with the Military Ombud regarding non-promotion</w:t>
      </w:r>
      <w:r w:rsidR="00F37218">
        <w:rPr>
          <w:rFonts w:ascii="Arial" w:hAnsi="Arial" w:cs="Arial"/>
        </w:rPr>
        <w:t xml:space="preserve"> and the failure to compensate him for a period when he served in a higher post</w:t>
      </w:r>
      <w:r>
        <w:rPr>
          <w:rFonts w:ascii="Arial" w:hAnsi="Arial" w:cs="Arial"/>
        </w:rPr>
        <w:t xml:space="preserve">. On </w:t>
      </w:r>
      <w:r w:rsidR="00F37218">
        <w:rPr>
          <w:rFonts w:ascii="Arial" w:hAnsi="Arial" w:cs="Arial"/>
        </w:rPr>
        <w:t>9 March 2020, the Military Ombud issued a final report in respect of the complaint. The Military Ombud upheld Mr Davids’ complaint. The Minister was requested to request the Chief of the SANDF to ensure that Mr Davids was compensated for the period he served in the higher post. The Military Ombud further recommended that the Minister direct the Chief of the SANDF to instruct that a full audit on Mr Davids’ rank and career progression and that any irregularities be rectified. The Minister did not implement the recommendation.</w:t>
      </w:r>
    </w:p>
    <w:p w14:paraId="574C52DA" w14:textId="77777777" w:rsidR="00F37218" w:rsidRPr="00F37218" w:rsidRDefault="00F37218" w:rsidP="00F37218">
      <w:pPr>
        <w:pStyle w:val="ListParagraph"/>
        <w:rPr>
          <w:rFonts w:ascii="Arial" w:hAnsi="Arial" w:cs="Arial"/>
        </w:rPr>
      </w:pPr>
    </w:p>
    <w:p w14:paraId="75805511" w14:textId="6DE0CD47" w:rsidR="00F37218" w:rsidRPr="00F20890" w:rsidRDefault="00F37218" w:rsidP="00F20890">
      <w:pPr>
        <w:pStyle w:val="ListParagraph"/>
        <w:numPr>
          <w:ilvl w:val="0"/>
          <w:numId w:val="1"/>
        </w:numPr>
        <w:spacing w:line="480" w:lineRule="auto"/>
        <w:jc w:val="both"/>
        <w:rPr>
          <w:rFonts w:ascii="Arial" w:hAnsi="Arial" w:cs="Arial"/>
        </w:rPr>
      </w:pPr>
      <w:r>
        <w:rPr>
          <w:rFonts w:ascii="Arial" w:hAnsi="Arial" w:cs="Arial"/>
        </w:rPr>
        <w:t xml:space="preserve">On 3 June 2019, </w:t>
      </w:r>
      <w:r w:rsidR="00746FF3">
        <w:rPr>
          <w:rFonts w:ascii="Arial" w:hAnsi="Arial" w:cs="Arial"/>
        </w:rPr>
        <w:t xml:space="preserve">Major </w:t>
      </w:r>
      <w:r>
        <w:rPr>
          <w:rFonts w:ascii="Arial" w:hAnsi="Arial" w:cs="Arial"/>
        </w:rPr>
        <w:t>Miles lodged a complaint with the Military Ombud regarding</w:t>
      </w:r>
      <w:r w:rsidR="00746FF3">
        <w:rPr>
          <w:rFonts w:ascii="Arial" w:hAnsi="Arial" w:cs="Arial"/>
        </w:rPr>
        <w:t xml:space="preserve"> the non-rectification of her remuneration. In essence, when the occupational dispensation </w:t>
      </w:r>
      <w:r w:rsidR="00F20890">
        <w:rPr>
          <w:rFonts w:ascii="Arial" w:hAnsi="Arial" w:cs="Arial"/>
        </w:rPr>
        <w:t xml:space="preserve">(“the OSD”) </w:t>
      </w:r>
      <w:r w:rsidR="00746FF3">
        <w:rPr>
          <w:rFonts w:ascii="Arial" w:hAnsi="Arial" w:cs="Arial"/>
        </w:rPr>
        <w:t xml:space="preserve">for pharmacists was implemented in 2008/2009, she was incorrectly translated to the level of a normal dispensing pharmacist whereas she should have been translated to the pharmacist supervisor level. On </w:t>
      </w:r>
      <w:r w:rsidR="00F20890">
        <w:rPr>
          <w:rFonts w:ascii="Arial" w:hAnsi="Arial" w:cs="Arial"/>
        </w:rPr>
        <w:t xml:space="preserve">12 March 2021, the final report of the Military Ombud was </w:t>
      </w:r>
      <w:r w:rsidR="00F20890">
        <w:rPr>
          <w:rFonts w:ascii="Arial" w:hAnsi="Arial" w:cs="Arial"/>
        </w:rPr>
        <w:lastRenderedPageBreak/>
        <w:t xml:space="preserve">issued. The Military Ombud upheld the complaint and recommended that the Minister (1) direct the Surgeon General to finalise its processes in order to ensure the implementation of the OSD in respect of, </w:t>
      </w:r>
      <w:r w:rsidR="00F20890">
        <w:rPr>
          <w:rFonts w:ascii="Arial" w:hAnsi="Arial" w:cs="Arial"/>
          <w:i/>
          <w:iCs/>
        </w:rPr>
        <w:t>inter alia</w:t>
      </w:r>
      <w:r w:rsidR="00F20890">
        <w:rPr>
          <w:rFonts w:ascii="Arial" w:hAnsi="Arial" w:cs="Arial"/>
        </w:rPr>
        <w:t xml:space="preserve">, pharmacists and (2) direct the Surgeon General to audit Major Miles’ salary </w:t>
      </w:r>
      <w:r w:rsidR="009F3536">
        <w:rPr>
          <w:rFonts w:ascii="Arial" w:hAnsi="Arial" w:cs="Arial"/>
        </w:rPr>
        <w:t xml:space="preserve">and the </w:t>
      </w:r>
      <w:r w:rsidR="00F20890">
        <w:rPr>
          <w:rFonts w:ascii="Arial" w:hAnsi="Arial" w:cs="Arial"/>
        </w:rPr>
        <w:t>Directorate Human Resource Service Systems to implement salary adjustments with effect from 1 April 2010. The recommendation has not been implemented.</w:t>
      </w:r>
      <w:r w:rsidR="00F20890" w:rsidRPr="00F20890">
        <w:rPr>
          <w:rFonts w:ascii="Arial" w:hAnsi="Arial" w:cs="Arial"/>
        </w:rPr>
        <w:t xml:space="preserve"> </w:t>
      </w:r>
    </w:p>
    <w:p w14:paraId="4F1FB72E" w14:textId="77777777" w:rsidR="00E25360" w:rsidRPr="00E25360" w:rsidRDefault="00E25360" w:rsidP="00E25360">
      <w:pPr>
        <w:pStyle w:val="ListParagraph"/>
        <w:rPr>
          <w:rFonts w:ascii="Arial" w:hAnsi="Arial" w:cs="Arial"/>
        </w:rPr>
      </w:pPr>
    </w:p>
    <w:p w14:paraId="2FF43D64" w14:textId="482D8411" w:rsidR="0073624D" w:rsidRDefault="00F20890" w:rsidP="004129C8">
      <w:pPr>
        <w:pStyle w:val="ListParagraph"/>
        <w:numPr>
          <w:ilvl w:val="0"/>
          <w:numId w:val="1"/>
        </w:numPr>
        <w:spacing w:line="480" w:lineRule="auto"/>
        <w:jc w:val="both"/>
        <w:rPr>
          <w:rFonts w:ascii="Arial" w:hAnsi="Arial" w:cs="Arial"/>
        </w:rPr>
      </w:pPr>
      <w:r>
        <w:rPr>
          <w:rFonts w:ascii="Arial" w:hAnsi="Arial" w:cs="Arial"/>
        </w:rPr>
        <w:t xml:space="preserve">In both matters, the opposing respondents submit that the relief sought is not competent because the recommendations of the Military Ombud are not binding on the Minister. </w:t>
      </w:r>
      <w:r w:rsidR="00DA7CB9">
        <w:rPr>
          <w:rFonts w:ascii="Arial" w:hAnsi="Arial" w:cs="Arial"/>
        </w:rPr>
        <w:t xml:space="preserve">As the same point of law arises in both cases, the parties agreed that the matters be heard together. </w:t>
      </w:r>
    </w:p>
    <w:p w14:paraId="592E9DE0" w14:textId="77777777" w:rsidR="00DA7CB9" w:rsidRPr="00DA7CB9" w:rsidRDefault="00DA7CB9" w:rsidP="00DA7CB9">
      <w:pPr>
        <w:pStyle w:val="ListParagraph"/>
        <w:rPr>
          <w:rFonts w:ascii="Arial" w:hAnsi="Arial" w:cs="Arial"/>
        </w:rPr>
      </w:pPr>
    </w:p>
    <w:p w14:paraId="69C90FA0" w14:textId="52DE5D79" w:rsidR="00854042" w:rsidRDefault="00DA7CB9" w:rsidP="004129C8">
      <w:pPr>
        <w:pStyle w:val="ListParagraph"/>
        <w:numPr>
          <w:ilvl w:val="0"/>
          <w:numId w:val="1"/>
        </w:numPr>
        <w:spacing w:line="480" w:lineRule="auto"/>
        <w:jc w:val="both"/>
        <w:rPr>
          <w:rFonts w:ascii="Arial" w:hAnsi="Arial" w:cs="Arial"/>
        </w:rPr>
      </w:pPr>
      <w:r>
        <w:rPr>
          <w:rFonts w:ascii="Arial" w:hAnsi="Arial" w:cs="Arial"/>
        </w:rPr>
        <w:t xml:space="preserve">The </w:t>
      </w:r>
      <w:r w:rsidR="00854042">
        <w:rPr>
          <w:rFonts w:ascii="Arial" w:hAnsi="Arial" w:cs="Arial"/>
        </w:rPr>
        <w:t xml:space="preserve">office of the Military Ombud was established in terms of the Military Ombud Act (Act 4 of 2012; “the </w:t>
      </w:r>
      <w:r w:rsidR="00C37698">
        <w:rPr>
          <w:rFonts w:ascii="Arial" w:hAnsi="Arial" w:cs="Arial"/>
        </w:rPr>
        <w:t xml:space="preserve">Military Ombud </w:t>
      </w:r>
      <w:r w:rsidR="00854042">
        <w:rPr>
          <w:rFonts w:ascii="Arial" w:hAnsi="Arial" w:cs="Arial"/>
        </w:rPr>
        <w:t xml:space="preserve">Act”). In terms of Section 5(1) of the Act, the President must appoint a Military Ombud. The Military Ombud’s role is to investigate complaints </w:t>
      </w:r>
      <w:r w:rsidR="00DC7F62">
        <w:rPr>
          <w:rFonts w:ascii="Arial" w:hAnsi="Arial" w:cs="Arial"/>
        </w:rPr>
        <w:t>lodged</w:t>
      </w:r>
      <w:r w:rsidR="00854042">
        <w:rPr>
          <w:rFonts w:ascii="Arial" w:hAnsi="Arial" w:cs="Arial"/>
        </w:rPr>
        <w:t xml:space="preserve"> with the office of the Military Ombud. </w:t>
      </w:r>
    </w:p>
    <w:p w14:paraId="616953C6" w14:textId="77777777" w:rsidR="00854042" w:rsidRPr="00854042" w:rsidRDefault="00854042" w:rsidP="00854042">
      <w:pPr>
        <w:pStyle w:val="ListParagraph"/>
        <w:rPr>
          <w:rFonts w:ascii="Arial" w:hAnsi="Arial" w:cs="Arial"/>
        </w:rPr>
      </w:pPr>
    </w:p>
    <w:p w14:paraId="3A181C69" w14:textId="61DD277D" w:rsidR="00854042" w:rsidRDefault="00854042" w:rsidP="004129C8">
      <w:pPr>
        <w:pStyle w:val="ListParagraph"/>
        <w:numPr>
          <w:ilvl w:val="0"/>
          <w:numId w:val="1"/>
        </w:numPr>
        <w:spacing w:line="480" w:lineRule="auto"/>
        <w:jc w:val="both"/>
        <w:rPr>
          <w:rFonts w:ascii="Arial" w:hAnsi="Arial" w:cs="Arial"/>
        </w:rPr>
      </w:pPr>
      <w:r>
        <w:rPr>
          <w:rFonts w:ascii="Arial" w:hAnsi="Arial" w:cs="Arial"/>
        </w:rPr>
        <w:t xml:space="preserve">Where a complaint falls </w:t>
      </w:r>
      <w:r w:rsidR="00DC7F62">
        <w:rPr>
          <w:rFonts w:ascii="Arial" w:hAnsi="Arial" w:cs="Arial"/>
        </w:rPr>
        <w:t>within</w:t>
      </w:r>
      <w:r>
        <w:rPr>
          <w:rFonts w:ascii="Arial" w:hAnsi="Arial" w:cs="Arial"/>
        </w:rPr>
        <w:t xml:space="preserve"> the jurisdiction of the Military Ombud, after investigating a complaint, the Military Ombud must uphold or dismiss the complaint, or issue an alternative resolution</w:t>
      </w:r>
      <w:r w:rsidR="00E25360">
        <w:rPr>
          <w:rFonts w:ascii="Arial" w:hAnsi="Arial" w:cs="Arial"/>
        </w:rPr>
        <w:t xml:space="preserve"> </w:t>
      </w:r>
      <w:r>
        <w:rPr>
          <w:rFonts w:ascii="Arial" w:hAnsi="Arial" w:cs="Arial"/>
        </w:rPr>
        <w:t>(Section 6(7)). If the complaint is upheld, the Military Ombud must recommend the appropriate relief to the Minister responsible for defence (Section 6(8)).</w:t>
      </w:r>
    </w:p>
    <w:p w14:paraId="4A06C787" w14:textId="77777777" w:rsidR="00854042" w:rsidRPr="00854042" w:rsidRDefault="00854042" w:rsidP="00854042">
      <w:pPr>
        <w:pStyle w:val="ListParagraph"/>
        <w:rPr>
          <w:rFonts w:ascii="Arial" w:hAnsi="Arial" w:cs="Arial"/>
        </w:rPr>
      </w:pPr>
    </w:p>
    <w:p w14:paraId="54C4B8A2" w14:textId="5FD83AAB" w:rsidR="00854042" w:rsidRDefault="00854042" w:rsidP="004129C8">
      <w:pPr>
        <w:pStyle w:val="ListParagraph"/>
        <w:numPr>
          <w:ilvl w:val="0"/>
          <w:numId w:val="1"/>
        </w:numPr>
        <w:spacing w:line="480" w:lineRule="auto"/>
        <w:jc w:val="both"/>
        <w:rPr>
          <w:rFonts w:ascii="Arial" w:hAnsi="Arial" w:cs="Arial"/>
        </w:rPr>
      </w:pPr>
      <w:r>
        <w:rPr>
          <w:rFonts w:ascii="Arial" w:hAnsi="Arial" w:cs="Arial"/>
        </w:rPr>
        <w:t>The question in these matters is: is the Minister obliged to act in terms of the recommendation and, if she does not, can she be compelled to do so?</w:t>
      </w:r>
    </w:p>
    <w:p w14:paraId="57DE97D2" w14:textId="77777777" w:rsidR="00E6018B" w:rsidRPr="00E6018B" w:rsidRDefault="00E6018B" w:rsidP="00E6018B">
      <w:pPr>
        <w:pStyle w:val="ListParagraph"/>
        <w:rPr>
          <w:rFonts w:ascii="Arial" w:hAnsi="Arial" w:cs="Arial"/>
        </w:rPr>
      </w:pPr>
    </w:p>
    <w:p w14:paraId="642E242C" w14:textId="06CA2BDD" w:rsidR="00DA7CB9" w:rsidRPr="00E6018B" w:rsidRDefault="00E6018B" w:rsidP="00E6018B">
      <w:pPr>
        <w:pStyle w:val="ListParagraph"/>
        <w:numPr>
          <w:ilvl w:val="0"/>
          <w:numId w:val="1"/>
        </w:numPr>
        <w:spacing w:line="480" w:lineRule="auto"/>
        <w:jc w:val="both"/>
        <w:rPr>
          <w:rFonts w:ascii="Arial" w:hAnsi="Arial" w:cs="Arial"/>
        </w:rPr>
      </w:pPr>
      <w:r>
        <w:rPr>
          <w:rFonts w:ascii="Arial" w:hAnsi="Arial" w:cs="Arial"/>
        </w:rPr>
        <w:lastRenderedPageBreak/>
        <w:t xml:space="preserve">In </w:t>
      </w:r>
      <w:r>
        <w:rPr>
          <w:rFonts w:ascii="Arial" w:hAnsi="Arial" w:cs="Arial"/>
          <w:b/>
          <w:bCs/>
        </w:rPr>
        <w:t>Lembede</w:t>
      </w:r>
      <w:r>
        <w:rPr>
          <w:rFonts w:ascii="Arial" w:hAnsi="Arial" w:cs="Arial"/>
        </w:rPr>
        <w:t>,</w:t>
      </w:r>
      <w:r>
        <w:rPr>
          <w:rStyle w:val="FootnoteReference"/>
          <w:rFonts w:ascii="Arial" w:hAnsi="Arial" w:cs="Arial"/>
        </w:rPr>
        <w:footnoteReference w:id="1"/>
      </w:r>
      <w:r>
        <w:rPr>
          <w:rFonts w:ascii="Arial" w:hAnsi="Arial" w:cs="Arial"/>
        </w:rPr>
        <w:t xml:space="preserve"> Moosa AJ held that the Minister was not obliged to act in terms of the recommendation of the Military Ombud and could not be compelled to do so. Counsel for the Applicants, Mr Hamman, sought to persuade me that Moosa AJ was clearly wrong. I am not so persuaded. On the contrary, I respectfully agree with Moosa AJ.</w:t>
      </w:r>
      <w:r w:rsidRPr="00E6018B">
        <w:rPr>
          <w:rFonts w:ascii="Arial" w:hAnsi="Arial" w:cs="Arial"/>
        </w:rPr>
        <w:t xml:space="preserve"> </w:t>
      </w:r>
      <w:r>
        <w:rPr>
          <w:rFonts w:ascii="Arial" w:hAnsi="Arial" w:cs="Arial"/>
        </w:rPr>
        <w:t xml:space="preserve">On a proper interpretation of the </w:t>
      </w:r>
      <w:r w:rsidR="00C37698">
        <w:rPr>
          <w:rFonts w:ascii="Arial" w:hAnsi="Arial" w:cs="Arial"/>
        </w:rPr>
        <w:t xml:space="preserve">Military Ombud </w:t>
      </w:r>
      <w:r>
        <w:rPr>
          <w:rFonts w:ascii="Arial" w:hAnsi="Arial" w:cs="Arial"/>
        </w:rPr>
        <w:t>Act, the Minister is not obliged to act in terms of the recommendation. The Minister can accordingly not be compelled to do so.</w:t>
      </w:r>
    </w:p>
    <w:p w14:paraId="46F7AF82" w14:textId="77777777" w:rsidR="00AD340D" w:rsidRDefault="00AD340D" w:rsidP="00AD340D">
      <w:pPr>
        <w:pStyle w:val="ListParagraph"/>
        <w:ind w:left="567"/>
        <w:jc w:val="both"/>
        <w:rPr>
          <w:rFonts w:ascii="Arial" w:hAnsi="Arial" w:cs="Arial"/>
        </w:rPr>
      </w:pPr>
    </w:p>
    <w:p w14:paraId="1B269F59" w14:textId="3D2C7963" w:rsidR="00AD340D" w:rsidRPr="00AD340D" w:rsidRDefault="002F5D13" w:rsidP="00AD340D">
      <w:pPr>
        <w:spacing w:line="480" w:lineRule="auto"/>
        <w:jc w:val="both"/>
        <w:rPr>
          <w:rFonts w:ascii="Arial" w:hAnsi="Arial" w:cs="Arial"/>
          <w:b/>
          <w:bCs/>
        </w:rPr>
      </w:pPr>
      <w:r>
        <w:rPr>
          <w:rFonts w:ascii="Arial" w:hAnsi="Arial" w:cs="Arial"/>
          <w:b/>
          <w:bCs/>
        </w:rPr>
        <w:t>Interpretation of statutes</w:t>
      </w:r>
    </w:p>
    <w:p w14:paraId="695E07B9" w14:textId="77777777" w:rsidR="00BE6E44" w:rsidRDefault="00BE6E44" w:rsidP="00BE6E44">
      <w:pPr>
        <w:pStyle w:val="ListParagraph"/>
        <w:ind w:left="567"/>
        <w:jc w:val="both"/>
        <w:rPr>
          <w:rFonts w:ascii="Arial" w:hAnsi="Arial" w:cs="Arial"/>
        </w:rPr>
      </w:pPr>
    </w:p>
    <w:p w14:paraId="0920FD86" w14:textId="4780EE90" w:rsidR="00DC7F62" w:rsidRDefault="00DC7F62" w:rsidP="004129C8">
      <w:pPr>
        <w:pStyle w:val="ListParagraph"/>
        <w:numPr>
          <w:ilvl w:val="0"/>
          <w:numId w:val="1"/>
        </w:numPr>
        <w:spacing w:line="480" w:lineRule="auto"/>
        <w:jc w:val="both"/>
        <w:rPr>
          <w:rFonts w:ascii="Arial" w:hAnsi="Arial" w:cs="Arial"/>
        </w:rPr>
      </w:pPr>
      <w:r>
        <w:rPr>
          <w:rFonts w:ascii="Arial" w:hAnsi="Arial" w:cs="Arial"/>
        </w:rPr>
        <w:t>The modern approach to interpretation of statutes was explained by Khampepe J as follows:</w:t>
      </w:r>
    </w:p>
    <w:p w14:paraId="51AAA05F" w14:textId="77777777" w:rsidR="00DC7F62" w:rsidRPr="00DC7F62" w:rsidRDefault="00DC7F62" w:rsidP="00DC7F62">
      <w:pPr>
        <w:pStyle w:val="ListParagraph"/>
        <w:rPr>
          <w:rFonts w:ascii="Arial" w:hAnsi="Arial" w:cs="Arial"/>
        </w:rPr>
      </w:pPr>
    </w:p>
    <w:p w14:paraId="1521255A" w14:textId="1411BE1F" w:rsidR="00DC7F62" w:rsidRPr="00DC7F62" w:rsidRDefault="00DC7F62" w:rsidP="00DC7F62">
      <w:pPr>
        <w:pStyle w:val="ListParagraph"/>
        <w:spacing w:line="480" w:lineRule="auto"/>
        <w:ind w:left="567"/>
        <w:jc w:val="both"/>
        <w:rPr>
          <w:rFonts w:ascii="Arial" w:hAnsi="Arial" w:cs="Arial"/>
          <w:i/>
          <w:iCs/>
        </w:rPr>
      </w:pPr>
      <w:r>
        <w:rPr>
          <w:rFonts w:ascii="Arial" w:hAnsi="Arial" w:cs="Arial"/>
        </w:rPr>
        <w:t>“</w:t>
      </w:r>
      <w:r w:rsidRPr="00DC7F62">
        <w:rPr>
          <w:rFonts w:ascii="Arial" w:hAnsi="Arial" w:cs="Arial"/>
          <w:i/>
          <w:iCs/>
        </w:rPr>
        <w:t>[47] In interpreting statutory provisions, recourse is first had to the plain, ordinary grammatical meaning of the words in question. Poetry</w:t>
      </w:r>
      <w:r w:rsidRPr="00DC7F62">
        <w:rPr>
          <w:i/>
          <w:iCs/>
        </w:rPr>
        <w:t xml:space="preserve"> </w:t>
      </w:r>
      <w:r w:rsidRPr="00DC7F62">
        <w:rPr>
          <w:rFonts w:ascii="Arial" w:hAnsi="Arial" w:cs="Arial"/>
          <w:i/>
          <w:iCs/>
        </w:rPr>
        <w:t>and philosophical discourses may point to the malleability of words and the nebulousness of meaning, but, in legal interpretation, the ordinary understanding of the words should serve as a vital constraint on the interpretative exercise, unless this interpretation would result in an absurdity. As this court has previously noted in Cool Ideas, this principle has three broad riders, namely—</w:t>
      </w:r>
    </w:p>
    <w:p w14:paraId="33A2A8F7" w14:textId="77777777" w:rsidR="00DC7F62" w:rsidRPr="00DC7F62" w:rsidRDefault="00DC7F62" w:rsidP="00DC7F62">
      <w:pPr>
        <w:pStyle w:val="ListParagraph"/>
        <w:spacing w:line="480" w:lineRule="auto"/>
        <w:ind w:left="1134"/>
        <w:jc w:val="both"/>
        <w:rPr>
          <w:rFonts w:ascii="Arial" w:hAnsi="Arial" w:cs="Arial"/>
          <w:i/>
          <w:iCs/>
        </w:rPr>
      </w:pPr>
      <w:r w:rsidRPr="00DC7F62">
        <w:rPr>
          <w:rFonts w:ascii="Arial" w:hAnsi="Arial" w:cs="Arial"/>
          <w:i/>
          <w:iCs/>
        </w:rPr>
        <w:t>‘(a) that statutory provisions should always be interpreted purposively;</w:t>
      </w:r>
    </w:p>
    <w:p w14:paraId="59F1990C" w14:textId="7D5D616B" w:rsidR="00DC7F62" w:rsidRPr="00DC7F62" w:rsidRDefault="00DC7F62" w:rsidP="00DC7F62">
      <w:pPr>
        <w:pStyle w:val="ListParagraph"/>
        <w:spacing w:line="480" w:lineRule="auto"/>
        <w:ind w:left="1134"/>
        <w:jc w:val="both"/>
        <w:rPr>
          <w:rFonts w:ascii="Arial" w:hAnsi="Arial" w:cs="Arial"/>
          <w:i/>
          <w:iCs/>
        </w:rPr>
      </w:pPr>
      <w:r w:rsidRPr="00DC7F62">
        <w:rPr>
          <w:rFonts w:ascii="Arial" w:hAnsi="Arial" w:cs="Arial"/>
          <w:i/>
          <w:iCs/>
        </w:rPr>
        <w:t>(b) the relevant statutory provision must be properly contextualised; and</w:t>
      </w:r>
    </w:p>
    <w:p w14:paraId="5AE66844" w14:textId="6047C9AF" w:rsidR="00DC7F62" w:rsidRPr="00DC7F62" w:rsidRDefault="00DC7F62" w:rsidP="00DC7F62">
      <w:pPr>
        <w:pStyle w:val="ListParagraph"/>
        <w:spacing w:line="480" w:lineRule="auto"/>
        <w:ind w:left="1134"/>
        <w:jc w:val="both"/>
        <w:rPr>
          <w:rFonts w:ascii="Arial" w:hAnsi="Arial" w:cs="Arial"/>
          <w:i/>
          <w:iCs/>
        </w:rPr>
      </w:pPr>
      <w:r w:rsidRPr="00DC7F62">
        <w:rPr>
          <w:rFonts w:ascii="Arial" w:hAnsi="Arial" w:cs="Arial"/>
          <w:i/>
          <w:iCs/>
        </w:rPr>
        <w:t xml:space="preserve">(c) all statutes must be construed consistently with the Constitution, that is, where reasonably possible, legislative provisions ought to be interpreted to </w:t>
      </w:r>
      <w:r w:rsidRPr="00DC7F62">
        <w:rPr>
          <w:rFonts w:ascii="Arial" w:hAnsi="Arial" w:cs="Arial"/>
          <w:i/>
          <w:iCs/>
        </w:rPr>
        <w:lastRenderedPageBreak/>
        <w:t>preserve their constitutional validity. This proviso to the general principle is closely related to the purposive approach referred to in (a).’</w:t>
      </w:r>
    </w:p>
    <w:p w14:paraId="2F59F59B" w14:textId="30D7B62E" w:rsidR="00862AB7" w:rsidRDefault="00DC7F62" w:rsidP="00DC7F62">
      <w:pPr>
        <w:pStyle w:val="ListParagraph"/>
        <w:spacing w:line="480" w:lineRule="auto"/>
        <w:ind w:left="567"/>
        <w:jc w:val="both"/>
        <w:rPr>
          <w:rFonts w:ascii="Arial" w:hAnsi="Arial" w:cs="Arial"/>
        </w:rPr>
      </w:pPr>
      <w:r w:rsidRPr="00DC7F62">
        <w:rPr>
          <w:rFonts w:ascii="Arial" w:hAnsi="Arial" w:cs="Arial"/>
          <w:i/>
          <w:iCs/>
        </w:rPr>
        <w:t>[48] Judges must hesitate ‘to substitute what they regard as reasonable, sensible or businesslike for the words actually used. To do so in regard to a statute or statutory instrument is to cross the divide between interpretation and legislation.’</w:t>
      </w:r>
      <w:r>
        <w:rPr>
          <w:rFonts w:ascii="Arial" w:hAnsi="Arial" w:cs="Arial"/>
        </w:rPr>
        <w:t>”</w:t>
      </w:r>
      <w:r>
        <w:rPr>
          <w:rStyle w:val="FootnoteReference"/>
          <w:rFonts w:ascii="Arial" w:hAnsi="Arial" w:cs="Arial"/>
        </w:rPr>
        <w:footnoteReference w:id="2"/>
      </w:r>
    </w:p>
    <w:p w14:paraId="2C51CFF3" w14:textId="77777777" w:rsidR="00D5485D" w:rsidRPr="00D5485D" w:rsidRDefault="00D5485D" w:rsidP="00D5485D">
      <w:pPr>
        <w:pStyle w:val="ListParagraph"/>
        <w:rPr>
          <w:rFonts w:ascii="Arial" w:hAnsi="Arial" w:cs="Arial"/>
        </w:rPr>
      </w:pPr>
    </w:p>
    <w:p w14:paraId="289946E8" w14:textId="12EE5679" w:rsidR="00AD340D" w:rsidRDefault="007C30D1" w:rsidP="004129C8">
      <w:pPr>
        <w:pStyle w:val="ListParagraph"/>
        <w:numPr>
          <w:ilvl w:val="0"/>
          <w:numId w:val="1"/>
        </w:numPr>
        <w:spacing w:line="480" w:lineRule="auto"/>
        <w:jc w:val="both"/>
        <w:rPr>
          <w:rFonts w:ascii="Arial" w:hAnsi="Arial" w:cs="Arial"/>
        </w:rPr>
      </w:pPr>
      <w:r>
        <w:rPr>
          <w:rFonts w:ascii="Arial" w:hAnsi="Arial" w:cs="Arial"/>
        </w:rPr>
        <w:t>When interpreting legislation, courts are required in terms of Section 39(2) of the Constitution to give effect to the “</w:t>
      </w:r>
      <w:r>
        <w:rPr>
          <w:rFonts w:ascii="Arial" w:hAnsi="Arial" w:cs="Arial"/>
          <w:i/>
          <w:iCs/>
        </w:rPr>
        <w:t>spirit, purports and objects of the Bill of Rights.</w:t>
      </w:r>
      <w:r>
        <w:rPr>
          <w:rFonts w:ascii="Arial" w:hAnsi="Arial" w:cs="Arial"/>
        </w:rPr>
        <w:t>”</w:t>
      </w:r>
      <w:r>
        <w:rPr>
          <w:rStyle w:val="FootnoteReference"/>
          <w:rFonts w:ascii="Arial" w:hAnsi="Arial" w:cs="Arial"/>
        </w:rPr>
        <w:footnoteReference w:id="3"/>
      </w:r>
      <w:r w:rsidR="00F47799">
        <w:rPr>
          <w:rFonts w:ascii="Arial" w:hAnsi="Arial" w:cs="Arial"/>
        </w:rPr>
        <w:t xml:space="preserve"> Mogeong CJ explained that: “</w:t>
      </w:r>
      <w:r w:rsidR="00F47799">
        <w:rPr>
          <w:rFonts w:ascii="Arial" w:hAnsi="Arial" w:cs="Arial"/>
          <w:i/>
          <w:iCs/>
        </w:rPr>
        <w:t>… every opportunity courts have to interpret legislation must be seen and utilised as a platform for the promotion of the Bill of Rights by infusing its central purpose into the very essence of the legislation itself.</w:t>
      </w:r>
      <w:r w:rsidR="00F47799">
        <w:rPr>
          <w:rFonts w:ascii="Arial" w:hAnsi="Arial" w:cs="Arial"/>
        </w:rPr>
        <w:t>”</w:t>
      </w:r>
      <w:r w:rsidR="00F47799">
        <w:rPr>
          <w:rStyle w:val="FootnoteReference"/>
          <w:rFonts w:ascii="Arial" w:hAnsi="Arial" w:cs="Arial"/>
        </w:rPr>
        <w:footnoteReference w:id="4"/>
      </w:r>
    </w:p>
    <w:p w14:paraId="1B41FEDC" w14:textId="77777777" w:rsidR="00AD340D" w:rsidRPr="00AD340D" w:rsidRDefault="00AD340D" w:rsidP="00AD340D">
      <w:pPr>
        <w:pStyle w:val="ListParagraph"/>
        <w:rPr>
          <w:rFonts w:ascii="Arial" w:hAnsi="Arial" w:cs="Arial"/>
        </w:rPr>
      </w:pPr>
    </w:p>
    <w:p w14:paraId="7445314F" w14:textId="039A34A3" w:rsidR="002A2533" w:rsidRPr="007C30D1" w:rsidRDefault="007C30D1" w:rsidP="002A2533">
      <w:pPr>
        <w:jc w:val="both"/>
        <w:rPr>
          <w:rFonts w:ascii="Arial" w:hAnsi="Arial" w:cs="Arial"/>
          <w:b/>
          <w:bCs/>
        </w:rPr>
      </w:pPr>
      <w:r>
        <w:rPr>
          <w:rFonts w:ascii="Arial" w:hAnsi="Arial" w:cs="Arial"/>
          <w:b/>
          <w:bCs/>
        </w:rPr>
        <w:t>T</w:t>
      </w:r>
      <w:r w:rsidRPr="007C30D1">
        <w:rPr>
          <w:rFonts w:ascii="Arial" w:hAnsi="Arial" w:cs="Arial"/>
          <w:b/>
          <w:bCs/>
        </w:rPr>
        <w:t>he plain, ordinary grammatical meaning of the words in question</w:t>
      </w:r>
    </w:p>
    <w:p w14:paraId="3FDC5001" w14:textId="4DE20045" w:rsidR="007C30D1" w:rsidRDefault="007C30D1" w:rsidP="002A2533">
      <w:pPr>
        <w:jc w:val="both"/>
        <w:rPr>
          <w:rFonts w:ascii="Arial" w:hAnsi="Arial" w:cs="Arial"/>
          <w:b/>
          <w:bCs/>
        </w:rPr>
      </w:pPr>
    </w:p>
    <w:p w14:paraId="7231339A" w14:textId="77777777" w:rsidR="007C30D1" w:rsidRPr="002E0639" w:rsidRDefault="007C30D1" w:rsidP="002A2533">
      <w:pPr>
        <w:jc w:val="both"/>
        <w:rPr>
          <w:rFonts w:ascii="Arial" w:hAnsi="Arial" w:cs="Arial"/>
          <w:b/>
          <w:bCs/>
        </w:rPr>
      </w:pPr>
    </w:p>
    <w:p w14:paraId="6E910108" w14:textId="3F513AD9" w:rsidR="00924EA1" w:rsidRPr="00064983" w:rsidRDefault="007C30D1" w:rsidP="00F76E9E">
      <w:pPr>
        <w:pStyle w:val="ListParagraph"/>
        <w:numPr>
          <w:ilvl w:val="0"/>
          <w:numId w:val="1"/>
        </w:numPr>
        <w:spacing w:line="480" w:lineRule="auto"/>
        <w:jc w:val="both"/>
        <w:rPr>
          <w:rFonts w:ascii="Arial" w:hAnsi="Arial" w:cs="Arial"/>
        </w:rPr>
      </w:pPr>
      <w:r>
        <w:rPr>
          <w:rFonts w:ascii="Arial" w:hAnsi="Arial" w:cs="Arial"/>
          <w:lang w:val="en-US"/>
        </w:rPr>
        <w:t xml:space="preserve">The words in question are those in Section 6(8): “… </w:t>
      </w:r>
      <w:r>
        <w:rPr>
          <w:rFonts w:ascii="Arial" w:hAnsi="Arial" w:cs="Arial"/>
          <w:i/>
          <w:iCs/>
          <w:lang w:val="en-US"/>
        </w:rPr>
        <w:t>the Ombud must recommend the appropriate relief for implementation to the Minister.</w:t>
      </w:r>
      <w:r>
        <w:rPr>
          <w:rFonts w:ascii="Arial" w:hAnsi="Arial" w:cs="Arial"/>
          <w:lang w:val="en-US"/>
        </w:rPr>
        <w:t>”</w:t>
      </w:r>
    </w:p>
    <w:p w14:paraId="60127763" w14:textId="77777777" w:rsidR="00064983" w:rsidRPr="00064983" w:rsidRDefault="00064983" w:rsidP="00064983">
      <w:pPr>
        <w:pStyle w:val="ListParagraph"/>
        <w:ind w:left="567"/>
        <w:jc w:val="both"/>
        <w:rPr>
          <w:rFonts w:ascii="Arial" w:hAnsi="Arial" w:cs="Arial"/>
        </w:rPr>
      </w:pPr>
    </w:p>
    <w:p w14:paraId="157FCDD4" w14:textId="3260E0A6" w:rsidR="0026785C" w:rsidRPr="0026785C" w:rsidRDefault="007C30D1" w:rsidP="00F76E9E">
      <w:pPr>
        <w:pStyle w:val="ListParagraph"/>
        <w:numPr>
          <w:ilvl w:val="0"/>
          <w:numId w:val="1"/>
        </w:numPr>
        <w:spacing w:line="480" w:lineRule="auto"/>
        <w:jc w:val="both"/>
        <w:rPr>
          <w:rFonts w:ascii="Arial" w:hAnsi="Arial" w:cs="Arial"/>
        </w:rPr>
      </w:pPr>
      <w:r>
        <w:rPr>
          <w:rFonts w:ascii="Arial" w:hAnsi="Arial" w:cs="Arial"/>
        </w:rPr>
        <w:t>In the context, the word “</w:t>
      </w:r>
      <w:r>
        <w:rPr>
          <w:rFonts w:ascii="Arial" w:hAnsi="Arial" w:cs="Arial"/>
          <w:i/>
          <w:iCs/>
        </w:rPr>
        <w:t>recommend</w:t>
      </w:r>
      <w:r>
        <w:rPr>
          <w:rFonts w:ascii="Arial" w:hAnsi="Arial" w:cs="Arial"/>
        </w:rPr>
        <w:t>” is used as a verb. The Oxford English Dictionary</w:t>
      </w:r>
      <w:r w:rsidR="004F1116">
        <w:rPr>
          <w:rFonts w:ascii="Arial" w:hAnsi="Arial" w:cs="Arial"/>
        </w:rPr>
        <w:t xml:space="preserve"> lists various meanings of the verb. In context, the most appropriate are: “</w:t>
      </w:r>
      <w:r w:rsidR="004F1116" w:rsidRPr="004F1116">
        <w:rPr>
          <w:rFonts w:ascii="Arial" w:hAnsi="Arial" w:cs="Arial"/>
          <w:i/>
          <w:iCs/>
        </w:rPr>
        <w:t>To offer counsel or advice to someone (to do something)</w:t>
      </w:r>
      <w:r w:rsidR="004F1116">
        <w:rPr>
          <w:rFonts w:ascii="Arial" w:hAnsi="Arial" w:cs="Arial"/>
        </w:rPr>
        <w:t>”; “</w:t>
      </w:r>
      <w:r w:rsidR="004F1116" w:rsidRPr="004F1116">
        <w:rPr>
          <w:rFonts w:ascii="Arial" w:hAnsi="Arial" w:cs="Arial"/>
          <w:i/>
          <w:iCs/>
        </w:rPr>
        <w:t xml:space="preserve">To advise (a </w:t>
      </w:r>
      <w:r w:rsidR="004F1116" w:rsidRPr="004F1116">
        <w:rPr>
          <w:rFonts w:ascii="Arial" w:hAnsi="Arial" w:cs="Arial"/>
          <w:i/>
          <w:iCs/>
        </w:rPr>
        <w:lastRenderedPageBreak/>
        <w:t>person) to do a thing</w:t>
      </w:r>
      <w:r w:rsidR="004F1116">
        <w:rPr>
          <w:rFonts w:ascii="Arial" w:hAnsi="Arial" w:cs="Arial"/>
        </w:rPr>
        <w:t>”; “</w:t>
      </w:r>
      <w:r w:rsidR="004F1116" w:rsidRPr="004F1116">
        <w:rPr>
          <w:rFonts w:ascii="Arial" w:hAnsi="Arial" w:cs="Arial"/>
          <w:i/>
          <w:iCs/>
        </w:rPr>
        <w:t>To counsel or advise (to do something, that something be done, etc.)</w:t>
      </w:r>
      <w:r w:rsidR="004F1116">
        <w:rPr>
          <w:rFonts w:ascii="Arial" w:hAnsi="Arial" w:cs="Arial"/>
        </w:rPr>
        <w:t>”.</w:t>
      </w:r>
      <w:r w:rsidR="004F1116">
        <w:rPr>
          <w:rStyle w:val="FootnoteReference"/>
          <w:rFonts w:ascii="Arial" w:hAnsi="Arial" w:cs="Arial"/>
        </w:rPr>
        <w:footnoteReference w:id="5"/>
      </w:r>
    </w:p>
    <w:p w14:paraId="3B1DC65E" w14:textId="77777777" w:rsidR="00064983" w:rsidRPr="004F1116" w:rsidRDefault="00064983" w:rsidP="004F1116">
      <w:pPr>
        <w:rPr>
          <w:rFonts w:ascii="Arial" w:hAnsi="Arial" w:cs="Arial"/>
          <w:lang w:val="en-US"/>
        </w:rPr>
      </w:pPr>
    </w:p>
    <w:p w14:paraId="5E45522D" w14:textId="7607AD4C" w:rsidR="004132E8" w:rsidRDefault="004132E8" w:rsidP="00F76E9E">
      <w:pPr>
        <w:pStyle w:val="ListParagraph"/>
        <w:numPr>
          <w:ilvl w:val="0"/>
          <w:numId w:val="1"/>
        </w:numPr>
        <w:spacing w:line="480" w:lineRule="auto"/>
        <w:jc w:val="both"/>
        <w:rPr>
          <w:rFonts w:ascii="Arial" w:hAnsi="Arial" w:cs="Arial"/>
        </w:rPr>
      </w:pPr>
      <w:r>
        <w:rPr>
          <w:rFonts w:ascii="Arial" w:hAnsi="Arial" w:cs="Arial"/>
        </w:rPr>
        <w:t xml:space="preserve">On the plain, ordinary grammatical meaning of the word, the Military Ombud must advise or counsel the Minister </w:t>
      </w:r>
      <w:r w:rsidR="00B878C1">
        <w:rPr>
          <w:rFonts w:ascii="Arial" w:hAnsi="Arial" w:cs="Arial"/>
        </w:rPr>
        <w:t>on the appropriate relief for implementation</w:t>
      </w:r>
      <w:r>
        <w:rPr>
          <w:rFonts w:ascii="Arial" w:hAnsi="Arial" w:cs="Arial"/>
        </w:rPr>
        <w:t xml:space="preserve">. </w:t>
      </w:r>
    </w:p>
    <w:p w14:paraId="246E7765" w14:textId="77777777" w:rsidR="004132E8" w:rsidRPr="004132E8" w:rsidRDefault="004132E8" w:rsidP="004132E8">
      <w:pPr>
        <w:pStyle w:val="ListParagraph"/>
        <w:rPr>
          <w:rFonts w:ascii="Arial" w:hAnsi="Arial" w:cs="Arial"/>
        </w:rPr>
      </w:pPr>
    </w:p>
    <w:p w14:paraId="08C49113" w14:textId="705575A4" w:rsidR="0026785C" w:rsidRDefault="004132E8" w:rsidP="00F76E9E">
      <w:pPr>
        <w:pStyle w:val="ListParagraph"/>
        <w:numPr>
          <w:ilvl w:val="0"/>
          <w:numId w:val="1"/>
        </w:numPr>
        <w:spacing w:line="480" w:lineRule="auto"/>
        <w:jc w:val="both"/>
        <w:rPr>
          <w:rFonts w:ascii="Arial" w:hAnsi="Arial" w:cs="Arial"/>
        </w:rPr>
      </w:pPr>
      <w:r>
        <w:rPr>
          <w:rFonts w:ascii="Arial" w:hAnsi="Arial" w:cs="Arial"/>
        </w:rPr>
        <w:t>The verb “</w:t>
      </w:r>
      <w:r>
        <w:rPr>
          <w:rFonts w:ascii="Arial" w:hAnsi="Arial" w:cs="Arial"/>
          <w:i/>
          <w:iCs/>
        </w:rPr>
        <w:t>recommend</w:t>
      </w:r>
      <w:r>
        <w:rPr>
          <w:rFonts w:ascii="Arial" w:hAnsi="Arial" w:cs="Arial"/>
        </w:rPr>
        <w:t>” is usually not peremptory.</w:t>
      </w:r>
      <w:r w:rsidR="00B878C1">
        <w:rPr>
          <w:rFonts w:ascii="Arial" w:hAnsi="Arial" w:cs="Arial"/>
        </w:rPr>
        <w:t xml:space="preserve"> The legislature could easily have used words to show that the Minister was obliged to implement the relief. For example, Section 174(6) of the Constitution provides: “</w:t>
      </w:r>
      <w:r w:rsidR="00B878C1" w:rsidRPr="00B878C1">
        <w:rPr>
          <w:rFonts w:ascii="Arial" w:hAnsi="Arial" w:cs="Arial"/>
          <w:i/>
          <w:iCs/>
        </w:rPr>
        <w:t>The President must appoint the judges of all other courts on the advice of the Judicial Service Commission.</w:t>
      </w:r>
      <w:r w:rsidR="00B878C1">
        <w:rPr>
          <w:rFonts w:ascii="Arial" w:hAnsi="Arial" w:cs="Arial"/>
        </w:rPr>
        <w:t>” The legislature instead chose wording that shows the opposite.</w:t>
      </w:r>
    </w:p>
    <w:p w14:paraId="6535C14C" w14:textId="77777777" w:rsidR="00924EA1" w:rsidRPr="00924EA1" w:rsidRDefault="00924EA1" w:rsidP="00924EA1">
      <w:pPr>
        <w:pStyle w:val="ListParagraph"/>
        <w:rPr>
          <w:rFonts w:ascii="Arial" w:hAnsi="Arial" w:cs="Arial"/>
        </w:rPr>
      </w:pPr>
    </w:p>
    <w:p w14:paraId="518B4C9B" w14:textId="6FA16621" w:rsidR="00633E40" w:rsidRDefault="00B878C1" w:rsidP="008E4AE4">
      <w:pPr>
        <w:pStyle w:val="ListParagraph"/>
        <w:numPr>
          <w:ilvl w:val="0"/>
          <w:numId w:val="1"/>
        </w:numPr>
        <w:spacing w:line="480" w:lineRule="auto"/>
        <w:jc w:val="both"/>
        <w:rPr>
          <w:rFonts w:ascii="Arial" w:hAnsi="Arial" w:cs="Arial"/>
        </w:rPr>
      </w:pPr>
      <w:r>
        <w:rPr>
          <w:rFonts w:ascii="Arial" w:hAnsi="Arial" w:cs="Arial"/>
          <w:lang w:val="en-US"/>
        </w:rPr>
        <w:t xml:space="preserve">Accordingly, </w:t>
      </w:r>
      <w:r w:rsidR="00EE74AC">
        <w:rPr>
          <w:rFonts w:ascii="Arial" w:hAnsi="Arial" w:cs="Arial"/>
          <w:lang w:val="en-US"/>
        </w:rPr>
        <w:t xml:space="preserve">on </w:t>
      </w:r>
      <w:r>
        <w:rPr>
          <w:rFonts w:ascii="Arial" w:hAnsi="Arial" w:cs="Arial"/>
          <w:lang w:val="en-US"/>
        </w:rPr>
        <w:t xml:space="preserve">the plain, ordinary grammatical meaning of Section 6(8) of the Act, </w:t>
      </w:r>
      <w:r>
        <w:rPr>
          <w:rFonts w:ascii="Arial" w:hAnsi="Arial" w:cs="Arial"/>
        </w:rPr>
        <w:t>the Minister was not obliged to act in terms of the recommendation of the Military Ombud and could not be compelled to do so.</w:t>
      </w:r>
    </w:p>
    <w:p w14:paraId="02108F0A" w14:textId="77777777" w:rsidR="00F841CE" w:rsidRPr="00F841CE" w:rsidRDefault="00F841CE" w:rsidP="00F841CE">
      <w:pPr>
        <w:pStyle w:val="ListParagraph"/>
        <w:rPr>
          <w:rFonts w:ascii="Arial" w:hAnsi="Arial" w:cs="Arial"/>
        </w:rPr>
      </w:pPr>
    </w:p>
    <w:p w14:paraId="1DD7FCF9" w14:textId="50741832" w:rsidR="00F841CE" w:rsidRPr="00F841CE" w:rsidRDefault="00F841CE" w:rsidP="00F841CE">
      <w:pPr>
        <w:spacing w:line="480" w:lineRule="auto"/>
        <w:jc w:val="both"/>
        <w:rPr>
          <w:rFonts w:ascii="Arial" w:hAnsi="Arial" w:cs="Arial"/>
          <w:b/>
          <w:bCs/>
        </w:rPr>
      </w:pPr>
      <w:r>
        <w:rPr>
          <w:rFonts w:ascii="Arial" w:hAnsi="Arial" w:cs="Arial"/>
          <w:b/>
          <w:bCs/>
        </w:rPr>
        <w:t>The chain of command</w:t>
      </w:r>
    </w:p>
    <w:p w14:paraId="1748AD06" w14:textId="77777777" w:rsidR="00F841CE" w:rsidRPr="00F841CE" w:rsidRDefault="00F841CE" w:rsidP="00F841CE">
      <w:pPr>
        <w:pStyle w:val="ListParagraph"/>
        <w:rPr>
          <w:rFonts w:ascii="Arial" w:hAnsi="Arial" w:cs="Arial"/>
        </w:rPr>
      </w:pPr>
    </w:p>
    <w:p w14:paraId="7619EDFB" w14:textId="49A9DCE6" w:rsidR="005F1295" w:rsidRDefault="005F1295" w:rsidP="005F1295">
      <w:pPr>
        <w:pStyle w:val="ListParagraph"/>
        <w:numPr>
          <w:ilvl w:val="0"/>
          <w:numId w:val="1"/>
        </w:numPr>
        <w:spacing w:line="480" w:lineRule="auto"/>
        <w:jc w:val="both"/>
        <w:rPr>
          <w:rFonts w:ascii="Arial" w:hAnsi="Arial" w:cs="Arial"/>
        </w:rPr>
      </w:pPr>
      <w:r>
        <w:rPr>
          <w:rFonts w:ascii="Arial" w:hAnsi="Arial" w:cs="Arial"/>
        </w:rPr>
        <w:t>The South African National Defence Force (“SANDF”) was created in terms of Section 224(1) of the 1993 Constitution and continues to exist in terms of Section 11 of the Defence Act (Act 42 of 2000; “the Defence Act”).</w:t>
      </w:r>
      <w:r w:rsidRPr="005F1295">
        <w:rPr>
          <w:rFonts w:ascii="Arial" w:hAnsi="Arial" w:cs="Arial"/>
        </w:rPr>
        <w:t xml:space="preserve"> </w:t>
      </w:r>
      <w:r>
        <w:rPr>
          <w:rFonts w:ascii="Arial" w:hAnsi="Arial" w:cs="Arial"/>
        </w:rPr>
        <w:t>Section 199(2) of the Constitution provides that the Defence Force is the only lawful military force in the Republic.</w:t>
      </w:r>
    </w:p>
    <w:p w14:paraId="0C0E8A70" w14:textId="77777777" w:rsidR="00F841CE" w:rsidRPr="009F3536" w:rsidRDefault="00F841CE" w:rsidP="009F3536">
      <w:pPr>
        <w:jc w:val="both"/>
        <w:rPr>
          <w:rFonts w:ascii="Arial" w:hAnsi="Arial" w:cs="Arial"/>
        </w:rPr>
      </w:pPr>
    </w:p>
    <w:p w14:paraId="1A966C81" w14:textId="26DEFEA4" w:rsidR="005F1295" w:rsidRPr="009F3536" w:rsidRDefault="005F1295" w:rsidP="009F3536">
      <w:pPr>
        <w:pStyle w:val="ListParagraph"/>
        <w:numPr>
          <w:ilvl w:val="0"/>
          <w:numId w:val="1"/>
        </w:numPr>
        <w:spacing w:line="480" w:lineRule="auto"/>
        <w:jc w:val="both"/>
        <w:rPr>
          <w:rFonts w:ascii="Arial" w:hAnsi="Arial" w:cs="Arial"/>
        </w:rPr>
      </w:pPr>
      <w:r>
        <w:rPr>
          <w:rFonts w:ascii="Arial" w:hAnsi="Arial" w:cs="Arial"/>
        </w:rPr>
        <w:t>Section 200(1) provides that the Defence Force must be structured and managed as a disciplined military force.</w:t>
      </w:r>
      <w:r w:rsidR="009F3536" w:rsidRPr="009F3536">
        <w:rPr>
          <w:rFonts w:ascii="Arial" w:hAnsi="Arial" w:cs="Arial"/>
        </w:rPr>
        <w:t xml:space="preserve"> </w:t>
      </w:r>
      <w:r w:rsidR="009F3536">
        <w:rPr>
          <w:rFonts w:ascii="Arial" w:hAnsi="Arial" w:cs="Arial"/>
        </w:rPr>
        <w:t xml:space="preserve">The Constitution accordingly recognises that </w:t>
      </w:r>
      <w:r w:rsidR="009F3536">
        <w:rPr>
          <w:rFonts w:ascii="Arial" w:hAnsi="Arial" w:cs="Arial"/>
        </w:rPr>
        <w:lastRenderedPageBreak/>
        <w:t>discipline and an effective chain of command are essential to the proper function of the military.</w:t>
      </w:r>
    </w:p>
    <w:p w14:paraId="17CD5C18" w14:textId="77777777" w:rsidR="005F1295" w:rsidRPr="000F4C4C" w:rsidRDefault="005F1295" w:rsidP="005F1295">
      <w:pPr>
        <w:pStyle w:val="ListParagraph"/>
        <w:rPr>
          <w:rFonts w:ascii="Arial" w:hAnsi="Arial" w:cs="Arial"/>
        </w:rPr>
      </w:pPr>
    </w:p>
    <w:p w14:paraId="6EB5291E" w14:textId="4E8D8F86" w:rsidR="00F841CE" w:rsidRDefault="00F841CE" w:rsidP="00F841CE">
      <w:pPr>
        <w:pStyle w:val="ListParagraph"/>
        <w:numPr>
          <w:ilvl w:val="0"/>
          <w:numId w:val="1"/>
        </w:numPr>
        <w:spacing w:line="480" w:lineRule="auto"/>
        <w:jc w:val="both"/>
        <w:rPr>
          <w:rFonts w:ascii="Arial" w:hAnsi="Arial" w:cs="Arial"/>
        </w:rPr>
      </w:pPr>
      <w:r>
        <w:rPr>
          <w:rFonts w:ascii="Arial" w:hAnsi="Arial" w:cs="Arial"/>
        </w:rPr>
        <w:t>Section 202 of the Constitution provides:</w:t>
      </w:r>
    </w:p>
    <w:p w14:paraId="36F75AF6" w14:textId="77777777" w:rsidR="00F841CE" w:rsidRPr="000F4C4C" w:rsidRDefault="00F841CE" w:rsidP="00F841CE">
      <w:pPr>
        <w:pStyle w:val="ListParagraph"/>
        <w:rPr>
          <w:rFonts w:ascii="Arial" w:hAnsi="Arial" w:cs="Arial"/>
        </w:rPr>
      </w:pPr>
    </w:p>
    <w:p w14:paraId="4A695AF8" w14:textId="76D3BBA8" w:rsidR="00F841CE" w:rsidRPr="000F4C4C" w:rsidRDefault="00F841CE" w:rsidP="008D6FD4">
      <w:pPr>
        <w:pStyle w:val="ListParagraph"/>
        <w:spacing w:line="480" w:lineRule="auto"/>
        <w:ind w:left="1418" w:hanging="851"/>
        <w:jc w:val="both"/>
        <w:rPr>
          <w:rFonts w:ascii="Arial" w:hAnsi="Arial" w:cs="Arial"/>
          <w:i/>
          <w:iCs/>
        </w:rPr>
      </w:pPr>
      <w:r>
        <w:rPr>
          <w:rFonts w:ascii="Arial" w:hAnsi="Arial" w:cs="Arial"/>
        </w:rPr>
        <w:t>“</w:t>
      </w:r>
      <w:r w:rsidRPr="000F4C4C">
        <w:rPr>
          <w:rFonts w:ascii="Arial" w:hAnsi="Arial" w:cs="Arial"/>
          <w:i/>
          <w:iCs/>
        </w:rPr>
        <w:t xml:space="preserve">(1) </w:t>
      </w:r>
      <w:r w:rsidR="008D6FD4">
        <w:rPr>
          <w:rFonts w:ascii="Arial" w:hAnsi="Arial" w:cs="Arial"/>
          <w:i/>
          <w:iCs/>
        </w:rPr>
        <w:tab/>
      </w:r>
      <w:r w:rsidRPr="000F4C4C">
        <w:rPr>
          <w:rFonts w:ascii="Arial" w:hAnsi="Arial" w:cs="Arial"/>
          <w:i/>
          <w:iCs/>
        </w:rPr>
        <w:t xml:space="preserve">The President as head of the national executive is Commander-in-Chief of the </w:t>
      </w:r>
      <w:r>
        <w:rPr>
          <w:rFonts w:ascii="Arial" w:hAnsi="Arial" w:cs="Arial"/>
          <w:i/>
          <w:iCs/>
        </w:rPr>
        <w:t>Defence Force</w:t>
      </w:r>
      <w:r w:rsidRPr="000F4C4C">
        <w:rPr>
          <w:rFonts w:ascii="Arial" w:hAnsi="Arial" w:cs="Arial"/>
          <w:i/>
          <w:iCs/>
        </w:rPr>
        <w:t xml:space="preserve">, and must appoint the Military Command of the </w:t>
      </w:r>
      <w:r>
        <w:rPr>
          <w:rFonts w:ascii="Arial" w:hAnsi="Arial" w:cs="Arial"/>
          <w:i/>
          <w:iCs/>
        </w:rPr>
        <w:t>Defence Force</w:t>
      </w:r>
      <w:r w:rsidRPr="000F4C4C">
        <w:rPr>
          <w:rFonts w:ascii="Arial" w:hAnsi="Arial" w:cs="Arial"/>
          <w:i/>
          <w:iCs/>
        </w:rPr>
        <w:t>.</w:t>
      </w:r>
    </w:p>
    <w:p w14:paraId="46D3C07F" w14:textId="33D30B27" w:rsidR="00F841CE" w:rsidRDefault="00F841CE" w:rsidP="008D6FD4">
      <w:pPr>
        <w:pStyle w:val="ListParagraph"/>
        <w:spacing w:line="480" w:lineRule="auto"/>
        <w:ind w:left="1418" w:hanging="851"/>
        <w:jc w:val="both"/>
        <w:rPr>
          <w:rFonts w:ascii="Arial" w:hAnsi="Arial" w:cs="Arial"/>
        </w:rPr>
      </w:pPr>
      <w:r w:rsidRPr="000F4C4C">
        <w:rPr>
          <w:rFonts w:ascii="Arial" w:hAnsi="Arial" w:cs="Arial"/>
          <w:i/>
          <w:iCs/>
        </w:rPr>
        <w:t xml:space="preserve">(2) </w:t>
      </w:r>
      <w:r w:rsidR="008D6FD4">
        <w:rPr>
          <w:rFonts w:ascii="Arial" w:hAnsi="Arial" w:cs="Arial"/>
          <w:i/>
          <w:iCs/>
        </w:rPr>
        <w:tab/>
      </w:r>
      <w:r w:rsidRPr="000F4C4C">
        <w:rPr>
          <w:rFonts w:ascii="Arial" w:hAnsi="Arial" w:cs="Arial"/>
          <w:i/>
          <w:iCs/>
        </w:rPr>
        <w:t xml:space="preserve">Command of the </w:t>
      </w:r>
      <w:r>
        <w:rPr>
          <w:rFonts w:ascii="Arial" w:hAnsi="Arial" w:cs="Arial"/>
          <w:i/>
          <w:iCs/>
        </w:rPr>
        <w:t>Defence Force</w:t>
      </w:r>
      <w:r w:rsidRPr="000F4C4C">
        <w:rPr>
          <w:rFonts w:ascii="Arial" w:hAnsi="Arial" w:cs="Arial"/>
          <w:i/>
          <w:iCs/>
        </w:rPr>
        <w:t xml:space="preserve"> must be exercised in accordance with the directions of the Cabinet member responsible for defence, under the authority of the President.</w:t>
      </w:r>
      <w:r>
        <w:rPr>
          <w:rFonts w:ascii="Arial" w:hAnsi="Arial" w:cs="Arial"/>
        </w:rPr>
        <w:t>”</w:t>
      </w:r>
    </w:p>
    <w:p w14:paraId="448CB143" w14:textId="77777777" w:rsidR="00F841CE" w:rsidRPr="000F4C4C" w:rsidRDefault="00F841CE" w:rsidP="00F841CE">
      <w:pPr>
        <w:pStyle w:val="ListParagraph"/>
        <w:rPr>
          <w:rFonts w:ascii="Arial" w:hAnsi="Arial" w:cs="Arial"/>
        </w:rPr>
      </w:pPr>
    </w:p>
    <w:p w14:paraId="1A3C74F2" w14:textId="1CE8FBC5" w:rsidR="00F841CE" w:rsidRDefault="00F841CE" w:rsidP="008E4AE4">
      <w:pPr>
        <w:pStyle w:val="ListParagraph"/>
        <w:numPr>
          <w:ilvl w:val="0"/>
          <w:numId w:val="1"/>
        </w:numPr>
        <w:spacing w:line="480" w:lineRule="auto"/>
        <w:jc w:val="both"/>
        <w:rPr>
          <w:rFonts w:ascii="Arial" w:hAnsi="Arial" w:cs="Arial"/>
        </w:rPr>
      </w:pPr>
      <w:r>
        <w:rPr>
          <w:rFonts w:ascii="Arial" w:hAnsi="Arial" w:cs="Arial"/>
        </w:rPr>
        <w:t>Section 199(4) provides that the security services must be structured and regulated by national legislation. In the case of the military, that legislation is the Defence Act (Act 42 of 2002).</w:t>
      </w:r>
    </w:p>
    <w:p w14:paraId="310F8856" w14:textId="77777777" w:rsidR="00F841CE" w:rsidRDefault="00F841CE" w:rsidP="00F841CE">
      <w:pPr>
        <w:pStyle w:val="ListParagraph"/>
        <w:ind w:left="567"/>
        <w:jc w:val="both"/>
        <w:rPr>
          <w:rFonts w:ascii="Arial" w:hAnsi="Arial" w:cs="Arial"/>
        </w:rPr>
      </w:pPr>
    </w:p>
    <w:p w14:paraId="25BB48EA" w14:textId="53DB9D16" w:rsidR="00F841CE" w:rsidRPr="00F841CE" w:rsidRDefault="00F841CE" w:rsidP="008E4AE4">
      <w:pPr>
        <w:pStyle w:val="ListParagraph"/>
        <w:numPr>
          <w:ilvl w:val="0"/>
          <w:numId w:val="1"/>
        </w:numPr>
        <w:spacing w:line="480" w:lineRule="auto"/>
        <w:jc w:val="both"/>
        <w:rPr>
          <w:rFonts w:ascii="Arial" w:hAnsi="Arial" w:cs="Arial"/>
        </w:rPr>
      </w:pPr>
      <w:r>
        <w:rPr>
          <w:rFonts w:ascii="Arial" w:hAnsi="Arial" w:cs="Arial"/>
          <w:lang w:val="en-US"/>
        </w:rPr>
        <w:t xml:space="preserve">The next level in the hierarchy is the Military Command appointed by the President. Section 4A of the Defence Act prescribes the composition of the Military Command. The chain continues down through commissioned </w:t>
      </w:r>
      <w:r w:rsidRPr="00D611E4">
        <w:rPr>
          <w:rFonts w:ascii="Arial" w:hAnsi="Arial" w:cs="Arial"/>
          <w:lang w:val="en-US"/>
        </w:rPr>
        <w:t>and non</w:t>
      </w:r>
      <w:r w:rsidR="009F3536">
        <w:rPr>
          <w:rFonts w:ascii="Arial" w:hAnsi="Arial" w:cs="Arial"/>
          <w:lang w:val="en-US"/>
        </w:rPr>
        <w:t>-</w:t>
      </w:r>
      <w:r w:rsidRPr="00D611E4">
        <w:rPr>
          <w:rFonts w:ascii="Arial" w:hAnsi="Arial" w:cs="Arial"/>
          <w:lang w:val="en-US"/>
        </w:rPr>
        <w:t>commissioned officers on different hierarchical levels.</w:t>
      </w:r>
    </w:p>
    <w:p w14:paraId="35094364" w14:textId="77777777" w:rsidR="00F841CE" w:rsidRPr="00F841CE" w:rsidRDefault="00F841CE" w:rsidP="00F841CE">
      <w:pPr>
        <w:pStyle w:val="ListParagraph"/>
        <w:rPr>
          <w:rFonts w:ascii="Arial" w:hAnsi="Arial" w:cs="Arial"/>
        </w:rPr>
      </w:pPr>
    </w:p>
    <w:p w14:paraId="1F79F03A" w14:textId="425F9908" w:rsidR="0042551C" w:rsidRPr="0042551C" w:rsidRDefault="00F841CE" w:rsidP="0025349B">
      <w:pPr>
        <w:pStyle w:val="ListParagraph"/>
        <w:numPr>
          <w:ilvl w:val="0"/>
          <w:numId w:val="1"/>
        </w:numPr>
        <w:spacing w:line="480" w:lineRule="auto"/>
        <w:jc w:val="both"/>
        <w:rPr>
          <w:rFonts w:ascii="Arial" w:hAnsi="Arial" w:cs="Arial"/>
        </w:rPr>
      </w:pPr>
      <w:r w:rsidRPr="0042551C">
        <w:rPr>
          <w:rFonts w:ascii="Arial" w:hAnsi="Arial" w:cs="Arial"/>
        </w:rPr>
        <w:t>The Chief of the Defence Force is a member of the Military Command. In terms of Section 14(b) of the Defence Act, the Chief of the Defence Force must comply with any direction issued by the Minister under the authority of the President as contemplated in section 202(2) of the Constitution.</w:t>
      </w:r>
      <w:r w:rsidR="0042551C" w:rsidRPr="0042551C">
        <w:rPr>
          <w:rFonts w:ascii="Arial" w:hAnsi="Arial" w:cs="Arial"/>
        </w:rPr>
        <w:t xml:space="preserve"> The Minister does not form part of the Military Command.</w:t>
      </w:r>
    </w:p>
    <w:p w14:paraId="2401A34F" w14:textId="77777777" w:rsidR="0042551C" w:rsidRDefault="0042551C" w:rsidP="0042551C">
      <w:pPr>
        <w:pStyle w:val="ListParagraph"/>
        <w:ind w:left="567"/>
        <w:jc w:val="both"/>
        <w:rPr>
          <w:rFonts w:ascii="Arial" w:hAnsi="Arial" w:cs="Arial"/>
        </w:rPr>
      </w:pPr>
    </w:p>
    <w:p w14:paraId="6DE2D70D" w14:textId="4C9050BD" w:rsidR="0042551C" w:rsidRDefault="0042551C" w:rsidP="0042551C">
      <w:pPr>
        <w:pStyle w:val="ListParagraph"/>
        <w:numPr>
          <w:ilvl w:val="0"/>
          <w:numId w:val="1"/>
        </w:numPr>
        <w:spacing w:line="480" w:lineRule="auto"/>
        <w:jc w:val="both"/>
        <w:rPr>
          <w:rFonts w:ascii="Arial" w:hAnsi="Arial" w:cs="Arial"/>
        </w:rPr>
      </w:pPr>
      <w:r>
        <w:rPr>
          <w:rFonts w:ascii="Arial" w:hAnsi="Arial" w:cs="Arial"/>
        </w:rPr>
        <w:lastRenderedPageBreak/>
        <w:t xml:space="preserve">As Moosa AJ pointed out in </w:t>
      </w:r>
      <w:r>
        <w:rPr>
          <w:rFonts w:ascii="Arial" w:hAnsi="Arial" w:cs="Arial"/>
          <w:b/>
          <w:bCs/>
        </w:rPr>
        <w:t>Lembede</w:t>
      </w:r>
      <w:r>
        <w:rPr>
          <w:rFonts w:ascii="Arial" w:hAnsi="Arial" w:cs="Arial"/>
        </w:rPr>
        <w:t>, the Military Ombud is not a member of the Military Command.</w:t>
      </w:r>
      <w:r>
        <w:rPr>
          <w:rStyle w:val="FootnoteReference"/>
          <w:rFonts w:ascii="Arial" w:hAnsi="Arial" w:cs="Arial"/>
        </w:rPr>
        <w:footnoteReference w:id="6"/>
      </w:r>
      <w:r w:rsidR="007B33DD">
        <w:rPr>
          <w:rFonts w:ascii="Arial" w:hAnsi="Arial" w:cs="Arial"/>
        </w:rPr>
        <w:t xml:space="preserve"> Accordingly, the Military Ombud is not part of the chain of command.</w:t>
      </w:r>
    </w:p>
    <w:p w14:paraId="32610742" w14:textId="77777777" w:rsidR="0042551C" w:rsidRDefault="0042551C" w:rsidP="0042551C">
      <w:pPr>
        <w:pStyle w:val="ListParagraph"/>
        <w:ind w:left="567"/>
        <w:jc w:val="both"/>
        <w:rPr>
          <w:rFonts w:ascii="Arial" w:hAnsi="Arial" w:cs="Arial"/>
        </w:rPr>
      </w:pPr>
    </w:p>
    <w:p w14:paraId="4E8C5D5E" w14:textId="38556B0D" w:rsidR="008D6FD4" w:rsidRDefault="008D6FD4" w:rsidP="00F841CE">
      <w:pPr>
        <w:pStyle w:val="ListParagraph"/>
        <w:numPr>
          <w:ilvl w:val="0"/>
          <w:numId w:val="1"/>
        </w:numPr>
        <w:spacing w:line="480" w:lineRule="auto"/>
        <w:jc w:val="both"/>
        <w:rPr>
          <w:rFonts w:ascii="Arial" w:hAnsi="Arial" w:cs="Arial"/>
        </w:rPr>
      </w:pPr>
      <w:r>
        <w:rPr>
          <w:rFonts w:ascii="Arial" w:hAnsi="Arial" w:cs="Arial"/>
        </w:rPr>
        <w:t>If the recommendations of the Military Ombud were binding on the Minister, this would mean that a person outside of the chain of command can instruct another person outside of the chain of command to implement appropriate relief. As is seen in both these cases, this would require the Minister to issue directions to those in the Military Command. The Minister is constitutionally mandated to do so, but only under the authority of the President. The interpretation contended for by the Applicants would result in the Minister issuing directions under the authority of the Military Ombud.</w:t>
      </w:r>
    </w:p>
    <w:p w14:paraId="420E42A8" w14:textId="77777777" w:rsidR="00916598" w:rsidRPr="00916598" w:rsidRDefault="00916598" w:rsidP="00916598">
      <w:pPr>
        <w:pStyle w:val="ListParagraph"/>
        <w:rPr>
          <w:rFonts w:ascii="Arial" w:hAnsi="Arial" w:cs="Arial"/>
        </w:rPr>
      </w:pPr>
    </w:p>
    <w:p w14:paraId="3FF8ACE9" w14:textId="2BFEF844" w:rsidR="00916598" w:rsidRPr="009F3536" w:rsidRDefault="00916598" w:rsidP="00B53CE5">
      <w:pPr>
        <w:pStyle w:val="ListParagraph"/>
        <w:numPr>
          <w:ilvl w:val="0"/>
          <w:numId w:val="1"/>
        </w:numPr>
        <w:spacing w:line="480" w:lineRule="auto"/>
        <w:jc w:val="both"/>
        <w:rPr>
          <w:rFonts w:ascii="Arial" w:hAnsi="Arial" w:cs="Arial"/>
        </w:rPr>
      </w:pPr>
      <w:r>
        <w:rPr>
          <w:rFonts w:ascii="Arial" w:hAnsi="Arial" w:cs="Arial"/>
          <w:lang w:val="en-US"/>
        </w:rPr>
        <w:t>If the Minister were obliged to implement the recommendation, then the Military Ombud constitutes an alternate chain of command in respect of matters within the jurisdiction of the Office of the Military Ombud.</w:t>
      </w:r>
    </w:p>
    <w:p w14:paraId="2E3980B0" w14:textId="77777777" w:rsidR="009F3536" w:rsidRPr="009F3536" w:rsidRDefault="009F3536" w:rsidP="009F3536">
      <w:pPr>
        <w:pStyle w:val="ListParagraph"/>
        <w:rPr>
          <w:rFonts w:ascii="Arial" w:hAnsi="Arial" w:cs="Arial"/>
        </w:rPr>
      </w:pPr>
    </w:p>
    <w:p w14:paraId="275B1A14" w14:textId="77777777" w:rsidR="009F3536" w:rsidRPr="008D6FD4" w:rsidRDefault="009F3536" w:rsidP="009F3536">
      <w:pPr>
        <w:pStyle w:val="ListParagraph"/>
        <w:numPr>
          <w:ilvl w:val="0"/>
          <w:numId w:val="1"/>
        </w:numPr>
        <w:spacing w:line="480" w:lineRule="auto"/>
        <w:jc w:val="both"/>
        <w:rPr>
          <w:rFonts w:ascii="Arial" w:hAnsi="Arial" w:cs="Arial"/>
        </w:rPr>
      </w:pPr>
      <w:r>
        <w:rPr>
          <w:rFonts w:ascii="Arial" w:hAnsi="Arial" w:cs="Arial"/>
        </w:rPr>
        <w:t xml:space="preserve">In my view, this is significant and lends support to the interpretation that the recommendations of the Military Ombud are not binding on the Minister. </w:t>
      </w:r>
      <w:r w:rsidRPr="00D611E4">
        <w:rPr>
          <w:rFonts w:ascii="Arial" w:hAnsi="Arial" w:cs="Arial"/>
          <w:lang w:val="en-US"/>
        </w:rPr>
        <w:t>The military cannot have more than one chain of command</w:t>
      </w:r>
      <w:r>
        <w:rPr>
          <w:rFonts w:ascii="Arial" w:hAnsi="Arial" w:cs="Arial"/>
          <w:lang w:val="en-US"/>
        </w:rPr>
        <w:t>.</w:t>
      </w:r>
      <w:r w:rsidRPr="00D611E4">
        <w:rPr>
          <w:rFonts w:ascii="Arial" w:hAnsi="Arial" w:cs="Arial"/>
          <w:lang w:val="en-US"/>
        </w:rPr>
        <w:t xml:space="preserve"> </w:t>
      </w:r>
      <w:r>
        <w:rPr>
          <w:rFonts w:ascii="Arial" w:hAnsi="Arial" w:cs="Arial"/>
          <w:lang w:val="en-US"/>
        </w:rPr>
        <w:t>T</w:t>
      </w:r>
      <w:r w:rsidRPr="00D611E4">
        <w:rPr>
          <w:rFonts w:ascii="Arial" w:hAnsi="Arial" w:cs="Arial"/>
          <w:lang w:val="en-US"/>
        </w:rPr>
        <w:t xml:space="preserve">here is only one chain of command, with the </w:t>
      </w:r>
      <w:r>
        <w:rPr>
          <w:rFonts w:ascii="Arial" w:hAnsi="Arial" w:cs="Arial"/>
          <w:lang w:val="en-US"/>
        </w:rPr>
        <w:t>P</w:t>
      </w:r>
      <w:r w:rsidRPr="00D611E4">
        <w:rPr>
          <w:rFonts w:ascii="Arial" w:hAnsi="Arial" w:cs="Arial"/>
          <w:lang w:val="en-US"/>
        </w:rPr>
        <w:t>resident as the commander-in-chief at the top</w:t>
      </w:r>
      <w:r>
        <w:rPr>
          <w:rFonts w:ascii="Arial" w:hAnsi="Arial" w:cs="Arial"/>
          <w:lang w:val="en-US"/>
        </w:rPr>
        <w:t>.</w:t>
      </w:r>
    </w:p>
    <w:p w14:paraId="6738267F" w14:textId="77777777" w:rsidR="00667F53" w:rsidRPr="00B878C1" w:rsidRDefault="00667F53" w:rsidP="00B878C1">
      <w:pPr>
        <w:rPr>
          <w:rFonts w:ascii="Arial" w:hAnsi="Arial" w:cs="Arial"/>
        </w:rPr>
      </w:pPr>
    </w:p>
    <w:p w14:paraId="4AA641D3" w14:textId="77EE2E97" w:rsidR="00667F53" w:rsidRPr="00667F53" w:rsidRDefault="00B878C1" w:rsidP="00B70EE8">
      <w:pPr>
        <w:keepNext/>
        <w:spacing w:line="480" w:lineRule="auto"/>
        <w:jc w:val="both"/>
        <w:rPr>
          <w:rFonts w:ascii="Arial" w:hAnsi="Arial" w:cs="Arial"/>
          <w:b/>
          <w:bCs/>
        </w:rPr>
      </w:pPr>
      <w:r>
        <w:rPr>
          <w:rFonts w:ascii="Arial" w:hAnsi="Arial" w:cs="Arial"/>
          <w:b/>
          <w:bCs/>
        </w:rPr>
        <w:t xml:space="preserve">The context </w:t>
      </w:r>
      <w:r w:rsidR="00215D93">
        <w:rPr>
          <w:rFonts w:ascii="Arial" w:hAnsi="Arial" w:cs="Arial"/>
          <w:b/>
          <w:bCs/>
        </w:rPr>
        <w:t>and purpose of the statute</w:t>
      </w:r>
    </w:p>
    <w:p w14:paraId="7FB53B2F" w14:textId="77777777" w:rsidR="009B43B4" w:rsidRDefault="009B43B4" w:rsidP="009B43B4">
      <w:pPr>
        <w:pStyle w:val="ListParagraph"/>
        <w:ind w:left="567"/>
        <w:jc w:val="both"/>
        <w:rPr>
          <w:rFonts w:ascii="Arial" w:hAnsi="Arial" w:cs="Arial"/>
        </w:rPr>
      </w:pPr>
    </w:p>
    <w:p w14:paraId="6C2247C7" w14:textId="1DE74F15" w:rsidR="000F4C4C" w:rsidRDefault="009C0791" w:rsidP="004129C8">
      <w:pPr>
        <w:pStyle w:val="ListParagraph"/>
        <w:numPr>
          <w:ilvl w:val="0"/>
          <w:numId w:val="1"/>
        </w:numPr>
        <w:spacing w:line="480" w:lineRule="auto"/>
        <w:jc w:val="both"/>
        <w:rPr>
          <w:rFonts w:ascii="Arial" w:hAnsi="Arial" w:cs="Arial"/>
        </w:rPr>
      </w:pPr>
      <w:r>
        <w:rPr>
          <w:rFonts w:ascii="Arial" w:hAnsi="Arial" w:cs="Arial"/>
        </w:rPr>
        <w:t xml:space="preserve">The Military Ombud Act exists within a particular context. That context includes the constitutional context in which the military exists. </w:t>
      </w:r>
      <w:r w:rsidR="0056544D">
        <w:rPr>
          <w:rFonts w:ascii="Arial" w:hAnsi="Arial" w:cs="Arial"/>
        </w:rPr>
        <w:t xml:space="preserve">Chapter 11 of the </w:t>
      </w:r>
      <w:r w:rsidR="0056544D">
        <w:rPr>
          <w:rFonts w:ascii="Arial" w:hAnsi="Arial" w:cs="Arial"/>
        </w:rPr>
        <w:lastRenderedPageBreak/>
        <w:t xml:space="preserve">Constitution deals with security services. </w:t>
      </w:r>
      <w:r w:rsidR="000F4C4C">
        <w:rPr>
          <w:rFonts w:ascii="Arial" w:hAnsi="Arial" w:cs="Arial"/>
        </w:rPr>
        <w:t xml:space="preserve">Section 198 sets out the principles that govern national security in South Africa. </w:t>
      </w:r>
      <w:r>
        <w:rPr>
          <w:rFonts w:ascii="Arial" w:hAnsi="Arial" w:cs="Arial"/>
        </w:rPr>
        <w:t>Section 199(2) provides that the Defence Force is the only lawful military force in the Republic.</w:t>
      </w:r>
    </w:p>
    <w:p w14:paraId="7A288D9B" w14:textId="77777777" w:rsidR="000F4C4C" w:rsidRPr="000F4C4C" w:rsidRDefault="000F4C4C" w:rsidP="000F4C4C">
      <w:pPr>
        <w:pStyle w:val="ListParagraph"/>
        <w:rPr>
          <w:rFonts w:ascii="Arial" w:hAnsi="Arial" w:cs="Arial"/>
        </w:rPr>
      </w:pPr>
    </w:p>
    <w:p w14:paraId="06878161" w14:textId="7F9BBF93" w:rsidR="009C0791" w:rsidRPr="00215D93" w:rsidRDefault="009C0791" w:rsidP="009C1709">
      <w:pPr>
        <w:pStyle w:val="ListParagraph"/>
        <w:numPr>
          <w:ilvl w:val="0"/>
          <w:numId w:val="1"/>
        </w:numPr>
        <w:spacing w:line="480" w:lineRule="auto"/>
        <w:jc w:val="both"/>
        <w:rPr>
          <w:rFonts w:ascii="Arial" w:hAnsi="Arial" w:cs="Arial"/>
        </w:rPr>
      </w:pPr>
      <w:r w:rsidRPr="00215D93">
        <w:rPr>
          <w:rFonts w:ascii="Arial" w:hAnsi="Arial" w:cs="Arial"/>
        </w:rPr>
        <w:t xml:space="preserve">Mr Hamman sought to compare the Military Ombud to the Public Protector. Chapter 9 of the Constitution establishes six institutions that strengthen constitutional democracy in the Republic. These include the Public Protector. The Military Ombud is not a Chapter 9 institution. </w:t>
      </w:r>
      <w:r w:rsidR="00215D93" w:rsidRPr="00215D93">
        <w:rPr>
          <w:rFonts w:ascii="Arial" w:hAnsi="Arial" w:cs="Arial"/>
        </w:rPr>
        <w:t>The Constitution does not refer to the Military Ombud.</w:t>
      </w:r>
      <w:r w:rsidR="00215D93">
        <w:rPr>
          <w:rStyle w:val="FootnoteReference"/>
          <w:rFonts w:ascii="Arial" w:hAnsi="Arial" w:cs="Arial"/>
        </w:rPr>
        <w:footnoteReference w:id="7"/>
      </w:r>
      <w:r w:rsidR="00215D93" w:rsidRPr="00215D93">
        <w:rPr>
          <w:rFonts w:ascii="Arial" w:hAnsi="Arial" w:cs="Arial"/>
        </w:rPr>
        <w:t xml:space="preserve"> These are</w:t>
      </w:r>
      <w:r w:rsidRPr="00215D93">
        <w:rPr>
          <w:rFonts w:ascii="Arial" w:hAnsi="Arial" w:cs="Arial"/>
        </w:rPr>
        <w:t xml:space="preserve"> important distinction</w:t>
      </w:r>
      <w:r w:rsidR="00215D93">
        <w:rPr>
          <w:rFonts w:ascii="Arial" w:hAnsi="Arial" w:cs="Arial"/>
        </w:rPr>
        <w:t>s</w:t>
      </w:r>
      <w:r w:rsidRPr="00215D93">
        <w:rPr>
          <w:rFonts w:ascii="Arial" w:hAnsi="Arial" w:cs="Arial"/>
        </w:rPr>
        <w:t>.</w:t>
      </w:r>
    </w:p>
    <w:p w14:paraId="177B1F90" w14:textId="77777777" w:rsidR="009C0791" w:rsidRDefault="009C0791" w:rsidP="009C0791">
      <w:pPr>
        <w:pStyle w:val="ListParagraph"/>
        <w:ind w:left="567"/>
        <w:jc w:val="both"/>
        <w:rPr>
          <w:rFonts w:ascii="Arial" w:hAnsi="Arial" w:cs="Arial"/>
        </w:rPr>
      </w:pPr>
    </w:p>
    <w:p w14:paraId="2D49553E" w14:textId="1511564D" w:rsidR="009C0791" w:rsidRDefault="009C0791" w:rsidP="005F1295">
      <w:pPr>
        <w:pStyle w:val="ListParagraph"/>
        <w:numPr>
          <w:ilvl w:val="0"/>
          <w:numId w:val="1"/>
        </w:numPr>
        <w:spacing w:line="480" w:lineRule="auto"/>
        <w:jc w:val="both"/>
        <w:rPr>
          <w:rFonts w:ascii="Arial" w:hAnsi="Arial" w:cs="Arial"/>
        </w:rPr>
      </w:pPr>
      <w:r>
        <w:rPr>
          <w:rFonts w:ascii="Arial" w:hAnsi="Arial" w:cs="Arial"/>
        </w:rPr>
        <w:t>As I noted above, Section 199(4) provides that the security services must be structured and regulated by national legislation. That legislation is the Defence Act.</w:t>
      </w:r>
    </w:p>
    <w:p w14:paraId="461C9396" w14:textId="77777777" w:rsidR="009C0791" w:rsidRPr="00215D93" w:rsidRDefault="009C0791" w:rsidP="009C0791">
      <w:pPr>
        <w:pStyle w:val="ListParagraph"/>
        <w:rPr>
          <w:rFonts w:ascii="Arial" w:hAnsi="Arial" w:cs="Arial"/>
        </w:rPr>
      </w:pPr>
    </w:p>
    <w:p w14:paraId="3895EB49" w14:textId="720BB535" w:rsidR="009C0791" w:rsidRDefault="00215D93" w:rsidP="001D5A88">
      <w:pPr>
        <w:pStyle w:val="ListParagraph"/>
        <w:numPr>
          <w:ilvl w:val="0"/>
          <w:numId w:val="1"/>
        </w:numPr>
        <w:spacing w:line="480" w:lineRule="auto"/>
        <w:jc w:val="both"/>
        <w:rPr>
          <w:rFonts w:ascii="Arial" w:hAnsi="Arial" w:cs="Arial"/>
        </w:rPr>
      </w:pPr>
      <w:r w:rsidRPr="00215D93">
        <w:rPr>
          <w:rFonts w:ascii="Arial" w:hAnsi="Arial" w:cs="Arial"/>
        </w:rPr>
        <w:t>The Military Ombud Act must be interpreted consistently with the Constitution</w:t>
      </w:r>
      <w:r>
        <w:rPr>
          <w:rFonts w:ascii="Arial" w:hAnsi="Arial" w:cs="Arial"/>
        </w:rPr>
        <w:t xml:space="preserve">. Accordingly, where reasonably possible, I must interpret the Military Ombud Act to have a meaning not inconsistent with the Constitution. </w:t>
      </w:r>
    </w:p>
    <w:p w14:paraId="4424B45C" w14:textId="77777777" w:rsidR="00215D93" w:rsidRPr="00215D93" w:rsidRDefault="00215D93" w:rsidP="00215D93">
      <w:pPr>
        <w:pStyle w:val="ListParagraph"/>
        <w:rPr>
          <w:rFonts w:ascii="Arial" w:hAnsi="Arial" w:cs="Arial"/>
        </w:rPr>
      </w:pPr>
    </w:p>
    <w:p w14:paraId="46339695" w14:textId="5D37C987" w:rsidR="00215D93" w:rsidRPr="00215D93" w:rsidRDefault="00215D93" w:rsidP="001D5A88">
      <w:pPr>
        <w:pStyle w:val="ListParagraph"/>
        <w:numPr>
          <w:ilvl w:val="0"/>
          <w:numId w:val="1"/>
        </w:numPr>
        <w:spacing w:line="480" w:lineRule="auto"/>
        <w:jc w:val="both"/>
        <w:rPr>
          <w:rFonts w:ascii="Arial" w:hAnsi="Arial" w:cs="Arial"/>
        </w:rPr>
      </w:pPr>
      <w:r>
        <w:rPr>
          <w:rFonts w:ascii="Arial" w:hAnsi="Arial" w:cs="Arial"/>
        </w:rPr>
        <w:t>As the Defence Act was passed before the Military Ombud Act, I must also assume that the legislature was aware of the content of the Defence Act.</w:t>
      </w:r>
    </w:p>
    <w:p w14:paraId="6A700EE8" w14:textId="77777777" w:rsidR="009C0791" w:rsidRPr="009C0791" w:rsidRDefault="009C0791" w:rsidP="009C0791">
      <w:pPr>
        <w:pStyle w:val="ListParagraph"/>
        <w:rPr>
          <w:rFonts w:ascii="Arial" w:hAnsi="Arial" w:cs="Arial"/>
        </w:rPr>
      </w:pPr>
    </w:p>
    <w:p w14:paraId="3E26E827" w14:textId="77777777" w:rsidR="00215D93" w:rsidRDefault="00215D93" w:rsidP="00215D93">
      <w:pPr>
        <w:pStyle w:val="ListParagraph"/>
        <w:keepNext/>
        <w:numPr>
          <w:ilvl w:val="0"/>
          <w:numId w:val="1"/>
        </w:numPr>
        <w:spacing w:line="480" w:lineRule="auto"/>
        <w:jc w:val="both"/>
        <w:rPr>
          <w:rFonts w:ascii="Arial" w:hAnsi="Arial" w:cs="Arial"/>
        </w:rPr>
      </w:pPr>
      <w:r>
        <w:rPr>
          <w:rFonts w:ascii="Arial" w:hAnsi="Arial" w:cs="Arial"/>
        </w:rPr>
        <w:t xml:space="preserve">Part of the constitutional context is that members of the military enjoy rights in terms of the bill of rights. </w:t>
      </w:r>
    </w:p>
    <w:p w14:paraId="75A4F1D6" w14:textId="77777777" w:rsidR="00215D93" w:rsidRPr="00215D93" w:rsidRDefault="00215D93" w:rsidP="00215D93">
      <w:pPr>
        <w:pStyle w:val="ListParagraph"/>
        <w:rPr>
          <w:rFonts w:ascii="Arial" w:hAnsi="Arial" w:cs="Arial"/>
        </w:rPr>
      </w:pPr>
    </w:p>
    <w:p w14:paraId="3D683D51" w14:textId="1A9AC291" w:rsidR="001D5A88" w:rsidRDefault="001D5A88" w:rsidP="00215D93">
      <w:pPr>
        <w:pStyle w:val="ListParagraph"/>
        <w:keepNext/>
        <w:numPr>
          <w:ilvl w:val="0"/>
          <w:numId w:val="1"/>
        </w:numPr>
        <w:spacing w:line="480" w:lineRule="auto"/>
        <w:jc w:val="both"/>
        <w:rPr>
          <w:rFonts w:ascii="Arial" w:hAnsi="Arial" w:cs="Arial"/>
        </w:rPr>
      </w:pPr>
      <w:r>
        <w:rPr>
          <w:rFonts w:ascii="Arial" w:hAnsi="Arial" w:cs="Arial"/>
        </w:rPr>
        <w:t xml:space="preserve">Mr Hamman referred me to the Constitutional Court judgment in </w:t>
      </w:r>
      <w:r>
        <w:rPr>
          <w:rFonts w:ascii="Arial" w:hAnsi="Arial" w:cs="Arial"/>
          <w:b/>
          <w:bCs/>
        </w:rPr>
        <w:t>SANDU</w:t>
      </w:r>
      <w:r>
        <w:rPr>
          <w:rFonts w:ascii="Arial" w:hAnsi="Arial" w:cs="Arial"/>
        </w:rPr>
        <w:t>.</w:t>
      </w:r>
      <w:r>
        <w:rPr>
          <w:rStyle w:val="FootnoteReference"/>
          <w:rFonts w:ascii="Arial" w:hAnsi="Arial" w:cs="Arial"/>
        </w:rPr>
        <w:footnoteReference w:id="8"/>
      </w:r>
      <w:r>
        <w:rPr>
          <w:rFonts w:ascii="Arial" w:hAnsi="Arial" w:cs="Arial"/>
        </w:rPr>
        <w:t xml:space="preserve"> </w:t>
      </w:r>
      <w:r>
        <w:rPr>
          <w:rFonts w:ascii="Arial" w:hAnsi="Arial" w:cs="Arial"/>
          <w:b/>
          <w:bCs/>
        </w:rPr>
        <w:t>SANDU</w:t>
      </w:r>
      <w:r>
        <w:rPr>
          <w:rFonts w:ascii="Arial" w:hAnsi="Arial" w:cs="Arial"/>
        </w:rPr>
        <w:t xml:space="preserve"> concerned the question as to whether it was constitutional to prohibit </w:t>
      </w:r>
      <w:r>
        <w:rPr>
          <w:rFonts w:ascii="Arial" w:hAnsi="Arial" w:cs="Arial"/>
        </w:rPr>
        <w:lastRenderedPageBreak/>
        <w:t>members of the military from participating in public protest and joining trade unions. In the majority judgment, O’Regan J held:</w:t>
      </w:r>
    </w:p>
    <w:p w14:paraId="63051747" w14:textId="77777777" w:rsidR="001D5A88" w:rsidRPr="001D5A88" w:rsidRDefault="001D5A88" w:rsidP="00215D93">
      <w:pPr>
        <w:pStyle w:val="ListParagraph"/>
        <w:keepNext/>
        <w:rPr>
          <w:rFonts w:ascii="Arial" w:hAnsi="Arial" w:cs="Arial"/>
        </w:rPr>
      </w:pPr>
    </w:p>
    <w:p w14:paraId="555AEA3D" w14:textId="4518A0C0" w:rsidR="001D5A88" w:rsidRDefault="001D5A88" w:rsidP="001D5A88">
      <w:pPr>
        <w:pStyle w:val="ListParagraph"/>
        <w:spacing w:line="480" w:lineRule="auto"/>
        <w:ind w:left="567"/>
        <w:jc w:val="both"/>
        <w:rPr>
          <w:rFonts w:ascii="Arial" w:hAnsi="Arial" w:cs="Arial"/>
        </w:rPr>
      </w:pPr>
      <w:r>
        <w:rPr>
          <w:rFonts w:ascii="Arial" w:hAnsi="Arial" w:cs="Arial"/>
        </w:rPr>
        <w:t>“</w:t>
      </w:r>
      <w:r w:rsidRPr="001D5A88">
        <w:rPr>
          <w:rFonts w:ascii="Arial" w:hAnsi="Arial" w:cs="Arial"/>
          <w:i/>
          <w:iCs/>
        </w:rPr>
        <w:t xml:space="preserve">There can be no doubt of the constitutional imperative of maintaining a disciplined and effective </w:t>
      </w:r>
      <w:r w:rsidR="00D611E4">
        <w:rPr>
          <w:rFonts w:ascii="Arial" w:hAnsi="Arial" w:cs="Arial"/>
          <w:i/>
          <w:iCs/>
        </w:rPr>
        <w:t>Defence Force</w:t>
      </w:r>
      <w:r w:rsidRPr="001D5A88">
        <w:rPr>
          <w:rFonts w:ascii="Arial" w:hAnsi="Arial" w:cs="Arial"/>
          <w:i/>
          <w:iCs/>
        </w:rPr>
        <w:t xml:space="preserve">. I am not persuaded, however, that permitting members of the Permanent Force to join a trade union, no matter how its activities are circumscribed, will undermine the discipline and efficiency of the </w:t>
      </w:r>
      <w:r w:rsidR="00D611E4">
        <w:rPr>
          <w:rFonts w:ascii="Arial" w:hAnsi="Arial" w:cs="Arial"/>
          <w:i/>
          <w:iCs/>
        </w:rPr>
        <w:t>Defence Force</w:t>
      </w:r>
      <w:r w:rsidRPr="001D5A88">
        <w:rPr>
          <w:rFonts w:ascii="Arial" w:hAnsi="Arial" w:cs="Arial"/>
          <w:i/>
          <w:iCs/>
        </w:rPr>
        <w:t>. Indeed, it may well be that in permitting members to join trade unions and in establishing proper channels for grievances and complaints, discipline may be enhanced rather than diminished</w:t>
      </w:r>
      <w:r w:rsidRPr="001D5A88">
        <w:rPr>
          <w:rFonts w:ascii="Arial" w:hAnsi="Arial" w:cs="Arial"/>
        </w:rPr>
        <w:t>.</w:t>
      </w:r>
      <w:r>
        <w:rPr>
          <w:rFonts w:ascii="Arial" w:hAnsi="Arial" w:cs="Arial"/>
        </w:rPr>
        <w:t>”</w:t>
      </w:r>
      <w:r>
        <w:rPr>
          <w:rStyle w:val="FootnoteReference"/>
          <w:rFonts w:ascii="Arial" w:hAnsi="Arial" w:cs="Arial"/>
        </w:rPr>
        <w:footnoteReference w:id="9"/>
      </w:r>
    </w:p>
    <w:p w14:paraId="1BD91222" w14:textId="77777777" w:rsidR="001D5A88" w:rsidRPr="00AF7A7B" w:rsidRDefault="001D5A88" w:rsidP="001D5A88">
      <w:pPr>
        <w:pStyle w:val="ListParagraph"/>
        <w:rPr>
          <w:rFonts w:ascii="Arial" w:hAnsi="Arial" w:cs="Arial"/>
        </w:rPr>
      </w:pPr>
    </w:p>
    <w:p w14:paraId="6105D2BD" w14:textId="2D1FD1D0" w:rsidR="00F01ECB" w:rsidRDefault="001D5A88" w:rsidP="004129C8">
      <w:pPr>
        <w:pStyle w:val="ListParagraph"/>
        <w:numPr>
          <w:ilvl w:val="0"/>
          <w:numId w:val="1"/>
        </w:numPr>
        <w:spacing w:line="480" w:lineRule="auto"/>
        <w:jc w:val="both"/>
        <w:rPr>
          <w:rFonts w:ascii="Arial" w:hAnsi="Arial" w:cs="Arial"/>
        </w:rPr>
      </w:pPr>
      <w:r>
        <w:rPr>
          <w:rFonts w:ascii="Arial" w:hAnsi="Arial" w:cs="Arial"/>
        </w:rPr>
        <w:t>Accordingly, the Constitutional Court held that provisions in the relevant statute</w:t>
      </w:r>
      <w:r>
        <w:rPr>
          <w:rStyle w:val="FootnoteReference"/>
          <w:rFonts w:ascii="Arial" w:hAnsi="Arial" w:cs="Arial"/>
        </w:rPr>
        <w:footnoteReference w:id="10"/>
      </w:r>
      <w:r>
        <w:rPr>
          <w:rFonts w:ascii="Arial" w:hAnsi="Arial" w:cs="Arial"/>
        </w:rPr>
        <w:t xml:space="preserve"> that prohibited members of the </w:t>
      </w:r>
      <w:r w:rsidR="00D611E4">
        <w:rPr>
          <w:rFonts w:ascii="Arial" w:hAnsi="Arial" w:cs="Arial"/>
        </w:rPr>
        <w:t xml:space="preserve">SANDF </w:t>
      </w:r>
      <w:r>
        <w:rPr>
          <w:rFonts w:ascii="Arial" w:hAnsi="Arial" w:cs="Arial"/>
        </w:rPr>
        <w:t xml:space="preserve"> from becoming members of a trade union </w:t>
      </w:r>
      <w:r w:rsidR="009F3536">
        <w:rPr>
          <w:rFonts w:ascii="Arial" w:hAnsi="Arial" w:cs="Arial"/>
        </w:rPr>
        <w:t>were</w:t>
      </w:r>
      <w:r>
        <w:rPr>
          <w:rFonts w:ascii="Arial" w:hAnsi="Arial" w:cs="Arial"/>
        </w:rPr>
        <w:t xml:space="preserve"> not a justifiable limitation on </w:t>
      </w:r>
      <w:r w:rsidR="00D611E4">
        <w:rPr>
          <w:rFonts w:ascii="Arial" w:hAnsi="Arial" w:cs="Arial"/>
        </w:rPr>
        <w:t>members' constitutional rights</w:t>
      </w:r>
      <w:r>
        <w:rPr>
          <w:rFonts w:ascii="Arial" w:hAnsi="Arial" w:cs="Arial"/>
        </w:rPr>
        <w:t>.</w:t>
      </w:r>
    </w:p>
    <w:p w14:paraId="3E5E10FB" w14:textId="77777777" w:rsidR="00F01ECB" w:rsidRDefault="00F01ECB" w:rsidP="00F01ECB">
      <w:pPr>
        <w:pStyle w:val="ListParagraph"/>
        <w:ind w:left="567"/>
        <w:jc w:val="both"/>
        <w:rPr>
          <w:rFonts w:ascii="Arial" w:hAnsi="Arial" w:cs="Arial"/>
        </w:rPr>
      </w:pPr>
    </w:p>
    <w:p w14:paraId="6F8BC5DD" w14:textId="2A2305D4" w:rsidR="001D5A88" w:rsidRDefault="00F01ECB" w:rsidP="004129C8">
      <w:pPr>
        <w:pStyle w:val="ListParagraph"/>
        <w:numPr>
          <w:ilvl w:val="0"/>
          <w:numId w:val="1"/>
        </w:numPr>
        <w:spacing w:line="480" w:lineRule="auto"/>
        <w:jc w:val="both"/>
        <w:rPr>
          <w:rFonts w:ascii="Arial" w:hAnsi="Arial" w:cs="Arial"/>
        </w:rPr>
      </w:pPr>
      <w:r>
        <w:rPr>
          <w:rFonts w:ascii="Arial" w:hAnsi="Arial" w:cs="Arial"/>
        </w:rPr>
        <w:t xml:space="preserve">It is clear, however, that the Constitutional Court recognised the importance of discipline in the </w:t>
      </w:r>
      <w:r w:rsidR="00D611E4">
        <w:rPr>
          <w:rFonts w:ascii="Arial" w:hAnsi="Arial" w:cs="Arial"/>
        </w:rPr>
        <w:t>SANDF</w:t>
      </w:r>
      <w:r>
        <w:rPr>
          <w:rFonts w:ascii="Arial" w:hAnsi="Arial" w:cs="Arial"/>
        </w:rPr>
        <w:t>.</w:t>
      </w:r>
      <w:r w:rsidR="001D5A88">
        <w:rPr>
          <w:rFonts w:ascii="Arial" w:hAnsi="Arial" w:cs="Arial"/>
        </w:rPr>
        <w:t xml:space="preserve"> </w:t>
      </w:r>
    </w:p>
    <w:p w14:paraId="10EDFDE8" w14:textId="77777777" w:rsidR="001D5A88" w:rsidRDefault="001D5A88" w:rsidP="001D5A88">
      <w:pPr>
        <w:pStyle w:val="ListParagraph"/>
        <w:ind w:left="567"/>
        <w:jc w:val="both"/>
        <w:rPr>
          <w:rFonts w:ascii="Arial" w:hAnsi="Arial" w:cs="Arial"/>
        </w:rPr>
      </w:pPr>
    </w:p>
    <w:p w14:paraId="57662107" w14:textId="69DF669C" w:rsidR="00563189" w:rsidRDefault="00B854DA" w:rsidP="00D611E4">
      <w:pPr>
        <w:pStyle w:val="ListParagraph"/>
        <w:keepNext/>
        <w:numPr>
          <w:ilvl w:val="0"/>
          <w:numId w:val="1"/>
        </w:numPr>
        <w:spacing w:line="480" w:lineRule="auto"/>
        <w:jc w:val="both"/>
        <w:rPr>
          <w:rFonts w:ascii="Arial" w:hAnsi="Arial" w:cs="Arial"/>
        </w:rPr>
      </w:pPr>
      <w:r>
        <w:rPr>
          <w:rFonts w:ascii="Arial" w:hAnsi="Arial" w:cs="Arial"/>
        </w:rPr>
        <w:t>Subsequently, i</w:t>
      </w:r>
      <w:r w:rsidR="0052012A">
        <w:rPr>
          <w:rFonts w:ascii="Arial" w:hAnsi="Arial" w:cs="Arial"/>
        </w:rPr>
        <w:t xml:space="preserve">n </w:t>
      </w:r>
      <w:r w:rsidR="0052012A">
        <w:rPr>
          <w:rFonts w:ascii="Arial" w:hAnsi="Arial" w:cs="Arial"/>
          <w:b/>
          <w:bCs/>
        </w:rPr>
        <w:t>Potsane</w:t>
      </w:r>
      <w:r w:rsidR="0052012A" w:rsidRPr="0052012A">
        <w:rPr>
          <w:rFonts w:ascii="Arial" w:hAnsi="Arial" w:cs="Arial"/>
        </w:rPr>
        <w:t xml:space="preserve">, </w:t>
      </w:r>
      <w:r w:rsidR="00563189">
        <w:rPr>
          <w:rFonts w:ascii="Arial" w:hAnsi="Arial" w:cs="Arial"/>
        </w:rPr>
        <w:t>Kriegler J explained:</w:t>
      </w:r>
    </w:p>
    <w:p w14:paraId="083420D7" w14:textId="77777777" w:rsidR="00563189" w:rsidRDefault="00563189" w:rsidP="00D611E4">
      <w:pPr>
        <w:pStyle w:val="ListParagraph"/>
        <w:keepNext/>
        <w:ind w:left="567"/>
        <w:jc w:val="both"/>
        <w:rPr>
          <w:rFonts w:ascii="Arial" w:hAnsi="Arial" w:cs="Arial"/>
        </w:rPr>
      </w:pPr>
    </w:p>
    <w:p w14:paraId="7E8B592D" w14:textId="3F6F9992" w:rsidR="0052012A" w:rsidRDefault="0052012A" w:rsidP="0052012A">
      <w:pPr>
        <w:pStyle w:val="ListParagraph"/>
        <w:spacing w:line="480" w:lineRule="auto"/>
        <w:ind w:left="567"/>
        <w:jc w:val="both"/>
        <w:rPr>
          <w:rFonts w:ascii="Arial" w:hAnsi="Arial" w:cs="Arial"/>
        </w:rPr>
      </w:pPr>
      <w:r>
        <w:rPr>
          <w:rFonts w:ascii="Arial" w:hAnsi="Arial" w:cs="Arial"/>
        </w:rPr>
        <w:t>“</w:t>
      </w:r>
      <w:r w:rsidRPr="0052012A">
        <w:rPr>
          <w:rFonts w:ascii="Arial" w:hAnsi="Arial" w:cs="Arial"/>
          <w:i/>
          <w:iCs/>
        </w:rPr>
        <w:t xml:space="preserve">Modern soldiers in a democracy, those contemplated by chap 11 of the Constitution, are not mindless automatons. Ideally they are to be thinking men and women imbued with the values of the Constitution; and they are to be disciplined. Such discipline is built on reciprocal trust between the leader and the led. The commander needs to know and trust the ability and willingness of the troops to obey. They in turn should have confidence in the judgment and integrity </w:t>
      </w:r>
      <w:r w:rsidRPr="0052012A">
        <w:rPr>
          <w:rFonts w:ascii="Arial" w:hAnsi="Arial" w:cs="Arial"/>
          <w:i/>
          <w:iCs/>
        </w:rPr>
        <w:lastRenderedPageBreak/>
        <w:t>of the commander to give wise orders. This willingness to obey orders and the concomitant trust in such orders are essential to effective discipline. At the same time discipline aims to develop reciprocal trust horizontally, between comrades. Soldiers are taught and trained to think collectively and act jointly, the cohesive force being military discipline built on trust, obedience, loyalty, esprit de corps and camaraderie. Discipline requires that breaches be nipped in the bud - demonstrably, appropriately and fairly.</w:t>
      </w:r>
      <w:r>
        <w:rPr>
          <w:rFonts w:ascii="Arial" w:hAnsi="Arial" w:cs="Arial"/>
        </w:rPr>
        <w:t>”</w:t>
      </w:r>
      <w:r w:rsidRPr="0052012A">
        <w:rPr>
          <w:rStyle w:val="FootnoteReference"/>
          <w:rFonts w:ascii="Arial" w:hAnsi="Arial" w:cs="Arial"/>
        </w:rPr>
        <w:t xml:space="preserve"> </w:t>
      </w:r>
      <w:r>
        <w:rPr>
          <w:rStyle w:val="FootnoteReference"/>
          <w:rFonts w:ascii="Arial" w:hAnsi="Arial" w:cs="Arial"/>
        </w:rPr>
        <w:footnoteReference w:id="11"/>
      </w:r>
    </w:p>
    <w:p w14:paraId="1CEE8FB9" w14:textId="77777777" w:rsidR="0052012A" w:rsidRDefault="0052012A" w:rsidP="0052012A">
      <w:pPr>
        <w:pStyle w:val="ListParagraph"/>
        <w:ind w:left="567"/>
        <w:jc w:val="both"/>
        <w:rPr>
          <w:rFonts w:ascii="Arial" w:hAnsi="Arial" w:cs="Arial"/>
        </w:rPr>
      </w:pPr>
    </w:p>
    <w:p w14:paraId="6D27CFE2" w14:textId="5A5C4F69" w:rsidR="0052012A" w:rsidRDefault="0052012A" w:rsidP="004129C8">
      <w:pPr>
        <w:pStyle w:val="ListParagraph"/>
        <w:numPr>
          <w:ilvl w:val="0"/>
          <w:numId w:val="1"/>
        </w:numPr>
        <w:spacing w:line="480" w:lineRule="auto"/>
        <w:jc w:val="both"/>
        <w:rPr>
          <w:rFonts w:ascii="Arial" w:hAnsi="Arial" w:cs="Arial"/>
        </w:rPr>
      </w:pPr>
      <w:r>
        <w:rPr>
          <w:rFonts w:ascii="Arial" w:hAnsi="Arial" w:cs="Arial"/>
        </w:rPr>
        <w:t xml:space="preserve">In </w:t>
      </w:r>
      <w:r>
        <w:rPr>
          <w:rFonts w:ascii="Arial" w:hAnsi="Arial" w:cs="Arial"/>
          <w:b/>
          <w:bCs/>
        </w:rPr>
        <w:t>Potsane</w:t>
      </w:r>
      <w:r>
        <w:rPr>
          <w:rFonts w:ascii="Arial" w:hAnsi="Arial" w:cs="Arial"/>
        </w:rPr>
        <w:t xml:space="preserve">, the Constitutional Court </w:t>
      </w:r>
      <w:r w:rsidR="00AF7A7B">
        <w:rPr>
          <w:rFonts w:ascii="Arial" w:hAnsi="Arial" w:cs="Arial"/>
        </w:rPr>
        <w:t xml:space="preserve">found that the provisions of the </w:t>
      </w:r>
      <w:r w:rsidR="00AF7A7B" w:rsidRPr="00AF7A7B">
        <w:rPr>
          <w:rFonts w:ascii="Arial" w:hAnsi="Arial" w:cs="Arial"/>
        </w:rPr>
        <w:t>Military Discipline Supplementary Measures Act 16 of 1999</w:t>
      </w:r>
      <w:r w:rsidR="00AF7A7B">
        <w:rPr>
          <w:rFonts w:ascii="Arial" w:hAnsi="Arial" w:cs="Arial"/>
        </w:rPr>
        <w:t xml:space="preserve">, which created the </w:t>
      </w:r>
      <w:r w:rsidR="00B84EC6">
        <w:rPr>
          <w:rFonts w:ascii="Arial" w:hAnsi="Arial" w:cs="Arial"/>
        </w:rPr>
        <w:t>M</w:t>
      </w:r>
      <w:r w:rsidR="00AF7A7B">
        <w:rPr>
          <w:rFonts w:ascii="Arial" w:hAnsi="Arial" w:cs="Arial"/>
        </w:rPr>
        <w:t xml:space="preserve">ilitary </w:t>
      </w:r>
      <w:r w:rsidR="00B84EC6">
        <w:rPr>
          <w:rFonts w:ascii="Arial" w:hAnsi="Arial" w:cs="Arial"/>
        </w:rPr>
        <w:t>P</w:t>
      </w:r>
      <w:r w:rsidR="00AF7A7B">
        <w:rPr>
          <w:rFonts w:ascii="Arial" w:hAnsi="Arial" w:cs="Arial"/>
        </w:rPr>
        <w:t xml:space="preserve">rosecutions </w:t>
      </w:r>
      <w:r w:rsidR="00B84EC6">
        <w:rPr>
          <w:rFonts w:ascii="Arial" w:hAnsi="Arial" w:cs="Arial"/>
        </w:rPr>
        <w:t>A</w:t>
      </w:r>
      <w:r w:rsidR="00AF7A7B">
        <w:rPr>
          <w:rFonts w:ascii="Arial" w:hAnsi="Arial" w:cs="Arial"/>
        </w:rPr>
        <w:t xml:space="preserve">uthority, </w:t>
      </w:r>
      <w:r w:rsidR="00F01ECB">
        <w:rPr>
          <w:rFonts w:ascii="Arial" w:hAnsi="Arial" w:cs="Arial"/>
        </w:rPr>
        <w:t>were</w:t>
      </w:r>
      <w:r w:rsidR="00AF7A7B">
        <w:rPr>
          <w:rFonts w:ascii="Arial" w:hAnsi="Arial" w:cs="Arial"/>
        </w:rPr>
        <w:t xml:space="preserve"> not inconsistent with Section 179 of the Constitution. Kriegler J concluded that if decisions concerning military prosecutions were to be taken by the National Director of Public Prosecutions “… </w:t>
      </w:r>
      <w:r w:rsidR="00AF7A7B" w:rsidRPr="00AF7A7B">
        <w:rPr>
          <w:rFonts w:ascii="Arial" w:hAnsi="Arial" w:cs="Arial"/>
          <w:i/>
          <w:iCs/>
        </w:rPr>
        <w:t>the effect on military lines of authority and command would be potentially disastrous.</w:t>
      </w:r>
      <w:r w:rsidR="00AF7A7B">
        <w:rPr>
          <w:rFonts w:ascii="Arial" w:hAnsi="Arial" w:cs="Arial"/>
        </w:rPr>
        <w:t>”</w:t>
      </w:r>
      <w:r w:rsidR="00AF7A7B">
        <w:rPr>
          <w:rStyle w:val="FootnoteReference"/>
          <w:rFonts w:ascii="Arial" w:hAnsi="Arial" w:cs="Arial"/>
        </w:rPr>
        <w:footnoteReference w:id="12"/>
      </w:r>
    </w:p>
    <w:p w14:paraId="794A2D87" w14:textId="77777777" w:rsidR="0052012A" w:rsidRDefault="0052012A" w:rsidP="0052012A">
      <w:pPr>
        <w:pStyle w:val="ListParagraph"/>
        <w:ind w:left="567"/>
        <w:jc w:val="both"/>
        <w:rPr>
          <w:rFonts w:ascii="Arial" w:hAnsi="Arial" w:cs="Arial"/>
        </w:rPr>
      </w:pPr>
    </w:p>
    <w:p w14:paraId="27DF2CA0" w14:textId="0536979D" w:rsidR="00F01ECB" w:rsidRPr="00F0491F" w:rsidRDefault="00215D93" w:rsidP="00215D93">
      <w:pPr>
        <w:pStyle w:val="ListParagraph"/>
        <w:numPr>
          <w:ilvl w:val="0"/>
          <w:numId w:val="1"/>
        </w:numPr>
        <w:spacing w:line="480" w:lineRule="auto"/>
        <w:jc w:val="both"/>
        <w:rPr>
          <w:rFonts w:ascii="Arial" w:hAnsi="Arial" w:cs="Arial"/>
        </w:rPr>
      </w:pPr>
      <w:r>
        <w:rPr>
          <w:rFonts w:ascii="Arial" w:hAnsi="Arial" w:cs="Arial"/>
          <w:lang w:val="en-US"/>
        </w:rPr>
        <w:t>Accordingly, m</w:t>
      </w:r>
      <w:r w:rsidR="00F01ECB" w:rsidRPr="00F01ECB">
        <w:rPr>
          <w:rFonts w:ascii="Arial" w:hAnsi="Arial" w:cs="Arial"/>
          <w:lang w:val="en-US"/>
        </w:rPr>
        <w:t xml:space="preserve">embers of the </w:t>
      </w:r>
      <w:r w:rsidR="00B84EC6">
        <w:rPr>
          <w:rFonts w:ascii="Arial" w:hAnsi="Arial" w:cs="Arial"/>
          <w:lang w:val="en-US"/>
        </w:rPr>
        <w:t>SANDF</w:t>
      </w:r>
      <w:r w:rsidR="00F01ECB" w:rsidRPr="00F01ECB">
        <w:rPr>
          <w:rFonts w:ascii="Arial" w:hAnsi="Arial" w:cs="Arial"/>
          <w:lang w:val="en-US"/>
        </w:rPr>
        <w:t xml:space="preserve"> do enjoy constitutional rights. However, those rights need to be exercised within the confines of the chain of </w:t>
      </w:r>
      <w:r w:rsidR="00B84EC6">
        <w:rPr>
          <w:rFonts w:ascii="Arial" w:hAnsi="Arial" w:cs="Arial"/>
          <w:lang w:val="en-US"/>
        </w:rPr>
        <w:t>command</w:t>
      </w:r>
      <w:r w:rsidR="00F01ECB">
        <w:rPr>
          <w:rFonts w:ascii="Arial" w:hAnsi="Arial" w:cs="Arial"/>
          <w:lang w:val="en-US"/>
        </w:rPr>
        <w:t>.</w:t>
      </w:r>
      <w:r w:rsidR="00F01ECB" w:rsidRPr="00F01ECB">
        <w:rPr>
          <w:rFonts w:ascii="Arial" w:hAnsi="Arial" w:cs="Arial"/>
          <w:lang w:val="en-US"/>
        </w:rPr>
        <w:t xml:space="preserve"> </w:t>
      </w:r>
    </w:p>
    <w:p w14:paraId="65CFD92D" w14:textId="77777777" w:rsidR="00F0491F" w:rsidRPr="00F0491F" w:rsidRDefault="00F0491F" w:rsidP="00F0491F">
      <w:pPr>
        <w:pStyle w:val="ListParagraph"/>
        <w:rPr>
          <w:rFonts w:ascii="Arial" w:hAnsi="Arial" w:cs="Arial"/>
        </w:rPr>
      </w:pPr>
    </w:p>
    <w:p w14:paraId="5F408C4B" w14:textId="77777777" w:rsidR="00F0491F" w:rsidRDefault="00F0491F" w:rsidP="00F0491F">
      <w:pPr>
        <w:pStyle w:val="ListParagraph"/>
        <w:numPr>
          <w:ilvl w:val="0"/>
          <w:numId w:val="1"/>
        </w:numPr>
        <w:spacing w:line="480" w:lineRule="auto"/>
        <w:jc w:val="both"/>
        <w:rPr>
          <w:rFonts w:ascii="Arial" w:hAnsi="Arial" w:cs="Arial"/>
        </w:rPr>
      </w:pPr>
      <w:r>
        <w:rPr>
          <w:rFonts w:ascii="Arial" w:hAnsi="Arial" w:cs="Arial"/>
        </w:rPr>
        <w:t xml:space="preserve">Mr Hamman pointed out that the recommendations of the Military Ombud include matters related to the conditions of service of members of the SANDF. He submitted that this is important because members of the SANDF have Constitutional rights, including rights as workers. However, in terms of Section 2 of the Labour Relations Act (Act 66 of 1995) and Section 3 of the Basic </w:t>
      </w:r>
      <w:r>
        <w:rPr>
          <w:rFonts w:ascii="Arial" w:hAnsi="Arial" w:cs="Arial"/>
        </w:rPr>
        <w:lastRenderedPageBreak/>
        <w:t>Conditions of Employment Act (Act 75 of 1997), those statutes do not apply to members of the SANDF. Accordingly, Mr Hamman submitted that members of the SANDF needed to exercise their rights as workers through the Office of the Military Ombud.</w:t>
      </w:r>
    </w:p>
    <w:p w14:paraId="4A52FA48" w14:textId="77777777" w:rsidR="00F0491F" w:rsidRPr="00C514FC" w:rsidRDefault="00F0491F" w:rsidP="00F0491F">
      <w:pPr>
        <w:pStyle w:val="ListParagraph"/>
        <w:rPr>
          <w:rFonts w:ascii="Arial" w:hAnsi="Arial" w:cs="Arial"/>
        </w:rPr>
      </w:pPr>
    </w:p>
    <w:p w14:paraId="6C586F40" w14:textId="77777777" w:rsidR="00F0491F" w:rsidRDefault="00F0491F" w:rsidP="00F0491F">
      <w:pPr>
        <w:pStyle w:val="ListParagraph"/>
        <w:numPr>
          <w:ilvl w:val="0"/>
          <w:numId w:val="1"/>
        </w:numPr>
        <w:spacing w:line="480" w:lineRule="auto"/>
        <w:jc w:val="both"/>
        <w:rPr>
          <w:rFonts w:ascii="Arial" w:hAnsi="Arial" w:cs="Arial"/>
        </w:rPr>
      </w:pPr>
      <w:r>
        <w:rPr>
          <w:rFonts w:ascii="Arial" w:hAnsi="Arial" w:cs="Arial"/>
        </w:rPr>
        <w:t xml:space="preserve">These submissions overlook the provisions of Chapter 9 of the Defence Act. That Chapter deals with employment in the SANDF. Section 61 provides for procedures for the redress of grievances. </w:t>
      </w:r>
    </w:p>
    <w:p w14:paraId="17B0D4F3" w14:textId="77777777" w:rsidR="00F0491F" w:rsidRPr="00AA2CF9" w:rsidRDefault="00F0491F" w:rsidP="00F0491F">
      <w:pPr>
        <w:pStyle w:val="ListParagraph"/>
        <w:rPr>
          <w:rFonts w:ascii="Arial" w:hAnsi="Arial" w:cs="Arial"/>
        </w:rPr>
      </w:pPr>
    </w:p>
    <w:p w14:paraId="75E63AED" w14:textId="77777777" w:rsidR="00F0491F" w:rsidRPr="00E86713" w:rsidRDefault="00F0491F" w:rsidP="00F0491F">
      <w:pPr>
        <w:pStyle w:val="ListParagraph"/>
        <w:numPr>
          <w:ilvl w:val="0"/>
          <w:numId w:val="1"/>
        </w:numPr>
        <w:spacing w:line="480" w:lineRule="auto"/>
        <w:jc w:val="both"/>
        <w:rPr>
          <w:rFonts w:ascii="Arial" w:hAnsi="Arial" w:cs="Arial"/>
        </w:rPr>
      </w:pPr>
      <w:r>
        <w:rPr>
          <w:rFonts w:ascii="Arial" w:hAnsi="Arial" w:cs="Arial"/>
        </w:rPr>
        <w:t>Pursuant to Section 61, the Minister promulgated the Individual Grievances Regulations Regulations, 2016.</w:t>
      </w:r>
      <w:r>
        <w:rPr>
          <w:rStyle w:val="FootnoteReference"/>
          <w:rFonts w:ascii="Arial" w:hAnsi="Arial" w:cs="Arial"/>
        </w:rPr>
        <w:footnoteReference w:id="13"/>
      </w:r>
    </w:p>
    <w:p w14:paraId="1C6F8F56" w14:textId="77777777" w:rsidR="00F0491F" w:rsidRPr="00E86713" w:rsidRDefault="00F0491F" w:rsidP="00F0491F">
      <w:pPr>
        <w:pStyle w:val="ListParagraph"/>
        <w:rPr>
          <w:rFonts w:ascii="Arial" w:hAnsi="Arial" w:cs="Arial"/>
        </w:rPr>
      </w:pPr>
    </w:p>
    <w:p w14:paraId="7EDA85D1" w14:textId="4453903A" w:rsidR="00F0491F" w:rsidRPr="00EE4D9D" w:rsidRDefault="00F0491F" w:rsidP="00F0491F">
      <w:pPr>
        <w:pStyle w:val="ListParagraph"/>
        <w:numPr>
          <w:ilvl w:val="0"/>
          <w:numId w:val="1"/>
        </w:numPr>
        <w:spacing w:line="480" w:lineRule="auto"/>
        <w:jc w:val="both"/>
        <w:rPr>
          <w:rFonts w:ascii="Arial" w:hAnsi="Arial" w:cs="Arial"/>
        </w:rPr>
      </w:pPr>
      <w:r>
        <w:rPr>
          <w:rFonts w:ascii="Arial" w:hAnsi="Arial" w:cs="Arial"/>
          <w:lang w:val="en-US"/>
        </w:rPr>
        <w:t>Significantly, Regulation 3 provides: “</w:t>
      </w:r>
      <w:r w:rsidRPr="00A111DD">
        <w:rPr>
          <w:rFonts w:ascii="Arial" w:hAnsi="Arial" w:cs="Arial"/>
          <w:i/>
          <w:iCs/>
          <w:lang w:val="en-US"/>
        </w:rPr>
        <w:t>A member or employee must address an individual grievance through his or her chain of command</w:t>
      </w:r>
      <w:r>
        <w:rPr>
          <w:rFonts w:ascii="Arial" w:hAnsi="Arial" w:cs="Arial"/>
          <w:lang w:val="en-US"/>
        </w:rPr>
        <w:t xml:space="preserve"> …”</w:t>
      </w:r>
    </w:p>
    <w:p w14:paraId="699C2323" w14:textId="77777777" w:rsidR="00EE4D9D" w:rsidRPr="00EE4D9D" w:rsidRDefault="00EE4D9D" w:rsidP="00EE4D9D">
      <w:pPr>
        <w:pStyle w:val="ListParagraph"/>
        <w:rPr>
          <w:rFonts w:ascii="Arial" w:hAnsi="Arial" w:cs="Arial"/>
        </w:rPr>
      </w:pPr>
    </w:p>
    <w:p w14:paraId="54D0CED8" w14:textId="0EBC2897" w:rsidR="00EE4D9D" w:rsidRDefault="00EE4D9D" w:rsidP="00F0491F">
      <w:pPr>
        <w:pStyle w:val="ListParagraph"/>
        <w:numPr>
          <w:ilvl w:val="0"/>
          <w:numId w:val="1"/>
        </w:numPr>
        <w:spacing w:line="480" w:lineRule="auto"/>
        <w:jc w:val="both"/>
        <w:rPr>
          <w:rFonts w:ascii="Arial" w:hAnsi="Arial" w:cs="Arial"/>
        </w:rPr>
      </w:pPr>
      <w:r>
        <w:rPr>
          <w:rFonts w:ascii="Arial" w:hAnsi="Arial" w:cs="Arial"/>
        </w:rPr>
        <w:t xml:space="preserve">Mr Davids mentions in passing in his founding affidavit that he lodged a grievance. He acknowledges that he was in fact promoted to WO2 on 1 November 2018. From the report of the Military Ombud, it appears that the grievance was lodged on 3 August 2012. </w:t>
      </w:r>
      <w:r w:rsidR="00F575A3">
        <w:rPr>
          <w:rFonts w:ascii="Arial" w:hAnsi="Arial" w:cs="Arial"/>
        </w:rPr>
        <w:t>On 10 March 2017, the Grievance Board considered his grievance and concluded that a WO2 post should be found for Mr Davids. It is accordingly reasonable to infer that the grievance procedure did have a positive outcome, albeit that Mr Davids did not get all he sought.</w:t>
      </w:r>
    </w:p>
    <w:p w14:paraId="0BCF5658" w14:textId="77777777" w:rsidR="00F575A3" w:rsidRPr="00F575A3" w:rsidRDefault="00F575A3" w:rsidP="00F575A3">
      <w:pPr>
        <w:pStyle w:val="ListParagraph"/>
        <w:rPr>
          <w:rFonts w:ascii="Arial" w:hAnsi="Arial" w:cs="Arial"/>
        </w:rPr>
      </w:pPr>
    </w:p>
    <w:p w14:paraId="636DF14F" w14:textId="729181BC" w:rsidR="00F575A3" w:rsidRDefault="00F575A3" w:rsidP="00F0491F">
      <w:pPr>
        <w:pStyle w:val="ListParagraph"/>
        <w:numPr>
          <w:ilvl w:val="0"/>
          <w:numId w:val="1"/>
        </w:numPr>
        <w:spacing w:line="480" w:lineRule="auto"/>
        <w:jc w:val="both"/>
        <w:rPr>
          <w:rFonts w:ascii="Arial" w:hAnsi="Arial" w:cs="Arial"/>
        </w:rPr>
      </w:pPr>
      <w:r>
        <w:rPr>
          <w:rFonts w:ascii="Arial" w:hAnsi="Arial" w:cs="Arial"/>
        </w:rPr>
        <w:t>I do not address the findings of the Grievance Board or the enforceability of its decisions because that is not Mr Davids’ c</w:t>
      </w:r>
      <w:r w:rsidR="009F3536">
        <w:rPr>
          <w:rFonts w:ascii="Arial" w:hAnsi="Arial" w:cs="Arial"/>
        </w:rPr>
        <w:t>ase as advanced in his application</w:t>
      </w:r>
      <w:r>
        <w:rPr>
          <w:rFonts w:ascii="Arial" w:hAnsi="Arial" w:cs="Arial"/>
        </w:rPr>
        <w:t>.</w:t>
      </w:r>
    </w:p>
    <w:p w14:paraId="0096BA5C" w14:textId="77777777" w:rsidR="00F575A3" w:rsidRPr="00F575A3" w:rsidRDefault="00F575A3" w:rsidP="00F575A3">
      <w:pPr>
        <w:pStyle w:val="ListParagraph"/>
        <w:rPr>
          <w:rFonts w:ascii="Arial" w:hAnsi="Arial" w:cs="Arial"/>
        </w:rPr>
      </w:pPr>
    </w:p>
    <w:p w14:paraId="246CE4EA" w14:textId="27F9C092" w:rsidR="00F575A3" w:rsidRPr="00517C2C" w:rsidRDefault="00F575A3" w:rsidP="00F0491F">
      <w:pPr>
        <w:pStyle w:val="ListParagraph"/>
        <w:numPr>
          <w:ilvl w:val="0"/>
          <w:numId w:val="1"/>
        </w:numPr>
        <w:spacing w:line="480" w:lineRule="auto"/>
        <w:jc w:val="both"/>
        <w:rPr>
          <w:rFonts w:ascii="Arial" w:hAnsi="Arial" w:cs="Arial"/>
        </w:rPr>
      </w:pPr>
      <w:r>
        <w:rPr>
          <w:rFonts w:ascii="Arial" w:hAnsi="Arial" w:cs="Arial"/>
        </w:rPr>
        <w:lastRenderedPageBreak/>
        <w:t>However, the existence of the grievance procedure is part of the context in which the Military Ombud Act must be interpreted.</w:t>
      </w:r>
    </w:p>
    <w:p w14:paraId="204CB03E" w14:textId="77777777" w:rsidR="00F0491F" w:rsidRPr="00517C2C" w:rsidRDefault="00F0491F" w:rsidP="00F0491F">
      <w:pPr>
        <w:pStyle w:val="ListParagraph"/>
        <w:rPr>
          <w:rFonts w:ascii="Arial" w:hAnsi="Arial" w:cs="Arial"/>
        </w:rPr>
      </w:pPr>
    </w:p>
    <w:p w14:paraId="3912042E" w14:textId="5D939B62" w:rsidR="00F0491F" w:rsidRPr="00AA2CF9" w:rsidRDefault="00F0491F" w:rsidP="00F0491F">
      <w:pPr>
        <w:pStyle w:val="ListParagraph"/>
        <w:numPr>
          <w:ilvl w:val="0"/>
          <w:numId w:val="1"/>
        </w:numPr>
        <w:spacing w:line="480" w:lineRule="auto"/>
        <w:jc w:val="both"/>
        <w:rPr>
          <w:rFonts w:ascii="Arial" w:hAnsi="Arial" w:cs="Arial"/>
        </w:rPr>
      </w:pPr>
      <w:r>
        <w:rPr>
          <w:rFonts w:ascii="Arial" w:hAnsi="Arial" w:cs="Arial"/>
        </w:rPr>
        <w:t xml:space="preserve">Section 82(1)(n) of the Defence Act provides that the Minister may make regulations relating to </w:t>
      </w:r>
      <w:r w:rsidRPr="00332326">
        <w:rPr>
          <w:rFonts w:ascii="Arial" w:hAnsi="Arial" w:cs="Arial"/>
        </w:rPr>
        <w:t xml:space="preserve">labour relations between members of the </w:t>
      </w:r>
      <w:r>
        <w:rPr>
          <w:rFonts w:ascii="Arial" w:hAnsi="Arial" w:cs="Arial"/>
        </w:rPr>
        <w:t>SANDF</w:t>
      </w:r>
      <w:r w:rsidRPr="00332326">
        <w:rPr>
          <w:rFonts w:ascii="Arial" w:hAnsi="Arial" w:cs="Arial"/>
        </w:rPr>
        <w:t xml:space="preserve"> or any auxiliary service and the State as their employer</w:t>
      </w:r>
      <w:r>
        <w:rPr>
          <w:rFonts w:ascii="Arial" w:hAnsi="Arial" w:cs="Arial"/>
        </w:rPr>
        <w:t xml:space="preserve">. In fact, those regulations were already promulgated under the old Defence Act. On 20 August 1999, following the Constitutional Court’s decision in </w:t>
      </w:r>
      <w:r>
        <w:rPr>
          <w:rFonts w:ascii="Arial" w:hAnsi="Arial" w:cs="Arial"/>
          <w:b/>
          <w:bCs/>
        </w:rPr>
        <w:t>SANDU</w:t>
      </w:r>
      <w:r>
        <w:rPr>
          <w:rFonts w:ascii="Arial" w:hAnsi="Arial" w:cs="Arial"/>
        </w:rPr>
        <w:t xml:space="preserve">,  </w:t>
      </w:r>
      <w:r w:rsidRPr="00AA2CF9">
        <w:rPr>
          <w:rFonts w:ascii="Arial" w:hAnsi="Arial" w:cs="Arial"/>
        </w:rPr>
        <w:t>the Minister issued regulations to regulate labour relations in the SANDF</w:t>
      </w:r>
      <w:r>
        <w:rPr>
          <w:rFonts w:ascii="Arial" w:hAnsi="Arial" w:cs="Arial"/>
        </w:rPr>
        <w:t xml:space="preserve"> by inserting a new</w:t>
      </w:r>
      <w:r w:rsidRPr="00AA2CF9">
        <w:rPr>
          <w:rFonts w:ascii="Arial" w:hAnsi="Arial" w:cs="Arial"/>
        </w:rPr>
        <w:t xml:space="preserve"> </w:t>
      </w:r>
      <w:r>
        <w:rPr>
          <w:rFonts w:ascii="Arial" w:hAnsi="Arial" w:cs="Arial"/>
        </w:rPr>
        <w:t>C</w:t>
      </w:r>
      <w:r w:rsidRPr="00AA2CF9">
        <w:rPr>
          <w:rFonts w:ascii="Arial" w:hAnsi="Arial" w:cs="Arial"/>
        </w:rPr>
        <w:t xml:space="preserve">hapter XX </w:t>
      </w:r>
      <w:r>
        <w:rPr>
          <w:rFonts w:ascii="Arial" w:hAnsi="Arial" w:cs="Arial"/>
        </w:rPr>
        <w:t>in</w:t>
      </w:r>
      <w:r w:rsidRPr="00AA2CF9">
        <w:rPr>
          <w:rFonts w:ascii="Arial" w:hAnsi="Arial" w:cs="Arial"/>
        </w:rPr>
        <w:t xml:space="preserve"> the General Regulations of the South African National Defence Force and the Reserve</w:t>
      </w:r>
      <w:r>
        <w:rPr>
          <w:rFonts w:ascii="Arial" w:hAnsi="Arial" w:cs="Arial"/>
        </w:rPr>
        <w:t>.</w:t>
      </w:r>
      <w:r>
        <w:rPr>
          <w:rStyle w:val="FootnoteReference"/>
          <w:rFonts w:ascii="Arial" w:hAnsi="Arial" w:cs="Arial"/>
        </w:rPr>
        <w:footnoteReference w:id="14"/>
      </w:r>
      <w:r w:rsidR="00F575A3">
        <w:rPr>
          <w:rFonts w:ascii="Arial" w:hAnsi="Arial" w:cs="Arial"/>
        </w:rPr>
        <w:t xml:space="preserve"> Those regulations are still in force.</w:t>
      </w:r>
    </w:p>
    <w:p w14:paraId="03372165" w14:textId="77777777" w:rsidR="00F0491F" w:rsidRPr="00722EE6" w:rsidRDefault="00F0491F" w:rsidP="00F0491F">
      <w:pPr>
        <w:pStyle w:val="ListParagraph"/>
        <w:rPr>
          <w:rFonts w:ascii="Arial" w:hAnsi="Arial" w:cs="Arial"/>
        </w:rPr>
      </w:pPr>
    </w:p>
    <w:p w14:paraId="7508DA82" w14:textId="77777777" w:rsidR="00F0491F" w:rsidRDefault="00F0491F" w:rsidP="00F0491F">
      <w:pPr>
        <w:pStyle w:val="ListParagraph"/>
        <w:numPr>
          <w:ilvl w:val="0"/>
          <w:numId w:val="1"/>
        </w:numPr>
        <w:spacing w:line="480" w:lineRule="auto"/>
        <w:jc w:val="both"/>
        <w:rPr>
          <w:rFonts w:ascii="Arial" w:hAnsi="Arial" w:cs="Arial"/>
        </w:rPr>
      </w:pPr>
      <w:r>
        <w:rPr>
          <w:rFonts w:ascii="Arial" w:hAnsi="Arial" w:cs="Arial"/>
        </w:rPr>
        <w:t xml:space="preserve">Accordingly, just as the </w:t>
      </w:r>
      <w:r w:rsidRPr="007F5BF1">
        <w:rPr>
          <w:rFonts w:ascii="Arial" w:hAnsi="Arial" w:cs="Arial"/>
        </w:rPr>
        <w:t xml:space="preserve">Military Discipline Supplementary Measures Act </w:t>
      </w:r>
      <w:r>
        <w:rPr>
          <w:rFonts w:ascii="Arial" w:hAnsi="Arial" w:cs="Arial"/>
        </w:rPr>
        <w:t xml:space="preserve">(Act </w:t>
      </w:r>
      <w:r w:rsidRPr="007F5BF1">
        <w:rPr>
          <w:rFonts w:ascii="Arial" w:hAnsi="Arial" w:cs="Arial"/>
        </w:rPr>
        <w:t>16 of 1999</w:t>
      </w:r>
      <w:r>
        <w:rPr>
          <w:rFonts w:ascii="Arial" w:hAnsi="Arial" w:cs="Arial"/>
        </w:rPr>
        <w:t>) provides for a separate system of Military Courts, the Defence Act and the Regulations promulgated in terms of the Defence Act provide for a separate system of labour relations for members of the SANDF. The reason for this is clear: whilst members of the SANDF have rights in terms of the Constitution, these rights must be balanced with the need for discipline and for maintenance of the chain of command.</w:t>
      </w:r>
    </w:p>
    <w:p w14:paraId="6FB39D9E" w14:textId="77777777" w:rsidR="00F0491F" w:rsidRPr="006D0C85" w:rsidRDefault="00F0491F" w:rsidP="00F0491F">
      <w:pPr>
        <w:pStyle w:val="ListParagraph"/>
        <w:rPr>
          <w:rFonts w:ascii="Arial" w:hAnsi="Arial" w:cs="Arial"/>
        </w:rPr>
      </w:pPr>
    </w:p>
    <w:p w14:paraId="1A6312AB" w14:textId="02BCEAA7" w:rsidR="00F0491F" w:rsidRDefault="00F0491F" w:rsidP="00F0491F">
      <w:pPr>
        <w:pStyle w:val="ListParagraph"/>
        <w:numPr>
          <w:ilvl w:val="0"/>
          <w:numId w:val="1"/>
        </w:numPr>
        <w:spacing w:line="480" w:lineRule="auto"/>
        <w:jc w:val="both"/>
        <w:rPr>
          <w:rFonts w:ascii="Arial" w:hAnsi="Arial" w:cs="Arial"/>
        </w:rPr>
      </w:pPr>
      <w:r>
        <w:rPr>
          <w:rFonts w:ascii="Arial" w:hAnsi="Arial" w:cs="Arial"/>
        </w:rPr>
        <w:t>The Military Ombud Act is accordingly not the primary instrument dealing with labour relations in the SANDF.</w:t>
      </w:r>
    </w:p>
    <w:p w14:paraId="460B6E08" w14:textId="77777777" w:rsidR="00F575A3" w:rsidRPr="00F575A3" w:rsidRDefault="00F575A3" w:rsidP="00F575A3">
      <w:pPr>
        <w:pStyle w:val="ListParagraph"/>
        <w:rPr>
          <w:rFonts w:ascii="Arial" w:hAnsi="Arial" w:cs="Arial"/>
        </w:rPr>
      </w:pPr>
    </w:p>
    <w:p w14:paraId="3F8457FF" w14:textId="3E25D126" w:rsidR="00F575A3" w:rsidRPr="00916598" w:rsidRDefault="00F575A3" w:rsidP="00D26ADB">
      <w:pPr>
        <w:pStyle w:val="ListParagraph"/>
        <w:numPr>
          <w:ilvl w:val="0"/>
          <w:numId w:val="1"/>
        </w:numPr>
        <w:spacing w:line="480" w:lineRule="auto"/>
        <w:jc w:val="both"/>
        <w:rPr>
          <w:rFonts w:ascii="Arial" w:hAnsi="Arial" w:cs="Arial"/>
        </w:rPr>
      </w:pPr>
      <w:r w:rsidRPr="00F575A3">
        <w:rPr>
          <w:rFonts w:ascii="Arial" w:hAnsi="Arial" w:cs="Arial"/>
        </w:rPr>
        <w:t xml:space="preserve">I can find nothing in the constitutional and legislative context that points to the need for the Military Ombud’s recommendations to be binding on the Minister. </w:t>
      </w:r>
      <w:r w:rsidRPr="00F575A3">
        <w:rPr>
          <w:rFonts w:ascii="Arial" w:hAnsi="Arial" w:cs="Arial"/>
        </w:rPr>
        <w:lastRenderedPageBreak/>
        <w:t xml:space="preserve">On the contrary, </w:t>
      </w:r>
      <w:r w:rsidR="00E639B8" w:rsidRPr="00F575A3">
        <w:rPr>
          <w:rFonts w:ascii="Arial" w:hAnsi="Arial" w:cs="Arial"/>
          <w:lang w:val="en-US"/>
        </w:rPr>
        <w:t xml:space="preserve">the </w:t>
      </w:r>
      <w:r w:rsidR="0032241F" w:rsidRPr="00F575A3">
        <w:rPr>
          <w:rFonts w:ascii="Arial" w:hAnsi="Arial" w:cs="Arial"/>
          <w:lang w:val="en-US"/>
        </w:rPr>
        <w:t>Military Ombud Act create</w:t>
      </w:r>
      <w:r>
        <w:rPr>
          <w:rFonts w:ascii="Arial" w:hAnsi="Arial" w:cs="Arial"/>
          <w:lang w:val="en-US"/>
        </w:rPr>
        <w:t>s</w:t>
      </w:r>
      <w:r w:rsidR="0032241F" w:rsidRPr="00F575A3">
        <w:rPr>
          <w:rFonts w:ascii="Arial" w:hAnsi="Arial" w:cs="Arial"/>
          <w:lang w:val="en-US"/>
        </w:rPr>
        <w:t xml:space="preserve"> a structure outside the chain of command</w:t>
      </w:r>
      <w:r>
        <w:rPr>
          <w:rFonts w:ascii="Arial" w:hAnsi="Arial" w:cs="Arial"/>
          <w:lang w:val="en-US"/>
        </w:rPr>
        <w:t xml:space="preserve"> that is not mandated by the Constitution</w:t>
      </w:r>
      <w:r w:rsidR="0032241F" w:rsidRPr="00F575A3">
        <w:rPr>
          <w:rFonts w:ascii="Arial" w:hAnsi="Arial" w:cs="Arial"/>
          <w:lang w:val="en-US"/>
        </w:rPr>
        <w:t xml:space="preserve">. </w:t>
      </w:r>
      <w:r>
        <w:rPr>
          <w:rFonts w:ascii="Arial" w:hAnsi="Arial" w:cs="Arial"/>
          <w:lang w:val="en-US"/>
        </w:rPr>
        <w:t>That structure is created in the context of structures created by other statutes that exist within the chain of command and that deal with conditions of service of members.</w:t>
      </w:r>
    </w:p>
    <w:p w14:paraId="55DB96A0" w14:textId="77777777" w:rsidR="00916598" w:rsidRPr="00916598" w:rsidRDefault="00916598" w:rsidP="00916598">
      <w:pPr>
        <w:pStyle w:val="ListParagraph"/>
        <w:rPr>
          <w:rFonts w:ascii="Arial" w:hAnsi="Arial" w:cs="Arial"/>
        </w:rPr>
      </w:pPr>
    </w:p>
    <w:p w14:paraId="4BD56DA1" w14:textId="1B30E6CA" w:rsidR="00916598" w:rsidRPr="00916598" w:rsidRDefault="00916598" w:rsidP="00916598">
      <w:pPr>
        <w:spacing w:line="480" w:lineRule="auto"/>
        <w:jc w:val="both"/>
        <w:rPr>
          <w:rFonts w:ascii="Arial" w:hAnsi="Arial" w:cs="Arial"/>
          <w:b/>
          <w:bCs/>
        </w:rPr>
      </w:pPr>
      <w:r>
        <w:rPr>
          <w:rFonts w:ascii="Arial" w:hAnsi="Arial" w:cs="Arial"/>
          <w:b/>
          <w:bCs/>
        </w:rPr>
        <w:t>The scheme of the statute</w:t>
      </w:r>
    </w:p>
    <w:p w14:paraId="5330AE66" w14:textId="77777777" w:rsidR="00F575A3" w:rsidRPr="00F575A3" w:rsidRDefault="00F575A3" w:rsidP="00F575A3">
      <w:pPr>
        <w:pStyle w:val="ListParagraph"/>
        <w:rPr>
          <w:rFonts w:ascii="Arial" w:hAnsi="Arial" w:cs="Arial"/>
          <w:lang w:val="en-US"/>
        </w:rPr>
      </w:pPr>
    </w:p>
    <w:p w14:paraId="4B5D45AC" w14:textId="477B2001" w:rsidR="00840803" w:rsidRDefault="007F5BF1" w:rsidP="00D7249D">
      <w:pPr>
        <w:pStyle w:val="ListParagraph"/>
        <w:numPr>
          <w:ilvl w:val="0"/>
          <w:numId w:val="1"/>
        </w:numPr>
        <w:spacing w:line="480" w:lineRule="auto"/>
        <w:jc w:val="both"/>
        <w:rPr>
          <w:rFonts w:ascii="Arial" w:hAnsi="Arial" w:cs="Arial"/>
        </w:rPr>
      </w:pPr>
      <w:r>
        <w:rPr>
          <w:rFonts w:ascii="Arial" w:hAnsi="Arial" w:cs="Arial"/>
        </w:rPr>
        <w:t xml:space="preserve">The Military Ombud is a creature of statute. </w:t>
      </w:r>
      <w:r w:rsidRPr="007F5BF1">
        <w:rPr>
          <w:rFonts w:ascii="Arial" w:hAnsi="Arial" w:cs="Arial"/>
          <w:lang w:val="en-US"/>
        </w:rPr>
        <w:t xml:space="preserve">In accordance with the doctrine of legality, </w:t>
      </w:r>
      <w:r>
        <w:rPr>
          <w:rFonts w:ascii="Arial" w:hAnsi="Arial" w:cs="Arial"/>
          <w:lang w:val="en-US"/>
        </w:rPr>
        <w:t>the Military Ombud’s</w:t>
      </w:r>
      <w:r w:rsidRPr="007F5BF1">
        <w:rPr>
          <w:rFonts w:ascii="Arial" w:hAnsi="Arial" w:cs="Arial"/>
          <w:lang w:val="en-US"/>
        </w:rPr>
        <w:t xml:space="preserve"> jurisdictional powers </w:t>
      </w:r>
      <w:r>
        <w:rPr>
          <w:rFonts w:ascii="Arial" w:hAnsi="Arial" w:cs="Arial"/>
          <w:lang w:val="en-US"/>
        </w:rPr>
        <w:t xml:space="preserve">are to be found </w:t>
      </w:r>
      <w:r w:rsidRPr="007F5BF1">
        <w:rPr>
          <w:rFonts w:ascii="Arial" w:hAnsi="Arial" w:cs="Arial"/>
          <w:lang w:val="en-US"/>
        </w:rPr>
        <w:t xml:space="preserve">within the empowering legislation: the correct legal approach under our constitutional dispensation is not to ask what </w:t>
      </w:r>
      <w:r w:rsidR="00D92CE0">
        <w:rPr>
          <w:rFonts w:ascii="Arial" w:hAnsi="Arial" w:cs="Arial"/>
          <w:lang w:val="en-US"/>
        </w:rPr>
        <w:t>the Military Ombud is</w:t>
      </w:r>
      <w:r w:rsidRPr="007F5BF1">
        <w:rPr>
          <w:rFonts w:ascii="Arial" w:hAnsi="Arial" w:cs="Arial"/>
          <w:lang w:val="en-US"/>
        </w:rPr>
        <w:t xml:space="preserve"> prohibited </w:t>
      </w:r>
      <w:r w:rsidR="00D92CE0">
        <w:rPr>
          <w:rFonts w:ascii="Arial" w:hAnsi="Arial" w:cs="Arial"/>
          <w:lang w:val="en-US"/>
        </w:rPr>
        <w:t xml:space="preserve">from doing by the enabling statute, but to </w:t>
      </w:r>
      <w:r w:rsidRPr="007F5BF1">
        <w:rPr>
          <w:rFonts w:ascii="Arial" w:hAnsi="Arial" w:cs="Arial"/>
          <w:lang w:val="en-US"/>
        </w:rPr>
        <w:t>ask what is authori</w:t>
      </w:r>
      <w:r w:rsidR="00D92CE0">
        <w:rPr>
          <w:rFonts w:ascii="Arial" w:hAnsi="Arial" w:cs="Arial"/>
          <w:lang w:val="en-US"/>
        </w:rPr>
        <w:t>s</w:t>
      </w:r>
      <w:r w:rsidRPr="007F5BF1">
        <w:rPr>
          <w:rFonts w:ascii="Arial" w:hAnsi="Arial" w:cs="Arial"/>
          <w:lang w:val="en-US"/>
        </w:rPr>
        <w:t xml:space="preserve">ed or permitted </w:t>
      </w:r>
      <w:r w:rsidR="00D92CE0">
        <w:rPr>
          <w:rFonts w:ascii="Arial" w:hAnsi="Arial" w:cs="Arial"/>
          <w:lang w:val="en-US"/>
        </w:rPr>
        <w:t>by the enabling statute.</w:t>
      </w:r>
      <w:r w:rsidR="00D92CE0">
        <w:rPr>
          <w:rStyle w:val="FootnoteReference"/>
          <w:rFonts w:ascii="Arial" w:hAnsi="Arial" w:cs="Arial"/>
          <w:lang w:val="en-US"/>
        </w:rPr>
        <w:footnoteReference w:id="15"/>
      </w:r>
    </w:p>
    <w:p w14:paraId="78C32C0C" w14:textId="77777777" w:rsidR="00840803" w:rsidRDefault="00840803" w:rsidP="00840803">
      <w:pPr>
        <w:pStyle w:val="ListParagraph"/>
        <w:ind w:left="567"/>
        <w:jc w:val="both"/>
        <w:rPr>
          <w:rFonts w:ascii="Arial" w:hAnsi="Arial" w:cs="Arial"/>
        </w:rPr>
      </w:pPr>
    </w:p>
    <w:p w14:paraId="605181F8" w14:textId="2EF9EDFE" w:rsidR="00840803" w:rsidRDefault="00D92CE0" w:rsidP="00D7249D">
      <w:pPr>
        <w:pStyle w:val="ListParagraph"/>
        <w:numPr>
          <w:ilvl w:val="0"/>
          <w:numId w:val="1"/>
        </w:numPr>
        <w:spacing w:line="480" w:lineRule="auto"/>
        <w:jc w:val="both"/>
        <w:rPr>
          <w:rFonts w:ascii="Arial" w:hAnsi="Arial" w:cs="Arial"/>
        </w:rPr>
      </w:pPr>
      <w:r>
        <w:rPr>
          <w:rFonts w:ascii="Arial" w:hAnsi="Arial" w:cs="Arial"/>
        </w:rPr>
        <w:t>The long title of the Military Ombud Act records that the purpose of the statute includes providing for the establishment of an independent Office of the Military Ombud and providing for the appointment and functions of the Military Ombud.</w:t>
      </w:r>
    </w:p>
    <w:p w14:paraId="43D0E919" w14:textId="77777777" w:rsidR="00D92CE0" w:rsidRPr="00D92CE0" w:rsidRDefault="00D92CE0" w:rsidP="00D92CE0">
      <w:pPr>
        <w:pStyle w:val="ListParagraph"/>
        <w:rPr>
          <w:rFonts w:ascii="Arial" w:hAnsi="Arial" w:cs="Arial"/>
        </w:rPr>
      </w:pPr>
    </w:p>
    <w:p w14:paraId="452BFE8B" w14:textId="3F4CE2DC" w:rsidR="00D92CE0" w:rsidRDefault="00123FFE" w:rsidP="00D7249D">
      <w:pPr>
        <w:pStyle w:val="ListParagraph"/>
        <w:numPr>
          <w:ilvl w:val="0"/>
          <w:numId w:val="1"/>
        </w:numPr>
        <w:spacing w:line="480" w:lineRule="auto"/>
        <w:jc w:val="both"/>
        <w:rPr>
          <w:rFonts w:ascii="Arial" w:hAnsi="Arial" w:cs="Arial"/>
        </w:rPr>
      </w:pPr>
      <w:r>
        <w:rPr>
          <w:rFonts w:ascii="Arial" w:hAnsi="Arial" w:cs="Arial"/>
        </w:rPr>
        <w:t>Section 3 provides that the</w:t>
      </w:r>
      <w:r w:rsidR="00D92CE0">
        <w:rPr>
          <w:rFonts w:ascii="Arial" w:hAnsi="Arial" w:cs="Arial"/>
        </w:rPr>
        <w:t xml:space="preserve"> object of the Office of the Military Ombud is to investigate and ensure that complaints are resolved in a fair, economical and expeditious manner. </w:t>
      </w:r>
      <w:r>
        <w:rPr>
          <w:rFonts w:ascii="Arial" w:hAnsi="Arial" w:cs="Arial"/>
        </w:rPr>
        <w:t xml:space="preserve">Its mandate is circumscribed in Section 4. Again, the mandate is limited to complaints. These can be about conditions of service or complaints from a member of the public regarding the official conduct of a member of the SANDF. </w:t>
      </w:r>
    </w:p>
    <w:p w14:paraId="5CA4C2A8" w14:textId="77777777" w:rsidR="00123FFE" w:rsidRPr="00123FFE" w:rsidRDefault="00123FFE" w:rsidP="00123FFE">
      <w:pPr>
        <w:pStyle w:val="ListParagraph"/>
        <w:rPr>
          <w:rFonts w:ascii="Arial" w:hAnsi="Arial" w:cs="Arial"/>
        </w:rPr>
      </w:pPr>
    </w:p>
    <w:p w14:paraId="03A7EFBC" w14:textId="09FA8E54" w:rsidR="00123FFE" w:rsidRDefault="00123FFE" w:rsidP="00D7249D">
      <w:pPr>
        <w:pStyle w:val="ListParagraph"/>
        <w:numPr>
          <w:ilvl w:val="0"/>
          <w:numId w:val="1"/>
        </w:numPr>
        <w:spacing w:line="480" w:lineRule="auto"/>
        <w:jc w:val="both"/>
        <w:rPr>
          <w:rFonts w:ascii="Arial" w:hAnsi="Arial" w:cs="Arial"/>
        </w:rPr>
      </w:pPr>
      <w:r>
        <w:rPr>
          <w:rFonts w:ascii="Arial" w:hAnsi="Arial" w:cs="Arial"/>
        </w:rPr>
        <w:lastRenderedPageBreak/>
        <w:t>The powers and functions of the Military Ombud are provided for in Section 6. Essentially the process commences with the lodging of a complaint in writing and is followed by investigation. In the course of the investigation, the Military Ombud may summon a person to submit evidence in writing or by appearing before the Military Ombud or produce a document. The Military Ombud may resolve any dispute by means of mediation, conciliation or negotiations or in any other expedient manner. After investigating a complaint, the Military Ombud must uphold or dismiss the complaint, or issue an alternative resolution. The Military Ombud may recommend an alternative resolution to the Minister or may refer t</w:t>
      </w:r>
      <w:r w:rsidR="009F3536">
        <w:rPr>
          <w:rFonts w:ascii="Arial" w:hAnsi="Arial" w:cs="Arial"/>
        </w:rPr>
        <w:t>he</w:t>
      </w:r>
      <w:r>
        <w:rPr>
          <w:rFonts w:ascii="Arial" w:hAnsi="Arial" w:cs="Arial"/>
        </w:rPr>
        <w:t xml:space="preserve"> complaint to the appropriate public institution for finalisation if the matter falls outside his or her jurisdiction.</w:t>
      </w:r>
    </w:p>
    <w:p w14:paraId="280677B5" w14:textId="77777777" w:rsidR="00123FFE" w:rsidRPr="00123FFE" w:rsidRDefault="00123FFE" w:rsidP="00123FFE">
      <w:pPr>
        <w:pStyle w:val="ListParagraph"/>
        <w:rPr>
          <w:rFonts w:ascii="Arial" w:hAnsi="Arial" w:cs="Arial"/>
        </w:rPr>
      </w:pPr>
    </w:p>
    <w:p w14:paraId="34D344E3" w14:textId="00814303" w:rsidR="00123FFE" w:rsidRDefault="00123FFE" w:rsidP="00D7249D">
      <w:pPr>
        <w:pStyle w:val="ListParagraph"/>
        <w:numPr>
          <w:ilvl w:val="0"/>
          <w:numId w:val="1"/>
        </w:numPr>
        <w:spacing w:line="480" w:lineRule="auto"/>
        <w:jc w:val="both"/>
        <w:rPr>
          <w:rFonts w:ascii="Arial" w:hAnsi="Arial" w:cs="Arial"/>
        </w:rPr>
      </w:pPr>
      <w:r>
        <w:rPr>
          <w:rFonts w:ascii="Arial" w:hAnsi="Arial" w:cs="Arial"/>
        </w:rPr>
        <w:t>As set out above, Section 6(8) provides that if the Military Ombud upholds the complaint, the Military Ombud must recommend the appropriate relief for implementation to the Minister. In terms of Section 6(9), the Military Ombud must inform the complainant and any other affected person of the outcome of the investigation.</w:t>
      </w:r>
    </w:p>
    <w:p w14:paraId="34C9A69B" w14:textId="77777777" w:rsidR="00123FFE" w:rsidRPr="00123FFE" w:rsidRDefault="00123FFE" w:rsidP="00123FFE">
      <w:pPr>
        <w:pStyle w:val="ListParagraph"/>
        <w:rPr>
          <w:rFonts w:ascii="Arial" w:hAnsi="Arial" w:cs="Arial"/>
        </w:rPr>
      </w:pPr>
    </w:p>
    <w:p w14:paraId="79F4861B" w14:textId="5C24198D" w:rsidR="00123FFE" w:rsidRDefault="00123FFE" w:rsidP="00D7249D">
      <w:pPr>
        <w:pStyle w:val="ListParagraph"/>
        <w:numPr>
          <w:ilvl w:val="0"/>
          <w:numId w:val="1"/>
        </w:numPr>
        <w:spacing w:line="480" w:lineRule="auto"/>
        <w:jc w:val="both"/>
        <w:rPr>
          <w:rFonts w:ascii="Arial" w:hAnsi="Arial" w:cs="Arial"/>
        </w:rPr>
      </w:pPr>
      <w:r>
        <w:rPr>
          <w:rFonts w:ascii="Arial" w:hAnsi="Arial" w:cs="Arial"/>
        </w:rPr>
        <w:t>Section 7 provides for limits on jurisdiction. Section 7(2)</w:t>
      </w:r>
      <w:r w:rsidR="00BF1FD1">
        <w:rPr>
          <w:rFonts w:ascii="Arial" w:hAnsi="Arial" w:cs="Arial"/>
        </w:rPr>
        <w:t>(a)</w:t>
      </w:r>
      <w:r>
        <w:rPr>
          <w:rFonts w:ascii="Arial" w:hAnsi="Arial" w:cs="Arial"/>
        </w:rPr>
        <w:t xml:space="preserve"> provides that the Military Ombud may refuse to investigate</w:t>
      </w:r>
      <w:r w:rsidR="00BF1FD1">
        <w:rPr>
          <w:rFonts w:ascii="Arial" w:hAnsi="Arial" w:cs="Arial"/>
        </w:rPr>
        <w:t xml:space="preserve"> a</w:t>
      </w:r>
      <w:r>
        <w:rPr>
          <w:rFonts w:ascii="Arial" w:hAnsi="Arial" w:cs="Arial"/>
        </w:rPr>
        <w:t xml:space="preserve"> complaint if, the investigation may undermine channels of command, or constitute insubordination in the SANDF.</w:t>
      </w:r>
      <w:r w:rsidR="00BF1FD1" w:rsidRPr="00BF1FD1">
        <w:rPr>
          <w:rFonts w:ascii="Arial" w:hAnsi="Arial" w:cs="Arial"/>
        </w:rPr>
        <w:t xml:space="preserve"> </w:t>
      </w:r>
      <w:r w:rsidR="00BF1FD1">
        <w:rPr>
          <w:rFonts w:ascii="Arial" w:hAnsi="Arial" w:cs="Arial"/>
        </w:rPr>
        <w:t>Section 7(2)(d) provides that the Military Ombud may refuse to investigate a complaint if the complaint ha</w:t>
      </w:r>
      <w:r w:rsidR="00E061D9">
        <w:rPr>
          <w:rFonts w:ascii="Arial" w:hAnsi="Arial" w:cs="Arial"/>
        </w:rPr>
        <w:t>s</w:t>
      </w:r>
      <w:r w:rsidR="00BF1FD1">
        <w:rPr>
          <w:rFonts w:ascii="Arial" w:hAnsi="Arial" w:cs="Arial"/>
        </w:rPr>
        <w:t xml:space="preserve"> not first used the mechanisms under the Individual Grievance Regulations.</w:t>
      </w:r>
    </w:p>
    <w:p w14:paraId="1E4CCA06" w14:textId="77777777" w:rsidR="00123FFE" w:rsidRPr="00123FFE" w:rsidRDefault="00123FFE" w:rsidP="00123FFE">
      <w:pPr>
        <w:pStyle w:val="ListParagraph"/>
        <w:rPr>
          <w:rFonts w:ascii="Arial" w:hAnsi="Arial" w:cs="Arial"/>
        </w:rPr>
      </w:pPr>
    </w:p>
    <w:p w14:paraId="594745C7" w14:textId="690219D6" w:rsidR="00123FFE" w:rsidRDefault="00BF1FD1" w:rsidP="00D7249D">
      <w:pPr>
        <w:pStyle w:val="ListParagraph"/>
        <w:numPr>
          <w:ilvl w:val="0"/>
          <w:numId w:val="1"/>
        </w:numPr>
        <w:spacing w:line="480" w:lineRule="auto"/>
        <w:jc w:val="both"/>
        <w:rPr>
          <w:rFonts w:ascii="Arial" w:hAnsi="Arial" w:cs="Arial"/>
        </w:rPr>
      </w:pPr>
      <w:r>
        <w:rPr>
          <w:rFonts w:ascii="Arial" w:hAnsi="Arial" w:cs="Arial"/>
        </w:rPr>
        <w:t>These limitations show that the legislature was well aware of the need for discipline and for maintenance of the chain of command.</w:t>
      </w:r>
    </w:p>
    <w:p w14:paraId="50760BFE" w14:textId="77777777" w:rsidR="00BF1FD1" w:rsidRPr="00BF1FD1" w:rsidRDefault="00BF1FD1" w:rsidP="00BF1FD1">
      <w:pPr>
        <w:pStyle w:val="ListParagraph"/>
        <w:rPr>
          <w:rFonts w:ascii="Arial" w:hAnsi="Arial" w:cs="Arial"/>
        </w:rPr>
      </w:pPr>
    </w:p>
    <w:p w14:paraId="10A62214" w14:textId="13981D90" w:rsidR="00BF1FD1" w:rsidRDefault="00BF1FD1" w:rsidP="00D7249D">
      <w:pPr>
        <w:pStyle w:val="ListParagraph"/>
        <w:numPr>
          <w:ilvl w:val="0"/>
          <w:numId w:val="1"/>
        </w:numPr>
        <w:spacing w:line="480" w:lineRule="auto"/>
        <w:jc w:val="both"/>
        <w:rPr>
          <w:rFonts w:ascii="Arial" w:hAnsi="Arial" w:cs="Arial"/>
        </w:rPr>
      </w:pPr>
      <w:r>
        <w:rPr>
          <w:rFonts w:ascii="Arial" w:hAnsi="Arial" w:cs="Arial"/>
        </w:rPr>
        <w:t>Mr Hamman placed reliance on Section 13. This provides that any person aggrieved by a decision of the Military Ombud may apply to the High Court for review against that decision within 180 days of the decision of the Military Ombud.</w:t>
      </w:r>
    </w:p>
    <w:p w14:paraId="5EF832F3" w14:textId="77777777" w:rsidR="00BF1FD1" w:rsidRPr="00BF1FD1" w:rsidRDefault="00BF1FD1" w:rsidP="00BF1FD1">
      <w:pPr>
        <w:pStyle w:val="ListParagraph"/>
        <w:rPr>
          <w:rFonts w:ascii="Arial" w:hAnsi="Arial" w:cs="Arial"/>
        </w:rPr>
      </w:pPr>
    </w:p>
    <w:p w14:paraId="4DB2C9E5" w14:textId="105B69F9" w:rsidR="00BF1FD1" w:rsidRDefault="00BF1FD1" w:rsidP="00D7249D">
      <w:pPr>
        <w:pStyle w:val="ListParagraph"/>
        <w:numPr>
          <w:ilvl w:val="0"/>
          <w:numId w:val="1"/>
        </w:numPr>
        <w:spacing w:line="480" w:lineRule="auto"/>
        <w:jc w:val="both"/>
        <w:rPr>
          <w:rFonts w:ascii="Arial" w:hAnsi="Arial" w:cs="Arial"/>
        </w:rPr>
      </w:pPr>
      <w:r>
        <w:rPr>
          <w:rFonts w:ascii="Arial" w:hAnsi="Arial" w:cs="Arial"/>
        </w:rPr>
        <w:t>Mr Hamman submitted that “</w:t>
      </w:r>
      <w:r>
        <w:rPr>
          <w:rFonts w:ascii="Arial" w:hAnsi="Arial" w:cs="Arial"/>
          <w:i/>
          <w:iCs/>
        </w:rPr>
        <w:t>any person</w:t>
      </w:r>
      <w:r>
        <w:rPr>
          <w:rFonts w:ascii="Arial" w:hAnsi="Arial" w:cs="Arial"/>
        </w:rPr>
        <w:t xml:space="preserve">” includes the Minister. I am prepared to accept for purposes of this judgment </w:t>
      </w:r>
      <w:r w:rsidR="009F3536">
        <w:rPr>
          <w:rFonts w:ascii="Arial" w:hAnsi="Arial" w:cs="Arial"/>
        </w:rPr>
        <w:t xml:space="preserve">that </w:t>
      </w:r>
      <w:r>
        <w:rPr>
          <w:rFonts w:ascii="Arial" w:hAnsi="Arial" w:cs="Arial"/>
        </w:rPr>
        <w:t>“</w:t>
      </w:r>
      <w:r>
        <w:rPr>
          <w:rFonts w:ascii="Arial" w:hAnsi="Arial" w:cs="Arial"/>
          <w:i/>
          <w:iCs/>
        </w:rPr>
        <w:t>any person</w:t>
      </w:r>
      <w:r>
        <w:rPr>
          <w:rFonts w:ascii="Arial" w:hAnsi="Arial" w:cs="Arial"/>
        </w:rPr>
        <w:t xml:space="preserve">” in the context of Section </w:t>
      </w:r>
      <w:r w:rsidR="009F3536">
        <w:rPr>
          <w:rFonts w:ascii="Arial" w:hAnsi="Arial" w:cs="Arial"/>
        </w:rPr>
        <w:t>13</w:t>
      </w:r>
      <w:r>
        <w:rPr>
          <w:rFonts w:ascii="Arial" w:hAnsi="Arial" w:cs="Arial"/>
        </w:rPr>
        <w:t xml:space="preserve"> can include the State and accordingly the Minister.</w:t>
      </w:r>
      <w:r>
        <w:rPr>
          <w:rStyle w:val="FootnoteReference"/>
          <w:rFonts w:ascii="Arial" w:hAnsi="Arial" w:cs="Arial"/>
        </w:rPr>
        <w:footnoteReference w:id="16"/>
      </w:r>
    </w:p>
    <w:p w14:paraId="753526DD" w14:textId="77777777" w:rsidR="00840803" w:rsidRPr="00840803" w:rsidRDefault="00840803" w:rsidP="00840803">
      <w:pPr>
        <w:pStyle w:val="ListParagraph"/>
        <w:rPr>
          <w:rFonts w:ascii="Arial" w:hAnsi="Arial" w:cs="Arial"/>
        </w:rPr>
      </w:pPr>
    </w:p>
    <w:p w14:paraId="4D1D3989" w14:textId="06C1C5D0" w:rsidR="00840803" w:rsidRDefault="00BF1FD1" w:rsidP="00D7249D">
      <w:pPr>
        <w:pStyle w:val="ListParagraph"/>
        <w:numPr>
          <w:ilvl w:val="0"/>
          <w:numId w:val="1"/>
        </w:numPr>
        <w:spacing w:line="480" w:lineRule="auto"/>
        <w:jc w:val="both"/>
        <w:rPr>
          <w:rFonts w:ascii="Arial" w:hAnsi="Arial" w:cs="Arial"/>
        </w:rPr>
      </w:pPr>
      <w:r>
        <w:rPr>
          <w:rFonts w:ascii="Arial" w:hAnsi="Arial" w:cs="Arial"/>
        </w:rPr>
        <w:t xml:space="preserve">But even if the Minister can review a decision of the Military Ombud, this does not mean that the recommendation made in terms of Section 6(8) is binding on the Minister. </w:t>
      </w:r>
      <w:r w:rsidR="009F3536">
        <w:rPr>
          <w:rFonts w:ascii="Arial" w:hAnsi="Arial" w:cs="Arial"/>
        </w:rPr>
        <w:t>A non-binding recommendation does not become binding merely because the person to whom the recommendation is made may review the decision to make the recommendation.</w:t>
      </w:r>
    </w:p>
    <w:p w14:paraId="4EC80A2D" w14:textId="77777777" w:rsidR="008B6E73" w:rsidRPr="008B6E73" w:rsidRDefault="008B6E73" w:rsidP="008B6E73">
      <w:pPr>
        <w:pStyle w:val="ListParagraph"/>
        <w:rPr>
          <w:rFonts w:ascii="Arial" w:hAnsi="Arial" w:cs="Arial"/>
        </w:rPr>
      </w:pPr>
    </w:p>
    <w:p w14:paraId="0D9F3A89" w14:textId="77777777" w:rsidR="009F3536" w:rsidRDefault="009F3536" w:rsidP="009F3536">
      <w:pPr>
        <w:pStyle w:val="ListParagraph"/>
        <w:numPr>
          <w:ilvl w:val="0"/>
          <w:numId w:val="1"/>
        </w:numPr>
        <w:spacing w:line="480" w:lineRule="auto"/>
        <w:jc w:val="both"/>
        <w:rPr>
          <w:rFonts w:ascii="Arial" w:hAnsi="Arial" w:cs="Arial"/>
        </w:rPr>
      </w:pPr>
      <w:r>
        <w:rPr>
          <w:rFonts w:ascii="Arial" w:hAnsi="Arial" w:cs="Arial"/>
        </w:rPr>
        <w:t>Section 13 refers to the decision of the Military Ombud in terms of Section 6(7). It does not refer to the recommendation to the Minister in terms of Section 6(8).</w:t>
      </w:r>
    </w:p>
    <w:p w14:paraId="30956320" w14:textId="77777777" w:rsidR="009F3536" w:rsidRPr="008B6E73" w:rsidRDefault="009F3536" w:rsidP="009F3536">
      <w:pPr>
        <w:pStyle w:val="ListParagraph"/>
        <w:rPr>
          <w:rFonts w:ascii="Arial" w:hAnsi="Arial" w:cs="Arial"/>
        </w:rPr>
      </w:pPr>
    </w:p>
    <w:p w14:paraId="73D85F2C" w14:textId="6E0895CB" w:rsidR="008B6E73" w:rsidRDefault="00BF1FD1" w:rsidP="00D7249D">
      <w:pPr>
        <w:pStyle w:val="ListParagraph"/>
        <w:numPr>
          <w:ilvl w:val="0"/>
          <w:numId w:val="1"/>
        </w:numPr>
        <w:spacing w:line="480" w:lineRule="auto"/>
        <w:jc w:val="both"/>
        <w:rPr>
          <w:rFonts w:ascii="Arial" w:hAnsi="Arial" w:cs="Arial"/>
        </w:rPr>
      </w:pPr>
      <w:r>
        <w:rPr>
          <w:rFonts w:ascii="Arial" w:hAnsi="Arial" w:cs="Arial"/>
        </w:rPr>
        <w:t xml:space="preserve">Section 6(7) provides for the various decisions that the </w:t>
      </w:r>
      <w:r w:rsidR="00525700">
        <w:rPr>
          <w:rFonts w:ascii="Arial" w:hAnsi="Arial" w:cs="Arial"/>
        </w:rPr>
        <w:t xml:space="preserve">Military Ombud is empowered to make. It is only in one scenario – where the Military Ombud decides to uphold the complaint – that the Military Ombud is then obligated in terms of Section 6(8) to recommend the appropriate relief for implementation to the Minister. Another possible decision is to recommend an alternative resolution to the Minister. </w:t>
      </w:r>
    </w:p>
    <w:p w14:paraId="2EF87BA7" w14:textId="77777777" w:rsidR="008B6E73" w:rsidRPr="008B6E73" w:rsidRDefault="008B6E73" w:rsidP="008B6E73">
      <w:pPr>
        <w:pStyle w:val="ListParagraph"/>
        <w:rPr>
          <w:rFonts w:ascii="Arial" w:hAnsi="Arial" w:cs="Arial"/>
        </w:rPr>
      </w:pPr>
    </w:p>
    <w:p w14:paraId="51C2B7B9" w14:textId="288696C0" w:rsidR="008B6E73" w:rsidRDefault="007822AA" w:rsidP="00D7249D">
      <w:pPr>
        <w:pStyle w:val="ListParagraph"/>
        <w:numPr>
          <w:ilvl w:val="0"/>
          <w:numId w:val="1"/>
        </w:numPr>
        <w:spacing w:line="480" w:lineRule="auto"/>
        <w:jc w:val="both"/>
        <w:rPr>
          <w:rFonts w:ascii="Arial" w:hAnsi="Arial" w:cs="Arial"/>
        </w:rPr>
      </w:pPr>
      <w:r>
        <w:rPr>
          <w:rFonts w:ascii="Arial" w:hAnsi="Arial" w:cs="Arial"/>
        </w:rPr>
        <w:lastRenderedPageBreak/>
        <w:t xml:space="preserve">In any event, it does not follow that merely because the decision may be reviewed that the recommendation must be binding on the Minister.  </w:t>
      </w:r>
    </w:p>
    <w:p w14:paraId="1B868855" w14:textId="77777777" w:rsidR="00007612" w:rsidRPr="00007612" w:rsidRDefault="00007612" w:rsidP="00007612">
      <w:pPr>
        <w:pStyle w:val="ListParagraph"/>
        <w:rPr>
          <w:rFonts w:ascii="Arial" w:hAnsi="Arial" w:cs="Arial"/>
        </w:rPr>
      </w:pPr>
    </w:p>
    <w:p w14:paraId="7CD28624" w14:textId="05F9DD57" w:rsidR="00007612" w:rsidRPr="00450898" w:rsidRDefault="00007612" w:rsidP="00D7249D">
      <w:pPr>
        <w:pStyle w:val="ListParagraph"/>
        <w:numPr>
          <w:ilvl w:val="0"/>
          <w:numId w:val="1"/>
        </w:numPr>
        <w:spacing w:line="480" w:lineRule="auto"/>
        <w:jc w:val="both"/>
        <w:rPr>
          <w:rFonts w:ascii="Arial" w:hAnsi="Arial" w:cs="Arial"/>
        </w:rPr>
      </w:pPr>
      <w:r>
        <w:rPr>
          <w:rFonts w:ascii="Arial" w:hAnsi="Arial" w:cs="Arial"/>
        </w:rPr>
        <w:t xml:space="preserve">Accordingly, </w:t>
      </w:r>
      <w:r w:rsidR="007822AA">
        <w:rPr>
          <w:rFonts w:ascii="Arial" w:hAnsi="Arial" w:cs="Arial"/>
        </w:rPr>
        <w:t>the scheme of the Military Ombuid Act does not support the interpretation that the recommendation in terms of Section 6(8) is binding on the Minister</w:t>
      </w:r>
      <w:r>
        <w:rPr>
          <w:rFonts w:ascii="Arial" w:hAnsi="Arial" w:cs="Arial"/>
        </w:rPr>
        <w:t>.</w:t>
      </w:r>
    </w:p>
    <w:p w14:paraId="41064974" w14:textId="77777777" w:rsidR="00450898" w:rsidRPr="00450898" w:rsidRDefault="00450898" w:rsidP="00450898">
      <w:pPr>
        <w:pStyle w:val="ListParagraph"/>
        <w:rPr>
          <w:rFonts w:ascii="Arial" w:hAnsi="Arial" w:cs="Arial"/>
        </w:rPr>
      </w:pPr>
    </w:p>
    <w:p w14:paraId="62AA798F" w14:textId="76370741" w:rsidR="00450898" w:rsidRDefault="00450898" w:rsidP="00FA2DF3">
      <w:pPr>
        <w:keepNext/>
        <w:jc w:val="both"/>
        <w:rPr>
          <w:rFonts w:ascii="Arial" w:hAnsi="Arial" w:cs="Arial"/>
          <w:b/>
          <w:bCs/>
        </w:rPr>
      </w:pPr>
      <w:r>
        <w:rPr>
          <w:rFonts w:ascii="Arial" w:hAnsi="Arial" w:cs="Arial"/>
          <w:b/>
          <w:bCs/>
        </w:rPr>
        <w:t>Conclusion</w:t>
      </w:r>
    </w:p>
    <w:p w14:paraId="381E3D47" w14:textId="77777777" w:rsidR="00450898" w:rsidRPr="00450898" w:rsidRDefault="00450898" w:rsidP="00FA2DF3">
      <w:pPr>
        <w:keepNext/>
        <w:spacing w:line="480" w:lineRule="auto"/>
        <w:jc w:val="both"/>
        <w:rPr>
          <w:rFonts w:ascii="Arial" w:hAnsi="Arial" w:cs="Arial"/>
          <w:b/>
          <w:bCs/>
        </w:rPr>
      </w:pPr>
    </w:p>
    <w:p w14:paraId="4568F631" w14:textId="0B8A129E" w:rsidR="009B43B4" w:rsidRPr="00450898" w:rsidRDefault="00951FF2" w:rsidP="004129C8">
      <w:pPr>
        <w:pStyle w:val="ListParagraph"/>
        <w:numPr>
          <w:ilvl w:val="0"/>
          <w:numId w:val="1"/>
        </w:numPr>
        <w:spacing w:line="480" w:lineRule="auto"/>
        <w:jc w:val="both"/>
        <w:rPr>
          <w:rFonts w:ascii="Arial" w:hAnsi="Arial" w:cs="Arial"/>
        </w:rPr>
      </w:pPr>
      <w:r>
        <w:rPr>
          <w:rFonts w:ascii="Arial" w:hAnsi="Arial" w:cs="Arial"/>
          <w:lang w:val="en-US"/>
        </w:rPr>
        <w:t xml:space="preserve">I agree with the decision in </w:t>
      </w:r>
      <w:r>
        <w:rPr>
          <w:rFonts w:ascii="Arial" w:hAnsi="Arial" w:cs="Arial"/>
          <w:b/>
          <w:bCs/>
          <w:lang w:val="en-US"/>
        </w:rPr>
        <w:t>Lembede</w:t>
      </w:r>
      <w:r>
        <w:rPr>
          <w:rFonts w:ascii="Arial" w:hAnsi="Arial" w:cs="Arial"/>
          <w:lang w:val="en-US"/>
        </w:rPr>
        <w:t xml:space="preserve">. </w:t>
      </w:r>
      <w:r>
        <w:rPr>
          <w:rFonts w:ascii="Arial" w:hAnsi="Arial" w:cs="Arial"/>
        </w:rPr>
        <w:t>The Minister is not obliged to act in terms of the recommendation and she cannot compelled to do so.</w:t>
      </w:r>
    </w:p>
    <w:p w14:paraId="1D93D559" w14:textId="77777777" w:rsidR="00450898" w:rsidRPr="00450898" w:rsidRDefault="00450898" w:rsidP="00450898">
      <w:pPr>
        <w:pStyle w:val="ListParagraph"/>
        <w:ind w:left="567"/>
        <w:jc w:val="both"/>
        <w:rPr>
          <w:rFonts w:ascii="Arial" w:hAnsi="Arial" w:cs="Arial"/>
        </w:rPr>
      </w:pPr>
    </w:p>
    <w:p w14:paraId="1F6653D0" w14:textId="12ADC1A5" w:rsidR="00450898" w:rsidRPr="00B43CC8" w:rsidRDefault="00951FF2" w:rsidP="004129C8">
      <w:pPr>
        <w:pStyle w:val="ListParagraph"/>
        <w:numPr>
          <w:ilvl w:val="0"/>
          <w:numId w:val="1"/>
        </w:numPr>
        <w:spacing w:line="480" w:lineRule="auto"/>
        <w:jc w:val="both"/>
        <w:rPr>
          <w:rFonts w:ascii="Arial" w:hAnsi="Arial" w:cs="Arial"/>
        </w:rPr>
      </w:pPr>
      <w:r>
        <w:rPr>
          <w:rFonts w:ascii="Arial" w:hAnsi="Arial" w:cs="Arial"/>
          <w:lang w:val="en-US"/>
        </w:rPr>
        <w:t>Counsel were agreed that if I came to this conclusion, then both applications must be dismissed.</w:t>
      </w:r>
    </w:p>
    <w:p w14:paraId="7AD20E3E" w14:textId="77777777" w:rsidR="00B43CC8" w:rsidRPr="00B43CC8" w:rsidRDefault="00B43CC8" w:rsidP="00B43CC8">
      <w:pPr>
        <w:pStyle w:val="ListParagraph"/>
        <w:rPr>
          <w:rFonts w:ascii="Arial" w:hAnsi="Arial" w:cs="Arial"/>
        </w:rPr>
      </w:pPr>
    </w:p>
    <w:p w14:paraId="2EEAA53E" w14:textId="1FFCD384" w:rsidR="00B43CC8" w:rsidRDefault="00B43CC8" w:rsidP="004129C8">
      <w:pPr>
        <w:pStyle w:val="ListParagraph"/>
        <w:numPr>
          <w:ilvl w:val="0"/>
          <w:numId w:val="1"/>
        </w:numPr>
        <w:spacing w:line="480" w:lineRule="auto"/>
        <w:jc w:val="both"/>
        <w:rPr>
          <w:rFonts w:ascii="Arial" w:hAnsi="Arial" w:cs="Arial"/>
        </w:rPr>
      </w:pPr>
      <w:r>
        <w:rPr>
          <w:rFonts w:ascii="Arial" w:hAnsi="Arial" w:cs="Arial"/>
        </w:rPr>
        <w:t xml:space="preserve">In respect of costs, I agree with Mr Hamman that the </w:t>
      </w:r>
      <w:r w:rsidRPr="00B43CC8">
        <w:rPr>
          <w:rFonts w:ascii="Arial" w:hAnsi="Arial" w:cs="Arial"/>
          <w:b/>
          <w:bCs/>
        </w:rPr>
        <w:t>Biowatch</w:t>
      </w:r>
      <w:r>
        <w:rPr>
          <w:rStyle w:val="FootnoteReference"/>
          <w:rFonts w:ascii="Arial" w:hAnsi="Arial" w:cs="Arial"/>
        </w:rPr>
        <w:footnoteReference w:id="17"/>
      </w:r>
      <w:r>
        <w:rPr>
          <w:rFonts w:ascii="Arial" w:hAnsi="Arial" w:cs="Arial"/>
        </w:rPr>
        <w:t xml:space="preserve"> principle applies. The Applicants in these matters were seeking to assert a constitutionally </w:t>
      </w:r>
      <w:r w:rsidR="00225F16">
        <w:rPr>
          <w:rFonts w:ascii="Arial" w:hAnsi="Arial" w:cs="Arial"/>
        </w:rPr>
        <w:t>discernible</w:t>
      </w:r>
      <w:r>
        <w:rPr>
          <w:rFonts w:ascii="Arial" w:hAnsi="Arial" w:cs="Arial"/>
        </w:rPr>
        <w:t xml:space="preserve"> right </w:t>
      </w:r>
      <w:r w:rsidR="00225F16">
        <w:rPr>
          <w:rFonts w:ascii="Arial" w:hAnsi="Arial" w:cs="Arial"/>
        </w:rPr>
        <w:t>against the State.</w:t>
      </w:r>
      <w:r>
        <w:rPr>
          <w:rStyle w:val="FootnoteReference"/>
          <w:rFonts w:ascii="Arial" w:hAnsi="Arial" w:cs="Arial"/>
        </w:rPr>
        <w:footnoteReference w:id="18"/>
      </w:r>
      <w:r w:rsidR="00225F16">
        <w:rPr>
          <w:rFonts w:ascii="Arial" w:hAnsi="Arial" w:cs="Arial"/>
        </w:rPr>
        <w:t xml:space="preserve"> The applications could not be said to be frivolous or vexatious. I shall accordingly make no orders as to costs.</w:t>
      </w:r>
    </w:p>
    <w:p w14:paraId="66B996FB" w14:textId="77777777" w:rsidR="009B43B4" w:rsidRPr="009B43B4" w:rsidRDefault="009B43B4" w:rsidP="009B43B4">
      <w:pPr>
        <w:pStyle w:val="ListParagraph"/>
        <w:rPr>
          <w:rFonts w:ascii="Arial" w:hAnsi="Arial" w:cs="Arial"/>
        </w:rPr>
      </w:pPr>
    </w:p>
    <w:p w14:paraId="62E5B5CB" w14:textId="2A80E171" w:rsidR="00A96A33" w:rsidRDefault="00F11F2C" w:rsidP="00B57F3E">
      <w:pPr>
        <w:pStyle w:val="ListParagraph"/>
        <w:keepNext/>
        <w:keepLines/>
        <w:numPr>
          <w:ilvl w:val="0"/>
          <w:numId w:val="1"/>
        </w:numPr>
        <w:jc w:val="both"/>
        <w:rPr>
          <w:rFonts w:ascii="Arial" w:hAnsi="Arial" w:cs="Arial"/>
        </w:rPr>
      </w:pPr>
      <w:r>
        <w:rPr>
          <w:rFonts w:ascii="Arial" w:hAnsi="Arial" w:cs="Arial"/>
        </w:rPr>
        <w:lastRenderedPageBreak/>
        <w:t>I accordingly make the following order</w:t>
      </w:r>
      <w:r w:rsidR="00225F16">
        <w:rPr>
          <w:rFonts w:ascii="Arial" w:hAnsi="Arial" w:cs="Arial"/>
        </w:rPr>
        <w:t>s</w:t>
      </w:r>
      <w:r>
        <w:rPr>
          <w:rFonts w:ascii="Arial" w:hAnsi="Arial" w:cs="Arial"/>
        </w:rPr>
        <w:t>:</w:t>
      </w:r>
    </w:p>
    <w:p w14:paraId="2F50ACC1" w14:textId="3FEA370E" w:rsidR="00C42352" w:rsidRDefault="00C42352" w:rsidP="00B57F3E">
      <w:pPr>
        <w:keepNext/>
        <w:keepLines/>
        <w:jc w:val="both"/>
        <w:rPr>
          <w:rFonts w:ascii="Arial" w:hAnsi="Arial" w:cs="Arial"/>
        </w:rPr>
      </w:pPr>
    </w:p>
    <w:p w14:paraId="174EF6D8" w14:textId="77777777" w:rsidR="00B57F3E" w:rsidRPr="00D510A3" w:rsidRDefault="00B57F3E" w:rsidP="00B57F3E">
      <w:pPr>
        <w:keepNext/>
        <w:keepLines/>
        <w:jc w:val="both"/>
        <w:rPr>
          <w:rFonts w:ascii="Arial" w:hAnsi="Arial" w:cs="Arial"/>
        </w:rPr>
      </w:pPr>
    </w:p>
    <w:p w14:paraId="38CBF0BB" w14:textId="1941090B" w:rsidR="00512FBA" w:rsidRPr="00225F16" w:rsidRDefault="00225F16" w:rsidP="00B57F3E">
      <w:pPr>
        <w:pStyle w:val="ListParagraph"/>
        <w:keepNext/>
        <w:keepLines/>
        <w:numPr>
          <w:ilvl w:val="1"/>
          <w:numId w:val="1"/>
        </w:numPr>
        <w:spacing w:line="480" w:lineRule="auto"/>
        <w:jc w:val="both"/>
        <w:rPr>
          <w:rFonts w:ascii="Arial" w:hAnsi="Arial" w:cs="Arial"/>
        </w:rPr>
      </w:pPr>
      <w:r>
        <w:rPr>
          <w:rFonts w:ascii="Arial" w:hAnsi="Arial" w:cs="Arial"/>
        </w:rPr>
        <w:t xml:space="preserve">In case number </w:t>
      </w:r>
      <w:r w:rsidRPr="00225F16">
        <w:rPr>
          <w:rFonts w:ascii="Arial" w:hAnsi="Arial" w:cs="Arial"/>
        </w:rPr>
        <w:t>28399/2021</w:t>
      </w:r>
      <w:r>
        <w:rPr>
          <w:rFonts w:ascii="Arial" w:hAnsi="Arial" w:cs="Arial"/>
        </w:rPr>
        <w:t>, t</w:t>
      </w:r>
      <w:r w:rsidR="00450898">
        <w:rPr>
          <w:rFonts w:ascii="Arial" w:hAnsi="Arial" w:cs="Arial"/>
        </w:rPr>
        <w:t>he application is dismissed</w:t>
      </w:r>
      <w:r w:rsidR="00450898" w:rsidRPr="00450898">
        <w:rPr>
          <w:rFonts w:ascii="Arial" w:hAnsi="Arial" w:cs="Arial"/>
          <w:lang w:val="en-US"/>
        </w:rPr>
        <w:t>.</w:t>
      </w:r>
    </w:p>
    <w:p w14:paraId="6F04B58C" w14:textId="77777777" w:rsidR="00225F16" w:rsidRPr="00225F16" w:rsidRDefault="00225F16" w:rsidP="00225F16">
      <w:pPr>
        <w:pStyle w:val="ListParagraph"/>
        <w:keepNext/>
        <w:keepLines/>
        <w:ind w:left="1418"/>
        <w:jc w:val="both"/>
        <w:rPr>
          <w:rFonts w:ascii="Arial" w:hAnsi="Arial" w:cs="Arial"/>
        </w:rPr>
      </w:pPr>
    </w:p>
    <w:p w14:paraId="4906D874" w14:textId="3F48D273" w:rsidR="00225F16" w:rsidRDefault="00225F16" w:rsidP="00B57F3E">
      <w:pPr>
        <w:pStyle w:val="ListParagraph"/>
        <w:keepNext/>
        <w:keepLines/>
        <w:numPr>
          <w:ilvl w:val="1"/>
          <w:numId w:val="1"/>
        </w:numPr>
        <w:spacing w:line="480" w:lineRule="auto"/>
        <w:jc w:val="both"/>
        <w:rPr>
          <w:rFonts w:ascii="Arial" w:hAnsi="Arial" w:cs="Arial"/>
        </w:rPr>
      </w:pPr>
      <w:r>
        <w:rPr>
          <w:rFonts w:ascii="Arial" w:hAnsi="Arial" w:cs="Arial"/>
        </w:rPr>
        <w:t xml:space="preserve">In case number </w:t>
      </w:r>
      <w:r w:rsidRPr="00225F16">
        <w:rPr>
          <w:rFonts w:ascii="Arial" w:hAnsi="Arial" w:cs="Arial"/>
        </w:rPr>
        <w:t>13</w:t>
      </w:r>
      <w:r w:rsidR="00B807CA">
        <w:rPr>
          <w:rFonts w:ascii="Arial" w:hAnsi="Arial" w:cs="Arial"/>
        </w:rPr>
        <w:t>678</w:t>
      </w:r>
      <w:r w:rsidRPr="00225F16">
        <w:rPr>
          <w:rFonts w:ascii="Arial" w:hAnsi="Arial" w:cs="Arial"/>
        </w:rPr>
        <w:t>/2022</w:t>
      </w:r>
      <w:r>
        <w:rPr>
          <w:rFonts w:ascii="Arial" w:hAnsi="Arial" w:cs="Arial"/>
        </w:rPr>
        <w:t>, the application is dismissed</w:t>
      </w:r>
      <w:r w:rsidRPr="00450898">
        <w:rPr>
          <w:rFonts w:ascii="Arial" w:hAnsi="Arial" w:cs="Arial"/>
          <w:lang w:val="en-US"/>
        </w:rPr>
        <w:t>.</w:t>
      </w:r>
    </w:p>
    <w:p w14:paraId="67234D00" w14:textId="36FE55D3" w:rsidR="006C5368" w:rsidRPr="00450898" w:rsidRDefault="006C5368" w:rsidP="00B57F3E">
      <w:pPr>
        <w:keepNext/>
        <w:keepLines/>
        <w:jc w:val="both"/>
        <w:rPr>
          <w:rFonts w:ascii="Arial" w:hAnsi="Arial" w:cs="Arial"/>
        </w:rPr>
      </w:pPr>
      <w:r w:rsidRPr="00450898">
        <w:rPr>
          <w:rFonts w:ascii="Arial" w:hAnsi="Arial" w:cs="Arial"/>
        </w:rPr>
        <w:t xml:space="preserve"> </w:t>
      </w:r>
    </w:p>
    <w:p w14:paraId="02DF189E" w14:textId="77777777" w:rsidR="00512FBA" w:rsidRPr="00512FBA" w:rsidRDefault="00512FBA" w:rsidP="00B57F3E">
      <w:pPr>
        <w:pStyle w:val="ListParagraph"/>
        <w:keepNext/>
        <w:keepLines/>
        <w:ind w:left="1418"/>
        <w:jc w:val="both"/>
        <w:rPr>
          <w:rFonts w:ascii="Arial" w:hAnsi="Arial" w:cs="Arial"/>
        </w:rPr>
      </w:pPr>
    </w:p>
    <w:p w14:paraId="6D00F672" w14:textId="77777777" w:rsidR="00EC3264" w:rsidRPr="00EC3264" w:rsidRDefault="00EC3264" w:rsidP="00B57F3E">
      <w:pPr>
        <w:pStyle w:val="ListParagraph"/>
        <w:keepNext/>
        <w:keepLines/>
        <w:ind w:left="1418"/>
        <w:jc w:val="both"/>
        <w:rPr>
          <w:rFonts w:ascii="Arial" w:hAnsi="Arial" w:cs="Arial"/>
        </w:rPr>
      </w:pPr>
    </w:p>
    <w:p w14:paraId="7A3DE349" w14:textId="457B1746" w:rsidR="00A96A33" w:rsidRDefault="00A96A33" w:rsidP="00B57F3E">
      <w:pPr>
        <w:keepNext/>
        <w:keepLines/>
        <w:jc w:val="both"/>
        <w:rPr>
          <w:rFonts w:ascii="Arial" w:hAnsi="Arial" w:cs="Arial"/>
        </w:rPr>
      </w:pPr>
      <w:r>
        <w:rPr>
          <w:rFonts w:ascii="Arial" w:hAnsi="Arial" w:cs="Arial"/>
        </w:rPr>
        <w:t>__________________________</w:t>
      </w:r>
    </w:p>
    <w:p w14:paraId="1E38B412" w14:textId="7C427D26" w:rsidR="00A96A33" w:rsidRDefault="00A96A33" w:rsidP="00B57F3E">
      <w:pPr>
        <w:keepNext/>
        <w:keepLines/>
        <w:jc w:val="both"/>
        <w:rPr>
          <w:rFonts w:ascii="Arial" w:hAnsi="Arial" w:cs="Arial"/>
        </w:rPr>
      </w:pPr>
      <w:r>
        <w:rPr>
          <w:rFonts w:ascii="Arial" w:hAnsi="Arial" w:cs="Arial"/>
        </w:rPr>
        <w:t>Vivian, AJ</w:t>
      </w:r>
    </w:p>
    <w:p w14:paraId="1DC82773" w14:textId="77D0F061" w:rsidR="001E7284" w:rsidRDefault="001E7284" w:rsidP="00B57F3E">
      <w:pPr>
        <w:keepNext/>
        <w:keepLines/>
        <w:jc w:val="both"/>
        <w:rPr>
          <w:rFonts w:ascii="Arial" w:hAnsi="Arial" w:cs="Arial"/>
        </w:rPr>
      </w:pPr>
      <w:r>
        <w:rPr>
          <w:rFonts w:ascii="Arial" w:hAnsi="Arial" w:cs="Arial"/>
        </w:rPr>
        <w:t>Acting Judge of the Gauteng Division of the High Court of South Africa</w:t>
      </w:r>
    </w:p>
    <w:p w14:paraId="1EE258C9" w14:textId="6C74CB3E" w:rsidR="00A96A33" w:rsidRDefault="00A96A33" w:rsidP="00EC1508">
      <w:pPr>
        <w:keepNext/>
        <w:keepLines/>
        <w:spacing w:line="480" w:lineRule="auto"/>
        <w:jc w:val="both"/>
        <w:rPr>
          <w:rFonts w:ascii="Arial" w:hAnsi="Arial" w:cs="Arial"/>
        </w:rPr>
      </w:pPr>
    </w:p>
    <w:p w14:paraId="24FF5F53" w14:textId="7FECD477" w:rsidR="00851B6E" w:rsidRDefault="00851B6E" w:rsidP="00EC1508">
      <w:pPr>
        <w:keepNext/>
        <w:spacing w:line="480" w:lineRule="auto"/>
        <w:jc w:val="both"/>
        <w:rPr>
          <w:rFonts w:ascii="Arial" w:hAnsi="Arial" w:cs="Arial"/>
        </w:rPr>
      </w:pPr>
      <w:r>
        <w:rPr>
          <w:rFonts w:ascii="Arial" w:hAnsi="Arial" w:cs="Arial"/>
        </w:rPr>
        <w:t>APPEARANCES:</w:t>
      </w:r>
    </w:p>
    <w:p w14:paraId="3240815A" w14:textId="6FAF3554" w:rsidR="00851B6E" w:rsidRDefault="00851B6E" w:rsidP="00EC1508">
      <w:pPr>
        <w:keepNext/>
        <w:spacing w:line="480" w:lineRule="auto"/>
        <w:jc w:val="both"/>
        <w:rPr>
          <w:rFonts w:ascii="Arial" w:hAnsi="Arial" w:cs="Arial"/>
        </w:rPr>
      </w:pPr>
    </w:p>
    <w:p w14:paraId="1F9D648D" w14:textId="38E4A191" w:rsidR="00B84C26" w:rsidRDefault="00851B6E" w:rsidP="007E2F79">
      <w:pPr>
        <w:keepNext/>
        <w:ind w:left="4395" w:hanging="4395"/>
        <w:jc w:val="both"/>
        <w:rPr>
          <w:rFonts w:ascii="Arial" w:hAnsi="Arial" w:cs="Arial"/>
        </w:rPr>
      </w:pPr>
      <w:r>
        <w:rPr>
          <w:rFonts w:ascii="Arial" w:hAnsi="Arial" w:cs="Arial"/>
        </w:rPr>
        <w:t xml:space="preserve">FOR THE </w:t>
      </w:r>
      <w:r w:rsidR="000620AA">
        <w:rPr>
          <w:rFonts w:ascii="Arial" w:hAnsi="Arial" w:cs="Arial"/>
        </w:rPr>
        <w:t>APPLICANT</w:t>
      </w:r>
      <w:r w:rsidR="00225F16">
        <w:rPr>
          <w:rFonts w:ascii="Arial" w:hAnsi="Arial" w:cs="Arial"/>
        </w:rPr>
        <w:t>S</w:t>
      </w:r>
      <w:r>
        <w:rPr>
          <w:rFonts w:ascii="Arial" w:hAnsi="Arial" w:cs="Arial"/>
        </w:rPr>
        <w:t>:</w:t>
      </w:r>
      <w:r w:rsidR="005709FB">
        <w:rPr>
          <w:rFonts w:ascii="Arial" w:hAnsi="Arial" w:cs="Arial"/>
        </w:rPr>
        <w:tab/>
      </w:r>
      <w:r w:rsidR="00225F16">
        <w:rPr>
          <w:rFonts w:ascii="Arial" w:hAnsi="Arial" w:cs="Arial"/>
        </w:rPr>
        <w:t>JGC Hamman</w:t>
      </w:r>
      <w:r w:rsidR="00450898">
        <w:rPr>
          <w:rFonts w:ascii="Arial" w:hAnsi="Arial" w:cs="Arial"/>
        </w:rPr>
        <w:t xml:space="preserve">, instructed by </w:t>
      </w:r>
      <w:r w:rsidR="00225F16">
        <w:rPr>
          <w:rFonts w:ascii="Arial" w:hAnsi="Arial" w:cs="Arial"/>
        </w:rPr>
        <w:t>Griessel van Zenten Inc.</w:t>
      </w:r>
    </w:p>
    <w:p w14:paraId="703EC4CE" w14:textId="77777777" w:rsidR="007E2F79" w:rsidRDefault="007E2F79" w:rsidP="007E2F79">
      <w:pPr>
        <w:ind w:left="4395" w:hanging="4395"/>
        <w:jc w:val="both"/>
        <w:rPr>
          <w:rFonts w:ascii="Arial" w:hAnsi="Arial" w:cs="Arial"/>
        </w:rPr>
      </w:pPr>
    </w:p>
    <w:p w14:paraId="6AABF93E" w14:textId="611B52A7" w:rsidR="00225F16" w:rsidRDefault="00851B6E" w:rsidP="007E2F79">
      <w:pPr>
        <w:ind w:left="4395" w:hanging="4395"/>
        <w:jc w:val="both"/>
        <w:rPr>
          <w:rFonts w:ascii="Arial" w:hAnsi="Arial" w:cs="Arial"/>
        </w:rPr>
      </w:pPr>
      <w:r>
        <w:rPr>
          <w:rFonts w:ascii="Arial" w:hAnsi="Arial" w:cs="Arial"/>
        </w:rPr>
        <w:t xml:space="preserve">FOR THE </w:t>
      </w:r>
      <w:r w:rsidR="000620AA">
        <w:rPr>
          <w:rFonts w:ascii="Arial" w:hAnsi="Arial" w:cs="Arial"/>
        </w:rPr>
        <w:t xml:space="preserve">THIRD </w:t>
      </w:r>
      <w:r w:rsidR="00B84C26">
        <w:rPr>
          <w:rFonts w:ascii="Arial" w:hAnsi="Arial" w:cs="Arial"/>
        </w:rPr>
        <w:t>RESPONDENT</w:t>
      </w:r>
    </w:p>
    <w:p w14:paraId="1046D570" w14:textId="19D831C9" w:rsidR="00851B6E" w:rsidRDefault="00225F16" w:rsidP="007E2F79">
      <w:pPr>
        <w:ind w:left="4395" w:hanging="4395"/>
        <w:jc w:val="both"/>
        <w:rPr>
          <w:rFonts w:ascii="Arial" w:hAnsi="Arial" w:cs="Arial"/>
        </w:rPr>
      </w:pPr>
      <w:r>
        <w:rPr>
          <w:rFonts w:ascii="Arial" w:hAnsi="Arial" w:cs="Arial"/>
        </w:rPr>
        <w:t>IN 13804/2022</w:t>
      </w:r>
      <w:r w:rsidR="00851B6E">
        <w:rPr>
          <w:rFonts w:ascii="Arial" w:hAnsi="Arial" w:cs="Arial"/>
        </w:rPr>
        <w:t xml:space="preserve">: </w:t>
      </w:r>
      <w:r w:rsidR="00851B6E">
        <w:rPr>
          <w:rFonts w:ascii="Arial" w:hAnsi="Arial" w:cs="Arial"/>
        </w:rPr>
        <w:tab/>
      </w:r>
      <w:r>
        <w:rPr>
          <w:rFonts w:ascii="Arial" w:hAnsi="Arial" w:cs="Arial"/>
        </w:rPr>
        <w:t>YF Saloojee, instructed by the State Attorney</w:t>
      </w:r>
    </w:p>
    <w:p w14:paraId="2E7396A5" w14:textId="77777777" w:rsidR="007E2F79" w:rsidRDefault="007E2F79" w:rsidP="007E2F79">
      <w:pPr>
        <w:ind w:left="4395" w:hanging="4395"/>
        <w:jc w:val="both"/>
        <w:rPr>
          <w:rFonts w:ascii="Arial" w:hAnsi="Arial" w:cs="Arial"/>
        </w:rPr>
      </w:pPr>
    </w:p>
    <w:p w14:paraId="4C8328C3" w14:textId="33110182" w:rsidR="00225F16" w:rsidRDefault="00225F16" w:rsidP="007E2F79">
      <w:pPr>
        <w:ind w:left="4395" w:hanging="4395"/>
        <w:jc w:val="both"/>
        <w:rPr>
          <w:rFonts w:ascii="Arial" w:hAnsi="Arial" w:cs="Arial"/>
        </w:rPr>
      </w:pPr>
      <w:r>
        <w:rPr>
          <w:rFonts w:ascii="Arial" w:hAnsi="Arial" w:cs="Arial"/>
        </w:rPr>
        <w:t xml:space="preserve">FOR THE RESPONDENTS </w:t>
      </w:r>
      <w:r>
        <w:rPr>
          <w:rFonts w:ascii="Arial" w:hAnsi="Arial" w:cs="Arial"/>
        </w:rPr>
        <w:tab/>
      </w:r>
    </w:p>
    <w:p w14:paraId="5EBFA7A4" w14:textId="798F2082" w:rsidR="00225F16" w:rsidRDefault="00225F16" w:rsidP="00225F16">
      <w:pPr>
        <w:spacing w:line="480" w:lineRule="auto"/>
        <w:ind w:left="4395" w:hanging="4395"/>
        <w:jc w:val="both"/>
        <w:rPr>
          <w:rFonts w:ascii="Arial" w:hAnsi="Arial" w:cs="Arial"/>
        </w:rPr>
      </w:pPr>
      <w:r>
        <w:rPr>
          <w:rFonts w:ascii="Arial" w:hAnsi="Arial" w:cs="Arial"/>
        </w:rPr>
        <w:t>IN 13678/2022</w:t>
      </w:r>
      <w:r>
        <w:rPr>
          <w:rFonts w:ascii="Arial" w:hAnsi="Arial" w:cs="Arial"/>
        </w:rPr>
        <w:tab/>
        <w:t>J Daniels, instructed by the State Attorney</w:t>
      </w:r>
    </w:p>
    <w:p w14:paraId="15FAAB1D" w14:textId="77777777" w:rsidR="00225F16" w:rsidRPr="00A96A33" w:rsidRDefault="00225F16" w:rsidP="006D5508">
      <w:pPr>
        <w:spacing w:line="480" w:lineRule="auto"/>
        <w:ind w:left="4395" w:hanging="4395"/>
        <w:jc w:val="both"/>
        <w:rPr>
          <w:rFonts w:ascii="Arial" w:hAnsi="Arial" w:cs="Arial"/>
        </w:rPr>
      </w:pPr>
    </w:p>
    <w:sectPr w:rsidR="00225F16" w:rsidRPr="00A96A33" w:rsidSect="004B6CE9">
      <w:headerReference w:type="even" r:id="rId8"/>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92BE9" w14:textId="77777777" w:rsidR="005F08D6" w:rsidRDefault="005F08D6" w:rsidP="00294AF2">
      <w:r>
        <w:separator/>
      </w:r>
    </w:p>
  </w:endnote>
  <w:endnote w:type="continuationSeparator" w:id="0">
    <w:p w14:paraId="5A61725A" w14:textId="77777777" w:rsidR="005F08D6" w:rsidRDefault="005F08D6" w:rsidP="0029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C4EC9" w14:textId="77777777" w:rsidR="005F08D6" w:rsidRDefault="005F08D6" w:rsidP="00294AF2">
      <w:r>
        <w:separator/>
      </w:r>
    </w:p>
  </w:footnote>
  <w:footnote w:type="continuationSeparator" w:id="0">
    <w:p w14:paraId="76AC45ED" w14:textId="77777777" w:rsidR="005F08D6" w:rsidRDefault="005F08D6" w:rsidP="00294AF2">
      <w:r>
        <w:continuationSeparator/>
      </w:r>
    </w:p>
  </w:footnote>
  <w:footnote w:id="1">
    <w:p w14:paraId="3A27973D" w14:textId="3CA18EBA" w:rsidR="00E6018B" w:rsidRPr="00E6018B" w:rsidRDefault="00E6018B">
      <w:pPr>
        <w:pStyle w:val="FootnoteText"/>
        <w:rPr>
          <w:lang w:val="en-US"/>
        </w:rPr>
      </w:pPr>
      <w:r>
        <w:rPr>
          <w:rStyle w:val="FootnoteReference"/>
        </w:rPr>
        <w:footnoteRef/>
      </w:r>
      <w:r>
        <w:t xml:space="preserve"> Lembede v Minister of Defence and Military Veterans and others, GD 9642/2020 (15 December 2021)</w:t>
      </w:r>
    </w:p>
  </w:footnote>
  <w:footnote w:id="2">
    <w:p w14:paraId="5E74D44E" w14:textId="74994155" w:rsidR="00DC7F62" w:rsidRPr="00DC7F62" w:rsidRDefault="00DC7F62">
      <w:pPr>
        <w:pStyle w:val="FootnoteText"/>
        <w:rPr>
          <w:lang w:val="en-US"/>
        </w:rPr>
      </w:pPr>
      <w:r>
        <w:rPr>
          <w:rStyle w:val="FootnoteReference"/>
        </w:rPr>
        <w:footnoteRef/>
      </w:r>
      <w:r>
        <w:t xml:space="preserve"> </w:t>
      </w:r>
      <w:r w:rsidR="007C30D1" w:rsidRPr="007C30D1">
        <w:t>Chisuse and Others v Director-General, Department of Home Affairs and Another 2020 (6) SA 14 (CC)</w:t>
      </w:r>
    </w:p>
  </w:footnote>
  <w:footnote w:id="3">
    <w:p w14:paraId="0BAD913C" w14:textId="1D735DD9" w:rsidR="007C30D1" w:rsidRPr="007C30D1" w:rsidRDefault="007C30D1" w:rsidP="00F47799">
      <w:pPr>
        <w:pStyle w:val="FootnoteText"/>
        <w:jc w:val="both"/>
        <w:rPr>
          <w:lang w:val="en-US"/>
        </w:rPr>
      </w:pPr>
      <w:r>
        <w:rPr>
          <w:rStyle w:val="FootnoteReference"/>
        </w:rPr>
        <w:footnoteRef/>
      </w:r>
      <w:r>
        <w:t xml:space="preserve"> Investigating Directorate: Serious Economic Offences and Others v Hyundai Motor Distributors (Pty) Ltd and Others: In re Hyundai Motor Distributors (Pty) Ltd and Others v Smit NO and Others 2001 (1) SA 545 (CC) at para 22; Chisuse, </w:t>
      </w:r>
      <w:r>
        <w:rPr>
          <w:i/>
          <w:iCs/>
        </w:rPr>
        <w:t>supra</w:t>
      </w:r>
      <w:r>
        <w:t xml:space="preserve"> at para 49</w:t>
      </w:r>
    </w:p>
  </w:footnote>
  <w:footnote w:id="4">
    <w:p w14:paraId="003C7347" w14:textId="66D79C03" w:rsidR="00F47799" w:rsidRPr="00F47799" w:rsidRDefault="00F47799" w:rsidP="00F47799">
      <w:pPr>
        <w:pStyle w:val="FootnoteText"/>
        <w:jc w:val="both"/>
        <w:rPr>
          <w:lang w:val="en-US"/>
        </w:rPr>
      </w:pPr>
      <w:r>
        <w:rPr>
          <w:rStyle w:val="FootnoteReference"/>
        </w:rPr>
        <w:footnoteRef/>
      </w:r>
      <w:r>
        <w:t xml:space="preserve"> I</w:t>
      </w:r>
      <w:r w:rsidRPr="00F47799">
        <w:t>ndependent Institute of Education (Pty) Ltd v KwaZulu-Natal Law Society and Others 2020 (2) SA 325 (CC)</w:t>
      </w:r>
      <w:r>
        <w:t xml:space="preserve"> at para 2</w:t>
      </w:r>
    </w:p>
  </w:footnote>
  <w:footnote w:id="5">
    <w:p w14:paraId="49971EA4" w14:textId="04FFB5BC" w:rsidR="004F1116" w:rsidRPr="004F1116" w:rsidRDefault="004F1116">
      <w:pPr>
        <w:pStyle w:val="FootnoteText"/>
        <w:rPr>
          <w:lang w:val="en-US"/>
        </w:rPr>
      </w:pPr>
      <w:r>
        <w:rPr>
          <w:rStyle w:val="FootnoteReference"/>
        </w:rPr>
        <w:footnoteRef/>
      </w:r>
      <w:r>
        <w:t xml:space="preserve"> </w:t>
      </w:r>
      <w:hyperlink r:id="rId1" w:anchor="eid" w:history="1">
        <w:r w:rsidRPr="00712B61">
          <w:rPr>
            <w:rStyle w:val="Hyperlink"/>
          </w:rPr>
          <w:t>https://www.oed.com/view/Entry/159715?rskey=q9n5Jf&amp;result=2#eid</w:t>
        </w:r>
      </w:hyperlink>
      <w:r>
        <w:t xml:space="preserve"> (accessed 20 February 2023)</w:t>
      </w:r>
    </w:p>
  </w:footnote>
  <w:footnote w:id="6">
    <w:p w14:paraId="724F9AF6" w14:textId="77777777" w:rsidR="0042551C" w:rsidRPr="00E639B8" w:rsidRDefault="0042551C" w:rsidP="0042551C">
      <w:pPr>
        <w:pStyle w:val="FootnoteText"/>
        <w:rPr>
          <w:lang w:val="en-US"/>
        </w:rPr>
      </w:pPr>
      <w:r>
        <w:rPr>
          <w:rStyle w:val="FootnoteReference"/>
        </w:rPr>
        <w:footnoteRef/>
      </w:r>
      <w:r>
        <w:t xml:space="preserve"> </w:t>
      </w:r>
      <w:r>
        <w:rPr>
          <w:lang w:val="en-US"/>
        </w:rPr>
        <w:t xml:space="preserve">Section 4A of the Defence Act. </w:t>
      </w:r>
    </w:p>
  </w:footnote>
  <w:footnote w:id="7">
    <w:p w14:paraId="47BC9C49" w14:textId="77777777" w:rsidR="00215D93" w:rsidRPr="00B84EC6" w:rsidRDefault="00215D93" w:rsidP="00215D93">
      <w:pPr>
        <w:pStyle w:val="FootnoteText"/>
        <w:jc w:val="both"/>
        <w:rPr>
          <w:lang w:val="en-US"/>
        </w:rPr>
      </w:pPr>
      <w:r>
        <w:rPr>
          <w:rStyle w:val="FootnoteReference"/>
        </w:rPr>
        <w:footnoteRef/>
      </w:r>
      <w:r>
        <w:t xml:space="preserve"> In terms of Section 204, </w:t>
      </w:r>
      <w:r>
        <w:rPr>
          <w:rFonts w:ascii="Arial" w:hAnsi="Arial" w:cs="Arial"/>
        </w:rPr>
        <w:t>a civilian secretariat for defence must be established by national legislation, but that is not the Military Ombud. This body is established as the Defence Secretariat in terms of Section 6 of the Defence Act.</w:t>
      </w:r>
    </w:p>
  </w:footnote>
  <w:footnote w:id="8">
    <w:p w14:paraId="7199725F" w14:textId="77777777" w:rsidR="001D5A88" w:rsidRPr="004233D2" w:rsidRDefault="001D5A88" w:rsidP="001D5A88">
      <w:pPr>
        <w:pStyle w:val="FootnoteText"/>
        <w:rPr>
          <w:lang w:val="en-US"/>
        </w:rPr>
      </w:pPr>
      <w:r>
        <w:rPr>
          <w:rStyle w:val="FootnoteReference"/>
        </w:rPr>
        <w:footnoteRef/>
      </w:r>
      <w:r>
        <w:t xml:space="preserve"> </w:t>
      </w:r>
      <w:r w:rsidRPr="004233D2">
        <w:t>South African National Defence Union v Minister of Defence and Another 1999 (4) SA 469 (CC)</w:t>
      </w:r>
    </w:p>
  </w:footnote>
  <w:footnote w:id="9">
    <w:p w14:paraId="26C5A66B" w14:textId="77777777" w:rsidR="001D5A88" w:rsidRPr="001D5A88" w:rsidRDefault="001D5A88" w:rsidP="001D5A88">
      <w:pPr>
        <w:pStyle w:val="FootnoteText"/>
        <w:rPr>
          <w:lang w:val="en-US"/>
        </w:rPr>
      </w:pPr>
      <w:r>
        <w:rPr>
          <w:rStyle w:val="FootnoteReference"/>
        </w:rPr>
        <w:footnoteRef/>
      </w:r>
      <w:r>
        <w:t xml:space="preserve"> SANDU, </w:t>
      </w:r>
      <w:r>
        <w:rPr>
          <w:i/>
          <w:iCs/>
        </w:rPr>
        <w:t>supra</w:t>
      </w:r>
      <w:r>
        <w:t xml:space="preserve"> at para 35</w:t>
      </w:r>
    </w:p>
  </w:footnote>
  <w:footnote w:id="10">
    <w:p w14:paraId="27DED674" w14:textId="525ABD9D" w:rsidR="001D5A88" w:rsidRPr="001D5A88" w:rsidRDefault="001D5A88">
      <w:pPr>
        <w:pStyle w:val="FootnoteText"/>
        <w:rPr>
          <w:lang w:val="en-US"/>
        </w:rPr>
      </w:pPr>
      <w:r>
        <w:rPr>
          <w:rStyle w:val="FootnoteReference"/>
        </w:rPr>
        <w:footnoteRef/>
      </w:r>
      <w:r>
        <w:t xml:space="preserve"> Defence Act 44 of 1957</w:t>
      </w:r>
    </w:p>
  </w:footnote>
  <w:footnote w:id="11">
    <w:p w14:paraId="395CFD56" w14:textId="74D7609E" w:rsidR="0052012A" w:rsidRPr="00563189" w:rsidRDefault="0052012A" w:rsidP="0052012A">
      <w:pPr>
        <w:pStyle w:val="FootnoteText"/>
        <w:rPr>
          <w:lang w:val="en-US"/>
        </w:rPr>
      </w:pPr>
      <w:r>
        <w:rPr>
          <w:rStyle w:val="FootnoteReference"/>
        </w:rPr>
        <w:footnoteRef/>
      </w:r>
      <w:r>
        <w:t xml:space="preserve"> </w:t>
      </w:r>
      <w:r w:rsidRPr="00563189">
        <w:t>Minister of Defence v Potsane and Another; Legal Soldier (Pty) Ltd and Others v Minister of Defence and Others 2002 (1) SA 1 (CC)</w:t>
      </w:r>
      <w:r>
        <w:t xml:space="preserve"> at para 39</w:t>
      </w:r>
    </w:p>
  </w:footnote>
  <w:footnote w:id="12">
    <w:p w14:paraId="50E59069" w14:textId="5FF94DAF" w:rsidR="00AF7A7B" w:rsidRPr="00AF7A7B" w:rsidRDefault="00AF7A7B">
      <w:pPr>
        <w:pStyle w:val="FootnoteText"/>
        <w:rPr>
          <w:lang w:val="en-US"/>
        </w:rPr>
      </w:pPr>
      <w:r>
        <w:rPr>
          <w:rStyle w:val="FootnoteReference"/>
        </w:rPr>
        <w:footnoteRef/>
      </w:r>
      <w:r>
        <w:t xml:space="preserve"> </w:t>
      </w:r>
      <w:r w:rsidRPr="00563189">
        <w:t>Minister of Defence v Potsane</w:t>
      </w:r>
      <w:r>
        <w:t xml:space="preserve">, </w:t>
      </w:r>
      <w:r>
        <w:rPr>
          <w:i/>
          <w:iCs/>
        </w:rPr>
        <w:t>supra</w:t>
      </w:r>
      <w:r>
        <w:t xml:space="preserve"> at para 40</w:t>
      </w:r>
    </w:p>
  </w:footnote>
  <w:footnote w:id="13">
    <w:p w14:paraId="5B6FFF8D" w14:textId="77777777" w:rsidR="00F0491F" w:rsidRPr="00C514FC" w:rsidRDefault="00F0491F" w:rsidP="00F0491F">
      <w:pPr>
        <w:pStyle w:val="FootnoteText"/>
        <w:rPr>
          <w:lang w:val="en-US"/>
        </w:rPr>
      </w:pPr>
      <w:r>
        <w:rPr>
          <w:rStyle w:val="FootnoteReference"/>
        </w:rPr>
        <w:footnoteRef/>
      </w:r>
      <w:r>
        <w:t xml:space="preserve"> </w:t>
      </w:r>
      <w:r>
        <w:rPr>
          <w:lang w:val="en-US"/>
        </w:rPr>
        <w:t xml:space="preserve">Published under </w:t>
      </w:r>
      <w:r w:rsidRPr="00C514FC">
        <w:rPr>
          <w:lang w:val="en-US"/>
        </w:rPr>
        <w:t>GN R1263 in GG 40347 of 14 October 2016</w:t>
      </w:r>
    </w:p>
  </w:footnote>
  <w:footnote w:id="14">
    <w:p w14:paraId="72ABBA28" w14:textId="77777777" w:rsidR="00F0491F" w:rsidRPr="00332326" w:rsidRDefault="00F0491F" w:rsidP="00F0491F">
      <w:pPr>
        <w:pStyle w:val="FootnoteText"/>
        <w:jc w:val="both"/>
        <w:rPr>
          <w:lang w:val="en-US"/>
        </w:rPr>
      </w:pPr>
      <w:r>
        <w:rPr>
          <w:rStyle w:val="FootnoteReference"/>
        </w:rPr>
        <w:footnoteRef/>
      </w:r>
      <w:r>
        <w:t xml:space="preserve"> </w:t>
      </w:r>
      <w:r w:rsidRPr="00AA2CF9">
        <w:rPr>
          <w:lang w:val="en-US"/>
        </w:rPr>
        <w:t>R998 published in Government Gazette 20376 of 20 August 1999</w:t>
      </w:r>
      <w:r>
        <w:rPr>
          <w:lang w:val="en-US"/>
        </w:rPr>
        <w:t xml:space="preserve">. See </w:t>
      </w:r>
      <w:r w:rsidRPr="00AA2CF9">
        <w:rPr>
          <w:lang w:val="en-US"/>
        </w:rPr>
        <w:t>South African National Defence Union v Minister of Defence and Others 2007 (5) SA 400</w:t>
      </w:r>
      <w:r>
        <w:rPr>
          <w:lang w:val="en-US"/>
        </w:rPr>
        <w:t xml:space="preserve"> (CC) at para 4 </w:t>
      </w:r>
    </w:p>
  </w:footnote>
  <w:footnote w:id="15">
    <w:p w14:paraId="59879D6E" w14:textId="17D8B172" w:rsidR="00D92CE0" w:rsidRPr="00D92CE0" w:rsidRDefault="00D92CE0" w:rsidP="00D92CE0">
      <w:pPr>
        <w:pStyle w:val="FootnoteText"/>
        <w:jc w:val="both"/>
        <w:rPr>
          <w:lang w:val="en-US"/>
        </w:rPr>
      </w:pPr>
      <w:r>
        <w:rPr>
          <w:rStyle w:val="FootnoteReference"/>
        </w:rPr>
        <w:footnoteRef/>
      </w:r>
      <w:r>
        <w:t xml:space="preserve"> </w:t>
      </w:r>
      <w:r w:rsidRPr="00D92CE0">
        <w:t>Fedsure Life Assurance Ltd and Others v Greater Johannesburg Transitional Metropolitan Council and Others 1999 (1) SA 374 (CC)</w:t>
      </w:r>
      <w:r>
        <w:t xml:space="preserve"> at para 58; </w:t>
      </w:r>
      <w:r w:rsidRPr="00D92CE0">
        <w:t>Affordable Medicines Trust and Others v Minister of Health and Others 2006 (3) SA 247 (CC)</w:t>
      </w:r>
      <w:r>
        <w:t xml:space="preserve"> at para 50</w:t>
      </w:r>
    </w:p>
  </w:footnote>
  <w:footnote w:id="16">
    <w:p w14:paraId="71345E09" w14:textId="432F6031" w:rsidR="00BF1FD1" w:rsidRPr="00BF1FD1" w:rsidRDefault="00BF1FD1">
      <w:pPr>
        <w:pStyle w:val="FootnoteText"/>
        <w:rPr>
          <w:lang w:val="en-US"/>
        </w:rPr>
      </w:pPr>
      <w:r>
        <w:rPr>
          <w:rStyle w:val="FootnoteReference"/>
        </w:rPr>
        <w:footnoteRef/>
      </w:r>
      <w:r>
        <w:t xml:space="preserve"> </w:t>
      </w:r>
      <w:r w:rsidRPr="00BF1FD1">
        <w:t>Director of Public Prosecutions, Cape of Good Hope v Robinson 2005 (4) SA 1 (CC)</w:t>
      </w:r>
      <w:r>
        <w:t xml:space="preserve"> at para 30</w:t>
      </w:r>
      <w:r w:rsidR="00E061D9">
        <w:t>;</w:t>
      </w:r>
      <w:r>
        <w:t xml:space="preserve"> </w:t>
      </w:r>
      <w:r w:rsidRPr="00BF1FD1">
        <w:t>Director of Public Prosecutions, Cape of Good Hope v Robinson 2005 (4) SA 1 (CC)</w:t>
      </w:r>
      <w:r>
        <w:t xml:space="preserve"> at para 2</w:t>
      </w:r>
    </w:p>
  </w:footnote>
  <w:footnote w:id="17">
    <w:p w14:paraId="5B15133E" w14:textId="67174737" w:rsidR="00B43CC8" w:rsidRPr="00B43CC8" w:rsidRDefault="00B43CC8">
      <w:pPr>
        <w:pStyle w:val="FootnoteText"/>
        <w:rPr>
          <w:lang w:val="en-US"/>
        </w:rPr>
      </w:pPr>
      <w:r>
        <w:rPr>
          <w:rStyle w:val="FootnoteReference"/>
        </w:rPr>
        <w:footnoteRef/>
      </w:r>
      <w:r>
        <w:t xml:space="preserve"> </w:t>
      </w:r>
      <w:r w:rsidRPr="00B43CC8">
        <w:t>Biowatch Trust v Registrar, Genetic Resources 2009 (6) SA 232 (CC)</w:t>
      </w:r>
      <w:r>
        <w:t xml:space="preserve"> at para’s 22 to 23</w:t>
      </w:r>
    </w:p>
  </w:footnote>
  <w:footnote w:id="18">
    <w:p w14:paraId="1C3044C8" w14:textId="7B5A5D10" w:rsidR="00B43CC8" w:rsidRPr="00B43CC8" w:rsidRDefault="00B43CC8">
      <w:pPr>
        <w:pStyle w:val="FootnoteText"/>
        <w:rPr>
          <w:lang w:val="en-US"/>
        </w:rPr>
      </w:pPr>
      <w:r>
        <w:rPr>
          <w:rStyle w:val="FootnoteReference"/>
        </w:rPr>
        <w:footnoteRef/>
      </w:r>
      <w:r>
        <w:t xml:space="preserve"> </w:t>
      </w:r>
      <w:r w:rsidRPr="00B43CC8">
        <w:t>The Helen Suzman Foundation v The Speaker of the National Assembly 2020 JDR 2119 (GP)</w:t>
      </w:r>
      <w:r>
        <w:t xml:space="preserve"> at </w:t>
      </w:r>
      <w:r w:rsidR="00225F16">
        <w:t>para’s 112 to 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52577224"/>
      <w:docPartObj>
        <w:docPartGallery w:val="Page Numbers (Top of Page)"/>
        <w:docPartUnique/>
      </w:docPartObj>
    </w:sdtPr>
    <w:sdtEndPr>
      <w:rPr>
        <w:rStyle w:val="PageNumber"/>
      </w:rPr>
    </w:sdtEndPr>
    <w:sdtContent>
      <w:p w14:paraId="4545A2FF" w14:textId="3C3AF184" w:rsidR="00DC32A6" w:rsidRDefault="00DC32A6" w:rsidP="00DC32A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48DCA6" w14:textId="77777777" w:rsidR="00DC32A6" w:rsidRDefault="00DC32A6" w:rsidP="00294AF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6951333"/>
      <w:docPartObj>
        <w:docPartGallery w:val="Page Numbers (Top of Page)"/>
        <w:docPartUnique/>
      </w:docPartObj>
    </w:sdtPr>
    <w:sdtEndPr>
      <w:rPr>
        <w:rStyle w:val="PageNumber"/>
      </w:rPr>
    </w:sdtEndPr>
    <w:sdtContent>
      <w:p w14:paraId="75339F53" w14:textId="06523A9E" w:rsidR="00DC32A6" w:rsidRDefault="00DC32A6" w:rsidP="00DC32A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A581A">
          <w:rPr>
            <w:rStyle w:val="PageNumber"/>
            <w:noProof/>
          </w:rPr>
          <w:t>2</w:t>
        </w:r>
        <w:r>
          <w:rPr>
            <w:rStyle w:val="PageNumber"/>
          </w:rPr>
          <w:fldChar w:fldCharType="end"/>
        </w:r>
      </w:p>
    </w:sdtContent>
  </w:sdt>
  <w:p w14:paraId="1634732F" w14:textId="77777777" w:rsidR="00DC32A6" w:rsidRDefault="00DC32A6" w:rsidP="00294AF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1B996723"/>
    <w:multiLevelType w:val="multilevel"/>
    <w:tmpl w:val="46E4EC8A"/>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EBC490A"/>
    <w:multiLevelType w:val="hybridMultilevel"/>
    <w:tmpl w:val="A2B46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0474BD"/>
    <w:multiLevelType w:val="multilevel"/>
    <w:tmpl w:val="324E306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4ACF2A8F"/>
    <w:multiLevelType w:val="hybridMultilevel"/>
    <w:tmpl w:val="6CD47178"/>
    <w:lvl w:ilvl="0" w:tplc="7520EE0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5EE07CC2"/>
    <w:multiLevelType w:val="multilevel"/>
    <w:tmpl w:val="46E4EC8A"/>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BF11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5"/>
  </w:num>
  <w:num w:numId="4">
    <w:abstractNumId w:val="4"/>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C8"/>
    <w:rsid w:val="00000AAC"/>
    <w:rsid w:val="000012D8"/>
    <w:rsid w:val="00007612"/>
    <w:rsid w:val="00023C23"/>
    <w:rsid w:val="00047064"/>
    <w:rsid w:val="00051321"/>
    <w:rsid w:val="000557A0"/>
    <w:rsid w:val="00057ECF"/>
    <w:rsid w:val="000620AA"/>
    <w:rsid w:val="00064983"/>
    <w:rsid w:val="00067D0F"/>
    <w:rsid w:val="00087EC2"/>
    <w:rsid w:val="000A0686"/>
    <w:rsid w:val="000B54BA"/>
    <w:rsid w:val="000C6D26"/>
    <w:rsid w:val="000D199F"/>
    <w:rsid w:val="000F3904"/>
    <w:rsid w:val="000F4C4C"/>
    <w:rsid w:val="000F626C"/>
    <w:rsid w:val="00106555"/>
    <w:rsid w:val="00123FFE"/>
    <w:rsid w:val="00134740"/>
    <w:rsid w:val="00135755"/>
    <w:rsid w:val="00135CAD"/>
    <w:rsid w:val="001573B5"/>
    <w:rsid w:val="00191018"/>
    <w:rsid w:val="00192D45"/>
    <w:rsid w:val="001931D8"/>
    <w:rsid w:val="001A132C"/>
    <w:rsid w:val="001A3E35"/>
    <w:rsid w:val="001A71CB"/>
    <w:rsid w:val="001B2D73"/>
    <w:rsid w:val="001B69FD"/>
    <w:rsid w:val="001B7B61"/>
    <w:rsid w:val="001D070A"/>
    <w:rsid w:val="001D322A"/>
    <w:rsid w:val="001D5A88"/>
    <w:rsid w:val="001E2E6F"/>
    <w:rsid w:val="001E33A9"/>
    <w:rsid w:val="001E7284"/>
    <w:rsid w:val="001F4A6F"/>
    <w:rsid w:val="00211AE7"/>
    <w:rsid w:val="00215D93"/>
    <w:rsid w:val="002212CB"/>
    <w:rsid w:val="00225F16"/>
    <w:rsid w:val="0022631C"/>
    <w:rsid w:val="00230681"/>
    <w:rsid w:val="00236D59"/>
    <w:rsid w:val="0026785C"/>
    <w:rsid w:val="00271086"/>
    <w:rsid w:val="002845FB"/>
    <w:rsid w:val="00294AF2"/>
    <w:rsid w:val="00295BA0"/>
    <w:rsid w:val="002A1A3E"/>
    <w:rsid w:val="002A2533"/>
    <w:rsid w:val="002B3053"/>
    <w:rsid w:val="002D4ABF"/>
    <w:rsid w:val="002D62DC"/>
    <w:rsid w:val="002D7DC7"/>
    <w:rsid w:val="002E0639"/>
    <w:rsid w:val="002E41FE"/>
    <w:rsid w:val="002F4886"/>
    <w:rsid w:val="002F5D13"/>
    <w:rsid w:val="00307A3D"/>
    <w:rsid w:val="00313449"/>
    <w:rsid w:val="003175D1"/>
    <w:rsid w:val="00320F9D"/>
    <w:rsid w:val="0032241F"/>
    <w:rsid w:val="00322741"/>
    <w:rsid w:val="003242BC"/>
    <w:rsid w:val="00325154"/>
    <w:rsid w:val="00327E94"/>
    <w:rsid w:val="00332326"/>
    <w:rsid w:val="00342194"/>
    <w:rsid w:val="003609B6"/>
    <w:rsid w:val="00367355"/>
    <w:rsid w:val="0037212A"/>
    <w:rsid w:val="00384A07"/>
    <w:rsid w:val="00387371"/>
    <w:rsid w:val="003A03B2"/>
    <w:rsid w:val="003A1833"/>
    <w:rsid w:val="003A7006"/>
    <w:rsid w:val="003A73ED"/>
    <w:rsid w:val="003B6198"/>
    <w:rsid w:val="003C3889"/>
    <w:rsid w:val="003D0715"/>
    <w:rsid w:val="003D542C"/>
    <w:rsid w:val="003D54D5"/>
    <w:rsid w:val="003F0481"/>
    <w:rsid w:val="003F2742"/>
    <w:rsid w:val="003F2AC0"/>
    <w:rsid w:val="003F2B1F"/>
    <w:rsid w:val="003F2B54"/>
    <w:rsid w:val="003F5D8C"/>
    <w:rsid w:val="00403EA9"/>
    <w:rsid w:val="00404C25"/>
    <w:rsid w:val="0040786C"/>
    <w:rsid w:val="00407E51"/>
    <w:rsid w:val="004129C8"/>
    <w:rsid w:val="004132E8"/>
    <w:rsid w:val="0041688A"/>
    <w:rsid w:val="0042256D"/>
    <w:rsid w:val="004233D2"/>
    <w:rsid w:val="0042551C"/>
    <w:rsid w:val="0042667D"/>
    <w:rsid w:val="00426BA0"/>
    <w:rsid w:val="0044299D"/>
    <w:rsid w:val="00450898"/>
    <w:rsid w:val="00453FB9"/>
    <w:rsid w:val="00456EE7"/>
    <w:rsid w:val="00461CD3"/>
    <w:rsid w:val="00461E62"/>
    <w:rsid w:val="00466510"/>
    <w:rsid w:val="004758DD"/>
    <w:rsid w:val="00476B3B"/>
    <w:rsid w:val="004908A7"/>
    <w:rsid w:val="004923A8"/>
    <w:rsid w:val="004B0875"/>
    <w:rsid w:val="004B6CE9"/>
    <w:rsid w:val="004C14A1"/>
    <w:rsid w:val="004D1B19"/>
    <w:rsid w:val="004D6882"/>
    <w:rsid w:val="004F1116"/>
    <w:rsid w:val="004F4A19"/>
    <w:rsid w:val="0050203C"/>
    <w:rsid w:val="00512FBA"/>
    <w:rsid w:val="00517C2C"/>
    <w:rsid w:val="0052012A"/>
    <w:rsid w:val="00525700"/>
    <w:rsid w:val="005354A7"/>
    <w:rsid w:val="00536508"/>
    <w:rsid w:val="00536F2F"/>
    <w:rsid w:val="00553830"/>
    <w:rsid w:val="00560C3D"/>
    <w:rsid w:val="00561BE8"/>
    <w:rsid w:val="00563189"/>
    <w:rsid w:val="0056544D"/>
    <w:rsid w:val="00567F08"/>
    <w:rsid w:val="005709FB"/>
    <w:rsid w:val="00584D68"/>
    <w:rsid w:val="00593E35"/>
    <w:rsid w:val="005968E0"/>
    <w:rsid w:val="005A2C0D"/>
    <w:rsid w:val="005A4274"/>
    <w:rsid w:val="005A7888"/>
    <w:rsid w:val="005B767B"/>
    <w:rsid w:val="005B799A"/>
    <w:rsid w:val="005C1F27"/>
    <w:rsid w:val="005C2E72"/>
    <w:rsid w:val="005C4521"/>
    <w:rsid w:val="005D1EAE"/>
    <w:rsid w:val="005D6256"/>
    <w:rsid w:val="005D6B8B"/>
    <w:rsid w:val="005E0926"/>
    <w:rsid w:val="005F08D6"/>
    <w:rsid w:val="005F1295"/>
    <w:rsid w:val="006017CF"/>
    <w:rsid w:val="00602008"/>
    <w:rsid w:val="00604EF7"/>
    <w:rsid w:val="006157FB"/>
    <w:rsid w:val="0062038F"/>
    <w:rsid w:val="00625968"/>
    <w:rsid w:val="0063262E"/>
    <w:rsid w:val="00633E40"/>
    <w:rsid w:val="00637E33"/>
    <w:rsid w:val="00640BB1"/>
    <w:rsid w:val="006507BE"/>
    <w:rsid w:val="00650C83"/>
    <w:rsid w:val="0065128D"/>
    <w:rsid w:val="00651E18"/>
    <w:rsid w:val="0065508F"/>
    <w:rsid w:val="00656DE7"/>
    <w:rsid w:val="00666A25"/>
    <w:rsid w:val="00667F53"/>
    <w:rsid w:val="00694776"/>
    <w:rsid w:val="006A3B2E"/>
    <w:rsid w:val="006A5F82"/>
    <w:rsid w:val="006B3383"/>
    <w:rsid w:val="006B7DC1"/>
    <w:rsid w:val="006C4499"/>
    <w:rsid w:val="006C5368"/>
    <w:rsid w:val="006D0C85"/>
    <w:rsid w:val="006D5508"/>
    <w:rsid w:val="006E723A"/>
    <w:rsid w:val="006E7533"/>
    <w:rsid w:val="006F3D4B"/>
    <w:rsid w:val="00700AD5"/>
    <w:rsid w:val="00700F57"/>
    <w:rsid w:val="00711B6C"/>
    <w:rsid w:val="0071414D"/>
    <w:rsid w:val="00714204"/>
    <w:rsid w:val="00717DC4"/>
    <w:rsid w:val="00722E81"/>
    <w:rsid w:val="00722EE6"/>
    <w:rsid w:val="00723956"/>
    <w:rsid w:val="0072639D"/>
    <w:rsid w:val="007339EA"/>
    <w:rsid w:val="0073518F"/>
    <w:rsid w:val="0073624D"/>
    <w:rsid w:val="00740CFE"/>
    <w:rsid w:val="00746367"/>
    <w:rsid w:val="00746FF3"/>
    <w:rsid w:val="00754457"/>
    <w:rsid w:val="00756BF9"/>
    <w:rsid w:val="00767961"/>
    <w:rsid w:val="00774742"/>
    <w:rsid w:val="007822AA"/>
    <w:rsid w:val="007B33DD"/>
    <w:rsid w:val="007C30D1"/>
    <w:rsid w:val="007D3B90"/>
    <w:rsid w:val="007E2F79"/>
    <w:rsid w:val="007E3D72"/>
    <w:rsid w:val="007E5F50"/>
    <w:rsid w:val="007F40A3"/>
    <w:rsid w:val="007F5BF1"/>
    <w:rsid w:val="00800D9C"/>
    <w:rsid w:val="00804448"/>
    <w:rsid w:val="00824DB4"/>
    <w:rsid w:val="00834096"/>
    <w:rsid w:val="00840803"/>
    <w:rsid w:val="008464C5"/>
    <w:rsid w:val="00846EDC"/>
    <w:rsid w:val="00851B6E"/>
    <w:rsid w:val="00851F91"/>
    <w:rsid w:val="00853EC1"/>
    <w:rsid w:val="00854042"/>
    <w:rsid w:val="00857E6E"/>
    <w:rsid w:val="008608AD"/>
    <w:rsid w:val="00862AB7"/>
    <w:rsid w:val="008A5970"/>
    <w:rsid w:val="008A6C31"/>
    <w:rsid w:val="008B343C"/>
    <w:rsid w:val="008B4568"/>
    <w:rsid w:val="008B6E73"/>
    <w:rsid w:val="008C7CC5"/>
    <w:rsid w:val="008D4423"/>
    <w:rsid w:val="008D6FD4"/>
    <w:rsid w:val="008D7725"/>
    <w:rsid w:val="008E4AE4"/>
    <w:rsid w:val="008F4073"/>
    <w:rsid w:val="009105EF"/>
    <w:rsid w:val="00916598"/>
    <w:rsid w:val="00916F89"/>
    <w:rsid w:val="0092057B"/>
    <w:rsid w:val="00924EA1"/>
    <w:rsid w:val="009404C2"/>
    <w:rsid w:val="00940A2B"/>
    <w:rsid w:val="00951FF2"/>
    <w:rsid w:val="0096007A"/>
    <w:rsid w:val="00960D9C"/>
    <w:rsid w:val="00981BCA"/>
    <w:rsid w:val="00984AAA"/>
    <w:rsid w:val="00985801"/>
    <w:rsid w:val="00995CF9"/>
    <w:rsid w:val="009A2DA9"/>
    <w:rsid w:val="009A2E32"/>
    <w:rsid w:val="009B43B4"/>
    <w:rsid w:val="009B6951"/>
    <w:rsid w:val="009C0791"/>
    <w:rsid w:val="009C5AFA"/>
    <w:rsid w:val="009C6D3C"/>
    <w:rsid w:val="009C70D3"/>
    <w:rsid w:val="009D1016"/>
    <w:rsid w:val="009D19E2"/>
    <w:rsid w:val="009E1384"/>
    <w:rsid w:val="009E175A"/>
    <w:rsid w:val="009F1E08"/>
    <w:rsid w:val="009F3536"/>
    <w:rsid w:val="00A0068E"/>
    <w:rsid w:val="00A055C0"/>
    <w:rsid w:val="00A06AB2"/>
    <w:rsid w:val="00A111DD"/>
    <w:rsid w:val="00A17A2E"/>
    <w:rsid w:val="00A342A3"/>
    <w:rsid w:val="00A41C0E"/>
    <w:rsid w:val="00A4510E"/>
    <w:rsid w:val="00A454AC"/>
    <w:rsid w:val="00A528A8"/>
    <w:rsid w:val="00A56F9B"/>
    <w:rsid w:val="00A66567"/>
    <w:rsid w:val="00A83E7B"/>
    <w:rsid w:val="00A86BD3"/>
    <w:rsid w:val="00A90B49"/>
    <w:rsid w:val="00A95CD0"/>
    <w:rsid w:val="00A96A33"/>
    <w:rsid w:val="00A976B3"/>
    <w:rsid w:val="00AA2CF9"/>
    <w:rsid w:val="00AA395D"/>
    <w:rsid w:val="00AB1F43"/>
    <w:rsid w:val="00AB2427"/>
    <w:rsid w:val="00AB2988"/>
    <w:rsid w:val="00AB4F00"/>
    <w:rsid w:val="00AB62A4"/>
    <w:rsid w:val="00AB6B87"/>
    <w:rsid w:val="00AD340D"/>
    <w:rsid w:val="00AD4FA0"/>
    <w:rsid w:val="00AE09EC"/>
    <w:rsid w:val="00AF0F11"/>
    <w:rsid w:val="00AF6954"/>
    <w:rsid w:val="00AF7A7B"/>
    <w:rsid w:val="00B0011F"/>
    <w:rsid w:val="00B01EB4"/>
    <w:rsid w:val="00B02535"/>
    <w:rsid w:val="00B02C96"/>
    <w:rsid w:val="00B2474A"/>
    <w:rsid w:val="00B26EC5"/>
    <w:rsid w:val="00B31EF8"/>
    <w:rsid w:val="00B34F15"/>
    <w:rsid w:val="00B43CC8"/>
    <w:rsid w:val="00B458B8"/>
    <w:rsid w:val="00B53CE5"/>
    <w:rsid w:val="00B57F3E"/>
    <w:rsid w:val="00B653A7"/>
    <w:rsid w:val="00B653E6"/>
    <w:rsid w:val="00B66DE0"/>
    <w:rsid w:val="00B707AE"/>
    <w:rsid w:val="00B70EE8"/>
    <w:rsid w:val="00B77C1A"/>
    <w:rsid w:val="00B807CA"/>
    <w:rsid w:val="00B818EE"/>
    <w:rsid w:val="00B81E60"/>
    <w:rsid w:val="00B84C26"/>
    <w:rsid w:val="00B84EC6"/>
    <w:rsid w:val="00B854DA"/>
    <w:rsid w:val="00B85FA1"/>
    <w:rsid w:val="00B878C1"/>
    <w:rsid w:val="00B93E2D"/>
    <w:rsid w:val="00B94ED3"/>
    <w:rsid w:val="00BB53C3"/>
    <w:rsid w:val="00BB5D87"/>
    <w:rsid w:val="00BC1C77"/>
    <w:rsid w:val="00BD35EA"/>
    <w:rsid w:val="00BD4DC9"/>
    <w:rsid w:val="00BE6539"/>
    <w:rsid w:val="00BE6E44"/>
    <w:rsid w:val="00BF1FD1"/>
    <w:rsid w:val="00BF75C6"/>
    <w:rsid w:val="00BF795A"/>
    <w:rsid w:val="00C0366B"/>
    <w:rsid w:val="00C06F9F"/>
    <w:rsid w:val="00C0714F"/>
    <w:rsid w:val="00C10816"/>
    <w:rsid w:val="00C275B6"/>
    <w:rsid w:val="00C33A7B"/>
    <w:rsid w:val="00C37698"/>
    <w:rsid w:val="00C42352"/>
    <w:rsid w:val="00C43592"/>
    <w:rsid w:val="00C514FC"/>
    <w:rsid w:val="00C5284A"/>
    <w:rsid w:val="00C5763E"/>
    <w:rsid w:val="00C64085"/>
    <w:rsid w:val="00C64D51"/>
    <w:rsid w:val="00C707DE"/>
    <w:rsid w:val="00C7292E"/>
    <w:rsid w:val="00C93FA2"/>
    <w:rsid w:val="00CA3DB7"/>
    <w:rsid w:val="00CA57CE"/>
    <w:rsid w:val="00CA5B13"/>
    <w:rsid w:val="00CA5B4A"/>
    <w:rsid w:val="00CC08B9"/>
    <w:rsid w:val="00CC1A9A"/>
    <w:rsid w:val="00CC746D"/>
    <w:rsid w:val="00CE3926"/>
    <w:rsid w:val="00CF175B"/>
    <w:rsid w:val="00CF7685"/>
    <w:rsid w:val="00D13750"/>
    <w:rsid w:val="00D17E50"/>
    <w:rsid w:val="00D20664"/>
    <w:rsid w:val="00D22836"/>
    <w:rsid w:val="00D323CF"/>
    <w:rsid w:val="00D334F8"/>
    <w:rsid w:val="00D33DB9"/>
    <w:rsid w:val="00D356DF"/>
    <w:rsid w:val="00D43DE7"/>
    <w:rsid w:val="00D44B95"/>
    <w:rsid w:val="00D510A3"/>
    <w:rsid w:val="00D53522"/>
    <w:rsid w:val="00D5485D"/>
    <w:rsid w:val="00D55D65"/>
    <w:rsid w:val="00D5603F"/>
    <w:rsid w:val="00D611E4"/>
    <w:rsid w:val="00D658AD"/>
    <w:rsid w:val="00D807B5"/>
    <w:rsid w:val="00D816AD"/>
    <w:rsid w:val="00D81D59"/>
    <w:rsid w:val="00D84AE0"/>
    <w:rsid w:val="00D8703D"/>
    <w:rsid w:val="00D915C3"/>
    <w:rsid w:val="00D92CE0"/>
    <w:rsid w:val="00DA09CC"/>
    <w:rsid w:val="00DA7CB9"/>
    <w:rsid w:val="00DC32A6"/>
    <w:rsid w:val="00DC7F62"/>
    <w:rsid w:val="00DD2D89"/>
    <w:rsid w:val="00DE085B"/>
    <w:rsid w:val="00DE4F7C"/>
    <w:rsid w:val="00DF124C"/>
    <w:rsid w:val="00DF2111"/>
    <w:rsid w:val="00DF772F"/>
    <w:rsid w:val="00E061D9"/>
    <w:rsid w:val="00E133F2"/>
    <w:rsid w:val="00E16AA3"/>
    <w:rsid w:val="00E17A4E"/>
    <w:rsid w:val="00E2248C"/>
    <w:rsid w:val="00E25360"/>
    <w:rsid w:val="00E406CC"/>
    <w:rsid w:val="00E53BB8"/>
    <w:rsid w:val="00E6018B"/>
    <w:rsid w:val="00E639B8"/>
    <w:rsid w:val="00E65A4A"/>
    <w:rsid w:val="00E67728"/>
    <w:rsid w:val="00E814A8"/>
    <w:rsid w:val="00E81642"/>
    <w:rsid w:val="00E81BC0"/>
    <w:rsid w:val="00E81C43"/>
    <w:rsid w:val="00E86713"/>
    <w:rsid w:val="00E871C2"/>
    <w:rsid w:val="00EA1B62"/>
    <w:rsid w:val="00EA28E0"/>
    <w:rsid w:val="00EB508E"/>
    <w:rsid w:val="00EC01BF"/>
    <w:rsid w:val="00EC0A01"/>
    <w:rsid w:val="00EC1508"/>
    <w:rsid w:val="00EC3264"/>
    <w:rsid w:val="00EE2749"/>
    <w:rsid w:val="00EE4D9D"/>
    <w:rsid w:val="00EE70FC"/>
    <w:rsid w:val="00EE74AC"/>
    <w:rsid w:val="00F01ECB"/>
    <w:rsid w:val="00F03CFC"/>
    <w:rsid w:val="00F0491F"/>
    <w:rsid w:val="00F11F2C"/>
    <w:rsid w:val="00F13F26"/>
    <w:rsid w:val="00F20890"/>
    <w:rsid w:val="00F22011"/>
    <w:rsid w:val="00F30BDB"/>
    <w:rsid w:val="00F37218"/>
    <w:rsid w:val="00F41781"/>
    <w:rsid w:val="00F47799"/>
    <w:rsid w:val="00F5258F"/>
    <w:rsid w:val="00F54136"/>
    <w:rsid w:val="00F541DF"/>
    <w:rsid w:val="00F56CC2"/>
    <w:rsid w:val="00F575A3"/>
    <w:rsid w:val="00F65EF5"/>
    <w:rsid w:val="00F719D6"/>
    <w:rsid w:val="00F841CE"/>
    <w:rsid w:val="00F94301"/>
    <w:rsid w:val="00F96D97"/>
    <w:rsid w:val="00F97611"/>
    <w:rsid w:val="00F97A90"/>
    <w:rsid w:val="00FA26A6"/>
    <w:rsid w:val="00FA2DF3"/>
    <w:rsid w:val="00FA581A"/>
    <w:rsid w:val="00FA5E84"/>
    <w:rsid w:val="00FA656D"/>
    <w:rsid w:val="00FB24FD"/>
    <w:rsid w:val="00FB2C79"/>
    <w:rsid w:val="00FD6BD2"/>
    <w:rsid w:val="00FE2540"/>
    <w:rsid w:val="00FF33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EF3E"/>
  <w15:chartTrackingRefBased/>
  <w15:docId w15:val="{BF32638A-D331-3A40-8DE9-DFD62E6B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96A33"/>
    <w:pPr>
      <w:keepNext/>
      <w:tabs>
        <w:tab w:val="left" w:pos="540"/>
      </w:tabs>
      <w:spacing w:line="480" w:lineRule="auto"/>
      <w:jc w:val="both"/>
      <w:outlineLvl w:val="0"/>
    </w:pPr>
    <w:rPr>
      <w:rFonts w:ascii="Times New Roman" w:eastAsia="Times New Roman" w:hAnsi="Times New Roman" w:cs="Times New Roman"/>
      <w:b/>
      <w:bCs/>
      <w:u w:val="single"/>
      <w:lang w:val="en-GB"/>
    </w:rPr>
  </w:style>
  <w:style w:type="paragraph" w:styleId="Heading2">
    <w:name w:val="heading 2"/>
    <w:basedOn w:val="Normal"/>
    <w:next w:val="Normal"/>
    <w:link w:val="Heading2Char"/>
    <w:uiPriority w:val="9"/>
    <w:semiHidden/>
    <w:unhideWhenUsed/>
    <w:qFormat/>
    <w:rsid w:val="0065508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9C8"/>
    <w:pPr>
      <w:ind w:left="720"/>
      <w:contextualSpacing/>
    </w:pPr>
  </w:style>
  <w:style w:type="paragraph" w:styleId="Header">
    <w:name w:val="header"/>
    <w:basedOn w:val="Normal"/>
    <w:link w:val="HeaderChar"/>
    <w:uiPriority w:val="99"/>
    <w:unhideWhenUsed/>
    <w:rsid w:val="00294AF2"/>
    <w:pPr>
      <w:tabs>
        <w:tab w:val="center" w:pos="4680"/>
        <w:tab w:val="right" w:pos="9360"/>
      </w:tabs>
    </w:pPr>
  </w:style>
  <w:style w:type="character" w:customStyle="1" w:styleId="HeaderChar">
    <w:name w:val="Header Char"/>
    <w:basedOn w:val="DefaultParagraphFont"/>
    <w:link w:val="Header"/>
    <w:uiPriority w:val="99"/>
    <w:rsid w:val="00294AF2"/>
  </w:style>
  <w:style w:type="character" w:styleId="PageNumber">
    <w:name w:val="page number"/>
    <w:basedOn w:val="DefaultParagraphFont"/>
    <w:uiPriority w:val="99"/>
    <w:semiHidden/>
    <w:unhideWhenUsed/>
    <w:rsid w:val="00294AF2"/>
  </w:style>
  <w:style w:type="paragraph" w:styleId="FootnoteText">
    <w:name w:val="footnote text"/>
    <w:basedOn w:val="Normal"/>
    <w:link w:val="FootnoteTextChar"/>
    <w:uiPriority w:val="99"/>
    <w:semiHidden/>
    <w:unhideWhenUsed/>
    <w:rsid w:val="005968E0"/>
    <w:rPr>
      <w:sz w:val="20"/>
      <w:szCs w:val="20"/>
    </w:rPr>
  </w:style>
  <w:style w:type="character" w:customStyle="1" w:styleId="FootnoteTextChar">
    <w:name w:val="Footnote Text Char"/>
    <w:basedOn w:val="DefaultParagraphFont"/>
    <w:link w:val="FootnoteText"/>
    <w:uiPriority w:val="99"/>
    <w:semiHidden/>
    <w:rsid w:val="005968E0"/>
    <w:rPr>
      <w:sz w:val="20"/>
      <w:szCs w:val="20"/>
    </w:rPr>
  </w:style>
  <w:style w:type="character" w:styleId="FootnoteReference">
    <w:name w:val="footnote reference"/>
    <w:basedOn w:val="DefaultParagraphFont"/>
    <w:uiPriority w:val="99"/>
    <w:semiHidden/>
    <w:unhideWhenUsed/>
    <w:rsid w:val="005968E0"/>
    <w:rPr>
      <w:vertAlign w:val="superscript"/>
    </w:rPr>
  </w:style>
  <w:style w:type="character" w:customStyle="1" w:styleId="Heading1Char">
    <w:name w:val="Heading 1 Char"/>
    <w:basedOn w:val="DefaultParagraphFont"/>
    <w:link w:val="Heading1"/>
    <w:rsid w:val="00A96A33"/>
    <w:rPr>
      <w:rFonts w:ascii="Times New Roman" w:eastAsia="Times New Roman" w:hAnsi="Times New Roman" w:cs="Times New Roman"/>
      <w:b/>
      <w:bCs/>
      <w:u w:val="single"/>
      <w:lang w:val="en-GB"/>
    </w:rPr>
  </w:style>
  <w:style w:type="character" w:customStyle="1" w:styleId="Heading2Char">
    <w:name w:val="Heading 2 Char"/>
    <w:basedOn w:val="DefaultParagraphFont"/>
    <w:link w:val="Heading2"/>
    <w:uiPriority w:val="9"/>
    <w:semiHidden/>
    <w:rsid w:val="0065508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F1116"/>
    <w:rPr>
      <w:color w:val="0563C1" w:themeColor="hyperlink"/>
      <w:u w:val="single"/>
    </w:rPr>
  </w:style>
  <w:style w:type="character" w:customStyle="1" w:styleId="UnresolvedMention">
    <w:name w:val="Unresolved Mention"/>
    <w:basedOn w:val="DefaultParagraphFont"/>
    <w:uiPriority w:val="99"/>
    <w:semiHidden/>
    <w:unhideWhenUsed/>
    <w:rsid w:val="004F1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7146">
      <w:bodyDiv w:val="1"/>
      <w:marLeft w:val="0"/>
      <w:marRight w:val="0"/>
      <w:marTop w:val="0"/>
      <w:marBottom w:val="0"/>
      <w:divBdr>
        <w:top w:val="none" w:sz="0" w:space="0" w:color="auto"/>
        <w:left w:val="none" w:sz="0" w:space="0" w:color="auto"/>
        <w:bottom w:val="none" w:sz="0" w:space="0" w:color="auto"/>
        <w:right w:val="none" w:sz="0" w:space="0" w:color="auto"/>
      </w:divBdr>
    </w:div>
    <w:div w:id="445663215">
      <w:bodyDiv w:val="1"/>
      <w:marLeft w:val="0"/>
      <w:marRight w:val="0"/>
      <w:marTop w:val="0"/>
      <w:marBottom w:val="0"/>
      <w:divBdr>
        <w:top w:val="none" w:sz="0" w:space="0" w:color="auto"/>
        <w:left w:val="none" w:sz="0" w:space="0" w:color="auto"/>
        <w:bottom w:val="none" w:sz="0" w:space="0" w:color="auto"/>
        <w:right w:val="none" w:sz="0" w:space="0" w:color="auto"/>
      </w:divBdr>
    </w:div>
    <w:div w:id="451827688">
      <w:bodyDiv w:val="1"/>
      <w:marLeft w:val="0"/>
      <w:marRight w:val="0"/>
      <w:marTop w:val="0"/>
      <w:marBottom w:val="0"/>
      <w:divBdr>
        <w:top w:val="none" w:sz="0" w:space="0" w:color="auto"/>
        <w:left w:val="none" w:sz="0" w:space="0" w:color="auto"/>
        <w:bottom w:val="none" w:sz="0" w:space="0" w:color="auto"/>
        <w:right w:val="none" w:sz="0" w:space="0" w:color="auto"/>
      </w:divBdr>
      <w:divsChild>
        <w:div w:id="612172868">
          <w:marLeft w:val="0"/>
          <w:marRight w:val="0"/>
          <w:marTop w:val="60"/>
          <w:marBottom w:val="0"/>
          <w:divBdr>
            <w:top w:val="none" w:sz="0" w:space="0" w:color="auto"/>
            <w:left w:val="none" w:sz="0" w:space="0" w:color="auto"/>
            <w:bottom w:val="none" w:sz="0" w:space="0" w:color="auto"/>
            <w:right w:val="none" w:sz="0" w:space="0" w:color="auto"/>
          </w:divBdr>
        </w:div>
      </w:divsChild>
    </w:div>
    <w:div w:id="517933299">
      <w:bodyDiv w:val="1"/>
      <w:marLeft w:val="0"/>
      <w:marRight w:val="0"/>
      <w:marTop w:val="0"/>
      <w:marBottom w:val="0"/>
      <w:divBdr>
        <w:top w:val="none" w:sz="0" w:space="0" w:color="auto"/>
        <w:left w:val="none" w:sz="0" w:space="0" w:color="auto"/>
        <w:bottom w:val="none" w:sz="0" w:space="0" w:color="auto"/>
        <w:right w:val="none" w:sz="0" w:space="0" w:color="auto"/>
      </w:divBdr>
    </w:div>
    <w:div w:id="546065623">
      <w:bodyDiv w:val="1"/>
      <w:marLeft w:val="0"/>
      <w:marRight w:val="0"/>
      <w:marTop w:val="0"/>
      <w:marBottom w:val="0"/>
      <w:divBdr>
        <w:top w:val="none" w:sz="0" w:space="0" w:color="auto"/>
        <w:left w:val="none" w:sz="0" w:space="0" w:color="auto"/>
        <w:bottom w:val="none" w:sz="0" w:space="0" w:color="auto"/>
        <w:right w:val="none" w:sz="0" w:space="0" w:color="auto"/>
      </w:divBdr>
    </w:div>
    <w:div w:id="635110939">
      <w:bodyDiv w:val="1"/>
      <w:marLeft w:val="0"/>
      <w:marRight w:val="0"/>
      <w:marTop w:val="0"/>
      <w:marBottom w:val="0"/>
      <w:divBdr>
        <w:top w:val="none" w:sz="0" w:space="0" w:color="auto"/>
        <w:left w:val="none" w:sz="0" w:space="0" w:color="auto"/>
        <w:bottom w:val="none" w:sz="0" w:space="0" w:color="auto"/>
        <w:right w:val="none" w:sz="0" w:space="0" w:color="auto"/>
      </w:divBdr>
    </w:div>
    <w:div w:id="753936166">
      <w:bodyDiv w:val="1"/>
      <w:marLeft w:val="0"/>
      <w:marRight w:val="0"/>
      <w:marTop w:val="0"/>
      <w:marBottom w:val="0"/>
      <w:divBdr>
        <w:top w:val="none" w:sz="0" w:space="0" w:color="auto"/>
        <w:left w:val="none" w:sz="0" w:space="0" w:color="auto"/>
        <w:bottom w:val="none" w:sz="0" w:space="0" w:color="auto"/>
        <w:right w:val="none" w:sz="0" w:space="0" w:color="auto"/>
      </w:divBdr>
      <w:divsChild>
        <w:div w:id="1785268869">
          <w:marLeft w:val="0"/>
          <w:marRight w:val="0"/>
          <w:marTop w:val="0"/>
          <w:marBottom w:val="0"/>
          <w:divBdr>
            <w:top w:val="none" w:sz="0" w:space="0" w:color="auto"/>
            <w:left w:val="none" w:sz="0" w:space="0" w:color="auto"/>
            <w:bottom w:val="none" w:sz="0" w:space="0" w:color="auto"/>
            <w:right w:val="none" w:sz="0" w:space="0" w:color="auto"/>
          </w:divBdr>
          <w:divsChild>
            <w:div w:id="1104495710">
              <w:marLeft w:val="0"/>
              <w:marRight w:val="0"/>
              <w:marTop w:val="0"/>
              <w:marBottom w:val="0"/>
              <w:divBdr>
                <w:top w:val="none" w:sz="0" w:space="0" w:color="auto"/>
                <w:left w:val="none" w:sz="0" w:space="0" w:color="auto"/>
                <w:bottom w:val="none" w:sz="0" w:space="0" w:color="auto"/>
                <w:right w:val="none" w:sz="0" w:space="0" w:color="auto"/>
              </w:divBdr>
              <w:divsChild>
                <w:div w:id="7466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1254">
      <w:bodyDiv w:val="1"/>
      <w:marLeft w:val="0"/>
      <w:marRight w:val="0"/>
      <w:marTop w:val="0"/>
      <w:marBottom w:val="0"/>
      <w:divBdr>
        <w:top w:val="none" w:sz="0" w:space="0" w:color="auto"/>
        <w:left w:val="none" w:sz="0" w:space="0" w:color="auto"/>
        <w:bottom w:val="none" w:sz="0" w:space="0" w:color="auto"/>
        <w:right w:val="none" w:sz="0" w:space="0" w:color="auto"/>
      </w:divBdr>
    </w:div>
    <w:div w:id="870342353">
      <w:bodyDiv w:val="1"/>
      <w:marLeft w:val="0"/>
      <w:marRight w:val="0"/>
      <w:marTop w:val="0"/>
      <w:marBottom w:val="0"/>
      <w:divBdr>
        <w:top w:val="none" w:sz="0" w:space="0" w:color="auto"/>
        <w:left w:val="none" w:sz="0" w:space="0" w:color="auto"/>
        <w:bottom w:val="none" w:sz="0" w:space="0" w:color="auto"/>
        <w:right w:val="none" w:sz="0" w:space="0" w:color="auto"/>
      </w:divBdr>
    </w:div>
    <w:div w:id="1084228787">
      <w:bodyDiv w:val="1"/>
      <w:marLeft w:val="0"/>
      <w:marRight w:val="0"/>
      <w:marTop w:val="0"/>
      <w:marBottom w:val="0"/>
      <w:divBdr>
        <w:top w:val="none" w:sz="0" w:space="0" w:color="auto"/>
        <w:left w:val="none" w:sz="0" w:space="0" w:color="auto"/>
        <w:bottom w:val="none" w:sz="0" w:space="0" w:color="auto"/>
        <w:right w:val="none" w:sz="0" w:space="0" w:color="auto"/>
      </w:divBdr>
    </w:div>
    <w:div w:id="1168669943">
      <w:bodyDiv w:val="1"/>
      <w:marLeft w:val="0"/>
      <w:marRight w:val="0"/>
      <w:marTop w:val="0"/>
      <w:marBottom w:val="0"/>
      <w:divBdr>
        <w:top w:val="none" w:sz="0" w:space="0" w:color="auto"/>
        <w:left w:val="none" w:sz="0" w:space="0" w:color="auto"/>
        <w:bottom w:val="none" w:sz="0" w:space="0" w:color="auto"/>
        <w:right w:val="none" w:sz="0" w:space="0" w:color="auto"/>
      </w:divBdr>
    </w:div>
    <w:div w:id="1330986184">
      <w:bodyDiv w:val="1"/>
      <w:marLeft w:val="0"/>
      <w:marRight w:val="0"/>
      <w:marTop w:val="0"/>
      <w:marBottom w:val="0"/>
      <w:divBdr>
        <w:top w:val="none" w:sz="0" w:space="0" w:color="auto"/>
        <w:left w:val="none" w:sz="0" w:space="0" w:color="auto"/>
        <w:bottom w:val="none" w:sz="0" w:space="0" w:color="auto"/>
        <w:right w:val="none" w:sz="0" w:space="0" w:color="auto"/>
      </w:divBdr>
    </w:div>
    <w:div w:id="1398823914">
      <w:bodyDiv w:val="1"/>
      <w:marLeft w:val="0"/>
      <w:marRight w:val="0"/>
      <w:marTop w:val="0"/>
      <w:marBottom w:val="0"/>
      <w:divBdr>
        <w:top w:val="none" w:sz="0" w:space="0" w:color="auto"/>
        <w:left w:val="none" w:sz="0" w:space="0" w:color="auto"/>
        <w:bottom w:val="none" w:sz="0" w:space="0" w:color="auto"/>
        <w:right w:val="none" w:sz="0" w:space="0" w:color="auto"/>
      </w:divBdr>
    </w:div>
    <w:div w:id="1545867561">
      <w:bodyDiv w:val="1"/>
      <w:marLeft w:val="0"/>
      <w:marRight w:val="0"/>
      <w:marTop w:val="0"/>
      <w:marBottom w:val="0"/>
      <w:divBdr>
        <w:top w:val="none" w:sz="0" w:space="0" w:color="auto"/>
        <w:left w:val="none" w:sz="0" w:space="0" w:color="auto"/>
        <w:bottom w:val="none" w:sz="0" w:space="0" w:color="auto"/>
        <w:right w:val="none" w:sz="0" w:space="0" w:color="auto"/>
      </w:divBdr>
    </w:div>
    <w:div w:id="1609776956">
      <w:bodyDiv w:val="1"/>
      <w:marLeft w:val="0"/>
      <w:marRight w:val="0"/>
      <w:marTop w:val="0"/>
      <w:marBottom w:val="0"/>
      <w:divBdr>
        <w:top w:val="none" w:sz="0" w:space="0" w:color="auto"/>
        <w:left w:val="none" w:sz="0" w:space="0" w:color="auto"/>
        <w:bottom w:val="none" w:sz="0" w:space="0" w:color="auto"/>
        <w:right w:val="none" w:sz="0" w:space="0" w:color="auto"/>
      </w:divBdr>
      <w:divsChild>
        <w:div w:id="584918541">
          <w:marLeft w:val="0"/>
          <w:marRight w:val="0"/>
          <w:marTop w:val="0"/>
          <w:marBottom w:val="0"/>
          <w:divBdr>
            <w:top w:val="none" w:sz="0" w:space="0" w:color="auto"/>
            <w:left w:val="none" w:sz="0" w:space="0" w:color="auto"/>
            <w:bottom w:val="none" w:sz="0" w:space="0" w:color="auto"/>
            <w:right w:val="none" w:sz="0" w:space="0" w:color="auto"/>
          </w:divBdr>
          <w:divsChild>
            <w:div w:id="830484554">
              <w:marLeft w:val="0"/>
              <w:marRight w:val="0"/>
              <w:marTop w:val="0"/>
              <w:marBottom w:val="0"/>
              <w:divBdr>
                <w:top w:val="none" w:sz="0" w:space="0" w:color="auto"/>
                <w:left w:val="none" w:sz="0" w:space="0" w:color="auto"/>
                <w:bottom w:val="none" w:sz="0" w:space="0" w:color="auto"/>
                <w:right w:val="none" w:sz="0" w:space="0" w:color="auto"/>
              </w:divBdr>
              <w:divsChild>
                <w:div w:id="4631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73635">
      <w:bodyDiv w:val="1"/>
      <w:marLeft w:val="0"/>
      <w:marRight w:val="0"/>
      <w:marTop w:val="0"/>
      <w:marBottom w:val="0"/>
      <w:divBdr>
        <w:top w:val="none" w:sz="0" w:space="0" w:color="auto"/>
        <w:left w:val="none" w:sz="0" w:space="0" w:color="auto"/>
        <w:bottom w:val="none" w:sz="0" w:space="0" w:color="auto"/>
        <w:right w:val="none" w:sz="0" w:space="0" w:color="auto"/>
      </w:divBdr>
    </w:div>
    <w:div w:id="1671299196">
      <w:bodyDiv w:val="1"/>
      <w:marLeft w:val="0"/>
      <w:marRight w:val="0"/>
      <w:marTop w:val="0"/>
      <w:marBottom w:val="0"/>
      <w:divBdr>
        <w:top w:val="none" w:sz="0" w:space="0" w:color="auto"/>
        <w:left w:val="none" w:sz="0" w:space="0" w:color="auto"/>
        <w:bottom w:val="none" w:sz="0" w:space="0" w:color="auto"/>
        <w:right w:val="none" w:sz="0" w:space="0" w:color="auto"/>
      </w:divBdr>
    </w:div>
    <w:div w:id="1963615379">
      <w:bodyDiv w:val="1"/>
      <w:marLeft w:val="0"/>
      <w:marRight w:val="0"/>
      <w:marTop w:val="0"/>
      <w:marBottom w:val="0"/>
      <w:divBdr>
        <w:top w:val="none" w:sz="0" w:space="0" w:color="auto"/>
        <w:left w:val="none" w:sz="0" w:space="0" w:color="auto"/>
        <w:bottom w:val="none" w:sz="0" w:space="0" w:color="auto"/>
        <w:right w:val="none" w:sz="0" w:space="0" w:color="auto"/>
      </w:divBdr>
    </w:div>
    <w:div w:id="212202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oed.com/view/Entry/159715?rskey=q9n5Jf&amp;resul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6E4A6-08CB-4CDE-A3E7-7F21E037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3465</Words>
  <Characters>19754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Vivian</dc:creator>
  <cp:keywords/>
  <dc:description/>
  <cp:lastModifiedBy>Mokone</cp:lastModifiedBy>
  <cp:revision>2</cp:revision>
  <cp:lastPrinted>2023-02-27T07:44:00Z</cp:lastPrinted>
  <dcterms:created xsi:type="dcterms:W3CDTF">2023-03-14T13:36:00Z</dcterms:created>
  <dcterms:modified xsi:type="dcterms:W3CDTF">2023-03-14T13:36:00Z</dcterms:modified>
</cp:coreProperties>
</file>