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EED06" w14:textId="77777777" w:rsidR="001B02DE" w:rsidRDefault="001B02DE" w:rsidP="001B02DE">
      <w:pPr>
        <w:jc w:val="center"/>
        <w:rPr>
          <w:rFonts w:ascii="Arial Unicode MS" w:eastAsia="Arial Unicode MS" w:hAnsi="Arial Unicode MS" w:cs="Arial Unicode MS"/>
          <w:b/>
          <w:lang w:val="en-ZA"/>
        </w:rPr>
      </w:pPr>
      <w:bookmarkStart w:id="0" w:name="_GoBack"/>
      <w:bookmarkEnd w:id="0"/>
    </w:p>
    <w:p w14:paraId="6217B919" w14:textId="77777777" w:rsidR="001B02DE" w:rsidRDefault="001B02DE" w:rsidP="001B02DE">
      <w:pPr>
        <w:jc w:val="center"/>
        <w:rPr>
          <w:rFonts w:ascii="Arial Unicode MS" w:eastAsia="Arial Unicode MS" w:hAnsi="Arial Unicode MS" w:cs="Arial Unicode MS"/>
          <w:b/>
          <w:lang w:val="en-ZA"/>
        </w:rPr>
      </w:pPr>
      <w:r>
        <w:rPr>
          <w:rFonts w:ascii="Calibri Light" w:hAnsi="Calibri Light" w:cs="Calibri Light"/>
          <w:noProof/>
          <w:lang w:val="en-ZA" w:eastAsia="en-ZA"/>
        </w:rPr>
        <w:fldChar w:fldCharType="begin"/>
      </w:r>
      <w:r>
        <w:rPr>
          <w:rFonts w:ascii="Calibri Light" w:hAnsi="Calibri Light" w:cs="Calibri Light"/>
          <w:noProof/>
          <w:lang w:val="en-ZA" w:eastAsia="en-ZA"/>
        </w:rPr>
        <w:instrText xml:space="preserve"> INCLUDEPICTURE  "cid:image002.jpg@01D0409E.93246230" \* MERGEFORMATINET </w:instrText>
      </w:r>
      <w:r>
        <w:rPr>
          <w:rFonts w:ascii="Calibri Light" w:hAnsi="Calibri Light" w:cs="Calibri Light"/>
          <w:noProof/>
          <w:lang w:val="en-ZA" w:eastAsia="en-ZA"/>
        </w:rPr>
        <w:fldChar w:fldCharType="separate"/>
      </w:r>
      <w:r>
        <w:rPr>
          <w:rFonts w:ascii="Calibri Light" w:hAnsi="Calibri Light" w:cs="Calibri Light"/>
          <w:noProof/>
          <w:lang w:val="en-ZA" w:eastAsia="en-ZA"/>
        </w:rPr>
        <w:fldChar w:fldCharType="begin"/>
      </w:r>
      <w:r>
        <w:rPr>
          <w:rFonts w:ascii="Calibri Light" w:hAnsi="Calibri Light" w:cs="Calibri Light"/>
          <w:noProof/>
          <w:lang w:val="en-ZA" w:eastAsia="en-ZA"/>
        </w:rPr>
        <w:instrText xml:space="preserve"> INCLUDEPICTURE  "cid:image002.jpg@01D0409E.93246230" \* MERGEFORMATINET </w:instrText>
      </w:r>
      <w:r>
        <w:rPr>
          <w:rFonts w:ascii="Calibri Light" w:hAnsi="Calibri Light" w:cs="Calibri Light"/>
          <w:noProof/>
          <w:lang w:val="en-ZA" w:eastAsia="en-ZA"/>
        </w:rPr>
        <w:fldChar w:fldCharType="separate"/>
      </w:r>
      <w:r>
        <w:rPr>
          <w:rFonts w:ascii="Calibri Light" w:hAnsi="Calibri Light" w:cs="Calibri Light"/>
          <w:noProof/>
          <w:lang w:val="en-ZA" w:eastAsia="en-ZA"/>
        </w:rPr>
        <w:fldChar w:fldCharType="begin"/>
      </w:r>
      <w:r>
        <w:rPr>
          <w:rFonts w:ascii="Calibri Light" w:hAnsi="Calibri Light" w:cs="Calibri Light"/>
          <w:noProof/>
          <w:lang w:val="en-ZA" w:eastAsia="en-ZA"/>
        </w:rPr>
        <w:instrText xml:space="preserve"> INCLUDEPICTURE  "cid:image002.jpg@01D0409E.93246230" \* MERGEFORMATINET </w:instrText>
      </w:r>
      <w:r>
        <w:rPr>
          <w:rFonts w:ascii="Calibri Light" w:hAnsi="Calibri Light" w:cs="Calibri Light"/>
          <w:noProof/>
          <w:lang w:val="en-ZA" w:eastAsia="en-ZA"/>
        </w:rPr>
        <w:fldChar w:fldCharType="separate"/>
      </w:r>
      <w:r>
        <w:rPr>
          <w:rFonts w:ascii="Calibri Light" w:hAnsi="Calibri Light" w:cs="Calibri Light"/>
          <w:noProof/>
          <w:lang w:val="en-ZA" w:eastAsia="en-ZA"/>
        </w:rPr>
        <w:fldChar w:fldCharType="begin"/>
      </w:r>
      <w:r>
        <w:rPr>
          <w:rFonts w:ascii="Calibri Light" w:hAnsi="Calibri Light" w:cs="Calibri Light"/>
          <w:noProof/>
          <w:lang w:val="en-ZA" w:eastAsia="en-ZA"/>
        </w:rPr>
        <w:instrText xml:space="preserve"> INCLUDEPICTURE  "cid:image002.jpg@01D0409E.93246230" \* MERGEFORMATINET </w:instrText>
      </w:r>
      <w:r>
        <w:rPr>
          <w:rFonts w:ascii="Calibri Light" w:hAnsi="Calibri Light" w:cs="Calibri Light"/>
          <w:noProof/>
          <w:lang w:val="en-ZA" w:eastAsia="en-ZA"/>
        </w:rPr>
        <w:fldChar w:fldCharType="separate"/>
      </w:r>
      <w:r>
        <w:rPr>
          <w:rFonts w:ascii="Calibri Light" w:hAnsi="Calibri Light" w:cs="Calibri Light"/>
          <w:noProof/>
          <w:lang w:val="en-ZA" w:eastAsia="en-ZA"/>
        </w:rPr>
        <w:fldChar w:fldCharType="begin"/>
      </w:r>
      <w:r>
        <w:rPr>
          <w:rFonts w:ascii="Calibri Light" w:hAnsi="Calibri Light" w:cs="Calibri Light"/>
          <w:noProof/>
          <w:lang w:val="en-ZA" w:eastAsia="en-ZA"/>
        </w:rPr>
        <w:instrText xml:space="preserve"> INCLUDEPICTURE  "cid:image002.jpg@01D0409E.93246230" \* MERGEFORMATINET </w:instrText>
      </w:r>
      <w:r>
        <w:rPr>
          <w:rFonts w:ascii="Calibri Light" w:hAnsi="Calibri Light" w:cs="Calibri Light"/>
          <w:noProof/>
          <w:lang w:val="en-ZA" w:eastAsia="en-ZA"/>
        </w:rPr>
        <w:fldChar w:fldCharType="separate"/>
      </w:r>
      <w:r>
        <w:rPr>
          <w:rFonts w:ascii="Calibri Light" w:hAnsi="Calibri Light" w:cs="Calibri Light"/>
          <w:noProof/>
          <w:lang w:val="en-ZA" w:eastAsia="en-ZA"/>
        </w:rPr>
        <w:fldChar w:fldCharType="begin"/>
      </w:r>
      <w:r>
        <w:rPr>
          <w:rFonts w:ascii="Calibri Light" w:hAnsi="Calibri Light" w:cs="Calibri Light"/>
          <w:noProof/>
          <w:lang w:val="en-ZA" w:eastAsia="en-ZA"/>
        </w:rPr>
        <w:instrText xml:space="preserve"> INCLUDEPICTURE  "cid:image002.jpg@01D0409E.93246230" \* MERGEFORMATINET </w:instrText>
      </w:r>
      <w:r>
        <w:rPr>
          <w:rFonts w:ascii="Calibri Light" w:hAnsi="Calibri Light" w:cs="Calibri Light"/>
          <w:noProof/>
          <w:lang w:val="en-ZA" w:eastAsia="en-ZA"/>
        </w:rPr>
        <w:fldChar w:fldCharType="separate"/>
      </w:r>
      <w:r>
        <w:rPr>
          <w:rFonts w:ascii="Calibri Light" w:hAnsi="Calibri Light" w:cs="Calibri Light"/>
          <w:noProof/>
          <w:lang w:val="en-ZA" w:eastAsia="en-ZA"/>
        </w:rPr>
        <w:fldChar w:fldCharType="begin"/>
      </w:r>
      <w:r>
        <w:rPr>
          <w:rFonts w:ascii="Calibri Light" w:hAnsi="Calibri Light" w:cs="Calibri Light"/>
          <w:noProof/>
          <w:lang w:val="en-ZA" w:eastAsia="en-ZA"/>
        </w:rPr>
        <w:instrText xml:space="preserve"> INCLUDEPICTURE  "cid:image002.jpg@01D0409E.93246230" \* MERGEFORMATINET </w:instrText>
      </w:r>
      <w:r>
        <w:rPr>
          <w:rFonts w:ascii="Calibri Light" w:hAnsi="Calibri Light" w:cs="Calibri Light"/>
          <w:noProof/>
          <w:lang w:val="en-ZA" w:eastAsia="en-ZA"/>
        </w:rPr>
        <w:fldChar w:fldCharType="separate"/>
      </w:r>
      <w:r>
        <w:rPr>
          <w:rFonts w:ascii="Calibri Light" w:hAnsi="Calibri Light" w:cs="Calibri Light"/>
          <w:noProof/>
          <w:lang w:val="en-ZA" w:eastAsia="en-ZA"/>
        </w:rPr>
        <w:fldChar w:fldCharType="begin"/>
      </w:r>
      <w:r>
        <w:rPr>
          <w:rFonts w:ascii="Calibri Light" w:hAnsi="Calibri Light" w:cs="Calibri Light"/>
          <w:noProof/>
          <w:lang w:val="en-ZA" w:eastAsia="en-ZA"/>
        </w:rPr>
        <w:instrText xml:space="preserve"> INCLUDEPICTURE  "cid:image002.jpg@01D0409E.93246230" \* MERGEFORMATINET </w:instrText>
      </w:r>
      <w:r>
        <w:rPr>
          <w:rFonts w:ascii="Calibri Light" w:hAnsi="Calibri Light" w:cs="Calibri Light"/>
          <w:noProof/>
          <w:lang w:val="en-ZA" w:eastAsia="en-ZA"/>
        </w:rPr>
        <w:fldChar w:fldCharType="separate"/>
      </w:r>
      <w:r>
        <w:rPr>
          <w:rFonts w:ascii="Calibri Light" w:hAnsi="Calibri Light" w:cs="Calibri Light"/>
          <w:noProof/>
          <w:lang w:val="en-ZA" w:eastAsia="en-ZA"/>
        </w:rPr>
        <w:fldChar w:fldCharType="begin"/>
      </w:r>
      <w:r>
        <w:rPr>
          <w:rFonts w:ascii="Calibri Light" w:hAnsi="Calibri Light" w:cs="Calibri Light"/>
          <w:noProof/>
          <w:lang w:val="en-ZA" w:eastAsia="en-ZA"/>
        </w:rPr>
        <w:instrText xml:space="preserve"> INCLUDEPICTURE  "cid:image002.jpg@01D0409E.93246230" \* MERGEFORMATINET </w:instrText>
      </w:r>
      <w:r>
        <w:rPr>
          <w:rFonts w:ascii="Calibri Light" w:hAnsi="Calibri Light" w:cs="Calibri Light"/>
          <w:noProof/>
          <w:lang w:val="en-ZA" w:eastAsia="en-ZA"/>
        </w:rPr>
        <w:fldChar w:fldCharType="separate"/>
      </w:r>
      <w:r>
        <w:rPr>
          <w:rFonts w:ascii="Calibri Light" w:hAnsi="Calibri Light" w:cs="Calibri Light"/>
          <w:noProof/>
          <w:lang w:val="en-ZA" w:eastAsia="en-ZA"/>
        </w:rPr>
        <w:fldChar w:fldCharType="begin"/>
      </w:r>
      <w:r>
        <w:rPr>
          <w:rFonts w:ascii="Calibri Light" w:hAnsi="Calibri Light" w:cs="Calibri Light"/>
          <w:noProof/>
          <w:lang w:val="en-ZA" w:eastAsia="en-ZA"/>
        </w:rPr>
        <w:instrText xml:space="preserve"> INCLUDEPICTURE  "cid:image002.jpg@01D0409E.93246230" \* MERGEFORMATINET </w:instrText>
      </w:r>
      <w:r>
        <w:rPr>
          <w:rFonts w:ascii="Calibri Light" w:hAnsi="Calibri Light" w:cs="Calibri Light"/>
          <w:noProof/>
          <w:lang w:val="en-ZA" w:eastAsia="en-ZA"/>
        </w:rPr>
        <w:fldChar w:fldCharType="separate"/>
      </w:r>
      <w:r>
        <w:rPr>
          <w:rFonts w:ascii="Calibri Light" w:hAnsi="Calibri Light" w:cs="Calibri Light"/>
          <w:noProof/>
          <w:lang w:val="en-ZA" w:eastAsia="en-ZA"/>
        </w:rPr>
        <w:fldChar w:fldCharType="begin"/>
      </w:r>
      <w:r>
        <w:rPr>
          <w:rFonts w:ascii="Calibri Light" w:hAnsi="Calibri Light" w:cs="Calibri Light"/>
          <w:noProof/>
          <w:lang w:val="en-ZA" w:eastAsia="en-ZA"/>
        </w:rPr>
        <w:instrText xml:space="preserve"> INCLUDEPICTURE  "cid:image002.jpg@01D0409E.93246230" \* MERGEFORMATINET </w:instrText>
      </w:r>
      <w:r>
        <w:rPr>
          <w:rFonts w:ascii="Calibri Light" w:hAnsi="Calibri Light" w:cs="Calibri Light"/>
          <w:noProof/>
          <w:lang w:val="en-ZA" w:eastAsia="en-ZA"/>
        </w:rPr>
        <w:fldChar w:fldCharType="separate"/>
      </w:r>
      <w:r>
        <w:rPr>
          <w:rFonts w:ascii="Calibri Light" w:hAnsi="Calibri Light" w:cs="Calibri Light"/>
          <w:noProof/>
          <w:lang w:val="en-ZA" w:eastAsia="en-ZA"/>
        </w:rPr>
        <w:fldChar w:fldCharType="begin"/>
      </w:r>
      <w:r>
        <w:rPr>
          <w:rFonts w:ascii="Calibri Light" w:hAnsi="Calibri Light" w:cs="Calibri Light"/>
          <w:noProof/>
          <w:lang w:val="en-ZA" w:eastAsia="en-ZA"/>
        </w:rPr>
        <w:instrText xml:space="preserve"> INCLUDEPICTURE  "cid:image002.jpg@01D0409E.93246230" \* MERGEFORMATINET </w:instrText>
      </w:r>
      <w:r>
        <w:rPr>
          <w:rFonts w:ascii="Calibri Light" w:hAnsi="Calibri Light" w:cs="Calibri Light"/>
          <w:noProof/>
          <w:lang w:val="en-ZA" w:eastAsia="en-ZA"/>
        </w:rPr>
        <w:fldChar w:fldCharType="separate"/>
      </w:r>
      <w:r w:rsidR="001219E0">
        <w:rPr>
          <w:rFonts w:ascii="Calibri Light" w:hAnsi="Calibri Light" w:cs="Calibri Light"/>
          <w:noProof/>
          <w:lang w:val="en-ZA" w:eastAsia="en-ZA"/>
        </w:rPr>
        <w:fldChar w:fldCharType="begin"/>
      </w:r>
      <w:r w:rsidR="001219E0">
        <w:rPr>
          <w:rFonts w:ascii="Calibri Light" w:hAnsi="Calibri Light" w:cs="Calibri Light"/>
          <w:noProof/>
          <w:lang w:val="en-ZA" w:eastAsia="en-ZA"/>
        </w:rPr>
        <w:instrText xml:space="preserve"> INCLUDEPICTURE  "cid:image002.jpg@01D0409E.93246230" \* MERGEFORMATINET </w:instrText>
      </w:r>
      <w:r w:rsidR="001219E0">
        <w:rPr>
          <w:rFonts w:ascii="Calibri Light" w:hAnsi="Calibri Light" w:cs="Calibri Light"/>
          <w:noProof/>
          <w:lang w:val="en-ZA" w:eastAsia="en-ZA"/>
        </w:rPr>
        <w:fldChar w:fldCharType="separate"/>
      </w:r>
      <w:r w:rsidR="0049106C">
        <w:rPr>
          <w:rFonts w:ascii="Calibri Light" w:hAnsi="Calibri Light" w:cs="Calibri Light"/>
          <w:noProof/>
          <w:lang w:val="en-ZA" w:eastAsia="en-ZA"/>
        </w:rPr>
        <w:fldChar w:fldCharType="begin"/>
      </w:r>
      <w:r w:rsidR="0049106C">
        <w:rPr>
          <w:rFonts w:ascii="Calibri Light" w:hAnsi="Calibri Light" w:cs="Calibri Light"/>
          <w:noProof/>
          <w:lang w:val="en-ZA" w:eastAsia="en-ZA"/>
        </w:rPr>
        <w:instrText xml:space="preserve"> INCLUDEPICTURE  "cid:image002.jpg@01D0409E.93246230" \* MERGEFORMATINET </w:instrText>
      </w:r>
      <w:r w:rsidR="0049106C">
        <w:rPr>
          <w:rFonts w:ascii="Calibri Light" w:hAnsi="Calibri Light" w:cs="Calibri Light"/>
          <w:noProof/>
          <w:lang w:val="en-ZA" w:eastAsia="en-ZA"/>
        </w:rPr>
        <w:fldChar w:fldCharType="separate"/>
      </w:r>
      <w:r w:rsidR="006A110D">
        <w:rPr>
          <w:rFonts w:ascii="Calibri Light" w:hAnsi="Calibri Light" w:cs="Calibri Light"/>
          <w:noProof/>
          <w:lang w:val="en-ZA" w:eastAsia="en-ZA"/>
        </w:rPr>
        <w:fldChar w:fldCharType="begin"/>
      </w:r>
      <w:r w:rsidR="006A110D">
        <w:rPr>
          <w:rFonts w:ascii="Calibri Light" w:hAnsi="Calibri Light" w:cs="Calibri Light"/>
          <w:noProof/>
          <w:lang w:val="en-ZA" w:eastAsia="en-ZA"/>
        </w:rPr>
        <w:instrText xml:space="preserve"> </w:instrText>
      </w:r>
      <w:r w:rsidR="006A110D">
        <w:rPr>
          <w:rFonts w:ascii="Calibri Light" w:hAnsi="Calibri Light" w:cs="Calibri Light"/>
          <w:noProof/>
          <w:lang w:val="en-ZA" w:eastAsia="en-ZA"/>
        </w:rPr>
        <w:instrText>INCLUDEPICTURE  "cid:image002.jpg@01D0409E.93246230" \* MERGEFORMATINET</w:instrText>
      </w:r>
      <w:r w:rsidR="006A110D">
        <w:rPr>
          <w:rFonts w:ascii="Calibri Light" w:hAnsi="Calibri Light" w:cs="Calibri Light"/>
          <w:noProof/>
          <w:lang w:val="en-ZA" w:eastAsia="en-ZA"/>
        </w:rPr>
        <w:instrText xml:space="preserve"> </w:instrText>
      </w:r>
      <w:r w:rsidR="006A110D">
        <w:rPr>
          <w:rFonts w:ascii="Calibri Light" w:hAnsi="Calibri Light" w:cs="Calibri Light"/>
          <w:noProof/>
          <w:lang w:val="en-ZA" w:eastAsia="en-ZA"/>
        </w:rPr>
        <w:fldChar w:fldCharType="separate"/>
      </w:r>
      <w:r w:rsidR="006A110D">
        <w:rPr>
          <w:rFonts w:ascii="Calibri Light" w:hAnsi="Calibri Light" w:cs="Calibri Light"/>
          <w:noProof/>
          <w:lang w:val="en-ZA" w:eastAsia="en-ZA"/>
        </w:rPr>
        <w:pict w14:anchorId="32DB97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97.5pt;visibility:visible">
            <v:imagedata r:id="rId11" r:href="rId12"/>
          </v:shape>
        </w:pict>
      </w:r>
      <w:r w:rsidR="006A110D">
        <w:rPr>
          <w:rFonts w:ascii="Calibri Light" w:hAnsi="Calibri Light" w:cs="Calibri Light"/>
          <w:noProof/>
          <w:lang w:val="en-ZA" w:eastAsia="en-ZA"/>
        </w:rPr>
        <w:fldChar w:fldCharType="end"/>
      </w:r>
      <w:r w:rsidR="0049106C">
        <w:rPr>
          <w:rFonts w:ascii="Calibri Light" w:hAnsi="Calibri Light" w:cs="Calibri Light"/>
          <w:noProof/>
          <w:lang w:val="en-ZA" w:eastAsia="en-ZA"/>
        </w:rPr>
        <w:fldChar w:fldCharType="end"/>
      </w:r>
      <w:r w:rsidR="001219E0">
        <w:rPr>
          <w:rFonts w:ascii="Calibri Light" w:hAnsi="Calibri Light" w:cs="Calibri Light"/>
          <w:noProof/>
          <w:lang w:val="en-ZA" w:eastAsia="en-ZA"/>
        </w:rPr>
        <w:fldChar w:fldCharType="end"/>
      </w:r>
      <w:r>
        <w:rPr>
          <w:rFonts w:ascii="Calibri Light" w:hAnsi="Calibri Light" w:cs="Calibri Light"/>
          <w:noProof/>
          <w:lang w:val="en-ZA" w:eastAsia="en-ZA"/>
        </w:rPr>
        <w:fldChar w:fldCharType="end"/>
      </w:r>
      <w:r>
        <w:rPr>
          <w:rFonts w:ascii="Calibri Light" w:hAnsi="Calibri Light" w:cs="Calibri Light"/>
          <w:noProof/>
          <w:lang w:val="en-ZA" w:eastAsia="en-ZA"/>
        </w:rPr>
        <w:fldChar w:fldCharType="end"/>
      </w:r>
      <w:r>
        <w:rPr>
          <w:rFonts w:ascii="Calibri Light" w:hAnsi="Calibri Light" w:cs="Calibri Light"/>
          <w:noProof/>
          <w:lang w:val="en-ZA" w:eastAsia="en-ZA"/>
        </w:rPr>
        <w:fldChar w:fldCharType="end"/>
      </w:r>
      <w:r>
        <w:rPr>
          <w:rFonts w:ascii="Calibri Light" w:hAnsi="Calibri Light" w:cs="Calibri Light"/>
          <w:noProof/>
          <w:lang w:val="en-ZA" w:eastAsia="en-ZA"/>
        </w:rPr>
        <w:fldChar w:fldCharType="end"/>
      </w:r>
      <w:r>
        <w:rPr>
          <w:rFonts w:ascii="Calibri Light" w:hAnsi="Calibri Light" w:cs="Calibri Light"/>
          <w:noProof/>
          <w:lang w:val="en-ZA" w:eastAsia="en-ZA"/>
        </w:rPr>
        <w:fldChar w:fldCharType="end"/>
      </w:r>
      <w:r>
        <w:rPr>
          <w:rFonts w:ascii="Calibri Light" w:hAnsi="Calibri Light" w:cs="Calibri Light"/>
          <w:noProof/>
          <w:lang w:val="en-ZA" w:eastAsia="en-ZA"/>
        </w:rPr>
        <w:fldChar w:fldCharType="end"/>
      </w:r>
      <w:r>
        <w:rPr>
          <w:rFonts w:ascii="Calibri Light" w:hAnsi="Calibri Light" w:cs="Calibri Light"/>
          <w:noProof/>
          <w:lang w:val="en-ZA" w:eastAsia="en-ZA"/>
        </w:rPr>
        <w:fldChar w:fldCharType="end"/>
      </w:r>
      <w:r>
        <w:rPr>
          <w:rFonts w:ascii="Calibri Light" w:hAnsi="Calibri Light" w:cs="Calibri Light"/>
          <w:noProof/>
          <w:lang w:val="en-ZA" w:eastAsia="en-ZA"/>
        </w:rPr>
        <w:fldChar w:fldCharType="end"/>
      </w:r>
      <w:r>
        <w:rPr>
          <w:rFonts w:ascii="Calibri Light" w:hAnsi="Calibri Light" w:cs="Calibri Light"/>
          <w:noProof/>
          <w:lang w:val="en-ZA" w:eastAsia="en-ZA"/>
        </w:rPr>
        <w:fldChar w:fldCharType="end"/>
      </w:r>
      <w:r>
        <w:rPr>
          <w:rFonts w:ascii="Calibri Light" w:hAnsi="Calibri Light" w:cs="Calibri Light"/>
          <w:noProof/>
          <w:lang w:val="en-ZA" w:eastAsia="en-ZA"/>
        </w:rPr>
        <w:fldChar w:fldCharType="end"/>
      </w:r>
      <w:r>
        <w:rPr>
          <w:rFonts w:ascii="Calibri Light" w:hAnsi="Calibri Light" w:cs="Calibri Light"/>
          <w:noProof/>
          <w:lang w:val="en-ZA" w:eastAsia="en-ZA"/>
        </w:rPr>
        <w:fldChar w:fldCharType="end"/>
      </w:r>
      <w:r>
        <w:rPr>
          <w:rFonts w:ascii="Calibri Light" w:hAnsi="Calibri Light" w:cs="Calibri Light"/>
          <w:noProof/>
          <w:lang w:val="en-ZA" w:eastAsia="en-ZA"/>
        </w:rPr>
        <w:fldChar w:fldCharType="end"/>
      </w:r>
    </w:p>
    <w:p w14:paraId="4324DD95" w14:textId="77777777" w:rsidR="001B02DE" w:rsidRDefault="001B02DE" w:rsidP="001B02DE">
      <w:pPr>
        <w:jc w:val="center"/>
        <w:rPr>
          <w:rFonts w:ascii="Arial Unicode MS" w:eastAsia="Arial Unicode MS" w:hAnsi="Arial Unicode MS" w:cs="Arial Unicode MS"/>
          <w:b/>
          <w:lang w:val="en-ZA"/>
        </w:rPr>
      </w:pPr>
    </w:p>
    <w:p w14:paraId="78556D60" w14:textId="77777777" w:rsidR="001B02DE" w:rsidRDefault="001B02DE" w:rsidP="001B02DE">
      <w:pPr>
        <w:jc w:val="center"/>
        <w:rPr>
          <w:rFonts w:ascii="Arial Unicode MS" w:eastAsia="Arial Unicode MS" w:hAnsi="Arial Unicode MS" w:cs="Arial Unicode MS"/>
          <w:b/>
          <w:lang w:val="en-ZA"/>
        </w:rPr>
      </w:pPr>
      <w:r w:rsidRPr="008C3D91">
        <w:rPr>
          <w:rFonts w:ascii="Arial Unicode MS" w:eastAsia="Arial Unicode MS" w:hAnsi="Arial Unicode MS" w:cs="Arial Unicode MS"/>
          <w:b/>
          <w:lang w:val="en-ZA"/>
        </w:rPr>
        <w:t>IN THE HIGH COURT OF SOUTH AFRICA</w:t>
      </w:r>
    </w:p>
    <w:p w14:paraId="0051EA53" w14:textId="77777777" w:rsidR="001B02DE" w:rsidRPr="008C3D91" w:rsidRDefault="001B02DE" w:rsidP="001B02DE">
      <w:pPr>
        <w:jc w:val="center"/>
        <w:rPr>
          <w:rFonts w:ascii="Arial Unicode MS" w:eastAsia="Arial Unicode MS" w:hAnsi="Arial Unicode MS" w:cs="Arial Unicode MS"/>
          <w:b/>
          <w:lang w:val="en-ZA"/>
        </w:rPr>
      </w:pPr>
    </w:p>
    <w:p w14:paraId="61971BBC" w14:textId="77777777" w:rsidR="001B02DE" w:rsidRPr="008C3D91" w:rsidRDefault="001B02DE" w:rsidP="001B02DE">
      <w:pPr>
        <w:jc w:val="center"/>
        <w:rPr>
          <w:rFonts w:ascii="Arial Unicode MS" w:eastAsia="Arial Unicode MS" w:hAnsi="Arial Unicode MS" w:cs="Arial Unicode MS"/>
          <w:b/>
          <w:lang w:val="en-ZA"/>
        </w:rPr>
      </w:pPr>
      <w:r w:rsidRPr="008C3D91">
        <w:rPr>
          <w:rFonts w:ascii="Arial Unicode MS" w:eastAsia="Arial Unicode MS" w:hAnsi="Arial Unicode MS" w:cs="Arial Unicode MS"/>
          <w:b/>
          <w:lang w:val="en-ZA"/>
        </w:rPr>
        <w:t xml:space="preserve">GAUTENG DIVISION, </w:t>
      </w:r>
      <w:smartTag w:uri="urn:schemas-microsoft-com:office:smarttags" w:element="place">
        <w:smartTag w:uri="urn:schemas-microsoft-com:office:smarttags" w:element="City">
          <w:r w:rsidRPr="008C3D91">
            <w:rPr>
              <w:rFonts w:ascii="Arial Unicode MS" w:eastAsia="Arial Unicode MS" w:hAnsi="Arial Unicode MS" w:cs="Arial Unicode MS"/>
              <w:b/>
              <w:lang w:val="en-ZA"/>
            </w:rPr>
            <w:t>PRETORIA</w:t>
          </w:r>
        </w:smartTag>
      </w:smartTag>
    </w:p>
    <w:p w14:paraId="7D0FF43B" w14:textId="77777777" w:rsidR="001B02DE" w:rsidRPr="008C3D91" w:rsidRDefault="001B02DE" w:rsidP="001B02DE">
      <w:pPr>
        <w:spacing w:line="360" w:lineRule="auto"/>
        <w:jc w:val="center"/>
        <w:rPr>
          <w:rFonts w:ascii="Calibri Light" w:eastAsia="Arial Unicode MS" w:hAnsi="Calibri Light" w:cs="Calibri Light"/>
          <w:sz w:val="26"/>
          <w:szCs w:val="26"/>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3"/>
      </w:tblGrid>
      <w:tr w:rsidR="001B02DE" w:rsidRPr="008C3D91" w14:paraId="2533AE3E" w14:textId="77777777" w:rsidTr="0024379F">
        <w:trPr>
          <w:trHeight w:val="2743"/>
        </w:trPr>
        <w:tc>
          <w:tcPr>
            <w:tcW w:w="4983" w:type="dxa"/>
            <w:shd w:val="clear" w:color="auto" w:fill="auto"/>
          </w:tcPr>
          <w:p w14:paraId="68196A1A" w14:textId="77777777" w:rsidR="001B02DE" w:rsidRPr="008C3D91" w:rsidRDefault="001B02DE" w:rsidP="0024379F">
            <w:pPr>
              <w:spacing w:line="360" w:lineRule="auto"/>
              <w:jc w:val="both"/>
              <w:rPr>
                <w:rFonts w:ascii="Calibri Light" w:hAnsi="Calibri Light" w:cs="Calibri Light"/>
                <w:sz w:val="8"/>
                <w:szCs w:val="8"/>
              </w:rPr>
            </w:pPr>
          </w:p>
          <w:p w14:paraId="32084C3A" w14:textId="77777777" w:rsidR="001B02DE" w:rsidRPr="008C3D91" w:rsidRDefault="001B02DE" w:rsidP="0024379F">
            <w:pPr>
              <w:spacing w:line="360" w:lineRule="auto"/>
              <w:jc w:val="both"/>
              <w:rPr>
                <w:rFonts w:ascii="Calibri Light" w:hAnsi="Calibri Light" w:cs="Calibri Light"/>
                <w:sz w:val="8"/>
                <w:szCs w:val="8"/>
              </w:rPr>
            </w:pPr>
          </w:p>
          <w:p w14:paraId="03610C50" w14:textId="77777777" w:rsidR="001B02DE" w:rsidRPr="008C3D91" w:rsidRDefault="001B02DE" w:rsidP="0024379F">
            <w:pPr>
              <w:spacing w:line="360" w:lineRule="auto"/>
              <w:jc w:val="both"/>
              <w:rPr>
                <w:rFonts w:ascii="Calibri Light" w:hAnsi="Calibri Light" w:cs="Calibri Light"/>
                <w:sz w:val="18"/>
                <w:szCs w:val="18"/>
              </w:rPr>
            </w:pPr>
            <w:r w:rsidRPr="008C3D91">
              <w:rPr>
                <w:rFonts w:ascii="Calibri Light" w:hAnsi="Calibri Light" w:cs="Calibri Light"/>
                <w:sz w:val="18"/>
                <w:szCs w:val="18"/>
              </w:rPr>
              <w:t>(1)    REPORTABLE:  YES / NO</w:t>
            </w:r>
          </w:p>
          <w:p w14:paraId="3D22183A" w14:textId="77777777" w:rsidR="001B02DE" w:rsidRPr="008C3D91" w:rsidRDefault="001B02DE" w:rsidP="0024379F">
            <w:pPr>
              <w:spacing w:line="360" w:lineRule="auto"/>
              <w:jc w:val="both"/>
              <w:rPr>
                <w:rFonts w:ascii="Calibri Light" w:hAnsi="Calibri Light" w:cs="Calibri Light"/>
                <w:sz w:val="18"/>
                <w:szCs w:val="18"/>
              </w:rPr>
            </w:pPr>
            <w:r w:rsidRPr="008C3D91">
              <w:rPr>
                <w:rFonts w:ascii="Calibri Light" w:hAnsi="Calibri Light" w:cs="Calibri Light"/>
                <w:sz w:val="18"/>
                <w:szCs w:val="18"/>
              </w:rPr>
              <w:t>(2)    OF INTEREST TO OTHER JUDGES:  YES / NO</w:t>
            </w:r>
          </w:p>
          <w:p w14:paraId="600847A1" w14:textId="77777777" w:rsidR="001B02DE" w:rsidRPr="008C3D91" w:rsidRDefault="001B02DE" w:rsidP="0024379F">
            <w:pPr>
              <w:spacing w:line="360" w:lineRule="auto"/>
              <w:jc w:val="both"/>
              <w:rPr>
                <w:rFonts w:ascii="Calibri Light" w:hAnsi="Calibri Light" w:cs="Calibri Light"/>
                <w:sz w:val="18"/>
                <w:szCs w:val="18"/>
              </w:rPr>
            </w:pPr>
            <w:r w:rsidRPr="008C3D91">
              <w:rPr>
                <w:rFonts w:ascii="Calibri Light" w:hAnsi="Calibri Light" w:cs="Calibri Light"/>
                <w:sz w:val="18"/>
                <w:szCs w:val="18"/>
              </w:rPr>
              <w:t>(3)    REVISED</w:t>
            </w:r>
          </w:p>
          <w:p w14:paraId="38B0CE2B" w14:textId="77777777" w:rsidR="001B02DE" w:rsidRPr="008C3D91" w:rsidRDefault="001B02DE" w:rsidP="0024379F">
            <w:pPr>
              <w:spacing w:line="360" w:lineRule="auto"/>
              <w:jc w:val="both"/>
              <w:rPr>
                <w:rFonts w:ascii="Calibri Light" w:hAnsi="Calibri Light" w:cs="Calibri Light"/>
                <w:sz w:val="18"/>
                <w:szCs w:val="18"/>
              </w:rPr>
            </w:pPr>
          </w:p>
          <w:p w14:paraId="71E229ED" w14:textId="77777777" w:rsidR="001B02DE" w:rsidRPr="008C3D91" w:rsidRDefault="001B02DE" w:rsidP="0024379F">
            <w:pPr>
              <w:spacing w:line="360" w:lineRule="auto"/>
              <w:jc w:val="both"/>
              <w:rPr>
                <w:rFonts w:ascii="Calibri Light" w:hAnsi="Calibri Light" w:cs="Calibri Light"/>
                <w:sz w:val="18"/>
                <w:szCs w:val="18"/>
              </w:rPr>
            </w:pPr>
            <w:r w:rsidRPr="008C3D91">
              <w:rPr>
                <w:rFonts w:ascii="Calibri Light" w:hAnsi="Calibri Light" w:cs="Calibri Light"/>
                <w:sz w:val="18"/>
                <w:szCs w:val="18"/>
              </w:rPr>
              <w:t>_________________                 _____________________</w:t>
            </w:r>
          </w:p>
          <w:p w14:paraId="0C6F4EEE" w14:textId="77777777" w:rsidR="001B02DE" w:rsidRPr="008C3D91" w:rsidRDefault="001B02DE" w:rsidP="0024379F">
            <w:pPr>
              <w:spacing w:line="360" w:lineRule="auto"/>
              <w:jc w:val="both"/>
              <w:rPr>
                <w:rFonts w:ascii="Calibri Light" w:hAnsi="Calibri Light" w:cs="Calibri Light"/>
                <w:sz w:val="8"/>
                <w:szCs w:val="8"/>
              </w:rPr>
            </w:pPr>
            <w:r w:rsidRPr="008C3D91">
              <w:rPr>
                <w:rFonts w:ascii="Calibri Light" w:hAnsi="Calibri Light" w:cs="Calibri Light"/>
                <w:sz w:val="18"/>
                <w:szCs w:val="18"/>
              </w:rPr>
              <w:t>DATE                                                     SIGNATURE</w:t>
            </w:r>
          </w:p>
        </w:tc>
      </w:tr>
    </w:tbl>
    <w:p w14:paraId="4AB059B0" w14:textId="77777777" w:rsidR="001B02DE" w:rsidRDefault="001B02DE" w:rsidP="001B02DE">
      <w:pPr>
        <w:tabs>
          <w:tab w:val="right" w:pos="3000"/>
          <w:tab w:val="left" w:pos="5103"/>
        </w:tabs>
        <w:spacing w:line="360" w:lineRule="auto"/>
        <w:jc w:val="center"/>
        <w:rPr>
          <w:rFonts w:ascii="Calibri Light" w:eastAsia="Arial Unicode MS" w:hAnsi="Calibri Light" w:cs="Calibri Light"/>
          <w:lang w:val="en-ZA"/>
        </w:rPr>
      </w:pPr>
      <w:r w:rsidRPr="008C3D91">
        <w:rPr>
          <w:rFonts w:ascii="Calibri Light" w:eastAsia="Arial Unicode MS" w:hAnsi="Calibri Light" w:cs="Calibri Light"/>
          <w:lang w:val="en-ZA"/>
        </w:rPr>
        <w:tab/>
      </w:r>
      <w:r>
        <w:rPr>
          <w:rFonts w:ascii="Calibri Light" w:eastAsia="Arial Unicode MS" w:hAnsi="Calibri Light" w:cs="Calibri Light"/>
          <w:lang w:val="en-ZA"/>
        </w:rPr>
        <w:tab/>
      </w:r>
    </w:p>
    <w:p w14:paraId="6A6D949E" w14:textId="77777777" w:rsidR="001B02DE" w:rsidRDefault="001B02DE" w:rsidP="001B02DE">
      <w:pPr>
        <w:tabs>
          <w:tab w:val="right" w:pos="3000"/>
          <w:tab w:val="left" w:pos="5103"/>
        </w:tabs>
        <w:spacing w:line="360" w:lineRule="auto"/>
        <w:jc w:val="both"/>
        <w:rPr>
          <w:rFonts w:ascii="Calibri Light" w:eastAsia="Arial Unicode MS" w:hAnsi="Calibri Light" w:cs="Calibri Light"/>
          <w:lang w:val="en-ZA"/>
        </w:rPr>
      </w:pPr>
      <w:r>
        <w:rPr>
          <w:rFonts w:ascii="Calibri Light" w:eastAsia="Arial Unicode MS" w:hAnsi="Calibri Light" w:cs="Calibri Light"/>
          <w:lang w:val="en-ZA"/>
        </w:rPr>
        <w:t>In the matter between</w:t>
      </w:r>
      <w:r>
        <w:rPr>
          <w:rFonts w:ascii="Calibri Light" w:eastAsia="Arial Unicode MS" w:hAnsi="Calibri Light" w:cs="Calibri Light"/>
          <w:lang w:val="en-ZA"/>
        </w:rPr>
        <w:tab/>
      </w:r>
      <w:r>
        <w:rPr>
          <w:rFonts w:ascii="Calibri Light" w:eastAsia="Arial Unicode MS" w:hAnsi="Calibri Light" w:cs="Calibri Light"/>
          <w:lang w:val="en-ZA"/>
        </w:rPr>
        <w:tab/>
        <w:t xml:space="preserve">       </w:t>
      </w:r>
    </w:p>
    <w:p w14:paraId="08EB6FE2" w14:textId="3CC85948" w:rsidR="001B02DE" w:rsidRPr="008C3D91" w:rsidRDefault="001B02DE" w:rsidP="001B02DE">
      <w:pPr>
        <w:tabs>
          <w:tab w:val="right" w:pos="3000"/>
          <w:tab w:val="left" w:pos="5103"/>
        </w:tabs>
        <w:spacing w:line="360" w:lineRule="auto"/>
        <w:jc w:val="center"/>
        <w:rPr>
          <w:rFonts w:ascii="Arial Unicode MS" w:eastAsia="Arial Unicode MS" w:hAnsi="Arial Unicode MS" w:cs="Arial Unicode MS"/>
          <w:sz w:val="23"/>
          <w:szCs w:val="23"/>
          <w:lang w:val="en-ZA"/>
        </w:rPr>
      </w:pPr>
      <w:r>
        <w:rPr>
          <w:rFonts w:ascii="Calibri Light" w:eastAsia="Arial Unicode MS" w:hAnsi="Calibri Light" w:cs="Calibri Light"/>
          <w:lang w:val="en-ZA"/>
        </w:rPr>
        <w:t xml:space="preserve">                                                                                                      </w:t>
      </w:r>
      <w:r w:rsidRPr="008C3D91">
        <w:rPr>
          <w:rFonts w:ascii="Arial Unicode MS" w:eastAsia="Arial Unicode MS" w:hAnsi="Arial Unicode MS" w:cs="Arial Unicode MS"/>
          <w:sz w:val="23"/>
          <w:szCs w:val="23"/>
          <w:lang w:val="en-ZA"/>
        </w:rPr>
        <w:t xml:space="preserve">CASE NUMBER:  </w:t>
      </w:r>
      <w:r>
        <w:rPr>
          <w:rFonts w:ascii="Arial Unicode MS" w:eastAsia="Arial Unicode MS" w:hAnsi="Arial Unicode MS" w:cs="Arial Unicode MS"/>
          <w:sz w:val="23"/>
          <w:szCs w:val="23"/>
          <w:lang w:val="en-ZA"/>
        </w:rPr>
        <w:t>89196/2016</w:t>
      </w:r>
    </w:p>
    <w:p w14:paraId="4B2FD597" w14:textId="0F9B74E6" w:rsidR="001B02DE" w:rsidRPr="008C3D91" w:rsidRDefault="001B02DE" w:rsidP="001B02DE">
      <w:pPr>
        <w:tabs>
          <w:tab w:val="right" w:pos="3000"/>
          <w:tab w:val="left" w:pos="5954"/>
        </w:tabs>
        <w:spacing w:line="360" w:lineRule="auto"/>
        <w:jc w:val="center"/>
        <w:rPr>
          <w:rFonts w:ascii="Arial Unicode MS" w:eastAsia="Arial Unicode MS" w:hAnsi="Arial Unicode MS" w:cs="Arial Unicode MS"/>
          <w:sz w:val="23"/>
          <w:szCs w:val="23"/>
          <w:lang w:val="en-ZA"/>
        </w:rPr>
      </w:pPr>
      <w:r>
        <w:rPr>
          <w:rFonts w:ascii="Arial Unicode MS" w:eastAsia="Arial Unicode MS" w:hAnsi="Arial Unicode MS" w:cs="Arial Unicode MS"/>
          <w:sz w:val="23"/>
          <w:szCs w:val="23"/>
          <w:lang w:val="en-ZA"/>
        </w:rPr>
        <w:t xml:space="preserve">   </w:t>
      </w:r>
      <w:r>
        <w:rPr>
          <w:rFonts w:ascii="Arial Unicode MS" w:eastAsia="Arial Unicode MS" w:hAnsi="Arial Unicode MS" w:cs="Arial Unicode MS"/>
          <w:sz w:val="23"/>
          <w:szCs w:val="23"/>
          <w:lang w:val="en-ZA"/>
        </w:rPr>
        <w:tab/>
      </w:r>
      <w:r w:rsidRPr="008C3D91">
        <w:rPr>
          <w:rFonts w:ascii="Arial Unicode MS" w:eastAsia="Arial Unicode MS" w:hAnsi="Arial Unicode MS" w:cs="Arial Unicode MS"/>
          <w:sz w:val="23"/>
          <w:szCs w:val="23"/>
          <w:lang w:val="en-ZA"/>
        </w:rPr>
        <w:tab/>
      </w:r>
      <w:r w:rsidR="0088035B">
        <w:rPr>
          <w:rFonts w:ascii="Arial Unicode MS" w:eastAsia="Arial Unicode MS" w:hAnsi="Arial Unicode MS" w:cs="Arial Unicode MS"/>
          <w:sz w:val="23"/>
          <w:szCs w:val="23"/>
          <w:lang w:val="en-ZA"/>
        </w:rPr>
        <w:t>Date: 17 January 2023</w:t>
      </w:r>
    </w:p>
    <w:p w14:paraId="0521ED4E" w14:textId="77777777" w:rsidR="001B02DE" w:rsidRDefault="001B02DE" w:rsidP="001B02DE">
      <w:pPr>
        <w:tabs>
          <w:tab w:val="left" w:pos="0"/>
          <w:tab w:val="right" w:pos="9639"/>
        </w:tabs>
        <w:spacing w:line="360" w:lineRule="auto"/>
        <w:rPr>
          <w:rFonts w:ascii="Arial Unicode MS" w:eastAsia="Arial Unicode MS" w:hAnsi="Arial Unicode MS" w:cs="Arial Unicode MS"/>
          <w:b/>
          <w:sz w:val="23"/>
          <w:szCs w:val="23"/>
          <w:lang w:val="en-ZA"/>
        </w:rPr>
      </w:pPr>
    </w:p>
    <w:p w14:paraId="01998EF3" w14:textId="6A1B0D8C" w:rsidR="001B02DE" w:rsidRDefault="001B02DE" w:rsidP="001B02DE">
      <w:pPr>
        <w:tabs>
          <w:tab w:val="left" w:pos="0"/>
          <w:tab w:val="right" w:pos="9639"/>
        </w:tabs>
        <w:spacing w:line="360" w:lineRule="auto"/>
        <w:rPr>
          <w:rFonts w:ascii="Arial Unicode MS" w:eastAsia="Arial Unicode MS" w:hAnsi="Arial Unicode MS" w:cs="Arial Unicode MS"/>
          <w:sz w:val="23"/>
          <w:szCs w:val="23"/>
          <w:lang w:val="en-ZA"/>
        </w:rPr>
      </w:pPr>
      <w:r>
        <w:rPr>
          <w:rFonts w:ascii="Arial Unicode MS" w:eastAsia="Arial Unicode MS" w:hAnsi="Arial Unicode MS" w:cs="Arial Unicode MS"/>
          <w:b/>
          <w:sz w:val="23"/>
          <w:szCs w:val="23"/>
          <w:lang w:val="en-ZA"/>
        </w:rPr>
        <w:t>JULIUS SELLO MALEMA                                                                 First Applicant</w:t>
      </w:r>
    </w:p>
    <w:p w14:paraId="7B0DA9EF" w14:textId="77777777" w:rsidR="001B02DE" w:rsidRPr="008C3D91" w:rsidRDefault="001B02DE" w:rsidP="001B02DE">
      <w:pPr>
        <w:tabs>
          <w:tab w:val="left" w:pos="0"/>
          <w:tab w:val="left" w:pos="3000"/>
          <w:tab w:val="left" w:pos="6663"/>
          <w:tab w:val="right" w:pos="9639"/>
        </w:tabs>
        <w:spacing w:line="360" w:lineRule="auto"/>
        <w:jc w:val="center"/>
        <w:rPr>
          <w:rFonts w:ascii="Arial Unicode MS" w:eastAsia="Arial Unicode MS" w:hAnsi="Arial Unicode MS" w:cs="Arial Unicode MS"/>
          <w:sz w:val="23"/>
          <w:szCs w:val="23"/>
          <w:lang w:val="en-ZA"/>
        </w:rPr>
      </w:pPr>
      <w:r>
        <w:rPr>
          <w:rFonts w:ascii="Arial Unicode MS" w:eastAsia="Arial Unicode MS" w:hAnsi="Arial Unicode MS" w:cs="Arial Unicode MS"/>
          <w:sz w:val="23"/>
          <w:szCs w:val="23"/>
          <w:lang w:val="en-ZA"/>
        </w:rPr>
        <w:t xml:space="preserve">              </w:t>
      </w:r>
    </w:p>
    <w:p w14:paraId="563D35BA" w14:textId="48F5DFF6" w:rsidR="001B02DE" w:rsidRDefault="001B02DE" w:rsidP="001B02DE">
      <w:pPr>
        <w:pBdr>
          <w:bottom w:val="single" w:sz="12" w:space="1" w:color="auto"/>
        </w:pBdr>
        <w:tabs>
          <w:tab w:val="left" w:pos="0"/>
          <w:tab w:val="left" w:pos="3000"/>
          <w:tab w:val="left" w:pos="6663"/>
          <w:tab w:val="right" w:pos="9639"/>
        </w:tabs>
        <w:spacing w:line="360" w:lineRule="auto"/>
        <w:rPr>
          <w:rFonts w:ascii="Arial Unicode MS" w:eastAsia="Arial Unicode MS" w:hAnsi="Arial Unicode MS" w:cs="Arial Unicode MS"/>
          <w:b/>
          <w:sz w:val="23"/>
          <w:szCs w:val="23"/>
          <w:lang w:val="en-ZA"/>
        </w:rPr>
      </w:pPr>
      <w:r>
        <w:rPr>
          <w:rFonts w:ascii="Arial Unicode MS" w:eastAsia="Arial Unicode MS" w:hAnsi="Arial Unicode MS" w:cs="Arial Unicode MS"/>
          <w:b/>
          <w:sz w:val="23"/>
          <w:szCs w:val="23"/>
          <w:lang w:val="en-ZA"/>
        </w:rPr>
        <w:t>ECONOMIC FREEDOM FIGHTERS                                                Second Applicant</w:t>
      </w:r>
    </w:p>
    <w:p w14:paraId="0543085A" w14:textId="77777777" w:rsidR="001B02DE" w:rsidRDefault="001B02DE" w:rsidP="001B02DE">
      <w:pPr>
        <w:pBdr>
          <w:bottom w:val="single" w:sz="12" w:space="1" w:color="auto"/>
        </w:pBdr>
        <w:tabs>
          <w:tab w:val="left" w:pos="0"/>
          <w:tab w:val="left" w:pos="3000"/>
          <w:tab w:val="left" w:pos="6663"/>
          <w:tab w:val="right" w:pos="9639"/>
        </w:tabs>
        <w:spacing w:line="360" w:lineRule="auto"/>
        <w:rPr>
          <w:rFonts w:ascii="Arial Unicode MS" w:eastAsia="Arial Unicode MS" w:hAnsi="Arial Unicode MS" w:cs="Arial Unicode MS"/>
          <w:b/>
          <w:sz w:val="23"/>
          <w:szCs w:val="23"/>
          <w:lang w:val="en-ZA"/>
        </w:rPr>
      </w:pPr>
    </w:p>
    <w:p w14:paraId="77A407C2" w14:textId="77777777" w:rsidR="001B02DE" w:rsidRDefault="001B02DE" w:rsidP="001B02DE">
      <w:pPr>
        <w:pBdr>
          <w:bottom w:val="single" w:sz="12" w:space="1" w:color="auto"/>
        </w:pBdr>
        <w:tabs>
          <w:tab w:val="left" w:pos="0"/>
          <w:tab w:val="left" w:pos="3000"/>
          <w:tab w:val="left" w:pos="6663"/>
          <w:tab w:val="right" w:pos="9639"/>
        </w:tabs>
        <w:spacing w:line="360" w:lineRule="auto"/>
        <w:rPr>
          <w:rFonts w:ascii="Arial Unicode MS" w:eastAsia="Arial Unicode MS" w:hAnsi="Arial Unicode MS" w:cs="Arial Unicode MS"/>
          <w:b/>
          <w:sz w:val="23"/>
          <w:szCs w:val="23"/>
          <w:lang w:val="en-ZA"/>
        </w:rPr>
      </w:pPr>
      <w:r>
        <w:rPr>
          <w:rFonts w:ascii="Arial Unicode MS" w:eastAsia="Arial Unicode MS" w:hAnsi="Arial Unicode MS" w:cs="Arial Unicode MS"/>
          <w:b/>
          <w:sz w:val="23"/>
          <w:szCs w:val="23"/>
          <w:lang w:val="en-ZA"/>
        </w:rPr>
        <w:t>and</w:t>
      </w:r>
    </w:p>
    <w:p w14:paraId="6ACA9DFA" w14:textId="77777777" w:rsidR="001B02DE" w:rsidRDefault="001B02DE" w:rsidP="001B02DE">
      <w:pPr>
        <w:pBdr>
          <w:bottom w:val="single" w:sz="12" w:space="1" w:color="auto"/>
        </w:pBdr>
        <w:tabs>
          <w:tab w:val="left" w:pos="0"/>
          <w:tab w:val="left" w:pos="3000"/>
          <w:tab w:val="left" w:pos="6663"/>
          <w:tab w:val="right" w:pos="9639"/>
        </w:tabs>
        <w:spacing w:line="360" w:lineRule="auto"/>
        <w:rPr>
          <w:rFonts w:ascii="Arial Unicode MS" w:eastAsia="Arial Unicode MS" w:hAnsi="Arial Unicode MS" w:cs="Arial Unicode MS"/>
          <w:b/>
          <w:sz w:val="23"/>
          <w:szCs w:val="23"/>
          <w:lang w:val="en-ZA"/>
        </w:rPr>
      </w:pPr>
      <w:r>
        <w:rPr>
          <w:rFonts w:ascii="Arial Unicode MS" w:eastAsia="Arial Unicode MS" w:hAnsi="Arial Unicode MS" w:cs="Arial Unicode MS"/>
          <w:b/>
          <w:sz w:val="23"/>
          <w:szCs w:val="23"/>
          <w:lang w:val="en-ZA"/>
        </w:rPr>
        <w:t xml:space="preserve">                                                                    </w:t>
      </w:r>
    </w:p>
    <w:p w14:paraId="7A1B6D70" w14:textId="35B5AAB1" w:rsidR="001B02DE" w:rsidRDefault="001B02DE" w:rsidP="001B02DE">
      <w:pPr>
        <w:pBdr>
          <w:bottom w:val="single" w:sz="12" w:space="1" w:color="auto"/>
        </w:pBdr>
        <w:tabs>
          <w:tab w:val="left" w:pos="0"/>
          <w:tab w:val="left" w:pos="3000"/>
          <w:tab w:val="left" w:pos="6663"/>
          <w:tab w:val="right" w:pos="9639"/>
        </w:tabs>
        <w:spacing w:line="360" w:lineRule="auto"/>
        <w:rPr>
          <w:rFonts w:ascii="Arial Unicode MS" w:eastAsia="Arial Unicode MS" w:hAnsi="Arial Unicode MS" w:cs="Arial Unicode MS"/>
          <w:b/>
          <w:sz w:val="23"/>
          <w:szCs w:val="23"/>
          <w:lang w:val="en-ZA"/>
        </w:rPr>
      </w:pPr>
      <w:r>
        <w:rPr>
          <w:rFonts w:ascii="Arial Unicode MS" w:eastAsia="Arial Unicode MS" w:hAnsi="Arial Unicode MS" w:cs="Arial Unicode MS"/>
          <w:b/>
          <w:sz w:val="23"/>
          <w:szCs w:val="23"/>
          <w:lang w:val="en-ZA"/>
        </w:rPr>
        <w:t>AFRIFORUM NPC                                                                             First Respondent</w:t>
      </w:r>
    </w:p>
    <w:p w14:paraId="15621A0D" w14:textId="6F8E1EB7" w:rsidR="001B02DE" w:rsidRDefault="001B02DE" w:rsidP="001B02DE">
      <w:pPr>
        <w:pBdr>
          <w:bottom w:val="single" w:sz="12" w:space="1" w:color="auto"/>
        </w:pBdr>
        <w:tabs>
          <w:tab w:val="left" w:pos="0"/>
          <w:tab w:val="left" w:pos="3000"/>
          <w:tab w:val="left" w:pos="6663"/>
          <w:tab w:val="right" w:pos="9639"/>
        </w:tabs>
        <w:spacing w:line="360" w:lineRule="auto"/>
        <w:rPr>
          <w:rFonts w:ascii="Arial Unicode MS" w:eastAsia="Arial Unicode MS" w:hAnsi="Arial Unicode MS" w:cs="Arial Unicode MS"/>
          <w:b/>
          <w:sz w:val="23"/>
          <w:szCs w:val="23"/>
          <w:lang w:val="en-ZA"/>
        </w:rPr>
      </w:pPr>
    </w:p>
    <w:p w14:paraId="3A3D42F3" w14:textId="132A041B" w:rsidR="001B02DE" w:rsidRDefault="001B02DE" w:rsidP="001B02DE">
      <w:pPr>
        <w:pBdr>
          <w:bottom w:val="single" w:sz="12" w:space="1" w:color="auto"/>
        </w:pBdr>
        <w:tabs>
          <w:tab w:val="left" w:pos="0"/>
          <w:tab w:val="left" w:pos="3000"/>
          <w:tab w:val="left" w:pos="6663"/>
          <w:tab w:val="right" w:pos="9639"/>
        </w:tabs>
        <w:spacing w:line="360" w:lineRule="auto"/>
        <w:rPr>
          <w:rFonts w:ascii="Arial Unicode MS" w:eastAsia="Arial Unicode MS" w:hAnsi="Arial Unicode MS" w:cs="Arial Unicode MS"/>
          <w:sz w:val="23"/>
          <w:szCs w:val="23"/>
          <w:lang w:val="en-ZA"/>
        </w:rPr>
      </w:pPr>
      <w:r>
        <w:rPr>
          <w:rFonts w:ascii="Arial Unicode MS" w:eastAsia="Arial Unicode MS" w:hAnsi="Arial Unicode MS" w:cs="Arial Unicode MS"/>
          <w:b/>
          <w:sz w:val="23"/>
          <w:szCs w:val="23"/>
          <w:lang w:val="en-ZA"/>
        </w:rPr>
        <w:t>AFRISAKE NPC                                                                               Second Respondent</w:t>
      </w:r>
    </w:p>
    <w:p w14:paraId="09425801" w14:textId="1B2B885D" w:rsidR="001B02DE" w:rsidRDefault="001B02DE" w:rsidP="001B02DE">
      <w:pPr>
        <w:pBdr>
          <w:bottom w:val="single" w:sz="12" w:space="1" w:color="auto"/>
        </w:pBdr>
        <w:tabs>
          <w:tab w:val="left" w:pos="0"/>
          <w:tab w:val="left" w:pos="7716"/>
        </w:tabs>
        <w:spacing w:line="480" w:lineRule="auto"/>
        <w:rPr>
          <w:rFonts w:ascii="Arial Unicode MS" w:eastAsia="Arial Unicode MS" w:hAnsi="Arial Unicode MS" w:cs="Arial Unicode MS"/>
          <w:sz w:val="23"/>
          <w:szCs w:val="23"/>
          <w:lang w:val="en-ZA"/>
        </w:rPr>
      </w:pPr>
      <w:r>
        <w:rPr>
          <w:rFonts w:ascii="Arial Unicode MS" w:eastAsia="Arial Unicode MS" w:hAnsi="Arial Unicode MS" w:cs="Arial Unicode MS"/>
          <w:sz w:val="23"/>
          <w:szCs w:val="23"/>
          <w:lang w:val="en-ZA"/>
        </w:rPr>
        <w:t xml:space="preserve">                                                            </w:t>
      </w:r>
    </w:p>
    <w:p w14:paraId="5136CAA5" w14:textId="77777777" w:rsidR="001B02DE" w:rsidRPr="00084002" w:rsidRDefault="001B02DE" w:rsidP="001B02DE">
      <w:pPr>
        <w:tabs>
          <w:tab w:val="left" w:pos="3000"/>
        </w:tabs>
        <w:spacing w:line="480" w:lineRule="auto"/>
        <w:jc w:val="center"/>
        <w:rPr>
          <w:rFonts w:ascii="Arial Unicode MS" w:eastAsia="Arial Unicode MS" w:hAnsi="Arial Unicode MS" w:cs="Arial Unicode MS"/>
          <w:sz w:val="16"/>
          <w:szCs w:val="16"/>
        </w:rPr>
      </w:pPr>
    </w:p>
    <w:p w14:paraId="7ACC542D" w14:textId="690058DE" w:rsidR="001B02DE" w:rsidRPr="00473D63" w:rsidRDefault="001B02DE" w:rsidP="00473D63">
      <w:pPr>
        <w:pBdr>
          <w:bottom w:val="single" w:sz="12" w:space="1" w:color="auto"/>
        </w:pBdr>
        <w:tabs>
          <w:tab w:val="left" w:pos="3000"/>
        </w:tabs>
        <w:spacing w:line="480" w:lineRule="auto"/>
        <w:jc w:val="center"/>
        <w:rPr>
          <w:rFonts w:ascii="Arial Unicode MS" w:eastAsia="Arial Unicode MS" w:hAnsi="Arial Unicode MS" w:cs="Arial Unicode MS"/>
          <w:sz w:val="23"/>
          <w:szCs w:val="23"/>
        </w:rPr>
      </w:pPr>
      <w:r>
        <w:rPr>
          <w:rFonts w:ascii="Arial Unicode MS" w:eastAsia="Arial Unicode MS" w:hAnsi="Arial Unicode MS" w:cs="Arial Unicode MS"/>
          <w:sz w:val="23"/>
          <w:szCs w:val="23"/>
        </w:rPr>
        <w:t>JUDGMENT</w:t>
      </w:r>
    </w:p>
    <w:p w14:paraId="0BC63956" w14:textId="4F32D999" w:rsidR="001B02DE" w:rsidRDefault="001B02DE" w:rsidP="004C704C">
      <w:pPr>
        <w:tabs>
          <w:tab w:val="left" w:pos="3000"/>
        </w:tabs>
        <w:spacing w:line="480" w:lineRule="auto"/>
        <w:jc w:val="both"/>
        <w:rPr>
          <w:rFonts w:eastAsia="Arial Unicode MS"/>
        </w:rPr>
      </w:pPr>
      <w:r w:rsidRPr="003A2754">
        <w:rPr>
          <w:rFonts w:eastAsia="Arial Unicode MS"/>
          <w:u w:val="single"/>
        </w:rPr>
        <w:lastRenderedPageBreak/>
        <w:t>MABUSE J</w:t>
      </w:r>
      <w:r w:rsidRPr="003A2754">
        <w:rPr>
          <w:rFonts w:eastAsia="Arial Unicode MS"/>
        </w:rPr>
        <w:t xml:space="preserve"> </w:t>
      </w:r>
    </w:p>
    <w:p w14:paraId="6CD2A436" w14:textId="0514046A" w:rsidR="00CE278F" w:rsidRDefault="00CE278F" w:rsidP="004C704C">
      <w:pPr>
        <w:tabs>
          <w:tab w:val="left" w:pos="3000"/>
        </w:tabs>
        <w:spacing w:line="480" w:lineRule="auto"/>
        <w:jc w:val="both"/>
        <w:rPr>
          <w:rFonts w:eastAsia="Arial Unicode MS"/>
        </w:rPr>
      </w:pPr>
      <w:r>
        <w:rPr>
          <w:rFonts w:eastAsia="Arial Unicode MS"/>
        </w:rPr>
        <w:t>[1] T</w:t>
      </w:r>
      <w:r w:rsidRPr="00CE278F">
        <w:rPr>
          <w:rFonts w:eastAsia="Arial Unicode MS"/>
        </w:rPr>
        <w:t xml:space="preserve">his is an application </w:t>
      </w:r>
      <w:r w:rsidR="00412B27">
        <w:rPr>
          <w:rFonts w:eastAsia="Arial Unicode MS"/>
        </w:rPr>
        <w:t xml:space="preserve">by </w:t>
      </w:r>
      <w:r w:rsidRPr="00CE278F">
        <w:rPr>
          <w:rFonts w:eastAsia="Arial Unicode MS"/>
        </w:rPr>
        <w:t xml:space="preserve">the </w:t>
      </w:r>
      <w:r>
        <w:rPr>
          <w:rFonts w:eastAsia="Arial Unicode MS"/>
        </w:rPr>
        <w:t>A</w:t>
      </w:r>
      <w:r w:rsidRPr="00CE278F">
        <w:rPr>
          <w:rFonts w:eastAsia="Arial Unicode MS"/>
        </w:rPr>
        <w:t>pplicant</w:t>
      </w:r>
      <w:r>
        <w:rPr>
          <w:rFonts w:eastAsia="Arial Unicode MS"/>
        </w:rPr>
        <w:t>s</w:t>
      </w:r>
      <w:r w:rsidRPr="00CE278F">
        <w:rPr>
          <w:rFonts w:eastAsia="Arial Unicode MS"/>
        </w:rPr>
        <w:t xml:space="preserve"> for lea</w:t>
      </w:r>
      <w:r>
        <w:rPr>
          <w:rFonts w:eastAsia="Arial Unicode MS"/>
        </w:rPr>
        <w:t>ve</w:t>
      </w:r>
      <w:r w:rsidRPr="00CE278F">
        <w:rPr>
          <w:rFonts w:eastAsia="Arial Unicode MS"/>
        </w:rPr>
        <w:t xml:space="preserve"> to appeal </w:t>
      </w:r>
      <w:r w:rsidR="00412B27">
        <w:rPr>
          <w:rFonts w:eastAsia="Arial Unicode MS"/>
        </w:rPr>
        <w:t>ag</w:t>
      </w:r>
      <w:r w:rsidRPr="00CE278F">
        <w:rPr>
          <w:rFonts w:eastAsia="Arial Unicode MS"/>
        </w:rPr>
        <w:t xml:space="preserve">ainst the </w:t>
      </w:r>
      <w:r>
        <w:rPr>
          <w:rFonts w:eastAsia="Arial Unicode MS"/>
        </w:rPr>
        <w:t>C</w:t>
      </w:r>
      <w:r w:rsidRPr="00CE278F">
        <w:rPr>
          <w:rFonts w:eastAsia="Arial Unicode MS"/>
        </w:rPr>
        <w:t xml:space="preserve">ourt order </w:t>
      </w:r>
      <w:r w:rsidR="00095086">
        <w:rPr>
          <w:rFonts w:eastAsia="Arial Unicode MS"/>
        </w:rPr>
        <w:t xml:space="preserve">(the order) </w:t>
      </w:r>
      <w:r w:rsidRPr="00CE278F">
        <w:rPr>
          <w:rFonts w:eastAsia="Arial Unicode MS"/>
        </w:rPr>
        <w:t>that was granted by default against them on 7 March 2017. The sa</w:t>
      </w:r>
      <w:r>
        <w:rPr>
          <w:rFonts w:eastAsia="Arial Unicode MS"/>
        </w:rPr>
        <w:t>i</w:t>
      </w:r>
      <w:r w:rsidRPr="00CE278F">
        <w:rPr>
          <w:rFonts w:eastAsia="Arial Unicode MS"/>
        </w:rPr>
        <w:t>d order</w:t>
      </w:r>
      <w:r>
        <w:rPr>
          <w:rFonts w:eastAsia="Arial Unicode MS"/>
        </w:rPr>
        <w:t xml:space="preserve"> was</w:t>
      </w:r>
      <w:r w:rsidRPr="00CE278F">
        <w:rPr>
          <w:rFonts w:eastAsia="Arial Unicode MS"/>
        </w:rPr>
        <w:t xml:space="preserve"> </w:t>
      </w:r>
      <w:r>
        <w:rPr>
          <w:rFonts w:eastAsia="Arial Unicode MS"/>
        </w:rPr>
        <w:t xml:space="preserve">granted </w:t>
      </w:r>
      <w:r w:rsidRPr="00CE278F">
        <w:rPr>
          <w:rFonts w:eastAsia="Arial Unicode MS"/>
        </w:rPr>
        <w:t xml:space="preserve">in favour of the current </w:t>
      </w:r>
      <w:r>
        <w:rPr>
          <w:rFonts w:eastAsia="Arial Unicode MS"/>
        </w:rPr>
        <w:t>R</w:t>
      </w:r>
      <w:r w:rsidRPr="00CE278F">
        <w:rPr>
          <w:rFonts w:eastAsia="Arial Unicode MS"/>
        </w:rPr>
        <w:t>espondents</w:t>
      </w:r>
      <w:r w:rsidR="00095086">
        <w:rPr>
          <w:rFonts w:eastAsia="Arial Unicode MS"/>
        </w:rPr>
        <w:t>, who were the Applicants in the application that led to the said order.</w:t>
      </w:r>
      <w:r>
        <w:rPr>
          <w:rFonts w:eastAsia="Arial Unicode MS"/>
        </w:rPr>
        <w:t xml:space="preserve"> </w:t>
      </w:r>
      <w:r w:rsidRPr="00CE278F">
        <w:rPr>
          <w:rFonts w:eastAsia="Arial Unicode MS"/>
        </w:rPr>
        <w:t xml:space="preserve">This application is opposed by the </w:t>
      </w:r>
      <w:r>
        <w:rPr>
          <w:rFonts w:eastAsia="Arial Unicode MS"/>
        </w:rPr>
        <w:t>R</w:t>
      </w:r>
      <w:r w:rsidRPr="00CE278F">
        <w:rPr>
          <w:rFonts w:eastAsia="Arial Unicode MS"/>
        </w:rPr>
        <w:t xml:space="preserve">espondents who were the </w:t>
      </w:r>
      <w:r w:rsidR="0049305A">
        <w:rPr>
          <w:rFonts w:eastAsia="Arial Unicode MS"/>
        </w:rPr>
        <w:t>A</w:t>
      </w:r>
      <w:r w:rsidRPr="00CE278F">
        <w:rPr>
          <w:rFonts w:eastAsia="Arial Unicode MS"/>
        </w:rPr>
        <w:t>pplicants on 7 March 2017</w:t>
      </w:r>
      <w:r w:rsidR="00095086">
        <w:rPr>
          <w:rFonts w:eastAsia="Arial Unicode MS"/>
        </w:rPr>
        <w:t>. T</w:t>
      </w:r>
      <w:r w:rsidR="00095086" w:rsidRPr="00CE278F">
        <w:rPr>
          <w:rFonts w:eastAsia="Arial Unicode MS"/>
        </w:rPr>
        <w:t xml:space="preserve">he current </w:t>
      </w:r>
      <w:r w:rsidR="00095086">
        <w:rPr>
          <w:rFonts w:eastAsia="Arial Unicode MS"/>
        </w:rPr>
        <w:t>A</w:t>
      </w:r>
      <w:r w:rsidR="00095086" w:rsidRPr="00CE278F">
        <w:rPr>
          <w:rFonts w:eastAsia="Arial Unicode MS"/>
        </w:rPr>
        <w:t xml:space="preserve">pplicants were the </w:t>
      </w:r>
      <w:r w:rsidR="00095086">
        <w:rPr>
          <w:rFonts w:eastAsia="Arial Unicode MS"/>
        </w:rPr>
        <w:t>R</w:t>
      </w:r>
      <w:r w:rsidR="00095086" w:rsidRPr="00CE278F">
        <w:rPr>
          <w:rFonts w:eastAsia="Arial Unicode MS"/>
        </w:rPr>
        <w:t>espondents</w:t>
      </w:r>
      <w:r w:rsidRPr="00CE278F">
        <w:rPr>
          <w:rFonts w:eastAsia="Arial Unicode MS"/>
        </w:rPr>
        <w:t xml:space="preserve"> </w:t>
      </w:r>
      <w:r w:rsidR="00095086">
        <w:rPr>
          <w:rFonts w:eastAsia="Arial Unicode MS"/>
        </w:rPr>
        <w:t>in that matter</w:t>
      </w:r>
      <w:r w:rsidRPr="00CE278F">
        <w:rPr>
          <w:rFonts w:eastAsia="Arial Unicode MS"/>
        </w:rPr>
        <w:t>. For purposes of convenience</w:t>
      </w:r>
      <w:r>
        <w:rPr>
          <w:rFonts w:eastAsia="Arial Unicode MS"/>
        </w:rPr>
        <w:t xml:space="preserve">, </w:t>
      </w:r>
      <w:r w:rsidRPr="00CE278F">
        <w:rPr>
          <w:rFonts w:eastAsia="Arial Unicode MS"/>
        </w:rPr>
        <w:t xml:space="preserve">the parties </w:t>
      </w:r>
      <w:r w:rsidR="00095086">
        <w:rPr>
          <w:rFonts w:eastAsia="Arial Unicode MS"/>
        </w:rPr>
        <w:t>herein</w:t>
      </w:r>
      <w:r w:rsidR="00095086" w:rsidRPr="00CE278F">
        <w:rPr>
          <w:rFonts w:eastAsia="Arial Unicode MS"/>
        </w:rPr>
        <w:t xml:space="preserve"> shall</w:t>
      </w:r>
      <w:r w:rsidRPr="00CE278F">
        <w:rPr>
          <w:rFonts w:eastAsia="Arial Unicode MS"/>
        </w:rPr>
        <w:t xml:space="preserve"> be referred to as in the original application</w:t>
      </w:r>
      <w:r>
        <w:rPr>
          <w:rFonts w:eastAsia="Arial Unicode MS"/>
        </w:rPr>
        <w:t xml:space="preserve">, </w:t>
      </w:r>
      <w:r w:rsidRPr="00CE278F">
        <w:rPr>
          <w:rFonts w:eastAsia="Arial Unicode MS"/>
        </w:rPr>
        <w:t>in other words</w:t>
      </w:r>
      <w:r w:rsidR="0049305A">
        <w:rPr>
          <w:rFonts w:eastAsia="Arial Unicode MS"/>
        </w:rPr>
        <w:t>,</w:t>
      </w:r>
      <w:r w:rsidRPr="00CE278F">
        <w:rPr>
          <w:rFonts w:eastAsia="Arial Unicode MS"/>
        </w:rPr>
        <w:t xml:space="preserve"> the </w:t>
      </w:r>
      <w:r>
        <w:rPr>
          <w:rFonts w:eastAsia="Arial Unicode MS"/>
        </w:rPr>
        <w:t>A</w:t>
      </w:r>
      <w:r w:rsidRPr="00CE278F">
        <w:rPr>
          <w:rFonts w:eastAsia="Arial Unicode MS"/>
        </w:rPr>
        <w:t xml:space="preserve">pplicants in this matter will be referred to as the </w:t>
      </w:r>
      <w:r w:rsidR="00AA4225">
        <w:rPr>
          <w:rFonts w:eastAsia="Arial Unicode MS"/>
        </w:rPr>
        <w:t>R</w:t>
      </w:r>
      <w:r w:rsidRPr="00CE278F">
        <w:rPr>
          <w:rFonts w:eastAsia="Arial Unicode MS"/>
        </w:rPr>
        <w:t>esponden</w:t>
      </w:r>
      <w:r w:rsidR="00AA4225">
        <w:rPr>
          <w:rFonts w:eastAsia="Arial Unicode MS"/>
        </w:rPr>
        <w:t>ts,</w:t>
      </w:r>
      <w:r w:rsidRPr="00CE278F">
        <w:rPr>
          <w:rFonts w:eastAsia="Arial Unicode MS"/>
        </w:rPr>
        <w:t xml:space="preserve"> as they were </w:t>
      </w:r>
      <w:r w:rsidR="00AA4225">
        <w:rPr>
          <w:rFonts w:eastAsia="Arial Unicode MS"/>
        </w:rPr>
        <w:t>cited</w:t>
      </w:r>
      <w:r w:rsidRPr="00CE278F">
        <w:rPr>
          <w:rFonts w:eastAsia="Arial Unicode MS"/>
        </w:rPr>
        <w:t xml:space="preserve"> in </w:t>
      </w:r>
      <w:r w:rsidR="00AA4225">
        <w:rPr>
          <w:rFonts w:eastAsia="Arial Unicode MS"/>
        </w:rPr>
        <w:t xml:space="preserve">the </w:t>
      </w:r>
      <w:r w:rsidR="00AA4225" w:rsidRPr="00CE278F">
        <w:rPr>
          <w:rFonts w:eastAsia="Arial Unicode MS"/>
        </w:rPr>
        <w:t>original</w:t>
      </w:r>
      <w:r w:rsidRPr="00CE278F">
        <w:rPr>
          <w:rFonts w:eastAsia="Arial Unicode MS"/>
        </w:rPr>
        <w:t xml:space="preserve"> application</w:t>
      </w:r>
      <w:r w:rsidR="00095086">
        <w:rPr>
          <w:rFonts w:eastAsia="Arial Unicode MS"/>
        </w:rPr>
        <w:t>,</w:t>
      </w:r>
      <w:r w:rsidRPr="00CE278F">
        <w:rPr>
          <w:rFonts w:eastAsia="Arial Unicode MS"/>
        </w:rPr>
        <w:t xml:space="preserve"> and the current </w:t>
      </w:r>
      <w:r w:rsidR="00AA4225">
        <w:rPr>
          <w:rFonts w:eastAsia="Arial Unicode MS"/>
        </w:rPr>
        <w:t>R</w:t>
      </w:r>
      <w:r w:rsidRPr="00CE278F">
        <w:rPr>
          <w:rFonts w:eastAsia="Arial Unicode MS"/>
        </w:rPr>
        <w:t xml:space="preserve">espondents will be referred to as the </w:t>
      </w:r>
      <w:r w:rsidR="00AA4225">
        <w:rPr>
          <w:rFonts w:eastAsia="Arial Unicode MS"/>
        </w:rPr>
        <w:t>A</w:t>
      </w:r>
      <w:r w:rsidRPr="00CE278F">
        <w:rPr>
          <w:rFonts w:eastAsia="Arial Unicode MS"/>
        </w:rPr>
        <w:t>pplicants</w:t>
      </w:r>
      <w:r w:rsidR="00AA4225">
        <w:rPr>
          <w:rFonts w:eastAsia="Arial Unicode MS"/>
        </w:rPr>
        <w:t>,</w:t>
      </w:r>
      <w:r w:rsidRPr="00CE278F">
        <w:rPr>
          <w:rFonts w:eastAsia="Arial Unicode MS"/>
        </w:rPr>
        <w:t xml:space="preserve"> as they were </w:t>
      </w:r>
      <w:r w:rsidR="00AA4225">
        <w:rPr>
          <w:rFonts w:eastAsia="Arial Unicode MS"/>
        </w:rPr>
        <w:t>cited</w:t>
      </w:r>
      <w:r w:rsidRPr="00CE278F">
        <w:rPr>
          <w:rFonts w:eastAsia="Arial Unicode MS"/>
        </w:rPr>
        <w:t xml:space="preserve"> in the original application.</w:t>
      </w:r>
    </w:p>
    <w:p w14:paraId="5BB4D8CD" w14:textId="2E800274" w:rsidR="00CE278F" w:rsidRDefault="00CE278F" w:rsidP="004C704C">
      <w:pPr>
        <w:tabs>
          <w:tab w:val="left" w:pos="3000"/>
        </w:tabs>
        <w:spacing w:line="480" w:lineRule="auto"/>
        <w:jc w:val="both"/>
        <w:rPr>
          <w:rFonts w:eastAsia="Arial Unicode MS"/>
        </w:rPr>
      </w:pPr>
      <w:r>
        <w:rPr>
          <w:rFonts w:eastAsia="Arial Unicode MS"/>
        </w:rPr>
        <w:t xml:space="preserve">[2] </w:t>
      </w:r>
      <w:r w:rsidRPr="00CE278F">
        <w:rPr>
          <w:rFonts w:eastAsia="Arial Unicode MS"/>
        </w:rPr>
        <w:t xml:space="preserve">The </w:t>
      </w:r>
      <w:r w:rsidR="00095086" w:rsidRPr="00CE278F">
        <w:rPr>
          <w:rFonts w:eastAsia="Arial Unicode MS"/>
        </w:rPr>
        <w:t>pa</w:t>
      </w:r>
      <w:r w:rsidR="00095086">
        <w:rPr>
          <w:rFonts w:eastAsia="Arial Unicode MS"/>
        </w:rPr>
        <w:t>r</w:t>
      </w:r>
      <w:r w:rsidR="00095086" w:rsidRPr="00CE278F">
        <w:rPr>
          <w:rFonts w:eastAsia="Arial Unicode MS"/>
        </w:rPr>
        <w:t>t</w:t>
      </w:r>
      <w:r w:rsidR="00095086">
        <w:rPr>
          <w:rFonts w:eastAsia="Arial Unicode MS"/>
        </w:rPr>
        <w:t>ie</w:t>
      </w:r>
      <w:r w:rsidR="00095086" w:rsidRPr="00CE278F">
        <w:rPr>
          <w:rFonts w:eastAsia="Arial Unicode MS"/>
        </w:rPr>
        <w:t>s</w:t>
      </w:r>
      <w:r w:rsidRPr="00CE278F">
        <w:rPr>
          <w:rFonts w:eastAsia="Arial Unicode MS"/>
        </w:rPr>
        <w:t xml:space="preserve"> herein </w:t>
      </w:r>
      <w:r w:rsidR="00095086">
        <w:rPr>
          <w:rFonts w:eastAsia="Arial Unicode MS"/>
        </w:rPr>
        <w:t xml:space="preserve">did not have any </w:t>
      </w:r>
      <w:r w:rsidRPr="00CE278F">
        <w:rPr>
          <w:rFonts w:eastAsia="Arial Unicode MS"/>
        </w:rPr>
        <w:t xml:space="preserve">reasons for the order of </w:t>
      </w:r>
      <w:r w:rsidR="00095086">
        <w:rPr>
          <w:rFonts w:eastAsia="Arial Unicode MS"/>
        </w:rPr>
        <w:t xml:space="preserve">7 </w:t>
      </w:r>
      <w:r w:rsidRPr="00CE278F">
        <w:rPr>
          <w:rFonts w:eastAsia="Arial Unicode MS"/>
        </w:rPr>
        <w:t xml:space="preserve">March 2017. For reasons that I will point out later </w:t>
      </w:r>
      <w:r w:rsidR="00095086">
        <w:rPr>
          <w:rFonts w:eastAsia="Arial Unicode MS"/>
        </w:rPr>
        <w:t xml:space="preserve">in this judgment, </w:t>
      </w:r>
      <w:r w:rsidRPr="00CE278F">
        <w:rPr>
          <w:rFonts w:eastAsia="Arial Unicode MS"/>
        </w:rPr>
        <w:t xml:space="preserve">they were both prepared </w:t>
      </w:r>
      <w:r w:rsidR="00095086">
        <w:rPr>
          <w:rFonts w:eastAsia="Arial Unicode MS"/>
        </w:rPr>
        <w:t xml:space="preserve">notwithstanding, </w:t>
      </w:r>
      <w:r w:rsidRPr="00CE278F">
        <w:rPr>
          <w:rFonts w:eastAsia="Arial Unicode MS"/>
        </w:rPr>
        <w:t xml:space="preserve">to proceed with the application for leave to appeal against the </w:t>
      </w:r>
      <w:r w:rsidR="00095086">
        <w:rPr>
          <w:rFonts w:eastAsia="Arial Unicode MS"/>
        </w:rPr>
        <w:t>said</w:t>
      </w:r>
      <w:r w:rsidRPr="00CE278F">
        <w:rPr>
          <w:rFonts w:eastAsia="Arial Unicode MS"/>
        </w:rPr>
        <w:t xml:space="preserve"> </w:t>
      </w:r>
      <w:r w:rsidR="00473D63" w:rsidRPr="00CE278F">
        <w:rPr>
          <w:rFonts w:eastAsia="Arial Unicode MS"/>
        </w:rPr>
        <w:t>order</w:t>
      </w:r>
      <w:r w:rsidR="00473D63">
        <w:rPr>
          <w:rFonts w:eastAsia="Arial Unicode MS"/>
        </w:rPr>
        <w:t>.</w:t>
      </w:r>
      <w:r w:rsidRPr="00CE278F">
        <w:rPr>
          <w:rFonts w:eastAsia="Arial Unicode MS"/>
        </w:rPr>
        <w:t xml:space="preserve"> I found th</w:t>
      </w:r>
      <w:r w:rsidR="00473D63">
        <w:rPr>
          <w:rFonts w:eastAsia="Arial Unicode MS"/>
        </w:rPr>
        <w:t>i</w:t>
      </w:r>
      <w:r w:rsidRPr="00CE278F">
        <w:rPr>
          <w:rFonts w:eastAsia="Arial Unicode MS"/>
        </w:rPr>
        <w:t>s</w:t>
      </w:r>
      <w:r w:rsidR="00473D63">
        <w:rPr>
          <w:rFonts w:eastAsia="Arial Unicode MS"/>
        </w:rPr>
        <w:t xml:space="preserve"> </w:t>
      </w:r>
      <w:r w:rsidRPr="00CE278F">
        <w:rPr>
          <w:rFonts w:eastAsia="Arial Unicode MS"/>
        </w:rPr>
        <w:t>to be at odd with convention</w:t>
      </w:r>
      <w:r w:rsidR="00FE14A0">
        <w:rPr>
          <w:rFonts w:eastAsia="Arial Unicode MS"/>
        </w:rPr>
        <w:t>.</w:t>
      </w:r>
      <w:r w:rsidR="00FE14A0" w:rsidRPr="00CE278F">
        <w:rPr>
          <w:rFonts w:eastAsia="Arial Unicode MS"/>
        </w:rPr>
        <w:t xml:space="preserve"> </w:t>
      </w:r>
      <w:r w:rsidR="004C704C">
        <w:rPr>
          <w:rFonts w:eastAsia="Arial Unicode MS"/>
        </w:rPr>
        <w:t>The</w:t>
      </w:r>
      <w:r w:rsidRPr="00CE278F">
        <w:rPr>
          <w:rFonts w:eastAsia="Arial Unicode MS"/>
        </w:rPr>
        <w:t xml:space="preserve"> furnishing of reasons by this court </w:t>
      </w:r>
      <w:r w:rsidR="00473D63">
        <w:rPr>
          <w:rFonts w:eastAsia="Arial Unicode MS"/>
        </w:rPr>
        <w:t xml:space="preserve">would have been otiose or without any </w:t>
      </w:r>
      <w:r w:rsidR="004C704C">
        <w:rPr>
          <w:rFonts w:eastAsia="Arial Unicode MS"/>
        </w:rPr>
        <w:t xml:space="preserve">useful </w:t>
      </w:r>
      <w:r w:rsidR="00473D63">
        <w:rPr>
          <w:rFonts w:eastAsia="Arial Unicode MS"/>
        </w:rPr>
        <w:t>purpose, as will be demonstrated herein below.</w:t>
      </w:r>
    </w:p>
    <w:p w14:paraId="74F0A03B" w14:textId="2A075E33" w:rsidR="00140BFE" w:rsidRDefault="005A468E" w:rsidP="004C704C">
      <w:pPr>
        <w:tabs>
          <w:tab w:val="left" w:pos="3000"/>
        </w:tabs>
        <w:spacing w:line="480" w:lineRule="auto"/>
        <w:jc w:val="both"/>
        <w:rPr>
          <w:rFonts w:eastAsia="Arial Unicode MS"/>
        </w:rPr>
      </w:pPr>
      <w:r>
        <w:rPr>
          <w:rFonts w:eastAsia="Arial Unicode MS"/>
        </w:rPr>
        <w:t xml:space="preserve">[3] In his </w:t>
      </w:r>
      <w:r w:rsidRPr="005A468E">
        <w:rPr>
          <w:rFonts w:eastAsia="Arial Unicode MS"/>
        </w:rPr>
        <w:t>heads of argument, advocate K</w:t>
      </w:r>
      <w:r>
        <w:rPr>
          <w:rFonts w:eastAsia="Arial Unicode MS"/>
        </w:rPr>
        <w:t xml:space="preserve"> </w:t>
      </w:r>
      <w:proofErr w:type="spellStart"/>
      <w:r w:rsidRPr="005A468E">
        <w:rPr>
          <w:rFonts w:eastAsia="Arial Unicode MS"/>
        </w:rPr>
        <w:t>Prem</w:t>
      </w:r>
      <w:r>
        <w:rPr>
          <w:rFonts w:eastAsia="Arial Unicode MS"/>
        </w:rPr>
        <w:t>hid</w:t>
      </w:r>
      <w:proofErr w:type="spellEnd"/>
      <w:r>
        <w:rPr>
          <w:rFonts w:eastAsia="Arial Unicode MS"/>
        </w:rPr>
        <w:t xml:space="preserve">, counsel for the Respondents, </w:t>
      </w:r>
      <w:r w:rsidRPr="005A468E">
        <w:rPr>
          <w:rFonts w:eastAsia="Arial Unicode MS"/>
        </w:rPr>
        <w:t xml:space="preserve">who appeared in this application with advocate as </w:t>
      </w:r>
      <w:r>
        <w:rPr>
          <w:rFonts w:eastAsia="Arial Unicode MS"/>
        </w:rPr>
        <w:t xml:space="preserve">S </w:t>
      </w:r>
      <w:proofErr w:type="spellStart"/>
      <w:r>
        <w:rPr>
          <w:rFonts w:eastAsia="Arial Unicode MS"/>
        </w:rPr>
        <w:t>Mhlongo</w:t>
      </w:r>
      <w:proofErr w:type="spellEnd"/>
      <w:r w:rsidRPr="005A468E">
        <w:rPr>
          <w:rFonts w:eastAsia="Arial Unicode MS"/>
        </w:rPr>
        <w:t xml:space="preserve"> and </w:t>
      </w:r>
      <w:proofErr w:type="spellStart"/>
      <w:r>
        <w:rPr>
          <w:rFonts w:eastAsia="Arial Unicode MS"/>
        </w:rPr>
        <w:t>Suhail</w:t>
      </w:r>
      <w:proofErr w:type="spellEnd"/>
      <w:r w:rsidRPr="005A468E">
        <w:rPr>
          <w:rFonts w:eastAsia="Arial Unicode MS"/>
        </w:rPr>
        <w:t xml:space="preserve"> Mohammed</w:t>
      </w:r>
      <w:r>
        <w:rPr>
          <w:rFonts w:eastAsia="Arial Unicode MS"/>
        </w:rPr>
        <w:t>,</w:t>
      </w:r>
      <w:r w:rsidRPr="005A468E">
        <w:rPr>
          <w:rFonts w:eastAsia="Arial Unicode MS"/>
        </w:rPr>
        <w:t xml:space="preserve"> a </w:t>
      </w:r>
      <w:r>
        <w:rPr>
          <w:rFonts w:eastAsia="Arial Unicode MS"/>
        </w:rPr>
        <w:t>pupil,</w:t>
      </w:r>
      <w:r w:rsidRPr="005A468E">
        <w:rPr>
          <w:rFonts w:eastAsia="Arial Unicode MS"/>
        </w:rPr>
        <w:t xml:space="preserve"> </w:t>
      </w:r>
      <w:r>
        <w:rPr>
          <w:rFonts w:eastAsia="Arial Unicode MS"/>
        </w:rPr>
        <w:t>h</w:t>
      </w:r>
      <w:r w:rsidRPr="005A468E">
        <w:rPr>
          <w:rFonts w:eastAsia="Arial Unicode MS"/>
        </w:rPr>
        <w:t>ad stated</w:t>
      </w:r>
      <w:r>
        <w:rPr>
          <w:rFonts w:eastAsia="Arial Unicode MS"/>
        </w:rPr>
        <w:t>,</w:t>
      </w:r>
      <w:r w:rsidR="00571D52">
        <w:rPr>
          <w:rFonts w:eastAsia="Arial Unicode MS"/>
        </w:rPr>
        <w:t xml:space="preserve"> </w:t>
      </w:r>
      <w:r>
        <w:rPr>
          <w:rFonts w:eastAsia="Arial Unicode MS"/>
        </w:rPr>
        <w:t>inter alia</w:t>
      </w:r>
      <w:r w:rsidR="00571D52">
        <w:rPr>
          <w:rFonts w:eastAsia="Arial Unicode MS"/>
        </w:rPr>
        <w:t xml:space="preserve">, </w:t>
      </w:r>
      <w:r w:rsidRPr="005A468E">
        <w:rPr>
          <w:rFonts w:eastAsia="Arial Unicode MS"/>
        </w:rPr>
        <w:t xml:space="preserve">that </w:t>
      </w:r>
      <w:r w:rsidR="00571D52">
        <w:rPr>
          <w:rFonts w:eastAsia="Arial Unicode MS"/>
        </w:rPr>
        <w:t xml:space="preserve">although </w:t>
      </w:r>
      <w:r w:rsidRPr="005A468E">
        <w:rPr>
          <w:rFonts w:eastAsia="Arial Unicode MS"/>
        </w:rPr>
        <w:t xml:space="preserve">the order was granted on 7 March 2017 to date no reasons for the order have been delivered to the parties. He stated furthermore that </w:t>
      </w:r>
      <w:r w:rsidR="00571D52">
        <w:rPr>
          <w:rFonts w:eastAsia="Arial Unicode MS"/>
        </w:rPr>
        <w:t>the respondents</w:t>
      </w:r>
      <w:r w:rsidRPr="005A468E">
        <w:rPr>
          <w:rFonts w:eastAsia="Arial Unicode MS"/>
        </w:rPr>
        <w:t xml:space="preserve"> sought reasons for the order </w:t>
      </w:r>
      <w:r w:rsidR="00571D52" w:rsidRPr="005A468E">
        <w:rPr>
          <w:rFonts w:eastAsia="Arial Unicode MS"/>
        </w:rPr>
        <w:t>on 20 April 2021</w:t>
      </w:r>
      <w:r w:rsidR="00571D52">
        <w:rPr>
          <w:rFonts w:eastAsia="Arial Unicode MS"/>
        </w:rPr>
        <w:t xml:space="preserve"> </w:t>
      </w:r>
      <w:r w:rsidR="00571D52" w:rsidRPr="005A468E">
        <w:rPr>
          <w:rFonts w:eastAsia="Arial Unicode MS"/>
        </w:rPr>
        <w:t xml:space="preserve">pursuant </w:t>
      </w:r>
      <w:r w:rsidRPr="005A468E">
        <w:rPr>
          <w:rFonts w:eastAsia="Arial Unicode MS"/>
        </w:rPr>
        <w:t xml:space="preserve">to the </w:t>
      </w:r>
      <w:r w:rsidR="00571D52">
        <w:rPr>
          <w:rFonts w:eastAsia="Arial Unicode MS"/>
        </w:rPr>
        <w:t xml:space="preserve">Applicants’ </w:t>
      </w:r>
      <w:r w:rsidRPr="005A468E">
        <w:rPr>
          <w:rFonts w:eastAsia="Arial Unicode MS"/>
        </w:rPr>
        <w:t>insistence</w:t>
      </w:r>
      <w:r w:rsidR="00FE14A0">
        <w:rPr>
          <w:rFonts w:eastAsia="Arial Unicode MS"/>
        </w:rPr>
        <w:t>.</w:t>
      </w:r>
      <w:r w:rsidR="00FE14A0" w:rsidRPr="005A468E">
        <w:rPr>
          <w:rFonts w:eastAsia="Arial Unicode MS"/>
        </w:rPr>
        <w:t xml:space="preserve"> </w:t>
      </w:r>
      <w:r w:rsidR="00571D52">
        <w:rPr>
          <w:rFonts w:eastAsia="Arial Unicode MS"/>
        </w:rPr>
        <w:t>O</w:t>
      </w:r>
      <w:r w:rsidRPr="005A468E">
        <w:rPr>
          <w:rFonts w:eastAsia="Arial Unicode MS"/>
        </w:rPr>
        <w:t xml:space="preserve">f paramount importance he stated that despite the absence of reasons for the order, the application for </w:t>
      </w:r>
      <w:r w:rsidR="00571D52">
        <w:rPr>
          <w:rFonts w:eastAsia="Arial Unicode MS"/>
        </w:rPr>
        <w:t>leave to</w:t>
      </w:r>
      <w:r w:rsidRPr="005A468E">
        <w:rPr>
          <w:rFonts w:eastAsia="Arial Unicode MS"/>
        </w:rPr>
        <w:t xml:space="preserve"> appeal </w:t>
      </w:r>
      <w:r w:rsidR="00571D52">
        <w:rPr>
          <w:rFonts w:eastAsia="Arial Unicode MS"/>
        </w:rPr>
        <w:t>was</w:t>
      </w:r>
      <w:r w:rsidRPr="005A468E">
        <w:rPr>
          <w:rFonts w:eastAsia="Arial Unicode MS"/>
        </w:rPr>
        <w:t xml:space="preserve"> still competent. In other w</w:t>
      </w:r>
      <w:r w:rsidR="00571D52">
        <w:rPr>
          <w:rFonts w:eastAsia="Arial Unicode MS"/>
        </w:rPr>
        <w:t>ord</w:t>
      </w:r>
      <w:r w:rsidRPr="005A468E">
        <w:rPr>
          <w:rFonts w:eastAsia="Arial Unicode MS"/>
        </w:rPr>
        <w:t>s</w:t>
      </w:r>
      <w:r w:rsidR="00571D52">
        <w:rPr>
          <w:rFonts w:eastAsia="Arial Unicode MS"/>
        </w:rPr>
        <w:t>,</w:t>
      </w:r>
      <w:r w:rsidRPr="005A468E">
        <w:rPr>
          <w:rFonts w:eastAsia="Arial Unicode MS"/>
        </w:rPr>
        <w:t xml:space="preserve"> </w:t>
      </w:r>
      <w:r w:rsidR="00571D52">
        <w:rPr>
          <w:rFonts w:eastAsia="Arial Unicode MS"/>
        </w:rPr>
        <w:t>the court</w:t>
      </w:r>
      <w:r w:rsidRPr="005A468E">
        <w:rPr>
          <w:rFonts w:eastAsia="Arial Unicode MS"/>
        </w:rPr>
        <w:t xml:space="preserve"> could proceed to hear the application for l</w:t>
      </w:r>
      <w:r w:rsidR="00571D52">
        <w:rPr>
          <w:rFonts w:eastAsia="Arial Unicode MS"/>
        </w:rPr>
        <w:t xml:space="preserve">eave </w:t>
      </w:r>
      <w:r w:rsidR="00537131">
        <w:rPr>
          <w:rFonts w:eastAsia="Arial Unicode MS"/>
        </w:rPr>
        <w:t xml:space="preserve">to </w:t>
      </w:r>
      <w:r w:rsidR="00537131" w:rsidRPr="005A468E">
        <w:rPr>
          <w:rFonts w:eastAsia="Arial Unicode MS"/>
        </w:rPr>
        <w:t>appeal</w:t>
      </w:r>
      <w:r w:rsidRPr="005A468E">
        <w:rPr>
          <w:rFonts w:eastAsia="Arial Unicode MS"/>
        </w:rPr>
        <w:t xml:space="preserve"> </w:t>
      </w:r>
      <w:r w:rsidR="00140BFE">
        <w:rPr>
          <w:rFonts w:eastAsia="Arial Unicode MS"/>
        </w:rPr>
        <w:t xml:space="preserve">against a Court order </w:t>
      </w:r>
      <w:r w:rsidRPr="005A468E">
        <w:rPr>
          <w:rFonts w:eastAsia="Arial Unicode MS"/>
        </w:rPr>
        <w:t>even if no re</w:t>
      </w:r>
      <w:r w:rsidR="00571D52">
        <w:rPr>
          <w:rFonts w:eastAsia="Arial Unicode MS"/>
        </w:rPr>
        <w:t>asons</w:t>
      </w:r>
      <w:r w:rsidRPr="005A468E">
        <w:rPr>
          <w:rFonts w:eastAsia="Arial Unicode MS"/>
        </w:rPr>
        <w:t xml:space="preserve"> </w:t>
      </w:r>
      <w:r w:rsidR="00571D52">
        <w:rPr>
          <w:rFonts w:eastAsia="Arial Unicode MS"/>
        </w:rPr>
        <w:t xml:space="preserve">were </w:t>
      </w:r>
      <w:r w:rsidRPr="005A468E">
        <w:rPr>
          <w:rFonts w:eastAsia="Arial Unicode MS"/>
        </w:rPr>
        <w:t>f</w:t>
      </w:r>
      <w:r w:rsidR="00571D52">
        <w:rPr>
          <w:rFonts w:eastAsia="Arial Unicode MS"/>
        </w:rPr>
        <w:t>ur</w:t>
      </w:r>
      <w:r w:rsidRPr="005A468E">
        <w:rPr>
          <w:rFonts w:eastAsia="Arial Unicode MS"/>
        </w:rPr>
        <w:t xml:space="preserve">nished for </w:t>
      </w:r>
      <w:r w:rsidR="00140BFE">
        <w:rPr>
          <w:rFonts w:eastAsia="Arial Unicode MS"/>
        </w:rPr>
        <w:t>such an</w:t>
      </w:r>
      <w:r w:rsidRPr="005A468E">
        <w:rPr>
          <w:rFonts w:eastAsia="Arial Unicode MS"/>
        </w:rPr>
        <w:t xml:space="preserve"> order. His motivation was that it is a tri</w:t>
      </w:r>
      <w:r w:rsidR="00571D52">
        <w:rPr>
          <w:rFonts w:eastAsia="Arial Unicode MS"/>
        </w:rPr>
        <w:t>te</w:t>
      </w:r>
      <w:r w:rsidRPr="005A468E">
        <w:rPr>
          <w:rFonts w:eastAsia="Arial Unicode MS"/>
        </w:rPr>
        <w:t xml:space="preserve"> principle that an appeal </w:t>
      </w:r>
      <w:r w:rsidR="00571D52" w:rsidRPr="00571D52">
        <w:rPr>
          <w:rFonts w:eastAsia="Arial Unicode MS"/>
        </w:rPr>
        <w:t xml:space="preserve">lies against an order of the court and not the reasons for that order. In this regard he found support in the </w:t>
      </w:r>
      <w:r w:rsidR="00140BFE">
        <w:rPr>
          <w:rFonts w:eastAsia="Arial Unicode MS"/>
        </w:rPr>
        <w:t xml:space="preserve">following </w:t>
      </w:r>
      <w:r w:rsidR="00571D52" w:rsidRPr="00571D52">
        <w:rPr>
          <w:rFonts w:eastAsia="Arial Unicode MS"/>
        </w:rPr>
        <w:t>judgment</w:t>
      </w:r>
      <w:r w:rsidR="00140BFE">
        <w:rPr>
          <w:rFonts w:eastAsia="Arial Unicode MS"/>
        </w:rPr>
        <w:t>s:</w:t>
      </w:r>
    </w:p>
    <w:p w14:paraId="14344E40" w14:textId="683D718A" w:rsidR="005A468E" w:rsidRDefault="00140BFE" w:rsidP="004C704C">
      <w:pPr>
        <w:tabs>
          <w:tab w:val="left" w:pos="3000"/>
        </w:tabs>
        <w:spacing w:line="480" w:lineRule="auto"/>
        <w:jc w:val="both"/>
        <w:rPr>
          <w:rFonts w:eastAsia="Arial Unicode MS"/>
          <w:b/>
          <w:bCs/>
        </w:rPr>
      </w:pPr>
      <w:r>
        <w:rPr>
          <w:rFonts w:eastAsia="Arial Unicode MS"/>
        </w:rPr>
        <w:lastRenderedPageBreak/>
        <w:t>[3.1]</w:t>
      </w:r>
      <w:r w:rsidR="00571D52" w:rsidRPr="00571D52">
        <w:rPr>
          <w:rFonts w:eastAsia="Arial Unicode MS"/>
        </w:rPr>
        <w:t xml:space="preserve"> </w:t>
      </w:r>
      <w:r w:rsidR="0028532A" w:rsidRPr="0028532A">
        <w:rPr>
          <w:rFonts w:eastAsia="Arial Unicode MS"/>
          <w:b/>
          <w:bCs/>
        </w:rPr>
        <w:t>S</w:t>
      </w:r>
      <w:r w:rsidR="00571D52" w:rsidRPr="0028532A">
        <w:rPr>
          <w:rFonts w:eastAsia="Arial Unicode MS"/>
          <w:b/>
          <w:bCs/>
        </w:rPr>
        <w:t>A Metal Group (</w:t>
      </w:r>
      <w:r w:rsidR="00537131" w:rsidRPr="0028532A">
        <w:rPr>
          <w:rFonts w:eastAsia="Arial Unicode MS"/>
          <w:b/>
          <w:bCs/>
        </w:rPr>
        <w:t>P</w:t>
      </w:r>
      <w:r w:rsidR="00537131">
        <w:rPr>
          <w:rFonts w:eastAsia="Arial Unicode MS"/>
          <w:b/>
          <w:bCs/>
        </w:rPr>
        <w:t>roprietary</w:t>
      </w:r>
      <w:r w:rsidR="00571D52" w:rsidRPr="0028532A">
        <w:rPr>
          <w:rFonts w:eastAsia="Arial Unicode MS"/>
          <w:b/>
          <w:bCs/>
        </w:rPr>
        <w:t xml:space="preserve">) Ltd v </w:t>
      </w:r>
      <w:r w:rsidR="0028532A" w:rsidRPr="0028532A">
        <w:rPr>
          <w:rFonts w:eastAsia="Arial Unicode MS"/>
          <w:b/>
          <w:bCs/>
        </w:rPr>
        <w:t>The I</w:t>
      </w:r>
      <w:r w:rsidR="00571D52" w:rsidRPr="0028532A">
        <w:rPr>
          <w:rFonts w:eastAsia="Arial Unicode MS"/>
          <w:b/>
          <w:bCs/>
        </w:rPr>
        <w:t xml:space="preserve">nternational </w:t>
      </w:r>
      <w:r w:rsidR="0028532A" w:rsidRPr="0028532A">
        <w:rPr>
          <w:rFonts w:eastAsia="Arial Unicode MS"/>
          <w:b/>
          <w:bCs/>
        </w:rPr>
        <w:t>T</w:t>
      </w:r>
      <w:r w:rsidR="00571D52" w:rsidRPr="0028532A">
        <w:rPr>
          <w:rFonts w:eastAsia="Arial Unicode MS"/>
          <w:b/>
          <w:bCs/>
        </w:rPr>
        <w:t xml:space="preserve">rade </w:t>
      </w:r>
      <w:r w:rsidR="0028532A" w:rsidRPr="0028532A">
        <w:rPr>
          <w:rFonts w:eastAsia="Arial Unicode MS"/>
          <w:b/>
          <w:bCs/>
        </w:rPr>
        <w:t>A</w:t>
      </w:r>
      <w:r w:rsidR="00571D52" w:rsidRPr="0028532A">
        <w:rPr>
          <w:rFonts w:eastAsia="Arial Unicode MS"/>
          <w:b/>
          <w:bCs/>
        </w:rPr>
        <w:t xml:space="preserve">dministration Commission </w:t>
      </w:r>
      <w:r w:rsidR="0028532A" w:rsidRPr="0028532A">
        <w:rPr>
          <w:rFonts w:eastAsia="Arial Unicode MS"/>
          <w:b/>
          <w:bCs/>
        </w:rPr>
        <w:t>&amp;</w:t>
      </w:r>
      <w:r w:rsidR="00571D52" w:rsidRPr="0028532A">
        <w:rPr>
          <w:rFonts w:eastAsia="Arial Unicode MS"/>
          <w:b/>
          <w:bCs/>
        </w:rPr>
        <w:t xml:space="preserve"> </w:t>
      </w:r>
      <w:r w:rsidR="0028532A" w:rsidRPr="0028532A">
        <w:rPr>
          <w:rFonts w:eastAsia="Arial Unicode MS"/>
          <w:b/>
          <w:bCs/>
        </w:rPr>
        <w:t>A</w:t>
      </w:r>
      <w:r w:rsidR="00571D52" w:rsidRPr="0028532A">
        <w:rPr>
          <w:rFonts w:eastAsia="Arial Unicode MS"/>
          <w:b/>
          <w:bCs/>
        </w:rPr>
        <w:t xml:space="preserve">nother [2070] </w:t>
      </w:r>
      <w:r w:rsidR="0028532A" w:rsidRPr="0028532A">
        <w:rPr>
          <w:rFonts w:eastAsia="Arial Unicode MS"/>
          <w:b/>
          <w:bCs/>
        </w:rPr>
        <w:t>ZASCA</w:t>
      </w:r>
      <w:r w:rsidR="00571D52" w:rsidRPr="0028532A">
        <w:rPr>
          <w:rFonts w:eastAsia="Arial Unicode MS"/>
          <w:b/>
          <w:bCs/>
        </w:rPr>
        <w:t xml:space="preserve"> 14 </w:t>
      </w:r>
      <w:r w:rsidR="0028532A" w:rsidRPr="0028532A">
        <w:rPr>
          <w:rFonts w:eastAsia="Arial Unicode MS"/>
          <w:b/>
          <w:bCs/>
        </w:rPr>
        <w:t>(</w:t>
      </w:r>
      <w:r w:rsidR="00571D52" w:rsidRPr="0028532A">
        <w:rPr>
          <w:rFonts w:eastAsia="Arial Unicode MS"/>
          <w:b/>
          <w:bCs/>
        </w:rPr>
        <w:t>17 March 2017</w:t>
      </w:r>
      <w:r w:rsidR="0028532A" w:rsidRPr="0028532A">
        <w:rPr>
          <w:rFonts w:eastAsia="Arial Unicode MS"/>
          <w:b/>
          <w:bCs/>
        </w:rPr>
        <w:t>)</w:t>
      </w:r>
      <w:r w:rsidR="00571D52" w:rsidRPr="0028532A">
        <w:rPr>
          <w:rFonts w:eastAsia="Arial Unicode MS"/>
          <w:b/>
          <w:bCs/>
        </w:rPr>
        <w:t xml:space="preserve"> at para [15]</w:t>
      </w:r>
      <w:r>
        <w:rPr>
          <w:rFonts w:eastAsia="Arial Unicode MS"/>
          <w:b/>
          <w:bCs/>
        </w:rPr>
        <w:t>.</w:t>
      </w:r>
      <w:r w:rsidR="00571D52" w:rsidRPr="0028532A">
        <w:rPr>
          <w:rFonts w:eastAsia="Arial Unicode MS"/>
          <w:b/>
          <w:bCs/>
        </w:rPr>
        <w:t xml:space="preserve"> </w:t>
      </w:r>
    </w:p>
    <w:p w14:paraId="0FE3CD65" w14:textId="65832BA1" w:rsidR="00C27DA5" w:rsidRDefault="00C27DA5" w:rsidP="004C704C">
      <w:pPr>
        <w:tabs>
          <w:tab w:val="left" w:pos="3000"/>
        </w:tabs>
        <w:spacing w:line="480" w:lineRule="auto"/>
        <w:jc w:val="both"/>
        <w:rPr>
          <w:rFonts w:eastAsia="Arial Unicode MS"/>
        </w:rPr>
      </w:pPr>
      <w:r w:rsidRPr="00C27DA5">
        <w:rPr>
          <w:rFonts w:eastAsia="Arial Unicode MS"/>
        </w:rPr>
        <w:t xml:space="preserve">[4] </w:t>
      </w:r>
      <w:r w:rsidR="00A53B86">
        <w:rPr>
          <w:rFonts w:eastAsia="Arial Unicode MS"/>
        </w:rPr>
        <w:t>P</w:t>
      </w:r>
      <w:r w:rsidR="00A53B86" w:rsidRPr="00A53B86">
        <w:rPr>
          <w:rFonts w:eastAsia="Arial Unicode MS"/>
        </w:rPr>
        <w:t>aragraph [15] of S</w:t>
      </w:r>
      <w:r w:rsidR="00A53B86">
        <w:rPr>
          <w:rFonts w:eastAsia="Arial Unicode MS"/>
        </w:rPr>
        <w:t>A</w:t>
      </w:r>
      <w:r w:rsidR="00A53B86" w:rsidRPr="00A53B86">
        <w:rPr>
          <w:rFonts w:eastAsia="Arial Unicode MS"/>
        </w:rPr>
        <w:t xml:space="preserve"> </w:t>
      </w:r>
      <w:r w:rsidR="00A53B86">
        <w:rPr>
          <w:rFonts w:eastAsia="Arial Unicode MS"/>
        </w:rPr>
        <w:t>M</w:t>
      </w:r>
      <w:r w:rsidR="00A53B86" w:rsidRPr="00A53B86">
        <w:rPr>
          <w:rFonts w:eastAsia="Arial Unicode MS"/>
        </w:rPr>
        <w:t xml:space="preserve">etal </w:t>
      </w:r>
      <w:r w:rsidR="00A53B86">
        <w:rPr>
          <w:rFonts w:eastAsia="Arial Unicode MS"/>
        </w:rPr>
        <w:t>G</w:t>
      </w:r>
      <w:r w:rsidR="00A53B86" w:rsidRPr="00A53B86">
        <w:rPr>
          <w:rFonts w:eastAsia="Arial Unicode MS"/>
        </w:rPr>
        <w:t>roup judgement on which c</w:t>
      </w:r>
      <w:r w:rsidR="00A53B86">
        <w:rPr>
          <w:rFonts w:eastAsia="Arial Unicode MS"/>
        </w:rPr>
        <w:t>ounse</w:t>
      </w:r>
      <w:r w:rsidR="00A53B86" w:rsidRPr="00A53B86">
        <w:rPr>
          <w:rFonts w:eastAsia="Arial Unicode MS"/>
        </w:rPr>
        <w:t xml:space="preserve">l for the </w:t>
      </w:r>
      <w:r w:rsidR="00A53B86">
        <w:rPr>
          <w:rFonts w:eastAsia="Arial Unicode MS"/>
        </w:rPr>
        <w:t>R</w:t>
      </w:r>
      <w:r w:rsidR="00A53B86" w:rsidRPr="00A53B86">
        <w:rPr>
          <w:rFonts w:eastAsia="Arial Unicode MS"/>
        </w:rPr>
        <w:t>espondent</w:t>
      </w:r>
      <w:r w:rsidR="00A53B86">
        <w:rPr>
          <w:rFonts w:eastAsia="Arial Unicode MS"/>
        </w:rPr>
        <w:t>s</w:t>
      </w:r>
      <w:r w:rsidR="00A53B86" w:rsidRPr="00A53B86">
        <w:rPr>
          <w:rFonts w:eastAsia="Arial Unicode MS"/>
        </w:rPr>
        <w:t xml:space="preserve"> relies states as follows</w:t>
      </w:r>
      <w:r w:rsidR="00A53B86">
        <w:rPr>
          <w:rFonts w:eastAsia="Arial Unicode MS"/>
        </w:rPr>
        <w:t>:</w:t>
      </w:r>
    </w:p>
    <w:p w14:paraId="4C531E5C" w14:textId="5A36642C" w:rsidR="00A53B86" w:rsidRPr="00A53B86" w:rsidRDefault="00A53B86" w:rsidP="004C704C">
      <w:pPr>
        <w:tabs>
          <w:tab w:val="left" w:pos="3000"/>
        </w:tabs>
        <w:spacing w:line="480" w:lineRule="auto"/>
        <w:jc w:val="both"/>
        <w:rPr>
          <w:rFonts w:eastAsia="Arial Unicode MS"/>
          <w:u w:val="single"/>
        </w:rPr>
      </w:pPr>
      <w:r w:rsidRPr="00355DC7">
        <w:rPr>
          <w:rFonts w:eastAsia="Arial Unicode MS"/>
          <w:i/>
          <w:iCs/>
        </w:rPr>
        <w:t xml:space="preserve">“[15] In my view, this case plainly falls into the latter of the two categories alluded to. As best as I could discern the argument, the discrete legal issue alluded to harked back to the price preference system, which, as I already pointed out, had been specifically disavowed on the papers. What is more, as the orders had become moot and relief prayed for was no longer competent, the attack, in truth, became one that was directed at the reasoning of the court below. </w:t>
      </w:r>
      <w:r w:rsidRPr="00355DC7">
        <w:rPr>
          <w:rFonts w:eastAsia="Arial Unicode MS"/>
          <w:i/>
          <w:iCs/>
          <w:u w:val="single"/>
        </w:rPr>
        <w:t>However, an appeal does not lie against the reasons for the judgement but rather against the substantive order made by a court.”</w:t>
      </w:r>
      <w:r>
        <w:rPr>
          <w:rFonts w:eastAsia="Arial Unicode MS"/>
          <w:u w:val="single"/>
        </w:rPr>
        <w:t xml:space="preserve"> (</w:t>
      </w:r>
      <w:r w:rsidRPr="00A53B86">
        <w:rPr>
          <w:rFonts w:eastAsia="Arial Unicode MS"/>
        </w:rPr>
        <w:t>My own underlining</w:t>
      </w:r>
      <w:r>
        <w:rPr>
          <w:rFonts w:eastAsia="Arial Unicode MS"/>
          <w:u w:val="single"/>
        </w:rPr>
        <w:t>)</w:t>
      </w:r>
    </w:p>
    <w:p w14:paraId="0204797E" w14:textId="3E698CB9" w:rsidR="00140BFE" w:rsidRDefault="00EF5829" w:rsidP="004C704C">
      <w:pPr>
        <w:spacing w:line="480" w:lineRule="auto"/>
        <w:jc w:val="both"/>
      </w:pPr>
      <w:r w:rsidRPr="00EF5829">
        <w:t>The underl</w:t>
      </w:r>
      <w:r>
        <w:t>ined</w:t>
      </w:r>
      <w:r w:rsidRPr="00EF5829">
        <w:t xml:space="preserve"> sentence supports the approach adopted by counsel for the </w:t>
      </w:r>
      <w:r>
        <w:t>R</w:t>
      </w:r>
      <w:r w:rsidRPr="00EF5829">
        <w:t xml:space="preserve">espondents in this matter that an appeal lies against an order </w:t>
      </w:r>
      <w:r>
        <w:t xml:space="preserve">and </w:t>
      </w:r>
      <w:r w:rsidR="00140BFE">
        <w:t xml:space="preserve">not </w:t>
      </w:r>
      <w:r>
        <w:t>the</w:t>
      </w:r>
      <w:r w:rsidRPr="00EF5829">
        <w:t xml:space="preserve"> basis for the order</w:t>
      </w:r>
      <w:r>
        <w:t>.</w:t>
      </w:r>
      <w:r w:rsidRPr="00EF5829">
        <w:t xml:space="preserve"> </w:t>
      </w:r>
      <w:r w:rsidR="006C59C5">
        <w:t xml:space="preserve">For this purpose, the reasons are not </w:t>
      </w:r>
      <w:proofErr w:type="spellStart"/>
      <w:r w:rsidR="006C59C5">
        <w:t>vrequired</w:t>
      </w:r>
      <w:proofErr w:type="spellEnd"/>
      <w:r w:rsidR="006C59C5">
        <w:t>.</w:t>
      </w:r>
    </w:p>
    <w:p w14:paraId="518DD384" w14:textId="77777777" w:rsidR="00140BFE" w:rsidRDefault="00140BFE" w:rsidP="004C704C">
      <w:pPr>
        <w:spacing w:line="480" w:lineRule="auto"/>
        <w:jc w:val="both"/>
      </w:pPr>
    </w:p>
    <w:p w14:paraId="5D3E6066" w14:textId="258BF3EB" w:rsidR="00355DC7" w:rsidRPr="00140BFE" w:rsidRDefault="00140BFE" w:rsidP="00140BFE">
      <w:pPr>
        <w:tabs>
          <w:tab w:val="left" w:pos="3000"/>
        </w:tabs>
        <w:spacing w:line="480" w:lineRule="auto"/>
        <w:jc w:val="both"/>
        <w:rPr>
          <w:rFonts w:eastAsia="Arial Unicode MS"/>
          <w:b/>
          <w:bCs/>
        </w:rPr>
      </w:pPr>
      <w:r>
        <w:t xml:space="preserve">[3.2] </w:t>
      </w:r>
      <w:proofErr w:type="spellStart"/>
      <w:r w:rsidRPr="0028532A">
        <w:rPr>
          <w:rFonts w:eastAsia="Arial Unicode MS"/>
          <w:b/>
          <w:bCs/>
        </w:rPr>
        <w:t>Neotel</w:t>
      </w:r>
      <w:proofErr w:type="spellEnd"/>
      <w:r w:rsidRPr="0028532A">
        <w:rPr>
          <w:rFonts w:eastAsia="Arial Unicode MS"/>
          <w:b/>
          <w:bCs/>
        </w:rPr>
        <w:t xml:space="preserve"> (Pty) Ltd v Telkom </w:t>
      </w:r>
      <w:proofErr w:type="spellStart"/>
      <w:r w:rsidRPr="0028532A">
        <w:rPr>
          <w:rFonts w:eastAsia="Arial Unicode MS"/>
          <w:b/>
          <w:bCs/>
        </w:rPr>
        <w:t>Soc</w:t>
      </w:r>
      <w:proofErr w:type="spellEnd"/>
      <w:r w:rsidRPr="0028532A">
        <w:rPr>
          <w:rFonts w:eastAsia="Arial Unicode MS"/>
          <w:b/>
          <w:bCs/>
        </w:rPr>
        <w:t xml:space="preserve"> and Others [2017] ZASCA </w:t>
      </w:r>
      <w:r>
        <w:rPr>
          <w:rFonts w:eastAsia="Arial Unicode MS"/>
          <w:b/>
          <w:bCs/>
        </w:rPr>
        <w:t>47</w:t>
      </w:r>
      <w:r w:rsidRPr="0028532A">
        <w:rPr>
          <w:rFonts w:eastAsia="Arial Unicode MS"/>
          <w:b/>
          <w:bCs/>
        </w:rPr>
        <w:t xml:space="preserve"> (31 March 2017)</w:t>
      </w:r>
      <w:r>
        <w:rPr>
          <w:rFonts w:eastAsia="Arial Unicode MS"/>
          <w:b/>
          <w:bCs/>
        </w:rPr>
        <w:t xml:space="preserve"> in paragraph [15]</w:t>
      </w:r>
      <w:r w:rsidR="00FE14A0" w:rsidRPr="0028532A">
        <w:rPr>
          <w:rFonts w:eastAsia="Arial Unicode MS"/>
          <w:b/>
          <w:bCs/>
        </w:rPr>
        <w:t>.</w:t>
      </w:r>
      <w:r w:rsidR="00FE14A0">
        <w:rPr>
          <w:rFonts w:eastAsia="Arial Unicode MS"/>
          <w:b/>
          <w:bCs/>
        </w:rPr>
        <w:t xml:space="preserve"> </w:t>
      </w:r>
      <w:r w:rsidR="00EF5829">
        <w:t>H</w:t>
      </w:r>
      <w:r w:rsidR="00EF5829" w:rsidRPr="00EF5829">
        <w:t xml:space="preserve">e also </w:t>
      </w:r>
      <w:r w:rsidR="00EF5829">
        <w:t xml:space="preserve">found support </w:t>
      </w:r>
      <w:r>
        <w:t>i</w:t>
      </w:r>
      <w:r w:rsidR="00EF5829">
        <w:t xml:space="preserve">n paragraph [15] of the </w:t>
      </w:r>
      <w:r w:rsidR="00EF5829" w:rsidRPr="00EF5829">
        <w:t xml:space="preserve">judgement </w:t>
      </w:r>
      <w:r w:rsidR="00355DC7" w:rsidRPr="00EF5829">
        <w:t xml:space="preserve">of </w:t>
      </w:r>
      <w:proofErr w:type="spellStart"/>
      <w:r w:rsidR="00355DC7">
        <w:t>Neotel</w:t>
      </w:r>
      <w:proofErr w:type="spellEnd"/>
      <w:r w:rsidR="00EF5829">
        <w:t xml:space="preserve"> which</w:t>
      </w:r>
      <w:r w:rsidR="00EF5829" w:rsidRPr="00EF5829">
        <w:t xml:space="preserve"> </w:t>
      </w:r>
      <w:r w:rsidR="00EF5829">
        <w:t>referred to</w:t>
      </w:r>
      <w:r w:rsidR="00EF5829" w:rsidRPr="00EF5829">
        <w:t xml:space="preserve"> the judgment </w:t>
      </w:r>
      <w:r w:rsidR="00EF5829" w:rsidRPr="00355DC7">
        <w:rPr>
          <w:b/>
          <w:bCs/>
        </w:rPr>
        <w:t>of Western Johannesburg Rent Board v Ursula Mansions (Pty) Ltd 1948 (3) SA 352 (A)</w:t>
      </w:r>
      <w:r w:rsidR="00EF5829">
        <w:t>. I</w:t>
      </w:r>
      <w:r w:rsidR="00EF5829" w:rsidRPr="00EF5829">
        <w:t xml:space="preserve">n </w:t>
      </w:r>
      <w:r w:rsidR="00EF5829">
        <w:t>the sa</w:t>
      </w:r>
      <w:r w:rsidR="00355DC7">
        <w:t xml:space="preserve">id </w:t>
      </w:r>
      <w:r w:rsidR="00EF5829" w:rsidRPr="00EF5829">
        <w:t xml:space="preserve">paragraph </w:t>
      </w:r>
      <w:r w:rsidR="00355DC7">
        <w:t>[</w:t>
      </w:r>
      <w:r w:rsidR="00EF5829" w:rsidRPr="00EF5829">
        <w:t>15</w:t>
      </w:r>
      <w:r w:rsidR="00355DC7">
        <w:t xml:space="preserve">] </w:t>
      </w:r>
      <w:r>
        <w:t xml:space="preserve">the Court </w:t>
      </w:r>
      <w:r w:rsidR="006C50E4">
        <w:t>had the following to say:</w:t>
      </w:r>
    </w:p>
    <w:p w14:paraId="6EDC3885" w14:textId="4A53833C" w:rsidR="001B02DE" w:rsidRDefault="00355DC7" w:rsidP="004C704C">
      <w:pPr>
        <w:spacing w:line="480" w:lineRule="auto"/>
        <w:jc w:val="both"/>
      </w:pPr>
      <w:r>
        <w:t>“[15</w:t>
      </w:r>
      <w:r w:rsidRPr="00355DC7">
        <w:rPr>
          <w:i/>
          <w:iCs/>
        </w:rPr>
        <w:t>]</w:t>
      </w:r>
      <w:r w:rsidR="00EF5829" w:rsidRPr="00355DC7">
        <w:rPr>
          <w:i/>
          <w:iCs/>
        </w:rPr>
        <w:t xml:space="preserve"> </w:t>
      </w:r>
      <w:r w:rsidRPr="00355DC7">
        <w:rPr>
          <w:i/>
          <w:iCs/>
        </w:rPr>
        <w:t>W</w:t>
      </w:r>
      <w:r w:rsidR="00EF5829" w:rsidRPr="00355DC7">
        <w:rPr>
          <w:i/>
          <w:iCs/>
        </w:rPr>
        <w:t>hile accepting that an appeal does not lie against the reasons for the order</w:t>
      </w:r>
      <w:r>
        <w:t>………….”</w:t>
      </w:r>
    </w:p>
    <w:p w14:paraId="00DE7B61" w14:textId="1E0F2CCA" w:rsidR="00140BFE" w:rsidRDefault="00140BFE" w:rsidP="004C704C">
      <w:pPr>
        <w:spacing w:line="480" w:lineRule="auto"/>
        <w:jc w:val="both"/>
        <w:rPr>
          <w:b/>
          <w:bCs/>
        </w:rPr>
      </w:pPr>
      <w:r>
        <w:t xml:space="preserve">[3.3] In </w:t>
      </w:r>
      <w:r w:rsidRPr="00355DC7">
        <w:rPr>
          <w:b/>
          <w:bCs/>
        </w:rPr>
        <w:t>Western Johannesburg Rent Board v Ursula Mansions (Pty) Ltd 1948 (3) SA 352 (A)</w:t>
      </w:r>
      <w:r>
        <w:rPr>
          <w:b/>
          <w:bCs/>
        </w:rPr>
        <w:t xml:space="preserve">, </w:t>
      </w:r>
      <w:r w:rsidRPr="00140BFE">
        <w:t>the Court</w:t>
      </w:r>
      <w:r>
        <w:rPr>
          <w:b/>
          <w:bCs/>
        </w:rPr>
        <w:t xml:space="preserve"> </w:t>
      </w:r>
      <w:r w:rsidRPr="00140BFE">
        <w:t>observed that</w:t>
      </w:r>
      <w:r>
        <w:rPr>
          <w:b/>
          <w:bCs/>
        </w:rPr>
        <w:t>:</w:t>
      </w:r>
    </w:p>
    <w:p w14:paraId="4736148E" w14:textId="02463BDC" w:rsidR="00140BFE" w:rsidRDefault="00140BFE" w:rsidP="004C704C">
      <w:pPr>
        <w:spacing w:line="480" w:lineRule="auto"/>
        <w:jc w:val="both"/>
        <w:rPr>
          <w:i/>
          <w:iCs/>
        </w:rPr>
      </w:pPr>
      <w:r w:rsidRPr="00EC16AC">
        <w:rPr>
          <w:b/>
          <w:bCs/>
          <w:i/>
          <w:iCs/>
        </w:rPr>
        <w:t>“…………</w:t>
      </w:r>
      <w:r w:rsidRPr="00EC16AC">
        <w:rPr>
          <w:i/>
          <w:iCs/>
        </w:rPr>
        <w:t xml:space="preserve">it is clear that an appeal can be noted not against the reasons for judgment but against the substantive order made by a Court.” </w:t>
      </w:r>
    </w:p>
    <w:p w14:paraId="5B730EDB" w14:textId="680DE0A5" w:rsidR="00EC16AC" w:rsidRDefault="00EC16AC" w:rsidP="004C704C">
      <w:pPr>
        <w:spacing w:line="480" w:lineRule="auto"/>
        <w:jc w:val="both"/>
        <w:rPr>
          <w:i/>
          <w:iCs/>
        </w:rPr>
      </w:pPr>
    </w:p>
    <w:p w14:paraId="776FF8CC" w14:textId="01E7FC48" w:rsidR="00EC16AC" w:rsidRDefault="00EC16AC" w:rsidP="004C704C">
      <w:pPr>
        <w:spacing w:line="480" w:lineRule="auto"/>
        <w:jc w:val="both"/>
      </w:pPr>
      <w:r>
        <w:lastRenderedPageBreak/>
        <w:t>[4] T</w:t>
      </w:r>
      <w:r w:rsidRPr="00EC16AC">
        <w:t xml:space="preserve">he </w:t>
      </w:r>
      <w:r>
        <w:t>R</w:t>
      </w:r>
      <w:r w:rsidRPr="00EC16AC">
        <w:t>espondents</w:t>
      </w:r>
      <w:r>
        <w:t>’</w:t>
      </w:r>
      <w:r w:rsidRPr="00EC16AC">
        <w:t xml:space="preserve"> coun</w:t>
      </w:r>
      <w:r>
        <w:t>se</w:t>
      </w:r>
      <w:r w:rsidRPr="00EC16AC">
        <w:t>l concluded by stating that</w:t>
      </w:r>
      <w:r>
        <w:t>,</w:t>
      </w:r>
      <w:r w:rsidRPr="00EC16AC">
        <w:t xml:space="preserve"> although reasons are important, the absence of reasons</w:t>
      </w:r>
      <w:r>
        <w:t xml:space="preserve"> </w:t>
      </w:r>
      <w:r w:rsidRPr="00EC16AC">
        <w:t xml:space="preserve">does not on its own </w:t>
      </w:r>
      <w:r>
        <w:t>render</w:t>
      </w:r>
      <w:r w:rsidRPr="00EC16AC">
        <w:t xml:space="preserve"> a</w:t>
      </w:r>
      <w:r>
        <w:t>n otherwise</w:t>
      </w:r>
      <w:r w:rsidRPr="00EC16AC">
        <w:t xml:space="preserve"> appealable</w:t>
      </w:r>
      <w:r>
        <w:t xml:space="preserve"> matter </w:t>
      </w:r>
      <w:proofErr w:type="spellStart"/>
      <w:r>
        <w:t>unappealable</w:t>
      </w:r>
      <w:proofErr w:type="spellEnd"/>
      <w:r>
        <w:t xml:space="preserve">. </w:t>
      </w:r>
      <w:r w:rsidRPr="00EC16AC">
        <w:t xml:space="preserve">He enlarged his argument and stated that although the </w:t>
      </w:r>
      <w:r>
        <w:t>R</w:t>
      </w:r>
      <w:r w:rsidRPr="00EC16AC">
        <w:t xml:space="preserve">espondents are entitled to a fully reasoned judgement, they have been denied such reasons because the </w:t>
      </w:r>
      <w:r>
        <w:t>Applicant</w:t>
      </w:r>
      <w:r w:rsidRPr="00EC16AC">
        <w:t xml:space="preserve">s persisted with </w:t>
      </w:r>
      <w:r>
        <w:t xml:space="preserve">a </w:t>
      </w:r>
      <w:r w:rsidRPr="00EC16AC">
        <w:t>threat</w:t>
      </w:r>
      <w:r>
        <w:t xml:space="preserve"> of </w:t>
      </w:r>
      <w:r w:rsidRPr="00EC16AC">
        <w:t xml:space="preserve">execution of an order that is </w:t>
      </w:r>
      <w:r>
        <w:t xml:space="preserve">the </w:t>
      </w:r>
      <w:r w:rsidRPr="00EC16AC">
        <w:t>subject to this application for l</w:t>
      </w:r>
      <w:r>
        <w:t>eave to</w:t>
      </w:r>
      <w:r w:rsidRPr="00EC16AC">
        <w:t xml:space="preserve"> appeal.</w:t>
      </w:r>
    </w:p>
    <w:p w14:paraId="7A3F7F72" w14:textId="77777777" w:rsidR="00D84620" w:rsidRDefault="00D84620" w:rsidP="004C704C">
      <w:pPr>
        <w:spacing w:line="480" w:lineRule="auto"/>
        <w:jc w:val="both"/>
      </w:pPr>
    </w:p>
    <w:p w14:paraId="3BC5F69A" w14:textId="00519C4C" w:rsidR="00D84620" w:rsidRDefault="00D84620" w:rsidP="004C704C">
      <w:pPr>
        <w:spacing w:line="480" w:lineRule="auto"/>
        <w:jc w:val="both"/>
      </w:pPr>
      <w:r>
        <w:t xml:space="preserve">[5] Counsel for the Applicants, Advocate J G C Hamman, </w:t>
      </w:r>
      <w:r w:rsidR="0007639A" w:rsidRPr="0007639A">
        <w:t>se</w:t>
      </w:r>
      <w:r w:rsidR="0007639A">
        <w:t>eme</w:t>
      </w:r>
      <w:r w:rsidR="0007639A" w:rsidRPr="0007639A">
        <w:t>d to have been less intrigued by the absence of the reasons for the order</w:t>
      </w:r>
      <w:r w:rsidR="0007639A">
        <w:t>.</w:t>
      </w:r>
      <w:r w:rsidR="0007639A" w:rsidRPr="0007639A">
        <w:t xml:space="preserve"> </w:t>
      </w:r>
      <w:r w:rsidR="0007639A">
        <w:t>He was instead</w:t>
      </w:r>
      <w:r w:rsidR="0007639A" w:rsidRPr="0007639A">
        <w:t xml:space="preserve"> more </w:t>
      </w:r>
      <w:r w:rsidR="0007639A">
        <w:t>focused o</w:t>
      </w:r>
      <w:r w:rsidR="0007639A" w:rsidRPr="0007639A">
        <w:t xml:space="preserve">n the special defences the </w:t>
      </w:r>
      <w:r w:rsidR="0007639A">
        <w:t>A</w:t>
      </w:r>
      <w:r w:rsidR="0007639A" w:rsidRPr="0007639A">
        <w:t>pplicants have raised in opposing the application for l</w:t>
      </w:r>
      <w:r w:rsidR="0007639A">
        <w:t>eave to</w:t>
      </w:r>
      <w:r w:rsidR="0007639A" w:rsidRPr="0007639A">
        <w:t xml:space="preserve"> appeal</w:t>
      </w:r>
      <w:r w:rsidR="0007639A">
        <w:t>. H</w:t>
      </w:r>
      <w:r w:rsidR="0007639A" w:rsidRPr="0007639A">
        <w:t xml:space="preserve">e </w:t>
      </w:r>
      <w:r w:rsidR="00FE14A0" w:rsidRPr="0007639A">
        <w:t>also was</w:t>
      </w:r>
      <w:r w:rsidR="0007639A" w:rsidRPr="0007639A">
        <w:t xml:space="preserve"> unconcerned about the argument </w:t>
      </w:r>
      <w:r w:rsidR="0007639A">
        <w:t xml:space="preserve">by </w:t>
      </w:r>
      <w:proofErr w:type="spellStart"/>
      <w:r w:rsidR="0007639A">
        <w:t>Premhid</w:t>
      </w:r>
      <w:proofErr w:type="spellEnd"/>
      <w:r w:rsidR="0007639A">
        <w:t xml:space="preserve"> </w:t>
      </w:r>
      <w:r w:rsidR="0007639A" w:rsidRPr="0007639A">
        <w:t xml:space="preserve">relating </w:t>
      </w:r>
      <w:r w:rsidR="0007639A">
        <w:t xml:space="preserve">to </w:t>
      </w:r>
      <w:r w:rsidR="0007639A" w:rsidRPr="0007639A">
        <w:t>the reasons of the order.</w:t>
      </w:r>
    </w:p>
    <w:p w14:paraId="55E5AF01" w14:textId="77777777" w:rsidR="00A85CAB" w:rsidRDefault="00A85CAB" w:rsidP="004C704C">
      <w:pPr>
        <w:spacing w:line="480" w:lineRule="auto"/>
        <w:jc w:val="both"/>
      </w:pPr>
    </w:p>
    <w:p w14:paraId="778FBBEE" w14:textId="4A830038" w:rsidR="008C5A93" w:rsidRDefault="008C5A93" w:rsidP="004C704C">
      <w:pPr>
        <w:spacing w:line="480" w:lineRule="auto"/>
        <w:jc w:val="both"/>
      </w:pPr>
      <w:r>
        <w:t>[6] I</w:t>
      </w:r>
      <w:r w:rsidRPr="008C5A93">
        <w:t xml:space="preserve">t is important though to point out that </w:t>
      </w:r>
      <w:r w:rsidR="00A85CAB">
        <w:t>based on</w:t>
      </w:r>
      <w:r>
        <w:t xml:space="preserve"> the judgments referred to above, </w:t>
      </w:r>
      <w:r w:rsidRPr="008C5A93">
        <w:t xml:space="preserve">the view expounded by Mr </w:t>
      </w:r>
      <w:proofErr w:type="spellStart"/>
      <w:r w:rsidRPr="008C5A93">
        <w:t>Prem</w:t>
      </w:r>
      <w:r>
        <w:t>hid</w:t>
      </w:r>
      <w:proofErr w:type="spellEnd"/>
      <w:r>
        <w:t xml:space="preserve"> prevail</w:t>
      </w:r>
      <w:r w:rsidRPr="008C5A93">
        <w:t>s. In summary, where an appeal is directed against an order of court and not the reasons for the order, the reasons are not required</w:t>
      </w:r>
      <w:r>
        <w:t>. A</w:t>
      </w:r>
      <w:r w:rsidRPr="008C5A93">
        <w:t xml:space="preserve">lthough the reasons </w:t>
      </w:r>
      <w:r w:rsidR="005D1914">
        <w:t xml:space="preserve">for the judgment or order </w:t>
      </w:r>
      <w:r w:rsidRPr="008C5A93">
        <w:t>are important</w:t>
      </w:r>
      <w:r w:rsidR="005D1914">
        <w:t>,</w:t>
      </w:r>
      <w:r w:rsidRPr="008C5A93">
        <w:t xml:space="preserve"> the absence of such reasons does not prevent </w:t>
      </w:r>
      <w:r w:rsidR="005D1914">
        <w:t xml:space="preserve">a court from hearing an appeal or </w:t>
      </w:r>
      <w:r w:rsidRPr="008C5A93">
        <w:t xml:space="preserve">an application for </w:t>
      </w:r>
      <w:r>
        <w:t>leave</w:t>
      </w:r>
      <w:r w:rsidRPr="008C5A93">
        <w:t xml:space="preserve"> </w:t>
      </w:r>
      <w:r w:rsidR="0053477D">
        <w:t xml:space="preserve">to </w:t>
      </w:r>
      <w:r w:rsidRPr="008C5A93">
        <w:t xml:space="preserve">appeal against </w:t>
      </w:r>
      <w:r w:rsidR="005D1914">
        <w:t>such an</w:t>
      </w:r>
      <w:r w:rsidRPr="008C5A93">
        <w:t xml:space="preserve"> order </w:t>
      </w:r>
      <w:r w:rsidR="005D1914">
        <w:t>of court.</w:t>
      </w:r>
    </w:p>
    <w:p w14:paraId="3F1B52FF" w14:textId="77777777" w:rsidR="00A85CAB" w:rsidRDefault="00A85CAB" w:rsidP="004C704C">
      <w:pPr>
        <w:spacing w:line="480" w:lineRule="auto"/>
        <w:jc w:val="both"/>
      </w:pPr>
    </w:p>
    <w:p w14:paraId="7A8C37E3" w14:textId="5ABB1CE3" w:rsidR="00B426DF" w:rsidRDefault="00B426DF" w:rsidP="004C704C">
      <w:pPr>
        <w:spacing w:line="480" w:lineRule="auto"/>
        <w:jc w:val="both"/>
      </w:pPr>
      <w:r>
        <w:t>[7] As</w:t>
      </w:r>
      <w:r w:rsidRPr="00B426DF">
        <w:t xml:space="preserve"> pointed out earlier</w:t>
      </w:r>
      <w:r>
        <w:t>,</w:t>
      </w:r>
      <w:r w:rsidRPr="00B426DF">
        <w:t xml:space="preserve"> the </w:t>
      </w:r>
      <w:r>
        <w:t>R</w:t>
      </w:r>
      <w:r w:rsidRPr="00B426DF">
        <w:t>espondents in this matter s</w:t>
      </w:r>
      <w:r>
        <w:t>eek</w:t>
      </w:r>
      <w:r w:rsidRPr="00B426DF">
        <w:t xml:space="preserve"> leave to appeal against an order granted by default</w:t>
      </w:r>
      <w:r>
        <w:t xml:space="preserve"> against them.</w:t>
      </w:r>
      <w:r w:rsidRPr="00B426DF">
        <w:t xml:space="preserve"> The matter originally came before the court on 17 March 2017. The papers before the c</w:t>
      </w:r>
      <w:r>
        <w:t>ourt then</w:t>
      </w:r>
      <w:r w:rsidRPr="00B426DF">
        <w:t xml:space="preserve"> we</w:t>
      </w:r>
      <w:r>
        <w:t>re</w:t>
      </w:r>
      <w:r w:rsidRPr="00B426DF">
        <w:t xml:space="preserve"> in order. The </w:t>
      </w:r>
      <w:r>
        <w:t>A</w:t>
      </w:r>
      <w:r w:rsidRPr="00B426DF">
        <w:t xml:space="preserve">pplicants in that matter were </w:t>
      </w:r>
      <w:proofErr w:type="spellStart"/>
      <w:r>
        <w:t>Afriforum</w:t>
      </w:r>
      <w:proofErr w:type="spellEnd"/>
      <w:r>
        <w:t xml:space="preserve"> NPC,</w:t>
      </w:r>
      <w:r w:rsidRPr="00B426DF">
        <w:t xml:space="preserve"> the first applicant an</w:t>
      </w:r>
      <w:r>
        <w:t>d</w:t>
      </w:r>
      <w:r w:rsidRPr="00B426DF">
        <w:t xml:space="preserve"> </w:t>
      </w:r>
      <w:proofErr w:type="spellStart"/>
      <w:r>
        <w:t>Afrisake</w:t>
      </w:r>
      <w:proofErr w:type="spellEnd"/>
      <w:r>
        <w:t xml:space="preserve"> NPC,</w:t>
      </w:r>
      <w:r w:rsidRPr="00B426DF">
        <w:t xml:space="preserve"> the second applicant. They sought the following order against Julius </w:t>
      </w:r>
      <w:proofErr w:type="spellStart"/>
      <w:r>
        <w:t>S</w:t>
      </w:r>
      <w:r w:rsidRPr="00B426DF">
        <w:t>ell</w:t>
      </w:r>
      <w:r>
        <w:t>o</w:t>
      </w:r>
      <w:proofErr w:type="spellEnd"/>
      <w:r w:rsidRPr="00B426DF">
        <w:t xml:space="preserve"> Malema</w:t>
      </w:r>
      <w:r w:rsidR="00BE40D3">
        <w:t xml:space="preserve"> (Mr Malema)</w:t>
      </w:r>
      <w:r>
        <w:t>,</w:t>
      </w:r>
      <w:r w:rsidRPr="00B426DF">
        <w:t xml:space="preserve"> then the first respondent and </w:t>
      </w:r>
      <w:r>
        <w:t>E</w:t>
      </w:r>
      <w:r w:rsidRPr="00B426DF">
        <w:t xml:space="preserve">conomic </w:t>
      </w:r>
      <w:r>
        <w:t>F</w:t>
      </w:r>
      <w:r w:rsidRPr="00B426DF">
        <w:t xml:space="preserve">reedom </w:t>
      </w:r>
      <w:r>
        <w:t>F</w:t>
      </w:r>
      <w:r w:rsidRPr="00B426DF">
        <w:t>ighters</w:t>
      </w:r>
      <w:r w:rsidR="00BE40D3">
        <w:t xml:space="preserve"> (the EFF)</w:t>
      </w:r>
      <w:r w:rsidRPr="00B426DF">
        <w:t xml:space="preserve">, then the second </w:t>
      </w:r>
      <w:r>
        <w:t>respondent:</w:t>
      </w:r>
    </w:p>
    <w:p w14:paraId="472043CA" w14:textId="73B5C9AD" w:rsidR="00B426DF" w:rsidRPr="00AB1030" w:rsidRDefault="00AB1030" w:rsidP="004C704C">
      <w:pPr>
        <w:spacing w:line="480" w:lineRule="auto"/>
        <w:jc w:val="both"/>
        <w:rPr>
          <w:i/>
          <w:iCs/>
        </w:rPr>
      </w:pPr>
      <w:r w:rsidRPr="00AB1030">
        <w:rPr>
          <w:i/>
          <w:iCs/>
        </w:rPr>
        <w:t>“1</w:t>
      </w:r>
      <w:r w:rsidR="00B426DF" w:rsidRPr="00AB1030">
        <w:rPr>
          <w:i/>
          <w:iCs/>
        </w:rPr>
        <w:t>. That the First and Second Respondents are interdicted from inciting and</w:t>
      </w:r>
      <w:r w:rsidRPr="00AB1030">
        <w:rPr>
          <w:i/>
          <w:iCs/>
        </w:rPr>
        <w:t>/</w:t>
      </w:r>
      <w:r w:rsidR="00B426DF" w:rsidRPr="00AB1030">
        <w:rPr>
          <w:i/>
          <w:iCs/>
        </w:rPr>
        <w:t xml:space="preserve"> or instigating and</w:t>
      </w:r>
      <w:r w:rsidRPr="00AB1030">
        <w:rPr>
          <w:i/>
          <w:iCs/>
        </w:rPr>
        <w:t>/</w:t>
      </w:r>
      <w:r w:rsidR="00B426DF" w:rsidRPr="00AB1030">
        <w:rPr>
          <w:i/>
          <w:iCs/>
        </w:rPr>
        <w:t>or commanding and</w:t>
      </w:r>
      <w:r w:rsidRPr="00AB1030">
        <w:rPr>
          <w:i/>
          <w:iCs/>
        </w:rPr>
        <w:t>/or</w:t>
      </w:r>
      <w:r w:rsidR="00B426DF" w:rsidRPr="00AB1030">
        <w:rPr>
          <w:i/>
          <w:iCs/>
        </w:rPr>
        <w:t xml:space="preserve"> procuring any individual</w:t>
      </w:r>
      <w:r w:rsidRPr="00AB1030">
        <w:rPr>
          <w:i/>
          <w:iCs/>
        </w:rPr>
        <w:t>/</w:t>
      </w:r>
      <w:r w:rsidR="00B426DF" w:rsidRPr="00AB1030">
        <w:rPr>
          <w:i/>
          <w:iCs/>
        </w:rPr>
        <w:t xml:space="preserve">s to commit the crime of </w:t>
      </w:r>
      <w:r w:rsidRPr="00AB1030">
        <w:rPr>
          <w:i/>
          <w:iCs/>
        </w:rPr>
        <w:t xml:space="preserve">trespassing </w:t>
      </w:r>
      <w:r w:rsidR="00B426DF" w:rsidRPr="00AB1030">
        <w:rPr>
          <w:i/>
          <w:iCs/>
        </w:rPr>
        <w:t xml:space="preserve">as </w:t>
      </w:r>
      <w:r w:rsidR="00B426DF" w:rsidRPr="00AB1030">
        <w:rPr>
          <w:i/>
          <w:iCs/>
        </w:rPr>
        <w:lastRenderedPageBreak/>
        <w:t xml:space="preserve">described in </w:t>
      </w:r>
      <w:r w:rsidRPr="00AB1030">
        <w:rPr>
          <w:i/>
          <w:iCs/>
        </w:rPr>
        <w:t>T</w:t>
      </w:r>
      <w:r w:rsidR="00B426DF" w:rsidRPr="00AB1030">
        <w:rPr>
          <w:i/>
          <w:iCs/>
        </w:rPr>
        <w:t xml:space="preserve">respass </w:t>
      </w:r>
      <w:r w:rsidRPr="00AB1030">
        <w:rPr>
          <w:i/>
          <w:iCs/>
        </w:rPr>
        <w:t>A</w:t>
      </w:r>
      <w:r w:rsidR="00B426DF" w:rsidRPr="00AB1030">
        <w:rPr>
          <w:i/>
          <w:iCs/>
        </w:rPr>
        <w:t xml:space="preserve">ct 6 of 1959 and or </w:t>
      </w:r>
      <w:r w:rsidRPr="00AB1030">
        <w:rPr>
          <w:i/>
          <w:iCs/>
        </w:rPr>
        <w:t>to</w:t>
      </w:r>
      <w:r w:rsidR="00B426DF" w:rsidRPr="00AB1030">
        <w:rPr>
          <w:i/>
          <w:iCs/>
        </w:rPr>
        <w:t xml:space="preserve"> enter any land belonging to or in control of any individual or entity</w:t>
      </w:r>
      <w:r w:rsidRPr="00AB1030">
        <w:rPr>
          <w:i/>
          <w:iCs/>
        </w:rPr>
        <w:t>/</w:t>
      </w:r>
      <w:r w:rsidR="00B426DF" w:rsidRPr="00AB1030">
        <w:rPr>
          <w:i/>
          <w:iCs/>
        </w:rPr>
        <w:t xml:space="preserve">entities without the required permission of the </w:t>
      </w:r>
      <w:r w:rsidRPr="00AB1030">
        <w:rPr>
          <w:i/>
          <w:iCs/>
        </w:rPr>
        <w:t>landowner/s</w:t>
      </w:r>
      <w:r w:rsidR="00B426DF" w:rsidRPr="00AB1030">
        <w:rPr>
          <w:i/>
          <w:iCs/>
        </w:rPr>
        <w:t xml:space="preserve"> or lawful occupants of land or a lawful entitlement to do so.;</w:t>
      </w:r>
    </w:p>
    <w:p w14:paraId="4C57A9CC" w14:textId="4D13C0F7" w:rsidR="00B426DF" w:rsidRDefault="00B426DF" w:rsidP="004C704C">
      <w:pPr>
        <w:spacing w:line="480" w:lineRule="auto"/>
        <w:jc w:val="both"/>
        <w:rPr>
          <w:i/>
          <w:iCs/>
        </w:rPr>
      </w:pPr>
      <w:r w:rsidRPr="00AB1030">
        <w:rPr>
          <w:i/>
          <w:iCs/>
        </w:rPr>
        <w:t xml:space="preserve">2. The </w:t>
      </w:r>
      <w:r w:rsidR="00AB1030" w:rsidRPr="00AB1030">
        <w:rPr>
          <w:i/>
          <w:iCs/>
        </w:rPr>
        <w:t>F</w:t>
      </w:r>
      <w:r w:rsidRPr="00AB1030">
        <w:rPr>
          <w:i/>
          <w:iCs/>
        </w:rPr>
        <w:t xml:space="preserve">irst and </w:t>
      </w:r>
      <w:r w:rsidR="00AB1030" w:rsidRPr="00AB1030">
        <w:rPr>
          <w:i/>
          <w:iCs/>
        </w:rPr>
        <w:t>S</w:t>
      </w:r>
      <w:r w:rsidRPr="00AB1030">
        <w:rPr>
          <w:i/>
          <w:iCs/>
        </w:rPr>
        <w:t xml:space="preserve">econd </w:t>
      </w:r>
      <w:r w:rsidR="00AB1030" w:rsidRPr="00AB1030">
        <w:rPr>
          <w:i/>
          <w:iCs/>
        </w:rPr>
        <w:t>Respondents</w:t>
      </w:r>
      <w:r w:rsidRPr="00AB1030">
        <w:rPr>
          <w:i/>
          <w:iCs/>
        </w:rPr>
        <w:t xml:space="preserve"> are ordered to pay the cost of the application on </w:t>
      </w:r>
      <w:r w:rsidR="00AB1030" w:rsidRPr="00AB1030">
        <w:rPr>
          <w:i/>
          <w:iCs/>
        </w:rPr>
        <w:t>attorney client s</w:t>
      </w:r>
      <w:r w:rsidRPr="00AB1030">
        <w:rPr>
          <w:i/>
          <w:iCs/>
        </w:rPr>
        <w:t>ca</w:t>
      </w:r>
      <w:r w:rsidR="00AB1030" w:rsidRPr="00AB1030">
        <w:rPr>
          <w:i/>
          <w:iCs/>
        </w:rPr>
        <w:t>l</w:t>
      </w:r>
      <w:r w:rsidRPr="00AB1030">
        <w:rPr>
          <w:i/>
          <w:iCs/>
        </w:rPr>
        <w:t>e jointly and severally the one paying the other to be abso</w:t>
      </w:r>
      <w:r w:rsidR="00AB1030" w:rsidRPr="00AB1030">
        <w:rPr>
          <w:i/>
          <w:iCs/>
        </w:rPr>
        <w:t>lv</w:t>
      </w:r>
      <w:r w:rsidRPr="00AB1030">
        <w:rPr>
          <w:i/>
          <w:iCs/>
        </w:rPr>
        <w:t>ed</w:t>
      </w:r>
      <w:r w:rsidR="00AB1030" w:rsidRPr="00AB1030">
        <w:rPr>
          <w:i/>
          <w:iCs/>
        </w:rPr>
        <w:t>,</w:t>
      </w:r>
      <w:r w:rsidRPr="00AB1030">
        <w:rPr>
          <w:i/>
          <w:iCs/>
        </w:rPr>
        <w:t xml:space="preserve"> which cost sh</w:t>
      </w:r>
      <w:r w:rsidR="00303CF8">
        <w:rPr>
          <w:i/>
          <w:iCs/>
        </w:rPr>
        <w:t>a</w:t>
      </w:r>
      <w:r w:rsidRPr="00AB1030">
        <w:rPr>
          <w:i/>
          <w:iCs/>
        </w:rPr>
        <w:t>ll include the cost of two coun</w:t>
      </w:r>
      <w:r w:rsidR="00AB1030" w:rsidRPr="00AB1030">
        <w:rPr>
          <w:i/>
          <w:iCs/>
        </w:rPr>
        <w:t>se</w:t>
      </w:r>
      <w:r w:rsidRPr="00AB1030">
        <w:rPr>
          <w:i/>
          <w:iCs/>
        </w:rPr>
        <w:t>l wh</w:t>
      </w:r>
      <w:r w:rsidR="00AB1030" w:rsidRPr="00AB1030">
        <w:rPr>
          <w:i/>
          <w:iCs/>
        </w:rPr>
        <w:t>ere</w:t>
      </w:r>
      <w:r w:rsidRPr="00AB1030">
        <w:rPr>
          <w:i/>
          <w:iCs/>
        </w:rPr>
        <w:t xml:space="preserve"> so employed</w:t>
      </w:r>
      <w:r w:rsidR="00AB1030" w:rsidRPr="00AB1030">
        <w:rPr>
          <w:i/>
          <w:iCs/>
        </w:rPr>
        <w:t>.”</w:t>
      </w:r>
    </w:p>
    <w:p w14:paraId="18C5808C" w14:textId="77777777" w:rsidR="00783CE1" w:rsidRDefault="00783CE1" w:rsidP="004C704C">
      <w:pPr>
        <w:spacing w:line="480" w:lineRule="auto"/>
        <w:jc w:val="both"/>
        <w:rPr>
          <w:i/>
          <w:iCs/>
        </w:rPr>
      </w:pPr>
    </w:p>
    <w:p w14:paraId="2D0747C0" w14:textId="5A319535" w:rsidR="00AB1030" w:rsidRDefault="00AB1030" w:rsidP="004C704C">
      <w:pPr>
        <w:spacing w:line="480" w:lineRule="auto"/>
        <w:jc w:val="both"/>
      </w:pPr>
      <w:r>
        <w:t>[8] Despite the</w:t>
      </w:r>
      <w:r w:rsidRPr="00AB1030">
        <w:t xml:space="preserve"> fact that copies of the application had been served on the </w:t>
      </w:r>
      <w:r>
        <w:t>R</w:t>
      </w:r>
      <w:r w:rsidRPr="00AB1030">
        <w:t>espondent</w:t>
      </w:r>
      <w:r>
        <w:t>s</w:t>
      </w:r>
      <w:r w:rsidRPr="00AB1030">
        <w:t xml:space="preserve"> on 16 November 2016</w:t>
      </w:r>
      <w:r>
        <w:t>,</w:t>
      </w:r>
      <w:r w:rsidRPr="00AB1030">
        <w:t xml:space="preserve"> despite furthermore the fact that the </w:t>
      </w:r>
      <w:r>
        <w:t>R</w:t>
      </w:r>
      <w:r w:rsidRPr="00AB1030">
        <w:t>espondent</w:t>
      </w:r>
      <w:r>
        <w:t>s</w:t>
      </w:r>
      <w:r w:rsidRPr="00AB1030">
        <w:t xml:space="preserve"> had both </w:t>
      </w:r>
      <w:r>
        <w:t xml:space="preserve">been </w:t>
      </w:r>
      <w:r w:rsidRPr="00AB1030">
        <w:t xml:space="preserve">warned that if they failed to deliver their </w:t>
      </w:r>
      <w:r w:rsidR="00BB017E">
        <w:t>N</w:t>
      </w:r>
      <w:r w:rsidRPr="00AB1030">
        <w:t xml:space="preserve">otice to </w:t>
      </w:r>
      <w:r w:rsidR="00BB017E">
        <w:t>O</w:t>
      </w:r>
      <w:r w:rsidRPr="00AB1030">
        <w:t>ppose the application</w:t>
      </w:r>
      <w:r w:rsidR="00BB017E">
        <w:t>,</w:t>
      </w:r>
      <w:r w:rsidRPr="00AB1030">
        <w:t xml:space="preserve"> or</w:t>
      </w:r>
      <w:r w:rsidR="00BB017E">
        <w:t>,</w:t>
      </w:r>
      <w:r w:rsidRPr="00AB1030">
        <w:t xml:space="preserve"> if the</w:t>
      </w:r>
      <w:r w:rsidR="00BB017E">
        <w:t>ir</w:t>
      </w:r>
      <w:r w:rsidRPr="00AB1030">
        <w:t xml:space="preserve"> answer</w:t>
      </w:r>
      <w:r w:rsidR="00BB017E">
        <w:t>ing affidavit</w:t>
      </w:r>
      <w:r w:rsidRPr="00AB1030">
        <w:t xml:space="preserve"> was not delivered in time</w:t>
      </w:r>
      <w:r w:rsidR="00BB017E">
        <w:t>,</w:t>
      </w:r>
      <w:r w:rsidRPr="00AB1030">
        <w:t xml:space="preserve"> </w:t>
      </w:r>
      <w:r w:rsidR="00777D99">
        <w:t xml:space="preserve">the </w:t>
      </w:r>
      <w:r w:rsidRPr="00AB1030">
        <w:t>application wo</w:t>
      </w:r>
      <w:r w:rsidR="00BB017E">
        <w:t>ul</w:t>
      </w:r>
      <w:r w:rsidRPr="00AB1030">
        <w:t xml:space="preserve">d </w:t>
      </w:r>
      <w:r w:rsidR="00BB017E">
        <w:t xml:space="preserve">be heard </w:t>
      </w:r>
      <w:r w:rsidRPr="00AB1030">
        <w:t>on 7 March 2017 at 10</w:t>
      </w:r>
      <w:r w:rsidR="00BB017E">
        <w:t>h00,</w:t>
      </w:r>
      <w:r w:rsidRPr="00AB1030">
        <w:t xml:space="preserve"> there was no appearance for both </w:t>
      </w:r>
      <w:r w:rsidR="00BB017E">
        <w:t>R</w:t>
      </w:r>
      <w:r w:rsidRPr="00AB1030">
        <w:t>espondents on 17 March 2</w:t>
      </w:r>
      <w:r w:rsidR="00BB017E">
        <w:t xml:space="preserve">017 nor had the Respondents filed </w:t>
      </w:r>
      <w:r w:rsidRPr="00AB1030">
        <w:t xml:space="preserve"> </w:t>
      </w:r>
      <w:r w:rsidR="00BB017E">
        <w:t xml:space="preserve">their papers. </w:t>
      </w:r>
      <w:r w:rsidRPr="00AB1030">
        <w:t xml:space="preserve"> </w:t>
      </w:r>
      <w:r w:rsidR="00BB017E">
        <w:t>As under those circumstances</w:t>
      </w:r>
      <w:r w:rsidRPr="00AB1030">
        <w:t xml:space="preserve"> nothing prevented to </w:t>
      </w:r>
      <w:r w:rsidR="00BB017E">
        <w:t>Applicants ‘application</w:t>
      </w:r>
      <w:r w:rsidRPr="00AB1030">
        <w:t xml:space="preserve"> from proceeding</w:t>
      </w:r>
      <w:r w:rsidR="00BB017E">
        <w:t>,</w:t>
      </w:r>
      <w:r w:rsidRPr="00AB1030">
        <w:t xml:space="preserve"> the </w:t>
      </w:r>
      <w:r w:rsidR="00BB017E">
        <w:t xml:space="preserve">court heard </w:t>
      </w:r>
      <w:r w:rsidR="00783CE1">
        <w:t xml:space="preserve">the </w:t>
      </w:r>
      <w:r w:rsidRPr="00AB1030">
        <w:t xml:space="preserve">matter </w:t>
      </w:r>
      <w:r w:rsidR="00BB017E">
        <w:t>ac</w:t>
      </w:r>
      <w:r w:rsidRPr="00AB1030">
        <w:t xml:space="preserve">cordingly and granted the order sought by the </w:t>
      </w:r>
      <w:r w:rsidR="00BB017E">
        <w:t>A</w:t>
      </w:r>
      <w:r w:rsidRPr="00AB1030">
        <w:t>pplicants by default.</w:t>
      </w:r>
    </w:p>
    <w:p w14:paraId="656FD035" w14:textId="576CBC35" w:rsidR="00351BF8" w:rsidRPr="00351BF8" w:rsidRDefault="00351BF8" w:rsidP="004C704C">
      <w:pPr>
        <w:spacing w:line="480" w:lineRule="auto"/>
        <w:jc w:val="both"/>
        <w:rPr>
          <w:b/>
          <w:bCs/>
          <w:u w:val="single"/>
        </w:rPr>
      </w:pPr>
      <w:r w:rsidRPr="00351BF8">
        <w:rPr>
          <w:b/>
          <w:bCs/>
          <w:u w:val="single"/>
        </w:rPr>
        <w:t xml:space="preserve">FURTHER DEVELOPMENTS </w:t>
      </w:r>
      <w:r w:rsidR="00E22189">
        <w:rPr>
          <w:b/>
          <w:bCs/>
          <w:u w:val="single"/>
        </w:rPr>
        <w:t xml:space="preserve">AFTER </w:t>
      </w:r>
      <w:r w:rsidRPr="00351BF8">
        <w:rPr>
          <w:b/>
          <w:bCs/>
          <w:u w:val="single"/>
        </w:rPr>
        <w:t>THE DEFAULT ORDER O</w:t>
      </w:r>
      <w:r w:rsidR="00E22189">
        <w:rPr>
          <w:b/>
          <w:bCs/>
          <w:u w:val="single"/>
        </w:rPr>
        <w:t>F</w:t>
      </w:r>
      <w:r w:rsidRPr="00351BF8">
        <w:rPr>
          <w:b/>
          <w:bCs/>
          <w:u w:val="single"/>
        </w:rPr>
        <w:t xml:space="preserve"> 7ARCH 2017</w:t>
      </w:r>
    </w:p>
    <w:p w14:paraId="083851CF" w14:textId="5F47655F" w:rsidR="00BB017E" w:rsidRDefault="00BB017E" w:rsidP="004C704C">
      <w:pPr>
        <w:spacing w:line="480" w:lineRule="auto"/>
        <w:jc w:val="both"/>
      </w:pPr>
      <w:r>
        <w:t xml:space="preserve">[9] </w:t>
      </w:r>
      <w:r w:rsidR="00351BF8">
        <w:t>O</w:t>
      </w:r>
      <w:r w:rsidR="00351BF8" w:rsidRPr="00351BF8">
        <w:t>n 7</w:t>
      </w:r>
      <w:r w:rsidR="00351BF8">
        <w:t xml:space="preserve"> </w:t>
      </w:r>
      <w:r w:rsidR="00351BF8" w:rsidRPr="00351BF8">
        <w:t xml:space="preserve">April 2017 the </w:t>
      </w:r>
      <w:r w:rsidR="00351BF8">
        <w:t>R</w:t>
      </w:r>
      <w:r w:rsidR="00351BF8" w:rsidRPr="00351BF8">
        <w:t xml:space="preserve">espondents delivered a </w:t>
      </w:r>
      <w:r w:rsidR="00351BF8">
        <w:t>N</w:t>
      </w:r>
      <w:r w:rsidR="00351BF8" w:rsidRPr="00351BF8">
        <w:t xml:space="preserve">otice of </w:t>
      </w:r>
      <w:r w:rsidR="00351BF8">
        <w:t>A</w:t>
      </w:r>
      <w:r w:rsidR="00351BF8" w:rsidRPr="00351BF8">
        <w:t>pplication</w:t>
      </w:r>
      <w:r w:rsidR="00351BF8">
        <w:t>-</w:t>
      </w:r>
      <w:r w:rsidR="00351BF8" w:rsidRPr="00351BF8">
        <w:t xml:space="preserve"> </w:t>
      </w:r>
      <w:proofErr w:type="spellStart"/>
      <w:r w:rsidR="00351BF8">
        <w:t>R</w:t>
      </w:r>
      <w:r w:rsidR="00351BF8" w:rsidRPr="00351BF8">
        <w:t>ecis</w:t>
      </w:r>
      <w:r w:rsidR="00351BF8">
        <w:t>s</w:t>
      </w:r>
      <w:r w:rsidR="00351BF8" w:rsidRPr="00351BF8">
        <w:t>ion</w:t>
      </w:r>
      <w:proofErr w:type="spellEnd"/>
      <w:r w:rsidR="00351BF8" w:rsidRPr="00351BF8">
        <w:t xml:space="preserve"> of </w:t>
      </w:r>
      <w:r w:rsidR="00351BF8">
        <w:t>D</w:t>
      </w:r>
      <w:r w:rsidR="00351BF8" w:rsidRPr="00351BF8">
        <w:t xml:space="preserve">efault </w:t>
      </w:r>
      <w:r w:rsidR="00351BF8">
        <w:t>O</w:t>
      </w:r>
      <w:r w:rsidR="00351BF8" w:rsidRPr="00351BF8">
        <w:t>rder. In the sa</w:t>
      </w:r>
      <w:r w:rsidR="00351BF8">
        <w:t>id</w:t>
      </w:r>
      <w:r w:rsidR="00351BF8" w:rsidRPr="00351BF8">
        <w:t xml:space="preserve"> </w:t>
      </w:r>
      <w:r w:rsidR="00351BF8">
        <w:t>N</w:t>
      </w:r>
      <w:r w:rsidR="00351BF8" w:rsidRPr="00351BF8">
        <w:t xml:space="preserve">otice of </w:t>
      </w:r>
      <w:r w:rsidR="00351BF8">
        <w:t>A</w:t>
      </w:r>
      <w:r w:rsidR="00351BF8" w:rsidRPr="00351BF8">
        <w:t xml:space="preserve">pplication, the </w:t>
      </w:r>
      <w:r w:rsidR="00351BF8">
        <w:t>R</w:t>
      </w:r>
      <w:r w:rsidR="00351BF8" w:rsidRPr="00351BF8">
        <w:t>espondents had s</w:t>
      </w:r>
      <w:r w:rsidR="00351BF8">
        <w:t>ought</w:t>
      </w:r>
      <w:r w:rsidR="00351BF8" w:rsidRPr="00351BF8">
        <w:t xml:space="preserve"> the following order</w:t>
      </w:r>
      <w:r w:rsidR="00351BF8">
        <w:t>:</w:t>
      </w:r>
    </w:p>
    <w:p w14:paraId="1FCD89FE" w14:textId="6A5BF6B3" w:rsidR="00351BF8" w:rsidRPr="00351BF8" w:rsidRDefault="00351BF8" w:rsidP="004C704C">
      <w:pPr>
        <w:spacing w:line="480" w:lineRule="auto"/>
        <w:jc w:val="both"/>
        <w:rPr>
          <w:i/>
          <w:iCs/>
        </w:rPr>
      </w:pPr>
      <w:r>
        <w:t>“(</w:t>
      </w:r>
      <w:r w:rsidRPr="00351BF8">
        <w:rPr>
          <w:i/>
          <w:iCs/>
        </w:rPr>
        <w:t xml:space="preserve">a) rescinding the order of </w:t>
      </w:r>
      <w:proofErr w:type="spellStart"/>
      <w:r w:rsidRPr="00351BF8">
        <w:rPr>
          <w:i/>
          <w:iCs/>
        </w:rPr>
        <w:t>Mabuse</w:t>
      </w:r>
      <w:proofErr w:type="spellEnd"/>
      <w:r w:rsidRPr="00351BF8">
        <w:rPr>
          <w:i/>
          <w:iCs/>
        </w:rPr>
        <w:t xml:space="preserve"> J dated 7 March 2017.</w:t>
      </w:r>
    </w:p>
    <w:p w14:paraId="28295D18" w14:textId="5036D32D" w:rsidR="00351BF8" w:rsidRPr="00351BF8" w:rsidRDefault="00351BF8" w:rsidP="004C704C">
      <w:pPr>
        <w:spacing w:line="480" w:lineRule="auto"/>
        <w:jc w:val="both"/>
        <w:rPr>
          <w:i/>
          <w:iCs/>
        </w:rPr>
      </w:pPr>
      <w:r w:rsidRPr="00351BF8">
        <w:rPr>
          <w:i/>
          <w:iCs/>
        </w:rPr>
        <w:t>(b) costs to be costs in the main application, save in the event of opposition the party so opposing this recession application be ordered to pay the costs</w:t>
      </w:r>
    </w:p>
    <w:p w14:paraId="00C9F2B1" w14:textId="6CCE469E" w:rsidR="00351BF8" w:rsidRDefault="00351BF8" w:rsidP="004C704C">
      <w:pPr>
        <w:spacing w:line="480" w:lineRule="auto"/>
        <w:jc w:val="both"/>
        <w:rPr>
          <w:i/>
          <w:iCs/>
        </w:rPr>
      </w:pPr>
      <w:r w:rsidRPr="00351BF8">
        <w:rPr>
          <w:i/>
          <w:iCs/>
        </w:rPr>
        <w:t>(c) further and or alternative relief.”</w:t>
      </w:r>
    </w:p>
    <w:p w14:paraId="40781CBA" w14:textId="77777777" w:rsidR="009B351E" w:rsidRPr="00351BF8" w:rsidRDefault="009B351E" w:rsidP="004C704C">
      <w:pPr>
        <w:spacing w:line="480" w:lineRule="auto"/>
        <w:jc w:val="both"/>
        <w:rPr>
          <w:i/>
          <w:iCs/>
        </w:rPr>
      </w:pPr>
    </w:p>
    <w:p w14:paraId="61D26545" w14:textId="389C07C0" w:rsidR="00351BF8" w:rsidRDefault="00351BF8" w:rsidP="004C704C">
      <w:pPr>
        <w:spacing w:line="480" w:lineRule="auto"/>
        <w:jc w:val="both"/>
      </w:pPr>
      <w:r>
        <w:t>T</w:t>
      </w:r>
      <w:r w:rsidRPr="00351BF8">
        <w:t xml:space="preserve">he application for </w:t>
      </w:r>
      <w:r>
        <w:t>re</w:t>
      </w:r>
      <w:r w:rsidRPr="00351BF8">
        <w:t xml:space="preserve">scission was predicated on the founding </w:t>
      </w:r>
      <w:r>
        <w:t>affidavit</w:t>
      </w:r>
      <w:r w:rsidRPr="00351BF8">
        <w:t xml:space="preserve"> of Julius </w:t>
      </w:r>
      <w:proofErr w:type="spellStart"/>
      <w:r w:rsidR="0037072A">
        <w:t>Sello</w:t>
      </w:r>
      <w:proofErr w:type="spellEnd"/>
      <w:r w:rsidRPr="00351BF8">
        <w:t xml:space="preserve"> </w:t>
      </w:r>
      <w:r w:rsidR="0037072A">
        <w:t>M</w:t>
      </w:r>
      <w:r w:rsidRPr="00351BF8">
        <w:t>al</w:t>
      </w:r>
      <w:r w:rsidR="0037072A">
        <w:t>e</w:t>
      </w:r>
      <w:r w:rsidRPr="00351BF8">
        <w:t>ma</w:t>
      </w:r>
      <w:r w:rsidR="009B351E">
        <w:t>( Mr Malema)</w:t>
      </w:r>
      <w:r w:rsidRPr="00351BF8">
        <w:t xml:space="preserve"> and </w:t>
      </w:r>
      <w:r w:rsidR="0037072A">
        <w:t xml:space="preserve">furthermore </w:t>
      </w:r>
      <w:r w:rsidRPr="00351BF8">
        <w:t xml:space="preserve">on the supplementary </w:t>
      </w:r>
      <w:r w:rsidR="0037072A">
        <w:t xml:space="preserve">affidavit </w:t>
      </w:r>
      <w:r w:rsidRPr="00351BF8">
        <w:t xml:space="preserve">by </w:t>
      </w:r>
      <w:r w:rsidR="0037072A">
        <w:t xml:space="preserve">Thabo </w:t>
      </w:r>
      <w:proofErr w:type="spellStart"/>
      <w:r w:rsidR="0037072A">
        <w:t>Sindisa</w:t>
      </w:r>
      <w:proofErr w:type="spellEnd"/>
      <w:r w:rsidRPr="00351BF8">
        <w:t xml:space="preserve"> </w:t>
      </w:r>
      <w:proofErr w:type="spellStart"/>
      <w:r w:rsidR="0037072A">
        <w:t>Kwinana</w:t>
      </w:r>
      <w:proofErr w:type="spellEnd"/>
      <w:r w:rsidRPr="00351BF8">
        <w:t xml:space="preserve"> </w:t>
      </w:r>
      <w:r w:rsidR="009B351E">
        <w:t xml:space="preserve">( Mr </w:t>
      </w:r>
      <w:proofErr w:type="spellStart"/>
      <w:r w:rsidR="009B351E">
        <w:lastRenderedPageBreak/>
        <w:t>Kwinana</w:t>
      </w:r>
      <w:proofErr w:type="spellEnd"/>
      <w:r w:rsidR="009B351E">
        <w:t xml:space="preserve">) </w:t>
      </w:r>
      <w:r w:rsidRPr="00351BF8">
        <w:t xml:space="preserve">an </w:t>
      </w:r>
      <w:r w:rsidR="0037072A">
        <w:t>adult</w:t>
      </w:r>
      <w:r w:rsidRPr="00351BF8">
        <w:t xml:space="preserve"> male practitioner of the firm </w:t>
      </w:r>
      <w:proofErr w:type="spellStart"/>
      <w:r w:rsidR="0037072A" w:rsidRPr="00351BF8">
        <w:t>Kwinana</w:t>
      </w:r>
      <w:proofErr w:type="spellEnd"/>
      <w:r w:rsidRPr="00351BF8">
        <w:t xml:space="preserve"> and </w:t>
      </w:r>
      <w:r w:rsidR="0037072A">
        <w:t>P</w:t>
      </w:r>
      <w:r w:rsidRPr="00351BF8">
        <w:t xml:space="preserve">artners </w:t>
      </w:r>
      <w:proofErr w:type="spellStart"/>
      <w:r w:rsidR="0037072A">
        <w:t>I</w:t>
      </w:r>
      <w:r w:rsidRPr="00351BF8">
        <w:t>nc</w:t>
      </w:r>
      <w:proofErr w:type="spellEnd"/>
      <w:r w:rsidR="00930AC6">
        <w:t xml:space="preserve"> (KPI) </w:t>
      </w:r>
      <w:r w:rsidR="0037072A">
        <w:t>;</w:t>
      </w:r>
      <w:r w:rsidRPr="00351BF8">
        <w:t xml:space="preserve"> </w:t>
      </w:r>
      <w:r w:rsidR="00F76FF3" w:rsidRPr="00351BF8">
        <w:t>the</w:t>
      </w:r>
      <w:r w:rsidR="00F76FF3">
        <w:t>n</w:t>
      </w:r>
      <w:r w:rsidR="00F76FF3" w:rsidRPr="00351BF8">
        <w:t xml:space="preserve"> Respondents</w:t>
      </w:r>
      <w:r w:rsidR="0037072A">
        <w:t xml:space="preserve">’ attorneys of </w:t>
      </w:r>
      <w:r w:rsidRPr="00351BF8">
        <w:t>record</w:t>
      </w:r>
      <w:r w:rsidR="00F76FF3">
        <w:t>.</w:t>
      </w:r>
    </w:p>
    <w:p w14:paraId="5AA82CE1" w14:textId="77777777" w:rsidR="00F76FF3" w:rsidRDefault="00F76FF3" w:rsidP="004C704C">
      <w:pPr>
        <w:spacing w:line="480" w:lineRule="auto"/>
        <w:jc w:val="both"/>
      </w:pPr>
    </w:p>
    <w:p w14:paraId="518D8A16" w14:textId="6B392EE4" w:rsidR="00351BF8" w:rsidRDefault="00351BF8" w:rsidP="004C704C">
      <w:pPr>
        <w:spacing w:line="480" w:lineRule="auto"/>
        <w:jc w:val="both"/>
      </w:pPr>
      <w:r>
        <w:t>[10</w:t>
      </w:r>
      <w:r w:rsidR="00F76FF3">
        <w:t>] On</w:t>
      </w:r>
      <w:r w:rsidR="00F76FF3" w:rsidRPr="00F76FF3">
        <w:t xml:space="preserve"> 13 April 2017 the </w:t>
      </w:r>
      <w:r w:rsidR="00F76FF3">
        <w:t>A</w:t>
      </w:r>
      <w:r w:rsidR="00F76FF3" w:rsidRPr="00F76FF3">
        <w:t xml:space="preserve">pplicants delivered their notice of intention to oppose the </w:t>
      </w:r>
      <w:r w:rsidR="00F76FF3">
        <w:t>R</w:t>
      </w:r>
      <w:r w:rsidR="00F76FF3" w:rsidRPr="00F76FF3">
        <w:t>espondents</w:t>
      </w:r>
      <w:r w:rsidR="00F76FF3">
        <w:t>’</w:t>
      </w:r>
      <w:r w:rsidR="00F76FF3" w:rsidRPr="00F76FF3">
        <w:t xml:space="preserve"> application for rescission. </w:t>
      </w:r>
      <w:r w:rsidR="00F76FF3">
        <w:t>I</w:t>
      </w:r>
      <w:r w:rsidR="00F76FF3" w:rsidRPr="00F76FF3">
        <w:t xml:space="preserve">t was followed by the answering </w:t>
      </w:r>
      <w:r w:rsidR="00F76FF3">
        <w:t>affidavit</w:t>
      </w:r>
      <w:r w:rsidR="00F76FF3" w:rsidRPr="00F76FF3">
        <w:t xml:space="preserve"> of </w:t>
      </w:r>
      <w:r w:rsidR="00521E25">
        <w:t>one Catherina Cornelia Cooks</w:t>
      </w:r>
      <w:r w:rsidR="00BA5786">
        <w:t xml:space="preserve"> (Ms Cooks)</w:t>
      </w:r>
      <w:r w:rsidR="00521E25">
        <w:t>, an adult female employed by the Applicants as safety coordinator,</w:t>
      </w:r>
      <w:r w:rsidR="00F76FF3" w:rsidRPr="00F76FF3">
        <w:t xml:space="preserve"> </w:t>
      </w:r>
      <w:r w:rsidR="00521E25">
        <w:t xml:space="preserve">delivered </w:t>
      </w:r>
      <w:r w:rsidR="00F76FF3" w:rsidRPr="00F76FF3">
        <w:t xml:space="preserve">on </w:t>
      </w:r>
      <w:r w:rsidR="00F76FF3">
        <w:t>5</w:t>
      </w:r>
      <w:r w:rsidR="00F76FF3" w:rsidRPr="00F76FF3">
        <w:t xml:space="preserve"> </w:t>
      </w:r>
      <w:r w:rsidR="00F76FF3">
        <w:t>M</w:t>
      </w:r>
      <w:r w:rsidR="00F76FF3" w:rsidRPr="00F76FF3">
        <w:t>ay 2017</w:t>
      </w:r>
      <w:r w:rsidR="00F76FF3">
        <w:t xml:space="preserve">. </w:t>
      </w:r>
    </w:p>
    <w:p w14:paraId="230AF1A1" w14:textId="77777777" w:rsidR="00FE0832" w:rsidRDefault="00FE0832" w:rsidP="004C704C">
      <w:pPr>
        <w:spacing w:line="480" w:lineRule="auto"/>
        <w:jc w:val="both"/>
      </w:pPr>
    </w:p>
    <w:p w14:paraId="73A6C273" w14:textId="47BB201A" w:rsidR="00521E25" w:rsidRDefault="00521E25" w:rsidP="004C704C">
      <w:pPr>
        <w:spacing w:line="480" w:lineRule="auto"/>
        <w:jc w:val="both"/>
      </w:pPr>
      <w:r>
        <w:t>[11] O</w:t>
      </w:r>
      <w:r w:rsidRPr="00521E25">
        <w:t xml:space="preserve">n 11 June 2017 the </w:t>
      </w:r>
      <w:r>
        <w:t>R</w:t>
      </w:r>
      <w:r w:rsidRPr="00521E25">
        <w:t xml:space="preserve">espondents served their </w:t>
      </w:r>
      <w:r>
        <w:t xml:space="preserve">replying affidavit </w:t>
      </w:r>
      <w:r w:rsidRPr="00521E25">
        <w:t xml:space="preserve">on the </w:t>
      </w:r>
      <w:r>
        <w:t>A</w:t>
      </w:r>
      <w:r w:rsidRPr="00521E25">
        <w:t>pplicants</w:t>
      </w:r>
      <w:r>
        <w:t>’</w:t>
      </w:r>
      <w:r w:rsidRPr="00521E25">
        <w:t xml:space="preserve"> att</w:t>
      </w:r>
      <w:r>
        <w:t>orneys.</w:t>
      </w:r>
      <w:r w:rsidR="00A40DE5">
        <w:t xml:space="preserve"> It would appear that subsequently, the application for rescission was enrolled for hearing on 17 September 2017 and that the parties were aware of that date.</w:t>
      </w:r>
    </w:p>
    <w:p w14:paraId="70CB6653" w14:textId="77777777" w:rsidR="00021195" w:rsidRDefault="00021195" w:rsidP="004C704C">
      <w:pPr>
        <w:spacing w:line="480" w:lineRule="auto"/>
        <w:jc w:val="both"/>
      </w:pPr>
    </w:p>
    <w:p w14:paraId="76C60104" w14:textId="46217909" w:rsidR="00A40DE5" w:rsidRDefault="00A40DE5" w:rsidP="004C704C">
      <w:pPr>
        <w:spacing w:line="480" w:lineRule="auto"/>
        <w:jc w:val="both"/>
      </w:pPr>
      <w:r>
        <w:t xml:space="preserve">[12] </w:t>
      </w:r>
      <w:r w:rsidR="00D2111D">
        <w:t>O</w:t>
      </w:r>
      <w:r w:rsidRPr="00A40DE5">
        <w:t xml:space="preserve">n 17 September 2017 the application for rescission was postponed </w:t>
      </w:r>
      <w:r w:rsidRPr="00D2111D">
        <w:rPr>
          <w:i/>
          <w:iCs/>
        </w:rPr>
        <w:t>s</w:t>
      </w:r>
      <w:r w:rsidR="00D2111D" w:rsidRPr="00D2111D">
        <w:rPr>
          <w:i/>
          <w:iCs/>
        </w:rPr>
        <w:t xml:space="preserve">ine </w:t>
      </w:r>
      <w:r w:rsidRPr="00D2111D">
        <w:rPr>
          <w:i/>
          <w:iCs/>
        </w:rPr>
        <w:t>d</w:t>
      </w:r>
      <w:r w:rsidR="00D2111D" w:rsidRPr="00D2111D">
        <w:rPr>
          <w:i/>
          <w:iCs/>
        </w:rPr>
        <w:t>ie</w:t>
      </w:r>
      <w:r w:rsidR="00D2111D">
        <w:rPr>
          <w:i/>
          <w:iCs/>
        </w:rPr>
        <w:t>.</w:t>
      </w:r>
      <w:r w:rsidRPr="00A40DE5">
        <w:t xml:space="preserve"> </w:t>
      </w:r>
      <w:r w:rsidR="00D2111D">
        <w:t xml:space="preserve">The Respondents, the Applicants in that application for rescission, were ordered </w:t>
      </w:r>
      <w:r w:rsidR="00FE0832">
        <w:t xml:space="preserve">to pay </w:t>
      </w:r>
      <w:r w:rsidR="00D2111D">
        <w:t>the</w:t>
      </w:r>
      <w:r w:rsidRPr="00A40DE5">
        <w:t xml:space="preserve"> </w:t>
      </w:r>
      <w:r w:rsidR="00D2111D">
        <w:t xml:space="preserve">wasted </w:t>
      </w:r>
      <w:r w:rsidR="00D2111D" w:rsidRPr="00A40DE5">
        <w:t>cost</w:t>
      </w:r>
      <w:r w:rsidR="00D2111D">
        <w:t xml:space="preserve">s </w:t>
      </w:r>
      <w:r w:rsidR="00D2111D" w:rsidRPr="00A40DE5">
        <w:t>on</w:t>
      </w:r>
      <w:r w:rsidR="00D2111D">
        <w:t xml:space="preserve"> attorney and </w:t>
      </w:r>
      <w:r w:rsidRPr="00A40DE5">
        <w:t>client</w:t>
      </w:r>
      <w:r w:rsidR="00D2111D">
        <w:t xml:space="preserve"> scale, </w:t>
      </w:r>
      <w:r w:rsidRPr="00A40DE5">
        <w:t>such cost</w:t>
      </w:r>
      <w:r w:rsidR="00D2111D">
        <w:t>s</w:t>
      </w:r>
      <w:r w:rsidRPr="00A40DE5">
        <w:t xml:space="preserve"> </w:t>
      </w:r>
      <w:r w:rsidR="00D2111D">
        <w:t xml:space="preserve">to </w:t>
      </w:r>
      <w:r w:rsidRPr="00A40DE5">
        <w:t>include the cost</w:t>
      </w:r>
      <w:r w:rsidR="00D2111D">
        <w:t>s</w:t>
      </w:r>
      <w:r w:rsidRPr="00A40DE5">
        <w:t xml:space="preserve"> of two c</w:t>
      </w:r>
      <w:r w:rsidR="00D2111D">
        <w:t>ounsel</w:t>
      </w:r>
      <w:r w:rsidRPr="00A40DE5">
        <w:t>. The reason for the postponement was</w:t>
      </w:r>
      <w:r w:rsidR="00D2111D">
        <w:t>,</w:t>
      </w:r>
      <w:r w:rsidRPr="00A40DE5">
        <w:t xml:space="preserve"> according to the </w:t>
      </w:r>
      <w:r w:rsidR="00D2111D">
        <w:t>A</w:t>
      </w:r>
      <w:r w:rsidRPr="00A40DE5">
        <w:t>pplicants</w:t>
      </w:r>
      <w:r w:rsidR="00D2111D">
        <w:t>’</w:t>
      </w:r>
      <w:r w:rsidRPr="00A40DE5">
        <w:t xml:space="preserve"> </w:t>
      </w:r>
      <w:r w:rsidR="00D2111D" w:rsidRPr="00A40DE5">
        <w:t>c</w:t>
      </w:r>
      <w:r w:rsidR="00D2111D">
        <w:t>ounsel</w:t>
      </w:r>
      <w:r w:rsidR="00D2111D" w:rsidRPr="00A40DE5">
        <w:t>, the</w:t>
      </w:r>
      <w:r w:rsidRPr="00A40DE5">
        <w:t xml:space="preserve"> failure by the </w:t>
      </w:r>
      <w:r w:rsidR="00D2111D">
        <w:t>R</w:t>
      </w:r>
      <w:r w:rsidRPr="00A40DE5">
        <w:t>espondents</w:t>
      </w:r>
      <w:r w:rsidR="00D2111D">
        <w:t>’ attorneys</w:t>
      </w:r>
      <w:r w:rsidRPr="00A40DE5">
        <w:t xml:space="preserve"> to fi</w:t>
      </w:r>
      <w:r w:rsidR="00D2111D">
        <w:t>l</w:t>
      </w:r>
      <w:r w:rsidRPr="00A40DE5">
        <w:t xml:space="preserve">e </w:t>
      </w:r>
      <w:r w:rsidR="00D2111D">
        <w:t xml:space="preserve">their </w:t>
      </w:r>
      <w:r w:rsidRPr="00A40DE5">
        <w:t>c</w:t>
      </w:r>
      <w:r w:rsidR="00D2111D">
        <w:t>ouns</w:t>
      </w:r>
      <w:r w:rsidRPr="00A40DE5">
        <w:t>el</w:t>
      </w:r>
      <w:r w:rsidR="00D2111D">
        <w:t>’</w:t>
      </w:r>
      <w:r w:rsidRPr="00A40DE5">
        <w:t>s heads of argument</w:t>
      </w:r>
      <w:r w:rsidR="00D2111D">
        <w:t>.</w:t>
      </w:r>
    </w:p>
    <w:p w14:paraId="0D2D23EA" w14:textId="77777777" w:rsidR="00021195" w:rsidRDefault="00021195" w:rsidP="004C704C">
      <w:pPr>
        <w:spacing w:line="480" w:lineRule="auto"/>
        <w:jc w:val="both"/>
      </w:pPr>
    </w:p>
    <w:p w14:paraId="74170F40" w14:textId="2AA046BB" w:rsidR="00730CFA" w:rsidRDefault="00730CFA" w:rsidP="004C704C">
      <w:pPr>
        <w:spacing w:line="480" w:lineRule="auto"/>
        <w:jc w:val="both"/>
      </w:pPr>
      <w:r>
        <w:t>[13] On 12</w:t>
      </w:r>
      <w:r w:rsidRPr="00730CFA">
        <w:t xml:space="preserve"> February 2018</w:t>
      </w:r>
      <w:r>
        <w:t xml:space="preserve">, </w:t>
      </w:r>
      <w:r w:rsidRPr="00730CFA">
        <w:t xml:space="preserve">the </w:t>
      </w:r>
      <w:r>
        <w:t>R</w:t>
      </w:r>
      <w:r w:rsidRPr="00730CFA">
        <w:t>espondent</w:t>
      </w:r>
      <w:r>
        <w:t>s’</w:t>
      </w:r>
      <w:r w:rsidRPr="00730CFA">
        <w:t xml:space="preserve"> application for re</w:t>
      </w:r>
      <w:r>
        <w:t xml:space="preserve">scission </w:t>
      </w:r>
      <w:r w:rsidRPr="00730CFA">
        <w:t>under case number 89196</w:t>
      </w:r>
      <w:r>
        <w:t>/</w:t>
      </w:r>
      <w:r w:rsidRPr="00730CFA">
        <w:t>16 was dismissed with cost</w:t>
      </w:r>
      <w:r>
        <w:t>s,</w:t>
      </w:r>
      <w:r w:rsidRPr="00730CFA">
        <w:t xml:space="preserve"> by the </w:t>
      </w:r>
      <w:r>
        <w:t>C</w:t>
      </w:r>
      <w:r w:rsidRPr="00730CFA">
        <w:t>ourt</w:t>
      </w:r>
      <w:r>
        <w:t xml:space="preserve">. The </w:t>
      </w:r>
      <w:r w:rsidR="00C75A32">
        <w:t xml:space="preserve">following </w:t>
      </w:r>
      <w:r w:rsidRPr="00730CFA">
        <w:t>order was made</w:t>
      </w:r>
      <w:r>
        <w:t>:</w:t>
      </w:r>
    </w:p>
    <w:p w14:paraId="122FF6CE" w14:textId="24FE2DB6" w:rsidR="00730CFA" w:rsidRPr="00C75A32" w:rsidRDefault="00537131" w:rsidP="004C704C">
      <w:pPr>
        <w:spacing w:line="480" w:lineRule="auto"/>
        <w:jc w:val="both"/>
        <w:rPr>
          <w:i/>
          <w:iCs/>
        </w:rPr>
      </w:pPr>
      <w:r w:rsidRPr="00C75A32">
        <w:rPr>
          <w:i/>
          <w:iCs/>
        </w:rPr>
        <w:t>“1</w:t>
      </w:r>
      <w:r w:rsidR="00730CFA" w:rsidRPr="00C75A32">
        <w:rPr>
          <w:i/>
          <w:iCs/>
        </w:rPr>
        <w:t xml:space="preserve">) </w:t>
      </w:r>
      <w:r w:rsidR="00C75A32" w:rsidRPr="00C75A32">
        <w:rPr>
          <w:i/>
          <w:iCs/>
        </w:rPr>
        <w:t xml:space="preserve">The </w:t>
      </w:r>
      <w:r w:rsidR="00730CFA" w:rsidRPr="00C75A32">
        <w:rPr>
          <w:i/>
          <w:iCs/>
        </w:rPr>
        <w:t xml:space="preserve">application </w:t>
      </w:r>
      <w:r w:rsidR="00C75A32" w:rsidRPr="00C75A32">
        <w:rPr>
          <w:i/>
          <w:iCs/>
        </w:rPr>
        <w:t>for rescission</w:t>
      </w:r>
      <w:r w:rsidR="00730CFA" w:rsidRPr="00C75A32">
        <w:rPr>
          <w:i/>
          <w:iCs/>
        </w:rPr>
        <w:t xml:space="preserve"> of the judgment of </w:t>
      </w:r>
      <w:r w:rsidR="00C75A32" w:rsidRPr="00C75A32">
        <w:rPr>
          <w:i/>
          <w:iCs/>
        </w:rPr>
        <w:t>7</w:t>
      </w:r>
      <w:r w:rsidR="00730CFA" w:rsidRPr="00C75A32">
        <w:rPr>
          <w:i/>
          <w:iCs/>
        </w:rPr>
        <w:t xml:space="preserve"> March 2017 is dismissed with costs which costs shall include the cost</w:t>
      </w:r>
      <w:r w:rsidR="00C75A32" w:rsidRPr="00C75A32">
        <w:rPr>
          <w:i/>
          <w:iCs/>
        </w:rPr>
        <w:t>s</w:t>
      </w:r>
      <w:r w:rsidR="00730CFA" w:rsidRPr="00C75A32">
        <w:rPr>
          <w:i/>
          <w:iCs/>
        </w:rPr>
        <w:t xml:space="preserve"> of two </w:t>
      </w:r>
      <w:r w:rsidR="00C75A32" w:rsidRPr="00C75A32">
        <w:rPr>
          <w:i/>
          <w:iCs/>
        </w:rPr>
        <w:t>counsel</w:t>
      </w:r>
      <w:r w:rsidR="00730CFA" w:rsidRPr="00C75A32">
        <w:rPr>
          <w:i/>
          <w:iCs/>
        </w:rPr>
        <w:t xml:space="preserve"> where so employed.</w:t>
      </w:r>
    </w:p>
    <w:p w14:paraId="4D439DB2" w14:textId="4A8A3AD6" w:rsidR="00730CFA" w:rsidRDefault="00730CFA" w:rsidP="004C704C">
      <w:pPr>
        <w:spacing w:line="480" w:lineRule="auto"/>
        <w:jc w:val="both"/>
        <w:rPr>
          <w:i/>
          <w:iCs/>
        </w:rPr>
      </w:pPr>
      <w:r w:rsidRPr="00C75A32">
        <w:rPr>
          <w:i/>
          <w:iCs/>
        </w:rPr>
        <w:t xml:space="preserve">2) </w:t>
      </w:r>
      <w:r w:rsidR="00C75A32" w:rsidRPr="00C75A32">
        <w:rPr>
          <w:i/>
          <w:iCs/>
        </w:rPr>
        <w:t>A</w:t>
      </w:r>
      <w:r w:rsidRPr="00C75A32">
        <w:rPr>
          <w:i/>
          <w:iCs/>
        </w:rPr>
        <w:t>pplicants to pay the cost</w:t>
      </w:r>
      <w:r w:rsidR="00C75A32" w:rsidRPr="00C75A32">
        <w:rPr>
          <w:i/>
          <w:iCs/>
        </w:rPr>
        <w:t>s</w:t>
      </w:r>
      <w:r w:rsidRPr="00C75A32">
        <w:rPr>
          <w:i/>
          <w:iCs/>
        </w:rPr>
        <w:t xml:space="preserve"> jointly and severally the one paying other to be abso</w:t>
      </w:r>
      <w:r w:rsidR="00C75A32" w:rsidRPr="00C75A32">
        <w:rPr>
          <w:i/>
          <w:iCs/>
        </w:rPr>
        <w:t>lv</w:t>
      </w:r>
      <w:r w:rsidRPr="00C75A32">
        <w:rPr>
          <w:i/>
          <w:iCs/>
        </w:rPr>
        <w:t>ed</w:t>
      </w:r>
      <w:r w:rsidR="00C75A32" w:rsidRPr="00C75A32">
        <w:rPr>
          <w:i/>
          <w:iCs/>
        </w:rPr>
        <w:t>.”</w:t>
      </w:r>
    </w:p>
    <w:p w14:paraId="340006E0" w14:textId="00147EC5" w:rsidR="00C75A32" w:rsidRDefault="00C75A32" w:rsidP="004C704C">
      <w:pPr>
        <w:spacing w:line="480" w:lineRule="auto"/>
        <w:jc w:val="both"/>
        <w:rPr>
          <w:i/>
          <w:iCs/>
        </w:rPr>
      </w:pPr>
    </w:p>
    <w:p w14:paraId="2D4FF24E" w14:textId="0F4EDF06" w:rsidR="00C75A32" w:rsidRDefault="00C75A32" w:rsidP="004C704C">
      <w:pPr>
        <w:spacing w:line="480" w:lineRule="auto"/>
        <w:jc w:val="both"/>
      </w:pPr>
      <w:r>
        <w:lastRenderedPageBreak/>
        <w:t xml:space="preserve">[14] </w:t>
      </w:r>
      <w:r w:rsidR="001756AB">
        <w:t>On 13</w:t>
      </w:r>
      <w:r w:rsidRPr="00C75A32">
        <w:t xml:space="preserve"> November 2018 the </w:t>
      </w:r>
      <w:r w:rsidR="001756AB">
        <w:t>R</w:t>
      </w:r>
      <w:r w:rsidRPr="00C75A32">
        <w:t>espondent</w:t>
      </w:r>
      <w:r w:rsidR="001756AB">
        <w:t>s</w:t>
      </w:r>
      <w:r w:rsidRPr="00C75A32">
        <w:t xml:space="preserve"> delivered the</w:t>
      </w:r>
      <w:r w:rsidR="001756AB">
        <w:t>ir</w:t>
      </w:r>
      <w:r w:rsidRPr="00C75A32">
        <w:t xml:space="preserve"> application for leave to appeal against the order a</w:t>
      </w:r>
      <w:r w:rsidR="001756AB">
        <w:t xml:space="preserve">nd </w:t>
      </w:r>
      <w:r w:rsidRPr="00C75A32">
        <w:t>ju</w:t>
      </w:r>
      <w:r w:rsidR="001756AB">
        <w:t>dg</w:t>
      </w:r>
      <w:r w:rsidRPr="00C75A32">
        <w:t xml:space="preserve">ment of </w:t>
      </w:r>
      <w:r w:rsidR="001756AB">
        <w:t>7</w:t>
      </w:r>
      <w:r w:rsidRPr="00C75A32">
        <w:t xml:space="preserve"> </w:t>
      </w:r>
      <w:r w:rsidR="001756AB">
        <w:t>March</w:t>
      </w:r>
      <w:r w:rsidRPr="00C75A32">
        <w:t xml:space="preserve"> </w:t>
      </w:r>
      <w:r w:rsidR="001756AB">
        <w:t>20</w:t>
      </w:r>
      <w:r w:rsidRPr="00C75A32">
        <w:t xml:space="preserve">17. The grounds upon which the </w:t>
      </w:r>
      <w:r w:rsidR="001756AB">
        <w:t>R</w:t>
      </w:r>
      <w:r w:rsidRPr="00C75A32">
        <w:t xml:space="preserve">espondents sought </w:t>
      </w:r>
      <w:r w:rsidR="009C3F18">
        <w:t xml:space="preserve">such </w:t>
      </w:r>
      <w:r w:rsidR="00280D67">
        <w:t xml:space="preserve">leave </w:t>
      </w:r>
      <w:r w:rsidR="001756AB">
        <w:t>are</w:t>
      </w:r>
      <w:r w:rsidRPr="00C75A32">
        <w:t xml:space="preserve"> set out </w:t>
      </w:r>
      <w:r w:rsidR="001756AB">
        <w:t xml:space="preserve">in their application for leave to appeal </w:t>
      </w:r>
      <w:r w:rsidRPr="00C75A32">
        <w:t>as follows</w:t>
      </w:r>
      <w:r>
        <w:t>:</w:t>
      </w:r>
    </w:p>
    <w:p w14:paraId="30C447EE" w14:textId="3690C8C2" w:rsidR="00C75A32" w:rsidRPr="00B3070A" w:rsidRDefault="00C75A32" w:rsidP="004C704C">
      <w:pPr>
        <w:spacing w:line="480" w:lineRule="auto"/>
        <w:jc w:val="both"/>
        <w:rPr>
          <w:i/>
          <w:iCs/>
        </w:rPr>
      </w:pPr>
      <w:r w:rsidRPr="00B3070A">
        <w:rPr>
          <w:i/>
          <w:iCs/>
        </w:rPr>
        <w:t>“</w:t>
      </w:r>
      <w:r w:rsidR="00A51AD6" w:rsidRPr="00B3070A">
        <w:rPr>
          <w:i/>
          <w:iCs/>
        </w:rPr>
        <w:t>PLEASE TAKE NOTICE</w:t>
      </w:r>
      <w:r w:rsidRPr="00B3070A">
        <w:rPr>
          <w:i/>
          <w:iCs/>
        </w:rPr>
        <w:t xml:space="preserve"> that the applicants will seek an order setting aside the order of the court </w:t>
      </w:r>
      <w:r w:rsidR="00A51AD6" w:rsidRPr="00B3070A">
        <w:rPr>
          <w:i/>
          <w:iCs/>
        </w:rPr>
        <w:t>a quo</w:t>
      </w:r>
      <w:r w:rsidRPr="00B3070A">
        <w:rPr>
          <w:i/>
          <w:iCs/>
        </w:rPr>
        <w:t xml:space="preserve"> and replacing it with an order in the following terms;</w:t>
      </w:r>
    </w:p>
    <w:p w14:paraId="785B8B2B" w14:textId="0CA1F88A" w:rsidR="00C75A32" w:rsidRPr="00CC75B2" w:rsidRDefault="00CC75B2" w:rsidP="00CC75B2">
      <w:pPr>
        <w:spacing w:line="480" w:lineRule="auto"/>
        <w:ind w:left="720" w:hanging="360"/>
        <w:jc w:val="both"/>
        <w:rPr>
          <w:i/>
          <w:iCs/>
        </w:rPr>
      </w:pPr>
      <w:r w:rsidRPr="00B3070A">
        <w:rPr>
          <w:i/>
          <w:iCs/>
        </w:rPr>
        <w:t>(1)</w:t>
      </w:r>
      <w:r w:rsidRPr="00B3070A">
        <w:rPr>
          <w:i/>
          <w:iCs/>
        </w:rPr>
        <w:tab/>
      </w:r>
      <w:r w:rsidR="00A51AD6" w:rsidRPr="00CC75B2">
        <w:rPr>
          <w:i/>
          <w:iCs/>
        </w:rPr>
        <w:t>T</w:t>
      </w:r>
      <w:r w:rsidR="00C75A32" w:rsidRPr="00CC75B2">
        <w:rPr>
          <w:i/>
          <w:iCs/>
        </w:rPr>
        <w:t>he application is dismissed with costs, including the cost</w:t>
      </w:r>
      <w:r w:rsidR="00A51AD6" w:rsidRPr="00CC75B2">
        <w:rPr>
          <w:i/>
          <w:iCs/>
        </w:rPr>
        <w:t>s</w:t>
      </w:r>
      <w:r w:rsidR="00C75A32" w:rsidRPr="00CC75B2">
        <w:rPr>
          <w:i/>
          <w:iCs/>
        </w:rPr>
        <w:t xml:space="preserve"> of two counsel.</w:t>
      </w:r>
    </w:p>
    <w:p w14:paraId="6F188E6A" w14:textId="35632B4F" w:rsidR="00C75A32" w:rsidRPr="00B3070A" w:rsidRDefault="00A51AD6" w:rsidP="00C75A32">
      <w:pPr>
        <w:spacing w:line="480" w:lineRule="auto"/>
        <w:jc w:val="both"/>
        <w:rPr>
          <w:i/>
          <w:iCs/>
        </w:rPr>
      </w:pPr>
      <w:r w:rsidRPr="00B3070A">
        <w:rPr>
          <w:i/>
          <w:iCs/>
        </w:rPr>
        <w:t>TAKE FURTHER NOTICE</w:t>
      </w:r>
      <w:r w:rsidR="00C75A32" w:rsidRPr="00B3070A">
        <w:rPr>
          <w:i/>
          <w:iCs/>
        </w:rPr>
        <w:t xml:space="preserve"> that application for leave to appeal will be made on a date and at a time to be arranged in conjunction with the </w:t>
      </w:r>
      <w:r w:rsidRPr="00B3070A">
        <w:rPr>
          <w:i/>
          <w:iCs/>
        </w:rPr>
        <w:t>R</w:t>
      </w:r>
      <w:r w:rsidR="00C75A32" w:rsidRPr="00B3070A">
        <w:rPr>
          <w:i/>
          <w:iCs/>
        </w:rPr>
        <w:t>egistrar an</w:t>
      </w:r>
      <w:r w:rsidRPr="00B3070A">
        <w:rPr>
          <w:i/>
          <w:iCs/>
        </w:rPr>
        <w:t xml:space="preserve">d </w:t>
      </w:r>
      <w:r w:rsidR="00317FF5" w:rsidRPr="00B3070A">
        <w:rPr>
          <w:i/>
          <w:iCs/>
        </w:rPr>
        <w:t>the first</w:t>
      </w:r>
      <w:r w:rsidR="00C75A32" w:rsidRPr="00B3070A">
        <w:rPr>
          <w:i/>
          <w:iCs/>
        </w:rPr>
        <w:t xml:space="preserve"> and second respondents</w:t>
      </w:r>
      <w:r w:rsidRPr="00B3070A">
        <w:rPr>
          <w:i/>
          <w:iCs/>
        </w:rPr>
        <w:t>’</w:t>
      </w:r>
      <w:r w:rsidR="00C75A32" w:rsidRPr="00B3070A">
        <w:rPr>
          <w:i/>
          <w:iCs/>
        </w:rPr>
        <w:t xml:space="preserve"> attorney of record </w:t>
      </w:r>
      <w:r w:rsidRPr="00B3070A">
        <w:rPr>
          <w:i/>
          <w:iCs/>
        </w:rPr>
        <w:t>(</w:t>
      </w:r>
      <w:proofErr w:type="spellStart"/>
      <w:r w:rsidR="00317FF5" w:rsidRPr="00B3070A">
        <w:rPr>
          <w:i/>
          <w:iCs/>
        </w:rPr>
        <w:t>Afriforum</w:t>
      </w:r>
      <w:proofErr w:type="spellEnd"/>
      <w:r w:rsidR="00317FF5" w:rsidRPr="00B3070A">
        <w:rPr>
          <w:i/>
          <w:iCs/>
        </w:rPr>
        <w:t xml:space="preserve"> NPC</w:t>
      </w:r>
      <w:r w:rsidR="00C75A32" w:rsidRPr="00B3070A">
        <w:rPr>
          <w:i/>
          <w:iCs/>
        </w:rPr>
        <w:t xml:space="preserve"> and </w:t>
      </w:r>
      <w:proofErr w:type="spellStart"/>
      <w:r w:rsidR="00317FF5" w:rsidRPr="00B3070A">
        <w:rPr>
          <w:i/>
          <w:iCs/>
        </w:rPr>
        <w:t>Afrisake</w:t>
      </w:r>
      <w:proofErr w:type="spellEnd"/>
      <w:r w:rsidR="00317FF5" w:rsidRPr="00B3070A">
        <w:rPr>
          <w:i/>
          <w:iCs/>
        </w:rPr>
        <w:t xml:space="preserve"> N</w:t>
      </w:r>
      <w:r w:rsidR="00C75A32" w:rsidRPr="00B3070A">
        <w:rPr>
          <w:i/>
          <w:iCs/>
        </w:rPr>
        <w:t xml:space="preserve"> PC</w:t>
      </w:r>
      <w:r w:rsidR="00317FF5" w:rsidRPr="00B3070A">
        <w:rPr>
          <w:i/>
          <w:iCs/>
        </w:rPr>
        <w:t>,</w:t>
      </w:r>
      <w:r w:rsidR="00C75A32" w:rsidRPr="00B3070A">
        <w:rPr>
          <w:i/>
          <w:iCs/>
        </w:rPr>
        <w:t xml:space="preserve"> respectively</w:t>
      </w:r>
      <w:r w:rsidR="00317FF5" w:rsidRPr="00B3070A">
        <w:rPr>
          <w:i/>
          <w:iCs/>
        </w:rPr>
        <w:t>)</w:t>
      </w:r>
    </w:p>
    <w:p w14:paraId="03301816" w14:textId="7C962DCC" w:rsidR="00C75A32" w:rsidRPr="00B3070A" w:rsidRDefault="00317FF5" w:rsidP="00C75A32">
      <w:pPr>
        <w:spacing w:line="480" w:lineRule="auto"/>
        <w:jc w:val="both"/>
        <w:rPr>
          <w:i/>
          <w:iCs/>
        </w:rPr>
      </w:pPr>
      <w:r w:rsidRPr="00B3070A">
        <w:rPr>
          <w:i/>
          <w:iCs/>
        </w:rPr>
        <w:t xml:space="preserve">TAKE FURTHER NOTICE </w:t>
      </w:r>
      <w:r w:rsidR="00C75A32" w:rsidRPr="00B3070A">
        <w:rPr>
          <w:i/>
          <w:iCs/>
        </w:rPr>
        <w:t xml:space="preserve">that applicants contend that there is </w:t>
      </w:r>
      <w:r w:rsidRPr="00B3070A">
        <w:rPr>
          <w:i/>
          <w:iCs/>
        </w:rPr>
        <w:t xml:space="preserve">a </w:t>
      </w:r>
      <w:r w:rsidR="00C75A32" w:rsidRPr="00B3070A">
        <w:rPr>
          <w:i/>
          <w:iCs/>
        </w:rPr>
        <w:t>reasonable prospect that another court will come to a different conclusion</w:t>
      </w:r>
      <w:r w:rsidRPr="00B3070A">
        <w:rPr>
          <w:i/>
          <w:iCs/>
        </w:rPr>
        <w:t xml:space="preserve">. The reasons </w:t>
      </w:r>
      <w:r w:rsidR="00C75A32" w:rsidRPr="00B3070A">
        <w:rPr>
          <w:i/>
          <w:iCs/>
        </w:rPr>
        <w:t xml:space="preserve">upon which the judgment granted by default </w:t>
      </w:r>
      <w:r w:rsidRPr="00B3070A">
        <w:rPr>
          <w:i/>
          <w:iCs/>
        </w:rPr>
        <w:t xml:space="preserve">will </w:t>
      </w:r>
      <w:r w:rsidR="00C75A32" w:rsidRPr="00B3070A">
        <w:rPr>
          <w:i/>
          <w:iCs/>
        </w:rPr>
        <w:t>be appealed arrest follows:</w:t>
      </w:r>
    </w:p>
    <w:p w14:paraId="4DDB1051" w14:textId="306FC547" w:rsidR="00C75A32" w:rsidRPr="00CC75B2" w:rsidRDefault="00CC75B2" w:rsidP="00CC75B2">
      <w:pPr>
        <w:spacing w:line="480" w:lineRule="auto"/>
        <w:ind w:left="720" w:hanging="360"/>
        <w:jc w:val="both"/>
        <w:rPr>
          <w:i/>
          <w:iCs/>
        </w:rPr>
      </w:pPr>
      <w:r w:rsidRPr="00B3070A">
        <w:rPr>
          <w:i/>
          <w:iCs/>
        </w:rPr>
        <w:t>1.</w:t>
      </w:r>
      <w:r w:rsidRPr="00B3070A">
        <w:rPr>
          <w:i/>
          <w:iCs/>
        </w:rPr>
        <w:tab/>
      </w:r>
      <w:r w:rsidR="00C75A32" w:rsidRPr="00CC75B2">
        <w:rPr>
          <w:i/>
          <w:iCs/>
        </w:rPr>
        <w:t xml:space="preserve"> </w:t>
      </w:r>
      <w:r w:rsidR="00317FF5" w:rsidRPr="00CC75B2">
        <w:rPr>
          <w:i/>
          <w:iCs/>
        </w:rPr>
        <w:t>T</w:t>
      </w:r>
      <w:r w:rsidR="00C75A32" w:rsidRPr="00CC75B2">
        <w:rPr>
          <w:i/>
          <w:iCs/>
        </w:rPr>
        <w:t xml:space="preserve">he </w:t>
      </w:r>
      <w:r w:rsidR="00317FF5" w:rsidRPr="00CC75B2">
        <w:rPr>
          <w:i/>
          <w:iCs/>
        </w:rPr>
        <w:t>T</w:t>
      </w:r>
      <w:r w:rsidR="00C75A32" w:rsidRPr="00CC75B2">
        <w:rPr>
          <w:i/>
          <w:iCs/>
        </w:rPr>
        <w:t xml:space="preserve">respass </w:t>
      </w:r>
      <w:r w:rsidR="00317FF5" w:rsidRPr="00CC75B2">
        <w:rPr>
          <w:i/>
          <w:iCs/>
        </w:rPr>
        <w:t>A</w:t>
      </w:r>
      <w:r w:rsidR="00C75A32" w:rsidRPr="00CC75B2">
        <w:rPr>
          <w:i/>
          <w:iCs/>
        </w:rPr>
        <w:t xml:space="preserve">ct </w:t>
      </w:r>
      <w:r w:rsidR="00317FF5" w:rsidRPr="00CC75B2">
        <w:rPr>
          <w:i/>
          <w:iCs/>
        </w:rPr>
        <w:t xml:space="preserve">NO, </w:t>
      </w:r>
      <w:r w:rsidR="00C75A32" w:rsidRPr="00CC75B2">
        <w:rPr>
          <w:i/>
          <w:iCs/>
        </w:rPr>
        <w:t xml:space="preserve">6 of 1959 [the </w:t>
      </w:r>
      <w:r w:rsidR="00317FF5" w:rsidRPr="00CC75B2">
        <w:rPr>
          <w:i/>
          <w:iCs/>
        </w:rPr>
        <w:t>A</w:t>
      </w:r>
      <w:r w:rsidR="00C75A32" w:rsidRPr="00CC75B2">
        <w:rPr>
          <w:i/>
          <w:iCs/>
        </w:rPr>
        <w:t xml:space="preserve">ct] is unconstitutional to the extent that it </w:t>
      </w:r>
      <w:r w:rsidR="00317FF5" w:rsidRPr="00CC75B2">
        <w:rPr>
          <w:i/>
          <w:iCs/>
        </w:rPr>
        <w:t xml:space="preserve">impermissibly serves </w:t>
      </w:r>
      <w:r w:rsidR="00C75A32" w:rsidRPr="00CC75B2">
        <w:rPr>
          <w:i/>
          <w:iCs/>
        </w:rPr>
        <w:t xml:space="preserve">to </w:t>
      </w:r>
      <w:r w:rsidR="00317FF5" w:rsidRPr="00CC75B2">
        <w:rPr>
          <w:i/>
          <w:iCs/>
        </w:rPr>
        <w:t>curtail free</w:t>
      </w:r>
      <w:r w:rsidR="00C75A32" w:rsidRPr="00CC75B2">
        <w:rPr>
          <w:i/>
          <w:iCs/>
        </w:rPr>
        <w:t xml:space="preserve"> speech </w:t>
      </w:r>
      <w:r w:rsidR="00317FF5" w:rsidRPr="00CC75B2">
        <w:rPr>
          <w:i/>
          <w:iCs/>
        </w:rPr>
        <w:t xml:space="preserve">as guaranteed </w:t>
      </w:r>
      <w:r w:rsidR="00C75A32" w:rsidRPr="00CC75B2">
        <w:rPr>
          <w:i/>
          <w:iCs/>
        </w:rPr>
        <w:t xml:space="preserve">by section 16 of the </w:t>
      </w:r>
      <w:r w:rsidR="00317FF5" w:rsidRPr="00CC75B2">
        <w:rPr>
          <w:i/>
          <w:iCs/>
        </w:rPr>
        <w:t>C</w:t>
      </w:r>
      <w:r w:rsidR="00C75A32" w:rsidRPr="00CC75B2">
        <w:rPr>
          <w:i/>
          <w:iCs/>
        </w:rPr>
        <w:t>onstitution.</w:t>
      </w:r>
    </w:p>
    <w:p w14:paraId="7950294B" w14:textId="7966DBCA" w:rsidR="00C75A32" w:rsidRPr="00CC75B2" w:rsidRDefault="00CC75B2" w:rsidP="00CC75B2">
      <w:pPr>
        <w:spacing w:line="480" w:lineRule="auto"/>
        <w:ind w:left="720" w:hanging="360"/>
        <w:jc w:val="both"/>
        <w:rPr>
          <w:i/>
          <w:iCs/>
        </w:rPr>
      </w:pPr>
      <w:r w:rsidRPr="00B3070A">
        <w:rPr>
          <w:i/>
          <w:iCs/>
        </w:rPr>
        <w:t>2.</w:t>
      </w:r>
      <w:r w:rsidRPr="00B3070A">
        <w:rPr>
          <w:i/>
          <w:iCs/>
        </w:rPr>
        <w:tab/>
      </w:r>
      <w:r w:rsidR="00C75A32" w:rsidRPr="00CC75B2">
        <w:rPr>
          <w:i/>
          <w:iCs/>
        </w:rPr>
        <w:t xml:space="preserve">Specifically, the </w:t>
      </w:r>
      <w:r w:rsidR="00317FF5" w:rsidRPr="00CC75B2">
        <w:rPr>
          <w:i/>
          <w:iCs/>
        </w:rPr>
        <w:t>A</w:t>
      </w:r>
      <w:r w:rsidR="00C75A32" w:rsidRPr="00CC75B2">
        <w:rPr>
          <w:i/>
          <w:iCs/>
        </w:rPr>
        <w:t xml:space="preserve">ct is unconstitutional to the extent that it creates an </w:t>
      </w:r>
      <w:r w:rsidR="00E3729C" w:rsidRPr="00CC75B2">
        <w:rPr>
          <w:i/>
          <w:iCs/>
        </w:rPr>
        <w:t>overly broad</w:t>
      </w:r>
      <w:r w:rsidR="00C75A32" w:rsidRPr="00CC75B2">
        <w:rPr>
          <w:i/>
          <w:iCs/>
        </w:rPr>
        <w:t xml:space="preserve"> and </w:t>
      </w:r>
      <w:r w:rsidR="00751CD1" w:rsidRPr="00CC75B2">
        <w:rPr>
          <w:i/>
          <w:iCs/>
        </w:rPr>
        <w:t>overly inclusive</w:t>
      </w:r>
      <w:r w:rsidR="00C75A32" w:rsidRPr="00CC75B2">
        <w:rPr>
          <w:i/>
          <w:iCs/>
        </w:rPr>
        <w:t xml:space="preserve"> category of prohibited speech that is at odds with the limited categories of </w:t>
      </w:r>
      <w:r w:rsidR="00317FF5" w:rsidRPr="00CC75B2">
        <w:rPr>
          <w:i/>
          <w:iCs/>
        </w:rPr>
        <w:t>prohibi</w:t>
      </w:r>
      <w:r w:rsidR="00C75A32" w:rsidRPr="00CC75B2">
        <w:rPr>
          <w:i/>
          <w:iCs/>
        </w:rPr>
        <w:t xml:space="preserve">ted speech as contained </w:t>
      </w:r>
      <w:r w:rsidR="00317FF5" w:rsidRPr="00CC75B2">
        <w:rPr>
          <w:i/>
          <w:iCs/>
        </w:rPr>
        <w:t>section 1</w:t>
      </w:r>
      <w:r w:rsidR="00C75A32" w:rsidRPr="00CC75B2">
        <w:rPr>
          <w:i/>
          <w:iCs/>
        </w:rPr>
        <w:t>6[</w:t>
      </w:r>
      <w:r w:rsidR="00317FF5" w:rsidRPr="00CC75B2">
        <w:rPr>
          <w:i/>
          <w:iCs/>
        </w:rPr>
        <w:t>2</w:t>
      </w:r>
      <w:r w:rsidR="00C75A32" w:rsidRPr="00CC75B2">
        <w:rPr>
          <w:i/>
          <w:iCs/>
        </w:rPr>
        <w:t>] o</w:t>
      </w:r>
      <w:r w:rsidR="00317FF5" w:rsidRPr="00CC75B2">
        <w:rPr>
          <w:i/>
          <w:iCs/>
        </w:rPr>
        <w:t>f</w:t>
      </w:r>
      <w:r w:rsidR="00C75A32" w:rsidRPr="00CC75B2">
        <w:rPr>
          <w:i/>
          <w:iCs/>
        </w:rPr>
        <w:t xml:space="preserve"> the </w:t>
      </w:r>
      <w:r w:rsidR="00317FF5" w:rsidRPr="00CC75B2">
        <w:rPr>
          <w:i/>
          <w:iCs/>
        </w:rPr>
        <w:t>C</w:t>
      </w:r>
      <w:r w:rsidR="00C75A32" w:rsidRPr="00CC75B2">
        <w:rPr>
          <w:i/>
          <w:iCs/>
        </w:rPr>
        <w:t>onstitution.</w:t>
      </w:r>
    </w:p>
    <w:p w14:paraId="2E7F01F8" w14:textId="02D4F5D9" w:rsidR="00C75A32" w:rsidRPr="00CC75B2" w:rsidRDefault="00CC75B2" w:rsidP="00CC75B2">
      <w:pPr>
        <w:spacing w:line="480" w:lineRule="auto"/>
        <w:ind w:left="720" w:hanging="360"/>
        <w:jc w:val="both"/>
        <w:rPr>
          <w:i/>
          <w:iCs/>
        </w:rPr>
      </w:pPr>
      <w:r w:rsidRPr="00B3070A">
        <w:rPr>
          <w:i/>
          <w:iCs/>
        </w:rPr>
        <w:t>3.</w:t>
      </w:r>
      <w:r w:rsidRPr="00B3070A">
        <w:rPr>
          <w:i/>
          <w:iCs/>
        </w:rPr>
        <w:tab/>
      </w:r>
      <w:r w:rsidR="00C75A32" w:rsidRPr="00CC75B2">
        <w:rPr>
          <w:i/>
          <w:iCs/>
        </w:rPr>
        <w:t xml:space="preserve">the </w:t>
      </w:r>
      <w:r w:rsidR="00E3729C" w:rsidRPr="00CC75B2">
        <w:rPr>
          <w:i/>
          <w:iCs/>
        </w:rPr>
        <w:t>A</w:t>
      </w:r>
      <w:r w:rsidR="00C75A32" w:rsidRPr="00CC75B2">
        <w:rPr>
          <w:i/>
          <w:iCs/>
        </w:rPr>
        <w:t>ct, which is a pre</w:t>
      </w:r>
      <w:r w:rsidR="00E3729C" w:rsidRPr="00CC75B2">
        <w:rPr>
          <w:i/>
          <w:iCs/>
        </w:rPr>
        <w:t>-C</w:t>
      </w:r>
      <w:r w:rsidR="00C75A32" w:rsidRPr="00CC75B2">
        <w:rPr>
          <w:i/>
          <w:iCs/>
        </w:rPr>
        <w:t>onstitutional statute, thus</w:t>
      </w:r>
      <w:r w:rsidR="00E3729C" w:rsidRPr="00CC75B2">
        <w:rPr>
          <w:i/>
          <w:iCs/>
        </w:rPr>
        <w:t>,</w:t>
      </w:r>
      <w:r w:rsidR="00C75A32" w:rsidRPr="00CC75B2">
        <w:rPr>
          <w:i/>
          <w:iCs/>
        </w:rPr>
        <w:t xml:space="preserve"> has the effect of extending </w:t>
      </w:r>
      <w:r w:rsidR="00E3729C" w:rsidRPr="00CC75B2">
        <w:rPr>
          <w:i/>
          <w:iCs/>
        </w:rPr>
        <w:t>the</w:t>
      </w:r>
      <w:r w:rsidR="00C75A32" w:rsidRPr="00CC75B2">
        <w:rPr>
          <w:i/>
          <w:iCs/>
        </w:rPr>
        <w:t xml:space="preserve"> terms of the </w:t>
      </w:r>
      <w:r w:rsidR="00E3729C" w:rsidRPr="00CC75B2">
        <w:rPr>
          <w:i/>
          <w:iCs/>
        </w:rPr>
        <w:t xml:space="preserve">Constitutional to categories of </w:t>
      </w:r>
      <w:r w:rsidR="00C75A32" w:rsidRPr="00CC75B2">
        <w:rPr>
          <w:i/>
          <w:iCs/>
        </w:rPr>
        <w:t xml:space="preserve">speech that the drafters of the </w:t>
      </w:r>
      <w:r w:rsidR="00E3729C" w:rsidRPr="00CC75B2">
        <w:rPr>
          <w:i/>
          <w:iCs/>
        </w:rPr>
        <w:t>C</w:t>
      </w:r>
      <w:r w:rsidR="00C75A32" w:rsidRPr="00CC75B2">
        <w:rPr>
          <w:i/>
          <w:iCs/>
        </w:rPr>
        <w:t>onstitution never intended to be included in the prohibited categories of speech</w:t>
      </w:r>
      <w:r w:rsidR="00E3729C" w:rsidRPr="00CC75B2">
        <w:rPr>
          <w:i/>
          <w:iCs/>
        </w:rPr>
        <w:t>:</w:t>
      </w:r>
    </w:p>
    <w:p w14:paraId="33C964FE" w14:textId="347657E3" w:rsidR="00C75A32" w:rsidRPr="00CC75B2" w:rsidRDefault="00CC75B2" w:rsidP="00CC75B2">
      <w:pPr>
        <w:spacing w:line="480" w:lineRule="auto"/>
        <w:ind w:left="720" w:hanging="360"/>
        <w:jc w:val="both"/>
        <w:rPr>
          <w:i/>
          <w:iCs/>
        </w:rPr>
      </w:pPr>
      <w:r w:rsidRPr="00B3070A">
        <w:rPr>
          <w:i/>
          <w:iCs/>
        </w:rPr>
        <w:t>4.</w:t>
      </w:r>
      <w:r w:rsidRPr="00B3070A">
        <w:rPr>
          <w:i/>
          <w:iCs/>
        </w:rPr>
        <w:tab/>
      </w:r>
      <w:r w:rsidR="00C75A32" w:rsidRPr="00CC75B2">
        <w:rPr>
          <w:i/>
          <w:iCs/>
        </w:rPr>
        <w:t xml:space="preserve">the </w:t>
      </w:r>
      <w:r w:rsidR="00E3729C" w:rsidRPr="00CC75B2">
        <w:rPr>
          <w:i/>
          <w:iCs/>
        </w:rPr>
        <w:t>A</w:t>
      </w:r>
      <w:r w:rsidR="00C75A32" w:rsidRPr="00CC75B2">
        <w:rPr>
          <w:i/>
          <w:iCs/>
        </w:rPr>
        <w:t xml:space="preserve">ct, which is subservient to the </w:t>
      </w:r>
      <w:r w:rsidR="00E3729C" w:rsidRPr="00CC75B2">
        <w:rPr>
          <w:i/>
          <w:iCs/>
        </w:rPr>
        <w:t>C</w:t>
      </w:r>
      <w:r w:rsidR="00C75A32" w:rsidRPr="00CC75B2">
        <w:rPr>
          <w:i/>
          <w:iCs/>
        </w:rPr>
        <w:t>onstitution, is, thus, unconstitutional to the extent that it is ultra vir</w:t>
      </w:r>
      <w:r w:rsidR="00E3729C" w:rsidRPr="00CC75B2">
        <w:rPr>
          <w:i/>
          <w:iCs/>
        </w:rPr>
        <w:t>e</w:t>
      </w:r>
      <w:r w:rsidR="00C75A32" w:rsidRPr="00CC75B2">
        <w:rPr>
          <w:i/>
          <w:iCs/>
        </w:rPr>
        <w:t xml:space="preserve">s the </w:t>
      </w:r>
      <w:r w:rsidR="00E3729C" w:rsidRPr="00CC75B2">
        <w:rPr>
          <w:i/>
          <w:iCs/>
        </w:rPr>
        <w:t>C</w:t>
      </w:r>
      <w:r w:rsidR="00C75A32" w:rsidRPr="00CC75B2">
        <w:rPr>
          <w:i/>
          <w:iCs/>
        </w:rPr>
        <w:t>onstitution</w:t>
      </w:r>
      <w:r w:rsidR="00E3729C" w:rsidRPr="00CC75B2">
        <w:rPr>
          <w:i/>
          <w:iCs/>
        </w:rPr>
        <w:t>.</w:t>
      </w:r>
    </w:p>
    <w:p w14:paraId="58F83834" w14:textId="77777777" w:rsidR="00D35845" w:rsidRDefault="00D35845" w:rsidP="00D35845">
      <w:pPr>
        <w:spacing w:line="480" w:lineRule="auto"/>
        <w:jc w:val="both"/>
        <w:rPr>
          <w:i/>
          <w:iCs/>
        </w:rPr>
      </w:pPr>
    </w:p>
    <w:p w14:paraId="700FA982" w14:textId="48755986" w:rsidR="00C75A32" w:rsidRPr="00D35845" w:rsidRDefault="006904F7" w:rsidP="00D35845">
      <w:pPr>
        <w:spacing w:line="480" w:lineRule="auto"/>
        <w:jc w:val="both"/>
        <w:rPr>
          <w:i/>
          <w:iCs/>
        </w:rPr>
      </w:pPr>
      <w:r w:rsidRPr="00D35845">
        <w:rPr>
          <w:i/>
          <w:iCs/>
        </w:rPr>
        <w:lastRenderedPageBreak/>
        <w:t>I</w:t>
      </w:r>
      <w:r w:rsidR="00C75A32" w:rsidRPr="00D35845">
        <w:rPr>
          <w:i/>
          <w:iCs/>
        </w:rPr>
        <w:t xml:space="preserve">n </w:t>
      </w:r>
      <w:r w:rsidRPr="00D35845">
        <w:rPr>
          <w:i/>
          <w:iCs/>
        </w:rPr>
        <w:t>particular, the</w:t>
      </w:r>
      <w:r w:rsidR="00C75A32" w:rsidRPr="00D35845">
        <w:rPr>
          <w:i/>
          <w:iCs/>
        </w:rPr>
        <w:t xml:space="preserve"> effect of the </w:t>
      </w:r>
      <w:r w:rsidRPr="00D35845">
        <w:rPr>
          <w:i/>
          <w:iCs/>
        </w:rPr>
        <w:t>A</w:t>
      </w:r>
      <w:r w:rsidR="00C75A32" w:rsidRPr="00D35845">
        <w:rPr>
          <w:i/>
          <w:iCs/>
        </w:rPr>
        <w:t>ct</w:t>
      </w:r>
      <w:r w:rsidRPr="00D35845">
        <w:rPr>
          <w:i/>
          <w:iCs/>
        </w:rPr>
        <w:t xml:space="preserve"> </w:t>
      </w:r>
      <w:r w:rsidR="00C75A32" w:rsidRPr="00D35845">
        <w:rPr>
          <w:i/>
          <w:iCs/>
        </w:rPr>
        <w:t xml:space="preserve">that it serves to limit speech in </w:t>
      </w:r>
      <w:proofErr w:type="spellStart"/>
      <w:r w:rsidR="00C75A32" w:rsidRPr="00D35845">
        <w:rPr>
          <w:i/>
          <w:iCs/>
        </w:rPr>
        <w:t>toto</w:t>
      </w:r>
      <w:proofErr w:type="spellEnd"/>
      <w:r w:rsidR="00C75A32" w:rsidRPr="00D35845">
        <w:rPr>
          <w:i/>
          <w:iCs/>
        </w:rPr>
        <w:t xml:space="preserve">, and not only where there is an imminent threat of </w:t>
      </w:r>
      <w:r w:rsidRPr="00D35845">
        <w:rPr>
          <w:i/>
          <w:iCs/>
        </w:rPr>
        <w:t xml:space="preserve">violence </w:t>
      </w:r>
      <w:r w:rsidR="00C75A32" w:rsidRPr="00D35845">
        <w:rPr>
          <w:i/>
          <w:iCs/>
        </w:rPr>
        <w:t xml:space="preserve">or harm. </w:t>
      </w:r>
      <w:r w:rsidRPr="00D35845">
        <w:rPr>
          <w:i/>
          <w:iCs/>
        </w:rPr>
        <w:t>T</w:t>
      </w:r>
      <w:r w:rsidR="00C75A32" w:rsidRPr="00D35845">
        <w:rPr>
          <w:i/>
          <w:iCs/>
        </w:rPr>
        <w:t>his means that no matter how academic or remote speech maybe</w:t>
      </w:r>
      <w:r w:rsidRPr="00D35845">
        <w:rPr>
          <w:i/>
          <w:iCs/>
        </w:rPr>
        <w:t>,</w:t>
      </w:r>
      <w:r w:rsidR="00C75A32" w:rsidRPr="00D35845">
        <w:rPr>
          <w:i/>
          <w:iCs/>
        </w:rPr>
        <w:t xml:space="preserve"> it is </w:t>
      </w:r>
      <w:r w:rsidRPr="00D35845">
        <w:rPr>
          <w:i/>
          <w:iCs/>
        </w:rPr>
        <w:t>susceptible</w:t>
      </w:r>
      <w:r w:rsidR="00C75A32" w:rsidRPr="00D35845">
        <w:rPr>
          <w:i/>
          <w:iCs/>
        </w:rPr>
        <w:t xml:space="preserve"> to be banned on account of the fact that the terms of the </w:t>
      </w:r>
      <w:r w:rsidRPr="00D35845">
        <w:rPr>
          <w:i/>
          <w:iCs/>
        </w:rPr>
        <w:t>A</w:t>
      </w:r>
      <w:r w:rsidR="00C75A32" w:rsidRPr="00D35845">
        <w:rPr>
          <w:i/>
          <w:iCs/>
        </w:rPr>
        <w:t>ct are overly inclusive.</w:t>
      </w:r>
    </w:p>
    <w:p w14:paraId="0DA1BFE6" w14:textId="457DF8DA" w:rsidR="00C75A32" w:rsidRPr="00CC75B2" w:rsidRDefault="00CC75B2" w:rsidP="00CC75B2">
      <w:pPr>
        <w:spacing w:line="480" w:lineRule="auto"/>
        <w:ind w:left="720" w:hanging="360"/>
        <w:jc w:val="both"/>
        <w:rPr>
          <w:i/>
          <w:iCs/>
        </w:rPr>
      </w:pPr>
      <w:r w:rsidRPr="00B3070A">
        <w:rPr>
          <w:i/>
          <w:iCs/>
        </w:rPr>
        <w:t>5.</w:t>
      </w:r>
      <w:r w:rsidRPr="00B3070A">
        <w:rPr>
          <w:i/>
          <w:iCs/>
        </w:rPr>
        <w:tab/>
      </w:r>
      <w:r w:rsidR="00C75A32" w:rsidRPr="00CC75B2">
        <w:rPr>
          <w:i/>
          <w:iCs/>
        </w:rPr>
        <w:t xml:space="preserve">The </w:t>
      </w:r>
      <w:r w:rsidR="00BE4781" w:rsidRPr="00CC75B2">
        <w:rPr>
          <w:i/>
          <w:iCs/>
        </w:rPr>
        <w:t>A</w:t>
      </w:r>
      <w:r w:rsidR="00C75A32" w:rsidRPr="00CC75B2">
        <w:rPr>
          <w:i/>
          <w:iCs/>
        </w:rPr>
        <w:t xml:space="preserve">ct, </w:t>
      </w:r>
      <w:r w:rsidR="00BE4781" w:rsidRPr="00CC75B2">
        <w:rPr>
          <w:i/>
          <w:iCs/>
        </w:rPr>
        <w:t>thus</w:t>
      </w:r>
      <w:r w:rsidR="00C75A32" w:rsidRPr="00CC75B2">
        <w:rPr>
          <w:i/>
          <w:iCs/>
        </w:rPr>
        <w:t>,</w:t>
      </w:r>
      <w:r w:rsidR="00BE4781" w:rsidRPr="00CC75B2">
        <w:rPr>
          <w:i/>
          <w:iCs/>
        </w:rPr>
        <w:t xml:space="preserve"> serves</w:t>
      </w:r>
      <w:r w:rsidR="00C75A32" w:rsidRPr="00CC75B2">
        <w:rPr>
          <w:i/>
          <w:iCs/>
        </w:rPr>
        <w:t xml:space="preserve"> to criminalise thoughts and ideas.</w:t>
      </w:r>
    </w:p>
    <w:p w14:paraId="314CE2DE" w14:textId="268D13E9" w:rsidR="00C75A32" w:rsidRPr="00CC75B2" w:rsidRDefault="00CC75B2" w:rsidP="00CC75B2">
      <w:pPr>
        <w:spacing w:line="480" w:lineRule="auto"/>
        <w:ind w:left="720" w:hanging="360"/>
        <w:jc w:val="both"/>
        <w:rPr>
          <w:i/>
          <w:iCs/>
        </w:rPr>
      </w:pPr>
      <w:r w:rsidRPr="00B3070A">
        <w:rPr>
          <w:i/>
          <w:iCs/>
        </w:rPr>
        <w:t>6.</w:t>
      </w:r>
      <w:r w:rsidRPr="00B3070A">
        <w:rPr>
          <w:i/>
          <w:iCs/>
        </w:rPr>
        <w:tab/>
      </w:r>
      <w:r w:rsidR="00BE4781" w:rsidRPr="00CC75B2">
        <w:rPr>
          <w:i/>
          <w:iCs/>
        </w:rPr>
        <w:t>T</w:t>
      </w:r>
      <w:r w:rsidR="00C75A32" w:rsidRPr="00CC75B2">
        <w:rPr>
          <w:i/>
          <w:iCs/>
        </w:rPr>
        <w:t xml:space="preserve">he </w:t>
      </w:r>
      <w:r w:rsidR="00BE4781" w:rsidRPr="00CC75B2">
        <w:rPr>
          <w:i/>
          <w:iCs/>
        </w:rPr>
        <w:t>A</w:t>
      </w:r>
      <w:r w:rsidR="00C75A32" w:rsidRPr="00CC75B2">
        <w:rPr>
          <w:i/>
          <w:iCs/>
        </w:rPr>
        <w:t>ct does not survive a limitations cl</w:t>
      </w:r>
      <w:r w:rsidR="00BE4781" w:rsidRPr="00CC75B2">
        <w:rPr>
          <w:i/>
          <w:iCs/>
        </w:rPr>
        <w:t>au</w:t>
      </w:r>
      <w:r w:rsidR="00C75A32" w:rsidRPr="00CC75B2">
        <w:rPr>
          <w:i/>
          <w:iCs/>
        </w:rPr>
        <w:t xml:space="preserve">se type test </w:t>
      </w:r>
      <w:r w:rsidR="00BE4781" w:rsidRPr="00CC75B2">
        <w:rPr>
          <w:i/>
          <w:iCs/>
        </w:rPr>
        <w:t>(</w:t>
      </w:r>
      <w:r w:rsidR="00C75A32" w:rsidRPr="00CC75B2">
        <w:rPr>
          <w:i/>
          <w:iCs/>
        </w:rPr>
        <w:t xml:space="preserve">as contained in section 36 of the </w:t>
      </w:r>
      <w:r w:rsidR="001A46D1" w:rsidRPr="00CC75B2">
        <w:rPr>
          <w:i/>
          <w:iCs/>
        </w:rPr>
        <w:t>C</w:t>
      </w:r>
      <w:r w:rsidR="00C75A32" w:rsidRPr="00CC75B2">
        <w:rPr>
          <w:i/>
          <w:iCs/>
        </w:rPr>
        <w:t>onstitution]</w:t>
      </w:r>
      <w:r w:rsidR="001756AB" w:rsidRPr="00CC75B2">
        <w:rPr>
          <w:i/>
          <w:iCs/>
        </w:rPr>
        <w:t>.</w:t>
      </w:r>
    </w:p>
    <w:p w14:paraId="67B66CA0" w14:textId="73D493A9" w:rsidR="001756AB" w:rsidRPr="001C30A5" w:rsidRDefault="00CC75B2" w:rsidP="00CC75B2">
      <w:pPr>
        <w:spacing w:line="480" w:lineRule="auto"/>
        <w:ind w:left="720" w:hanging="360"/>
        <w:jc w:val="both"/>
      </w:pPr>
      <w:r w:rsidRPr="001C30A5">
        <w:t>7.</w:t>
      </w:r>
      <w:r w:rsidRPr="001C30A5">
        <w:tab/>
      </w:r>
      <w:r w:rsidR="001756AB" w:rsidRPr="00CC75B2">
        <w:rPr>
          <w:i/>
          <w:iCs/>
        </w:rPr>
        <w:t>Thus, any factual finding</w:t>
      </w:r>
      <w:r w:rsidR="001A46D1" w:rsidRPr="00CC75B2">
        <w:rPr>
          <w:i/>
          <w:iCs/>
        </w:rPr>
        <w:t>s</w:t>
      </w:r>
      <w:r w:rsidR="001756AB" w:rsidRPr="00CC75B2">
        <w:rPr>
          <w:i/>
          <w:iCs/>
        </w:rPr>
        <w:t xml:space="preserve"> that speech </w:t>
      </w:r>
      <w:r w:rsidR="001A46D1" w:rsidRPr="00CC75B2">
        <w:rPr>
          <w:i/>
          <w:iCs/>
        </w:rPr>
        <w:t xml:space="preserve">uttered </w:t>
      </w:r>
      <w:r w:rsidR="001756AB" w:rsidRPr="00CC75B2">
        <w:rPr>
          <w:i/>
          <w:iCs/>
        </w:rPr>
        <w:t xml:space="preserve">by </w:t>
      </w:r>
      <w:r w:rsidR="001A46D1" w:rsidRPr="00CC75B2">
        <w:rPr>
          <w:i/>
          <w:iCs/>
        </w:rPr>
        <w:t xml:space="preserve">or conduct </w:t>
      </w:r>
      <w:r w:rsidR="001756AB" w:rsidRPr="00CC75B2">
        <w:rPr>
          <w:i/>
          <w:iCs/>
        </w:rPr>
        <w:t xml:space="preserve">attributable to the applicants is patently incorrect. There is no legal basis, on the facts pleaded, to prohibit such speech. </w:t>
      </w:r>
      <w:r w:rsidR="001A46D1" w:rsidRPr="00CC75B2">
        <w:rPr>
          <w:i/>
          <w:iCs/>
        </w:rPr>
        <w:t>T</w:t>
      </w:r>
      <w:r w:rsidR="001756AB" w:rsidRPr="00CC75B2">
        <w:rPr>
          <w:i/>
          <w:iCs/>
        </w:rPr>
        <w:t xml:space="preserve">here was/is not imminent </w:t>
      </w:r>
      <w:r w:rsidR="00B3070A" w:rsidRPr="00CC75B2">
        <w:rPr>
          <w:i/>
          <w:iCs/>
        </w:rPr>
        <w:t>harm,</w:t>
      </w:r>
      <w:r w:rsidR="001756AB" w:rsidRPr="00CC75B2">
        <w:rPr>
          <w:i/>
          <w:iCs/>
        </w:rPr>
        <w:t xml:space="preserve"> and the respondents were in no way targeted as the</w:t>
      </w:r>
      <w:r w:rsidR="001756AB" w:rsidRPr="001756AB">
        <w:t xml:space="preserve"> </w:t>
      </w:r>
      <w:r w:rsidR="001756AB" w:rsidRPr="00CC75B2">
        <w:rPr>
          <w:i/>
          <w:iCs/>
        </w:rPr>
        <w:t>subjects of unlawful conduct</w:t>
      </w:r>
      <w:r w:rsidR="00B3070A" w:rsidRPr="00CC75B2">
        <w:rPr>
          <w:i/>
          <w:iCs/>
        </w:rPr>
        <w:t>."</w:t>
      </w:r>
    </w:p>
    <w:p w14:paraId="0F9E219D" w14:textId="77777777" w:rsidR="001C30A5" w:rsidRPr="00CE601F" w:rsidRDefault="001C30A5" w:rsidP="001C30A5">
      <w:pPr>
        <w:spacing w:line="480" w:lineRule="auto"/>
        <w:jc w:val="both"/>
      </w:pPr>
    </w:p>
    <w:p w14:paraId="31CCF46E" w14:textId="0AAA446F" w:rsidR="00CE601F" w:rsidRDefault="00CE601F" w:rsidP="00CE601F">
      <w:pPr>
        <w:spacing w:line="480" w:lineRule="auto"/>
        <w:jc w:val="both"/>
      </w:pPr>
      <w:r w:rsidRPr="00CE601F">
        <w:t>From the stage of the application for leave to appea</w:t>
      </w:r>
      <w:r>
        <w:t>l</w:t>
      </w:r>
      <w:r w:rsidR="003A255A">
        <w:t>,</w:t>
      </w:r>
      <w:r w:rsidRPr="00CE601F">
        <w:t xml:space="preserve"> the </w:t>
      </w:r>
      <w:r>
        <w:t>R</w:t>
      </w:r>
      <w:r w:rsidRPr="00CE601F">
        <w:t>espondent</w:t>
      </w:r>
      <w:r>
        <w:t>s’</w:t>
      </w:r>
      <w:r w:rsidRPr="00CE601F">
        <w:t xml:space="preserve"> </w:t>
      </w:r>
      <w:r>
        <w:t xml:space="preserve">attorneys </w:t>
      </w:r>
      <w:r w:rsidRPr="00CE601F">
        <w:t xml:space="preserve">were </w:t>
      </w:r>
      <w:r>
        <w:t>Ian Levitt Attorneys. T</w:t>
      </w:r>
      <w:r w:rsidRPr="00CE601F">
        <w:t>he application for le</w:t>
      </w:r>
      <w:r w:rsidR="003A255A">
        <w:t>ave</w:t>
      </w:r>
      <w:r w:rsidRPr="00CE601F">
        <w:t xml:space="preserve"> </w:t>
      </w:r>
      <w:r w:rsidR="003A255A">
        <w:t xml:space="preserve">to </w:t>
      </w:r>
      <w:r w:rsidRPr="00CE601F">
        <w:t xml:space="preserve">appeal was accompanied by an </w:t>
      </w:r>
      <w:r>
        <w:t xml:space="preserve">affidavit </w:t>
      </w:r>
      <w:r w:rsidR="003A255A">
        <w:t>by</w:t>
      </w:r>
      <w:r w:rsidRPr="00CE601F">
        <w:t xml:space="preserve"> a certain </w:t>
      </w:r>
      <w:proofErr w:type="spellStart"/>
      <w:r w:rsidRPr="00CE601F">
        <w:t>Angeli</w:t>
      </w:r>
      <w:r>
        <w:t>k</w:t>
      </w:r>
      <w:r w:rsidRPr="00CE601F">
        <w:t>e</w:t>
      </w:r>
      <w:proofErr w:type="spellEnd"/>
      <w:r w:rsidRPr="00CE601F">
        <w:t xml:space="preserve"> </w:t>
      </w:r>
      <w:proofErr w:type="spellStart"/>
      <w:r>
        <w:t>C</w:t>
      </w:r>
      <w:r w:rsidRPr="00CE601F">
        <w:t>ha</w:t>
      </w:r>
      <w:r>
        <w:t>ralambous</w:t>
      </w:r>
      <w:proofErr w:type="spellEnd"/>
      <w:r>
        <w:t xml:space="preserve"> </w:t>
      </w:r>
      <w:r w:rsidRPr="00CE601F">
        <w:t xml:space="preserve">which </w:t>
      </w:r>
      <w:r>
        <w:t>served as the founding affidavit for</w:t>
      </w:r>
      <w:r w:rsidRPr="00CE601F">
        <w:t xml:space="preserve"> </w:t>
      </w:r>
      <w:r w:rsidR="00FA7289">
        <w:t>a</w:t>
      </w:r>
      <w:r w:rsidRPr="00CE601F">
        <w:t xml:space="preserve">n application for condonation </w:t>
      </w:r>
      <w:r w:rsidR="00FA7289">
        <w:t xml:space="preserve">for the late filing of the application for leave to appeal. </w:t>
      </w:r>
    </w:p>
    <w:p w14:paraId="41E55775" w14:textId="77777777" w:rsidR="001C30A5" w:rsidRDefault="001C30A5" w:rsidP="00CE601F">
      <w:pPr>
        <w:spacing w:line="480" w:lineRule="auto"/>
        <w:jc w:val="both"/>
      </w:pPr>
    </w:p>
    <w:p w14:paraId="60E2FEBD" w14:textId="11F54E54" w:rsidR="00DF297D" w:rsidRDefault="003A255A" w:rsidP="00CE601F">
      <w:pPr>
        <w:spacing w:line="480" w:lineRule="auto"/>
        <w:jc w:val="both"/>
        <w:rPr>
          <w:b/>
          <w:bCs/>
        </w:rPr>
      </w:pPr>
      <w:r>
        <w:t>[15] O</w:t>
      </w:r>
      <w:r w:rsidRPr="003A255A">
        <w:t>n an</w:t>
      </w:r>
      <w:r>
        <w:t xml:space="preserve"> </w:t>
      </w:r>
      <w:r w:rsidR="001069FB">
        <w:t xml:space="preserve">unknown </w:t>
      </w:r>
      <w:r w:rsidRPr="003A255A">
        <w:t>d</w:t>
      </w:r>
      <w:r>
        <w:t>ate</w:t>
      </w:r>
      <w:r w:rsidR="001069FB">
        <w:t>,</w:t>
      </w:r>
      <w:r w:rsidRPr="003A255A">
        <w:t xml:space="preserve"> </w:t>
      </w:r>
      <w:r>
        <w:t>the R</w:t>
      </w:r>
      <w:r w:rsidRPr="003A255A">
        <w:t>espondent</w:t>
      </w:r>
      <w:r>
        <w:t>s</w:t>
      </w:r>
      <w:r w:rsidRPr="003A255A">
        <w:t xml:space="preserve"> sought reasons in terms of </w:t>
      </w:r>
      <w:r>
        <w:t xml:space="preserve">Rule 49 </w:t>
      </w:r>
      <w:r w:rsidRPr="003A255A">
        <w:t xml:space="preserve">of the </w:t>
      </w:r>
      <w:r>
        <w:t>U</w:t>
      </w:r>
      <w:r w:rsidRPr="003A255A">
        <w:t xml:space="preserve">niform </w:t>
      </w:r>
      <w:r>
        <w:t>R</w:t>
      </w:r>
      <w:r w:rsidRPr="003A255A">
        <w:t xml:space="preserve">ules of </w:t>
      </w:r>
      <w:r w:rsidR="00490866">
        <w:t>C</w:t>
      </w:r>
      <w:r w:rsidRPr="003A255A">
        <w:t xml:space="preserve">ourt for the order of </w:t>
      </w:r>
      <w:r>
        <w:t>7</w:t>
      </w:r>
      <w:r w:rsidRPr="003A255A">
        <w:t xml:space="preserve"> March 2017</w:t>
      </w:r>
      <w:r>
        <w:t>. T</w:t>
      </w:r>
      <w:r w:rsidRPr="003A255A">
        <w:t xml:space="preserve">he reasons </w:t>
      </w:r>
      <w:r w:rsidR="003E3395">
        <w:t>for the order were</w:t>
      </w:r>
      <w:r w:rsidRPr="003A255A">
        <w:t xml:space="preserve"> not forthcoming. That however, as shown above, did not deter the </w:t>
      </w:r>
      <w:r w:rsidR="003E3395">
        <w:t>R</w:t>
      </w:r>
      <w:r w:rsidRPr="003A255A">
        <w:t xml:space="preserve">espondents from proceeding with </w:t>
      </w:r>
      <w:r w:rsidR="009C1CC4">
        <w:t>the</w:t>
      </w:r>
      <w:r w:rsidRPr="003A255A">
        <w:t xml:space="preserve"> appeal. But </w:t>
      </w:r>
      <w:r w:rsidR="008A6802">
        <w:t xml:space="preserve">for </w:t>
      </w:r>
      <w:r w:rsidRPr="003A255A">
        <w:t>the reasons that I now turn to</w:t>
      </w:r>
      <w:r w:rsidR="008A6802">
        <w:t>,</w:t>
      </w:r>
      <w:r w:rsidRPr="003A255A">
        <w:t xml:space="preserve"> the </w:t>
      </w:r>
      <w:r w:rsidR="008A6802">
        <w:t>R</w:t>
      </w:r>
      <w:r w:rsidRPr="003A255A">
        <w:t>espondents hold</w:t>
      </w:r>
      <w:r w:rsidR="008A6802">
        <w:t xml:space="preserve"> the view</w:t>
      </w:r>
      <w:r w:rsidRPr="003A255A">
        <w:t>, and it was so submitted on their behalf</w:t>
      </w:r>
      <w:r w:rsidR="00490866">
        <w:t xml:space="preserve"> by their counsel</w:t>
      </w:r>
      <w:r w:rsidRPr="003A255A">
        <w:t>, that the court should gran</w:t>
      </w:r>
      <w:r w:rsidR="00490866">
        <w:t>t</w:t>
      </w:r>
      <w:r w:rsidRPr="003A255A">
        <w:t xml:space="preserve"> leave to appea</w:t>
      </w:r>
      <w:r w:rsidR="008A6802">
        <w:t>l as another court seized with the facts of this matter, will decide it differently</w:t>
      </w:r>
      <w:r w:rsidRPr="003A255A">
        <w:t>.</w:t>
      </w:r>
      <w:r w:rsidR="001069FB">
        <w:t xml:space="preserve"> </w:t>
      </w:r>
    </w:p>
    <w:p w14:paraId="126CFE7F" w14:textId="77777777" w:rsidR="00DF297D" w:rsidRDefault="00DF297D" w:rsidP="00CE601F">
      <w:pPr>
        <w:spacing w:line="480" w:lineRule="auto"/>
        <w:jc w:val="both"/>
        <w:rPr>
          <w:b/>
          <w:bCs/>
        </w:rPr>
      </w:pPr>
    </w:p>
    <w:p w14:paraId="42226A3B" w14:textId="7A6BFEB0" w:rsidR="00DF297D" w:rsidRDefault="00DF297D" w:rsidP="00CE601F">
      <w:pPr>
        <w:spacing w:line="480" w:lineRule="auto"/>
        <w:jc w:val="both"/>
        <w:rPr>
          <w:b/>
          <w:bCs/>
          <w:u w:val="single"/>
        </w:rPr>
      </w:pPr>
      <w:r w:rsidRPr="00DF297D">
        <w:rPr>
          <w:b/>
          <w:bCs/>
          <w:u w:val="single"/>
        </w:rPr>
        <w:t>THE RESPONDENTS’ CASE</w:t>
      </w:r>
    </w:p>
    <w:p w14:paraId="1C169AC1" w14:textId="77777777" w:rsidR="00DF297D" w:rsidRPr="00DF297D" w:rsidRDefault="00DF297D" w:rsidP="00CE601F">
      <w:pPr>
        <w:spacing w:line="480" w:lineRule="auto"/>
        <w:jc w:val="both"/>
        <w:rPr>
          <w:b/>
          <w:bCs/>
          <w:u w:val="single"/>
        </w:rPr>
      </w:pPr>
    </w:p>
    <w:p w14:paraId="6143BEA0" w14:textId="650B0164" w:rsidR="001069FB" w:rsidRDefault="001069FB" w:rsidP="00CE601F">
      <w:pPr>
        <w:spacing w:line="480" w:lineRule="auto"/>
        <w:jc w:val="both"/>
      </w:pPr>
      <w:r>
        <w:t xml:space="preserve">[16] </w:t>
      </w:r>
      <w:r w:rsidR="009616EC">
        <w:t>I</w:t>
      </w:r>
      <w:r w:rsidR="00DF297D" w:rsidRPr="00DF297D">
        <w:t xml:space="preserve">t is the </w:t>
      </w:r>
      <w:r w:rsidR="009616EC">
        <w:t>R</w:t>
      </w:r>
      <w:r w:rsidR="00DF297D" w:rsidRPr="00DF297D">
        <w:t>espondents</w:t>
      </w:r>
      <w:r w:rsidR="009616EC">
        <w:t>’</w:t>
      </w:r>
      <w:r w:rsidR="00DF297D" w:rsidRPr="00DF297D">
        <w:t xml:space="preserve"> case that in the main application the </w:t>
      </w:r>
      <w:r w:rsidR="009616EC">
        <w:t>A</w:t>
      </w:r>
      <w:r w:rsidR="00DF297D" w:rsidRPr="00DF297D">
        <w:t>pplicants sought a final interdict that was a</w:t>
      </w:r>
      <w:r w:rsidR="009616EC">
        <w:t>nchored on the ‘</w:t>
      </w:r>
      <w:r w:rsidR="00DF297D" w:rsidRPr="00DF297D">
        <w:t>clear right</w:t>
      </w:r>
      <w:r w:rsidR="009616EC">
        <w:t>’</w:t>
      </w:r>
      <w:r w:rsidR="00DF297D" w:rsidRPr="00DF297D">
        <w:t xml:space="preserve"> created by the combined operation of section 18 </w:t>
      </w:r>
      <w:r w:rsidR="009616EC">
        <w:t xml:space="preserve">(2) (b) </w:t>
      </w:r>
      <w:r w:rsidR="00DF297D" w:rsidRPr="00DF297D">
        <w:t xml:space="preserve">of the </w:t>
      </w:r>
      <w:r w:rsidR="009616EC">
        <w:t>R</w:t>
      </w:r>
      <w:r w:rsidR="00DF297D" w:rsidRPr="00DF297D">
        <w:t xml:space="preserve">iotous </w:t>
      </w:r>
      <w:r w:rsidR="009616EC">
        <w:t>A</w:t>
      </w:r>
      <w:r w:rsidR="00DF297D" w:rsidRPr="00DF297D">
        <w:t xml:space="preserve">ssemblies </w:t>
      </w:r>
      <w:r w:rsidR="009616EC">
        <w:t>A</w:t>
      </w:r>
      <w:r w:rsidR="00DF297D" w:rsidRPr="00DF297D">
        <w:t>ct 17 of 1956</w:t>
      </w:r>
      <w:r w:rsidR="00792C81">
        <w:t xml:space="preserve"> (</w:t>
      </w:r>
      <w:r w:rsidR="001D652B">
        <w:t xml:space="preserve">s </w:t>
      </w:r>
      <w:r w:rsidR="00792C81">
        <w:t>18(2) (b))</w:t>
      </w:r>
      <w:r w:rsidR="00DF297D" w:rsidRPr="00DF297D">
        <w:t xml:space="preserve"> and section </w:t>
      </w:r>
      <w:r w:rsidR="009616EC">
        <w:t>1(1)</w:t>
      </w:r>
      <w:r w:rsidR="00DF297D" w:rsidRPr="00DF297D">
        <w:t xml:space="preserve"> o</w:t>
      </w:r>
      <w:r w:rsidR="009616EC">
        <w:t>f</w:t>
      </w:r>
      <w:r w:rsidR="00DF297D" w:rsidRPr="00DF297D">
        <w:t xml:space="preserve"> </w:t>
      </w:r>
      <w:r w:rsidR="009616EC">
        <w:t>the T</w:t>
      </w:r>
      <w:r w:rsidR="00DF297D" w:rsidRPr="00DF297D">
        <w:t xml:space="preserve">respass </w:t>
      </w:r>
      <w:r w:rsidR="009616EC">
        <w:t>A</w:t>
      </w:r>
      <w:r w:rsidR="00DF297D" w:rsidRPr="00DF297D">
        <w:t>ct</w:t>
      </w:r>
      <w:r w:rsidR="0068591D">
        <w:t xml:space="preserve"> 6</w:t>
      </w:r>
      <w:r w:rsidR="00792C81">
        <w:t xml:space="preserve"> of</w:t>
      </w:r>
      <w:r w:rsidR="00DF297D" w:rsidRPr="00DF297D">
        <w:t xml:space="preserve"> 1959</w:t>
      </w:r>
      <w:r w:rsidR="00792C81">
        <w:t xml:space="preserve"> (the TA)</w:t>
      </w:r>
      <w:r w:rsidR="00DF297D" w:rsidRPr="00DF297D">
        <w:t>.</w:t>
      </w:r>
      <w:r w:rsidR="00DF297D">
        <w:t xml:space="preserve"> </w:t>
      </w:r>
      <w:r w:rsidR="00DF297D" w:rsidRPr="00DF297D">
        <w:t xml:space="preserve">According to counsel for the </w:t>
      </w:r>
      <w:r w:rsidR="003E4871">
        <w:t>R</w:t>
      </w:r>
      <w:r w:rsidR="00DF297D" w:rsidRPr="00DF297D">
        <w:t>espondent</w:t>
      </w:r>
      <w:r w:rsidR="003E4871">
        <w:t>s</w:t>
      </w:r>
      <w:r w:rsidR="00DF297D" w:rsidRPr="00DF297D">
        <w:t xml:space="preserve"> section </w:t>
      </w:r>
      <w:r w:rsidR="003E4871">
        <w:t>1</w:t>
      </w:r>
      <w:r w:rsidR="00DF297D" w:rsidRPr="00DF297D">
        <w:t>8</w:t>
      </w:r>
      <w:r w:rsidR="003E4871">
        <w:t xml:space="preserve">(2)(b) </w:t>
      </w:r>
      <w:r w:rsidR="00DF297D" w:rsidRPr="00DF297D">
        <w:t>provide</w:t>
      </w:r>
      <w:r w:rsidR="00AB54C7">
        <w:t>d, in its original formulation,</w:t>
      </w:r>
      <w:r w:rsidR="00DF297D" w:rsidRPr="00DF297D">
        <w:t xml:space="preserve"> </w:t>
      </w:r>
      <w:r w:rsidR="00AB54C7">
        <w:t>a</w:t>
      </w:r>
      <w:r w:rsidR="00DF297D" w:rsidRPr="00DF297D">
        <w:t>s follows</w:t>
      </w:r>
      <w:r w:rsidR="00DF297D">
        <w:t>:</w:t>
      </w:r>
    </w:p>
    <w:p w14:paraId="38BBA9EB" w14:textId="05035B66" w:rsidR="00DF297D" w:rsidRPr="00AB54C7" w:rsidRDefault="00DF297D" w:rsidP="00CE601F">
      <w:pPr>
        <w:spacing w:line="480" w:lineRule="auto"/>
        <w:jc w:val="both"/>
        <w:rPr>
          <w:i/>
          <w:iCs/>
        </w:rPr>
      </w:pPr>
      <w:r>
        <w:t>“</w:t>
      </w:r>
      <w:r w:rsidR="00AB54C7" w:rsidRPr="00AB54C7">
        <w:rPr>
          <w:i/>
          <w:iCs/>
        </w:rPr>
        <w:t>An</w:t>
      </w:r>
      <w:r w:rsidRPr="00AB54C7">
        <w:rPr>
          <w:i/>
          <w:iCs/>
        </w:rPr>
        <w:t>y person who</w:t>
      </w:r>
      <w:r w:rsidR="00AB54C7" w:rsidRPr="00AB54C7">
        <w:rPr>
          <w:i/>
          <w:iCs/>
        </w:rPr>
        <w:t>-</w:t>
      </w:r>
    </w:p>
    <w:p w14:paraId="2F3BC363" w14:textId="05C77FC0" w:rsidR="00DF297D" w:rsidRPr="00AB54C7" w:rsidRDefault="00DF297D" w:rsidP="00CE601F">
      <w:pPr>
        <w:spacing w:line="480" w:lineRule="auto"/>
        <w:jc w:val="both"/>
        <w:rPr>
          <w:i/>
          <w:iCs/>
        </w:rPr>
      </w:pPr>
      <w:r w:rsidRPr="00AB54C7">
        <w:rPr>
          <w:i/>
          <w:iCs/>
        </w:rPr>
        <w:t xml:space="preserve">(b) incites, instigates, </w:t>
      </w:r>
      <w:r w:rsidR="00FE14A0" w:rsidRPr="00AB54C7">
        <w:rPr>
          <w:i/>
          <w:iCs/>
        </w:rPr>
        <w:t>commands,</w:t>
      </w:r>
      <w:r w:rsidRPr="00AB54C7">
        <w:rPr>
          <w:i/>
          <w:iCs/>
        </w:rPr>
        <w:t xml:space="preserve"> or procures another person to commit,</w:t>
      </w:r>
    </w:p>
    <w:p w14:paraId="49A304B2" w14:textId="6AEB3C16" w:rsidR="00DF297D" w:rsidRPr="00AB54C7" w:rsidRDefault="00DF297D" w:rsidP="00CE601F">
      <w:pPr>
        <w:spacing w:line="480" w:lineRule="auto"/>
        <w:jc w:val="both"/>
        <w:rPr>
          <w:i/>
          <w:iCs/>
        </w:rPr>
      </w:pPr>
      <w:r w:rsidRPr="00AB54C7">
        <w:rPr>
          <w:i/>
          <w:iCs/>
        </w:rPr>
        <w:t>any offence whether at common law or against a statute or statutory regulation, shall be guilty of an offence and liable on conviction for punishment to which a person convicted of actually committing that offence would be liable.”</w:t>
      </w:r>
    </w:p>
    <w:p w14:paraId="5D6D1053" w14:textId="7C650B96" w:rsidR="00DF297D" w:rsidRDefault="00DF297D" w:rsidP="00CE601F">
      <w:pPr>
        <w:spacing w:line="480" w:lineRule="auto"/>
        <w:jc w:val="both"/>
      </w:pPr>
      <w:r w:rsidRPr="00DF297D">
        <w:t xml:space="preserve">This section </w:t>
      </w:r>
      <w:r w:rsidR="009879DD">
        <w:t>quite</w:t>
      </w:r>
      <w:r w:rsidRPr="00DF297D">
        <w:t xml:space="preserve"> obviously create</w:t>
      </w:r>
      <w:r w:rsidR="009879DD">
        <w:t>d</w:t>
      </w:r>
      <w:r w:rsidRPr="00DF297D">
        <w:t xml:space="preserve"> a prohibition against </w:t>
      </w:r>
      <w:r>
        <w:t>incitement.</w:t>
      </w:r>
    </w:p>
    <w:p w14:paraId="66544E04" w14:textId="3B057217" w:rsidR="00DF297D" w:rsidRDefault="009879DD" w:rsidP="00CE601F">
      <w:pPr>
        <w:spacing w:line="480" w:lineRule="auto"/>
        <w:jc w:val="both"/>
      </w:pPr>
      <w:r>
        <w:t>A</w:t>
      </w:r>
      <w:r w:rsidR="00DF297D" w:rsidRPr="00DF297D">
        <w:t xml:space="preserve">t the time </w:t>
      </w:r>
      <w:r>
        <w:t>s</w:t>
      </w:r>
      <w:r w:rsidR="00DF297D" w:rsidRPr="00DF297D">
        <w:t xml:space="preserve"> 1</w:t>
      </w:r>
      <w:r w:rsidR="00E17982">
        <w:t xml:space="preserve">(1) </w:t>
      </w:r>
      <w:r w:rsidR="00DF297D" w:rsidRPr="00DF297D">
        <w:t>o</w:t>
      </w:r>
      <w:r w:rsidR="00E17982">
        <w:t>f the TA</w:t>
      </w:r>
      <w:r w:rsidR="00792C81">
        <w:t xml:space="preserve"> </w:t>
      </w:r>
      <w:r w:rsidR="00D50526" w:rsidRPr="00DF297D">
        <w:t>provided</w:t>
      </w:r>
      <w:r w:rsidR="00DF297D" w:rsidRPr="00DF297D">
        <w:t xml:space="preserve"> as follows</w:t>
      </w:r>
      <w:r w:rsidR="00DF297D">
        <w:t>:</w:t>
      </w:r>
    </w:p>
    <w:p w14:paraId="00578BBB" w14:textId="23BA786A" w:rsidR="00DF297D" w:rsidRPr="00D50526" w:rsidRDefault="00DF297D" w:rsidP="00CE601F">
      <w:pPr>
        <w:spacing w:line="480" w:lineRule="auto"/>
        <w:jc w:val="both"/>
        <w:rPr>
          <w:i/>
          <w:iCs/>
        </w:rPr>
      </w:pPr>
      <w:r w:rsidRPr="00D50526">
        <w:rPr>
          <w:i/>
          <w:iCs/>
        </w:rPr>
        <w:t>“</w:t>
      </w:r>
      <w:r w:rsidR="00E17982" w:rsidRPr="00D50526">
        <w:rPr>
          <w:i/>
          <w:iCs/>
        </w:rPr>
        <w:t>Any</w:t>
      </w:r>
      <w:r w:rsidRPr="00D50526">
        <w:rPr>
          <w:i/>
          <w:iCs/>
        </w:rPr>
        <w:t xml:space="preserve"> person who without permission-</w:t>
      </w:r>
    </w:p>
    <w:p w14:paraId="217C08DF" w14:textId="6CE8C94B" w:rsidR="00DF297D" w:rsidRPr="00CC75B2" w:rsidRDefault="00CC75B2" w:rsidP="00CC75B2">
      <w:pPr>
        <w:spacing w:line="480" w:lineRule="auto"/>
        <w:ind w:left="720" w:hanging="360"/>
        <w:jc w:val="both"/>
        <w:rPr>
          <w:i/>
          <w:iCs/>
        </w:rPr>
      </w:pPr>
      <w:r w:rsidRPr="00D50526">
        <w:rPr>
          <w:i/>
          <w:iCs/>
        </w:rPr>
        <w:t>(a)</w:t>
      </w:r>
      <w:r w:rsidRPr="00D50526">
        <w:rPr>
          <w:i/>
          <w:iCs/>
        </w:rPr>
        <w:tab/>
      </w:r>
      <w:r w:rsidR="00DF297D" w:rsidRPr="00CC75B2">
        <w:rPr>
          <w:i/>
          <w:iCs/>
        </w:rPr>
        <w:t xml:space="preserve">of the lawful occupier of any land or any building or part of </w:t>
      </w:r>
      <w:r w:rsidR="00E17982" w:rsidRPr="00CC75B2">
        <w:rPr>
          <w:i/>
          <w:iCs/>
        </w:rPr>
        <w:t>a</w:t>
      </w:r>
      <w:r w:rsidR="00DF297D" w:rsidRPr="00CC75B2">
        <w:rPr>
          <w:i/>
          <w:iCs/>
        </w:rPr>
        <w:t xml:space="preserve"> </w:t>
      </w:r>
      <w:r w:rsidR="00E17982" w:rsidRPr="00CC75B2">
        <w:rPr>
          <w:i/>
          <w:iCs/>
        </w:rPr>
        <w:t>building; or</w:t>
      </w:r>
    </w:p>
    <w:p w14:paraId="2A5EB566" w14:textId="6BAE89C2" w:rsidR="00DF297D" w:rsidRPr="00CC75B2" w:rsidRDefault="00CC75B2" w:rsidP="00CC75B2">
      <w:pPr>
        <w:spacing w:line="480" w:lineRule="auto"/>
        <w:ind w:left="720" w:hanging="360"/>
        <w:jc w:val="both"/>
        <w:rPr>
          <w:i/>
          <w:iCs/>
        </w:rPr>
      </w:pPr>
      <w:r w:rsidRPr="00D50526">
        <w:rPr>
          <w:i/>
          <w:iCs/>
        </w:rPr>
        <w:t>(b)</w:t>
      </w:r>
      <w:r w:rsidRPr="00D50526">
        <w:rPr>
          <w:i/>
          <w:iCs/>
        </w:rPr>
        <w:tab/>
      </w:r>
      <w:r w:rsidR="00DF297D" w:rsidRPr="00CC75B2">
        <w:rPr>
          <w:i/>
          <w:iCs/>
        </w:rPr>
        <w:t>of the owner or person in charge of any land or any building or part of the building that is not lawfully occupied by any person,</w:t>
      </w:r>
    </w:p>
    <w:p w14:paraId="60AF75E4" w14:textId="497D2E87" w:rsidR="00DF297D" w:rsidRDefault="00DF297D" w:rsidP="00E17982">
      <w:pPr>
        <w:spacing w:line="480" w:lineRule="auto"/>
        <w:ind w:left="720"/>
        <w:jc w:val="both"/>
      </w:pPr>
      <w:r w:rsidRPr="00D50526">
        <w:rPr>
          <w:i/>
          <w:iCs/>
        </w:rPr>
        <w:t>en</w:t>
      </w:r>
      <w:r w:rsidR="00E17982" w:rsidRPr="00D50526">
        <w:rPr>
          <w:i/>
          <w:iCs/>
        </w:rPr>
        <w:t xml:space="preserve">ters </w:t>
      </w:r>
      <w:r w:rsidRPr="00D50526">
        <w:rPr>
          <w:i/>
          <w:iCs/>
        </w:rPr>
        <w:t xml:space="preserve">or is upon such land or enters or </w:t>
      </w:r>
      <w:r w:rsidR="00F913E4" w:rsidRPr="00D50526">
        <w:rPr>
          <w:i/>
          <w:iCs/>
        </w:rPr>
        <w:t xml:space="preserve">is in </w:t>
      </w:r>
      <w:r w:rsidRPr="00D50526">
        <w:rPr>
          <w:i/>
          <w:iCs/>
        </w:rPr>
        <w:t xml:space="preserve">such building or part of a building, shall be guilty of an offence unless </w:t>
      </w:r>
      <w:r w:rsidR="00F913E4" w:rsidRPr="00D50526">
        <w:rPr>
          <w:i/>
          <w:iCs/>
        </w:rPr>
        <w:t>he has</w:t>
      </w:r>
      <w:r w:rsidRPr="00D50526">
        <w:rPr>
          <w:i/>
          <w:iCs/>
        </w:rPr>
        <w:t xml:space="preserve"> lawful reason to enter or be upon such land or enter or be in such building or part of a building.”</w:t>
      </w:r>
    </w:p>
    <w:p w14:paraId="43F4F037" w14:textId="23BC3BCE" w:rsidR="00DF297D" w:rsidRDefault="00D50526" w:rsidP="00DF297D">
      <w:pPr>
        <w:spacing w:line="480" w:lineRule="auto"/>
        <w:jc w:val="both"/>
      </w:pPr>
      <w:r>
        <w:t>T</w:t>
      </w:r>
      <w:r w:rsidR="00DF297D" w:rsidRPr="00DF297D">
        <w:t>his subsection create</w:t>
      </w:r>
      <w:r>
        <w:t>d</w:t>
      </w:r>
      <w:r w:rsidR="00DF297D" w:rsidRPr="00DF297D">
        <w:t xml:space="preserve"> the crime of </w:t>
      </w:r>
      <w:r w:rsidRPr="00DF297D">
        <w:t>trespassing</w:t>
      </w:r>
      <w:r>
        <w:t>.</w:t>
      </w:r>
      <w:r w:rsidR="00DF297D" w:rsidRPr="00DF297D">
        <w:t xml:space="preserve"> These two sections</w:t>
      </w:r>
      <w:r>
        <w:t>,</w:t>
      </w:r>
      <w:r w:rsidR="00DF297D" w:rsidRPr="00DF297D">
        <w:t xml:space="preserve"> in other words</w:t>
      </w:r>
      <w:r>
        <w:t>,</w:t>
      </w:r>
      <w:r w:rsidR="00DF297D" w:rsidRPr="00DF297D">
        <w:t xml:space="preserve"> section 18 </w:t>
      </w:r>
      <w:r>
        <w:t>(2)(b) and</w:t>
      </w:r>
      <w:r w:rsidR="00DF297D" w:rsidRPr="00DF297D">
        <w:t xml:space="preserve"> subsection </w:t>
      </w:r>
      <w:r>
        <w:t>1(1) of the T</w:t>
      </w:r>
      <w:r w:rsidR="009D0E17">
        <w:t xml:space="preserve">A, </w:t>
      </w:r>
      <w:r w:rsidR="009D0E17" w:rsidRPr="00DF297D">
        <w:t>represented</w:t>
      </w:r>
      <w:r>
        <w:t xml:space="preserve"> the applicable law </w:t>
      </w:r>
      <w:r w:rsidR="00DF297D" w:rsidRPr="00DF297D">
        <w:t xml:space="preserve">in force as </w:t>
      </w:r>
      <w:r w:rsidR="00792C81">
        <w:t>at</w:t>
      </w:r>
      <w:r w:rsidR="00DF297D" w:rsidRPr="00DF297D">
        <w:t xml:space="preserve"> 7 March 20</w:t>
      </w:r>
      <w:r>
        <w:t>1</w:t>
      </w:r>
      <w:r w:rsidR="00DF297D" w:rsidRPr="00DF297D">
        <w:t>7.</w:t>
      </w:r>
      <w:r w:rsidR="009616EC" w:rsidRPr="009616EC">
        <w:t xml:space="preserve"> This is the law that the court applied on </w:t>
      </w:r>
      <w:r>
        <w:t xml:space="preserve">7 </w:t>
      </w:r>
      <w:r w:rsidR="009616EC" w:rsidRPr="009616EC">
        <w:t xml:space="preserve">March </w:t>
      </w:r>
      <w:r>
        <w:t>20</w:t>
      </w:r>
      <w:r w:rsidR="009616EC" w:rsidRPr="009616EC">
        <w:t xml:space="preserve">17 when </w:t>
      </w:r>
      <w:r>
        <w:t xml:space="preserve">the </w:t>
      </w:r>
      <w:r w:rsidR="009616EC" w:rsidRPr="009616EC">
        <w:t xml:space="preserve">court granted the </w:t>
      </w:r>
      <w:r>
        <w:t xml:space="preserve">impugned </w:t>
      </w:r>
      <w:r w:rsidR="009616EC" w:rsidRPr="009616EC">
        <w:t>order</w:t>
      </w:r>
      <w:r>
        <w:t>.</w:t>
      </w:r>
      <w:r w:rsidR="009616EC" w:rsidRPr="009616EC">
        <w:t xml:space="preserve"> There was at the time no other interpretation of the law</w:t>
      </w:r>
      <w:r>
        <w:t xml:space="preserve"> as there is now</w:t>
      </w:r>
      <w:r w:rsidR="009616EC">
        <w:t>.</w:t>
      </w:r>
    </w:p>
    <w:p w14:paraId="22DABD7F" w14:textId="3CA483C8" w:rsidR="009616EC" w:rsidRDefault="009616EC" w:rsidP="00DF297D">
      <w:pPr>
        <w:spacing w:line="480" w:lineRule="auto"/>
        <w:jc w:val="both"/>
      </w:pPr>
    </w:p>
    <w:p w14:paraId="0E6076E9" w14:textId="2312B996" w:rsidR="009616EC" w:rsidRDefault="009616EC" w:rsidP="00DF297D">
      <w:pPr>
        <w:spacing w:line="480" w:lineRule="auto"/>
        <w:jc w:val="both"/>
      </w:pPr>
      <w:r>
        <w:lastRenderedPageBreak/>
        <w:t>[1</w:t>
      </w:r>
      <w:r w:rsidR="00C95042">
        <w:t>7</w:t>
      </w:r>
      <w:r>
        <w:t xml:space="preserve">] </w:t>
      </w:r>
      <w:r w:rsidR="009D0E17">
        <w:t>T</w:t>
      </w:r>
      <w:r w:rsidRPr="009616EC">
        <w:t xml:space="preserve">he </w:t>
      </w:r>
      <w:r w:rsidR="009D0E17" w:rsidRPr="009616EC">
        <w:t>cornerstone</w:t>
      </w:r>
      <w:r w:rsidRPr="009616EC">
        <w:t xml:space="preserve"> o</w:t>
      </w:r>
      <w:r w:rsidR="009D0E17">
        <w:t xml:space="preserve">f </w:t>
      </w:r>
      <w:r w:rsidR="009D0E17" w:rsidRPr="009616EC">
        <w:t>the</w:t>
      </w:r>
      <w:r w:rsidRPr="009616EC">
        <w:t xml:space="preserve"> </w:t>
      </w:r>
      <w:r w:rsidR="009D0E17">
        <w:t>R</w:t>
      </w:r>
      <w:r w:rsidRPr="009616EC">
        <w:t>espon</w:t>
      </w:r>
      <w:r w:rsidR="009D0E17">
        <w:t>d</w:t>
      </w:r>
      <w:r w:rsidRPr="009616EC">
        <w:t>e</w:t>
      </w:r>
      <w:r w:rsidR="009D0E17">
        <w:t>nt</w:t>
      </w:r>
      <w:r w:rsidRPr="009616EC">
        <w:t>s</w:t>
      </w:r>
      <w:r w:rsidR="009D0E17">
        <w:t>’</w:t>
      </w:r>
      <w:r w:rsidRPr="009616EC">
        <w:t xml:space="preserve"> </w:t>
      </w:r>
      <w:r w:rsidR="009D0E17">
        <w:t xml:space="preserve">case </w:t>
      </w:r>
      <w:r w:rsidRPr="009616EC">
        <w:t xml:space="preserve">is the change in the law brought about by the judgment of </w:t>
      </w:r>
      <w:r w:rsidR="00C95042" w:rsidRPr="00C95042">
        <w:rPr>
          <w:b/>
          <w:bCs/>
        </w:rPr>
        <w:t>Economic Freedom Fighters and Another v Minister of Justice and Correctional Services 2020 ZACC 25</w:t>
      </w:r>
      <w:r w:rsidR="00C95042">
        <w:t xml:space="preserve"> (</w:t>
      </w:r>
      <w:r w:rsidR="009D0E17">
        <w:t xml:space="preserve">EFF </w:t>
      </w:r>
      <w:r w:rsidR="00C95042">
        <w:t>judgment)</w:t>
      </w:r>
      <w:r w:rsidR="009D0E17">
        <w:t xml:space="preserve">, </w:t>
      </w:r>
      <w:r w:rsidR="001D652B" w:rsidRPr="009616EC">
        <w:t>paragraph</w:t>
      </w:r>
      <w:r w:rsidRPr="009616EC">
        <w:t xml:space="preserve"> </w:t>
      </w:r>
      <w:r w:rsidR="009D0E17">
        <w:t>[</w:t>
      </w:r>
      <w:r w:rsidRPr="009616EC">
        <w:t>25</w:t>
      </w:r>
      <w:r w:rsidR="009D0E17">
        <w:t>]</w:t>
      </w:r>
      <w:r w:rsidRPr="009616EC">
        <w:t xml:space="preserve"> thereof. Drawing support from the said judgment Mr </w:t>
      </w:r>
      <w:proofErr w:type="spellStart"/>
      <w:r w:rsidR="00537131" w:rsidRPr="009616EC">
        <w:t>Prem</w:t>
      </w:r>
      <w:r w:rsidR="00537131">
        <w:t>hid</w:t>
      </w:r>
      <w:proofErr w:type="spellEnd"/>
      <w:r w:rsidR="00537131">
        <w:t xml:space="preserve"> </w:t>
      </w:r>
      <w:r w:rsidR="00537131" w:rsidRPr="009616EC">
        <w:t>stated</w:t>
      </w:r>
      <w:r w:rsidR="009A3C3F">
        <w:t xml:space="preserve"> as follows </w:t>
      </w:r>
      <w:r w:rsidRPr="009616EC">
        <w:t xml:space="preserve">in his </w:t>
      </w:r>
      <w:r w:rsidR="009A3C3F">
        <w:t>heads</w:t>
      </w:r>
      <w:r w:rsidRPr="009616EC">
        <w:t xml:space="preserve"> of argument that</w:t>
      </w:r>
      <w:r>
        <w:t>:</w:t>
      </w:r>
    </w:p>
    <w:p w14:paraId="18E3B757" w14:textId="0F982530" w:rsidR="009616EC" w:rsidRDefault="009616EC" w:rsidP="00DF297D">
      <w:pPr>
        <w:spacing w:line="480" w:lineRule="auto"/>
        <w:jc w:val="both"/>
        <w:rPr>
          <w:i/>
          <w:iCs/>
        </w:rPr>
      </w:pPr>
      <w:r>
        <w:t>“</w:t>
      </w:r>
      <w:r w:rsidR="008B09AE" w:rsidRPr="005966AB">
        <w:rPr>
          <w:i/>
          <w:iCs/>
        </w:rPr>
        <w:t>But</w:t>
      </w:r>
      <w:r w:rsidRPr="005966AB">
        <w:rPr>
          <w:i/>
          <w:iCs/>
        </w:rPr>
        <w:t xml:space="preserve"> in the time between </w:t>
      </w:r>
      <w:proofErr w:type="spellStart"/>
      <w:r w:rsidR="008B09AE" w:rsidRPr="005966AB">
        <w:rPr>
          <w:i/>
          <w:iCs/>
        </w:rPr>
        <w:t>Mabuse</w:t>
      </w:r>
      <w:proofErr w:type="spellEnd"/>
      <w:r w:rsidRPr="005966AB">
        <w:rPr>
          <w:i/>
          <w:iCs/>
        </w:rPr>
        <w:t xml:space="preserve"> J's order and now </w:t>
      </w:r>
      <w:r w:rsidR="008B09AE" w:rsidRPr="005966AB">
        <w:rPr>
          <w:i/>
          <w:iCs/>
        </w:rPr>
        <w:t>(</w:t>
      </w:r>
      <w:r w:rsidRPr="005966AB">
        <w:rPr>
          <w:i/>
          <w:iCs/>
        </w:rPr>
        <w:t xml:space="preserve">meaning the day the judgment </w:t>
      </w:r>
      <w:r w:rsidR="008B09AE" w:rsidRPr="005966AB">
        <w:rPr>
          <w:i/>
          <w:iCs/>
        </w:rPr>
        <w:t xml:space="preserve">in the EFF appeal </w:t>
      </w:r>
      <w:r w:rsidRPr="005966AB">
        <w:rPr>
          <w:i/>
          <w:iCs/>
        </w:rPr>
        <w:t>was delivered</w:t>
      </w:r>
      <w:r w:rsidR="008B09AE" w:rsidRPr="005966AB">
        <w:rPr>
          <w:i/>
          <w:iCs/>
        </w:rPr>
        <w:t>)</w:t>
      </w:r>
      <w:r w:rsidRPr="005966AB">
        <w:rPr>
          <w:i/>
          <w:iCs/>
        </w:rPr>
        <w:t xml:space="preserve"> s18</w:t>
      </w:r>
      <w:r w:rsidR="008B09AE" w:rsidRPr="005966AB">
        <w:rPr>
          <w:i/>
          <w:iCs/>
        </w:rPr>
        <w:t xml:space="preserve">(2)(b) </w:t>
      </w:r>
      <w:r w:rsidRPr="005966AB">
        <w:rPr>
          <w:i/>
          <w:iCs/>
        </w:rPr>
        <w:t>of the R</w:t>
      </w:r>
      <w:r w:rsidR="005966AB" w:rsidRPr="005966AB">
        <w:rPr>
          <w:i/>
          <w:iCs/>
        </w:rPr>
        <w:t>iotous</w:t>
      </w:r>
      <w:r w:rsidRPr="005966AB">
        <w:rPr>
          <w:i/>
          <w:iCs/>
        </w:rPr>
        <w:t xml:space="preserve"> </w:t>
      </w:r>
      <w:r w:rsidR="005966AB" w:rsidRPr="005966AB">
        <w:rPr>
          <w:i/>
          <w:iCs/>
        </w:rPr>
        <w:t>A</w:t>
      </w:r>
      <w:r w:rsidRPr="005966AB">
        <w:rPr>
          <w:i/>
          <w:iCs/>
        </w:rPr>
        <w:t xml:space="preserve">ssemblies </w:t>
      </w:r>
      <w:r w:rsidR="005966AB" w:rsidRPr="005966AB">
        <w:rPr>
          <w:i/>
          <w:iCs/>
        </w:rPr>
        <w:t>A</w:t>
      </w:r>
      <w:r w:rsidRPr="005966AB">
        <w:rPr>
          <w:i/>
          <w:iCs/>
        </w:rPr>
        <w:t>ct has been declared unconstitutional on the basis that it constitutes an unjustifiable infringement on the right to freedom of expression.”</w:t>
      </w:r>
    </w:p>
    <w:p w14:paraId="5AD74C05" w14:textId="77777777" w:rsidR="00D360EC" w:rsidRPr="005966AB" w:rsidRDefault="00D360EC" w:rsidP="00DF297D">
      <w:pPr>
        <w:spacing w:line="480" w:lineRule="auto"/>
        <w:jc w:val="both"/>
        <w:rPr>
          <w:i/>
          <w:iCs/>
        </w:rPr>
      </w:pPr>
    </w:p>
    <w:p w14:paraId="747C8994" w14:textId="16454F5C" w:rsidR="009616EC" w:rsidRDefault="00C95042" w:rsidP="00DF297D">
      <w:pPr>
        <w:spacing w:line="480" w:lineRule="auto"/>
        <w:jc w:val="both"/>
      </w:pPr>
      <w:r>
        <w:t xml:space="preserve">[18] </w:t>
      </w:r>
      <w:r w:rsidR="005966AB">
        <w:t>I</w:t>
      </w:r>
      <w:r w:rsidR="009616EC" w:rsidRPr="009616EC">
        <w:t xml:space="preserve">n the </w:t>
      </w:r>
      <w:r w:rsidR="005966AB">
        <w:t xml:space="preserve">EFF judgment </w:t>
      </w:r>
      <w:r w:rsidR="009616EC" w:rsidRPr="009616EC">
        <w:t xml:space="preserve">the </w:t>
      </w:r>
      <w:r w:rsidR="005966AB">
        <w:t>Constitutional court</w:t>
      </w:r>
      <w:r w:rsidR="009616EC" w:rsidRPr="009616EC">
        <w:t xml:space="preserve"> characterised the form of incitement referred to in section 18</w:t>
      </w:r>
      <w:r w:rsidR="005966AB">
        <w:t xml:space="preserve"> (2)(b</w:t>
      </w:r>
      <w:r w:rsidR="001D652B">
        <w:t>)</w:t>
      </w:r>
      <w:r w:rsidR="009616EC" w:rsidRPr="009616EC">
        <w:t xml:space="preserve"> as a form of expression ordinarily protected by section 1</w:t>
      </w:r>
      <w:r w:rsidR="005966AB">
        <w:t>6</w:t>
      </w:r>
      <w:r w:rsidR="009616EC" w:rsidRPr="009616EC">
        <w:t xml:space="preserve"> of the </w:t>
      </w:r>
      <w:r w:rsidR="005966AB">
        <w:t>C</w:t>
      </w:r>
      <w:r w:rsidR="009616EC" w:rsidRPr="009616EC">
        <w:t xml:space="preserve">onstitution. In paragraph </w:t>
      </w:r>
      <w:r w:rsidR="005966AB">
        <w:t>[</w:t>
      </w:r>
      <w:r w:rsidR="009616EC" w:rsidRPr="009616EC">
        <w:t>25</w:t>
      </w:r>
      <w:r w:rsidR="005966AB">
        <w:t>]</w:t>
      </w:r>
      <w:r w:rsidR="009616EC" w:rsidRPr="009616EC">
        <w:t xml:space="preserve"> the court had the following to say</w:t>
      </w:r>
      <w:r w:rsidR="009616EC">
        <w:t>:</w:t>
      </w:r>
    </w:p>
    <w:p w14:paraId="5D9BA850" w14:textId="77777777" w:rsidR="005966AB" w:rsidRPr="006B745E" w:rsidRDefault="009616EC" w:rsidP="00DF297D">
      <w:pPr>
        <w:spacing w:line="480" w:lineRule="auto"/>
        <w:jc w:val="both"/>
        <w:rPr>
          <w:i/>
          <w:iCs/>
        </w:rPr>
      </w:pPr>
      <w:r w:rsidRPr="006B745E">
        <w:rPr>
          <w:i/>
          <w:iCs/>
        </w:rPr>
        <w:t>“</w:t>
      </w:r>
      <w:r w:rsidR="005966AB" w:rsidRPr="006B745E">
        <w:rPr>
          <w:i/>
          <w:iCs/>
        </w:rPr>
        <w:t>Section</w:t>
      </w:r>
      <w:r w:rsidRPr="006B745E">
        <w:rPr>
          <w:i/>
          <w:iCs/>
        </w:rPr>
        <w:t xml:space="preserve"> 18</w:t>
      </w:r>
      <w:r w:rsidR="005966AB" w:rsidRPr="006B745E">
        <w:rPr>
          <w:i/>
          <w:iCs/>
        </w:rPr>
        <w:t>(2)(b)</w:t>
      </w:r>
      <w:r w:rsidRPr="006B745E">
        <w:rPr>
          <w:i/>
          <w:iCs/>
        </w:rPr>
        <w:t xml:space="preserve"> </w:t>
      </w:r>
      <w:r w:rsidR="005966AB" w:rsidRPr="006B745E">
        <w:rPr>
          <w:i/>
          <w:iCs/>
        </w:rPr>
        <w:t>of the Riotous A</w:t>
      </w:r>
      <w:r w:rsidRPr="006B745E">
        <w:rPr>
          <w:i/>
          <w:iCs/>
        </w:rPr>
        <w:t xml:space="preserve">ssemblies </w:t>
      </w:r>
      <w:r w:rsidR="005966AB" w:rsidRPr="006B745E">
        <w:rPr>
          <w:i/>
          <w:iCs/>
        </w:rPr>
        <w:t>Ac</w:t>
      </w:r>
      <w:r w:rsidRPr="006B745E">
        <w:rPr>
          <w:i/>
          <w:iCs/>
        </w:rPr>
        <w:t xml:space="preserve">t criminalises incitement to commit </w:t>
      </w:r>
      <w:r w:rsidR="005966AB" w:rsidRPr="006B745E">
        <w:rPr>
          <w:i/>
          <w:iCs/>
        </w:rPr>
        <w:t>“</w:t>
      </w:r>
      <w:r w:rsidRPr="006B745E">
        <w:rPr>
          <w:i/>
          <w:iCs/>
        </w:rPr>
        <w:t>any offence</w:t>
      </w:r>
      <w:r w:rsidR="005966AB" w:rsidRPr="006B745E">
        <w:rPr>
          <w:i/>
          <w:iCs/>
        </w:rPr>
        <w:t>”</w:t>
      </w:r>
      <w:r w:rsidRPr="006B745E">
        <w:rPr>
          <w:i/>
          <w:iCs/>
        </w:rPr>
        <w:t xml:space="preserve">. And that kind of incitement is undoubtedly a form of expression that is </w:t>
      </w:r>
      <w:r w:rsidR="005966AB" w:rsidRPr="006B745E">
        <w:rPr>
          <w:i/>
          <w:iCs/>
        </w:rPr>
        <w:t>ordinarily</w:t>
      </w:r>
      <w:r w:rsidRPr="006B745E">
        <w:rPr>
          <w:i/>
          <w:iCs/>
        </w:rPr>
        <w:t xml:space="preserve"> protected by section 16</w:t>
      </w:r>
      <w:r w:rsidR="005966AB" w:rsidRPr="006B745E">
        <w:rPr>
          <w:i/>
          <w:iCs/>
        </w:rPr>
        <w:t>(1)</w:t>
      </w:r>
      <w:r w:rsidRPr="006B745E">
        <w:rPr>
          <w:i/>
          <w:iCs/>
        </w:rPr>
        <w:t xml:space="preserve"> in of the </w:t>
      </w:r>
      <w:r w:rsidR="005966AB" w:rsidRPr="006B745E">
        <w:rPr>
          <w:i/>
          <w:iCs/>
        </w:rPr>
        <w:t>C</w:t>
      </w:r>
      <w:r w:rsidRPr="006B745E">
        <w:rPr>
          <w:i/>
          <w:iCs/>
        </w:rPr>
        <w:t>onstitution. I</w:t>
      </w:r>
      <w:r w:rsidR="005966AB" w:rsidRPr="006B745E">
        <w:rPr>
          <w:i/>
          <w:iCs/>
        </w:rPr>
        <w:t>t</w:t>
      </w:r>
      <w:r w:rsidRPr="006B745E">
        <w:rPr>
          <w:i/>
          <w:iCs/>
        </w:rPr>
        <w:t xml:space="preserve"> therefore </w:t>
      </w:r>
      <w:r w:rsidR="005966AB" w:rsidRPr="006B745E">
        <w:rPr>
          <w:i/>
          <w:iCs/>
        </w:rPr>
        <w:t xml:space="preserve">constitutes </w:t>
      </w:r>
      <w:r w:rsidRPr="006B745E">
        <w:rPr>
          <w:i/>
          <w:iCs/>
        </w:rPr>
        <w:t xml:space="preserve">a limitation of protected expression. Whether that limitation is reasonable and justifiable in an open and democratic side based on the values of human dignity equality and freedom is the question we must now wrestle with. </w:t>
      </w:r>
      <w:r w:rsidRPr="006B745E">
        <w:t xml:space="preserve">And </w:t>
      </w:r>
    </w:p>
    <w:p w14:paraId="7DB08358" w14:textId="47C53A07" w:rsidR="009616EC" w:rsidRDefault="005966AB" w:rsidP="00DF297D">
      <w:pPr>
        <w:spacing w:line="480" w:lineRule="auto"/>
        <w:jc w:val="both"/>
        <w:rPr>
          <w:i/>
          <w:iCs/>
        </w:rPr>
      </w:pPr>
      <w:r>
        <w:t>“</w:t>
      </w:r>
      <w:r w:rsidRPr="006B745E">
        <w:rPr>
          <w:i/>
          <w:iCs/>
        </w:rPr>
        <w:t>A</w:t>
      </w:r>
      <w:r w:rsidR="009616EC" w:rsidRPr="006B745E">
        <w:rPr>
          <w:i/>
          <w:iCs/>
        </w:rPr>
        <w:t>ll of the above leave us with no choice but to invalidate section 18</w:t>
      </w:r>
      <w:r w:rsidRPr="006B745E">
        <w:rPr>
          <w:i/>
          <w:iCs/>
        </w:rPr>
        <w:t>(2)(</w:t>
      </w:r>
      <w:r w:rsidR="006B745E" w:rsidRPr="006B745E">
        <w:rPr>
          <w:i/>
          <w:iCs/>
        </w:rPr>
        <w:t>b) to</w:t>
      </w:r>
      <w:r w:rsidR="009616EC" w:rsidRPr="006B745E">
        <w:rPr>
          <w:i/>
          <w:iCs/>
        </w:rPr>
        <w:t xml:space="preserve"> the extent of the disproportionality of its soci</w:t>
      </w:r>
      <w:r w:rsidR="006B745E" w:rsidRPr="006B745E">
        <w:rPr>
          <w:i/>
          <w:iCs/>
        </w:rPr>
        <w:t>et</w:t>
      </w:r>
      <w:r w:rsidR="009616EC" w:rsidRPr="006B745E">
        <w:rPr>
          <w:i/>
          <w:iCs/>
        </w:rPr>
        <w:t>al benefit to its vast invasion of free expression and consequential inconsistency with section 16</w:t>
      </w:r>
      <w:r w:rsidR="006B745E" w:rsidRPr="006B745E">
        <w:rPr>
          <w:i/>
          <w:iCs/>
        </w:rPr>
        <w:t>(1)</w:t>
      </w:r>
      <w:r w:rsidR="009616EC" w:rsidRPr="006B745E">
        <w:rPr>
          <w:i/>
          <w:iCs/>
        </w:rPr>
        <w:t xml:space="preserve"> of the </w:t>
      </w:r>
      <w:r w:rsidR="006B745E" w:rsidRPr="006B745E">
        <w:rPr>
          <w:i/>
          <w:iCs/>
        </w:rPr>
        <w:t>C</w:t>
      </w:r>
      <w:r w:rsidR="009616EC" w:rsidRPr="006B745E">
        <w:rPr>
          <w:i/>
          <w:iCs/>
        </w:rPr>
        <w:t>onstitution. It is not reasonable and justifiable to limit f</w:t>
      </w:r>
      <w:r w:rsidR="006B745E" w:rsidRPr="006B745E">
        <w:rPr>
          <w:i/>
          <w:iCs/>
        </w:rPr>
        <w:t>ree</w:t>
      </w:r>
      <w:r w:rsidR="009616EC" w:rsidRPr="006B745E">
        <w:rPr>
          <w:i/>
          <w:iCs/>
        </w:rPr>
        <w:t xml:space="preserve"> expression on the b</w:t>
      </w:r>
      <w:r w:rsidR="006B745E" w:rsidRPr="006B745E">
        <w:rPr>
          <w:i/>
          <w:iCs/>
        </w:rPr>
        <w:t>asis</w:t>
      </w:r>
      <w:r w:rsidR="009616EC" w:rsidRPr="006B745E">
        <w:rPr>
          <w:i/>
          <w:iCs/>
        </w:rPr>
        <w:t xml:space="preserve"> of crime pr</w:t>
      </w:r>
      <w:r w:rsidR="006B745E" w:rsidRPr="006B745E">
        <w:rPr>
          <w:i/>
          <w:iCs/>
        </w:rPr>
        <w:t>evention</w:t>
      </w:r>
      <w:r w:rsidR="009616EC" w:rsidRPr="006B745E">
        <w:rPr>
          <w:i/>
          <w:iCs/>
        </w:rPr>
        <w:t xml:space="preserve"> in</w:t>
      </w:r>
      <w:r w:rsidR="006B745E" w:rsidRPr="006B745E">
        <w:rPr>
          <w:i/>
          <w:iCs/>
        </w:rPr>
        <w:t xml:space="preserve"> circumstances</w:t>
      </w:r>
      <w:r w:rsidR="009616EC" w:rsidRPr="006B745E">
        <w:rPr>
          <w:i/>
          <w:iCs/>
        </w:rPr>
        <w:t xml:space="preserve"> where the criminalization of incitement of only serious offences would constitute a less restrictive means and help achieve the same objective.”</w:t>
      </w:r>
    </w:p>
    <w:p w14:paraId="745001F8" w14:textId="77777777" w:rsidR="0094067D" w:rsidRDefault="0094067D" w:rsidP="00DF297D">
      <w:pPr>
        <w:spacing w:line="480" w:lineRule="auto"/>
        <w:jc w:val="both"/>
        <w:rPr>
          <w:i/>
          <w:iCs/>
        </w:rPr>
      </w:pPr>
    </w:p>
    <w:p w14:paraId="104A69A7" w14:textId="045D2018" w:rsidR="0094067D" w:rsidRDefault="0094067D" w:rsidP="00DF297D">
      <w:pPr>
        <w:spacing w:line="480" w:lineRule="auto"/>
        <w:jc w:val="both"/>
      </w:pPr>
      <w:r>
        <w:lastRenderedPageBreak/>
        <w:t>[19]</w:t>
      </w:r>
      <w:r w:rsidRPr="0094067D">
        <w:t xml:space="preserve"> </w:t>
      </w:r>
      <w:r>
        <w:t>T</w:t>
      </w:r>
      <w:r w:rsidRPr="0094067D">
        <w:t xml:space="preserve">he </w:t>
      </w:r>
      <w:r>
        <w:t>C</w:t>
      </w:r>
      <w:r w:rsidRPr="0094067D">
        <w:t xml:space="preserve">onstitutional </w:t>
      </w:r>
      <w:r>
        <w:t>C</w:t>
      </w:r>
      <w:r w:rsidRPr="0094067D">
        <w:t>ourt was obviously unhappy with the provisions of s 18</w:t>
      </w:r>
      <w:r>
        <w:t>(2)(b)</w:t>
      </w:r>
      <w:r w:rsidRPr="0094067D">
        <w:t xml:space="preserve"> </w:t>
      </w:r>
      <w:r>
        <w:t xml:space="preserve">to the </w:t>
      </w:r>
      <w:r w:rsidRPr="0094067D">
        <w:t>exten</w:t>
      </w:r>
      <w:r>
        <w:t>t</w:t>
      </w:r>
      <w:r w:rsidRPr="0094067D">
        <w:t xml:space="preserve"> that it criminalised the </w:t>
      </w:r>
      <w:r>
        <w:t>“</w:t>
      </w:r>
      <w:r w:rsidRPr="0094067D">
        <w:rPr>
          <w:i/>
          <w:iCs/>
        </w:rPr>
        <w:t>incite”</w:t>
      </w:r>
      <w:r w:rsidRPr="0094067D">
        <w:t xml:space="preserve"> of another person to commit </w:t>
      </w:r>
      <w:r>
        <w:t>“</w:t>
      </w:r>
      <w:r w:rsidRPr="0094067D">
        <w:rPr>
          <w:i/>
          <w:iCs/>
        </w:rPr>
        <w:t>any offence</w:t>
      </w:r>
      <w:r w:rsidR="00210B45" w:rsidRPr="0094067D">
        <w:rPr>
          <w:i/>
          <w:iCs/>
        </w:rPr>
        <w:t>”</w:t>
      </w:r>
      <w:r w:rsidR="00210B45" w:rsidRPr="0094067D">
        <w:t>.</w:t>
      </w:r>
      <w:r w:rsidRPr="0094067D">
        <w:t xml:space="preserve"> </w:t>
      </w:r>
      <w:r>
        <w:t>T</w:t>
      </w:r>
      <w:r w:rsidRPr="0094067D">
        <w:t>he basis for such unhappiness was that the crime it created offen</w:t>
      </w:r>
      <w:r>
        <w:t>ds</w:t>
      </w:r>
      <w:r w:rsidRPr="0094067D">
        <w:t xml:space="preserve"> against the </w:t>
      </w:r>
      <w:r w:rsidR="00210B45">
        <w:t>Constitutional</w:t>
      </w:r>
      <w:r w:rsidRPr="0094067D">
        <w:t xml:space="preserve"> right </w:t>
      </w:r>
      <w:r w:rsidR="00210B45">
        <w:t xml:space="preserve">to </w:t>
      </w:r>
      <w:r w:rsidRPr="0094067D">
        <w:t>freedom of expression</w:t>
      </w:r>
      <w:r w:rsidR="00210B45">
        <w:t>,</w:t>
      </w:r>
      <w:r w:rsidRPr="0094067D">
        <w:t xml:space="preserve"> </w:t>
      </w:r>
      <w:r w:rsidR="00210B45">
        <w:t>i</w:t>
      </w:r>
      <w:r w:rsidRPr="0094067D">
        <w:t>n other w</w:t>
      </w:r>
      <w:r w:rsidR="00210B45">
        <w:t>ord</w:t>
      </w:r>
      <w:r w:rsidRPr="0094067D">
        <w:t>s</w:t>
      </w:r>
      <w:r w:rsidR="00210B45">
        <w:t>,</w:t>
      </w:r>
      <w:r w:rsidRPr="0094067D">
        <w:t xml:space="preserve"> it is inconsistent with section 16</w:t>
      </w:r>
      <w:r w:rsidR="00210B45">
        <w:t>(1)</w:t>
      </w:r>
      <w:r w:rsidRPr="0094067D">
        <w:t xml:space="preserve"> of the </w:t>
      </w:r>
      <w:r w:rsidR="00210B45">
        <w:t>C</w:t>
      </w:r>
      <w:r w:rsidRPr="0094067D">
        <w:t xml:space="preserve">onstitution </w:t>
      </w:r>
      <w:r w:rsidR="00210B45">
        <w:t>The Constitutional Court</w:t>
      </w:r>
      <w:r w:rsidRPr="0094067D">
        <w:t xml:space="preserve"> contended </w:t>
      </w:r>
      <w:r w:rsidR="00D360EC" w:rsidRPr="0094067D">
        <w:t>that s</w:t>
      </w:r>
      <w:r w:rsidR="00210B45">
        <w:t xml:space="preserve"> 1(1)</w:t>
      </w:r>
      <w:r w:rsidRPr="0094067D">
        <w:t xml:space="preserve"> of the </w:t>
      </w:r>
      <w:r w:rsidR="00210B45">
        <w:t>TA</w:t>
      </w:r>
      <w:r w:rsidRPr="0094067D">
        <w:t xml:space="preserve"> s</w:t>
      </w:r>
      <w:r w:rsidR="00210B45">
        <w:t>ought</w:t>
      </w:r>
      <w:r w:rsidRPr="0094067D">
        <w:t xml:space="preserve"> to be interpreted with reference to the provisions of section 26</w:t>
      </w:r>
      <w:r w:rsidR="00210B45">
        <w:t>(3) of</w:t>
      </w:r>
      <w:r w:rsidRPr="0094067D">
        <w:t xml:space="preserve"> the </w:t>
      </w:r>
      <w:r w:rsidR="00210B45">
        <w:t>C</w:t>
      </w:r>
      <w:r w:rsidRPr="0094067D">
        <w:t>onstitution and also s</w:t>
      </w:r>
      <w:r w:rsidR="00210B45">
        <w:t xml:space="preserve"> 39(2) of the </w:t>
      </w:r>
      <w:r w:rsidR="00D360EC">
        <w:t xml:space="preserve">Constitution </w:t>
      </w:r>
      <w:r w:rsidR="00D360EC" w:rsidRPr="0094067D">
        <w:t>and</w:t>
      </w:r>
      <w:r w:rsidRPr="0094067D">
        <w:t xml:space="preserve"> </w:t>
      </w:r>
      <w:r w:rsidR="00FD308D">
        <w:t xml:space="preserve">Prevention </w:t>
      </w:r>
      <w:r w:rsidR="00FD308D" w:rsidRPr="00FD308D">
        <w:t xml:space="preserve">of </w:t>
      </w:r>
      <w:r w:rsidR="00FD308D">
        <w:t>I</w:t>
      </w:r>
      <w:r w:rsidR="00FD308D" w:rsidRPr="00FD308D">
        <w:t xml:space="preserve">llegal </w:t>
      </w:r>
      <w:r w:rsidR="00FD308D">
        <w:t>E</w:t>
      </w:r>
      <w:r w:rsidR="00FD308D" w:rsidRPr="00FD308D">
        <w:t xml:space="preserve">viction from and </w:t>
      </w:r>
      <w:r w:rsidR="00FD308D">
        <w:t>Un</w:t>
      </w:r>
      <w:r w:rsidR="00FD308D" w:rsidRPr="00FD308D">
        <w:t xml:space="preserve">lawful </w:t>
      </w:r>
      <w:r w:rsidR="004845BD">
        <w:t>O</w:t>
      </w:r>
      <w:r w:rsidR="00FD308D" w:rsidRPr="00FD308D">
        <w:t xml:space="preserve">ccupation of </w:t>
      </w:r>
      <w:r w:rsidR="004845BD">
        <w:t>L</w:t>
      </w:r>
      <w:r w:rsidR="00FD308D" w:rsidRPr="00FD308D">
        <w:t xml:space="preserve">and </w:t>
      </w:r>
      <w:r w:rsidR="004845BD">
        <w:t>A</w:t>
      </w:r>
      <w:r w:rsidR="00FD308D" w:rsidRPr="00FD308D">
        <w:t xml:space="preserve">ct </w:t>
      </w:r>
      <w:r w:rsidR="004845BD">
        <w:t xml:space="preserve">19 of </w:t>
      </w:r>
      <w:r w:rsidR="00FD308D" w:rsidRPr="00FD308D">
        <w:t>1998</w:t>
      </w:r>
      <w:r w:rsidR="00D360EC">
        <w:t xml:space="preserve"> </w:t>
      </w:r>
      <w:r w:rsidR="00223865">
        <w:t>(</w:t>
      </w:r>
      <w:r w:rsidR="00D360EC">
        <w:t>PIE</w:t>
      </w:r>
      <w:r w:rsidR="00223865">
        <w:t>)</w:t>
      </w:r>
      <w:r w:rsidR="004845BD">
        <w:t>.</w:t>
      </w:r>
    </w:p>
    <w:p w14:paraId="729C2A08" w14:textId="77777777" w:rsidR="00D360EC" w:rsidRDefault="00D360EC" w:rsidP="00DF297D">
      <w:pPr>
        <w:spacing w:line="480" w:lineRule="auto"/>
        <w:jc w:val="both"/>
      </w:pPr>
    </w:p>
    <w:p w14:paraId="2BF167DA" w14:textId="4B6CF28F" w:rsidR="0094067D" w:rsidRDefault="0094067D" w:rsidP="00DF297D">
      <w:pPr>
        <w:spacing w:line="480" w:lineRule="auto"/>
        <w:jc w:val="both"/>
      </w:pPr>
      <w:r>
        <w:t xml:space="preserve">[20] </w:t>
      </w:r>
      <w:r w:rsidR="00730055">
        <w:t>T</w:t>
      </w:r>
      <w:r w:rsidR="00730055" w:rsidRPr="00730055">
        <w:t xml:space="preserve">he </w:t>
      </w:r>
      <w:r w:rsidR="00730055">
        <w:t>C</w:t>
      </w:r>
      <w:r w:rsidR="00730055" w:rsidRPr="00730055">
        <w:t xml:space="preserve">onstitutional </w:t>
      </w:r>
      <w:r w:rsidR="00730055">
        <w:t>C</w:t>
      </w:r>
      <w:r w:rsidR="00730055" w:rsidRPr="00730055">
        <w:t>ourt</w:t>
      </w:r>
      <w:r w:rsidR="00730055">
        <w:t>’</w:t>
      </w:r>
      <w:r w:rsidR="00730055" w:rsidRPr="00730055">
        <w:t xml:space="preserve">s </w:t>
      </w:r>
      <w:r w:rsidRPr="0094067D">
        <w:t>target in s 18</w:t>
      </w:r>
      <w:r w:rsidR="00730055">
        <w:t>(2)(b)</w:t>
      </w:r>
      <w:r w:rsidR="00730055" w:rsidRPr="0094067D">
        <w:t xml:space="preserve"> was</w:t>
      </w:r>
      <w:r w:rsidRPr="0094067D">
        <w:t xml:space="preserve"> the w</w:t>
      </w:r>
      <w:r w:rsidR="00730055">
        <w:t>ords</w:t>
      </w:r>
      <w:r w:rsidRPr="0094067D">
        <w:t xml:space="preserve"> </w:t>
      </w:r>
      <w:r w:rsidR="00730055">
        <w:t>“</w:t>
      </w:r>
      <w:r w:rsidRPr="008D302A">
        <w:rPr>
          <w:i/>
          <w:iCs/>
        </w:rPr>
        <w:t>any offence</w:t>
      </w:r>
      <w:r w:rsidR="00730055">
        <w:t>”,</w:t>
      </w:r>
      <w:r w:rsidRPr="0094067D">
        <w:t xml:space="preserve"> part of that s</w:t>
      </w:r>
      <w:r w:rsidR="00730055">
        <w:t>ection.</w:t>
      </w:r>
      <w:r w:rsidRPr="0094067D">
        <w:t xml:space="preserve"> </w:t>
      </w:r>
      <w:r w:rsidR="00730055">
        <w:t>T</w:t>
      </w:r>
      <w:r w:rsidRPr="0094067D">
        <w:t>he High Court had declared part of section 18</w:t>
      </w:r>
      <w:r w:rsidR="00730055">
        <w:t>(2)(b)</w:t>
      </w:r>
      <w:r w:rsidRPr="0094067D">
        <w:t xml:space="preserve"> that </w:t>
      </w:r>
      <w:r w:rsidR="00730055">
        <w:t>deals</w:t>
      </w:r>
      <w:r w:rsidRPr="0094067D">
        <w:t xml:space="preserve"> </w:t>
      </w:r>
      <w:r w:rsidR="00730055">
        <w:t xml:space="preserve">with </w:t>
      </w:r>
      <w:r w:rsidRPr="0094067D">
        <w:t xml:space="preserve">sanction constitutionally invalid </w:t>
      </w:r>
      <w:r w:rsidR="00730055" w:rsidRPr="0094067D">
        <w:t>because</w:t>
      </w:r>
      <w:r w:rsidRPr="0094067D">
        <w:t xml:space="preserve"> it contended that it comp</w:t>
      </w:r>
      <w:r w:rsidR="00730055">
        <w:t>elle</w:t>
      </w:r>
      <w:r w:rsidRPr="0094067D">
        <w:t xml:space="preserve">d a court to impose the same sentence on the person inciting others to commit a crime, just like on the person who </w:t>
      </w:r>
      <w:r w:rsidR="00FE14A0" w:rsidRPr="0094067D">
        <w:t>commits</w:t>
      </w:r>
      <w:r w:rsidR="00730055">
        <w:t xml:space="preserve"> the crime.</w:t>
      </w:r>
    </w:p>
    <w:p w14:paraId="1789C31A" w14:textId="276C9312" w:rsidR="00CA0BAA" w:rsidRDefault="0094067D" w:rsidP="00DF297D">
      <w:pPr>
        <w:spacing w:line="480" w:lineRule="auto"/>
        <w:jc w:val="both"/>
      </w:pPr>
      <w:r>
        <w:t xml:space="preserve">[21] </w:t>
      </w:r>
      <w:r w:rsidR="00CA0BAA">
        <w:t xml:space="preserve">What the Constitutional Court did </w:t>
      </w:r>
      <w:r w:rsidRPr="0094067D">
        <w:t xml:space="preserve">in this matter was simply to invalidate the </w:t>
      </w:r>
      <w:r w:rsidR="00CA0BAA" w:rsidRPr="0094067D">
        <w:t>expression</w:t>
      </w:r>
      <w:r w:rsidRPr="0094067D">
        <w:t xml:space="preserve"> </w:t>
      </w:r>
      <w:r w:rsidR="00CA0BAA">
        <w:t>“</w:t>
      </w:r>
      <w:r w:rsidRPr="00CA0BAA">
        <w:rPr>
          <w:i/>
          <w:iCs/>
        </w:rPr>
        <w:t>any offence</w:t>
      </w:r>
      <w:r w:rsidR="00CA0BAA" w:rsidRPr="00CA0BAA">
        <w:rPr>
          <w:i/>
          <w:iCs/>
        </w:rPr>
        <w:t>”</w:t>
      </w:r>
      <w:r w:rsidR="00CA0BAA">
        <w:rPr>
          <w:i/>
          <w:iCs/>
        </w:rPr>
        <w:t>.</w:t>
      </w:r>
      <w:r w:rsidRPr="0094067D">
        <w:t xml:space="preserve"> </w:t>
      </w:r>
      <w:r w:rsidR="00CA0BAA">
        <w:t>I</w:t>
      </w:r>
      <w:r w:rsidRPr="0094067D">
        <w:t xml:space="preserve">t found that the </w:t>
      </w:r>
      <w:r w:rsidR="00CA0BAA">
        <w:t>expression</w:t>
      </w:r>
      <w:r w:rsidRPr="0094067D">
        <w:t xml:space="preserve"> </w:t>
      </w:r>
      <w:r w:rsidR="00CA0BAA" w:rsidRPr="00727746">
        <w:rPr>
          <w:i/>
          <w:iCs/>
        </w:rPr>
        <w:t>“an</w:t>
      </w:r>
      <w:r w:rsidRPr="00727746">
        <w:rPr>
          <w:i/>
          <w:iCs/>
        </w:rPr>
        <w:t>y offence</w:t>
      </w:r>
      <w:r w:rsidR="00CA0BAA">
        <w:t>”</w:t>
      </w:r>
      <w:r w:rsidRPr="0094067D">
        <w:t xml:space="preserve"> in the </w:t>
      </w:r>
      <w:r w:rsidR="00727746">
        <w:t xml:space="preserve">said </w:t>
      </w:r>
      <w:r w:rsidRPr="0094067D">
        <w:t>s</w:t>
      </w:r>
      <w:r w:rsidR="00CA0BAA">
        <w:t>e</w:t>
      </w:r>
      <w:r w:rsidRPr="0094067D">
        <w:t xml:space="preserve">ction would be </w:t>
      </w:r>
      <w:r w:rsidR="00FE14A0" w:rsidRPr="0094067D">
        <w:t>out</w:t>
      </w:r>
      <w:r w:rsidRPr="0094067D">
        <w:t xml:space="preserve"> of proportion to the objective </w:t>
      </w:r>
      <w:r w:rsidR="00CA0BAA">
        <w:t xml:space="preserve">of </w:t>
      </w:r>
      <w:r w:rsidRPr="0094067D">
        <w:t xml:space="preserve">crime prevention which could still be realised without any overly invasive provision that gives </w:t>
      </w:r>
      <w:r w:rsidR="00CA0BAA">
        <w:t>no</w:t>
      </w:r>
      <w:r w:rsidRPr="0094067D">
        <w:t xml:space="preserve"> </w:t>
      </w:r>
      <w:r w:rsidR="00CA0BAA">
        <w:t>re</w:t>
      </w:r>
      <w:r w:rsidRPr="0094067D">
        <w:t xml:space="preserve">cognition to </w:t>
      </w:r>
      <w:r w:rsidR="00CA0BAA">
        <w:t xml:space="preserve">the </w:t>
      </w:r>
      <w:r w:rsidRPr="0094067D">
        <w:t>expression</w:t>
      </w:r>
      <w:r w:rsidR="00CA0BAA">
        <w:t>.</w:t>
      </w:r>
      <w:r w:rsidRPr="0094067D">
        <w:t xml:space="preserve"> </w:t>
      </w:r>
      <w:r w:rsidR="00CA0BAA">
        <w:t>T</w:t>
      </w:r>
      <w:r w:rsidRPr="0094067D">
        <w:t xml:space="preserve">he </w:t>
      </w:r>
      <w:r w:rsidR="00CA0BAA">
        <w:t>C</w:t>
      </w:r>
      <w:r w:rsidRPr="0094067D">
        <w:t>ourt was alive to the fact that</w:t>
      </w:r>
      <w:r w:rsidR="00CA0BAA">
        <w:t>:</w:t>
      </w:r>
      <w:r w:rsidRPr="0094067D">
        <w:t xml:space="preserve"> </w:t>
      </w:r>
    </w:p>
    <w:p w14:paraId="6735A90B" w14:textId="77777777" w:rsidR="00407556" w:rsidRDefault="00CA0BAA" w:rsidP="00DF297D">
      <w:pPr>
        <w:spacing w:line="480" w:lineRule="auto"/>
        <w:jc w:val="both"/>
      </w:pPr>
      <w:r w:rsidRPr="00407556">
        <w:rPr>
          <w:i/>
          <w:iCs/>
        </w:rPr>
        <w:t>“[41]</w:t>
      </w:r>
      <w:r w:rsidR="0094067D" w:rsidRPr="00407556">
        <w:rPr>
          <w:i/>
          <w:iCs/>
        </w:rPr>
        <w:t xml:space="preserve"> </w:t>
      </w:r>
      <w:r w:rsidRPr="00407556">
        <w:rPr>
          <w:i/>
          <w:iCs/>
        </w:rPr>
        <w:t>D</w:t>
      </w:r>
      <w:r w:rsidR="0094067D" w:rsidRPr="00407556">
        <w:rPr>
          <w:i/>
          <w:iCs/>
        </w:rPr>
        <w:t>espite its unjust foundations section 18</w:t>
      </w:r>
      <w:r w:rsidRPr="00407556">
        <w:rPr>
          <w:i/>
          <w:iCs/>
        </w:rPr>
        <w:t>(2)(b) of the Riotous Assemblies Act</w:t>
      </w:r>
      <w:r w:rsidR="0094067D" w:rsidRPr="00407556">
        <w:rPr>
          <w:i/>
          <w:iCs/>
        </w:rPr>
        <w:t xml:space="preserve"> </w:t>
      </w:r>
      <w:r w:rsidRPr="00407556">
        <w:rPr>
          <w:i/>
          <w:iCs/>
        </w:rPr>
        <w:t>i</w:t>
      </w:r>
      <w:r w:rsidR="0094067D" w:rsidRPr="00407556">
        <w:rPr>
          <w:i/>
          <w:iCs/>
        </w:rPr>
        <w:t>s</w:t>
      </w:r>
      <w:r w:rsidRPr="00407556">
        <w:rPr>
          <w:i/>
          <w:iCs/>
        </w:rPr>
        <w:t>,</w:t>
      </w:r>
      <w:r w:rsidR="0094067D" w:rsidRPr="00407556">
        <w:rPr>
          <w:i/>
          <w:iCs/>
        </w:rPr>
        <w:t xml:space="preserve"> broadly speaking</w:t>
      </w:r>
      <w:r w:rsidRPr="00407556">
        <w:rPr>
          <w:i/>
          <w:iCs/>
        </w:rPr>
        <w:t>,</w:t>
      </w:r>
      <w:r w:rsidR="0094067D" w:rsidRPr="00407556">
        <w:rPr>
          <w:i/>
          <w:iCs/>
        </w:rPr>
        <w:t xml:space="preserve"> one of many instruments suited to the achievement of a goal of crime pr</w:t>
      </w:r>
      <w:r w:rsidRPr="00407556">
        <w:rPr>
          <w:i/>
          <w:iCs/>
        </w:rPr>
        <w:t>evention.”</w:t>
      </w:r>
      <w:r w:rsidR="0094067D" w:rsidRPr="0094067D">
        <w:t xml:space="preserve"> </w:t>
      </w:r>
      <w:r>
        <w:t>(O</w:t>
      </w:r>
      <w:r w:rsidR="0094067D" w:rsidRPr="0094067D">
        <w:t xml:space="preserve">ne </w:t>
      </w:r>
      <w:r>
        <w:t>m</w:t>
      </w:r>
      <w:r w:rsidR="0094067D" w:rsidRPr="0094067D">
        <w:t xml:space="preserve">ay </w:t>
      </w:r>
      <w:r>
        <w:t>add that it is an instrument that is best suited to prevent lawlessness</w:t>
      </w:r>
      <w:r w:rsidR="00407556">
        <w:t xml:space="preserve"> </w:t>
      </w:r>
      <w:r w:rsidR="0094067D" w:rsidRPr="0094067D">
        <w:t>in the country</w:t>
      </w:r>
      <w:r w:rsidR="00407556">
        <w:t>).</w:t>
      </w:r>
      <w:r w:rsidR="0094067D" w:rsidRPr="0094067D">
        <w:t xml:space="preserve"> </w:t>
      </w:r>
      <w:r w:rsidR="00407556">
        <w:t>T</w:t>
      </w:r>
      <w:r w:rsidR="0094067D" w:rsidRPr="0094067D">
        <w:t xml:space="preserve">he </w:t>
      </w:r>
      <w:r w:rsidR="00407556">
        <w:t>C</w:t>
      </w:r>
      <w:r w:rsidR="0094067D" w:rsidRPr="0094067D">
        <w:t>ourt found that</w:t>
      </w:r>
      <w:r w:rsidR="00407556">
        <w:t>:</w:t>
      </w:r>
    </w:p>
    <w:p w14:paraId="72AEE2F5" w14:textId="7AE73BF3" w:rsidR="0094067D" w:rsidRDefault="00407556" w:rsidP="00DF297D">
      <w:pPr>
        <w:spacing w:line="480" w:lineRule="auto"/>
        <w:jc w:val="both"/>
        <w:rPr>
          <w:i/>
          <w:iCs/>
        </w:rPr>
      </w:pPr>
      <w:r w:rsidRPr="009D1459">
        <w:rPr>
          <w:i/>
          <w:iCs/>
        </w:rPr>
        <w:t>[42]</w:t>
      </w:r>
      <w:r w:rsidR="0094067D" w:rsidRPr="009D1459">
        <w:rPr>
          <w:i/>
          <w:iCs/>
        </w:rPr>
        <w:t xml:space="preserve"> </w:t>
      </w:r>
      <w:r w:rsidRPr="009D1459">
        <w:rPr>
          <w:i/>
          <w:iCs/>
        </w:rPr>
        <w:t>F</w:t>
      </w:r>
      <w:r w:rsidR="0094067D" w:rsidRPr="009D1459">
        <w:rPr>
          <w:i/>
          <w:iCs/>
        </w:rPr>
        <w:t xml:space="preserve">ree expression is </w:t>
      </w:r>
      <w:r w:rsidRPr="009D1459">
        <w:rPr>
          <w:i/>
          <w:iCs/>
        </w:rPr>
        <w:t>thus</w:t>
      </w:r>
      <w:r w:rsidR="0094067D" w:rsidRPr="009D1459">
        <w:rPr>
          <w:i/>
          <w:iCs/>
        </w:rPr>
        <w:t xml:space="preserve"> a right or freedom so dear to us and critical to our democracy and healing the divisions of the past that it ought not to be interfered with li</w:t>
      </w:r>
      <w:r w:rsidR="009D1459" w:rsidRPr="009D1459">
        <w:rPr>
          <w:i/>
          <w:iCs/>
        </w:rPr>
        <w:t>ght</w:t>
      </w:r>
      <w:r w:rsidR="0094067D" w:rsidRPr="009D1459">
        <w:rPr>
          <w:i/>
          <w:iCs/>
        </w:rPr>
        <w:t>ly</w:t>
      </w:r>
      <w:r w:rsidR="009D1459" w:rsidRPr="009D1459">
        <w:rPr>
          <w:i/>
          <w:iCs/>
        </w:rPr>
        <w:t>-</w:t>
      </w:r>
      <w:r w:rsidR="0094067D" w:rsidRPr="009D1459">
        <w:rPr>
          <w:i/>
          <w:iCs/>
        </w:rPr>
        <w:t xml:space="preserve"> especially where no risk of serious harm or danger exists</w:t>
      </w:r>
      <w:r w:rsidR="009D1459" w:rsidRPr="009D1459">
        <w:rPr>
          <w:i/>
          <w:iCs/>
        </w:rPr>
        <w:t>.”</w:t>
      </w:r>
    </w:p>
    <w:p w14:paraId="13F3E4DF" w14:textId="77777777" w:rsidR="00451024" w:rsidRPr="009D1459" w:rsidRDefault="00451024" w:rsidP="00DF297D">
      <w:pPr>
        <w:spacing w:line="480" w:lineRule="auto"/>
        <w:jc w:val="both"/>
        <w:rPr>
          <w:i/>
          <w:iCs/>
        </w:rPr>
      </w:pPr>
    </w:p>
    <w:p w14:paraId="3B39135E" w14:textId="76BD954B" w:rsidR="006B745E" w:rsidRDefault="00451024" w:rsidP="00DF297D">
      <w:pPr>
        <w:spacing w:line="480" w:lineRule="auto"/>
        <w:jc w:val="both"/>
      </w:pPr>
      <w:r>
        <w:t xml:space="preserve">[22] </w:t>
      </w:r>
      <w:r w:rsidR="009D1459">
        <w:t xml:space="preserve">It is of paramount importance to point out that all </w:t>
      </w:r>
      <w:r w:rsidR="00BE7C12">
        <w:t>that</w:t>
      </w:r>
      <w:r w:rsidR="009D1459">
        <w:t xml:space="preserve"> the Constitutional Court did </w:t>
      </w:r>
      <w:r w:rsidR="006E5148">
        <w:t>regarding</w:t>
      </w:r>
      <w:r w:rsidR="009D1459">
        <w:t xml:space="preserve"> 18(2)(b) was </w:t>
      </w:r>
      <w:r w:rsidR="00BE7C12">
        <w:t>to put the word “</w:t>
      </w:r>
      <w:r w:rsidR="00BE7C12" w:rsidRPr="00BE7C12">
        <w:rPr>
          <w:i/>
          <w:iCs/>
        </w:rPr>
        <w:t>serious</w:t>
      </w:r>
      <w:r w:rsidR="00BE7C12">
        <w:t>” between the words “</w:t>
      </w:r>
      <w:r w:rsidR="00BE7C12" w:rsidRPr="00BE7C12">
        <w:rPr>
          <w:i/>
          <w:iCs/>
        </w:rPr>
        <w:t>any’</w:t>
      </w:r>
      <w:r w:rsidR="00BE7C12">
        <w:t xml:space="preserve"> and “</w:t>
      </w:r>
      <w:r w:rsidR="00BE7C12" w:rsidRPr="00BE7C12">
        <w:rPr>
          <w:i/>
          <w:iCs/>
        </w:rPr>
        <w:t>offence</w:t>
      </w:r>
      <w:r w:rsidR="00BE7C12">
        <w:t xml:space="preserve">” in the section so that the proposed new section will </w:t>
      </w:r>
      <w:r w:rsidR="006E5148">
        <w:t>read as</w:t>
      </w:r>
      <w:r w:rsidR="00BE7C12">
        <w:t xml:space="preserve"> follows:</w:t>
      </w:r>
    </w:p>
    <w:p w14:paraId="61A5942C" w14:textId="6588A2F9" w:rsidR="00BE7C12" w:rsidRPr="00BE7C12" w:rsidRDefault="00BE7C12" w:rsidP="00DF297D">
      <w:pPr>
        <w:spacing w:line="480" w:lineRule="auto"/>
        <w:jc w:val="both"/>
        <w:rPr>
          <w:i/>
          <w:iCs/>
        </w:rPr>
      </w:pPr>
      <w:r>
        <w:t xml:space="preserve">“(2) </w:t>
      </w:r>
      <w:r w:rsidRPr="00BE7C12">
        <w:rPr>
          <w:i/>
          <w:iCs/>
        </w:rPr>
        <w:t>any person who-</w:t>
      </w:r>
    </w:p>
    <w:p w14:paraId="45E10D23" w14:textId="201AB5FA" w:rsidR="00BE7C12" w:rsidRPr="00BE7C12" w:rsidRDefault="00BE7C12" w:rsidP="00DF297D">
      <w:pPr>
        <w:spacing w:line="480" w:lineRule="auto"/>
        <w:jc w:val="both"/>
        <w:rPr>
          <w:i/>
          <w:iCs/>
        </w:rPr>
      </w:pPr>
      <w:r w:rsidRPr="00BE7C12">
        <w:rPr>
          <w:i/>
          <w:iCs/>
        </w:rPr>
        <w:t>……….</w:t>
      </w:r>
    </w:p>
    <w:p w14:paraId="4EA6D069" w14:textId="7857E434" w:rsidR="00BE7C12" w:rsidRPr="00CC75B2" w:rsidRDefault="00CC75B2" w:rsidP="00CC75B2">
      <w:pPr>
        <w:spacing w:line="480" w:lineRule="auto"/>
        <w:ind w:left="720" w:hanging="360"/>
        <w:jc w:val="both"/>
        <w:rPr>
          <w:i/>
          <w:iCs/>
        </w:rPr>
      </w:pPr>
      <w:r>
        <w:rPr>
          <w:i/>
          <w:iCs/>
        </w:rPr>
        <w:t>(c)</w:t>
      </w:r>
      <w:r>
        <w:rPr>
          <w:i/>
          <w:iCs/>
        </w:rPr>
        <w:tab/>
      </w:r>
      <w:r w:rsidR="00BE7C12" w:rsidRPr="00CC75B2">
        <w:rPr>
          <w:i/>
          <w:iCs/>
        </w:rPr>
        <w:t>incites, instigates, commands, or procures any other person to commit,</w:t>
      </w:r>
    </w:p>
    <w:p w14:paraId="3BC40B71" w14:textId="207320D0" w:rsidR="00BE7C12" w:rsidRDefault="00BE7C12" w:rsidP="00BE7C12">
      <w:pPr>
        <w:pStyle w:val="ListParagraph"/>
        <w:spacing w:line="480" w:lineRule="auto"/>
        <w:jc w:val="both"/>
        <w:rPr>
          <w:i/>
          <w:iCs/>
        </w:rPr>
      </w:pPr>
      <w:r w:rsidRPr="00BE7C12">
        <w:rPr>
          <w:i/>
          <w:iCs/>
        </w:rPr>
        <w:t xml:space="preserve"> any </w:t>
      </w:r>
      <w:r w:rsidRPr="00615F10">
        <w:rPr>
          <w:b/>
          <w:bCs/>
          <w:i/>
          <w:iCs/>
        </w:rPr>
        <w:t>serious</w:t>
      </w:r>
      <w:r w:rsidRPr="00BE7C12">
        <w:rPr>
          <w:i/>
          <w:iCs/>
        </w:rPr>
        <w:t xml:space="preserve"> offence w</w:t>
      </w:r>
      <w:r>
        <w:rPr>
          <w:i/>
          <w:iCs/>
        </w:rPr>
        <w:t>h</w:t>
      </w:r>
      <w:r w:rsidRPr="00BE7C12">
        <w:rPr>
          <w:i/>
          <w:iCs/>
        </w:rPr>
        <w:t>ether at com</w:t>
      </w:r>
      <w:r>
        <w:rPr>
          <w:i/>
          <w:iCs/>
        </w:rPr>
        <w:t>m</w:t>
      </w:r>
      <w:r w:rsidRPr="00BE7C12">
        <w:rPr>
          <w:i/>
          <w:iCs/>
        </w:rPr>
        <w:t>o</w:t>
      </w:r>
      <w:r>
        <w:rPr>
          <w:i/>
          <w:iCs/>
        </w:rPr>
        <w:t>n</w:t>
      </w:r>
      <w:r w:rsidRPr="00BE7C12">
        <w:rPr>
          <w:i/>
          <w:iCs/>
        </w:rPr>
        <w:t xml:space="preserve"> l</w:t>
      </w:r>
      <w:r>
        <w:rPr>
          <w:i/>
          <w:iCs/>
        </w:rPr>
        <w:t>aw</w:t>
      </w:r>
      <w:r w:rsidRPr="00BE7C12">
        <w:rPr>
          <w:i/>
          <w:iCs/>
        </w:rPr>
        <w:t xml:space="preserve"> or against </w:t>
      </w:r>
      <w:r>
        <w:rPr>
          <w:i/>
          <w:iCs/>
        </w:rPr>
        <w:t>a</w:t>
      </w:r>
      <w:r w:rsidRPr="00BE7C12">
        <w:rPr>
          <w:i/>
          <w:iCs/>
        </w:rPr>
        <w:t xml:space="preserve"> statute or </w:t>
      </w:r>
      <w:r>
        <w:rPr>
          <w:i/>
          <w:iCs/>
        </w:rPr>
        <w:t xml:space="preserve">statutory </w:t>
      </w:r>
      <w:r w:rsidRPr="00BE7C12">
        <w:rPr>
          <w:i/>
          <w:iCs/>
        </w:rPr>
        <w:t>regulation shall be guilty of an offence and liable on conviction to punishment to which a person convicted of actually committing that offence would be liable</w:t>
      </w:r>
      <w:r>
        <w:rPr>
          <w:i/>
          <w:iCs/>
        </w:rPr>
        <w:t>.”</w:t>
      </w:r>
    </w:p>
    <w:p w14:paraId="7BBE8C72" w14:textId="620491A7" w:rsidR="007C4D4C" w:rsidRDefault="007C4D4C" w:rsidP="00BE7C12">
      <w:pPr>
        <w:pStyle w:val="ListParagraph"/>
        <w:spacing w:line="480" w:lineRule="auto"/>
        <w:jc w:val="both"/>
      </w:pPr>
      <w:r>
        <w:t>In par. [49] the constitutional Court gave the following justification for its proposition of adding the word “</w:t>
      </w:r>
      <w:r w:rsidRPr="005E78FA">
        <w:rPr>
          <w:i/>
          <w:iCs/>
        </w:rPr>
        <w:t>serious</w:t>
      </w:r>
      <w:r>
        <w:t>” as pointed out above:</w:t>
      </w:r>
    </w:p>
    <w:p w14:paraId="64549CB7" w14:textId="2888FCC3" w:rsidR="007C4D4C" w:rsidRPr="00505B1D" w:rsidRDefault="007C4D4C" w:rsidP="00BE7C12">
      <w:pPr>
        <w:pStyle w:val="ListParagraph"/>
        <w:spacing w:line="480" w:lineRule="auto"/>
        <w:jc w:val="both"/>
        <w:rPr>
          <w:i/>
          <w:iCs/>
        </w:rPr>
      </w:pPr>
      <w:r w:rsidRPr="00505B1D">
        <w:rPr>
          <w:i/>
          <w:iCs/>
        </w:rPr>
        <w:t xml:space="preserve">[49] </w:t>
      </w:r>
      <w:r w:rsidR="005E78FA" w:rsidRPr="00505B1D">
        <w:rPr>
          <w:i/>
          <w:iCs/>
        </w:rPr>
        <w:t>S</w:t>
      </w:r>
      <w:r w:rsidRPr="00505B1D">
        <w:rPr>
          <w:i/>
          <w:iCs/>
        </w:rPr>
        <w:t>ection 18</w:t>
      </w:r>
      <w:r w:rsidR="005E78FA" w:rsidRPr="00505B1D">
        <w:rPr>
          <w:i/>
          <w:iCs/>
        </w:rPr>
        <w:t xml:space="preserve">(2)(b) is sought </w:t>
      </w:r>
      <w:r w:rsidRPr="00505B1D">
        <w:rPr>
          <w:i/>
          <w:iCs/>
        </w:rPr>
        <w:t>to be sa</w:t>
      </w:r>
      <w:r w:rsidR="005E78FA" w:rsidRPr="00505B1D">
        <w:rPr>
          <w:i/>
          <w:iCs/>
        </w:rPr>
        <w:t>v</w:t>
      </w:r>
      <w:r w:rsidRPr="00505B1D">
        <w:rPr>
          <w:i/>
          <w:iCs/>
        </w:rPr>
        <w:t>e</w:t>
      </w:r>
      <w:r w:rsidR="005E78FA" w:rsidRPr="00505B1D">
        <w:rPr>
          <w:i/>
          <w:iCs/>
        </w:rPr>
        <w:t>d</w:t>
      </w:r>
      <w:r w:rsidRPr="00505B1D">
        <w:rPr>
          <w:i/>
          <w:iCs/>
        </w:rPr>
        <w:t xml:space="preserve"> from </w:t>
      </w:r>
      <w:r w:rsidR="005E78FA" w:rsidRPr="00505B1D">
        <w:rPr>
          <w:i/>
          <w:iCs/>
        </w:rPr>
        <w:t>in</w:t>
      </w:r>
      <w:r w:rsidRPr="00505B1D">
        <w:rPr>
          <w:i/>
          <w:iCs/>
        </w:rPr>
        <w:t xml:space="preserve">validation </w:t>
      </w:r>
      <w:r w:rsidR="005E78FA" w:rsidRPr="00505B1D">
        <w:rPr>
          <w:i/>
          <w:iCs/>
        </w:rPr>
        <w:t>merely</w:t>
      </w:r>
      <w:r w:rsidRPr="00505B1D">
        <w:rPr>
          <w:i/>
          <w:iCs/>
        </w:rPr>
        <w:t xml:space="preserve"> becaus</w:t>
      </w:r>
      <w:r w:rsidR="005E78FA" w:rsidRPr="00505B1D">
        <w:rPr>
          <w:i/>
          <w:iCs/>
        </w:rPr>
        <w:t>e,</w:t>
      </w:r>
      <w:r w:rsidRPr="00505B1D">
        <w:rPr>
          <w:i/>
          <w:iCs/>
        </w:rPr>
        <w:t xml:space="preserve"> like all other criminal legislation</w:t>
      </w:r>
      <w:r w:rsidR="005E78FA" w:rsidRPr="00505B1D">
        <w:rPr>
          <w:i/>
          <w:iCs/>
        </w:rPr>
        <w:t>,</w:t>
      </w:r>
      <w:r w:rsidRPr="00505B1D">
        <w:rPr>
          <w:i/>
          <w:iCs/>
        </w:rPr>
        <w:t xml:space="preserve"> it serves the common </w:t>
      </w:r>
      <w:r w:rsidR="005E78FA" w:rsidRPr="00505B1D">
        <w:rPr>
          <w:i/>
          <w:iCs/>
        </w:rPr>
        <w:t xml:space="preserve">or </w:t>
      </w:r>
      <w:r w:rsidRPr="00505B1D">
        <w:rPr>
          <w:i/>
          <w:iCs/>
        </w:rPr>
        <w:t>ordinary purpose of crime prevention. What is, however, required is that the purpose of criminal legislation</w:t>
      </w:r>
      <w:r w:rsidR="005E78FA" w:rsidRPr="00505B1D">
        <w:rPr>
          <w:i/>
          <w:iCs/>
        </w:rPr>
        <w:t>,</w:t>
      </w:r>
      <w:r w:rsidRPr="00505B1D">
        <w:rPr>
          <w:i/>
          <w:iCs/>
        </w:rPr>
        <w:t xml:space="preserve"> like the </w:t>
      </w:r>
      <w:r w:rsidR="005E78FA" w:rsidRPr="00505B1D">
        <w:rPr>
          <w:i/>
          <w:iCs/>
        </w:rPr>
        <w:t>Riotous A</w:t>
      </w:r>
      <w:r w:rsidRPr="00505B1D">
        <w:rPr>
          <w:i/>
          <w:iCs/>
        </w:rPr>
        <w:t>ssembl</w:t>
      </w:r>
      <w:r w:rsidR="005E78FA" w:rsidRPr="00505B1D">
        <w:rPr>
          <w:i/>
          <w:iCs/>
        </w:rPr>
        <w:t>ies</w:t>
      </w:r>
      <w:r w:rsidRPr="00505B1D">
        <w:rPr>
          <w:i/>
          <w:iCs/>
        </w:rPr>
        <w:t xml:space="preserve"> </w:t>
      </w:r>
      <w:r w:rsidR="005E78FA" w:rsidRPr="00505B1D">
        <w:rPr>
          <w:i/>
          <w:iCs/>
        </w:rPr>
        <w:t>Act</w:t>
      </w:r>
      <w:r w:rsidRPr="00505B1D">
        <w:rPr>
          <w:i/>
          <w:iCs/>
        </w:rPr>
        <w:t xml:space="preserve">, be much more than the ordinary need to protect society from potential </w:t>
      </w:r>
      <w:r w:rsidR="005E78FA" w:rsidRPr="00505B1D">
        <w:rPr>
          <w:i/>
          <w:iCs/>
        </w:rPr>
        <w:t>‘</w:t>
      </w:r>
      <w:r w:rsidRPr="00505B1D">
        <w:rPr>
          <w:i/>
          <w:iCs/>
        </w:rPr>
        <w:t>harm</w:t>
      </w:r>
      <w:r w:rsidR="00FE14A0" w:rsidRPr="00505B1D">
        <w:rPr>
          <w:i/>
          <w:iCs/>
        </w:rPr>
        <w:t>,’</w:t>
      </w:r>
      <w:r w:rsidRPr="00505B1D">
        <w:rPr>
          <w:i/>
          <w:iCs/>
        </w:rPr>
        <w:t xml:space="preserve"> to pass constitutional </w:t>
      </w:r>
      <w:r w:rsidR="005E78FA" w:rsidRPr="00505B1D">
        <w:rPr>
          <w:i/>
          <w:iCs/>
        </w:rPr>
        <w:t>muster.</w:t>
      </w:r>
      <w:r w:rsidRPr="00505B1D">
        <w:rPr>
          <w:i/>
          <w:iCs/>
        </w:rPr>
        <w:t xml:space="preserve"> Additional to be</w:t>
      </w:r>
      <w:r w:rsidR="005E78FA" w:rsidRPr="00505B1D">
        <w:rPr>
          <w:i/>
          <w:iCs/>
        </w:rPr>
        <w:t>ing legitimate,</w:t>
      </w:r>
      <w:r w:rsidRPr="00505B1D">
        <w:rPr>
          <w:i/>
          <w:iCs/>
        </w:rPr>
        <w:t xml:space="preserve"> </w:t>
      </w:r>
      <w:r w:rsidR="005E78FA" w:rsidRPr="00505B1D">
        <w:rPr>
          <w:i/>
          <w:iCs/>
        </w:rPr>
        <w:t xml:space="preserve">the purpose </w:t>
      </w:r>
      <w:r w:rsidR="00505B1D" w:rsidRPr="00505B1D">
        <w:rPr>
          <w:i/>
          <w:iCs/>
        </w:rPr>
        <w:t xml:space="preserve">must still be specific, </w:t>
      </w:r>
      <w:r w:rsidR="00BA27ED" w:rsidRPr="00505B1D">
        <w:rPr>
          <w:i/>
          <w:iCs/>
        </w:rPr>
        <w:t>pressing,</w:t>
      </w:r>
      <w:r w:rsidRPr="00505B1D">
        <w:rPr>
          <w:i/>
          <w:iCs/>
        </w:rPr>
        <w:t xml:space="preserve"> and substantial for th</w:t>
      </w:r>
      <w:r w:rsidR="00505B1D" w:rsidRPr="00505B1D">
        <w:rPr>
          <w:i/>
          <w:iCs/>
        </w:rPr>
        <w:t>at</w:t>
      </w:r>
      <w:r w:rsidRPr="00505B1D">
        <w:rPr>
          <w:i/>
          <w:iCs/>
        </w:rPr>
        <w:t xml:space="preserve"> </w:t>
      </w:r>
      <w:r w:rsidR="00505B1D" w:rsidRPr="00505B1D">
        <w:rPr>
          <w:i/>
          <w:iCs/>
        </w:rPr>
        <w:t xml:space="preserve">legislation </w:t>
      </w:r>
      <w:r w:rsidRPr="00505B1D">
        <w:rPr>
          <w:i/>
          <w:iCs/>
        </w:rPr>
        <w:t xml:space="preserve">to be regarded as reasonable and justifiable in its </w:t>
      </w:r>
      <w:r w:rsidR="00505B1D" w:rsidRPr="00505B1D">
        <w:rPr>
          <w:i/>
          <w:iCs/>
        </w:rPr>
        <w:t>lim</w:t>
      </w:r>
      <w:r w:rsidRPr="00505B1D">
        <w:rPr>
          <w:i/>
          <w:iCs/>
        </w:rPr>
        <w:t>itation of free expression.</w:t>
      </w:r>
    </w:p>
    <w:p w14:paraId="0B3137B0" w14:textId="2DF03907" w:rsidR="007C4D4C" w:rsidRDefault="007C4D4C" w:rsidP="00BE7C12">
      <w:pPr>
        <w:pStyle w:val="ListParagraph"/>
        <w:spacing w:line="480" w:lineRule="auto"/>
        <w:jc w:val="both"/>
      </w:pPr>
      <w:r w:rsidRPr="00505B1D">
        <w:rPr>
          <w:i/>
          <w:iCs/>
        </w:rPr>
        <w:t xml:space="preserve">[50] </w:t>
      </w:r>
      <w:r w:rsidR="00505B1D" w:rsidRPr="00505B1D">
        <w:rPr>
          <w:i/>
          <w:iCs/>
        </w:rPr>
        <w:t>There</w:t>
      </w:r>
      <w:r w:rsidRPr="00505B1D">
        <w:rPr>
          <w:i/>
          <w:iCs/>
        </w:rPr>
        <w:t xml:space="preserve"> can be no doubt that we need the criminalization of certain categories of </w:t>
      </w:r>
      <w:r w:rsidR="00505B1D" w:rsidRPr="00505B1D">
        <w:rPr>
          <w:i/>
          <w:iCs/>
        </w:rPr>
        <w:t>in</w:t>
      </w:r>
      <w:r w:rsidRPr="00505B1D">
        <w:rPr>
          <w:i/>
          <w:iCs/>
        </w:rPr>
        <w:t>citement. What all matters is that the nature</w:t>
      </w:r>
      <w:r w:rsidR="00505B1D" w:rsidRPr="00505B1D">
        <w:rPr>
          <w:i/>
          <w:iCs/>
        </w:rPr>
        <w:t>,</w:t>
      </w:r>
      <w:r w:rsidRPr="00505B1D">
        <w:rPr>
          <w:i/>
          <w:iCs/>
        </w:rPr>
        <w:t xml:space="preserve"> </w:t>
      </w:r>
      <w:r w:rsidR="00BA27ED" w:rsidRPr="00505B1D">
        <w:rPr>
          <w:i/>
          <w:iCs/>
        </w:rPr>
        <w:t>extent,</w:t>
      </w:r>
      <w:r w:rsidRPr="00505B1D">
        <w:rPr>
          <w:i/>
          <w:iCs/>
        </w:rPr>
        <w:t xml:space="preserve"> or effect of </w:t>
      </w:r>
      <w:r w:rsidR="00505B1D" w:rsidRPr="00505B1D">
        <w:rPr>
          <w:i/>
          <w:iCs/>
        </w:rPr>
        <w:t>what</w:t>
      </w:r>
      <w:r w:rsidRPr="00505B1D">
        <w:rPr>
          <w:i/>
          <w:iCs/>
        </w:rPr>
        <w:t xml:space="preserve"> others are being incited to do must be serious to save legislation from invalidation. </w:t>
      </w:r>
      <w:r w:rsidR="005E78FA" w:rsidRPr="00505B1D">
        <w:rPr>
          <w:i/>
          <w:iCs/>
        </w:rPr>
        <w:t xml:space="preserve">The prohibition of incitement is thus to be countenanced in circumstances where it seeks </w:t>
      </w:r>
      <w:r w:rsidR="00505B1D" w:rsidRPr="00505B1D">
        <w:rPr>
          <w:i/>
          <w:iCs/>
        </w:rPr>
        <w:t xml:space="preserve">to </w:t>
      </w:r>
      <w:r w:rsidR="005E78FA" w:rsidRPr="00505B1D">
        <w:rPr>
          <w:i/>
          <w:iCs/>
        </w:rPr>
        <w:t xml:space="preserve">prevent the </w:t>
      </w:r>
      <w:r w:rsidR="00505B1D" w:rsidRPr="00505B1D">
        <w:rPr>
          <w:i/>
          <w:iCs/>
        </w:rPr>
        <w:t>co</w:t>
      </w:r>
      <w:r w:rsidR="005E78FA" w:rsidRPr="00505B1D">
        <w:rPr>
          <w:i/>
          <w:iCs/>
        </w:rPr>
        <w:t xml:space="preserve">mmission of a serious offence. The limitation must demonstrably be in the interest of </w:t>
      </w:r>
      <w:r w:rsidR="005E78FA" w:rsidRPr="00505B1D">
        <w:rPr>
          <w:i/>
          <w:iCs/>
        </w:rPr>
        <w:lastRenderedPageBreak/>
        <w:t xml:space="preserve">the public and appropriately tailored so as not to deny </w:t>
      </w:r>
      <w:r w:rsidR="00505B1D" w:rsidRPr="00505B1D">
        <w:rPr>
          <w:i/>
          <w:iCs/>
        </w:rPr>
        <w:t>citizens</w:t>
      </w:r>
      <w:r w:rsidR="005E78FA" w:rsidRPr="00505B1D">
        <w:rPr>
          <w:i/>
          <w:iCs/>
        </w:rPr>
        <w:t xml:space="preserve"> their fundamental rights where this could have been avoided</w:t>
      </w:r>
      <w:r w:rsidR="005E78FA" w:rsidRPr="005E78FA">
        <w:t>.</w:t>
      </w:r>
    </w:p>
    <w:p w14:paraId="4611F647" w14:textId="79C53105" w:rsidR="00505B1D" w:rsidRDefault="00451024" w:rsidP="00BE7C12">
      <w:pPr>
        <w:pStyle w:val="ListParagraph"/>
        <w:spacing w:line="480" w:lineRule="auto"/>
        <w:jc w:val="both"/>
      </w:pPr>
      <w:r>
        <w:t xml:space="preserve">[23] </w:t>
      </w:r>
      <w:r w:rsidR="00505B1D" w:rsidRPr="00505B1D">
        <w:t xml:space="preserve">The </w:t>
      </w:r>
      <w:r w:rsidR="00615F10">
        <w:t>C</w:t>
      </w:r>
      <w:r w:rsidR="00505B1D" w:rsidRPr="00505B1D">
        <w:t xml:space="preserve">onstitutional court provided some guidance </w:t>
      </w:r>
      <w:r w:rsidR="00BA27ED">
        <w:t xml:space="preserve">in paragraph [71] </w:t>
      </w:r>
      <w:r w:rsidR="00505B1D" w:rsidRPr="00505B1D">
        <w:t xml:space="preserve">as </w:t>
      </w:r>
      <w:r w:rsidR="00992F69">
        <w:t>to what</w:t>
      </w:r>
      <w:r w:rsidR="00505B1D" w:rsidRPr="00505B1D">
        <w:t xml:space="preserve"> would be considered as a serious crim</w:t>
      </w:r>
      <w:r w:rsidR="00992F69">
        <w:t>e</w:t>
      </w:r>
      <w:r w:rsidR="00505B1D" w:rsidRPr="00505B1D">
        <w:t>.</w:t>
      </w:r>
      <w:r w:rsidR="00073B59">
        <w:t xml:space="preserve"> </w:t>
      </w:r>
      <w:r w:rsidR="007839B1">
        <w:t>It</w:t>
      </w:r>
      <w:r w:rsidR="00BA27ED">
        <w:t xml:space="preserve"> referred </w:t>
      </w:r>
      <w:r w:rsidR="00BA27ED" w:rsidRPr="00BA27ED">
        <w:t xml:space="preserve">to schedule </w:t>
      </w:r>
      <w:r w:rsidR="00BA27ED">
        <w:t xml:space="preserve">1,2 (parts II and III) </w:t>
      </w:r>
      <w:r w:rsidR="00BA27ED" w:rsidRPr="00BA27ED">
        <w:t xml:space="preserve">and </w:t>
      </w:r>
      <w:r w:rsidR="00BA27ED">
        <w:t>5-8</w:t>
      </w:r>
      <w:r w:rsidR="00BA27ED" w:rsidRPr="00BA27ED">
        <w:t xml:space="preserve"> of the </w:t>
      </w:r>
      <w:r w:rsidR="00BA27ED">
        <w:t>C</w:t>
      </w:r>
      <w:r w:rsidR="00BA27ED" w:rsidRPr="00BA27ED">
        <w:t xml:space="preserve">riminal </w:t>
      </w:r>
      <w:r w:rsidR="00BA27ED">
        <w:t>P</w:t>
      </w:r>
      <w:r w:rsidR="00BA27ED" w:rsidRPr="00BA27ED">
        <w:t xml:space="preserve">rocedure </w:t>
      </w:r>
      <w:r w:rsidR="00BA27ED">
        <w:t>A</w:t>
      </w:r>
      <w:r w:rsidR="00BA27ED" w:rsidRPr="00BA27ED">
        <w:t>ct</w:t>
      </w:r>
      <w:r w:rsidR="00BA27ED">
        <w:t xml:space="preserve"> 51 of 1977</w:t>
      </w:r>
      <w:r w:rsidR="00615F10">
        <w:t xml:space="preserve"> (CPA)</w:t>
      </w:r>
      <w:r w:rsidR="00BA27ED" w:rsidRPr="00BA27ED">
        <w:t>.</w:t>
      </w:r>
      <w:r w:rsidR="00BA27ED">
        <w:t xml:space="preserve"> </w:t>
      </w:r>
      <w:r w:rsidR="004D43D2">
        <w:t>It then added a rider that its attempt at defining “</w:t>
      </w:r>
      <w:r w:rsidR="004D43D2" w:rsidRPr="007839B1">
        <w:rPr>
          <w:i/>
          <w:iCs/>
        </w:rPr>
        <w:t>serious offences”</w:t>
      </w:r>
      <w:r w:rsidR="004D43D2">
        <w:t xml:space="preserve"> might not include the complete list of the relevant offences. </w:t>
      </w:r>
      <w:r w:rsidR="00505B1D" w:rsidRPr="00505B1D">
        <w:t xml:space="preserve">The crime of </w:t>
      </w:r>
      <w:r w:rsidR="00BA27ED">
        <w:t>t</w:t>
      </w:r>
      <w:r w:rsidR="00505B1D" w:rsidRPr="00505B1D">
        <w:t xml:space="preserve">respassing </w:t>
      </w:r>
      <w:r w:rsidR="00BA27ED">
        <w:t xml:space="preserve">though </w:t>
      </w:r>
      <w:r w:rsidR="00505B1D" w:rsidRPr="00505B1D">
        <w:t xml:space="preserve">is still to be regarded as such for the purposes of crime incitement. In paragraph </w:t>
      </w:r>
      <w:r w:rsidR="00615F10">
        <w:t>[</w:t>
      </w:r>
      <w:r w:rsidR="00505B1D" w:rsidRPr="00505B1D">
        <w:t>51</w:t>
      </w:r>
      <w:r w:rsidR="00615F10">
        <w:t>]</w:t>
      </w:r>
      <w:r w:rsidR="00505B1D" w:rsidRPr="00505B1D">
        <w:t xml:space="preserve"> the </w:t>
      </w:r>
      <w:r w:rsidR="00505B1D">
        <w:t>Constitutional Court</w:t>
      </w:r>
      <w:r w:rsidR="00505B1D" w:rsidRPr="00505B1D">
        <w:t xml:space="preserve"> held that</w:t>
      </w:r>
      <w:r w:rsidR="00505B1D">
        <w:t>”</w:t>
      </w:r>
    </w:p>
    <w:p w14:paraId="3F1F0DAF" w14:textId="05D57A28" w:rsidR="00505B1D" w:rsidRDefault="00505B1D" w:rsidP="00BE7C12">
      <w:pPr>
        <w:pStyle w:val="ListParagraph"/>
        <w:spacing w:line="480" w:lineRule="auto"/>
        <w:jc w:val="both"/>
        <w:rPr>
          <w:i/>
          <w:iCs/>
        </w:rPr>
      </w:pPr>
      <w:r w:rsidRPr="00505B1D">
        <w:rPr>
          <w:i/>
          <w:iCs/>
        </w:rPr>
        <w:t xml:space="preserve">[51] </w:t>
      </w:r>
      <w:r>
        <w:rPr>
          <w:i/>
          <w:iCs/>
        </w:rPr>
        <w:t>T</w:t>
      </w:r>
      <w:r w:rsidRPr="00505B1D">
        <w:rPr>
          <w:i/>
          <w:iCs/>
        </w:rPr>
        <w:t xml:space="preserve">he limitation must not extend to minor offences or offences that threaten no serious harm or danger either individuals, </w:t>
      </w:r>
      <w:r>
        <w:rPr>
          <w:i/>
          <w:iCs/>
        </w:rPr>
        <w:t>society</w:t>
      </w:r>
      <w:r w:rsidRPr="00505B1D">
        <w:rPr>
          <w:i/>
          <w:iCs/>
        </w:rPr>
        <w:t xml:space="preserve"> or public order, </w:t>
      </w:r>
      <w:r w:rsidR="00FE14A0" w:rsidRPr="00505B1D">
        <w:rPr>
          <w:i/>
          <w:iCs/>
        </w:rPr>
        <w:t>property,</w:t>
      </w:r>
      <w:r w:rsidRPr="00505B1D">
        <w:rPr>
          <w:i/>
          <w:iCs/>
        </w:rPr>
        <w:t xml:space="preserve"> or the economy….”</w:t>
      </w:r>
    </w:p>
    <w:p w14:paraId="0F2202D5" w14:textId="0ED0F647" w:rsidR="00096CFB" w:rsidRDefault="00992F69" w:rsidP="00BE7C12">
      <w:pPr>
        <w:pStyle w:val="ListParagraph"/>
        <w:spacing w:line="480" w:lineRule="auto"/>
        <w:jc w:val="both"/>
      </w:pPr>
      <w:r>
        <w:t xml:space="preserve">Quite clearly this is an indication that the limitation could and should extend to cases where serious harm and danger was threatened to the property, the economy, </w:t>
      </w:r>
      <w:r w:rsidR="00FE14A0">
        <w:t>individuals,</w:t>
      </w:r>
      <w:r>
        <w:t xml:space="preserve"> </w:t>
      </w:r>
      <w:r w:rsidR="005D2C08">
        <w:t>or public order.</w:t>
      </w:r>
    </w:p>
    <w:p w14:paraId="653822AD" w14:textId="7DB09DD0" w:rsidR="007229D0" w:rsidRDefault="00451024" w:rsidP="00BE7C12">
      <w:pPr>
        <w:pStyle w:val="ListParagraph"/>
        <w:spacing w:line="480" w:lineRule="auto"/>
        <w:jc w:val="both"/>
      </w:pPr>
      <w:r>
        <w:t>[</w:t>
      </w:r>
      <w:r w:rsidR="00137530">
        <w:t>24] In</w:t>
      </w:r>
      <w:r w:rsidR="007229D0">
        <w:t xml:space="preserve"> paragraph [63] it was held that the incitement of crimes that are “</w:t>
      </w:r>
      <w:r w:rsidR="007229D0" w:rsidRPr="007229D0">
        <w:rPr>
          <w:i/>
          <w:iCs/>
        </w:rPr>
        <w:t>potentially serious”</w:t>
      </w:r>
      <w:r w:rsidR="007229D0" w:rsidRPr="007229D0">
        <w:t xml:space="preserve"> could still be justified</w:t>
      </w:r>
      <w:r w:rsidR="007229D0">
        <w:rPr>
          <w:i/>
          <w:iCs/>
        </w:rPr>
        <w:t xml:space="preserve">. </w:t>
      </w:r>
      <w:r w:rsidR="007229D0">
        <w:t>The Court had the following to say:</w:t>
      </w:r>
    </w:p>
    <w:p w14:paraId="50D80A57" w14:textId="5AF1ECEE" w:rsidR="007229D0" w:rsidRDefault="007229D0" w:rsidP="00BE7C12">
      <w:pPr>
        <w:pStyle w:val="ListParagraph"/>
        <w:spacing w:line="480" w:lineRule="auto"/>
        <w:jc w:val="both"/>
        <w:rPr>
          <w:i/>
          <w:iCs/>
        </w:rPr>
      </w:pPr>
      <w:r w:rsidRPr="00630A22">
        <w:rPr>
          <w:i/>
          <w:iCs/>
        </w:rPr>
        <w:t xml:space="preserve">“[63] It must be emphasised that a less restrictive means for proscribing constitutionally objectionable incitement is the exclusion from its range, of those offences that are minor but not necessarily de </w:t>
      </w:r>
      <w:proofErr w:type="spellStart"/>
      <w:r w:rsidRPr="00630A22">
        <w:rPr>
          <w:i/>
          <w:iCs/>
        </w:rPr>
        <w:t>minimis</w:t>
      </w:r>
      <w:proofErr w:type="spellEnd"/>
      <w:r w:rsidRPr="00630A22">
        <w:rPr>
          <w:i/>
          <w:iCs/>
        </w:rPr>
        <w:t xml:space="preserve"> in character. As stated, that could be achieved by criminalising the incitement of only those offences that are potentially serious. Perpetrators of any offence would still be prosecuted and punished. Accomplices would still face the wrath of the common law</w:t>
      </w:r>
      <w:r w:rsidR="00630A22" w:rsidRPr="00630A22">
        <w:rPr>
          <w:i/>
          <w:iCs/>
        </w:rPr>
        <w:t>.</w:t>
      </w:r>
      <w:r w:rsidRPr="00630A22">
        <w:rPr>
          <w:i/>
          <w:iCs/>
        </w:rPr>
        <w:t xml:space="preserve"> </w:t>
      </w:r>
      <w:r w:rsidR="00630A22" w:rsidRPr="00630A22">
        <w:rPr>
          <w:i/>
          <w:iCs/>
        </w:rPr>
        <w:t xml:space="preserve">The </w:t>
      </w:r>
      <w:r w:rsidRPr="00630A22">
        <w:rPr>
          <w:i/>
          <w:iCs/>
        </w:rPr>
        <w:t>exclusion of inciters of m</w:t>
      </w:r>
      <w:r w:rsidR="00630A22" w:rsidRPr="00630A22">
        <w:rPr>
          <w:i/>
          <w:iCs/>
        </w:rPr>
        <w:t>i</w:t>
      </w:r>
      <w:r w:rsidRPr="00630A22">
        <w:rPr>
          <w:i/>
          <w:iCs/>
        </w:rPr>
        <w:t>n</w:t>
      </w:r>
      <w:r w:rsidR="00630A22" w:rsidRPr="00630A22">
        <w:rPr>
          <w:i/>
          <w:iCs/>
        </w:rPr>
        <w:t>o</w:t>
      </w:r>
      <w:r w:rsidRPr="00630A22">
        <w:rPr>
          <w:i/>
          <w:iCs/>
        </w:rPr>
        <w:t>r or lesser offences and targeting in</w:t>
      </w:r>
      <w:r w:rsidR="00630A22" w:rsidRPr="00630A22">
        <w:rPr>
          <w:i/>
          <w:iCs/>
        </w:rPr>
        <w:t>citers</w:t>
      </w:r>
      <w:r w:rsidRPr="00630A22">
        <w:rPr>
          <w:i/>
          <w:iCs/>
        </w:rPr>
        <w:t xml:space="preserve"> of serious offences cannot undermined the important objective of crime prevention as feared by the state. The value of circumscribing this limitation </w:t>
      </w:r>
      <w:r w:rsidR="00630A22" w:rsidRPr="00630A22">
        <w:rPr>
          <w:i/>
          <w:iCs/>
        </w:rPr>
        <w:t xml:space="preserve">is </w:t>
      </w:r>
      <w:r w:rsidRPr="00630A22">
        <w:rPr>
          <w:i/>
          <w:iCs/>
        </w:rPr>
        <w:t xml:space="preserve">that the right to free expression would be protected, </w:t>
      </w:r>
      <w:r w:rsidRPr="00630A22">
        <w:rPr>
          <w:i/>
          <w:iCs/>
        </w:rPr>
        <w:lastRenderedPageBreak/>
        <w:t xml:space="preserve">respected, </w:t>
      </w:r>
      <w:r w:rsidR="00FE14A0" w:rsidRPr="00630A22">
        <w:rPr>
          <w:i/>
          <w:iCs/>
        </w:rPr>
        <w:t>promoted,</w:t>
      </w:r>
      <w:r w:rsidRPr="00630A22">
        <w:rPr>
          <w:i/>
          <w:iCs/>
        </w:rPr>
        <w:t xml:space="preserve"> and fulfilled as the </w:t>
      </w:r>
      <w:r w:rsidR="00630A22" w:rsidRPr="00630A22">
        <w:rPr>
          <w:i/>
          <w:iCs/>
        </w:rPr>
        <w:t>Constitutional Court</w:t>
      </w:r>
      <w:r w:rsidRPr="00630A22">
        <w:rPr>
          <w:i/>
          <w:iCs/>
        </w:rPr>
        <w:t xml:space="preserve"> demands of the state, and serious crime would still be effectively combated.</w:t>
      </w:r>
    </w:p>
    <w:p w14:paraId="308768E3" w14:textId="16C5F43A" w:rsidR="000552A4" w:rsidRDefault="000552A4" w:rsidP="00BE7C12">
      <w:pPr>
        <w:pStyle w:val="ListParagraph"/>
        <w:spacing w:line="480" w:lineRule="auto"/>
        <w:jc w:val="both"/>
      </w:pPr>
      <w:r w:rsidRPr="007839B1">
        <w:t>S</w:t>
      </w:r>
      <w:r>
        <w:t>chedule</w:t>
      </w:r>
      <w:r w:rsidR="007839B1">
        <w:t xml:space="preserve"> 1 of the CPA determines </w:t>
      </w:r>
      <w:r>
        <w:t xml:space="preserve">the </w:t>
      </w:r>
      <w:r w:rsidRPr="007839B1">
        <w:t>seriousness</w:t>
      </w:r>
      <w:r w:rsidR="007839B1" w:rsidRPr="007839B1">
        <w:t xml:space="preserve"> of an offence by the type of sentence that </w:t>
      </w:r>
      <w:r w:rsidRPr="007839B1">
        <w:t>a</w:t>
      </w:r>
      <w:r w:rsidR="007839B1" w:rsidRPr="007839B1">
        <w:t xml:space="preserve"> court </w:t>
      </w:r>
      <w:r>
        <w:t xml:space="preserve">may impose </w:t>
      </w:r>
      <w:r w:rsidR="007839B1" w:rsidRPr="007839B1">
        <w:t>on conviction of a person who committed such an offence</w:t>
      </w:r>
      <w:r>
        <w:t xml:space="preserve">. </w:t>
      </w:r>
    </w:p>
    <w:p w14:paraId="154650DE" w14:textId="77777777" w:rsidR="000552A4" w:rsidRDefault="000552A4" w:rsidP="00BE7C12">
      <w:pPr>
        <w:pStyle w:val="ListParagraph"/>
        <w:spacing w:line="480" w:lineRule="auto"/>
        <w:jc w:val="both"/>
      </w:pPr>
      <w:r>
        <w:t>It states as follows:</w:t>
      </w:r>
    </w:p>
    <w:p w14:paraId="71BC9686" w14:textId="5A4F87F3" w:rsidR="007839B1" w:rsidRDefault="000552A4" w:rsidP="00BE7C12">
      <w:pPr>
        <w:pStyle w:val="ListParagraph"/>
        <w:spacing w:line="480" w:lineRule="auto"/>
        <w:jc w:val="both"/>
        <w:rPr>
          <w:i/>
          <w:iCs/>
        </w:rPr>
      </w:pPr>
      <w:r w:rsidRPr="000552A4">
        <w:rPr>
          <w:i/>
          <w:iCs/>
        </w:rPr>
        <w:t>“A</w:t>
      </w:r>
      <w:r w:rsidR="007839B1" w:rsidRPr="000552A4">
        <w:rPr>
          <w:i/>
          <w:iCs/>
        </w:rPr>
        <w:t xml:space="preserve">ny offence </w:t>
      </w:r>
      <w:r w:rsidRPr="000552A4">
        <w:rPr>
          <w:i/>
          <w:iCs/>
        </w:rPr>
        <w:t>ex</w:t>
      </w:r>
      <w:r w:rsidR="007839B1" w:rsidRPr="000552A4">
        <w:rPr>
          <w:i/>
          <w:iCs/>
        </w:rPr>
        <w:t>cept the offen</w:t>
      </w:r>
      <w:r w:rsidRPr="000552A4">
        <w:rPr>
          <w:i/>
          <w:iCs/>
        </w:rPr>
        <w:t xml:space="preserve">ce of </w:t>
      </w:r>
      <w:r w:rsidR="007839B1" w:rsidRPr="000552A4">
        <w:rPr>
          <w:i/>
          <w:iCs/>
        </w:rPr>
        <w:t>escaping from la</w:t>
      </w:r>
      <w:r w:rsidRPr="000552A4">
        <w:rPr>
          <w:i/>
          <w:iCs/>
        </w:rPr>
        <w:t>wful</w:t>
      </w:r>
      <w:r w:rsidR="007839B1" w:rsidRPr="000552A4">
        <w:rPr>
          <w:i/>
          <w:iCs/>
        </w:rPr>
        <w:t xml:space="preserve"> custody in </w:t>
      </w:r>
      <w:r w:rsidRPr="000552A4">
        <w:rPr>
          <w:i/>
          <w:iCs/>
        </w:rPr>
        <w:t>circumstances</w:t>
      </w:r>
      <w:r w:rsidR="007839B1" w:rsidRPr="000552A4">
        <w:rPr>
          <w:i/>
          <w:iCs/>
        </w:rPr>
        <w:t xml:space="preserve"> other than the circumstances referred to immediately </w:t>
      </w:r>
      <w:r w:rsidRPr="000552A4">
        <w:rPr>
          <w:i/>
          <w:iCs/>
        </w:rPr>
        <w:t>hereu</w:t>
      </w:r>
      <w:r w:rsidR="007839B1" w:rsidRPr="000552A4">
        <w:rPr>
          <w:i/>
          <w:iCs/>
        </w:rPr>
        <w:t>nder</w:t>
      </w:r>
      <w:r w:rsidRPr="000552A4">
        <w:rPr>
          <w:i/>
          <w:iCs/>
        </w:rPr>
        <w:t>,</w:t>
      </w:r>
      <w:r w:rsidR="007839B1" w:rsidRPr="000552A4">
        <w:rPr>
          <w:i/>
          <w:iCs/>
        </w:rPr>
        <w:t xml:space="preserve"> the punishment </w:t>
      </w:r>
      <w:proofErr w:type="spellStart"/>
      <w:r w:rsidR="007839B1" w:rsidRPr="000552A4">
        <w:rPr>
          <w:i/>
          <w:iCs/>
        </w:rPr>
        <w:t>w</w:t>
      </w:r>
      <w:r w:rsidRPr="000552A4">
        <w:rPr>
          <w:i/>
          <w:iCs/>
        </w:rPr>
        <w:t>h</w:t>
      </w:r>
      <w:r w:rsidR="007839B1" w:rsidRPr="000552A4">
        <w:rPr>
          <w:i/>
          <w:iCs/>
        </w:rPr>
        <w:t>ere</w:t>
      </w:r>
      <w:r w:rsidRPr="000552A4">
        <w:rPr>
          <w:i/>
          <w:iCs/>
        </w:rPr>
        <w:t>for</w:t>
      </w:r>
      <w:proofErr w:type="spellEnd"/>
      <w:r w:rsidR="007839B1" w:rsidRPr="000552A4">
        <w:rPr>
          <w:i/>
          <w:iCs/>
        </w:rPr>
        <w:t xml:space="preserve"> maybe a period of imprisonment exceeding six months without option for fi</w:t>
      </w:r>
      <w:r w:rsidRPr="000552A4">
        <w:rPr>
          <w:i/>
          <w:iCs/>
        </w:rPr>
        <w:t>n</w:t>
      </w:r>
      <w:r w:rsidR="007839B1" w:rsidRPr="000552A4">
        <w:rPr>
          <w:i/>
          <w:iCs/>
        </w:rPr>
        <w:t>e.</w:t>
      </w:r>
      <w:r w:rsidRPr="000552A4">
        <w:rPr>
          <w:i/>
          <w:iCs/>
        </w:rPr>
        <w:t>”</w:t>
      </w:r>
    </w:p>
    <w:p w14:paraId="381F50EA" w14:textId="6E2ED127" w:rsidR="001F7A84" w:rsidRDefault="001F7A84" w:rsidP="00BE7C12">
      <w:pPr>
        <w:pStyle w:val="ListParagraph"/>
        <w:spacing w:line="480" w:lineRule="auto"/>
        <w:jc w:val="both"/>
      </w:pPr>
      <w:r w:rsidRPr="001F7A84">
        <w:t xml:space="preserve">According to the </w:t>
      </w:r>
      <w:r>
        <w:t>Schedule 1of the CPA, according</w:t>
      </w:r>
      <w:r w:rsidRPr="001F7A84">
        <w:t xml:space="preserve"> to the </w:t>
      </w:r>
      <w:r>
        <w:t xml:space="preserve">Constitutional Court’s </w:t>
      </w:r>
      <w:r w:rsidRPr="001F7A84">
        <w:t>interpretation</w:t>
      </w:r>
      <w:r>
        <w:t>,</w:t>
      </w:r>
      <w:r w:rsidRPr="001F7A84">
        <w:t xml:space="preserve"> incitement of the crime of trespassing still </w:t>
      </w:r>
      <w:r>
        <w:t>constitutes a serious</w:t>
      </w:r>
      <w:r w:rsidRPr="001F7A84">
        <w:t xml:space="preserve"> crime despite considerations of free speech. Section 2</w:t>
      </w:r>
      <w:r>
        <w:t xml:space="preserve">(1) </w:t>
      </w:r>
      <w:r w:rsidRPr="001F7A84">
        <w:t xml:space="preserve">of the </w:t>
      </w:r>
      <w:r>
        <w:t xml:space="preserve">TA </w:t>
      </w:r>
      <w:r w:rsidRPr="001F7A84">
        <w:t>provide</w:t>
      </w:r>
      <w:r>
        <w:t>s</w:t>
      </w:r>
      <w:r w:rsidRPr="001F7A84">
        <w:t xml:space="preserve"> </w:t>
      </w:r>
      <w:r>
        <w:t>as</w:t>
      </w:r>
      <w:r w:rsidRPr="001F7A84">
        <w:t xml:space="preserve"> follows</w:t>
      </w:r>
      <w:r>
        <w:t>”</w:t>
      </w:r>
    </w:p>
    <w:p w14:paraId="7F316F01" w14:textId="4EF3F214" w:rsidR="001F7A84" w:rsidRDefault="001F7A84" w:rsidP="00BE7C12">
      <w:pPr>
        <w:pStyle w:val="ListParagraph"/>
        <w:spacing w:line="480" w:lineRule="auto"/>
        <w:jc w:val="both"/>
      </w:pPr>
      <w:r w:rsidRPr="00C779F9">
        <w:rPr>
          <w:i/>
          <w:iCs/>
        </w:rPr>
        <w:t>“2(1) Any Person convicted of an offence under section 1 shall be liable to a fine not exceeding R2000 or to imprisonment for a period not exceeding two years or to both such fine and such imprisonment</w:t>
      </w:r>
      <w:r w:rsidRPr="001F7A84">
        <w:t>.</w:t>
      </w:r>
    </w:p>
    <w:p w14:paraId="7F9ADB4E" w14:textId="2DE8C91B" w:rsidR="004C177A" w:rsidRDefault="004C177A" w:rsidP="00BE7C12">
      <w:pPr>
        <w:pStyle w:val="ListParagraph"/>
        <w:spacing w:line="480" w:lineRule="auto"/>
        <w:jc w:val="both"/>
      </w:pPr>
      <w:r>
        <w:t xml:space="preserve">Therefore, </w:t>
      </w:r>
      <w:r w:rsidRPr="004C177A">
        <w:t xml:space="preserve">imprisonment without </w:t>
      </w:r>
      <w:r>
        <w:t xml:space="preserve">the </w:t>
      </w:r>
      <w:r w:rsidRPr="004C177A">
        <w:t xml:space="preserve">option of </w:t>
      </w:r>
      <w:r>
        <w:t xml:space="preserve">a </w:t>
      </w:r>
      <w:r w:rsidRPr="004C177A">
        <w:t xml:space="preserve">fine that </w:t>
      </w:r>
      <w:r>
        <w:t xml:space="preserve">exceeds </w:t>
      </w:r>
      <w:r w:rsidRPr="004C177A">
        <w:t>six months in duration</w:t>
      </w:r>
      <w:r>
        <w:t>,</w:t>
      </w:r>
      <w:r w:rsidRPr="004C177A">
        <w:t xml:space="preserve"> can still be imposed for the </w:t>
      </w:r>
      <w:r>
        <w:t xml:space="preserve">crime </w:t>
      </w:r>
      <w:r w:rsidRPr="004C177A">
        <w:t>of trespassing without the a</w:t>
      </w:r>
      <w:r>
        <w:t>l</w:t>
      </w:r>
      <w:r w:rsidRPr="004C177A">
        <w:t>te</w:t>
      </w:r>
      <w:r>
        <w:t>rna</w:t>
      </w:r>
      <w:r w:rsidRPr="004C177A">
        <w:t xml:space="preserve">tive option </w:t>
      </w:r>
      <w:r>
        <w:t xml:space="preserve">of a fine. </w:t>
      </w:r>
    </w:p>
    <w:p w14:paraId="546BAA9D" w14:textId="52BA5B79" w:rsidR="009A3E7D" w:rsidRDefault="00451024" w:rsidP="00BE7C12">
      <w:pPr>
        <w:pStyle w:val="ListParagraph"/>
        <w:spacing w:line="480" w:lineRule="auto"/>
        <w:jc w:val="both"/>
      </w:pPr>
      <w:r>
        <w:t xml:space="preserve">[25] </w:t>
      </w:r>
      <w:r w:rsidR="004C177A">
        <w:t xml:space="preserve">In my view, there is no merit in the Respondents’ counsel argument that the underlining crime of incitement has been curtailed and found to be constitutionally impossible. One merely </w:t>
      </w:r>
      <w:r w:rsidR="00FE14A0">
        <w:t>must</w:t>
      </w:r>
      <w:r w:rsidR="004C177A">
        <w:t xml:space="preserve"> look at paragraph 5 of the Court Order to </w:t>
      </w:r>
      <w:r w:rsidR="00A439E9">
        <w:t>see how flawed</w:t>
      </w:r>
      <w:r w:rsidR="004C177A">
        <w:t xml:space="preserve"> </w:t>
      </w:r>
      <w:r w:rsidR="00A439E9">
        <w:t xml:space="preserve">Mr </w:t>
      </w:r>
      <w:proofErr w:type="spellStart"/>
      <w:r w:rsidR="00A439E9">
        <w:t>Premhid</w:t>
      </w:r>
      <w:proofErr w:type="spellEnd"/>
      <w:r w:rsidR="00A439E9">
        <w:t>’ argument is. The phrase “</w:t>
      </w:r>
      <w:r w:rsidR="00A439E9" w:rsidRPr="00EA24E6">
        <w:rPr>
          <w:i/>
          <w:iCs/>
        </w:rPr>
        <w:t xml:space="preserve">inciting and/or instigating and/or commanding and/or procuring any individual /to commit </w:t>
      </w:r>
      <w:r w:rsidR="00537131" w:rsidRPr="00EA24E6">
        <w:rPr>
          <w:i/>
          <w:iCs/>
        </w:rPr>
        <w:t>…...</w:t>
      </w:r>
      <w:r w:rsidR="00A439E9" w:rsidRPr="00EA24E6">
        <w:rPr>
          <w:i/>
          <w:iCs/>
        </w:rPr>
        <w:t>”</w:t>
      </w:r>
      <w:r w:rsidR="00A439E9">
        <w:t xml:space="preserve"> has not been abolished. It still constitutes part of the proposed section 18(2)(b)</w:t>
      </w:r>
      <w:r w:rsidR="00EA24E6">
        <w:t xml:space="preserve">. </w:t>
      </w:r>
      <w:r w:rsidR="00A439E9">
        <w:t xml:space="preserve">The Constitutional Court has made it abundantly clear </w:t>
      </w:r>
      <w:r w:rsidR="00EA24E6">
        <w:t xml:space="preserve">that </w:t>
      </w:r>
      <w:r w:rsidR="00A439E9">
        <w:t xml:space="preserve">the arguments by counsel for the Respondents have no merit. </w:t>
      </w:r>
    </w:p>
    <w:p w14:paraId="5677EE65" w14:textId="21262B6C" w:rsidR="004C177A" w:rsidRDefault="00137530" w:rsidP="00BE7C12">
      <w:pPr>
        <w:pStyle w:val="ListParagraph"/>
        <w:spacing w:line="480" w:lineRule="auto"/>
        <w:jc w:val="both"/>
      </w:pPr>
      <w:r>
        <w:lastRenderedPageBreak/>
        <w:t xml:space="preserve">[26] </w:t>
      </w:r>
      <w:r w:rsidR="009A3E7D">
        <w:t>The conclusion therefore is inescapable</w:t>
      </w:r>
      <w:r w:rsidR="00A439E9">
        <w:t xml:space="preserve"> </w:t>
      </w:r>
      <w:r w:rsidR="009A3E7D">
        <w:t xml:space="preserve">that </w:t>
      </w:r>
      <w:r w:rsidR="00A439E9">
        <w:t>ther</w:t>
      </w:r>
      <w:r w:rsidR="009A3E7D">
        <w:t>e</w:t>
      </w:r>
      <w:r w:rsidR="00A439E9">
        <w:t xml:space="preserve"> are no reasonable prospects </w:t>
      </w:r>
      <w:r w:rsidR="009A3E7D">
        <w:t xml:space="preserve">success </w:t>
      </w:r>
      <w:r w:rsidR="00A439E9">
        <w:t>that, if granted leave to appeal</w:t>
      </w:r>
      <w:r w:rsidR="009A3E7D">
        <w:t>, the Respondents</w:t>
      </w:r>
      <w:r w:rsidR="00274495">
        <w:t xml:space="preserve"> would have a</w:t>
      </w:r>
      <w:r w:rsidR="008905E2">
        <w:t>ny</w:t>
      </w:r>
      <w:r w:rsidR="00274495">
        <w:t xml:space="preserve"> reasonable prospect</w:t>
      </w:r>
      <w:r w:rsidR="008905E2">
        <w:t>s</w:t>
      </w:r>
      <w:r w:rsidR="00274495">
        <w:t xml:space="preserve"> of success.</w:t>
      </w:r>
    </w:p>
    <w:p w14:paraId="4AFD0484" w14:textId="3B4DED05" w:rsidR="002C0414" w:rsidRDefault="002C0414" w:rsidP="002C0414">
      <w:pPr>
        <w:pStyle w:val="ListParagraph"/>
        <w:spacing w:line="480" w:lineRule="auto"/>
        <w:jc w:val="both"/>
      </w:pPr>
    </w:p>
    <w:p w14:paraId="6D66F6C1" w14:textId="77A45E9A" w:rsidR="00D840C6" w:rsidRDefault="009A703E" w:rsidP="002C0414">
      <w:pPr>
        <w:pStyle w:val="ListParagraph"/>
        <w:spacing w:line="480" w:lineRule="auto"/>
        <w:jc w:val="both"/>
      </w:pPr>
      <w:r w:rsidRPr="009A703E">
        <w:rPr>
          <w:u w:val="single"/>
        </w:rPr>
        <w:t>OTHER GROUNDS UPON WHICH THE APPLICATION SHOULD BE REFUSED</w:t>
      </w:r>
      <w:r>
        <w:t>.</w:t>
      </w:r>
    </w:p>
    <w:p w14:paraId="77CE27B6" w14:textId="77777777" w:rsidR="009A703E" w:rsidRDefault="009A703E" w:rsidP="002C0414">
      <w:pPr>
        <w:pStyle w:val="ListParagraph"/>
        <w:spacing w:line="480" w:lineRule="auto"/>
        <w:jc w:val="both"/>
      </w:pPr>
    </w:p>
    <w:p w14:paraId="141AF7AE" w14:textId="684B644C" w:rsidR="00A436C4" w:rsidRDefault="00A436C4" w:rsidP="002C0414">
      <w:pPr>
        <w:pStyle w:val="ListParagraph"/>
        <w:spacing w:line="480" w:lineRule="auto"/>
        <w:jc w:val="both"/>
      </w:pPr>
      <w:r>
        <w:t>[27] T</w:t>
      </w:r>
      <w:r w:rsidRPr="00A436C4">
        <w:t xml:space="preserve">he </w:t>
      </w:r>
      <w:r>
        <w:t>A</w:t>
      </w:r>
      <w:r w:rsidRPr="00A436C4">
        <w:t>pplicants contend</w:t>
      </w:r>
      <w:r>
        <w:t>,</w:t>
      </w:r>
      <w:r w:rsidRPr="00A436C4">
        <w:t xml:space="preserve"> upon other grounds</w:t>
      </w:r>
      <w:r>
        <w:t>,</w:t>
      </w:r>
      <w:r w:rsidRPr="00A436C4">
        <w:t xml:space="preserve"> that the </w:t>
      </w:r>
      <w:r>
        <w:t>R</w:t>
      </w:r>
      <w:r w:rsidRPr="00A436C4">
        <w:t>espondent</w:t>
      </w:r>
      <w:r>
        <w:t>s’</w:t>
      </w:r>
      <w:r w:rsidRPr="00A436C4">
        <w:t xml:space="preserve"> application for leave to appeal should be </w:t>
      </w:r>
      <w:r w:rsidR="006E2767">
        <w:t xml:space="preserve">refused. </w:t>
      </w:r>
      <w:r>
        <w:t xml:space="preserve"> T</w:t>
      </w:r>
      <w:r w:rsidRPr="00A436C4">
        <w:t>he</w:t>
      </w:r>
      <w:r w:rsidR="006E2767">
        <w:t>y</w:t>
      </w:r>
      <w:r w:rsidRPr="00A436C4">
        <w:t xml:space="preserve"> have mentioned the following further grounds as the </w:t>
      </w:r>
      <w:r w:rsidR="00FE14A0" w:rsidRPr="00A436C4">
        <w:t>reason</w:t>
      </w:r>
      <w:r w:rsidRPr="00A436C4">
        <w:t xml:space="preserve"> </w:t>
      </w:r>
      <w:r w:rsidR="006E2767">
        <w:t xml:space="preserve">they contend that </w:t>
      </w:r>
      <w:r w:rsidRPr="00A436C4">
        <w:t xml:space="preserve">the application </w:t>
      </w:r>
      <w:r>
        <w:t xml:space="preserve">for leave to appeal should </w:t>
      </w:r>
      <w:r w:rsidRPr="00A436C4">
        <w:t>not be granted</w:t>
      </w:r>
      <w:r>
        <w:t>:</w:t>
      </w:r>
    </w:p>
    <w:p w14:paraId="2A5247FC" w14:textId="1F9B01BC" w:rsidR="00A436C4" w:rsidRDefault="00A436C4" w:rsidP="002C0414">
      <w:pPr>
        <w:pStyle w:val="ListParagraph"/>
        <w:spacing w:line="480" w:lineRule="auto"/>
        <w:jc w:val="both"/>
      </w:pPr>
      <w:r>
        <w:t xml:space="preserve">[27.1] </w:t>
      </w:r>
      <w:r w:rsidRPr="00A436C4">
        <w:t xml:space="preserve">lack of a proper application for condonation for the late filing of </w:t>
      </w:r>
      <w:r>
        <w:t xml:space="preserve">the </w:t>
      </w:r>
      <w:r w:rsidRPr="00A436C4">
        <w:t>application for leave to appeal coupled with lack of proper</w:t>
      </w:r>
      <w:r>
        <w:t xml:space="preserve">, </w:t>
      </w:r>
      <w:r w:rsidRPr="00A436C4">
        <w:t>and complete explanation for the dela</w:t>
      </w:r>
      <w:r>
        <w:t>y.</w:t>
      </w:r>
    </w:p>
    <w:p w14:paraId="6C13AA1E" w14:textId="221549B8" w:rsidR="00A436C4" w:rsidRDefault="00A436C4" w:rsidP="002C0414">
      <w:pPr>
        <w:pStyle w:val="ListParagraph"/>
        <w:spacing w:line="480" w:lineRule="auto"/>
        <w:jc w:val="both"/>
      </w:pPr>
      <w:r>
        <w:t xml:space="preserve">[27.2] </w:t>
      </w:r>
      <w:r w:rsidRPr="00A436C4">
        <w:t xml:space="preserve">no appeal lies against a judgement </w:t>
      </w:r>
      <w:r>
        <w:t xml:space="preserve">or </w:t>
      </w:r>
      <w:r w:rsidRPr="00A436C4">
        <w:t>order granted by default.</w:t>
      </w:r>
    </w:p>
    <w:p w14:paraId="25B9D836" w14:textId="65A84437" w:rsidR="00D840C6" w:rsidRDefault="00D840C6" w:rsidP="002C0414">
      <w:pPr>
        <w:pStyle w:val="ListParagraph"/>
        <w:spacing w:line="480" w:lineRule="auto"/>
        <w:jc w:val="both"/>
      </w:pPr>
    </w:p>
    <w:p w14:paraId="034DDF74" w14:textId="3CDB17EA" w:rsidR="00D840C6" w:rsidRDefault="00D840C6" w:rsidP="002C0414">
      <w:pPr>
        <w:pStyle w:val="ListParagraph"/>
        <w:spacing w:line="480" w:lineRule="auto"/>
        <w:jc w:val="both"/>
        <w:rPr>
          <w:u w:val="single"/>
        </w:rPr>
      </w:pPr>
      <w:r w:rsidRPr="00F31559">
        <w:rPr>
          <w:u w:val="single"/>
        </w:rPr>
        <w:t>CONDONATION</w:t>
      </w:r>
    </w:p>
    <w:p w14:paraId="3C313464" w14:textId="76B877AC" w:rsidR="00F31559" w:rsidRDefault="00F31559" w:rsidP="002C0414">
      <w:pPr>
        <w:pStyle w:val="ListParagraph"/>
        <w:spacing w:line="480" w:lineRule="auto"/>
        <w:jc w:val="both"/>
      </w:pPr>
      <w:r>
        <w:t xml:space="preserve">[28.1] </w:t>
      </w:r>
      <w:r w:rsidR="00231EC6">
        <w:t>T</w:t>
      </w:r>
      <w:r w:rsidRPr="00F31559">
        <w:t>his part of the judgment d</w:t>
      </w:r>
      <w:r>
        <w:t>eserves</w:t>
      </w:r>
      <w:r w:rsidRPr="00F31559">
        <w:t xml:space="preserve"> the background of the m</w:t>
      </w:r>
      <w:r>
        <w:t>atter.</w:t>
      </w:r>
    </w:p>
    <w:p w14:paraId="4B7FAE42" w14:textId="65847DEB" w:rsidR="00F31559" w:rsidRDefault="00F31559" w:rsidP="002C0414">
      <w:pPr>
        <w:pStyle w:val="ListParagraph"/>
        <w:spacing w:line="480" w:lineRule="auto"/>
        <w:jc w:val="both"/>
      </w:pPr>
      <w:r>
        <w:t xml:space="preserve">[28.2] </w:t>
      </w:r>
      <w:r w:rsidR="00231EC6">
        <w:t>T</w:t>
      </w:r>
      <w:r w:rsidRPr="00F31559">
        <w:t xml:space="preserve">he history to this matter is dealt with in paragraphs </w:t>
      </w:r>
      <w:r w:rsidR="00231EC6">
        <w:t xml:space="preserve">[8] to ]16] </w:t>
      </w:r>
      <w:r w:rsidRPr="00F31559">
        <w:t>supra.</w:t>
      </w:r>
      <w:r>
        <w:t xml:space="preserve"> </w:t>
      </w:r>
      <w:r w:rsidRPr="00F31559">
        <w:t>In par</w:t>
      </w:r>
      <w:r w:rsidR="00231EC6">
        <w:t>agraph</w:t>
      </w:r>
      <w:r w:rsidRPr="00F31559">
        <w:t xml:space="preserve"> 14 </w:t>
      </w:r>
      <w:r w:rsidR="00231EC6">
        <w:t>supra</w:t>
      </w:r>
      <w:r w:rsidRPr="00F31559">
        <w:t xml:space="preserve"> I pointed out that on 13 November 2018 the </w:t>
      </w:r>
      <w:r w:rsidR="00231EC6">
        <w:t>R</w:t>
      </w:r>
      <w:r w:rsidRPr="00F31559">
        <w:t>espondents delivered the</w:t>
      </w:r>
      <w:r w:rsidR="00231EC6">
        <w:t>ir</w:t>
      </w:r>
      <w:r w:rsidRPr="00F31559">
        <w:t xml:space="preserve"> application for leave to appeal against the order of </w:t>
      </w:r>
      <w:r w:rsidR="00231EC6">
        <w:t>7</w:t>
      </w:r>
      <w:r w:rsidRPr="00F31559">
        <w:t xml:space="preserve"> March 2017. Firstly</w:t>
      </w:r>
      <w:r w:rsidR="00231EC6">
        <w:t>,</w:t>
      </w:r>
      <w:r w:rsidRPr="00F31559">
        <w:t xml:space="preserve"> this application for leave was out of time</w:t>
      </w:r>
      <w:r w:rsidR="00772341">
        <w:t>,</w:t>
      </w:r>
      <w:r w:rsidRPr="00F31559">
        <w:t xml:space="preserve"> </w:t>
      </w:r>
      <w:r w:rsidR="00772341">
        <w:t>h</w:t>
      </w:r>
      <w:r w:rsidRPr="00F31559">
        <w:t>ence an attempt at bringing an application for cond</w:t>
      </w:r>
      <w:r w:rsidR="00231EC6">
        <w:t>o</w:t>
      </w:r>
      <w:r w:rsidRPr="00F31559">
        <w:t>nation for the late filing of the application for l</w:t>
      </w:r>
      <w:r w:rsidR="00231EC6">
        <w:t xml:space="preserve">eave to </w:t>
      </w:r>
      <w:r w:rsidR="00231EC6" w:rsidRPr="00F31559">
        <w:t>appeal</w:t>
      </w:r>
      <w:r w:rsidRPr="00F31559">
        <w:t xml:space="preserve">. </w:t>
      </w:r>
      <w:r w:rsidR="00231EC6">
        <w:t>A</w:t>
      </w:r>
      <w:r w:rsidRPr="00F31559">
        <w:t xml:space="preserve">ccording to counsel for the </w:t>
      </w:r>
      <w:r>
        <w:t>A</w:t>
      </w:r>
      <w:r w:rsidRPr="00F31559">
        <w:t>pplicant</w:t>
      </w:r>
      <w:r>
        <w:t>s</w:t>
      </w:r>
      <w:r w:rsidRPr="00F31559">
        <w:t xml:space="preserve"> there are two fatal problems with the application for</w:t>
      </w:r>
      <w:r>
        <w:t xml:space="preserve"> </w:t>
      </w:r>
      <w:proofErr w:type="spellStart"/>
      <w:r w:rsidR="00A9181A">
        <w:t>for</w:t>
      </w:r>
      <w:proofErr w:type="spellEnd"/>
      <w:r w:rsidR="00A9181A">
        <w:t xml:space="preserve"> leave to appeal. Firstly, there was no notice of motion </w:t>
      </w:r>
      <w:r>
        <w:t>ac</w:t>
      </w:r>
      <w:r w:rsidRPr="00F31559">
        <w:t>company</w:t>
      </w:r>
      <w:r>
        <w:t xml:space="preserve">ing the affidavit </w:t>
      </w:r>
      <w:r w:rsidRPr="00F31559">
        <w:t xml:space="preserve">of </w:t>
      </w:r>
      <w:proofErr w:type="spellStart"/>
      <w:r w:rsidRPr="00F31559">
        <w:t>Angeli</w:t>
      </w:r>
      <w:r>
        <w:t>ke</w:t>
      </w:r>
      <w:proofErr w:type="spellEnd"/>
      <w:r w:rsidRPr="00F31559">
        <w:t xml:space="preserve"> </w:t>
      </w:r>
      <w:proofErr w:type="spellStart"/>
      <w:r>
        <w:t>C</w:t>
      </w:r>
      <w:r w:rsidRPr="00F31559">
        <w:t>haralambo</w:t>
      </w:r>
      <w:r>
        <w:t>u</w:t>
      </w:r>
      <w:r w:rsidRPr="00F31559">
        <w:t>s</w:t>
      </w:r>
      <w:proofErr w:type="spellEnd"/>
      <w:r w:rsidRPr="00F31559">
        <w:t xml:space="preserve"> and secondly</w:t>
      </w:r>
      <w:r>
        <w:t>,</w:t>
      </w:r>
      <w:r w:rsidRPr="00F31559">
        <w:t xml:space="preserve"> the said </w:t>
      </w:r>
      <w:r>
        <w:t xml:space="preserve">affidavit </w:t>
      </w:r>
      <w:r w:rsidR="00447571">
        <w:t xml:space="preserve">was </w:t>
      </w:r>
      <w:r w:rsidRPr="00F31559">
        <w:t>characterised by a p</w:t>
      </w:r>
      <w:r>
        <w:t>aucity</w:t>
      </w:r>
      <w:r w:rsidRPr="00F31559">
        <w:t xml:space="preserve"> </w:t>
      </w:r>
      <w:r>
        <w:t>of essential details.</w:t>
      </w:r>
    </w:p>
    <w:p w14:paraId="0DCB73D5" w14:textId="61F2DC81" w:rsidR="00ED6001" w:rsidRDefault="00ED6001" w:rsidP="002C0414">
      <w:pPr>
        <w:pStyle w:val="ListParagraph"/>
        <w:spacing w:line="480" w:lineRule="auto"/>
        <w:jc w:val="both"/>
      </w:pPr>
      <w:r>
        <w:t xml:space="preserve">[28.3] </w:t>
      </w:r>
      <w:r w:rsidRPr="00ED6001">
        <w:t>an application for condonation must satisfy the following requirements</w:t>
      </w:r>
      <w:r>
        <w:t>:</w:t>
      </w:r>
    </w:p>
    <w:p w14:paraId="3D0235D4" w14:textId="338A1A74" w:rsidR="00ED6001" w:rsidRDefault="00ED6001" w:rsidP="002C0414">
      <w:pPr>
        <w:pStyle w:val="ListParagraph"/>
        <w:spacing w:line="480" w:lineRule="auto"/>
        <w:jc w:val="both"/>
      </w:pPr>
      <w:r>
        <w:lastRenderedPageBreak/>
        <w:t xml:space="preserve">[28.3.1] </w:t>
      </w:r>
      <w:r w:rsidRPr="00ED6001">
        <w:t>it must be clear</w:t>
      </w:r>
      <w:r w:rsidR="00A9181A">
        <w:t xml:space="preserve">, </w:t>
      </w:r>
      <w:r w:rsidRPr="00ED6001">
        <w:t>succinct and to the point</w:t>
      </w:r>
    </w:p>
    <w:p w14:paraId="1C277F75" w14:textId="008FE303" w:rsidR="00ED6001" w:rsidRDefault="00ED6001" w:rsidP="002C0414">
      <w:pPr>
        <w:pStyle w:val="ListParagraph"/>
        <w:spacing w:line="480" w:lineRule="auto"/>
        <w:jc w:val="both"/>
      </w:pPr>
      <w:r>
        <w:t>[28.3.2]</w:t>
      </w:r>
      <w:r w:rsidRPr="00ED6001">
        <w:t xml:space="preserve"> the applicant must f</w:t>
      </w:r>
      <w:r w:rsidR="00C56C23">
        <w:t>ur</w:t>
      </w:r>
      <w:r w:rsidRPr="00ED6001">
        <w:t>nish all such information as may be necessary to enable the co</w:t>
      </w:r>
      <w:r w:rsidR="00C56C23">
        <w:t>urt</w:t>
      </w:r>
      <w:r w:rsidRPr="00ED6001">
        <w:t xml:space="preserve"> </w:t>
      </w:r>
      <w:r w:rsidR="00C56C23">
        <w:t xml:space="preserve">to </w:t>
      </w:r>
      <w:r w:rsidRPr="00ED6001">
        <w:t xml:space="preserve">decide </w:t>
      </w:r>
      <w:r w:rsidR="00C56C23">
        <w:t xml:space="preserve">the </w:t>
      </w:r>
      <w:r w:rsidRPr="00ED6001">
        <w:t>application</w:t>
      </w:r>
      <w:r w:rsidR="00C56C23">
        <w:t>.</w:t>
      </w:r>
      <w:r w:rsidRPr="00ED6001">
        <w:t xml:space="preserve"> </w:t>
      </w:r>
      <w:r w:rsidR="00C56C23">
        <w:t>In</w:t>
      </w:r>
      <w:r w:rsidRPr="00ED6001">
        <w:t xml:space="preserve"> </w:t>
      </w:r>
      <w:r w:rsidR="00C56C23">
        <w:t xml:space="preserve">this </w:t>
      </w:r>
      <w:r w:rsidRPr="00ED6001">
        <w:t xml:space="preserve">disregard see in </w:t>
      </w:r>
      <w:r w:rsidRPr="00C56C23">
        <w:rPr>
          <w:b/>
          <w:bCs/>
        </w:rPr>
        <w:t>Uitenhage Transitional Local Council v so South African revenue services [2003] 4 ALL SA 37; 2004(1) SA 292 (SCA) par 6</w:t>
      </w:r>
      <w:r>
        <w:t xml:space="preserve">. </w:t>
      </w:r>
      <w:r w:rsidRPr="00ED6001">
        <w:t>In this paragraph the cou</w:t>
      </w:r>
      <w:r w:rsidR="00C56C23">
        <w:t>rt</w:t>
      </w:r>
      <w:r w:rsidRPr="00ED6001">
        <w:t xml:space="preserve"> p</w:t>
      </w:r>
      <w:r w:rsidR="00C56C23">
        <w:t>e</w:t>
      </w:r>
      <w:r w:rsidRPr="00ED6001">
        <w:t xml:space="preserve">r </w:t>
      </w:r>
      <w:proofErr w:type="spellStart"/>
      <w:r w:rsidR="00C56C23">
        <w:t>Heher</w:t>
      </w:r>
      <w:proofErr w:type="spellEnd"/>
      <w:r w:rsidR="00C56C23">
        <w:t xml:space="preserve"> JA</w:t>
      </w:r>
      <w:r w:rsidRPr="00ED6001">
        <w:t xml:space="preserve">, and </w:t>
      </w:r>
      <w:proofErr w:type="spellStart"/>
      <w:r w:rsidR="00C56C23">
        <w:t>Zulman</w:t>
      </w:r>
      <w:proofErr w:type="spellEnd"/>
      <w:r w:rsidR="00C56C23">
        <w:t xml:space="preserve"> and Nugent </w:t>
      </w:r>
      <w:r w:rsidR="006A363A">
        <w:t xml:space="preserve">JJA </w:t>
      </w:r>
      <w:r w:rsidR="006A363A" w:rsidRPr="00ED6001">
        <w:t>agreed</w:t>
      </w:r>
      <w:r w:rsidRPr="00ED6001">
        <w:t xml:space="preserve"> with him, had to say the following</w:t>
      </w:r>
      <w:r>
        <w:t>:</w:t>
      </w:r>
    </w:p>
    <w:p w14:paraId="7AAA2913" w14:textId="78E3AC44" w:rsidR="00ED6001" w:rsidRDefault="00ED6001" w:rsidP="002C0414">
      <w:pPr>
        <w:pStyle w:val="ListParagraph"/>
        <w:spacing w:line="480" w:lineRule="auto"/>
        <w:jc w:val="both"/>
      </w:pPr>
      <w:r>
        <w:t xml:space="preserve">“[6] </w:t>
      </w:r>
      <w:r w:rsidRPr="006F6B26">
        <w:rPr>
          <w:i/>
          <w:iCs/>
        </w:rPr>
        <w:t xml:space="preserve">One would have hoped that the many admonitions concerning what is required of an application in a condonation </w:t>
      </w:r>
      <w:r w:rsidR="00C56C23" w:rsidRPr="006F6B26">
        <w:rPr>
          <w:i/>
          <w:iCs/>
        </w:rPr>
        <w:t>application</w:t>
      </w:r>
      <w:r w:rsidRPr="006F6B26">
        <w:rPr>
          <w:i/>
          <w:iCs/>
        </w:rPr>
        <w:t xml:space="preserve"> and </w:t>
      </w:r>
      <w:r w:rsidR="006A363A" w:rsidRPr="006F6B26">
        <w:rPr>
          <w:i/>
          <w:iCs/>
        </w:rPr>
        <w:t>affidavit</w:t>
      </w:r>
      <w:r w:rsidRPr="006F6B26">
        <w:rPr>
          <w:i/>
          <w:iCs/>
        </w:rPr>
        <w:t xml:space="preserve"> in a co</w:t>
      </w:r>
      <w:r w:rsidR="006A363A" w:rsidRPr="006F6B26">
        <w:rPr>
          <w:i/>
          <w:iCs/>
        </w:rPr>
        <w:t>n</w:t>
      </w:r>
      <w:r w:rsidRPr="006F6B26">
        <w:rPr>
          <w:i/>
          <w:iCs/>
        </w:rPr>
        <w:t>d</w:t>
      </w:r>
      <w:r w:rsidR="006A363A" w:rsidRPr="006F6B26">
        <w:rPr>
          <w:i/>
          <w:iCs/>
        </w:rPr>
        <w:t>o</w:t>
      </w:r>
      <w:r w:rsidRPr="006F6B26">
        <w:rPr>
          <w:i/>
          <w:iCs/>
        </w:rPr>
        <w:t>nation application would be tri</w:t>
      </w:r>
      <w:r w:rsidR="006A363A" w:rsidRPr="006F6B26">
        <w:rPr>
          <w:i/>
          <w:iCs/>
        </w:rPr>
        <w:t>te</w:t>
      </w:r>
      <w:r w:rsidRPr="006F6B26">
        <w:rPr>
          <w:i/>
          <w:iCs/>
        </w:rPr>
        <w:t xml:space="preserve"> knowledge among practitioners who are entrusted with the preparation of appeals to this court: </w:t>
      </w:r>
      <w:r w:rsidR="006A363A" w:rsidRPr="006F6B26">
        <w:rPr>
          <w:i/>
          <w:iCs/>
        </w:rPr>
        <w:t xml:space="preserve">condonation is not to be had for the asking ; </w:t>
      </w:r>
      <w:r w:rsidRPr="006F6B26">
        <w:rPr>
          <w:i/>
          <w:iCs/>
        </w:rPr>
        <w:t>a full</w:t>
      </w:r>
      <w:r w:rsidR="006A363A" w:rsidRPr="006F6B26">
        <w:rPr>
          <w:i/>
          <w:iCs/>
        </w:rPr>
        <w:t>,</w:t>
      </w:r>
      <w:r w:rsidRPr="006F6B26">
        <w:rPr>
          <w:i/>
          <w:iCs/>
        </w:rPr>
        <w:t xml:space="preserve">  detailed and accurate account of the causes of the delay and the</w:t>
      </w:r>
      <w:r w:rsidR="006A363A" w:rsidRPr="006F6B26">
        <w:rPr>
          <w:i/>
          <w:iCs/>
        </w:rPr>
        <w:t>ir</w:t>
      </w:r>
      <w:r w:rsidRPr="006F6B26">
        <w:rPr>
          <w:i/>
          <w:iCs/>
        </w:rPr>
        <w:t xml:space="preserve"> effect</w:t>
      </w:r>
      <w:r w:rsidR="006A363A" w:rsidRPr="006F6B26">
        <w:rPr>
          <w:i/>
          <w:iCs/>
        </w:rPr>
        <w:t>s</w:t>
      </w:r>
      <w:r w:rsidRPr="006F6B26">
        <w:rPr>
          <w:i/>
          <w:iCs/>
        </w:rPr>
        <w:t xml:space="preserve"> must be f</w:t>
      </w:r>
      <w:r w:rsidR="006A363A" w:rsidRPr="006F6B26">
        <w:rPr>
          <w:i/>
          <w:iCs/>
        </w:rPr>
        <w:t>ur</w:t>
      </w:r>
      <w:r w:rsidRPr="006F6B26">
        <w:rPr>
          <w:i/>
          <w:iCs/>
        </w:rPr>
        <w:t xml:space="preserve">nished so as to enable the court to understand clearly the reasons and assess their responsibility. It must be obvious that, if the </w:t>
      </w:r>
      <w:r w:rsidR="006A363A" w:rsidRPr="006F6B26">
        <w:rPr>
          <w:i/>
          <w:iCs/>
        </w:rPr>
        <w:t>non-compliance</w:t>
      </w:r>
      <w:r w:rsidRPr="006F6B26">
        <w:rPr>
          <w:i/>
          <w:iCs/>
        </w:rPr>
        <w:t xml:space="preserve"> is time </w:t>
      </w:r>
      <w:r w:rsidR="006A363A" w:rsidRPr="006F6B26">
        <w:rPr>
          <w:i/>
          <w:iCs/>
        </w:rPr>
        <w:t>r</w:t>
      </w:r>
      <w:r w:rsidRPr="006F6B26">
        <w:rPr>
          <w:i/>
          <w:iCs/>
        </w:rPr>
        <w:t>elated then the date</w:t>
      </w:r>
      <w:r w:rsidR="006A363A" w:rsidRPr="006F6B26">
        <w:rPr>
          <w:i/>
          <w:iCs/>
        </w:rPr>
        <w:t>,</w:t>
      </w:r>
      <w:r w:rsidRPr="006F6B26">
        <w:rPr>
          <w:i/>
          <w:iCs/>
        </w:rPr>
        <w:t xml:space="preserve"> </w:t>
      </w:r>
      <w:r w:rsidR="00FE14A0" w:rsidRPr="006F6B26">
        <w:rPr>
          <w:i/>
          <w:iCs/>
        </w:rPr>
        <w:t>duration,</w:t>
      </w:r>
      <w:r w:rsidRPr="006F6B26">
        <w:rPr>
          <w:i/>
          <w:iCs/>
        </w:rPr>
        <w:t xml:space="preserve"> and extent of any obstacle on which reliance is placed </w:t>
      </w:r>
      <w:r w:rsidR="006F6B26" w:rsidRPr="006F6B26">
        <w:rPr>
          <w:i/>
          <w:iCs/>
        </w:rPr>
        <w:t>must be</w:t>
      </w:r>
      <w:r w:rsidRPr="006F6B26">
        <w:rPr>
          <w:i/>
          <w:iCs/>
        </w:rPr>
        <w:t xml:space="preserve"> </w:t>
      </w:r>
      <w:r w:rsidR="006A363A" w:rsidRPr="006F6B26">
        <w:rPr>
          <w:i/>
          <w:iCs/>
        </w:rPr>
        <w:t>spelt</w:t>
      </w:r>
      <w:r w:rsidRPr="006F6B26">
        <w:rPr>
          <w:i/>
          <w:iCs/>
        </w:rPr>
        <w:t xml:space="preserve"> out</w:t>
      </w:r>
      <w:r>
        <w:t>”</w:t>
      </w:r>
    </w:p>
    <w:p w14:paraId="08BED58F" w14:textId="456B0C89" w:rsidR="00ED6001" w:rsidRDefault="00ED6001" w:rsidP="002C0414">
      <w:pPr>
        <w:pStyle w:val="ListParagraph"/>
        <w:spacing w:line="480" w:lineRule="auto"/>
        <w:jc w:val="both"/>
      </w:pPr>
      <w:r>
        <w:t>[28.4]</w:t>
      </w:r>
      <w:r w:rsidR="006F6B26">
        <w:t xml:space="preserve"> The principle </w:t>
      </w:r>
      <w:r w:rsidRPr="00ED6001">
        <w:t xml:space="preserve">set out in the </w:t>
      </w:r>
      <w:proofErr w:type="spellStart"/>
      <w:r w:rsidRPr="00ED6001">
        <w:t>aforegoing</w:t>
      </w:r>
      <w:proofErr w:type="spellEnd"/>
      <w:r w:rsidRPr="00ED6001">
        <w:t xml:space="preserve"> paragraph does not apply to applications for condonation or </w:t>
      </w:r>
      <w:r w:rsidR="009340DA" w:rsidRPr="00ED6001">
        <w:t>appeals</w:t>
      </w:r>
      <w:r w:rsidR="00AD1314">
        <w:t xml:space="preserve"> only</w:t>
      </w:r>
      <w:r w:rsidR="009340DA">
        <w:t>. I</w:t>
      </w:r>
      <w:r w:rsidRPr="00ED6001">
        <w:t xml:space="preserve">t is a principle of general application. It applies in all instances involving </w:t>
      </w:r>
      <w:r w:rsidR="009340DA">
        <w:t>all sorts</w:t>
      </w:r>
      <w:r w:rsidRPr="00ED6001">
        <w:t xml:space="preserve"> of application</w:t>
      </w:r>
      <w:r w:rsidR="009340DA">
        <w:t>s</w:t>
      </w:r>
      <w:r w:rsidRPr="00ED6001">
        <w:t xml:space="preserve"> for condonation</w:t>
      </w:r>
      <w:r w:rsidR="009340DA">
        <w:t xml:space="preserve">, including </w:t>
      </w:r>
      <w:r w:rsidRPr="00ED6001">
        <w:t>the instant application.</w:t>
      </w:r>
    </w:p>
    <w:p w14:paraId="4020493E" w14:textId="2FB2D1A1" w:rsidR="00261E69" w:rsidRDefault="00ED6001" w:rsidP="002C0414">
      <w:pPr>
        <w:pStyle w:val="ListParagraph"/>
        <w:spacing w:line="480" w:lineRule="auto"/>
        <w:jc w:val="both"/>
      </w:pPr>
      <w:r>
        <w:t xml:space="preserve">[28.5] </w:t>
      </w:r>
      <w:r w:rsidRPr="00ED6001">
        <w:t xml:space="preserve">As I pointed out earlier the </w:t>
      </w:r>
      <w:r w:rsidR="00261E69">
        <w:t>R</w:t>
      </w:r>
      <w:r w:rsidRPr="00ED6001">
        <w:t>espondents</w:t>
      </w:r>
      <w:r w:rsidR="00261E69">
        <w:t>’</w:t>
      </w:r>
      <w:r w:rsidRPr="00ED6001">
        <w:t xml:space="preserve"> condonation application is predicated on </w:t>
      </w:r>
      <w:r w:rsidR="00261E69">
        <w:t>affidavit</w:t>
      </w:r>
      <w:r w:rsidRPr="00ED6001">
        <w:t xml:space="preserve"> by one </w:t>
      </w:r>
      <w:proofErr w:type="spellStart"/>
      <w:r w:rsidRPr="00ED6001">
        <w:t>Angeli</w:t>
      </w:r>
      <w:r w:rsidR="00261E69">
        <w:t>ke</w:t>
      </w:r>
      <w:proofErr w:type="spellEnd"/>
      <w:r w:rsidRPr="00ED6001">
        <w:t xml:space="preserve"> </w:t>
      </w:r>
      <w:proofErr w:type="spellStart"/>
      <w:r w:rsidR="00261E69">
        <w:t>C</w:t>
      </w:r>
      <w:r w:rsidRPr="00ED6001">
        <w:t>ha</w:t>
      </w:r>
      <w:r w:rsidR="00261E69">
        <w:t>ralam</w:t>
      </w:r>
      <w:r w:rsidRPr="00ED6001">
        <w:t>bo</w:t>
      </w:r>
      <w:r w:rsidR="00261E69">
        <w:t>us</w:t>
      </w:r>
      <w:proofErr w:type="spellEnd"/>
      <w:r w:rsidR="00261E69">
        <w:t>,</w:t>
      </w:r>
      <w:r w:rsidRPr="00ED6001">
        <w:t xml:space="preserve"> an attorney in the offices of the </w:t>
      </w:r>
      <w:r w:rsidR="00261E69">
        <w:t>R</w:t>
      </w:r>
      <w:r w:rsidRPr="00ED6001">
        <w:t>espondents</w:t>
      </w:r>
      <w:r w:rsidR="00261E69">
        <w:t>’</w:t>
      </w:r>
      <w:r w:rsidRPr="00ED6001">
        <w:t xml:space="preserve"> attorneys of record. </w:t>
      </w:r>
      <w:r w:rsidR="00A9181A">
        <w:t>According to counsel for the Applicants, t</w:t>
      </w:r>
      <w:r w:rsidRPr="00ED6001">
        <w:t xml:space="preserve">his </w:t>
      </w:r>
      <w:r w:rsidR="00261E69">
        <w:t>affidavit</w:t>
      </w:r>
      <w:r w:rsidRPr="00ED6001">
        <w:t xml:space="preserve"> is not accompanied by any notice of motion</w:t>
      </w:r>
      <w:r w:rsidR="00261E69">
        <w:t>. I</w:t>
      </w:r>
      <w:r w:rsidRPr="00ED6001">
        <w:t xml:space="preserve"> deal with this aspect later</w:t>
      </w:r>
      <w:r w:rsidR="00A9181A">
        <w:t xml:space="preserve"> in this judgment. </w:t>
      </w:r>
      <w:r w:rsidR="00261E69" w:rsidRPr="00ED6001">
        <w:t>The</w:t>
      </w:r>
      <w:r w:rsidR="00261E69">
        <w:t xml:space="preserve"> said affidavit </w:t>
      </w:r>
      <w:r w:rsidRPr="00ED6001">
        <w:t>states as follows</w:t>
      </w:r>
      <w:r w:rsidR="00261E69">
        <w:t>:</w:t>
      </w:r>
    </w:p>
    <w:p w14:paraId="5C4D928E" w14:textId="6F955A38" w:rsidR="00ED6001" w:rsidRPr="00863BFD" w:rsidRDefault="00ED6001" w:rsidP="002C0414">
      <w:pPr>
        <w:pStyle w:val="ListParagraph"/>
        <w:spacing w:line="480" w:lineRule="auto"/>
        <w:jc w:val="both"/>
        <w:rPr>
          <w:i/>
          <w:iCs/>
        </w:rPr>
      </w:pPr>
      <w:r>
        <w:lastRenderedPageBreak/>
        <w:t xml:space="preserve"> </w:t>
      </w:r>
      <w:r w:rsidR="00261E69" w:rsidRPr="00863BFD">
        <w:rPr>
          <w:i/>
          <w:iCs/>
        </w:rPr>
        <w:t>“</w:t>
      </w:r>
      <w:r w:rsidR="00325B42" w:rsidRPr="00863BFD">
        <w:rPr>
          <w:i/>
          <w:iCs/>
        </w:rPr>
        <w:t xml:space="preserve">1. </w:t>
      </w:r>
      <w:r w:rsidR="007B3217" w:rsidRPr="00863BFD">
        <w:rPr>
          <w:i/>
          <w:iCs/>
        </w:rPr>
        <w:t>I am an</w:t>
      </w:r>
      <w:r w:rsidR="00325B42" w:rsidRPr="00863BFD">
        <w:rPr>
          <w:i/>
          <w:iCs/>
        </w:rPr>
        <w:t xml:space="preserve"> appointed attorney of record for the </w:t>
      </w:r>
      <w:r w:rsidR="007B3217" w:rsidRPr="00863BFD">
        <w:rPr>
          <w:i/>
          <w:iCs/>
        </w:rPr>
        <w:t>F</w:t>
      </w:r>
      <w:r w:rsidR="00325B42" w:rsidRPr="00863BFD">
        <w:rPr>
          <w:i/>
          <w:iCs/>
        </w:rPr>
        <w:t xml:space="preserve">irst and </w:t>
      </w:r>
      <w:r w:rsidR="007B3217" w:rsidRPr="00863BFD">
        <w:rPr>
          <w:i/>
          <w:iCs/>
        </w:rPr>
        <w:t>S</w:t>
      </w:r>
      <w:r w:rsidR="00325B42" w:rsidRPr="00863BFD">
        <w:rPr>
          <w:i/>
          <w:iCs/>
        </w:rPr>
        <w:t xml:space="preserve">econd respondent in this application, in the employ of Ian Levitt </w:t>
      </w:r>
      <w:r w:rsidR="007B3217" w:rsidRPr="00863BFD">
        <w:rPr>
          <w:i/>
          <w:iCs/>
        </w:rPr>
        <w:t>Attorneys,</w:t>
      </w:r>
      <w:r w:rsidR="00325B42" w:rsidRPr="00863BFD">
        <w:rPr>
          <w:i/>
          <w:iCs/>
        </w:rPr>
        <w:t xml:space="preserve"> situated at 19th </w:t>
      </w:r>
      <w:r w:rsidR="007B3217" w:rsidRPr="00863BFD">
        <w:rPr>
          <w:i/>
          <w:iCs/>
        </w:rPr>
        <w:t>Floor</w:t>
      </w:r>
      <w:r w:rsidR="00325B42" w:rsidRPr="00863BFD">
        <w:rPr>
          <w:i/>
          <w:iCs/>
        </w:rPr>
        <w:t xml:space="preserve">, </w:t>
      </w:r>
      <w:proofErr w:type="spellStart"/>
      <w:r w:rsidR="007B3217" w:rsidRPr="00863BFD">
        <w:rPr>
          <w:i/>
          <w:iCs/>
        </w:rPr>
        <w:t>Sandton</w:t>
      </w:r>
      <w:proofErr w:type="spellEnd"/>
      <w:r w:rsidR="007B3217" w:rsidRPr="00863BFD">
        <w:rPr>
          <w:i/>
          <w:iCs/>
        </w:rPr>
        <w:t xml:space="preserve"> C</w:t>
      </w:r>
      <w:r w:rsidR="00325B42" w:rsidRPr="00863BFD">
        <w:rPr>
          <w:i/>
          <w:iCs/>
        </w:rPr>
        <w:t xml:space="preserve">ity </w:t>
      </w:r>
      <w:r w:rsidR="007B3217" w:rsidRPr="00863BFD">
        <w:rPr>
          <w:i/>
          <w:iCs/>
        </w:rPr>
        <w:t>O</w:t>
      </w:r>
      <w:r w:rsidR="00325B42" w:rsidRPr="00863BFD">
        <w:rPr>
          <w:i/>
          <w:iCs/>
        </w:rPr>
        <w:t xml:space="preserve">ffice </w:t>
      </w:r>
      <w:r w:rsidR="007B3217" w:rsidRPr="00863BFD">
        <w:rPr>
          <w:i/>
          <w:iCs/>
        </w:rPr>
        <w:t>T</w:t>
      </w:r>
      <w:r w:rsidR="00325B42" w:rsidRPr="00863BFD">
        <w:rPr>
          <w:i/>
          <w:iCs/>
        </w:rPr>
        <w:t>owers</w:t>
      </w:r>
      <w:r w:rsidR="007B3217" w:rsidRPr="00863BFD">
        <w:rPr>
          <w:i/>
          <w:iCs/>
        </w:rPr>
        <w:t>, corner</w:t>
      </w:r>
      <w:r w:rsidR="00325B42" w:rsidRPr="00863BFD">
        <w:rPr>
          <w:i/>
          <w:iCs/>
        </w:rPr>
        <w:t xml:space="preserve"> 5th and </w:t>
      </w:r>
      <w:proofErr w:type="spellStart"/>
      <w:r w:rsidR="007B3217" w:rsidRPr="00863BFD">
        <w:rPr>
          <w:i/>
          <w:iCs/>
        </w:rPr>
        <w:t>Rivonia</w:t>
      </w:r>
      <w:proofErr w:type="spellEnd"/>
      <w:r w:rsidR="00325B42" w:rsidRPr="00863BFD">
        <w:rPr>
          <w:i/>
          <w:iCs/>
        </w:rPr>
        <w:t xml:space="preserve"> </w:t>
      </w:r>
      <w:r w:rsidR="007B3217" w:rsidRPr="00863BFD">
        <w:rPr>
          <w:i/>
          <w:iCs/>
        </w:rPr>
        <w:t>R</w:t>
      </w:r>
      <w:r w:rsidR="00325B42" w:rsidRPr="00863BFD">
        <w:rPr>
          <w:i/>
          <w:iCs/>
        </w:rPr>
        <w:t>oads</w:t>
      </w:r>
      <w:r w:rsidR="007B3217" w:rsidRPr="00863BFD">
        <w:rPr>
          <w:i/>
          <w:iCs/>
        </w:rPr>
        <w:t xml:space="preserve">, </w:t>
      </w:r>
      <w:proofErr w:type="spellStart"/>
      <w:r w:rsidR="007B3217" w:rsidRPr="00863BFD">
        <w:rPr>
          <w:i/>
          <w:iCs/>
        </w:rPr>
        <w:t>Sandton</w:t>
      </w:r>
      <w:proofErr w:type="spellEnd"/>
      <w:r w:rsidR="00325B42" w:rsidRPr="00863BFD">
        <w:rPr>
          <w:i/>
          <w:iCs/>
        </w:rPr>
        <w:t>.</w:t>
      </w:r>
    </w:p>
    <w:p w14:paraId="474959B3" w14:textId="3FA77C88" w:rsidR="00325B42" w:rsidRPr="00863BFD" w:rsidRDefault="00325B42" w:rsidP="002C0414">
      <w:pPr>
        <w:pStyle w:val="ListParagraph"/>
        <w:spacing w:line="480" w:lineRule="auto"/>
        <w:jc w:val="both"/>
        <w:rPr>
          <w:i/>
          <w:iCs/>
        </w:rPr>
      </w:pPr>
      <w:r w:rsidRPr="00863BFD">
        <w:rPr>
          <w:i/>
          <w:iCs/>
        </w:rPr>
        <w:t xml:space="preserve">2. The allegations contained in this </w:t>
      </w:r>
      <w:r w:rsidR="007A76B3">
        <w:rPr>
          <w:i/>
          <w:iCs/>
        </w:rPr>
        <w:t xml:space="preserve">affidavit are </w:t>
      </w:r>
      <w:r w:rsidRPr="00863BFD">
        <w:rPr>
          <w:i/>
          <w:iCs/>
        </w:rPr>
        <w:t>true and correct. They also fall within my p</w:t>
      </w:r>
      <w:r w:rsidR="007A76B3">
        <w:rPr>
          <w:i/>
          <w:iCs/>
        </w:rPr>
        <w:t xml:space="preserve">erson </w:t>
      </w:r>
      <w:r w:rsidRPr="00863BFD">
        <w:rPr>
          <w:i/>
          <w:iCs/>
        </w:rPr>
        <w:t>knowledge and belief, except where the context indicates otherwise.</w:t>
      </w:r>
    </w:p>
    <w:p w14:paraId="4CB4A754" w14:textId="44C5604D" w:rsidR="005C5079" w:rsidRPr="00863BFD" w:rsidRDefault="005C5079" w:rsidP="002C0414">
      <w:pPr>
        <w:pStyle w:val="ListParagraph"/>
        <w:spacing w:line="480" w:lineRule="auto"/>
        <w:jc w:val="both"/>
        <w:rPr>
          <w:i/>
          <w:iCs/>
        </w:rPr>
      </w:pPr>
      <w:r w:rsidRPr="00863BFD">
        <w:rPr>
          <w:i/>
          <w:iCs/>
        </w:rPr>
        <w:t>…….</w:t>
      </w:r>
    </w:p>
    <w:p w14:paraId="68B1F2CF" w14:textId="00070963" w:rsidR="005C5079" w:rsidRPr="00863BFD" w:rsidRDefault="005C5079" w:rsidP="00325B42">
      <w:pPr>
        <w:pStyle w:val="ListParagraph"/>
        <w:spacing w:line="480" w:lineRule="auto"/>
        <w:jc w:val="both"/>
        <w:rPr>
          <w:i/>
          <w:iCs/>
        </w:rPr>
      </w:pPr>
      <w:r w:rsidRPr="00863BFD">
        <w:rPr>
          <w:i/>
          <w:iCs/>
        </w:rPr>
        <w:t>………</w:t>
      </w:r>
    </w:p>
    <w:p w14:paraId="7852C548" w14:textId="0571D1D8" w:rsidR="00DF6BA5" w:rsidRPr="00863BFD" w:rsidRDefault="002A4EE4" w:rsidP="00325B42">
      <w:pPr>
        <w:pStyle w:val="ListParagraph"/>
        <w:spacing w:line="480" w:lineRule="auto"/>
        <w:jc w:val="both"/>
        <w:rPr>
          <w:i/>
          <w:iCs/>
        </w:rPr>
      </w:pPr>
      <w:r w:rsidRPr="00863BFD">
        <w:rPr>
          <w:i/>
          <w:iCs/>
        </w:rPr>
        <w:t>1</w:t>
      </w:r>
      <w:r w:rsidR="00DF6BA5" w:rsidRPr="00863BFD">
        <w:rPr>
          <w:i/>
          <w:iCs/>
        </w:rPr>
        <w:t xml:space="preserve">3 Later that day, the mandate of </w:t>
      </w:r>
      <w:proofErr w:type="spellStart"/>
      <w:r w:rsidR="00DF6BA5" w:rsidRPr="00863BFD">
        <w:rPr>
          <w:i/>
          <w:iCs/>
        </w:rPr>
        <w:t>Kwinana</w:t>
      </w:r>
      <w:proofErr w:type="spellEnd"/>
      <w:r w:rsidR="00DF6BA5" w:rsidRPr="00863BFD">
        <w:rPr>
          <w:i/>
          <w:iCs/>
        </w:rPr>
        <w:t xml:space="preserve"> Attorneys was terminated in the matter, and they were requested to urgently file a </w:t>
      </w:r>
      <w:r w:rsidR="007A76B3">
        <w:rPr>
          <w:i/>
          <w:iCs/>
        </w:rPr>
        <w:t xml:space="preserve">Notice of </w:t>
      </w:r>
      <w:r w:rsidR="00DF6BA5" w:rsidRPr="00863BFD">
        <w:rPr>
          <w:i/>
          <w:iCs/>
        </w:rPr>
        <w:t>Withdrawal of Attorneys of record. A copy of the termination letter is attached thereto as ‘AC7’.</w:t>
      </w:r>
    </w:p>
    <w:p w14:paraId="209F352D" w14:textId="7A37FA18" w:rsidR="002A4EE4" w:rsidRPr="00863BFD" w:rsidRDefault="00DF6BA5" w:rsidP="00325B42">
      <w:pPr>
        <w:pStyle w:val="ListParagraph"/>
        <w:spacing w:line="480" w:lineRule="auto"/>
        <w:jc w:val="both"/>
        <w:rPr>
          <w:i/>
          <w:iCs/>
        </w:rPr>
      </w:pPr>
      <w:r w:rsidRPr="00863BFD">
        <w:rPr>
          <w:i/>
          <w:iCs/>
        </w:rPr>
        <w:t xml:space="preserve">14. On Monday, 12 November 2018, we arranged a consultation with the attorneys who were previously dealing with the </w:t>
      </w:r>
      <w:r w:rsidR="00DE0B3E" w:rsidRPr="00863BFD">
        <w:rPr>
          <w:i/>
          <w:iCs/>
        </w:rPr>
        <w:t xml:space="preserve">matter, </w:t>
      </w:r>
      <w:proofErr w:type="spellStart"/>
      <w:r w:rsidR="00DE0B3E" w:rsidRPr="00863BFD">
        <w:rPr>
          <w:i/>
          <w:iCs/>
        </w:rPr>
        <w:t>Kwinana</w:t>
      </w:r>
      <w:proofErr w:type="spellEnd"/>
      <w:r w:rsidRPr="00863BFD">
        <w:rPr>
          <w:i/>
          <w:iCs/>
        </w:rPr>
        <w:t xml:space="preserve"> Attorneys </w:t>
      </w:r>
      <w:r w:rsidR="007A76B3">
        <w:rPr>
          <w:i/>
          <w:iCs/>
        </w:rPr>
        <w:t xml:space="preserve">as </w:t>
      </w:r>
      <w:r w:rsidRPr="00863BFD">
        <w:rPr>
          <w:i/>
          <w:iCs/>
        </w:rPr>
        <w:t>well as the applicants (who by this time</w:t>
      </w:r>
      <w:r w:rsidR="007A76B3">
        <w:rPr>
          <w:i/>
          <w:iCs/>
        </w:rPr>
        <w:t>,</w:t>
      </w:r>
      <w:r w:rsidRPr="00863BFD">
        <w:rPr>
          <w:i/>
          <w:iCs/>
        </w:rPr>
        <w:t xml:space="preserve"> had become</w:t>
      </w:r>
      <w:r w:rsidR="00DE0B3E" w:rsidRPr="00863BFD">
        <w:rPr>
          <w:i/>
          <w:iCs/>
        </w:rPr>
        <w:t xml:space="preserve"> our clients</w:t>
      </w:r>
      <w:r w:rsidRPr="00863BFD">
        <w:rPr>
          <w:i/>
          <w:iCs/>
        </w:rPr>
        <w:t xml:space="preserve"> in this matter] </w:t>
      </w:r>
      <w:r w:rsidR="00DE0B3E" w:rsidRPr="00863BFD">
        <w:rPr>
          <w:i/>
          <w:iCs/>
        </w:rPr>
        <w:t xml:space="preserve">in order to </w:t>
      </w:r>
      <w:r w:rsidRPr="00863BFD">
        <w:rPr>
          <w:i/>
          <w:iCs/>
        </w:rPr>
        <w:t xml:space="preserve">determine what </w:t>
      </w:r>
      <w:r w:rsidR="007A76B3">
        <w:rPr>
          <w:i/>
          <w:iCs/>
        </w:rPr>
        <w:t xml:space="preserve">had </w:t>
      </w:r>
      <w:r w:rsidRPr="00863BFD">
        <w:rPr>
          <w:i/>
          <w:iCs/>
        </w:rPr>
        <w:t xml:space="preserve">transpired in regard to this </w:t>
      </w:r>
      <w:r w:rsidR="00DE0B3E" w:rsidRPr="00863BFD">
        <w:rPr>
          <w:i/>
          <w:iCs/>
        </w:rPr>
        <w:t>A</w:t>
      </w:r>
      <w:r w:rsidRPr="00863BFD">
        <w:rPr>
          <w:i/>
          <w:iCs/>
        </w:rPr>
        <w:t>pplication and the non</w:t>
      </w:r>
      <w:r w:rsidR="00DE0B3E" w:rsidRPr="00863BFD">
        <w:rPr>
          <w:i/>
          <w:iCs/>
        </w:rPr>
        <w:t>-</w:t>
      </w:r>
      <w:r w:rsidRPr="00863BFD">
        <w:rPr>
          <w:i/>
          <w:iCs/>
        </w:rPr>
        <w:t xml:space="preserve">filing of an </w:t>
      </w:r>
      <w:r w:rsidR="00DE0B3E" w:rsidRPr="00863BFD">
        <w:rPr>
          <w:i/>
          <w:iCs/>
        </w:rPr>
        <w:t>A</w:t>
      </w:r>
      <w:r w:rsidRPr="00863BFD">
        <w:rPr>
          <w:i/>
          <w:iCs/>
        </w:rPr>
        <w:t xml:space="preserve">pplication for </w:t>
      </w:r>
      <w:r w:rsidR="00DE0B3E" w:rsidRPr="00863BFD">
        <w:rPr>
          <w:i/>
          <w:iCs/>
        </w:rPr>
        <w:t>L</w:t>
      </w:r>
      <w:r w:rsidRPr="00863BFD">
        <w:rPr>
          <w:i/>
          <w:iCs/>
        </w:rPr>
        <w:t xml:space="preserve">eave to </w:t>
      </w:r>
      <w:r w:rsidR="00DE0B3E" w:rsidRPr="00863BFD">
        <w:rPr>
          <w:i/>
          <w:iCs/>
        </w:rPr>
        <w:t>A</w:t>
      </w:r>
      <w:r w:rsidRPr="00863BFD">
        <w:rPr>
          <w:i/>
          <w:iCs/>
        </w:rPr>
        <w:t>ppeal. With thereafter we</w:t>
      </w:r>
      <w:r w:rsidR="00DE0B3E" w:rsidRPr="00863BFD">
        <w:rPr>
          <w:i/>
          <w:iCs/>
        </w:rPr>
        <w:t>re</w:t>
      </w:r>
      <w:r w:rsidRPr="00863BFD">
        <w:rPr>
          <w:i/>
          <w:iCs/>
        </w:rPr>
        <w:t xml:space="preserve"> immediately instructed to dra</w:t>
      </w:r>
      <w:r w:rsidR="007A76B3">
        <w:rPr>
          <w:i/>
          <w:iCs/>
        </w:rPr>
        <w:t>f</w:t>
      </w:r>
      <w:r w:rsidRPr="00863BFD">
        <w:rPr>
          <w:i/>
          <w:iCs/>
        </w:rPr>
        <w:t xml:space="preserve">t an </w:t>
      </w:r>
      <w:r w:rsidR="00DE0B3E" w:rsidRPr="00863BFD">
        <w:rPr>
          <w:i/>
          <w:iCs/>
        </w:rPr>
        <w:t>A</w:t>
      </w:r>
      <w:r w:rsidRPr="00863BFD">
        <w:rPr>
          <w:i/>
          <w:iCs/>
        </w:rPr>
        <w:t xml:space="preserve">pplication </w:t>
      </w:r>
      <w:r w:rsidR="00DE0B3E" w:rsidRPr="00863BFD">
        <w:rPr>
          <w:i/>
          <w:iCs/>
        </w:rPr>
        <w:t xml:space="preserve">for Leave </w:t>
      </w:r>
      <w:r w:rsidR="00537131" w:rsidRPr="00863BFD">
        <w:rPr>
          <w:i/>
          <w:iCs/>
        </w:rPr>
        <w:t>to</w:t>
      </w:r>
      <w:r w:rsidR="00DE0B3E" w:rsidRPr="00863BFD">
        <w:rPr>
          <w:i/>
          <w:iCs/>
        </w:rPr>
        <w:t xml:space="preserve"> Appeal</w:t>
      </w:r>
      <w:r w:rsidRPr="00863BFD">
        <w:rPr>
          <w:i/>
          <w:iCs/>
        </w:rPr>
        <w:t xml:space="preserve"> </w:t>
      </w:r>
      <w:r w:rsidR="00DE0B3E" w:rsidRPr="00863BFD">
        <w:rPr>
          <w:i/>
          <w:iCs/>
        </w:rPr>
        <w:t xml:space="preserve">and </w:t>
      </w:r>
      <w:r w:rsidR="007A76B3">
        <w:rPr>
          <w:i/>
          <w:iCs/>
        </w:rPr>
        <w:t xml:space="preserve">proceed </w:t>
      </w:r>
      <w:r w:rsidR="00DE0B3E" w:rsidRPr="00863BFD">
        <w:rPr>
          <w:i/>
          <w:iCs/>
        </w:rPr>
        <w:t>act</w:t>
      </w:r>
      <w:r w:rsidRPr="00863BFD">
        <w:rPr>
          <w:i/>
          <w:iCs/>
        </w:rPr>
        <w:t xml:space="preserve"> on behalf of </w:t>
      </w:r>
      <w:r w:rsidR="00DE0B3E" w:rsidRPr="00863BFD">
        <w:rPr>
          <w:i/>
          <w:iCs/>
        </w:rPr>
        <w:t>our clients</w:t>
      </w:r>
      <w:r w:rsidRPr="00863BFD">
        <w:rPr>
          <w:i/>
          <w:iCs/>
        </w:rPr>
        <w:t>.</w:t>
      </w:r>
    </w:p>
    <w:p w14:paraId="2C811271" w14:textId="77777777" w:rsidR="007B3217" w:rsidRPr="00863BFD" w:rsidRDefault="00DF6BA5" w:rsidP="00325B42">
      <w:pPr>
        <w:pStyle w:val="ListParagraph"/>
        <w:spacing w:line="480" w:lineRule="auto"/>
        <w:jc w:val="both"/>
        <w:rPr>
          <w:i/>
          <w:iCs/>
        </w:rPr>
      </w:pPr>
      <w:r w:rsidRPr="00863BFD">
        <w:rPr>
          <w:i/>
          <w:iCs/>
        </w:rPr>
        <w:t xml:space="preserve">15. </w:t>
      </w:r>
      <w:r w:rsidR="00DE0B3E" w:rsidRPr="00863BFD">
        <w:rPr>
          <w:i/>
          <w:iCs/>
        </w:rPr>
        <w:t>W</w:t>
      </w:r>
      <w:r w:rsidRPr="00863BFD">
        <w:rPr>
          <w:i/>
          <w:iCs/>
        </w:rPr>
        <w:t>e proceeded to serve and f</w:t>
      </w:r>
      <w:r w:rsidR="00DE0B3E" w:rsidRPr="00863BFD">
        <w:rPr>
          <w:i/>
          <w:iCs/>
        </w:rPr>
        <w:t>ile</w:t>
      </w:r>
      <w:r w:rsidRPr="00863BFD">
        <w:rPr>
          <w:i/>
          <w:iCs/>
        </w:rPr>
        <w:t xml:space="preserve"> </w:t>
      </w:r>
      <w:r w:rsidR="00DE0B3E" w:rsidRPr="00863BFD">
        <w:rPr>
          <w:i/>
          <w:iCs/>
        </w:rPr>
        <w:t>our client’s A</w:t>
      </w:r>
      <w:r w:rsidRPr="00863BFD">
        <w:rPr>
          <w:i/>
          <w:iCs/>
        </w:rPr>
        <w:t xml:space="preserve">pplication </w:t>
      </w:r>
      <w:r w:rsidR="00DE0B3E" w:rsidRPr="00863BFD">
        <w:rPr>
          <w:i/>
          <w:iCs/>
        </w:rPr>
        <w:t>for Leave to</w:t>
      </w:r>
      <w:r w:rsidRPr="00863BFD">
        <w:rPr>
          <w:i/>
          <w:iCs/>
        </w:rPr>
        <w:t xml:space="preserve"> appeal the very next day being Tuesday</w:t>
      </w:r>
      <w:r w:rsidR="007B3217" w:rsidRPr="00863BFD">
        <w:rPr>
          <w:i/>
          <w:iCs/>
        </w:rPr>
        <w:t>,</w:t>
      </w:r>
      <w:r w:rsidRPr="00863BFD">
        <w:rPr>
          <w:i/>
          <w:iCs/>
        </w:rPr>
        <w:t xml:space="preserve"> 13 November 2018 and same will be filed </w:t>
      </w:r>
      <w:r w:rsidR="007B3217" w:rsidRPr="00863BFD">
        <w:rPr>
          <w:i/>
          <w:iCs/>
        </w:rPr>
        <w:t>with the registrar of the High Court</w:t>
      </w:r>
      <w:r w:rsidRPr="00863BFD">
        <w:rPr>
          <w:i/>
          <w:iCs/>
        </w:rPr>
        <w:t xml:space="preserve"> by the morning of 14 November 2018</w:t>
      </w:r>
      <w:r w:rsidR="007B3217" w:rsidRPr="00863BFD">
        <w:rPr>
          <w:i/>
          <w:iCs/>
        </w:rPr>
        <w:t>.</w:t>
      </w:r>
    </w:p>
    <w:p w14:paraId="4905D64E" w14:textId="1DF01EC3" w:rsidR="00DF6BA5" w:rsidRPr="00863BFD" w:rsidRDefault="00DF6BA5" w:rsidP="00325B42">
      <w:pPr>
        <w:pStyle w:val="ListParagraph"/>
        <w:spacing w:line="480" w:lineRule="auto"/>
        <w:jc w:val="both"/>
        <w:rPr>
          <w:i/>
          <w:iCs/>
        </w:rPr>
      </w:pPr>
      <w:r w:rsidRPr="00863BFD">
        <w:rPr>
          <w:i/>
          <w:iCs/>
        </w:rPr>
        <w:t xml:space="preserve">16 </w:t>
      </w:r>
      <w:r w:rsidR="007B3217" w:rsidRPr="00863BFD">
        <w:rPr>
          <w:i/>
          <w:iCs/>
        </w:rPr>
        <w:t>W</w:t>
      </w:r>
      <w:r w:rsidRPr="00863BFD">
        <w:rPr>
          <w:i/>
          <w:iCs/>
        </w:rPr>
        <w:t xml:space="preserve">e accordingly </w:t>
      </w:r>
      <w:r w:rsidR="007B3217" w:rsidRPr="00863BFD">
        <w:rPr>
          <w:i/>
          <w:iCs/>
        </w:rPr>
        <w:t xml:space="preserve">seek </w:t>
      </w:r>
      <w:r w:rsidRPr="00863BFD">
        <w:rPr>
          <w:i/>
          <w:iCs/>
        </w:rPr>
        <w:t>condonation for the late filing of our client</w:t>
      </w:r>
      <w:r w:rsidR="007B3217" w:rsidRPr="00863BFD">
        <w:rPr>
          <w:i/>
          <w:iCs/>
        </w:rPr>
        <w:t>’</w:t>
      </w:r>
      <w:r w:rsidRPr="00863BFD">
        <w:rPr>
          <w:i/>
          <w:iCs/>
        </w:rPr>
        <w:t xml:space="preserve">s </w:t>
      </w:r>
      <w:r w:rsidR="007B3217" w:rsidRPr="00863BFD">
        <w:rPr>
          <w:i/>
          <w:iCs/>
        </w:rPr>
        <w:t>A</w:t>
      </w:r>
      <w:r w:rsidRPr="00863BFD">
        <w:rPr>
          <w:i/>
          <w:iCs/>
        </w:rPr>
        <w:t xml:space="preserve">pplication for </w:t>
      </w:r>
      <w:r w:rsidR="007B3217" w:rsidRPr="00863BFD">
        <w:rPr>
          <w:i/>
          <w:iCs/>
        </w:rPr>
        <w:t>L</w:t>
      </w:r>
      <w:r w:rsidRPr="00863BFD">
        <w:rPr>
          <w:i/>
          <w:iCs/>
        </w:rPr>
        <w:t xml:space="preserve">eave to </w:t>
      </w:r>
      <w:r w:rsidR="007B3217" w:rsidRPr="00863BFD">
        <w:rPr>
          <w:i/>
          <w:iCs/>
        </w:rPr>
        <w:t>A</w:t>
      </w:r>
      <w:r w:rsidRPr="00863BFD">
        <w:rPr>
          <w:i/>
          <w:iCs/>
        </w:rPr>
        <w:t xml:space="preserve">ppeal and request that the </w:t>
      </w:r>
      <w:r w:rsidR="007B3217" w:rsidRPr="00863BFD">
        <w:rPr>
          <w:i/>
          <w:iCs/>
        </w:rPr>
        <w:t>C</w:t>
      </w:r>
      <w:r w:rsidRPr="00863BFD">
        <w:rPr>
          <w:i/>
          <w:iCs/>
        </w:rPr>
        <w:t>ourt allow for the late filing of same.</w:t>
      </w:r>
      <w:r w:rsidR="007B3217" w:rsidRPr="00863BFD">
        <w:rPr>
          <w:i/>
          <w:iCs/>
        </w:rPr>
        <w:t>”</w:t>
      </w:r>
    </w:p>
    <w:p w14:paraId="11C28D67" w14:textId="3A173CA8" w:rsidR="00DF6BA5" w:rsidRDefault="00207A56" w:rsidP="00325B42">
      <w:pPr>
        <w:pStyle w:val="ListParagraph"/>
        <w:spacing w:line="480" w:lineRule="auto"/>
        <w:jc w:val="both"/>
      </w:pPr>
      <w:r>
        <w:t>[28.6] T</w:t>
      </w:r>
      <w:r w:rsidRPr="00207A56">
        <w:t xml:space="preserve">he </w:t>
      </w:r>
      <w:r>
        <w:t>R</w:t>
      </w:r>
      <w:r w:rsidRPr="00207A56">
        <w:t>espondents</w:t>
      </w:r>
      <w:r>
        <w:t>’</w:t>
      </w:r>
      <w:r w:rsidRPr="00207A56">
        <w:t xml:space="preserve"> att</w:t>
      </w:r>
      <w:r>
        <w:t>orneys</w:t>
      </w:r>
      <w:r w:rsidRPr="00207A56">
        <w:t xml:space="preserve"> became involved in this matter only on 12 November 2018</w:t>
      </w:r>
      <w:r>
        <w:t>,</w:t>
      </w:r>
      <w:r w:rsidRPr="00207A56">
        <w:t xml:space="preserve"> when they w</w:t>
      </w:r>
      <w:r>
        <w:t>ere</w:t>
      </w:r>
      <w:r w:rsidRPr="00207A56">
        <w:t xml:space="preserve"> </w:t>
      </w:r>
      <w:r>
        <w:t>in</w:t>
      </w:r>
      <w:r w:rsidRPr="00207A56">
        <w:t>structed to file an application for leave to appeal</w:t>
      </w:r>
      <w:r>
        <w:t>,</w:t>
      </w:r>
      <w:r w:rsidRPr="00207A56">
        <w:t xml:space="preserve"> w</w:t>
      </w:r>
      <w:r>
        <w:t>hich</w:t>
      </w:r>
      <w:r w:rsidRPr="00207A56">
        <w:t xml:space="preserve"> they did on 13 November 2018. </w:t>
      </w:r>
      <w:r>
        <w:t xml:space="preserve">The affidavit of </w:t>
      </w:r>
      <w:proofErr w:type="spellStart"/>
      <w:r>
        <w:t>Ch</w:t>
      </w:r>
      <w:r w:rsidRPr="00207A56">
        <w:t>aralambo</w:t>
      </w:r>
      <w:r>
        <w:t>u</w:t>
      </w:r>
      <w:r w:rsidRPr="00207A56">
        <w:t>s</w:t>
      </w:r>
      <w:proofErr w:type="spellEnd"/>
      <w:r w:rsidRPr="00207A56">
        <w:t xml:space="preserve"> </w:t>
      </w:r>
      <w:r>
        <w:t>only</w:t>
      </w:r>
      <w:r w:rsidRPr="00207A56">
        <w:t xml:space="preserve"> covers the delay from 12 November 2018</w:t>
      </w:r>
      <w:r>
        <w:t>. T</w:t>
      </w:r>
      <w:r w:rsidRPr="00207A56">
        <w:t xml:space="preserve">here is no </w:t>
      </w:r>
      <w:r>
        <w:t xml:space="preserve">affidavit </w:t>
      </w:r>
      <w:r w:rsidRPr="00207A56">
        <w:t xml:space="preserve">from the </w:t>
      </w:r>
      <w:r>
        <w:t>R</w:t>
      </w:r>
      <w:r w:rsidRPr="00207A56">
        <w:t>espondent</w:t>
      </w:r>
      <w:r>
        <w:t xml:space="preserve">s’ erstwhile </w:t>
      </w:r>
      <w:r>
        <w:lastRenderedPageBreak/>
        <w:t>attorneys</w:t>
      </w:r>
      <w:r w:rsidRPr="00207A56">
        <w:t xml:space="preserve"> </w:t>
      </w:r>
      <w:r>
        <w:t>in which</w:t>
      </w:r>
      <w:r w:rsidRPr="00207A56">
        <w:t xml:space="preserve"> </w:t>
      </w:r>
      <w:r>
        <w:t xml:space="preserve">they </w:t>
      </w:r>
      <w:r w:rsidRPr="00207A56">
        <w:t>explain the delay up to the 11 November 2018. I found it very strange that the current att</w:t>
      </w:r>
      <w:r w:rsidR="00224E37">
        <w:t>orneys</w:t>
      </w:r>
      <w:r w:rsidRPr="00207A56">
        <w:t xml:space="preserve"> of the </w:t>
      </w:r>
      <w:r w:rsidR="00224E37">
        <w:t>R</w:t>
      </w:r>
      <w:r w:rsidRPr="00207A56">
        <w:t xml:space="preserve">espondents have not taken any steps </w:t>
      </w:r>
      <w:r w:rsidR="00224E37">
        <w:t xml:space="preserve">to obtain from former attorneys of the Respondents an affidavit in which such attorneys explain the delay in filing an application for leave to appeal while they were still </w:t>
      </w:r>
      <w:r w:rsidR="00FE14A0">
        <w:t>overseeing</w:t>
      </w:r>
      <w:r w:rsidR="00224E37">
        <w:t xml:space="preserve"> the Respondents’ matter. </w:t>
      </w:r>
      <w:r w:rsidR="00472955">
        <w:t xml:space="preserve">This is even though they consulted with such attorneys on 12 November 2018. </w:t>
      </w:r>
      <w:r w:rsidR="00224E37" w:rsidRPr="00224E37">
        <w:t xml:space="preserve">For this </w:t>
      </w:r>
      <w:r w:rsidR="00AD1314" w:rsidRPr="00224E37">
        <w:t>reason,</w:t>
      </w:r>
      <w:r w:rsidR="00224E37" w:rsidRPr="00224E37">
        <w:t xml:space="preserve"> the explanation </w:t>
      </w:r>
      <w:r w:rsidR="00AD1314" w:rsidRPr="00224E37">
        <w:t>why,</w:t>
      </w:r>
      <w:r w:rsidR="00224E37" w:rsidRPr="00224E37">
        <w:t xml:space="preserve"> there was </w:t>
      </w:r>
      <w:r w:rsidR="00AD1314" w:rsidRPr="00224E37">
        <w:t>delay</w:t>
      </w:r>
      <w:r w:rsidR="00224E37" w:rsidRPr="00224E37">
        <w:t xml:space="preserve"> in timeously filing an application for leave to appeal is incomplete. Based on the evidence of </w:t>
      </w:r>
      <w:proofErr w:type="spellStart"/>
      <w:r w:rsidR="00AD1314">
        <w:t>Charalambous</w:t>
      </w:r>
      <w:proofErr w:type="spellEnd"/>
      <w:r w:rsidR="00224E37" w:rsidRPr="00224E37">
        <w:t xml:space="preserve"> there is no acce</w:t>
      </w:r>
      <w:r w:rsidR="00AD1314">
        <w:t>pta</w:t>
      </w:r>
      <w:r w:rsidR="00224E37" w:rsidRPr="00224E37">
        <w:t xml:space="preserve">ble </w:t>
      </w:r>
      <w:r w:rsidR="00AD1314">
        <w:t>explan</w:t>
      </w:r>
      <w:r w:rsidR="00224E37" w:rsidRPr="00224E37">
        <w:t>ation wh</w:t>
      </w:r>
      <w:r w:rsidR="00AD1314">
        <w:t>y</w:t>
      </w:r>
      <w:r w:rsidR="00224E37" w:rsidRPr="00224E37">
        <w:t xml:space="preserve"> the application </w:t>
      </w:r>
      <w:r w:rsidR="00AD1314">
        <w:t xml:space="preserve">for </w:t>
      </w:r>
      <w:r w:rsidR="00224E37" w:rsidRPr="00224E37">
        <w:t>le</w:t>
      </w:r>
      <w:r w:rsidR="00AD1314">
        <w:t>ave to</w:t>
      </w:r>
      <w:r w:rsidR="00224E37" w:rsidRPr="00224E37">
        <w:t xml:space="preserve"> appeal was not filed within 15 days as required by the rules of </w:t>
      </w:r>
      <w:r w:rsidR="00D938B6" w:rsidRPr="00224E37">
        <w:t>court.</w:t>
      </w:r>
      <w:r w:rsidR="00D938B6">
        <w:t xml:space="preserve"> This vital information </w:t>
      </w:r>
      <w:r w:rsidR="00D938B6" w:rsidRPr="00224E37">
        <w:t>should</w:t>
      </w:r>
      <w:r w:rsidR="00D938B6">
        <w:t xml:space="preserve">, in my view, have been covered by the affidavit </w:t>
      </w:r>
      <w:r w:rsidR="002F372D">
        <w:t xml:space="preserve">from </w:t>
      </w:r>
      <w:r w:rsidR="00D938B6">
        <w:t xml:space="preserve">KPI. </w:t>
      </w:r>
      <w:r w:rsidR="00224E37" w:rsidRPr="00224E37">
        <w:t xml:space="preserve">In terms of </w:t>
      </w:r>
      <w:r w:rsidR="00AD1314">
        <w:t>R</w:t>
      </w:r>
      <w:r w:rsidR="00224E37" w:rsidRPr="00224E37">
        <w:t xml:space="preserve">ule </w:t>
      </w:r>
      <w:r w:rsidR="00AD1314">
        <w:t>49(1)(b) th</w:t>
      </w:r>
      <w:r w:rsidR="00224E37" w:rsidRPr="00224E37">
        <w:t xml:space="preserve">e </w:t>
      </w:r>
      <w:r w:rsidR="00AD1314">
        <w:t>U</w:t>
      </w:r>
      <w:r w:rsidR="00224E37" w:rsidRPr="00224E37">
        <w:t xml:space="preserve">niform </w:t>
      </w:r>
      <w:r w:rsidR="00AD1314">
        <w:t>Rules</w:t>
      </w:r>
      <w:r w:rsidR="00224E37" w:rsidRPr="00224E37">
        <w:t xml:space="preserve"> of court</w:t>
      </w:r>
      <w:r w:rsidR="00224E37">
        <w:t>:</w:t>
      </w:r>
    </w:p>
    <w:p w14:paraId="10BDFADC" w14:textId="0AB80B0A" w:rsidR="00224E37" w:rsidRPr="00AD1314" w:rsidRDefault="00224E37" w:rsidP="00325B42">
      <w:pPr>
        <w:pStyle w:val="ListParagraph"/>
        <w:spacing w:line="480" w:lineRule="auto"/>
        <w:jc w:val="both"/>
        <w:rPr>
          <w:i/>
          <w:iCs/>
        </w:rPr>
      </w:pPr>
      <w:r>
        <w:t>“</w:t>
      </w:r>
      <w:r w:rsidR="00AD1314" w:rsidRPr="00AD1314">
        <w:rPr>
          <w:i/>
          <w:iCs/>
        </w:rPr>
        <w:t>W</w:t>
      </w:r>
      <w:r w:rsidRPr="00AD1314">
        <w:rPr>
          <w:i/>
          <w:iCs/>
        </w:rPr>
        <w:t>hen leave to appeal is required and it has not been requested at the time of the judgement or order, application for such lea</w:t>
      </w:r>
      <w:r w:rsidR="00AD1314" w:rsidRPr="00AD1314">
        <w:rPr>
          <w:i/>
          <w:iCs/>
        </w:rPr>
        <w:t>ve</w:t>
      </w:r>
      <w:r w:rsidRPr="00AD1314">
        <w:rPr>
          <w:i/>
          <w:iCs/>
        </w:rPr>
        <w:t xml:space="preserve"> shall be made and the grounds therefor shall be f</w:t>
      </w:r>
      <w:r w:rsidR="00AD1314" w:rsidRPr="00AD1314">
        <w:rPr>
          <w:i/>
          <w:iCs/>
        </w:rPr>
        <w:t>ur</w:t>
      </w:r>
      <w:r w:rsidRPr="00AD1314">
        <w:rPr>
          <w:i/>
          <w:iCs/>
        </w:rPr>
        <w:t xml:space="preserve">nished within 15 days after the date of the order appealed against; Provided that when the reasons or the full reasons for the court's order are given on </w:t>
      </w:r>
      <w:r w:rsidR="00AD1314" w:rsidRPr="00AD1314">
        <w:rPr>
          <w:i/>
          <w:iCs/>
        </w:rPr>
        <w:t xml:space="preserve">a </w:t>
      </w:r>
      <w:r w:rsidRPr="00AD1314">
        <w:rPr>
          <w:i/>
          <w:iCs/>
        </w:rPr>
        <w:t xml:space="preserve">later date </w:t>
      </w:r>
      <w:r w:rsidR="00AD1314" w:rsidRPr="00AD1314">
        <w:rPr>
          <w:i/>
          <w:iCs/>
        </w:rPr>
        <w:t>than</w:t>
      </w:r>
      <w:r w:rsidRPr="00AD1314">
        <w:rPr>
          <w:i/>
          <w:iCs/>
        </w:rPr>
        <w:t xml:space="preserve"> the date of the o</w:t>
      </w:r>
      <w:r w:rsidR="00AD1314" w:rsidRPr="00AD1314">
        <w:rPr>
          <w:i/>
          <w:iCs/>
        </w:rPr>
        <w:t>rd</w:t>
      </w:r>
      <w:r w:rsidRPr="00AD1314">
        <w:rPr>
          <w:i/>
          <w:iCs/>
        </w:rPr>
        <w:t>er</w:t>
      </w:r>
      <w:r w:rsidR="00AD1314" w:rsidRPr="00AD1314">
        <w:rPr>
          <w:i/>
          <w:iCs/>
        </w:rPr>
        <w:t>,</w:t>
      </w:r>
      <w:r w:rsidRPr="00AD1314">
        <w:rPr>
          <w:i/>
          <w:iCs/>
        </w:rPr>
        <w:t xml:space="preserve"> such application may be made within 15 days of such later date; provided further that the court may upon good c</w:t>
      </w:r>
      <w:r w:rsidR="00AD1314" w:rsidRPr="00AD1314">
        <w:rPr>
          <w:i/>
          <w:iCs/>
        </w:rPr>
        <w:t>ause</w:t>
      </w:r>
      <w:r w:rsidRPr="00AD1314">
        <w:rPr>
          <w:i/>
          <w:iCs/>
        </w:rPr>
        <w:t xml:space="preserve"> extend the aforementioned periods of 15 days."</w:t>
      </w:r>
    </w:p>
    <w:p w14:paraId="6452CC2B" w14:textId="1DFD41E5" w:rsidR="00224E37" w:rsidRDefault="00224E37" w:rsidP="00325B42">
      <w:pPr>
        <w:pStyle w:val="ListParagraph"/>
        <w:spacing w:line="480" w:lineRule="auto"/>
        <w:jc w:val="both"/>
      </w:pPr>
      <w:r>
        <w:t xml:space="preserve">[28.7] </w:t>
      </w:r>
      <w:r w:rsidRPr="00224E37">
        <w:t xml:space="preserve">We now know that the </w:t>
      </w:r>
      <w:r w:rsidR="00CD0F2D">
        <w:t xml:space="preserve">Respondents did not require the reasons for the order to appeal. They </w:t>
      </w:r>
      <w:r w:rsidRPr="00224E37">
        <w:t xml:space="preserve">had only intended to appeal against the court order. They did not need reasons for that purpose. If the </w:t>
      </w:r>
      <w:r w:rsidR="00CD0F2D">
        <w:t>R</w:t>
      </w:r>
      <w:r w:rsidRPr="00224E37">
        <w:t xml:space="preserve">espondents intended appealing against the order of </w:t>
      </w:r>
      <w:r w:rsidR="00CD0F2D">
        <w:t>7</w:t>
      </w:r>
      <w:r w:rsidRPr="00224E37">
        <w:t xml:space="preserve"> March 2</w:t>
      </w:r>
      <w:r w:rsidR="00CD0F2D">
        <w:t>017 only</w:t>
      </w:r>
      <w:r w:rsidRPr="00224E37">
        <w:t>, as they claim that was their intention, they were obliged to file their application for l</w:t>
      </w:r>
      <w:r w:rsidR="00CD0F2D">
        <w:t xml:space="preserve">eave </w:t>
      </w:r>
      <w:r w:rsidR="00BA22AA">
        <w:t xml:space="preserve">to </w:t>
      </w:r>
      <w:r w:rsidR="00BA22AA" w:rsidRPr="00224E37">
        <w:t>appeal</w:t>
      </w:r>
      <w:r w:rsidRPr="00224E37">
        <w:t xml:space="preserve"> within 15 days after </w:t>
      </w:r>
      <w:r w:rsidR="00CD0F2D">
        <w:t>7</w:t>
      </w:r>
      <w:r w:rsidRPr="00224E37">
        <w:t xml:space="preserve"> March </w:t>
      </w:r>
      <w:r w:rsidR="00CD0F2D">
        <w:t>2017,</w:t>
      </w:r>
      <w:r w:rsidRPr="00224E37">
        <w:t xml:space="preserve"> which they failed to do. </w:t>
      </w:r>
      <w:r w:rsidR="00BA22AA">
        <w:t xml:space="preserve">The affidavit </w:t>
      </w:r>
      <w:r w:rsidR="00BA22AA" w:rsidRPr="00224E37">
        <w:t>of</w:t>
      </w:r>
      <w:r w:rsidRPr="00224E37">
        <w:t xml:space="preserve"> </w:t>
      </w:r>
      <w:proofErr w:type="spellStart"/>
      <w:r w:rsidR="00BA22AA">
        <w:t>C</w:t>
      </w:r>
      <w:r w:rsidRPr="00224E37">
        <w:t>haralambo</w:t>
      </w:r>
      <w:r w:rsidR="00BA22AA">
        <w:t>u</w:t>
      </w:r>
      <w:r w:rsidRPr="00224E37">
        <w:t>s</w:t>
      </w:r>
      <w:proofErr w:type="spellEnd"/>
      <w:r w:rsidRPr="00224E37">
        <w:t xml:space="preserve"> f</w:t>
      </w:r>
      <w:r w:rsidR="00BA22AA">
        <w:t>ails to</w:t>
      </w:r>
      <w:r w:rsidRPr="00224E37">
        <w:t xml:space="preserve"> </w:t>
      </w:r>
      <w:r w:rsidR="00BA22AA" w:rsidRPr="00224E37">
        <w:t>explain</w:t>
      </w:r>
      <w:r w:rsidRPr="00224E37">
        <w:t xml:space="preserve"> why there was such a long delay to file the application for l</w:t>
      </w:r>
      <w:r w:rsidR="00BA22AA">
        <w:t>eave to</w:t>
      </w:r>
      <w:r w:rsidRPr="00224E37">
        <w:t xml:space="preserve"> appeal between 7 March 2017 and 12 November 2018</w:t>
      </w:r>
      <w:r w:rsidR="00BA22AA">
        <w:t>.</w:t>
      </w:r>
      <w:r w:rsidRPr="00224E37">
        <w:t xml:space="preserve"> </w:t>
      </w:r>
      <w:r w:rsidR="00BA22AA">
        <w:lastRenderedPageBreak/>
        <w:t>A</w:t>
      </w:r>
      <w:r w:rsidRPr="00224E37">
        <w:t xml:space="preserve">s shown in </w:t>
      </w:r>
      <w:proofErr w:type="spellStart"/>
      <w:r w:rsidRPr="009E1494">
        <w:rPr>
          <w:b/>
          <w:bCs/>
        </w:rPr>
        <w:t>Be</w:t>
      </w:r>
      <w:r w:rsidR="00BA22AA" w:rsidRPr="009E1494">
        <w:rPr>
          <w:b/>
          <w:bCs/>
        </w:rPr>
        <w:t>weging</w:t>
      </w:r>
      <w:proofErr w:type="spellEnd"/>
      <w:r w:rsidR="00BA22AA" w:rsidRPr="009E1494">
        <w:rPr>
          <w:b/>
          <w:bCs/>
        </w:rPr>
        <w:t xml:space="preserve"> </w:t>
      </w:r>
      <w:proofErr w:type="spellStart"/>
      <w:r w:rsidR="00BA22AA" w:rsidRPr="009E1494">
        <w:rPr>
          <w:b/>
          <w:bCs/>
        </w:rPr>
        <w:t>vir</w:t>
      </w:r>
      <w:proofErr w:type="spellEnd"/>
      <w:r w:rsidR="00BA22AA" w:rsidRPr="009E1494">
        <w:rPr>
          <w:b/>
          <w:bCs/>
        </w:rPr>
        <w:t xml:space="preserve"> </w:t>
      </w:r>
      <w:proofErr w:type="spellStart"/>
      <w:r w:rsidR="00BA22AA" w:rsidRPr="009E1494">
        <w:rPr>
          <w:b/>
          <w:bCs/>
        </w:rPr>
        <w:t>Christelike-Volkseie</w:t>
      </w:r>
      <w:proofErr w:type="spellEnd"/>
      <w:r w:rsidR="00BA22AA" w:rsidRPr="009E1494">
        <w:rPr>
          <w:b/>
          <w:bCs/>
        </w:rPr>
        <w:t xml:space="preserve"> </w:t>
      </w:r>
      <w:proofErr w:type="spellStart"/>
      <w:r w:rsidR="00BA22AA" w:rsidRPr="009E1494">
        <w:rPr>
          <w:b/>
          <w:bCs/>
        </w:rPr>
        <w:t>Onderwys</w:t>
      </w:r>
      <w:proofErr w:type="spellEnd"/>
      <w:r w:rsidR="00BA22AA" w:rsidRPr="009E1494">
        <w:rPr>
          <w:b/>
          <w:bCs/>
        </w:rPr>
        <w:t xml:space="preserve"> v Minister of Education [2012] 2 ALL SA 462 (SCA</w:t>
      </w:r>
      <w:r w:rsidR="009E1494" w:rsidRPr="009E1494">
        <w:rPr>
          <w:b/>
          <w:bCs/>
        </w:rPr>
        <w:t>),</w:t>
      </w:r>
      <w:r w:rsidRPr="00224E37">
        <w:t xml:space="preserve"> an application for condonation must explain the </w:t>
      </w:r>
      <w:r w:rsidR="00BA22AA" w:rsidRPr="00224E37">
        <w:t>delay</w:t>
      </w:r>
      <w:r w:rsidRPr="00224E37">
        <w:t>. It must f</w:t>
      </w:r>
      <w:r w:rsidR="00BA22AA">
        <w:t>ur</w:t>
      </w:r>
      <w:r w:rsidRPr="00224E37">
        <w:t xml:space="preserve">nish the </w:t>
      </w:r>
      <w:r w:rsidR="00BA22AA">
        <w:t>court</w:t>
      </w:r>
      <w:r w:rsidRPr="00224E37">
        <w:t xml:space="preserve"> with a complete, </w:t>
      </w:r>
      <w:r w:rsidR="00FE14A0" w:rsidRPr="00224E37">
        <w:t>reasonable,</w:t>
      </w:r>
      <w:r w:rsidRPr="00224E37">
        <w:t xml:space="preserve"> and acceptable </w:t>
      </w:r>
      <w:r w:rsidR="00BA22AA">
        <w:t>explan</w:t>
      </w:r>
      <w:r w:rsidRPr="00224E37">
        <w:t>ation for the del</w:t>
      </w:r>
      <w:r w:rsidR="009E1494">
        <w:t>ay.</w:t>
      </w:r>
      <w:r w:rsidRPr="00224E37">
        <w:t xml:space="preserve"> </w:t>
      </w:r>
      <w:r w:rsidR="009E1494">
        <w:t>The ex</w:t>
      </w:r>
      <w:r w:rsidRPr="00224E37">
        <w:t xml:space="preserve">planation must cover </w:t>
      </w:r>
      <w:r w:rsidR="009E1494">
        <w:t>the whole period of the delay.</w:t>
      </w:r>
      <w:r w:rsidRPr="00224E37">
        <w:t xml:space="preserve"> </w:t>
      </w:r>
      <w:r w:rsidR="009E1494">
        <w:t xml:space="preserve">The affidavit </w:t>
      </w:r>
      <w:r w:rsidRPr="00224E37">
        <w:t xml:space="preserve">of </w:t>
      </w:r>
      <w:proofErr w:type="spellStart"/>
      <w:r w:rsidR="009E1494">
        <w:t>C</w:t>
      </w:r>
      <w:r w:rsidRPr="00224E37">
        <w:t>haralambo</w:t>
      </w:r>
      <w:r w:rsidR="009E1494">
        <w:t>u</w:t>
      </w:r>
      <w:r w:rsidRPr="00224E37">
        <w:t>s</w:t>
      </w:r>
      <w:proofErr w:type="spellEnd"/>
      <w:r w:rsidRPr="00224E37">
        <w:t xml:space="preserve"> </w:t>
      </w:r>
      <w:r w:rsidR="009E1494">
        <w:t>falls dismally short of this requirement</w:t>
      </w:r>
      <w:r w:rsidR="00FE14A0">
        <w:t xml:space="preserve">. </w:t>
      </w:r>
      <w:r w:rsidRPr="00224E37">
        <w:t>In my view</w:t>
      </w:r>
      <w:r w:rsidR="009E1494">
        <w:t>,</w:t>
      </w:r>
      <w:r w:rsidRPr="00224E37">
        <w:t xml:space="preserve"> just on this point alone </w:t>
      </w:r>
      <w:r w:rsidR="0013465C">
        <w:t xml:space="preserve">the </w:t>
      </w:r>
      <w:r w:rsidRPr="00224E37">
        <w:t xml:space="preserve">application for condonation cannot </w:t>
      </w:r>
      <w:r w:rsidR="009E1494" w:rsidRPr="00224E37">
        <w:t>succeed.</w:t>
      </w:r>
    </w:p>
    <w:p w14:paraId="69105335" w14:textId="4FD9B545" w:rsidR="00224E37" w:rsidRDefault="00224E37" w:rsidP="00325B42">
      <w:pPr>
        <w:pStyle w:val="ListParagraph"/>
        <w:spacing w:line="480" w:lineRule="auto"/>
        <w:jc w:val="both"/>
      </w:pPr>
      <w:r w:rsidRPr="00224E37">
        <w:t>Thirdly and finally</w:t>
      </w:r>
      <w:r w:rsidR="009E1494">
        <w:t>,</w:t>
      </w:r>
      <w:r w:rsidRPr="00224E37">
        <w:t xml:space="preserve"> the applicant must</w:t>
      </w:r>
      <w:r w:rsidR="009E1494">
        <w:t>,</w:t>
      </w:r>
      <w:r w:rsidRPr="00224E37">
        <w:t xml:space="preserve"> in his application for l</w:t>
      </w:r>
      <w:r w:rsidR="009E1494">
        <w:t>eave to</w:t>
      </w:r>
      <w:r w:rsidRPr="00224E37">
        <w:t xml:space="preserve"> appeal</w:t>
      </w:r>
      <w:r w:rsidR="009E1494">
        <w:t>,</w:t>
      </w:r>
      <w:r w:rsidRPr="00224E37">
        <w:t xml:space="preserve"> dea</w:t>
      </w:r>
      <w:r w:rsidR="009E1494">
        <w:t>l</w:t>
      </w:r>
      <w:r w:rsidRPr="00224E37">
        <w:t xml:space="preserve"> with the merits of the case </w:t>
      </w:r>
      <w:r w:rsidR="00FE14A0" w:rsidRPr="00224E37">
        <w:t>as far as</w:t>
      </w:r>
      <w:r w:rsidRPr="00224E37">
        <w:t xml:space="preserve"> is necessary for the purpose of explaining and supporting </w:t>
      </w:r>
      <w:r w:rsidR="009E1494">
        <w:t>his</w:t>
      </w:r>
      <w:r w:rsidRPr="00224E37">
        <w:t xml:space="preserve"> </w:t>
      </w:r>
      <w:r w:rsidR="00594128" w:rsidRPr="00224E37">
        <w:t>grounds</w:t>
      </w:r>
      <w:r w:rsidRPr="00224E37">
        <w:t xml:space="preserve"> upon which the application is so</w:t>
      </w:r>
      <w:r w:rsidR="009E1494">
        <w:t>ught</w:t>
      </w:r>
      <w:r w:rsidR="00FE14A0" w:rsidRPr="00224E37">
        <w:t>.</w:t>
      </w:r>
      <w:r w:rsidR="00F44105">
        <w:t xml:space="preserve"> The purpose of this exercise would have been to determine whether or not the appeal has any prospect of success.</w:t>
      </w:r>
      <w:r w:rsidR="00FE14A0" w:rsidRPr="00224E37">
        <w:t xml:space="preserve"> </w:t>
      </w:r>
      <w:r w:rsidR="00594128">
        <w:t xml:space="preserve">The explanation </w:t>
      </w:r>
      <w:r w:rsidRPr="00224E37">
        <w:t xml:space="preserve">must be contained in the </w:t>
      </w:r>
      <w:r w:rsidR="00594128">
        <w:t>affidavit</w:t>
      </w:r>
      <w:r w:rsidRPr="00224E37">
        <w:t xml:space="preserve">. </w:t>
      </w:r>
      <w:r w:rsidR="00594128">
        <w:t>Affidavits</w:t>
      </w:r>
      <w:r w:rsidRPr="00224E37">
        <w:t xml:space="preserve"> contain fact</w:t>
      </w:r>
      <w:r w:rsidR="00594128">
        <w:t>s.</w:t>
      </w:r>
      <w:r w:rsidRPr="00224E37">
        <w:t xml:space="preserve"> </w:t>
      </w:r>
      <w:r w:rsidR="00594128">
        <w:t>These</w:t>
      </w:r>
      <w:r w:rsidRPr="00224E37">
        <w:t xml:space="preserve"> facts may be disputed in other </w:t>
      </w:r>
      <w:r w:rsidR="00594128">
        <w:t>affidavits.</w:t>
      </w:r>
      <w:r w:rsidR="00594128" w:rsidRPr="00224E37">
        <w:t xml:space="preserve"> </w:t>
      </w:r>
      <w:r w:rsidR="00594128">
        <w:t xml:space="preserve">The affidavit </w:t>
      </w:r>
      <w:r w:rsidRPr="00224E37">
        <w:t xml:space="preserve">of </w:t>
      </w:r>
      <w:proofErr w:type="spellStart"/>
      <w:r w:rsidR="00594128" w:rsidRPr="00224E37">
        <w:t>Charalambous</w:t>
      </w:r>
      <w:proofErr w:type="spellEnd"/>
      <w:r w:rsidRPr="00224E37">
        <w:t xml:space="preserve"> does not deal with the merits of the case. </w:t>
      </w:r>
      <w:r w:rsidR="00133CC2">
        <w:t xml:space="preserve">It </w:t>
      </w:r>
      <w:r w:rsidR="00133CC2" w:rsidRPr="00224E37">
        <w:t>does</w:t>
      </w:r>
      <w:r w:rsidRPr="00224E37">
        <w:t xml:space="preserve"> not explain and support the </w:t>
      </w:r>
      <w:r w:rsidR="00AE67B4" w:rsidRPr="00224E37">
        <w:t>grounds</w:t>
      </w:r>
      <w:r w:rsidRPr="00224E37">
        <w:t xml:space="preserve"> upon which the condonation is s</w:t>
      </w:r>
      <w:r w:rsidR="00133CC2">
        <w:t xml:space="preserve">ought. </w:t>
      </w:r>
    </w:p>
    <w:p w14:paraId="6225B63C" w14:textId="77777777" w:rsidR="00AE67B4" w:rsidRDefault="00AE67B4" w:rsidP="00325B42">
      <w:pPr>
        <w:pStyle w:val="ListParagraph"/>
        <w:spacing w:line="480" w:lineRule="auto"/>
        <w:jc w:val="both"/>
      </w:pPr>
    </w:p>
    <w:p w14:paraId="45945ADC" w14:textId="683C9E08" w:rsidR="00AE67B4" w:rsidRPr="00AE67B4" w:rsidRDefault="00AE67B4" w:rsidP="00325B42">
      <w:pPr>
        <w:pStyle w:val="ListParagraph"/>
        <w:spacing w:line="480" w:lineRule="auto"/>
        <w:jc w:val="both"/>
        <w:rPr>
          <w:u w:val="single"/>
        </w:rPr>
      </w:pPr>
      <w:r w:rsidRPr="00AE67B4">
        <w:rPr>
          <w:u w:val="single"/>
        </w:rPr>
        <w:t>NO NOTICE OF MOTION FOR THE APPLICATION FOR CONDONATION</w:t>
      </w:r>
    </w:p>
    <w:p w14:paraId="6FE845A2" w14:textId="515B3A68" w:rsidR="00224E37" w:rsidRDefault="00AE67B4" w:rsidP="00325B42">
      <w:pPr>
        <w:pStyle w:val="ListParagraph"/>
        <w:spacing w:line="480" w:lineRule="auto"/>
        <w:jc w:val="both"/>
      </w:pPr>
      <w:r w:rsidRPr="00AE67B4">
        <w:t>In the place of notice of motion, the respondent had filed a document called</w:t>
      </w:r>
      <w:r>
        <w:t xml:space="preserve">: </w:t>
      </w:r>
    </w:p>
    <w:p w14:paraId="58787249" w14:textId="3AC6075D" w:rsidR="00AE67B4" w:rsidRDefault="00AE67B4" w:rsidP="00325B42">
      <w:pPr>
        <w:pStyle w:val="ListParagraph"/>
        <w:spacing w:line="480" w:lineRule="auto"/>
        <w:jc w:val="both"/>
      </w:pPr>
      <w:r>
        <w:t xml:space="preserve">FILING SHEET: AFFIDAVIT </w:t>
      </w:r>
      <w:r w:rsidRPr="00AE67B4">
        <w:t>IN</w:t>
      </w:r>
      <w:r>
        <w:t xml:space="preserve"> SUPPORT OF THE LATE FILING OF THE FIRST AND SECOND </w:t>
      </w:r>
      <w:r w:rsidR="002B245E">
        <w:t>APPLICANT’S APPLICATION</w:t>
      </w:r>
      <w:r>
        <w:t xml:space="preserve"> FOR LEAVE TO APPEAL</w:t>
      </w:r>
      <w:r w:rsidR="002B245E">
        <w:t>.</w:t>
      </w:r>
    </w:p>
    <w:p w14:paraId="5A154304" w14:textId="6CD726C2" w:rsidR="002B245E" w:rsidRDefault="002B245E" w:rsidP="00325B42">
      <w:pPr>
        <w:pStyle w:val="ListParagraph"/>
        <w:spacing w:line="480" w:lineRule="auto"/>
        <w:jc w:val="both"/>
      </w:pPr>
      <w:r>
        <w:t xml:space="preserve">This </w:t>
      </w:r>
      <w:r w:rsidRPr="002B245E">
        <w:t xml:space="preserve">document stated </w:t>
      </w:r>
      <w:r>
        <w:t>as</w:t>
      </w:r>
      <w:r w:rsidRPr="002B245E">
        <w:t xml:space="preserve"> follows</w:t>
      </w:r>
      <w:r>
        <w:t>;</w:t>
      </w:r>
    </w:p>
    <w:p w14:paraId="14F6C3D6" w14:textId="23077E74" w:rsidR="002B245E" w:rsidRDefault="002B245E" w:rsidP="00325B42">
      <w:pPr>
        <w:pStyle w:val="ListParagraph"/>
        <w:spacing w:line="480" w:lineRule="auto"/>
        <w:jc w:val="both"/>
      </w:pPr>
      <w:r>
        <w:t>“</w:t>
      </w:r>
      <w:r w:rsidRPr="002B245E">
        <w:t>Kindly take notice that the 1st and 2nd applicants here by present for service and filing</w:t>
      </w:r>
    </w:p>
    <w:p w14:paraId="718AE820" w14:textId="66EDFDA1" w:rsidR="002B245E" w:rsidRDefault="002B245E" w:rsidP="00325B42">
      <w:pPr>
        <w:pStyle w:val="ListParagraph"/>
        <w:spacing w:line="480" w:lineRule="auto"/>
        <w:jc w:val="both"/>
      </w:pPr>
      <w:r>
        <w:t>. affidavit</w:t>
      </w:r>
      <w:r w:rsidRPr="002B245E">
        <w:t xml:space="preserve"> in support of the late filing of the first and second applicant</w:t>
      </w:r>
      <w:r>
        <w:t>’</w:t>
      </w:r>
      <w:r w:rsidRPr="002B245E">
        <w:t>s application for leave to appeal</w:t>
      </w:r>
      <w:r>
        <w:t>.”</w:t>
      </w:r>
    </w:p>
    <w:p w14:paraId="5327E6B3" w14:textId="2FA5A106" w:rsidR="002B245E" w:rsidRDefault="002B245E" w:rsidP="00325B42">
      <w:pPr>
        <w:pStyle w:val="ListParagraph"/>
        <w:spacing w:line="480" w:lineRule="auto"/>
        <w:jc w:val="both"/>
      </w:pPr>
      <w:r w:rsidRPr="002B245E">
        <w:t xml:space="preserve">Quite obviously </w:t>
      </w:r>
      <w:r w:rsidR="001C3B6A">
        <w:t xml:space="preserve">the </w:t>
      </w:r>
      <w:r w:rsidRPr="002B245E">
        <w:t>a</w:t>
      </w:r>
      <w:r>
        <w:t>ffidavit</w:t>
      </w:r>
      <w:r w:rsidRPr="002B245E">
        <w:t xml:space="preserve"> that was intended to be used in support of the late filing </w:t>
      </w:r>
      <w:r>
        <w:t>of</w:t>
      </w:r>
      <w:r w:rsidRPr="002B245E">
        <w:t xml:space="preserve"> </w:t>
      </w:r>
      <w:r>
        <w:t xml:space="preserve">the application for leave to appeal </w:t>
      </w:r>
      <w:r w:rsidR="005D374C">
        <w:t>w</w:t>
      </w:r>
      <w:r w:rsidRPr="002B245E">
        <w:t xml:space="preserve">as not even identified in the </w:t>
      </w:r>
      <w:r w:rsidR="005D374C">
        <w:t>filing sheet</w:t>
      </w:r>
      <w:r w:rsidR="00FE14A0">
        <w:t xml:space="preserve">. </w:t>
      </w:r>
      <w:r w:rsidR="005D374C">
        <w:t>T</w:t>
      </w:r>
      <w:r w:rsidRPr="002B245E">
        <w:t xml:space="preserve">he </w:t>
      </w:r>
      <w:r w:rsidRPr="002B245E">
        <w:lastRenderedPageBreak/>
        <w:t>filing sheet was then followed by an a</w:t>
      </w:r>
      <w:r w:rsidR="005D374C">
        <w:t xml:space="preserve">ffidavit </w:t>
      </w:r>
      <w:r w:rsidRPr="002B245E">
        <w:t xml:space="preserve">by the said </w:t>
      </w:r>
      <w:proofErr w:type="spellStart"/>
      <w:r w:rsidR="005D374C" w:rsidRPr="002B245E">
        <w:t>Charalambous</w:t>
      </w:r>
      <w:proofErr w:type="spellEnd"/>
      <w:r w:rsidRPr="002B245E">
        <w:t xml:space="preserve"> that was used in support of </w:t>
      </w:r>
      <w:r w:rsidR="005D374C">
        <w:t xml:space="preserve">the </w:t>
      </w:r>
      <w:r w:rsidRPr="002B245E">
        <w:t xml:space="preserve">application for condonation for the late filing of </w:t>
      </w:r>
      <w:r w:rsidR="005D374C">
        <w:t xml:space="preserve">the </w:t>
      </w:r>
      <w:r w:rsidRPr="002B245E">
        <w:t>application for leave to appea</w:t>
      </w:r>
      <w:r>
        <w:t>l.</w:t>
      </w:r>
    </w:p>
    <w:p w14:paraId="15501C55" w14:textId="715339ED" w:rsidR="002B245E" w:rsidRDefault="002B245E" w:rsidP="00325B42">
      <w:pPr>
        <w:pStyle w:val="ListParagraph"/>
        <w:spacing w:line="480" w:lineRule="auto"/>
        <w:jc w:val="both"/>
      </w:pPr>
      <w:r>
        <w:t>[30</w:t>
      </w:r>
      <w:r w:rsidR="00F67FF0">
        <w:t xml:space="preserve">] </w:t>
      </w:r>
      <w:r w:rsidR="00F67FF0" w:rsidRPr="002B245E">
        <w:t>According</w:t>
      </w:r>
      <w:r w:rsidRPr="002B245E">
        <w:t xml:space="preserve"> to coun</w:t>
      </w:r>
      <w:r>
        <w:t>se</w:t>
      </w:r>
      <w:r w:rsidRPr="002B245E">
        <w:t xml:space="preserve">l for the </w:t>
      </w:r>
      <w:r>
        <w:t>A</w:t>
      </w:r>
      <w:r w:rsidRPr="002B245E">
        <w:t>pplicant</w:t>
      </w:r>
      <w:r>
        <w:t>s</w:t>
      </w:r>
      <w:r w:rsidR="00F67FF0">
        <w:t>,</w:t>
      </w:r>
      <w:r>
        <w:t xml:space="preserve"> </w:t>
      </w:r>
      <w:r w:rsidRPr="002B245E">
        <w:t>the f</w:t>
      </w:r>
      <w:r w:rsidR="00F67FF0">
        <w:t>ee</w:t>
      </w:r>
      <w:r w:rsidRPr="002B245E">
        <w:t xml:space="preserve">t of clay with a so-called application </w:t>
      </w:r>
      <w:r w:rsidR="00F67FF0">
        <w:t>for leave to</w:t>
      </w:r>
      <w:r w:rsidRPr="002B245E">
        <w:t xml:space="preserve"> appeal is that there was no notice of motion. This was contrary to the rules of court in particular rule </w:t>
      </w:r>
      <w:r w:rsidR="00F67FF0">
        <w:t>6(1)</w:t>
      </w:r>
      <w:r w:rsidRPr="002B245E">
        <w:t xml:space="preserve"> of the </w:t>
      </w:r>
      <w:r w:rsidR="00F67FF0">
        <w:t xml:space="preserve">Uniform Rules of </w:t>
      </w:r>
      <w:r w:rsidR="00F15A01">
        <w:t>Court</w:t>
      </w:r>
      <w:r w:rsidR="00F15A01" w:rsidRPr="002B245E">
        <w:t xml:space="preserve"> </w:t>
      </w:r>
      <w:r w:rsidR="00F15A01">
        <w:t>w</w:t>
      </w:r>
      <w:r w:rsidR="00F15A01" w:rsidRPr="002B245E">
        <w:t>hich</w:t>
      </w:r>
      <w:r w:rsidRPr="002B245E">
        <w:t xml:space="preserve"> provides that</w:t>
      </w:r>
      <w:r>
        <w:t>:</w:t>
      </w:r>
    </w:p>
    <w:p w14:paraId="1C5D1D7E" w14:textId="77777777" w:rsidR="00ED502C" w:rsidRDefault="002B245E" w:rsidP="00325B42">
      <w:pPr>
        <w:pStyle w:val="ListParagraph"/>
        <w:spacing w:line="480" w:lineRule="auto"/>
        <w:jc w:val="both"/>
      </w:pPr>
      <w:r w:rsidRPr="00EC4D58">
        <w:rPr>
          <w:i/>
          <w:iCs/>
        </w:rPr>
        <w:t>“</w:t>
      </w:r>
      <w:r w:rsidR="00695B96" w:rsidRPr="00EC4D58">
        <w:rPr>
          <w:i/>
          <w:iCs/>
        </w:rPr>
        <w:t>Save</w:t>
      </w:r>
      <w:r w:rsidRPr="00EC4D58">
        <w:rPr>
          <w:i/>
          <w:iCs/>
        </w:rPr>
        <w:t xml:space="preserve"> </w:t>
      </w:r>
      <w:r w:rsidR="00695B96" w:rsidRPr="00EC4D58">
        <w:rPr>
          <w:i/>
          <w:iCs/>
        </w:rPr>
        <w:t>where</w:t>
      </w:r>
      <w:r w:rsidRPr="00EC4D58">
        <w:rPr>
          <w:i/>
          <w:iCs/>
        </w:rPr>
        <w:t xml:space="preserve"> proceedings by way of </w:t>
      </w:r>
      <w:r w:rsidR="00695B96" w:rsidRPr="00EC4D58">
        <w:rPr>
          <w:i/>
          <w:iCs/>
        </w:rPr>
        <w:t>petition</w:t>
      </w:r>
      <w:r w:rsidRPr="00EC4D58">
        <w:rPr>
          <w:i/>
          <w:iCs/>
        </w:rPr>
        <w:t xml:space="preserve"> are prescribed </w:t>
      </w:r>
      <w:r w:rsidR="00ED502C" w:rsidRPr="00EC4D58">
        <w:rPr>
          <w:i/>
          <w:iCs/>
        </w:rPr>
        <w:t>by the law</w:t>
      </w:r>
      <w:r w:rsidRPr="00EC4D58">
        <w:rPr>
          <w:i/>
          <w:iCs/>
        </w:rPr>
        <w:t>, every application shall be brought o</w:t>
      </w:r>
      <w:r w:rsidR="00ED502C" w:rsidRPr="00EC4D58">
        <w:rPr>
          <w:i/>
          <w:iCs/>
        </w:rPr>
        <w:t>n</w:t>
      </w:r>
      <w:r w:rsidRPr="00EC4D58">
        <w:rPr>
          <w:i/>
          <w:iCs/>
        </w:rPr>
        <w:t xml:space="preserve"> notice of motion supported by an </w:t>
      </w:r>
      <w:r w:rsidR="00ED502C" w:rsidRPr="00EC4D58">
        <w:rPr>
          <w:i/>
          <w:iCs/>
        </w:rPr>
        <w:t>affidavit</w:t>
      </w:r>
      <w:r w:rsidRPr="00EC4D58">
        <w:rPr>
          <w:i/>
          <w:iCs/>
        </w:rPr>
        <w:t xml:space="preserve"> as to the facts upon which </w:t>
      </w:r>
      <w:r w:rsidR="00ED502C" w:rsidRPr="00EC4D58">
        <w:rPr>
          <w:i/>
          <w:iCs/>
        </w:rPr>
        <w:t>the</w:t>
      </w:r>
      <w:r w:rsidRPr="00EC4D58">
        <w:rPr>
          <w:i/>
          <w:iCs/>
        </w:rPr>
        <w:t xml:space="preserve"> applican</w:t>
      </w:r>
      <w:r w:rsidR="00ED502C" w:rsidRPr="00EC4D58">
        <w:rPr>
          <w:i/>
          <w:iCs/>
        </w:rPr>
        <w:t>t</w:t>
      </w:r>
      <w:r w:rsidRPr="00EC4D58">
        <w:rPr>
          <w:i/>
          <w:iCs/>
        </w:rPr>
        <w:t xml:space="preserve"> relies for relief</w:t>
      </w:r>
      <w:r w:rsidR="00ED502C">
        <w:t>.”</w:t>
      </w:r>
    </w:p>
    <w:p w14:paraId="7411E3AD" w14:textId="01E1F9B8" w:rsidR="002B245E" w:rsidRDefault="006B7EE3" w:rsidP="00ED502C">
      <w:pPr>
        <w:spacing w:line="480" w:lineRule="auto"/>
        <w:jc w:val="both"/>
      </w:pPr>
      <w:r>
        <w:t>[31</w:t>
      </w:r>
      <w:r w:rsidR="00537131">
        <w:t xml:space="preserve">] </w:t>
      </w:r>
      <w:r w:rsidR="00537131" w:rsidRPr="002B245E">
        <w:t>According</w:t>
      </w:r>
      <w:r w:rsidR="002B245E" w:rsidRPr="002B245E">
        <w:t xml:space="preserve"> to Mr Ham</w:t>
      </w:r>
      <w:r w:rsidR="00ED502C">
        <w:t>ma</w:t>
      </w:r>
      <w:r w:rsidR="00EC4D58">
        <w:t>n</w:t>
      </w:r>
      <w:r w:rsidR="00ED502C">
        <w:t>,</w:t>
      </w:r>
      <w:r w:rsidR="00EC4D58">
        <w:t xml:space="preserve"> in bringing their</w:t>
      </w:r>
      <w:r w:rsidR="002B245E" w:rsidRPr="002B245E">
        <w:t xml:space="preserve"> application </w:t>
      </w:r>
      <w:r w:rsidR="00EC4D58">
        <w:t xml:space="preserve">for condonation the Respondents </w:t>
      </w:r>
      <w:r w:rsidR="002B245E" w:rsidRPr="002B245E">
        <w:t xml:space="preserve">should </w:t>
      </w:r>
      <w:r w:rsidR="00EC4D58">
        <w:t xml:space="preserve">have followed the procedure set out in Rule 6(1). They should have </w:t>
      </w:r>
      <w:r w:rsidR="002B245E" w:rsidRPr="002B245E">
        <w:t xml:space="preserve">brought </w:t>
      </w:r>
      <w:r w:rsidR="00EC4D58">
        <w:t xml:space="preserve">it </w:t>
      </w:r>
      <w:r w:rsidR="002B245E" w:rsidRPr="002B245E">
        <w:t xml:space="preserve">on a notice of motion supported by </w:t>
      </w:r>
      <w:r w:rsidR="00ED502C">
        <w:t>an affidavit</w:t>
      </w:r>
      <w:r w:rsidR="00FE14A0">
        <w:t xml:space="preserve">. </w:t>
      </w:r>
      <w:r w:rsidR="00EC4D58" w:rsidRPr="00ED502C">
        <w:t>The</w:t>
      </w:r>
      <w:r w:rsidR="00ED502C" w:rsidRPr="00ED502C">
        <w:t xml:space="preserve"> contention by Mr </w:t>
      </w:r>
      <w:r w:rsidR="00ED502C">
        <w:t xml:space="preserve">Hamman is not correct. </w:t>
      </w:r>
      <w:r w:rsidR="00EC4D58">
        <w:t>Th</w:t>
      </w:r>
      <w:r w:rsidR="00ED502C" w:rsidRPr="00ED502C">
        <w:t xml:space="preserve">e </w:t>
      </w:r>
      <w:r w:rsidR="00EC4D58" w:rsidRPr="00ED502C">
        <w:t>application</w:t>
      </w:r>
      <w:r w:rsidR="00ED502C" w:rsidRPr="00ED502C">
        <w:t xml:space="preserve"> for condonation was brought in terms of </w:t>
      </w:r>
      <w:r w:rsidR="00537131">
        <w:t>Rule 6</w:t>
      </w:r>
      <w:r w:rsidR="00EC4D58">
        <w:t>(11</w:t>
      </w:r>
      <w:r w:rsidR="00537131">
        <w:t>) of</w:t>
      </w:r>
      <w:r w:rsidR="00EC4D58">
        <w:t xml:space="preserve"> </w:t>
      </w:r>
      <w:r w:rsidR="00ED502C" w:rsidRPr="00ED502C">
        <w:t xml:space="preserve">the </w:t>
      </w:r>
      <w:r w:rsidR="00EC4D58">
        <w:t>U</w:t>
      </w:r>
      <w:r w:rsidR="00ED502C" w:rsidRPr="00ED502C">
        <w:t xml:space="preserve">niform </w:t>
      </w:r>
      <w:r w:rsidR="00EC4D58">
        <w:t>R</w:t>
      </w:r>
      <w:r w:rsidR="00ED502C" w:rsidRPr="00ED502C">
        <w:t xml:space="preserve">ules of </w:t>
      </w:r>
      <w:r w:rsidR="00EC4D58">
        <w:t>C</w:t>
      </w:r>
      <w:r w:rsidR="00ED502C" w:rsidRPr="00ED502C">
        <w:t xml:space="preserve">ourt </w:t>
      </w:r>
      <w:r w:rsidR="00EC4D58">
        <w:t>which provides</w:t>
      </w:r>
      <w:r w:rsidR="00ED502C" w:rsidRPr="00ED502C">
        <w:t xml:space="preserve"> as follows</w:t>
      </w:r>
      <w:r w:rsidR="00ED502C">
        <w:t>:</w:t>
      </w:r>
    </w:p>
    <w:p w14:paraId="4CD7C26D" w14:textId="6036C01D" w:rsidR="00ED502C" w:rsidRPr="00D14325" w:rsidRDefault="00ED502C" w:rsidP="00ED502C">
      <w:pPr>
        <w:spacing w:line="480" w:lineRule="auto"/>
        <w:jc w:val="both"/>
        <w:rPr>
          <w:i/>
          <w:iCs/>
        </w:rPr>
      </w:pPr>
      <w:r w:rsidRPr="00D14325">
        <w:rPr>
          <w:i/>
          <w:iCs/>
        </w:rPr>
        <w:t>“</w:t>
      </w:r>
      <w:r w:rsidR="00D14325" w:rsidRPr="00D14325">
        <w:rPr>
          <w:i/>
          <w:iCs/>
        </w:rPr>
        <w:t>Notwithstanding</w:t>
      </w:r>
      <w:r w:rsidRPr="00D14325">
        <w:rPr>
          <w:i/>
          <w:iCs/>
        </w:rPr>
        <w:t xml:space="preserve"> the foregoing sub</w:t>
      </w:r>
      <w:r w:rsidR="00D14325" w:rsidRPr="00D14325">
        <w:rPr>
          <w:i/>
          <w:iCs/>
        </w:rPr>
        <w:t>-</w:t>
      </w:r>
      <w:r w:rsidRPr="00D14325">
        <w:rPr>
          <w:i/>
          <w:iCs/>
        </w:rPr>
        <w:t>rule</w:t>
      </w:r>
      <w:r w:rsidR="00D14325" w:rsidRPr="00D14325">
        <w:rPr>
          <w:i/>
          <w:iCs/>
        </w:rPr>
        <w:t>s,</w:t>
      </w:r>
      <w:r w:rsidRPr="00D14325">
        <w:rPr>
          <w:i/>
          <w:iCs/>
        </w:rPr>
        <w:t xml:space="preserve"> interlocutory and other applications incidental to pending proceedings may be brought on notice supported by such </w:t>
      </w:r>
      <w:r w:rsidR="00D14325" w:rsidRPr="00D14325">
        <w:rPr>
          <w:i/>
          <w:iCs/>
        </w:rPr>
        <w:t>affidavits</w:t>
      </w:r>
      <w:r w:rsidRPr="00D14325">
        <w:rPr>
          <w:i/>
          <w:iCs/>
        </w:rPr>
        <w:t xml:space="preserve"> as the case may require and s</w:t>
      </w:r>
      <w:r w:rsidR="00D14325" w:rsidRPr="00D14325">
        <w:rPr>
          <w:i/>
          <w:iCs/>
        </w:rPr>
        <w:t>e</w:t>
      </w:r>
      <w:r w:rsidRPr="00D14325">
        <w:rPr>
          <w:i/>
          <w:iCs/>
        </w:rPr>
        <w:t>t down at the time assigned by the register or as the directed by a judge</w:t>
      </w:r>
      <w:r w:rsidR="00FE14A0">
        <w:rPr>
          <w:i/>
          <w:iCs/>
        </w:rPr>
        <w:t>.”</w:t>
      </w:r>
    </w:p>
    <w:p w14:paraId="6D30346A" w14:textId="5F04FEF6" w:rsidR="00F44105" w:rsidRPr="006B7EE3" w:rsidRDefault="00ED502C" w:rsidP="00F44105">
      <w:pPr>
        <w:spacing w:line="480" w:lineRule="auto"/>
        <w:jc w:val="both"/>
        <w:rPr>
          <w:i/>
          <w:iCs/>
        </w:rPr>
      </w:pPr>
      <w:r w:rsidRPr="00ED502C">
        <w:t xml:space="preserve">Notice does not mean </w:t>
      </w:r>
      <w:r w:rsidR="00D14325">
        <w:t>“</w:t>
      </w:r>
      <w:r w:rsidRPr="00ED502C">
        <w:t>notice of motion</w:t>
      </w:r>
      <w:r w:rsidR="00FE14A0">
        <w:t>.”</w:t>
      </w:r>
      <w:r w:rsidRPr="00ED502C">
        <w:t xml:space="preserve"> According to </w:t>
      </w:r>
      <w:r w:rsidRPr="00D14325">
        <w:rPr>
          <w:b/>
          <w:bCs/>
        </w:rPr>
        <w:t>York</w:t>
      </w:r>
      <w:r w:rsidR="00D14325" w:rsidRPr="00D14325">
        <w:rPr>
          <w:b/>
          <w:bCs/>
        </w:rPr>
        <w:t>s</w:t>
      </w:r>
      <w:r w:rsidRPr="00D14325">
        <w:rPr>
          <w:b/>
          <w:bCs/>
        </w:rPr>
        <w:t xml:space="preserve">hire </w:t>
      </w:r>
      <w:r w:rsidR="00D14325" w:rsidRPr="00D14325">
        <w:rPr>
          <w:b/>
          <w:bCs/>
        </w:rPr>
        <w:t>I</w:t>
      </w:r>
      <w:r w:rsidRPr="00D14325">
        <w:rPr>
          <w:b/>
          <w:bCs/>
        </w:rPr>
        <w:t xml:space="preserve">nsurance </w:t>
      </w:r>
      <w:r w:rsidR="00D14325" w:rsidRPr="00D14325">
        <w:rPr>
          <w:b/>
          <w:bCs/>
        </w:rPr>
        <w:t>Co. Ltd v</w:t>
      </w:r>
      <w:r w:rsidRPr="00D14325">
        <w:rPr>
          <w:b/>
          <w:bCs/>
        </w:rPr>
        <w:t xml:space="preserve"> </w:t>
      </w:r>
    </w:p>
    <w:p w14:paraId="5DB6175B" w14:textId="77777777" w:rsidR="00F44105" w:rsidRDefault="00EC4D58" w:rsidP="00F44105">
      <w:pPr>
        <w:spacing w:line="480" w:lineRule="auto"/>
        <w:jc w:val="both"/>
      </w:pPr>
      <w:r w:rsidRPr="006B7EE3">
        <w:rPr>
          <w:i/>
          <w:iCs/>
        </w:rPr>
        <w:t xml:space="preserve">in sub </w:t>
      </w:r>
      <w:r w:rsidR="0022610D" w:rsidRPr="006B7EE3">
        <w:rPr>
          <w:i/>
          <w:iCs/>
        </w:rPr>
        <w:t>rule 6</w:t>
      </w:r>
      <w:r w:rsidR="002B35DA" w:rsidRPr="006B7EE3">
        <w:rPr>
          <w:i/>
          <w:iCs/>
        </w:rPr>
        <w:t>(</w:t>
      </w:r>
      <w:r w:rsidRPr="006B7EE3">
        <w:rPr>
          <w:i/>
          <w:iCs/>
        </w:rPr>
        <w:t>11</w:t>
      </w:r>
      <w:r w:rsidR="002B35DA" w:rsidRPr="006B7EE3">
        <w:rPr>
          <w:i/>
          <w:iCs/>
        </w:rPr>
        <w:t>)</w:t>
      </w:r>
      <w:r w:rsidRPr="006B7EE3">
        <w:rPr>
          <w:i/>
          <w:iCs/>
        </w:rPr>
        <w:t xml:space="preserve"> as opposed to the </w:t>
      </w:r>
      <w:r w:rsidR="00F44105" w:rsidRPr="00D14325">
        <w:rPr>
          <w:b/>
          <w:bCs/>
        </w:rPr>
        <w:t>Reuben 1967 (2) 263 [E.L.D] 265E-G</w:t>
      </w:r>
      <w:r w:rsidR="00F44105">
        <w:rPr>
          <w:b/>
          <w:bCs/>
        </w:rPr>
        <w:t>,</w:t>
      </w:r>
      <w:r w:rsidR="00F44105">
        <w:t xml:space="preserve"> the court stated as follows:</w:t>
      </w:r>
    </w:p>
    <w:p w14:paraId="2DAADECB" w14:textId="1EE00BEB" w:rsidR="00F44105" w:rsidRPr="00F44105" w:rsidRDefault="00F44105" w:rsidP="00F44105">
      <w:pPr>
        <w:spacing w:line="480" w:lineRule="auto"/>
        <w:jc w:val="both"/>
        <w:rPr>
          <w:i/>
          <w:iCs/>
        </w:rPr>
      </w:pPr>
      <w:r w:rsidRPr="00F44105">
        <w:rPr>
          <w:i/>
          <w:iCs/>
        </w:rPr>
        <w:t xml:space="preserve">“There is to my mind a substantial difference between an application being brought on notice and an application brought on notice of motion. It could never have been intended when parties are already engaged in litigation and have complied with such formalities as appointing attorneys and giving addresses for service of documents in the proceedings, that in further </w:t>
      </w:r>
      <w:r w:rsidRPr="00F44105">
        <w:rPr>
          <w:i/>
          <w:iCs/>
        </w:rPr>
        <w:lastRenderedPageBreak/>
        <w:t xml:space="preserve">applications incidental to such proceedings, the parties would be required to go through all the same formalities again with all concomitant and unnecessary expense. </w:t>
      </w:r>
    </w:p>
    <w:p w14:paraId="29D96053" w14:textId="7291CF22" w:rsidR="004E5EFF" w:rsidRPr="006B7EE3" w:rsidRDefault="00F44105" w:rsidP="00F44105">
      <w:pPr>
        <w:spacing w:line="480" w:lineRule="auto"/>
        <w:jc w:val="both"/>
        <w:rPr>
          <w:i/>
          <w:iCs/>
        </w:rPr>
      </w:pPr>
      <w:r w:rsidRPr="006B7EE3">
        <w:rPr>
          <w:i/>
          <w:iCs/>
        </w:rPr>
        <w:t xml:space="preserve">I am satisfied that the use of the word ‘notice’ </w:t>
      </w:r>
      <w:r w:rsidR="004E5EFF" w:rsidRPr="006B7EE3">
        <w:rPr>
          <w:i/>
          <w:iCs/>
        </w:rPr>
        <w:t>“</w:t>
      </w:r>
      <w:r w:rsidR="00EC4D58" w:rsidRPr="006B7EE3">
        <w:rPr>
          <w:i/>
          <w:iCs/>
        </w:rPr>
        <w:t>not</w:t>
      </w:r>
      <w:r w:rsidR="002B35DA" w:rsidRPr="006B7EE3">
        <w:rPr>
          <w:i/>
          <w:iCs/>
        </w:rPr>
        <w:t>ic</w:t>
      </w:r>
      <w:r w:rsidR="00EC4D58" w:rsidRPr="006B7EE3">
        <w:rPr>
          <w:i/>
          <w:iCs/>
        </w:rPr>
        <w:t>e of motion</w:t>
      </w:r>
      <w:r w:rsidR="004E5EFF" w:rsidRPr="006B7EE3">
        <w:rPr>
          <w:i/>
          <w:iCs/>
        </w:rPr>
        <w:t>”</w:t>
      </w:r>
      <w:r w:rsidR="00EC4D58" w:rsidRPr="006B7EE3">
        <w:rPr>
          <w:i/>
          <w:iCs/>
        </w:rPr>
        <w:t xml:space="preserve"> in other sub</w:t>
      </w:r>
      <w:r w:rsidR="004E5EFF" w:rsidRPr="006B7EE3">
        <w:rPr>
          <w:i/>
          <w:iCs/>
        </w:rPr>
        <w:t>-</w:t>
      </w:r>
      <w:r w:rsidR="00EC4D58" w:rsidRPr="006B7EE3">
        <w:rPr>
          <w:i/>
          <w:iCs/>
        </w:rPr>
        <w:t xml:space="preserve">rule </w:t>
      </w:r>
      <w:r w:rsidR="004E5EFF" w:rsidRPr="006B7EE3">
        <w:rPr>
          <w:i/>
          <w:iCs/>
        </w:rPr>
        <w:t xml:space="preserve">to Rule </w:t>
      </w:r>
      <w:r w:rsidR="00EC4D58" w:rsidRPr="006B7EE3">
        <w:rPr>
          <w:i/>
          <w:iCs/>
        </w:rPr>
        <w:t>6 indicates clearly that interlocutory and other applications incidental to pending proceedings were not intended to be brought by way of formal notice of motion in the same way as applications initiating proceedings. I am also satisfied that rule 6</w:t>
      </w:r>
      <w:r>
        <w:rPr>
          <w:i/>
          <w:iCs/>
        </w:rPr>
        <w:t>(</w:t>
      </w:r>
      <w:r w:rsidR="00EC4D58" w:rsidRPr="006B7EE3">
        <w:rPr>
          <w:i/>
          <w:iCs/>
        </w:rPr>
        <w:t>11</w:t>
      </w:r>
      <w:r>
        <w:rPr>
          <w:i/>
          <w:iCs/>
        </w:rPr>
        <w:t>)</w:t>
      </w:r>
      <w:r w:rsidR="00EC4D58" w:rsidRPr="006B7EE3">
        <w:rPr>
          <w:i/>
          <w:iCs/>
        </w:rPr>
        <w:t xml:space="preserve"> </w:t>
      </w:r>
      <w:r w:rsidR="0022610D" w:rsidRPr="006B7EE3">
        <w:rPr>
          <w:i/>
          <w:iCs/>
        </w:rPr>
        <w:t xml:space="preserve">was </w:t>
      </w:r>
      <w:r>
        <w:rPr>
          <w:i/>
          <w:iCs/>
        </w:rPr>
        <w:t xml:space="preserve">not </w:t>
      </w:r>
      <w:r w:rsidR="0022610D" w:rsidRPr="006B7EE3">
        <w:rPr>
          <w:i/>
          <w:iCs/>
        </w:rPr>
        <w:t>enacted</w:t>
      </w:r>
      <w:r w:rsidR="00EC4D58" w:rsidRPr="006B7EE3">
        <w:rPr>
          <w:i/>
          <w:iCs/>
        </w:rPr>
        <w:t xml:space="preserve"> solely for the purpose of prescribing a different procedure as regards s</w:t>
      </w:r>
      <w:r w:rsidR="004E5EFF" w:rsidRPr="006B7EE3">
        <w:rPr>
          <w:i/>
          <w:iCs/>
        </w:rPr>
        <w:t>e</w:t>
      </w:r>
      <w:r w:rsidR="00EC4D58" w:rsidRPr="006B7EE3">
        <w:rPr>
          <w:i/>
          <w:iCs/>
        </w:rPr>
        <w:t xml:space="preserve">t down as has been suggested by Mr </w:t>
      </w:r>
      <w:proofErr w:type="spellStart"/>
      <w:r w:rsidR="00EC4D58" w:rsidRPr="006B7EE3">
        <w:rPr>
          <w:i/>
          <w:iCs/>
        </w:rPr>
        <w:t>M</w:t>
      </w:r>
      <w:r w:rsidR="004E5EFF" w:rsidRPr="006B7EE3">
        <w:rPr>
          <w:i/>
          <w:iCs/>
        </w:rPr>
        <w:t>elunsky</w:t>
      </w:r>
      <w:proofErr w:type="spellEnd"/>
      <w:r w:rsidR="004E5EFF" w:rsidRPr="006B7EE3">
        <w:rPr>
          <w:i/>
          <w:iCs/>
        </w:rPr>
        <w:t xml:space="preserve"> </w:t>
      </w:r>
      <w:r w:rsidR="00EC4D58" w:rsidRPr="006B7EE3">
        <w:rPr>
          <w:i/>
          <w:iCs/>
        </w:rPr>
        <w:t xml:space="preserve">and that the use of the word </w:t>
      </w:r>
      <w:r w:rsidR="004E5EFF" w:rsidRPr="006B7EE3">
        <w:rPr>
          <w:i/>
          <w:iCs/>
        </w:rPr>
        <w:t>“</w:t>
      </w:r>
      <w:r w:rsidR="00EC4D58" w:rsidRPr="006B7EE3">
        <w:rPr>
          <w:i/>
          <w:iCs/>
        </w:rPr>
        <w:t>notice</w:t>
      </w:r>
      <w:r w:rsidR="004E5EFF" w:rsidRPr="006B7EE3">
        <w:rPr>
          <w:i/>
          <w:iCs/>
        </w:rPr>
        <w:t>”</w:t>
      </w:r>
      <w:r w:rsidR="00EC4D58" w:rsidRPr="006B7EE3">
        <w:rPr>
          <w:i/>
          <w:iCs/>
        </w:rPr>
        <w:t xml:space="preserve"> in contra</w:t>
      </w:r>
      <w:r w:rsidR="004E5EFF" w:rsidRPr="006B7EE3">
        <w:rPr>
          <w:i/>
          <w:iCs/>
        </w:rPr>
        <w:t>-</w:t>
      </w:r>
      <w:r w:rsidR="00EC4D58" w:rsidRPr="006B7EE3">
        <w:rPr>
          <w:i/>
          <w:iCs/>
        </w:rPr>
        <w:t>di</w:t>
      </w:r>
      <w:r w:rsidR="004E5EFF" w:rsidRPr="006B7EE3">
        <w:rPr>
          <w:i/>
          <w:iCs/>
        </w:rPr>
        <w:t>stinc</w:t>
      </w:r>
      <w:r w:rsidR="00EC4D58" w:rsidRPr="006B7EE3">
        <w:rPr>
          <w:i/>
          <w:iCs/>
        </w:rPr>
        <w:t>tion to notice of</w:t>
      </w:r>
      <w:r w:rsidR="004E5EFF" w:rsidRPr="006B7EE3">
        <w:rPr>
          <w:i/>
          <w:iCs/>
        </w:rPr>
        <w:t xml:space="preserve"> motion</w:t>
      </w:r>
      <w:r w:rsidR="00EC4D58" w:rsidRPr="006B7EE3">
        <w:rPr>
          <w:i/>
          <w:iCs/>
        </w:rPr>
        <w:t xml:space="preserve"> was </w:t>
      </w:r>
      <w:r w:rsidR="004E5EFF" w:rsidRPr="006B7EE3">
        <w:rPr>
          <w:i/>
          <w:iCs/>
        </w:rPr>
        <w:t xml:space="preserve">a </w:t>
      </w:r>
      <w:r w:rsidR="00EC4D58" w:rsidRPr="006B7EE3">
        <w:rPr>
          <w:i/>
          <w:iCs/>
        </w:rPr>
        <w:t xml:space="preserve">deliberate </w:t>
      </w:r>
      <w:r w:rsidR="004E5EFF" w:rsidRPr="006B7EE3">
        <w:rPr>
          <w:i/>
          <w:iCs/>
        </w:rPr>
        <w:t>one</w:t>
      </w:r>
      <w:r w:rsidR="00EC4D58" w:rsidRPr="006B7EE3">
        <w:rPr>
          <w:i/>
          <w:iCs/>
        </w:rPr>
        <w:t>.</w:t>
      </w:r>
      <w:r w:rsidR="004E5EFF" w:rsidRPr="006B7EE3">
        <w:rPr>
          <w:i/>
          <w:iCs/>
        </w:rPr>
        <w:t>”</w:t>
      </w:r>
    </w:p>
    <w:p w14:paraId="3A7F3E95" w14:textId="67B096B9" w:rsidR="006B7EE3" w:rsidRDefault="00EC4D58" w:rsidP="00ED502C">
      <w:pPr>
        <w:spacing w:line="480" w:lineRule="auto"/>
        <w:jc w:val="both"/>
      </w:pPr>
      <w:r w:rsidRPr="00EC4D58">
        <w:t xml:space="preserve"> All that is required is not</w:t>
      </w:r>
      <w:r w:rsidR="0022610D">
        <w:t xml:space="preserve">ice </w:t>
      </w:r>
      <w:r w:rsidRPr="00EC4D58">
        <w:t xml:space="preserve">to the other </w:t>
      </w:r>
      <w:r w:rsidR="0022610D">
        <w:t xml:space="preserve">side </w:t>
      </w:r>
      <w:r w:rsidRPr="00EC4D58">
        <w:t>stat</w:t>
      </w:r>
      <w:r w:rsidR="0022610D">
        <w:t>ing</w:t>
      </w:r>
      <w:r w:rsidRPr="00EC4D58">
        <w:t xml:space="preserve"> that an application will be brought on </w:t>
      </w:r>
      <w:r w:rsidR="0022610D">
        <w:t>a</w:t>
      </w:r>
      <w:r w:rsidRPr="00EC4D58">
        <w:t xml:space="preserve"> date assigned by the register </w:t>
      </w:r>
      <w:r w:rsidR="0022610D" w:rsidRPr="00EC4D58">
        <w:t>or directed</w:t>
      </w:r>
      <w:r w:rsidR="0022610D">
        <w:t xml:space="preserve"> </w:t>
      </w:r>
      <w:r w:rsidR="0022610D" w:rsidRPr="00EC4D58">
        <w:t>by</w:t>
      </w:r>
      <w:r w:rsidR="0022610D">
        <w:t xml:space="preserve"> a</w:t>
      </w:r>
      <w:r w:rsidRPr="00EC4D58">
        <w:t xml:space="preserve"> judge</w:t>
      </w:r>
      <w:r w:rsidR="0022610D">
        <w:t xml:space="preserve">. In this current matter </w:t>
      </w:r>
      <w:r w:rsidR="0022610D" w:rsidRPr="00EC4D58">
        <w:t>the</w:t>
      </w:r>
      <w:r w:rsidRPr="00EC4D58">
        <w:t xml:space="preserve"> application for condonation would be h</w:t>
      </w:r>
      <w:r w:rsidR="0022610D">
        <w:t>e</w:t>
      </w:r>
      <w:r w:rsidRPr="00EC4D58">
        <w:t>a</w:t>
      </w:r>
      <w:r w:rsidR="0022610D">
        <w:t>r</w:t>
      </w:r>
      <w:r w:rsidRPr="00EC4D58">
        <w:t xml:space="preserve">d on the day </w:t>
      </w:r>
      <w:r w:rsidR="00FD0552">
        <w:t xml:space="preserve">on which </w:t>
      </w:r>
      <w:r w:rsidRPr="00EC4D58">
        <w:t xml:space="preserve">the application for leave to appeal </w:t>
      </w:r>
      <w:r w:rsidR="00FD0552">
        <w:t>would be</w:t>
      </w:r>
      <w:r w:rsidRPr="00EC4D58">
        <w:t xml:space="preserve"> heard.</w:t>
      </w:r>
      <w:r w:rsidR="0022610D">
        <w:t xml:space="preserve"> It was therefore incidental to the pending proceedings</w:t>
      </w:r>
      <w:r w:rsidR="00FE14A0">
        <w:t>.</w:t>
      </w:r>
      <w:r w:rsidR="00FE14A0" w:rsidRPr="00EC4D58">
        <w:t xml:space="preserve"> </w:t>
      </w:r>
      <w:r w:rsidR="0022610D">
        <w:t>T</w:t>
      </w:r>
      <w:r w:rsidRPr="00EC4D58">
        <w:t xml:space="preserve">he </w:t>
      </w:r>
      <w:r w:rsidR="0022610D">
        <w:t>R</w:t>
      </w:r>
      <w:r w:rsidRPr="00EC4D58">
        <w:t>espondent</w:t>
      </w:r>
      <w:r w:rsidR="0022610D">
        <w:t>s’ attorneys had</w:t>
      </w:r>
      <w:r w:rsidRPr="00EC4D58">
        <w:t xml:space="preserve"> made it clear when they stated in the application for leave to appeal that the application would be </w:t>
      </w:r>
      <w:r w:rsidR="0022610D" w:rsidRPr="00EC4D58">
        <w:t>heard</w:t>
      </w:r>
      <w:r w:rsidR="0022610D">
        <w:t xml:space="preserve"> on the</w:t>
      </w:r>
      <w:r w:rsidRPr="00EC4D58">
        <w:t xml:space="preserve"> date arranged with the registrar</w:t>
      </w:r>
      <w:r w:rsidR="0022610D">
        <w:t>.</w:t>
      </w:r>
      <w:r w:rsidRPr="00EC4D58">
        <w:t xml:space="preserve"> </w:t>
      </w:r>
    </w:p>
    <w:p w14:paraId="4C83AEBC" w14:textId="77777777" w:rsidR="006B7EE3" w:rsidRDefault="006B7EE3" w:rsidP="00ED502C">
      <w:pPr>
        <w:spacing w:line="480" w:lineRule="auto"/>
        <w:jc w:val="both"/>
      </w:pPr>
    </w:p>
    <w:p w14:paraId="7E67F29D" w14:textId="382DB543" w:rsidR="00ED502C" w:rsidRDefault="006B7EE3" w:rsidP="00ED502C">
      <w:pPr>
        <w:spacing w:line="480" w:lineRule="auto"/>
        <w:jc w:val="both"/>
      </w:pPr>
      <w:r>
        <w:t xml:space="preserve">[32] </w:t>
      </w:r>
      <w:r w:rsidR="0022610D">
        <w:t>I am</w:t>
      </w:r>
      <w:r w:rsidR="00EC4D58" w:rsidRPr="00EC4D58">
        <w:t xml:space="preserve"> therefore satisfied that it was not necessary for the </w:t>
      </w:r>
      <w:r w:rsidR="0022610D">
        <w:t>R</w:t>
      </w:r>
      <w:r w:rsidR="00EC4D58" w:rsidRPr="00EC4D58">
        <w:t>espondent</w:t>
      </w:r>
      <w:r w:rsidR="0022610D">
        <w:t>s</w:t>
      </w:r>
      <w:r w:rsidR="00EC4D58" w:rsidRPr="00EC4D58">
        <w:t xml:space="preserve"> to follow the procedure set out in Rule 6</w:t>
      </w:r>
      <w:r w:rsidR="0022610D">
        <w:t>(</w:t>
      </w:r>
      <w:r w:rsidR="00EC4D58" w:rsidRPr="00EC4D58">
        <w:t>1</w:t>
      </w:r>
      <w:r w:rsidR="0022610D">
        <w:t>)</w:t>
      </w:r>
      <w:r w:rsidR="00EC4D58" w:rsidRPr="00EC4D58">
        <w:t xml:space="preserve"> when they brought this application for condonation and that they have followed correctly the procedure set out in Rule 6</w:t>
      </w:r>
      <w:r w:rsidR="0022610D">
        <w:t>(</w:t>
      </w:r>
      <w:r w:rsidR="00EC4D58" w:rsidRPr="00EC4D58">
        <w:t>11</w:t>
      </w:r>
      <w:r w:rsidR="0022610D">
        <w:t>)</w:t>
      </w:r>
      <w:r w:rsidR="00EC4D58" w:rsidRPr="00EC4D58">
        <w:t xml:space="preserve"> of the </w:t>
      </w:r>
      <w:r w:rsidR="0022610D">
        <w:t xml:space="preserve">Uniform Rules </w:t>
      </w:r>
      <w:r w:rsidR="00EC4D58" w:rsidRPr="00EC4D58">
        <w:t xml:space="preserve">of </w:t>
      </w:r>
      <w:r w:rsidR="0022610D">
        <w:t>C</w:t>
      </w:r>
      <w:r w:rsidR="00EC4D58" w:rsidRPr="00EC4D58">
        <w:t xml:space="preserve">ourt. There is no merit </w:t>
      </w:r>
      <w:r w:rsidR="0022610D">
        <w:t xml:space="preserve">therefore, </w:t>
      </w:r>
      <w:r w:rsidR="00EC4D58" w:rsidRPr="00EC4D58">
        <w:t xml:space="preserve">in Mr Hammond's contention that the </w:t>
      </w:r>
      <w:r w:rsidR="00E717E8">
        <w:t>R</w:t>
      </w:r>
      <w:r w:rsidR="00EC4D58" w:rsidRPr="00EC4D58">
        <w:t xml:space="preserve">espondents should have brought their application for condonation in terms of rule </w:t>
      </w:r>
      <w:r w:rsidR="0022610D">
        <w:t>6(1).</w:t>
      </w:r>
      <w:r>
        <w:t xml:space="preserve"> </w:t>
      </w:r>
    </w:p>
    <w:p w14:paraId="2E34A124" w14:textId="77777777" w:rsidR="006B7EE3" w:rsidRDefault="006B7EE3" w:rsidP="00ED502C">
      <w:pPr>
        <w:spacing w:line="480" w:lineRule="auto"/>
        <w:jc w:val="both"/>
      </w:pPr>
    </w:p>
    <w:p w14:paraId="1776E7B4" w14:textId="77777777" w:rsidR="006B7EE3" w:rsidRPr="006B7EE3" w:rsidRDefault="006B7EE3" w:rsidP="006B7EE3">
      <w:pPr>
        <w:spacing w:line="480" w:lineRule="auto"/>
        <w:jc w:val="both"/>
        <w:rPr>
          <w:u w:val="single"/>
        </w:rPr>
      </w:pPr>
      <w:r w:rsidRPr="006B7EE3">
        <w:rPr>
          <w:u w:val="single"/>
        </w:rPr>
        <w:t>DEFAULT ORDER NOT APPEALABLE</w:t>
      </w:r>
    </w:p>
    <w:p w14:paraId="201D4658" w14:textId="47A3A4E8" w:rsidR="006B7EE3" w:rsidRDefault="006B7EE3" w:rsidP="00ED502C">
      <w:pPr>
        <w:spacing w:line="480" w:lineRule="auto"/>
        <w:jc w:val="both"/>
      </w:pPr>
    </w:p>
    <w:p w14:paraId="1CBC0023" w14:textId="4A8DDBE8" w:rsidR="006B7EE3" w:rsidRDefault="006B7EE3" w:rsidP="00ED502C">
      <w:pPr>
        <w:spacing w:line="480" w:lineRule="auto"/>
        <w:jc w:val="both"/>
      </w:pPr>
      <w:r>
        <w:lastRenderedPageBreak/>
        <w:t xml:space="preserve">[33.1] </w:t>
      </w:r>
      <w:r w:rsidR="008F028B">
        <w:t>I</w:t>
      </w:r>
      <w:r w:rsidRPr="006B7EE3">
        <w:t xml:space="preserve">t is the </w:t>
      </w:r>
      <w:r w:rsidR="008F028B">
        <w:t>A</w:t>
      </w:r>
      <w:r w:rsidRPr="006B7EE3">
        <w:t>pplicants</w:t>
      </w:r>
      <w:r w:rsidR="008F028B">
        <w:t>’</w:t>
      </w:r>
      <w:r w:rsidRPr="006B7EE3">
        <w:t xml:space="preserve"> case that it is tri</w:t>
      </w:r>
      <w:r w:rsidR="008F028B">
        <w:t>t</w:t>
      </w:r>
      <w:r w:rsidRPr="006B7EE3">
        <w:t>e l</w:t>
      </w:r>
      <w:r w:rsidR="008F028B">
        <w:t>aw</w:t>
      </w:r>
      <w:r w:rsidRPr="006B7EE3">
        <w:t xml:space="preserve"> that the orders granted by default cannot be appealed against. In support of this </w:t>
      </w:r>
      <w:r w:rsidR="008F028B" w:rsidRPr="006B7EE3">
        <w:t>principle, they</w:t>
      </w:r>
      <w:r w:rsidRPr="006B7EE3">
        <w:t xml:space="preserve"> put rel</w:t>
      </w:r>
      <w:r w:rsidR="008F028B">
        <w:t>iance</w:t>
      </w:r>
      <w:r w:rsidRPr="006B7EE3">
        <w:t xml:space="preserve"> on </w:t>
      </w:r>
      <w:proofErr w:type="spellStart"/>
      <w:r w:rsidR="008F028B" w:rsidRPr="008F028B">
        <w:rPr>
          <w:b/>
          <w:bCs/>
        </w:rPr>
        <w:t>Pitelli</w:t>
      </w:r>
      <w:proofErr w:type="spellEnd"/>
      <w:r w:rsidR="008F028B" w:rsidRPr="008F028B">
        <w:rPr>
          <w:b/>
          <w:bCs/>
        </w:rPr>
        <w:t xml:space="preserve"> </w:t>
      </w:r>
      <w:r w:rsidRPr="008F028B">
        <w:rPr>
          <w:b/>
          <w:bCs/>
        </w:rPr>
        <w:t>v Evergreen</w:t>
      </w:r>
      <w:r w:rsidR="008F028B" w:rsidRPr="008F028B">
        <w:rPr>
          <w:b/>
          <w:bCs/>
        </w:rPr>
        <w:t xml:space="preserve"> G</w:t>
      </w:r>
      <w:r w:rsidRPr="008F028B">
        <w:rPr>
          <w:b/>
          <w:bCs/>
        </w:rPr>
        <w:t xml:space="preserve">ardens </w:t>
      </w:r>
      <w:r w:rsidR="00537131" w:rsidRPr="008F028B">
        <w:rPr>
          <w:b/>
          <w:bCs/>
        </w:rPr>
        <w:t>Projects CC</w:t>
      </w:r>
      <w:r w:rsidR="008F028B" w:rsidRPr="008F028B">
        <w:rPr>
          <w:b/>
          <w:bCs/>
        </w:rPr>
        <w:t>,</w:t>
      </w:r>
      <w:r w:rsidRPr="008F028B">
        <w:rPr>
          <w:b/>
          <w:bCs/>
        </w:rPr>
        <w:t xml:space="preserve"> 2010</w:t>
      </w:r>
      <w:r w:rsidR="008F028B" w:rsidRPr="008F028B">
        <w:rPr>
          <w:b/>
          <w:bCs/>
        </w:rPr>
        <w:t xml:space="preserve"> (</w:t>
      </w:r>
      <w:r w:rsidRPr="008F028B">
        <w:rPr>
          <w:b/>
          <w:bCs/>
        </w:rPr>
        <w:t>5</w:t>
      </w:r>
      <w:r w:rsidR="008F028B" w:rsidRPr="008F028B">
        <w:rPr>
          <w:b/>
          <w:bCs/>
        </w:rPr>
        <w:t>)</w:t>
      </w:r>
      <w:r w:rsidRPr="008F028B">
        <w:rPr>
          <w:b/>
          <w:bCs/>
        </w:rPr>
        <w:t xml:space="preserve"> </w:t>
      </w:r>
      <w:r w:rsidR="008F028B" w:rsidRPr="008F028B">
        <w:rPr>
          <w:b/>
          <w:bCs/>
        </w:rPr>
        <w:t xml:space="preserve">SA </w:t>
      </w:r>
      <w:r w:rsidRPr="008F028B">
        <w:rPr>
          <w:b/>
          <w:bCs/>
        </w:rPr>
        <w:t xml:space="preserve">171 </w:t>
      </w:r>
      <w:r w:rsidR="008F028B" w:rsidRPr="008F028B">
        <w:rPr>
          <w:b/>
          <w:bCs/>
        </w:rPr>
        <w:t>(SCA)</w:t>
      </w:r>
      <w:r w:rsidR="00175E5D">
        <w:rPr>
          <w:b/>
          <w:bCs/>
        </w:rPr>
        <w:t xml:space="preserve"> (</w:t>
      </w:r>
      <w:proofErr w:type="spellStart"/>
      <w:r w:rsidR="00175E5D">
        <w:rPr>
          <w:b/>
          <w:bCs/>
        </w:rPr>
        <w:t>Pitelli</w:t>
      </w:r>
      <w:proofErr w:type="spellEnd"/>
      <w:r w:rsidR="00175E5D">
        <w:rPr>
          <w:b/>
          <w:bCs/>
        </w:rPr>
        <w:t>)</w:t>
      </w:r>
      <w:r w:rsidR="008F028B">
        <w:t>, the</w:t>
      </w:r>
      <w:r w:rsidRPr="006B7EE3">
        <w:t xml:space="preserve"> </w:t>
      </w:r>
      <w:r w:rsidR="008F028B">
        <w:t>unanimous</w:t>
      </w:r>
      <w:r w:rsidRPr="006B7EE3">
        <w:t xml:space="preserve"> judgment by the Supreme Court of appeal</w:t>
      </w:r>
      <w:r w:rsidR="005F3AE2">
        <w:t>.</w:t>
      </w:r>
    </w:p>
    <w:p w14:paraId="1C0BB9D4" w14:textId="719C67F0" w:rsidR="005F3AE2" w:rsidRDefault="005F3AE2" w:rsidP="00ED502C">
      <w:pPr>
        <w:spacing w:line="480" w:lineRule="auto"/>
        <w:jc w:val="both"/>
      </w:pPr>
      <w:r>
        <w:t xml:space="preserve">[33.2] </w:t>
      </w:r>
      <w:r w:rsidR="007D59F4">
        <w:t xml:space="preserve">On </w:t>
      </w:r>
      <w:r w:rsidRPr="005F3AE2">
        <w:t xml:space="preserve">7 March 2017 the main application came before court for hearing. The matter was unopposed as the </w:t>
      </w:r>
      <w:r w:rsidR="007D59F4">
        <w:t>R</w:t>
      </w:r>
      <w:r w:rsidRPr="005F3AE2">
        <w:t xml:space="preserve">espondents had not filed their papers </w:t>
      </w:r>
      <w:r w:rsidR="001D0C6D" w:rsidRPr="005F3AE2">
        <w:t>even though</w:t>
      </w:r>
      <w:r w:rsidRPr="005F3AE2">
        <w:t xml:space="preserve"> copies of the application had been properly served on them</w:t>
      </w:r>
      <w:r w:rsidR="00AF7816">
        <w:t xml:space="preserve"> nor</w:t>
      </w:r>
      <w:r w:rsidRPr="005F3AE2">
        <w:t xml:space="preserve"> was </w:t>
      </w:r>
      <w:r w:rsidR="00AF7816">
        <w:t>there any</w:t>
      </w:r>
      <w:r w:rsidRPr="005F3AE2">
        <w:t xml:space="preserve"> appearance </w:t>
      </w:r>
      <w:r w:rsidR="00C018CC">
        <w:t>for</w:t>
      </w:r>
      <w:r w:rsidRPr="005F3AE2">
        <w:t xml:space="preserve"> them</w:t>
      </w:r>
      <w:r w:rsidR="007D59F4">
        <w:t>.</w:t>
      </w:r>
      <w:r w:rsidRPr="005F3AE2">
        <w:t xml:space="preserve"> The </w:t>
      </w:r>
      <w:r w:rsidR="007D59F4">
        <w:t>A</w:t>
      </w:r>
      <w:r w:rsidRPr="005F3AE2">
        <w:t>pplicants took the order un</w:t>
      </w:r>
      <w:r w:rsidR="007D59F4">
        <w:t>opposed</w:t>
      </w:r>
      <w:r w:rsidR="001D0C6D">
        <w:t>. D</w:t>
      </w:r>
      <w:r w:rsidRPr="005F3AE2">
        <w:t xml:space="preserve">efault judgement was therefore granted against the </w:t>
      </w:r>
      <w:r w:rsidR="001D0C6D">
        <w:t>R</w:t>
      </w:r>
      <w:r w:rsidRPr="005F3AE2">
        <w:t>espondents accordingly.</w:t>
      </w:r>
    </w:p>
    <w:p w14:paraId="0652243A" w14:textId="6D99CA10" w:rsidR="005F3AE2" w:rsidRDefault="005F3AE2" w:rsidP="00ED502C">
      <w:pPr>
        <w:spacing w:line="480" w:lineRule="auto"/>
        <w:jc w:val="both"/>
      </w:pPr>
      <w:r>
        <w:t xml:space="preserve">[33.3] </w:t>
      </w:r>
      <w:r w:rsidR="00961423">
        <w:t>Immediately</w:t>
      </w:r>
      <w:r w:rsidRPr="005F3AE2">
        <w:t xml:space="preserve"> </w:t>
      </w:r>
      <w:r w:rsidR="00961423" w:rsidRPr="005F3AE2">
        <w:t>thereafter</w:t>
      </w:r>
      <w:r w:rsidR="00961423">
        <w:t>, and</w:t>
      </w:r>
      <w:r w:rsidRPr="005F3AE2">
        <w:t xml:space="preserve"> </w:t>
      </w:r>
      <w:r w:rsidR="00FE14A0" w:rsidRPr="005F3AE2">
        <w:t>on</w:t>
      </w:r>
      <w:r w:rsidRPr="005F3AE2">
        <w:t xml:space="preserve"> </w:t>
      </w:r>
      <w:r w:rsidR="00961423">
        <w:t>5</w:t>
      </w:r>
      <w:r w:rsidRPr="005F3AE2">
        <w:t xml:space="preserve"> April 2017</w:t>
      </w:r>
      <w:r w:rsidR="00961423">
        <w:t>,</w:t>
      </w:r>
      <w:r w:rsidRPr="005F3AE2">
        <w:t xml:space="preserve"> the </w:t>
      </w:r>
      <w:r w:rsidR="00961423">
        <w:t>R</w:t>
      </w:r>
      <w:r w:rsidRPr="005F3AE2">
        <w:t>espondent</w:t>
      </w:r>
      <w:r w:rsidR="00961423">
        <w:t>s</w:t>
      </w:r>
      <w:r w:rsidRPr="005F3AE2">
        <w:t xml:space="preserve"> brought </w:t>
      </w:r>
      <w:r w:rsidR="00961423" w:rsidRPr="005F3AE2">
        <w:t>the</w:t>
      </w:r>
      <w:r w:rsidR="00961423">
        <w:t xml:space="preserve">ir </w:t>
      </w:r>
      <w:r w:rsidR="00961423" w:rsidRPr="005F3AE2">
        <w:t>application</w:t>
      </w:r>
      <w:r w:rsidRPr="005F3AE2">
        <w:t xml:space="preserve"> </w:t>
      </w:r>
      <w:r w:rsidR="00961423">
        <w:t>t</w:t>
      </w:r>
      <w:r w:rsidRPr="005F3AE2">
        <w:t xml:space="preserve">o </w:t>
      </w:r>
      <w:r w:rsidR="00961423">
        <w:t>rescind or set aside</w:t>
      </w:r>
      <w:r w:rsidRPr="005F3AE2">
        <w:t xml:space="preserve"> that order. That application was opposed by the </w:t>
      </w:r>
      <w:r w:rsidR="00961423">
        <w:t>A</w:t>
      </w:r>
      <w:r w:rsidRPr="005F3AE2">
        <w:t>pplicant</w:t>
      </w:r>
      <w:r w:rsidR="00961423">
        <w:t>s</w:t>
      </w:r>
      <w:r w:rsidRPr="005F3AE2">
        <w:t xml:space="preserve"> who filed not only their notice to </w:t>
      </w:r>
      <w:r w:rsidR="00961423">
        <w:t>op</w:t>
      </w:r>
      <w:r w:rsidRPr="005F3AE2">
        <w:t>pose but also their an</w:t>
      </w:r>
      <w:r w:rsidR="00506937">
        <w:t>swering</w:t>
      </w:r>
      <w:r w:rsidRPr="005F3AE2">
        <w:t xml:space="preserve"> </w:t>
      </w:r>
      <w:r w:rsidR="00AF7816">
        <w:t xml:space="preserve">affidavit on </w:t>
      </w:r>
      <w:r w:rsidR="00506937">
        <w:t>5</w:t>
      </w:r>
      <w:r w:rsidRPr="005F3AE2">
        <w:t xml:space="preserve"> </w:t>
      </w:r>
      <w:r w:rsidR="00506937">
        <w:t>M</w:t>
      </w:r>
      <w:r w:rsidRPr="005F3AE2">
        <w:t>ay 2017.</w:t>
      </w:r>
    </w:p>
    <w:p w14:paraId="00F3947D" w14:textId="2B44DA87" w:rsidR="005F3AE2" w:rsidRDefault="005F3AE2" w:rsidP="00ED502C">
      <w:pPr>
        <w:spacing w:line="480" w:lineRule="auto"/>
        <w:jc w:val="both"/>
      </w:pPr>
      <w:r>
        <w:t xml:space="preserve">[33.4] </w:t>
      </w:r>
      <w:r w:rsidRPr="005F3AE2">
        <w:t xml:space="preserve">The </w:t>
      </w:r>
      <w:r w:rsidR="00506937">
        <w:t>application for rescission was</w:t>
      </w:r>
      <w:r w:rsidRPr="005F3AE2">
        <w:t xml:space="preserve"> set down for hearing on 12 September 2017 before </w:t>
      </w:r>
      <w:proofErr w:type="spellStart"/>
      <w:r>
        <w:t>Baqwa</w:t>
      </w:r>
      <w:proofErr w:type="spellEnd"/>
      <w:r>
        <w:t xml:space="preserve"> J. </w:t>
      </w:r>
      <w:r w:rsidR="00506937">
        <w:t>O</w:t>
      </w:r>
      <w:r w:rsidRPr="005F3AE2">
        <w:t xml:space="preserve">n </w:t>
      </w:r>
      <w:r w:rsidR="00FE14A0" w:rsidRPr="005F3AE2">
        <w:t>the 12th of September 2017,</w:t>
      </w:r>
      <w:r w:rsidRPr="005F3AE2">
        <w:t xml:space="preserve"> the matter was postponed </w:t>
      </w:r>
      <w:r w:rsidR="00AF7816">
        <w:t xml:space="preserve">by order of court </w:t>
      </w:r>
      <w:r w:rsidR="00506937" w:rsidRPr="00AF7816">
        <w:rPr>
          <w:i/>
          <w:iCs/>
        </w:rPr>
        <w:t>sine die.</w:t>
      </w:r>
      <w:r w:rsidRPr="005F3AE2">
        <w:t xml:space="preserve"> </w:t>
      </w:r>
      <w:r w:rsidR="00506937">
        <w:t>T</w:t>
      </w:r>
      <w:r w:rsidRPr="005F3AE2">
        <w:t xml:space="preserve">he </w:t>
      </w:r>
      <w:r w:rsidR="00AF7816">
        <w:t>R</w:t>
      </w:r>
      <w:r w:rsidRPr="005F3AE2">
        <w:t xml:space="preserve">espondents were ordered to pay the wasted cost </w:t>
      </w:r>
      <w:r w:rsidR="00903ECD">
        <w:t xml:space="preserve">on </w:t>
      </w:r>
      <w:r w:rsidR="00506937">
        <w:t>attorney and client scal</w:t>
      </w:r>
      <w:r w:rsidRPr="005F3AE2">
        <w:t>e</w:t>
      </w:r>
      <w:r w:rsidR="00506937">
        <w:t>.</w:t>
      </w:r>
      <w:r w:rsidRPr="005F3AE2">
        <w:t xml:space="preserve"> </w:t>
      </w:r>
      <w:r w:rsidR="00AF7816">
        <w:t>Such c</w:t>
      </w:r>
      <w:r w:rsidRPr="005F3AE2">
        <w:t>ost</w:t>
      </w:r>
      <w:r w:rsidR="00506937">
        <w:t>s</w:t>
      </w:r>
      <w:r w:rsidRPr="005F3AE2">
        <w:t xml:space="preserve"> w</w:t>
      </w:r>
      <w:r w:rsidR="00506937">
        <w:t xml:space="preserve">ere </w:t>
      </w:r>
      <w:r w:rsidRPr="005F3AE2">
        <w:t>to include cost</w:t>
      </w:r>
      <w:r w:rsidR="00506937">
        <w:t>s</w:t>
      </w:r>
      <w:r w:rsidRPr="005F3AE2">
        <w:t xml:space="preserve"> of two coun</w:t>
      </w:r>
      <w:r w:rsidR="00506937">
        <w:t>se</w:t>
      </w:r>
      <w:r w:rsidRPr="005F3AE2">
        <w:t>l. It is important to point out that the matter was postponed on 12 September 20</w:t>
      </w:r>
      <w:r w:rsidR="00506937">
        <w:t>17</w:t>
      </w:r>
      <w:r w:rsidRPr="005F3AE2">
        <w:t xml:space="preserve"> </w:t>
      </w:r>
      <w:r w:rsidR="00AF7816">
        <w:t xml:space="preserve">primarily because </w:t>
      </w:r>
      <w:r w:rsidRPr="005F3AE2">
        <w:t xml:space="preserve">the </w:t>
      </w:r>
      <w:r w:rsidR="00506937">
        <w:t>R</w:t>
      </w:r>
      <w:r w:rsidRPr="005F3AE2">
        <w:t>espondent</w:t>
      </w:r>
      <w:r w:rsidR="00506937">
        <w:t>s’ attorneys</w:t>
      </w:r>
      <w:r w:rsidRPr="005F3AE2">
        <w:t xml:space="preserve"> had failed to file their coun</w:t>
      </w:r>
      <w:r w:rsidR="00506937">
        <w:t>se</w:t>
      </w:r>
      <w:r w:rsidRPr="005F3AE2">
        <w:t>l</w:t>
      </w:r>
      <w:r w:rsidR="00506937">
        <w:t>’</w:t>
      </w:r>
      <w:r w:rsidRPr="005F3AE2">
        <w:t>s heads of argument</w:t>
      </w:r>
      <w:r>
        <w:t>.</w:t>
      </w:r>
    </w:p>
    <w:p w14:paraId="6EB14792" w14:textId="5DDC6216" w:rsidR="005F3AE2" w:rsidRDefault="005F3AE2" w:rsidP="00ED502C">
      <w:pPr>
        <w:spacing w:line="480" w:lineRule="auto"/>
        <w:jc w:val="both"/>
      </w:pPr>
      <w:r>
        <w:t xml:space="preserve">[33.5] </w:t>
      </w:r>
      <w:r w:rsidR="00506937">
        <w:t>T</w:t>
      </w:r>
      <w:r w:rsidRPr="005F3AE2">
        <w:t xml:space="preserve">he </w:t>
      </w:r>
      <w:r w:rsidR="00506937">
        <w:t xml:space="preserve">application </w:t>
      </w:r>
      <w:r w:rsidRPr="005F3AE2">
        <w:t>was again re</w:t>
      </w:r>
      <w:r w:rsidR="00506937">
        <w:t>-</w:t>
      </w:r>
      <w:r w:rsidRPr="005F3AE2">
        <w:t>enrolled for hearing on 12 February 2018</w:t>
      </w:r>
      <w:r w:rsidR="00506937">
        <w:t>.</w:t>
      </w:r>
      <w:r w:rsidRPr="005F3AE2">
        <w:t xml:space="preserve"> </w:t>
      </w:r>
      <w:r w:rsidR="00506937">
        <w:t>O</w:t>
      </w:r>
      <w:r w:rsidRPr="005F3AE2">
        <w:t xml:space="preserve">n this day still there was no appearance for the </w:t>
      </w:r>
      <w:r w:rsidR="00506937">
        <w:t>R</w:t>
      </w:r>
      <w:r w:rsidRPr="005F3AE2">
        <w:t>espondent</w:t>
      </w:r>
      <w:r w:rsidR="00506937">
        <w:t>s</w:t>
      </w:r>
      <w:r w:rsidRPr="005F3AE2">
        <w:t xml:space="preserve"> despite having been notified of the date of hearing. On this day </w:t>
      </w:r>
      <w:r w:rsidR="00506937">
        <w:t>A</w:t>
      </w:r>
      <w:r w:rsidRPr="005F3AE2">
        <w:t xml:space="preserve">cting </w:t>
      </w:r>
      <w:r w:rsidR="00506937">
        <w:t>J</w:t>
      </w:r>
      <w:r w:rsidRPr="005F3AE2">
        <w:t>udge Nathan dismissed</w:t>
      </w:r>
      <w:r w:rsidR="00506937">
        <w:t>,</w:t>
      </w:r>
      <w:r w:rsidRPr="005F3AE2">
        <w:t xml:space="preserve"> with costs the </w:t>
      </w:r>
      <w:r w:rsidR="00506937">
        <w:t>R</w:t>
      </w:r>
      <w:r w:rsidRPr="005F3AE2">
        <w:t>espondent</w:t>
      </w:r>
      <w:r w:rsidR="00506937">
        <w:t>s’</w:t>
      </w:r>
      <w:r w:rsidRPr="005F3AE2">
        <w:t xml:space="preserve"> application </w:t>
      </w:r>
      <w:r w:rsidR="00506937">
        <w:t>for rescission</w:t>
      </w:r>
      <w:r w:rsidR="00F82CD4">
        <w:t xml:space="preserve"> of the order of 7 March 2017</w:t>
      </w:r>
      <w:r w:rsidR="00506937">
        <w:t>.</w:t>
      </w:r>
      <w:r w:rsidRPr="005F3AE2">
        <w:t xml:space="preserve"> </w:t>
      </w:r>
      <w:r w:rsidR="00506937">
        <w:t xml:space="preserve">The order </w:t>
      </w:r>
      <w:r w:rsidR="005B5BA9">
        <w:t>was</w:t>
      </w:r>
      <w:r w:rsidRPr="005F3AE2">
        <w:t xml:space="preserve"> </w:t>
      </w:r>
      <w:r w:rsidR="00EF4CA7" w:rsidRPr="005F3AE2">
        <w:t>therefor</w:t>
      </w:r>
      <w:r w:rsidR="00EF4CA7">
        <w:t>e</w:t>
      </w:r>
      <w:r w:rsidRPr="005F3AE2">
        <w:t xml:space="preserve"> obtained by default</w:t>
      </w:r>
      <w:r w:rsidR="005B5BA9">
        <w:t>.</w:t>
      </w:r>
    </w:p>
    <w:p w14:paraId="6AABBE7B" w14:textId="77777777" w:rsidR="00F82CD4" w:rsidRDefault="00F82CD4" w:rsidP="00ED502C">
      <w:pPr>
        <w:spacing w:line="480" w:lineRule="auto"/>
        <w:jc w:val="both"/>
      </w:pPr>
    </w:p>
    <w:p w14:paraId="48885069" w14:textId="77F60E64" w:rsidR="0047398E" w:rsidRDefault="003B7598" w:rsidP="00ED502C">
      <w:pPr>
        <w:spacing w:line="480" w:lineRule="auto"/>
        <w:jc w:val="both"/>
      </w:pPr>
      <w:r>
        <w:t>[33.6</w:t>
      </w:r>
      <w:r w:rsidR="0047398E">
        <w:t xml:space="preserve">] In paragraph [27] the Court in </w:t>
      </w:r>
      <w:proofErr w:type="spellStart"/>
      <w:r w:rsidR="0047398E">
        <w:t>Pitelli</w:t>
      </w:r>
      <w:proofErr w:type="spellEnd"/>
      <w:r w:rsidR="0047398E">
        <w:t xml:space="preserve"> made the following statement:</w:t>
      </w:r>
    </w:p>
    <w:p w14:paraId="3DCB866E" w14:textId="3CF8C047" w:rsidR="0047398E" w:rsidRDefault="0047398E" w:rsidP="00ED502C">
      <w:pPr>
        <w:spacing w:line="480" w:lineRule="auto"/>
        <w:jc w:val="both"/>
        <w:rPr>
          <w:i/>
          <w:iCs/>
        </w:rPr>
      </w:pPr>
      <w:r w:rsidRPr="00EF4CA7">
        <w:rPr>
          <w:i/>
          <w:iCs/>
        </w:rPr>
        <w:lastRenderedPageBreak/>
        <w:t xml:space="preserve">‘An order is not final </w:t>
      </w:r>
      <w:r w:rsidR="00F83D60">
        <w:rPr>
          <w:i/>
          <w:iCs/>
        </w:rPr>
        <w:t xml:space="preserve">for </w:t>
      </w:r>
      <w:r w:rsidRPr="00EF4CA7">
        <w:rPr>
          <w:i/>
          <w:iCs/>
        </w:rPr>
        <w:t>the purpose</w:t>
      </w:r>
      <w:r w:rsidR="00F83D60">
        <w:rPr>
          <w:i/>
          <w:iCs/>
        </w:rPr>
        <w:t>s</w:t>
      </w:r>
      <w:r w:rsidRPr="00EF4CA7">
        <w:rPr>
          <w:i/>
          <w:iCs/>
        </w:rPr>
        <w:t xml:space="preserve"> of an appeal merely because it takes effect unless it is set aside. It is final when the proceedings of the court of first instance are </w:t>
      </w:r>
      <w:r w:rsidR="00D82BD3" w:rsidRPr="00EF4CA7">
        <w:rPr>
          <w:i/>
          <w:iCs/>
        </w:rPr>
        <w:t>complete,</w:t>
      </w:r>
      <w:r w:rsidRPr="00EF4CA7">
        <w:rPr>
          <w:i/>
          <w:iCs/>
        </w:rPr>
        <w:t xml:space="preserve"> and that court is not capable of revisiting the order. That leads ineluctably</w:t>
      </w:r>
      <w:r w:rsidR="00D82BD3" w:rsidRPr="00EF4CA7">
        <w:rPr>
          <w:i/>
          <w:iCs/>
        </w:rPr>
        <w:t xml:space="preserve"> </w:t>
      </w:r>
      <w:r w:rsidRPr="00EF4CA7">
        <w:rPr>
          <w:i/>
          <w:iCs/>
        </w:rPr>
        <w:t xml:space="preserve">to the conclusion that </w:t>
      </w:r>
      <w:r w:rsidR="00D82BD3" w:rsidRPr="00EF4CA7">
        <w:rPr>
          <w:i/>
          <w:iCs/>
        </w:rPr>
        <w:t>an order taken</w:t>
      </w:r>
      <w:r w:rsidRPr="00EF4CA7">
        <w:rPr>
          <w:i/>
          <w:iCs/>
        </w:rPr>
        <w:t xml:space="preserve"> in </w:t>
      </w:r>
      <w:r w:rsidR="00D82BD3" w:rsidRPr="00EF4CA7">
        <w:rPr>
          <w:i/>
          <w:iCs/>
        </w:rPr>
        <w:t xml:space="preserve">the </w:t>
      </w:r>
      <w:r w:rsidRPr="00EF4CA7">
        <w:rPr>
          <w:i/>
          <w:iCs/>
        </w:rPr>
        <w:t>absence of a p</w:t>
      </w:r>
      <w:r w:rsidR="00D82BD3" w:rsidRPr="00EF4CA7">
        <w:rPr>
          <w:i/>
          <w:iCs/>
        </w:rPr>
        <w:t>arty</w:t>
      </w:r>
      <w:r w:rsidRPr="00EF4CA7">
        <w:rPr>
          <w:i/>
          <w:iCs/>
        </w:rPr>
        <w:t xml:space="preserve"> is ordinarily not </w:t>
      </w:r>
      <w:r w:rsidR="00D82BD3" w:rsidRPr="00EF4CA7">
        <w:rPr>
          <w:i/>
          <w:iCs/>
        </w:rPr>
        <w:t>appealable</w:t>
      </w:r>
      <w:r w:rsidRPr="00EF4CA7">
        <w:rPr>
          <w:i/>
          <w:iCs/>
        </w:rPr>
        <w:t xml:space="preserve"> </w:t>
      </w:r>
      <w:r w:rsidR="00D82BD3" w:rsidRPr="00EF4CA7">
        <w:rPr>
          <w:i/>
          <w:iCs/>
        </w:rPr>
        <w:t>(</w:t>
      </w:r>
      <w:r w:rsidRPr="00EF4CA7">
        <w:rPr>
          <w:i/>
          <w:iCs/>
        </w:rPr>
        <w:t xml:space="preserve">perhaps there might be cases in which </w:t>
      </w:r>
      <w:r w:rsidR="00D82BD3" w:rsidRPr="00EF4CA7">
        <w:rPr>
          <w:i/>
          <w:iCs/>
        </w:rPr>
        <w:t>it</w:t>
      </w:r>
      <w:r w:rsidRPr="00EF4CA7">
        <w:rPr>
          <w:i/>
          <w:iCs/>
        </w:rPr>
        <w:t xml:space="preserve"> is appealable</w:t>
      </w:r>
      <w:r w:rsidR="00F83D60">
        <w:rPr>
          <w:i/>
          <w:iCs/>
        </w:rPr>
        <w:t>,</w:t>
      </w:r>
      <w:r w:rsidRPr="00EF4CA7">
        <w:rPr>
          <w:i/>
          <w:iCs/>
        </w:rPr>
        <w:t xml:space="preserve"> but for the moment </w:t>
      </w:r>
      <w:r w:rsidR="00D82BD3" w:rsidRPr="00EF4CA7">
        <w:rPr>
          <w:i/>
          <w:iCs/>
        </w:rPr>
        <w:t>I</w:t>
      </w:r>
      <w:r w:rsidRPr="00EF4CA7">
        <w:rPr>
          <w:i/>
          <w:iCs/>
        </w:rPr>
        <w:t xml:space="preserve"> cannot think of one</w:t>
      </w:r>
      <w:r w:rsidR="00D82BD3" w:rsidRPr="00EF4CA7">
        <w:rPr>
          <w:i/>
          <w:iCs/>
        </w:rPr>
        <w:t>)</w:t>
      </w:r>
      <w:r w:rsidR="00FE14A0" w:rsidRPr="00EF4CA7">
        <w:rPr>
          <w:i/>
          <w:iCs/>
        </w:rPr>
        <w:t xml:space="preserve">. </w:t>
      </w:r>
      <w:r w:rsidR="00D82BD3" w:rsidRPr="00EF4CA7">
        <w:rPr>
          <w:i/>
          <w:iCs/>
        </w:rPr>
        <w:t>I</w:t>
      </w:r>
      <w:r w:rsidRPr="00EF4CA7">
        <w:rPr>
          <w:i/>
          <w:iCs/>
        </w:rPr>
        <w:t>t</w:t>
      </w:r>
      <w:r w:rsidR="00D82BD3" w:rsidRPr="00EF4CA7">
        <w:rPr>
          <w:i/>
          <w:iCs/>
        </w:rPr>
        <w:t xml:space="preserve"> i</w:t>
      </w:r>
      <w:r w:rsidRPr="00EF4CA7">
        <w:rPr>
          <w:i/>
          <w:iCs/>
        </w:rPr>
        <w:t xml:space="preserve">s not appealable </w:t>
      </w:r>
      <w:r w:rsidR="00D82BD3" w:rsidRPr="00EF4CA7">
        <w:rPr>
          <w:i/>
          <w:iCs/>
        </w:rPr>
        <w:t>because</w:t>
      </w:r>
      <w:r w:rsidRPr="00EF4CA7">
        <w:rPr>
          <w:i/>
          <w:iCs/>
        </w:rPr>
        <w:t xml:space="preserve"> such an order is capable of being rescinded </w:t>
      </w:r>
      <w:r w:rsidR="00D82BD3" w:rsidRPr="00EF4CA7">
        <w:rPr>
          <w:i/>
          <w:iCs/>
        </w:rPr>
        <w:t>by the court</w:t>
      </w:r>
      <w:r w:rsidRPr="00EF4CA7">
        <w:rPr>
          <w:i/>
          <w:iCs/>
        </w:rPr>
        <w:t xml:space="preserve"> that granted </w:t>
      </w:r>
      <w:r w:rsidR="00D82BD3" w:rsidRPr="00EF4CA7">
        <w:rPr>
          <w:i/>
          <w:iCs/>
        </w:rPr>
        <w:t>it, and it is thus not final in its effect. I</w:t>
      </w:r>
      <w:r w:rsidRPr="00EF4CA7">
        <w:rPr>
          <w:i/>
          <w:iCs/>
        </w:rPr>
        <w:t xml:space="preserve">n some </w:t>
      </w:r>
      <w:r w:rsidR="00EF4CA7" w:rsidRPr="00EF4CA7">
        <w:rPr>
          <w:i/>
          <w:iCs/>
        </w:rPr>
        <w:t>cases,</w:t>
      </w:r>
      <w:r w:rsidRPr="00EF4CA7">
        <w:rPr>
          <w:i/>
          <w:iCs/>
        </w:rPr>
        <w:t xml:space="preserve"> an order that is granted in absence of the party might be re</w:t>
      </w:r>
      <w:r w:rsidR="00EF4CA7" w:rsidRPr="00EF4CA7">
        <w:rPr>
          <w:i/>
          <w:iCs/>
        </w:rPr>
        <w:t>scind</w:t>
      </w:r>
      <w:r w:rsidRPr="00EF4CA7">
        <w:rPr>
          <w:i/>
          <w:iCs/>
        </w:rPr>
        <w:t xml:space="preserve">able under rule 42 </w:t>
      </w:r>
      <w:r w:rsidR="00EF4CA7" w:rsidRPr="00EF4CA7">
        <w:rPr>
          <w:i/>
          <w:iCs/>
        </w:rPr>
        <w:t>(1)(a)</w:t>
      </w:r>
      <w:r w:rsidRPr="00EF4CA7">
        <w:rPr>
          <w:i/>
          <w:iCs/>
        </w:rPr>
        <w:t xml:space="preserve"> and if it is not covered by th</w:t>
      </w:r>
      <w:r w:rsidR="00EF4CA7" w:rsidRPr="00EF4CA7">
        <w:rPr>
          <w:i/>
          <w:iCs/>
        </w:rPr>
        <w:t>at</w:t>
      </w:r>
      <w:r w:rsidRPr="00EF4CA7">
        <w:rPr>
          <w:i/>
          <w:iCs/>
        </w:rPr>
        <w:t xml:space="preserve"> </w:t>
      </w:r>
      <w:r w:rsidR="00EF4CA7" w:rsidRPr="00EF4CA7">
        <w:rPr>
          <w:i/>
          <w:iCs/>
        </w:rPr>
        <w:t>rule</w:t>
      </w:r>
      <w:r w:rsidRPr="00EF4CA7">
        <w:rPr>
          <w:i/>
          <w:iCs/>
        </w:rPr>
        <w:t xml:space="preserve"> </w:t>
      </w:r>
      <w:r w:rsidR="00EF4CA7" w:rsidRPr="00EF4CA7">
        <w:rPr>
          <w:i/>
          <w:iCs/>
        </w:rPr>
        <w:t>………</w:t>
      </w:r>
      <w:r w:rsidR="00FE14A0" w:rsidRPr="00EF4CA7">
        <w:rPr>
          <w:i/>
          <w:iCs/>
        </w:rPr>
        <w:t xml:space="preserve">. </w:t>
      </w:r>
      <w:r w:rsidRPr="00EF4CA7">
        <w:rPr>
          <w:i/>
          <w:iCs/>
        </w:rPr>
        <w:t xml:space="preserve">it is </w:t>
      </w:r>
      <w:r w:rsidR="00EF4CA7" w:rsidRPr="00EF4CA7">
        <w:rPr>
          <w:i/>
          <w:iCs/>
        </w:rPr>
        <w:t xml:space="preserve">in any event </w:t>
      </w:r>
      <w:r w:rsidRPr="00EF4CA7">
        <w:rPr>
          <w:i/>
          <w:iCs/>
        </w:rPr>
        <w:t>capable of being rescinded under the common law</w:t>
      </w:r>
      <w:r w:rsidR="00EF4CA7" w:rsidRPr="00EF4CA7">
        <w:rPr>
          <w:i/>
          <w:iCs/>
        </w:rPr>
        <w:t>.”</w:t>
      </w:r>
    </w:p>
    <w:p w14:paraId="1815963D" w14:textId="3A355AAE" w:rsidR="00EF4CA7" w:rsidRDefault="00EF4CA7" w:rsidP="00ED502C">
      <w:pPr>
        <w:spacing w:line="480" w:lineRule="auto"/>
        <w:jc w:val="both"/>
      </w:pPr>
      <w:r>
        <w:t>The SCA cited other judgments with approval.</w:t>
      </w:r>
      <w:r w:rsidR="001A48D2">
        <w:t xml:space="preserve"> For instance, it stated as follows:</w:t>
      </w:r>
    </w:p>
    <w:p w14:paraId="525CB25E" w14:textId="77777777" w:rsidR="001A48D2" w:rsidRDefault="001A48D2" w:rsidP="00ED502C">
      <w:pPr>
        <w:spacing w:line="480" w:lineRule="auto"/>
        <w:jc w:val="both"/>
      </w:pPr>
      <w:r>
        <w:t>“[28] T</w:t>
      </w:r>
      <w:r w:rsidRPr="001A48D2">
        <w:t>hat an order granted in a</w:t>
      </w:r>
      <w:r>
        <w:t>bsence of a</w:t>
      </w:r>
      <w:r w:rsidRPr="001A48D2">
        <w:t xml:space="preserve"> party is not appealable was </w:t>
      </w:r>
      <w:r>
        <w:t>held</w:t>
      </w:r>
      <w:r w:rsidRPr="001A48D2">
        <w:t xml:space="preserve"> as 1</w:t>
      </w:r>
      <w:r>
        <w:t>early as 1</w:t>
      </w:r>
      <w:r w:rsidRPr="001A48D2">
        <w:t xml:space="preserve">877 in </w:t>
      </w:r>
      <w:r>
        <w:t xml:space="preserve">Ross v </w:t>
      </w:r>
      <w:proofErr w:type="spellStart"/>
      <w:r>
        <w:t>D</w:t>
      </w:r>
      <w:r w:rsidRPr="001A48D2">
        <w:t>ramat</w:t>
      </w:r>
      <w:proofErr w:type="spellEnd"/>
      <w:r w:rsidRPr="001A48D2">
        <w:t xml:space="preserve"> </w:t>
      </w:r>
      <w:r>
        <w:t xml:space="preserve">1877 Buch.132 at 13 </w:t>
      </w:r>
      <w:r w:rsidRPr="001A48D2">
        <w:t>when</w:t>
      </w:r>
      <w:r>
        <w:t xml:space="preserve"> De Villiers CJ said, in respect of such an order, that</w:t>
      </w:r>
    </w:p>
    <w:p w14:paraId="6DA26CBA" w14:textId="4316E3D1" w:rsidR="00563417" w:rsidRDefault="002465F8" w:rsidP="00ED502C">
      <w:pPr>
        <w:spacing w:line="480" w:lineRule="auto"/>
        <w:jc w:val="both"/>
        <w:rPr>
          <w:b/>
          <w:bCs/>
        </w:rPr>
      </w:pPr>
      <w:r w:rsidRPr="00563417">
        <w:rPr>
          <w:i/>
          <w:iCs/>
        </w:rPr>
        <w:t>“the</w:t>
      </w:r>
      <w:r w:rsidR="001A48D2" w:rsidRPr="00563417">
        <w:rPr>
          <w:i/>
          <w:iCs/>
        </w:rPr>
        <w:t xml:space="preserve"> defendant is premature in applying to this court [to appeal against the order</w:t>
      </w:r>
      <w:r w:rsidR="00563417" w:rsidRPr="00563417">
        <w:rPr>
          <w:i/>
          <w:iCs/>
        </w:rPr>
        <w:t>] until the Magistrate has been asked and has refused to re-open the case.”</w:t>
      </w:r>
      <w:r w:rsidR="00F83D60">
        <w:t xml:space="preserve"> See also </w:t>
      </w:r>
      <w:r w:rsidR="00F83D60" w:rsidRPr="00664489">
        <w:rPr>
          <w:b/>
          <w:bCs/>
        </w:rPr>
        <w:t xml:space="preserve">Sparks v David Pollack &amp; Co. (Pty) Ltd </w:t>
      </w:r>
      <w:r w:rsidR="00664489" w:rsidRPr="00664489">
        <w:rPr>
          <w:b/>
          <w:bCs/>
        </w:rPr>
        <w:t>1963 (2) SA 491 (T)</w:t>
      </w:r>
      <w:r w:rsidR="009633CF">
        <w:rPr>
          <w:b/>
          <w:bCs/>
        </w:rPr>
        <w:t xml:space="preserve"> (</w:t>
      </w:r>
      <w:proofErr w:type="spellStart"/>
      <w:r w:rsidR="009633CF">
        <w:rPr>
          <w:b/>
          <w:bCs/>
        </w:rPr>
        <w:t>Pitelli</w:t>
      </w:r>
      <w:proofErr w:type="spellEnd"/>
      <w:r w:rsidR="009633CF">
        <w:rPr>
          <w:b/>
          <w:bCs/>
        </w:rPr>
        <w:t>)</w:t>
      </w:r>
      <w:r w:rsidR="00664489" w:rsidRPr="00664489">
        <w:rPr>
          <w:b/>
          <w:bCs/>
        </w:rPr>
        <w:t>.</w:t>
      </w:r>
    </w:p>
    <w:p w14:paraId="0ED1A7CE" w14:textId="1C1F384B" w:rsidR="00021DBE" w:rsidRPr="00021DBE" w:rsidRDefault="00021DBE" w:rsidP="00ED502C">
      <w:pPr>
        <w:spacing w:line="480" w:lineRule="auto"/>
        <w:jc w:val="both"/>
      </w:pPr>
    </w:p>
    <w:p w14:paraId="5F69F849" w14:textId="301351CF" w:rsidR="002F17C7" w:rsidRDefault="00021DBE" w:rsidP="00ED502C">
      <w:pPr>
        <w:spacing w:line="480" w:lineRule="auto"/>
        <w:jc w:val="both"/>
      </w:pPr>
      <w:r w:rsidRPr="00021DBE">
        <w:t xml:space="preserve">[29] </w:t>
      </w:r>
      <w:r w:rsidR="009633CF">
        <w:t>B</w:t>
      </w:r>
      <w:r w:rsidR="005B6477" w:rsidRPr="005B6477">
        <w:t>y launching an application for  re</w:t>
      </w:r>
      <w:r w:rsidR="0088035B">
        <w:t>s</w:t>
      </w:r>
      <w:r w:rsidR="005B6477" w:rsidRPr="005B6477">
        <w:t>c</w:t>
      </w:r>
      <w:r w:rsidR="0088035B">
        <w:t>i</w:t>
      </w:r>
      <w:r w:rsidR="005B6477" w:rsidRPr="005B6477">
        <w:t xml:space="preserve">ssion of the default judgement on </w:t>
      </w:r>
      <w:r w:rsidR="009633CF">
        <w:t xml:space="preserve">5 </w:t>
      </w:r>
      <w:r w:rsidR="005B6477" w:rsidRPr="005B6477">
        <w:t xml:space="preserve">April 2017, the </w:t>
      </w:r>
      <w:r w:rsidR="009633CF">
        <w:t>R</w:t>
      </w:r>
      <w:r w:rsidR="009633CF" w:rsidRPr="005B6477">
        <w:t>espondent</w:t>
      </w:r>
      <w:r w:rsidR="009633CF">
        <w:t>s</w:t>
      </w:r>
      <w:r w:rsidR="005B6477" w:rsidRPr="005B6477">
        <w:t xml:space="preserve"> acted </w:t>
      </w:r>
      <w:r w:rsidR="009633CF">
        <w:t>appropria</w:t>
      </w:r>
      <w:r w:rsidR="009633CF" w:rsidRPr="005B6477">
        <w:t>tely</w:t>
      </w:r>
      <w:r w:rsidR="005B6477" w:rsidRPr="005B6477">
        <w:t xml:space="preserve"> for a</w:t>
      </w:r>
      <w:r w:rsidR="009633CF">
        <w:t>t</w:t>
      </w:r>
      <w:r w:rsidR="005B6477" w:rsidRPr="005B6477">
        <w:t xml:space="preserve"> </w:t>
      </w:r>
      <w:r w:rsidR="009633CF">
        <w:t>that s</w:t>
      </w:r>
      <w:r w:rsidR="009633CF" w:rsidRPr="005B6477">
        <w:t>tage</w:t>
      </w:r>
      <w:r w:rsidR="009633CF">
        <w:t xml:space="preserve">, </w:t>
      </w:r>
      <w:r w:rsidR="009633CF" w:rsidRPr="005B6477">
        <w:t>according</w:t>
      </w:r>
      <w:r w:rsidR="005B6477" w:rsidRPr="005B6477">
        <w:t xml:space="preserve"> to </w:t>
      </w:r>
      <w:proofErr w:type="spellStart"/>
      <w:r w:rsidR="005B6477" w:rsidRPr="005B6477">
        <w:t>P</w:t>
      </w:r>
      <w:r w:rsidR="009633CF">
        <w:t>i</w:t>
      </w:r>
      <w:r w:rsidR="005B6477" w:rsidRPr="005B6477">
        <w:t>te</w:t>
      </w:r>
      <w:r w:rsidR="009633CF">
        <w:t>lli</w:t>
      </w:r>
      <w:proofErr w:type="spellEnd"/>
      <w:r w:rsidR="005B6477" w:rsidRPr="005B6477">
        <w:t>, the court order c</w:t>
      </w:r>
      <w:r w:rsidR="009633CF">
        <w:t xml:space="preserve">ould still </w:t>
      </w:r>
      <w:r w:rsidR="005B6477" w:rsidRPr="005B6477">
        <w:t xml:space="preserve">be set aside. </w:t>
      </w:r>
      <w:r w:rsidR="009633CF">
        <w:t>T</w:t>
      </w:r>
      <w:r w:rsidR="005B6477" w:rsidRPr="005B6477">
        <w:t xml:space="preserve">he proceedings that led to the order of </w:t>
      </w:r>
      <w:r w:rsidR="009633CF">
        <w:t>7 March 2017 were not complete. The court was still at large to revisit them and set the order aside.</w:t>
      </w:r>
      <w:r w:rsidR="002F17C7">
        <w:t xml:space="preserve"> But once the court dismissed the application for rescission on 12 February 2018, those proceedings were complete and confirmed. From that stage there was no way other than through Rule 42 (1)(a) of the Uniform Rules of Court or under common law that the order could be rescindable. No appeal lies against such an order:</w:t>
      </w:r>
    </w:p>
    <w:p w14:paraId="74BF6065" w14:textId="2AE33F3F" w:rsidR="00021DBE" w:rsidRDefault="002F17C7" w:rsidP="00ED502C">
      <w:pPr>
        <w:spacing w:line="480" w:lineRule="auto"/>
        <w:jc w:val="both"/>
      </w:pPr>
      <w:r>
        <w:lastRenderedPageBreak/>
        <w:t>“ ………</w:t>
      </w:r>
      <w:r w:rsidRPr="002F17C7">
        <w:rPr>
          <w:i/>
          <w:iCs/>
        </w:rPr>
        <w:t>an order taken in the absence of a party is ordinarily not appealable.”</w:t>
      </w:r>
      <w:r>
        <w:t xml:space="preserve"> </w:t>
      </w:r>
      <w:r w:rsidR="009D4321">
        <w:t xml:space="preserve"> See </w:t>
      </w:r>
      <w:proofErr w:type="spellStart"/>
      <w:r w:rsidR="009D4321">
        <w:t>Pitelli</w:t>
      </w:r>
      <w:proofErr w:type="spellEnd"/>
      <w:r w:rsidR="009D4321">
        <w:t xml:space="preserve"> above.</w:t>
      </w:r>
    </w:p>
    <w:p w14:paraId="6AFE30CC" w14:textId="34A2E4F1" w:rsidR="009D4321" w:rsidRDefault="009D4321" w:rsidP="00ED502C">
      <w:pPr>
        <w:spacing w:line="480" w:lineRule="auto"/>
        <w:jc w:val="both"/>
      </w:pPr>
    </w:p>
    <w:p w14:paraId="2813E686" w14:textId="38A0FA7F" w:rsidR="00F11B73" w:rsidRDefault="009D4321" w:rsidP="00ED502C">
      <w:pPr>
        <w:spacing w:line="480" w:lineRule="auto"/>
        <w:jc w:val="both"/>
      </w:pPr>
      <w:r>
        <w:t>[30] T</w:t>
      </w:r>
      <w:r w:rsidRPr="009D4321">
        <w:t xml:space="preserve">he judgement of </w:t>
      </w:r>
      <w:proofErr w:type="spellStart"/>
      <w:r w:rsidR="00F11B73">
        <w:t>Pitelli</w:t>
      </w:r>
      <w:proofErr w:type="spellEnd"/>
      <w:r w:rsidR="00F11B73">
        <w:t xml:space="preserve"> </w:t>
      </w:r>
      <w:r w:rsidR="00F11B73" w:rsidRPr="009D4321">
        <w:t>strikes</w:t>
      </w:r>
      <w:r w:rsidRPr="009D4321">
        <w:t xml:space="preserve"> a death </w:t>
      </w:r>
      <w:r w:rsidR="00F11B73">
        <w:t xml:space="preserve">knell </w:t>
      </w:r>
      <w:r w:rsidRPr="009D4321">
        <w:t xml:space="preserve">to the </w:t>
      </w:r>
      <w:r>
        <w:t>R</w:t>
      </w:r>
      <w:r w:rsidRPr="009D4321">
        <w:t>espondents</w:t>
      </w:r>
      <w:r>
        <w:t>’</w:t>
      </w:r>
      <w:r w:rsidRPr="009D4321">
        <w:t xml:space="preserve"> application for l</w:t>
      </w:r>
      <w:r>
        <w:t xml:space="preserve">eave </w:t>
      </w:r>
      <w:r w:rsidR="00F11B73">
        <w:t xml:space="preserve">to </w:t>
      </w:r>
      <w:r w:rsidR="00F11B73" w:rsidRPr="009D4321">
        <w:t>appeal</w:t>
      </w:r>
      <w:r>
        <w:t>. I</w:t>
      </w:r>
      <w:r w:rsidRPr="009D4321">
        <w:t xml:space="preserve">t dissipates any hope the </w:t>
      </w:r>
      <w:r w:rsidR="00F11B73">
        <w:t>R</w:t>
      </w:r>
      <w:r w:rsidRPr="009D4321">
        <w:t xml:space="preserve">espondents </w:t>
      </w:r>
      <w:r w:rsidR="00F11B73">
        <w:t xml:space="preserve">might have </w:t>
      </w:r>
      <w:r w:rsidRPr="009D4321">
        <w:t xml:space="preserve">of </w:t>
      </w:r>
      <w:r w:rsidR="00F11B73">
        <w:t xml:space="preserve">claiming that they have reasonable prospects that, if granted leave, they would have reasonable prospects of success. </w:t>
      </w:r>
      <w:r w:rsidRPr="009D4321">
        <w:t xml:space="preserve"> </w:t>
      </w:r>
      <w:r w:rsidR="00F11B73">
        <w:t>I am satisfied that the application for leave to apply stands to be dismissed. Accordingly, I make the following order:</w:t>
      </w:r>
    </w:p>
    <w:p w14:paraId="4983EC2C" w14:textId="511255B9" w:rsidR="009D4321" w:rsidRDefault="00F11B73" w:rsidP="00ED502C">
      <w:pPr>
        <w:spacing w:line="480" w:lineRule="auto"/>
        <w:jc w:val="both"/>
        <w:rPr>
          <w:b/>
          <w:bCs/>
        </w:rPr>
      </w:pPr>
      <w:r w:rsidRPr="00F11B73">
        <w:rPr>
          <w:b/>
          <w:bCs/>
        </w:rPr>
        <w:t>T</w:t>
      </w:r>
      <w:r w:rsidR="009D4321" w:rsidRPr="00F11B73">
        <w:rPr>
          <w:b/>
          <w:bCs/>
        </w:rPr>
        <w:t xml:space="preserve">he application for </w:t>
      </w:r>
      <w:r w:rsidRPr="00F11B73">
        <w:rPr>
          <w:b/>
          <w:bCs/>
        </w:rPr>
        <w:t>leave to appeal</w:t>
      </w:r>
      <w:r w:rsidR="009D4321" w:rsidRPr="00F11B73">
        <w:rPr>
          <w:b/>
          <w:bCs/>
        </w:rPr>
        <w:t xml:space="preserve"> </w:t>
      </w:r>
      <w:r>
        <w:rPr>
          <w:b/>
          <w:bCs/>
        </w:rPr>
        <w:t xml:space="preserve">is </w:t>
      </w:r>
      <w:r w:rsidRPr="00F11B73">
        <w:rPr>
          <w:b/>
          <w:bCs/>
        </w:rPr>
        <w:t>here</w:t>
      </w:r>
      <w:r w:rsidR="009D4321" w:rsidRPr="00F11B73">
        <w:rPr>
          <w:b/>
          <w:bCs/>
        </w:rPr>
        <w:t>by dismissed</w:t>
      </w:r>
      <w:r w:rsidRPr="00F11B73">
        <w:rPr>
          <w:b/>
          <w:bCs/>
        </w:rPr>
        <w:t>,</w:t>
      </w:r>
      <w:r w:rsidR="009D4321" w:rsidRPr="00F11B73">
        <w:rPr>
          <w:b/>
          <w:bCs/>
        </w:rPr>
        <w:t xml:space="preserve"> with costs</w:t>
      </w:r>
      <w:r w:rsidRPr="00F11B73">
        <w:rPr>
          <w:b/>
          <w:bCs/>
        </w:rPr>
        <w:t>.</w:t>
      </w:r>
    </w:p>
    <w:p w14:paraId="476F856E" w14:textId="1C5EA408" w:rsidR="00E46DB0" w:rsidRDefault="00E46DB0" w:rsidP="00ED502C">
      <w:pPr>
        <w:spacing w:line="480" w:lineRule="auto"/>
        <w:jc w:val="both"/>
        <w:rPr>
          <w:b/>
          <w:bCs/>
        </w:rPr>
      </w:pPr>
    </w:p>
    <w:p w14:paraId="75C77CED" w14:textId="0AFA6194" w:rsidR="00E46DB0" w:rsidRPr="00E46DB0" w:rsidRDefault="00E46DB0" w:rsidP="00ED502C">
      <w:pPr>
        <w:spacing w:line="480" w:lineRule="auto"/>
        <w:jc w:val="both"/>
        <w:rPr>
          <w:b/>
          <w:bCs/>
        </w:rPr>
      </w:pPr>
      <w:r>
        <w:rPr>
          <w:b/>
          <w:bCs/>
        </w:rPr>
        <w:t xml:space="preserve">                                                                                           --------------------------------------------</w:t>
      </w:r>
    </w:p>
    <w:p w14:paraId="73460E19" w14:textId="27F21B45" w:rsidR="00E46DB0" w:rsidRDefault="00E46DB0" w:rsidP="00ED502C">
      <w:pPr>
        <w:spacing w:line="480" w:lineRule="auto"/>
        <w:jc w:val="both"/>
        <w:rPr>
          <w:b/>
          <w:bCs/>
        </w:rPr>
      </w:pPr>
      <w:r>
        <w:rPr>
          <w:b/>
          <w:bCs/>
        </w:rPr>
        <w:t xml:space="preserve">                                                                                           P M MABUSE</w:t>
      </w:r>
    </w:p>
    <w:p w14:paraId="0E0CDB32" w14:textId="25467252" w:rsidR="00E46DB0" w:rsidRDefault="00E46DB0" w:rsidP="00ED502C">
      <w:pPr>
        <w:spacing w:line="480" w:lineRule="auto"/>
        <w:jc w:val="both"/>
        <w:rPr>
          <w:b/>
          <w:bCs/>
        </w:rPr>
      </w:pPr>
      <w:r>
        <w:rPr>
          <w:b/>
          <w:bCs/>
        </w:rPr>
        <w:t xml:space="preserve">                                                                                          JUDGE OF THE HIGH COURT</w:t>
      </w:r>
    </w:p>
    <w:p w14:paraId="1A9C676B" w14:textId="7D382D1D" w:rsidR="00E46DB0" w:rsidRDefault="00E46DB0" w:rsidP="00ED502C">
      <w:pPr>
        <w:spacing w:line="480" w:lineRule="auto"/>
        <w:jc w:val="both"/>
        <w:rPr>
          <w:b/>
          <w:bCs/>
        </w:rPr>
      </w:pPr>
    </w:p>
    <w:p w14:paraId="6F27A90B" w14:textId="216209ED" w:rsidR="00E46DB0" w:rsidRDefault="00E46DB0" w:rsidP="00ED502C">
      <w:pPr>
        <w:spacing w:line="480" w:lineRule="auto"/>
        <w:jc w:val="both"/>
        <w:rPr>
          <w:b/>
          <w:bCs/>
          <w:u w:val="single"/>
        </w:rPr>
      </w:pPr>
      <w:r w:rsidRPr="00E46DB0">
        <w:rPr>
          <w:b/>
          <w:bCs/>
          <w:u w:val="single"/>
        </w:rPr>
        <w:t>Appearances</w:t>
      </w:r>
    </w:p>
    <w:p w14:paraId="6FA56CF7" w14:textId="322B565A" w:rsidR="00E46DB0" w:rsidRDefault="00E46DB0" w:rsidP="00ED502C">
      <w:pPr>
        <w:spacing w:line="480" w:lineRule="auto"/>
        <w:jc w:val="both"/>
      </w:pPr>
      <w:r w:rsidRPr="00E46DB0">
        <w:t>Counsel</w:t>
      </w:r>
      <w:r>
        <w:t xml:space="preserve"> for the Applicants                                     </w:t>
      </w:r>
      <w:proofErr w:type="spellStart"/>
      <w:r>
        <w:t>Adv.Kameel</w:t>
      </w:r>
      <w:proofErr w:type="spellEnd"/>
      <w:r>
        <w:t xml:space="preserve"> </w:t>
      </w:r>
      <w:proofErr w:type="spellStart"/>
      <w:r>
        <w:t>Premhid</w:t>
      </w:r>
      <w:proofErr w:type="spellEnd"/>
    </w:p>
    <w:p w14:paraId="5797BA1B" w14:textId="58899BD0" w:rsidR="00E46DB0" w:rsidRDefault="00E46DB0" w:rsidP="00ED502C">
      <w:pPr>
        <w:spacing w:line="480" w:lineRule="auto"/>
        <w:jc w:val="both"/>
      </w:pPr>
      <w:r>
        <w:t xml:space="preserve">                                                                                 </w:t>
      </w:r>
      <w:proofErr w:type="spellStart"/>
      <w:r>
        <w:t>Silindile</w:t>
      </w:r>
      <w:proofErr w:type="spellEnd"/>
      <w:r>
        <w:t xml:space="preserve"> </w:t>
      </w:r>
      <w:proofErr w:type="spellStart"/>
      <w:r>
        <w:t>Mhlongo</w:t>
      </w:r>
      <w:proofErr w:type="spellEnd"/>
    </w:p>
    <w:p w14:paraId="7DAC66F0" w14:textId="4DD0A653" w:rsidR="00E46DB0" w:rsidRPr="00E46DB0" w:rsidRDefault="00E46DB0" w:rsidP="00ED502C">
      <w:pPr>
        <w:spacing w:line="480" w:lineRule="auto"/>
        <w:jc w:val="both"/>
      </w:pPr>
      <w:r>
        <w:t xml:space="preserve">                                                                                 </w:t>
      </w:r>
      <w:proofErr w:type="spellStart"/>
      <w:r>
        <w:t>Suhail</w:t>
      </w:r>
      <w:proofErr w:type="spellEnd"/>
      <w:r>
        <w:t xml:space="preserve"> Mohammed(pupil) </w:t>
      </w:r>
    </w:p>
    <w:p w14:paraId="6B814921" w14:textId="7727C133" w:rsidR="00E46DB0" w:rsidRDefault="00E46DB0" w:rsidP="00ED502C">
      <w:pPr>
        <w:spacing w:line="480" w:lineRule="auto"/>
        <w:jc w:val="both"/>
      </w:pPr>
      <w:r w:rsidRPr="00E46DB0">
        <w:t>A</w:t>
      </w:r>
      <w:r>
        <w:t>ttorneys for the Applicants</w:t>
      </w:r>
      <w:r>
        <w:tab/>
        <w:t xml:space="preserve">:                                Ian Levitt </w:t>
      </w:r>
      <w:proofErr w:type="spellStart"/>
      <w:r>
        <w:t>Inc</w:t>
      </w:r>
      <w:proofErr w:type="spellEnd"/>
      <w:r>
        <w:t>;</w:t>
      </w:r>
    </w:p>
    <w:p w14:paraId="4B2BB31E" w14:textId="4068F882" w:rsidR="008A0F20" w:rsidRDefault="008A0F20" w:rsidP="00ED502C">
      <w:pPr>
        <w:spacing w:line="480" w:lineRule="auto"/>
        <w:jc w:val="both"/>
      </w:pPr>
      <w:r>
        <w:t>Counsel for the Respondents                                   Adv. J G.C Hamman</w:t>
      </w:r>
    </w:p>
    <w:p w14:paraId="3CCED72E" w14:textId="0C9CC3CF" w:rsidR="008A0F20" w:rsidRDefault="008A0F20" w:rsidP="00ED502C">
      <w:pPr>
        <w:spacing w:line="480" w:lineRule="auto"/>
        <w:jc w:val="both"/>
      </w:pPr>
      <w:r>
        <w:t>Attorneys for the Respondents                                 Hurter Spies Inc.</w:t>
      </w:r>
    </w:p>
    <w:p w14:paraId="75109D62" w14:textId="389069D2" w:rsidR="008A0F20" w:rsidRDefault="008A0F20" w:rsidP="00ED502C">
      <w:pPr>
        <w:spacing w:line="480" w:lineRule="auto"/>
        <w:jc w:val="both"/>
      </w:pPr>
      <w:r>
        <w:t>Matter heard on                                                        13 December 2022</w:t>
      </w:r>
    </w:p>
    <w:p w14:paraId="173880B9" w14:textId="44D199DE" w:rsidR="008A0F20" w:rsidRPr="00E46DB0" w:rsidRDefault="008A0F20" w:rsidP="00ED502C">
      <w:pPr>
        <w:spacing w:line="480" w:lineRule="auto"/>
        <w:jc w:val="both"/>
      </w:pPr>
      <w:r>
        <w:t>Judgment handed down  on                                       17 January 2023</w:t>
      </w:r>
    </w:p>
    <w:sectPr w:rsidR="008A0F20" w:rsidRPr="00E46DB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5AEE4" w14:textId="77777777" w:rsidR="006A110D" w:rsidRDefault="006A110D" w:rsidP="00473D63">
      <w:r>
        <w:separator/>
      </w:r>
    </w:p>
  </w:endnote>
  <w:endnote w:type="continuationSeparator" w:id="0">
    <w:p w14:paraId="209D299D" w14:textId="77777777" w:rsidR="006A110D" w:rsidRDefault="006A110D" w:rsidP="0047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872D8" w14:textId="77777777" w:rsidR="00473D63" w:rsidRDefault="00473D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631753"/>
      <w:docPartObj>
        <w:docPartGallery w:val="Page Numbers (Bottom of Page)"/>
        <w:docPartUnique/>
      </w:docPartObj>
    </w:sdtPr>
    <w:sdtEndPr>
      <w:rPr>
        <w:color w:val="7F7F7F" w:themeColor="background1" w:themeShade="7F"/>
        <w:spacing w:val="60"/>
      </w:rPr>
    </w:sdtEndPr>
    <w:sdtContent>
      <w:p w14:paraId="67046C51" w14:textId="3EFA381F" w:rsidR="00473D63" w:rsidRDefault="00473D6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C75B2" w:rsidRPr="00CC75B2">
          <w:rPr>
            <w:b/>
            <w:bCs/>
            <w:noProof/>
          </w:rPr>
          <w:t>20</w:t>
        </w:r>
        <w:r>
          <w:rPr>
            <w:b/>
            <w:bCs/>
            <w:noProof/>
          </w:rPr>
          <w:fldChar w:fldCharType="end"/>
        </w:r>
        <w:r>
          <w:rPr>
            <w:b/>
            <w:bCs/>
          </w:rPr>
          <w:t xml:space="preserve"> | </w:t>
        </w:r>
        <w:r>
          <w:rPr>
            <w:color w:val="7F7F7F" w:themeColor="background1" w:themeShade="7F"/>
            <w:spacing w:val="60"/>
          </w:rPr>
          <w:t>Page</w:t>
        </w:r>
      </w:p>
    </w:sdtContent>
  </w:sdt>
  <w:p w14:paraId="12B21575" w14:textId="77777777" w:rsidR="00473D63" w:rsidRDefault="00473D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B504E" w14:textId="77777777" w:rsidR="00473D63" w:rsidRDefault="00473D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CD294" w14:textId="77777777" w:rsidR="006A110D" w:rsidRDefault="006A110D" w:rsidP="00473D63">
      <w:r>
        <w:separator/>
      </w:r>
    </w:p>
  </w:footnote>
  <w:footnote w:type="continuationSeparator" w:id="0">
    <w:p w14:paraId="6D238CB1" w14:textId="77777777" w:rsidR="006A110D" w:rsidRDefault="006A110D" w:rsidP="00473D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F43C7" w14:textId="77777777" w:rsidR="00473D63" w:rsidRDefault="00473D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B35F" w14:textId="77777777" w:rsidR="00473D63" w:rsidRDefault="00473D6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03EEC" w14:textId="77777777" w:rsidR="00473D63" w:rsidRDefault="00473D6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52C8"/>
    <w:multiLevelType w:val="hybridMultilevel"/>
    <w:tmpl w:val="62340340"/>
    <w:lvl w:ilvl="0" w:tplc="EB84AB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258002D"/>
    <w:multiLevelType w:val="hybridMultilevel"/>
    <w:tmpl w:val="CECAB3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D4478DA"/>
    <w:multiLevelType w:val="hybridMultilevel"/>
    <w:tmpl w:val="E7DA31BA"/>
    <w:lvl w:ilvl="0" w:tplc="7AA0ED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DE"/>
    <w:rsid w:val="00021195"/>
    <w:rsid w:val="00021DBE"/>
    <w:rsid w:val="000552A4"/>
    <w:rsid w:val="000561BA"/>
    <w:rsid w:val="00073B59"/>
    <w:rsid w:val="0007639A"/>
    <w:rsid w:val="00095086"/>
    <w:rsid w:val="00096CFB"/>
    <w:rsid w:val="000B3794"/>
    <w:rsid w:val="000C6F95"/>
    <w:rsid w:val="000F0C83"/>
    <w:rsid w:val="001069FB"/>
    <w:rsid w:val="00110310"/>
    <w:rsid w:val="00111F44"/>
    <w:rsid w:val="001219E0"/>
    <w:rsid w:val="00133CC2"/>
    <w:rsid w:val="0013465C"/>
    <w:rsid w:val="00137530"/>
    <w:rsid w:val="00140BFE"/>
    <w:rsid w:val="001756AB"/>
    <w:rsid w:val="00175E5D"/>
    <w:rsid w:val="001A46D1"/>
    <w:rsid w:val="001A48D2"/>
    <w:rsid w:val="001B02DE"/>
    <w:rsid w:val="001C30A5"/>
    <w:rsid w:val="001C3B6A"/>
    <w:rsid w:val="001C50C4"/>
    <w:rsid w:val="001D0C6D"/>
    <w:rsid w:val="001D652B"/>
    <w:rsid w:val="001F7A84"/>
    <w:rsid w:val="00207A56"/>
    <w:rsid w:val="00210B45"/>
    <w:rsid w:val="00223865"/>
    <w:rsid w:val="00224E37"/>
    <w:rsid w:val="0022610D"/>
    <w:rsid w:val="00231EC6"/>
    <w:rsid w:val="002465F8"/>
    <w:rsid w:val="00261E69"/>
    <w:rsid w:val="00274495"/>
    <w:rsid w:val="00280D67"/>
    <w:rsid w:val="0028532A"/>
    <w:rsid w:val="00287854"/>
    <w:rsid w:val="002A4EE4"/>
    <w:rsid w:val="002B245E"/>
    <w:rsid w:val="002B35DA"/>
    <w:rsid w:val="002B5662"/>
    <w:rsid w:val="002C0414"/>
    <w:rsid w:val="002F17C7"/>
    <w:rsid w:val="002F372D"/>
    <w:rsid w:val="00303CF8"/>
    <w:rsid w:val="00317FF5"/>
    <w:rsid w:val="00325B42"/>
    <w:rsid w:val="003444C7"/>
    <w:rsid w:val="00351BF8"/>
    <w:rsid w:val="00353084"/>
    <w:rsid w:val="00355DC7"/>
    <w:rsid w:val="0037072A"/>
    <w:rsid w:val="00385F3B"/>
    <w:rsid w:val="003A255A"/>
    <w:rsid w:val="003B7598"/>
    <w:rsid w:val="003D583A"/>
    <w:rsid w:val="003E2EA1"/>
    <w:rsid w:val="003E3395"/>
    <w:rsid w:val="003E4871"/>
    <w:rsid w:val="00407556"/>
    <w:rsid w:val="00412B27"/>
    <w:rsid w:val="00432BAD"/>
    <w:rsid w:val="00440825"/>
    <w:rsid w:val="00447571"/>
    <w:rsid w:val="00450E63"/>
    <w:rsid w:val="00451024"/>
    <w:rsid w:val="00461643"/>
    <w:rsid w:val="00472955"/>
    <w:rsid w:val="0047398E"/>
    <w:rsid w:val="00473D63"/>
    <w:rsid w:val="004845BD"/>
    <w:rsid w:val="00490866"/>
    <w:rsid w:val="0049106C"/>
    <w:rsid w:val="0049305A"/>
    <w:rsid w:val="004C177A"/>
    <w:rsid w:val="004C704C"/>
    <w:rsid w:val="004D3EB5"/>
    <w:rsid w:val="004D43D2"/>
    <w:rsid w:val="004E5EFF"/>
    <w:rsid w:val="00505B1D"/>
    <w:rsid w:val="00506937"/>
    <w:rsid w:val="00521E25"/>
    <w:rsid w:val="00526B87"/>
    <w:rsid w:val="0053477D"/>
    <w:rsid w:val="00537131"/>
    <w:rsid w:val="00563417"/>
    <w:rsid w:val="0056783F"/>
    <w:rsid w:val="00571D52"/>
    <w:rsid w:val="00594128"/>
    <w:rsid w:val="005966AB"/>
    <w:rsid w:val="005A468E"/>
    <w:rsid w:val="005B5BA9"/>
    <w:rsid w:val="005B6477"/>
    <w:rsid w:val="005C5079"/>
    <w:rsid w:val="005D1914"/>
    <w:rsid w:val="005D2C08"/>
    <w:rsid w:val="005D374C"/>
    <w:rsid w:val="005E6F10"/>
    <w:rsid w:val="005E78FA"/>
    <w:rsid w:val="005F1FE9"/>
    <w:rsid w:val="005F3AE2"/>
    <w:rsid w:val="005F7031"/>
    <w:rsid w:val="00615F10"/>
    <w:rsid w:val="00630A22"/>
    <w:rsid w:val="00632E58"/>
    <w:rsid w:val="00664489"/>
    <w:rsid w:val="0068591D"/>
    <w:rsid w:val="006904F7"/>
    <w:rsid w:val="00695B96"/>
    <w:rsid w:val="006A110D"/>
    <w:rsid w:val="006A1204"/>
    <w:rsid w:val="006A363A"/>
    <w:rsid w:val="006B745E"/>
    <w:rsid w:val="006B7EE3"/>
    <w:rsid w:val="006C50E4"/>
    <w:rsid w:val="006C59C5"/>
    <w:rsid w:val="006E0D63"/>
    <w:rsid w:val="006E2767"/>
    <w:rsid w:val="006E5148"/>
    <w:rsid w:val="006E559D"/>
    <w:rsid w:val="006F146C"/>
    <w:rsid w:val="006F6B26"/>
    <w:rsid w:val="007229D0"/>
    <w:rsid w:val="00727746"/>
    <w:rsid w:val="00730055"/>
    <w:rsid w:val="00730CFA"/>
    <w:rsid w:val="0073590A"/>
    <w:rsid w:val="00751CD1"/>
    <w:rsid w:val="00772341"/>
    <w:rsid w:val="00777D99"/>
    <w:rsid w:val="00782457"/>
    <w:rsid w:val="007839B1"/>
    <w:rsid w:val="00783CE1"/>
    <w:rsid w:val="00792C81"/>
    <w:rsid w:val="007A76B3"/>
    <w:rsid w:val="007B3217"/>
    <w:rsid w:val="007C4D4C"/>
    <w:rsid w:val="007D59F4"/>
    <w:rsid w:val="007D6FFD"/>
    <w:rsid w:val="008100E5"/>
    <w:rsid w:val="00826A98"/>
    <w:rsid w:val="00832270"/>
    <w:rsid w:val="008625D8"/>
    <w:rsid w:val="00863BFD"/>
    <w:rsid w:val="00877D4C"/>
    <w:rsid w:val="0088035B"/>
    <w:rsid w:val="008905E2"/>
    <w:rsid w:val="00892843"/>
    <w:rsid w:val="008A0F20"/>
    <w:rsid w:val="008A2417"/>
    <w:rsid w:val="008A6802"/>
    <w:rsid w:val="008B09AE"/>
    <w:rsid w:val="008C5A93"/>
    <w:rsid w:val="008D302A"/>
    <w:rsid w:val="008F028B"/>
    <w:rsid w:val="00903ECD"/>
    <w:rsid w:val="00910BF6"/>
    <w:rsid w:val="00930AC6"/>
    <w:rsid w:val="009340DA"/>
    <w:rsid w:val="009370B4"/>
    <w:rsid w:val="0094067D"/>
    <w:rsid w:val="00943259"/>
    <w:rsid w:val="00954971"/>
    <w:rsid w:val="00961423"/>
    <w:rsid w:val="009616EC"/>
    <w:rsid w:val="009633CF"/>
    <w:rsid w:val="009879DD"/>
    <w:rsid w:val="00992F69"/>
    <w:rsid w:val="009A3C3F"/>
    <w:rsid w:val="009A3E7D"/>
    <w:rsid w:val="009A703E"/>
    <w:rsid w:val="009B351E"/>
    <w:rsid w:val="009B4376"/>
    <w:rsid w:val="009C1CC4"/>
    <w:rsid w:val="009C3F18"/>
    <w:rsid w:val="009D0E17"/>
    <w:rsid w:val="009D1459"/>
    <w:rsid w:val="009D4321"/>
    <w:rsid w:val="009E1494"/>
    <w:rsid w:val="00A40DE5"/>
    <w:rsid w:val="00A436C4"/>
    <w:rsid w:val="00A439E9"/>
    <w:rsid w:val="00A460FB"/>
    <w:rsid w:val="00A51AD6"/>
    <w:rsid w:val="00A53B86"/>
    <w:rsid w:val="00A77A6E"/>
    <w:rsid w:val="00A85CAB"/>
    <w:rsid w:val="00A9181A"/>
    <w:rsid w:val="00AA4225"/>
    <w:rsid w:val="00AB1030"/>
    <w:rsid w:val="00AB54C7"/>
    <w:rsid w:val="00AC38F6"/>
    <w:rsid w:val="00AD1314"/>
    <w:rsid w:val="00AD24D6"/>
    <w:rsid w:val="00AE67B4"/>
    <w:rsid w:val="00AF7816"/>
    <w:rsid w:val="00B15D43"/>
    <w:rsid w:val="00B3070A"/>
    <w:rsid w:val="00B426DF"/>
    <w:rsid w:val="00B56420"/>
    <w:rsid w:val="00B616F1"/>
    <w:rsid w:val="00BA22AA"/>
    <w:rsid w:val="00BA27ED"/>
    <w:rsid w:val="00BA5786"/>
    <w:rsid w:val="00BB017E"/>
    <w:rsid w:val="00BC61BF"/>
    <w:rsid w:val="00BE36D8"/>
    <w:rsid w:val="00BE40D3"/>
    <w:rsid w:val="00BE4781"/>
    <w:rsid w:val="00BE7C12"/>
    <w:rsid w:val="00C018CC"/>
    <w:rsid w:val="00C15DB0"/>
    <w:rsid w:val="00C27DA5"/>
    <w:rsid w:val="00C56C23"/>
    <w:rsid w:val="00C75A32"/>
    <w:rsid w:val="00C779F9"/>
    <w:rsid w:val="00C8099E"/>
    <w:rsid w:val="00C95042"/>
    <w:rsid w:val="00CA0BAA"/>
    <w:rsid w:val="00CA1B73"/>
    <w:rsid w:val="00CC698F"/>
    <w:rsid w:val="00CC75B2"/>
    <w:rsid w:val="00CD0F2D"/>
    <w:rsid w:val="00CD2C8D"/>
    <w:rsid w:val="00CE278F"/>
    <w:rsid w:val="00CE601F"/>
    <w:rsid w:val="00D14325"/>
    <w:rsid w:val="00D2111D"/>
    <w:rsid w:val="00D35845"/>
    <w:rsid w:val="00D360EC"/>
    <w:rsid w:val="00D50526"/>
    <w:rsid w:val="00D719F2"/>
    <w:rsid w:val="00D77621"/>
    <w:rsid w:val="00D82BD3"/>
    <w:rsid w:val="00D840C6"/>
    <w:rsid w:val="00D84620"/>
    <w:rsid w:val="00D938B6"/>
    <w:rsid w:val="00DC02DE"/>
    <w:rsid w:val="00DE0B3E"/>
    <w:rsid w:val="00DF20EA"/>
    <w:rsid w:val="00DF297D"/>
    <w:rsid w:val="00DF2E6D"/>
    <w:rsid w:val="00DF6BA5"/>
    <w:rsid w:val="00E17982"/>
    <w:rsid w:val="00E22189"/>
    <w:rsid w:val="00E3729C"/>
    <w:rsid w:val="00E4106D"/>
    <w:rsid w:val="00E46DB0"/>
    <w:rsid w:val="00E55B7D"/>
    <w:rsid w:val="00E717E8"/>
    <w:rsid w:val="00EA24E6"/>
    <w:rsid w:val="00EB19F0"/>
    <w:rsid w:val="00EB5F13"/>
    <w:rsid w:val="00EC16AC"/>
    <w:rsid w:val="00EC4D58"/>
    <w:rsid w:val="00ED0294"/>
    <w:rsid w:val="00ED442A"/>
    <w:rsid w:val="00ED502C"/>
    <w:rsid w:val="00ED6001"/>
    <w:rsid w:val="00EF4015"/>
    <w:rsid w:val="00EF4CA7"/>
    <w:rsid w:val="00EF5829"/>
    <w:rsid w:val="00F11B73"/>
    <w:rsid w:val="00F15A01"/>
    <w:rsid w:val="00F31559"/>
    <w:rsid w:val="00F44105"/>
    <w:rsid w:val="00F67FF0"/>
    <w:rsid w:val="00F76C33"/>
    <w:rsid w:val="00F76FF3"/>
    <w:rsid w:val="00F82CD4"/>
    <w:rsid w:val="00F83D60"/>
    <w:rsid w:val="00F913E4"/>
    <w:rsid w:val="00F91A20"/>
    <w:rsid w:val="00F9337D"/>
    <w:rsid w:val="00FA682F"/>
    <w:rsid w:val="00FA7289"/>
    <w:rsid w:val="00FD0552"/>
    <w:rsid w:val="00FD308D"/>
    <w:rsid w:val="00FD37CE"/>
    <w:rsid w:val="00FE0832"/>
    <w:rsid w:val="00FE14A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EC58F6E"/>
  <w15:chartTrackingRefBased/>
  <w15:docId w15:val="{8D66B9CB-55BF-4D60-811A-D2B12A74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2D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D63"/>
    <w:pPr>
      <w:tabs>
        <w:tab w:val="center" w:pos="4513"/>
        <w:tab w:val="right" w:pos="9026"/>
      </w:tabs>
    </w:pPr>
  </w:style>
  <w:style w:type="character" w:customStyle="1" w:styleId="HeaderChar">
    <w:name w:val="Header Char"/>
    <w:basedOn w:val="DefaultParagraphFont"/>
    <w:link w:val="Header"/>
    <w:uiPriority w:val="99"/>
    <w:rsid w:val="00473D6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73D63"/>
    <w:pPr>
      <w:tabs>
        <w:tab w:val="center" w:pos="4513"/>
        <w:tab w:val="right" w:pos="9026"/>
      </w:tabs>
    </w:pPr>
  </w:style>
  <w:style w:type="character" w:customStyle="1" w:styleId="FooterChar">
    <w:name w:val="Footer Char"/>
    <w:basedOn w:val="DefaultParagraphFont"/>
    <w:link w:val="Footer"/>
    <w:uiPriority w:val="99"/>
    <w:rsid w:val="00473D63"/>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C75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2.jpg@01D0409E.93246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280F4F1-5DE1-43FE-BFED-42A280E91B9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E2A4F384D8044791DE90BD2BE6158E" ma:contentTypeVersion="14" ma:contentTypeDescription="Create a new document." ma:contentTypeScope="" ma:versionID="7ef8ee0250760003d70c66b855a29015">
  <xsd:schema xmlns:xsd="http://www.w3.org/2001/XMLSchema" xmlns:xs="http://www.w3.org/2001/XMLSchema" xmlns:p="http://schemas.microsoft.com/office/2006/metadata/properties" xmlns:ns3="2b54425a-afa5-4bd8-807b-9d6d889d6989" xmlns:ns4="8e162a6c-5a59-44bd-8a1b-8751108822eb" targetNamespace="http://schemas.microsoft.com/office/2006/metadata/properties" ma:root="true" ma:fieldsID="f4bc4cb2395f40dc13751df40bf3d08c" ns3:_="" ns4:_="">
    <xsd:import namespace="2b54425a-afa5-4bd8-807b-9d6d889d6989"/>
    <xsd:import namespace="8e162a6c-5a59-44bd-8a1b-8751108822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4425a-afa5-4bd8-807b-9d6d889d69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62a6c-5a59-44bd-8a1b-8751108822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e162a6c-5a59-44bd-8a1b-8751108822e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6C43D-1CE1-4C22-AC39-3DF74A238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4425a-afa5-4bd8-807b-9d6d889d6989"/>
    <ds:schemaRef ds:uri="8e162a6c-5a59-44bd-8a1b-8751108822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2CE44-D8A9-487B-90C4-F43263479EB3}">
  <ds:schemaRefs>
    <ds:schemaRef ds:uri="http://schemas.microsoft.com/sharepoint/v3/contenttype/forms"/>
  </ds:schemaRefs>
</ds:datastoreItem>
</file>

<file path=customXml/itemProps3.xml><?xml version="1.0" encoding="utf-8"?>
<ds:datastoreItem xmlns:ds="http://schemas.openxmlformats.org/officeDocument/2006/customXml" ds:itemID="{FAB8721B-9D8B-4DD8-8F7B-D5B9E421CDC1}">
  <ds:schemaRefs>
    <ds:schemaRef ds:uri="http://schemas.microsoft.com/office/2006/metadata/properties"/>
    <ds:schemaRef ds:uri="http://schemas.microsoft.com/office/infopath/2007/PartnerControls"/>
    <ds:schemaRef ds:uri="8e162a6c-5a59-44bd-8a1b-8751108822eb"/>
  </ds:schemaRefs>
</ds:datastoreItem>
</file>

<file path=customXml/itemProps4.xml><?xml version="1.0" encoding="utf-8"?>
<ds:datastoreItem xmlns:ds="http://schemas.openxmlformats.org/officeDocument/2006/customXml" ds:itemID="{E420E279-2BF2-4466-83E1-E2DF164C3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6599</Words>
  <Characters>37616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mabuse</dc:creator>
  <cp:keywords/>
  <dc:description/>
  <cp:lastModifiedBy>Mary Bruce</cp:lastModifiedBy>
  <cp:revision>3</cp:revision>
  <cp:lastPrinted>2023-01-17T08:36:00Z</cp:lastPrinted>
  <dcterms:created xsi:type="dcterms:W3CDTF">2023-01-17T13:38:00Z</dcterms:created>
  <dcterms:modified xsi:type="dcterms:W3CDTF">2023-01-23T12:18:00Z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0x0101006EE2A4F384D8044791DE90BD2BE6158E</vt:lpwstr>
  </property>
</Properties>
</file>