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A4" w:rsidRPr="006F6E2D" w:rsidRDefault="00B72AA4" w:rsidP="006F6E2D">
      <w:pPr>
        <w:tabs>
          <w:tab w:val="left" w:pos="2342"/>
          <w:tab w:val="center" w:pos="4513"/>
        </w:tabs>
        <w:spacing w:line="360" w:lineRule="auto"/>
        <w:jc w:val="center"/>
        <w:outlineLvl w:val="0"/>
        <w:rPr>
          <w:rFonts w:ascii="Arial" w:eastAsia="Times New Roman" w:hAnsi="Arial" w:cs="Arial"/>
          <w:b/>
          <w:noProof/>
          <w:sz w:val="24"/>
          <w:szCs w:val="24"/>
          <w:lang w:eastAsia="en-ZA"/>
        </w:rPr>
      </w:pPr>
      <w:r w:rsidRPr="006F6E2D">
        <w:rPr>
          <w:rFonts w:ascii="Arial" w:eastAsia="Times New Roman" w:hAnsi="Arial" w:cs="Arial"/>
          <w:b/>
          <w:noProof/>
          <w:sz w:val="24"/>
          <w:szCs w:val="24"/>
          <w:lang w:eastAsia="en-ZA"/>
        </w:rPr>
        <w:t>REPUBLIC OF SOUTH AFRICA</w:t>
      </w:r>
    </w:p>
    <w:p w:rsidR="00B72AA4" w:rsidRPr="006F6E2D" w:rsidRDefault="00B72AA4" w:rsidP="006F6E2D">
      <w:pPr>
        <w:tabs>
          <w:tab w:val="left" w:pos="2342"/>
          <w:tab w:val="center" w:pos="4513"/>
        </w:tabs>
        <w:spacing w:line="360" w:lineRule="auto"/>
        <w:jc w:val="center"/>
        <w:outlineLvl w:val="0"/>
        <w:rPr>
          <w:rFonts w:ascii="Arial" w:eastAsia="Times New Roman" w:hAnsi="Arial" w:cs="Arial"/>
          <w:sz w:val="24"/>
          <w:szCs w:val="24"/>
        </w:rPr>
      </w:pPr>
      <w:r w:rsidRPr="006F6E2D">
        <w:rPr>
          <w:rFonts w:ascii="Arial" w:eastAsia="Times New Roman" w:hAnsi="Arial" w:cs="Arial"/>
          <w:noProof/>
          <w:sz w:val="24"/>
          <w:szCs w:val="24"/>
          <w:lang w:val="en-US"/>
        </w:rPr>
        <w:drawing>
          <wp:inline distT="0" distB="0" distL="0" distR="0" wp14:anchorId="5944152E" wp14:editId="23ED5DC1">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B72AA4" w:rsidRPr="006F6E2D" w:rsidRDefault="00B72AA4" w:rsidP="006F6E2D">
      <w:pPr>
        <w:spacing w:line="360" w:lineRule="auto"/>
        <w:jc w:val="center"/>
        <w:outlineLvl w:val="0"/>
        <w:rPr>
          <w:rFonts w:ascii="Arial" w:eastAsia="Times New Roman" w:hAnsi="Arial" w:cs="Arial"/>
          <w:b/>
          <w:sz w:val="24"/>
          <w:szCs w:val="24"/>
        </w:rPr>
      </w:pPr>
      <w:r w:rsidRPr="006F6E2D">
        <w:rPr>
          <w:rFonts w:ascii="Arial" w:eastAsia="Times New Roman" w:hAnsi="Arial" w:cs="Arial"/>
          <w:b/>
          <w:sz w:val="24"/>
          <w:szCs w:val="24"/>
        </w:rPr>
        <w:t>IN THE HIGH COURT OF SOUTH AFRICA</w:t>
      </w:r>
    </w:p>
    <w:p w:rsidR="00B72AA4" w:rsidRPr="006F6E2D" w:rsidRDefault="00B72AA4" w:rsidP="006F6E2D">
      <w:pPr>
        <w:spacing w:line="360" w:lineRule="auto"/>
        <w:jc w:val="center"/>
        <w:outlineLvl w:val="0"/>
        <w:rPr>
          <w:rFonts w:ascii="Arial" w:eastAsia="Times New Roman" w:hAnsi="Arial" w:cs="Arial"/>
          <w:b/>
          <w:sz w:val="24"/>
          <w:szCs w:val="24"/>
        </w:rPr>
      </w:pPr>
      <w:r w:rsidRPr="006F6E2D">
        <w:rPr>
          <w:rFonts w:ascii="Arial" w:eastAsia="Times New Roman" w:hAnsi="Arial" w:cs="Arial"/>
          <w:b/>
          <w:sz w:val="24"/>
          <w:szCs w:val="24"/>
        </w:rPr>
        <w:t xml:space="preserve">GAUTENG DIVISION, </w:t>
      </w:r>
      <w:r w:rsidR="00ED606D" w:rsidRPr="006F6E2D">
        <w:rPr>
          <w:rFonts w:ascii="Arial" w:eastAsia="Times New Roman" w:hAnsi="Arial" w:cs="Arial"/>
          <w:b/>
          <w:sz w:val="24"/>
          <w:szCs w:val="24"/>
        </w:rPr>
        <w:t>PRETORIA</w:t>
      </w:r>
    </w:p>
    <w:p w:rsidR="00B72AA4" w:rsidRPr="006F6E2D" w:rsidRDefault="00B72AA4" w:rsidP="006F6E2D">
      <w:pPr>
        <w:spacing w:line="360" w:lineRule="auto"/>
        <w:jc w:val="both"/>
        <w:rPr>
          <w:rFonts w:ascii="Arial" w:eastAsia="Times New Roman" w:hAnsi="Arial" w:cs="Arial"/>
          <w:sz w:val="24"/>
          <w:szCs w:val="24"/>
        </w:rPr>
      </w:pPr>
    </w:p>
    <w:p w:rsidR="00B72AA4" w:rsidRPr="006F6E2D" w:rsidRDefault="006F6E2D" w:rsidP="006F6E2D">
      <w:pPr>
        <w:tabs>
          <w:tab w:val="right" w:pos="9029"/>
        </w:tabs>
        <w:spacing w:line="360" w:lineRule="auto"/>
        <w:jc w:val="both"/>
        <w:rPr>
          <w:rFonts w:ascii="Arial" w:eastAsia="Times New Roman" w:hAnsi="Arial" w:cs="Arial"/>
          <w:bCs/>
          <w:sz w:val="24"/>
          <w:szCs w:val="24"/>
        </w:rPr>
      </w:pPr>
      <w:r w:rsidRPr="006F6E2D">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43278FF" wp14:editId="4C1EDC7D">
                <wp:simplePos x="0" y="0"/>
                <wp:positionH relativeFrom="margin">
                  <wp:align>left</wp:align>
                </wp:positionH>
                <wp:positionV relativeFrom="paragraph">
                  <wp:posOffset>5853</wp:posOffset>
                </wp:positionV>
                <wp:extent cx="3041015" cy="1129085"/>
                <wp:effectExtent l="0" t="0" r="260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129085"/>
                        </a:xfrm>
                        <a:prstGeom prst="rect">
                          <a:avLst/>
                        </a:prstGeom>
                        <a:solidFill>
                          <a:srgbClr val="FFFFFF"/>
                        </a:solidFill>
                        <a:ln w="9525">
                          <a:solidFill>
                            <a:srgbClr val="000000"/>
                          </a:solidFill>
                          <a:miter lim="800000"/>
                          <a:headEnd/>
                          <a:tailEnd/>
                        </a:ln>
                      </wps:spPr>
                      <wps:txbx>
                        <w:txbxContent>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(1)</w:t>
                            </w:r>
                            <w:r w:rsidRPr="006F6E2D">
                              <w:rPr>
                                <w:rFonts w:ascii="Arial" w:hAnsi="Arial" w:cs="Arial"/>
                                <w:sz w:val="16"/>
                                <w:szCs w:val="16"/>
                              </w:rPr>
                              <w:tab/>
                            </w:r>
                            <w:r w:rsidR="003816F6" w:rsidRPr="006F6E2D">
                              <w:rPr>
                                <w:rFonts w:ascii="Arial" w:hAnsi="Arial" w:cs="Arial"/>
                                <w:sz w:val="16"/>
                                <w:szCs w:val="16"/>
                              </w:rPr>
                              <w:t>REPORTABLE: NO</w:t>
                            </w:r>
                          </w:p>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(2)</w:t>
                            </w:r>
                            <w:r w:rsidRPr="006F6E2D">
                              <w:rPr>
                                <w:rFonts w:ascii="Arial" w:hAnsi="Arial" w:cs="Arial"/>
                                <w:sz w:val="16"/>
                                <w:szCs w:val="16"/>
                              </w:rPr>
                              <w:tab/>
                            </w:r>
                            <w:r w:rsidR="003816F6" w:rsidRPr="006F6E2D">
                              <w:rPr>
                                <w:rFonts w:ascii="Arial" w:hAnsi="Arial" w:cs="Arial"/>
                                <w:sz w:val="16"/>
                                <w:szCs w:val="16"/>
                              </w:rPr>
                              <w:t>OF INTEREST TO OTHER JUDGES: NO</w:t>
                            </w:r>
                          </w:p>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(3)</w:t>
                            </w:r>
                            <w:r w:rsidRPr="006F6E2D">
                              <w:rPr>
                                <w:rFonts w:ascii="Arial" w:hAnsi="Arial" w:cs="Arial"/>
                                <w:sz w:val="16"/>
                                <w:szCs w:val="16"/>
                              </w:rPr>
                              <w:tab/>
                            </w:r>
                            <w:r w:rsidR="003816F6" w:rsidRPr="006F6E2D">
                              <w:rPr>
                                <w:rFonts w:ascii="Arial" w:hAnsi="Arial" w:cs="Arial"/>
                                <w:sz w:val="16"/>
                                <w:szCs w:val="16"/>
                              </w:rPr>
                              <w:t>REVISED: NO</w:t>
                            </w:r>
                          </w:p>
                          <w:p w:rsidR="003816F6" w:rsidRPr="006F6E2D" w:rsidRDefault="003816F6" w:rsidP="006F6E2D">
                            <w:pPr>
                              <w:spacing w:line="240" w:lineRule="auto"/>
                              <w:rPr>
                                <w:rFonts w:ascii="Arial" w:hAnsi="Arial" w:cs="Arial"/>
                                <w:b/>
                                <w:sz w:val="16"/>
                                <w:szCs w:val="16"/>
                              </w:rPr>
                            </w:pPr>
                          </w:p>
                          <w:p w:rsidR="003816F6" w:rsidRPr="006F6E2D" w:rsidRDefault="00560C35" w:rsidP="006F6E2D">
                            <w:pPr>
                              <w:spacing w:line="240" w:lineRule="auto"/>
                              <w:rPr>
                                <w:rFonts w:ascii="Arial" w:hAnsi="Arial" w:cs="Arial"/>
                                <w:b/>
                                <w:sz w:val="16"/>
                                <w:szCs w:val="16"/>
                              </w:rPr>
                            </w:pPr>
                            <w:r>
                              <w:rPr>
                                <w:rFonts w:ascii="Arial" w:hAnsi="Arial" w:cs="Arial"/>
                                <w:b/>
                                <w:sz w:val="16"/>
                                <w:szCs w:val="16"/>
                              </w:rPr>
                              <w:t xml:space="preserve"> 17 March 2023</w:t>
                            </w:r>
                            <w:r w:rsidR="003816F6" w:rsidRPr="006F6E2D">
                              <w:rPr>
                                <w:rFonts w:ascii="Arial" w:hAnsi="Arial" w:cs="Arial"/>
                                <w:b/>
                                <w:sz w:val="16"/>
                                <w:szCs w:val="16"/>
                              </w:rPr>
                              <w:tab/>
                              <w:t>_________________________</w:t>
                            </w:r>
                          </w:p>
                          <w:p w:rsidR="003816F6" w:rsidRPr="006F6E2D" w:rsidRDefault="003816F6" w:rsidP="006F6E2D">
                            <w:pPr>
                              <w:spacing w:line="240" w:lineRule="auto"/>
                              <w:rPr>
                                <w:rFonts w:ascii="Arial" w:hAnsi="Arial" w:cs="Arial"/>
                                <w:sz w:val="16"/>
                                <w:szCs w:val="16"/>
                              </w:rPr>
                            </w:pPr>
                            <w:r w:rsidRPr="006F6E2D">
                              <w:rPr>
                                <w:rFonts w:ascii="Arial" w:hAnsi="Arial" w:cs="Arial"/>
                                <w:sz w:val="16"/>
                                <w:szCs w:val="16"/>
                              </w:rPr>
                              <w:t>DATE</w:t>
                            </w:r>
                            <w:r w:rsidRPr="006F6E2D">
                              <w:rPr>
                                <w:rFonts w:ascii="Arial" w:hAnsi="Arial" w:cs="Arial"/>
                                <w:sz w:val="16"/>
                                <w:szCs w:val="16"/>
                              </w:rPr>
                              <w:tab/>
                            </w:r>
                            <w:r w:rsidRPr="006F6E2D">
                              <w:rPr>
                                <w:rFonts w:ascii="Arial" w:hAnsi="Arial" w:cs="Arial"/>
                                <w:sz w:val="16"/>
                                <w:szCs w:val="16"/>
                              </w:rPr>
                              <w:tab/>
                            </w:r>
                            <w:r w:rsidRPr="006F6E2D">
                              <w:rPr>
                                <w:rFonts w:ascii="Arial" w:hAnsi="Arial" w:cs="Arial"/>
                                <w:sz w:val="16"/>
                                <w:szCs w:val="16"/>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78FF" id="_x0000_t202" coordsize="21600,21600" o:spt="202" path="m,l,21600r21600,l21600,xe">
                <v:stroke joinstyle="miter"/>
                <v:path gradientshapeok="t" o:connecttype="rect"/>
              </v:shapetype>
              <v:shape id="Text Box 2" o:spid="_x0000_s1026" type="#_x0000_t202" style="position:absolute;left:0;text-align:left;margin-left:0;margin-top:.45pt;width:239.45pt;height:8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PiKgIAAFE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">
                <v:textbox>
                  <w:txbxContent>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(1)</w:t>
                      </w:r>
                      <w:r w:rsidRPr="006F6E2D">
                        <w:rPr>
                          <w:rFonts w:ascii="Arial" w:hAnsi="Arial" w:cs="Arial"/>
                          <w:sz w:val="16"/>
                          <w:szCs w:val="16"/>
                        </w:rPr>
                        <w:tab/>
                      </w:r>
                      <w:r w:rsidR="003816F6" w:rsidRPr="006F6E2D">
                        <w:rPr>
                          <w:rFonts w:ascii="Arial" w:hAnsi="Arial" w:cs="Arial"/>
                          <w:sz w:val="16"/>
                          <w:szCs w:val="16"/>
                        </w:rPr>
                        <w:t>REPORTABLE: NO</w:t>
                      </w:r>
                    </w:p>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(2)</w:t>
                      </w:r>
                      <w:r w:rsidRPr="006F6E2D">
                        <w:rPr>
                          <w:rFonts w:ascii="Arial" w:hAnsi="Arial" w:cs="Arial"/>
                          <w:sz w:val="16"/>
                          <w:szCs w:val="16"/>
                        </w:rPr>
                        <w:tab/>
                      </w:r>
                      <w:r w:rsidR="003816F6" w:rsidRPr="006F6E2D">
                        <w:rPr>
                          <w:rFonts w:ascii="Arial" w:hAnsi="Arial" w:cs="Arial"/>
                          <w:sz w:val="16"/>
                          <w:szCs w:val="16"/>
                        </w:rPr>
                        <w:t>OF INTEREST TO OTHER JUDGES: NO</w:t>
                      </w:r>
                    </w:p>
                    <w:p w:rsidR="003816F6" w:rsidRPr="006F6E2D" w:rsidRDefault="00C0573E" w:rsidP="00C0573E">
                      <w:pPr>
                        <w:tabs>
                          <w:tab w:val="left" w:pos="900"/>
                        </w:tabs>
                        <w:spacing w:after="0" w:line="240" w:lineRule="auto"/>
                        <w:ind w:left="900" w:hanging="720"/>
                        <w:rPr>
                          <w:rFonts w:ascii="Arial" w:hAnsi="Arial" w:cs="Arial"/>
                          <w:sz w:val="16"/>
                          <w:szCs w:val="16"/>
                        </w:rPr>
                      </w:pPr>
                      <w:r w:rsidRPr="006F6E2D">
                        <w:rPr>
                          <w:rFonts w:ascii="Arial" w:hAnsi="Arial" w:cs="Arial"/>
                          <w:sz w:val="16"/>
                          <w:szCs w:val="16"/>
                        </w:rPr>
                        <w:t>(3)</w:t>
                      </w:r>
                      <w:r w:rsidRPr="006F6E2D">
                        <w:rPr>
                          <w:rFonts w:ascii="Arial" w:hAnsi="Arial" w:cs="Arial"/>
                          <w:sz w:val="16"/>
                          <w:szCs w:val="16"/>
                        </w:rPr>
                        <w:tab/>
                      </w:r>
                      <w:r w:rsidR="003816F6" w:rsidRPr="006F6E2D">
                        <w:rPr>
                          <w:rFonts w:ascii="Arial" w:hAnsi="Arial" w:cs="Arial"/>
                          <w:sz w:val="16"/>
                          <w:szCs w:val="16"/>
                        </w:rPr>
                        <w:t>REVISED: NO</w:t>
                      </w:r>
                    </w:p>
                    <w:p w:rsidR="003816F6" w:rsidRPr="006F6E2D" w:rsidRDefault="003816F6" w:rsidP="006F6E2D">
                      <w:pPr>
                        <w:spacing w:line="240" w:lineRule="auto"/>
                        <w:rPr>
                          <w:rFonts w:ascii="Arial" w:hAnsi="Arial" w:cs="Arial"/>
                          <w:b/>
                          <w:sz w:val="16"/>
                          <w:szCs w:val="16"/>
                        </w:rPr>
                      </w:pPr>
                    </w:p>
                    <w:p w:rsidR="003816F6" w:rsidRPr="006F6E2D" w:rsidRDefault="00560C35" w:rsidP="006F6E2D">
                      <w:pPr>
                        <w:spacing w:line="240" w:lineRule="auto"/>
                        <w:rPr>
                          <w:rFonts w:ascii="Arial" w:hAnsi="Arial" w:cs="Arial"/>
                          <w:b/>
                          <w:sz w:val="16"/>
                          <w:szCs w:val="16"/>
                        </w:rPr>
                      </w:pPr>
                      <w:r>
                        <w:rPr>
                          <w:rFonts w:ascii="Arial" w:hAnsi="Arial" w:cs="Arial"/>
                          <w:b/>
                          <w:sz w:val="16"/>
                          <w:szCs w:val="16"/>
                        </w:rPr>
                        <w:t xml:space="preserve"> 17 March 2023</w:t>
                      </w:r>
                      <w:r w:rsidR="003816F6" w:rsidRPr="006F6E2D">
                        <w:rPr>
                          <w:rFonts w:ascii="Arial" w:hAnsi="Arial" w:cs="Arial"/>
                          <w:b/>
                          <w:sz w:val="16"/>
                          <w:szCs w:val="16"/>
                        </w:rPr>
                        <w:tab/>
                        <w:t>_________________________</w:t>
                      </w:r>
                    </w:p>
                    <w:p w:rsidR="003816F6" w:rsidRPr="006F6E2D" w:rsidRDefault="003816F6" w:rsidP="006F6E2D">
                      <w:pPr>
                        <w:spacing w:line="240" w:lineRule="auto"/>
                        <w:rPr>
                          <w:rFonts w:ascii="Arial" w:hAnsi="Arial" w:cs="Arial"/>
                          <w:sz w:val="16"/>
                          <w:szCs w:val="16"/>
                        </w:rPr>
                      </w:pPr>
                      <w:r w:rsidRPr="006F6E2D">
                        <w:rPr>
                          <w:rFonts w:ascii="Arial" w:hAnsi="Arial" w:cs="Arial"/>
                          <w:sz w:val="16"/>
                          <w:szCs w:val="16"/>
                        </w:rPr>
                        <w:t>DATE</w:t>
                      </w:r>
                      <w:r w:rsidRPr="006F6E2D">
                        <w:rPr>
                          <w:rFonts w:ascii="Arial" w:hAnsi="Arial" w:cs="Arial"/>
                          <w:sz w:val="16"/>
                          <w:szCs w:val="16"/>
                        </w:rPr>
                        <w:tab/>
                      </w:r>
                      <w:r w:rsidRPr="006F6E2D">
                        <w:rPr>
                          <w:rFonts w:ascii="Arial" w:hAnsi="Arial" w:cs="Arial"/>
                          <w:sz w:val="16"/>
                          <w:szCs w:val="16"/>
                        </w:rPr>
                        <w:tab/>
                      </w:r>
                      <w:r w:rsidRPr="006F6E2D">
                        <w:rPr>
                          <w:rFonts w:ascii="Arial" w:hAnsi="Arial" w:cs="Arial"/>
                          <w:sz w:val="16"/>
                          <w:szCs w:val="16"/>
                        </w:rPr>
                        <w:tab/>
                        <w:t>SIGNATURE</w:t>
                      </w:r>
                    </w:p>
                  </w:txbxContent>
                </v:textbox>
                <w10:wrap anchorx="margin"/>
              </v:shape>
            </w:pict>
          </mc:Fallback>
        </mc:AlternateContent>
      </w:r>
      <w:r w:rsidR="00B72AA4" w:rsidRPr="006F6E2D">
        <w:rPr>
          <w:rFonts w:ascii="Arial" w:eastAsia="Times New Roman" w:hAnsi="Arial" w:cs="Arial"/>
          <w:sz w:val="24"/>
          <w:szCs w:val="24"/>
        </w:rPr>
        <w:tab/>
      </w:r>
      <w:r w:rsidR="00B72AA4" w:rsidRPr="006F6E2D">
        <w:rPr>
          <w:rFonts w:ascii="Arial" w:eastAsia="Times New Roman" w:hAnsi="Arial" w:cs="Arial"/>
          <w:bCs/>
          <w:sz w:val="24"/>
          <w:szCs w:val="24"/>
        </w:rPr>
        <w:t>Case Number: 18770/2022</w:t>
      </w:r>
    </w:p>
    <w:p w:rsidR="00B72AA4" w:rsidRPr="006F6E2D" w:rsidRDefault="00B72AA4" w:rsidP="006F6E2D">
      <w:pPr>
        <w:tabs>
          <w:tab w:val="right" w:pos="9029"/>
        </w:tabs>
        <w:spacing w:line="360" w:lineRule="auto"/>
        <w:jc w:val="both"/>
        <w:rPr>
          <w:rFonts w:ascii="Arial" w:eastAsia="Times New Roman" w:hAnsi="Arial" w:cs="Arial"/>
          <w:sz w:val="24"/>
          <w:szCs w:val="24"/>
        </w:rPr>
      </w:pPr>
    </w:p>
    <w:p w:rsidR="00B72AA4" w:rsidRPr="006F6E2D" w:rsidRDefault="00B72AA4" w:rsidP="006F6E2D">
      <w:pPr>
        <w:tabs>
          <w:tab w:val="left" w:pos="8998"/>
        </w:tabs>
        <w:spacing w:line="360" w:lineRule="auto"/>
        <w:jc w:val="both"/>
        <w:rPr>
          <w:rFonts w:ascii="Arial" w:eastAsia="Times New Roman" w:hAnsi="Arial" w:cs="Arial"/>
          <w:sz w:val="24"/>
          <w:szCs w:val="24"/>
        </w:rPr>
      </w:pPr>
    </w:p>
    <w:p w:rsidR="00B72AA4" w:rsidRPr="006F6E2D" w:rsidRDefault="006F6E2D" w:rsidP="006F6E2D">
      <w:pPr>
        <w:tabs>
          <w:tab w:val="left" w:pos="8998"/>
        </w:tabs>
        <w:spacing w:line="360" w:lineRule="auto"/>
        <w:jc w:val="both"/>
        <w:rPr>
          <w:rFonts w:ascii="Arial" w:eastAsia="Times New Roman" w:hAnsi="Arial" w:cs="Arial"/>
          <w:b/>
          <w:sz w:val="24"/>
          <w:szCs w:val="24"/>
        </w:rPr>
      </w:pPr>
      <w:r w:rsidRPr="006F6E2D">
        <w:rPr>
          <w:rFonts w:ascii="Arial" w:eastAsia="Times New Roman" w:hAnsi="Arial" w:cs="Arial"/>
          <w:sz w:val="24"/>
          <w:szCs w:val="24"/>
        </w:rPr>
        <w:t xml:space="preserve"> </w:t>
      </w:r>
    </w:p>
    <w:p w:rsidR="00B72AA4" w:rsidRPr="006F6E2D" w:rsidRDefault="00B72AA4"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sz w:val="24"/>
          <w:szCs w:val="24"/>
        </w:rPr>
        <w:t>In the matter between:</w:t>
      </w:r>
    </w:p>
    <w:p w:rsidR="00B72AA4" w:rsidRPr="006F6E2D" w:rsidRDefault="00B72AA4"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b/>
          <w:kern w:val="28"/>
          <w:sz w:val="24"/>
          <w:szCs w:val="24"/>
          <w:lang w:eastAsia="en-GB"/>
        </w:rPr>
        <w:t>VODACOM (PTY) LTD</w:t>
      </w:r>
      <w:r w:rsidRPr="006F6E2D">
        <w:rPr>
          <w:rFonts w:ascii="Arial" w:eastAsia="Times New Roman" w:hAnsi="Arial" w:cs="Arial"/>
          <w:b/>
          <w:sz w:val="24"/>
          <w:szCs w:val="24"/>
        </w:rPr>
        <w:tab/>
      </w:r>
      <w:r w:rsidRPr="006F6E2D">
        <w:rPr>
          <w:rFonts w:ascii="Arial" w:eastAsia="Times New Roman" w:hAnsi="Arial" w:cs="Arial"/>
          <w:sz w:val="24"/>
          <w:szCs w:val="24"/>
        </w:rPr>
        <w:t>Applicant</w:t>
      </w:r>
    </w:p>
    <w:p w:rsidR="00B72AA4" w:rsidRPr="006F6E2D" w:rsidRDefault="00ED606D"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sz w:val="24"/>
          <w:szCs w:val="24"/>
        </w:rPr>
        <w:t>and</w:t>
      </w:r>
    </w:p>
    <w:p w:rsidR="00B72AA4" w:rsidRPr="006F6E2D" w:rsidRDefault="00ED606D" w:rsidP="006F6E2D">
      <w:pPr>
        <w:tabs>
          <w:tab w:val="right" w:pos="9029"/>
        </w:tabs>
        <w:spacing w:line="360" w:lineRule="auto"/>
        <w:contextualSpacing/>
        <w:jc w:val="both"/>
        <w:rPr>
          <w:rFonts w:ascii="Arial" w:hAnsi="Arial" w:cs="Arial"/>
          <w:b/>
          <w:sz w:val="24"/>
          <w:szCs w:val="24"/>
        </w:rPr>
      </w:pPr>
      <w:r w:rsidRPr="006F6E2D">
        <w:rPr>
          <w:rFonts w:ascii="Arial" w:hAnsi="Arial" w:cs="Arial"/>
          <w:b/>
          <w:sz w:val="24"/>
          <w:szCs w:val="24"/>
        </w:rPr>
        <w:t>NATIONAL COMMISSIONER,</w:t>
      </w:r>
    </w:p>
    <w:p w:rsidR="00B72AA4" w:rsidRPr="006F6E2D" w:rsidRDefault="00B72AA4" w:rsidP="006F6E2D">
      <w:pPr>
        <w:tabs>
          <w:tab w:val="right" w:pos="9029"/>
        </w:tabs>
        <w:spacing w:line="360" w:lineRule="auto"/>
        <w:contextualSpacing/>
        <w:jc w:val="both"/>
        <w:rPr>
          <w:rFonts w:ascii="Arial" w:eastAsia="Times New Roman" w:hAnsi="Arial" w:cs="Arial"/>
          <w:sz w:val="24"/>
          <w:szCs w:val="24"/>
        </w:rPr>
      </w:pPr>
      <w:r w:rsidRPr="006F6E2D">
        <w:rPr>
          <w:rFonts w:ascii="Arial" w:hAnsi="Arial" w:cs="Arial"/>
          <w:b/>
          <w:sz w:val="24"/>
          <w:szCs w:val="24"/>
        </w:rPr>
        <w:t>SOUTH AFRICAN POLICE SERVICE</w:t>
      </w:r>
      <w:r w:rsidRPr="006F6E2D">
        <w:rPr>
          <w:rFonts w:ascii="Arial" w:hAnsi="Arial" w:cs="Arial"/>
          <w:b/>
          <w:sz w:val="24"/>
          <w:szCs w:val="24"/>
        </w:rPr>
        <w:tab/>
      </w:r>
      <w:r w:rsidR="00ED606D" w:rsidRPr="006F6E2D">
        <w:rPr>
          <w:rFonts w:ascii="Arial" w:hAnsi="Arial" w:cs="Arial"/>
          <w:sz w:val="24"/>
          <w:szCs w:val="24"/>
        </w:rPr>
        <w:t xml:space="preserve">First </w:t>
      </w:r>
      <w:r w:rsidRPr="006F6E2D">
        <w:rPr>
          <w:rFonts w:ascii="Arial" w:eastAsia="Times New Roman" w:hAnsi="Arial" w:cs="Arial"/>
          <w:sz w:val="24"/>
          <w:szCs w:val="24"/>
        </w:rPr>
        <w:t>Respondent</w:t>
      </w:r>
    </w:p>
    <w:p w:rsidR="00ED606D" w:rsidRPr="006F6E2D" w:rsidRDefault="00ED606D"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b/>
          <w:sz w:val="24"/>
          <w:szCs w:val="24"/>
        </w:rPr>
        <w:t>MOBILE TELEPHONE NETWORK (PTY) LTD</w:t>
      </w:r>
      <w:r w:rsidRPr="006F6E2D">
        <w:rPr>
          <w:rFonts w:ascii="Arial" w:eastAsia="Times New Roman" w:hAnsi="Arial" w:cs="Arial"/>
          <w:sz w:val="24"/>
          <w:szCs w:val="24"/>
        </w:rPr>
        <w:tab/>
        <w:t>Second Respondent</w:t>
      </w:r>
    </w:p>
    <w:p w:rsidR="00ED606D" w:rsidRPr="006F6E2D" w:rsidRDefault="00ED606D"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b/>
          <w:sz w:val="24"/>
          <w:szCs w:val="24"/>
        </w:rPr>
        <w:t>TELKOM SOC LTD</w:t>
      </w:r>
      <w:r w:rsidRPr="006F6E2D">
        <w:rPr>
          <w:rFonts w:ascii="Arial" w:eastAsia="Times New Roman" w:hAnsi="Arial" w:cs="Arial"/>
          <w:sz w:val="24"/>
          <w:szCs w:val="24"/>
        </w:rPr>
        <w:tab/>
        <w:t>Third Respondent</w:t>
      </w:r>
    </w:p>
    <w:p w:rsidR="00ED606D" w:rsidRPr="006F6E2D" w:rsidRDefault="00ED606D"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b/>
          <w:sz w:val="24"/>
          <w:szCs w:val="24"/>
        </w:rPr>
        <w:t>CELL C (PTY) LTD</w:t>
      </w:r>
      <w:r w:rsidRPr="006F6E2D">
        <w:rPr>
          <w:rFonts w:ascii="Arial" w:eastAsia="Times New Roman" w:hAnsi="Arial" w:cs="Arial"/>
          <w:sz w:val="24"/>
          <w:szCs w:val="24"/>
        </w:rPr>
        <w:tab/>
        <w:t>Fourth Respondent</w:t>
      </w:r>
    </w:p>
    <w:p w:rsidR="00ED606D" w:rsidRPr="006F6E2D" w:rsidRDefault="00ED606D" w:rsidP="006F6E2D">
      <w:pPr>
        <w:tabs>
          <w:tab w:val="right" w:pos="9029"/>
        </w:tabs>
        <w:spacing w:line="360" w:lineRule="auto"/>
        <w:contextualSpacing/>
        <w:jc w:val="both"/>
        <w:rPr>
          <w:rFonts w:ascii="Arial" w:eastAsia="Times New Roman" w:hAnsi="Arial" w:cs="Arial"/>
          <w:sz w:val="24"/>
          <w:szCs w:val="24"/>
        </w:rPr>
      </w:pPr>
      <w:r w:rsidRPr="006F6E2D">
        <w:rPr>
          <w:rFonts w:ascii="Arial" w:eastAsia="Times New Roman" w:hAnsi="Arial" w:cs="Arial"/>
          <w:b/>
          <w:sz w:val="24"/>
          <w:szCs w:val="24"/>
        </w:rPr>
        <w:t>MINISTER OF FINANCE</w:t>
      </w:r>
      <w:r w:rsidRPr="006F6E2D">
        <w:rPr>
          <w:rFonts w:ascii="Arial" w:eastAsia="Times New Roman" w:hAnsi="Arial" w:cs="Arial"/>
          <w:sz w:val="24"/>
          <w:szCs w:val="24"/>
        </w:rPr>
        <w:tab/>
        <w:t>Fifth Respondent</w:t>
      </w:r>
    </w:p>
    <w:p w:rsidR="00870110" w:rsidRDefault="00B72AA4" w:rsidP="0025476A">
      <w:pPr>
        <w:pStyle w:val="NormalWeb"/>
        <w:spacing w:before="0" w:beforeAutospacing="0" w:after="0" w:afterAutospacing="0"/>
        <w:ind w:left="1440" w:hanging="1440"/>
        <w:jc w:val="both"/>
        <w:rPr>
          <w:rFonts w:ascii="Arial" w:hAnsi="Arial" w:cs="Arial"/>
          <w:sz w:val="20"/>
          <w:szCs w:val="20"/>
        </w:rPr>
      </w:pPr>
      <w:r w:rsidRPr="006F6E2D">
        <w:rPr>
          <w:rFonts w:ascii="Arial" w:hAnsi="Arial" w:cs="Arial"/>
          <w:b/>
          <w:sz w:val="20"/>
          <w:szCs w:val="20"/>
        </w:rPr>
        <w:t xml:space="preserve">Delivered: </w:t>
      </w:r>
      <w:r w:rsidR="006F6E2D" w:rsidRPr="006F6E2D">
        <w:rPr>
          <w:rFonts w:ascii="Arial" w:hAnsi="Arial" w:cs="Arial"/>
          <w:b/>
          <w:sz w:val="20"/>
          <w:szCs w:val="20"/>
        </w:rPr>
        <w:tab/>
      </w:r>
      <w:r w:rsidRPr="006F6E2D">
        <w:rPr>
          <w:rFonts w:ascii="Arial" w:hAnsi="Arial" w:cs="Arial"/>
          <w:sz w:val="20"/>
          <w:szCs w:val="20"/>
        </w:rPr>
        <w:t xml:space="preserve">This judgment was handed down electronically by circulation to the parties' legal representatives by email, and uploaded on the CaseLines electronic platform. The date for hand-down is deemed to be </w:t>
      </w:r>
      <w:r w:rsidR="00560C35" w:rsidRPr="00560C35">
        <w:rPr>
          <w:rFonts w:ascii="Arial" w:hAnsi="Arial" w:cs="Arial"/>
          <w:b/>
          <w:sz w:val="20"/>
          <w:szCs w:val="20"/>
        </w:rPr>
        <w:t>17</w:t>
      </w:r>
      <w:r w:rsidRPr="00560C35">
        <w:rPr>
          <w:rFonts w:ascii="Arial" w:hAnsi="Arial" w:cs="Arial"/>
          <w:b/>
          <w:sz w:val="20"/>
          <w:szCs w:val="20"/>
        </w:rPr>
        <w:t xml:space="preserve"> March 2023</w:t>
      </w:r>
      <w:r w:rsidRPr="006F6E2D">
        <w:rPr>
          <w:rFonts w:ascii="Arial" w:hAnsi="Arial" w:cs="Arial"/>
          <w:sz w:val="20"/>
          <w:szCs w:val="20"/>
        </w:rPr>
        <w:t>.</w:t>
      </w:r>
      <w:r w:rsidR="00870110">
        <w:rPr>
          <w:rFonts w:ascii="Arial" w:hAnsi="Arial" w:cs="Arial"/>
          <w:sz w:val="20"/>
          <w:szCs w:val="20"/>
        </w:rPr>
        <w:t xml:space="preserve">  </w:t>
      </w:r>
    </w:p>
    <w:p w:rsidR="00832C9C" w:rsidRDefault="00870110" w:rsidP="0025476A">
      <w:pPr>
        <w:pStyle w:val="NormalWeb"/>
        <w:spacing w:before="0" w:beforeAutospacing="0" w:after="0" w:afterAutospacing="0" w:line="276" w:lineRule="auto"/>
        <w:ind w:left="1418" w:hanging="1560"/>
        <w:jc w:val="both"/>
        <w:rPr>
          <w:color w:val="0E101A"/>
          <w:sz w:val="22"/>
          <w:szCs w:val="22"/>
        </w:rPr>
      </w:pPr>
      <w:r>
        <w:rPr>
          <w:rStyle w:val="Strong"/>
          <w:color w:val="0E101A"/>
        </w:rPr>
        <w:t>Summary:</w:t>
      </w:r>
      <w:r>
        <w:rPr>
          <w:rStyle w:val="Strong"/>
          <w:color w:val="0E101A"/>
        </w:rPr>
        <w:tab/>
      </w:r>
      <w:r w:rsidRPr="00870110">
        <w:rPr>
          <w:color w:val="0E101A"/>
          <w:sz w:val="22"/>
          <w:szCs w:val="22"/>
        </w:rPr>
        <w:t xml:space="preserve"> Review application in terms of section 217 of the Constitution, PAJA and the legality principle. </w:t>
      </w:r>
      <w:r w:rsidR="005C02CF">
        <w:rPr>
          <w:color w:val="0E101A"/>
          <w:sz w:val="22"/>
          <w:szCs w:val="22"/>
        </w:rPr>
        <w:t>Application to extend the period for filing the application in terms of section 9 of PAJA. The period extended on the groun</w:t>
      </w:r>
      <w:r w:rsidR="0025476A">
        <w:rPr>
          <w:color w:val="0E101A"/>
          <w:sz w:val="22"/>
          <w:szCs w:val="22"/>
        </w:rPr>
        <w:t xml:space="preserve">ds of prospects of success and </w:t>
      </w:r>
      <w:r w:rsidR="005C02CF">
        <w:rPr>
          <w:color w:val="0E101A"/>
          <w:sz w:val="22"/>
          <w:szCs w:val="22"/>
        </w:rPr>
        <w:t xml:space="preserve">the interest of justice.  </w:t>
      </w:r>
    </w:p>
    <w:p w:rsidR="00870110" w:rsidRPr="00870110" w:rsidRDefault="00870110" w:rsidP="0025476A">
      <w:pPr>
        <w:pStyle w:val="NormalWeb"/>
        <w:spacing w:before="0" w:beforeAutospacing="0" w:after="0" w:afterAutospacing="0" w:line="276" w:lineRule="auto"/>
        <w:ind w:left="1418"/>
        <w:jc w:val="both"/>
        <w:rPr>
          <w:color w:val="0E101A"/>
          <w:sz w:val="22"/>
          <w:szCs w:val="22"/>
        </w:rPr>
      </w:pPr>
      <w:r w:rsidRPr="00870110">
        <w:rPr>
          <w:color w:val="0E101A"/>
          <w:sz w:val="22"/>
          <w:szCs w:val="22"/>
        </w:rPr>
        <w:t xml:space="preserve">The Department of Treasury concluded a Master Transversal Agreement with four mobile network service providers. The Transversal Agreement concluded following an open tender process. The agreement was initially concluded between the Treasury Department and each of the service providers. The participating State department was </w:t>
      </w:r>
      <w:r w:rsidRPr="00870110">
        <w:rPr>
          <w:color w:val="0E101A"/>
          <w:sz w:val="22"/>
          <w:szCs w:val="22"/>
        </w:rPr>
        <w:lastRenderedPageBreak/>
        <w:t xml:space="preserve">included later in the agreement once they signed the Participation Agreement. Having signed a Participation Agreement, a participating State department did not have to issue a tender when requiring mobile services from any of the </w:t>
      </w:r>
      <w:r w:rsidR="00832C9C">
        <w:rPr>
          <w:color w:val="0E101A"/>
          <w:sz w:val="22"/>
          <w:szCs w:val="22"/>
        </w:rPr>
        <w:t>four</w:t>
      </w:r>
      <w:r w:rsidRPr="00870110">
        <w:rPr>
          <w:color w:val="0E101A"/>
          <w:sz w:val="22"/>
          <w:szCs w:val="22"/>
        </w:rPr>
        <w:t xml:space="preserve"> service providers. </w:t>
      </w:r>
    </w:p>
    <w:p w:rsidR="00870110" w:rsidRPr="00870110" w:rsidRDefault="00870110" w:rsidP="0025476A">
      <w:pPr>
        <w:pStyle w:val="NormalWeb"/>
        <w:spacing w:before="0" w:beforeAutospacing="0" w:after="0" w:afterAutospacing="0" w:line="276" w:lineRule="auto"/>
        <w:ind w:left="1418" w:firstLine="22"/>
        <w:jc w:val="both"/>
        <w:rPr>
          <w:color w:val="0E101A"/>
          <w:sz w:val="22"/>
          <w:szCs w:val="22"/>
        </w:rPr>
      </w:pPr>
      <w:r w:rsidRPr="00870110">
        <w:rPr>
          <w:color w:val="0E101A"/>
          <w:sz w:val="22"/>
          <w:szCs w:val="22"/>
        </w:rPr>
        <w:t>After signing the Participation Agreement, the South African Police Services invited the four mobile providers to make submissions about, amongst others, their mobile coverage in communities in the country. In considering the submissions of both Vodacom and MTN, the SAPS took into account two incompatible concepts of 'network coverage and network availability' of mobile networks. The SAPS accepted the proposal of MTN and rejected that of Vodacom.</w:t>
      </w:r>
    </w:p>
    <w:p w:rsidR="00870110" w:rsidRPr="00870110" w:rsidRDefault="00870110" w:rsidP="0025476A">
      <w:pPr>
        <w:pStyle w:val="NormalWeb"/>
        <w:spacing w:before="0" w:beforeAutospacing="0" w:after="0" w:afterAutospacing="0" w:line="276" w:lineRule="auto"/>
        <w:ind w:left="1418" w:firstLine="22"/>
        <w:jc w:val="both"/>
        <w:rPr>
          <w:color w:val="0E101A"/>
          <w:sz w:val="22"/>
          <w:szCs w:val="22"/>
        </w:rPr>
      </w:pPr>
      <w:r w:rsidRPr="00870110">
        <w:rPr>
          <w:color w:val="0E101A"/>
          <w:sz w:val="22"/>
          <w:szCs w:val="22"/>
        </w:rPr>
        <w:t>The SAPS and MTN contended that the decision to accept the proposal of MTN was not reviewable under the Constitution, PAJA or the principle of legality because the decision was contractual in nature, made in terms of the Transversal Agreement. </w:t>
      </w:r>
    </w:p>
    <w:p w:rsidR="00870110" w:rsidRPr="00870110" w:rsidRDefault="00870110" w:rsidP="0025476A">
      <w:pPr>
        <w:pStyle w:val="NormalWeb"/>
        <w:spacing w:before="0" w:beforeAutospacing="0" w:after="0" w:afterAutospacing="0" w:line="276" w:lineRule="auto"/>
        <w:ind w:left="1418" w:firstLine="22"/>
        <w:jc w:val="both"/>
        <w:rPr>
          <w:color w:val="0E101A"/>
          <w:sz w:val="22"/>
          <w:szCs w:val="22"/>
        </w:rPr>
      </w:pPr>
      <w:r w:rsidRPr="00870110">
        <w:rPr>
          <w:color w:val="0E101A"/>
          <w:sz w:val="22"/>
          <w:szCs w:val="22"/>
        </w:rPr>
        <w:t>The court considered the distinction between public and private law concepts and their application in matters involving tenders by State organs. It also considered the contractual rights of State organs in the tender process. The other point considered is the obligation of public authority towards a private tendering party when a contract has been concluded. </w:t>
      </w:r>
    </w:p>
    <w:p w:rsidR="00870110" w:rsidRPr="00870110" w:rsidRDefault="00870110" w:rsidP="0025476A">
      <w:pPr>
        <w:pStyle w:val="NormalWeb"/>
        <w:spacing w:before="0" w:beforeAutospacing="0" w:after="0" w:afterAutospacing="0" w:line="276" w:lineRule="auto"/>
        <w:jc w:val="both"/>
        <w:rPr>
          <w:color w:val="0E101A"/>
          <w:sz w:val="22"/>
          <w:szCs w:val="22"/>
        </w:rPr>
      </w:pPr>
    </w:p>
    <w:p w:rsidR="00870110" w:rsidRPr="00870110" w:rsidRDefault="00870110" w:rsidP="0025476A">
      <w:pPr>
        <w:pStyle w:val="NormalWeb"/>
        <w:spacing w:before="0" w:beforeAutospacing="0" w:after="0" w:afterAutospacing="0" w:line="276" w:lineRule="auto"/>
        <w:ind w:left="1418" w:firstLine="22"/>
        <w:jc w:val="both"/>
        <w:rPr>
          <w:color w:val="0E101A"/>
          <w:sz w:val="22"/>
          <w:szCs w:val="22"/>
        </w:rPr>
      </w:pPr>
      <w:r w:rsidRPr="00832C9C">
        <w:rPr>
          <w:b/>
          <w:color w:val="0E101A"/>
          <w:sz w:val="22"/>
          <w:szCs w:val="22"/>
        </w:rPr>
        <w:t>Held that</w:t>
      </w:r>
      <w:r w:rsidRPr="00870110">
        <w:rPr>
          <w:color w:val="0E101A"/>
          <w:sz w:val="22"/>
          <w:szCs w:val="22"/>
        </w:rPr>
        <w:t>- The acceptance of the MTN's proposal by the SAPS was an administrative action as envisaged by PAJA and was thus reviewable. Further that even if the acceptance of the MTN's proposal was accepted as part of the Transversal agreement, the relationship between the parties continued to be governed by the principle of administrative justice.  </w:t>
      </w:r>
    </w:p>
    <w:p w:rsidR="00B72AA4" w:rsidRPr="006F6E2D" w:rsidRDefault="00B72AA4" w:rsidP="006F6E2D">
      <w:pPr>
        <w:pBdr>
          <w:bottom w:val="single" w:sz="12" w:space="1" w:color="auto"/>
        </w:pBdr>
        <w:spacing w:line="360" w:lineRule="auto"/>
        <w:rPr>
          <w:rFonts w:ascii="Arial" w:hAnsi="Arial" w:cs="Arial"/>
          <w:b/>
          <w:sz w:val="24"/>
          <w:szCs w:val="24"/>
        </w:rPr>
      </w:pPr>
    </w:p>
    <w:p w:rsidR="00B72AA4" w:rsidRPr="006F6E2D" w:rsidRDefault="00B72AA4" w:rsidP="006F6E2D">
      <w:pPr>
        <w:spacing w:after="0" w:line="360" w:lineRule="auto"/>
        <w:ind w:left="1440" w:hanging="1440"/>
        <w:jc w:val="both"/>
        <w:rPr>
          <w:rFonts w:ascii="Arial" w:hAnsi="Arial" w:cs="Arial"/>
          <w:b/>
          <w:sz w:val="24"/>
          <w:szCs w:val="24"/>
        </w:rPr>
      </w:pPr>
    </w:p>
    <w:p w:rsidR="00B72AA4" w:rsidRPr="006F6E2D" w:rsidRDefault="00B72AA4" w:rsidP="006F6E2D">
      <w:pPr>
        <w:pBdr>
          <w:bottom w:val="single" w:sz="12" w:space="1" w:color="auto"/>
        </w:pBdr>
        <w:spacing w:after="240" w:line="360" w:lineRule="auto"/>
        <w:jc w:val="center"/>
        <w:rPr>
          <w:rFonts w:ascii="Arial" w:hAnsi="Arial" w:cs="Arial"/>
          <w:b/>
          <w:sz w:val="24"/>
          <w:szCs w:val="24"/>
        </w:rPr>
      </w:pPr>
      <w:r w:rsidRPr="006F6E2D">
        <w:rPr>
          <w:rFonts w:ascii="Arial" w:hAnsi="Arial" w:cs="Arial"/>
          <w:b/>
          <w:sz w:val="24"/>
          <w:szCs w:val="24"/>
        </w:rPr>
        <w:t>JUDGMENT</w:t>
      </w:r>
    </w:p>
    <w:p w:rsidR="00B72AA4" w:rsidRPr="006F6E2D" w:rsidRDefault="00B72AA4" w:rsidP="006F6E2D">
      <w:pPr>
        <w:spacing w:line="360" w:lineRule="auto"/>
        <w:rPr>
          <w:rFonts w:ascii="Arial" w:hAnsi="Arial" w:cs="Arial"/>
          <w:sz w:val="24"/>
          <w:szCs w:val="24"/>
        </w:rPr>
      </w:pPr>
      <w:r w:rsidRPr="006F6E2D">
        <w:rPr>
          <w:rFonts w:ascii="Arial" w:hAnsi="Arial" w:cs="Arial"/>
          <w:sz w:val="24"/>
          <w:szCs w:val="24"/>
        </w:rPr>
        <w:t>MOLAHLEHI J</w:t>
      </w:r>
    </w:p>
    <w:p w:rsidR="00B20844" w:rsidRPr="006F6E2D" w:rsidRDefault="00B20844" w:rsidP="006F6E2D">
      <w:pPr>
        <w:spacing w:line="360" w:lineRule="auto"/>
        <w:rPr>
          <w:rFonts w:ascii="Arial" w:hAnsi="Arial" w:cs="Arial"/>
          <w:b/>
          <w:i/>
          <w:sz w:val="24"/>
          <w:szCs w:val="24"/>
        </w:rPr>
      </w:pPr>
      <w:r w:rsidRPr="006F6E2D">
        <w:rPr>
          <w:rFonts w:ascii="Arial" w:hAnsi="Arial" w:cs="Arial"/>
          <w:b/>
          <w:i/>
          <w:sz w:val="24"/>
          <w:szCs w:val="24"/>
        </w:rPr>
        <w:t>Introduction</w:t>
      </w:r>
    </w:p>
    <w:p w:rsidR="00241ABE" w:rsidRPr="00C0573E" w:rsidRDefault="00C0573E" w:rsidP="00C0573E">
      <w:pPr>
        <w:spacing w:line="360" w:lineRule="auto"/>
        <w:jc w:val="both"/>
        <w:rPr>
          <w:rFonts w:ascii="Arial" w:hAnsi="Arial" w:cs="Arial"/>
          <w:color w:val="000000"/>
          <w:sz w:val="24"/>
          <w:szCs w:val="24"/>
        </w:rPr>
      </w:pPr>
      <w:r w:rsidRPr="006F6E2D">
        <w:rPr>
          <w:rFonts w:ascii="Arial" w:hAnsi="Arial" w:cs="Arial"/>
          <w:color w:val="000000"/>
          <w:sz w:val="24"/>
          <w:szCs w:val="24"/>
        </w:rPr>
        <w:t>[1</w:t>
      </w:r>
      <w:bookmarkStart w:id="0" w:name="_GoBack"/>
      <w:bookmarkEnd w:id="0"/>
      <w:r w:rsidRPr="006F6E2D">
        <w:rPr>
          <w:rFonts w:ascii="Arial" w:hAnsi="Arial" w:cs="Arial"/>
          <w:color w:val="000000"/>
          <w:sz w:val="24"/>
          <w:szCs w:val="24"/>
        </w:rPr>
        <w:t>]</w:t>
      </w:r>
      <w:r w:rsidRPr="006F6E2D">
        <w:rPr>
          <w:rFonts w:ascii="Arial" w:hAnsi="Arial" w:cs="Arial"/>
          <w:color w:val="000000"/>
          <w:sz w:val="24"/>
          <w:szCs w:val="24"/>
        </w:rPr>
        <w:tab/>
      </w:r>
      <w:r w:rsidR="00241ABE" w:rsidRPr="00C0573E">
        <w:rPr>
          <w:rFonts w:ascii="Arial" w:hAnsi="Arial" w:cs="Arial"/>
          <w:color w:val="000000"/>
          <w:sz w:val="24"/>
          <w:szCs w:val="24"/>
        </w:rPr>
        <w:t>The applicant, Vodacom, seeks an order reviewing and setting aside two decisions</w:t>
      </w:r>
      <w:r w:rsidR="00821896" w:rsidRPr="00C0573E">
        <w:rPr>
          <w:rFonts w:ascii="Arial" w:hAnsi="Arial" w:cs="Arial"/>
          <w:color w:val="000000"/>
          <w:sz w:val="24"/>
          <w:szCs w:val="24"/>
        </w:rPr>
        <w:t>,</w:t>
      </w:r>
      <w:r w:rsidR="00B4721E" w:rsidRPr="00C0573E">
        <w:rPr>
          <w:rFonts w:ascii="Arial" w:hAnsi="Arial" w:cs="Arial"/>
          <w:color w:val="000000"/>
          <w:sz w:val="24"/>
          <w:szCs w:val="24"/>
        </w:rPr>
        <w:t xml:space="preserve"> (the impugned decisions)</w:t>
      </w:r>
      <w:r w:rsidR="00821896"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by the South African Police Service (SAPS) accepting the </w:t>
      </w:r>
      <w:r w:rsidR="00BF10F4" w:rsidRPr="00C0573E">
        <w:rPr>
          <w:rFonts w:ascii="Arial" w:hAnsi="Arial" w:cs="Arial"/>
          <w:color w:val="000000"/>
          <w:sz w:val="24"/>
          <w:szCs w:val="24"/>
        </w:rPr>
        <w:t>Mobile Telephone Network’s (MTN)</w:t>
      </w:r>
      <w:r w:rsidR="00241ABE" w:rsidRPr="00C0573E">
        <w:rPr>
          <w:rFonts w:ascii="Arial" w:hAnsi="Arial" w:cs="Arial"/>
          <w:color w:val="000000"/>
          <w:sz w:val="24"/>
          <w:szCs w:val="24"/>
        </w:rPr>
        <w:t xml:space="preserve"> proposal for</w:t>
      </w:r>
      <w:r w:rsidR="000B60E0" w:rsidRPr="00C0573E">
        <w:rPr>
          <w:rFonts w:ascii="Arial" w:hAnsi="Arial" w:cs="Arial"/>
          <w:color w:val="000000"/>
          <w:sz w:val="24"/>
          <w:szCs w:val="24"/>
        </w:rPr>
        <w:t xml:space="preserve"> the procurement of mobile devises</w:t>
      </w:r>
      <w:r w:rsidR="00241ABE" w:rsidRPr="00C0573E">
        <w:rPr>
          <w:rFonts w:ascii="Arial" w:hAnsi="Arial" w:cs="Arial"/>
          <w:color w:val="000000"/>
          <w:sz w:val="24"/>
          <w:szCs w:val="24"/>
        </w:rPr>
        <w:t xml:space="preserve"> and services. </w:t>
      </w:r>
      <w:r w:rsidR="00B72AA4" w:rsidRPr="00C0573E">
        <w:rPr>
          <w:rFonts w:ascii="Arial" w:hAnsi="Arial" w:cs="Arial"/>
          <w:color w:val="000000"/>
          <w:sz w:val="24"/>
          <w:szCs w:val="24"/>
        </w:rPr>
        <w:t xml:space="preserve"> </w:t>
      </w:r>
      <w:r w:rsidR="00241ABE" w:rsidRPr="00C0573E">
        <w:rPr>
          <w:rFonts w:ascii="Arial" w:hAnsi="Arial" w:cs="Arial"/>
          <w:color w:val="000000"/>
          <w:sz w:val="24"/>
          <w:szCs w:val="24"/>
        </w:rPr>
        <w:t>In challen</w:t>
      </w:r>
      <w:r w:rsidR="00821896" w:rsidRPr="00C0573E">
        <w:rPr>
          <w:rFonts w:ascii="Arial" w:hAnsi="Arial" w:cs="Arial"/>
          <w:color w:val="000000"/>
          <w:sz w:val="24"/>
          <w:szCs w:val="24"/>
        </w:rPr>
        <w:t xml:space="preserve">ging the impugned decisions, MTN </w:t>
      </w:r>
      <w:r w:rsidR="00241ABE" w:rsidRPr="00C0573E">
        <w:rPr>
          <w:rFonts w:ascii="Arial" w:hAnsi="Arial" w:cs="Arial"/>
          <w:color w:val="000000"/>
          <w:sz w:val="24"/>
          <w:szCs w:val="24"/>
        </w:rPr>
        <w:t>relies on</w:t>
      </w:r>
      <w:r w:rsidR="00B72AA4" w:rsidRPr="00C0573E">
        <w:rPr>
          <w:rFonts w:ascii="Arial" w:hAnsi="Arial" w:cs="Arial"/>
          <w:color w:val="000000"/>
          <w:sz w:val="24"/>
          <w:szCs w:val="24"/>
        </w:rPr>
        <w:t xml:space="preserve"> the</w:t>
      </w:r>
      <w:r w:rsidR="00241ABE" w:rsidRPr="00C0573E">
        <w:rPr>
          <w:rFonts w:ascii="Arial" w:hAnsi="Arial" w:cs="Arial"/>
          <w:color w:val="000000"/>
          <w:sz w:val="24"/>
          <w:szCs w:val="24"/>
        </w:rPr>
        <w:t xml:space="preserve"> Promotion of </w:t>
      </w:r>
      <w:r w:rsidR="00821896" w:rsidRPr="00C0573E">
        <w:rPr>
          <w:rFonts w:ascii="Arial" w:hAnsi="Arial" w:cs="Arial"/>
          <w:sz w:val="24"/>
          <w:szCs w:val="24"/>
        </w:rPr>
        <w:t>Administrative Justice Act</w:t>
      </w:r>
      <w:r w:rsidR="00821896" w:rsidRPr="00C0573E">
        <w:rPr>
          <w:rFonts w:ascii="Arial" w:hAnsi="Arial" w:cs="Arial"/>
          <w:sz w:val="24"/>
          <w:szCs w:val="24"/>
          <w:vertAlign w:val="superscript"/>
        </w:rPr>
        <w:t xml:space="preserve"> </w:t>
      </w:r>
      <w:r w:rsidR="00821896" w:rsidRPr="00C0573E">
        <w:rPr>
          <w:rFonts w:ascii="Arial" w:hAnsi="Arial" w:cs="Arial"/>
          <w:sz w:val="24"/>
          <w:szCs w:val="24"/>
        </w:rPr>
        <w:t>(PAJA),</w:t>
      </w:r>
      <w:r w:rsidR="00821896" w:rsidRPr="006F6E2D">
        <w:rPr>
          <w:rStyle w:val="FootnoteReference"/>
          <w:rFonts w:ascii="Arial" w:hAnsi="Arial" w:cs="Arial"/>
          <w:sz w:val="24"/>
          <w:szCs w:val="24"/>
          <w:vertAlign w:val="superscript"/>
        </w:rPr>
        <w:footnoteReference w:id="1"/>
      </w:r>
      <w:r w:rsidR="00821896" w:rsidRPr="00C0573E">
        <w:rPr>
          <w:rFonts w:ascii="Arial" w:hAnsi="Arial" w:cs="Arial"/>
          <w:sz w:val="24"/>
          <w:szCs w:val="24"/>
          <w:vertAlign w:val="superscript"/>
        </w:rPr>
        <w:t xml:space="preserve"> </w:t>
      </w:r>
      <w:r w:rsidR="00241ABE" w:rsidRPr="00C0573E">
        <w:rPr>
          <w:rFonts w:ascii="Arial" w:hAnsi="Arial" w:cs="Arial"/>
          <w:color w:val="000000"/>
          <w:sz w:val="24"/>
          <w:szCs w:val="24"/>
        </w:rPr>
        <w:t>alternatively</w:t>
      </w:r>
      <w:r w:rsidR="00CD1B10" w:rsidRPr="00C0573E">
        <w:rPr>
          <w:rFonts w:ascii="Arial" w:hAnsi="Arial" w:cs="Arial"/>
          <w:color w:val="000000"/>
          <w:sz w:val="24"/>
          <w:szCs w:val="24"/>
        </w:rPr>
        <w:t>,</w:t>
      </w:r>
      <w:r w:rsidR="00241ABE" w:rsidRPr="00C0573E">
        <w:rPr>
          <w:rFonts w:ascii="Arial" w:hAnsi="Arial" w:cs="Arial"/>
          <w:color w:val="000000"/>
          <w:sz w:val="24"/>
          <w:szCs w:val="24"/>
        </w:rPr>
        <w:t xml:space="preserve"> the principle of legality.</w:t>
      </w:r>
    </w:p>
    <w:p w:rsidR="006B08D5" w:rsidRPr="006F6E2D" w:rsidRDefault="006B08D5" w:rsidP="006F6E2D">
      <w:pPr>
        <w:pStyle w:val="ListParagraph"/>
        <w:spacing w:after="0" w:line="360" w:lineRule="auto"/>
        <w:ind w:left="0"/>
        <w:jc w:val="both"/>
        <w:rPr>
          <w:rFonts w:ascii="Arial" w:hAnsi="Arial" w:cs="Arial"/>
          <w:color w:val="000000"/>
          <w:sz w:val="24"/>
          <w:szCs w:val="24"/>
        </w:rPr>
      </w:pPr>
    </w:p>
    <w:p w:rsidR="00241ABE" w:rsidRPr="00C0573E" w:rsidRDefault="00C0573E" w:rsidP="00C0573E">
      <w:pPr>
        <w:spacing w:line="360" w:lineRule="auto"/>
        <w:jc w:val="both"/>
        <w:rPr>
          <w:rFonts w:ascii="Arial" w:hAnsi="Arial" w:cs="Arial"/>
          <w:color w:val="000000"/>
          <w:sz w:val="24"/>
          <w:szCs w:val="24"/>
        </w:rPr>
      </w:pPr>
      <w:r w:rsidRPr="006F6E2D">
        <w:rPr>
          <w:rFonts w:ascii="Arial" w:hAnsi="Arial" w:cs="Arial"/>
          <w:color w:val="000000"/>
          <w:sz w:val="24"/>
          <w:szCs w:val="24"/>
        </w:rPr>
        <w:lastRenderedPageBreak/>
        <w:t>[2]</w:t>
      </w:r>
      <w:r w:rsidRPr="006F6E2D">
        <w:rPr>
          <w:rFonts w:ascii="Arial" w:hAnsi="Arial" w:cs="Arial"/>
          <w:color w:val="000000"/>
          <w:sz w:val="24"/>
          <w:szCs w:val="24"/>
        </w:rPr>
        <w:tab/>
      </w:r>
      <w:r w:rsidR="00241ABE" w:rsidRPr="00C0573E">
        <w:rPr>
          <w:rFonts w:ascii="Arial" w:hAnsi="Arial" w:cs="Arial"/>
          <w:color w:val="000000"/>
          <w:sz w:val="24"/>
          <w:szCs w:val="24"/>
        </w:rPr>
        <w:t>The app</w:t>
      </w:r>
      <w:r w:rsidR="00B4721E" w:rsidRPr="00C0573E">
        <w:rPr>
          <w:rFonts w:ascii="Arial" w:hAnsi="Arial" w:cs="Arial"/>
          <w:color w:val="000000"/>
          <w:sz w:val="24"/>
          <w:szCs w:val="24"/>
        </w:rPr>
        <w:t xml:space="preserve">lication is opposed by both </w:t>
      </w:r>
      <w:r w:rsidR="00241ABE" w:rsidRPr="00C0573E">
        <w:rPr>
          <w:rFonts w:ascii="Arial" w:hAnsi="Arial" w:cs="Arial"/>
          <w:color w:val="000000"/>
          <w:sz w:val="24"/>
          <w:szCs w:val="24"/>
        </w:rPr>
        <w:t>SAPS and MTN</w:t>
      </w:r>
      <w:r w:rsidR="00CD1B10" w:rsidRPr="00C0573E">
        <w:rPr>
          <w:rFonts w:ascii="Arial" w:hAnsi="Arial" w:cs="Arial"/>
          <w:color w:val="000000"/>
          <w:sz w:val="24"/>
          <w:szCs w:val="24"/>
        </w:rPr>
        <w:t xml:space="preserve">, </w:t>
      </w:r>
      <w:r w:rsidR="00241ABE" w:rsidRPr="00C0573E">
        <w:rPr>
          <w:rFonts w:ascii="Arial" w:hAnsi="Arial" w:cs="Arial"/>
          <w:color w:val="000000"/>
          <w:sz w:val="24"/>
          <w:szCs w:val="24"/>
        </w:rPr>
        <w:t>broadly on the grounds that Vodacom has failed to establish any irregularity in the appointment of</w:t>
      </w:r>
      <w:r w:rsidR="00BC2605" w:rsidRPr="00C0573E">
        <w:rPr>
          <w:rFonts w:ascii="Arial" w:hAnsi="Arial" w:cs="Arial"/>
          <w:color w:val="000000"/>
          <w:sz w:val="24"/>
          <w:szCs w:val="24"/>
        </w:rPr>
        <w:t xml:space="preserve"> MTN to provide the mobile devices</w:t>
      </w:r>
      <w:r w:rsidR="00241ABE" w:rsidRPr="00C0573E">
        <w:rPr>
          <w:rFonts w:ascii="Arial" w:hAnsi="Arial" w:cs="Arial"/>
          <w:color w:val="000000"/>
          <w:sz w:val="24"/>
          <w:szCs w:val="24"/>
        </w:rPr>
        <w:t xml:space="preserve"> and services.</w:t>
      </w:r>
      <w:r w:rsidR="00BC2605" w:rsidRPr="00C0573E">
        <w:rPr>
          <w:rFonts w:ascii="Arial" w:hAnsi="Arial" w:cs="Arial"/>
          <w:color w:val="000000"/>
          <w:sz w:val="24"/>
          <w:szCs w:val="24"/>
        </w:rPr>
        <w:t xml:space="preserve"> In the heads of argument MTN specifically argued that the Court’s review powers in this matter are limited to asking whether the SAPS has acted in accordance with the provisions of the Transversal Agreement in selecting and contracting with it. It further argued that opening the decision</w:t>
      </w:r>
      <w:r w:rsidR="00B4721E" w:rsidRPr="00C0573E">
        <w:rPr>
          <w:rFonts w:ascii="Arial" w:hAnsi="Arial" w:cs="Arial"/>
          <w:color w:val="000000"/>
          <w:sz w:val="24"/>
          <w:szCs w:val="24"/>
        </w:rPr>
        <w:t>s</w:t>
      </w:r>
      <w:r w:rsidR="00BC2605" w:rsidRPr="00C0573E">
        <w:rPr>
          <w:rFonts w:ascii="Arial" w:hAnsi="Arial" w:cs="Arial"/>
          <w:color w:val="000000"/>
          <w:sz w:val="24"/>
          <w:szCs w:val="24"/>
        </w:rPr>
        <w:t xml:space="preserve"> to review under </w:t>
      </w:r>
      <w:r w:rsidR="00173CA3" w:rsidRPr="00C0573E">
        <w:rPr>
          <w:rFonts w:ascii="Arial" w:hAnsi="Arial" w:cs="Arial"/>
          <w:color w:val="000000"/>
          <w:sz w:val="24"/>
          <w:szCs w:val="24"/>
        </w:rPr>
        <w:t>section 217 of the Constitution, PAJA and the principle of legality would undermine and render nugatory the procurement process that Treasury undertook in compliance with legislative frame work.</w:t>
      </w:r>
      <w:r w:rsidR="006618C7" w:rsidRPr="006F6E2D">
        <w:rPr>
          <w:rStyle w:val="FootnoteReference"/>
          <w:rFonts w:ascii="Arial" w:hAnsi="Arial" w:cs="Arial"/>
          <w:color w:val="000000"/>
          <w:sz w:val="24"/>
          <w:szCs w:val="24"/>
          <w:vertAlign w:val="superscript"/>
        </w:rPr>
        <w:footnoteReference w:id="2"/>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u w:val="single"/>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w:t>
      </w:r>
      <w:r w:rsidRPr="006F6E2D">
        <w:rPr>
          <w:rFonts w:ascii="Arial" w:hAnsi="Arial" w:cs="Arial"/>
          <w:color w:val="000000"/>
          <w:sz w:val="24"/>
          <w:szCs w:val="24"/>
        </w:rPr>
        <w:tab/>
      </w:r>
      <w:r w:rsidR="00241ABE" w:rsidRPr="00C0573E">
        <w:rPr>
          <w:rFonts w:ascii="Arial" w:hAnsi="Arial" w:cs="Arial"/>
          <w:color w:val="000000"/>
          <w:sz w:val="24"/>
          <w:szCs w:val="24"/>
        </w:rPr>
        <w:t xml:space="preserve">The controversy in this </w:t>
      </w:r>
      <w:r w:rsidR="00B4721E" w:rsidRPr="00C0573E">
        <w:rPr>
          <w:rFonts w:ascii="Arial" w:hAnsi="Arial" w:cs="Arial"/>
          <w:color w:val="000000"/>
          <w:sz w:val="24"/>
          <w:szCs w:val="24"/>
        </w:rPr>
        <w:t>matter arises from decisions</w:t>
      </w:r>
      <w:r w:rsidR="00241ABE" w:rsidRPr="00C0573E">
        <w:rPr>
          <w:rFonts w:ascii="Arial" w:hAnsi="Arial" w:cs="Arial"/>
          <w:color w:val="000000"/>
          <w:sz w:val="24"/>
          <w:szCs w:val="24"/>
        </w:rPr>
        <w:t xml:space="preserve"> made by the SAPS after agreeing to participate in the National Transversal Agreements concluded by the National Treasury for mobile services with various service providers, namely MTN, Vodacom, Telkom and, Cell-C.  It concerns the</w:t>
      </w:r>
      <w:r w:rsidR="00B4721E" w:rsidRPr="00C0573E">
        <w:rPr>
          <w:rFonts w:ascii="Arial" w:hAnsi="Arial" w:cs="Arial"/>
          <w:color w:val="000000"/>
          <w:sz w:val="24"/>
          <w:szCs w:val="24"/>
        </w:rPr>
        <w:t xml:space="preserve"> SAPS’</w:t>
      </w:r>
      <w:r w:rsidR="00241ABE" w:rsidRPr="00C0573E">
        <w:rPr>
          <w:rFonts w:ascii="Arial" w:hAnsi="Arial" w:cs="Arial"/>
          <w:color w:val="000000"/>
          <w:sz w:val="24"/>
          <w:szCs w:val="24"/>
        </w:rPr>
        <w:t xml:space="preserve"> acceptance of the proposal </w:t>
      </w:r>
      <w:r w:rsidR="00CD1B10" w:rsidRPr="00C0573E">
        <w:rPr>
          <w:rFonts w:ascii="Arial" w:hAnsi="Arial" w:cs="Arial"/>
          <w:color w:val="000000"/>
          <w:sz w:val="24"/>
          <w:szCs w:val="24"/>
        </w:rPr>
        <w:t xml:space="preserve">for </w:t>
      </w:r>
      <w:r w:rsidR="00241ABE" w:rsidRPr="00C0573E">
        <w:rPr>
          <w:rFonts w:ascii="Arial" w:hAnsi="Arial" w:cs="Arial"/>
          <w:color w:val="000000"/>
          <w:sz w:val="24"/>
          <w:szCs w:val="24"/>
        </w:rPr>
        <w:t xml:space="preserve">the provision of mobile </w:t>
      </w:r>
      <w:r w:rsidR="00821896" w:rsidRPr="00C0573E">
        <w:rPr>
          <w:rFonts w:ascii="Arial" w:hAnsi="Arial" w:cs="Arial"/>
          <w:color w:val="000000"/>
          <w:sz w:val="24"/>
          <w:szCs w:val="24"/>
        </w:rPr>
        <w:t>communication services by MTN</w:t>
      </w:r>
      <w:r w:rsidR="00B4721E" w:rsidRPr="00C0573E">
        <w:rPr>
          <w:rFonts w:ascii="Arial" w:hAnsi="Arial" w:cs="Arial"/>
          <w:color w:val="000000"/>
          <w:sz w:val="24"/>
          <w:szCs w:val="24"/>
        </w:rPr>
        <w:t>.</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w:t>
      </w:r>
      <w:r w:rsidRPr="006F6E2D">
        <w:rPr>
          <w:rFonts w:ascii="Arial" w:hAnsi="Arial" w:cs="Arial"/>
          <w:color w:val="000000"/>
          <w:sz w:val="24"/>
          <w:szCs w:val="24"/>
        </w:rPr>
        <w:tab/>
      </w:r>
      <w:r w:rsidR="00241ABE" w:rsidRPr="00C0573E">
        <w:rPr>
          <w:rFonts w:ascii="Arial" w:hAnsi="Arial" w:cs="Arial"/>
          <w:color w:val="000000"/>
          <w:sz w:val="24"/>
          <w:szCs w:val="24"/>
        </w:rPr>
        <w:t>As stated earlier</w:t>
      </w:r>
      <w:r w:rsidR="00454096" w:rsidRPr="00C0573E">
        <w:rPr>
          <w:rFonts w:ascii="Arial" w:hAnsi="Arial" w:cs="Arial"/>
          <w:color w:val="000000"/>
          <w:sz w:val="24"/>
          <w:szCs w:val="24"/>
        </w:rPr>
        <w:t>,</w:t>
      </w:r>
      <w:r w:rsidR="00241ABE" w:rsidRPr="00C0573E">
        <w:rPr>
          <w:rFonts w:ascii="Arial" w:hAnsi="Arial" w:cs="Arial"/>
          <w:color w:val="000000"/>
          <w:sz w:val="24"/>
          <w:szCs w:val="24"/>
        </w:rPr>
        <w:t xml:space="preserve"> aggrieved by the two impugned decisions</w:t>
      </w:r>
      <w:r w:rsidR="00B20844" w:rsidRPr="00C0573E">
        <w:rPr>
          <w:rFonts w:ascii="Arial" w:hAnsi="Arial" w:cs="Arial"/>
          <w:color w:val="000000"/>
          <w:sz w:val="24"/>
          <w:szCs w:val="24"/>
        </w:rPr>
        <w:t>,</w:t>
      </w:r>
      <w:r w:rsidR="00241ABE" w:rsidRPr="00C0573E">
        <w:rPr>
          <w:rFonts w:ascii="Arial" w:hAnsi="Arial" w:cs="Arial"/>
          <w:color w:val="000000"/>
          <w:sz w:val="24"/>
          <w:szCs w:val="24"/>
        </w:rPr>
        <w:t xml:space="preserve"> Vodacom filed this review </w:t>
      </w:r>
      <w:r w:rsidR="00454096" w:rsidRPr="00C0573E">
        <w:rPr>
          <w:rFonts w:ascii="Arial" w:hAnsi="Arial" w:cs="Arial"/>
          <w:color w:val="000000"/>
          <w:sz w:val="24"/>
          <w:szCs w:val="24"/>
        </w:rPr>
        <w:t>application</w:t>
      </w:r>
      <w:r w:rsidR="00241ABE" w:rsidRPr="00C0573E">
        <w:rPr>
          <w:rFonts w:ascii="Arial" w:hAnsi="Arial" w:cs="Arial"/>
          <w:color w:val="000000"/>
          <w:sz w:val="24"/>
          <w:szCs w:val="24"/>
        </w:rPr>
        <w:t>. The two impugned decisions are:</w:t>
      </w:r>
    </w:p>
    <w:p w:rsidR="00EB48C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(a)</w:t>
      </w:r>
      <w:r w:rsidRPr="006F6E2D">
        <w:rPr>
          <w:rFonts w:ascii="Arial" w:hAnsi="Arial" w:cs="Arial"/>
          <w:color w:val="000000"/>
          <w:sz w:val="24"/>
          <w:szCs w:val="24"/>
        </w:rPr>
        <w:tab/>
      </w:r>
      <w:r w:rsidR="00241ABE" w:rsidRPr="00C0573E">
        <w:rPr>
          <w:rFonts w:ascii="Arial" w:hAnsi="Arial" w:cs="Arial"/>
          <w:color w:val="000000"/>
          <w:sz w:val="24"/>
          <w:szCs w:val="24"/>
        </w:rPr>
        <w:t>The acceptance of MTN's mobile offerings for categories 1A, 1B and 3 as defined by the Transversal Agreement.</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(b)</w:t>
      </w:r>
      <w:r w:rsidRPr="006F6E2D">
        <w:rPr>
          <w:rFonts w:ascii="Arial" w:hAnsi="Arial" w:cs="Arial"/>
          <w:color w:val="000000"/>
          <w:sz w:val="24"/>
          <w:szCs w:val="24"/>
        </w:rPr>
        <w:tab/>
      </w:r>
      <w:r w:rsidR="00241ABE" w:rsidRPr="00C0573E">
        <w:rPr>
          <w:rFonts w:ascii="Arial" w:hAnsi="Arial" w:cs="Arial"/>
          <w:color w:val="000000"/>
          <w:sz w:val="24"/>
          <w:szCs w:val="24"/>
        </w:rPr>
        <w:t>All contracts concluded between the SAPS and MTN including implementation protocols and activities to give effect to the impugned decisions.</w:t>
      </w:r>
    </w:p>
    <w:p w:rsidR="006B08D5" w:rsidRPr="006F6E2D" w:rsidRDefault="006B08D5" w:rsidP="006F6E2D">
      <w:pPr>
        <w:pStyle w:val="ListParagraph"/>
        <w:autoSpaceDE w:val="0"/>
        <w:autoSpaceDN w:val="0"/>
        <w:adjustRightInd w:val="0"/>
        <w:spacing w:after="0" w:line="360" w:lineRule="auto"/>
        <w:ind w:left="0"/>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w:t>
      </w:r>
      <w:r w:rsidRPr="006F6E2D">
        <w:rPr>
          <w:rFonts w:ascii="Arial" w:hAnsi="Arial" w:cs="Arial"/>
          <w:color w:val="000000"/>
          <w:sz w:val="24"/>
          <w:szCs w:val="24"/>
        </w:rPr>
        <w:tab/>
      </w:r>
      <w:r w:rsidR="00241ABE" w:rsidRPr="00C0573E">
        <w:rPr>
          <w:rFonts w:ascii="Arial" w:hAnsi="Arial" w:cs="Arial"/>
          <w:color w:val="000000"/>
          <w:sz w:val="24"/>
          <w:szCs w:val="24"/>
        </w:rPr>
        <w:t>The impugned dec</w:t>
      </w:r>
      <w:r w:rsidR="00173CA3" w:rsidRPr="00C0573E">
        <w:rPr>
          <w:rFonts w:ascii="Arial" w:hAnsi="Arial" w:cs="Arial"/>
          <w:color w:val="000000"/>
          <w:sz w:val="24"/>
          <w:szCs w:val="24"/>
        </w:rPr>
        <w:t xml:space="preserve">isions complained of </w:t>
      </w:r>
      <w:r w:rsidR="00241ABE" w:rsidRPr="00C0573E">
        <w:rPr>
          <w:rFonts w:ascii="Arial" w:hAnsi="Arial" w:cs="Arial"/>
          <w:color w:val="000000"/>
          <w:sz w:val="24"/>
          <w:szCs w:val="24"/>
        </w:rPr>
        <w:t xml:space="preserve">are set out in both the founding and supplementary affidavits of Vodacom. </w:t>
      </w:r>
      <w:r w:rsidR="00B20844"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The supplementary affidavit was filed after the SAPS provided written reasons in terms of </w:t>
      </w:r>
      <w:r w:rsidR="00B20844" w:rsidRPr="00C0573E">
        <w:rPr>
          <w:rFonts w:ascii="Arial" w:hAnsi="Arial" w:cs="Arial"/>
          <w:color w:val="000000"/>
          <w:sz w:val="24"/>
          <w:szCs w:val="24"/>
        </w:rPr>
        <w:t>R</w:t>
      </w:r>
      <w:r w:rsidR="00241ABE" w:rsidRPr="00C0573E">
        <w:rPr>
          <w:rFonts w:ascii="Arial" w:hAnsi="Arial" w:cs="Arial"/>
          <w:color w:val="000000"/>
          <w:sz w:val="24"/>
          <w:szCs w:val="24"/>
        </w:rPr>
        <w:t xml:space="preserve">ule 53 of the Uniform Rules of Court (the </w:t>
      </w:r>
      <w:r w:rsidR="00B20844" w:rsidRPr="00C0573E">
        <w:rPr>
          <w:rFonts w:ascii="Arial" w:hAnsi="Arial" w:cs="Arial"/>
          <w:color w:val="000000"/>
          <w:sz w:val="24"/>
          <w:szCs w:val="24"/>
        </w:rPr>
        <w:t>R</w:t>
      </w:r>
      <w:r w:rsidR="00241ABE" w:rsidRPr="00C0573E">
        <w:rPr>
          <w:rFonts w:ascii="Arial" w:hAnsi="Arial" w:cs="Arial"/>
          <w:color w:val="000000"/>
          <w:sz w:val="24"/>
          <w:szCs w:val="24"/>
        </w:rPr>
        <w:t>ules).</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6F6E2D" w:rsidRDefault="00241ABE" w:rsidP="006F6E2D">
      <w:pPr>
        <w:pStyle w:val="ListParagraph"/>
        <w:autoSpaceDE w:val="0"/>
        <w:autoSpaceDN w:val="0"/>
        <w:adjustRightInd w:val="0"/>
        <w:spacing w:after="0" w:line="360" w:lineRule="auto"/>
        <w:ind w:left="0"/>
        <w:jc w:val="both"/>
        <w:rPr>
          <w:rFonts w:ascii="Arial" w:hAnsi="Arial" w:cs="Arial"/>
          <w:b/>
          <w:i/>
          <w:color w:val="000000"/>
          <w:sz w:val="24"/>
          <w:szCs w:val="24"/>
        </w:rPr>
      </w:pPr>
      <w:r w:rsidRPr="006F6E2D">
        <w:rPr>
          <w:rFonts w:ascii="Arial" w:hAnsi="Arial" w:cs="Arial"/>
          <w:b/>
          <w:i/>
          <w:color w:val="000000"/>
          <w:sz w:val="24"/>
          <w:szCs w:val="24"/>
        </w:rPr>
        <w:t xml:space="preserve">The </w:t>
      </w:r>
      <w:r w:rsidR="00B20844" w:rsidRPr="006F6E2D">
        <w:rPr>
          <w:rFonts w:ascii="Arial" w:hAnsi="Arial" w:cs="Arial"/>
          <w:b/>
          <w:i/>
          <w:color w:val="000000"/>
          <w:sz w:val="24"/>
          <w:szCs w:val="24"/>
        </w:rPr>
        <w:t>b</w:t>
      </w:r>
      <w:r w:rsidRPr="006F6E2D">
        <w:rPr>
          <w:rFonts w:ascii="Arial" w:hAnsi="Arial" w:cs="Arial"/>
          <w:b/>
          <w:i/>
          <w:color w:val="000000"/>
          <w:sz w:val="24"/>
          <w:szCs w:val="24"/>
        </w:rPr>
        <w:t>ackground facts</w:t>
      </w:r>
    </w:p>
    <w:p w:rsidR="00173CA3"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w:t>
      </w:r>
      <w:r w:rsidRPr="006F6E2D">
        <w:rPr>
          <w:rFonts w:ascii="Arial" w:hAnsi="Arial" w:cs="Arial"/>
          <w:color w:val="000000"/>
          <w:sz w:val="24"/>
          <w:szCs w:val="24"/>
        </w:rPr>
        <w:tab/>
      </w:r>
      <w:r w:rsidR="00241ABE" w:rsidRPr="00C0573E">
        <w:rPr>
          <w:rFonts w:ascii="Arial" w:hAnsi="Arial" w:cs="Arial"/>
          <w:color w:val="000000"/>
          <w:sz w:val="24"/>
          <w:szCs w:val="24"/>
        </w:rPr>
        <w:t xml:space="preserve">It is common cause that the Treasury concluded a Master Transversal Agreement (Transversal Agreements) for the supply and the delivery of mobile </w:t>
      </w:r>
      <w:r w:rsidR="00241ABE" w:rsidRPr="00C0573E">
        <w:rPr>
          <w:rFonts w:ascii="Arial" w:hAnsi="Arial" w:cs="Arial"/>
          <w:color w:val="000000"/>
          <w:sz w:val="24"/>
          <w:szCs w:val="24"/>
        </w:rPr>
        <w:lastRenderedPageBreak/>
        <w:t xml:space="preserve">communication services </w:t>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RT15-2021</w:t>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(concluded on 7 February 2022) </w:t>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with the four mobile network companies referred to above. </w:t>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This was done following an open tender, which had been issued by the Treasury. </w:t>
      </w:r>
    </w:p>
    <w:p w:rsidR="00173CA3" w:rsidRPr="006F6E2D" w:rsidRDefault="00173CA3" w:rsidP="006F6E2D">
      <w:pPr>
        <w:pStyle w:val="ListParagraph"/>
        <w:autoSpaceDE w:val="0"/>
        <w:autoSpaceDN w:val="0"/>
        <w:adjustRightInd w:val="0"/>
        <w:spacing w:after="0" w:line="360" w:lineRule="auto"/>
        <w:ind w:left="0"/>
        <w:jc w:val="both"/>
        <w:rPr>
          <w:rFonts w:ascii="Arial" w:hAnsi="Arial" w:cs="Arial"/>
          <w:color w:val="000000"/>
          <w:sz w:val="24"/>
          <w:szCs w:val="24"/>
        </w:rPr>
      </w:pPr>
    </w:p>
    <w:p w:rsidR="000150A9"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[7]</w:t>
      </w:r>
      <w:r w:rsidRPr="006F6E2D">
        <w:rPr>
          <w:rFonts w:ascii="Arial" w:hAnsi="Arial" w:cs="Arial"/>
          <w:color w:val="000000"/>
          <w:sz w:val="24"/>
          <w:szCs w:val="24"/>
        </w:rPr>
        <w:tab/>
      </w:r>
      <w:r w:rsidR="00173CA3" w:rsidRPr="00C0573E">
        <w:rPr>
          <w:rFonts w:ascii="Arial" w:hAnsi="Arial" w:cs="Arial"/>
          <w:color w:val="000000"/>
          <w:sz w:val="24"/>
          <w:szCs w:val="24"/>
        </w:rPr>
        <w:t>The Transversal Agreement wa</w:t>
      </w:r>
      <w:r w:rsidR="000150A9" w:rsidRPr="00C0573E">
        <w:rPr>
          <w:rFonts w:ascii="Arial" w:hAnsi="Arial" w:cs="Arial"/>
          <w:color w:val="000000"/>
          <w:sz w:val="24"/>
          <w:szCs w:val="24"/>
        </w:rPr>
        <w:t>s concluded initially between the</w:t>
      </w:r>
      <w:r w:rsidR="0029743C" w:rsidRPr="00C0573E">
        <w:rPr>
          <w:rFonts w:ascii="Arial" w:hAnsi="Arial" w:cs="Arial"/>
          <w:color w:val="000000"/>
          <w:sz w:val="24"/>
          <w:szCs w:val="24"/>
        </w:rPr>
        <w:t xml:space="preserve"> National Treasury and</w:t>
      </w:r>
      <w:r w:rsidR="00173CA3" w:rsidRPr="00C0573E">
        <w:rPr>
          <w:rFonts w:ascii="Arial" w:hAnsi="Arial" w:cs="Arial"/>
          <w:color w:val="000000"/>
          <w:sz w:val="24"/>
          <w:szCs w:val="24"/>
        </w:rPr>
        <w:t xml:space="preserve"> </w:t>
      </w:r>
      <w:r w:rsidR="0029743C" w:rsidRPr="00C0573E">
        <w:rPr>
          <w:rFonts w:ascii="Arial" w:hAnsi="Arial" w:cs="Arial"/>
          <w:color w:val="000000"/>
          <w:sz w:val="24"/>
          <w:szCs w:val="24"/>
        </w:rPr>
        <w:t>the various service p</w:t>
      </w:r>
      <w:r w:rsidR="00173CA3" w:rsidRPr="00C0573E">
        <w:rPr>
          <w:rFonts w:ascii="Arial" w:hAnsi="Arial" w:cs="Arial"/>
          <w:color w:val="000000"/>
          <w:sz w:val="24"/>
          <w:szCs w:val="24"/>
        </w:rPr>
        <w:t>rovider</w:t>
      </w:r>
      <w:r w:rsidR="0029743C" w:rsidRPr="00C0573E">
        <w:rPr>
          <w:rFonts w:ascii="Arial" w:hAnsi="Arial" w:cs="Arial"/>
          <w:color w:val="000000"/>
          <w:sz w:val="24"/>
          <w:szCs w:val="24"/>
        </w:rPr>
        <w:t>s</w:t>
      </w:r>
      <w:r w:rsidR="000150A9" w:rsidRPr="00C0573E">
        <w:rPr>
          <w:rFonts w:ascii="Arial" w:hAnsi="Arial" w:cs="Arial"/>
          <w:color w:val="000000"/>
          <w:sz w:val="24"/>
          <w:szCs w:val="24"/>
        </w:rPr>
        <w:t xml:space="preserve"> and thereafter </w:t>
      </w:r>
      <w:r w:rsidR="0029743C" w:rsidRPr="00C0573E">
        <w:rPr>
          <w:rFonts w:ascii="Arial" w:hAnsi="Arial" w:cs="Arial"/>
          <w:color w:val="000000"/>
          <w:sz w:val="24"/>
          <w:szCs w:val="24"/>
        </w:rPr>
        <w:t xml:space="preserve">included </w:t>
      </w:r>
      <w:r w:rsidR="00173CA3" w:rsidRPr="00C0573E">
        <w:rPr>
          <w:rFonts w:ascii="Arial" w:hAnsi="Arial" w:cs="Arial"/>
          <w:color w:val="000000"/>
          <w:sz w:val="24"/>
          <w:szCs w:val="24"/>
        </w:rPr>
        <w:t>participating State institution</w:t>
      </w:r>
      <w:r w:rsidR="0029743C" w:rsidRPr="00C0573E">
        <w:rPr>
          <w:rFonts w:ascii="Arial" w:hAnsi="Arial" w:cs="Arial"/>
          <w:color w:val="000000"/>
          <w:sz w:val="24"/>
          <w:szCs w:val="24"/>
        </w:rPr>
        <w:t xml:space="preserve"> in the agreement</w:t>
      </w:r>
      <w:r w:rsidR="000150A9" w:rsidRPr="00C0573E">
        <w:rPr>
          <w:rFonts w:ascii="Arial" w:hAnsi="Arial" w:cs="Arial"/>
          <w:color w:val="000000"/>
          <w:sz w:val="24"/>
          <w:szCs w:val="24"/>
        </w:rPr>
        <w:t>, such as the SAPS</w:t>
      </w:r>
      <w:r w:rsidR="0029743C" w:rsidRPr="00C0573E">
        <w:rPr>
          <w:rFonts w:ascii="Arial" w:hAnsi="Arial" w:cs="Arial"/>
          <w:color w:val="000000"/>
          <w:sz w:val="24"/>
          <w:szCs w:val="24"/>
        </w:rPr>
        <w:t>.</w:t>
      </w:r>
      <w:r w:rsidR="000150A9" w:rsidRPr="00C0573E">
        <w:rPr>
          <w:rFonts w:ascii="Arial" w:hAnsi="Arial" w:cs="Arial"/>
          <w:color w:val="000000"/>
          <w:sz w:val="24"/>
          <w:szCs w:val="24"/>
        </w:rPr>
        <w:t xml:space="preserve"> </w:t>
      </w:r>
    </w:p>
    <w:p w:rsidR="000150A9" w:rsidRPr="006F6E2D" w:rsidRDefault="000150A9" w:rsidP="006F6E2D">
      <w:pPr>
        <w:pStyle w:val="ListParagraph"/>
        <w:spacing w:line="360" w:lineRule="auto"/>
        <w:rPr>
          <w:rFonts w:ascii="Arial" w:hAnsi="Arial" w:cs="Arial"/>
          <w:color w:val="000000"/>
          <w:sz w:val="24"/>
          <w:szCs w:val="24"/>
        </w:rPr>
      </w:pPr>
    </w:p>
    <w:p w:rsidR="00112EA3"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[8]</w:t>
      </w:r>
      <w:r w:rsidRPr="006F6E2D">
        <w:rPr>
          <w:rFonts w:ascii="Arial" w:hAnsi="Arial" w:cs="Arial"/>
          <w:color w:val="000000"/>
          <w:sz w:val="24"/>
          <w:szCs w:val="24"/>
        </w:rPr>
        <w:tab/>
      </w:r>
      <w:r w:rsidR="000150A9" w:rsidRPr="00C0573E">
        <w:rPr>
          <w:rFonts w:ascii="Arial" w:hAnsi="Arial" w:cs="Arial"/>
          <w:color w:val="000000"/>
          <w:sz w:val="24"/>
          <w:szCs w:val="24"/>
        </w:rPr>
        <w:t xml:space="preserve">In terms of the Traversal Agreement, any government entity that accepts participation in the agreement need not follow the usual process in securing goods and services mentioned in the agreement. In other words, a participating government entity need not issue a tender when procuring the goods and or services mentioned in the agreement. </w:t>
      </w:r>
      <w:r w:rsidR="00D37204" w:rsidRPr="00C0573E">
        <w:rPr>
          <w:rFonts w:ascii="Arial" w:hAnsi="Arial" w:cs="Arial"/>
          <w:color w:val="000000"/>
          <w:sz w:val="24"/>
          <w:szCs w:val="24"/>
        </w:rPr>
        <w:t>The steps to follow in the process of selecting a service provider(s) are set out fully in the Treasury’s Circular. The State entity, (such as the SAPS) that has elected to participate in the Transversal Agreement and wish</w:t>
      </w:r>
      <w:r w:rsidR="003F371F" w:rsidRPr="00C0573E">
        <w:rPr>
          <w:rFonts w:ascii="Arial" w:hAnsi="Arial" w:cs="Arial"/>
          <w:color w:val="000000"/>
          <w:sz w:val="24"/>
          <w:szCs w:val="24"/>
        </w:rPr>
        <w:t xml:space="preserve">es to secure mobile services </w:t>
      </w:r>
      <w:r w:rsidR="00D37204" w:rsidRPr="00C0573E">
        <w:rPr>
          <w:rFonts w:ascii="Arial" w:hAnsi="Arial" w:cs="Arial"/>
          <w:color w:val="000000"/>
          <w:sz w:val="24"/>
          <w:szCs w:val="24"/>
        </w:rPr>
        <w:t>must contact all the service providers identified in the Transversal Agreement</w:t>
      </w:r>
      <w:r w:rsidR="003F371F" w:rsidRPr="00C0573E">
        <w:rPr>
          <w:rFonts w:ascii="Arial" w:hAnsi="Arial" w:cs="Arial"/>
          <w:color w:val="000000"/>
          <w:sz w:val="24"/>
          <w:szCs w:val="24"/>
        </w:rPr>
        <w:t xml:space="preserve"> </w:t>
      </w:r>
      <w:r w:rsidR="00AA0DB9" w:rsidRPr="00C0573E">
        <w:rPr>
          <w:rFonts w:ascii="Arial" w:hAnsi="Arial" w:cs="Arial"/>
          <w:color w:val="000000"/>
          <w:sz w:val="24"/>
          <w:szCs w:val="24"/>
        </w:rPr>
        <w:t xml:space="preserve">and </w:t>
      </w:r>
      <w:r w:rsidR="003F371F" w:rsidRPr="00C0573E">
        <w:rPr>
          <w:rFonts w:ascii="Arial" w:hAnsi="Arial" w:cs="Arial"/>
          <w:color w:val="000000"/>
          <w:sz w:val="24"/>
          <w:szCs w:val="24"/>
        </w:rPr>
        <w:t>invit</w:t>
      </w:r>
      <w:r w:rsidR="00AA0DB9" w:rsidRPr="00C0573E">
        <w:rPr>
          <w:rFonts w:ascii="Arial" w:hAnsi="Arial" w:cs="Arial"/>
          <w:color w:val="000000"/>
          <w:sz w:val="24"/>
          <w:szCs w:val="24"/>
        </w:rPr>
        <w:t xml:space="preserve">e </w:t>
      </w:r>
      <w:r w:rsidR="003F371F" w:rsidRPr="00C0573E">
        <w:rPr>
          <w:rFonts w:ascii="Arial" w:hAnsi="Arial" w:cs="Arial"/>
          <w:color w:val="000000"/>
          <w:sz w:val="24"/>
          <w:szCs w:val="24"/>
        </w:rPr>
        <w:t>them to “unpack their mobile packages.” The service providers would unpack their packages to assist the participating State entity “to make an informed decision”</w:t>
      </w:r>
      <w:r w:rsidR="0029743C" w:rsidRPr="00C0573E">
        <w:rPr>
          <w:rFonts w:ascii="Arial" w:hAnsi="Arial" w:cs="Arial"/>
          <w:color w:val="000000"/>
          <w:sz w:val="24"/>
          <w:szCs w:val="24"/>
        </w:rPr>
        <w:t xml:space="preserve"> on which service provider(s) to utilise. </w:t>
      </w:r>
      <w:r w:rsidR="003F371F" w:rsidRPr="00C0573E">
        <w:rPr>
          <w:rFonts w:ascii="Arial" w:hAnsi="Arial" w:cs="Arial"/>
          <w:color w:val="000000"/>
          <w:sz w:val="24"/>
          <w:szCs w:val="24"/>
        </w:rPr>
        <w:t xml:space="preserve"> In selecting a service provider</w:t>
      </w:r>
      <w:r w:rsidR="0029743C" w:rsidRPr="00C0573E">
        <w:rPr>
          <w:rFonts w:ascii="Arial" w:hAnsi="Arial" w:cs="Arial"/>
          <w:color w:val="000000"/>
          <w:sz w:val="24"/>
          <w:szCs w:val="24"/>
        </w:rPr>
        <w:t xml:space="preserve"> t</w:t>
      </w:r>
      <w:r w:rsidR="003F371F" w:rsidRPr="00C0573E">
        <w:rPr>
          <w:rFonts w:ascii="Arial" w:hAnsi="Arial" w:cs="Arial"/>
          <w:color w:val="000000"/>
          <w:sz w:val="24"/>
          <w:szCs w:val="24"/>
        </w:rPr>
        <w:t xml:space="preserve">he State entity is once the selection is made bound by </w:t>
      </w:r>
      <w:r w:rsidR="0029743C" w:rsidRPr="00C0573E">
        <w:rPr>
          <w:rFonts w:ascii="Arial" w:hAnsi="Arial" w:cs="Arial"/>
          <w:color w:val="000000"/>
          <w:sz w:val="24"/>
          <w:szCs w:val="24"/>
        </w:rPr>
        <w:t xml:space="preserve">the </w:t>
      </w:r>
      <w:r w:rsidR="003F371F" w:rsidRPr="00C0573E">
        <w:rPr>
          <w:rFonts w:ascii="Arial" w:hAnsi="Arial" w:cs="Arial"/>
          <w:color w:val="000000"/>
          <w:sz w:val="24"/>
          <w:szCs w:val="24"/>
        </w:rPr>
        <w:t xml:space="preserve">mobile packages set out in the Transversal Agreement. </w:t>
      </w:r>
    </w:p>
    <w:p w:rsidR="00112EA3" w:rsidRPr="006F6E2D" w:rsidRDefault="00112EA3" w:rsidP="006F6E2D">
      <w:pPr>
        <w:pStyle w:val="ListParagraph"/>
        <w:spacing w:line="360" w:lineRule="auto"/>
        <w:rPr>
          <w:rFonts w:ascii="Arial" w:hAnsi="Arial" w:cs="Arial"/>
          <w:color w:val="000000"/>
          <w:sz w:val="24"/>
          <w:szCs w:val="24"/>
        </w:rPr>
      </w:pPr>
    </w:p>
    <w:p w:rsidR="00D37204" w:rsidRPr="00C0573E" w:rsidRDefault="00C0573E" w:rsidP="00C0573E">
      <w:pPr>
        <w:autoSpaceDE w:val="0"/>
        <w:autoSpaceDN w:val="0"/>
        <w:adjustRightInd w:val="0"/>
        <w:spacing w:after="0" w:line="360" w:lineRule="auto"/>
        <w:jc w:val="both"/>
        <w:rPr>
          <w:rFonts w:ascii="Arial" w:hAnsi="Arial" w:cs="Arial"/>
          <w:color w:val="000000"/>
        </w:rPr>
      </w:pPr>
      <w:r w:rsidRPr="006F6E2D">
        <w:rPr>
          <w:rFonts w:ascii="Arial" w:hAnsi="Arial" w:cs="Arial"/>
          <w:color w:val="000000"/>
        </w:rPr>
        <w:t>[9]</w:t>
      </w:r>
      <w:r w:rsidRPr="006F6E2D">
        <w:rPr>
          <w:rFonts w:ascii="Arial" w:hAnsi="Arial" w:cs="Arial"/>
          <w:color w:val="000000"/>
        </w:rPr>
        <w:tab/>
      </w:r>
      <w:r w:rsidR="00AA0DB9" w:rsidRPr="00C0573E">
        <w:rPr>
          <w:rFonts w:ascii="Arial" w:hAnsi="Arial" w:cs="Arial"/>
          <w:color w:val="000000"/>
          <w:sz w:val="24"/>
          <w:szCs w:val="24"/>
        </w:rPr>
        <w:t xml:space="preserve">Furthermore, upon the selection of the service provider’s written proposal the following requirements are to be satisfied in terms of clause 7 of the “PARTICIPATION </w:t>
      </w:r>
      <w:r w:rsidR="00AA0DB9" w:rsidRPr="00C0573E">
        <w:rPr>
          <w:rFonts w:ascii="Arial" w:hAnsi="Arial" w:cs="Arial"/>
          <w:color w:val="000000"/>
        </w:rPr>
        <w:t xml:space="preserve">AGREEMENT IMPLIMENTATION DOCUMENTS:  </w:t>
      </w:r>
    </w:p>
    <w:p w:rsidR="00AA0DB9" w:rsidRPr="006F6E2D" w:rsidRDefault="00AA0DB9" w:rsidP="006F6E2D">
      <w:pPr>
        <w:pStyle w:val="ListParagraph"/>
        <w:autoSpaceDE w:val="0"/>
        <w:autoSpaceDN w:val="0"/>
        <w:adjustRightInd w:val="0"/>
        <w:spacing w:after="0" w:line="360" w:lineRule="auto"/>
        <w:ind w:left="1440" w:hanging="720"/>
        <w:jc w:val="both"/>
        <w:rPr>
          <w:rFonts w:ascii="Arial" w:hAnsi="Arial" w:cs="Arial"/>
          <w:color w:val="000000"/>
        </w:rPr>
      </w:pPr>
      <w:r w:rsidRPr="006F6E2D">
        <w:rPr>
          <w:rFonts w:ascii="Arial" w:hAnsi="Arial" w:cs="Arial"/>
          <w:color w:val="000000"/>
        </w:rPr>
        <w:t xml:space="preserve">“7.1 </w:t>
      </w:r>
      <w:r w:rsidRPr="006F6E2D">
        <w:rPr>
          <w:rFonts w:ascii="Arial" w:hAnsi="Arial" w:cs="Arial"/>
          <w:color w:val="000000"/>
        </w:rPr>
        <w:tab/>
        <w:t xml:space="preserve">The following shall be the documents to be signed and attached to each Participation Agreement in relation to procurement of the Mobile Communication Services referred to in Category 1 of RT15-2021 (mobile voice minutes, SMS, uncapped data, and Mobile Devices): </w:t>
      </w:r>
    </w:p>
    <w:p w:rsidR="00AA0DB9" w:rsidRPr="006F6E2D" w:rsidRDefault="00AA0DB9" w:rsidP="006F6E2D">
      <w:pPr>
        <w:pStyle w:val="ListParagraph"/>
        <w:autoSpaceDE w:val="0"/>
        <w:autoSpaceDN w:val="0"/>
        <w:adjustRightInd w:val="0"/>
        <w:spacing w:after="0" w:line="360" w:lineRule="auto"/>
        <w:ind w:left="2950" w:hanging="790"/>
        <w:jc w:val="both"/>
        <w:rPr>
          <w:rFonts w:ascii="Arial" w:hAnsi="Arial" w:cs="Arial"/>
          <w:color w:val="000000"/>
        </w:rPr>
      </w:pPr>
      <w:r w:rsidRPr="006F6E2D">
        <w:rPr>
          <w:rFonts w:ascii="Arial" w:hAnsi="Arial" w:cs="Arial"/>
          <w:color w:val="000000"/>
        </w:rPr>
        <w:t>7.1.1</w:t>
      </w:r>
      <w:r w:rsidRPr="006F6E2D">
        <w:rPr>
          <w:rFonts w:ascii="Arial" w:hAnsi="Arial" w:cs="Arial"/>
          <w:color w:val="000000"/>
        </w:rPr>
        <w:tab/>
        <w:t xml:space="preserve"> Proposal signed by both the Service Provider and the Participant.</w:t>
      </w:r>
    </w:p>
    <w:p w:rsidR="00AA0DB9" w:rsidRPr="006F6E2D" w:rsidRDefault="00AA0DB9" w:rsidP="006F6E2D">
      <w:pPr>
        <w:pStyle w:val="ListParagraph"/>
        <w:autoSpaceDE w:val="0"/>
        <w:autoSpaceDN w:val="0"/>
        <w:adjustRightInd w:val="0"/>
        <w:spacing w:after="0" w:line="360" w:lineRule="auto"/>
        <w:ind w:left="2950" w:hanging="790"/>
        <w:jc w:val="both"/>
        <w:rPr>
          <w:rFonts w:ascii="Arial" w:hAnsi="Arial" w:cs="Arial"/>
          <w:color w:val="000000"/>
          <w:sz w:val="24"/>
          <w:szCs w:val="24"/>
        </w:rPr>
      </w:pPr>
      <w:r w:rsidRPr="006F6E2D">
        <w:rPr>
          <w:rFonts w:ascii="Arial" w:hAnsi="Arial" w:cs="Arial"/>
          <w:color w:val="000000"/>
        </w:rPr>
        <w:t xml:space="preserve"> 7.1.2 </w:t>
      </w:r>
      <w:r w:rsidRPr="006F6E2D">
        <w:rPr>
          <w:rFonts w:ascii="Arial" w:hAnsi="Arial" w:cs="Arial"/>
          <w:color w:val="000000"/>
        </w:rPr>
        <w:tab/>
        <w:t>Purchase Order</w:t>
      </w:r>
      <w:r w:rsidRPr="006F6E2D">
        <w:rPr>
          <w:rFonts w:ascii="Arial" w:hAnsi="Arial" w:cs="Arial"/>
          <w:color w:val="000000"/>
          <w:sz w:val="27"/>
          <w:szCs w:val="27"/>
        </w:rPr>
        <w:t>.”</w:t>
      </w:r>
    </w:p>
    <w:p w:rsidR="00173CA3" w:rsidRPr="006F6E2D" w:rsidRDefault="00173CA3" w:rsidP="006F6E2D">
      <w:pPr>
        <w:pStyle w:val="ListParagraph"/>
        <w:spacing w:line="360" w:lineRule="auto"/>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lastRenderedPageBreak/>
        <w:t>[10]</w:t>
      </w:r>
      <w:r w:rsidRPr="006F6E2D">
        <w:rPr>
          <w:rFonts w:ascii="Arial" w:hAnsi="Arial" w:cs="Arial"/>
          <w:color w:val="000000"/>
          <w:sz w:val="24"/>
          <w:szCs w:val="24"/>
        </w:rPr>
        <w:tab/>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The Transversal Agreements are for five years commencing from April 2021 to 31 March 2026.</w:t>
      </w:r>
      <w:r w:rsidR="006618C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 The four Transversal </w:t>
      </w:r>
      <w:r w:rsidR="006618C7" w:rsidRPr="00C0573E">
        <w:rPr>
          <w:rFonts w:ascii="Arial" w:hAnsi="Arial" w:cs="Arial"/>
          <w:color w:val="000000"/>
          <w:sz w:val="24"/>
          <w:szCs w:val="24"/>
        </w:rPr>
        <w:t>A</w:t>
      </w:r>
      <w:r w:rsidR="00241ABE" w:rsidRPr="00C0573E">
        <w:rPr>
          <w:rFonts w:ascii="Arial" w:hAnsi="Arial" w:cs="Arial"/>
          <w:color w:val="000000"/>
          <w:sz w:val="24"/>
          <w:szCs w:val="24"/>
        </w:rPr>
        <w:t>greements are identical.</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[11]</w:t>
      </w:r>
      <w:r w:rsidRPr="006F6E2D">
        <w:rPr>
          <w:rFonts w:ascii="Arial" w:hAnsi="Arial" w:cs="Arial"/>
          <w:color w:val="000000"/>
          <w:sz w:val="24"/>
          <w:szCs w:val="24"/>
        </w:rPr>
        <w:tab/>
      </w:r>
      <w:r w:rsidR="00241ABE" w:rsidRPr="00C0573E">
        <w:rPr>
          <w:rFonts w:ascii="Arial" w:hAnsi="Arial" w:cs="Arial"/>
          <w:color w:val="000000"/>
          <w:sz w:val="24"/>
          <w:szCs w:val="24"/>
        </w:rPr>
        <w:t xml:space="preserve">The underlying consideration for the conclusion of the Transversal </w:t>
      </w:r>
      <w:r w:rsidR="006618C7" w:rsidRPr="00C0573E">
        <w:rPr>
          <w:rFonts w:ascii="Arial" w:hAnsi="Arial" w:cs="Arial"/>
          <w:color w:val="000000"/>
          <w:sz w:val="24"/>
          <w:szCs w:val="24"/>
        </w:rPr>
        <w:t>A</w:t>
      </w:r>
      <w:r w:rsidR="00241ABE" w:rsidRPr="00C0573E">
        <w:rPr>
          <w:rFonts w:ascii="Arial" w:hAnsi="Arial" w:cs="Arial"/>
          <w:color w:val="000000"/>
          <w:sz w:val="24"/>
          <w:szCs w:val="24"/>
        </w:rPr>
        <w:t>greements is to leverage the purchasing power for the State in securing goods and services</w:t>
      </w:r>
      <w:r w:rsidR="00635506" w:rsidRPr="00C0573E">
        <w:rPr>
          <w:rFonts w:ascii="Arial" w:hAnsi="Arial" w:cs="Arial"/>
          <w:color w:val="000000"/>
          <w:sz w:val="24"/>
          <w:szCs w:val="24"/>
        </w:rPr>
        <w:t xml:space="preserve"> from suppliers</w:t>
      </w:r>
      <w:r w:rsidR="00241ABE" w:rsidRPr="00C0573E">
        <w:rPr>
          <w:rFonts w:ascii="Arial" w:hAnsi="Arial" w:cs="Arial"/>
          <w:color w:val="000000"/>
          <w:sz w:val="24"/>
          <w:szCs w:val="24"/>
        </w:rPr>
        <w:t xml:space="preserve">.  This objective is illustrated by clause 5.1.1.7 of the Transversal </w:t>
      </w:r>
      <w:r w:rsidR="006618C7" w:rsidRPr="00C0573E">
        <w:rPr>
          <w:rFonts w:ascii="Arial" w:hAnsi="Arial" w:cs="Arial"/>
          <w:color w:val="000000"/>
          <w:sz w:val="24"/>
          <w:szCs w:val="24"/>
        </w:rPr>
        <w:t>A</w:t>
      </w:r>
      <w:r w:rsidR="00241ABE" w:rsidRPr="00C0573E">
        <w:rPr>
          <w:rFonts w:ascii="Arial" w:hAnsi="Arial" w:cs="Arial"/>
          <w:color w:val="000000"/>
          <w:sz w:val="24"/>
          <w:szCs w:val="24"/>
        </w:rPr>
        <w:t>greement, which provides as follows:</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(a)</w:t>
      </w:r>
      <w:r w:rsidRPr="006F6E2D">
        <w:rPr>
          <w:rFonts w:ascii="Arial" w:hAnsi="Arial" w:cs="Arial"/>
          <w:color w:val="000000"/>
          <w:sz w:val="24"/>
          <w:szCs w:val="24"/>
        </w:rPr>
        <w:tab/>
      </w:r>
      <w:r w:rsidR="00241ABE" w:rsidRPr="00C0573E">
        <w:rPr>
          <w:rFonts w:ascii="Arial" w:hAnsi="Arial" w:cs="Arial"/>
          <w:color w:val="000000"/>
        </w:rPr>
        <w:t>“All Subscriptions for category 1A and 1B must not exceed a maximum limit value of R500 including Value Added Tax (VAT) per mobile user per month</w:t>
      </w:r>
      <w:r w:rsidR="00BB5689" w:rsidRPr="00C0573E">
        <w:rPr>
          <w:rFonts w:ascii="Arial" w:hAnsi="Arial" w:cs="Arial"/>
          <w:color w:val="000000"/>
        </w:rPr>
        <w:t>”</w:t>
      </w:r>
      <w:r w:rsidR="00241ABE" w:rsidRPr="00C0573E">
        <w:rPr>
          <w:rFonts w:ascii="Arial" w:hAnsi="Arial" w:cs="Arial"/>
          <w:color w:val="000000"/>
        </w:rPr>
        <w:t>.</w:t>
      </w:r>
      <w:r w:rsidR="00CE2FAE" w:rsidRPr="00C0573E">
        <w:rPr>
          <w:rFonts w:ascii="Arial" w:hAnsi="Arial" w:cs="Arial"/>
          <w:color w:val="000000"/>
        </w:rPr>
        <w:t xml:space="preserve"> </w:t>
      </w:r>
      <w:r w:rsidR="00681DA3" w:rsidRPr="00C0573E">
        <w:rPr>
          <w:rFonts w:ascii="Arial" w:hAnsi="Arial" w:cs="Arial"/>
          <w:color w:val="000000"/>
        </w:rPr>
        <w:t>(Emphasis </w:t>
      </w:r>
      <w:r w:rsidR="00CE2FAE" w:rsidRPr="00C0573E">
        <w:rPr>
          <w:rFonts w:ascii="Arial" w:hAnsi="Arial" w:cs="Arial"/>
          <w:color w:val="000000"/>
        </w:rPr>
        <w:t>added.)</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[12]</w:t>
      </w:r>
      <w:r w:rsidRPr="006F6E2D">
        <w:rPr>
          <w:rFonts w:ascii="Arial" w:hAnsi="Arial" w:cs="Arial"/>
          <w:color w:val="000000"/>
          <w:sz w:val="24"/>
          <w:szCs w:val="24"/>
        </w:rPr>
        <w:tab/>
      </w:r>
      <w:r w:rsidR="00241ABE" w:rsidRPr="00C0573E">
        <w:rPr>
          <w:rFonts w:ascii="Arial" w:hAnsi="Arial" w:cs="Arial"/>
          <w:color w:val="000000"/>
          <w:sz w:val="24"/>
          <w:szCs w:val="24"/>
        </w:rPr>
        <w:t xml:space="preserve">It is common cause that once the SAPS had accepted participation in the Transversal </w:t>
      </w:r>
      <w:r w:rsidR="006E5618" w:rsidRPr="00C0573E">
        <w:rPr>
          <w:rFonts w:ascii="Arial" w:hAnsi="Arial" w:cs="Arial"/>
          <w:color w:val="000000"/>
          <w:sz w:val="24"/>
          <w:szCs w:val="24"/>
        </w:rPr>
        <w:t>A</w:t>
      </w:r>
      <w:r w:rsidR="00241ABE" w:rsidRPr="00C0573E">
        <w:rPr>
          <w:rFonts w:ascii="Arial" w:hAnsi="Arial" w:cs="Arial"/>
          <w:color w:val="000000"/>
          <w:sz w:val="24"/>
          <w:szCs w:val="24"/>
        </w:rPr>
        <w:t>greements it would be entitled to procure the follo</w:t>
      </w:r>
      <w:r w:rsidR="00185450" w:rsidRPr="00C0573E">
        <w:rPr>
          <w:rFonts w:ascii="Arial" w:hAnsi="Arial" w:cs="Arial"/>
          <w:color w:val="000000"/>
          <w:sz w:val="24"/>
          <w:szCs w:val="24"/>
        </w:rPr>
        <w:t>wing goods and services from any or all of the</w:t>
      </w:r>
      <w:r w:rsidR="00241ABE" w:rsidRPr="00C0573E">
        <w:rPr>
          <w:rFonts w:ascii="Arial" w:hAnsi="Arial" w:cs="Arial"/>
          <w:color w:val="000000"/>
          <w:sz w:val="24"/>
          <w:szCs w:val="24"/>
        </w:rPr>
        <w:t xml:space="preserve"> mobile operators mentioned above:</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(a)</w:t>
      </w:r>
      <w:r w:rsidRPr="006F6E2D">
        <w:rPr>
          <w:rFonts w:ascii="Arial" w:hAnsi="Arial" w:cs="Arial"/>
          <w:color w:val="000000"/>
          <w:sz w:val="24"/>
          <w:szCs w:val="24"/>
        </w:rPr>
        <w:tab/>
      </w:r>
      <w:r w:rsidR="00241ABE" w:rsidRPr="00C0573E">
        <w:rPr>
          <w:rFonts w:ascii="Arial" w:hAnsi="Arial" w:cs="Arial"/>
          <w:color w:val="000000"/>
          <w:sz w:val="24"/>
          <w:szCs w:val="24"/>
        </w:rPr>
        <w:t xml:space="preserve">Category 1A: </w:t>
      </w:r>
      <w:r w:rsidR="006E5618" w:rsidRPr="00C0573E">
        <w:rPr>
          <w:rFonts w:ascii="Arial" w:hAnsi="Arial" w:cs="Arial"/>
          <w:color w:val="000000"/>
          <w:sz w:val="24"/>
          <w:szCs w:val="24"/>
        </w:rPr>
        <w:t>M</w:t>
      </w:r>
      <w:r w:rsidR="00241ABE" w:rsidRPr="00C0573E">
        <w:rPr>
          <w:rFonts w:ascii="Arial" w:hAnsi="Arial" w:cs="Arial"/>
          <w:color w:val="000000"/>
          <w:sz w:val="24"/>
          <w:szCs w:val="24"/>
        </w:rPr>
        <w:t>obile services with a mobile device;</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(b)</w:t>
      </w:r>
      <w:r w:rsidRPr="006F6E2D">
        <w:rPr>
          <w:rFonts w:ascii="Arial" w:hAnsi="Arial" w:cs="Arial"/>
          <w:color w:val="000000"/>
          <w:sz w:val="24"/>
          <w:szCs w:val="24"/>
        </w:rPr>
        <w:tab/>
      </w:r>
      <w:r w:rsidR="00241ABE" w:rsidRPr="00C0573E">
        <w:rPr>
          <w:rFonts w:ascii="Arial" w:hAnsi="Arial" w:cs="Arial"/>
          <w:color w:val="000000"/>
          <w:sz w:val="24"/>
          <w:szCs w:val="24"/>
        </w:rPr>
        <w:t xml:space="preserve">Category 1B: </w:t>
      </w:r>
      <w:r w:rsidR="006E5618" w:rsidRPr="00C0573E">
        <w:rPr>
          <w:rFonts w:ascii="Arial" w:hAnsi="Arial" w:cs="Arial"/>
          <w:color w:val="000000"/>
          <w:sz w:val="24"/>
          <w:szCs w:val="24"/>
        </w:rPr>
        <w:t>M</w:t>
      </w:r>
      <w:r w:rsidR="00241ABE" w:rsidRPr="00C0573E">
        <w:rPr>
          <w:rFonts w:ascii="Arial" w:hAnsi="Arial" w:cs="Arial"/>
          <w:color w:val="000000"/>
          <w:sz w:val="24"/>
          <w:szCs w:val="24"/>
        </w:rPr>
        <w:t>obile services without a mobile device;</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(c)</w:t>
      </w:r>
      <w:r w:rsidRPr="006F6E2D">
        <w:rPr>
          <w:rFonts w:ascii="Arial" w:hAnsi="Arial" w:cs="Arial"/>
          <w:color w:val="000000"/>
          <w:sz w:val="24"/>
          <w:szCs w:val="24"/>
        </w:rPr>
        <w:tab/>
      </w:r>
      <w:r w:rsidR="00241ABE" w:rsidRPr="00C0573E">
        <w:rPr>
          <w:rFonts w:ascii="Arial" w:hAnsi="Arial" w:cs="Arial"/>
          <w:color w:val="000000"/>
          <w:sz w:val="24"/>
          <w:szCs w:val="24"/>
        </w:rPr>
        <w:t xml:space="preserve">Category 1C: </w:t>
      </w:r>
      <w:r w:rsidR="006E5618" w:rsidRPr="00C0573E">
        <w:rPr>
          <w:rFonts w:ascii="Arial" w:hAnsi="Arial" w:cs="Arial"/>
          <w:color w:val="000000"/>
          <w:sz w:val="24"/>
          <w:szCs w:val="24"/>
        </w:rPr>
        <w:t>M</w:t>
      </w:r>
      <w:r w:rsidR="00241ABE" w:rsidRPr="00C0573E">
        <w:rPr>
          <w:rFonts w:ascii="Arial" w:hAnsi="Arial" w:cs="Arial"/>
          <w:color w:val="000000"/>
          <w:sz w:val="24"/>
          <w:szCs w:val="24"/>
        </w:rPr>
        <w:t>obile device without mobile services;</w:t>
      </w:r>
    </w:p>
    <w:p w:rsidR="00241ABE"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(d)</w:t>
      </w:r>
      <w:r w:rsidRPr="006F6E2D">
        <w:rPr>
          <w:rFonts w:ascii="Arial" w:hAnsi="Arial" w:cs="Arial"/>
          <w:color w:val="000000"/>
          <w:sz w:val="24"/>
          <w:szCs w:val="24"/>
        </w:rPr>
        <w:tab/>
      </w:r>
      <w:r w:rsidR="00241ABE" w:rsidRPr="00C0573E">
        <w:rPr>
          <w:rFonts w:ascii="Arial" w:hAnsi="Arial" w:cs="Arial"/>
          <w:color w:val="000000"/>
          <w:sz w:val="24"/>
          <w:szCs w:val="24"/>
        </w:rPr>
        <w:t>Category 2: Value Added Services; and</w:t>
      </w:r>
    </w:p>
    <w:p w:rsidR="00173CA3" w:rsidRPr="00C0573E" w:rsidRDefault="00C0573E" w:rsidP="00C0573E">
      <w:pPr>
        <w:autoSpaceDE w:val="0"/>
        <w:autoSpaceDN w:val="0"/>
        <w:adjustRightInd w:val="0"/>
        <w:spacing w:after="0" w:line="360" w:lineRule="auto"/>
        <w:ind w:left="1134" w:hanging="567"/>
        <w:jc w:val="both"/>
        <w:rPr>
          <w:rFonts w:ascii="Arial" w:hAnsi="Arial" w:cs="Arial"/>
          <w:color w:val="000000"/>
          <w:sz w:val="24"/>
          <w:szCs w:val="24"/>
        </w:rPr>
      </w:pPr>
      <w:r w:rsidRPr="006F6E2D">
        <w:rPr>
          <w:rFonts w:ascii="Arial" w:hAnsi="Arial" w:cs="Arial"/>
          <w:color w:val="000000"/>
          <w:sz w:val="24"/>
          <w:szCs w:val="24"/>
        </w:rPr>
        <w:t>(e)</w:t>
      </w:r>
      <w:r w:rsidRPr="006F6E2D">
        <w:rPr>
          <w:rFonts w:ascii="Arial" w:hAnsi="Arial" w:cs="Arial"/>
          <w:color w:val="000000"/>
          <w:sz w:val="24"/>
          <w:szCs w:val="24"/>
        </w:rPr>
        <w:tab/>
      </w:r>
      <w:r w:rsidR="00241ABE" w:rsidRPr="00C0573E">
        <w:rPr>
          <w:rFonts w:ascii="Arial" w:hAnsi="Arial" w:cs="Arial"/>
          <w:color w:val="000000"/>
          <w:sz w:val="24"/>
          <w:szCs w:val="24"/>
        </w:rPr>
        <w:t>Category 3: Accessories.</w:t>
      </w:r>
      <w:r w:rsidR="0041255A" w:rsidRPr="006F6E2D">
        <w:rPr>
          <w:rStyle w:val="FootnoteReference"/>
          <w:rFonts w:ascii="Arial" w:hAnsi="Arial" w:cs="Arial"/>
          <w:color w:val="000000"/>
          <w:sz w:val="24"/>
          <w:szCs w:val="24"/>
          <w:vertAlign w:val="superscript"/>
        </w:rPr>
        <w:footnoteReference w:id="3"/>
      </w:r>
    </w:p>
    <w:p w:rsidR="00173CA3" w:rsidRPr="006F6E2D" w:rsidRDefault="00173CA3" w:rsidP="006F6E2D">
      <w:pPr>
        <w:pStyle w:val="ListParagraph"/>
        <w:autoSpaceDE w:val="0"/>
        <w:autoSpaceDN w:val="0"/>
        <w:adjustRightInd w:val="0"/>
        <w:spacing w:after="0" w:line="360" w:lineRule="auto"/>
        <w:ind w:left="0"/>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[13]</w:t>
      </w:r>
      <w:r w:rsidRPr="006F6E2D">
        <w:rPr>
          <w:rFonts w:ascii="Arial" w:hAnsi="Arial" w:cs="Arial"/>
          <w:color w:val="000000"/>
          <w:sz w:val="24"/>
          <w:szCs w:val="24"/>
        </w:rPr>
        <w:tab/>
      </w:r>
      <w:r w:rsidR="00241ABE" w:rsidRPr="00C0573E">
        <w:rPr>
          <w:rFonts w:ascii="Arial" w:hAnsi="Arial" w:cs="Arial"/>
          <w:color w:val="000000"/>
          <w:sz w:val="24"/>
          <w:szCs w:val="24"/>
        </w:rPr>
        <w:t>To become a participant and to create a relationship with any of the mobile providers within the broad framework of the Transversal Agreement</w:t>
      </w:r>
      <w:r w:rsidR="003F15EB" w:rsidRPr="00C0573E">
        <w:rPr>
          <w:rFonts w:ascii="Arial" w:hAnsi="Arial" w:cs="Arial"/>
          <w:color w:val="000000"/>
          <w:sz w:val="24"/>
          <w:szCs w:val="24"/>
        </w:rPr>
        <w:t>,</w:t>
      </w:r>
      <w:r w:rsidR="00241ABE" w:rsidRPr="00C0573E">
        <w:rPr>
          <w:rFonts w:ascii="Arial" w:hAnsi="Arial" w:cs="Arial"/>
          <w:color w:val="000000"/>
          <w:sz w:val="24"/>
          <w:szCs w:val="24"/>
        </w:rPr>
        <w:t xml:space="preserve"> the SAPS had to sign a participation letter which was to be addressed to the Treasury. </w:t>
      </w:r>
      <w:r w:rsidR="003F15EB" w:rsidRPr="00C0573E">
        <w:rPr>
          <w:rFonts w:ascii="Arial" w:hAnsi="Arial" w:cs="Arial"/>
          <w:color w:val="000000"/>
          <w:sz w:val="24"/>
          <w:szCs w:val="24"/>
        </w:rPr>
        <w:t xml:space="preserve"> </w:t>
      </w:r>
      <w:r w:rsidR="00241ABE" w:rsidRPr="00C0573E">
        <w:rPr>
          <w:rFonts w:ascii="Arial" w:hAnsi="Arial" w:cs="Arial"/>
          <w:color w:val="000000"/>
          <w:sz w:val="24"/>
          <w:szCs w:val="24"/>
        </w:rPr>
        <w:t>In other words, once the SAP</w:t>
      </w:r>
      <w:r w:rsidR="003F15EB" w:rsidRPr="00C0573E">
        <w:rPr>
          <w:rFonts w:ascii="Arial" w:hAnsi="Arial" w:cs="Arial"/>
          <w:color w:val="000000"/>
          <w:sz w:val="24"/>
          <w:szCs w:val="24"/>
        </w:rPr>
        <w:t>S</w:t>
      </w:r>
      <w:r w:rsidR="00241ABE" w:rsidRPr="00C0573E">
        <w:rPr>
          <w:rFonts w:ascii="Arial" w:hAnsi="Arial" w:cs="Arial"/>
          <w:color w:val="000000"/>
          <w:sz w:val="24"/>
          <w:szCs w:val="24"/>
        </w:rPr>
        <w:t xml:space="preserve"> signed and forwarded the letter to the Treasury, then it would be entitled to select one or more of the mobile service providers to render mobile services including </w:t>
      </w:r>
      <w:r w:rsidR="003F15EB" w:rsidRPr="00C0573E">
        <w:rPr>
          <w:rFonts w:ascii="Arial" w:hAnsi="Arial" w:cs="Arial"/>
          <w:color w:val="000000"/>
          <w:sz w:val="24"/>
          <w:szCs w:val="24"/>
        </w:rPr>
        <w:t xml:space="preserve">the </w:t>
      </w:r>
      <w:r w:rsidR="00241ABE" w:rsidRPr="00C0573E">
        <w:rPr>
          <w:rFonts w:ascii="Arial" w:hAnsi="Arial" w:cs="Arial"/>
          <w:color w:val="000000"/>
          <w:sz w:val="24"/>
          <w:szCs w:val="24"/>
        </w:rPr>
        <w:t xml:space="preserve">supply </w:t>
      </w:r>
      <w:r w:rsidR="0041255A" w:rsidRPr="00C0573E">
        <w:rPr>
          <w:rFonts w:ascii="Arial" w:hAnsi="Arial" w:cs="Arial"/>
          <w:color w:val="000000"/>
          <w:sz w:val="24"/>
          <w:szCs w:val="24"/>
        </w:rPr>
        <w:t xml:space="preserve">of </w:t>
      </w:r>
      <w:r w:rsidR="00241ABE" w:rsidRPr="00C0573E">
        <w:rPr>
          <w:rFonts w:ascii="Arial" w:hAnsi="Arial" w:cs="Arial"/>
          <w:color w:val="000000"/>
          <w:sz w:val="24"/>
          <w:szCs w:val="24"/>
        </w:rPr>
        <w:t>mobile equipment without having to issue a tender for such services.</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[14]</w:t>
      </w:r>
      <w:r w:rsidRPr="006F6E2D">
        <w:rPr>
          <w:rFonts w:ascii="Arial" w:hAnsi="Arial" w:cs="Arial"/>
          <w:color w:val="000000"/>
          <w:sz w:val="24"/>
          <w:szCs w:val="24"/>
        </w:rPr>
        <w:tab/>
      </w:r>
      <w:r w:rsidR="00241ABE" w:rsidRPr="00C0573E">
        <w:rPr>
          <w:rFonts w:ascii="Arial" w:hAnsi="Arial" w:cs="Arial"/>
          <w:color w:val="000000"/>
          <w:sz w:val="24"/>
          <w:szCs w:val="24"/>
        </w:rPr>
        <w:t xml:space="preserve">Following the acceptance to participate in the Transversal </w:t>
      </w:r>
      <w:r w:rsidR="0041255A" w:rsidRPr="00C0573E">
        <w:rPr>
          <w:rFonts w:ascii="Arial" w:hAnsi="Arial" w:cs="Arial"/>
          <w:color w:val="000000"/>
          <w:sz w:val="24"/>
          <w:szCs w:val="24"/>
        </w:rPr>
        <w:t>A</w:t>
      </w:r>
      <w:r w:rsidR="00241ABE" w:rsidRPr="00C0573E">
        <w:rPr>
          <w:rFonts w:ascii="Arial" w:hAnsi="Arial" w:cs="Arial"/>
          <w:color w:val="000000"/>
          <w:sz w:val="24"/>
          <w:szCs w:val="24"/>
        </w:rPr>
        <w:t>greement</w:t>
      </w:r>
      <w:r w:rsidR="0041255A" w:rsidRPr="00C0573E">
        <w:rPr>
          <w:rFonts w:ascii="Arial" w:hAnsi="Arial" w:cs="Arial"/>
          <w:color w:val="000000"/>
          <w:sz w:val="24"/>
          <w:szCs w:val="24"/>
        </w:rPr>
        <w:t>,</w:t>
      </w:r>
      <w:r w:rsidR="00241ABE" w:rsidRPr="00C0573E">
        <w:rPr>
          <w:rFonts w:ascii="Arial" w:hAnsi="Arial" w:cs="Arial"/>
          <w:color w:val="000000"/>
          <w:sz w:val="24"/>
          <w:szCs w:val="24"/>
        </w:rPr>
        <w:t xml:space="preserve"> the SAPS issued an email inviting the mobile service providers to a meeting on 21</w:t>
      </w:r>
      <w:r w:rsidR="0041255A" w:rsidRPr="00C0573E">
        <w:rPr>
          <w:rFonts w:ascii="Arial" w:hAnsi="Arial" w:cs="Arial"/>
          <w:color w:val="000000"/>
          <w:sz w:val="24"/>
          <w:szCs w:val="24"/>
        </w:rPr>
        <w:t> </w:t>
      </w:r>
      <w:r w:rsidR="00241ABE" w:rsidRPr="00C0573E">
        <w:rPr>
          <w:rFonts w:ascii="Arial" w:hAnsi="Arial" w:cs="Arial"/>
          <w:color w:val="000000"/>
          <w:sz w:val="24"/>
          <w:szCs w:val="24"/>
        </w:rPr>
        <w:t>June</w:t>
      </w:r>
      <w:r w:rsidR="0041255A" w:rsidRPr="00C0573E">
        <w:rPr>
          <w:rFonts w:ascii="Arial" w:hAnsi="Arial" w:cs="Arial"/>
          <w:color w:val="000000"/>
          <w:sz w:val="24"/>
          <w:szCs w:val="24"/>
        </w:rPr>
        <w:t> </w:t>
      </w:r>
      <w:r w:rsidR="00241ABE" w:rsidRPr="00C0573E">
        <w:rPr>
          <w:rFonts w:ascii="Arial" w:hAnsi="Arial" w:cs="Arial"/>
          <w:color w:val="000000"/>
          <w:sz w:val="24"/>
          <w:szCs w:val="24"/>
        </w:rPr>
        <w:t>2021 to make presentation</w:t>
      </w:r>
      <w:r w:rsidR="0041255A" w:rsidRPr="00C0573E">
        <w:rPr>
          <w:rFonts w:ascii="Arial" w:hAnsi="Arial" w:cs="Arial"/>
          <w:color w:val="000000"/>
          <w:sz w:val="24"/>
          <w:szCs w:val="24"/>
        </w:rPr>
        <w:t>s</w:t>
      </w:r>
      <w:r w:rsidR="00241ABE" w:rsidRPr="00C0573E">
        <w:rPr>
          <w:rFonts w:ascii="Arial" w:hAnsi="Arial" w:cs="Arial"/>
          <w:color w:val="000000"/>
          <w:sz w:val="24"/>
          <w:szCs w:val="24"/>
        </w:rPr>
        <w:t xml:space="preserve"> on services they could provide in terms of the requirements of RT15-2021.</w:t>
      </w:r>
    </w:p>
    <w:p w:rsidR="006B08D5" w:rsidRPr="006F6E2D" w:rsidRDefault="006B08D5" w:rsidP="006F6E2D">
      <w:pPr>
        <w:pStyle w:val="ListParagraph"/>
        <w:autoSpaceDE w:val="0"/>
        <w:autoSpaceDN w:val="0"/>
        <w:adjustRightInd w:val="0"/>
        <w:spacing w:after="0" w:line="360" w:lineRule="auto"/>
        <w:ind w:left="0"/>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[15]</w:t>
      </w:r>
      <w:r w:rsidRPr="006F6E2D">
        <w:rPr>
          <w:rFonts w:ascii="Arial" w:hAnsi="Arial" w:cs="Arial"/>
          <w:color w:val="000000"/>
          <w:sz w:val="24"/>
          <w:szCs w:val="24"/>
        </w:rPr>
        <w:tab/>
      </w:r>
      <w:r w:rsidR="00241ABE" w:rsidRPr="00C0573E">
        <w:rPr>
          <w:rFonts w:ascii="Arial" w:hAnsi="Arial" w:cs="Arial"/>
          <w:color w:val="000000"/>
          <w:sz w:val="24"/>
          <w:szCs w:val="24"/>
        </w:rPr>
        <w:t>After that</w:t>
      </w:r>
      <w:r w:rsidR="0041255A" w:rsidRPr="00C0573E">
        <w:rPr>
          <w:rFonts w:ascii="Arial" w:hAnsi="Arial" w:cs="Arial"/>
          <w:color w:val="000000"/>
          <w:sz w:val="24"/>
          <w:szCs w:val="24"/>
        </w:rPr>
        <w:t>,</w:t>
      </w:r>
      <w:r w:rsidR="00241ABE" w:rsidRPr="00C0573E">
        <w:rPr>
          <w:rFonts w:ascii="Arial" w:hAnsi="Arial" w:cs="Arial"/>
          <w:color w:val="000000"/>
          <w:sz w:val="24"/>
          <w:szCs w:val="24"/>
        </w:rPr>
        <w:t xml:space="preserve"> the SAPS issued an email on 24 June 2021 requesting the service providers to present and submit information on their mobile services, including prices and network coverage. </w:t>
      </w:r>
      <w:r w:rsidR="0041255A" w:rsidRPr="00C0573E">
        <w:rPr>
          <w:rFonts w:ascii="Arial" w:hAnsi="Arial" w:cs="Arial"/>
          <w:color w:val="000000"/>
          <w:sz w:val="24"/>
          <w:szCs w:val="24"/>
        </w:rPr>
        <w:t xml:space="preserve"> </w:t>
      </w:r>
      <w:r w:rsidR="00241ABE" w:rsidRPr="00C0573E">
        <w:rPr>
          <w:rFonts w:ascii="Arial" w:hAnsi="Arial" w:cs="Arial"/>
          <w:color w:val="000000"/>
          <w:sz w:val="24"/>
          <w:szCs w:val="24"/>
        </w:rPr>
        <w:t>The email reads as follows:</w:t>
      </w:r>
    </w:p>
    <w:p w:rsidR="00C800F5" w:rsidRPr="006F6E2D" w:rsidRDefault="00BB5689" w:rsidP="006F6E2D">
      <w:pPr>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w:t>
      </w:r>
      <w:r w:rsidR="00241ABE" w:rsidRPr="006F6E2D">
        <w:rPr>
          <w:rFonts w:ascii="Arial" w:hAnsi="Arial" w:cs="Arial"/>
          <w:color w:val="000000"/>
        </w:rPr>
        <w:t>SAPS is currently embarking on National Network Upgrade Program (NNUP). The aim of this program is to replace all legacy system network devices and to install modern digital technology. This modern digital technology includes the commissioning of Voice Over IP telephone system. There is work that needs to be done to upgrade the existing infrastructure on site in order to get the site to be VOIP ready [</w:t>
      </w:r>
      <w:r w:rsidR="00C800F5" w:rsidRPr="006F6E2D">
        <w:rPr>
          <w:rFonts w:ascii="Arial" w:hAnsi="Arial" w:cs="Arial"/>
          <w:color w:val="000000"/>
        </w:rPr>
        <w:t>e.g.]</w:t>
      </w:r>
      <w:r w:rsidR="00241ABE" w:rsidRPr="006F6E2D">
        <w:rPr>
          <w:rFonts w:ascii="Arial" w:hAnsi="Arial" w:cs="Arial"/>
          <w:color w:val="000000"/>
        </w:rPr>
        <w:t>: POE switches, voice routers, etc.]. These sites are currently using the traditional telephone systems.</w:t>
      </w:r>
    </w:p>
    <w:p w:rsidR="00C800F5" w:rsidRPr="006F6E2D" w:rsidRDefault="00C800F5" w:rsidP="006F6E2D">
      <w:pPr>
        <w:autoSpaceDE w:val="0"/>
        <w:autoSpaceDN w:val="0"/>
        <w:adjustRightInd w:val="0"/>
        <w:spacing w:after="0" w:line="360" w:lineRule="auto"/>
        <w:ind w:left="567"/>
        <w:jc w:val="both"/>
        <w:rPr>
          <w:rFonts w:ascii="Arial" w:hAnsi="Arial" w:cs="Arial"/>
          <w:color w:val="000000"/>
        </w:rPr>
      </w:pPr>
    </w:p>
    <w:p w:rsidR="00C800F5" w:rsidRPr="006F6E2D" w:rsidRDefault="00241ABE" w:rsidP="006F6E2D">
      <w:pPr>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and</w:t>
      </w:r>
    </w:p>
    <w:p w:rsidR="00241ABE" w:rsidRPr="006F6E2D" w:rsidRDefault="00241ABE" w:rsidP="006F6E2D">
      <w:pPr>
        <w:autoSpaceDE w:val="0"/>
        <w:autoSpaceDN w:val="0"/>
        <w:adjustRightInd w:val="0"/>
        <w:spacing w:after="0" w:line="360" w:lineRule="auto"/>
        <w:ind w:left="567"/>
        <w:jc w:val="both"/>
        <w:rPr>
          <w:rFonts w:ascii="Arial" w:hAnsi="Arial" w:cs="Arial"/>
          <w:color w:val="000000"/>
        </w:rPr>
      </w:pPr>
    </w:p>
    <w:p w:rsidR="00241ABE" w:rsidRPr="006F6E2D" w:rsidRDefault="00241ABE" w:rsidP="006F6E2D">
      <w:pPr>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 xml:space="preserve">There are also sites that are currently without any telephone services and negatively impacting the service delivery that SAPS is mandated to carry out. As part of </w:t>
      </w:r>
      <w:r w:rsidRPr="006F6E2D">
        <w:rPr>
          <w:rFonts w:ascii="Arial" w:hAnsi="Arial" w:cs="Arial"/>
        </w:rPr>
        <w:t xml:space="preserve">the [Transversal Contract], SAPS is hereby requesting </w:t>
      </w:r>
      <w:r w:rsidRPr="006F6E2D">
        <w:rPr>
          <w:rFonts w:ascii="Arial" w:hAnsi="Arial" w:cs="Arial"/>
          <w:color w:val="000000"/>
        </w:rPr>
        <w:t xml:space="preserve">a presentation not limiting the categories (1C, 2, three) on </w:t>
      </w:r>
      <w:r w:rsidR="00C800F5" w:rsidRPr="006F6E2D">
        <w:rPr>
          <w:rFonts w:ascii="Arial" w:hAnsi="Arial" w:cs="Arial"/>
          <w:color w:val="000000"/>
        </w:rPr>
        <w:t>[</w:t>
      </w:r>
      <w:r w:rsidRPr="006F6E2D">
        <w:rPr>
          <w:rFonts w:ascii="Arial" w:hAnsi="Arial" w:cs="Arial"/>
          <w:color w:val="000000"/>
        </w:rPr>
        <w:t>Transversal Contract</w:t>
      </w:r>
      <w:r w:rsidR="00C800F5" w:rsidRPr="006F6E2D">
        <w:rPr>
          <w:rFonts w:ascii="Arial" w:hAnsi="Arial" w:cs="Arial"/>
          <w:color w:val="000000"/>
        </w:rPr>
        <w:t>]</w:t>
      </w:r>
      <w:r w:rsidRPr="006F6E2D">
        <w:rPr>
          <w:rFonts w:ascii="Arial" w:hAnsi="Arial" w:cs="Arial"/>
          <w:color w:val="000000"/>
        </w:rPr>
        <w:t xml:space="preserve"> according to Annexure </w:t>
      </w:r>
      <w:r w:rsidR="00C800F5" w:rsidRPr="006F6E2D">
        <w:rPr>
          <w:rFonts w:ascii="Arial" w:hAnsi="Arial" w:cs="Arial"/>
          <w:color w:val="000000"/>
        </w:rPr>
        <w:t>O</w:t>
      </w:r>
      <w:r w:rsidRPr="006F6E2D">
        <w:rPr>
          <w:rFonts w:ascii="Arial" w:hAnsi="Arial" w:cs="Arial"/>
          <w:color w:val="000000"/>
        </w:rPr>
        <w:t xml:space="preserve"> in order to sure case (sic) other possible solutions and address technology challenges at various police stations across the country. Any solution that will be presented must cater for the sensitivity of this organization.</w:t>
      </w:r>
      <w:r w:rsidR="00BB5689" w:rsidRPr="006F6E2D">
        <w:rPr>
          <w:rFonts w:ascii="Arial" w:hAnsi="Arial" w:cs="Arial"/>
          <w:color w:val="000000"/>
        </w:rPr>
        <w:t>”</w:t>
      </w:r>
      <w:r w:rsidR="00C800F5" w:rsidRPr="006F6E2D">
        <w:rPr>
          <w:rStyle w:val="FootnoteReference"/>
          <w:rFonts w:ascii="Arial" w:hAnsi="Arial" w:cs="Arial"/>
          <w:color w:val="000000"/>
          <w:vertAlign w:val="superscript"/>
        </w:rPr>
        <w:footnoteReference w:id="4"/>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[16]</w:t>
      </w:r>
      <w:r w:rsidRPr="006F6E2D">
        <w:rPr>
          <w:rFonts w:ascii="Arial" w:hAnsi="Arial" w:cs="Arial"/>
          <w:color w:val="000000"/>
          <w:sz w:val="24"/>
          <w:szCs w:val="24"/>
        </w:rPr>
        <w:tab/>
      </w:r>
      <w:r w:rsidR="00241ABE" w:rsidRPr="00C0573E">
        <w:rPr>
          <w:rFonts w:ascii="Arial" w:hAnsi="Arial" w:cs="Arial"/>
          <w:color w:val="000000"/>
          <w:sz w:val="24"/>
          <w:szCs w:val="24"/>
        </w:rPr>
        <w:t>On 2 September 2021</w:t>
      </w:r>
      <w:r w:rsidR="005F433F" w:rsidRPr="00C0573E">
        <w:rPr>
          <w:rFonts w:ascii="Arial" w:hAnsi="Arial" w:cs="Arial"/>
          <w:color w:val="000000"/>
          <w:sz w:val="24"/>
          <w:szCs w:val="24"/>
        </w:rPr>
        <w:t>,</w:t>
      </w:r>
      <w:r w:rsidR="00241ABE" w:rsidRPr="00C0573E">
        <w:rPr>
          <w:rFonts w:ascii="Arial" w:hAnsi="Arial" w:cs="Arial"/>
          <w:color w:val="000000"/>
          <w:sz w:val="24"/>
          <w:szCs w:val="24"/>
        </w:rPr>
        <w:t xml:space="preserve"> the SAPS requested the service providers to provide pricing with regard to categories 1C and 1B based on the mobile services which the SAPS sought to procure. The “network coverage” referred to in the email concerned the geographic area covered by the service providers within the South African population.</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[17]</w:t>
      </w:r>
      <w:r w:rsidRPr="006F6E2D">
        <w:rPr>
          <w:rFonts w:ascii="Arial" w:hAnsi="Arial" w:cs="Arial"/>
          <w:color w:val="000000"/>
          <w:sz w:val="24"/>
          <w:szCs w:val="24"/>
        </w:rPr>
        <w:tab/>
      </w:r>
      <w:r w:rsidR="00241ABE" w:rsidRPr="00C0573E">
        <w:rPr>
          <w:rFonts w:ascii="Arial" w:hAnsi="Arial" w:cs="Arial"/>
          <w:color w:val="000000"/>
          <w:sz w:val="24"/>
          <w:szCs w:val="24"/>
        </w:rPr>
        <w:t>Vodacom made its presentation on 28 June 2021 and forwarded the same to the SAPS two days later by email.</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[18]</w:t>
      </w:r>
      <w:r w:rsidRPr="006F6E2D">
        <w:rPr>
          <w:rFonts w:ascii="Arial" w:hAnsi="Arial" w:cs="Arial"/>
          <w:color w:val="000000"/>
          <w:sz w:val="24"/>
          <w:szCs w:val="24"/>
        </w:rPr>
        <w:tab/>
      </w:r>
      <w:r w:rsidR="00241ABE" w:rsidRPr="00C0573E">
        <w:rPr>
          <w:rFonts w:ascii="Arial" w:hAnsi="Arial" w:cs="Arial"/>
          <w:color w:val="000000"/>
          <w:sz w:val="24"/>
          <w:szCs w:val="24"/>
        </w:rPr>
        <w:t xml:space="preserve">The </w:t>
      </w:r>
      <w:r w:rsidR="00954913" w:rsidRPr="00C0573E">
        <w:rPr>
          <w:rFonts w:ascii="Arial" w:hAnsi="Arial" w:cs="Arial"/>
          <w:color w:val="000000"/>
          <w:sz w:val="24"/>
          <w:szCs w:val="24"/>
        </w:rPr>
        <w:t xml:space="preserve">SAPS sub-committee </w:t>
      </w:r>
      <w:r w:rsidR="00241ABE" w:rsidRPr="00C0573E">
        <w:rPr>
          <w:rFonts w:ascii="Arial" w:hAnsi="Arial" w:cs="Arial"/>
          <w:color w:val="000000"/>
          <w:sz w:val="24"/>
          <w:szCs w:val="24"/>
        </w:rPr>
        <w:t>Telecommunication Task Team</w:t>
      </w:r>
      <w:r w:rsidR="00954913" w:rsidRPr="00C0573E">
        <w:rPr>
          <w:rFonts w:ascii="Arial" w:hAnsi="Arial" w:cs="Arial"/>
          <w:color w:val="000000"/>
          <w:sz w:val="24"/>
          <w:szCs w:val="24"/>
        </w:rPr>
        <w:t>: Voice Modernisation and Mobile Connectivity</w:t>
      </w:r>
      <w:r w:rsidR="00241ABE" w:rsidRPr="00C0573E">
        <w:rPr>
          <w:rFonts w:ascii="Arial" w:hAnsi="Arial" w:cs="Arial"/>
          <w:color w:val="000000"/>
          <w:sz w:val="24"/>
          <w:szCs w:val="24"/>
        </w:rPr>
        <w:t xml:space="preserve"> (the Task </w:t>
      </w:r>
      <w:r w:rsidR="00954913" w:rsidRPr="00C0573E">
        <w:rPr>
          <w:rFonts w:ascii="Arial" w:hAnsi="Arial" w:cs="Arial"/>
          <w:color w:val="000000"/>
          <w:sz w:val="24"/>
          <w:szCs w:val="24"/>
        </w:rPr>
        <w:t>T</w:t>
      </w:r>
      <w:r w:rsidR="00241ABE" w:rsidRPr="00C0573E">
        <w:rPr>
          <w:rFonts w:ascii="Arial" w:hAnsi="Arial" w:cs="Arial"/>
          <w:color w:val="000000"/>
          <w:sz w:val="24"/>
          <w:szCs w:val="24"/>
        </w:rPr>
        <w:t xml:space="preserve">eam) was tasked to deal with the </w:t>
      </w:r>
      <w:r w:rsidR="00631854" w:rsidRPr="00C0573E">
        <w:rPr>
          <w:rFonts w:ascii="Arial" w:hAnsi="Arial" w:cs="Arial"/>
          <w:color w:val="000000"/>
          <w:sz w:val="24"/>
          <w:szCs w:val="24"/>
        </w:rPr>
        <w:lastRenderedPageBreak/>
        <w:t xml:space="preserve">procurement </w:t>
      </w:r>
      <w:r w:rsidR="00241ABE" w:rsidRPr="00C0573E">
        <w:rPr>
          <w:rFonts w:ascii="Arial" w:hAnsi="Arial" w:cs="Arial"/>
          <w:color w:val="000000"/>
          <w:sz w:val="24"/>
          <w:szCs w:val="24"/>
        </w:rPr>
        <w:t xml:space="preserve">process. </w:t>
      </w:r>
      <w:r w:rsidR="00954913" w:rsidRPr="00C0573E">
        <w:rPr>
          <w:rFonts w:ascii="Arial" w:hAnsi="Arial" w:cs="Arial"/>
          <w:color w:val="000000"/>
          <w:sz w:val="24"/>
          <w:szCs w:val="24"/>
        </w:rPr>
        <w:t xml:space="preserve"> </w:t>
      </w:r>
      <w:r w:rsidR="00241ABE" w:rsidRPr="00C0573E">
        <w:rPr>
          <w:rFonts w:ascii="Arial" w:hAnsi="Arial" w:cs="Arial"/>
          <w:color w:val="000000"/>
          <w:sz w:val="24"/>
          <w:szCs w:val="24"/>
        </w:rPr>
        <w:t>In this regard the Task Team received and considered the presentation of each of the service providers that made a presentation.</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[19]</w:t>
      </w:r>
      <w:r w:rsidRPr="006F6E2D">
        <w:rPr>
          <w:rFonts w:ascii="Arial" w:hAnsi="Arial" w:cs="Arial"/>
          <w:color w:val="000000"/>
          <w:sz w:val="24"/>
          <w:szCs w:val="24"/>
        </w:rPr>
        <w:tab/>
      </w:r>
      <w:r w:rsidR="00241ABE" w:rsidRPr="00C0573E">
        <w:rPr>
          <w:rFonts w:ascii="Arial" w:hAnsi="Arial" w:cs="Arial"/>
          <w:color w:val="000000"/>
          <w:sz w:val="24"/>
          <w:szCs w:val="24"/>
        </w:rPr>
        <w:t xml:space="preserve">After assessing the various submissions made by each of the service providers the Task </w:t>
      </w:r>
      <w:r w:rsidR="00954913" w:rsidRPr="00C0573E">
        <w:rPr>
          <w:rFonts w:ascii="Arial" w:hAnsi="Arial" w:cs="Arial"/>
          <w:color w:val="000000"/>
          <w:sz w:val="24"/>
          <w:szCs w:val="24"/>
        </w:rPr>
        <w:t>T</w:t>
      </w:r>
      <w:r w:rsidR="00241ABE" w:rsidRPr="00C0573E">
        <w:rPr>
          <w:rFonts w:ascii="Arial" w:hAnsi="Arial" w:cs="Arial"/>
          <w:color w:val="000000"/>
          <w:sz w:val="24"/>
          <w:szCs w:val="24"/>
        </w:rPr>
        <w:t>eam accepted MTNS’s proposal.</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[20]</w:t>
      </w:r>
      <w:r w:rsidRPr="006F6E2D">
        <w:rPr>
          <w:rFonts w:ascii="Arial" w:hAnsi="Arial" w:cs="Arial"/>
          <w:color w:val="000000"/>
          <w:sz w:val="24"/>
          <w:szCs w:val="24"/>
        </w:rPr>
        <w:tab/>
      </w:r>
      <w:r w:rsidR="0029743C" w:rsidRPr="00C0573E">
        <w:rPr>
          <w:rFonts w:ascii="Arial" w:hAnsi="Arial" w:cs="Arial"/>
          <w:color w:val="000000"/>
          <w:sz w:val="24"/>
          <w:szCs w:val="24"/>
        </w:rPr>
        <w:t>The next step</w:t>
      </w:r>
      <w:r w:rsidR="00241ABE" w:rsidRPr="00C0573E">
        <w:rPr>
          <w:rFonts w:ascii="Arial" w:hAnsi="Arial" w:cs="Arial"/>
          <w:color w:val="000000"/>
          <w:sz w:val="24"/>
          <w:szCs w:val="24"/>
        </w:rPr>
        <w:t xml:space="preserve"> in this process was to have the National Commissioner of the SAPS</w:t>
      </w:r>
      <w:r w:rsidR="00631854" w:rsidRPr="00C0573E">
        <w:rPr>
          <w:rFonts w:ascii="Arial" w:hAnsi="Arial" w:cs="Arial"/>
          <w:color w:val="000000"/>
          <w:sz w:val="24"/>
          <w:szCs w:val="24"/>
        </w:rPr>
        <w:t>,</w:t>
      </w:r>
      <w:r w:rsidR="00241ABE" w:rsidRPr="00C0573E">
        <w:rPr>
          <w:rFonts w:ascii="Arial" w:hAnsi="Arial" w:cs="Arial"/>
          <w:color w:val="000000"/>
          <w:sz w:val="24"/>
          <w:szCs w:val="24"/>
        </w:rPr>
        <w:t xml:space="preserve"> who is the accounting officer</w:t>
      </w:r>
      <w:r w:rsidR="00631854" w:rsidRPr="00C0573E">
        <w:rPr>
          <w:rFonts w:ascii="Arial" w:hAnsi="Arial" w:cs="Arial"/>
          <w:color w:val="000000"/>
          <w:sz w:val="24"/>
          <w:szCs w:val="24"/>
        </w:rPr>
        <w:t>,</w:t>
      </w:r>
      <w:r w:rsidR="00241ABE" w:rsidRPr="00C0573E">
        <w:rPr>
          <w:rFonts w:ascii="Arial" w:hAnsi="Arial" w:cs="Arial"/>
          <w:color w:val="000000"/>
          <w:sz w:val="24"/>
          <w:szCs w:val="24"/>
        </w:rPr>
        <w:t xml:space="preserve"> to approve the expenditure on the procurement of the mobile devices and services. </w:t>
      </w:r>
      <w:r w:rsidR="00631854" w:rsidRPr="00C0573E">
        <w:rPr>
          <w:rFonts w:ascii="Arial" w:hAnsi="Arial" w:cs="Arial"/>
          <w:color w:val="000000"/>
          <w:sz w:val="24"/>
          <w:szCs w:val="24"/>
        </w:rPr>
        <w:t xml:space="preserve"> </w:t>
      </w:r>
      <w:r w:rsidR="00241ABE" w:rsidRPr="00C0573E">
        <w:rPr>
          <w:rFonts w:ascii="Arial" w:hAnsi="Arial" w:cs="Arial"/>
          <w:color w:val="000000"/>
          <w:sz w:val="24"/>
          <w:szCs w:val="24"/>
        </w:rPr>
        <w:t>To secure his approval</w:t>
      </w:r>
      <w:r w:rsidR="00631854" w:rsidRPr="00C0573E">
        <w:rPr>
          <w:rFonts w:ascii="Arial" w:hAnsi="Arial" w:cs="Arial"/>
          <w:color w:val="000000"/>
          <w:sz w:val="24"/>
          <w:szCs w:val="24"/>
        </w:rPr>
        <w:t>,</w:t>
      </w:r>
      <w:r w:rsidR="00241ABE" w:rsidRPr="00C0573E">
        <w:rPr>
          <w:rFonts w:ascii="Arial" w:hAnsi="Arial" w:cs="Arial"/>
          <w:color w:val="000000"/>
          <w:sz w:val="24"/>
          <w:szCs w:val="24"/>
        </w:rPr>
        <w:t xml:space="preserve"> </w:t>
      </w:r>
      <w:r w:rsidR="00631854" w:rsidRPr="00C0573E">
        <w:rPr>
          <w:rFonts w:ascii="Arial" w:hAnsi="Arial" w:cs="Arial"/>
          <w:color w:val="000000"/>
          <w:sz w:val="24"/>
          <w:szCs w:val="24"/>
        </w:rPr>
        <w:t xml:space="preserve">the </w:t>
      </w:r>
      <w:r w:rsidR="00241ABE" w:rsidRPr="00C0573E">
        <w:rPr>
          <w:rFonts w:ascii="Arial" w:hAnsi="Arial" w:cs="Arial"/>
          <w:color w:val="000000"/>
          <w:sz w:val="24"/>
          <w:szCs w:val="24"/>
        </w:rPr>
        <w:t xml:space="preserve">Task </w:t>
      </w:r>
      <w:r w:rsidR="00631854" w:rsidRPr="00C0573E">
        <w:rPr>
          <w:rFonts w:ascii="Arial" w:hAnsi="Arial" w:cs="Arial"/>
          <w:color w:val="000000"/>
          <w:sz w:val="24"/>
          <w:szCs w:val="24"/>
        </w:rPr>
        <w:t>T</w:t>
      </w:r>
      <w:r w:rsidR="00241ABE" w:rsidRPr="00C0573E">
        <w:rPr>
          <w:rFonts w:ascii="Arial" w:hAnsi="Arial" w:cs="Arial"/>
          <w:color w:val="000000"/>
          <w:sz w:val="24"/>
          <w:szCs w:val="24"/>
        </w:rPr>
        <w:t xml:space="preserve">eam prepared </w:t>
      </w:r>
      <w:r w:rsidR="00631854" w:rsidRPr="00C0573E">
        <w:rPr>
          <w:rFonts w:ascii="Arial" w:hAnsi="Arial" w:cs="Arial"/>
          <w:color w:val="000000"/>
          <w:sz w:val="24"/>
          <w:szCs w:val="24"/>
        </w:rPr>
        <w:t>an</w:t>
      </w:r>
      <w:r w:rsidR="00241ABE" w:rsidRPr="00C0573E">
        <w:rPr>
          <w:rFonts w:ascii="Arial" w:hAnsi="Arial" w:cs="Arial"/>
          <w:color w:val="000000"/>
          <w:sz w:val="24"/>
          <w:szCs w:val="24"/>
        </w:rPr>
        <w:t xml:space="preserve"> “Information Note</w:t>
      </w:r>
      <w:r w:rsidR="00631854" w:rsidRPr="00C0573E">
        <w:rPr>
          <w:rFonts w:ascii="Arial" w:hAnsi="Arial" w:cs="Arial"/>
          <w:color w:val="000000"/>
          <w:sz w:val="24"/>
          <w:szCs w:val="24"/>
        </w:rPr>
        <w:t>”</w:t>
      </w:r>
      <w:r w:rsidR="00241ABE" w:rsidRPr="00C0573E">
        <w:rPr>
          <w:rFonts w:ascii="Arial" w:hAnsi="Arial" w:cs="Arial"/>
          <w:color w:val="000000"/>
          <w:sz w:val="24"/>
          <w:szCs w:val="24"/>
        </w:rPr>
        <w:t xml:space="preserve"> on </w:t>
      </w:r>
      <w:r w:rsidR="00631854" w:rsidRPr="00C0573E">
        <w:rPr>
          <w:rFonts w:ascii="Arial" w:hAnsi="Arial" w:cs="Arial"/>
          <w:color w:val="000000"/>
          <w:sz w:val="24"/>
          <w:szCs w:val="24"/>
        </w:rPr>
        <w:t>“I</w:t>
      </w:r>
      <w:r w:rsidR="00241ABE" w:rsidRPr="00C0573E">
        <w:rPr>
          <w:rFonts w:ascii="Arial" w:hAnsi="Arial" w:cs="Arial"/>
          <w:color w:val="000000"/>
          <w:sz w:val="24"/>
          <w:szCs w:val="24"/>
        </w:rPr>
        <w:t>mplementation of RT</w:t>
      </w:r>
      <w:r w:rsidR="00631854" w:rsidRPr="00C0573E">
        <w:rPr>
          <w:rFonts w:ascii="Arial" w:hAnsi="Arial" w:cs="Arial"/>
          <w:color w:val="000000"/>
          <w:sz w:val="24"/>
          <w:szCs w:val="24"/>
        </w:rPr>
        <w:t>-</w:t>
      </w:r>
      <w:r w:rsidR="00241ABE" w:rsidRPr="00C0573E">
        <w:rPr>
          <w:rFonts w:ascii="Arial" w:hAnsi="Arial" w:cs="Arial"/>
          <w:color w:val="000000"/>
          <w:sz w:val="24"/>
          <w:szCs w:val="24"/>
        </w:rPr>
        <w:t>15 of 20</w:t>
      </w:r>
      <w:r w:rsidR="00631854" w:rsidRPr="00C0573E">
        <w:rPr>
          <w:rFonts w:ascii="Arial" w:hAnsi="Arial" w:cs="Arial"/>
          <w:color w:val="000000"/>
          <w:sz w:val="24"/>
          <w:szCs w:val="24"/>
        </w:rPr>
        <w:t>21 by Telecommunication Task Team: Voice Modernisation and Mobile Connectivity</w:t>
      </w:r>
      <w:r w:rsidR="00241ABE" w:rsidRPr="00C0573E">
        <w:rPr>
          <w:rFonts w:ascii="Arial" w:hAnsi="Arial" w:cs="Arial"/>
          <w:color w:val="000000"/>
          <w:sz w:val="24"/>
          <w:szCs w:val="24"/>
        </w:rPr>
        <w:t>.”</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[21]</w:t>
      </w:r>
      <w:r w:rsidRPr="006F6E2D">
        <w:rPr>
          <w:rFonts w:ascii="Arial" w:hAnsi="Arial" w:cs="Arial"/>
          <w:color w:val="000000"/>
          <w:sz w:val="24"/>
          <w:szCs w:val="24"/>
        </w:rPr>
        <w:tab/>
      </w:r>
      <w:r w:rsidR="00241ABE" w:rsidRPr="00C0573E">
        <w:rPr>
          <w:rFonts w:ascii="Arial" w:hAnsi="Arial" w:cs="Arial"/>
          <w:color w:val="000000"/>
          <w:sz w:val="24"/>
          <w:szCs w:val="24"/>
        </w:rPr>
        <w:t xml:space="preserve">It is apparent that throughout the process of considering the submissions made by the service providers that the Task </w:t>
      </w:r>
      <w:r w:rsidR="00631854" w:rsidRPr="00C0573E">
        <w:rPr>
          <w:rFonts w:ascii="Arial" w:hAnsi="Arial" w:cs="Arial"/>
          <w:color w:val="000000"/>
          <w:sz w:val="24"/>
          <w:szCs w:val="24"/>
        </w:rPr>
        <w:t>T</w:t>
      </w:r>
      <w:r w:rsidR="00241ABE" w:rsidRPr="00C0573E">
        <w:rPr>
          <w:rFonts w:ascii="Arial" w:hAnsi="Arial" w:cs="Arial"/>
          <w:color w:val="000000"/>
          <w:sz w:val="24"/>
          <w:szCs w:val="24"/>
        </w:rPr>
        <w:t>eam interacted with the Bid Adjudication Committee (BAC) which guided them as to any additional information that may be required from the service providers. The feedback received from the BAC was incorporated into the revised Information Note.</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[22]</w:t>
      </w:r>
      <w:r w:rsidRPr="006F6E2D">
        <w:rPr>
          <w:rFonts w:ascii="Arial" w:hAnsi="Arial" w:cs="Arial"/>
          <w:color w:val="000000"/>
          <w:sz w:val="24"/>
          <w:szCs w:val="24"/>
        </w:rPr>
        <w:tab/>
      </w:r>
      <w:r w:rsidR="00241ABE" w:rsidRPr="00C0573E">
        <w:rPr>
          <w:rFonts w:ascii="Arial" w:hAnsi="Arial" w:cs="Arial"/>
          <w:color w:val="000000"/>
          <w:sz w:val="24"/>
          <w:szCs w:val="24"/>
        </w:rPr>
        <w:t>The final version of the Information Note was compiled by the Task Team after the approval of the first draft by the BAC and after that the same was forwarded to the Acting National Commissioner for approval. The approval was made on 26</w:t>
      </w:r>
      <w:r w:rsidR="00631854" w:rsidRPr="00C0573E">
        <w:rPr>
          <w:rFonts w:ascii="Arial" w:hAnsi="Arial" w:cs="Arial"/>
          <w:color w:val="000000"/>
          <w:sz w:val="24"/>
          <w:szCs w:val="24"/>
        </w:rPr>
        <w:t> </w:t>
      </w:r>
      <w:r w:rsidR="00241ABE" w:rsidRPr="00C0573E">
        <w:rPr>
          <w:rFonts w:ascii="Arial" w:hAnsi="Arial" w:cs="Arial"/>
          <w:color w:val="000000"/>
          <w:sz w:val="24"/>
          <w:szCs w:val="24"/>
        </w:rPr>
        <w:t>January</w:t>
      </w:r>
      <w:r w:rsidR="00631854" w:rsidRPr="00C0573E">
        <w:rPr>
          <w:rFonts w:ascii="Arial" w:hAnsi="Arial" w:cs="Arial"/>
          <w:color w:val="000000"/>
          <w:sz w:val="24"/>
          <w:szCs w:val="24"/>
        </w:rPr>
        <w:t> </w:t>
      </w:r>
      <w:r w:rsidR="00241ABE" w:rsidRPr="00C0573E">
        <w:rPr>
          <w:rFonts w:ascii="Arial" w:hAnsi="Arial" w:cs="Arial"/>
          <w:color w:val="000000"/>
          <w:sz w:val="24"/>
          <w:szCs w:val="24"/>
        </w:rPr>
        <w:t>2022.</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[23]</w:t>
      </w:r>
      <w:r w:rsidRPr="006F6E2D">
        <w:rPr>
          <w:rFonts w:ascii="Arial" w:hAnsi="Arial" w:cs="Arial"/>
          <w:color w:val="000000"/>
          <w:sz w:val="24"/>
          <w:szCs w:val="24"/>
        </w:rPr>
        <w:tab/>
      </w:r>
      <w:r w:rsidR="00605A52" w:rsidRPr="00C0573E">
        <w:rPr>
          <w:rFonts w:ascii="Arial" w:hAnsi="Arial" w:cs="Arial"/>
          <w:color w:val="000000"/>
          <w:sz w:val="24"/>
          <w:szCs w:val="24"/>
        </w:rPr>
        <w:t>The Information N</w:t>
      </w:r>
      <w:r w:rsidR="00241ABE" w:rsidRPr="00C0573E">
        <w:rPr>
          <w:rFonts w:ascii="Arial" w:hAnsi="Arial" w:cs="Arial"/>
          <w:color w:val="000000"/>
          <w:sz w:val="24"/>
          <w:szCs w:val="24"/>
        </w:rPr>
        <w:t>ote upon which the decision of the Acting Commissioner is based on concerning Vodacom’s submission provides the following in the relevant paragraph:</w:t>
      </w:r>
    </w:p>
    <w:p w:rsidR="00241ABE" w:rsidRPr="006F6E2D" w:rsidRDefault="00241ABE" w:rsidP="006F6E2D">
      <w:pPr>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“5.4.4.1</w:t>
      </w:r>
      <w:r w:rsidRPr="006F6E2D">
        <w:rPr>
          <w:rFonts w:ascii="Arial" w:hAnsi="Arial" w:cs="Arial"/>
          <w:color w:val="000000"/>
        </w:rPr>
        <w:tab/>
        <w:t>Network coverage is 86% throughout the country (dropped from 99% to 86% due to load shedding).”</w:t>
      </w:r>
    </w:p>
    <w:p w:rsidR="00631854" w:rsidRPr="006F6E2D" w:rsidRDefault="00631854" w:rsidP="006F6E2D">
      <w:pPr>
        <w:autoSpaceDE w:val="0"/>
        <w:autoSpaceDN w:val="0"/>
        <w:adjustRightInd w:val="0"/>
        <w:spacing w:after="0" w:line="360" w:lineRule="auto"/>
        <w:jc w:val="both"/>
        <w:rPr>
          <w:rFonts w:ascii="Arial" w:hAnsi="Arial" w:cs="Arial"/>
          <w:color w:val="000000"/>
          <w:sz w:val="24"/>
          <w:szCs w:val="24"/>
        </w:rPr>
      </w:pP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In relation to MTN</w:t>
      </w:r>
      <w:r w:rsidR="00631854" w:rsidRPr="006F6E2D">
        <w:rPr>
          <w:rFonts w:ascii="Arial" w:hAnsi="Arial" w:cs="Arial"/>
          <w:color w:val="000000"/>
          <w:sz w:val="24"/>
          <w:szCs w:val="24"/>
        </w:rPr>
        <w:t>,</w:t>
      </w:r>
      <w:r w:rsidRPr="006F6E2D">
        <w:rPr>
          <w:rFonts w:ascii="Arial" w:hAnsi="Arial" w:cs="Arial"/>
          <w:color w:val="000000"/>
          <w:sz w:val="24"/>
          <w:szCs w:val="24"/>
        </w:rPr>
        <w:t xml:space="preserve"> the Task team found that their “network coverage is 99%.”</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6F6E2D" w:rsidRDefault="00241ABE" w:rsidP="006F6E2D">
      <w:pPr>
        <w:pStyle w:val="ListParagraph"/>
        <w:autoSpaceDE w:val="0"/>
        <w:autoSpaceDN w:val="0"/>
        <w:adjustRightInd w:val="0"/>
        <w:spacing w:after="0" w:line="360" w:lineRule="auto"/>
        <w:ind w:left="0"/>
        <w:jc w:val="both"/>
        <w:rPr>
          <w:rFonts w:ascii="Arial" w:hAnsi="Arial" w:cs="Arial"/>
          <w:b/>
          <w:i/>
          <w:color w:val="000000"/>
          <w:sz w:val="24"/>
          <w:szCs w:val="24"/>
        </w:rPr>
      </w:pPr>
      <w:r w:rsidRPr="006F6E2D">
        <w:rPr>
          <w:rFonts w:ascii="Arial" w:hAnsi="Arial" w:cs="Arial"/>
          <w:b/>
          <w:i/>
          <w:color w:val="000000"/>
          <w:sz w:val="24"/>
          <w:szCs w:val="24"/>
        </w:rPr>
        <w:t>Grounds of review</w:t>
      </w: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[24]</w:t>
      </w:r>
      <w:r w:rsidRPr="006F6E2D">
        <w:rPr>
          <w:rFonts w:ascii="Arial" w:hAnsi="Arial" w:cs="Arial"/>
          <w:color w:val="000000"/>
          <w:sz w:val="24"/>
          <w:szCs w:val="24"/>
        </w:rPr>
        <w:tab/>
      </w:r>
      <w:r w:rsidR="00241ABE" w:rsidRPr="00C0573E">
        <w:rPr>
          <w:rFonts w:ascii="Arial" w:hAnsi="Arial" w:cs="Arial"/>
          <w:color w:val="000000"/>
          <w:sz w:val="24"/>
          <w:szCs w:val="24"/>
        </w:rPr>
        <w:t>Vodacom contends that the impugned decisions fall within the meaning of procurement as envisaged under section 217</w:t>
      </w:r>
      <w:r w:rsidR="00964758" w:rsidRPr="00C0573E">
        <w:rPr>
          <w:rFonts w:ascii="Arial" w:hAnsi="Arial" w:cs="Arial"/>
          <w:color w:val="000000"/>
          <w:sz w:val="24"/>
          <w:szCs w:val="24"/>
        </w:rPr>
        <w:t xml:space="preserve">(1) </w:t>
      </w:r>
      <w:r w:rsidR="00241ABE" w:rsidRPr="00C0573E">
        <w:rPr>
          <w:rFonts w:ascii="Arial" w:hAnsi="Arial" w:cs="Arial"/>
          <w:color w:val="000000"/>
          <w:sz w:val="24"/>
          <w:szCs w:val="24"/>
        </w:rPr>
        <w:t>of the Constitution</w:t>
      </w:r>
      <w:r w:rsidR="00CA2747" w:rsidRPr="00C0573E">
        <w:rPr>
          <w:rFonts w:ascii="Arial" w:hAnsi="Arial" w:cs="Arial"/>
          <w:color w:val="000000"/>
          <w:sz w:val="24"/>
          <w:szCs w:val="24"/>
        </w:rPr>
        <w:t xml:space="preserve">, </w:t>
      </w:r>
      <w:r w:rsidR="00E04415" w:rsidRPr="00C0573E">
        <w:rPr>
          <w:rFonts w:ascii="Arial" w:hAnsi="Arial" w:cs="Arial"/>
          <w:color w:val="000000"/>
          <w:sz w:val="24"/>
          <w:szCs w:val="24"/>
        </w:rPr>
        <w:t>PAJA</w:t>
      </w:r>
      <w:r w:rsidR="00CA2747" w:rsidRPr="00C0573E">
        <w:rPr>
          <w:rFonts w:ascii="Arial" w:hAnsi="Arial" w:cs="Arial"/>
          <w:color w:val="000000"/>
          <w:sz w:val="24"/>
          <w:szCs w:val="24"/>
        </w:rPr>
        <w:t>,</w:t>
      </w:r>
      <w:r w:rsidR="00E04415" w:rsidRPr="00C0573E">
        <w:rPr>
          <w:rFonts w:ascii="Arial" w:hAnsi="Arial" w:cs="Arial"/>
          <w:color w:val="000000"/>
          <w:sz w:val="24"/>
          <w:szCs w:val="24"/>
        </w:rPr>
        <w:t xml:space="preserve"> and the </w:t>
      </w:r>
      <w:r w:rsidR="00E04415" w:rsidRPr="00C0573E">
        <w:rPr>
          <w:rFonts w:ascii="Arial" w:hAnsi="Arial" w:cs="Arial"/>
          <w:color w:val="000000"/>
          <w:sz w:val="24"/>
          <w:szCs w:val="24"/>
        </w:rPr>
        <w:lastRenderedPageBreak/>
        <w:t>principle of legality</w:t>
      </w:r>
      <w:r w:rsidR="00241ABE" w:rsidRPr="00C0573E">
        <w:rPr>
          <w:rFonts w:ascii="Arial" w:hAnsi="Arial" w:cs="Arial"/>
          <w:color w:val="000000"/>
          <w:sz w:val="24"/>
          <w:szCs w:val="24"/>
        </w:rPr>
        <w:t>.</w:t>
      </w:r>
      <w:r w:rsidR="00964758"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 The process according to it involved the decision of an organ of state to select service providers for the purposes of obtaining goods and services with public funds and for public benefit.</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[25]</w:t>
      </w:r>
      <w:r w:rsidRPr="006F6E2D">
        <w:rPr>
          <w:rFonts w:ascii="Arial" w:hAnsi="Arial" w:cs="Arial"/>
          <w:color w:val="000000"/>
          <w:sz w:val="24"/>
          <w:szCs w:val="24"/>
        </w:rPr>
        <w:tab/>
      </w:r>
      <w:r w:rsidR="00241ABE" w:rsidRPr="00C0573E">
        <w:rPr>
          <w:rFonts w:ascii="Arial" w:hAnsi="Arial" w:cs="Arial"/>
          <w:color w:val="000000"/>
          <w:sz w:val="24"/>
          <w:szCs w:val="24"/>
        </w:rPr>
        <w:t>The complaint about the process of accepting MTN's proposal is that it is based on two incomparable concepts of “coverage and availability” of mobile network.  The other complaint is that Vodacom’s proposal was rejected despite it having offered the lowest pricing for the goods which the SAPS was seeking to procure.</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[26]</w:t>
      </w:r>
      <w:r w:rsidRPr="006F6E2D">
        <w:rPr>
          <w:rFonts w:ascii="Arial" w:hAnsi="Arial" w:cs="Arial"/>
          <w:color w:val="000000"/>
          <w:sz w:val="24"/>
          <w:szCs w:val="24"/>
        </w:rPr>
        <w:tab/>
      </w:r>
      <w:r w:rsidR="001B173E" w:rsidRPr="00C0573E">
        <w:rPr>
          <w:rFonts w:ascii="Arial" w:hAnsi="Arial" w:cs="Arial"/>
          <w:color w:val="000000"/>
          <w:sz w:val="24"/>
          <w:szCs w:val="24"/>
        </w:rPr>
        <w:t>As indicated earlier t</w:t>
      </w:r>
      <w:r w:rsidR="00241ABE" w:rsidRPr="00C0573E">
        <w:rPr>
          <w:rFonts w:ascii="Arial" w:hAnsi="Arial" w:cs="Arial"/>
          <w:color w:val="000000"/>
          <w:sz w:val="24"/>
          <w:szCs w:val="24"/>
        </w:rPr>
        <w:t>he SAPS and MTN opposed the application and in particular</w:t>
      </w:r>
      <w:r w:rsidR="00D83216" w:rsidRPr="00C0573E">
        <w:rPr>
          <w:rFonts w:ascii="Arial" w:hAnsi="Arial" w:cs="Arial"/>
          <w:color w:val="000000"/>
          <w:sz w:val="24"/>
          <w:szCs w:val="24"/>
        </w:rPr>
        <w:t>,</w:t>
      </w:r>
      <w:r w:rsidR="00241ABE" w:rsidRPr="00C0573E">
        <w:rPr>
          <w:rFonts w:ascii="Arial" w:hAnsi="Arial" w:cs="Arial"/>
          <w:color w:val="000000"/>
          <w:sz w:val="24"/>
          <w:szCs w:val="24"/>
        </w:rPr>
        <w:t xml:space="preserve"> raised the point concerning the delay in instituting the proceedings. In this regard</w:t>
      </w:r>
      <w:r w:rsidR="00D83216" w:rsidRPr="00C0573E">
        <w:rPr>
          <w:rFonts w:ascii="Arial" w:hAnsi="Arial" w:cs="Arial"/>
          <w:color w:val="000000"/>
          <w:sz w:val="24"/>
          <w:szCs w:val="24"/>
        </w:rPr>
        <w:t>,</w:t>
      </w:r>
      <w:r w:rsidR="00241ABE" w:rsidRPr="00C0573E">
        <w:rPr>
          <w:rFonts w:ascii="Arial" w:hAnsi="Arial" w:cs="Arial"/>
          <w:color w:val="000000"/>
          <w:sz w:val="24"/>
          <w:szCs w:val="24"/>
        </w:rPr>
        <w:t xml:space="preserve"> the contention is that Vodacom was aware of the impugned decisions since 7 February 2022.</w:t>
      </w:r>
    </w:p>
    <w:p w:rsidR="00E04415" w:rsidRPr="006F6E2D" w:rsidRDefault="00E04415" w:rsidP="006F6E2D">
      <w:pPr>
        <w:pStyle w:val="ListParagraph"/>
        <w:spacing w:line="360" w:lineRule="auto"/>
        <w:rPr>
          <w:rFonts w:ascii="Arial" w:hAnsi="Arial" w:cs="Arial"/>
          <w:color w:val="000000"/>
          <w:sz w:val="24"/>
          <w:szCs w:val="24"/>
        </w:rPr>
      </w:pPr>
    </w:p>
    <w:p w:rsidR="00E04415" w:rsidRPr="006F6E2D" w:rsidRDefault="00E04415" w:rsidP="006F6E2D">
      <w:pPr>
        <w:pStyle w:val="ListParagraph"/>
        <w:autoSpaceDE w:val="0"/>
        <w:autoSpaceDN w:val="0"/>
        <w:adjustRightInd w:val="0"/>
        <w:spacing w:after="0" w:line="360" w:lineRule="auto"/>
        <w:ind w:left="0"/>
        <w:jc w:val="both"/>
        <w:rPr>
          <w:rFonts w:ascii="Arial" w:hAnsi="Arial" w:cs="Arial"/>
          <w:b/>
          <w:color w:val="000000"/>
          <w:sz w:val="24"/>
          <w:szCs w:val="24"/>
        </w:rPr>
      </w:pPr>
      <w:r w:rsidRPr="006F6E2D">
        <w:rPr>
          <w:rFonts w:ascii="Arial" w:hAnsi="Arial" w:cs="Arial"/>
          <w:b/>
          <w:color w:val="000000"/>
          <w:sz w:val="24"/>
          <w:szCs w:val="24"/>
        </w:rPr>
        <w:t>The issues for determination</w:t>
      </w:r>
    </w:p>
    <w:p w:rsidR="00E04415" w:rsidRPr="00C0573E" w:rsidRDefault="00C0573E" w:rsidP="00C0573E">
      <w:pPr>
        <w:autoSpaceDE w:val="0"/>
        <w:autoSpaceDN w:val="0"/>
        <w:adjustRightInd w:val="0"/>
        <w:spacing w:after="0" w:line="360" w:lineRule="auto"/>
        <w:jc w:val="both"/>
        <w:rPr>
          <w:rFonts w:ascii="Arial" w:hAnsi="Arial" w:cs="Arial"/>
          <w:b/>
          <w:color w:val="000000"/>
          <w:sz w:val="24"/>
          <w:szCs w:val="24"/>
        </w:rPr>
      </w:pPr>
      <w:r w:rsidRPr="006F6E2D">
        <w:rPr>
          <w:rFonts w:ascii="Arial" w:hAnsi="Arial" w:cs="Arial"/>
          <w:color w:val="000000"/>
          <w:sz w:val="24"/>
          <w:szCs w:val="24"/>
        </w:rPr>
        <w:t>[27]</w:t>
      </w:r>
      <w:r w:rsidRPr="006F6E2D">
        <w:rPr>
          <w:rFonts w:ascii="Arial" w:hAnsi="Arial" w:cs="Arial"/>
          <w:color w:val="000000"/>
          <w:sz w:val="24"/>
          <w:szCs w:val="24"/>
        </w:rPr>
        <w:tab/>
      </w:r>
      <w:r w:rsidR="00A11B2B" w:rsidRPr="00C0573E">
        <w:rPr>
          <w:rFonts w:ascii="Arial" w:hAnsi="Arial" w:cs="Arial"/>
          <w:color w:val="000000"/>
          <w:sz w:val="27"/>
          <w:szCs w:val="27"/>
        </w:rPr>
        <w:t xml:space="preserve">The </w:t>
      </w:r>
      <w:r w:rsidR="00E04415" w:rsidRPr="00C0573E">
        <w:rPr>
          <w:rFonts w:ascii="Arial" w:hAnsi="Arial" w:cs="Arial"/>
          <w:color w:val="000000"/>
          <w:sz w:val="27"/>
          <w:szCs w:val="27"/>
        </w:rPr>
        <w:t xml:space="preserve">main issues for determination are: </w:t>
      </w:r>
    </w:p>
    <w:p w:rsidR="00E04415" w:rsidRPr="00C0573E" w:rsidRDefault="00C0573E" w:rsidP="00C0573E">
      <w:pPr>
        <w:autoSpaceDE w:val="0"/>
        <w:autoSpaceDN w:val="0"/>
        <w:adjustRightInd w:val="0"/>
        <w:spacing w:after="0" w:line="360" w:lineRule="auto"/>
        <w:ind w:left="1440" w:hanging="360"/>
        <w:jc w:val="both"/>
        <w:rPr>
          <w:rFonts w:ascii="Arial" w:hAnsi="Arial" w:cs="Arial"/>
          <w:b/>
          <w:color w:val="000000"/>
          <w:sz w:val="24"/>
          <w:szCs w:val="24"/>
        </w:rPr>
      </w:pPr>
      <w:r w:rsidRPr="006F6E2D">
        <w:rPr>
          <w:rFonts w:ascii="Arial" w:hAnsi="Arial" w:cs="Arial"/>
          <w:color w:val="000000"/>
          <w:sz w:val="24"/>
          <w:szCs w:val="24"/>
        </w:rPr>
        <w:t>(a)</w:t>
      </w:r>
      <w:r w:rsidRPr="006F6E2D">
        <w:rPr>
          <w:rFonts w:ascii="Arial" w:hAnsi="Arial" w:cs="Arial"/>
          <w:color w:val="000000"/>
          <w:sz w:val="24"/>
          <w:szCs w:val="24"/>
        </w:rPr>
        <w:tab/>
      </w:r>
      <w:r w:rsidR="00E04415" w:rsidRPr="00C0573E">
        <w:rPr>
          <w:rFonts w:ascii="Arial" w:hAnsi="Arial" w:cs="Arial"/>
          <w:color w:val="000000"/>
          <w:sz w:val="27"/>
          <w:szCs w:val="27"/>
        </w:rPr>
        <w:t xml:space="preserve"> Whether the impugned decisions are subject to review under </w:t>
      </w:r>
      <w:r w:rsidR="00A11B2B" w:rsidRPr="00C0573E">
        <w:rPr>
          <w:rFonts w:ascii="Arial" w:hAnsi="Arial" w:cs="Arial"/>
          <w:color w:val="000000"/>
          <w:sz w:val="27"/>
          <w:szCs w:val="27"/>
        </w:rPr>
        <w:t xml:space="preserve">the Constitution, </w:t>
      </w:r>
      <w:r w:rsidR="00E04415" w:rsidRPr="00C0573E">
        <w:rPr>
          <w:rFonts w:ascii="Arial" w:hAnsi="Arial" w:cs="Arial"/>
          <w:color w:val="000000"/>
          <w:sz w:val="27"/>
          <w:szCs w:val="27"/>
        </w:rPr>
        <w:t xml:space="preserve">PAJA, alternatively, the principle of legality. </w:t>
      </w:r>
    </w:p>
    <w:p w:rsidR="00270660" w:rsidRPr="00C0573E" w:rsidRDefault="00C0573E" w:rsidP="00C0573E">
      <w:pPr>
        <w:autoSpaceDE w:val="0"/>
        <w:autoSpaceDN w:val="0"/>
        <w:adjustRightInd w:val="0"/>
        <w:spacing w:after="0" w:line="360" w:lineRule="auto"/>
        <w:ind w:left="1440" w:hanging="360"/>
        <w:jc w:val="both"/>
        <w:rPr>
          <w:rFonts w:ascii="Arial" w:hAnsi="Arial" w:cs="Arial"/>
          <w:b/>
          <w:color w:val="000000"/>
          <w:sz w:val="24"/>
          <w:szCs w:val="24"/>
        </w:rPr>
      </w:pPr>
      <w:r w:rsidRPr="006F6E2D">
        <w:rPr>
          <w:rFonts w:ascii="Arial" w:hAnsi="Arial" w:cs="Arial"/>
          <w:color w:val="000000"/>
          <w:sz w:val="24"/>
          <w:szCs w:val="24"/>
        </w:rPr>
        <w:t>(b)</w:t>
      </w:r>
      <w:r w:rsidRPr="006F6E2D">
        <w:rPr>
          <w:rFonts w:ascii="Arial" w:hAnsi="Arial" w:cs="Arial"/>
          <w:color w:val="000000"/>
          <w:sz w:val="24"/>
          <w:szCs w:val="24"/>
        </w:rPr>
        <w:tab/>
      </w:r>
      <w:r w:rsidR="00E04415" w:rsidRPr="00C0573E">
        <w:rPr>
          <w:rFonts w:ascii="Arial" w:hAnsi="Arial" w:cs="Arial"/>
          <w:color w:val="000000"/>
          <w:sz w:val="27"/>
          <w:szCs w:val="27"/>
        </w:rPr>
        <w:t xml:space="preserve">Is </w:t>
      </w:r>
      <w:r w:rsidR="00270660" w:rsidRPr="00C0573E">
        <w:rPr>
          <w:rFonts w:ascii="Arial" w:hAnsi="Arial" w:cs="Arial"/>
          <w:color w:val="000000"/>
          <w:sz w:val="27"/>
          <w:szCs w:val="27"/>
        </w:rPr>
        <w:t xml:space="preserve">Vodacom's review application </w:t>
      </w:r>
      <w:r w:rsidR="00E04415" w:rsidRPr="00C0573E">
        <w:rPr>
          <w:rFonts w:ascii="Arial" w:hAnsi="Arial" w:cs="Arial"/>
          <w:color w:val="000000"/>
          <w:sz w:val="27"/>
          <w:szCs w:val="27"/>
        </w:rPr>
        <w:t xml:space="preserve">out of time or unreasonably late, and, if so, whether it is in the interests of justice to extend the time period for filing the review application in terms of section 9 of PAJA or overlooking the delay? </w:t>
      </w:r>
    </w:p>
    <w:p w:rsidR="00270660" w:rsidRPr="006F6E2D" w:rsidRDefault="00270660" w:rsidP="006F6E2D">
      <w:pPr>
        <w:autoSpaceDE w:val="0"/>
        <w:autoSpaceDN w:val="0"/>
        <w:adjustRightInd w:val="0"/>
        <w:spacing w:after="0" w:line="360" w:lineRule="auto"/>
        <w:jc w:val="both"/>
        <w:rPr>
          <w:rFonts w:ascii="Arial" w:hAnsi="Arial" w:cs="Arial"/>
          <w:color w:val="000000"/>
          <w:sz w:val="27"/>
          <w:szCs w:val="27"/>
        </w:rPr>
      </w:pPr>
      <w:r w:rsidRPr="006F6E2D">
        <w:rPr>
          <w:rFonts w:ascii="Arial" w:hAnsi="Arial" w:cs="Arial"/>
          <w:color w:val="000000"/>
          <w:sz w:val="27"/>
          <w:szCs w:val="27"/>
        </w:rPr>
        <w:t xml:space="preserve">As concerning the merits of the review the issues are:  </w:t>
      </w:r>
    </w:p>
    <w:p w:rsidR="00270660" w:rsidRPr="00C0573E" w:rsidRDefault="00C0573E" w:rsidP="00C0573E">
      <w:pPr>
        <w:autoSpaceDE w:val="0"/>
        <w:autoSpaceDN w:val="0"/>
        <w:adjustRightInd w:val="0"/>
        <w:spacing w:after="0" w:line="360" w:lineRule="auto"/>
        <w:ind w:left="1080" w:hanging="360"/>
        <w:jc w:val="both"/>
        <w:rPr>
          <w:rFonts w:ascii="Arial" w:hAnsi="Arial" w:cs="Arial"/>
          <w:b/>
          <w:color w:val="000000"/>
          <w:sz w:val="24"/>
          <w:szCs w:val="24"/>
        </w:rPr>
      </w:pPr>
      <w:r w:rsidRPr="006F6E2D">
        <w:rPr>
          <w:rFonts w:ascii="Segoe UI" w:hAnsi="Segoe UI" w:cs="Segoe UI"/>
          <w:color w:val="000000"/>
          <w:sz w:val="27"/>
          <w:szCs w:val="24"/>
        </w:rPr>
        <w:t>(a)</w:t>
      </w:r>
      <w:r w:rsidRPr="006F6E2D">
        <w:rPr>
          <w:rFonts w:ascii="Segoe UI" w:hAnsi="Segoe UI" w:cs="Segoe UI"/>
          <w:color w:val="000000"/>
          <w:sz w:val="27"/>
          <w:szCs w:val="24"/>
        </w:rPr>
        <w:tab/>
      </w:r>
      <w:r w:rsidR="00E04415" w:rsidRPr="00C0573E">
        <w:rPr>
          <w:rFonts w:ascii="Arial" w:hAnsi="Arial" w:cs="Arial"/>
          <w:color w:val="000000"/>
          <w:sz w:val="27"/>
          <w:szCs w:val="27"/>
        </w:rPr>
        <w:t xml:space="preserve"> Whether SAPS erroneously compared Vodacom's network availabi</w:t>
      </w:r>
      <w:r w:rsidR="00270660" w:rsidRPr="00C0573E">
        <w:rPr>
          <w:rFonts w:ascii="Arial" w:hAnsi="Arial" w:cs="Arial"/>
          <w:color w:val="000000"/>
          <w:sz w:val="27"/>
          <w:szCs w:val="27"/>
        </w:rPr>
        <w:t>lity to MTN's network coverage and if so w</w:t>
      </w:r>
      <w:r w:rsidR="00E04415" w:rsidRPr="00C0573E">
        <w:rPr>
          <w:rFonts w:ascii="Arial" w:hAnsi="Arial" w:cs="Arial"/>
          <w:color w:val="000000"/>
          <w:sz w:val="27"/>
          <w:szCs w:val="27"/>
        </w:rPr>
        <w:t>he</w:t>
      </w:r>
      <w:r w:rsidR="00270660" w:rsidRPr="00C0573E">
        <w:rPr>
          <w:rFonts w:ascii="Arial" w:hAnsi="Arial" w:cs="Arial"/>
          <w:color w:val="000000"/>
          <w:sz w:val="27"/>
          <w:szCs w:val="27"/>
        </w:rPr>
        <w:t>ther the alleged error</w:t>
      </w:r>
      <w:r w:rsidR="00E04415" w:rsidRPr="00C0573E">
        <w:rPr>
          <w:rFonts w:ascii="Arial" w:hAnsi="Arial" w:cs="Arial"/>
          <w:color w:val="000000"/>
          <w:sz w:val="27"/>
          <w:szCs w:val="27"/>
        </w:rPr>
        <w:t xml:space="preserve"> constitutes a material irregularity which makes the impugned decision susceptible to judicial review; </w:t>
      </w:r>
    </w:p>
    <w:p w:rsidR="00270660" w:rsidRPr="00C0573E" w:rsidRDefault="00C0573E" w:rsidP="00C0573E">
      <w:pPr>
        <w:autoSpaceDE w:val="0"/>
        <w:autoSpaceDN w:val="0"/>
        <w:adjustRightInd w:val="0"/>
        <w:spacing w:after="0" w:line="360" w:lineRule="auto"/>
        <w:ind w:left="1080" w:hanging="360"/>
        <w:jc w:val="both"/>
        <w:rPr>
          <w:rFonts w:ascii="Arial" w:hAnsi="Arial" w:cs="Arial"/>
          <w:b/>
          <w:color w:val="000000"/>
          <w:sz w:val="24"/>
          <w:szCs w:val="24"/>
        </w:rPr>
      </w:pPr>
      <w:r w:rsidRPr="006F6E2D">
        <w:rPr>
          <w:rFonts w:ascii="Segoe UI" w:hAnsi="Segoe UI" w:cs="Segoe UI"/>
          <w:color w:val="000000"/>
          <w:sz w:val="27"/>
          <w:szCs w:val="24"/>
        </w:rPr>
        <w:t>(b)</w:t>
      </w:r>
      <w:r w:rsidRPr="006F6E2D">
        <w:rPr>
          <w:rFonts w:ascii="Segoe UI" w:hAnsi="Segoe UI" w:cs="Segoe UI"/>
          <w:color w:val="000000"/>
          <w:sz w:val="27"/>
          <w:szCs w:val="24"/>
        </w:rPr>
        <w:tab/>
      </w:r>
      <w:r w:rsidR="00E04415" w:rsidRPr="00C0573E">
        <w:rPr>
          <w:rFonts w:ascii="Arial" w:hAnsi="Arial" w:cs="Arial"/>
          <w:color w:val="000000"/>
          <w:sz w:val="27"/>
          <w:szCs w:val="27"/>
        </w:rPr>
        <w:t xml:space="preserve">Whether MTN and SAPS contravened the Master Transversal Agreement when MTN tendered a Proposal and SAPS accepted a Proposal for an amount of above R500.00; </w:t>
      </w:r>
    </w:p>
    <w:p w:rsidR="00270660" w:rsidRPr="00C0573E" w:rsidRDefault="00C0573E" w:rsidP="00C0573E">
      <w:pPr>
        <w:autoSpaceDE w:val="0"/>
        <w:autoSpaceDN w:val="0"/>
        <w:adjustRightInd w:val="0"/>
        <w:spacing w:after="0" w:line="360" w:lineRule="auto"/>
        <w:ind w:left="1080" w:hanging="360"/>
        <w:jc w:val="both"/>
        <w:rPr>
          <w:rFonts w:ascii="Arial" w:hAnsi="Arial" w:cs="Arial"/>
          <w:b/>
          <w:color w:val="000000"/>
          <w:sz w:val="24"/>
          <w:szCs w:val="24"/>
        </w:rPr>
      </w:pPr>
      <w:r w:rsidRPr="006F6E2D">
        <w:rPr>
          <w:rFonts w:ascii="Segoe UI" w:hAnsi="Segoe UI" w:cs="Segoe UI"/>
          <w:color w:val="000000"/>
          <w:sz w:val="27"/>
          <w:szCs w:val="24"/>
        </w:rPr>
        <w:lastRenderedPageBreak/>
        <w:t>(c)</w:t>
      </w:r>
      <w:r w:rsidRPr="006F6E2D">
        <w:rPr>
          <w:rFonts w:ascii="Segoe UI" w:hAnsi="Segoe UI" w:cs="Segoe UI"/>
          <w:color w:val="000000"/>
          <w:sz w:val="27"/>
          <w:szCs w:val="24"/>
        </w:rPr>
        <w:tab/>
      </w:r>
      <w:r w:rsidR="00E04415" w:rsidRPr="00C0573E">
        <w:rPr>
          <w:rFonts w:ascii="Arial" w:hAnsi="Arial" w:cs="Arial"/>
          <w:color w:val="000000"/>
          <w:sz w:val="27"/>
          <w:szCs w:val="27"/>
        </w:rPr>
        <w:t xml:space="preserve">Whether the Participation Agreement between MTN and SAPS is unlawful; and </w:t>
      </w:r>
    </w:p>
    <w:p w:rsidR="00270660" w:rsidRPr="00C0573E" w:rsidRDefault="00C0573E" w:rsidP="00C0573E">
      <w:pPr>
        <w:autoSpaceDE w:val="0"/>
        <w:autoSpaceDN w:val="0"/>
        <w:adjustRightInd w:val="0"/>
        <w:spacing w:after="0" w:line="360" w:lineRule="auto"/>
        <w:ind w:left="1080" w:hanging="360"/>
        <w:jc w:val="both"/>
        <w:rPr>
          <w:rFonts w:ascii="Arial" w:hAnsi="Arial" w:cs="Arial"/>
          <w:b/>
          <w:color w:val="000000"/>
          <w:sz w:val="24"/>
          <w:szCs w:val="24"/>
        </w:rPr>
      </w:pPr>
      <w:r w:rsidRPr="006F6E2D">
        <w:rPr>
          <w:rFonts w:ascii="Segoe UI" w:hAnsi="Segoe UI" w:cs="Segoe UI"/>
          <w:color w:val="000000"/>
          <w:sz w:val="27"/>
          <w:szCs w:val="24"/>
        </w:rPr>
        <w:t>(d)</w:t>
      </w:r>
      <w:r w:rsidRPr="006F6E2D">
        <w:rPr>
          <w:rFonts w:ascii="Segoe UI" w:hAnsi="Segoe UI" w:cs="Segoe UI"/>
          <w:color w:val="000000"/>
          <w:sz w:val="27"/>
          <w:szCs w:val="24"/>
        </w:rPr>
        <w:tab/>
      </w:r>
      <w:r w:rsidR="00E04415" w:rsidRPr="00C0573E">
        <w:rPr>
          <w:rFonts w:ascii="Arial" w:hAnsi="Arial" w:cs="Arial"/>
          <w:color w:val="000000"/>
          <w:sz w:val="27"/>
          <w:szCs w:val="27"/>
        </w:rPr>
        <w:t xml:space="preserve">Whether SAPS's Implementation Protocol is unlawful in so far as it pertains to Category 1A and Category 1B. </w:t>
      </w:r>
    </w:p>
    <w:p w:rsidR="00E04415" w:rsidRPr="00C0573E" w:rsidRDefault="00C0573E" w:rsidP="00C0573E">
      <w:pPr>
        <w:autoSpaceDE w:val="0"/>
        <w:autoSpaceDN w:val="0"/>
        <w:adjustRightInd w:val="0"/>
        <w:spacing w:after="0" w:line="360" w:lineRule="auto"/>
        <w:ind w:left="1080" w:hanging="360"/>
        <w:jc w:val="both"/>
        <w:rPr>
          <w:rFonts w:ascii="Arial" w:hAnsi="Arial" w:cs="Arial"/>
          <w:b/>
          <w:color w:val="000000"/>
          <w:sz w:val="24"/>
          <w:szCs w:val="24"/>
        </w:rPr>
      </w:pPr>
      <w:r w:rsidRPr="006F6E2D">
        <w:rPr>
          <w:rFonts w:ascii="Segoe UI" w:hAnsi="Segoe UI" w:cs="Segoe UI"/>
          <w:color w:val="000000"/>
          <w:sz w:val="27"/>
          <w:szCs w:val="24"/>
        </w:rPr>
        <w:t>(e)</w:t>
      </w:r>
      <w:r w:rsidRPr="006F6E2D">
        <w:rPr>
          <w:rFonts w:ascii="Segoe UI" w:hAnsi="Segoe UI" w:cs="Segoe UI"/>
          <w:color w:val="000000"/>
          <w:sz w:val="27"/>
          <w:szCs w:val="24"/>
        </w:rPr>
        <w:tab/>
      </w:r>
      <w:r w:rsidR="00E04415" w:rsidRPr="00C0573E">
        <w:rPr>
          <w:rFonts w:ascii="Arial" w:hAnsi="Arial" w:cs="Arial"/>
          <w:color w:val="000000"/>
          <w:sz w:val="27"/>
          <w:szCs w:val="27"/>
        </w:rPr>
        <w:t>If the review application is upheld, what constitutes a just and equitable remedy?</w:t>
      </w:r>
    </w:p>
    <w:p w:rsidR="007E0D4A" w:rsidRPr="006F6E2D" w:rsidRDefault="007E0D4A" w:rsidP="006F6E2D">
      <w:pPr>
        <w:autoSpaceDE w:val="0"/>
        <w:autoSpaceDN w:val="0"/>
        <w:adjustRightInd w:val="0"/>
        <w:spacing w:after="0" w:line="360" w:lineRule="auto"/>
        <w:jc w:val="both"/>
        <w:rPr>
          <w:rFonts w:ascii="Arial" w:hAnsi="Arial" w:cs="Arial"/>
          <w:b/>
          <w:color w:val="000000"/>
          <w:sz w:val="24"/>
          <w:szCs w:val="24"/>
        </w:rPr>
      </w:pPr>
    </w:p>
    <w:p w:rsidR="00644DB1" w:rsidRPr="006F6E2D" w:rsidRDefault="00644DB1" w:rsidP="006F6E2D">
      <w:pPr>
        <w:autoSpaceDE w:val="0"/>
        <w:autoSpaceDN w:val="0"/>
        <w:adjustRightInd w:val="0"/>
        <w:spacing w:after="0" w:line="360" w:lineRule="auto"/>
        <w:jc w:val="both"/>
        <w:rPr>
          <w:rFonts w:ascii="Arial" w:hAnsi="Arial" w:cs="Arial"/>
          <w:b/>
          <w:i/>
          <w:color w:val="000000"/>
          <w:sz w:val="24"/>
          <w:szCs w:val="24"/>
        </w:rPr>
      </w:pPr>
      <w:r w:rsidRPr="006F6E2D">
        <w:rPr>
          <w:rFonts w:ascii="Arial" w:hAnsi="Arial" w:cs="Arial"/>
          <w:b/>
          <w:i/>
          <w:color w:val="000000"/>
          <w:sz w:val="24"/>
          <w:szCs w:val="24"/>
        </w:rPr>
        <w:t>Condonation or extension of the time frames</w:t>
      </w: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[28]</w:t>
      </w:r>
      <w:r w:rsidRPr="006F6E2D">
        <w:rPr>
          <w:rFonts w:ascii="Arial" w:hAnsi="Arial" w:cs="Arial"/>
          <w:color w:val="000000"/>
          <w:sz w:val="24"/>
          <w:szCs w:val="24"/>
        </w:rPr>
        <w:tab/>
      </w:r>
      <w:r w:rsidR="00241ABE" w:rsidRPr="00C0573E">
        <w:rPr>
          <w:rFonts w:ascii="Arial" w:hAnsi="Arial" w:cs="Arial"/>
          <w:color w:val="000000"/>
          <w:sz w:val="24"/>
          <w:szCs w:val="24"/>
        </w:rPr>
        <w:t>The timeframes with</w:t>
      </w:r>
      <w:r w:rsidR="00644DB1" w:rsidRPr="00C0573E">
        <w:rPr>
          <w:rFonts w:ascii="Arial" w:hAnsi="Arial" w:cs="Arial"/>
          <w:color w:val="000000"/>
          <w:sz w:val="24"/>
          <w:szCs w:val="24"/>
        </w:rPr>
        <w:t>in which review</w:t>
      </w:r>
      <w:r w:rsidR="001B173E" w:rsidRPr="00C0573E">
        <w:rPr>
          <w:rFonts w:ascii="Arial" w:hAnsi="Arial" w:cs="Arial"/>
          <w:color w:val="000000"/>
          <w:sz w:val="24"/>
          <w:szCs w:val="24"/>
        </w:rPr>
        <w:t>s</w:t>
      </w:r>
      <w:r w:rsidR="00644DB1" w:rsidRPr="00C0573E">
        <w:rPr>
          <w:rFonts w:ascii="Arial" w:hAnsi="Arial" w:cs="Arial"/>
          <w:color w:val="000000"/>
          <w:sz w:val="24"/>
          <w:szCs w:val="24"/>
        </w:rPr>
        <w:t xml:space="preserve"> against</w:t>
      </w:r>
      <w:r w:rsidR="00241ABE" w:rsidRPr="00C0573E">
        <w:rPr>
          <w:rFonts w:ascii="Arial" w:hAnsi="Arial" w:cs="Arial"/>
          <w:color w:val="000000"/>
          <w:sz w:val="24"/>
          <w:szCs w:val="24"/>
        </w:rPr>
        <w:t xml:space="preserve"> administrative d</w:t>
      </w:r>
      <w:r w:rsidR="00CA2747" w:rsidRPr="00C0573E">
        <w:rPr>
          <w:rFonts w:ascii="Arial" w:hAnsi="Arial" w:cs="Arial"/>
          <w:color w:val="000000"/>
          <w:sz w:val="24"/>
          <w:szCs w:val="24"/>
        </w:rPr>
        <w:t>ecisions are to be instituted are</w:t>
      </w:r>
      <w:r w:rsidR="00241ABE" w:rsidRPr="00C0573E">
        <w:rPr>
          <w:rFonts w:ascii="Arial" w:hAnsi="Arial" w:cs="Arial"/>
          <w:color w:val="000000"/>
          <w:sz w:val="24"/>
          <w:szCs w:val="24"/>
        </w:rPr>
        <w:t xml:space="preserve"> provided for under section 7(1) of PAJA.</w:t>
      </w:r>
      <w:r w:rsidR="006F6E2D" w:rsidRPr="00C0573E">
        <w:rPr>
          <w:rFonts w:ascii="Arial" w:hAnsi="Arial" w:cs="Arial"/>
          <w:color w:val="000000"/>
          <w:sz w:val="24"/>
          <w:szCs w:val="24"/>
        </w:rPr>
        <w:t xml:space="preserve">  </w:t>
      </w:r>
      <w:r w:rsidR="00241ABE" w:rsidRPr="00C0573E">
        <w:rPr>
          <w:rFonts w:ascii="Arial" w:hAnsi="Arial" w:cs="Arial"/>
          <w:color w:val="000000"/>
          <w:sz w:val="24"/>
          <w:szCs w:val="24"/>
        </w:rPr>
        <w:t>Section 7(1)(b) of PAJA requires t</w:t>
      </w:r>
      <w:r w:rsidR="001B173E" w:rsidRPr="00C0573E">
        <w:rPr>
          <w:rFonts w:ascii="Arial" w:hAnsi="Arial" w:cs="Arial"/>
          <w:color w:val="000000"/>
          <w:sz w:val="24"/>
          <w:szCs w:val="24"/>
        </w:rPr>
        <w:t>hat</w:t>
      </w:r>
      <w:r w:rsidR="00241ABE" w:rsidRPr="00C0573E">
        <w:rPr>
          <w:rFonts w:ascii="Arial" w:hAnsi="Arial" w:cs="Arial"/>
          <w:color w:val="000000"/>
          <w:sz w:val="24"/>
          <w:szCs w:val="24"/>
        </w:rPr>
        <w:t xml:space="preserve"> judicial review proceedings should be instituted without unreasonable delay and not later than 180 days after the date</w:t>
      </w:r>
      <w:r w:rsidR="006E5EDB" w:rsidRPr="00C0573E">
        <w:rPr>
          <w:rFonts w:ascii="Arial" w:hAnsi="Arial" w:cs="Arial"/>
          <w:color w:val="000000"/>
          <w:sz w:val="18"/>
          <w:szCs w:val="18"/>
          <w:shd w:val="clear" w:color="auto" w:fill="FFFFFF"/>
        </w:rPr>
        <w:t>—</w:t>
      </w:r>
    </w:p>
    <w:p w:rsidR="00241ABE" w:rsidRPr="006F6E2D" w:rsidRDefault="00241ABE" w:rsidP="006F6E2D">
      <w:pPr>
        <w:autoSpaceDE w:val="0"/>
        <w:autoSpaceDN w:val="0"/>
        <w:adjustRightInd w:val="0"/>
        <w:spacing w:after="0" w:line="360" w:lineRule="auto"/>
        <w:ind w:left="567"/>
        <w:jc w:val="both"/>
        <w:rPr>
          <w:rFonts w:ascii="Arial" w:hAnsi="Arial" w:cs="Arial"/>
          <w:color w:val="000000"/>
          <w:sz w:val="24"/>
          <w:szCs w:val="24"/>
        </w:rPr>
      </w:pPr>
      <w:r w:rsidRPr="006F6E2D">
        <w:rPr>
          <w:rFonts w:ascii="Arial" w:hAnsi="Arial" w:cs="Arial"/>
          <w:color w:val="000000"/>
          <w:sz w:val="24"/>
          <w:szCs w:val="24"/>
        </w:rPr>
        <w:t>“</w:t>
      </w:r>
      <w:r w:rsidR="006E5EDB" w:rsidRPr="006F6E2D">
        <w:rPr>
          <w:rFonts w:ascii="Arial" w:hAnsi="Arial" w:cs="Arial"/>
          <w:color w:val="000000"/>
          <w:sz w:val="24"/>
          <w:szCs w:val="24"/>
        </w:rPr>
        <w:t xml:space="preserve">… on </w:t>
      </w:r>
      <w:r w:rsidRPr="006F6E2D">
        <w:rPr>
          <w:rFonts w:ascii="Arial" w:hAnsi="Arial" w:cs="Arial"/>
          <w:color w:val="000000"/>
          <w:sz w:val="24"/>
          <w:szCs w:val="24"/>
        </w:rPr>
        <w:t>which the person concerned was informed of the administrative action, became aware of the action and the reason</w:t>
      </w:r>
      <w:r w:rsidR="006E5EDB" w:rsidRPr="006F6E2D">
        <w:rPr>
          <w:rFonts w:ascii="Arial" w:hAnsi="Arial" w:cs="Arial"/>
          <w:color w:val="000000"/>
          <w:sz w:val="24"/>
          <w:szCs w:val="24"/>
        </w:rPr>
        <w:t>s for it or might</w:t>
      </w:r>
      <w:r w:rsidRPr="006F6E2D">
        <w:rPr>
          <w:rFonts w:ascii="Arial" w:hAnsi="Arial" w:cs="Arial"/>
          <w:color w:val="000000"/>
          <w:sz w:val="24"/>
          <w:szCs w:val="24"/>
        </w:rPr>
        <w:t xml:space="preserve"> reasonably have been expected to have become aware of the action and the reasons.”</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[29]</w:t>
      </w:r>
      <w:r w:rsidRPr="006F6E2D">
        <w:rPr>
          <w:rFonts w:ascii="Arial" w:hAnsi="Arial" w:cs="Arial"/>
          <w:color w:val="000000"/>
          <w:sz w:val="24"/>
          <w:szCs w:val="24"/>
        </w:rPr>
        <w:tab/>
      </w:r>
      <w:r w:rsidR="00241ABE" w:rsidRPr="00C0573E">
        <w:rPr>
          <w:rFonts w:ascii="Arial" w:hAnsi="Arial" w:cs="Arial"/>
          <w:color w:val="000000"/>
          <w:sz w:val="24"/>
          <w:szCs w:val="24"/>
        </w:rPr>
        <w:t xml:space="preserve">In dealing with the issue of when review proceedings under PAJA should be instituted the Supreme Court of Appeal (SCA) in </w:t>
      </w:r>
      <w:r w:rsidR="00644DB1" w:rsidRPr="00C0573E">
        <w:rPr>
          <w:rFonts w:ascii="Arial" w:hAnsi="Arial" w:cs="Arial"/>
          <w:i/>
          <w:color w:val="000000"/>
          <w:sz w:val="24"/>
          <w:szCs w:val="24"/>
        </w:rPr>
        <w:t xml:space="preserve">Cape Town City v Aurecon SA </w:t>
      </w:r>
      <w:r w:rsidR="00241ABE" w:rsidRPr="00C0573E">
        <w:rPr>
          <w:rFonts w:ascii="Arial" w:hAnsi="Arial" w:cs="Arial"/>
          <w:i/>
          <w:color w:val="000000"/>
          <w:sz w:val="24"/>
          <w:szCs w:val="24"/>
        </w:rPr>
        <w:t>(Pty) Ltd</w:t>
      </w:r>
      <w:r w:rsidR="00241ABE" w:rsidRPr="00C0573E">
        <w:rPr>
          <w:rFonts w:ascii="Arial" w:hAnsi="Arial" w:cs="Arial"/>
          <w:color w:val="000000"/>
          <w:sz w:val="24"/>
          <w:szCs w:val="24"/>
        </w:rPr>
        <w:t xml:space="preserve"> said:</w:t>
      </w:r>
      <w:r w:rsidR="00BB5689" w:rsidRPr="006F6E2D">
        <w:rPr>
          <w:rStyle w:val="FootnoteReference"/>
          <w:rFonts w:ascii="Arial" w:hAnsi="Arial" w:cs="Arial"/>
          <w:color w:val="000000"/>
          <w:sz w:val="24"/>
          <w:szCs w:val="24"/>
          <w:vertAlign w:val="superscript"/>
        </w:rPr>
        <w:footnoteReference w:id="5"/>
      </w:r>
    </w:p>
    <w:p w:rsidR="00241ABE" w:rsidRPr="006F6E2D" w:rsidRDefault="00BB5689" w:rsidP="006F6E2D">
      <w:pPr>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w:t>
      </w:r>
      <w:r w:rsidR="00241ABE" w:rsidRPr="006F6E2D">
        <w:rPr>
          <w:rFonts w:ascii="Arial" w:hAnsi="Arial" w:cs="Arial"/>
          <w:color w:val="000000"/>
        </w:rPr>
        <w:t xml:space="preserve">Section 7(1) of PAJA does not provide that an application must be brought within 180 days after </w:t>
      </w:r>
      <w:r w:rsidRPr="006F6E2D">
        <w:rPr>
          <w:rFonts w:ascii="Arial" w:hAnsi="Arial" w:cs="Arial"/>
          <w:color w:val="000000"/>
        </w:rPr>
        <w:t>[</w:t>
      </w:r>
      <w:r w:rsidR="00241ABE" w:rsidRPr="006F6E2D">
        <w:rPr>
          <w:rFonts w:ascii="Arial" w:hAnsi="Arial" w:cs="Arial"/>
          <w:color w:val="000000"/>
        </w:rPr>
        <w:t>the applicant</w:t>
      </w:r>
      <w:r w:rsidRPr="006F6E2D">
        <w:rPr>
          <w:rFonts w:ascii="Arial" w:hAnsi="Arial" w:cs="Arial"/>
          <w:color w:val="000000"/>
        </w:rPr>
        <w:t>]</w:t>
      </w:r>
      <w:r w:rsidR="00241ABE" w:rsidRPr="006F6E2D">
        <w:rPr>
          <w:rFonts w:ascii="Arial" w:hAnsi="Arial" w:cs="Arial"/>
          <w:color w:val="000000"/>
        </w:rPr>
        <w:t xml:space="preserve"> became aware that the administrative action was tainted by irregularity. On the contrary, it provides that the clock starts to run with reference to the date on which the reasons for the administrative action became known (or ought reasonably to have become known) to </w:t>
      </w:r>
      <w:r w:rsidRPr="006F6E2D">
        <w:rPr>
          <w:rFonts w:ascii="Arial" w:hAnsi="Arial" w:cs="Arial"/>
          <w:color w:val="000000"/>
        </w:rPr>
        <w:t xml:space="preserve">an </w:t>
      </w:r>
      <w:r w:rsidR="00241ABE" w:rsidRPr="006F6E2D">
        <w:rPr>
          <w:rFonts w:ascii="Arial" w:hAnsi="Arial" w:cs="Arial"/>
          <w:color w:val="000000"/>
        </w:rPr>
        <w:t>applicant.”</w:t>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[30]</w:t>
      </w:r>
      <w:r w:rsidRPr="006F6E2D">
        <w:rPr>
          <w:rFonts w:ascii="Arial" w:hAnsi="Arial" w:cs="Arial"/>
          <w:color w:val="000000"/>
          <w:sz w:val="24"/>
          <w:szCs w:val="24"/>
        </w:rPr>
        <w:tab/>
      </w:r>
      <w:r w:rsidR="00241ABE" w:rsidRPr="00C0573E">
        <w:rPr>
          <w:rFonts w:ascii="Arial" w:hAnsi="Arial" w:cs="Arial"/>
          <w:color w:val="000000"/>
          <w:sz w:val="24"/>
          <w:szCs w:val="24"/>
        </w:rPr>
        <w:t xml:space="preserve">The institution of proceedings under the legality principle has to be done within a reasonable period </w:t>
      </w:r>
      <w:r w:rsidR="00266B91" w:rsidRPr="00C0573E">
        <w:rPr>
          <w:rFonts w:ascii="Arial" w:hAnsi="Arial" w:cs="Arial"/>
          <w:color w:val="000000"/>
          <w:sz w:val="24"/>
          <w:szCs w:val="24"/>
        </w:rPr>
        <w:t xml:space="preserve">and </w:t>
      </w:r>
      <w:r w:rsidR="00BB5689" w:rsidRPr="00C0573E">
        <w:rPr>
          <w:rFonts w:ascii="Arial" w:hAnsi="Arial" w:cs="Arial"/>
          <w:color w:val="000000"/>
          <w:sz w:val="24"/>
          <w:szCs w:val="24"/>
        </w:rPr>
        <w:t>without “undue delay”</w:t>
      </w:r>
      <w:r w:rsidR="00266B91"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as stated in </w:t>
      </w:r>
      <w:r w:rsidR="00241ABE" w:rsidRPr="00C0573E">
        <w:rPr>
          <w:rFonts w:ascii="Arial" w:hAnsi="Arial" w:cs="Arial"/>
          <w:i/>
          <w:color w:val="000000"/>
          <w:sz w:val="24"/>
          <w:szCs w:val="24"/>
        </w:rPr>
        <w:t>Khumalo</w:t>
      </w:r>
      <w:r w:rsidR="00BB5689" w:rsidRPr="00C0573E">
        <w:rPr>
          <w:rFonts w:ascii="Arial" w:hAnsi="Arial" w:cs="Arial"/>
          <w:i/>
          <w:color w:val="000000"/>
          <w:sz w:val="24"/>
          <w:szCs w:val="24"/>
        </w:rPr>
        <w:t xml:space="preserve"> and Another</w:t>
      </w:r>
      <w:r w:rsidR="00241ABE" w:rsidRPr="00C0573E">
        <w:rPr>
          <w:rFonts w:ascii="Arial" w:hAnsi="Arial" w:cs="Arial"/>
          <w:i/>
          <w:color w:val="000000"/>
          <w:sz w:val="24"/>
          <w:szCs w:val="24"/>
        </w:rPr>
        <w:t xml:space="preserve"> v Member of the Executive Council for Education: KwaZulu Natal</w:t>
      </w:r>
      <w:r w:rsidR="00266B91" w:rsidRPr="00C0573E">
        <w:rPr>
          <w:rFonts w:ascii="Arial" w:hAnsi="Arial" w:cs="Arial"/>
          <w:i/>
          <w:color w:val="000000"/>
          <w:sz w:val="24"/>
          <w:szCs w:val="24"/>
        </w:rPr>
        <w:t>.</w:t>
      </w:r>
      <w:r w:rsidR="00BB5689" w:rsidRPr="006F6E2D">
        <w:rPr>
          <w:rStyle w:val="FootnoteReference"/>
          <w:rFonts w:ascii="Arial" w:hAnsi="Arial" w:cs="Arial"/>
          <w:color w:val="000000"/>
          <w:sz w:val="24"/>
          <w:szCs w:val="24"/>
          <w:vertAlign w:val="superscript"/>
        </w:rPr>
        <w:footnoteReference w:id="6"/>
      </w:r>
    </w:p>
    <w:p w:rsidR="00241ABE" w:rsidRPr="006F6E2D" w:rsidRDefault="00241ABE" w:rsidP="006F6E2D">
      <w:pPr>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autoSpaceDE w:val="0"/>
        <w:autoSpaceDN w:val="0"/>
        <w:adjustRightInd w:val="0"/>
        <w:spacing w:after="0" w:line="360" w:lineRule="auto"/>
        <w:jc w:val="both"/>
        <w:rPr>
          <w:rFonts w:ascii="Arial" w:hAnsi="Arial" w:cs="Arial"/>
          <w:sz w:val="24"/>
          <w:szCs w:val="24"/>
        </w:rPr>
      </w:pPr>
      <w:r w:rsidRPr="006F6E2D">
        <w:rPr>
          <w:rFonts w:ascii="Arial" w:hAnsi="Arial" w:cs="Arial"/>
          <w:sz w:val="24"/>
          <w:szCs w:val="24"/>
        </w:rPr>
        <w:lastRenderedPageBreak/>
        <w:t>[31]</w:t>
      </w:r>
      <w:r w:rsidRPr="006F6E2D">
        <w:rPr>
          <w:rFonts w:ascii="Arial" w:hAnsi="Arial" w:cs="Arial"/>
          <w:sz w:val="24"/>
          <w:szCs w:val="24"/>
        </w:rPr>
        <w:tab/>
      </w:r>
      <w:r w:rsidR="00241ABE" w:rsidRPr="00C0573E">
        <w:rPr>
          <w:rFonts w:ascii="Arial" w:hAnsi="Arial" w:cs="Arial"/>
          <w:color w:val="000000"/>
          <w:sz w:val="24"/>
          <w:szCs w:val="24"/>
        </w:rPr>
        <w:t xml:space="preserve">The timeframe provided for under section 7(1) of PAJA can be extended by the court in terms of section 9(2) of PAJA </w:t>
      </w:r>
      <w:r w:rsidR="00266B91" w:rsidRPr="00C0573E">
        <w:rPr>
          <w:rFonts w:ascii="Arial" w:hAnsi="Arial" w:cs="Arial"/>
          <w:color w:val="000000"/>
          <w:sz w:val="24"/>
          <w:szCs w:val="24"/>
        </w:rPr>
        <w:t>“</w:t>
      </w:r>
      <w:r w:rsidR="00241ABE" w:rsidRPr="00C0573E">
        <w:rPr>
          <w:rFonts w:ascii="Arial" w:hAnsi="Arial" w:cs="Arial"/>
          <w:color w:val="000000"/>
          <w:sz w:val="24"/>
          <w:szCs w:val="24"/>
        </w:rPr>
        <w:t>whe</w:t>
      </w:r>
      <w:r w:rsidR="00266B91" w:rsidRPr="00C0573E">
        <w:rPr>
          <w:rFonts w:ascii="Arial" w:hAnsi="Arial" w:cs="Arial"/>
          <w:color w:val="000000"/>
          <w:sz w:val="24"/>
          <w:szCs w:val="24"/>
        </w:rPr>
        <w:t>re</w:t>
      </w:r>
      <w:r w:rsidR="00241ABE" w:rsidRPr="00C0573E">
        <w:rPr>
          <w:rFonts w:ascii="Arial" w:hAnsi="Arial" w:cs="Arial"/>
          <w:color w:val="000000"/>
          <w:sz w:val="24"/>
          <w:szCs w:val="24"/>
        </w:rPr>
        <w:t xml:space="preserve"> the interest</w:t>
      </w:r>
      <w:r w:rsidR="00266B91" w:rsidRPr="00C0573E">
        <w:rPr>
          <w:rFonts w:ascii="Arial" w:hAnsi="Arial" w:cs="Arial"/>
          <w:color w:val="000000"/>
          <w:sz w:val="24"/>
          <w:szCs w:val="24"/>
        </w:rPr>
        <w:t>s</w:t>
      </w:r>
      <w:r w:rsidR="00241ABE" w:rsidRPr="00C0573E">
        <w:rPr>
          <w:rFonts w:ascii="Arial" w:hAnsi="Arial" w:cs="Arial"/>
          <w:color w:val="000000"/>
          <w:sz w:val="24"/>
          <w:szCs w:val="24"/>
        </w:rPr>
        <w:t xml:space="preserve"> of justice so require.”</w:t>
      </w:r>
    </w:p>
    <w:p w:rsidR="00241ABE" w:rsidRPr="006F6E2D" w:rsidRDefault="00241ABE" w:rsidP="006F6E2D">
      <w:pPr>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[32]</w:t>
      </w:r>
      <w:r w:rsidRPr="006F6E2D">
        <w:rPr>
          <w:rFonts w:ascii="Arial" w:hAnsi="Arial" w:cs="Arial"/>
          <w:color w:val="000000"/>
          <w:sz w:val="24"/>
          <w:szCs w:val="24"/>
        </w:rPr>
        <w:tab/>
      </w:r>
      <w:r w:rsidR="00241ABE" w:rsidRPr="00C0573E">
        <w:rPr>
          <w:rFonts w:ascii="Arial" w:hAnsi="Arial" w:cs="Arial"/>
          <w:color w:val="000000"/>
          <w:sz w:val="24"/>
          <w:szCs w:val="24"/>
        </w:rPr>
        <w:t xml:space="preserve">Vodacom’s reasons for the delay </w:t>
      </w:r>
      <w:r w:rsidR="003C1A54" w:rsidRPr="00C0573E">
        <w:rPr>
          <w:rFonts w:ascii="Arial" w:hAnsi="Arial" w:cs="Arial"/>
          <w:color w:val="000000"/>
          <w:sz w:val="24"/>
          <w:szCs w:val="24"/>
        </w:rPr>
        <w:t xml:space="preserve">are </w:t>
      </w:r>
      <w:r w:rsidR="00241ABE" w:rsidRPr="00C0573E">
        <w:rPr>
          <w:rFonts w:ascii="Arial" w:hAnsi="Arial" w:cs="Arial"/>
          <w:color w:val="000000"/>
          <w:sz w:val="24"/>
          <w:szCs w:val="24"/>
        </w:rPr>
        <w:t>based on the fact that no reasons were given at the time the</w:t>
      </w:r>
      <w:r w:rsidR="006F6E2D" w:rsidRPr="00C0573E">
        <w:rPr>
          <w:rFonts w:ascii="Arial" w:hAnsi="Arial" w:cs="Arial"/>
          <w:color w:val="000000"/>
          <w:sz w:val="24"/>
          <w:szCs w:val="24"/>
        </w:rPr>
        <w:t xml:space="preserve"> impugned</w:t>
      </w:r>
      <w:r w:rsidR="00241ABE" w:rsidRPr="00C0573E">
        <w:rPr>
          <w:rFonts w:ascii="Arial" w:hAnsi="Arial" w:cs="Arial"/>
          <w:color w:val="000000"/>
          <w:sz w:val="24"/>
          <w:szCs w:val="24"/>
        </w:rPr>
        <w:t xml:space="preserve"> decisions were communicated to it. </w:t>
      </w:r>
      <w:r w:rsidR="003C1A54" w:rsidRPr="00C0573E">
        <w:rPr>
          <w:rFonts w:ascii="Arial" w:hAnsi="Arial" w:cs="Arial"/>
          <w:color w:val="000000"/>
          <w:sz w:val="24"/>
          <w:szCs w:val="24"/>
        </w:rPr>
        <w:t xml:space="preserve"> </w:t>
      </w:r>
      <w:r w:rsidR="00241ABE" w:rsidRPr="00C0573E">
        <w:rPr>
          <w:rFonts w:ascii="Arial" w:hAnsi="Arial" w:cs="Arial"/>
          <w:color w:val="000000"/>
          <w:sz w:val="24"/>
          <w:szCs w:val="24"/>
        </w:rPr>
        <w:t>A further delay, according to it, was caused by the fact that when the reasons were furnished</w:t>
      </w:r>
      <w:r w:rsidR="003C1A54" w:rsidRPr="00C0573E">
        <w:rPr>
          <w:rFonts w:ascii="Arial" w:hAnsi="Arial" w:cs="Arial"/>
          <w:color w:val="000000"/>
          <w:sz w:val="24"/>
          <w:szCs w:val="24"/>
        </w:rPr>
        <w:t>,</w:t>
      </w:r>
      <w:r w:rsidR="00241ABE" w:rsidRPr="00C0573E">
        <w:rPr>
          <w:rFonts w:ascii="Arial" w:hAnsi="Arial" w:cs="Arial"/>
          <w:color w:val="000000"/>
          <w:sz w:val="24"/>
          <w:szCs w:val="24"/>
        </w:rPr>
        <w:t xml:space="preserve"> certain parts of the documents containing the reasons were </w:t>
      </w:r>
      <w:r w:rsidR="00644DB1" w:rsidRPr="00C0573E">
        <w:rPr>
          <w:rFonts w:ascii="Arial" w:hAnsi="Arial" w:cs="Arial"/>
          <w:sz w:val="24"/>
          <w:szCs w:val="24"/>
        </w:rPr>
        <w:t>redacted a</w:t>
      </w:r>
      <w:r w:rsidR="00241ABE" w:rsidRPr="00C0573E">
        <w:rPr>
          <w:rFonts w:ascii="Arial" w:hAnsi="Arial" w:cs="Arial"/>
          <w:sz w:val="24"/>
          <w:szCs w:val="24"/>
        </w:rPr>
        <w:t xml:space="preserve">t the </w:t>
      </w:r>
      <w:r w:rsidR="00241ABE" w:rsidRPr="00C0573E">
        <w:rPr>
          <w:rFonts w:ascii="Arial" w:hAnsi="Arial" w:cs="Arial"/>
          <w:color w:val="000000"/>
          <w:sz w:val="24"/>
          <w:szCs w:val="24"/>
        </w:rPr>
        <w:t xml:space="preserve">request of MTN. </w:t>
      </w:r>
      <w:r w:rsidR="003C1A54" w:rsidRPr="00C0573E">
        <w:rPr>
          <w:rFonts w:ascii="Arial" w:hAnsi="Arial" w:cs="Arial"/>
          <w:color w:val="000000"/>
          <w:sz w:val="24"/>
          <w:szCs w:val="24"/>
        </w:rPr>
        <w:t xml:space="preserve"> </w:t>
      </w:r>
      <w:r w:rsidR="00241ABE" w:rsidRPr="00C0573E">
        <w:rPr>
          <w:rFonts w:ascii="Arial" w:hAnsi="Arial" w:cs="Arial"/>
          <w:color w:val="000000"/>
          <w:sz w:val="24"/>
          <w:szCs w:val="24"/>
        </w:rPr>
        <w:t>This resulted in Vodacom having to invoke the provisions of section 74 of the Promotion of Access to Information (PAIA).</w:t>
      </w:r>
      <w:r w:rsidR="00CA2747" w:rsidRPr="006F6E2D">
        <w:rPr>
          <w:rStyle w:val="FootnoteReference"/>
          <w:rFonts w:ascii="Arial" w:hAnsi="Arial" w:cs="Arial"/>
          <w:color w:val="000000"/>
          <w:sz w:val="24"/>
          <w:szCs w:val="24"/>
          <w:vertAlign w:val="superscript"/>
        </w:rPr>
        <w:footnoteReference w:id="7"/>
      </w:r>
      <w:r w:rsidR="00241ABE" w:rsidRPr="00C0573E">
        <w:rPr>
          <w:rFonts w:ascii="Arial" w:hAnsi="Arial" w:cs="Arial"/>
          <w:color w:val="000000"/>
          <w:sz w:val="24"/>
          <w:szCs w:val="24"/>
          <w:vertAlign w:val="superscript"/>
        </w:rPr>
        <w:t xml:space="preserve"> </w:t>
      </w:r>
      <w:r w:rsidR="003C1A54" w:rsidRPr="00C0573E">
        <w:rPr>
          <w:rFonts w:ascii="Arial" w:hAnsi="Arial" w:cs="Arial"/>
          <w:color w:val="000000"/>
          <w:sz w:val="24"/>
          <w:szCs w:val="24"/>
        </w:rPr>
        <w:t xml:space="preserve"> </w:t>
      </w:r>
      <w:r w:rsidR="00241ABE" w:rsidRPr="00C0573E">
        <w:rPr>
          <w:rFonts w:ascii="Arial" w:hAnsi="Arial" w:cs="Arial"/>
          <w:color w:val="000000"/>
          <w:sz w:val="24"/>
          <w:szCs w:val="24"/>
        </w:rPr>
        <w:t>The application was filed on 26 August 2022.</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[33]</w:t>
      </w:r>
      <w:r w:rsidRPr="006F6E2D">
        <w:rPr>
          <w:rFonts w:ascii="Arial" w:hAnsi="Arial" w:cs="Arial"/>
          <w:color w:val="000000"/>
          <w:sz w:val="24"/>
          <w:szCs w:val="24"/>
        </w:rPr>
        <w:tab/>
      </w:r>
      <w:r w:rsidR="00241ABE" w:rsidRPr="00C0573E">
        <w:rPr>
          <w:rFonts w:ascii="Arial" w:hAnsi="Arial" w:cs="Arial"/>
          <w:color w:val="000000"/>
          <w:sz w:val="24"/>
          <w:szCs w:val="24"/>
        </w:rPr>
        <w:t xml:space="preserve">There is no doubt in my view that Vodacom delayed in filing its application. </w:t>
      </w:r>
      <w:r w:rsidR="003C1A54" w:rsidRPr="00C0573E">
        <w:rPr>
          <w:rFonts w:ascii="Arial" w:hAnsi="Arial" w:cs="Arial"/>
          <w:color w:val="000000"/>
          <w:sz w:val="24"/>
          <w:szCs w:val="24"/>
        </w:rPr>
        <w:t xml:space="preserve"> </w:t>
      </w:r>
      <w:r w:rsidR="00241ABE" w:rsidRPr="00C0573E">
        <w:rPr>
          <w:rFonts w:ascii="Arial" w:hAnsi="Arial" w:cs="Arial"/>
          <w:color w:val="000000"/>
          <w:sz w:val="24"/>
          <w:szCs w:val="24"/>
        </w:rPr>
        <w:t>If the delay is calculated from 28 February 2022 to 26 August 2022</w:t>
      </w:r>
      <w:r w:rsidR="003C1A54" w:rsidRPr="00C0573E">
        <w:rPr>
          <w:rFonts w:ascii="Arial" w:hAnsi="Arial" w:cs="Arial"/>
          <w:color w:val="000000"/>
          <w:sz w:val="24"/>
          <w:szCs w:val="24"/>
        </w:rPr>
        <w:t>,</w:t>
      </w:r>
      <w:r w:rsidR="00241ABE" w:rsidRPr="00C0573E">
        <w:rPr>
          <w:rFonts w:ascii="Arial" w:hAnsi="Arial" w:cs="Arial"/>
          <w:color w:val="000000"/>
          <w:sz w:val="24"/>
          <w:szCs w:val="24"/>
        </w:rPr>
        <w:t xml:space="preserve"> then the application was launched about six months late. After receipt of the</w:t>
      </w:r>
      <w:r w:rsidR="00241ABE" w:rsidRPr="00C0573E">
        <w:rPr>
          <w:rFonts w:ascii="Arial" w:hAnsi="Arial" w:cs="Arial"/>
          <w:sz w:val="24"/>
          <w:szCs w:val="24"/>
        </w:rPr>
        <w:t xml:space="preserve"> PAIA </w:t>
      </w:r>
      <w:r w:rsidR="00241ABE" w:rsidRPr="00C0573E">
        <w:rPr>
          <w:rFonts w:ascii="Arial" w:hAnsi="Arial" w:cs="Arial"/>
          <w:color w:val="000000"/>
          <w:sz w:val="24"/>
          <w:szCs w:val="24"/>
        </w:rPr>
        <w:t xml:space="preserve">request, </w:t>
      </w:r>
      <w:r w:rsidR="00644DB1" w:rsidRPr="00C0573E">
        <w:rPr>
          <w:rFonts w:ascii="Arial" w:hAnsi="Arial" w:cs="Arial"/>
          <w:color w:val="000000"/>
          <w:sz w:val="24"/>
          <w:szCs w:val="24"/>
        </w:rPr>
        <w:t xml:space="preserve">Vodacom </w:t>
      </w:r>
      <w:r w:rsidR="00241ABE" w:rsidRPr="00C0573E">
        <w:rPr>
          <w:rFonts w:ascii="Arial" w:hAnsi="Arial" w:cs="Arial"/>
          <w:color w:val="000000"/>
          <w:sz w:val="24"/>
          <w:szCs w:val="24"/>
        </w:rPr>
        <w:t>waited for another four months before instituting this application.</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[34]</w:t>
      </w:r>
      <w:r w:rsidRPr="006F6E2D">
        <w:rPr>
          <w:rFonts w:ascii="Arial" w:hAnsi="Arial" w:cs="Arial"/>
          <w:color w:val="000000"/>
          <w:sz w:val="24"/>
          <w:szCs w:val="24"/>
        </w:rPr>
        <w:tab/>
      </w:r>
      <w:r w:rsidR="00241ABE" w:rsidRPr="00C0573E">
        <w:rPr>
          <w:rFonts w:ascii="Arial" w:hAnsi="Arial" w:cs="Arial"/>
          <w:color w:val="000000"/>
          <w:sz w:val="24"/>
          <w:szCs w:val="24"/>
        </w:rPr>
        <w:t xml:space="preserve">The SAPS contended that the duration of the delay is so substantial that </w:t>
      </w:r>
      <w:r w:rsidR="00644DB1" w:rsidRPr="00C0573E">
        <w:rPr>
          <w:rFonts w:ascii="Arial" w:hAnsi="Arial" w:cs="Arial"/>
          <w:color w:val="000000"/>
          <w:sz w:val="24"/>
          <w:szCs w:val="24"/>
        </w:rPr>
        <w:t xml:space="preserve">it </w:t>
      </w:r>
      <w:r w:rsidR="00241ABE" w:rsidRPr="00C0573E">
        <w:rPr>
          <w:rFonts w:ascii="Arial" w:hAnsi="Arial" w:cs="Arial"/>
          <w:color w:val="000000"/>
          <w:sz w:val="24"/>
          <w:szCs w:val="24"/>
        </w:rPr>
        <w:t xml:space="preserve">is unduly prejudicial to it. </w:t>
      </w:r>
      <w:r w:rsidR="000C2744"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In this regard, the SAPS persuaded the </w:t>
      </w:r>
      <w:r w:rsidR="00CA2747" w:rsidRPr="00C0573E">
        <w:rPr>
          <w:rFonts w:ascii="Arial" w:hAnsi="Arial" w:cs="Arial"/>
          <w:color w:val="000000"/>
          <w:sz w:val="24"/>
          <w:szCs w:val="24"/>
        </w:rPr>
        <w:t>c</w:t>
      </w:r>
      <w:r w:rsidR="00241ABE" w:rsidRPr="00C0573E">
        <w:rPr>
          <w:rFonts w:ascii="Arial" w:hAnsi="Arial" w:cs="Arial"/>
          <w:color w:val="000000"/>
          <w:sz w:val="24"/>
          <w:szCs w:val="24"/>
        </w:rPr>
        <w:t xml:space="preserve">ourt to take into account that it has begun arranging its affairs in line with the agreement concluded with MTN. </w:t>
      </w:r>
      <w:r w:rsidR="000C2744" w:rsidRPr="00C0573E">
        <w:rPr>
          <w:rFonts w:ascii="Arial" w:hAnsi="Arial" w:cs="Arial"/>
          <w:color w:val="000000"/>
          <w:sz w:val="24"/>
          <w:szCs w:val="24"/>
        </w:rPr>
        <w:t xml:space="preserve"> </w:t>
      </w:r>
      <w:r w:rsidR="00241ABE" w:rsidRPr="00C0573E">
        <w:rPr>
          <w:rFonts w:ascii="Arial" w:hAnsi="Arial" w:cs="Arial"/>
          <w:color w:val="000000"/>
          <w:sz w:val="24"/>
          <w:szCs w:val="24"/>
        </w:rPr>
        <w:t>It further contends that Vodacom is not entitled to the extension of the time frame because it has no prospects of success on the merits.</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[35]</w:t>
      </w:r>
      <w:r w:rsidRPr="006F6E2D">
        <w:rPr>
          <w:rFonts w:ascii="Arial" w:hAnsi="Arial" w:cs="Arial"/>
          <w:color w:val="000000"/>
          <w:sz w:val="24"/>
          <w:szCs w:val="24"/>
        </w:rPr>
        <w:tab/>
      </w:r>
      <w:r w:rsidR="00241ABE" w:rsidRPr="00C0573E">
        <w:rPr>
          <w:rFonts w:ascii="Arial" w:hAnsi="Arial" w:cs="Arial"/>
          <w:color w:val="000000"/>
          <w:sz w:val="24"/>
          <w:szCs w:val="24"/>
        </w:rPr>
        <w:t xml:space="preserve">The approach to adopt when dealing with the issue of a delay in instituting a review under PAJA received attention in </w:t>
      </w:r>
      <w:r w:rsidR="00241ABE" w:rsidRPr="00C0573E">
        <w:rPr>
          <w:rFonts w:ascii="Arial" w:hAnsi="Arial" w:cs="Arial"/>
          <w:i/>
          <w:color w:val="000000"/>
          <w:sz w:val="24"/>
          <w:szCs w:val="24"/>
        </w:rPr>
        <w:t>Buffalo City Metropolitan Municipality v As</w:t>
      </w:r>
      <w:r w:rsidR="003C50DA" w:rsidRPr="00C0573E">
        <w:rPr>
          <w:rFonts w:ascii="Arial" w:hAnsi="Arial" w:cs="Arial"/>
          <w:i/>
          <w:color w:val="000000"/>
          <w:sz w:val="24"/>
          <w:szCs w:val="24"/>
        </w:rPr>
        <w:t>l</w:t>
      </w:r>
      <w:r w:rsidR="00241ABE" w:rsidRPr="00C0573E">
        <w:rPr>
          <w:rFonts w:ascii="Arial" w:hAnsi="Arial" w:cs="Arial"/>
          <w:i/>
          <w:color w:val="000000"/>
          <w:sz w:val="24"/>
          <w:szCs w:val="24"/>
        </w:rPr>
        <w:t>a Construction (Pty) Limited</w:t>
      </w:r>
      <w:r w:rsidR="00F50AB9" w:rsidRPr="00C0573E">
        <w:rPr>
          <w:rFonts w:ascii="Arial" w:hAnsi="Arial" w:cs="Arial"/>
          <w:color w:val="000000"/>
          <w:sz w:val="24"/>
          <w:szCs w:val="24"/>
        </w:rPr>
        <w:t xml:space="preserve"> (</w:t>
      </w:r>
      <w:r w:rsidR="00F50AB9" w:rsidRPr="00C0573E">
        <w:rPr>
          <w:rFonts w:ascii="Arial" w:hAnsi="Arial" w:cs="Arial"/>
          <w:i/>
          <w:color w:val="000000"/>
          <w:sz w:val="24"/>
          <w:szCs w:val="24"/>
        </w:rPr>
        <w:t>Buffalo City)</w:t>
      </w:r>
      <w:r w:rsidR="00241ABE" w:rsidRPr="00C0573E">
        <w:rPr>
          <w:rFonts w:ascii="Arial" w:hAnsi="Arial" w:cs="Arial"/>
          <w:color w:val="000000"/>
          <w:sz w:val="24"/>
          <w:szCs w:val="24"/>
        </w:rPr>
        <w:t>:</w:t>
      </w:r>
      <w:r w:rsidR="000C2744" w:rsidRPr="006F6E2D">
        <w:rPr>
          <w:rStyle w:val="FootnoteReference"/>
          <w:rFonts w:ascii="Arial" w:hAnsi="Arial" w:cs="Arial"/>
          <w:color w:val="000000"/>
          <w:sz w:val="24"/>
          <w:szCs w:val="24"/>
          <w:vertAlign w:val="superscript"/>
        </w:rPr>
        <w:footnoteReference w:id="8"/>
      </w:r>
    </w:p>
    <w:p w:rsidR="00241ABE" w:rsidRPr="006F6E2D" w:rsidRDefault="000C2744"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w:t>
      </w:r>
      <w:r w:rsidR="00241ABE" w:rsidRPr="006F6E2D">
        <w:rPr>
          <w:rFonts w:ascii="Arial" w:hAnsi="Arial" w:cs="Arial"/>
          <w:color w:val="000000"/>
        </w:rPr>
        <w:t xml:space="preserve">The standard to be applied in assessing delay under both PAJA and legality is thus whether the delay was unreasonable. Moreover, in both assessments the proverbial clock starts running from the date that the applicant became aware or reasonably ought to have become aware of the action taken. However, it is important to note that the assessment is not the same. A distinction between the assessments of the delay under PAJA versus the principle of legality turns on the prescribed time </w:t>
      </w:r>
      <w:r w:rsidR="003C50DA" w:rsidRPr="006F6E2D">
        <w:rPr>
          <w:rFonts w:ascii="Arial" w:hAnsi="Arial" w:cs="Arial"/>
          <w:color w:val="000000"/>
        </w:rPr>
        <w:t>period</w:t>
      </w:r>
      <w:r w:rsidR="00241ABE" w:rsidRPr="006F6E2D">
        <w:rPr>
          <w:rFonts w:ascii="Arial" w:hAnsi="Arial" w:cs="Arial"/>
          <w:color w:val="000000"/>
        </w:rPr>
        <w:t xml:space="preserve"> of 180 days. This distinction was succinctly described b</w:t>
      </w:r>
      <w:r w:rsidRPr="006F6E2D">
        <w:rPr>
          <w:rFonts w:ascii="Arial" w:hAnsi="Arial" w:cs="Arial"/>
          <w:color w:val="000000"/>
        </w:rPr>
        <w:t>y</w:t>
      </w:r>
      <w:r w:rsidR="00241ABE" w:rsidRPr="006F6E2D">
        <w:rPr>
          <w:rFonts w:ascii="Arial" w:hAnsi="Arial" w:cs="Arial"/>
          <w:color w:val="000000"/>
        </w:rPr>
        <w:t xml:space="preserve"> the Supreme Court of Appeal </w:t>
      </w:r>
      <w:r w:rsidRPr="006F6E2D">
        <w:rPr>
          <w:rFonts w:ascii="Arial" w:hAnsi="Arial" w:cs="Arial"/>
          <w:color w:val="000000"/>
        </w:rPr>
        <w:t xml:space="preserve">in </w:t>
      </w:r>
      <w:r w:rsidRPr="006F6E2D">
        <w:rPr>
          <w:rFonts w:ascii="Arial" w:hAnsi="Arial" w:cs="Arial"/>
          <w:i/>
          <w:color w:val="000000"/>
        </w:rPr>
        <w:t>O</w:t>
      </w:r>
      <w:r w:rsidR="00241ABE" w:rsidRPr="006F6E2D">
        <w:rPr>
          <w:rFonts w:ascii="Arial" w:hAnsi="Arial" w:cs="Arial"/>
          <w:i/>
          <w:color w:val="000000"/>
        </w:rPr>
        <w:t xml:space="preserve">pposition </w:t>
      </w:r>
      <w:r w:rsidR="00241ABE" w:rsidRPr="006F6E2D">
        <w:rPr>
          <w:rFonts w:ascii="Arial" w:hAnsi="Arial" w:cs="Arial"/>
          <w:i/>
          <w:color w:val="000000"/>
        </w:rPr>
        <w:lastRenderedPageBreak/>
        <w:t>to Urban Tolling Alliance</w:t>
      </w:r>
      <w:r w:rsidR="00241ABE" w:rsidRPr="006F6E2D">
        <w:rPr>
          <w:rFonts w:ascii="Arial" w:hAnsi="Arial" w:cs="Arial"/>
          <w:color w:val="000000"/>
        </w:rPr>
        <w:t xml:space="preserve"> which found that section 7 creates a presumption that a delay of longer than 180 days is </w:t>
      </w:r>
      <w:r w:rsidRPr="006F6E2D">
        <w:rPr>
          <w:rFonts w:ascii="Arial" w:hAnsi="Arial" w:cs="Arial"/>
          <w:color w:val="000000"/>
        </w:rPr>
        <w:t>‘</w:t>
      </w:r>
      <w:r w:rsidR="00241ABE" w:rsidRPr="006F6E2D">
        <w:rPr>
          <w:rFonts w:ascii="Arial" w:hAnsi="Arial" w:cs="Arial"/>
          <w:i/>
          <w:color w:val="000000"/>
        </w:rPr>
        <w:t>per</w:t>
      </w:r>
      <w:r w:rsidRPr="006F6E2D">
        <w:rPr>
          <w:rFonts w:ascii="Arial" w:hAnsi="Arial" w:cs="Arial"/>
          <w:i/>
          <w:color w:val="000000"/>
        </w:rPr>
        <w:t xml:space="preserve"> </w:t>
      </w:r>
      <w:r w:rsidR="00241ABE" w:rsidRPr="006F6E2D">
        <w:rPr>
          <w:rFonts w:ascii="Arial" w:hAnsi="Arial" w:cs="Arial"/>
          <w:i/>
          <w:color w:val="000000"/>
        </w:rPr>
        <w:t>se</w:t>
      </w:r>
      <w:r w:rsidR="00241ABE" w:rsidRPr="006F6E2D">
        <w:rPr>
          <w:rFonts w:ascii="Arial" w:hAnsi="Arial" w:cs="Arial"/>
          <w:color w:val="000000"/>
        </w:rPr>
        <w:t xml:space="preserve"> unreasonable</w:t>
      </w:r>
      <w:r w:rsidRPr="006F6E2D">
        <w:rPr>
          <w:rFonts w:ascii="Arial" w:hAnsi="Arial" w:cs="Arial"/>
          <w:color w:val="000000"/>
        </w:rPr>
        <w:t>’</w:t>
      </w:r>
      <w:r w:rsidR="00241ABE" w:rsidRPr="006F6E2D">
        <w:rPr>
          <w:rFonts w:ascii="Arial" w:hAnsi="Arial" w:cs="Arial"/>
          <w:color w:val="000000"/>
        </w:rPr>
        <w:t>:</w:t>
      </w:r>
    </w:p>
    <w:p w:rsidR="00241ABE" w:rsidRPr="006F6E2D" w:rsidRDefault="000C2744" w:rsidP="006F6E2D">
      <w:pPr>
        <w:widowControl w:val="0"/>
        <w:autoSpaceDE w:val="0"/>
        <w:autoSpaceDN w:val="0"/>
        <w:adjustRightInd w:val="0"/>
        <w:spacing w:after="0" w:line="360" w:lineRule="auto"/>
        <w:ind w:left="1134"/>
        <w:jc w:val="both"/>
        <w:rPr>
          <w:rFonts w:ascii="Arial" w:hAnsi="Arial" w:cs="Arial"/>
          <w:color w:val="000000"/>
        </w:rPr>
      </w:pPr>
      <w:r w:rsidRPr="006F6E2D">
        <w:rPr>
          <w:rFonts w:ascii="Arial" w:hAnsi="Arial" w:cs="Arial"/>
          <w:color w:val="000000"/>
        </w:rPr>
        <w:t>‘</w:t>
      </w:r>
      <w:r w:rsidR="00241ABE" w:rsidRPr="006F6E2D">
        <w:rPr>
          <w:rFonts w:ascii="Arial" w:hAnsi="Arial" w:cs="Arial"/>
          <w:color w:val="000000"/>
        </w:rPr>
        <w:t>At common law application of the undue delay rule required a two stage enquiry. First, whether there was an unreasonable delay and, second, if so, whether the delay should in all the circumstances be condoned</w:t>
      </w:r>
      <w:r w:rsidRPr="006F6E2D">
        <w:rPr>
          <w:rFonts w:ascii="Arial" w:hAnsi="Arial" w:cs="Arial"/>
          <w:color w:val="000000"/>
        </w:rPr>
        <w:t xml:space="preserve">. . . . </w:t>
      </w:r>
      <w:r w:rsidR="00241ABE" w:rsidRPr="006F6E2D">
        <w:rPr>
          <w:rFonts w:ascii="Arial" w:hAnsi="Arial" w:cs="Arial"/>
          <w:color w:val="000000"/>
        </w:rPr>
        <w:t xml:space="preserve">Up to a point, I think, section 7(1) of PAJA requires the same two stage approach. The difference lies, as I see it, in the legislature's determination of a delay exceeding 180 days as </w:t>
      </w:r>
      <w:r w:rsidR="00241ABE" w:rsidRPr="006F6E2D">
        <w:rPr>
          <w:rFonts w:ascii="Arial" w:hAnsi="Arial" w:cs="Arial"/>
          <w:i/>
          <w:color w:val="000000"/>
        </w:rPr>
        <w:t>per se</w:t>
      </w:r>
      <w:r w:rsidR="00241ABE" w:rsidRPr="006F6E2D">
        <w:rPr>
          <w:rFonts w:ascii="Arial" w:hAnsi="Arial" w:cs="Arial"/>
          <w:color w:val="000000"/>
        </w:rPr>
        <w:t xml:space="preserve"> unreasonable. Before the effluxion of 180 days, the first enquiry in applying section 7(1) is still whether the delay (if any) was unreasonable. But after the 180 day period the issue of unreasonableness is pre-determined by the legislature; it is unreasonable </w:t>
      </w:r>
      <w:r w:rsidR="00241ABE" w:rsidRPr="006F6E2D">
        <w:rPr>
          <w:rFonts w:ascii="Arial" w:hAnsi="Arial" w:cs="Arial"/>
          <w:i/>
          <w:color w:val="000000"/>
        </w:rPr>
        <w:t>per</w:t>
      </w:r>
      <w:r w:rsidR="00AE405C" w:rsidRPr="006F6E2D">
        <w:rPr>
          <w:rFonts w:ascii="Arial" w:hAnsi="Arial" w:cs="Arial"/>
          <w:i/>
          <w:color w:val="000000"/>
        </w:rPr>
        <w:t xml:space="preserve"> </w:t>
      </w:r>
      <w:r w:rsidR="00241ABE" w:rsidRPr="006F6E2D">
        <w:rPr>
          <w:rFonts w:ascii="Arial" w:hAnsi="Arial" w:cs="Arial"/>
          <w:i/>
          <w:color w:val="000000"/>
        </w:rPr>
        <w:t>se</w:t>
      </w:r>
      <w:r w:rsidR="00241ABE" w:rsidRPr="006F6E2D">
        <w:rPr>
          <w:rFonts w:ascii="Arial" w:hAnsi="Arial" w:cs="Arial"/>
          <w:color w:val="000000"/>
        </w:rPr>
        <w:t xml:space="preserve">. It follows that the court is only empowered to entertain the review application if the interest of justice dictates an extension in terms of section 9. Absent such extension the court has no authority to entertain the review application at alI. Whether or not the decision was unlawful no longer matters. The decision has been </w:t>
      </w:r>
      <w:r w:rsidR="00AE405C" w:rsidRPr="006F6E2D">
        <w:rPr>
          <w:rFonts w:ascii="Arial" w:hAnsi="Arial" w:cs="Arial"/>
          <w:color w:val="000000"/>
        </w:rPr>
        <w:t>‘</w:t>
      </w:r>
      <w:r w:rsidR="00241ABE" w:rsidRPr="006F6E2D">
        <w:rPr>
          <w:rFonts w:ascii="Arial" w:hAnsi="Arial" w:cs="Arial"/>
          <w:color w:val="000000"/>
        </w:rPr>
        <w:t>validated</w:t>
      </w:r>
      <w:r w:rsidR="00AE405C" w:rsidRPr="006F6E2D">
        <w:rPr>
          <w:rFonts w:ascii="Arial" w:hAnsi="Arial" w:cs="Arial"/>
          <w:color w:val="000000"/>
        </w:rPr>
        <w:t>’</w:t>
      </w:r>
      <w:r w:rsidR="00241ABE" w:rsidRPr="006F6E2D">
        <w:rPr>
          <w:rFonts w:ascii="Arial" w:hAnsi="Arial" w:cs="Arial"/>
          <w:color w:val="000000"/>
        </w:rPr>
        <w:t xml:space="preserve"> by the delay.</w:t>
      </w:r>
      <w:r w:rsidR="00AE405C" w:rsidRPr="006F6E2D">
        <w:rPr>
          <w:rFonts w:ascii="Arial" w:hAnsi="Arial" w:cs="Arial"/>
          <w:color w:val="000000"/>
        </w:rPr>
        <w:t>”</w:t>
      </w:r>
      <w:r w:rsidR="00AE405C" w:rsidRPr="006F6E2D">
        <w:rPr>
          <w:rStyle w:val="FootnoteReference"/>
          <w:rFonts w:ascii="Arial" w:hAnsi="Arial" w:cs="Arial"/>
          <w:color w:val="000000"/>
          <w:vertAlign w:val="superscript"/>
        </w:rPr>
        <w:footnoteReference w:id="9"/>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6B08D5"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[36]</w:t>
      </w:r>
      <w:r w:rsidRPr="006F6E2D">
        <w:rPr>
          <w:rFonts w:ascii="Arial" w:hAnsi="Arial" w:cs="Arial"/>
          <w:color w:val="000000"/>
          <w:sz w:val="24"/>
          <w:szCs w:val="24"/>
        </w:rPr>
        <w:tab/>
      </w:r>
      <w:r w:rsidR="00241ABE" w:rsidRPr="00C0573E">
        <w:rPr>
          <w:rFonts w:ascii="Arial" w:hAnsi="Arial" w:cs="Arial"/>
          <w:color w:val="000000"/>
          <w:sz w:val="24"/>
          <w:szCs w:val="24"/>
        </w:rPr>
        <w:t>In dealing further with the undue delay in the context of the legality challenge</w:t>
      </w:r>
      <w:r w:rsidR="00F50AB9" w:rsidRPr="00C0573E">
        <w:rPr>
          <w:rFonts w:ascii="Arial" w:hAnsi="Arial" w:cs="Arial"/>
          <w:color w:val="000000"/>
          <w:sz w:val="24"/>
          <w:szCs w:val="24"/>
        </w:rPr>
        <w:t>,</w:t>
      </w:r>
      <w:r w:rsidR="001B173E" w:rsidRPr="00C0573E">
        <w:rPr>
          <w:rFonts w:ascii="Arial" w:hAnsi="Arial" w:cs="Arial"/>
          <w:color w:val="000000"/>
          <w:sz w:val="24"/>
          <w:szCs w:val="24"/>
        </w:rPr>
        <w:t xml:space="preserve"> the C</w:t>
      </w:r>
      <w:r w:rsidR="00241ABE" w:rsidRPr="00C0573E">
        <w:rPr>
          <w:rFonts w:ascii="Arial" w:hAnsi="Arial" w:cs="Arial"/>
          <w:color w:val="000000"/>
          <w:sz w:val="24"/>
          <w:szCs w:val="24"/>
        </w:rPr>
        <w:t>ourt had the following to say:</w:t>
      </w:r>
    </w:p>
    <w:p w:rsidR="006B08D5" w:rsidRPr="006F6E2D" w:rsidRDefault="006B08D5"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“The approach to undue delay within the context of a legality challenge necessarily involves the exercise of a broader discretion than that traditionally applied to section 7 of PAJA. The 180-day bar in PAJA does not play a pronounced role in the context of legality. Rather, the question is first one of reasonableness, and then (if the delay is found to be unreasonable) whether the interests of justice require an overlooking of that unreasonable delay.</w:t>
      </w:r>
    </w:p>
    <w:p w:rsidR="00F50AB9" w:rsidRPr="006F6E2D" w:rsidRDefault="00F50AB9" w:rsidP="006F6E2D">
      <w:pPr>
        <w:widowControl w:val="0"/>
        <w:autoSpaceDE w:val="0"/>
        <w:autoSpaceDN w:val="0"/>
        <w:adjustRightInd w:val="0"/>
        <w:spacing w:after="0" w:line="360" w:lineRule="auto"/>
        <w:ind w:left="567"/>
        <w:jc w:val="both"/>
        <w:rPr>
          <w:rFonts w:ascii="Arial" w:hAnsi="Arial" w:cs="Arial"/>
          <w:color w:val="000000"/>
        </w:rPr>
      </w:pPr>
    </w:p>
    <w:p w:rsidR="006B08D5" w:rsidRPr="006F6E2D" w:rsidRDefault="006B08D5"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 xml:space="preserve">The second difference between PAJA and legality review for the purposes of delay is that when assessing the delay under the principle of legality no explicit condonation application is required. A court can simply consider the delay, and then apply the two- step </w:t>
      </w:r>
      <w:r w:rsidRPr="006F6E2D">
        <w:rPr>
          <w:rFonts w:ascii="Arial" w:hAnsi="Arial" w:cs="Arial"/>
          <w:i/>
          <w:color w:val="000000"/>
        </w:rPr>
        <w:t>Khumalo</w:t>
      </w:r>
      <w:r w:rsidRPr="006F6E2D">
        <w:rPr>
          <w:rFonts w:ascii="Arial" w:hAnsi="Arial" w:cs="Arial"/>
          <w:color w:val="000000"/>
        </w:rPr>
        <w:t xml:space="preserve"> test to ascertain whether the delay is undue and if so, whether it should be overlooked."</w:t>
      </w:r>
      <w:r w:rsidR="00F50AB9" w:rsidRPr="006F6E2D">
        <w:rPr>
          <w:rStyle w:val="FootnoteReference"/>
          <w:rFonts w:ascii="Arial" w:hAnsi="Arial" w:cs="Arial"/>
          <w:color w:val="000000"/>
          <w:vertAlign w:val="superscript"/>
        </w:rPr>
        <w:footnoteReference w:id="10"/>
      </w:r>
    </w:p>
    <w:p w:rsidR="00F50AB9" w:rsidRPr="006F6E2D" w:rsidRDefault="00F50AB9" w:rsidP="006F6E2D">
      <w:pPr>
        <w:widowControl w:val="0"/>
        <w:autoSpaceDE w:val="0"/>
        <w:autoSpaceDN w:val="0"/>
        <w:adjustRightInd w:val="0"/>
        <w:spacing w:after="0" w:line="360" w:lineRule="auto"/>
        <w:jc w:val="both"/>
        <w:rPr>
          <w:rFonts w:ascii="Arial" w:hAnsi="Arial" w:cs="Arial"/>
          <w:color w:val="000000"/>
          <w:sz w:val="24"/>
          <w:szCs w:val="24"/>
        </w:rPr>
      </w:pPr>
    </w:p>
    <w:p w:rsidR="00E42B15" w:rsidRPr="006F6E2D" w:rsidRDefault="00C0573E" w:rsidP="00C0573E">
      <w:pPr>
        <w:pStyle w:val="jugmentnumbered"/>
        <w:shd w:val="clear" w:color="auto" w:fill="FFFFFF"/>
        <w:spacing w:before="144" w:beforeAutospacing="0" w:after="288" w:afterAutospacing="0" w:line="360" w:lineRule="auto"/>
        <w:jc w:val="both"/>
        <w:rPr>
          <w:rFonts w:ascii="Arial" w:hAnsi="Arial" w:cs="Arial"/>
        </w:rPr>
      </w:pPr>
      <w:r w:rsidRPr="006F6E2D">
        <w:rPr>
          <w:rFonts w:ascii="Arial" w:hAnsi="Arial" w:cs="Arial"/>
        </w:rPr>
        <w:lastRenderedPageBreak/>
        <w:t>[37]</w:t>
      </w:r>
      <w:r w:rsidRPr="006F6E2D">
        <w:rPr>
          <w:rFonts w:ascii="Arial" w:hAnsi="Arial" w:cs="Arial"/>
        </w:rPr>
        <w:tab/>
      </w:r>
      <w:r w:rsidR="00E42B15" w:rsidRPr="006F6E2D">
        <w:rPr>
          <w:rFonts w:ascii="Arial" w:eastAsia="Arial" w:hAnsi="Arial" w:cs="Arial"/>
        </w:rPr>
        <w:t xml:space="preserve">In </w:t>
      </w:r>
      <w:r w:rsidR="00E42B15" w:rsidRPr="006F6E2D">
        <w:rPr>
          <w:rFonts w:ascii="Arial" w:hAnsi="Arial" w:cs="Arial"/>
        </w:rPr>
        <w:t xml:space="preserve">Van Wyk v Unitas Hospital and Another </w:t>
      </w:r>
      <w:r w:rsidR="00E42B15" w:rsidRPr="006F6E2D">
        <w:rPr>
          <w:rFonts w:ascii="Arial" w:hAnsi="Arial" w:cs="Arial"/>
          <w:bCs/>
        </w:rPr>
        <w:t>the</w:t>
      </w:r>
      <w:r w:rsidR="00E42B15" w:rsidRPr="006F6E2D">
        <w:rPr>
          <w:rFonts w:ascii="Arial" w:hAnsi="Arial" w:cs="Arial"/>
          <w:b/>
          <w:bCs/>
        </w:rPr>
        <w:t xml:space="preserve"> </w:t>
      </w:r>
      <w:r w:rsidR="00E42B15" w:rsidRPr="006F6E2D">
        <w:rPr>
          <w:rFonts w:ascii="Arial" w:hAnsi="Arial" w:cs="Arial"/>
          <w:bCs/>
        </w:rPr>
        <w:t>Constitutional Court held that</w:t>
      </w:r>
      <w:r w:rsidR="006B08D5" w:rsidRPr="006F6E2D">
        <w:rPr>
          <w:rFonts w:ascii="Arial" w:hAnsi="Arial" w:cs="Arial"/>
          <w:bCs/>
        </w:rPr>
        <w:t>:</w:t>
      </w:r>
      <w:r w:rsidR="00102851" w:rsidRPr="006F6E2D">
        <w:rPr>
          <w:rStyle w:val="FootnoteReference"/>
          <w:rFonts w:ascii="Arial" w:hAnsi="Arial" w:cs="Arial"/>
          <w:bCs/>
          <w:vertAlign w:val="superscript"/>
        </w:rPr>
        <w:footnoteReference w:id="11"/>
      </w:r>
    </w:p>
    <w:p w:rsidR="006345F0" w:rsidRPr="006F6E2D" w:rsidRDefault="00102851" w:rsidP="006F6E2D">
      <w:pPr>
        <w:pStyle w:val="jugmentnumbered"/>
        <w:shd w:val="clear" w:color="auto" w:fill="FFFFFF"/>
        <w:spacing w:before="144" w:beforeAutospacing="0" w:after="0" w:afterAutospacing="0" w:line="360" w:lineRule="auto"/>
        <w:ind w:left="1440"/>
        <w:jc w:val="both"/>
        <w:rPr>
          <w:rFonts w:ascii="Arial" w:hAnsi="Arial" w:cs="Arial"/>
          <w:color w:val="242121"/>
          <w:sz w:val="22"/>
          <w:szCs w:val="22"/>
        </w:rPr>
      </w:pPr>
      <w:r w:rsidRPr="006F6E2D">
        <w:rPr>
          <w:rFonts w:ascii="Arial" w:hAnsi="Arial" w:cs="Arial"/>
          <w:color w:val="242121"/>
          <w:sz w:val="22"/>
          <w:szCs w:val="22"/>
        </w:rPr>
        <w:t>“… [T]</w:t>
      </w:r>
      <w:r w:rsidR="006345F0" w:rsidRPr="006F6E2D">
        <w:rPr>
          <w:rFonts w:ascii="Arial" w:hAnsi="Arial" w:cs="Arial"/>
          <w:color w:val="242121"/>
          <w:sz w:val="22"/>
          <w:szCs w:val="22"/>
        </w:rPr>
        <w:t>he standard for considering an application for condonation is the interests of justice</w:t>
      </w:r>
      <w:bookmarkStart w:id="1" w:name="_Ref182658590"/>
      <w:bookmarkStart w:id="2" w:name="_ftnref4"/>
      <w:bookmarkEnd w:id="1"/>
      <w:r w:rsidR="007E0D4A" w:rsidRPr="006F6E2D">
        <w:rPr>
          <w:rFonts w:ascii="Arial" w:hAnsi="Arial" w:cs="Arial"/>
          <w:color w:val="242121"/>
          <w:sz w:val="22"/>
          <w:szCs w:val="22"/>
        </w:rPr>
        <w:t xml:space="preserve">. </w:t>
      </w:r>
      <w:bookmarkEnd w:id="2"/>
      <w:r w:rsidR="006345F0" w:rsidRPr="006F6E2D">
        <w:rPr>
          <w:rFonts w:ascii="Arial" w:hAnsi="Arial" w:cs="Arial"/>
          <w:color w:val="242121"/>
          <w:sz w:val="22"/>
          <w:szCs w:val="22"/>
        </w:rPr>
        <w:t>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bookmarkStart w:id="3" w:name="_Ref182796615"/>
      <w:bookmarkStart w:id="4" w:name="_ftnref5"/>
      <w:bookmarkEnd w:id="3"/>
      <w:r w:rsidR="006345F0" w:rsidRPr="006F6E2D">
        <w:rPr>
          <w:rFonts w:ascii="Arial" w:hAnsi="Arial" w:cs="Arial"/>
          <w:color w:val="242121"/>
          <w:sz w:val="22"/>
          <w:szCs w:val="22"/>
        </w:rPr>
        <w:fldChar w:fldCharType="begin"/>
      </w:r>
      <w:r w:rsidR="006345F0" w:rsidRPr="006F6E2D">
        <w:rPr>
          <w:rFonts w:ascii="Arial" w:hAnsi="Arial" w:cs="Arial"/>
          <w:color w:val="242121"/>
          <w:sz w:val="22"/>
          <w:szCs w:val="22"/>
        </w:rPr>
        <w:instrText xml:space="preserve"> HYPERLINK "http://www.saflii.org/za/cases/ZACC/2007/24.html" \l "_ftn5" \o "" </w:instrText>
      </w:r>
      <w:r w:rsidR="006345F0" w:rsidRPr="006F6E2D">
        <w:rPr>
          <w:rFonts w:ascii="Arial" w:hAnsi="Arial" w:cs="Arial"/>
          <w:color w:val="242121"/>
          <w:sz w:val="22"/>
          <w:szCs w:val="22"/>
        </w:rPr>
        <w:fldChar w:fldCharType="end"/>
      </w:r>
      <w:bookmarkEnd w:id="4"/>
      <w:r w:rsidRPr="006F6E2D">
        <w:rPr>
          <w:rFonts w:ascii="Arial" w:hAnsi="Arial" w:cs="Arial"/>
          <w:color w:val="242121"/>
          <w:sz w:val="22"/>
          <w:szCs w:val="22"/>
        </w:rPr>
        <w:t>”</w:t>
      </w:r>
    </w:p>
    <w:p w:rsidR="006345F0" w:rsidRPr="006F6E2D" w:rsidRDefault="006345F0" w:rsidP="006F6E2D">
      <w:pPr>
        <w:pStyle w:val="jugmentnumbered"/>
        <w:shd w:val="clear" w:color="auto" w:fill="FFFFFF"/>
        <w:spacing w:before="0" w:beforeAutospacing="0" w:after="0" w:afterAutospacing="0" w:line="360" w:lineRule="auto"/>
        <w:jc w:val="both"/>
        <w:rPr>
          <w:rFonts w:ascii="Arial" w:eastAsia="Arial" w:hAnsi="Arial" w:cs="Arial"/>
          <w:color w:val="000000"/>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[38]</w:t>
      </w:r>
      <w:r w:rsidRPr="006F6E2D">
        <w:rPr>
          <w:rFonts w:ascii="Arial" w:hAnsi="Arial" w:cs="Arial"/>
          <w:color w:val="000000"/>
          <w:sz w:val="24"/>
          <w:szCs w:val="24"/>
        </w:rPr>
        <w:tab/>
      </w:r>
      <w:r w:rsidR="00241ABE" w:rsidRPr="00C0573E">
        <w:rPr>
          <w:rFonts w:ascii="Arial" w:hAnsi="Arial" w:cs="Arial"/>
          <w:color w:val="000000"/>
          <w:sz w:val="24"/>
          <w:szCs w:val="24"/>
        </w:rPr>
        <w:t>Vodacom</w:t>
      </w:r>
      <w:r w:rsidR="00E42B15" w:rsidRPr="00C0573E">
        <w:rPr>
          <w:rFonts w:ascii="Arial" w:hAnsi="Arial" w:cs="Arial"/>
          <w:color w:val="000000"/>
          <w:sz w:val="24"/>
          <w:szCs w:val="24"/>
        </w:rPr>
        <w:t xml:space="preserve">’s contention is </w:t>
      </w:r>
      <w:r w:rsidR="00241ABE" w:rsidRPr="00C0573E">
        <w:rPr>
          <w:rFonts w:ascii="Arial" w:hAnsi="Arial" w:cs="Arial"/>
          <w:color w:val="000000"/>
          <w:sz w:val="24"/>
          <w:szCs w:val="24"/>
        </w:rPr>
        <w:t xml:space="preserve">that the period within which it was required to file its review application commenced from the time it received the record in terms of </w:t>
      </w:r>
      <w:r w:rsidR="00CE2FAE" w:rsidRPr="00C0573E">
        <w:rPr>
          <w:rFonts w:ascii="Arial" w:hAnsi="Arial" w:cs="Arial"/>
          <w:color w:val="000000"/>
          <w:sz w:val="24"/>
          <w:szCs w:val="24"/>
        </w:rPr>
        <w:t>R</w:t>
      </w:r>
      <w:r w:rsidR="00241ABE" w:rsidRPr="00C0573E">
        <w:rPr>
          <w:rFonts w:ascii="Arial" w:hAnsi="Arial" w:cs="Arial"/>
          <w:color w:val="000000"/>
          <w:sz w:val="24"/>
          <w:szCs w:val="24"/>
        </w:rPr>
        <w:t>ule 53 of the Rules</w:t>
      </w:r>
      <w:r w:rsidR="00CD495B" w:rsidRPr="00C0573E">
        <w:rPr>
          <w:rFonts w:ascii="Arial" w:hAnsi="Arial" w:cs="Arial"/>
          <w:color w:val="000000"/>
          <w:sz w:val="24"/>
          <w:szCs w:val="24"/>
        </w:rPr>
        <w:t>.</w:t>
      </w:r>
      <w:r w:rsidR="00241ABE" w:rsidRPr="00C0573E">
        <w:rPr>
          <w:rFonts w:ascii="Arial" w:hAnsi="Arial" w:cs="Arial"/>
          <w:color w:val="000000"/>
          <w:sz w:val="24"/>
          <w:szCs w:val="24"/>
        </w:rPr>
        <w:t xml:space="preserve"> </w:t>
      </w:r>
      <w:r w:rsidR="001B173E" w:rsidRPr="00C0573E">
        <w:rPr>
          <w:rFonts w:ascii="Arial" w:hAnsi="Arial" w:cs="Arial"/>
          <w:color w:val="000000"/>
          <w:sz w:val="24"/>
          <w:szCs w:val="24"/>
        </w:rPr>
        <w:t>In other words, t</w:t>
      </w:r>
      <w:r w:rsidR="00241ABE" w:rsidRPr="00C0573E">
        <w:rPr>
          <w:rFonts w:ascii="Arial" w:hAnsi="Arial" w:cs="Arial"/>
          <w:color w:val="000000"/>
          <w:sz w:val="24"/>
          <w:szCs w:val="24"/>
        </w:rPr>
        <w:t xml:space="preserve">he period commenced running from the date it was informed of the </w:t>
      </w:r>
      <w:r w:rsidR="001B173E" w:rsidRPr="00C0573E">
        <w:rPr>
          <w:rFonts w:ascii="Arial" w:hAnsi="Arial" w:cs="Arial"/>
          <w:color w:val="000000"/>
          <w:sz w:val="24"/>
          <w:szCs w:val="24"/>
        </w:rPr>
        <w:t xml:space="preserve">reasons for the </w:t>
      </w:r>
      <w:r w:rsidR="00241ABE" w:rsidRPr="00C0573E">
        <w:rPr>
          <w:rFonts w:ascii="Arial" w:hAnsi="Arial" w:cs="Arial"/>
          <w:color w:val="000000"/>
          <w:sz w:val="24"/>
          <w:szCs w:val="24"/>
        </w:rPr>
        <w:t xml:space="preserve">decision that MTN's proposal had been accepted. </w:t>
      </w:r>
      <w:r w:rsidR="00681DA3" w:rsidRPr="00C0573E">
        <w:rPr>
          <w:rFonts w:ascii="Arial" w:hAnsi="Arial" w:cs="Arial"/>
          <w:color w:val="000000"/>
          <w:sz w:val="24"/>
          <w:szCs w:val="24"/>
        </w:rPr>
        <w:t xml:space="preserve"> </w:t>
      </w:r>
      <w:r w:rsidR="00054B71" w:rsidRPr="00C0573E">
        <w:rPr>
          <w:rFonts w:ascii="Arial" w:hAnsi="Arial" w:cs="Arial"/>
          <w:color w:val="000000"/>
          <w:sz w:val="24"/>
          <w:szCs w:val="24"/>
        </w:rPr>
        <w:t xml:space="preserve"> </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[39]</w:t>
      </w:r>
      <w:r w:rsidRPr="006F6E2D">
        <w:rPr>
          <w:rFonts w:ascii="Arial" w:hAnsi="Arial" w:cs="Arial"/>
          <w:color w:val="000000"/>
          <w:sz w:val="24"/>
          <w:szCs w:val="24"/>
        </w:rPr>
        <w:tab/>
      </w:r>
      <w:r w:rsidR="00241ABE" w:rsidRPr="00C0573E">
        <w:rPr>
          <w:rFonts w:ascii="Arial" w:hAnsi="Arial" w:cs="Arial"/>
          <w:color w:val="000000"/>
          <w:sz w:val="24"/>
          <w:szCs w:val="24"/>
        </w:rPr>
        <w:t xml:space="preserve">Vodacom has clearly </w:t>
      </w:r>
      <w:r w:rsidR="00CA2747" w:rsidRPr="00C0573E">
        <w:rPr>
          <w:rFonts w:ascii="Arial" w:hAnsi="Arial" w:cs="Arial"/>
          <w:color w:val="000000"/>
          <w:sz w:val="24"/>
          <w:szCs w:val="24"/>
        </w:rPr>
        <w:t xml:space="preserve">unduly </w:t>
      </w:r>
      <w:r w:rsidR="00241ABE" w:rsidRPr="00C0573E">
        <w:rPr>
          <w:rFonts w:ascii="Arial" w:hAnsi="Arial" w:cs="Arial"/>
          <w:color w:val="000000"/>
          <w:sz w:val="24"/>
          <w:szCs w:val="24"/>
        </w:rPr>
        <w:t xml:space="preserve">delayed in filing its review application. </w:t>
      </w:r>
      <w:r w:rsidR="002A7140" w:rsidRPr="00C0573E">
        <w:rPr>
          <w:rFonts w:ascii="Arial" w:hAnsi="Arial" w:cs="Arial"/>
          <w:color w:val="000000"/>
          <w:sz w:val="24"/>
          <w:szCs w:val="24"/>
        </w:rPr>
        <w:t xml:space="preserve"> </w:t>
      </w:r>
      <w:r w:rsidR="00241ABE" w:rsidRPr="00C0573E">
        <w:rPr>
          <w:rFonts w:ascii="Arial" w:hAnsi="Arial" w:cs="Arial"/>
          <w:color w:val="000000"/>
          <w:sz w:val="24"/>
          <w:szCs w:val="24"/>
        </w:rPr>
        <w:t>However, this is not the end of the inquiry.</w:t>
      </w:r>
      <w:r w:rsidR="002A7140"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 The next question to answer is whether this</w:t>
      </w:r>
      <w:r w:rsidR="002A7140" w:rsidRPr="00C0573E">
        <w:rPr>
          <w:rFonts w:ascii="Arial" w:hAnsi="Arial" w:cs="Arial"/>
          <w:color w:val="000000"/>
          <w:sz w:val="24"/>
          <w:szCs w:val="24"/>
        </w:rPr>
        <w:t xml:space="preserve"> C</w:t>
      </w:r>
      <w:r w:rsidR="00241ABE" w:rsidRPr="00C0573E">
        <w:rPr>
          <w:rFonts w:ascii="Arial" w:hAnsi="Arial" w:cs="Arial"/>
          <w:color w:val="000000"/>
          <w:sz w:val="24"/>
          <w:szCs w:val="24"/>
        </w:rPr>
        <w:t xml:space="preserve">ourt </w:t>
      </w:r>
      <w:r w:rsidR="002A7140" w:rsidRPr="00C0573E">
        <w:rPr>
          <w:rFonts w:ascii="Arial" w:hAnsi="Arial" w:cs="Arial"/>
          <w:color w:val="000000"/>
          <w:sz w:val="24"/>
          <w:szCs w:val="24"/>
        </w:rPr>
        <w:t>should extend or ignore the</w:t>
      </w:r>
      <w:r w:rsidR="00241ABE" w:rsidRPr="00C0573E">
        <w:rPr>
          <w:rFonts w:ascii="Arial" w:hAnsi="Arial" w:cs="Arial"/>
          <w:color w:val="000000"/>
          <w:sz w:val="24"/>
          <w:szCs w:val="24"/>
        </w:rPr>
        <w:t xml:space="preserve"> period </w:t>
      </w:r>
      <w:r w:rsidR="00CD495B" w:rsidRPr="00C0573E">
        <w:rPr>
          <w:rFonts w:ascii="Arial" w:hAnsi="Arial" w:cs="Arial"/>
          <w:color w:val="000000"/>
          <w:sz w:val="24"/>
          <w:szCs w:val="24"/>
        </w:rPr>
        <w:t>of the delay</w:t>
      </w:r>
      <w:r w:rsidR="002A7140" w:rsidRPr="00C0573E">
        <w:rPr>
          <w:rFonts w:ascii="Arial" w:hAnsi="Arial" w:cs="Arial"/>
          <w:color w:val="000000"/>
          <w:sz w:val="24"/>
          <w:szCs w:val="24"/>
        </w:rPr>
        <w:t>.</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7E0D4A"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[40]</w:t>
      </w:r>
      <w:r w:rsidRPr="006F6E2D">
        <w:rPr>
          <w:rFonts w:ascii="Arial" w:hAnsi="Arial" w:cs="Arial"/>
          <w:color w:val="000000"/>
          <w:sz w:val="24"/>
          <w:szCs w:val="24"/>
        </w:rPr>
        <w:tab/>
      </w:r>
      <w:r w:rsidR="00241ABE" w:rsidRPr="00C0573E">
        <w:rPr>
          <w:rFonts w:ascii="Arial" w:hAnsi="Arial" w:cs="Arial"/>
          <w:color w:val="000000"/>
          <w:sz w:val="24"/>
          <w:szCs w:val="24"/>
        </w:rPr>
        <w:t>In my view, the facts</w:t>
      </w:r>
      <w:r w:rsidR="00CD495B" w:rsidRPr="00C0573E">
        <w:rPr>
          <w:rFonts w:ascii="Arial" w:hAnsi="Arial" w:cs="Arial"/>
          <w:color w:val="000000"/>
          <w:sz w:val="24"/>
          <w:szCs w:val="24"/>
        </w:rPr>
        <w:t xml:space="preserve"> and </w:t>
      </w:r>
      <w:r w:rsidR="00241ABE" w:rsidRPr="00C0573E">
        <w:rPr>
          <w:rFonts w:ascii="Arial" w:hAnsi="Arial" w:cs="Arial"/>
          <w:color w:val="000000"/>
          <w:sz w:val="24"/>
          <w:szCs w:val="24"/>
        </w:rPr>
        <w:t xml:space="preserve">the circumstances of this case favours </w:t>
      </w:r>
      <w:r w:rsidR="00054B71" w:rsidRPr="00C0573E">
        <w:rPr>
          <w:rFonts w:ascii="Arial" w:hAnsi="Arial" w:cs="Arial"/>
          <w:color w:val="000000"/>
          <w:sz w:val="24"/>
          <w:szCs w:val="24"/>
        </w:rPr>
        <w:t>the extension of</w:t>
      </w:r>
      <w:r w:rsidR="00241ABE" w:rsidRPr="00C0573E">
        <w:rPr>
          <w:rFonts w:ascii="Arial" w:hAnsi="Arial" w:cs="Arial"/>
          <w:color w:val="000000"/>
          <w:sz w:val="24"/>
          <w:szCs w:val="24"/>
        </w:rPr>
        <w:t xml:space="preserve"> the period for the following reasons: (a) the prospect of success as appears from the merits of the review</w:t>
      </w:r>
      <w:r w:rsidR="002A7140" w:rsidRPr="00C0573E">
        <w:rPr>
          <w:rFonts w:ascii="Arial" w:hAnsi="Arial" w:cs="Arial"/>
          <w:color w:val="000000"/>
          <w:sz w:val="24"/>
          <w:szCs w:val="24"/>
        </w:rPr>
        <w:t>,</w:t>
      </w:r>
      <w:r w:rsidR="00241ABE" w:rsidRPr="00C0573E">
        <w:rPr>
          <w:rFonts w:ascii="Arial" w:hAnsi="Arial" w:cs="Arial"/>
          <w:color w:val="000000"/>
          <w:sz w:val="24"/>
          <w:szCs w:val="24"/>
        </w:rPr>
        <w:t xml:space="preserve"> discussed below</w:t>
      </w:r>
      <w:r w:rsidR="002A7140" w:rsidRPr="00C0573E">
        <w:rPr>
          <w:rFonts w:ascii="Arial" w:hAnsi="Arial" w:cs="Arial"/>
          <w:color w:val="000000"/>
          <w:sz w:val="24"/>
          <w:szCs w:val="24"/>
        </w:rPr>
        <w:t>,</w:t>
      </w:r>
      <w:r w:rsidR="00241ABE" w:rsidRPr="00C0573E">
        <w:rPr>
          <w:rFonts w:ascii="Arial" w:hAnsi="Arial" w:cs="Arial"/>
          <w:color w:val="000000"/>
          <w:sz w:val="24"/>
          <w:szCs w:val="24"/>
        </w:rPr>
        <w:t xml:space="preserve"> are strong</w:t>
      </w:r>
      <w:r w:rsidR="002A7140" w:rsidRPr="00C0573E">
        <w:rPr>
          <w:rFonts w:ascii="Arial" w:hAnsi="Arial" w:cs="Arial"/>
          <w:color w:val="000000"/>
          <w:sz w:val="24"/>
          <w:szCs w:val="24"/>
        </w:rPr>
        <w:t>;</w:t>
      </w:r>
      <w:r w:rsidR="00241ABE" w:rsidRPr="00C0573E">
        <w:rPr>
          <w:rFonts w:ascii="Arial" w:hAnsi="Arial" w:cs="Arial"/>
          <w:color w:val="000000"/>
          <w:sz w:val="24"/>
          <w:szCs w:val="24"/>
        </w:rPr>
        <w:t xml:space="preserve"> (b) it is in the public interest that the dispute be adjudicated to address the complex issue</w:t>
      </w:r>
      <w:r w:rsidR="002A7140" w:rsidRPr="00C0573E">
        <w:rPr>
          <w:rFonts w:ascii="Arial" w:hAnsi="Arial" w:cs="Arial"/>
          <w:color w:val="000000"/>
          <w:sz w:val="24"/>
          <w:szCs w:val="24"/>
        </w:rPr>
        <w:t>s surrounding</w:t>
      </w:r>
      <w:r w:rsidR="00241ABE" w:rsidRPr="00C0573E">
        <w:rPr>
          <w:rFonts w:ascii="Arial" w:hAnsi="Arial" w:cs="Arial"/>
          <w:color w:val="000000"/>
          <w:sz w:val="24"/>
          <w:szCs w:val="24"/>
        </w:rPr>
        <w:t xml:space="preserve"> </w:t>
      </w:r>
      <w:r w:rsidR="002A7140" w:rsidRPr="00C0573E">
        <w:rPr>
          <w:rFonts w:ascii="Arial" w:hAnsi="Arial" w:cs="Arial"/>
          <w:color w:val="000000"/>
          <w:sz w:val="24"/>
          <w:szCs w:val="24"/>
        </w:rPr>
        <w:t xml:space="preserve">the </w:t>
      </w:r>
      <w:r w:rsidR="00241ABE" w:rsidRPr="00C0573E">
        <w:rPr>
          <w:rFonts w:ascii="Arial" w:hAnsi="Arial" w:cs="Arial"/>
          <w:color w:val="000000"/>
          <w:sz w:val="24"/>
          <w:szCs w:val="24"/>
        </w:rPr>
        <w:t>application of the principles governing administrative action and private law in matters of this nature</w:t>
      </w:r>
      <w:r w:rsidR="002A7140" w:rsidRPr="00C0573E">
        <w:rPr>
          <w:rFonts w:ascii="Arial" w:hAnsi="Arial" w:cs="Arial"/>
          <w:color w:val="000000"/>
          <w:sz w:val="24"/>
          <w:szCs w:val="24"/>
        </w:rPr>
        <w:t xml:space="preserve">; </w:t>
      </w:r>
      <w:r w:rsidR="00241ABE" w:rsidRPr="00C0573E">
        <w:rPr>
          <w:rFonts w:ascii="Arial" w:hAnsi="Arial" w:cs="Arial"/>
          <w:color w:val="000000"/>
          <w:sz w:val="24"/>
          <w:szCs w:val="24"/>
        </w:rPr>
        <w:t>(c) there is a significant amount</w:t>
      </w:r>
      <w:r w:rsidR="00CD495B" w:rsidRPr="00C0573E">
        <w:rPr>
          <w:rFonts w:ascii="Arial" w:hAnsi="Arial" w:cs="Arial"/>
          <w:color w:val="000000"/>
          <w:sz w:val="24"/>
          <w:szCs w:val="24"/>
        </w:rPr>
        <w:t xml:space="preserve"> </w:t>
      </w:r>
      <w:r w:rsidR="002A7140" w:rsidRPr="00C0573E">
        <w:rPr>
          <w:rFonts w:ascii="Arial" w:hAnsi="Arial" w:cs="Arial"/>
          <w:color w:val="000000"/>
          <w:sz w:val="24"/>
          <w:szCs w:val="24"/>
        </w:rPr>
        <w:t xml:space="preserve">of money invested in this project </w:t>
      </w:r>
      <w:r w:rsidR="00CD495B" w:rsidRPr="00C0573E">
        <w:rPr>
          <w:rFonts w:ascii="Arial" w:hAnsi="Arial" w:cs="Arial"/>
          <w:color w:val="000000"/>
          <w:sz w:val="24"/>
          <w:szCs w:val="24"/>
        </w:rPr>
        <w:t>(the indications are that R1</w:t>
      </w:r>
      <w:r w:rsidR="00241ABE" w:rsidRPr="00C0573E">
        <w:rPr>
          <w:rFonts w:ascii="Arial" w:hAnsi="Arial" w:cs="Arial"/>
          <w:color w:val="000000"/>
          <w:sz w:val="24"/>
          <w:szCs w:val="24"/>
        </w:rPr>
        <w:t xml:space="preserve"> </w:t>
      </w:r>
      <w:r w:rsidR="00CD495B" w:rsidRPr="00C0573E">
        <w:rPr>
          <w:rFonts w:ascii="Arial" w:hAnsi="Arial" w:cs="Arial"/>
          <w:color w:val="000000"/>
          <w:sz w:val="24"/>
          <w:szCs w:val="24"/>
        </w:rPr>
        <w:t xml:space="preserve">billion </w:t>
      </w:r>
      <w:r w:rsidR="002A7140" w:rsidRPr="00C0573E">
        <w:rPr>
          <w:rFonts w:ascii="Arial" w:hAnsi="Arial" w:cs="Arial"/>
          <w:color w:val="000000"/>
          <w:sz w:val="24"/>
          <w:szCs w:val="24"/>
        </w:rPr>
        <w:t xml:space="preserve">is </w:t>
      </w:r>
      <w:r w:rsidR="00241ABE" w:rsidRPr="00C0573E">
        <w:rPr>
          <w:rFonts w:ascii="Arial" w:hAnsi="Arial" w:cs="Arial"/>
          <w:color w:val="000000"/>
          <w:sz w:val="24"/>
          <w:szCs w:val="24"/>
        </w:rPr>
        <w:t xml:space="preserve">to be spent by the SAPS </w:t>
      </w:r>
      <w:r w:rsidR="002A7140" w:rsidRPr="00C0573E">
        <w:rPr>
          <w:rFonts w:ascii="Arial" w:hAnsi="Arial" w:cs="Arial"/>
          <w:color w:val="000000"/>
          <w:sz w:val="24"/>
          <w:szCs w:val="24"/>
        </w:rPr>
        <w:t>in this regard);</w:t>
      </w:r>
      <w:r w:rsidR="00241ABE" w:rsidRPr="00C0573E">
        <w:rPr>
          <w:rFonts w:ascii="Arial" w:hAnsi="Arial" w:cs="Arial"/>
          <w:color w:val="000000"/>
          <w:sz w:val="24"/>
          <w:szCs w:val="24"/>
        </w:rPr>
        <w:t xml:space="preserve"> and (d) </w:t>
      </w:r>
      <w:r w:rsidR="002A7140" w:rsidRPr="00C0573E">
        <w:rPr>
          <w:rFonts w:ascii="Arial" w:hAnsi="Arial" w:cs="Arial"/>
          <w:color w:val="000000"/>
          <w:sz w:val="24"/>
          <w:szCs w:val="24"/>
        </w:rPr>
        <w:t xml:space="preserve">it </w:t>
      </w:r>
      <w:r w:rsidR="00241ABE" w:rsidRPr="00C0573E">
        <w:rPr>
          <w:rFonts w:ascii="Arial" w:hAnsi="Arial" w:cs="Arial"/>
          <w:color w:val="000000"/>
          <w:sz w:val="24"/>
          <w:szCs w:val="24"/>
        </w:rPr>
        <w:t>is also in the interest</w:t>
      </w:r>
      <w:r w:rsidR="002A7140" w:rsidRPr="00C0573E">
        <w:rPr>
          <w:rFonts w:ascii="Arial" w:hAnsi="Arial" w:cs="Arial"/>
          <w:color w:val="000000"/>
          <w:sz w:val="24"/>
          <w:szCs w:val="24"/>
        </w:rPr>
        <w:t>s</w:t>
      </w:r>
      <w:r w:rsidR="00241ABE" w:rsidRPr="00C0573E">
        <w:rPr>
          <w:rFonts w:ascii="Arial" w:hAnsi="Arial" w:cs="Arial"/>
          <w:color w:val="000000"/>
          <w:sz w:val="24"/>
          <w:szCs w:val="24"/>
        </w:rPr>
        <w:t xml:space="preserve"> of justice to determine the issue of whether the action of the SAPS is subject to scrutiny under PAJA or the legality principle.</w:t>
      </w:r>
    </w:p>
    <w:p w:rsidR="007E0D4A" w:rsidRPr="006F6E2D" w:rsidRDefault="007E0D4A"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6F6E2D" w:rsidRDefault="00241ABE" w:rsidP="006F6E2D">
      <w:pPr>
        <w:widowControl w:val="0"/>
        <w:autoSpaceDE w:val="0"/>
        <w:autoSpaceDN w:val="0"/>
        <w:adjustRightInd w:val="0"/>
        <w:spacing w:after="0" w:line="360" w:lineRule="auto"/>
        <w:jc w:val="both"/>
        <w:rPr>
          <w:rFonts w:ascii="Arial" w:hAnsi="Arial" w:cs="Arial"/>
          <w:b/>
          <w:i/>
          <w:color w:val="000000"/>
          <w:sz w:val="24"/>
          <w:szCs w:val="24"/>
        </w:rPr>
      </w:pPr>
      <w:r w:rsidRPr="006F6E2D">
        <w:rPr>
          <w:rFonts w:ascii="Arial" w:hAnsi="Arial" w:cs="Arial"/>
          <w:b/>
          <w:i/>
          <w:color w:val="000000"/>
          <w:sz w:val="24"/>
          <w:szCs w:val="24"/>
        </w:rPr>
        <w:t>The merits</w:t>
      </w:r>
    </w:p>
    <w:p w:rsidR="00C11833"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[41]</w:t>
      </w:r>
      <w:r w:rsidRPr="006F6E2D">
        <w:rPr>
          <w:rFonts w:ascii="Arial" w:hAnsi="Arial" w:cs="Arial"/>
          <w:color w:val="000000"/>
          <w:sz w:val="24"/>
          <w:szCs w:val="24"/>
        </w:rPr>
        <w:tab/>
      </w:r>
      <w:r w:rsidR="00A11B2B" w:rsidRPr="00C0573E">
        <w:rPr>
          <w:rFonts w:ascii="Arial" w:hAnsi="Arial" w:cs="Arial"/>
          <w:color w:val="000000"/>
          <w:sz w:val="24"/>
          <w:szCs w:val="24"/>
        </w:rPr>
        <w:t xml:space="preserve">As indicated above the case of Vodacom is that the </w:t>
      </w:r>
      <w:r w:rsidR="004D6904" w:rsidRPr="00C0573E">
        <w:rPr>
          <w:rFonts w:ascii="Arial" w:hAnsi="Arial" w:cs="Arial"/>
          <w:color w:val="000000"/>
          <w:sz w:val="24"/>
          <w:szCs w:val="24"/>
        </w:rPr>
        <w:t xml:space="preserve">impugned </w:t>
      </w:r>
      <w:r w:rsidR="00A11B2B" w:rsidRPr="00C0573E">
        <w:rPr>
          <w:rFonts w:ascii="Arial" w:hAnsi="Arial" w:cs="Arial"/>
          <w:color w:val="000000"/>
          <w:sz w:val="24"/>
          <w:szCs w:val="24"/>
        </w:rPr>
        <w:t xml:space="preserve">decision to accept the MTN proposal by the SAPS is reviewable under the Constitution or PAJA </w:t>
      </w:r>
      <w:r w:rsidR="00A11B2B" w:rsidRPr="00C0573E">
        <w:rPr>
          <w:rFonts w:ascii="Arial" w:hAnsi="Arial" w:cs="Arial"/>
          <w:color w:val="000000"/>
          <w:sz w:val="24"/>
          <w:szCs w:val="24"/>
        </w:rPr>
        <w:lastRenderedPageBreak/>
        <w:t xml:space="preserve">or the principle of legality. </w:t>
      </w:r>
    </w:p>
    <w:p w:rsidR="00C11833" w:rsidRPr="006F6E2D" w:rsidRDefault="00C11833"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[42]</w:t>
      </w:r>
      <w:r w:rsidRPr="006F6E2D">
        <w:rPr>
          <w:rFonts w:ascii="Arial" w:hAnsi="Arial" w:cs="Arial"/>
          <w:color w:val="000000"/>
          <w:sz w:val="24"/>
          <w:szCs w:val="24"/>
        </w:rPr>
        <w:tab/>
      </w:r>
      <w:r w:rsidR="00241ABE" w:rsidRPr="00C0573E">
        <w:rPr>
          <w:rFonts w:ascii="Arial" w:hAnsi="Arial" w:cs="Arial"/>
          <w:color w:val="000000"/>
          <w:sz w:val="24"/>
          <w:szCs w:val="24"/>
        </w:rPr>
        <w:t>The case</w:t>
      </w:r>
      <w:r w:rsidR="006F6E2D" w:rsidRPr="00C0573E">
        <w:rPr>
          <w:rFonts w:ascii="Arial" w:hAnsi="Arial" w:cs="Arial"/>
          <w:color w:val="000000"/>
          <w:sz w:val="24"/>
          <w:szCs w:val="24"/>
        </w:rPr>
        <w:t>s</w:t>
      </w:r>
      <w:r w:rsidR="00241ABE" w:rsidRPr="00C0573E">
        <w:rPr>
          <w:rFonts w:ascii="Arial" w:hAnsi="Arial" w:cs="Arial"/>
          <w:color w:val="000000"/>
          <w:sz w:val="24"/>
          <w:szCs w:val="24"/>
        </w:rPr>
        <w:t xml:space="preserve"> o</w:t>
      </w:r>
      <w:r w:rsidR="006F6E2D" w:rsidRPr="00C0573E">
        <w:rPr>
          <w:rFonts w:ascii="Arial" w:hAnsi="Arial" w:cs="Arial"/>
          <w:color w:val="000000"/>
          <w:sz w:val="24"/>
          <w:szCs w:val="24"/>
        </w:rPr>
        <w:t>f both MTN and SAPS is that the</w:t>
      </w:r>
      <w:r w:rsidR="00241ABE" w:rsidRPr="00C0573E">
        <w:rPr>
          <w:rFonts w:ascii="Arial" w:hAnsi="Arial" w:cs="Arial"/>
          <w:color w:val="000000"/>
          <w:sz w:val="24"/>
          <w:szCs w:val="24"/>
        </w:rPr>
        <w:t xml:space="preserve"> proposal was accepted in terms of the Transversal Agreement</w:t>
      </w:r>
      <w:r w:rsidR="007177C4" w:rsidRPr="00C0573E">
        <w:rPr>
          <w:rFonts w:ascii="Arial" w:hAnsi="Arial" w:cs="Arial"/>
          <w:color w:val="000000"/>
          <w:sz w:val="24"/>
          <w:szCs w:val="24"/>
        </w:rPr>
        <w:t xml:space="preserve"> </w:t>
      </w:r>
      <w:r w:rsidR="00241ABE" w:rsidRPr="00C0573E">
        <w:rPr>
          <w:rFonts w:ascii="Arial" w:hAnsi="Arial" w:cs="Arial"/>
          <w:color w:val="000000"/>
          <w:sz w:val="24"/>
          <w:szCs w:val="24"/>
        </w:rPr>
        <w:t>which</w:t>
      </w:r>
      <w:r w:rsidR="007177C4" w:rsidRPr="00C0573E">
        <w:rPr>
          <w:rFonts w:ascii="Arial" w:hAnsi="Arial" w:cs="Arial"/>
          <w:color w:val="000000"/>
          <w:sz w:val="24"/>
          <w:szCs w:val="24"/>
        </w:rPr>
        <w:t>,</w:t>
      </w:r>
      <w:r w:rsidR="00241ABE" w:rsidRPr="00C0573E">
        <w:rPr>
          <w:rFonts w:ascii="Arial" w:hAnsi="Arial" w:cs="Arial"/>
          <w:color w:val="000000"/>
          <w:sz w:val="24"/>
          <w:szCs w:val="24"/>
        </w:rPr>
        <w:t xml:space="preserve"> as indicated earlier</w:t>
      </w:r>
      <w:r w:rsidR="007177C4" w:rsidRPr="00C0573E">
        <w:rPr>
          <w:rFonts w:ascii="Arial" w:hAnsi="Arial" w:cs="Arial"/>
          <w:color w:val="000000"/>
          <w:sz w:val="24"/>
          <w:szCs w:val="24"/>
        </w:rPr>
        <w:t>,</w:t>
      </w:r>
      <w:r w:rsidR="00241ABE" w:rsidRPr="00C0573E">
        <w:rPr>
          <w:rFonts w:ascii="Arial" w:hAnsi="Arial" w:cs="Arial"/>
          <w:color w:val="000000"/>
          <w:sz w:val="24"/>
          <w:szCs w:val="24"/>
        </w:rPr>
        <w:t xml:space="preserve"> was concluded between the various mobile service providers and the National Treasury.</w:t>
      </w:r>
      <w:r w:rsidR="007177C4" w:rsidRPr="00C0573E">
        <w:rPr>
          <w:rFonts w:ascii="Arial" w:hAnsi="Arial" w:cs="Arial"/>
          <w:color w:val="000000"/>
          <w:sz w:val="24"/>
          <w:szCs w:val="24"/>
        </w:rPr>
        <w:t xml:space="preserve"> </w:t>
      </w:r>
      <w:r w:rsidR="007A3DAE" w:rsidRPr="00C0573E">
        <w:rPr>
          <w:rFonts w:ascii="Arial" w:hAnsi="Arial" w:cs="Arial"/>
          <w:color w:val="000000"/>
          <w:sz w:val="24"/>
          <w:szCs w:val="24"/>
        </w:rPr>
        <w:t xml:space="preserve"> It was further argued, as stated earlier </w:t>
      </w:r>
      <w:r w:rsidR="00241ABE" w:rsidRPr="00C0573E">
        <w:rPr>
          <w:rFonts w:ascii="Arial" w:hAnsi="Arial" w:cs="Arial"/>
          <w:color w:val="000000"/>
          <w:sz w:val="24"/>
          <w:szCs w:val="24"/>
        </w:rPr>
        <w:t xml:space="preserve">that the process of inviting the service providers to make proposals and accepting the one proposal did not amount to a procurement process envisaged in section 217 </w:t>
      </w:r>
      <w:r w:rsidR="00706481" w:rsidRPr="00C0573E">
        <w:rPr>
          <w:rFonts w:ascii="Arial" w:hAnsi="Arial" w:cs="Arial"/>
          <w:color w:val="000000"/>
          <w:sz w:val="24"/>
          <w:szCs w:val="24"/>
        </w:rPr>
        <w:t xml:space="preserve">of the Constitution. </w:t>
      </w:r>
      <w:r w:rsidR="007177C4" w:rsidRPr="00C0573E">
        <w:rPr>
          <w:rFonts w:ascii="Arial" w:hAnsi="Arial" w:cs="Arial"/>
          <w:color w:val="000000"/>
          <w:sz w:val="24"/>
          <w:szCs w:val="24"/>
        </w:rPr>
        <w:t xml:space="preserve"> </w:t>
      </w:r>
      <w:r w:rsidR="00706481" w:rsidRPr="00C0573E">
        <w:rPr>
          <w:rFonts w:ascii="Arial" w:hAnsi="Arial" w:cs="Arial"/>
          <w:color w:val="000000"/>
          <w:sz w:val="24"/>
          <w:szCs w:val="24"/>
        </w:rPr>
        <w:t xml:space="preserve">The proposition </w:t>
      </w:r>
      <w:r w:rsidR="00241ABE" w:rsidRPr="00C0573E">
        <w:rPr>
          <w:rFonts w:ascii="Arial" w:hAnsi="Arial" w:cs="Arial"/>
          <w:color w:val="000000"/>
          <w:sz w:val="24"/>
          <w:szCs w:val="24"/>
        </w:rPr>
        <w:t>is based on the contention that the conclusion of the Transversal Agreement was preceded by a comprehensive procurement process.</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[43]</w:t>
      </w:r>
      <w:r w:rsidRPr="006F6E2D">
        <w:rPr>
          <w:rFonts w:ascii="Arial" w:hAnsi="Arial" w:cs="Arial"/>
          <w:color w:val="000000"/>
          <w:sz w:val="24"/>
          <w:szCs w:val="24"/>
        </w:rPr>
        <w:tab/>
      </w:r>
      <w:r w:rsidR="00241ABE" w:rsidRPr="00C0573E">
        <w:rPr>
          <w:rFonts w:ascii="Arial" w:hAnsi="Arial" w:cs="Arial"/>
          <w:color w:val="000000"/>
          <w:sz w:val="24"/>
          <w:szCs w:val="24"/>
        </w:rPr>
        <w:t xml:space="preserve">The essence of the above argument is that in embarking on the process that ended with the acceptance of MTN’s proposal, the SAPS </w:t>
      </w:r>
      <w:r w:rsidR="007A3DAE" w:rsidRPr="00C0573E">
        <w:rPr>
          <w:rFonts w:ascii="Arial" w:hAnsi="Arial" w:cs="Arial"/>
          <w:color w:val="000000"/>
          <w:sz w:val="24"/>
          <w:szCs w:val="24"/>
        </w:rPr>
        <w:t>was</w:t>
      </w:r>
      <w:r w:rsidR="00EB5234"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merely implementing the Transversal Agreement, which is in fulfilment of </w:t>
      </w:r>
      <w:r w:rsidR="00EB5234" w:rsidRPr="00C0573E">
        <w:rPr>
          <w:rFonts w:ascii="Arial" w:hAnsi="Arial" w:cs="Arial"/>
          <w:color w:val="000000"/>
          <w:sz w:val="24"/>
          <w:szCs w:val="24"/>
        </w:rPr>
        <w:t xml:space="preserve">a </w:t>
      </w:r>
      <w:r w:rsidR="00241ABE" w:rsidRPr="00C0573E">
        <w:rPr>
          <w:rFonts w:ascii="Arial" w:hAnsi="Arial" w:cs="Arial"/>
          <w:color w:val="000000"/>
          <w:sz w:val="24"/>
          <w:szCs w:val="24"/>
        </w:rPr>
        <w:t>contractual obligation which cannot be subjected to scrutiny under section 217 of the Constitution.</w:t>
      </w:r>
      <w:r w:rsidR="006F6E2D" w:rsidRPr="00C0573E">
        <w:rPr>
          <w:rFonts w:ascii="Arial" w:hAnsi="Arial" w:cs="Arial"/>
          <w:color w:val="000000"/>
          <w:sz w:val="24"/>
          <w:szCs w:val="24"/>
        </w:rPr>
        <w:t xml:space="preserve">  </w:t>
      </w:r>
      <w:r w:rsidR="00241ABE" w:rsidRPr="00C0573E">
        <w:rPr>
          <w:rFonts w:ascii="Arial" w:hAnsi="Arial" w:cs="Arial"/>
          <w:color w:val="000000"/>
          <w:sz w:val="24"/>
          <w:szCs w:val="24"/>
        </w:rPr>
        <w:t>Section 217 of the Constitution provides:</w:t>
      </w:r>
    </w:p>
    <w:p w:rsidR="00241ABE" w:rsidRPr="006F6E2D" w:rsidRDefault="00241ABE" w:rsidP="006F6E2D">
      <w:pPr>
        <w:widowControl w:val="0"/>
        <w:autoSpaceDE w:val="0"/>
        <w:autoSpaceDN w:val="0"/>
        <w:adjustRightInd w:val="0"/>
        <w:spacing w:after="0" w:line="360" w:lineRule="auto"/>
        <w:ind w:left="1134" w:hanging="425"/>
        <w:jc w:val="both"/>
        <w:rPr>
          <w:rFonts w:ascii="Arial" w:hAnsi="Arial" w:cs="Arial"/>
        </w:rPr>
      </w:pPr>
      <w:r w:rsidRPr="006F6E2D">
        <w:rPr>
          <w:rFonts w:ascii="Arial" w:hAnsi="Arial" w:cs="Arial"/>
        </w:rPr>
        <w:t>“(1)</w:t>
      </w:r>
      <w:r w:rsidRPr="006F6E2D">
        <w:rPr>
          <w:rFonts w:ascii="Arial" w:hAnsi="Arial" w:cs="Arial"/>
        </w:rPr>
        <w:tab/>
      </w:r>
      <w:r w:rsidR="00C11833" w:rsidRPr="006F6E2D">
        <w:rPr>
          <w:rFonts w:ascii="Arial" w:hAnsi="Arial" w:cs="Arial"/>
        </w:rPr>
        <w:tab/>
      </w:r>
      <w:r w:rsidRPr="006F6E2D">
        <w:rPr>
          <w:rFonts w:ascii="Arial" w:hAnsi="Arial" w:cs="Arial"/>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EB5234" w:rsidRPr="006F6E2D" w:rsidRDefault="00241ABE" w:rsidP="006F6E2D">
      <w:pPr>
        <w:widowControl w:val="0"/>
        <w:autoSpaceDE w:val="0"/>
        <w:autoSpaceDN w:val="0"/>
        <w:adjustRightInd w:val="0"/>
        <w:spacing w:after="0" w:line="360" w:lineRule="auto"/>
        <w:ind w:left="1134" w:hanging="567"/>
        <w:jc w:val="both"/>
        <w:rPr>
          <w:rFonts w:ascii="Arial" w:hAnsi="Arial" w:cs="Arial"/>
        </w:rPr>
      </w:pPr>
      <w:r w:rsidRPr="006F6E2D">
        <w:rPr>
          <w:rFonts w:ascii="Arial" w:hAnsi="Arial" w:cs="Arial"/>
        </w:rPr>
        <w:t>(2)</w:t>
      </w:r>
      <w:r w:rsidRPr="006F6E2D">
        <w:rPr>
          <w:rFonts w:ascii="Arial" w:hAnsi="Arial" w:cs="Arial"/>
        </w:rPr>
        <w:tab/>
        <w:t>Subsection (1) does not prevent the organs of state or institutions referred to in that subsection from implementing a procurement policy providing for—</w:t>
      </w:r>
    </w:p>
    <w:p w:rsidR="00EB5234" w:rsidRPr="006F6E2D" w:rsidRDefault="00241ABE" w:rsidP="006F6E2D">
      <w:pPr>
        <w:widowControl w:val="0"/>
        <w:autoSpaceDE w:val="0"/>
        <w:autoSpaceDN w:val="0"/>
        <w:adjustRightInd w:val="0"/>
        <w:spacing w:after="0" w:line="360" w:lineRule="auto"/>
        <w:ind w:left="1701" w:hanging="567"/>
        <w:jc w:val="both"/>
        <w:rPr>
          <w:rFonts w:ascii="Arial" w:hAnsi="Arial" w:cs="Arial"/>
        </w:rPr>
      </w:pPr>
      <w:r w:rsidRPr="006F6E2D">
        <w:rPr>
          <w:rFonts w:ascii="Arial" w:hAnsi="Arial" w:cs="Arial"/>
        </w:rPr>
        <w:t>(a)</w:t>
      </w:r>
      <w:r w:rsidR="00EB5234" w:rsidRPr="006F6E2D">
        <w:rPr>
          <w:rFonts w:ascii="Arial" w:hAnsi="Arial" w:cs="Arial"/>
        </w:rPr>
        <w:tab/>
      </w:r>
      <w:r w:rsidRPr="006F6E2D">
        <w:rPr>
          <w:rFonts w:ascii="Arial" w:hAnsi="Arial" w:cs="Arial"/>
        </w:rPr>
        <w:t>categories of preference in the allocation of contracts; and</w:t>
      </w:r>
    </w:p>
    <w:p w:rsidR="00241ABE" w:rsidRPr="006F6E2D" w:rsidRDefault="00241ABE" w:rsidP="006F6E2D">
      <w:pPr>
        <w:widowControl w:val="0"/>
        <w:autoSpaceDE w:val="0"/>
        <w:autoSpaceDN w:val="0"/>
        <w:adjustRightInd w:val="0"/>
        <w:spacing w:after="0" w:line="360" w:lineRule="auto"/>
        <w:ind w:left="1701" w:hanging="567"/>
        <w:jc w:val="both"/>
        <w:rPr>
          <w:rFonts w:ascii="Arial" w:hAnsi="Arial" w:cs="Arial"/>
          <w:color w:val="000000"/>
        </w:rPr>
      </w:pPr>
      <w:r w:rsidRPr="006F6E2D">
        <w:rPr>
          <w:rFonts w:ascii="Arial" w:hAnsi="Arial" w:cs="Arial"/>
        </w:rPr>
        <w:t>(b)</w:t>
      </w:r>
      <w:r w:rsidR="00EB5234" w:rsidRPr="006F6E2D">
        <w:rPr>
          <w:rFonts w:ascii="Arial" w:hAnsi="Arial" w:cs="Arial"/>
        </w:rPr>
        <w:tab/>
      </w:r>
      <w:r w:rsidRPr="006F6E2D">
        <w:rPr>
          <w:rFonts w:ascii="Arial" w:hAnsi="Arial" w:cs="Arial"/>
        </w:rPr>
        <w:t>the protection or advancement of persons, or categories of persons, disadvantaged by unfair discrimination.”</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[44]</w:t>
      </w:r>
      <w:r w:rsidRPr="006F6E2D">
        <w:rPr>
          <w:rFonts w:ascii="Arial" w:hAnsi="Arial" w:cs="Arial"/>
          <w:color w:val="000000"/>
          <w:sz w:val="24"/>
          <w:szCs w:val="24"/>
        </w:rPr>
        <w:tab/>
      </w:r>
      <w:r w:rsidR="00241ABE" w:rsidRPr="00C0573E">
        <w:rPr>
          <w:rFonts w:ascii="Arial" w:hAnsi="Arial" w:cs="Arial"/>
          <w:color w:val="000000"/>
          <w:sz w:val="24"/>
          <w:szCs w:val="24"/>
        </w:rPr>
        <w:t>The SAP</w:t>
      </w:r>
      <w:r w:rsidR="00811B8B" w:rsidRPr="00C0573E">
        <w:rPr>
          <w:rFonts w:ascii="Arial" w:hAnsi="Arial" w:cs="Arial"/>
          <w:color w:val="000000"/>
          <w:sz w:val="24"/>
          <w:szCs w:val="24"/>
        </w:rPr>
        <w:t>S</w:t>
      </w:r>
      <w:r w:rsidR="00241ABE" w:rsidRPr="00C0573E">
        <w:rPr>
          <w:rFonts w:ascii="Arial" w:hAnsi="Arial" w:cs="Arial"/>
          <w:color w:val="000000"/>
          <w:sz w:val="24"/>
          <w:szCs w:val="24"/>
        </w:rPr>
        <w:t xml:space="preserve"> further argued that post the conclusion of the Transversal Agreement the negotiations regarding the implementation of the agreement </w:t>
      </w:r>
      <w:r w:rsidR="00811B8B" w:rsidRPr="00C0573E">
        <w:rPr>
          <w:rFonts w:ascii="Arial" w:hAnsi="Arial" w:cs="Arial"/>
          <w:color w:val="000000"/>
          <w:sz w:val="24"/>
          <w:szCs w:val="24"/>
        </w:rPr>
        <w:t xml:space="preserve">were </w:t>
      </w:r>
      <w:r w:rsidR="00241ABE" w:rsidRPr="00C0573E">
        <w:rPr>
          <w:rFonts w:ascii="Arial" w:hAnsi="Arial" w:cs="Arial"/>
          <w:color w:val="000000"/>
          <w:sz w:val="24"/>
          <w:szCs w:val="24"/>
        </w:rPr>
        <w:t>not subject to public law but private law.  In support of this proposition</w:t>
      </w:r>
      <w:r w:rsidR="00811B8B" w:rsidRPr="00C0573E">
        <w:rPr>
          <w:rFonts w:ascii="Arial" w:hAnsi="Arial" w:cs="Arial"/>
          <w:color w:val="000000"/>
          <w:sz w:val="24"/>
          <w:szCs w:val="24"/>
        </w:rPr>
        <w:t>,</w:t>
      </w:r>
      <w:r w:rsidR="00241ABE" w:rsidRPr="00C0573E">
        <w:rPr>
          <w:rFonts w:ascii="Arial" w:hAnsi="Arial" w:cs="Arial"/>
          <w:color w:val="000000"/>
          <w:sz w:val="24"/>
          <w:szCs w:val="24"/>
        </w:rPr>
        <w:t xml:space="preserve"> the SAPS relied on the decision in </w:t>
      </w:r>
      <w:r w:rsidR="00241ABE" w:rsidRPr="00C0573E">
        <w:rPr>
          <w:rFonts w:ascii="Arial" w:hAnsi="Arial" w:cs="Arial"/>
          <w:i/>
          <w:color w:val="000000"/>
          <w:sz w:val="24"/>
          <w:szCs w:val="24"/>
        </w:rPr>
        <w:t>Trencon Construction (Pty) Ltd v Industrial Development Corporation of South Africa</w:t>
      </w:r>
      <w:r w:rsidR="006553AA" w:rsidRPr="00C0573E">
        <w:rPr>
          <w:rFonts w:ascii="Arial" w:hAnsi="Arial" w:cs="Arial"/>
          <w:i/>
          <w:color w:val="000000"/>
          <w:sz w:val="24"/>
          <w:szCs w:val="24"/>
        </w:rPr>
        <w:t xml:space="preserve"> </w:t>
      </w:r>
      <w:r w:rsidR="006553AA" w:rsidRPr="00C0573E">
        <w:rPr>
          <w:rFonts w:ascii="Arial" w:hAnsi="Arial" w:cs="Arial"/>
          <w:color w:val="000000"/>
          <w:sz w:val="24"/>
          <w:szCs w:val="24"/>
        </w:rPr>
        <w:t>(</w:t>
      </w:r>
      <w:r w:rsidR="006553AA" w:rsidRPr="00C0573E">
        <w:rPr>
          <w:rFonts w:ascii="Arial" w:hAnsi="Arial" w:cs="Arial"/>
          <w:i/>
          <w:color w:val="000000"/>
          <w:sz w:val="24"/>
          <w:szCs w:val="24"/>
        </w:rPr>
        <w:t>Trencon</w:t>
      </w:r>
      <w:r w:rsidR="006553AA" w:rsidRPr="00C0573E">
        <w:rPr>
          <w:rFonts w:ascii="Arial" w:hAnsi="Arial" w:cs="Arial"/>
          <w:color w:val="000000"/>
          <w:sz w:val="24"/>
          <w:szCs w:val="24"/>
        </w:rPr>
        <w:t>)</w:t>
      </w:r>
      <w:r w:rsidR="00241ABE" w:rsidRPr="00C0573E">
        <w:rPr>
          <w:rFonts w:ascii="Arial" w:hAnsi="Arial" w:cs="Arial"/>
          <w:color w:val="000000"/>
          <w:sz w:val="24"/>
          <w:szCs w:val="24"/>
        </w:rPr>
        <w:t>,</w:t>
      </w:r>
      <w:r w:rsidR="00811B8B" w:rsidRPr="006F6E2D">
        <w:rPr>
          <w:rStyle w:val="FootnoteReference"/>
          <w:rFonts w:ascii="Arial" w:hAnsi="Arial" w:cs="Arial"/>
          <w:color w:val="000000"/>
          <w:sz w:val="24"/>
          <w:szCs w:val="24"/>
          <w:vertAlign w:val="superscript"/>
        </w:rPr>
        <w:footnoteReference w:id="12"/>
      </w:r>
      <w:r w:rsidR="00241ABE" w:rsidRPr="00C0573E">
        <w:rPr>
          <w:rFonts w:ascii="Arial" w:hAnsi="Arial" w:cs="Arial"/>
          <w:color w:val="000000"/>
          <w:sz w:val="24"/>
          <w:szCs w:val="24"/>
        </w:rPr>
        <w:t xml:space="preserve"> where the Constitutional Court noted that even though there may be an interplay between public and private law, the distinction between the two should not be ignored or collapsed. In this regard the Court said:</w:t>
      </w:r>
    </w:p>
    <w:p w:rsidR="00241ABE" w:rsidRPr="006F6E2D" w:rsidRDefault="00811B8B"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lastRenderedPageBreak/>
        <w:t>“</w:t>
      </w:r>
      <w:r w:rsidR="00241ABE" w:rsidRPr="006F6E2D">
        <w:rPr>
          <w:rFonts w:ascii="Arial" w:hAnsi="Arial" w:cs="Arial"/>
          <w:color w:val="000000"/>
        </w:rPr>
        <w:t>Second, the Supreme Court of Appeal did not value the distinction between public and private law. The decision to award a tender is a matter of public law. It is governed by the Constitution, the Public Finance Management Act, the Procurement Act and the Procurement Regulations. Although there may be interplay between public and private law, the distinction must not be collapsed. Ordinarily, an issue like contract price adjustment that is subject to negotiation after the procurement process has taken place, ought to fall squarely within the domain of private law. It is subject to ordinary contractual negotiations between enterprising parties. Importantly, the parties agreed during oral argument that this distinction is applicable</w:t>
      </w:r>
      <w:r w:rsidRPr="006F6E2D">
        <w:rPr>
          <w:rFonts w:ascii="Arial" w:hAnsi="Arial" w:cs="Arial"/>
          <w:color w:val="000000"/>
        </w:rPr>
        <w:t>.”</w:t>
      </w:r>
    </w:p>
    <w:p w:rsidR="006B08D5" w:rsidRPr="006F6E2D" w:rsidRDefault="006B08D5" w:rsidP="006F6E2D">
      <w:pPr>
        <w:widowControl w:val="0"/>
        <w:autoSpaceDE w:val="0"/>
        <w:autoSpaceDN w:val="0"/>
        <w:adjustRightInd w:val="0"/>
        <w:spacing w:after="0" w:line="360" w:lineRule="auto"/>
        <w:jc w:val="both"/>
        <w:rPr>
          <w:rFonts w:ascii="Arial" w:hAnsi="Arial" w:cs="Arial"/>
          <w:color w:val="000000"/>
          <w:sz w:val="24"/>
          <w:szCs w:val="24"/>
        </w:rPr>
      </w:pPr>
    </w:p>
    <w:p w:rsidR="003058CD"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[45]</w:t>
      </w:r>
      <w:r w:rsidRPr="006F6E2D">
        <w:rPr>
          <w:rFonts w:ascii="Arial" w:hAnsi="Arial" w:cs="Arial"/>
          <w:color w:val="000000"/>
          <w:sz w:val="24"/>
          <w:szCs w:val="24"/>
        </w:rPr>
        <w:tab/>
      </w:r>
      <w:r w:rsidR="00241ABE" w:rsidRPr="00C0573E">
        <w:rPr>
          <w:rFonts w:ascii="Arial" w:hAnsi="Arial" w:cs="Arial"/>
          <w:color w:val="000000"/>
          <w:sz w:val="24"/>
          <w:szCs w:val="24"/>
        </w:rPr>
        <w:t xml:space="preserve">It is based on the above that the SAPS contended that the process it embarked on post- award of the tender in terms of the Transversal Agreement is </w:t>
      </w:r>
      <w:r w:rsidR="007A3DAE" w:rsidRPr="00C0573E">
        <w:rPr>
          <w:rFonts w:ascii="Arial" w:hAnsi="Arial" w:cs="Arial"/>
          <w:color w:val="000000"/>
          <w:sz w:val="24"/>
          <w:szCs w:val="24"/>
        </w:rPr>
        <w:t>subject to private</w:t>
      </w:r>
      <w:r w:rsidR="00241ABE" w:rsidRPr="00C0573E">
        <w:rPr>
          <w:rFonts w:ascii="Arial" w:hAnsi="Arial" w:cs="Arial"/>
          <w:color w:val="000000"/>
          <w:sz w:val="24"/>
          <w:szCs w:val="24"/>
        </w:rPr>
        <w:t xml:space="preserve"> and not public law.</w:t>
      </w:r>
    </w:p>
    <w:p w:rsidR="003058CD" w:rsidRPr="006F6E2D" w:rsidRDefault="003058CD"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[46]</w:t>
      </w:r>
      <w:r w:rsidRPr="006F6E2D">
        <w:rPr>
          <w:rFonts w:ascii="Arial" w:hAnsi="Arial" w:cs="Arial"/>
          <w:color w:val="000000"/>
          <w:sz w:val="24"/>
          <w:szCs w:val="24"/>
        </w:rPr>
        <w:tab/>
      </w:r>
      <w:r w:rsidR="003058CD" w:rsidRPr="00C0573E">
        <w:rPr>
          <w:rFonts w:ascii="Arial" w:hAnsi="Arial" w:cs="Arial"/>
          <w:i/>
          <w:color w:val="000000"/>
          <w:sz w:val="24"/>
          <w:szCs w:val="24"/>
        </w:rPr>
        <w:t>Trencon</w:t>
      </w:r>
      <w:r w:rsidR="003058CD" w:rsidRPr="00C0573E">
        <w:rPr>
          <w:rFonts w:ascii="Arial" w:hAnsi="Arial" w:cs="Arial"/>
          <w:color w:val="000000"/>
          <w:sz w:val="24"/>
          <w:szCs w:val="24"/>
        </w:rPr>
        <w:t xml:space="preserve"> involved a JBCC Agreement which was a standard contractual document prepared by the Joint Building Contracts Committee Inc. </w:t>
      </w:r>
      <w:r w:rsidR="009358A0" w:rsidRPr="00C0573E">
        <w:rPr>
          <w:rFonts w:ascii="Arial" w:hAnsi="Arial" w:cs="Arial"/>
          <w:color w:val="000000"/>
          <w:sz w:val="24"/>
          <w:szCs w:val="24"/>
        </w:rPr>
        <w:t xml:space="preserve"> </w:t>
      </w:r>
      <w:r w:rsidR="003058CD" w:rsidRPr="00C0573E">
        <w:rPr>
          <w:rFonts w:ascii="Arial" w:hAnsi="Arial" w:cs="Arial"/>
          <w:color w:val="000000"/>
          <w:sz w:val="24"/>
          <w:szCs w:val="24"/>
        </w:rPr>
        <w:t>The Agreement formed the basis of the Industrial Development Corporation of South Africa’s (IDC) tender contract as modified by the Contract Data</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[47]</w:t>
      </w:r>
      <w:r w:rsidRPr="006F6E2D">
        <w:rPr>
          <w:rFonts w:ascii="Arial" w:hAnsi="Arial" w:cs="Arial"/>
          <w:color w:val="000000"/>
          <w:sz w:val="24"/>
          <w:szCs w:val="24"/>
        </w:rPr>
        <w:tab/>
      </w:r>
      <w:r w:rsidR="00241ABE" w:rsidRPr="00C0573E">
        <w:rPr>
          <w:rFonts w:ascii="Arial" w:hAnsi="Arial" w:cs="Arial"/>
          <w:color w:val="000000"/>
          <w:sz w:val="24"/>
          <w:szCs w:val="24"/>
        </w:rPr>
        <w:t xml:space="preserve">The SAPS </w:t>
      </w:r>
      <w:r w:rsidR="003058CD" w:rsidRPr="00C0573E">
        <w:rPr>
          <w:rFonts w:ascii="Arial" w:hAnsi="Arial" w:cs="Arial"/>
          <w:color w:val="000000"/>
          <w:sz w:val="24"/>
          <w:szCs w:val="24"/>
        </w:rPr>
        <w:t xml:space="preserve">relied </w:t>
      </w:r>
      <w:r w:rsidR="00241ABE" w:rsidRPr="00C0573E">
        <w:rPr>
          <w:rFonts w:ascii="Arial" w:hAnsi="Arial" w:cs="Arial"/>
          <w:color w:val="000000"/>
          <w:sz w:val="24"/>
          <w:szCs w:val="24"/>
        </w:rPr>
        <w:t>particularly on what the Constitutional Court said in paragraph</w:t>
      </w:r>
      <w:r w:rsidR="003058CD" w:rsidRPr="00C0573E">
        <w:rPr>
          <w:rFonts w:ascii="Arial" w:hAnsi="Arial" w:cs="Arial"/>
          <w:color w:val="000000"/>
          <w:sz w:val="24"/>
          <w:szCs w:val="24"/>
        </w:rPr>
        <w:t>s</w:t>
      </w:r>
      <w:r w:rsidR="00241ABE" w:rsidRPr="00C0573E">
        <w:rPr>
          <w:rFonts w:ascii="Arial" w:hAnsi="Arial" w:cs="Arial"/>
          <w:color w:val="000000"/>
          <w:sz w:val="24"/>
          <w:szCs w:val="24"/>
        </w:rPr>
        <w:t xml:space="preserve"> 75</w:t>
      </w:r>
      <w:r w:rsidR="003058CD" w:rsidRPr="00C0573E">
        <w:rPr>
          <w:rFonts w:ascii="Arial" w:hAnsi="Arial" w:cs="Arial"/>
          <w:color w:val="000000"/>
          <w:sz w:val="24"/>
          <w:szCs w:val="24"/>
        </w:rPr>
        <w:t>-7</w:t>
      </w:r>
      <w:r w:rsidR="007A3DAE" w:rsidRPr="00C0573E">
        <w:rPr>
          <w:rFonts w:ascii="Arial" w:hAnsi="Arial" w:cs="Arial"/>
          <w:color w:val="000000"/>
          <w:sz w:val="24"/>
          <w:szCs w:val="24"/>
        </w:rPr>
        <w:t xml:space="preserve"> </w:t>
      </w:r>
      <w:r w:rsidR="00241ABE" w:rsidRPr="00C0573E">
        <w:rPr>
          <w:rFonts w:ascii="Arial" w:hAnsi="Arial" w:cs="Arial"/>
          <w:color w:val="000000"/>
          <w:sz w:val="24"/>
          <w:szCs w:val="24"/>
        </w:rPr>
        <w:t>of</w:t>
      </w:r>
      <w:r w:rsidR="003058CD" w:rsidRPr="00C0573E">
        <w:rPr>
          <w:rFonts w:ascii="Arial" w:hAnsi="Arial" w:cs="Arial"/>
          <w:color w:val="000000"/>
          <w:sz w:val="24"/>
          <w:szCs w:val="24"/>
        </w:rPr>
        <w:t xml:space="preserve"> </w:t>
      </w:r>
      <w:r w:rsidR="003058CD" w:rsidRPr="00C0573E">
        <w:rPr>
          <w:rFonts w:ascii="Arial" w:hAnsi="Arial" w:cs="Arial"/>
          <w:i/>
          <w:color w:val="000000"/>
          <w:sz w:val="24"/>
          <w:szCs w:val="24"/>
        </w:rPr>
        <w:t>Trencon</w:t>
      </w:r>
      <w:r w:rsidR="003058CD"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where in dealing with the issue of the distinction between public and private law the </w:t>
      </w:r>
      <w:r w:rsidR="003058CD" w:rsidRPr="00C0573E">
        <w:rPr>
          <w:rFonts w:ascii="Arial" w:hAnsi="Arial" w:cs="Arial"/>
          <w:color w:val="000000"/>
          <w:sz w:val="24"/>
          <w:szCs w:val="24"/>
        </w:rPr>
        <w:t>C</w:t>
      </w:r>
      <w:r w:rsidR="00241ABE" w:rsidRPr="00C0573E">
        <w:rPr>
          <w:rFonts w:ascii="Arial" w:hAnsi="Arial" w:cs="Arial"/>
          <w:color w:val="000000"/>
          <w:sz w:val="24"/>
          <w:szCs w:val="24"/>
        </w:rPr>
        <w:t>ourt said:</w:t>
      </w:r>
    </w:p>
    <w:p w:rsidR="003058CD" w:rsidRPr="006F6E2D" w:rsidRDefault="00A507B1" w:rsidP="006F6E2D">
      <w:pPr>
        <w:pStyle w:val="ListParagraph"/>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 xml:space="preserve">"I am satisfied that the JBCC agreement adequately provides for price adjustments. Even the IDC, in disputing Trencon's price escalation during the tender period, stated in its notice of application for leave to appeal to the Supreme Court of Appeal that </w:t>
      </w:r>
      <w:r w:rsidR="003058CD" w:rsidRPr="006F6E2D">
        <w:rPr>
          <w:rFonts w:ascii="Arial" w:hAnsi="Arial" w:cs="Arial"/>
          <w:color w:val="000000"/>
        </w:rPr>
        <w:t>‘</w:t>
      </w:r>
      <w:r w:rsidRPr="006F6E2D">
        <w:rPr>
          <w:rFonts w:ascii="Arial" w:hAnsi="Arial" w:cs="Arial"/>
          <w:color w:val="000000"/>
        </w:rPr>
        <w:t>[i</w:t>
      </w:r>
      <w:r w:rsidR="003058CD" w:rsidRPr="006F6E2D">
        <w:rPr>
          <w:rFonts w:ascii="Arial" w:hAnsi="Arial" w:cs="Arial"/>
          <w:color w:val="000000"/>
        </w:rPr>
        <w:t>]</w:t>
      </w:r>
      <w:r w:rsidRPr="006F6E2D">
        <w:rPr>
          <w:rFonts w:ascii="Arial" w:hAnsi="Arial" w:cs="Arial"/>
          <w:color w:val="000000"/>
        </w:rPr>
        <w:t>n the post-award, Trencon could ... claim for expenses or</w:t>
      </w:r>
      <w:r w:rsidR="003058CD" w:rsidRPr="006F6E2D">
        <w:rPr>
          <w:rFonts w:ascii="Arial" w:hAnsi="Arial" w:cs="Arial"/>
          <w:color w:val="000000"/>
        </w:rPr>
        <w:t xml:space="preserve"> loss</w:t>
      </w:r>
      <w:r w:rsidRPr="006F6E2D">
        <w:rPr>
          <w:rFonts w:ascii="Arial" w:hAnsi="Arial" w:cs="Arial"/>
          <w:color w:val="000000"/>
        </w:rPr>
        <w:t xml:space="preserve"> on account of the delay in handing over the contract site in terms of</w:t>
      </w:r>
      <w:r w:rsidR="003058CD" w:rsidRPr="006F6E2D">
        <w:rPr>
          <w:rFonts w:ascii="Arial" w:hAnsi="Arial" w:cs="Arial"/>
          <w:color w:val="000000"/>
        </w:rPr>
        <w:t xml:space="preserve"> .</w:t>
      </w:r>
      <w:r w:rsidRPr="006F6E2D">
        <w:rPr>
          <w:rFonts w:ascii="Arial" w:hAnsi="Arial" w:cs="Arial"/>
          <w:color w:val="000000"/>
        </w:rPr>
        <w:t>.. the JBCC'. It is not clear why, then, this option is not available to account for the delay in these circumstances.</w:t>
      </w:r>
    </w:p>
    <w:p w:rsidR="003058CD" w:rsidRPr="006F6E2D" w:rsidRDefault="003058CD" w:rsidP="006F6E2D">
      <w:pPr>
        <w:pStyle w:val="ListParagraph"/>
        <w:widowControl w:val="0"/>
        <w:autoSpaceDE w:val="0"/>
        <w:autoSpaceDN w:val="0"/>
        <w:adjustRightInd w:val="0"/>
        <w:spacing w:after="0" w:line="360" w:lineRule="auto"/>
        <w:ind w:left="567"/>
        <w:jc w:val="both"/>
        <w:rPr>
          <w:rFonts w:ascii="Arial" w:hAnsi="Arial" w:cs="Arial"/>
          <w:color w:val="000000"/>
        </w:rPr>
      </w:pPr>
    </w:p>
    <w:p w:rsidR="00241ABE" w:rsidRPr="006F6E2D" w:rsidRDefault="00A507B1" w:rsidP="006F6E2D">
      <w:pPr>
        <w:pStyle w:val="ListParagraph"/>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Since both parties agree that the negotiations after the award of the tender would be subject to private law, I am inclined to accept that the final contract price will be a matter of contractual negotiations between them."</w:t>
      </w:r>
      <w:r w:rsidR="003058CD" w:rsidRPr="006F6E2D">
        <w:rPr>
          <w:rStyle w:val="FootnoteReference"/>
          <w:rFonts w:ascii="Arial" w:hAnsi="Arial" w:cs="Arial"/>
          <w:color w:val="000000"/>
          <w:vertAlign w:val="superscript"/>
        </w:rPr>
        <w:footnoteReference w:id="13"/>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[48]</w:t>
      </w:r>
      <w:r w:rsidRPr="006F6E2D">
        <w:rPr>
          <w:rFonts w:ascii="Arial" w:hAnsi="Arial" w:cs="Arial"/>
          <w:color w:val="000000"/>
          <w:sz w:val="24"/>
          <w:szCs w:val="24"/>
        </w:rPr>
        <w:tab/>
      </w:r>
      <w:r w:rsidR="00241ABE" w:rsidRPr="00C0573E">
        <w:rPr>
          <w:rFonts w:ascii="Arial" w:hAnsi="Arial" w:cs="Arial"/>
          <w:color w:val="000000"/>
          <w:sz w:val="24"/>
          <w:szCs w:val="24"/>
        </w:rPr>
        <w:t xml:space="preserve">It is apparent from the above that the facts and the issues that confronted the </w:t>
      </w:r>
      <w:r w:rsidR="009358A0" w:rsidRPr="00C0573E">
        <w:rPr>
          <w:rFonts w:ascii="Arial" w:hAnsi="Arial" w:cs="Arial"/>
          <w:color w:val="000000"/>
          <w:sz w:val="24"/>
          <w:szCs w:val="24"/>
        </w:rPr>
        <w:lastRenderedPageBreak/>
        <w:t xml:space="preserve">Constitutional Court </w:t>
      </w:r>
      <w:r w:rsidR="006210C7" w:rsidRPr="00C0573E">
        <w:rPr>
          <w:rFonts w:ascii="Arial" w:hAnsi="Arial" w:cs="Arial"/>
          <w:color w:val="000000"/>
          <w:sz w:val="24"/>
          <w:szCs w:val="24"/>
        </w:rPr>
        <w:t xml:space="preserve">in that case </w:t>
      </w:r>
      <w:r w:rsidR="00241ABE" w:rsidRPr="00C0573E">
        <w:rPr>
          <w:rFonts w:ascii="Arial" w:hAnsi="Arial" w:cs="Arial"/>
          <w:color w:val="000000"/>
          <w:sz w:val="24"/>
          <w:szCs w:val="24"/>
        </w:rPr>
        <w:t xml:space="preserve">are distinguishable to those in the present matter. </w:t>
      </w:r>
      <w:r w:rsidR="00EB2F6C"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The key issue in that case concerned the price adjustments as was provided for in the JBCC </w:t>
      </w:r>
      <w:r w:rsidR="00EB2F6C" w:rsidRPr="00C0573E">
        <w:rPr>
          <w:rFonts w:ascii="Arial" w:hAnsi="Arial" w:cs="Arial"/>
          <w:color w:val="000000"/>
          <w:sz w:val="24"/>
          <w:szCs w:val="24"/>
        </w:rPr>
        <w:t>A</w:t>
      </w:r>
      <w:r w:rsidR="00241ABE" w:rsidRPr="00C0573E">
        <w:rPr>
          <w:rFonts w:ascii="Arial" w:hAnsi="Arial" w:cs="Arial"/>
          <w:color w:val="000000"/>
          <w:sz w:val="24"/>
          <w:szCs w:val="24"/>
        </w:rPr>
        <w:t xml:space="preserve">greement. </w:t>
      </w:r>
      <w:r w:rsidR="00EB2F6C"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The </w:t>
      </w:r>
      <w:r w:rsidR="00EB2F6C" w:rsidRPr="00C0573E">
        <w:rPr>
          <w:rFonts w:ascii="Arial" w:hAnsi="Arial" w:cs="Arial"/>
          <w:color w:val="000000"/>
          <w:sz w:val="24"/>
          <w:szCs w:val="24"/>
        </w:rPr>
        <w:t>C</w:t>
      </w:r>
      <w:r w:rsidR="00241ABE" w:rsidRPr="00C0573E">
        <w:rPr>
          <w:rFonts w:ascii="Arial" w:hAnsi="Arial" w:cs="Arial"/>
          <w:color w:val="000000"/>
          <w:sz w:val="24"/>
          <w:szCs w:val="24"/>
        </w:rPr>
        <w:t>ourt found that the post-award price adjustments did not offend the tender document nor the public law requirements or standard.</w:t>
      </w:r>
      <w:r w:rsidR="00C11833"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It is also important to note that the Constitutional Court did not make any pronouncement on the issue of whether the post-award contracts could be subject to judicial review under PAJA or the legality principle. </w:t>
      </w:r>
      <w:r w:rsidR="00EB2F6C"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It accepted that </w:t>
      </w:r>
      <w:r w:rsidR="00EB2F6C" w:rsidRPr="00C0573E">
        <w:rPr>
          <w:rFonts w:ascii="Arial" w:hAnsi="Arial" w:cs="Arial"/>
          <w:color w:val="000000"/>
          <w:sz w:val="24"/>
          <w:szCs w:val="24"/>
        </w:rPr>
        <w:t>t</w:t>
      </w:r>
      <w:r w:rsidR="00241ABE" w:rsidRPr="00C0573E">
        <w:rPr>
          <w:rFonts w:ascii="Arial" w:hAnsi="Arial" w:cs="Arial"/>
          <w:color w:val="000000"/>
          <w:sz w:val="24"/>
          <w:szCs w:val="24"/>
        </w:rPr>
        <w:t xml:space="preserve">he negotiations between the </w:t>
      </w:r>
      <w:r w:rsidR="006B08D5" w:rsidRPr="00C0573E">
        <w:rPr>
          <w:rFonts w:ascii="Arial" w:hAnsi="Arial" w:cs="Arial"/>
          <w:color w:val="000000"/>
          <w:sz w:val="24"/>
          <w:szCs w:val="24"/>
        </w:rPr>
        <w:t>parties</w:t>
      </w:r>
      <w:r w:rsidR="00241ABE" w:rsidRPr="00C0573E">
        <w:rPr>
          <w:rFonts w:ascii="Arial" w:hAnsi="Arial" w:cs="Arial"/>
          <w:color w:val="000000"/>
          <w:sz w:val="24"/>
          <w:szCs w:val="24"/>
        </w:rPr>
        <w:t xml:space="preserve"> post-award was governed by private law since the parties agreed that that would be the case.</w:t>
      </w:r>
    </w:p>
    <w:p w:rsidR="00875632" w:rsidRPr="006F6E2D" w:rsidRDefault="00875632"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847300"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vertAlign w:val="superscript"/>
        </w:rPr>
      </w:pPr>
      <w:r w:rsidRPr="006F6E2D">
        <w:rPr>
          <w:rFonts w:ascii="Arial" w:hAnsi="Arial" w:cs="Arial"/>
          <w:color w:val="000000"/>
          <w:sz w:val="24"/>
          <w:szCs w:val="24"/>
        </w:rPr>
        <w:t>[49]</w:t>
      </w:r>
      <w:r w:rsidRPr="006F6E2D">
        <w:rPr>
          <w:rFonts w:ascii="Arial" w:hAnsi="Arial" w:cs="Arial"/>
          <w:color w:val="000000"/>
          <w:sz w:val="24"/>
          <w:szCs w:val="24"/>
        </w:rPr>
        <w:tab/>
      </w:r>
      <w:r w:rsidR="00847300" w:rsidRPr="00C0573E">
        <w:rPr>
          <w:rFonts w:ascii="Arial" w:hAnsi="Arial" w:cs="Arial"/>
          <w:color w:val="000000"/>
          <w:sz w:val="24"/>
          <w:szCs w:val="24"/>
        </w:rPr>
        <w:t>MTN in its contention that PAJA does not find application in this matter relied on the decision in Cell C Service Provider (Pty) Ltd MEC: Free State Provincial Government Department of Treasury</w:t>
      </w:r>
      <w:r w:rsidR="00847300" w:rsidRPr="00C0573E">
        <w:rPr>
          <w:rFonts w:ascii="Arial" w:hAnsi="Arial" w:cs="Arial"/>
          <w:color w:val="000000"/>
          <w:sz w:val="24"/>
          <w:szCs w:val="24"/>
          <w:vertAlign w:val="superscript"/>
        </w:rPr>
        <w:t>,</w:t>
      </w:r>
      <w:r w:rsidR="00847300" w:rsidRPr="006F6E2D">
        <w:rPr>
          <w:rStyle w:val="FootnoteReference"/>
          <w:rFonts w:ascii="Arial" w:hAnsi="Arial" w:cs="Arial"/>
          <w:color w:val="000000"/>
          <w:sz w:val="24"/>
          <w:szCs w:val="24"/>
          <w:vertAlign w:val="superscript"/>
        </w:rPr>
        <w:footnoteReference w:id="14"/>
      </w:r>
      <w:r w:rsidR="00847300" w:rsidRPr="00C0573E">
        <w:rPr>
          <w:rFonts w:ascii="Arial" w:hAnsi="Arial" w:cs="Arial"/>
          <w:color w:val="000000"/>
          <w:sz w:val="24"/>
          <w:szCs w:val="24"/>
          <w:vertAlign w:val="superscript"/>
        </w:rPr>
        <w:t xml:space="preserve"> </w:t>
      </w:r>
      <w:r w:rsidR="00847300" w:rsidRPr="00C0573E">
        <w:rPr>
          <w:rFonts w:ascii="Arial" w:hAnsi="Arial" w:cs="Arial"/>
          <w:color w:val="000000"/>
          <w:sz w:val="24"/>
          <w:szCs w:val="24"/>
        </w:rPr>
        <w:t xml:space="preserve"> where it was held that: </w:t>
      </w:r>
    </w:p>
    <w:p w:rsidR="00327F86" w:rsidRPr="006F6E2D" w:rsidRDefault="00327F86" w:rsidP="006F6E2D">
      <w:pPr>
        <w:pStyle w:val="ListParagraph"/>
        <w:widowControl w:val="0"/>
        <w:autoSpaceDE w:val="0"/>
        <w:autoSpaceDN w:val="0"/>
        <w:adjustRightInd w:val="0"/>
        <w:spacing w:after="0" w:line="360" w:lineRule="auto"/>
        <w:jc w:val="both"/>
        <w:rPr>
          <w:rFonts w:ascii="Arial" w:hAnsi="Arial" w:cs="Arial"/>
          <w:color w:val="000000"/>
        </w:rPr>
      </w:pPr>
      <w:r w:rsidRPr="006F6E2D">
        <w:rPr>
          <w:rFonts w:ascii="Arial" w:hAnsi="Arial" w:cs="Arial"/>
          <w:color w:val="000000"/>
        </w:rPr>
        <w:t>''In the circumstances, I have come to the conclusion that the decision of any provincial department to participate in the national transversal contract does not constitute an administrative action. Any department is at liberty to make an internal decision to participate or not to participate in a national transversal contract. Such an internal decision has absolutely no external effect. By its very domestic nature such a decision is not reviewable by a court of law in terms of any statute. In short it is an executive decision. The principle is clear. Public decision-makers, such as heads of government departments, are under no obligation to consult outsiders as to how they should best procure goods or services they need to run their departments. It is trite that executive decisions are not ordinarily reviewable by the courts.</w:t>
      </w:r>
    </w:p>
    <w:p w:rsidR="00327F86" w:rsidRPr="006F6E2D" w:rsidRDefault="00327F86" w:rsidP="006F6E2D">
      <w:pPr>
        <w:pStyle w:val="ListParagraph"/>
        <w:widowControl w:val="0"/>
        <w:autoSpaceDE w:val="0"/>
        <w:autoSpaceDN w:val="0"/>
        <w:adjustRightInd w:val="0"/>
        <w:spacing w:after="0" w:line="360" w:lineRule="auto"/>
        <w:jc w:val="both"/>
        <w:rPr>
          <w:rFonts w:ascii="Arial" w:hAnsi="Arial" w:cs="Arial"/>
          <w:color w:val="000000"/>
        </w:rPr>
      </w:pPr>
    </w:p>
    <w:p w:rsidR="00875632" w:rsidRPr="006F6E2D" w:rsidRDefault="00327F86" w:rsidP="006F6E2D">
      <w:pPr>
        <w:pStyle w:val="ListParagraph"/>
        <w:widowControl w:val="0"/>
        <w:autoSpaceDE w:val="0"/>
        <w:autoSpaceDN w:val="0"/>
        <w:adjustRightInd w:val="0"/>
        <w:spacing w:after="0" w:line="360" w:lineRule="auto"/>
        <w:jc w:val="both"/>
        <w:rPr>
          <w:rFonts w:ascii="Arial" w:hAnsi="Arial" w:cs="Arial"/>
          <w:color w:val="000000"/>
          <w:vertAlign w:val="superscript"/>
        </w:rPr>
      </w:pPr>
      <w:r w:rsidRPr="006F6E2D">
        <w:rPr>
          <w:rFonts w:ascii="Arial" w:hAnsi="Arial" w:cs="Arial"/>
          <w:color w:val="000000"/>
        </w:rPr>
        <w:t>In the circumstances, I am inclined to decide the issue in favour of the respondent. For the reasons given above, I am of the view that participation of the four or even of all the provincial departments in the national transversal contract did not constitute administrative act as envisaged in the provisions of Promotion of Administrative Justice Act 3 of 2000. Therefore, I am not persuaded otherwise by the applicant's submissions.''</w:t>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327F86"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[50]</w:t>
      </w:r>
      <w:r w:rsidRPr="006F6E2D">
        <w:rPr>
          <w:rFonts w:ascii="Arial" w:hAnsi="Arial" w:cs="Arial"/>
          <w:color w:val="000000"/>
          <w:sz w:val="24"/>
          <w:szCs w:val="24"/>
        </w:rPr>
        <w:tab/>
      </w:r>
      <w:r w:rsidR="00412A8C" w:rsidRPr="00C0573E">
        <w:rPr>
          <w:rFonts w:ascii="Arial" w:hAnsi="Arial" w:cs="Arial"/>
          <w:color w:val="000000"/>
          <w:sz w:val="24"/>
          <w:szCs w:val="24"/>
        </w:rPr>
        <w:t xml:space="preserve">The </w:t>
      </w:r>
      <w:r w:rsidR="004D6904" w:rsidRPr="00C0573E">
        <w:rPr>
          <w:rFonts w:ascii="Arial" w:hAnsi="Arial" w:cs="Arial"/>
          <w:color w:val="000000"/>
          <w:sz w:val="24"/>
          <w:szCs w:val="24"/>
        </w:rPr>
        <w:t xml:space="preserve">issue for determination in Cell C Service Provider’s </w:t>
      </w:r>
      <w:r w:rsidR="00412A8C" w:rsidRPr="00C0573E">
        <w:rPr>
          <w:rFonts w:ascii="Arial" w:hAnsi="Arial" w:cs="Arial"/>
          <w:color w:val="000000"/>
          <w:sz w:val="24"/>
          <w:szCs w:val="24"/>
        </w:rPr>
        <w:t xml:space="preserve">case as appears from the above quotation was about whether the option of a provincial department to </w:t>
      </w:r>
      <w:r w:rsidR="00412A8C" w:rsidRPr="00C0573E">
        <w:rPr>
          <w:rFonts w:ascii="Arial" w:hAnsi="Arial" w:cs="Arial"/>
          <w:color w:val="000000"/>
          <w:sz w:val="24"/>
          <w:szCs w:val="24"/>
        </w:rPr>
        <w:lastRenderedPageBreak/>
        <w:t xml:space="preserve">participate in a national transversal contract amounted to an administrative action or not. This occurred in the context where the provincial department decided to participate in the national transversal agreement after the expiry of the provincial transversal agreement. It did not involve, as is the case in the present matter, the issue of selecting a proposal from the submissions made by several service providers who were part of the National Transversal Agreement. </w:t>
      </w:r>
    </w:p>
    <w:p w:rsidR="00327F86" w:rsidRPr="006F6E2D" w:rsidRDefault="00327F86"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627923"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[51]</w:t>
      </w:r>
      <w:r w:rsidRPr="006F6E2D">
        <w:rPr>
          <w:rFonts w:ascii="Arial" w:hAnsi="Arial" w:cs="Arial"/>
          <w:color w:val="000000"/>
          <w:sz w:val="24"/>
          <w:szCs w:val="24"/>
        </w:rPr>
        <w:tab/>
      </w:r>
      <w:r w:rsidR="00241ABE" w:rsidRPr="00C0573E">
        <w:rPr>
          <w:rFonts w:ascii="Arial" w:hAnsi="Arial" w:cs="Arial"/>
          <w:color w:val="000000"/>
          <w:sz w:val="24"/>
          <w:szCs w:val="24"/>
        </w:rPr>
        <w:t>The weight of authorit</w:t>
      </w:r>
      <w:r w:rsidR="004D6904" w:rsidRPr="00C0573E">
        <w:rPr>
          <w:rFonts w:ascii="Arial" w:hAnsi="Arial" w:cs="Arial"/>
          <w:color w:val="000000"/>
          <w:sz w:val="24"/>
          <w:szCs w:val="24"/>
        </w:rPr>
        <w:t>ies</w:t>
      </w:r>
      <w:r w:rsidR="00241ABE" w:rsidRPr="00C0573E">
        <w:rPr>
          <w:rFonts w:ascii="Arial" w:hAnsi="Arial" w:cs="Arial"/>
          <w:color w:val="000000"/>
          <w:sz w:val="24"/>
          <w:szCs w:val="24"/>
        </w:rPr>
        <w:t xml:space="preserve"> discussed below support</w:t>
      </w:r>
      <w:r w:rsidR="004D6904" w:rsidRPr="00C0573E">
        <w:rPr>
          <w:rFonts w:ascii="Arial" w:hAnsi="Arial" w:cs="Arial"/>
          <w:color w:val="000000"/>
          <w:sz w:val="24"/>
          <w:szCs w:val="24"/>
        </w:rPr>
        <w:t xml:space="preserve"> the proposition that in accepting the MTN’s proposal the SAPS </w:t>
      </w:r>
      <w:r w:rsidR="00241ABE" w:rsidRPr="00C0573E">
        <w:rPr>
          <w:rFonts w:ascii="Arial" w:hAnsi="Arial" w:cs="Arial"/>
          <w:color w:val="000000"/>
          <w:sz w:val="24"/>
          <w:szCs w:val="24"/>
        </w:rPr>
        <w:t xml:space="preserve">embarked on an </w:t>
      </w:r>
      <w:r w:rsidR="006210C7" w:rsidRPr="00C0573E">
        <w:rPr>
          <w:rFonts w:ascii="Arial" w:hAnsi="Arial" w:cs="Arial"/>
          <w:color w:val="000000"/>
          <w:sz w:val="24"/>
          <w:szCs w:val="24"/>
        </w:rPr>
        <w:t xml:space="preserve">administrative </w:t>
      </w:r>
      <w:r w:rsidR="00241ABE" w:rsidRPr="00C0573E">
        <w:rPr>
          <w:rFonts w:ascii="Arial" w:hAnsi="Arial" w:cs="Arial"/>
          <w:color w:val="000000"/>
          <w:sz w:val="24"/>
          <w:szCs w:val="24"/>
        </w:rPr>
        <w:t xml:space="preserve">action that is subject </w:t>
      </w:r>
      <w:r w:rsidR="009D326E" w:rsidRPr="00C0573E">
        <w:rPr>
          <w:rFonts w:ascii="Arial" w:hAnsi="Arial" w:cs="Arial"/>
          <w:color w:val="000000"/>
          <w:sz w:val="24"/>
          <w:szCs w:val="24"/>
        </w:rPr>
        <w:t xml:space="preserve">to </w:t>
      </w:r>
      <w:r w:rsidR="00241ABE" w:rsidRPr="00C0573E">
        <w:rPr>
          <w:rFonts w:ascii="Arial" w:hAnsi="Arial" w:cs="Arial"/>
          <w:color w:val="000000"/>
          <w:sz w:val="24"/>
          <w:szCs w:val="24"/>
        </w:rPr>
        <w:t>administrative law and not private law.</w:t>
      </w:r>
      <w:r w:rsidR="00B3043D" w:rsidRPr="00C0573E">
        <w:rPr>
          <w:rFonts w:ascii="Arial" w:hAnsi="Arial" w:cs="Arial"/>
          <w:color w:val="000000"/>
          <w:sz w:val="24"/>
          <w:szCs w:val="24"/>
        </w:rPr>
        <w:t xml:space="preserve"> In other words, the</w:t>
      </w:r>
      <w:r w:rsidR="006210C7" w:rsidRPr="00C0573E">
        <w:rPr>
          <w:rFonts w:ascii="Arial" w:hAnsi="Arial" w:cs="Arial"/>
          <w:color w:val="000000"/>
          <w:sz w:val="24"/>
          <w:szCs w:val="24"/>
        </w:rPr>
        <w:t xml:space="preserve"> impugned</w:t>
      </w:r>
      <w:r w:rsidR="00B3043D" w:rsidRPr="00C0573E">
        <w:rPr>
          <w:rFonts w:ascii="Arial" w:hAnsi="Arial" w:cs="Arial"/>
          <w:color w:val="000000"/>
          <w:sz w:val="24"/>
          <w:szCs w:val="24"/>
        </w:rPr>
        <w:t xml:space="preserve"> decisions are subject to scrutiny under the Constitution and PAJA</w:t>
      </w:r>
      <w:r w:rsidR="004D6904" w:rsidRPr="00C0573E">
        <w:rPr>
          <w:rFonts w:ascii="Arial" w:hAnsi="Arial" w:cs="Arial"/>
          <w:color w:val="000000"/>
          <w:sz w:val="24"/>
          <w:szCs w:val="24"/>
        </w:rPr>
        <w:t xml:space="preserve">. </w:t>
      </w:r>
      <w:r w:rsidR="00627923" w:rsidRPr="00C0573E">
        <w:rPr>
          <w:rFonts w:ascii="Arial" w:hAnsi="Arial" w:cs="Arial"/>
          <w:color w:val="000000"/>
          <w:sz w:val="24"/>
          <w:szCs w:val="24"/>
        </w:rPr>
        <w:t xml:space="preserve">PAJA in the relevant part defines “administrative action” as follows:  </w:t>
      </w:r>
    </w:p>
    <w:p w:rsidR="00627923" w:rsidRPr="006F6E2D" w:rsidRDefault="00627923" w:rsidP="006210C7">
      <w:pPr>
        <w:pStyle w:val="NormalWeb"/>
        <w:shd w:val="clear" w:color="auto" w:fill="FFFFFF"/>
        <w:spacing w:before="144" w:beforeAutospacing="0" w:after="0" w:afterAutospacing="0" w:line="276" w:lineRule="auto"/>
        <w:ind w:left="709"/>
        <w:rPr>
          <w:rFonts w:ascii="Arial" w:hAnsi="Arial" w:cs="Arial"/>
          <w:color w:val="242121"/>
          <w:sz w:val="22"/>
          <w:szCs w:val="22"/>
        </w:rPr>
      </w:pPr>
      <w:r w:rsidRPr="006F6E2D">
        <w:rPr>
          <w:rFonts w:ascii="Arial" w:hAnsi="Arial" w:cs="Arial"/>
          <w:color w:val="000000"/>
          <w:sz w:val="22"/>
          <w:szCs w:val="22"/>
        </w:rPr>
        <w:t>''</w:t>
      </w:r>
      <w:r w:rsidRPr="006F6E2D">
        <w:rPr>
          <w:rFonts w:ascii="Arial" w:hAnsi="Arial" w:cs="Arial"/>
          <w:b/>
          <w:bCs/>
          <w:color w:val="242121"/>
          <w:sz w:val="22"/>
          <w:szCs w:val="22"/>
          <w:lang w:val="en-GB"/>
        </w:rPr>
        <w:t>administrative action</w:t>
      </w:r>
      <w:r w:rsidRPr="006F6E2D">
        <w:rPr>
          <w:rFonts w:ascii="Arial" w:hAnsi="Arial" w:cs="Arial"/>
          <w:color w:val="000000"/>
          <w:sz w:val="22"/>
          <w:szCs w:val="22"/>
        </w:rPr>
        <w:t>''</w:t>
      </w:r>
      <w:r w:rsidRPr="006F6E2D">
        <w:rPr>
          <w:rFonts w:ascii="Arial" w:hAnsi="Arial" w:cs="Arial"/>
          <w:color w:val="242121"/>
          <w:sz w:val="22"/>
          <w:szCs w:val="22"/>
          <w:lang w:val="en-GB"/>
        </w:rPr>
        <w:t xml:space="preserve"> means any decision taken, or any failure to take a decision, by –</w:t>
      </w:r>
    </w:p>
    <w:p w:rsidR="00627923" w:rsidRPr="006F6E2D" w:rsidRDefault="00627923" w:rsidP="006210C7">
      <w:pPr>
        <w:pStyle w:val="NormalWeb"/>
        <w:shd w:val="clear" w:color="auto" w:fill="FFFFFF"/>
        <w:spacing w:before="144" w:beforeAutospacing="0" w:after="0" w:afterAutospacing="0" w:line="276" w:lineRule="auto"/>
        <w:ind w:left="709"/>
        <w:rPr>
          <w:rFonts w:ascii="Arial" w:hAnsi="Arial" w:cs="Arial"/>
          <w:color w:val="242121"/>
          <w:sz w:val="22"/>
          <w:szCs w:val="22"/>
        </w:rPr>
      </w:pPr>
      <w:r w:rsidRPr="006F6E2D">
        <w:rPr>
          <w:rFonts w:ascii="Arial" w:hAnsi="Arial" w:cs="Arial"/>
          <w:color w:val="242121"/>
          <w:sz w:val="22"/>
          <w:szCs w:val="22"/>
        </w:rPr>
        <w:t> </w:t>
      </w:r>
      <w:r w:rsidRPr="006F6E2D">
        <w:rPr>
          <w:rFonts w:ascii="Arial" w:hAnsi="Arial" w:cs="Arial"/>
          <w:color w:val="242121"/>
          <w:sz w:val="22"/>
          <w:szCs w:val="22"/>
          <w:lang w:val="en-GB"/>
        </w:rPr>
        <w:t>(a)      An organ of state, when –</w:t>
      </w:r>
    </w:p>
    <w:p w:rsidR="00627923" w:rsidRPr="006F6E2D" w:rsidRDefault="00627923" w:rsidP="006210C7">
      <w:pPr>
        <w:pStyle w:val="NormalWeb"/>
        <w:shd w:val="clear" w:color="auto" w:fill="FFFFFF"/>
        <w:spacing w:before="144" w:beforeAutospacing="0" w:after="0" w:afterAutospacing="0" w:line="276" w:lineRule="auto"/>
        <w:ind w:left="1701" w:hanging="425"/>
        <w:rPr>
          <w:rFonts w:ascii="Arial" w:hAnsi="Arial" w:cs="Arial"/>
          <w:color w:val="242121"/>
          <w:sz w:val="22"/>
          <w:szCs w:val="22"/>
        </w:rPr>
      </w:pPr>
      <w:r w:rsidRPr="006F6E2D">
        <w:rPr>
          <w:rFonts w:ascii="Arial" w:hAnsi="Arial" w:cs="Arial"/>
          <w:color w:val="242121"/>
          <w:sz w:val="22"/>
          <w:szCs w:val="22"/>
        </w:rPr>
        <w:t> </w:t>
      </w:r>
      <w:r w:rsidRPr="006F6E2D">
        <w:rPr>
          <w:rFonts w:ascii="Arial" w:hAnsi="Arial" w:cs="Arial"/>
          <w:color w:val="242121"/>
          <w:sz w:val="22"/>
          <w:szCs w:val="22"/>
          <w:lang w:val="en-GB"/>
        </w:rPr>
        <w:t>(i)     exercising a power in terms of the Constitution or a provincial constitution; or</w:t>
      </w:r>
    </w:p>
    <w:p w:rsidR="00627923" w:rsidRPr="006F6E2D" w:rsidRDefault="00627923" w:rsidP="006210C7">
      <w:pPr>
        <w:pStyle w:val="NormalWeb"/>
        <w:shd w:val="clear" w:color="auto" w:fill="FFFFFF"/>
        <w:spacing w:before="144" w:beforeAutospacing="0" w:after="0" w:afterAutospacing="0" w:line="276" w:lineRule="auto"/>
        <w:ind w:left="1701" w:hanging="425"/>
        <w:rPr>
          <w:rFonts w:ascii="Arial" w:hAnsi="Arial" w:cs="Arial"/>
          <w:color w:val="242121"/>
          <w:sz w:val="22"/>
          <w:szCs w:val="22"/>
        </w:rPr>
      </w:pPr>
      <w:r w:rsidRPr="006F6E2D">
        <w:rPr>
          <w:rFonts w:ascii="Arial" w:hAnsi="Arial" w:cs="Arial"/>
          <w:color w:val="242121"/>
          <w:sz w:val="22"/>
          <w:szCs w:val="22"/>
          <w:lang w:val="en-GB"/>
        </w:rPr>
        <w:t>(ii)   exercising a public power or performing a public function in terms of any legislation; or</w:t>
      </w:r>
    </w:p>
    <w:p w:rsidR="00627923" w:rsidRPr="006F6E2D" w:rsidRDefault="00627923" w:rsidP="006210C7">
      <w:pPr>
        <w:pStyle w:val="NormalWeb"/>
        <w:shd w:val="clear" w:color="auto" w:fill="FFFFFF"/>
        <w:spacing w:before="144" w:beforeAutospacing="0" w:after="0" w:afterAutospacing="0" w:line="276" w:lineRule="auto"/>
        <w:ind w:left="1560" w:hanging="851"/>
        <w:rPr>
          <w:rFonts w:ascii="Arial" w:hAnsi="Arial" w:cs="Arial"/>
          <w:color w:val="242121"/>
          <w:sz w:val="22"/>
          <w:szCs w:val="22"/>
        </w:rPr>
      </w:pPr>
      <w:r w:rsidRPr="006F6E2D">
        <w:rPr>
          <w:rFonts w:ascii="Arial" w:hAnsi="Arial" w:cs="Arial"/>
          <w:color w:val="242121"/>
          <w:sz w:val="22"/>
          <w:szCs w:val="22"/>
        </w:rPr>
        <w:t> </w:t>
      </w:r>
      <w:r w:rsidRPr="006F6E2D">
        <w:rPr>
          <w:rFonts w:ascii="Arial" w:hAnsi="Arial" w:cs="Arial"/>
          <w:color w:val="242121"/>
          <w:sz w:val="22"/>
          <w:szCs w:val="22"/>
          <w:lang w:val="en-GB"/>
        </w:rPr>
        <w:t>(b)      a natural or juristic person, other than an organ of state, when exercising a public power or performing a public function in terms of an empowering provision.”</w:t>
      </w:r>
    </w:p>
    <w:p w:rsidR="00241ABE" w:rsidRPr="006F6E2D" w:rsidRDefault="00627923" w:rsidP="006210C7">
      <w:pPr>
        <w:pStyle w:val="NormalWeb"/>
        <w:shd w:val="clear" w:color="auto" w:fill="FFFFFF"/>
        <w:spacing w:before="144" w:beforeAutospacing="0" w:after="0" w:afterAutospacing="0" w:line="276" w:lineRule="auto"/>
        <w:ind w:left="709"/>
        <w:rPr>
          <w:rFonts w:ascii="Arial" w:hAnsi="Arial" w:cs="Arial"/>
          <w:color w:val="000000"/>
        </w:rPr>
      </w:pPr>
      <w:r w:rsidRPr="006F6E2D">
        <w:rPr>
          <w:rFonts w:ascii="Arial" w:hAnsi="Arial" w:cs="Arial"/>
          <w:color w:val="242121"/>
          <w:sz w:val="27"/>
          <w:szCs w:val="27"/>
        </w:rPr>
        <w:t> </w:t>
      </w: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[52]</w:t>
      </w:r>
      <w:r w:rsidRPr="006F6E2D">
        <w:rPr>
          <w:rFonts w:ascii="Arial" w:hAnsi="Arial" w:cs="Arial"/>
          <w:color w:val="000000"/>
          <w:sz w:val="24"/>
          <w:szCs w:val="24"/>
        </w:rPr>
        <w:tab/>
      </w:r>
      <w:r w:rsidR="00241ABE" w:rsidRPr="00C0573E">
        <w:rPr>
          <w:rFonts w:ascii="Arial" w:hAnsi="Arial" w:cs="Arial"/>
          <w:color w:val="000000"/>
          <w:sz w:val="24"/>
          <w:szCs w:val="24"/>
        </w:rPr>
        <w:t xml:space="preserve">In </w:t>
      </w:r>
      <w:r w:rsidR="00D75194" w:rsidRPr="00C0573E">
        <w:rPr>
          <w:rFonts w:ascii="Arial" w:hAnsi="Arial" w:cs="Arial"/>
          <w:i/>
          <w:sz w:val="24"/>
          <w:szCs w:val="24"/>
        </w:rPr>
        <w:t xml:space="preserve">MEC, </w:t>
      </w:r>
      <w:r w:rsidR="00D75194" w:rsidRPr="00C0573E">
        <w:rPr>
          <w:rFonts w:ascii="Arial" w:hAnsi="Arial" w:cs="Arial"/>
          <w:i/>
          <w:color w:val="000000"/>
          <w:sz w:val="24"/>
          <w:szCs w:val="24"/>
        </w:rPr>
        <w:t>Department of Education, North-West v KC Productions CC</w:t>
      </w:r>
      <w:r w:rsidR="007A3DAE" w:rsidRPr="00C0573E">
        <w:rPr>
          <w:rFonts w:ascii="Arial" w:hAnsi="Arial" w:cs="Arial"/>
          <w:i/>
          <w:color w:val="000000"/>
          <w:sz w:val="24"/>
          <w:szCs w:val="24"/>
        </w:rPr>
        <w:t>,</w:t>
      </w:r>
      <w:r w:rsidR="00D84AF7" w:rsidRPr="006F6E2D">
        <w:rPr>
          <w:rStyle w:val="FootnoteReference"/>
          <w:rFonts w:ascii="Arial" w:hAnsi="Arial" w:cs="Arial"/>
          <w:color w:val="000000"/>
          <w:sz w:val="24"/>
          <w:szCs w:val="24"/>
          <w:vertAlign w:val="superscript"/>
        </w:rPr>
        <w:footnoteReference w:id="15"/>
      </w:r>
      <w:r w:rsidR="00FE590D" w:rsidRPr="00C0573E">
        <w:rPr>
          <w:rFonts w:ascii="Arial" w:hAnsi="Arial" w:cs="Arial"/>
          <w:i/>
          <w:color w:val="000000"/>
          <w:sz w:val="24"/>
          <w:szCs w:val="24"/>
        </w:rPr>
        <w:t xml:space="preserve"> </w:t>
      </w:r>
      <w:r w:rsidR="00D75194" w:rsidRPr="00C0573E">
        <w:rPr>
          <w:rFonts w:ascii="Arial" w:hAnsi="Arial" w:cs="Arial"/>
          <w:color w:val="000000"/>
          <w:sz w:val="24"/>
          <w:szCs w:val="24"/>
          <w:vertAlign w:val="superscript"/>
        </w:rPr>
        <w:t xml:space="preserve"> </w:t>
      </w:r>
      <w:r w:rsidR="00241ABE" w:rsidRPr="00C0573E">
        <w:rPr>
          <w:rFonts w:ascii="Arial" w:hAnsi="Arial" w:cs="Arial"/>
          <w:color w:val="000000"/>
          <w:sz w:val="24"/>
          <w:szCs w:val="24"/>
        </w:rPr>
        <w:t xml:space="preserve">the full court had to decide whether the decision to cancel </w:t>
      </w:r>
      <w:r w:rsidR="00D84AF7" w:rsidRPr="00C0573E">
        <w:rPr>
          <w:rFonts w:ascii="Arial" w:hAnsi="Arial" w:cs="Arial"/>
          <w:color w:val="000000"/>
          <w:sz w:val="24"/>
          <w:szCs w:val="24"/>
        </w:rPr>
        <w:t xml:space="preserve">a </w:t>
      </w:r>
      <w:r w:rsidR="00241ABE" w:rsidRPr="00C0573E">
        <w:rPr>
          <w:rFonts w:ascii="Arial" w:hAnsi="Arial" w:cs="Arial"/>
          <w:color w:val="000000"/>
          <w:sz w:val="24"/>
          <w:szCs w:val="24"/>
        </w:rPr>
        <w:t xml:space="preserve">contract arising out of an award of a tender </w:t>
      </w:r>
      <w:r w:rsidR="00D84AF7" w:rsidRPr="00C0573E">
        <w:rPr>
          <w:rFonts w:ascii="Arial" w:hAnsi="Arial" w:cs="Arial"/>
          <w:color w:val="000000"/>
          <w:sz w:val="24"/>
          <w:szCs w:val="24"/>
        </w:rPr>
        <w:t xml:space="preserve">was </w:t>
      </w:r>
      <w:r w:rsidR="00241ABE" w:rsidRPr="00C0573E">
        <w:rPr>
          <w:rFonts w:ascii="Arial" w:hAnsi="Arial" w:cs="Arial"/>
          <w:color w:val="000000"/>
          <w:sz w:val="24"/>
          <w:szCs w:val="24"/>
        </w:rPr>
        <w:t xml:space="preserve">an administrative action in terms of PAJA. </w:t>
      </w:r>
      <w:r w:rsidR="00D84AF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The decision to cancel the contract was taken by the provincial government. </w:t>
      </w:r>
      <w:r w:rsidR="00D75194" w:rsidRPr="00C0573E">
        <w:rPr>
          <w:rFonts w:ascii="Arial" w:hAnsi="Arial" w:cs="Arial"/>
          <w:color w:val="000000"/>
          <w:sz w:val="24"/>
          <w:szCs w:val="24"/>
        </w:rPr>
        <w:t xml:space="preserve"> </w:t>
      </w:r>
      <w:r w:rsidR="00D84AF7" w:rsidRPr="00C0573E">
        <w:rPr>
          <w:rFonts w:ascii="Arial" w:hAnsi="Arial" w:cs="Arial"/>
          <w:color w:val="000000"/>
          <w:sz w:val="24"/>
          <w:szCs w:val="24"/>
        </w:rPr>
        <w:t>The C</w:t>
      </w:r>
      <w:r w:rsidR="00241ABE" w:rsidRPr="00C0573E">
        <w:rPr>
          <w:rFonts w:ascii="Arial" w:hAnsi="Arial" w:cs="Arial"/>
          <w:color w:val="000000"/>
          <w:sz w:val="24"/>
          <w:szCs w:val="24"/>
        </w:rPr>
        <w:t xml:space="preserve">ourt held that because there </w:t>
      </w:r>
      <w:r w:rsidR="00D84AF7" w:rsidRPr="00C0573E">
        <w:rPr>
          <w:rFonts w:ascii="Arial" w:hAnsi="Arial" w:cs="Arial"/>
          <w:color w:val="000000"/>
          <w:sz w:val="24"/>
          <w:szCs w:val="24"/>
        </w:rPr>
        <w:t>“</w:t>
      </w:r>
      <w:r w:rsidR="00241ABE" w:rsidRPr="00C0573E">
        <w:rPr>
          <w:rFonts w:ascii="Arial" w:hAnsi="Arial" w:cs="Arial"/>
          <w:color w:val="000000"/>
          <w:sz w:val="24"/>
          <w:szCs w:val="24"/>
        </w:rPr>
        <w:t>was a seamless transition from a tender to the contract</w:t>
      </w:r>
      <w:r w:rsidR="00D84AF7" w:rsidRPr="00C0573E">
        <w:rPr>
          <w:rFonts w:ascii="Arial" w:hAnsi="Arial" w:cs="Arial"/>
          <w:color w:val="000000"/>
          <w:sz w:val="24"/>
          <w:szCs w:val="24"/>
        </w:rPr>
        <w:t>”</w:t>
      </w:r>
      <w:r w:rsidR="00241ABE" w:rsidRPr="00C0573E">
        <w:rPr>
          <w:rFonts w:ascii="Arial" w:hAnsi="Arial" w:cs="Arial"/>
          <w:color w:val="000000"/>
          <w:sz w:val="24"/>
          <w:szCs w:val="24"/>
        </w:rPr>
        <w:t>, the termination of the contract was an exercise of public power.</w:t>
      </w:r>
      <w:r w:rsidR="00D84AF7" w:rsidRPr="006F6E2D">
        <w:rPr>
          <w:rStyle w:val="FootnoteReference"/>
          <w:rFonts w:ascii="Arial" w:hAnsi="Arial" w:cs="Arial"/>
          <w:color w:val="000000"/>
          <w:sz w:val="24"/>
          <w:szCs w:val="24"/>
          <w:vertAlign w:val="superscript"/>
        </w:rPr>
        <w:footnoteReference w:id="16"/>
      </w:r>
      <w:r w:rsidR="00241ABE" w:rsidRPr="00C0573E">
        <w:rPr>
          <w:rFonts w:ascii="Arial" w:hAnsi="Arial" w:cs="Arial"/>
          <w:color w:val="000000"/>
          <w:sz w:val="24"/>
          <w:szCs w:val="24"/>
          <w:vertAlign w:val="superscript"/>
        </w:rPr>
        <w:t xml:space="preserve"> </w:t>
      </w:r>
      <w:r w:rsidR="00D84AF7" w:rsidRPr="00C0573E">
        <w:rPr>
          <w:rFonts w:ascii="Arial" w:hAnsi="Arial" w:cs="Arial"/>
          <w:color w:val="000000"/>
          <w:sz w:val="24"/>
          <w:szCs w:val="24"/>
        </w:rPr>
        <w:t xml:space="preserve"> </w:t>
      </w:r>
      <w:r w:rsidR="00D75194" w:rsidRPr="00C0573E">
        <w:rPr>
          <w:rFonts w:ascii="Arial" w:hAnsi="Arial" w:cs="Arial"/>
          <w:color w:val="000000"/>
          <w:sz w:val="24"/>
          <w:szCs w:val="24"/>
        </w:rPr>
        <w:t xml:space="preserve">It further </w:t>
      </w:r>
      <w:r w:rsidR="00241ABE" w:rsidRPr="00C0573E">
        <w:rPr>
          <w:rFonts w:ascii="Arial" w:hAnsi="Arial" w:cs="Arial"/>
          <w:color w:val="000000"/>
          <w:sz w:val="24"/>
          <w:szCs w:val="24"/>
        </w:rPr>
        <w:t>held that:</w:t>
      </w:r>
    </w:p>
    <w:p w:rsidR="00241ABE" w:rsidRPr="006F6E2D" w:rsidRDefault="00241ABE"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 xml:space="preserve">"An organ of the state which is empowered by statute to contract is obliged to exercise its contractual rights with due regard to public duties of fairness." See </w:t>
      </w:r>
      <w:r w:rsidRPr="006F6E2D">
        <w:rPr>
          <w:rFonts w:ascii="Arial" w:hAnsi="Arial" w:cs="Arial"/>
          <w:i/>
          <w:color w:val="000000"/>
        </w:rPr>
        <w:t xml:space="preserve">Transnet Ltd v Owner of MV </w:t>
      </w:r>
      <w:r w:rsidR="00D75194" w:rsidRPr="006F6E2D">
        <w:rPr>
          <w:rFonts w:ascii="Arial" w:hAnsi="Arial" w:cs="Arial"/>
          <w:i/>
        </w:rPr>
        <w:t>Snow Crystal</w:t>
      </w:r>
      <w:r w:rsidRPr="006F6E2D">
        <w:rPr>
          <w:rFonts w:ascii="Arial" w:hAnsi="Arial" w:cs="Arial"/>
        </w:rPr>
        <w:t xml:space="preserve"> </w:t>
      </w:r>
      <w:r w:rsidRPr="006F6E2D">
        <w:rPr>
          <w:rFonts w:ascii="Arial" w:hAnsi="Arial" w:cs="Arial"/>
          <w:color w:val="000000"/>
        </w:rPr>
        <w:t xml:space="preserve">2008 </w:t>
      </w:r>
      <w:r w:rsidR="00D75194" w:rsidRPr="006F6E2D">
        <w:rPr>
          <w:rFonts w:ascii="Arial" w:hAnsi="Arial" w:cs="Arial"/>
          <w:color w:val="000000"/>
        </w:rPr>
        <w:t>(</w:t>
      </w:r>
      <w:r w:rsidRPr="006F6E2D">
        <w:rPr>
          <w:rFonts w:ascii="Arial" w:hAnsi="Arial" w:cs="Arial"/>
          <w:color w:val="000000"/>
        </w:rPr>
        <w:t>4</w:t>
      </w:r>
      <w:r w:rsidR="00D75194" w:rsidRPr="006F6E2D">
        <w:rPr>
          <w:rFonts w:ascii="Arial" w:hAnsi="Arial" w:cs="Arial"/>
          <w:color w:val="000000"/>
        </w:rPr>
        <w:t>)</w:t>
      </w:r>
      <w:r w:rsidRPr="006F6E2D">
        <w:rPr>
          <w:rFonts w:ascii="Arial" w:hAnsi="Arial" w:cs="Arial"/>
          <w:color w:val="000000"/>
        </w:rPr>
        <w:t xml:space="preserve"> SA 111 (SCA) at 120 paragraph</w:t>
      </w:r>
      <w:r w:rsidR="00D84AF7" w:rsidRPr="006F6E2D">
        <w:rPr>
          <w:rFonts w:ascii="Arial" w:hAnsi="Arial" w:cs="Arial"/>
          <w:color w:val="000000"/>
        </w:rPr>
        <w:t xml:space="preserve"> 21</w:t>
      </w:r>
      <w:r w:rsidRPr="006F6E2D">
        <w:rPr>
          <w:rFonts w:ascii="Arial" w:hAnsi="Arial" w:cs="Arial"/>
          <w:color w:val="000000"/>
        </w:rPr>
        <w:t>.</w:t>
      </w:r>
      <w:r w:rsidR="00D84AF7" w:rsidRPr="006F6E2D">
        <w:rPr>
          <w:rFonts w:ascii="Arial" w:hAnsi="Arial" w:cs="Arial"/>
          <w:color w:val="000000"/>
        </w:rPr>
        <w:t xml:space="preserve"> </w:t>
      </w:r>
      <w:r w:rsidRPr="006F6E2D">
        <w:rPr>
          <w:rFonts w:ascii="Arial" w:hAnsi="Arial" w:cs="Arial"/>
          <w:color w:val="000000"/>
        </w:rPr>
        <w:t xml:space="preserve">The appellant, being a public organ, cannot act like any other contracting party. In its management of </w:t>
      </w:r>
      <w:r w:rsidRPr="006F6E2D">
        <w:rPr>
          <w:rFonts w:ascii="Arial" w:hAnsi="Arial" w:cs="Arial"/>
          <w:color w:val="000000"/>
        </w:rPr>
        <w:lastRenderedPageBreak/>
        <w:t>a contractual relationship, it must ensure that it satisfies the requirements of administrative justice and fairness. It cannot for unjustifiable reasons or improper motives decide to cancel a contract when such an act impacts on the rights of others.”</w:t>
      </w:r>
      <w:r w:rsidR="00D84AF7" w:rsidRPr="006F6E2D">
        <w:rPr>
          <w:rStyle w:val="FootnoteReference"/>
          <w:rFonts w:ascii="Arial" w:hAnsi="Arial" w:cs="Arial"/>
          <w:color w:val="000000"/>
          <w:vertAlign w:val="superscript"/>
        </w:rPr>
        <w:footnoteReference w:id="17"/>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[53]</w:t>
      </w:r>
      <w:r w:rsidRPr="006F6E2D">
        <w:rPr>
          <w:rFonts w:ascii="Arial" w:hAnsi="Arial" w:cs="Arial"/>
          <w:color w:val="000000"/>
          <w:sz w:val="24"/>
          <w:szCs w:val="24"/>
        </w:rPr>
        <w:tab/>
      </w:r>
      <w:r w:rsidR="00241ABE" w:rsidRPr="00C0573E">
        <w:rPr>
          <w:rFonts w:ascii="Arial" w:hAnsi="Arial" w:cs="Arial"/>
          <w:color w:val="000000"/>
          <w:sz w:val="24"/>
          <w:szCs w:val="24"/>
        </w:rPr>
        <w:t xml:space="preserve">In </w:t>
      </w:r>
      <w:r w:rsidR="00241ABE" w:rsidRPr="00C0573E">
        <w:rPr>
          <w:rFonts w:ascii="Arial" w:hAnsi="Arial" w:cs="Arial"/>
          <w:i/>
          <w:color w:val="000000"/>
          <w:sz w:val="24"/>
          <w:szCs w:val="24"/>
        </w:rPr>
        <w:t xml:space="preserve">Logbro Properties CC v </w:t>
      </w:r>
      <w:r w:rsidR="00D84AF7" w:rsidRPr="00C0573E">
        <w:rPr>
          <w:rFonts w:ascii="Arial" w:hAnsi="Arial" w:cs="Arial"/>
          <w:i/>
          <w:color w:val="000000"/>
          <w:sz w:val="24"/>
          <w:szCs w:val="24"/>
        </w:rPr>
        <w:t xml:space="preserve">Bedderson </w:t>
      </w:r>
      <w:r w:rsidR="00241ABE" w:rsidRPr="00C0573E">
        <w:rPr>
          <w:rFonts w:ascii="Arial" w:hAnsi="Arial" w:cs="Arial"/>
          <w:i/>
          <w:color w:val="000000"/>
          <w:sz w:val="24"/>
          <w:szCs w:val="24"/>
        </w:rPr>
        <w:t xml:space="preserve">NO and </w:t>
      </w:r>
      <w:r w:rsidR="00D84AF7" w:rsidRPr="00C0573E">
        <w:rPr>
          <w:rFonts w:ascii="Arial" w:hAnsi="Arial" w:cs="Arial"/>
          <w:i/>
          <w:color w:val="000000"/>
          <w:sz w:val="24"/>
          <w:szCs w:val="24"/>
        </w:rPr>
        <w:t>O</w:t>
      </w:r>
      <w:r w:rsidR="00241ABE" w:rsidRPr="00C0573E">
        <w:rPr>
          <w:rFonts w:ascii="Arial" w:hAnsi="Arial" w:cs="Arial"/>
          <w:i/>
          <w:color w:val="000000"/>
          <w:sz w:val="24"/>
          <w:szCs w:val="24"/>
        </w:rPr>
        <w:t>thers</w:t>
      </w:r>
      <w:r w:rsidR="000931CC" w:rsidRPr="00C0573E">
        <w:rPr>
          <w:rFonts w:ascii="Arial" w:hAnsi="Arial" w:cs="Arial"/>
          <w:i/>
          <w:color w:val="000000"/>
          <w:sz w:val="24"/>
          <w:szCs w:val="24"/>
        </w:rPr>
        <w:t xml:space="preserve"> </w:t>
      </w:r>
      <w:r w:rsidR="000931CC" w:rsidRPr="00C0573E">
        <w:rPr>
          <w:rFonts w:ascii="Arial" w:hAnsi="Arial" w:cs="Arial"/>
          <w:color w:val="000000"/>
          <w:sz w:val="24"/>
          <w:szCs w:val="24"/>
        </w:rPr>
        <w:t>(</w:t>
      </w:r>
      <w:r w:rsidR="000931CC" w:rsidRPr="00C0573E">
        <w:rPr>
          <w:rFonts w:ascii="Arial" w:hAnsi="Arial" w:cs="Arial"/>
          <w:i/>
          <w:color w:val="000000"/>
          <w:sz w:val="24"/>
          <w:szCs w:val="24"/>
        </w:rPr>
        <w:t>Logbro</w:t>
      </w:r>
      <w:r w:rsidR="000931CC" w:rsidRPr="00C0573E">
        <w:rPr>
          <w:rFonts w:ascii="Arial" w:hAnsi="Arial" w:cs="Arial"/>
          <w:color w:val="000000"/>
          <w:sz w:val="24"/>
          <w:szCs w:val="24"/>
        </w:rPr>
        <w:t>)</w:t>
      </w:r>
      <w:r w:rsidR="00D84AF7" w:rsidRPr="00C0573E">
        <w:rPr>
          <w:rFonts w:ascii="Arial" w:hAnsi="Arial" w:cs="Arial"/>
          <w:color w:val="000000"/>
          <w:sz w:val="24"/>
          <w:szCs w:val="24"/>
        </w:rPr>
        <w:t>,</w:t>
      </w:r>
      <w:r w:rsidR="00D84AF7" w:rsidRPr="006F6E2D">
        <w:rPr>
          <w:rStyle w:val="FootnoteReference"/>
          <w:rFonts w:ascii="Arial" w:hAnsi="Arial" w:cs="Arial"/>
          <w:color w:val="000000"/>
          <w:sz w:val="24"/>
          <w:szCs w:val="24"/>
          <w:vertAlign w:val="superscript"/>
        </w:rPr>
        <w:footnoteReference w:id="18"/>
      </w:r>
      <w:r w:rsidR="00241ABE" w:rsidRPr="00C0573E">
        <w:rPr>
          <w:rFonts w:ascii="Arial" w:hAnsi="Arial" w:cs="Arial"/>
          <w:color w:val="000000"/>
          <w:sz w:val="24"/>
          <w:szCs w:val="24"/>
        </w:rPr>
        <w:t xml:space="preserve"> the SCA</w:t>
      </w:r>
      <w:r w:rsidR="00D84AF7" w:rsidRPr="00C0573E">
        <w:rPr>
          <w:rFonts w:ascii="Arial" w:hAnsi="Arial" w:cs="Arial"/>
          <w:color w:val="000000"/>
          <w:sz w:val="24"/>
          <w:szCs w:val="24"/>
        </w:rPr>
        <w:t>,</w:t>
      </w:r>
      <w:r w:rsidR="00241ABE" w:rsidRPr="00C0573E">
        <w:rPr>
          <w:rFonts w:ascii="Arial" w:hAnsi="Arial" w:cs="Arial"/>
          <w:color w:val="000000"/>
          <w:sz w:val="24"/>
          <w:szCs w:val="24"/>
        </w:rPr>
        <w:t xml:space="preserve"> in dealing with a s</w:t>
      </w:r>
      <w:r w:rsidR="00D75194" w:rsidRPr="00C0573E">
        <w:rPr>
          <w:rFonts w:ascii="Arial" w:hAnsi="Arial" w:cs="Arial"/>
          <w:color w:val="000000"/>
          <w:sz w:val="24"/>
          <w:szCs w:val="24"/>
        </w:rPr>
        <w:t xml:space="preserve">imilar situation as that of </w:t>
      </w:r>
      <w:r w:rsidR="00D75194" w:rsidRPr="00C0573E">
        <w:rPr>
          <w:rFonts w:ascii="Arial" w:hAnsi="Arial" w:cs="Arial"/>
          <w:i/>
          <w:color w:val="000000"/>
          <w:sz w:val="24"/>
          <w:szCs w:val="24"/>
        </w:rPr>
        <w:t>KC Productions</w:t>
      </w:r>
      <w:r w:rsidR="00D84AF7" w:rsidRPr="00C0573E">
        <w:rPr>
          <w:rFonts w:ascii="Arial" w:hAnsi="Arial" w:cs="Arial"/>
          <w:color w:val="000000"/>
          <w:sz w:val="24"/>
          <w:szCs w:val="24"/>
        </w:rPr>
        <w:t>,</w:t>
      </w:r>
      <w:r w:rsidR="00241ABE" w:rsidRPr="00C0573E">
        <w:rPr>
          <w:rFonts w:ascii="Arial" w:hAnsi="Arial" w:cs="Arial"/>
          <w:color w:val="000000"/>
          <w:sz w:val="24"/>
          <w:szCs w:val="24"/>
        </w:rPr>
        <w:t xml:space="preserve"> held that the </w:t>
      </w:r>
      <w:r w:rsidR="00D84AF7" w:rsidRPr="00C0573E">
        <w:rPr>
          <w:rFonts w:ascii="Arial" w:hAnsi="Arial" w:cs="Arial"/>
          <w:color w:val="000000"/>
          <w:sz w:val="24"/>
          <w:szCs w:val="24"/>
        </w:rPr>
        <w:t>P</w:t>
      </w:r>
      <w:r w:rsidR="00241ABE" w:rsidRPr="00C0573E">
        <w:rPr>
          <w:rFonts w:ascii="Arial" w:hAnsi="Arial" w:cs="Arial"/>
          <w:color w:val="000000"/>
          <w:sz w:val="24"/>
          <w:szCs w:val="24"/>
        </w:rPr>
        <w:t>rovince</w:t>
      </w:r>
      <w:r w:rsidR="00D84AF7" w:rsidRPr="00C0573E">
        <w:rPr>
          <w:rFonts w:ascii="Arial" w:hAnsi="Arial" w:cs="Arial"/>
          <w:color w:val="000000"/>
          <w:sz w:val="24"/>
          <w:szCs w:val="24"/>
        </w:rPr>
        <w:t>,</w:t>
      </w:r>
      <w:r w:rsidR="00241ABE" w:rsidRPr="00C0573E">
        <w:rPr>
          <w:rFonts w:ascii="Arial" w:hAnsi="Arial" w:cs="Arial"/>
          <w:color w:val="000000"/>
          <w:sz w:val="24"/>
          <w:szCs w:val="24"/>
        </w:rPr>
        <w:t xml:space="preserve"> in exercising its powers under the agreement</w:t>
      </w:r>
      <w:r w:rsidR="00D84AF7" w:rsidRPr="00C0573E">
        <w:rPr>
          <w:rFonts w:ascii="Arial" w:hAnsi="Arial" w:cs="Arial"/>
          <w:color w:val="000000"/>
          <w:sz w:val="24"/>
          <w:szCs w:val="24"/>
        </w:rPr>
        <w:t>,</w:t>
      </w:r>
      <w:r w:rsidR="00241ABE" w:rsidRPr="00C0573E">
        <w:rPr>
          <w:rFonts w:ascii="Arial" w:hAnsi="Arial" w:cs="Arial"/>
          <w:color w:val="000000"/>
          <w:sz w:val="24"/>
          <w:szCs w:val="24"/>
        </w:rPr>
        <w:t xml:space="preserve"> could only do so with due regard to the principles of administrative justice.</w:t>
      </w:r>
      <w:r w:rsidR="00D84AF7" w:rsidRPr="00C0573E">
        <w:rPr>
          <w:rFonts w:ascii="Arial" w:hAnsi="Arial" w:cs="Arial"/>
          <w:color w:val="000000"/>
          <w:sz w:val="24"/>
          <w:szCs w:val="24"/>
        </w:rPr>
        <w:t xml:space="preserve"> </w:t>
      </w:r>
      <w:r w:rsidR="00241ABE" w:rsidRPr="00C0573E">
        <w:rPr>
          <w:rFonts w:ascii="Arial" w:hAnsi="Arial" w:cs="Arial"/>
          <w:color w:val="000000"/>
          <w:sz w:val="24"/>
          <w:szCs w:val="24"/>
        </w:rPr>
        <w:t xml:space="preserve"> In other </w:t>
      </w:r>
      <w:r w:rsidR="00ED3856" w:rsidRPr="00C0573E">
        <w:rPr>
          <w:rFonts w:ascii="Arial" w:hAnsi="Arial" w:cs="Arial"/>
          <w:color w:val="000000"/>
          <w:sz w:val="24"/>
          <w:szCs w:val="24"/>
        </w:rPr>
        <w:t>words,</w:t>
      </w:r>
      <w:r w:rsidR="00241ABE" w:rsidRPr="00C0573E">
        <w:rPr>
          <w:rFonts w:ascii="Arial" w:hAnsi="Arial" w:cs="Arial"/>
          <w:color w:val="000000"/>
          <w:sz w:val="24"/>
          <w:szCs w:val="24"/>
        </w:rPr>
        <w:t xml:space="preserve"> it could not withdraw the property from the applicant “capriciously, or for an improper </w:t>
      </w:r>
      <w:r w:rsidR="00ED3856" w:rsidRPr="00C0573E">
        <w:rPr>
          <w:rFonts w:ascii="Arial" w:hAnsi="Arial" w:cs="Arial"/>
          <w:color w:val="000000"/>
          <w:sz w:val="24"/>
          <w:szCs w:val="24"/>
        </w:rPr>
        <w:t>or unjustified reason</w:t>
      </w:r>
      <w:r w:rsidR="00241ABE" w:rsidRPr="00C0573E">
        <w:rPr>
          <w:rFonts w:ascii="Arial" w:hAnsi="Arial" w:cs="Arial"/>
          <w:color w:val="000000"/>
          <w:sz w:val="24"/>
          <w:szCs w:val="24"/>
        </w:rPr>
        <w:t>.”</w:t>
      </w:r>
      <w:r w:rsidR="00ED3856" w:rsidRPr="006F6E2D">
        <w:rPr>
          <w:rStyle w:val="FootnoteReference"/>
          <w:rFonts w:ascii="Arial" w:hAnsi="Arial" w:cs="Arial"/>
          <w:color w:val="000000"/>
          <w:sz w:val="24"/>
          <w:szCs w:val="24"/>
          <w:vertAlign w:val="superscript"/>
        </w:rPr>
        <w:footnoteReference w:id="19"/>
      </w:r>
    </w:p>
    <w:p w:rsidR="00241ABE" w:rsidRPr="006F6E2D" w:rsidRDefault="00241ABE" w:rsidP="006F6E2D">
      <w:pPr>
        <w:widowControl w:val="0"/>
        <w:autoSpaceDE w:val="0"/>
        <w:autoSpaceDN w:val="0"/>
        <w:adjustRightInd w:val="0"/>
        <w:spacing w:after="0" w:line="360" w:lineRule="auto"/>
        <w:jc w:val="both"/>
        <w:rPr>
          <w:rFonts w:ascii="Arial" w:hAnsi="Arial" w:cs="Arial"/>
          <w:color w:val="000000"/>
          <w:sz w:val="24"/>
          <w:szCs w:val="24"/>
        </w:rPr>
      </w:pPr>
    </w:p>
    <w:p w:rsidR="00241AB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[54]</w:t>
      </w:r>
      <w:r w:rsidRPr="006F6E2D">
        <w:rPr>
          <w:rFonts w:ascii="Arial" w:hAnsi="Arial" w:cs="Arial"/>
          <w:color w:val="000000"/>
          <w:sz w:val="24"/>
          <w:szCs w:val="24"/>
        </w:rPr>
        <w:tab/>
      </w:r>
      <w:r w:rsidR="006A78BA" w:rsidRPr="00C0573E">
        <w:rPr>
          <w:rFonts w:ascii="Arial" w:hAnsi="Arial" w:cs="Arial"/>
          <w:color w:val="000000"/>
          <w:sz w:val="24"/>
          <w:szCs w:val="24"/>
        </w:rPr>
        <w:t xml:space="preserve">In </w:t>
      </w:r>
      <w:r w:rsidR="00D75194" w:rsidRPr="00C0573E">
        <w:rPr>
          <w:rFonts w:ascii="Arial" w:hAnsi="Arial" w:cs="Arial"/>
          <w:i/>
          <w:color w:val="000000"/>
          <w:sz w:val="24"/>
          <w:szCs w:val="24"/>
        </w:rPr>
        <w:t xml:space="preserve">South African National Parks v MTO Forestry (Pty) Ltd &amp; </w:t>
      </w:r>
      <w:r w:rsidR="00AE6B18" w:rsidRPr="00C0573E">
        <w:rPr>
          <w:rFonts w:ascii="Arial" w:hAnsi="Arial" w:cs="Arial"/>
          <w:i/>
          <w:color w:val="000000"/>
          <w:sz w:val="24"/>
          <w:szCs w:val="24"/>
        </w:rPr>
        <w:t>A</w:t>
      </w:r>
      <w:r w:rsidR="00D75194" w:rsidRPr="00C0573E">
        <w:rPr>
          <w:rFonts w:ascii="Arial" w:hAnsi="Arial" w:cs="Arial"/>
          <w:i/>
          <w:color w:val="000000"/>
          <w:sz w:val="24"/>
          <w:szCs w:val="24"/>
        </w:rPr>
        <w:t>nother</w:t>
      </w:r>
      <w:r w:rsidR="00CF71DD" w:rsidRPr="00C0573E">
        <w:rPr>
          <w:rFonts w:ascii="Arial" w:hAnsi="Arial" w:cs="Arial"/>
          <w:i/>
          <w:color w:val="000000"/>
          <w:sz w:val="24"/>
          <w:szCs w:val="24"/>
        </w:rPr>
        <w:t xml:space="preserve"> </w:t>
      </w:r>
      <w:r w:rsidR="00CF71DD" w:rsidRPr="00C0573E">
        <w:rPr>
          <w:rFonts w:ascii="Arial" w:hAnsi="Arial" w:cs="Arial"/>
          <w:color w:val="000000"/>
          <w:sz w:val="24"/>
          <w:szCs w:val="24"/>
        </w:rPr>
        <w:t>(</w:t>
      </w:r>
      <w:r w:rsidR="00CF71DD" w:rsidRPr="00C0573E">
        <w:rPr>
          <w:rFonts w:ascii="Arial" w:hAnsi="Arial" w:cs="Arial"/>
          <w:i/>
          <w:color w:val="000000"/>
          <w:sz w:val="24"/>
          <w:szCs w:val="24"/>
        </w:rPr>
        <w:t>SANParks</w:t>
      </w:r>
      <w:r w:rsidR="00CF71DD" w:rsidRPr="00C0573E">
        <w:rPr>
          <w:rFonts w:ascii="Arial" w:hAnsi="Arial" w:cs="Arial"/>
          <w:color w:val="000000"/>
          <w:sz w:val="24"/>
          <w:szCs w:val="24"/>
        </w:rPr>
        <w:t>)</w:t>
      </w:r>
      <w:r w:rsidR="00D75194" w:rsidRPr="00C0573E">
        <w:rPr>
          <w:rFonts w:ascii="Arial" w:hAnsi="Arial" w:cs="Arial"/>
          <w:color w:val="000000"/>
          <w:sz w:val="24"/>
          <w:szCs w:val="24"/>
        </w:rPr>
        <w:t>,</w:t>
      </w:r>
      <w:r w:rsidR="00AE6B18" w:rsidRPr="006F6E2D">
        <w:rPr>
          <w:rStyle w:val="FootnoteReference"/>
          <w:rFonts w:ascii="Arial" w:hAnsi="Arial" w:cs="Arial"/>
          <w:color w:val="000000"/>
          <w:sz w:val="24"/>
          <w:szCs w:val="24"/>
          <w:vertAlign w:val="superscript"/>
        </w:rPr>
        <w:footnoteReference w:id="20"/>
      </w:r>
      <w:r w:rsidR="00D75194" w:rsidRPr="00C0573E">
        <w:rPr>
          <w:rFonts w:ascii="Arial" w:hAnsi="Arial" w:cs="Arial"/>
          <w:color w:val="000000"/>
          <w:sz w:val="24"/>
          <w:szCs w:val="24"/>
        </w:rPr>
        <w:t xml:space="preserve"> </w:t>
      </w:r>
      <w:r w:rsidR="006A78BA" w:rsidRPr="00C0573E">
        <w:rPr>
          <w:rFonts w:ascii="Arial" w:hAnsi="Arial" w:cs="Arial"/>
          <w:color w:val="000000"/>
          <w:sz w:val="24"/>
          <w:szCs w:val="24"/>
        </w:rPr>
        <w:t>the SCA dealt with an appeal from the Western Cape Division of the High Court, where Gamble</w:t>
      </w:r>
      <w:r w:rsidR="004F523A" w:rsidRPr="00C0573E">
        <w:rPr>
          <w:rFonts w:ascii="Arial" w:hAnsi="Arial" w:cs="Arial"/>
          <w:color w:val="000000"/>
          <w:sz w:val="24"/>
          <w:szCs w:val="24"/>
        </w:rPr>
        <w:t> </w:t>
      </w:r>
      <w:r w:rsidR="006A78BA" w:rsidRPr="00C0573E">
        <w:rPr>
          <w:rFonts w:ascii="Arial" w:hAnsi="Arial" w:cs="Arial"/>
          <w:color w:val="000000"/>
          <w:sz w:val="24"/>
          <w:szCs w:val="24"/>
        </w:rPr>
        <w:t>J found that South African National Parks</w:t>
      </w:r>
      <w:r w:rsidR="001E7820" w:rsidRPr="00C0573E">
        <w:rPr>
          <w:rFonts w:ascii="Arial" w:hAnsi="Arial" w:cs="Arial"/>
          <w:color w:val="000000"/>
          <w:sz w:val="24"/>
          <w:szCs w:val="24"/>
        </w:rPr>
        <w:t>’</w:t>
      </w:r>
      <w:r w:rsidR="006A78BA" w:rsidRPr="00C0573E">
        <w:rPr>
          <w:rFonts w:ascii="Arial" w:hAnsi="Arial" w:cs="Arial"/>
          <w:color w:val="000000"/>
          <w:sz w:val="24"/>
          <w:szCs w:val="24"/>
        </w:rPr>
        <w:t xml:space="preserve"> (SANParks) authority and obligations in respect of Tokai Forest including the lease agreement were an exercise of public power. </w:t>
      </w:r>
      <w:r w:rsidR="00AE6B18" w:rsidRPr="00C0573E">
        <w:rPr>
          <w:rFonts w:ascii="Arial" w:hAnsi="Arial" w:cs="Arial"/>
          <w:color w:val="000000"/>
          <w:sz w:val="24"/>
          <w:szCs w:val="24"/>
        </w:rPr>
        <w:t xml:space="preserve"> </w:t>
      </w:r>
      <w:r w:rsidR="006A78BA" w:rsidRPr="00C0573E">
        <w:rPr>
          <w:rFonts w:ascii="Arial" w:hAnsi="Arial" w:cs="Arial"/>
          <w:color w:val="000000"/>
          <w:sz w:val="24"/>
          <w:szCs w:val="24"/>
        </w:rPr>
        <w:t>It also found that the accelerated felling</w:t>
      </w:r>
      <w:r w:rsidR="003A1D16" w:rsidRPr="00C0573E">
        <w:rPr>
          <w:rFonts w:ascii="Arial" w:hAnsi="Arial" w:cs="Arial"/>
          <w:color w:val="000000"/>
          <w:sz w:val="24"/>
          <w:szCs w:val="24"/>
        </w:rPr>
        <w:t xml:space="preserve"> of trees</w:t>
      </w:r>
      <w:r w:rsidR="006A78BA" w:rsidRPr="00C0573E">
        <w:rPr>
          <w:rFonts w:ascii="Arial" w:hAnsi="Arial" w:cs="Arial"/>
          <w:color w:val="000000"/>
          <w:sz w:val="24"/>
          <w:szCs w:val="24"/>
        </w:rPr>
        <w:t xml:space="preserve"> schedule was administrative action. </w:t>
      </w:r>
      <w:r w:rsidR="00AE6B18" w:rsidRPr="00C0573E">
        <w:rPr>
          <w:rFonts w:ascii="Arial" w:hAnsi="Arial" w:cs="Arial"/>
          <w:color w:val="000000"/>
          <w:sz w:val="24"/>
          <w:szCs w:val="24"/>
        </w:rPr>
        <w:t xml:space="preserve"> </w:t>
      </w:r>
      <w:r w:rsidR="00EF7A0E" w:rsidRPr="00C0573E">
        <w:rPr>
          <w:rFonts w:ascii="Arial" w:hAnsi="Arial" w:cs="Arial"/>
          <w:color w:val="000000"/>
          <w:sz w:val="24"/>
          <w:szCs w:val="24"/>
        </w:rPr>
        <w:t>The issue between the parties in that case arose from the decision by SANParks authorising</w:t>
      </w:r>
      <w:r w:rsidR="004F523A" w:rsidRPr="00C0573E">
        <w:rPr>
          <w:rFonts w:ascii="Arial" w:hAnsi="Arial" w:cs="Arial"/>
          <w:color w:val="000000"/>
          <w:sz w:val="24"/>
          <w:szCs w:val="24"/>
        </w:rPr>
        <w:t xml:space="preserve"> MTO Forestry to vary a previously agreed tree felling programme in the Tokai Forest, in terms of a lease agreement between the two. SANParks allowed MTO to accelerate the tree-felling schedule</w:t>
      </w:r>
      <w:r w:rsidR="000931CC" w:rsidRPr="00C0573E">
        <w:rPr>
          <w:rFonts w:ascii="Arial" w:hAnsi="Arial" w:cs="Arial"/>
          <w:color w:val="000000"/>
          <w:sz w:val="24"/>
          <w:szCs w:val="24"/>
        </w:rPr>
        <w:t xml:space="preserve"> (following the damage which was caused by the fire at Upper Tokai Forest)</w:t>
      </w:r>
      <w:r w:rsidR="004F523A" w:rsidRPr="00C0573E">
        <w:rPr>
          <w:rFonts w:ascii="Arial" w:hAnsi="Arial" w:cs="Arial"/>
          <w:color w:val="000000"/>
          <w:sz w:val="24"/>
          <w:szCs w:val="24"/>
        </w:rPr>
        <w:t xml:space="preserve"> and to exit the lease prematurely without first </w:t>
      </w:r>
      <w:r w:rsidR="000931CC" w:rsidRPr="00C0573E">
        <w:rPr>
          <w:rFonts w:ascii="Arial" w:hAnsi="Arial" w:cs="Arial"/>
          <w:color w:val="000000"/>
          <w:sz w:val="24"/>
          <w:szCs w:val="24"/>
        </w:rPr>
        <w:t xml:space="preserve">consulting the public. </w:t>
      </w:r>
      <w:r w:rsidR="004F523A" w:rsidRPr="00C0573E">
        <w:rPr>
          <w:rFonts w:ascii="Arial" w:hAnsi="Arial" w:cs="Arial"/>
          <w:color w:val="000000"/>
          <w:sz w:val="24"/>
          <w:szCs w:val="24"/>
        </w:rPr>
        <w:t xml:space="preserve"> </w:t>
      </w:r>
      <w:r w:rsidR="000931CC" w:rsidRPr="00C0573E">
        <w:rPr>
          <w:rFonts w:ascii="Arial" w:hAnsi="Arial" w:cs="Arial"/>
          <w:color w:val="000000"/>
          <w:sz w:val="24"/>
          <w:szCs w:val="24"/>
        </w:rPr>
        <w:t>The High Court</w:t>
      </w:r>
      <w:r w:rsidR="00EF7A0E" w:rsidRPr="00C0573E">
        <w:rPr>
          <w:rFonts w:ascii="Arial" w:hAnsi="Arial" w:cs="Arial"/>
          <w:color w:val="000000"/>
          <w:sz w:val="24"/>
          <w:szCs w:val="24"/>
        </w:rPr>
        <w:t xml:space="preserve"> found that the decision </w:t>
      </w:r>
      <w:r w:rsidR="006A78BA" w:rsidRPr="00C0573E">
        <w:rPr>
          <w:rFonts w:ascii="Arial" w:hAnsi="Arial" w:cs="Arial"/>
          <w:color w:val="000000"/>
          <w:sz w:val="24"/>
          <w:szCs w:val="24"/>
        </w:rPr>
        <w:t>was irregular and thus the decision was reviewed and set aside.</w:t>
      </w:r>
    </w:p>
    <w:p w:rsidR="000800E9" w:rsidRPr="006F6E2D" w:rsidRDefault="000800E9"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4F523A" w:rsidRPr="00C0573E" w:rsidRDefault="00C0573E" w:rsidP="00C0573E">
      <w:pPr>
        <w:spacing w:line="360" w:lineRule="auto"/>
        <w:jc w:val="both"/>
        <w:rPr>
          <w:rFonts w:ascii="Arial" w:hAnsi="Arial" w:cs="Arial"/>
          <w:sz w:val="24"/>
          <w:szCs w:val="24"/>
        </w:rPr>
      </w:pPr>
      <w:r w:rsidRPr="006F6E2D">
        <w:rPr>
          <w:rFonts w:ascii="Arial" w:hAnsi="Arial" w:cs="Arial"/>
          <w:sz w:val="24"/>
          <w:szCs w:val="24"/>
        </w:rPr>
        <w:t>[55]</w:t>
      </w:r>
      <w:r w:rsidRPr="006F6E2D">
        <w:rPr>
          <w:rFonts w:ascii="Arial" w:hAnsi="Arial" w:cs="Arial"/>
          <w:sz w:val="24"/>
          <w:szCs w:val="24"/>
        </w:rPr>
        <w:tab/>
      </w:r>
      <w:r w:rsidR="00EF7A0E" w:rsidRPr="00C0573E">
        <w:rPr>
          <w:rFonts w:ascii="Arial" w:hAnsi="Arial" w:cs="Arial"/>
          <w:sz w:val="24"/>
          <w:szCs w:val="24"/>
        </w:rPr>
        <w:t xml:space="preserve">SANParks contended that the decision to accelerate the tree-felling schedule and to exit the lease agreement </w:t>
      </w:r>
      <w:r w:rsidR="000931CC" w:rsidRPr="00C0573E">
        <w:rPr>
          <w:rFonts w:ascii="Arial" w:hAnsi="Arial" w:cs="Arial"/>
          <w:sz w:val="24"/>
          <w:szCs w:val="24"/>
        </w:rPr>
        <w:t xml:space="preserve">prematurely </w:t>
      </w:r>
      <w:r w:rsidR="00EF7A0E" w:rsidRPr="00C0573E">
        <w:rPr>
          <w:rFonts w:ascii="Arial" w:hAnsi="Arial" w:cs="Arial"/>
          <w:sz w:val="24"/>
          <w:szCs w:val="24"/>
        </w:rPr>
        <w:t xml:space="preserve">was made in terms of the lease agreement and therefore there was no </w:t>
      </w:r>
      <w:r w:rsidR="00566653" w:rsidRPr="00C0573E">
        <w:rPr>
          <w:rFonts w:ascii="Arial" w:hAnsi="Arial" w:cs="Arial"/>
          <w:sz w:val="24"/>
          <w:szCs w:val="24"/>
        </w:rPr>
        <w:t>public law obligation on its part to consult with the public</w:t>
      </w:r>
      <w:r w:rsidR="000931CC" w:rsidRPr="00C0573E">
        <w:rPr>
          <w:rFonts w:ascii="Arial" w:hAnsi="Arial" w:cs="Arial"/>
          <w:sz w:val="24"/>
          <w:szCs w:val="24"/>
        </w:rPr>
        <w:t xml:space="preserve"> before granting the request for variation</w:t>
      </w:r>
      <w:r w:rsidR="00566653" w:rsidRPr="00C0573E">
        <w:rPr>
          <w:rFonts w:ascii="Arial" w:hAnsi="Arial" w:cs="Arial"/>
          <w:sz w:val="24"/>
          <w:szCs w:val="24"/>
        </w:rPr>
        <w:t>.</w:t>
      </w:r>
    </w:p>
    <w:p w:rsidR="006A78BA" w:rsidRPr="006F6E2D" w:rsidRDefault="006A78BA" w:rsidP="006F6E2D">
      <w:pPr>
        <w:pStyle w:val="ListParagraph"/>
        <w:spacing w:line="360" w:lineRule="auto"/>
        <w:ind w:left="0"/>
        <w:jc w:val="both"/>
        <w:rPr>
          <w:rFonts w:ascii="Arial" w:hAnsi="Arial" w:cs="Arial"/>
          <w:sz w:val="24"/>
          <w:szCs w:val="24"/>
        </w:rPr>
      </w:pPr>
    </w:p>
    <w:p w:rsidR="00214B41" w:rsidRPr="00C0573E" w:rsidRDefault="00C0573E" w:rsidP="00C0573E">
      <w:pPr>
        <w:spacing w:line="360" w:lineRule="auto"/>
        <w:jc w:val="both"/>
        <w:rPr>
          <w:rFonts w:ascii="Arial" w:hAnsi="Arial" w:cs="Arial"/>
          <w:sz w:val="24"/>
          <w:szCs w:val="24"/>
        </w:rPr>
      </w:pPr>
      <w:r w:rsidRPr="006F6E2D">
        <w:rPr>
          <w:rFonts w:ascii="Arial" w:hAnsi="Arial" w:cs="Arial"/>
          <w:sz w:val="24"/>
          <w:szCs w:val="24"/>
        </w:rPr>
        <w:lastRenderedPageBreak/>
        <w:t>[56]</w:t>
      </w:r>
      <w:r w:rsidRPr="006F6E2D">
        <w:rPr>
          <w:rFonts w:ascii="Arial" w:hAnsi="Arial" w:cs="Arial"/>
          <w:sz w:val="24"/>
          <w:szCs w:val="24"/>
        </w:rPr>
        <w:tab/>
      </w:r>
      <w:r w:rsidR="00566653" w:rsidRPr="00C0573E">
        <w:rPr>
          <w:rFonts w:ascii="Arial" w:hAnsi="Arial" w:cs="Arial"/>
          <w:sz w:val="24"/>
          <w:szCs w:val="24"/>
        </w:rPr>
        <w:t>In dismissing the appeal by SANParks, Dambuza JA</w:t>
      </w:r>
      <w:r w:rsidR="003536C9" w:rsidRPr="00C0573E">
        <w:rPr>
          <w:rFonts w:ascii="Arial" w:hAnsi="Arial" w:cs="Arial"/>
          <w:sz w:val="24"/>
          <w:szCs w:val="24"/>
        </w:rPr>
        <w:t xml:space="preserve">, writing for the </w:t>
      </w:r>
      <w:r w:rsidR="006210C7" w:rsidRPr="00C0573E">
        <w:rPr>
          <w:rFonts w:ascii="Arial" w:hAnsi="Arial" w:cs="Arial"/>
          <w:sz w:val="24"/>
          <w:szCs w:val="24"/>
        </w:rPr>
        <w:t>majority, quoted</w:t>
      </w:r>
      <w:r w:rsidR="00566653" w:rsidRPr="00C0573E">
        <w:rPr>
          <w:rFonts w:ascii="Arial" w:hAnsi="Arial" w:cs="Arial"/>
          <w:sz w:val="24"/>
          <w:szCs w:val="24"/>
        </w:rPr>
        <w:t xml:space="preserve"> with </w:t>
      </w:r>
      <w:r w:rsidR="000931CC" w:rsidRPr="00C0573E">
        <w:rPr>
          <w:rFonts w:ascii="Arial" w:hAnsi="Arial" w:cs="Arial"/>
          <w:sz w:val="24"/>
          <w:szCs w:val="24"/>
        </w:rPr>
        <w:t>approval</w:t>
      </w:r>
      <w:r w:rsidR="00566653" w:rsidRPr="00C0573E">
        <w:rPr>
          <w:rFonts w:ascii="Arial" w:hAnsi="Arial" w:cs="Arial"/>
          <w:sz w:val="24"/>
          <w:szCs w:val="24"/>
        </w:rPr>
        <w:t xml:space="preserve"> what was said by </w:t>
      </w:r>
      <w:r w:rsidR="000931CC" w:rsidRPr="00C0573E">
        <w:rPr>
          <w:rFonts w:ascii="Arial" w:hAnsi="Arial" w:cs="Arial"/>
          <w:sz w:val="24"/>
          <w:szCs w:val="24"/>
        </w:rPr>
        <w:t xml:space="preserve">Cameron </w:t>
      </w:r>
      <w:r w:rsidR="00566653" w:rsidRPr="00C0573E">
        <w:rPr>
          <w:rFonts w:ascii="Arial" w:hAnsi="Arial" w:cs="Arial"/>
          <w:sz w:val="24"/>
          <w:szCs w:val="24"/>
        </w:rPr>
        <w:t xml:space="preserve">JA in </w:t>
      </w:r>
      <w:r w:rsidR="00566653" w:rsidRPr="00C0573E">
        <w:rPr>
          <w:rFonts w:ascii="Arial" w:hAnsi="Arial" w:cs="Arial"/>
          <w:i/>
          <w:sz w:val="24"/>
          <w:szCs w:val="24"/>
        </w:rPr>
        <w:t>Logbro</w:t>
      </w:r>
      <w:r w:rsidR="00566653" w:rsidRPr="00C0573E">
        <w:rPr>
          <w:rFonts w:ascii="Arial" w:hAnsi="Arial" w:cs="Arial"/>
          <w:sz w:val="24"/>
          <w:szCs w:val="24"/>
        </w:rPr>
        <w:t xml:space="preserve"> when he said the following:</w:t>
      </w:r>
    </w:p>
    <w:p w:rsidR="00652BA9" w:rsidRPr="006F6E2D" w:rsidRDefault="002A041B" w:rsidP="006F6E2D">
      <w:pPr>
        <w:spacing w:line="360" w:lineRule="auto"/>
        <w:ind w:left="567"/>
        <w:jc w:val="both"/>
        <w:rPr>
          <w:rFonts w:ascii="Arial" w:hAnsi="Arial" w:cs="Arial"/>
        </w:rPr>
      </w:pPr>
      <w:r w:rsidRPr="006F6E2D">
        <w:rPr>
          <w:rFonts w:ascii="Arial" w:hAnsi="Arial" w:cs="Arial"/>
        </w:rPr>
        <w:t>“</w:t>
      </w:r>
      <w:r w:rsidRPr="006F6E2D">
        <w:rPr>
          <w:rFonts w:ascii="Arial" w:hAnsi="Arial" w:cs="Arial"/>
          <w:color w:val="242121"/>
          <w:shd w:val="clear" w:color="auto" w:fill="FFFFFF"/>
        </w:rPr>
        <w:t>Even if the conditions constituted a contract (a finding not in issue before us, and on which I express no opinion), its provisions did not exhaust the province’s duties toward the tenderers. Principles of administrative justice continued to govern that relationship, and the province in exercising its contractual rights in the tender process was obliged to act lawfully, procedurally and fairly. In consequence, some of its contractual rights – such as the entitlement to give no reasons – would necessarily yield before its public duties under the Constitution and any applicable legislation.”</w:t>
      </w:r>
      <w:r w:rsidR="000931CC" w:rsidRPr="006F6E2D">
        <w:rPr>
          <w:rStyle w:val="FootnoteReference"/>
          <w:rFonts w:ascii="Arial" w:hAnsi="Arial" w:cs="Arial"/>
          <w:color w:val="242121"/>
          <w:shd w:val="clear" w:color="auto" w:fill="FFFFFF"/>
          <w:vertAlign w:val="superscript"/>
        </w:rPr>
        <w:footnoteReference w:id="21"/>
      </w:r>
    </w:p>
    <w:p w:rsidR="00652BA9"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[57]</w:t>
      </w:r>
      <w:r w:rsidRPr="006F6E2D">
        <w:rPr>
          <w:rFonts w:ascii="Arial" w:hAnsi="Arial" w:cs="Arial"/>
          <w:color w:val="000000"/>
          <w:sz w:val="24"/>
          <w:szCs w:val="24"/>
        </w:rPr>
        <w:tab/>
      </w:r>
      <w:r w:rsidR="001C1577" w:rsidRPr="00C0573E">
        <w:rPr>
          <w:rFonts w:ascii="Arial" w:hAnsi="Arial" w:cs="Arial"/>
          <w:color w:val="000000"/>
          <w:sz w:val="24"/>
          <w:szCs w:val="24"/>
        </w:rPr>
        <w:t>Dambuza JA</w:t>
      </w:r>
      <w:r w:rsidR="003536C9" w:rsidRPr="00C0573E">
        <w:rPr>
          <w:rFonts w:ascii="Arial" w:hAnsi="Arial" w:cs="Arial"/>
          <w:color w:val="000000"/>
          <w:sz w:val="24"/>
          <w:szCs w:val="24"/>
        </w:rPr>
        <w:t>,</w:t>
      </w:r>
      <w:r w:rsidR="002A041B" w:rsidRPr="00C0573E">
        <w:rPr>
          <w:rFonts w:ascii="Arial" w:hAnsi="Arial" w:cs="Arial"/>
          <w:color w:val="000000"/>
          <w:sz w:val="24"/>
          <w:szCs w:val="24"/>
        </w:rPr>
        <w:t xml:space="preserve"> further held that:</w:t>
      </w:r>
    </w:p>
    <w:p w:rsidR="002A041B" w:rsidRPr="006F6E2D" w:rsidRDefault="002A041B" w:rsidP="006F6E2D">
      <w:pPr>
        <w:widowControl w:val="0"/>
        <w:autoSpaceDE w:val="0"/>
        <w:autoSpaceDN w:val="0"/>
        <w:adjustRightInd w:val="0"/>
        <w:spacing w:after="0" w:line="360" w:lineRule="auto"/>
        <w:ind w:left="873"/>
        <w:jc w:val="both"/>
        <w:rPr>
          <w:rFonts w:ascii="Arial" w:hAnsi="Arial" w:cs="Arial"/>
          <w:color w:val="000000"/>
        </w:rPr>
      </w:pPr>
      <w:r w:rsidRPr="006F6E2D">
        <w:rPr>
          <w:rFonts w:ascii="Arial" w:hAnsi="Arial" w:cs="Arial"/>
          <w:color w:val="242121"/>
          <w:shd w:val="clear" w:color="auto" w:fill="FFFFFF"/>
        </w:rPr>
        <w:t>“</w:t>
      </w:r>
      <w:r w:rsidRPr="006F6E2D">
        <w:rPr>
          <w:rFonts w:ascii="Arial" w:hAnsi="Arial" w:cs="Arial"/>
          <w:i/>
          <w:iCs/>
          <w:color w:val="242121"/>
          <w:shd w:val="clear" w:color="auto" w:fill="FFFFFF"/>
        </w:rPr>
        <w:t>Logbro</w:t>
      </w:r>
      <w:r w:rsidR="001C1577" w:rsidRPr="006F6E2D">
        <w:rPr>
          <w:rFonts w:ascii="Arial" w:hAnsi="Arial" w:cs="Arial"/>
          <w:color w:val="242121"/>
          <w:shd w:val="clear" w:color="auto" w:fill="FFFFFF"/>
        </w:rPr>
        <w:t xml:space="preserve"> </w:t>
      </w:r>
      <w:r w:rsidRPr="006F6E2D">
        <w:rPr>
          <w:rFonts w:ascii="Arial" w:hAnsi="Arial" w:cs="Arial"/>
          <w:color w:val="242121"/>
          <w:shd w:val="clear" w:color="auto" w:fill="FFFFFF"/>
        </w:rPr>
        <w:t>highlighted that</w:t>
      </w:r>
      <w:r w:rsidR="00CF71DD" w:rsidRPr="006F6E2D">
        <w:rPr>
          <w:rFonts w:ascii="Arial" w:hAnsi="Arial" w:cs="Arial"/>
          <w:color w:val="242121"/>
          <w:shd w:val="clear" w:color="auto" w:fill="FFFFFF"/>
        </w:rPr>
        <w:t xml:space="preserve"> </w:t>
      </w:r>
      <w:r w:rsidRPr="006F6E2D">
        <w:rPr>
          <w:rFonts w:ascii="Arial" w:hAnsi="Arial" w:cs="Arial"/>
          <w:i/>
          <w:iCs/>
          <w:color w:val="242121"/>
          <w:shd w:val="clear" w:color="auto" w:fill="FFFFFF"/>
        </w:rPr>
        <w:t>Cape Metropolitan Council</w:t>
      </w:r>
      <w:r w:rsidR="00625432" w:rsidRPr="006F6E2D">
        <w:rPr>
          <w:rStyle w:val="FootnoteReference"/>
          <w:rFonts w:ascii="Arial" w:hAnsi="Arial" w:cs="Arial"/>
          <w:iCs/>
          <w:color w:val="242121"/>
          <w:shd w:val="clear" w:color="auto" w:fill="FFFFFF"/>
          <w:vertAlign w:val="superscript"/>
        </w:rPr>
        <w:footnoteReference w:id="22"/>
      </w:r>
      <w:r w:rsidR="001C1577" w:rsidRPr="006F6E2D">
        <w:rPr>
          <w:rFonts w:ascii="Arial" w:hAnsi="Arial" w:cs="Arial"/>
          <w:i/>
          <w:iCs/>
          <w:color w:val="242121"/>
          <w:shd w:val="clear" w:color="auto" w:fill="FFFFFF"/>
        </w:rPr>
        <w:t xml:space="preserve"> </w:t>
      </w:r>
      <w:r w:rsidRPr="006F6E2D">
        <w:rPr>
          <w:rFonts w:ascii="Arial" w:hAnsi="Arial" w:cs="Arial"/>
          <w:color w:val="242121"/>
          <w:shd w:val="clear" w:color="auto" w:fill="FFFFFF"/>
        </w:rPr>
        <w:t>is no authority for a general principle that a public authority empowered by statute to contract may always exercise its contractual rights without regard to public duties of fairness. More importantly, the court in</w:t>
      </w:r>
      <w:r w:rsidR="001C1577" w:rsidRPr="006F6E2D">
        <w:rPr>
          <w:rFonts w:ascii="Arial" w:hAnsi="Arial" w:cs="Arial"/>
          <w:color w:val="242121"/>
          <w:shd w:val="clear" w:color="auto" w:fill="FFFFFF"/>
        </w:rPr>
        <w:t xml:space="preserve"> </w:t>
      </w:r>
      <w:r w:rsidRPr="006F6E2D">
        <w:rPr>
          <w:rFonts w:ascii="Arial" w:hAnsi="Arial" w:cs="Arial"/>
          <w:i/>
          <w:iCs/>
          <w:color w:val="242121"/>
          <w:shd w:val="clear" w:color="auto" w:fill="FFFFFF"/>
        </w:rPr>
        <w:t>Logbro</w:t>
      </w:r>
      <w:r w:rsidR="001C1577" w:rsidRPr="006F6E2D">
        <w:rPr>
          <w:rFonts w:ascii="Arial" w:hAnsi="Arial" w:cs="Arial"/>
          <w:color w:val="242121"/>
          <w:shd w:val="clear" w:color="auto" w:fill="FFFFFF"/>
        </w:rPr>
        <w:t xml:space="preserve"> </w:t>
      </w:r>
      <w:r w:rsidRPr="006F6E2D">
        <w:rPr>
          <w:rFonts w:ascii="Arial" w:hAnsi="Arial" w:cs="Arial"/>
          <w:color w:val="242121"/>
          <w:shd w:val="clear" w:color="auto" w:fill="FFFFFF"/>
        </w:rPr>
        <w:t>stressed the distinguishing factors in that case that underpinned the court’s decision. It noted that the tender</w:t>
      </w:r>
      <w:r w:rsidR="00CF71DD" w:rsidRPr="006F6E2D">
        <w:rPr>
          <w:rFonts w:ascii="Arial" w:hAnsi="Arial" w:cs="Arial"/>
          <w:color w:val="242121"/>
          <w:shd w:val="clear" w:color="auto" w:fill="FFFFFF"/>
        </w:rPr>
        <w:t xml:space="preserve"> </w:t>
      </w:r>
      <w:r w:rsidRPr="006F6E2D">
        <w:rPr>
          <w:rFonts w:ascii="Arial" w:hAnsi="Arial" w:cs="Arial"/>
          <w:color w:val="242121"/>
          <w:shd w:val="clear" w:color="auto" w:fill="FFFFFF"/>
        </w:rPr>
        <w:t>and employment</w:t>
      </w:r>
      <w:r w:rsidRPr="006F6E2D">
        <w:rPr>
          <w:rFonts w:ascii="Arial" w:hAnsi="Arial" w:cs="Arial"/>
          <w:b/>
          <w:bCs/>
          <w:color w:val="242121"/>
          <w:shd w:val="clear" w:color="auto" w:fill="FFFFFF"/>
        </w:rPr>
        <w:t xml:space="preserve"> </w:t>
      </w:r>
      <w:r w:rsidRPr="006F6E2D">
        <w:rPr>
          <w:rFonts w:ascii="Arial" w:hAnsi="Arial" w:cs="Arial"/>
          <w:color w:val="242121"/>
          <w:shd w:val="clear" w:color="auto" w:fill="FFFFFF"/>
        </w:rPr>
        <w:t>cases were not relevant to the facts in</w:t>
      </w:r>
      <w:r w:rsidR="001C1577" w:rsidRPr="006F6E2D">
        <w:rPr>
          <w:rFonts w:ascii="Arial" w:hAnsi="Arial" w:cs="Arial"/>
          <w:color w:val="242121"/>
          <w:shd w:val="clear" w:color="auto" w:fill="FFFFFF"/>
        </w:rPr>
        <w:t xml:space="preserve"> </w:t>
      </w:r>
      <w:r w:rsidRPr="006F6E2D">
        <w:rPr>
          <w:rFonts w:ascii="Arial" w:hAnsi="Arial" w:cs="Arial"/>
          <w:i/>
          <w:iCs/>
          <w:color w:val="242121"/>
          <w:shd w:val="clear" w:color="auto" w:fill="FFFFFF"/>
        </w:rPr>
        <w:t>Cape Metropolitan Council</w:t>
      </w:r>
      <w:r w:rsidR="001C1577" w:rsidRPr="006F6E2D">
        <w:rPr>
          <w:rFonts w:ascii="Arial" w:hAnsi="Arial" w:cs="Arial"/>
          <w:color w:val="242121"/>
          <w:shd w:val="clear" w:color="auto" w:fill="FFFFFF"/>
        </w:rPr>
        <w:t xml:space="preserve"> </w:t>
      </w:r>
      <w:r w:rsidRPr="006F6E2D">
        <w:rPr>
          <w:rFonts w:ascii="Arial" w:hAnsi="Arial" w:cs="Arial"/>
          <w:color w:val="242121"/>
          <w:shd w:val="clear" w:color="auto" w:fill="FFFFFF"/>
        </w:rPr>
        <w:t>because of the equal power of the contracting parties in that case.”</w:t>
      </w:r>
      <w:r w:rsidR="00CF71DD" w:rsidRPr="006F6E2D">
        <w:rPr>
          <w:rStyle w:val="FootnoteReference"/>
          <w:rFonts w:ascii="Arial" w:hAnsi="Arial" w:cs="Arial"/>
          <w:color w:val="242121"/>
          <w:shd w:val="clear" w:color="auto" w:fill="FFFFFF"/>
          <w:vertAlign w:val="superscript"/>
        </w:rPr>
        <w:footnoteReference w:id="23"/>
      </w:r>
    </w:p>
    <w:p w:rsidR="00652BA9" w:rsidRPr="006F6E2D" w:rsidRDefault="00652BA9" w:rsidP="006F6E2D">
      <w:pPr>
        <w:widowControl w:val="0"/>
        <w:autoSpaceDE w:val="0"/>
        <w:autoSpaceDN w:val="0"/>
        <w:adjustRightInd w:val="0"/>
        <w:spacing w:after="0" w:line="360" w:lineRule="auto"/>
        <w:jc w:val="both"/>
        <w:rPr>
          <w:rFonts w:ascii="Arial" w:hAnsi="Arial" w:cs="Arial"/>
          <w:color w:val="000000"/>
          <w:sz w:val="24"/>
          <w:szCs w:val="24"/>
        </w:rPr>
      </w:pPr>
    </w:p>
    <w:p w:rsidR="00652BA9"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[58]</w:t>
      </w:r>
      <w:r w:rsidRPr="006F6E2D">
        <w:rPr>
          <w:rFonts w:ascii="Arial" w:hAnsi="Arial" w:cs="Arial"/>
          <w:color w:val="000000"/>
          <w:sz w:val="24"/>
          <w:szCs w:val="24"/>
        </w:rPr>
        <w:tab/>
      </w:r>
      <w:r w:rsidR="00652BA9" w:rsidRPr="00C0573E">
        <w:rPr>
          <w:rFonts w:ascii="Arial" w:hAnsi="Arial" w:cs="Arial"/>
          <w:color w:val="000000"/>
          <w:sz w:val="24"/>
          <w:szCs w:val="24"/>
        </w:rPr>
        <w:t>The notion of fairness and the principles of legitimate expectation, which are key to the concept of public law existed even before the current constitutional era.</w:t>
      </w:r>
      <w:r w:rsidR="00F87707" w:rsidRPr="006F6E2D">
        <w:rPr>
          <w:rStyle w:val="FootnoteReference"/>
          <w:rFonts w:ascii="Arial" w:hAnsi="Arial" w:cs="Arial"/>
          <w:color w:val="000000"/>
          <w:sz w:val="24"/>
          <w:szCs w:val="24"/>
          <w:vertAlign w:val="superscript"/>
        </w:rPr>
        <w:footnoteReference w:id="24"/>
      </w:r>
    </w:p>
    <w:p w:rsidR="00652BA9" w:rsidRPr="006F6E2D" w:rsidRDefault="00652BA9" w:rsidP="006F6E2D">
      <w:pPr>
        <w:widowControl w:val="0"/>
        <w:autoSpaceDE w:val="0"/>
        <w:autoSpaceDN w:val="0"/>
        <w:adjustRightInd w:val="0"/>
        <w:spacing w:after="0" w:line="360" w:lineRule="auto"/>
        <w:jc w:val="both"/>
        <w:rPr>
          <w:rFonts w:ascii="Arial" w:hAnsi="Arial" w:cs="Arial"/>
          <w:color w:val="000000"/>
          <w:sz w:val="24"/>
          <w:szCs w:val="24"/>
        </w:rPr>
      </w:pPr>
    </w:p>
    <w:p w:rsidR="00652BA9"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[59]</w:t>
      </w:r>
      <w:r w:rsidRPr="006F6E2D">
        <w:rPr>
          <w:rFonts w:ascii="Arial" w:hAnsi="Arial" w:cs="Arial"/>
          <w:color w:val="000000"/>
          <w:sz w:val="24"/>
          <w:szCs w:val="24"/>
        </w:rPr>
        <w:tab/>
      </w:r>
      <w:r w:rsidR="002B2684" w:rsidRPr="00C0573E">
        <w:rPr>
          <w:rFonts w:ascii="Arial" w:hAnsi="Arial" w:cs="Arial"/>
          <w:color w:val="000000"/>
          <w:sz w:val="24"/>
          <w:szCs w:val="24"/>
        </w:rPr>
        <w:t xml:space="preserve">In a separate but concurring </w:t>
      </w:r>
      <w:r w:rsidR="00654C38" w:rsidRPr="00C0573E">
        <w:rPr>
          <w:rFonts w:ascii="Arial" w:hAnsi="Arial" w:cs="Arial"/>
          <w:color w:val="000000"/>
          <w:sz w:val="24"/>
          <w:szCs w:val="24"/>
        </w:rPr>
        <w:t xml:space="preserve">judgment in </w:t>
      </w:r>
      <w:r w:rsidR="00654C38" w:rsidRPr="00C0573E">
        <w:rPr>
          <w:rFonts w:ascii="Arial" w:hAnsi="Arial" w:cs="Arial"/>
          <w:i/>
          <w:color w:val="000000"/>
          <w:sz w:val="24"/>
          <w:szCs w:val="24"/>
        </w:rPr>
        <w:t>SANParks</w:t>
      </w:r>
      <w:r w:rsidR="002B2684" w:rsidRPr="00C0573E">
        <w:rPr>
          <w:rFonts w:ascii="Arial" w:hAnsi="Arial" w:cs="Arial"/>
          <w:color w:val="000000"/>
          <w:sz w:val="24"/>
          <w:szCs w:val="24"/>
        </w:rPr>
        <w:t xml:space="preserve">, </w:t>
      </w:r>
      <w:r w:rsidR="00A539CD" w:rsidRPr="00C0573E">
        <w:rPr>
          <w:rFonts w:ascii="Arial" w:hAnsi="Arial" w:cs="Arial"/>
          <w:color w:val="000000"/>
          <w:sz w:val="24"/>
          <w:szCs w:val="24"/>
        </w:rPr>
        <w:t xml:space="preserve">Navsa JA </w:t>
      </w:r>
      <w:r w:rsidR="00036108" w:rsidRPr="00C0573E">
        <w:rPr>
          <w:rFonts w:ascii="Arial" w:hAnsi="Arial" w:cs="Arial"/>
          <w:color w:val="000000"/>
          <w:sz w:val="24"/>
          <w:szCs w:val="24"/>
        </w:rPr>
        <w:t xml:space="preserve">with </w:t>
      </w:r>
      <w:r w:rsidR="00A539CD" w:rsidRPr="00C0573E">
        <w:rPr>
          <w:rFonts w:ascii="Arial" w:hAnsi="Arial" w:cs="Arial"/>
          <w:color w:val="000000"/>
          <w:sz w:val="24"/>
          <w:szCs w:val="24"/>
        </w:rPr>
        <w:t>Davis AJA</w:t>
      </w:r>
      <w:r w:rsidR="00654C38" w:rsidRPr="00C0573E">
        <w:rPr>
          <w:rFonts w:ascii="Arial" w:hAnsi="Arial" w:cs="Arial"/>
          <w:color w:val="000000"/>
          <w:sz w:val="24"/>
          <w:szCs w:val="24"/>
        </w:rPr>
        <w:t>,</w:t>
      </w:r>
      <w:r w:rsidR="00036108" w:rsidRPr="00C0573E">
        <w:rPr>
          <w:rFonts w:ascii="Arial" w:hAnsi="Arial" w:cs="Arial"/>
          <w:color w:val="000000"/>
          <w:sz w:val="24"/>
          <w:szCs w:val="24"/>
        </w:rPr>
        <w:t xml:space="preserve"> </w:t>
      </w:r>
      <w:r w:rsidR="00652BA9" w:rsidRPr="00C0573E">
        <w:rPr>
          <w:rFonts w:ascii="Arial" w:hAnsi="Arial" w:cs="Arial"/>
          <w:color w:val="000000"/>
          <w:sz w:val="24"/>
          <w:szCs w:val="24"/>
        </w:rPr>
        <w:t>emphasi</w:t>
      </w:r>
      <w:r w:rsidR="00654C38" w:rsidRPr="00C0573E">
        <w:rPr>
          <w:rFonts w:ascii="Arial" w:hAnsi="Arial" w:cs="Arial"/>
          <w:color w:val="000000"/>
          <w:sz w:val="24"/>
          <w:szCs w:val="24"/>
        </w:rPr>
        <w:t>s</w:t>
      </w:r>
      <w:r w:rsidR="00652BA9" w:rsidRPr="00C0573E">
        <w:rPr>
          <w:rFonts w:ascii="Arial" w:hAnsi="Arial" w:cs="Arial"/>
          <w:color w:val="000000"/>
          <w:sz w:val="24"/>
          <w:szCs w:val="24"/>
        </w:rPr>
        <w:t xml:space="preserve">ed the </w:t>
      </w:r>
      <w:r w:rsidR="00A539CD" w:rsidRPr="00C0573E">
        <w:rPr>
          <w:rFonts w:ascii="Arial" w:hAnsi="Arial" w:cs="Arial"/>
          <w:color w:val="000000"/>
          <w:sz w:val="24"/>
          <w:szCs w:val="24"/>
        </w:rPr>
        <w:t xml:space="preserve">principle set out in </w:t>
      </w:r>
      <w:r w:rsidR="00A539CD" w:rsidRPr="00C0573E">
        <w:rPr>
          <w:rFonts w:ascii="Arial" w:hAnsi="Arial" w:cs="Arial"/>
          <w:i/>
          <w:color w:val="000000"/>
          <w:sz w:val="24"/>
          <w:szCs w:val="24"/>
        </w:rPr>
        <w:t>Logb</w:t>
      </w:r>
      <w:r w:rsidR="000A4EF7" w:rsidRPr="00C0573E">
        <w:rPr>
          <w:rFonts w:ascii="Arial" w:hAnsi="Arial" w:cs="Arial"/>
          <w:i/>
          <w:color w:val="000000"/>
          <w:sz w:val="24"/>
          <w:szCs w:val="24"/>
        </w:rPr>
        <w:t>r</w:t>
      </w:r>
      <w:r w:rsidR="00A539CD" w:rsidRPr="00C0573E">
        <w:rPr>
          <w:rFonts w:ascii="Arial" w:hAnsi="Arial" w:cs="Arial"/>
          <w:i/>
          <w:color w:val="000000"/>
          <w:sz w:val="24"/>
          <w:szCs w:val="24"/>
        </w:rPr>
        <w:t>o</w:t>
      </w:r>
      <w:r w:rsidR="00A539CD" w:rsidRPr="00C0573E">
        <w:rPr>
          <w:rFonts w:ascii="Arial" w:hAnsi="Arial" w:cs="Arial"/>
          <w:color w:val="000000"/>
          <w:sz w:val="24"/>
          <w:szCs w:val="24"/>
        </w:rPr>
        <w:t xml:space="preserve"> </w:t>
      </w:r>
      <w:r w:rsidR="00652BA9" w:rsidRPr="00C0573E">
        <w:rPr>
          <w:rFonts w:ascii="Arial" w:hAnsi="Arial" w:cs="Arial"/>
          <w:color w:val="000000"/>
          <w:sz w:val="24"/>
          <w:szCs w:val="24"/>
        </w:rPr>
        <w:t>and said:</w:t>
      </w:r>
    </w:p>
    <w:p w:rsidR="00652BA9" w:rsidRPr="006F6E2D" w:rsidRDefault="00654C38"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w:t>
      </w:r>
      <w:r w:rsidR="000A4EF7" w:rsidRPr="006F6E2D">
        <w:rPr>
          <w:rFonts w:ascii="Arial" w:hAnsi="Arial" w:cs="Arial"/>
          <w:color w:val="000000"/>
        </w:rPr>
        <w:t>… [N]</w:t>
      </w:r>
      <w:r w:rsidR="00652BA9" w:rsidRPr="006F6E2D">
        <w:rPr>
          <w:rFonts w:ascii="Arial" w:hAnsi="Arial" w:cs="Arial"/>
          <w:color w:val="000000"/>
        </w:rPr>
        <w:t>otwithstanding a cont</w:t>
      </w:r>
      <w:r w:rsidR="003A1D16" w:rsidRPr="006F6E2D">
        <w:rPr>
          <w:rFonts w:ascii="Arial" w:hAnsi="Arial" w:cs="Arial"/>
          <w:color w:val="000000"/>
        </w:rPr>
        <w:t>ractual right of the provincial</w:t>
      </w:r>
      <w:r w:rsidR="00652BA9" w:rsidRPr="006F6E2D">
        <w:rPr>
          <w:rFonts w:ascii="Arial" w:hAnsi="Arial" w:cs="Arial"/>
          <w:color w:val="000000"/>
        </w:rPr>
        <w:t xml:space="preserve"> government to withdraw a tender, the relationshi</w:t>
      </w:r>
      <w:r w:rsidR="006210C7">
        <w:rPr>
          <w:rFonts w:ascii="Arial" w:hAnsi="Arial" w:cs="Arial"/>
          <w:color w:val="000000"/>
        </w:rPr>
        <w:t>p between the public authority a</w:t>
      </w:r>
      <w:r w:rsidR="00652BA9" w:rsidRPr="006F6E2D">
        <w:rPr>
          <w:rFonts w:ascii="Arial" w:hAnsi="Arial" w:cs="Arial"/>
          <w:color w:val="000000"/>
        </w:rPr>
        <w:t>n</w:t>
      </w:r>
      <w:r w:rsidR="006210C7">
        <w:rPr>
          <w:rFonts w:ascii="Arial" w:hAnsi="Arial" w:cs="Arial"/>
          <w:color w:val="000000"/>
        </w:rPr>
        <w:t>d</w:t>
      </w:r>
      <w:r w:rsidR="00652BA9" w:rsidRPr="006F6E2D">
        <w:rPr>
          <w:rFonts w:ascii="Arial" w:hAnsi="Arial" w:cs="Arial"/>
          <w:color w:val="000000"/>
        </w:rPr>
        <w:t xml:space="preserve"> the private tendering </w:t>
      </w:r>
      <w:r w:rsidRPr="006F6E2D">
        <w:rPr>
          <w:rFonts w:ascii="Arial" w:hAnsi="Arial" w:cs="Arial"/>
          <w:color w:val="000000"/>
        </w:rPr>
        <w:t xml:space="preserve">party </w:t>
      </w:r>
      <w:r w:rsidR="00652BA9" w:rsidRPr="006F6E2D">
        <w:rPr>
          <w:rFonts w:ascii="Arial" w:hAnsi="Arial" w:cs="Arial"/>
          <w:color w:val="000000"/>
        </w:rPr>
        <w:t>was governed by the principle of administrative law.</w:t>
      </w:r>
      <w:r w:rsidR="00A539CD" w:rsidRPr="006F6E2D">
        <w:rPr>
          <w:rFonts w:ascii="Arial" w:hAnsi="Arial" w:cs="Arial"/>
          <w:color w:val="000000"/>
        </w:rPr>
        <w:t>”</w:t>
      </w:r>
      <w:r w:rsidRPr="006F6E2D">
        <w:rPr>
          <w:rStyle w:val="FootnoteReference"/>
          <w:rFonts w:ascii="Arial" w:hAnsi="Arial" w:cs="Arial"/>
          <w:color w:val="000000"/>
          <w:vertAlign w:val="superscript"/>
        </w:rPr>
        <w:footnoteReference w:id="25"/>
      </w:r>
    </w:p>
    <w:p w:rsidR="00652BA9" w:rsidRPr="006F6E2D" w:rsidRDefault="00652BA9" w:rsidP="006F6E2D">
      <w:pPr>
        <w:widowControl w:val="0"/>
        <w:autoSpaceDE w:val="0"/>
        <w:autoSpaceDN w:val="0"/>
        <w:adjustRightInd w:val="0"/>
        <w:spacing w:after="0" w:line="360" w:lineRule="auto"/>
        <w:jc w:val="both"/>
        <w:rPr>
          <w:rFonts w:ascii="Arial" w:hAnsi="Arial" w:cs="Arial"/>
          <w:color w:val="000000"/>
          <w:sz w:val="24"/>
          <w:szCs w:val="24"/>
        </w:rPr>
      </w:pPr>
    </w:p>
    <w:p w:rsidR="00036108"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[60]</w:t>
      </w:r>
      <w:r w:rsidRPr="006F6E2D">
        <w:rPr>
          <w:rFonts w:ascii="Arial" w:hAnsi="Arial" w:cs="Arial"/>
          <w:color w:val="000000"/>
          <w:sz w:val="24"/>
          <w:szCs w:val="24"/>
        </w:rPr>
        <w:tab/>
      </w:r>
      <w:r w:rsidR="00036108" w:rsidRPr="00C0573E">
        <w:rPr>
          <w:rFonts w:ascii="Arial" w:hAnsi="Arial" w:cs="Arial"/>
          <w:color w:val="000000"/>
          <w:sz w:val="24"/>
          <w:szCs w:val="24"/>
        </w:rPr>
        <w:t xml:space="preserve">In dealing with the test </w:t>
      </w:r>
      <w:r w:rsidR="00365631" w:rsidRPr="00C0573E">
        <w:rPr>
          <w:rFonts w:ascii="Arial" w:hAnsi="Arial" w:cs="Arial"/>
          <w:color w:val="000000"/>
          <w:sz w:val="24"/>
          <w:szCs w:val="24"/>
        </w:rPr>
        <w:t>to determine</w:t>
      </w:r>
      <w:r w:rsidR="00036108" w:rsidRPr="00C0573E">
        <w:rPr>
          <w:rFonts w:ascii="Arial" w:hAnsi="Arial" w:cs="Arial"/>
          <w:color w:val="000000"/>
          <w:sz w:val="24"/>
          <w:szCs w:val="24"/>
        </w:rPr>
        <w:t xml:space="preserve"> whether to apply administrative or contractual principles in a controversy involving </w:t>
      </w:r>
      <w:r w:rsidR="00365631" w:rsidRPr="00C0573E">
        <w:rPr>
          <w:rFonts w:ascii="Arial" w:hAnsi="Arial" w:cs="Arial"/>
          <w:color w:val="000000"/>
          <w:sz w:val="24"/>
          <w:szCs w:val="24"/>
        </w:rPr>
        <w:t xml:space="preserve">an </w:t>
      </w:r>
      <w:r w:rsidR="00036108" w:rsidRPr="00C0573E">
        <w:rPr>
          <w:rFonts w:ascii="Arial" w:hAnsi="Arial" w:cs="Arial"/>
          <w:color w:val="000000"/>
          <w:sz w:val="24"/>
          <w:szCs w:val="24"/>
        </w:rPr>
        <w:t>organ of state and a private entity</w:t>
      </w:r>
      <w:r w:rsidR="007E0D4A" w:rsidRPr="00C0573E">
        <w:rPr>
          <w:rFonts w:ascii="Arial" w:hAnsi="Arial" w:cs="Arial"/>
          <w:color w:val="000000"/>
          <w:sz w:val="24"/>
          <w:szCs w:val="24"/>
        </w:rPr>
        <w:t>,</w:t>
      </w:r>
      <w:r w:rsidR="00036108" w:rsidRPr="00C0573E">
        <w:rPr>
          <w:rFonts w:ascii="Arial" w:hAnsi="Arial" w:cs="Arial"/>
          <w:color w:val="000000"/>
          <w:sz w:val="24"/>
          <w:szCs w:val="24"/>
        </w:rPr>
        <w:t xml:space="preserve"> </w:t>
      </w:r>
      <w:r w:rsidR="00036108" w:rsidRPr="00C0573E">
        <w:rPr>
          <w:rFonts w:ascii="Arial" w:hAnsi="Arial" w:cs="Arial"/>
          <w:color w:val="000000"/>
          <w:sz w:val="24"/>
          <w:szCs w:val="24"/>
        </w:rPr>
        <w:lastRenderedPageBreak/>
        <w:t>Navsa JA said:</w:t>
      </w:r>
    </w:p>
    <w:p w:rsidR="00036108" w:rsidRPr="006F6E2D" w:rsidRDefault="00365631" w:rsidP="006F6E2D">
      <w:pPr>
        <w:pStyle w:val="NormalWeb"/>
        <w:shd w:val="clear" w:color="auto" w:fill="FFFFFF"/>
        <w:spacing w:before="144" w:beforeAutospacing="0" w:after="0" w:afterAutospacing="0" w:line="360" w:lineRule="auto"/>
        <w:ind w:left="567"/>
        <w:jc w:val="both"/>
        <w:rPr>
          <w:rFonts w:ascii="Arial" w:hAnsi="Arial" w:cs="Arial"/>
          <w:color w:val="242121"/>
          <w:sz w:val="22"/>
          <w:szCs w:val="22"/>
        </w:rPr>
      </w:pPr>
      <w:r w:rsidRPr="006F6E2D">
        <w:rPr>
          <w:rFonts w:ascii="Arial" w:hAnsi="Arial" w:cs="Arial"/>
          <w:color w:val="242121"/>
          <w:sz w:val="22"/>
          <w:szCs w:val="22"/>
        </w:rPr>
        <w:t>“</w:t>
      </w:r>
      <w:r w:rsidR="00036108" w:rsidRPr="006F6E2D">
        <w:rPr>
          <w:rFonts w:ascii="Arial" w:hAnsi="Arial" w:cs="Arial"/>
          <w:color w:val="242121"/>
          <w:sz w:val="22"/>
          <w:szCs w:val="22"/>
        </w:rPr>
        <w:t>There is no bright-line test for determining whether administrative principles intrude in relation to a contract involving an organ of state and a private party. However, there are indicators. One might rightly ask whether coercive state power can be brought to bear by a state organ on the private party. Further, one will be constrained to consider whether the public interest is affected by the exercise of the contractual right. In </w:t>
      </w:r>
      <w:r w:rsidR="00036108" w:rsidRPr="006F6E2D">
        <w:rPr>
          <w:rFonts w:ascii="Arial" w:hAnsi="Arial" w:cs="Arial"/>
          <w:i/>
          <w:iCs/>
          <w:color w:val="242121"/>
          <w:sz w:val="22"/>
          <w:szCs w:val="22"/>
        </w:rPr>
        <w:t>Bullock NO v Provincial Government, North West Province </w:t>
      </w:r>
      <w:r w:rsidRPr="006F6E2D">
        <w:rPr>
          <w:rFonts w:ascii="Arial" w:hAnsi="Arial" w:cs="Arial"/>
          <w:sz w:val="22"/>
          <w:szCs w:val="22"/>
        </w:rPr>
        <w:t>2004 (5) SA 262</w:t>
      </w:r>
      <w:r w:rsidR="00036108" w:rsidRPr="006F6E2D">
        <w:rPr>
          <w:rFonts w:ascii="Arial" w:hAnsi="Arial" w:cs="Arial"/>
          <w:color w:val="242121"/>
          <w:sz w:val="22"/>
          <w:szCs w:val="22"/>
        </w:rPr>
        <w:t> (SCA), this court considered whether the grant by the provincial authority of a servitude in relation to the relevant part of the foreshore of a dam constituted administrative action. In that case the right to a servitude was claimed in terms of a contract concluded decades before with the provincial authority’s predecessor. This court, in rejecting the claim as being purely contractual, said the following:</w:t>
      </w:r>
    </w:p>
    <w:p w:rsidR="00036108" w:rsidRPr="006F6E2D" w:rsidRDefault="00036108" w:rsidP="006F6E2D">
      <w:pPr>
        <w:pStyle w:val="NormalWeb"/>
        <w:shd w:val="clear" w:color="auto" w:fill="FFFFFF"/>
        <w:spacing w:before="144" w:beforeAutospacing="0" w:after="288" w:afterAutospacing="0" w:line="360" w:lineRule="auto"/>
        <w:ind w:left="1134"/>
        <w:jc w:val="both"/>
        <w:rPr>
          <w:rFonts w:ascii="Arial" w:hAnsi="Arial" w:cs="Arial"/>
          <w:color w:val="242121"/>
        </w:rPr>
      </w:pPr>
      <w:r w:rsidRPr="006F6E2D">
        <w:rPr>
          <w:rFonts w:ascii="Arial" w:hAnsi="Arial" w:cs="Arial"/>
          <w:color w:val="242121"/>
          <w:sz w:val="22"/>
          <w:szCs w:val="22"/>
        </w:rPr>
        <w:t>‘A decision by the first respondent to grant, in perpetuity, a right over part of the foreshore to one property owner to the exclusion of all other persons, significantly curtails access to that resource by the public. In my view, for the reasons which follow, the decision to grant the servitude can and must be classified as administrative action . . . .</w:t>
      </w:r>
      <w:r w:rsidR="00365631" w:rsidRPr="006F6E2D">
        <w:rPr>
          <w:rFonts w:ascii="Arial" w:hAnsi="Arial" w:cs="Arial"/>
          <w:color w:val="242121"/>
          <w:sz w:val="22"/>
          <w:szCs w:val="22"/>
        </w:rPr>
        <w:t>’</w:t>
      </w:r>
      <w:r w:rsidRPr="006F6E2D">
        <w:rPr>
          <w:rFonts w:ascii="Arial" w:hAnsi="Arial" w:cs="Arial"/>
          <w:color w:val="242121"/>
          <w:sz w:val="22"/>
          <w:szCs w:val="22"/>
        </w:rPr>
        <w:t>”</w:t>
      </w:r>
      <w:r w:rsidR="00365631" w:rsidRPr="006F6E2D">
        <w:rPr>
          <w:rStyle w:val="FootnoteReference"/>
          <w:rFonts w:ascii="Arial" w:hAnsi="Arial" w:cs="Arial"/>
          <w:color w:val="242121"/>
          <w:sz w:val="22"/>
          <w:szCs w:val="22"/>
          <w:vertAlign w:val="superscript"/>
        </w:rPr>
        <w:footnoteReference w:id="26"/>
      </w:r>
    </w:p>
    <w:p w:rsidR="00036108"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[61]</w:t>
      </w:r>
      <w:r w:rsidRPr="006F6E2D">
        <w:rPr>
          <w:rFonts w:ascii="Arial" w:hAnsi="Arial" w:cs="Arial"/>
          <w:color w:val="000000"/>
          <w:sz w:val="24"/>
          <w:szCs w:val="24"/>
        </w:rPr>
        <w:tab/>
      </w:r>
      <w:r w:rsidR="00036108" w:rsidRPr="00C0573E">
        <w:rPr>
          <w:rFonts w:ascii="Arial" w:hAnsi="Arial" w:cs="Arial"/>
          <w:color w:val="000000"/>
          <w:sz w:val="24"/>
          <w:szCs w:val="24"/>
        </w:rPr>
        <w:t>In concluding that the administrative law principle found application on the facts and the circumstances of that case</w:t>
      </w:r>
      <w:r w:rsidR="00365631" w:rsidRPr="00C0573E">
        <w:rPr>
          <w:rFonts w:ascii="Arial" w:hAnsi="Arial" w:cs="Arial"/>
          <w:color w:val="000000"/>
          <w:sz w:val="24"/>
          <w:szCs w:val="24"/>
        </w:rPr>
        <w:t>,</w:t>
      </w:r>
      <w:r w:rsidR="00036108" w:rsidRPr="00C0573E">
        <w:rPr>
          <w:rFonts w:ascii="Arial" w:hAnsi="Arial" w:cs="Arial"/>
          <w:color w:val="000000"/>
          <w:sz w:val="24"/>
          <w:szCs w:val="24"/>
        </w:rPr>
        <w:t xml:space="preserve"> Navsa JA held:</w:t>
      </w:r>
    </w:p>
    <w:p w:rsidR="00652BA9" w:rsidRPr="006F6E2D" w:rsidRDefault="00F30097"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t>“</w:t>
      </w:r>
      <w:r w:rsidRPr="006F6E2D">
        <w:rPr>
          <w:rFonts w:ascii="Arial" w:hAnsi="Arial" w:cs="Arial"/>
          <w:color w:val="242121"/>
        </w:rPr>
        <w:t>Proportionality is a constitutional watchword, the exercise of which, can be employed in adjudicating whether to import administrative law principles into cases involving an organ of state and a private party. In the present case, as demonstrated by our colleague, those indicators compel the conclusion reached by her, namely, that Parkscape and its members had a legitimate expectation to be consulted before the decision to vary the lease was made. The application of the administrative law principle that parties affected by a decision of an organ of state in this case can hardly be said to place a disproportionate burden on SANParks.”</w:t>
      </w:r>
      <w:r w:rsidR="00365631" w:rsidRPr="006F6E2D">
        <w:rPr>
          <w:rStyle w:val="FootnoteReference"/>
          <w:rFonts w:ascii="Arial" w:hAnsi="Arial" w:cs="Arial"/>
          <w:color w:val="242121"/>
          <w:vertAlign w:val="superscript"/>
        </w:rPr>
        <w:footnoteReference w:id="27"/>
      </w:r>
    </w:p>
    <w:p w:rsidR="00652BA9" w:rsidRPr="006F6E2D" w:rsidRDefault="00652BA9" w:rsidP="006F6E2D">
      <w:pPr>
        <w:widowControl w:val="0"/>
        <w:autoSpaceDE w:val="0"/>
        <w:autoSpaceDN w:val="0"/>
        <w:adjustRightInd w:val="0"/>
        <w:spacing w:after="0" w:line="360" w:lineRule="auto"/>
        <w:jc w:val="both"/>
        <w:rPr>
          <w:rFonts w:ascii="Arial" w:hAnsi="Arial" w:cs="Arial"/>
          <w:color w:val="000000"/>
          <w:sz w:val="24"/>
          <w:szCs w:val="24"/>
        </w:rPr>
      </w:pPr>
    </w:p>
    <w:p w:rsidR="00652BA9"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[62]</w:t>
      </w:r>
      <w:r w:rsidRPr="006F6E2D">
        <w:rPr>
          <w:rFonts w:ascii="Arial" w:hAnsi="Arial" w:cs="Arial"/>
          <w:color w:val="000000"/>
          <w:sz w:val="24"/>
          <w:szCs w:val="24"/>
        </w:rPr>
        <w:tab/>
      </w:r>
      <w:r w:rsidR="00652BA9" w:rsidRPr="00C0573E">
        <w:rPr>
          <w:rFonts w:ascii="Arial" w:hAnsi="Arial" w:cs="Arial"/>
          <w:color w:val="000000"/>
          <w:sz w:val="24"/>
          <w:szCs w:val="24"/>
        </w:rPr>
        <w:t>Rogers AJA</w:t>
      </w:r>
      <w:r w:rsidR="00365631" w:rsidRPr="00C0573E">
        <w:rPr>
          <w:rFonts w:ascii="Arial" w:hAnsi="Arial" w:cs="Arial"/>
          <w:color w:val="000000"/>
          <w:sz w:val="24"/>
          <w:szCs w:val="24"/>
        </w:rPr>
        <w:t>,</w:t>
      </w:r>
      <w:r w:rsidR="00652BA9" w:rsidRPr="00C0573E">
        <w:rPr>
          <w:rFonts w:ascii="Arial" w:hAnsi="Arial" w:cs="Arial"/>
          <w:color w:val="000000"/>
          <w:sz w:val="24"/>
          <w:szCs w:val="24"/>
        </w:rPr>
        <w:t xml:space="preserve"> in the minority judgment </w:t>
      </w:r>
      <w:r w:rsidR="00F30097" w:rsidRPr="00C0573E">
        <w:rPr>
          <w:rFonts w:ascii="Arial" w:hAnsi="Arial" w:cs="Arial"/>
          <w:color w:val="000000"/>
          <w:sz w:val="24"/>
          <w:szCs w:val="24"/>
        </w:rPr>
        <w:t xml:space="preserve">in </w:t>
      </w:r>
      <w:r w:rsidR="00F30097" w:rsidRPr="00C0573E">
        <w:rPr>
          <w:rFonts w:ascii="Arial" w:hAnsi="Arial" w:cs="Arial"/>
          <w:i/>
          <w:color w:val="000000"/>
          <w:sz w:val="24"/>
          <w:szCs w:val="24"/>
        </w:rPr>
        <w:t>SANParks</w:t>
      </w:r>
      <w:r w:rsidR="00365631" w:rsidRPr="00C0573E">
        <w:rPr>
          <w:rFonts w:ascii="Arial" w:hAnsi="Arial" w:cs="Arial"/>
          <w:color w:val="000000"/>
          <w:sz w:val="24"/>
          <w:szCs w:val="24"/>
        </w:rPr>
        <w:t>,</w:t>
      </w:r>
      <w:r w:rsidR="00F30097" w:rsidRPr="00C0573E">
        <w:rPr>
          <w:rFonts w:ascii="Arial" w:hAnsi="Arial" w:cs="Arial"/>
          <w:color w:val="000000"/>
          <w:sz w:val="24"/>
          <w:szCs w:val="24"/>
        </w:rPr>
        <w:t xml:space="preserve"> adopted </w:t>
      </w:r>
      <w:r w:rsidR="00652BA9" w:rsidRPr="00C0573E">
        <w:rPr>
          <w:rFonts w:ascii="Arial" w:hAnsi="Arial" w:cs="Arial"/>
          <w:color w:val="000000"/>
          <w:sz w:val="24"/>
          <w:szCs w:val="24"/>
        </w:rPr>
        <w:t xml:space="preserve">a different approach to the majority’s decision. </w:t>
      </w:r>
      <w:r w:rsidR="00365631" w:rsidRPr="00C0573E">
        <w:rPr>
          <w:rFonts w:ascii="Arial" w:hAnsi="Arial" w:cs="Arial"/>
          <w:color w:val="000000"/>
          <w:sz w:val="24"/>
          <w:szCs w:val="24"/>
        </w:rPr>
        <w:t xml:space="preserve"> </w:t>
      </w:r>
      <w:r w:rsidR="00652BA9" w:rsidRPr="00C0573E">
        <w:rPr>
          <w:rFonts w:ascii="Arial" w:hAnsi="Arial" w:cs="Arial"/>
          <w:color w:val="000000"/>
          <w:sz w:val="24"/>
          <w:szCs w:val="24"/>
        </w:rPr>
        <w:t>Although the learned Judge agreed with the majority’s decision that the lease agreement was an</w:t>
      </w:r>
      <w:r w:rsidR="00F30097" w:rsidRPr="00C0573E">
        <w:rPr>
          <w:rFonts w:ascii="Arial" w:hAnsi="Arial" w:cs="Arial"/>
          <w:color w:val="000000"/>
          <w:sz w:val="24"/>
          <w:szCs w:val="24"/>
        </w:rPr>
        <w:t xml:space="preserve"> exercise of public power</w:t>
      </w:r>
      <w:r w:rsidR="00365631" w:rsidRPr="00C0573E">
        <w:rPr>
          <w:rFonts w:ascii="Arial" w:hAnsi="Arial" w:cs="Arial"/>
          <w:color w:val="000000"/>
          <w:sz w:val="24"/>
          <w:szCs w:val="24"/>
        </w:rPr>
        <w:t>,</w:t>
      </w:r>
      <w:r w:rsidR="00F30097" w:rsidRPr="00C0573E">
        <w:rPr>
          <w:rFonts w:ascii="Arial" w:hAnsi="Arial" w:cs="Arial"/>
          <w:color w:val="000000"/>
          <w:sz w:val="24"/>
          <w:szCs w:val="24"/>
        </w:rPr>
        <w:t xml:space="preserve"> h</w:t>
      </w:r>
      <w:r w:rsidR="00652BA9" w:rsidRPr="00C0573E">
        <w:rPr>
          <w:rFonts w:ascii="Arial" w:hAnsi="Arial" w:cs="Arial"/>
          <w:color w:val="000000"/>
          <w:sz w:val="24"/>
          <w:szCs w:val="24"/>
        </w:rPr>
        <w:t>e</w:t>
      </w:r>
      <w:r w:rsidR="007E0D4A" w:rsidRPr="00C0573E">
        <w:rPr>
          <w:rFonts w:ascii="Arial" w:hAnsi="Arial" w:cs="Arial"/>
          <w:color w:val="000000"/>
          <w:sz w:val="24"/>
          <w:szCs w:val="24"/>
        </w:rPr>
        <w:t>,</w:t>
      </w:r>
      <w:r w:rsidR="00652BA9" w:rsidRPr="00C0573E">
        <w:rPr>
          <w:rFonts w:ascii="Arial" w:hAnsi="Arial" w:cs="Arial"/>
          <w:color w:val="000000"/>
          <w:sz w:val="24"/>
          <w:szCs w:val="24"/>
        </w:rPr>
        <w:t xml:space="preserve"> to the contrary, held that:</w:t>
      </w:r>
    </w:p>
    <w:p w:rsidR="00652BA9" w:rsidRPr="006F6E2D" w:rsidRDefault="00365631" w:rsidP="006F6E2D">
      <w:pPr>
        <w:widowControl w:val="0"/>
        <w:autoSpaceDE w:val="0"/>
        <w:autoSpaceDN w:val="0"/>
        <w:adjustRightInd w:val="0"/>
        <w:spacing w:after="0" w:line="360" w:lineRule="auto"/>
        <w:ind w:left="567"/>
        <w:jc w:val="both"/>
        <w:rPr>
          <w:rFonts w:ascii="Arial" w:hAnsi="Arial" w:cs="Arial"/>
          <w:color w:val="000000"/>
        </w:rPr>
      </w:pPr>
      <w:r w:rsidRPr="006F6E2D">
        <w:rPr>
          <w:rFonts w:ascii="Arial" w:hAnsi="Arial" w:cs="Arial"/>
          <w:color w:val="000000"/>
        </w:rPr>
        <w:lastRenderedPageBreak/>
        <w:t>“</w:t>
      </w:r>
      <w:r w:rsidR="00652BA9" w:rsidRPr="006F6E2D">
        <w:rPr>
          <w:rFonts w:ascii="Arial" w:hAnsi="Arial" w:cs="Arial"/>
          <w:color w:val="000000"/>
        </w:rPr>
        <w:t>However, once the contract came into existence, a commercial contract in which DWAF did not negotiate from a position of superiority, the exercise of its contractual right</w:t>
      </w:r>
      <w:r w:rsidR="00432D29" w:rsidRPr="006F6E2D">
        <w:rPr>
          <w:rFonts w:ascii="Arial" w:hAnsi="Arial" w:cs="Arial"/>
          <w:color w:val="000000"/>
        </w:rPr>
        <w:t>s</w:t>
      </w:r>
      <w:r w:rsidR="00652BA9" w:rsidRPr="006F6E2D">
        <w:rPr>
          <w:rFonts w:ascii="Arial" w:hAnsi="Arial" w:cs="Arial"/>
          <w:color w:val="000000"/>
        </w:rPr>
        <w:t xml:space="preserve"> was in my view</w:t>
      </w:r>
      <w:r w:rsidR="00432D29" w:rsidRPr="006F6E2D">
        <w:rPr>
          <w:rFonts w:ascii="Arial" w:hAnsi="Arial" w:cs="Arial"/>
          <w:color w:val="000000"/>
        </w:rPr>
        <w:t xml:space="preserve"> </w:t>
      </w:r>
      <w:r w:rsidR="00652BA9" w:rsidRPr="006F6E2D">
        <w:rPr>
          <w:rFonts w:ascii="Arial" w:hAnsi="Arial" w:cs="Arial"/>
          <w:color w:val="000000"/>
        </w:rPr>
        <w:t>a private matter.</w:t>
      </w:r>
      <w:r w:rsidRPr="006F6E2D">
        <w:rPr>
          <w:rFonts w:ascii="Arial" w:hAnsi="Arial" w:cs="Arial"/>
          <w:color w:val="000000"/>
        </w:rPr>
        <w:t>”</w:t>
      </w:r>
      <w:r w:rsidR="00432D29" w:rsidRPr="006F6E2D">
        <w:rPr>
          <w:rStyle w:val="FootnoteReference"/>
          <w:rFonts w:ascii="Arial" w:hAnsi="Arial" w:cs="Arial"/>
          <w:color w:val="000000"/>
          <w:vertAlign w:val="superscript"/>
        </w:rPr>
        <w:footnoteReference w:id="28"/>
      </w:r>
    </w:p>
    <w:p w:rsidR="00652BA9" w:rsidRPr="006F6E2D" w:rsidRDefault="00652BA9" w:rsidP="006F6E2D">
      <w:pPr>
        <w:widowControl w:val="0"/>
        <w:autoSpaceDE w:val="0"/>
        <w:autoSpaceDN w:val="0"/>
        <w:adjustRightInd w:val="0"/>
        <w:spacing w:after="0" w:line="360" w:lineRule="auto"/>
        <w:jc w:val="both"/>
        <w:rPr>
          <w:rFonts w:ascii="Arial" w:hAnsi="Arial" w:cs="Arial"/>
          <w:color w:val="000000"/>
          <w:sz w:val="24"/>
          <w:szCs w:val="24"/>
        </w:rPr>
      </w:pPr>
    </w:p>
    <w:p w:rsidR="00652BA9"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[63]</w:t>
      </w:r>
      <w:r w:rsidRPr="006F6E2D">
        <w:rPr>
          <w:rFonts w:ascii="Arial" w:hAnsi="Arial" w:cs="Arial"/>
          <w:color w:val="000000"/>
          <w:sz w:val="24"/>
          <w:szCs w:val="24"/>
        </w:rPr>
        <w:tab/>
      </w:r>
      <w:r w:rsidR="00652BA9" w:rsidRPr="00C0573E">
        <w:rPr>
          <w:rFonts w:ascii="Arial" w:hAnsi="Arial" w:cs="Arial"/>
          <w:color w:val="000000"/>
          <w:sz w:val="24"/>
          <w:szCs w:val="24"/>
        </w:rPr>
        <w:t xml:space="preserve">The learned Judge further held that the only relevant "power" which SANParks had was the contractual power contained in clause 10.5 of the lease agreement. </w:t>
      </w:r>
      <w:r w:rsidR="00432D29" w:rsidRPr="00C0573E">
        <w:rPr>
          <w:rFonts w:ascii="Arial" w:hAnsi="Arial" w:cs="Arial"/>
          <w:color w:val="000000"/>
          <w:sz w:val="24"/>
          <w:szCs w:val="24"/>
        </w:rPr>
        <w:t xml:space="preserve"> </w:t>
      </w:r>
      <w:r w:rsidR="00652BA9" w:rsidRPr="00C0573E">
        <w:rPr>
          <w:rFonts w:ascii="Arial" w:hAnsi="Arial" w:cs="Arial"/>
          <w:color w:val="000000"/>
          <w:sz w:val="24"/>
          <w:szCs w:val="24"/>
        </w:rPr>
        <w:t xml:space="preserve">This clause was found not to be </w:t>
      </w:r>
      <w:r w:rsidR="00432D29" w:rsidRPr="00C0573E">
        <w:rPr>
          <w:rFonts w:ascii="Arial" w:hAnsi="Arial" w:cs="Arial"/>
          <w:color w:val="000000"/>
          <w:sz w:val="24"/>
          <w:szCs w:val="24"/>
        </w:rPr>
        <w:t>“</w:t>
      </w:r>
      <w:r w:rsidR="00652BA9" w:rsidRPr="00C0573E">
        <w:rPr>
          <w:rFonts w:ascii="Arial" w:hAnsi="Arial" w:cs="Arial"/>
          <w:color w:val="000000"/>
          <w:sz w:val="24"/>
          <w:szCs w:val="24"/>
        </w:rPr>
        <w:t>a governmental power masquerading as a contractual power</w:t>
      </w:r>
      <w:r w:rsidR="00432D29" w:rsidRPr="00C0573E">
        <w:rPr>
          <w:rFonts w:ascii="Arial" w:hAnsi="Arial" w:cs="Arial"/>
          <w:color w:val="000000"/>
          <w:sz w:val="24"/>
          <w:szCs w:val="24"/>
        </w:rPr>
        <w:t>”. It was found to be a “</w:t>
      </w:r>
      <w:r w:rsidR="00652BA9" w:rsidRPr="00C0573E">
        <w:rPr>
          <w:rFonts w:ascii="Arial" w:hAnsi="Arial" w:cs="Arial"/>
          <w:color w:val="000000"/>
          <w:sz w:val="24"/>
          <w:szCs w:val="24"/>
        </w:rPr>
        <w:t xml:space="preserve">narrow contractual provision applicable to </w:t>
      </w:r>
      <w:r w:rsidR="00432D29" w:rsidRPr="00C0573E">
        <w:rPr>
          <w:rFonts w:ascii="Arial" w:hAnsi="Arial" w:cs="Arial"/>
          <w:color w:val="000000"/>
          <w:sz w:val="24"/>
          <w:szCs w:val="24"/>
        </w:rPr>
        <w:t>[</w:t>
      </w:r>
      <w:r w:rsidR="00652BA9" w:rsidRPr="00C0573E">
        <w:rPr>
          <w:rFonts w:ascii="Arial" w:hAnsi="Arial" w:cs="Arial"/>
          <w:color w:val="000000"/>
          <w:sz w:val="24"/>
          <w:szCs w:val="24"/>
        </w:rPr>
        <w:t>the</w:t>
      </w:r>
      <w:r w:rsidR="00432D29" w:rsidRPr="00C0573E">
        <w:rPr>
          <w:rFonts w:ascii="Arial" w:hAnsi="Arial" w:cs="Arial"/>
          <w:color w:val="000000"/>
          <w:sz w:val="24"/>
          <w:szCs w:val="24"/>
        </w:rPr>
        <w:t>]</w:t>
      </w:r>
      <w:r w:rsidR="00652BA9" w:rsidRPr="00C0573E">
        <w:rPr>
          <w:rFonts w:ascii="Arial" w:hAnsi="Arial" w:cs="Arial"/>
          <w:color w:val="000000"/>
          <w:sz w:val="24"/>
          <w:szCs w:val="24"/>
        </w:rPr>
        <w:t xml:space="preserve"> particular commercial lease.</w:t>
      </w:r>
      <w:r w:rsidR="00F30097" w:rsidRPr="00C0573E">
        <w:rPr>
          <w:rFonts w:ascii="Arial" w:hAnsi="Arial" w:cs="Arial"/>
          <w:color w:val="000000"/>
          <w:sz w:val="24"/>
          <w:szCs w:val="24"/>
        </w:rPr>
        <w:t>”</w:t>
      </w:r>
      <w:r w:rsidR="00432D29" w:rsidRPr="006F6E2D">
        <w:rPr>
          <w:rStyle w:val="FootnoteReference"/>
          <w:rFonts w:ascii="Arial" w:hAnsi="Arial" w:cs="Arial"/>
          <w:color w:val="000000"/>
          <w:sz w:val="24"/>
          <w:szCs w:val="24"/>
          <w:vertAlign w:val="superscript"/>
        </w:rPr>
        <w:footnoteReference w:id="29"/>
      </w:r>
    </w:p>
    <w:p w:rsidR="007D5C88" w:rsidRPr="006F6E2D" w:rsidRDefault="007D5C88" w:rsidP="006F6E2D">
      <w:pPr>
        <w:pStyle w:val="ListParagraph"/>
        <w:widowControl w:val="0"/>
        <w:autoSpaceDE w:val="0"/>
        <w:autoSpaceDN w:val="0"/>
        <w:adjustRightInd w:val="0"/>
        <w:spacing w:after="0" w:line="360" w:lineRule="auto"/>
        <w:ind w:left="0"/>
        <w:jc w:val="both"/>
        <w:rPr>
          <w:rFonts w:ascii="Arial" w:hAnsi="Arial" w:cs="Arial"/>
          <w:color w:val="000000"/>
          <w:sz w:val="24"/>
          <w:szCs w:val="24"/>
        </w:rPr>
      </w:pPr>
    </w:p>
    <w:p w:rsidR="00CE743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[64]</w:t>
      </w:r>
      <w:r w:rsidRPr="006F6E2D">
        <w:rPr>
          <w:rFonts w:ascii="Arial" w:hAnsi="Arial" w:cs="Arial"/>
          <w:color w:val="000000"/>
          <w:sz w:val="24"/>
          <w:szCs w:val="24"/>
        </w:rPr>
        <w:tab/>
      </w:r>
      <w:r w:rsidR="00E92D9B" w:rsidRPr="00C0573E">
        <w:rPr>
          <w:rFonts w:ascii="Arial" w:hAnsi="Arial" w:cs="Arial"/>
          <w:color w:val="000000"/>
          <w:sz w:val="24"/>
          <w:szCs w:val="24"/>
        </w:rPr>
        <w:t xml:space="preserve"> </w:t>
      </w:r>
      <w:r w:rsidR="007D5C88" w:rsidRPr="00C0573E">
        <w:rPr>
          <w:rFonts w:ascii="Arial" w:hAnsi="Arial" w:cs="Arial"/>
          <w:color w:val="000000"/>
          <w:sz w:val="24"/>
          <w:szCs w:val="24"/>
        </w:rPr>
        <w:t xml:space="preserve">As stated above the decision of the SAPS to accept MTN’s proposal was an administration action as envisaged under PAJA. The question that then follows is whether such action is reviewable. </w:t>
      </w:r>
    </w:p>
    <w:p w:rsidR="00CE743E" w:rsidRPr="006F6E2D" w:rsidRDefault="00CE743E" w:rsidP="006F6E2D">
      <w:pPr>
        <w:pStyle w:val="ListParagraph"/>
        <w:spacing w:line="360" w:lineRule="auto"/>
        <w:rPr>
          <w:rFonts w:ascii="Arial" w:hAnsi="Arial" w:cs="Arial"/>
          <w:color w:val="000000"/>
          <w:sz w:val="24"/>
          <w:szCs w:val="24"/>
        </w:rPr>
      </w:pPr>
    </w:p>
    <w:p w:rsidR="00CE743E"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[65]</w:t>
      </w:r>
      <w:r w:rsidRPr="006F6E2D">
        <w:rPr>
          <w:rFonts w:ascii="Arial" w:hAnsi="Arial" w:cs="Arial"/>
          <w:color w:val="000000"/>
          <w:sz w:val="24"/>
          <w:szCs w:val="24"/>
        </w:rPr>
        <w:tab/>
      </w:r>
      <w:r w:rsidR="007D5C88" w:rsidRPr="00C0573E">
        <w:rPr>
          <w:rFonts w:ascii="Arial" w:hAnsi="Arial" w:cs="Arial"/>
          <w:color w:val="000000"/>
          <w:sz w:val="24"/>
          <w:szCs w:val="24"/>
        </w:rPr>
        <w:t xml:space="preserve">In my view, the SAPS committed a material and reviewable irregularity when it compared </w:t>
      </w:r>
      <w:r w:rsidR="00D56CD5" w:rsidRPr="00C0573E">
        <w:rPr>
          <w:rFonts w:ascii="Arial" w:hAnsi="Arial" w:cs="Arial"/>
          <w:color w:val="000000"/>
          <w:sz w:val="24"/>
          <w:szCs w:val="24"/>
        </w:rPr>
        <w:t>Vodacom’s network availability with MTN’s network coverage.</w:t>
      </w:r>
      <w:r w:rsidR="00E13978" w:rsidRPr="00C0573E">
        <w:rPr>
          <w:rFonts w:ascii="Arial" w:hAnsi="Arial" w:cs="Arial"/>
          <w:color w:val="000000"/>
          <w:sz w:val="24"/>
          <w:szCs w:val="24"/>
        </w:rPr>
        <w:t xml:space="preserve"> </w:t>
      </w:r>
      <w:r w:rsidR="002F5D06" w:rsidRPr="00C0573E">
        <w:rPr>
          <w:rFonts w:ascii="Arial" w:hAnsi="Arial" w:cs="Arial"/>
          <w:color w:val="000000"/>
          <w:sz w:val="24"/>
          <w:szCs w:val="24"/>
        </w:rPr>
        <w:t>The incorrect and wrongful comparison was highlight to the SAPS before making the impugned decision by its Legal Division.</w:t>
      </w:r>
      <w:r w:rsidR="00CE743E" w:rsidRPr="00C0573E">
        <w:rPr>
          <w:rFonts w:ascii="Arial" w:hAnsi="Arial" w:cs="Arial"/>
          <w:color w:val="000000"/>
          <w:sz w:val="24"/>
          <w:szCs w:val="24"/>
        </w:rPr>
        <w:t xml:space="preserve"> </w:t>
      </w:r>
      <w:r w:rsidR="00CE743E" w:rsidRPr="00C0573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alerting the decision maker about the wrongful comparison</w:t>
      </w:r>
      <w:r w:rsidR="00CE743E" w:rsidRPr="00C0573E">
        <w:rPr>
          <w:rFonts w:ascii="Arial" w:hAnsi="Arial" w:cs="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743E" w:rsidRPr="00C0573E">
        <w:rPr>
          <w:rFonts w:ascii="Arial" w:hAnsi="Arial" w:cs="Arial"/>
          <w:sz w:val="24"/>
          <w:szCs w:val="24"/>
          <w:lang w:val="en-GB"/>
        </w:rPr>
        <w:t>the SAPS’ Legal Division stated the following:</w:t>
      </w:r>
    </w:p>
    <w:p w:rsidR="00CE743E" w:rsidRPr="006F6E2D" w:rsidRDefault="00CE743E" w:rsidP="006210C7">
      <w:pPr>
        <w:pStyle w:val="FootnoteText"/>
        <w:spacing w:line="360" w:lineRule="auto"/>
        <w:ind w:left="720"/>
        <w:rPr>
          <w:rFonts w:ascii="Arial" w:hAnsi="Arial" w:cs="Arial"/>
          <w:color w:val="000000"/>
          <w:sz w:val="22"/>
          <w:szCs w:val="22"/>
        </w:rPr>
      </w:pPr>
      <w:r w:rsidRPr="006F6E2D">
        <w:rPr>
          <w:rFonts w:ascii="Arial" w:hAnsi="Arial" w:cs="Arial"/>
          <w:color w:val="000000"/>
          <w:sz w:val="22"/>
          <w:szCs w:val="22"/>
        </w:rPr>
        <w:t xml:space="preserve">"Vodacom indicated that the national network coverage is also 99%, but that this declined to 86% owing to load shedding. This office finds it strange that load shedding is only affecting Vodacom and not the other service providers. Load shedding should equally affect all service providers. It appears that the issue pertaining to load shedding was </w:t>
      </w:r>
      <w:r w:rsidR="000F3E9C" w:rsidRPr="006F6E2D">
        <w:rPr>
          <w:rFonts w:ascii="Arial" w:hAnsi="Arial" w:cs="Arial"/>
          <w:color w:val="000000"/>
          <w:sz w:val="22"/>
          <w:szCs w:val="22"/>
        </w:rPr>
        <w:t>only addressed by Voda</w:t>
      </w:r>
      <w:r w:rsidRPr="006F6E2D">
        <w:rPr>
          <w:rFonts w:ascii="Arial" w:hAnsi="Arial" w:cs="Arial"/>
          <w:color w:val="000000"/>
          <w:sz w:val="22"/>
          <w:szCs w:val="22"/>
        </w:rPr>
        <w:t xml:space="preserve">com and not by MTN or other service providers. If the issue of load shedding is not considered, the national network coverage for both MTN and Vodacom are both at 99% which would as a necessary implication affect the ranking of the service providers.” </w:t>
      </w:r>
    </w:p>
    <w:p w:rsidR="00CE743E" w:rsidRPr="006F6E2D" w:rsidRDefault="00CE743E" w:rsidP="006210C7">
      <w:pPr>
        <w:pStyle w:val="FootnoteText"/>
        <w:spacing w:line="360" w:lineRule="auto"/>
        <w:ind w:left="720"/>
        <w:rPr>
          <w:rFonts w:ascii="Arial" w:hAnsi="Arial" w:cs="Arial"/>
          <w:color w:val="000000" w:themeColor="text1"/>
          <w:sz w:val="22"/>
          <w:szCs w:val="22"/>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5C88"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[66]</w:t>
      </w:r>
      <w:r w:rsidRPr="006F6E2D">
        <w:rPr>
          <w:rFonts w:ascii="Arial" w:hAnsi="Arial" w:cs="Arial"/>
          <w:color w:val="000000"/>
          <w:sz w:val="24"/>
          <w:szCs w:val="24"/>
        </w:rPr>
        <w:tab/>
      </w:r>
      <w:r w:rsidR="00CE743E" w:rsidRPr="00C0573E">
        <w:rPr>
          <w:rFonts w:ascii="Arial" w:hAnsi="Arial" w:cs="Arial"/>
          <w:color w:val="000000"/>
          <w:sz w:val="24"/>
          <w:szCs w:val="24"/>
        </w:rPr>
        <w:t>Despite the above advice the SAPS</w:t>
      </w:r>
      <w:r w:rsidR="002F5D06" w:rsidRPr="00C0573E">
        <w:rPr>
          <w:rFonts w:ascii="Arial" w:hAnsi="Arial" w:cs="Arial"/>
          <w:color w:val="000000"/>
          <w:sz w:val="24"/>
          <w:szCs w:val="24"/>
        </w:rPr>
        <w:t xml:space="preserve"> proceeded with the comparison and produced the unfair</w:t>
      </w:r>
      <w:r w:rsidR="006210C7" w:rsidRPr="00C0573E">
        <w:rPr>
          <w:rFonts w:ascii="Arial" w:hAnsi="Arial" w:cs="Arial"/>
          <w:color w:val="000000"/>
          <w:sz w:val="24"/>
          <w:szCs w:val="24"/>
        </w:rPr>
        <w:t xml:space="preserve"> impugned</w:t>
      </w:r>
      <w:r w:rsidR="002F5D06" w:rsidRPr="00C0573E">
        <w:rPr>
          <w:rFonts w:ascii="Arial" w:hAnsi="Arial" w:cs="Arial"/>
          <w:color w:val="000000"/>
          <w:sz w:val="24"/>
          <w:szCs w:val="24"/>
        </w:rPr>
        <w:t xml:space="preserve"> decision.  </w:t>
      </w:r>
      <w:r w:rsidR="00E13978" w:rsidRPr="00C0573E">
        <w:rPr>
          <w:rFonts w:ascii="Arial" w:hAnsi="Arial" w:cs="Arial"/>
          <w:color w:val="000000"/>
          <w:sz w:val="24"/>
          <w:szCs w:val="24"/>
        </w:rPr>
        <w:t>This means irrelevant considerations were taken into account</w:t>
      </w:r>
      <w:r w:rsidR="00CE743E" w:rsidRPr="00C0573E">
        <w:rPr>
          <w:rFonts w:ascii="Arial" w:hAnsi="Arial" w:cs="Arial"/>
          <w:color w:val="000000"/>
          <w:sz w:val="24"/>
          <w:szCs w:val="24"/>
        </w:rPr>
        <w:t xml:space="preserve"> in arriving at the conclusion tha</w:t>
      </w:r>
      <w:r w:rsidR="006210C7" w:rsidRPr="00C0573E">
        <w:rPr>
          <w:rFonts w:ascii="Arial" w:hAnsi="Arial" w:cs="Arial"/>
          <w:color w:val="000000"/>
          <w:sz w:val="24"/>
          <w:szCs w:val="24"/>
        </w:rPr>
        <w:t>t MTN’s proposal should be acce</w:t>
      </w:r>
      <w:r w:rsidR="00CE743E" w:rsidRPr="00C0573E">
        <w:rPr>
          <w:rFonts w:ascii="Arial" w:hAnsi="Arial" w:cs="Arial"/>
          <w:color w:val="000000"/>
          <w:sz w:val="24"/>
          <w:szCs w:val="24"/>
        </w:rPr>
        <w:t>pted</w:t>
      </w:r>
      <w:r w:rsidR="00E13978" w:rsidRPr="00C0573E">
        <w:rPr>
          <w:rFonts w:ascii="Arial" w:hAnsi="Arial" w:cs="Arial"/>
          <w:color w:val="000000"/>
          <w:sz w:val="24"/>
          <w:szCs w:val="24"/>
        </w:rPr>
        <w:t xml:space="preserve">.  </w:t>
      </w:r>
      <w:r w:rsidR="00D56CD5" w:rsidRPr="00C0573E">
        <w:rPr>
          <w:rFonts w:ascii="Arial" w:hAnsi="Arial" w:cs="Arial"/>
          <w:color w:val="000000"/>
          <w:sz w:val="24"/>
          <w:szCs w:val="24"/>
        </w:rPr>
        <w:t xml:space="preserve"> These are two distinct and entirely different measurements. The decision </w:t>
      </w:r>
      <w:r w:rsidR="00D56CD5" w:rsidRPr="00C0573E">
        <w:rPr>
          <w:rFonts w:ascii="Arial" w:hAnsi="Arial" w:cs="Arial"/>
          <w:color w:val="000000"/>
          <w:sz w:val="24"/>
          <w:szCs w:val="24"/>
        </w:rPr>
        <w:lastRenderedPageBreak/>
        <w:t xml:space="preserve">is thus reviewable for this reason alone. </w:t>
      </w:r>
    </w:p>
    <w:p w:rsidR="00D56CD5" w:rsidRPr="006F6E2D" w:rsidRDefault="00D56CD5" w:rsidP="006F6E2D">
      <w:pPr>
        <w:pStyle w:val="ListParagraph"/>
        <w:spacing w:line="360" w:lineRule="auto"/>
        <w:rPr>
          <w:rFonts w:ascii="Arial" w:hAnsi="Arial" w:cs="Arial"/>
          <w:color w:val="000000"/>
          <w:sz w:val="24"/>
          <w:szCs w:val="24"/>
        </w:rPr>
      </w:pPr>
    </w:p>
    <w:p w:rsidR="00D56CD5"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[67]</w:t>
      </w:r>
      <w:r w:rsidRPr="006F6E2D">
        <w:rPr>
          <w:rFonts w:ascii="Arial" w:hAnsi="Arial" w:cs="Arial"/>
          <w:color w:val="000000"/>
          <w:sz w:val="24"/>
          <w:szCs w:val="24"/>
        </w:rPr>
        <w:tab/>
      </w:r>
      <w:r w:rsidR="00D56CD5" w:rsidRPr="00C0573E">
        <w:rPr>
          <w:rFonts w:ascii="Arial" w:hAnsi="Arial" w:cs="Arial"/>
          <w:color w:val="000000"/>
          <w:sz w:val="24"/>
          <w:szCs w:val="24"/>
        </w:rPr>
        <w:t>The decision is further reviewable because contrary to the express prohibition by the Transversal Agreement in clause 5.1.1.7, the SAPS accepted a proposal on category 1A that exceeded the sum of R500.00.</w:t>
      </w:r>
      <w:r w:rsidR="002C5269" w:rsidRPr="00C0573E">
        <w:rPr>
          <w:rFonts w:ascii="Arial" w:hAnsi="Arial" w:cs="Arial"/>
          <w:color w:val="000000"/>
          <w:sz w:val="24"/>
          <w:szCs w:val="24"/>
        </w:rPr>
        <w:t xml:space="preserve"> It is common cause that Vodacom </w:t>
      </w:r>
      <w:r w:rsidR="006210C7" w:rsidRPr="00C0573E">
        <w:rPr>
          <w:rFonts w:ascii="Arial" w:hAnsi="Arial" w:cs="Arial"/>
          <w:color w:val="000000"/>
          <w:sz w:val="24"/>
          <w:szCs w:val="24"/>
        </w:rPr>
        <w:t xml:space="preserve">offered </w:t>
      </w:r>
      <w:r w:rsidR="002C5269" w:rsidRPr="00C0573E">
        <w:rPr>
          <w:rFonts w:ascii="Arial" w:hAnsi="Arial" w:cs="Arial"/>
          <w:color w:val="000000"/>
          <w:sz w:val="24"/>
          <w:szCs w:val="24"/>
        </w:rPr>
        <w:t xml:space="preserve">lowest price and submitted the same network coverage as that of MTN. </w:t>
      </w:r>
      <w:r w:rsidR="00D56CD5" w:rsidRPr="00C0573E">
        <w:rPr>
          <w:rFonts w:ascii="Arial" w:hAnsi="Arial" w:cs="Arial"/>
          <w:color w:val="000000"/>
          <w:sz w:val="24"/>
          <w:szCs w:val="24"/>
        </w:rPr>
        <w:t xml:space="preserve"> </w:t>
      </w:r>
    </w:p>
    <w:p w:rsidR="00E13978" w:rsidRPr="006F6E2D" w:rsidRDefault="00E13978" w:rsidP="006F6E2D">
      <w:pPr>
        <w:pStyle w:val="ListParagraph"/>
        <w:spacing w:line="360" w:lineRule="auto"/>
        <w:rPr>
          <w:rFonts w:ascii="Arial" w:hAnsi="Arial" w:cs="Arial"/>
          <w:color w:val="000000"/>
          <w:sz w:val="24"/>
          <w:szCs w:val="24"/>
        </w:rPr>
      </w:pPr>
    </w:p>
    <w:p w:rsidR="00E13978"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[68]</w:t>
      </w:r>
      <w:r w:rsidRPr="006F6E2D">
        <w:rPr>
          <w:rFonts w:ascii="Arial" w:hAnsi="Arial" w:cs="Arial"/>
          <w:color w:val="000000"/>
          <w:sz w:val="24"/>
          <w:szCs w:val="24"/>
        </w:rPr>
        <w:tab/>
      </w:r>
      <w:r w:rsidR="00E13978" w:rsidRPr="00C0573E">
        <w:rPr>
          <w:rFonts w:ascii="Arial" w:hAnsi="Arial" w:cs="Arial"/>
          <w:color w:val="000000"/>
          <w:sz w:val="24"/>
          <w:szCs w:val="24"/>
        </w:rPr>
        <w:t xml:space="preserve">The decision is further vitiated by the post-award contracts. In breach of the mandatory provisions of the Transversal Agreement the SAPS and MTN did not sign and attach the accepted Proposal to the Participate Agreement as required by the Treasury. </w:t>
      </w:r>
      <w:r w:rsidR="004C3A4D" w:rsidRPr="00C0573E">
        <w:rPr>
          <w:rFonts w:ascii="Arial" w:hAnsi="Arial" w:cs="Arial"/>
          <w:color w:val="000000"/>
          <w:sz w:val="24"/>
          <w:szCs w:val="24"/>
        </w:rPr>
        <w:t xml:space="preserve">A different and new proposal was attached to the Participation Agreement. The SAPS also enacted Implementation Protocol that permitted it to procure different products from MTN at a higher </w:t>
      </w:r>
      <w:r w:rsidR="00977E7D" w:rsidRPr="00C0573E">
        <w:rPr>
          <w:rFonts w:ascii="Arial" w:hAnsi="Arial" w:cs="Arial"/>
          <w:color w:val="000000"/>
          <w:sz w:val="24"/>
          <w:szCs w:val="24"/>
        </w:rPr>
        <w:t>price</w:t>
      </w:r>
      <w:r w:rsidR="004C3A4D" w:rsidRPr="00C0573E">
        <w:rPr>
          <w:rFonts w:ascii="Arial" w:hAnsi="Arial" w:cs="Arial"/>
          <w:color w:val="000000"/>
          <w:sz w:val="24"/>
          <w:szCs w:val="24"/>
        </w:rPr>
        <w:t xml:space="preserve">. </w:t>
      </w:r>
    </w:p>
    <w:p w:rsidR="004C3A4D" w:rsidRPr="006F6E2D" w:rsidRDefault="004C3A4D" w:rsidP="006F6E2D">
      <w:pPr>
        <w:pStyle w:val="ListParagraph"/>
        <w:spacing w:line="360" w:lineRule="auto"/>
        <w:rPr>
          <w:rFonts w:ascii="Arial" w:hAnsi="Arial" w:cs="Arial"/>
          <w:color w:val="000000"/>
          <w:sz w:val="24"/>
          <w:szCs w:val="24"/>
        </w:rPr>
      </w:pPr>
    </w:p>
    <w:p w:rsidR="004C3A4D"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[69]</w:t>
      </w:r>
      <w:r w:rsidRPr="006F6E2D">
        <w:rPr>
          <w:rFonts w:ascii="Arial" w:hAnsi="Arial" w:cs="Arial"/>
          <w:color w:val="000000"/>
          <w:sz w:val="24"/>
          <w:szCs w:val="24"/>
        </w:rPr>
        <w:tab/>
      </w:r>
      <w:r w:rsidR="004C3A4D" w:rsidRPr="00C0573E">
        <w:rPr>
          <w:rFonts w:ascii="Arial" w:hAnsi="Arial" w:cs="Arial"/>
          <w:color w:val="000000"/>
          <w:sz w:val="24"/>
          <w:szCs w:val="24"/>
        </w:rPr>
        <w:t xml:space="preserve">In my view, even if the acceptance of MTN’s proposal was to be regarded as part of the Transversal Agreement, </w:t>
      </w:r>
      <w:r w:rsidR="003E1ADE" w:rsidRPr="00C0573E">
        <w:rPr>
          <w:rFonts w:ascii="Arial" w:hAnsi="Arial" w:cs="Arial"/>
          <w:color w:val="000000"/>
          <w:sz w:val="24"/>
          <w:szCs w:val="24"/>
        </w:rPr>
        <w:t xml:space="preserve">the relationship between SAPS, Vodacom and the others would continue to be </w:t>
      </w:r>
      <w:r w:rsidR="003536C9" w:rsidRPr="00C0573E">
        <w:rPr>
          <w:rFonts w:ascii="Arial" w:hAnsi="Arial" w:cs="Arial"/>
          <w:color w:val="000000"/>
          <w:sz w:val="24"/>
          <w:szCs w:val="24"/>
        </w:rPr>
        <w:t>covered by</w:t>
      </w:r>
      <w:r w:rsidR="004C3A4D" w:rsidRPr="00C0573E">
        <w:rPr>
          <w:rFonts w:ascii="Arial" w:hAnsi="Arial" w:cs="Arial"/>
          <w:color w:val="000000"/>
          <w:sz w:val="24"/>
          <w:szCs w:val="24"/>
        </w:rPr>
        <w:t xml:space="preserve"> the principle of administrative justice</w:t>
      </w:r>
      <w:r w:rsidR="003E1ADE" w:rsidRPr="00C0573E">
        <w:rPr>
          <w:rFonts w:ascii="Arial" w:hAnsi="Arial" w:cs="Arial"/>
          <w:color w:val="000000"/>
          <w:sz w:val="24"/>
          <w:szCs w:val="24"/>
        </w:rPr>
        <w:t xml:space="preserve"> by virtue of the nature of the agreement. In this respect i</w:t>
      </w:r>
      <w:r w:rsidR="004C3A4D" w:rsidRPr="00C0573E">
        <w:rPr>
          <w:rFonts w:ascii="Arial" w:hAnsi="Arial" w:cs="Arial"/>
          <w:color w:val="000000"/>
          <w:sz w:val="24"/>
          <w:szCs w:val="24"/>
        </w:rPr>
        <w:t>t is cle</w:t>
      </w:r>
      <w:r w:rsidR="00977E7D" w:rsidRPr="00C0573E">
        <w:rPr>
          <w:rFonts w:ascii="Arial" w:hAnsi="Arial" w:cs="Arial"/>
          <w:color w:val="000000"/>
          <w:sz w:val="24"/>
          <w:szCs w:val="24"/>
        </w:rPr>
        <w:t xml:space="preserve">ar from the analysis of the facts and the circumstances of this case that the SAPS’ decision affects public interest. </w:t>
      </w:r>
      <w:r w:rsidR="006210C7" w:rsidRPr="00C0573E">
        <w:rPr>
          <w:rFonts w:ascii="Arial" w:hAnsi="Arial" w:cs="Arial"/>
          <w:color w:val="000000"/>
          <w:sz w:val="24"/>
          <w:szCs w:val="24"/>
        </w:rPr>
        <w:t xml:space="preserve">As pointed out earlier a significant amount out of the public purse is to be spent on the project.  </w:t>
      </w:r>
    </w:p>
    <w:p w:rsidR="002C5269" w:rsidRPr="006F6E2D" w:rsidRDefault="002C5269" w:rsidP="006F6E2D">
      <w:pPr>
        <w:pStyle w:val="ListParagraph"/>
        <w:spacing w:line="360" w:lineRule="auto"/>
        <w:rPr>
          <w:rFonts w:ascii="Arial" w:hAnsi="Arial" w:cs="Arial"/>
          <w:color w:val="000000"/>
          <w:sz w:val="24"/>
          <w:szCs w:val="24"/>
        </w:rPr>
      </w:pPr>
    </w:p>
    <w:p w:rsidR="004B6092"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F6E2D">
        <w:rPr>
          <w:rFonts w:ascii="Arial" w:hAnsi="Arial" w:cs="Arial"/>
          <w:color w:val="000000"/>
          <w:sz w:val="24"/>
          <w:szCs w:val="24"/>
        </w:rPr>
        <w:t>[70]</w:t>
      </w:r>
      <w:r w:rsidRPr="006F6E2D">
        <w:rPr>
          <w:rFonts w:ascii="Arial" w:hAnsi="Arial" w:cs="Arial"/>
          <w:color w:val="000000"/>
          <w:sz w:val="24"/>
          <w:szCs w:val="24"/>
        </w:rPr>
        <w:tab/>
      </w:r>
      <w:r w:rsidR="002C5269" w:rsidRPr="00C0573E">
        <w:rPr>
          <w:rFonts w:ascii="Arial" w:hAnsi="Arial" w:cs="Arial"/>
          <w:color w:val="000000"/>
          <w:sz w:val="24"/>
          <w:szCs w:val="24"/>
        </w:rPr>
        <w:t xml:space="preserve">In the circumstances, Vodacom has successfully made out a case to review and set aside the </w:t>
      </w:r>
      <w:r w:rsidR="004B6092" w:rsidRPr="00C0573E">
        <w:rPr>
          <w:rFonts w:ascii="Arial" w:hAnsi="Arial" w:cs="Arial"/>
          <w:color w:val="000000"/>
          <w:sz w:val="24"/>
          <w:szCs w:val="24"/>
        </w:rPr>
        <w:t xml:space="preserve">SAPS’ </w:t>
      </w:r>
      <w:r w:rsidR="002C5269" w:rsidRPr="00C0573E">
        <w:rPr>
          <w:rFonts w:ascii="Arial" w:hAnsi="Arial" w:cs="Arial"/>
          <w:color w:val="000000"/>
          <w:sz w:val="24"/>
          <w:szCs w:val="24"/>
        </w:rPr>
        <w:t xml:space="preserve">administrative </w:t>
      </w:r>
      <w:r w:rsidR="004B6092" w:rsidRPr="00C0573E">
        <w:rPr>
          <w:rFonts w:ascii="Arial" w:hAnsi="Arial" w:cs="Arial"/>
          <w:color w:val="000000"/>
          <w:sz w:val="24"/>
          <w:szCs w:val="24"/>
        </w:rPr>
        <w:t xml:space="preserve">action </w:t>
      </w:r>
      <w:r w:rsidR="00CE743E" w:rsidRPr="00C0573E">
        <w:rPr>
          <w:rFonts w:ascii="Arial" w:hAnsi="Arial" w:cs="Arial"/>
          <w:color w:val="000000"/>
          <w:sz w:val="24"/>
          <w:szCs w:val="24"/>
        </w:rPr>
        <w:t xml:space="preserve">in terms section 6(2) </w:t>
      </w:r>
      <w:r w:rsidR="004B6092" w:rsidRPr="00C0573E">
        <w:rPr>
          <w:rFonts w:ascii="Arial" w:hAnsi="Arial" w:cs="Arial"/>
          <w:color w:val="000000"/>
          <w:sz w:val="24"/>
          <w:szCs w:val="24"/>
        </w:rPr>
        <w:t xml:space="preserve">of </w:t>
      </w:r>
      <w:r w:rsidR="00CE743E" w:rsidRPr="00C0573E">
        <w:rPr>
          <w:rFonts w:ascii="Arial" w:hAnsi="Arial" w:cs="Arial"/>
          <w:color w:val="000000"/>
          <w:sz w:val="24"/>
          <w:szCs w:val="24"/>
        </w:rPr>
        <w:t xml:space="preserve">PAJA.  What remains for determination is the issue of the </w:t>
      </w:r>
      <w:r w:rsidR="00204600" w:rsidRPr="00C0573E">
        <w:rPr>
          <w:rFonts w:ascii="Arial" w:hAnsi="Arial" w:cs="Arial"/>
          <w:color w:val="000000"/>
          <w:sz w:val="24"/>
          <w:szCs w:val="24"/>
        </w:rPr>
        <w:t>remedy?</w:t>
      </w:r>
      <w:r w:rsidR="00CE743E" w:rsidRPr="00C0573E">
        <w:rPr>
          <w:rFonts w:ascii="Arial" w:hAnsi="Arial" w:cs="Arial"/>
          <w:color w:val="000000"/>
          <w:sz w:val="24"/>
          <w:szCs w:val="24"/>
        </w:rPr>
        <w:t xml:space="preserve"> </w:t>
      </w:r>
      <w:r w:rsidR="00204600" w:rsidRPr="00C0573E">
        <w:rPr>
          <w:rFonts w:ascii="Arial" w:hAnsi="Arial" w:cs="Arial"/>
          <w:color w:val="000000"/>
          <w:sz w:val="24"/>
          <w:szCs w:val="24"/>
        </w:rPr>
        <w:t xml:space="preserve">In my view, the most appropriate remedy in the circumstances of this case is the remittal of the matter to the SAPS for reconsideration. </w:t>
      </w:r>
    </w:p>
    <w:p w:rsidR="006210C7" w:rsidRDefault="006210C7" w:rsidP="006F6E2D">
      <w:pPr>
        <w:pStyle w:val="ListParagraph"/>
        <w:widowControl w:val="0"/>
        <w:autoSpaceDE w:val="0"/>
        <w:autoSpaceDN w:val="0"/>
        <w:adjustRightInd w:val="0"/>
        <w:spacing w:after="0" w:line="360" w:lineRule="auto"/>
        <w:ind w:left="0"/>
        <w:jc w:val="both"/>
        <w:rPr>
          <w:rFonts w:ascii="Arial" w:hAnsi="Arial" w:cs="Arial"/>
          <w:b/>
          <w:color w:val="000000"/>
          <w:sz w:val="24"/>
          <w:szCs w:val="24"/>
        </w:rPr>
      </w:pPr>
    </w:p>
    <w:p w:rsidR="002C5269" w:rsidRPr="006F6E2D" w:rsidRDefault="00204600" w:rsidP="006F6E2D">
      <w:pPr>
        <w:pStyle w:val="ListParagraph"/>
        <w:widowControl w:val="0"/>
        <w:autoSpaceDE w:val="0"/>
        <w:autoSpaceDN w:val="0"/>
        <w:adjustRightInd w:val="0"/>
        <w:spacing w:after="0" w:line="360" w:lineRule="auto"/>
        <w:ind w:left="0"/>
        <w:jc w:val="both"/>
        <w:rPr>
          <w:rFonts w:ascii="Arial" w:hAnsi="Arial" w:cs="Arial"/>
          <w:b/>
          <w:color w:val="000000"/>
          <w:sz w:val="24"/>
          <w:szCs w:val="24"/>
        </w:rPr>
      </w:pPr>
      <w:r w:rsidRPr="006F6E2D">
        <w:rPr>
          <w:rFonts w:ascii="Arial" w:hAnsi="Arial" w:cs="Arial"/>
          <w:b/>
          <w:color w:val="000000"/>
          <w:sz w:val="24"/>
          <w:szCs w:val="24"/>
        </w:rPr>
        <w:t xml:space="preserve">Order </w:t>
      </w:r>
    </w:p>
    <w:p w:rsidR="00204600" w:rsidRPr="006F6E2D" w:rsidRDefault="00204600" w:rsidP="006F6E2D">
      <w:pPr>
        <w:pStyle w:val="ListParagraph"/>
        <w:spacing w:line="360" w:lineRule="auto"/>
        <w:rPr>
          <w:rFonts w:ascii="Arial" w:hAnsi="Arial" w:cs="Arial"/>
          <w:color w:val="000000"/>
          <w:sz w:val="24"/>
          <w:szCs w:val="24"/>
        </w:rPr>
      </w:pPr>
    </w:p>
    <w:p w:rsidR="00204600" w:rsidRPr="00C0573E" w:rsidRDefault="00C0573E" w:rsidP="00C0573E">
      <w:pPr>
        <w:widowControl w:val="0"/>
        <w:autoSpaceDE w:val="0"/>
        <w:autoSpaceDN w:val="0"/>
        <w:adjustRightInd w:val="0"/>
        <w:spacing w:after="0" w:line="360" w:lineRule="auto"/>
        <w:jc w:val="both"/>
        <w:rPr>
          <w:rFonts w:ascii="Arial" w:hAnsi="Arial" w:cs="Arial"/>
          <w:color w:val="000000"/>
          <w:sz w:val="24"/>
          <w:szCs w:val="24"/>
        </w:rPr>
      </w:pPr>
      <w:r w:rsidRPr="006210C7">
        <w:rPr>
          <w:rFonts w:ascii="Arial" w:hAnsi="Arial" w:cs="Arial"/>
          <w:color w:val="000000"/>
          <w:sz w:val="24"/>
          <w:szCs w:val="24"/>
        </w:rPr>
        <w:t>[71]</w:t>
      </w:r>
      <w:r w:rsidRPr="006210C7">
        <w:rPr>
          <w:rFonts w:ascii="Arial" w:hAnsi="Arial" w:cs="Arial"/>
          <w:color w:val="000000"/>
          <w:sz w:val="24"/>
          <w:szCs w:val="24"/>
        </w:rPr>
        <w:tab/>
      </w:r>
      <w:r w:rsidR="00204600" w:rsidRPr="00C0573E">
        <w:rPr>
          <w:rFonts w:ascii="Arial" w:hAnsi="Arial" w:cs="Arial"/>
          <w:color w:val="000000"/>
          <w:sz w:val="24"/>
          <w:szCs w:val="24"/>
        </w:rPr>
        <w:t xml:space="preserve">In the premises the following order is made: </w:t>
      </w:r>
    </w:p>
    <w:p w:rsidR="00D341BF"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D341BF" w:rsidRPr="00C0573E">
        <w:rPr>
          <w:rFonts w:ascii="Arial" w:hAnsi="Arial" w:cs="Arial"/>
          <w:color w:val="000000"/>
          <w:sz w:val="24"/>
          <w:szCs w:val="24"/>
        </w:rPr>
        <w:t xml:space="preserve"> The period for instituting proceedings as set out in section 7(1) of the </w:t>
      </w:r>
      <w:r w:rsidR="00D341BF" w:rsidRPr="00C0573E">
        <w:rPr>
          <w:rFonts w:ascii="Arial" w:hAnsi="Arial" w:cs="Arial"/>
          <w:color w:val="000000"/>
          <w:sz w:val="24"/>
          <w:szCs w:val="24"/>
        </w:rPr>
        <w:lastRenderedPageBreak/>
        <w:t>Promotion of Administrative Justice Act 3 of 2000 ("PAJA") is extended to the extent necessary in terms of section 9(2) of PAJA.</w:t>
      </w:r>
    </w:p>
    <w:p w:rsidR="007167ED" w:rsidRPr="006210C7" w:rsidRDefault="007167ED" w:rsidP="007167ED">
      <w:pPr>
        <w:pStyle w:val="ListParagraph"/>
        <w:widowControl w:val="0"/>
        <w:autoSpaceDE w:val="0"/>
        <w:autoSpaceDN w:val="0"/>
        <w:adjustRightInd w:val="0"/>
        <w:spacing w:after="0" w:line="360" w:lineRule="auto"/>
        <w:ind w:left="1276"/>
        <w:jc w:val="both"/>
        <w:rPr>
          <w:rFonts w:ascii="Arial" w:hAnsi="Arial" w:cs="Arial"/>
          <w:color w:val="000000"/>
          <w:sz w:val="24"/>
          <w:szCs w:val="24"/>
        </w:rPr>
      </w:pPr>
    </w:p>
    <w:p w:rsidR="00D341BF"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D341BF" w:rsidRPr="00C0573E">
        <w:rPr>
          <w:rFonts w:ascii="Arial" w:hAnsi="Arial" w:cs="Arial"/>
          <w:color w:val="000000"/>
          <w:sz w:val="24"/>
          <w:szCs w:val="24"/>
        </w:rPr>
        <w:t xml:space="preserve">The decision of the First Respondent to accept the Proposal submitted by Second Respondent for mobile offerings in Category 1A (Mobile Services with a Mobile Device) and or Category 1B (Mobile Services without a Mobile Device) and Category 2 (bulk sms services) under the Master Transversal Agreement RT15-2021 is reviewed and set aside. </w:t>
      </w:r>
    </w:p>
    <w:p w:rsidR="007167ED" w:rsidRPr="007167ED" w:rsidRDefault="007167ED" w:rsidP="007167ED">
      <w:pPr>
        <w:widowControl w:val="0"/>
        <w:autoSpaceDE w:val="0"/>
        <w:autoSpaceDN w:val="0"/>
        <w:adjustRightInd w:val="0"/>
        <w:spacing w:after="0" w:line="360" w:lineRule="auto"/>
        <w:jc w:val="both"/>
        <w:rPr>
          <w:rFonts w:ascii="Arial" w:hAnsi="Arial" w:cs="Arial"/>
          <w:color w:val="000000"/>
          <w:sz w:val="24"/>
          <w:szCs w:val="24"/>
        </w:rPr>
      </w:pPr>
    </w:p>
    <w:p w:rsidR="00D341BF"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D341BF" w:rsidRPr="00C0573E">
        <w:rPr>
          <w:rFonts w:ascii="Arial" w:hAnsi="Arial" w:cs="Arial"/>
          <w:color w:val="000000"/>
          <w:sz w:val="24"/>
          <w:szCs w:val="24"/>
        </w:rPr>
        <w:t xml:space="preserve">The decision of the First Respondent to accept the Proposal submitted by Applicant for mobile offerings in Category 1C (Mobile Device without a sim card) and Category 2 (USSD services only) under the Master Transversal Agreement RT15-2021 is reviewed and set aside. </w:t>
      </w:r>
    </w:p>
    <w:p w:rsidR="007167ED" w:rsidRPr="007167ED" w:rsidRDefault="007167ED" w:rsidP="007167ED">
      <w:pPr>
        <w:widowControl w:val="0"/>
        <w:autoSpaceDE w:val="0"/>
        <w:autoSpaceDN w:val="0"/>
        <w:adjustRightInd w:val="0"/>
        <w:spacing w:after="0" w:line="360" w:lineRule="auto"/>
        <w:jc w:val="both"/>
        <w:rPr>
          <w:rFonts w:ascii="Arial" w:hAnsi="Arial" w:cs="Arial"/>
          <w:color w:val="000000"/>
          <w:sz w:val="24"/>
          <w:szCs w:val="24"/>
        </w:rPr>
      </w:pPr>
    </w:p>
    <w:p w:rsidR="00D341BF"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D341BF" w:rsidRPr="00C0573E">
        <w:rPr>
          <w:rFonts w:ascii="Arial" w:hAnsi="Arial" w:cs="Arial"/>
          <w:color w:val="000000"/>
          <w:sz w:val="24"/>
          <w:szCs w:val="24"/>
        </w:rPr>
        <w:t xml:space="preserve">The matter is remitted to the First Respondent for reconsideration and determination. </w:t>
      </w:r>
    </w:p>
    <w:p w:rsidR="007167ED" w:rsidRPr="006210C7" w:rsidRDefault="007167ED" w:rsidP="007167ED">
      <w:pPr>
        <w:pStyle w:val="ListParagraph"/>
        <w:widowControl w:val="0"/>
        <w:autoSpaceDE w:val="0"/>
        <w:autoSpaceDN w:val="0"/>
        <w:adjustRightInd w:val="0"/>
        <w:spacing w:after="0" w:line="360" w:lineRule="auto"/>
        <w:ind w:left="1276"/>
        <w:jc w:val="both"/>
        <w:rPr>
          <w:rFonts w:ascii="Arial" w:hAnsi="Arial" w:cs="Arial"/>
          <w:color w:val="000000"/>
          <w:sz w:val="24"/>
          <w:szCs w:val="24"/>
        </w:rPr>
      </w:pPr>
    </w:p>
    <w:p w:rsidR="00204600"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D341BF" w:rsidRPr="00C0573E">
        <w:rPr>
          <w:rFonts w:ascii="Arial" w:hAnsi="Arial" w:cs="Arial"/>
          <w:color w:val="000000"/>
          <w:sz w:val="24"/>
          <w:szCs w:val="24"/>
        </w:rPr>
        <w:t xml:space="preserve">The First Respondent shall complete the reconsideration process within a period of 4 (four) weeks from the date of this order. </w:t>
      </w:r>
    </w:p>
    <w:p w:rsidR="007167ED" w:rsidRPr="007167ED" w:rsidRDefault="007167ED" w:rsidP="007167ED">
      <w:pPr>
        <w:pStyle w:val="ListParagraph"/>
        <w:rPr>
          <w:rFonts w:ascii="Arial" w:hAnsi="Arial" w:cs="Arial"/>
          <w:color w:val="000000"/>
          <w:sz w:val="24"/>
          <w:szCs w:val="24"/>
        </w:rPr>
      </w:pPr>
    </w:p>
    <w:p w:rsidR="007167ED" w:rsidRPr="00C0573E" w:rsidRDefault="00C0573E" w:rsidP="00C0573E">
      <w:pPr>
        <w:widowControl w:val="0"/>
        <w:autoSpaceDE w:val="0"/>
        <w:autoSpaceDN w:val="0"/>
        <w:adjustRightInd w:val="0"/>
        <w:spacing w:after="0" w:line="360" w:lineRule="auto"/>
        <w:ind w:left="1276" w:hanging="283"/>
        <w:jc w:val="both"/>
        <w:rPr>
          <w:rFonts w:ascii="Arial" w:hAnsi="Arial" w:cs="Arial"/>
          <w:color w:val="000000"/>
          <w:sz w:val="24"/>
          <w:szCs w:val="24"/>
        </w:rPr>
      </w:pPr>
      <w:r w:rsidRPr="006210C7">
        <w:rPr>
          <w:rFonts w:ascii="Arial" w:hAnsi="Arial" w:cs="Arial"/>
          <w:color w:val="000000"/>
          <w:sz w:val="24"/>
          <w:szCs w:val="24"/>
        </w:rPr>
        <w:t>6.</w:t>
      </w:r>
      <w:r w:rsidRPr="006210C7">
        <w:rPr>
          <w:rFonts w:ascii="Arial" w:hAnsi="Arial" w:cs="Arial"/>
          <w:color w:val="000000"/>
          <w:sz w:val="24"/>
          <w:szCs w:val="24"/>
        </w:rPr>
        <w:tab/>
      </w:r>
      <w:r w:rsidR="007167ED" w:rsidRPr="00C0573E">
        <w:rPr>
          <w:rFonts w:ascii="Arial" w:hAnsi="Arial" w:cs="Arial"/>
          <w:color w:val="000000"/>
          <w:sz w:val="24"/>
          <w:szCs w:val="24"/>
        </w:rPr>
        <w:t>The First and Second Respondents are to pay the costs of the application</w:t>
      </w:r>
      <w:r w:rsidR="00B44E49" w:rsidRPr="00C0573E">
        <w:rPr>
          <w:rFonts w:ascii="Arial" w:hAnsi="Arial" w:cs="Arial"/>
          <w:color w:val="000000"/>
          <w:sz w:val="24"/>
          <w:szCs w:val="24"/>
        </w:rPr>
        <w:t xml:space="preserve"> jointly and severally,</w:t>
      </w:r>
      <w:r w:rsidR="007167ED" w:rsidRPr="00C0573E">
        <w:rPr>
          <w:rFonts w:ascii="Arial" w:hAnsi="Arial" w:cs="Arial"/>
          <w:color w:val="000000"/>
          <w:sz w:val="24"/>
          <w:szCs w:val="24"/>
        </w:rPr>
        <w:t xml:space="preserve"> the one paying the other to be absolved. </w:t>
      </w:r>
    </w:p>
    <w:p w:rsidR="00D341BF" w:rsidRPr="006210C7" w:rsidRDefault="00D341BF" w:rsidP="006210C7">
      <w:pPr>
        <w:widowControl w:val="0"/>
        <w:autoSpaceDE w:val="0"/>
        <w:autoSpaceDN w:val="0"/>
        <w:adjustRightInd w:val="0"/>
        <w:spacing w:after="0" w:line="360" w:lineRule="auto"/>
        <w:ind w:left="2520"/>
        <w:jc w:val="both"/>
        <w:rPr>
          <w:rFonts w:ascii="Arial" w:hAnsi="Arial" w:cs="Arial"/>
          <w:color w:val="000000"/>
          <w:sz w:val="24"/>
          <w:szCs w:val="24"/>
        </w:rPr>
      </w:pPr>
      <w:r w:rsidRPr="006210C7">
        <w:rPr>
          <w:rFonts w:ascii="Arial" w:hAnsi="Arial" w:cs="Arial"/>
          <w:color w:val="000000"/>
          <w:sz w:val="24"/>
          <w:szCs w:val="24"/>
        </w:rPr>
        <w:t xml:space="preserve"> </w:t>
      </w:r>
    </w:p>
    <w:p w:rsidR="0025476A" w:rsidRDefault="0025476A" w:rsidP="0025476A">
      <w:pPr>
        <w:spacing w:line="480" w:lineRule="auto"/>
        <w:ind w:left="5040"/>
        <w:jc w:val="both"/>
        <w:rPr>
          <w:rFonts w:ascii="Arial" w:hAnsi="Arial" w:cs="Arial"/>
          <w:sz w:val="24"/>
          <w:szCs w:val="24"/>
        </w:rPr>
      </w:pPr>
      <w:r>
        <w:rPr>
          <w:rFonts w:ascii="Arial" w:hAnsi="Arial" w:cs="Arial"/>
          <w:sz w:val="24"/>
          <w:szCs w:val="24"/>
        </w:rPr>
        <w:t xml:space="preserve">________________ </w:t>
      </w:r>
    </w:p>
    <w:p w:rsidR="0025476A" w:rsidRDefault="0025476A" w:rsidP="0025476A">
      <w:pPr>
        <w:spacing w:line="480" w:lineRule="auto"/>
        <w:ind w:left="5040"/>
        <w:jc w:val="both"/>
        <w:rPr>
          <w:rFonts w:ascii="Arial" w:hAnsi="Arial" w:cs="Arial"/>
          <w:sz w:val="24"/>
          <w:szCs w:val="24"/>
        </w:rPr>
      </w:pPr>
      <w:r>
        <w:rPr>
          <w:rFonts w:ascii="Arial" w:hAnsi="Arial" w:cs="Arial"/>
          <w:sz w:val="24"/>
          <w:szCs w:val="24"/>
        </w:rPr>
        <w:t>E MOLAHLEHI</w:t>
      </w:r>
    </w:p>
    <w:p w:rsidR="0025476A" w:rsidRDefault="0025476A" w:rsidP="0025476A">
      <w:pPr>
        <w:spacing w:line="480" w:lineRule="auto"/>
        <w:ind w:left="5040"/>
        <w:jc w:val="both"/>
        <w:rPr>
          <w:rFonts w:ascii="Arial" w:hAnsi="Arial" w:cs="Arial"/>
          <w:sz w:val="24"/>
          <w:szCs w:val="24"/>
        </w:rPr>
      </w:pPr>
      <w:r>
        <w:rPr>
          <w:rFonts w:ascii="Arial" w:hAnsi="Arial" w:cs="Arial"/>
          <w:sz w:val="24"/>
          <w:szCs w:val="24"/>
        </w:rPr>
        <w:t>Judge of the High Court of South Africa, Gauteng Division</w:t>
      </w:r>
    </w:p>
    <w:p w:rsidR="0025476A" w:rsidRDefault="0025476A" w:rsidP="0025476A">
      <w:pPr>
        <w:spacing w:line="480" w:lineRule="auto"/>
        <w:jc w:val="both"/>
        <w:rPr>
          <w:rFonts w:ascii="Arial" w:hAnsi="Arial" w:cs="Arial"/>
          <w:sz w:val="24"/>
          <w:szCs w:val="24"/>
        </w:rPr>
      </w:pPr>
      <w:r>
        <w:rPr>
          <w:rFonts w:ascii="Arial" w:hAnsi="Arial" w:cs="Arial"/>
          <w:sz w:val="24"/>
          <w:szCs w:val="24"/>
        </w:rPr>
        <w:t xml:space="preserve">Representations: </w:t>
      </w:r>
    </w:p>
    <w:p w:rsidR="0025476A" w:rsidRDefault="0025476A" w:rsidP="0025476A">
      <w:pPr>
        <w:spacing w:line="360" w:lineRule="auto"/>
        <w:jc w:val="both"/>
        <w:rPr>
          <w:rFonts w:ascii="Arial" w:hAnsi="Arial" w:cs="Arial"/>
          <w:sz w:val="24"/>
          <w:szCs w:val="24"/>
        </w:rPr>
      </w:pPr>
      <w:r>
        <w:rPr>
          <w:rFonts w:ascii="Arial" w:hAnsi="Arial" w:cs="Arial"/>
          <w:sz w:val="24"/>
          <w:szCs w:val="24"/>
        </w:rPr>
        <w:t>Counsels for the applicant: Carol Steinberg SC</w:t>
      </w:r>
    </w:p>
    <w:p w:rsidR="0025476A" w:rsidRDefault="0025476A" w:rsidP="0025476A">
      <w:pPr>
        <w:spacing w:line="360" w:lineRule="auto"/>
        <w:jc w:val="both"/>
        <w:rPr>
          <w:rFonts w:ascii="Arial" w:hAnsi="Arial" w:cs="Arial"/>
          <w:sz w:val="24"/>
          <w:szCs w:val="24"/>
        </w:rPr>
      </w:pPr>
      <w:r>
        <w:rPr>
          <w:rFonts w:ascii="Arial" w:hAnsi="Arial" w:cs="Arial"/>
          <w:sz w:val="24"/>
          <w:szCs w:val="24"/>
        </w:rPr>
        <w:t xml:space="preserve">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Michael Dafel</w:t>
      </w:r>
    </w:p>
    <w:p w:rsidR="0025476A" w:rsidRDefault="0025476A" w:rsidP="0025476A">
      <w:pPr>
        <w:spacing w:line="360" w:lineRule="auto"/>
        <w:jc w:val="both"/>
        <w:rPr>
          <w:rFonts w:ascii="Arial" w:hAnsi="Arial" w:cs="Arial"/>
          <w:sz w:val="24"/>
          <w:szCs w:val="24"/>
        </w:rPr>
      </w:pPr>
      <w:r>
        <w:rPr>
          <w:rFonts w:ascii="Arial" w:hAnsi="Arial" w:cs="Arial"/>
          <w:sz w:val="24"/>
          <w:szCs w:val="24"/>
        </w:rPr>
        <w:lastRenderedPageBreak/>
        <w:t>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Tizi Mpulo-Merafe</w:t>
      </w:r>
    </w:p>
    <w:p w:rsidR="0025476A" w:rsidRDefault="0025476A" w:rsidP="0025476A">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Adams &amp; Adams Attorneys</w:t>
      </w:r>
    </w:p>
    <w:p w:rsidR="0025476A" w:rsidRDefault="0025476A" w:rsidP="0025476A">
      <w:pPr>
        <w:spacing w:line="360" w:lineRule="auto"/>
        <w:jc w:val="both"/>
        <w:rPr>
          <w:rFonts w:ascii="Arial" w:hAnsi="Arial" w:cs="Arial"/>
          <w:sz w:val="24"/>
          <w:szCs w:val="24"/>
        </w:rPr>
      </w:pPr>
      <w:r>
        <w:rPr>
          <w:rFonts w:ascii="Arial" w:hAnsi="Arial" w:cs="Arial"/>
          <w:sz w:val="24"/>
          <w:szCs w:val="24"/>
        </w:rPr>
        <w:t>Counsels for the First Respondents: Chris Erasmus SC</w:t>
      </w:r>
    </w:p>
    <w:p w:rsidR="0025476A" w:rsidRDefault="0025476A" w:rsidP="0025476A">
      <w:pPr>
        <w:spacing w:line="360" w:lineRule="auto"/>
        <w:jc w:val="both"/>
        <w:rPr>
          <w:rFonts w:ascii="Arial" w:hAnsi="Arial" w:cs="Arial"/>
          <w:sz w:val="24"/>
          <w:szCs w:val="24"/>
        </w:rPr>
      </w:pPr>
      <w:r>
        <w:rPr>
          <w:rFonts w:ascii="Arial" w:hAnsi="Arial" w:cs="Arial"/>
          <w:sz w:val="24"/>
          <w:szCs w:val="24"/>
        </w:rPr>
        <w:t xml:space="preserve">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Ofentse Motlhasedi</w:t>
      </w:r>
    </w:p>
    <w:p w:rsidR="0025476A" w:rsidRDefault="0025476A" w:rsidP="0025476A">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The State Attorneys</w:t>
      </w:r>
    </w:p>
    <w:p w:rsidR="0025476A" w:rsidRDefault="0025476A" w:rsidP="0025476A">
      <w:pPr>
        <w:spacing w:line="360" w:lineRule="auto"/>
        <w:jc w:val="both"/>
        <w:rPr>
          <w:rFonts w:ascii="Arial" w:hAnsi="Arial" w:cs="Arial"/>
          <w:sz w:val="24"/>
          <w:szCs w:val="24"/>
        </w:rPr>
      </w:pPr>
      <w:r>
        <w:rPr>
          <w:rFonts w:ascii="Arial" w:hAnsi="Arial" w:cs="Arial"/>
          <w:sz w:val="24"/>
          <w:szCs w:val="24"/>
        </w:rPr>
        <w:t>Counsels for the second Respondent:</w:t>
      </w:r>
      <w:r w:rsidRPr="00AD6805">
        <w:rPr>
          <w:rFonts w:ascii="Arial" w:hAnsi="Arial" w:cs="Arial"/>
          <w:sz w:val="24"/>
          <w:szCs w:val="24"/>
        </w:rPr>
        <w:t xml:space="preserve"> Hamilton Maenetje SC </w:t>
      </w:r>
    </w:p>
    <w:p w:rsidR="0025476A" w:rsidRDefault="0025476A" w:rsidP="0025476A">
      <w:pPr>
        <w:spacing w:line="360" w:lineRule="auto"/>
        <w:jc w:val="both"/>
        <w:rPr>
          <w:rFonts w:ascii="Arial" w:hAnsi="Arial" w:cs="Arial"/>
          <w:sz w:val="24"/>
          <w:szCs w:val="24"/>
        </w:rPr>
      </w:pPr>
      <w:r>
        <w:rPr>
          <w:rFonts w:ascii="Arial" w:hAnsi="Arial" w:cs="Arial"/>
          <w:sz w:val="24"/>
          <w:szCs w:val="24"/>
        </w:rPr>
        <w:t xml:space="preserve">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D6805">
        <w:rPr>
          <w:rFonts w:ascii="Arial" w:hAnsi="Arial" w:cs="Arial"/>
          <w:sz w:val="24"/>
          <w:szCs w:val="24"/>
        </w:rPr>
        <w:t xml:space="preserve">Lebogang Kutumela </w:t>
      </w:r>
    </w:p>
    <w:p w:rsidR="0025476A" w:rsidRDefault="0025476A" w:rsidP="0025476A">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D6805">
        <w:rPr>
          <w:rFonts w:ascii="Arial" w:hAnsi="Arial" w:cs="Arial"/>
          <w:sz w:val="24"/>
          <w:szCs w:val="24"/>
        </w:rPr>
        <w:t xml:space="preserve">Werksmans Attorneys </w:t>
      </w:r>
    </w:p>
    <w:p w:rsidR="0025476A" w:rsidRDefault="0025476A" w:rsidP="0025476A">
      <w:pPr>
        <w:spacing w:line="360" w:lineRule="auto"/>
        <w:jc w:val="both"/>
        <w:rPr>
          <w:rFonts w:ascii="Arial" w:hAnsi="Arial" w:cs="Arial"/>
          <w:sz w:val="24"/>
          <w:szCs w:val="24"/>
        </w:rPr>
      </w:pPr>
      <w:r>
        <w:rPr>
          <w:rFonts w:ascii="Arial" w:hAnsi="Arial" w:cs="Arial"/>
          <w:sz w:val="24"/>
          <w:szCs w:val="24"/>
        </w:rPr>
        <w:t>Hearing date: 22-23 November 2022</w:t>
      </w:r>
    </w:p>
    <w:p w:rsidR="0025476A" w:rsidRDefault="0025476A" w:rsidP="0025476A">
      <w:pPr>
        <w:spacing w:line="360" w:lineRule="auto"/>
        <w:jc w:val="both"/>
        <w:rPr>
          <w:rFonts w:ascii="Arial" w:hAnsi="Arial" w:cs="Arial"/>
          <w:sz w:val="24"/>
          <w:szCs w:val="24"/>
        </w:rPr>
      </w:pPr>
      <w:r>
        <w:rPr>
          <w:rFonts w:ascii="Arial" w:hAnsi="Arial" w:cs="Arial"/>
          <w:sz w:val="24"/>
          <w:szCs w:val="24"/>
        </w:rPr>
        <w:t>Delivered: 17 March 2023</w:t>
      </w:r>
    </w:p>
    <w:p w:rsidR="0025476A" w:rsidRPr="002A041B" w:rsidRDefault="0025476A" w:rsidP="0025476A">
      <w:pPr>
        <w:spacing w:line="360" w:lineRule="auto"/>
        <w:jc w:val="both"/>
        <w:rPr>
          <w:rFonts w:ascii="Arial" w:hAnsi="Arial" w:cs="Arial"/>
          <w:sz w:val="24"/>
          <w:szCs w:val="24"/>
        </w:rPr>
      </w:pPr>
    </w:p>
    <w:p w:rsidR="00652BA9" w:rsidRPr="006210C7" w:rsidRDefault="00652BA9" w:rsidP="006210C7">
      <w:pPr>
        <w:spacing w:line="360" w:lineRule="auto"/>
        <w:jc w:val="both"/>
        <w:rPr>
          <w:rFonts w:ascii="Arial" w:hAnsi="Arial" w:cs="Arial"/>
          <w:sz w:val="24"/>
          <w:szCs w:val="24"/>
        </w:rPr>
      </w:pPr>
    </w:p>
    <w:sectPr w:rsidR="00652BA9" w:rsidRPr="006210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52" w:rsidRDefault="00662452" w:rsidP="006618C7">
      <w:pPr>
        <w:spacing w:after="0" w:line="240" w:lineRule="auto"/>
      </w:pPr>
      <w:r>
        <w:separator/>
      </w:r>
    </w:p>
  </w:endnote>
  <w:endnote w:type="continuationSeparator" w:id="0">
    <w:p w:rsidR="00662452" w:rsidRDefault="00662452" w:rsidP="0066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52" w:rsidRDefault="00662452" w:rsidP="006618C7">
      <w:pPr>
        <w:spacing w:after="0" w:line="240" w:lineRule="auto"/>
      </w:pPr>
      <w:r>
        <w:separator/>
      </w:r>
    </w:p>
  </w:footnote>
  <w:footnote w:type="continuationSeparator" w:id="0">
    <w:p w:rsidR="00662452" w:rsidRDefault="00662452" w:rsidP="006618C7">
      <w:pPr>
        <w:spacing w:after="0" w:line="240" w:lineRule="auto"/>
      </w:pPr>
      <w:r>
        <w:continuationSeparator/>
      </w:r>
    </w:p>
  </w:footnote>
  <w:footnote w:id="1">
    <w:p w:rsidR="003816F6" w:rsidRPr="00821896" w:rsidRDefault="003816F6" w:rsidP="00821896">
      <w:pPr>
        <w:pStyle w:val="FootnoteText"/>
        <w:rPr>
          <w:rFonts w:ascii="Arial" w:hAnsi="Arial" w:cs="Arial"/>
          <w:b/>
          <w:vertAlign w:val="superscript"/>
          <w:lang w:val="en-GB"/>
        </w:rPr>
      </w:pPr>
      <w:r w:rsidRPr="00821896">
        <w:rPr>
          <w:rStyle w:val="FootnoteReference"/>
          <w:vertAlign w:val="superscript"/>
        </w:rPr>
        <w:footnoteRef/>
      </w:r>
      <w:r w:rsidRPr="00821896">
        <w:rPr>
          <w:vertAlign w:val="superscript"/>
        </w:rPr>
        <w:t xml:space="preserve"> </w:t>
      </w:r>
      <w:r w:rsidRPr="00821896">
        <w:rPr>
          <w:rFonts w:ascii="Arial" w:hAnsi="Arial" w:cs="Arial"/>
          <w:color w:val="000000"/>
        </w:rPr>
        <w:t>3 of 2000</w:t>
      </w:r>
    </w:p>
  </w:footnote>
  <w:footnote w:id="2">
    <w:p w:rsidR="003816F6" w:rsidRPr="001065B5" w:rsidRDefault="003816F6" w:rsidP="001065B5">
      <w:pPr>
        <w:pStyle w:val="FootnoteText"/>
        <w:jc w:val="both"/>
        <w:rPr>
          <w:rFonts w:ascii="Arial" w:hAnsi="Arial" w:cs="Arial"/>
          <w:sz w:val="18"/>
          <w:szCs w:val="18"/>
          <w:lang w:val="en-GB"/>
        </w:rPr>
      </w:pPr>
      <w:r w:rsidRPr="00821896">
        <w:rPr>
          <w:rStyle w:val="FootnoteReference"/>
          <w:rFonts w:ascii="Arial" w:hAnsi="Arial" w:cs="Arial"/>
          <w:vertAlign w:val="superscript"/>
        </w:rPr>
        <w:footnoteRef/>
      </w:r>
      <w:r w:rsidRPr="00821896">
        <w:rPr>
          <w:rFonts w:ascii="Arial" w:hAnsi="Arial" w:cs="Arial"/>
        </w:rPr>
        <w:t xml:space="preserve"> CaseLines at 021-13.</w:t>
      </w:r>
    </w:p>
  </w:footnote>
  <w:footnote w:id="3">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350BA5">
        <w:rPr>
          <w:rFonts w:ascii="Arial" w:hAnsi="Arial" w:cs="Arial"/>
          <w:sz w:val="18"/>
          <w:szCs w:val="18"/>
          <w:vertAlign w:val="superscript"/>
        </w:rPr>
        <w:t xml:space="preserve"> </w:t>
      </w:r>
      <w:r w:rsidRPr="00350BA5">
        <w:rPr>
          <w:rFonts w:ascii="Arial" w:hAnsi="Arial" w:cs="Arial"/>
          <w:sz w:val="18"/>
          <w:szCs w:val="18"/>
        </w:rPr>
        <w:t>CaseLines at 008-13, para 14.2.</w:t>
      </w:r>
    </w:p>
  </w:footnote>
  <w:footnote w:id="4">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350BA5">
        <w:rPr>
          <w:rFonts w:ascii="Arial" w:hAnsi="Arial" w:cs="Arial"/>
          <w:sz w:val="18"/>
          <w:szCs w:val="18"/>
        </w:rPr>
        <w:t>CaseLines at 002-13-14, para 21.</w:t>
      </w:r>
    </w:p>
  </w:footnote>
  <w:footnote w:id="5">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[2017] ZACC 5; </w:t>
      </w:r>
      <w:r w:rsidRPr="00350BA5">
        <w:rPr>
          <w:rFonts w:ascii="Arial" w:hAnsi="Arial" w:cs="Arial"/>
          <w:sz w:val="18"/>
          <w:szCs w:val="18"/>
        </w:rPr>
        <w:t>2017 (4) SA 223 (CC); 2017 (6) BCLR 730 (CC)</w:t>
      </w:r>
      <w:r w:rsidRPr="001065B5">
        <w:rPr>
          <w:rFonts w:ascii="Arial" w:hAnsi="Arial" w:cs="Arial"/>
          <w:sz w:val="18"/>
          <w:szCs w:val="18"/>
        </w:rPr>
        <w:t xml:space="preserve"> at para 41.</w:t>
      </w:r>
    </w:p>
  </w:footnote>
  <w:footnote w:id="6">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 xml:space="preserve">[2013] ZACC 49; 2014 (5) SA 579 (CC); 2014 (3) BCLR 333 (CC) at para 49. See also </w:t>
      </w:r>
      <w:r w:rsidRPr="001065B5">
        <w:rPr>
          <w:rFonts w:ascii="Arial" w:hAnsi="Arial" w:cs="Arial"/>
          <w:i/>
          <w:iCs/>
          <w:sz w:val="18"/>
          <w:szCs w:val="18"/>
        </w:rPr>
        <w:t>Gqwetha v Transkei Development Corporation Ltd and Others</w:t>
      </w:r>
      <w:r w:rsidRPr="00350BA5">
        <w:rPr>
          <w:rFonts w:ascii="Arial" w:hAnsi="Arial" w:cs="Arial"/>
          <w:i/>
          <w:iCs/>
          <w:sz w:val="18"/>
          <w:szCs w:val="18"/>
        </w:rPr>
        <w:t xml:space="preserve"> </w:t>
      </w:r>
      <w:r w:rsidRPr="00350BA5">
        <w:rPr>
          <w:rFonts w:ascii="Arial" w:hAnsi="Arial" w:cs="Arial"/>
          <w:iCs/>
          <w:sz w:val="18"/>
          <w:szCs w:val="18"/>
        </w:rPr>
        <w:t>(</w:t>
      </w:r>
      <w:r w:rsidRPr="001065B5">
        <w:rPr>
          <w:rFonts w:ascii="Arial" w:hAnsi="Arial" w:cs="Arial"/>
          <w:i/>
          <w:iCs/>
          <w:sz w:val="18"/>
          <w:szCs w:val="18"/>
        </w:rPr>
        <w:t>Gqwetha</w:t>
      </w:r>
      <w:r w:rsidRPr="00350BA5">
        <w:rPr>
          <w:rFonts w:ascii="Arial" w:hAnsi="Arial" w:cs="Arial"/>
          <w:iCs/>
          <w:sz w:val="18"/>
          <w:szCs w:val="18"/>
        </w:rPr>
        <w:t>)</w:t>
      </w:r>
      <w:r w:rsidRPr="001065B5">
        <w:rPr>
          <w:rFonts w:ascii="Arial" w:hAnsi="Arial" w:cs="Arial"/>
          <w:i/>
          <w:sz w:val="18"/>
          <w:szCs w:val="18"/>
        </w:rPr>
        <w:t> </w:t>
      </w:r>
      <w:r w:rsidRPr="001065B5">
        <w:rPr>
          <w:rFonts w:ascii="Arial" w:hAnsi="Arial" w:cs="Arial"/>
          <w:sz w:val="18"/>
          <w:szCs w:val="18"/>
        </w:rPr>
        <w:t>[2005] ZASCA 51; 2006 (2) SA 603 (SCA) at para 24.</w:t>
      </w:r>
    </w:p>
  </w:footnote>
  <w:footnote w:id="7">
    <w:p w:rsidR="003816F6" w:rsidRPr="00CA2747" w:rsidRDefault="003816F6">
      <w:pPr>
        <w:pStyle w:val="FootnoteText"/>
        <w:rPr>
          <w:lang w:val="en-GB"/>
        </w:rPr>
      </w:pPr>
      <w:r w:rsidRPr="00CA2747">
        <w:rPr>
          <w:rStyle w:val="FootnoteReference"/>
          <w:vertAlign w:val="superscript"/>
        </w:rPr>
        <w:footnoteRef/>
      </w:r>
      <w:r w:rsidRPr="00CA2747">
        <w:rPr>
          <w:vertAlign w:val="superscript"/>
        </w:rPr>
        <w:t xml:space="preserve"> </w:t>
      </w:r>
      <w:r w:rsidRPr="00CA2747">
        <w:rPr>
          <w:rFonts w:ascii="Arial" w:hAnsi="Arial" w:cs="Arial"/>
          <w:color w:val="000000"/>
        </w:rPr>
        <w:t>Act 2 of 2000</w:t>
      </w:r>
      <w:r>
        <w:rPr>
          <w:rFonts w:ascii="Arial" w:hAnsi="Arial" w:cs="Arial"/>
          <w:color w:val="000000"/>
        </w:rPr>
        <w:t>.</w:t>
      </w:r>
    </w:p>
  </w:footnote>
  <w:footnote w:id="8">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[2019] ZACC 15; 2019 (4) SA 331 (CC); 2019 (6) BCLR 661 (CC) at para 49.</w:t>
      </w:r>
    </w:p>
  </w:footnote>
  <w:footnote w:id="9">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sz w:val="18"/>
          <w:szCs w:val="18"/>
          <w:lang w:val="en-GB"/>
        </w:rPr>
        <w:t xml:space="preserve">See </w:t>
      </w:r>
      <w:r w:rsidRPr="001065B5">
        <w:rPr>
          <w:rFonts w:ascii="Arial" w:hAnsi="Arial" w:cs="Arial"/>
          <w:i/>
          <w:iCs/>
          <w:sz w:val="18"/>
          <w:szCs w:val="18"/>
        </w:rPr>
        <w:t>Opposition to Urban Tolling Alliance v South African National Roads Agency Ltd </w:t>
      </w:r>
      <w:r w:rsidRPr="001065B5">
        <w:rPr>
          <w:rFonts w:ascii="Arial" w:hAnsi="Arial" w:cs="Arial"/>
          <w:sz w:val="18"/>
          <w:szCs w:val="18"/>
        </w:rPr>
        <w:t>[2013] ZASCA 148; [2013] 4 All SA 639 (SCA) at para 26.</w:t>
      </w:r>
    </w:p>
  </w:footnote>
  <w:footnote w:id="10">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i/>
          <w:sz w:val="18"/>
          <w:szCs w:val="18"/>
          <w:lang w:val="en-GB"/>
        </w:rPr>
        <w:t xml:space="preserve">Buffalo City </w:t>
      </w:r>
      <w:r w:rsidRPr="001065B5">
        <w:rPr>
          <w:rFonts w:ascii="Arial" w:hAnsi="Arial" w:cs="Arial"/>
          <w:sz w:val="18"/>
          <w:szCs w:val="18"/>
          <w:lang w:val="en-GB"/>
        </w:rPr>
        <w:t xml:space="preserve">above n 6 at paras 50-1. See also </w:t>
      </w:r>
      <w:r w:rsidRPr="00350BA5">
        <w:rPr>
          <w:rFonts w:ascii="Arial" w:hAnsi="Arial" w:cs="Arial"/>
          <w:i/>
          <w:iCs/>
          <w:sz w:val="18"/>
          <w:szCs w:val="18"/>
        </w:rPr>
        <w:t xml:space="preserve">Gqwetha </w:t>
      </w:r>
      <w:r w:rsidRPr="00350BA5">
        <w:rPr>
          <w:rFonts w:ascii="Arial" w:hAnsi="Arial" w:cs="Arial"/>
          <w:iCs/>
          <w:sz w:val="18"/>
          <w:szCs w:val="18"/>
        </w:rPr>
        <w:t>above n 5 at paras 24 and 31 in which the Court stated that an assessment of a plea of undue delay involves examining: (1) whether the delay is unreasonable or undue (a factual enquiry upon which a value judgment is made in the light of “all the relevant circumstances”); and if so (2) whether the court’s discretion should be exercised to overlook the delay and nevertheless entertain the application.</w:t>
      </w:r>
    </w:p>
  </w:footnote>
  <w:footnote w:id="11">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[2007] ZACC 24; 2008 (2) SA 472 (CC); 2008 (4) BCLR 442 (CC) at para 20.</w:t>
      </w:r>
    </w:p>
  </w:footnote>
  <w:footnote w:id="12">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[2015] ZACC 22; 2015 (5) SA 245 (CC); 2015 (10) BCLR 1199 (CC) at para 75.</w:t>
      </w:r>
    </w:p>
  </w:footnote>
  <w:footnote w:id="13">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sz w:val="18"/>
          <w:szCs w:val="18"/>
          <w:lang w:val="en-GB"/>
        </w:rPr>
        <w:t>Id at paras 76-7.</w:t>
      </w:r>
    </w:p>
  </w:footnote>
  <w:footnote w:id="14">
    <w:p w:rsidR="003816F6" w:rsidRPr="00847300" w:rsidRDefault="003816F6">
      <w:pPr>
        <w:pStyle w:val="FootnoteText"/>
        <w:rPr>
          <w:rFonts w:ascii="Arial" w:hAnsi="Arial" w:cs="Arial"/>
          <w:lang w:val="en-GB"/>
        </w:rPr>
      </w:pPr>
      <w:r w:rsidRPr="00847300">
        <w:rPr>
          <w:rStyle w:val="FootnoteReference"/>
          <w:rFonts w:ascii="Arial" w:hAnsi="Arial" w:cs="Arial"/>
          <w:vertAlign w:val="superscript"/>
        </w:rPr>
        <w:footnoteRef/>
      </w:r>
      <w:r w:rsidRPr="00847300">
        <w:rPr>
          <w:rFonts w:ascii="Arial" w:hAnsi="Arial" w:cs="Arial"/>
        </w:rPr>
        <w:t xml:space="preserve"> </w:t>
      </w:r>
      <w:r w:rsidRPr="00847300">
        <w:rPr>
          <w:rFonts w:ascii="Arial" w:hAnsi="Arial" w:cs="Arial"/>
          <w:color w:val="000000"/>
        </w:rPr>
        <w:t>(2812/2018) [2019]ZAFSHC 45; [2019]3 Ail SA 80 (FB) (16 May 2019) para 78</w:t>
      </w:r>
    </w:p>
  </w:footnote>
  <w:footnote w:id="15">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[2009] ZANWHC 10.</w:t>
      </w:r>
    </w:p>
  </w:footnote>
  <w:footnote w:id="16">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sz w:val="18"/>
          <w:szCs w:val="18"/>
          <w:lang w:val="en-GB"/>
        </w:rPr>
        <w:t>Id at para 18.</w:t>
      </w:r>
    </w:p>
  </w:footnote>
  <w:footnote w:id="17">
    <w:p w:rsidR="003816F6" w:rsidRPr="001065B5" w:rsidRDefault="003816F6" w:rsidP="001065B5">
      <w:pPr>
        <w:pStyle w:val="FootnoteText"/>
        <w:jc w:val="both"/>
        <w:rPr>
          <w:rFonts w:ascii="Arial" w:hAnsi="Arial" w:cs="Arial"/>
          <w:sz w:val="18"/>
          <w:szCs w:val="18"/>
          <w:vertAlign w:val="superscript"/>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Id at para 20.</w:t>
      </w:r>
    </w:p>
  </w:footnote>
  <w:footnote w:id="18">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[2002] ZASCA 135;</w:t>
      </w:r>
      <w:r w:rsidRPr="00350BA5">
        <w:rPr>
          <w:rFonts w:ascii="Arial" w:hAnsi="Arial" w:cs="Arial"/>
          <w:sz w:val="18"/>
          <w:szCs w:val="18"/>
          <w:vertAlign w:val="superscript"/>
        </w:rPr>
        <w:t xml:space="preserve"> </w:t>
      </w:r>
      <w:r w:rsidRPr="001065B5">
        <w:rPr>
          <w:rFonts w:ascii="Arial" w:hAnsi="Arial" w:cs="Arial"/>
          <w:sz w:val="18"/>
          <w:szCs w:val="18"/>
        </w:rPr>
        <w:t>2003 (2) SA 460 (SCA).</w:t>
      </w:r>
    </w:p>
  </w:footnote>
  <w:footnote w:id="19">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sz w:val="18"/>
          <w:szCs w:val="18"/>
          <w:lang w:val="en-GB"/>
        </w:rPr>
        <w:t>Id at para 14.</w:t>
      </w:r>
    </w:p>
  </w:footnote>
  <w:footnote w:id="20">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rPr>
        <w:t>[2018] ZASCA 59; 2018 (5) SA 177 (SCA).</w:t>
      </w:r>
    </w:p>
  </w:footnote>
  <w:footnote w:id="21">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i/>
          <w:sz w:val="18"/>
          <w:szCs w:val="18"/>
        </w:rPr>
        <w:t>Logbro</w:t>
      </w:r>
      <w:r w:rsidRPr="001065B5">
        <w:rPr>
          <w:rFonts w:ascii="Arial" w:hAnsi="Arial" w:cs="Arial"/>
          <w:sz w:val="18"/>
          <w:szCs w:val="18"/>
        </w:rPr>
        <w:t xml:space="preserve"> above n 15 at para 7.</w:t>
      </w:r>
    </w:p>
  </w:footnote>
  <w:footnote w:id="22">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i/>
          <w:sz w:val="18"/>
          <w:szCs w:val="18"/>
        </w:rPr>
        <w:t>Cape Metropolitan Council v Metro Inspection Services (Western Cape) CC and Others</w:t>
      </w:r>
      <w:r w:rsidRPr="001065B5">
        <w:rPr>
          <w:rFonts w:ascii="Arial" w:hAnsi="Arial" w:cs="Arial"/>
          <w:sz w:val="18"/>
          <w:szCs w:val="18"/>
        </w:rPr>
        <w:t xml:space="preserve"> [2001] ZASCA 56; 2001 (3) SA 1013 (SCA).</w:t>
      </w:r>
    </w:p>
  </w:footnote>
  <w:footnote w:id="23">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i/>
          <w:sz w:val="18"/>
          <w:szCs w:val="18"/>
        </w:rPr>
        <w:t>SANParks</w:t>
      </w:r>
      <w:r w:rsidRPr="001065B5">
        <w:rPr>
          <w:rFonts w:ascii="Arial" w:hAnsi="Arial" w:cs="Arial"/>
          <w:sz w:val="18"/>
          <w:szCs w:val="18"/>
        </w:rPr>
        <w:t xml:space="preserve"> above n 17 at para 25.</w:t>
      </w:r>
    </w:p>
  </w:footnote>
  <w:footnote w:id="24">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See </w:t>
      </w:r>
      <w:r w:rsidRPr="001065B5">
        <w:rPr>
          <w:rFonts w:ascii="Arial" w:hAnsi="Arial" w:cs="Arial"/>
          <w:i/>
          <w:sz w:val="18"/>
          <w:szCs w:val="18"/>
        </w:rPr>
        <w:t>Lunt v The University of Cape Town and Another</w:t>
      </w:r>
      <w:r w:rsidRPr="001065B5">
        <w:rPr>
          <w:rFonts w:ascii="Arial" w:hAnsi="Arial" w:cs="Arial"/>
          <w:sz w:val="18"/>
          <w:szCs w:val="18"/>
        </w:rPr>
        <w:t xml:space="preserve"> 1989 (2) SA 438 (C).</w:t>
      </w:r>
    </w:p>
  </w:footnote>
  <w:footnote w:id="25">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i/>
          <w:sz w:val="18"/>
          <w:szCs w:val="18"/>
        </w:rPr>
        <w:t>SANParks</w:t>
      </w:r>
      <w:r w:rsidRPr="001065B5">
        <w:rPr>
          <w:rFonts w:ascii="Arial" w:hAnsi="Arial" w:cs="Arial"/>
          <w:sz w:val="18"/>
          <w:szCs w:val="18"/>
        </w:rPr>
        <w:t xml:space="preserve"> above n 17 at para 35.</w:t>
      </w:r>
    </w:p>
  </w:footnote>
  <w:footnote w:id="26">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lang w:val="en-GB"/>
        </w:rPr>
        <w:t>Id at para 37.</w:t>
      </w:r>
    </w:p>
  </w:footnote>
  <w:footnote w:id="27">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rPr>
        <w:t xml:space="preserve"> </w:t>
      </w:r>
      <w:r w:rsidRPr="001065B5">
        <w:rPr>
          <w:rFonts w:ascii="Arial" w:hAnsi="Arial" w:cs="Arial"/>
          <w:sz w:val="18"/>
          <w:szCs w:val="18"/>
          <w:lang w:val="en-GB"/>
        </w:rPr>
        <w:t>Id at para 39.</w:t>
      </w:r>
    </w:p>
  </w:footnote>
  <w:footnote w:id="28">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lang w:val="en-GB"/>
        </w:rPr>
        <w:t>Id at para 63.</w:t>
      </w:r>
    </w:p>
  </w:footnote>
  <w:footnote w:id="29">
    <w:p w:rsidR="003816F6" w:rsidRPr="001065B5" w:rsidRDefault="003816F6" w:rsidP="001065B5">
      <w:pPr>
        <w:pStyle w:val="FootnoteText"/>
        <w:jc w:val="both"/>
        <w:rPr>
          <w:rFonts w:ascii="Arial" w:hAnsi="Arial" w:cs="Arial"/>
          <w:sz w:val="18"/>
          <w:szCs w:val="18"/>
          <w:lang w:val="en-GB"/>
        </w:rPr>
      </w:pPr>
      <w:r w:rsidRPr="001065B5">
        <w:rPr>
          <w:rStyle w:val="FootnoteReference"/>
          <w:rFonts w:ascii="Arial" w:hAnsi="Arial" w:cs="Arial"/>
          <w:sz w:val="18"/>
          <w:szCs w:val="18"/>
          <w:vertAlign w:val="superscript"/>
        </w:rPr>
        <w:footnoteRef/>
      </w:r>
      <w:r w:rsidRPr="001065B5">
        <w:rPr>
          <w:rFonts w:ascii="Arial" w:hAnsi="Arial" w:cs="Arial"/>
          <w:sz w:val="18"/>
          <w:szCs w:val="18"/>
          <w:vertAlign w:val="superscript"/>
        </w:rPr>
        <w:t xml:space="preserve"> </w:t>
      </w:r>
      <w:r w:rsidRPr="001065B5">
        <w:rPr>
          <w:rFonts w:ascii="Arial" w:hAnsi="Arial" w:cs="Arial"/>
          <w:sz w:val="18"/>
          <w:szCs w:val="18"/>
          <w:lang w:val="en-GB"/>
        </w:rPr>
        <w:t>Id at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42969"/>
      <w:docPartObj>
        <w:docPartGallery w:val="Page Numbers (Top of Page)"/>
        <w:docPartUnique/>
      </w:docPartObj>
    </w:sdtPr>
    <w:sdtEndPr>
      <w:rPr>
        <w:noProof/>
      </w:rPr>
    </w:sdtEndPr>
    <w:sdtContent>
      <w:p w:rsidR="006F6E2D" w:rsidRDefault="006F6E2D">
        <w:pPr>
          <w:pStyle w:val="Header"/>
          <w:jc w:val="right"/>
        </w:pPr>
        <w:r>
          <w:t xml:space="preserve">Page- </w:t>
        </w:r>
        <w:r>
          <w:fldChar w:fldCharType="begin"/>
        </w:r>
        <w:r>
          <w:instrText xml:space="preserve"> PAGE   \* MERGEFORMAT </w:instrText>
        </w:r>
        <w:r>
          <w:fldChar w:fldCharType="separate"/>
        </w:r>
        <w:r w:rsidR="00C0573E">
          <w:rPr>
            <w:noProof/>
          </w:rPr>
          <w:t>3</w:t>
        </w:r>
        <w:r>
          <w:rPr>
            <w:noProof/>
          </w:rPr>
          <w:fldChar w:fldCharType="end"/>
        </w:r>
      </w:p>
    </w:sdtContent>
  </w:sdt>
  <w:p w:rsidR="006F6E2D" w:rsidRDefault="006F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4A53"/>
    <w:multiLevelType w:val="hybridMultilevel"/>
    <w:tmpl w:val="8B98BDAC"/>
    <w:lvl w:ilvl="0" w:tplc="1A6CF298">
      <w:start w:val="1"/>
      <w:numFmt w:val="decimal"/>
      <w:lvlText w:val="[%1]"/>
      <w:lvlJc w:val="left"/>
      <w:pPr>
        <w:ind w:left="502" w:hanging="360"/>
      </w:pPr>
      <w:rPr>
        <w:rFonts w:ascii="Arial" w:hAnsi="Arial" w:cs="Arial" w:hint="default"/>
        <w:b w:val="0"/>
        <w:vertAlign w:val="baseline"/>
      </w:rPr>
    </w:lvl>
    <w:lvl w:ilvl="1" w:tplc="FAA2DEB2">
      <w:start w:val="1"/>
      <w:numFmt w:val="lowerLetter"/>
      <w:lvlText w:val="(%2)"/>
      <w:lvlJc w:val="left"/>
      <w:pPr>
        <w:ind w:left="1440" w:hanging="360"/>
      </w:pPr>
      <w:rPr>
        <w:rFonts w:hint="default"/>
        <w:b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60961BC6"/>
    <w:multiLevelType w:val="hybridMultilevel"/>
    <w:tmpl w:val="4782927C"/>
    <w:lvl w:ilvl="0" w:tplc="8CFC002E">
      <w:start w:val="1"/>
      <w:numFmt w:val="lowerLetter"/>
      <w:lvlText w:val="(%1)"/>
      <w:lvlJc w:val="left"/>
      <w:pPr>
        <w:ind w:left="1080" w:hanging="360"/>
      </w:pPr>
      <w:rPr>
        <w:rFonts w:ascii="Segoe UI" w:hAnsi="Segoe UI" w:cs="Segoe UI" w:hint="default"/>
        <w:b w:val="0"/>
        <w:sz w:val="27"/>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7DA252B"/>
    <w:multiLevelType w:val="hybridMultilevel"/>
    <w:tmpl w:val="AD6E0666"/>
    <w:lvl w:ilvl="0" w:tplc="14FA2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86B68C9"/>
    <w:multiLevelType w:val="hybridMultilevel"/>
    <w:tmpl w:val="7398176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BE"/>
    <w:rsid w:val="000150A9"/>
    <w:rsid w:val="00036108"/>
    <w:rsid w:val="00054B71"/>
    <w:rsid w:val="00061A60"/>
    <w:rsid w:val="000800E9"/>
    <w:rsid w:val="000931CC"/>
    <w:rsid w:val="000A4EF7"/>
    <w:rsid w:val="000B60E0"/>
    <w:rsid w:val="000C2744"/>
    <w:rsid w:val="000D5B9E"/>
    <w:rsid w:val="000F3E9C"/>
    <w:rsid w:val="00102851"/>
    <w:rsid w:val="001065B5"/>
    <w:rsid w:val="00112EA3"/>
    <w:rsid w:val="00173CA3"/>
    <w:rsid w:val="001839B0"/>
    <w:rsid w:val="00185450"/>
    <w:rsid w:val="001B173E"/>
    <w:rsid w:val="001B7A8E"/>
    <w:rsid w:val="001C1577"/>
    <w:rsid w:val="001E7820"/>
    <w:rsid w:val="00204600"/>
    <w:rsid w:val="00214B41"/>
    <w:rsid w:val="00241ABE"/>
    <w:rsid w:val="0025476A"/>
    <w:rsid w:val="00266B91"/>
    <w:rsid w:val="00270660"/>
    <w:rsid w:val="0029743C"/>
    <w:rsid w:val="002A041B"/>
    <w:rsid w:val="002A7140"/>
    <w:rsid w:val="002B2684"/>
    <w:rsid w:val="002C5269"/>
    <w:rsid w:val="002F5D06"/>
    <w:rsid w:val="003058CD"/>
    <w:rsid w:val="00327F86"/>
    <w:rsid w:val="00350BA5"/>
    <w:rsid w:val="003536C9"/>
    <w:rsid w:val="00365631"/>
    <w:rsid w:val="00371496"/>
    <w:rsid w:val="003816F6"/>
    <w:rsid w:val="003A07C2"/>
    <w:rsid w:val="003A1D16"/>
    <w:rsid w:val="003C1A54"/>
    <w:rsid w:val="003C50DA"/>
    <w:rsid w:val="003D5757"/>
    <w:rsid w:val="003E1ADE"/>
    <w:rsid w:val="003F15EB"/>
    <w:rsid w:val="003F371F"/>
    <w:rsid w:val="0041255A"/>
    <w:rsid w:val="00412A8C"/>
    <w:rsid w:val="00432D29"/>
    <w:rsid w:val="004526C4"/>
    <w:rsid w:val="00454096"/>
    <w:rsid w:val="004715D7"/>
    <w:rsid w:val="004B6092"/>
    <w:rsid w:val="004C3A4D"/>
    <w:rsid w:val="004D6904"/>
    <w:rsid w:val="004F0ED3"/>
    <w:rsid w:val="004F523A"/>
    <w:rsid w:val="00560C35"/>
    <w:rsid w:val="00566653"/>
    <w:rsid w:val="005B1491"/>
    <w:rsid w:val="005C02CF"/>
    <w:rsid w:val="005C38D0"/>
    <w:rsid w:val="005C39A5"/>
    <w:rsid w:val="005F433F"/>
    <w:rsid w:val="00605A52"/>
    <w:rsid w:val="006210C7"/>
    <w:rsid w:val="00625432"/>
    <w:rsid w:val="00627923"/>
    <w:rsid w:val="00631854"/>
    <w:rsid w:val="006345F0"/>
    <w:rsid w:val="00635506"/>
    <w:rsid w:val="00642934"/>
    <w:rsid w:val="00644DB1"/>
    <w:rsid w:val="00652BA9"/>
    <w:rsid w:val="00654C38"/>
    <w:rsid w:val="006553AA"/>
    <w:rsid w:val="006618C7"/>
    <w:rsid w:val="00662452"/>
    <w:rsid w:val="00681DA3"/>
    <w:rsid w:val="00695F7C"/>
    <w:rsid w:val="006A78BA"/>
    <w:rsid w:val="006B08D5"/>
    <w:rsid w:val="006B4537"/>
    <w:rsid w:val="006E34EB"/>
    <w:rsid w:val="006E5618"/>
    <w:rsid w:val="006E5EDB"/>
    <w:rsid w:val="006F6E2D"/>
    <w:rsid w:val="00706481"/>
    <w:rsid w:val="007167ED"/>
    <w:rsid w:val="007177C4"/>
    <w:rsid w:val="00774FEE"/>
    <w:rsid w:val="00790E9D"/>
    <w:rsid w:val="0079368F"/>
    <w:rsid w:val="007A3DAE"/>
    <w:rsid w:val="007D5C88"/>
    <w:rsid w:val="007E0D4A"/>
    <w:rsid w:val="00810E87"/>
    <w:rsid w:val="00811B8B"/>
    <w:rsid w:val="00813780"/>
    <w:rsid w:val="00821896"/>
    <w:rsid w:val="00831BA6"/>
    <w:rsid w:val="00832C9C"/>
    <w:rsid w:val="00847300"/>
    <w:rsid w:val="00870110"/>
    <w:rsid w:val="00875632"/>
    <w:rsid w:val="00885FBE"/>
    <w:rsid w:val="008C1BAE"/>
    <w:rsid w:val="008E6565"/>
    <w:rsid w:val="009358A0"/>
    <w:rsid w:val="00954913"/>
    <w:rsid w:val="00964758"/>
    <w:rsid w:val="009705EB"/>
    <w:rsid w:val="00977E7D"/>
    <w:rsid w:val="009D326E"/>
    <w:rsid w:val="00A11B2B"/>
    <w:rsid w:val="00A145B6"/>
    <w:rsid w:val="00A23DC8"/>
    <w:rsid w:val="00A507B1"/>
    <w:rsid w:val="00A539CD"/>
    <w:rsid w:val="00AA0DB9"/>
    <w:rsid w:val="00AE405C"/>
    <w:rsid w:val="00AE6B18"/>
    <w:rsid w:val="00B20844"/>
    <w:rsid w:val="00B3043D"/>
    <w:rsid w:val="00B32B14"/>
    <w:rsid w:val="00B44E49"/>
    <w:rsid w:val="00B4721E"/>
    <w:rsid w:val="00B57603"/>
    <w:rsid w:val="00B626C4"/>
    <w:rsid w:val="00B72AA4"/>
    <w:rsid w:val="00BB5689"/>
    <w:rsid w:val="00BC2605"/>
    <w:rsid w:val="00BF10F4"/>
    <w:rsid w:val="00C0573E"/>
    <w:rsid w:val="00C11833"/>
    <w:rsid w:val="00C800F5"/>
    <w:rsid w:val="00CA2747"/>
    <w:rsid w:val="00CB06DF"/>
    <w:rsid w:val="00CD1B10"/>
    <w:rsid w:val="00CD495B"/>
    <w:rsid w:val="00CE2FAE"/>
    <w:rsid w:val="00CE743E"/>
    <w:rsid w:val="00CF4CBB"/>
    <w:rsid w:val="00CF71DD"/>
    <w:rsid w:val="00D04744"/>
    <w:rsid w:val="00D341BF"/>
    <w:rsid w:val="00D342D6"/>
    <w:rsid w:val="00D37204"/>
    <w:rsid w:val="00D56CD5"/>
    <w:rsid w:val="00D75194"/>
    <w:rsid w:val="00D806BB"/>
    <w:rsid w:val="00D83216"/>
    <w:rsid w:val="00D84AF7"/>
    <w:rsid w:val="00D976B4"/>
    <w:rsid w:val="00DB470F"/>
    <w:rsid w:val="00DE3F7F"/>
    <w:rsid w:val="00E04415"/>
    <w:rsid w:val="00E13978"/>
    <w:rsid w:val="00E42B15"/>
    <w:rsid w:val="00E64AEC"/>
    <w:rsid w:val="00E92D9B"/>
    <w:rsid w:val="00E94A06"/>
    <w:rsid w:val="00E96BEF"/>
    <w:rsid w:val="00EB2F6C"/>
    <w:rsid w:val="00EB48CE"/>
    <w:rsid w:val="00EB5234"/>
    <w:rsid w:val="00ED3856"/>
    <w:rsid w:val="00ED606D"/>
    <w:rsid w:val="00EF7A0E"/>
    <w:rsid w:val="00F30097"/>
    <w:rsid w:val="00F50AB9"/>
    <w:rsid w:val="00F87707"/>
    <w:rsid w:val="00FE59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44F7-5935-419D-959D-A8F0FA3F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BE"/>
  </w:style>
  <w:style w:type="paragraph" w:styleId="Heading2">
    <w:name w:val="heading 2"/>
    <w:basedOn w:val="Normal"/>
    <w:link w:val="Heading2Char"/>
    <w:uiPriority w:val="9"/>
    <w:qFormat/>
    <w:rsid w:val="006345F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BE"/>
    <w:pPr>
      <w:ind w:left="720"/>
      <w:contextualSpacing/>
    </w:pPr>
  </w:style>
  <w:style w:type="character" w:styleId="CommentReference">
    <w:name w:val="annotation reference"/>
    <w:basedOn w:val="DefaultParagraphFont"/>
    <w:uiPriority w:val="99"/>
    <w:semiHidden/>
    <w:unhideWhenUsed/>
    <w:rsid w:val="00241ABE"/>
    <w:rPr>
      <w:sz w:val="16"/>
      <w:szCs w:val="16"/>
    </w:rPr>
  </w:style>
  <w:style w:type="paragraph" w:styleId="CommentText">
    <w:name w:val="annotation text"/>
    <w:basedOn w:val="Normal"/>
    <w:link w:val="CommentTextChar"/>
    <w:uiPriority w:val="99"/>
    <w:semiHidden/>
    <w:unhideWhenUsed/>
    <w:rsid w:val="00241ABE"/>
    <w:pPr>
      <w:spacing w:line="240" w:lineRule="auto"/>
    </w:pPr>
    <w:rPr>
      <w:sz w:val="20"/>
      <w:szCs w:val="20"/>
    </w:rPr>
  </w:style>
  <w:style w:type="character" w:customStyle="1" w:styleId="CommentTextChar">
    <w:name w:val="Comment Text Char"/>
    <w:basedOn w:val="DefaultParagraphFont"/>
    <w:link w:val="CommentText"/>
    <w:uiPriority w:val="99"/>
    <w:semiHidden/>
    <w:rsid w:val="00241ABE"/>
    <w:rPr>
      <w:sz w:val="20"/>
      <w:szCs w:val="20"/>
    </w:rPr>
  </w:style>
  <w:style w:type="paragraph" w:styleId="BalloonText">
    <w:name w:val="Balloon Text"/>
    <w:basedOn w:val="Normal"/>
    <w:link w:val="BalloonTextChar"/>
    <w:uiPriority w:val="99"/>
    <w:semiHidden/>
    <w:unhideWhenUsed/>
    <w:rsid w:val="00241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BE"/>
    <w:rPr>
      <w:rFonts w:ascii="Segoe UI" w:hAnsi="Segoe UI" w:cs="Segoe UI"/>
      <w:sz w:val="18"/>
      <w:szCs w:val="18"/>
    </w:rPr>
  </w:style>
  <w:style w:type="paragraph" w:customStyle="1" w:styleId="jugmentnumbered">
    <w:name w:val="jugmentnumbered"/>
    <w:basedOn w:val="Normal"/>
    <w:rsid w:val="006345F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6345F0"/>
  </w:style>
  <w:style w:type="character" w:customStyle="1" w:styleId="Heading2Char">
    <w:name w:val="Heading 2 Char"/>
    <w:basedOn w:val="DefaultParagraphFont"/>
    <w:link w:val="Heading2"/>
    <w:uiPriority w:val="9"/>
    <w:rsid w:val="006345F0"/>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03610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036108"/>
    <w:rPr>
      <w:color w:val="0000FF"/>
      <w:u w:val="single"/>
    </w:rPr>
  </w:style>
  <w:style w:type="paragraph" w:styleId="FootnoteText">
    <w:name w:val="footnote text"/>
    <w:basedOn w:val="Normal"/>
    <w:link w:val="FootnoteTextChar"/>
    <w:uiPriority w:val="99"/>
    <w:semiHidden/>
    <w:unhideWhenUsed/>
    <w:rsid w:val="00661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C7"/>
    <w:rPr>
      <w:sz w:val="20"/>
      <w:szCs w:val="20"/>
    </w:rPr>
  </w:style>
  <w:style w:type="paragraph" w:styleId="Header">
    <w:name w:val="header"/>
    <w:basedOn w:val="Normal"/>
    <w:link w:val="HeaderChar"/>
    <w:uiPriority w:val="99"/>
    <w:unhideWhenUsed/>
    <w:rsid w:val="006F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2D"/>
  </w:style>
  <w:style w:type="paragraph" w:styleId="Footer">
    <w:name w:val="footer"/>
    <w:basedOn w:val="Normal"/>
    <w:link w:val="FooterChar"/>
    <w:uiPriority w:val="99"/>
    <w:unhideWhenUsed/>
    <w:rsid w:val="006F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2D"/>
  </w:style>
  <w:style w:type="character" w:styleId="Strong">
    <w:name w:val="Strong"/>
    <w:basedOn w:val="DefaultParagraphFont"/>
    <w:uiPriority w:val="22"/>
    <w:qFormat/>
    <w:rsid w:val="00870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1319">
      <w:bodyDiv w:val="1"/>
      <w:marLeft w:val="0"/>
      <w:marRight w:val="0"/>
      <w:marTop w:val="0"/>
      <w:marBottom w:val="0"/>
      <w:divBdr>
        <w:top w:val="none" w:sz="0" w:space="0" w:color="auto"/>
        <w:left w:val="none" w:sz="0" w:space="0" w:color="auto"/>
        <w:bottom w:val="none" w:sz="0" w:space="0" w:color="auto"/>
        <w:right w:val="none" w:sz="0" w:space="0" w:color="auto"/>
      </w:divBdr>
    </w:div>
    <w:div w:id="399598947">
      <w:bodyDiv w:val="1"/>
      <w:marLeft w:val="0"/>
      <w:marRight w:val="0"/>
      <w:marTop w:val="0"/>
      <w:marBottom w:val="0"/>
      <w:divBdr>
        <w:top w:val="none" w:sz="0" w:space="0" w:color="auto"/>
        <w:left w:val="none" w:sz="0" w:space="0" w:color="auto"/>
        <w:bottom w:val="none" w:sz="0" w:space="0" w:color="auto"/>
        <w:right w:val="none" w:sz="0" w:space="0" w:color="auto"/>
      </w:divBdr>
    </w:div>
    <w:div w:id="631716647">
      <w:bodyDiv w:val="1"/>
      <w:marLeft w:val="0"/>
      <w:marRight w:val="0"/>
      <w:marTop w:val="0"/>
      <w:marBottom w:val="0"/>
      <w:divBdr>
        <w:top w:val="none" w:sz="0" w:space="0" w:color="auto"/>
        <w:left w:val="none" w:sz="0" w:space="0" w:color="auto"/>
        <w:bottom w:val="none" w:sz="0" w:space="0" w:color="auto"/>
        <w:right w:val="none" w:sz="0" w:space="0" w:color="auto"/>
      </w:divBdr>
    </w:div>
    <w:div w:id="688946081">
      <w:bodyDiv w:val="1"/>
      <w:marLeft w:val="0"/>
      <w:marRight w:val="0"/>
      <w:marTop w:val="0"/>
      <w:marBottom w:val="0"/>
      <w:divBdr>
        <w:top w:val="none" w:sz="0" w:space="0" w:color="auto"/>
        <w:left w:val="none" w:sz="0" w:space="0" w:color="auto"/>
        <w:bottom w:val="none" w:sz="0" w:space="0" w:color="auto"/>
        <w:right w:val="none" w:sz="0" w:space="0" w:color="auto"/>
      </w:divBdr>
    </w:div>
    <w:div w:id="696736016">
      <w:bodyDiv w:val="1"/>
      <w:marLeft w:val="0"/>
      <w:marRight w:val="0"/>
      <w:marTop w:val="0"/>
      <w:marBottom w:val="0"/>
      <w:divBdr>
        <w:top w:val="none" w:sz="0" w:space="0" w:color="auto"/>
        <w:left w:val="none" w:sz="0" w:space="0" w:color="auto"/>
        <w:bottom w:val="none" w:sz="0" w:space="0" w:color="auto"/>
        <w:right w:val="none" w:sz="0" w:space="0" w:color="auto"/>
      </w:divBdr>
    </w:div>
    <w:div w:id="848717377">
      <w:bodyDiv w:val="1"/>
      <w:marLeft w:val="0"/>
      <w:marRight w:val="0"/>
      <w:marTop w:val="0"/>
      <w:marBottom w:val="0"/>
      <w:divBdr>
        <w:top w:val="none" w:sz="0" w:space="0" w:color="auto"/>
        <w:left w:val="none" w:sz="0" w:space="0" w:color="auto"/>
        <w:bottom w:val="none" w:sz="0" w:space="0" w:color="auto"/>
        <w:right w:val="none" w:sz="0" w:space="0" w:color="auto"/>
      </w:divBdr>
    </w:div>
    <w:div w:id="879560318">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34829871">
      <w:bodyDiv w:val="1"/>
      <w:marLeft w:val="0"/>
      <w:marRight w:val="0"/>
      <w:marTop w:val="0"/>
      <w:marBottom w:val="0"/>
      <w:divBdr>
        <w:top w:val="none" w:sz="0" w:space="0" w:color="auto"/>
        <w:left w:val="none" w:sz="0" w:space="0" w:color="auto"/>
        <w:bottom w:val="none" w:sz="0" w:space="0" w:color="auto"/>
        <w:right w:val="none" w:sz="0" w:space="0" w:color="auto"/>
      </w:divBdr>
    </w:div>
    <w:div w:id="1297881541">
      <w:bodyDiv w:val="1"/>
      <w:marLeft w:val="0"/>
      <w:marRight w:val="0"/>
      <w:marTop w:val="0"/>
      <w:marBottom w:val="0"/>
      <w:divBdr>
        <w:top w:val="none" w:sz="0" w:space="0" w:color="auto"/>
        <w:left w:val="none" w:sz="0" w:space="0" w:color="auto"/>
        <w:bottom w:val="none" w:sz="0" w:space="0" w:color="auto"/>
        <w:right w:val="none" w:sz="0" w:space="0" w:color="auto"/>
      </w:divBdr>
    </w:div>
    <w:div w:id="1485505540">
      <w:bodyDiv w:val="1"/>
      <w:marLeft w:val="0"/>
      <w:marRight w:val="0"/>
      <w:marTop w:val="0"/>
      <w:marBottom w:val="0"/>
      <w:divBdr>
        <w:top w:val="none" w:sz="0" w:space="0" w:color="auto"/>
        <w:left w:val="none" w:sz="0" w:space="0" w:color="auto"/>
        <w:bottom w:val="none" w:sz="0" w:space="0" w:color="auto"/>
        <w:right w:val="none" w:sz="0" w:space="0" w:color="auto"/>
      </w:divBdr>
    </w:div>
    <w:div w:id="1701469209">
      <w:bodyDiv w:val="1"/>
      <w:marLeft w:val="0"/>
      <w:marRight w:val="0"/>
      <w:marTop w:val="0"/>
      <w:marBottom w:val="0"/>
      <w:divBdr>
        <w:top w:val="none" w:sz="0" w:space="0" w:color="auto"/>
        <w:left w:val="none" w:sz="0" w:space="0" w:color="auto"/>
        <w:bottom w:val="none" w:sz="0" w:space="0" w:color="auto"/>
        <w:right w:val="none" w:sz="0" w:space="0" w:color="auto"/>
      </w:divBdr>
    </w:div>
    <w:div w:id="1723672766">
      <w:bodyDiv w:val="1"/>
      <w:marLeft w:val="0"/>
      <w:marRight w:val="0"/>
      <w:marTop w:val="0"/>
      <w:marBottom w:val="0"/>
      <w:divBdr>
        <w:top w:val="none" w:sz="0" w:space="0" w:color="auto"/>
        <w:left w:val="none" w:sz="0" w:space="0" w:color="auto"/>
        <w:bottom w:val="none" w:sz="0" w:space="0" w:color="auto"/>
        <w:right w:val="none" w:sz="0" w:space="0" w:color="auto"/>
      </w:divBdr>
    </w:div>
    <w:div w:id="20719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EE56-C194-46AE-9B7F-0ABAF731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6509</Words>
  <Characters>37103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2023-03-17T06:35:00Z</cp:lastPrinted>
  <dcterms:created xsi:type="dcterms:W3CDTF">2023-03-29T10:10:00Z</dcterms:created>
  <dcterms:modified xsi:type="dcterms:W3CDTF">2023-03-29T10:14:00Z</dcterms:modified>
</cp:coreProperties>
</file>