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D35A0" w14:textId="77777777" w:rsidR="00672D0F" w:rsidRPr="00572702" w:rsidRDefault="00672D0F" w:rsidP="00672D0F">
      <w:pPr>
        <w:tabs>
          <w:tab w:val="left" w:pos="720"/>
          <w:tab w:val="left" w:pos="1440"/>
          <w:tab w:val="left" w:pos="2160"/>
          <w:tab w:val="left" w:pos="2880"/>
          <w:tab w:val="left" w:pos="5193"/>
        </w:tabs>
        <w:spacing w:after="0" w:line="360" w:lineRule="auto"/>
        <w:jc w:val="center"/>
        <w:rPr>
          <w:rFonts w:ascii="Arial" w:eastAsia="Times New Roman" w:hAnsi="Arial" w:cs="Arial"/>
          <w:sz w:val="24"/>
          <w:szCs w:val="24"/>
          <w:lang w:eastAsia="en-GB"/>
        </w:rPr>
      </w:pPr>
      <w:r w:rsidRPr="00572702">
        <w:rPr>
          <w:rFonts w:ascii="Arial" w:eastAsia="Times New Roman" w:hAnsi="Arial" w:cs="Arial"/>
          <w:noProof/>
          <w:sz w:val="24"/>
          <w:szCs w:val="24"/>
          <w:lang w:val="en-US"/>
        </w:rPr>
        <w:drawing>
          <wp:inline distT="0" distB="0" distL="0" distR="0" wp14:anchorId="448D3628" wp14:editId="448D3629">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448D35A1" w14:textId="77777777" w:rsidR="00672D0F" w:rsidRPr="000A272A" w:rsidRDefault="00672D0F" w:rsidP="00672D0F">
      <w:pPr>
        <w:spacing w:after="0" w:line="360" w:lineRule="auto"/>
        <w:jc w:val="center"/>
        <w:rPr>
          <w:rFonts w:ascii="Times New Roman" w:eastAsia="Times New Roman" w:hAnsi="Times New Roman" w:cs="Times New Roman"/>
          <w:b/>
          <w:bCs/>
          <w:iCs/>
          <w:color w:val="000000"/>
          <w:sz w:val="28"/>
          <w:szCs w:val="28"/>
          <w:lang w:val="en-US" w:eastAsia="en-GB"/>
        </w:rPr>
      </w:pPr>
      <w:r w:rsidRPr="000A272A">
        <w:rPr>
          <w:rFonts w:ascii="Times New Roman" w:eastAsia="Times New Roman" w:hAnsi="Times New Roman" w:cs="Times New Roman"/>
          <w:b/>
          <w:bCs/>
          <w:iCs/>
          <w:color w:val="000000"/>
          <w:sz w:val="28"/>
          <w:szCs w:val="28"/>
          <w:lang w:val="en-US" w:eastAsia="en-GB"/>
        </w:rPr>
        <w:t>IN THE HIGH COURT OF SOUTH AFRICA</w:t>
      </w:r>
    </w:p>
    <w:p w14:paraId="448D35A2" w14:textId="77777777" w:rsidR="00672D0F" w:rsidRPr="000A272A" w:rsidRDefault="00672D0F" w:rsidP="00672D0F">
      <w:pPr>
        <w:spacing w:after="0" w:line="360" w:lineRule="auto"/>
        <w:jc w:val="center"/>
        <w:rPr>
          <w:rFonts w:ascii="Times New Roman" w:eastAsia="Times New Roman" w:hAnsi="Times New Roman" w:cs="Times New Roman"/>
          <w:b/>
          <w:bCs/>
          <w:iCs/>
          <w:sz w:val="28"/>
          <w:szCs w:val="28"/>
          <w:lang w:val="en-US" w:eastAsia="en-GB"/>
        </w:rPr>
      </w:pPr>
      <w:r w:rsidRPr="000A272A">
        <w:rPr>
          <w:rFonts w:ascii="Times New Roman" w:eastAsia="Times New Roman" w:hAnsi="Times New Roman" w:cs="Times New Roman"/>
          <w:b/>
          <w:bCs/>
          <w:iCs/>
          <w:sz w:val="28"/>
          <w:szCs w:val="28"/>
          <w:lang w:val="en-US" w:eastAsia="en-GB"/>
        </w:rPr>
        <w:t>GAUTENG DIVISION, PRETORIA</w:t>
      </w:r>
    </w:p>
    <w:p w14:paraId="448D35A3" w14:textId="77777777" w:rsidR="00672D0F" w:rsidRPr="000A272A" w:rsidRDefault="00672D0F" w:rsidP="00672D0F">
      <w:pPr>
        <w:spacing w:after="0" w:line="360" w:lineRule="auto"/>
        <w:jc w:val="both"/>
        <w:rPr>
          <w:rFonts w:ascii="Arial" w:eastAsia="Times New Roman" w:hAnsi="Arial" w:cs="Arial"/>
          <w:b/>
          <w:bCs/>
          <w:iCs/>
          <w:sz w:val="28"/>
          <w:szCs w:val="28"/>
          <w:lang w:val="en-US" w:eastAsia="en-GB"/>
        </w:rPr>
      </w:pPr>
    </w:p>
    <w:p w14:paraId="448D35A4" w14:textId="31151DF7" w:rsidR="00672D0F" w:rsidRPr="000A272A" w:rsidRDefault="00672D0F" w:rsidP="00672D0F">
      <w:pPr>
        <w:spacing w:after="0" w:line="360" w:lineRule="auto"/>
        <w:jc w:val="both"/>
        <w:rPr>
          <w:rFonts w:ascii="Times New Roman" w:eastAsia="Times New Roman" w:hAnsi="Times New Roman" w:cs="Times New Roman"/>
          <w:b/>
          <w:bCs/>
          <w:iCs/>
          <w:sz w:val="28"/>
          <w:szCs w:val="28"/>
          <w:lang w:val="en-US" w:eastAsia="en-GB"/>
        </w:rPr>
      </w:pP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005178CF">
        <w:rPr>
          <w:rFonts w:ascii="Times New Roman" w:eastAsia="Times New Roman" w:hAnsi="Times New Roman" w:cs="Times New Roman"/>
          <w:b/>
          <w:bCs/>
          <w:iCs/>
          <w:sz w:val="28"/>
          <w:szCs w:val="28"/>
          <w:lang w:val="en-US" w:eastAsia="en-GB"/>
        </w:rPr>
        <w:t>CASE NO. 32833/2020</w:t>
      </w:r>
    </w:p>
    <w:p w14:paraId="448D35A5" w14:textId="77777777" w:rsidR="00672D0F" w:rsidRPr="00572702" w:rsidRDefault="00672D0F" w:rsidP="00672D0F">
      <w:pPr>
        <w:spacing w:after="0" w:line="360" w:lineRule="auto"/>
        <w:jc w:val="both"/>
        <w:rPr>
          <w:rFonts w:ascii="Arial" w:eastAsia="Times New Roman" w:hAnsi="Arial" w:cs="Arial"/>
          <w:b/>
          <w:bCs/>
          <w:iCs/>
          <w:sz w:val="24"/>
          <w:szCs w:val="24"/>
          <w:lang w:val="en-US" w:eastAsia="en-GB"/>
        </w:rPr>
      </w:pPr>
    </w:p>
    <w:p w14:paraId="448D35A6" w14:textId="77777777" w:rsidR="00672D0F" w:rsidRPr="00E96ED6" w:rsidRDefault="00672D0F" w:rsidP="00672D0F">
      <w:pPr>
        <w:spacing w:after="0" w:line="360" w:lineRule="auto"/>
        <w:ind w:left="6480"/>
        <w:jc w:val="both"/>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48D362A" wp14:editId="448D362B">
                <wp:simplePos x="0" y="0"/>
                <wp:positionH relativeFrom="margin">
                  <wp:posOffset>0</wp:posOffset>
                </wp:positionH>
                <wp:positionV relativeFrom="paragraph">
                  <wp:posOffset>-24765</wp:posOffset>
                </wp:positionV>
                <wp:extent cx="3314700" cy="1466850"/>
                <wp:effectExtent l="0" t="0" r="1905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850"/>
                        </a:xfrm>
                        <a:prstGeom prst="rect">
                          <a:avLst/>
                        </a:prstGeom>
                        <a:solidFill>
                          <a:srgbClr val="FFFFFF"/>
                        </a:solidFill>
                        <a:ln w="9525">
                          <a:solidFill>
                            <a:srgbClr val="000000"/>
                          </a:solidFill>
                          <a:miter lim="800000"/>
                          <a:headEnd/>
                          <a:tailEnd/>
                        </a:ln>
                      </wps:spPr>
                      <wps:txbx>
                        <w:txbxContent>
                          <w:p w14:paraId="448D3638" w14:textId="1C3338A6" w:rsidR="00672D0F" w:rsidRDefault="0037662C" w:rsidP="0037662C">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14:paraId="448D3639" w14:textId="4B3A71F9" w:rsidR="00672D0F" w:rsidRDefault="0037662C" w:rsidP="0037662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14:paraId="448D363A" w14:textId="25A87919" w:rsidR="00672D0F" w:rsidRPr="00713CE7" w:rsidRDefault="0037662C" w:rsidP="0037662C">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14:paraId="448D363B" w14:textId="77777777" w:rsidR="00672D0F" w:rsidRDefault="00672D0F" w:rsidP="00672D0F">
                            <w:pPr>
                              <w:rPr>
                                <w:rFonts w:ascii="Century Gothic" w:hAnsi="Century Gothic"/>
                                <w:b/>
                                <w:sz w:val="18"/>
                                <w:szCs w:val="18"/>
                              </w:rPr>
                            </w:pPr>
                          </w:p>
                          <w:p w14:paraId="448D363C"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448D363D"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D362A" id="_x0000_t202" coordsize="21600,21600" o:spt="202" path="m,l,21600r21600,l21600,xe">
                <v:stroke joinstyle="miter"/>
                <v:path gradientshapeok="t" o:connecttype="rect"/>
              </v:shapetype>
              <v:shape id="Text Box 1" o:spid="_x0000_s1026" type="#_x0000_t202" style="position:absolute;left:0;text-align:left;margin-left:0;margin-top:-1.95pt;width:261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">
                <v:textbox>
                  <w:txbxContent>
                    <w:p w14:paraId="448D3638" w14:textId="1C3338A6" w:rsidR="00672D0F" w:rsidRDefault="0037662C" w:rsidP="0037662C">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14:paraId="448D3639" w14:textId="4B3A71F9" w:rsidR="00672D0F" w:rsidRDefault="0037662C" w:rsidP="0037662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14:paraId="448D363A" w14:textId="25A87919" w:rsidR="00672D0F" w:rsidRPr="00713CE7" w:rsidRDefault="0037662C" w:rsidP="0037662C">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14:paraId="448D363B" w14:textId="77777777" w:rsidR="00672D0F" w:rsidRDefault="00672D0F" w:rsidP="00672D0F">
                      <w:pPr>
                        <w:rPr>
                          <w:rFonts w:ascii="Century Gothic" w:hAnsi="Century Gothic"/>
                          <w:b/>
                          <w:sz w:val="18"/>
                          <w:szCs w:val="18"/>
                        </w:rPr>
                      </w:pPr>
                    </w:p>
                    <w:p w14:paraId="448D363C"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448D363D"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v:textbox>
                <w10:wrap anchorx="margin"/>
              </v:shape>
            </w:pict>
          </mc:Fallback>
        </mc:AlternateContent>
      </w:r>
      <w:r w:rsidRPr="00E96ED6">
        <w:rPr>
          <w:rFonts w:ascii="Times New Roman" w:eastAsia="Times New Roman" w:hAnsi="Times New Roman" w:cs="Times New Roman"/>
          <w:b/>
          <w:sz w:val="24"/>
          <w:szCs w:val="24"/>
          <w:lang w:eastAsia="en-GB"/>
        </w:rPr>
        <w:t xml:space="preserve"> </w:t>
      </w:r>
    </w:p>
    <w:p w14:paraId="448D35A7" w14:textId="77777777" w:rsidR="00672D0F" w:rsidRPr="00572702" w:rsidRDefault="00672D0F" w:rsidP="00672D0F">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br w:type="textWrapping" w:clear="all"/>
      </w:r>
    </w:p>
    <w:p w14:paraId="448D35A8" w14:textId="77777777" w:rsidR="00672D0F" w:rsidRPr="00572702" w:rsidRDefault="00672D0F" w:rsidP="00672D0F">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t xml:space="preserve">In the matter between: </w:t>
      </w:r>
    </w:p>
    <w:p w14:paraId="448D35A9" w14:textId="77777777" w:rsidR="00672D0F" w:rsidRPr="00572702" w:rsidRDefault="00672D0F" w:rsidP="00672D0F">
      <w:pPr>
        <w:spacing w:after="0" w:line="360" w:lineRule="auto"/>
        <w:jc w:val="both"/>
        <w:rPr>
          <w:rFonts w:ascii="Arial" w:eastAsia="Times New Roman" w:hAnsi="Arial" w:cs="Arial"/>
          <w:sz w:val="24"/>
          <w:szCs w:val="24"/>
          <w:lang w:eastAsia="en-GB"/>
        </w:rPr>
      </w:pPr>
    </w:p>
    <w:p w14:paraId="448D35AA" w14:textId="77777777" w:rsidR="00672D0F" w:rsidRPr="00572702" w:rsidRDefault="00672D0F" w:rsidP="00672D0F">
      <w:pPr>
        <w:spacing w:after="0" w:line="360" w:lineRule="auto"/>
        <w:jc w:val="both"/>
        <w:rPr>
          <w:rFonts w:ascii="Arial" w:eastAsia="Times New Roman" w:hAnsi="Arial" w:cs="Arial"/>
          <w:b/>
          <w:sz w:val="24"/>
          <w:szCs w:val="24"/>
          <w:lang w:eastAsia="en-GB"/>
        </w:rPr>
      </w:pPr>
    </w:p>
    <w:p w14:paraId="2384E6B7" w14:textId="77777777" w:rsidR="005178CF" w:rsidRDefault="005178CF" w:rsidP="00672D0F">
      <w:pPr>
        <w:spacing w:after="0" w:line="360" w:lineRule="auto"/>
        <w:jc w:val="both"/>
        <w:rPr>
          <w:rFonts w:ascii="Times New Roman" w:eastAsia="Times New Roman" w:hAnsi="Times New Roman" w:cs="Times New Roman"/>
          <w:sz w:val="28"/>
          <w:szCs w:val="28"/>
          <w:lang w:eastAsia="en-GB"/>
        </w:rPr>
      </w:pPr>
    </w:p>
    <w:p w14:paraId="7152EA1B" w14:textId="77777777" w:rsidR="007D2A34" w:rsidRPr="00746102" w:rsidRDefault="007D2A34" w:rsidP="00672D0F">
      <w:pPr>
        <w:spacing w:after="0" w:line="360" w:lineRule="auto"/>
        <w:jc w:val="both"/>
        <w:rPr>
          <w:rFonts w:ascii="Times New Roman" w:eastAsia="Times New Roman" w:hAnsi="Times New Roman" w:cs="Times New Roman"/>
          <w:b/>
          <w:bCs/>
          <w:sz w:val="24"/>
          <w:szCs w:val="24"/>
          <w:lang w:eastAsia="en-GB"/>
        </w:rPr>
      </w:pPr>
    </w:p>
    <w:p w14:paraId="448D35AD" w14:textId="34E3CA2A" w:rsidR="00672D0F" w:rsidRDefault="007D2A34" w:rsidP="00672D0F">
      <w:pPr>
        <w:spacing w:after="0" w:line="360" w:lineRule="auto"/>
        <w:jc w:val="both"/>
        <w:rPr>
          <w:rFonts w:ascii="Times New Roman" w:eastAsia="Times New Roman" w:hAnsi="Times New Roman" w:cs="Times New Roman"/>
          <w:b/>
          <w:bCs/>
          <w:sz w:val="28"/>
          <w:szCs w:val="28"/>
          <w:lang w:eastAsia="en-GB"/>
        </w:rPr>
      </w:pPr>
      <w:r w:rsidRPr="00746102">
        <w:rPr>
          <w:rFonts w:ascii="Times New Roman" w:eastAsia="Times New Roman" w:hAnsi="Times New Roman" w:cs="Times New Roman"/>
          <w:b/>
          <w:bCs/>
          <w:sz w:val="24"/>
          <w:szCs w:val="24"/>
          <w:lang w:eastAsia="en-GB"/>
        </w:rPr>
        <w:t>PASSENGER RAIL AGENCY OF SOUTH AFRICA</w:t>
      </w:r>
      <w:r w:rsidR="00746102" w:rsidRPr="00746102">
        <w:rPr>
          <w:rFonts w:ascii="Times New Roman" w:eastAsia="Times New Roman" w:hAnsi="Times New Roman" w:cs="Times New Roman"/>
          <w:b/>
          <w:bCs/>
          <w:sz w:val="24"/>
          <w:szCs w:val="24"/>
          <w:lang w:eastAsia="en-GB"/>
        </w:rPr>
        <w:tab/>
      </w:r>
      <w:r w:rsidR="00746102">
        <w:rPr>
          <w:rFonts w:ascii="Times New Roman" w:eastAsia="Times New Roman" w:hAnsi="Times New Roman" w:cs="Times New Roman"/>
          <w:b/>
          <w:bCs/>
          <w:sz w:val="24"/>
          <w:szCs w:val="24"/>
          <w:lang w:eastAsia="en-GB"/>
        </w:rPr>
        <w:t xml:space="preserve">     </w:t>
      </w:r>
      <w:r w:rsidR="00746102" w:rsidRPr="00746102">
        <w:rPr>
          <w:rFonts w:ascii="Times New Roman" w:eastAsia="Times New Roman" w:hAnsi="Times New Roman" w:cs="Times New Roman"/>
          <w:b/>
          <w:bCs/>
          <w:sz w:val="24"/>
          <w:szCs w:val="24"/>
          <w:lang w:eastAsia="en-GB"/>
        </w:rPr>
        <w:t>EXCIPIENT/</w:t>
      </w:r>
      <w:r w:rsidR="00746102">
        <w:rPr>
          <w:rFonts w:ascii="Times New Roman" w:eastAsia="Times New Roman" w:hAnsi="Times New Roman" w:cs="Times New Roman"/>
          <w:b/>
          <w:bCs/>
          <w:sz w:val="24"/>
          <w:szCs w:val="24"/>
          <w:lang w:eastAsia="en-GB"/>
        </w:rPr>
        <w:t xml:space="preserve"> </w:t>
      </w:r>
      <w:r w:rsidR="00746102" w:rsidRPr="00746102">
        <w:rPr>
          <w:rFonts w:ascii="Times New Roman" w:eastAsia="Times New Roman" w:hAnsi="Times New Roman" w:cs="Times New Roman"/>
          <w:b/>
          <w:bCs/>
          <w:sz w:val="24"/>
          <w:szCs w:val="24"/>
          <w:lang w:eastAsia="en-GB"/>
        </w:rPr>
        <w:t>DEFENDANT</w:t>
      </w:r>
      <w:r w:rsidR="00746102">
        <w:rPr>
          <w:rFonts w:ascii="Times New Roman" w:eastAsia="Times New Roman" w:hAnsi="Times New Roman" w:cs="Times New Roman"/>
          <w:b/>
          <w:bCs/>
          <w:sz w:val="28"/>
          <w:szCs w:val="28"/>
          <w:lang w:eastAsia="en-GB"/>
        </w:rPr>
        <w:t xml:space="preserve"> </w:t>
      </w:r>
    </w:p>
    <w:p w14:paraId="02694F15" w14:textId="77777777" w:rsidR="00746102" w:rsidRPr="008F6897" w:rsidRDefault="00746102" w:rsidP="00672D0F">
      <w:pPr>
        <w:spacing w:after="0" w:line="360" w:lineRule="auto"/>
        <w:jc w:val="both"/>
        <w:rPr>
          <w:rFonts w:ascii="Times New Roman" w:eastAsia="Times New Roman" w:hAnsi="Times New Roman" w:cs="Times New Roman"/>
          <w:b/>
          <w:bCs/>
          <w:sz w:val="28"/>
          <w:szCs w:val="28"/>
          <w:lang w:eastAsia="en-GB"/>
        </w:rPr>
      </w:pPr>
    </w:p>
    <w:p w14:paraId="448D35AE" w14:textId="77777777" w:rsidR="00672D0F" w:rsidRPr="008F6897" w:rsidRDefault="00672D0F" w:rsidP="00672D0F">
      <w:pPr>
        <w:spacing w:after="0" w:line="360" w:lineRule="auto"/>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 xml:space="preserve">AND </w:t>
      </w:r>
    </w:p>
    <w:p w14:paraId="75C20137" w14:textId="3A4BEC28" w:rsidR="00746102" w:rsidRDefault="00746102" w:rsidP="00746102">
      <w:pPr>
        <w:tabs>
          <w:tab w:val="left" w:pos="4111"/>
        </w:tabs>
        <w:spacing w:after="0" w:line="360" w:lineRule="auto"/>
        <w:jc w:val="both"/>
        <w:rPr>
          <w:rFonts w:ascii="Times New Roman" w:eastAsia="Times New Roman" w:hAnsi="Times New Roman" w:cs="Times New Roman"/>
          <w:b/>
          <w:sz w:val="28"/>
          <w:szCs w:val="28"/>
          <w:lang w:eastAsia="en-GB"/>
        </w:rPr>
      </w:pPr>
    </w:p>
    <w:p w14:paraId="5AA755FE" w14:textId="2F3F5DA1" w:rsidR="009F4669" w:rsidRPr="00746102" w:rsidRDefault="007D2A34" w:rsidP="00746102">
      <w:pPr>
        <w:tabs>
          <w:tab w:val="left" w:pos="4111"/>
        </w:tabs>
        <w:spacing w:after="0" w:line="360" w:lineRule="auto"/>
        <w:jc w:val="both"/>
        <w:rPr>
          <w:rFonts w:ascii="Times New Roman" w:eastAsia="Times New Roman" w:hAnsi="Times New Roman" w:cs="Times New Roman"/>
          <w:b/>
          <w:sz w:val="28"/>
          <w:szCs w:val="28"/>
          <w:lang w:eastAsia="en-GB"/>
        </w:rPr>
      </w:pPr>
      <w:r w:rsidRPr="00746102">
        <w:rPr>
          <w:rFonts w:ascii="Times New Roman" w:eastAsia="Times New Roman" w:hAnsi="Times New Roman" w:cs="Times New Roman"/>
          <w:b/>
          <w:sz w:val="24"/>
          <w:szCs w:val="24"/>
          <w:lang w:eastAsia="en-GB"/>
        </w:rPr>
        <w:t>SINQOBILE SECURITY SERVICES CC</w:t>
      </w:r>
      <w:r w:rsidR="003F6DF8" w:rsidRPr="00746102">
        <w:rPr>
          <w:rFonts w:ascii="Times New Roman" w:eastAsia="Times New Roman" w:hAnsi="Times New Roman" w:cs="Times New Roman"/>
          <w:b/>
          <w:sz w:val="24"/>
          <w:szCs w:val="24"/>
          <w:lang w:eastAsia="en-GB"/>
        </w:rPr>
        <w:tab/>
      </w:r>
      <w:r w:rsidR="00746102">
        <w:rPr>
          <w:rFonts w:ascii="Times New Roman" w:eastAsia="Times New Roman" w:hAnsi="Times New Roman" w:cs="Times New Roman"/>
          <w:b/>
          <w:sz w:val="24"/>
          <w:szCs w:val="24"/>
          <w:lang w:eastAsia="en-GB"/>
        </w:rPr>
        <w:t xml:space="preserve">                           </w:t>
      </w:r>
      <w:r w:rsidR="00746102" w:rsidRPr="00746102">
        <w:rPr>
          <w:rFonts w:ascii="Times New Roman" w:eastAsia="Times New Roman" w:hAnsi="Times New Roman" w:cs="Times New Roman"/>
          <w:b/>
          <w:sz w:val="24"/>
          <w:szCs w:val="24"/>
          <w:lang w:eastAsia="en-GB"/>
        </w:rPr>
        <w:t>RESPONDENT/</w:t>
      </w:r>
      <w:r w:rsidR="00746102">
        <w:rPr>
          <w:rFonts w:ascii="Times New Roman" w:eastAsia="Times New Roman" w:hAnsi="Times New Roman" w:cs="Times New Roman"/>
          <w:b/>
          <w:sz w:val="24"/>
          <w:szCs w:val="24"/>
          <w:lang w:eastAsia="en-GB"/>
        </w:rPr>
        <w:t xml:space="preserve"> </w:t>
      </w:r>
      <w:r w:rsidR="00746102" w:rsidRPr="00746102">
        <w:rPr>
          <w:rFonts w:ascii="Times New Roman" w:eastAsia="Times New Roman" w:hAnsi="Times New Roman" w:cs="Times New Roman"/>
          <w:b/>
          <w:sz w:val="24"/>
          <w:szCs w:val="24"/>
          <w:lang w:eastAsia="en-GB"/>
        </w:rPr>
        <w:t>PLAINTIFF</w:t>
      </w:r>
      <w:r w:rsidR="003F6DF8">
        <w:rPr>
          <w:rFonts w:ascii="Times New Roman" w:eastAsia="Times New Roman" w:hAnsi="Times New Roman" w:cs="Times New Roman"/>
          <w:b/>
          <w:sz w:val="28"/>
          <w:szCs w:val="28"/>
          <w:lang w:eastAsia="en-GB"/>
        </w:rPr>
        <w:tab/>
      </w:r>
      <w:r w:rsidR="003F6DF8">
        <w:rPr>
          <w:rFonts w:ascii="Times New Roman" w:eastAsia="Times New Roman" w:hAnsi="Times New Roman" w:cs="Times New Roman"/>
          <w:b/>
          <w:sz w:val="28"/>
          <w:szCs w:val="28"/>
          <w:lang w:eastAsia="en-GB"/>
        </w:rPr>
        <w:tab/>
      </w:r>
      <w:r w:rsidR="00052B6E">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lang w:eastAsia="en-GB"/>
        </w:rPr>
        <w:t xml:space="preserve"> </w:t>
      </w:r>
    </w:p>
    <w:p w14:paraId="448D35B1" w14:textId="77777777" w:rsidR="00672D0F" w:rsidRPr="00E96ED6" w:rsidRDefault="00672D0F" w:rsidP="00672D0F">
      <w:pPr>
        <w:tabs>
          <w:tab w:val="left" w:pos="4111"/>
        </w:tabs>
        <w:spacing w:after="0" w:line="360" w:lineRule="auto"/>
        <w:jc w:val="both"/>
        <w:rPr>
          <w:rFonts w:ascii="Times New Roman" w:eastAsia="Times New Roman" w:hAnsi="Times New Roman" w:cs="Times New Roman"/>
          <w:sz w:val="24"/>
          <w:szCs w:val="24"/>
          <w:lang w:eastAsia="en-GB"/>
        </w:rPr>
      </w:pPr>
    </w:p>
    <w:p w14:paraId="448D35B2" w14:textId="77777777" w:rsidR="00672D0F"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eastAsia="en-GB"/>
        </w:rPr>
      </w:pPr>
    </w:p>
    <w:p w14:paraId="448D35B3" w14:textId="77777777" w:rsidR="00672D0F" w:rsidRPr="00E96ED6"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b/>
          <w:sz w:val="24"/>
          <w:szCs w:val="24"/>
          <w:lang w:eastAsia="en-GB"/>
        </w:rPr>
        <w:t>JUDGMENT</w:t>
      </w:r>
    </w:p>
    <w:p w14:paraId="448D35B4" w14:textId="77777777" w:rsidR="00672D0F" w:rsidRPr="00E96ED6" w:rsidRDefault="00672D0F" w:rsidP="00672D0F">
      <w:pPr>
        <w:spacing w:after="0" w:line="360" w:lineRule="auto"/>
        <w:jc w:val="both"/>
        <w:rPr>
          <w:rFonts w:ascii="Times New Roman" w:eastAsia="Times New Roman" w:hAnsi="Times New Roman" w:cs="Times New Roman"/>
          <w:b/>
          <w:sz w:val="24"/>
          <w:szCs w:val="24"/>
          <w:lang w:eastAsia="en-GB"/>
        </w:rPr>
      </w:pPr>
    </w:p>
    <w:p w14:paraId="448D35B5" w14:textId="77777777" w:rsidR="00672D0F" w:rsidRPr="00E96ED6" w:rsidRDefault="00672D0F" w:rsidP="00672D0F">
      <w:pPr>
        <w:spacing w:after="0" w:line="360" w:lineRule="auto"/>
        <w:jc w:val="both"/>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b/>
          <w:sz w:val="24"/>
          <w:szCs w:val="24"/>
          <w:lang w:eastAsia="en-GB"/>
        </w:rPr>
        <w:t xml:space="preserve">MAKHOBA J </w:t>
      </w:r>
    </w:p>
    <w:p w14:paraId="448D35B7" w14:textId="3A44A005" w:rsidR="00672D0F" w:rsidRDefault="00672D0F" w:rsidP="00672D0F">
      <w:pPr>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14:paraId="679B2624" w14:textId="745FE453" w:rsidR="005178CF" w:rsidRDefault="005178CF" w:rsidP="005178CF">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1DC740C3" w14:textId="1B2CEDB8" w:rsidR="005178CF" w:rsidRPr="0037662C" w:rsidRDefault="0037662C" w:rsidP="0037662C">
      <w:pPr>
        <w:tabs>
          <w:tab w:val="left" w:pos="6237"/>
          <w:tab w:val="left" w:pos="6521"/>
          <w:tab w:val="left" w:pos="6946"/>
        </w:tabs>
        <w:spacing w:after="0" w:line="360" w:lineRule="auto"/>
        <w:ind w:left="502"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w:t>
      </w:r>
      <w:r>
        <w:rPr>
          <w:rFonts w:ascii="Times New Roman" w:eastAsia="Times New Roman" w:hAnsi="Times New Roman" w:cs="Times New Roman"/>
          <w:sz w:val="28"/>
          <w:szCs w:val="28"/>
          <w:lang w:eastAsia="en-GB"/>
        </w:rPr>
        <w:tab/>
      </w:r>
      <w:r w:rsidR="005178CF" w:rsidRPr="0037662C">
        <w:rPr>
          <w:rFonts w:ascii="Times New Roman" w:eastAsia="Times New Roman" w:hAnsi="Times New Roman" w:cs="Times New Roman"/>
          <w:sz w:val="28"/>
          <w:szCs w:val="28"/>
          <w:lang w:eastAsia="en-GB"/>
        </w:rPr>
        <w:t>The applicant (defendant in the main action) is the PASSENGER RAIL AGENCY OF SOUTH AFRICA LTD (PRASA), a legal entity established in terms of section 22 of the Legal Succession to the South African Transport Service Act, 9 of 1989 with registered address at PRASA House, 1040 Burnett Street, Hatfield, Pretoria, Gauteng Province.</w:t>
      </w:r>
    </w:p>
    <w:p w14:paraId="3447F600" w14:textId="77777777" w:rsidR="00EE706D" w:rsidRDefault="00EE706D" w:rsidP="00EE706D">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44CEFAE5" w14:textId="3D555FD3" w:rsidR="005178CF" w:rsidRPr="0037662C" w:rsidRDefault="0037662C" w:rsidP="0037662C">
      <w:pPr>
        <w:tabs>
          <w:tab w:val="left" w:pos="6237"/>
          <w:tab w:val="left" w:pos="6521"/>
          <w:tab w:val="left" w:pos="6946"/>
        </w:tabs>
        <w:spacing w:after="0" w:line="360" w:lineRule="auto"/>
        <w:ind w:left="502"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w:t>
      </w:r>
      <w:r>
        <w:rPr>
          <w:rFonts w:ascii="Times New Roman" w:eastAsia="Times New Roman" w:hAnsi="Times New Roman" w:cs="Times New Roman"/>
          <w:sz w:val="28"/>
          <w:szCs w:val="28"/>
          <w:lang w:eastAsia="en-GB"/>
        </w:rPr>
        <w:tab/>
      </w:r>
      <w:r w:rsidR="005178CF" w:rsidRPr="0037662C">
        <w:rPr>
          <w:rFonts w:ascii="Times New Roman" w:eastAsia="Times New Roman" w:hAnsi="Times New Roman" w:cs="Times New Roman"/>
          <w:sz w:val="28"/>
          <w:szCs w:val="28"/>
          <w:lang w:eastAsia="en-GB"/>
        </w:rPr>
        <w:t>The respondent (</w:t>
      </w:r>
      <w:r w:rsidR="00EE706D" w:rsidRPr="0037662C">
        <w:rPr>
          <w:rFonts w:ascii="Times New Roman" w:eastAsia="Times New Roman" w:hAnsi="Times New Roman" w:cs="Times New Roman"/>
          <w:sz w:val="28"/>
          <w:szCs w:val="28"/>
          <w:lang w:eastAsia="en-GB"/>
        </w:rPr>
        <w:t>Plaintiff in the main action) is SINQOBILE EQUESTRAIN SECURITY SERVICES CC (Registration No</w:t>
      </w:r>
      <w:r w:rsidR="009D1914" w:rsidRPr="0037662C">
        <w:rPr>
          <w:rFonts w:ascii="Times New Roman" w:eastAsia="Times New Roman" w:hAnsi="Times New Roman" w:cs="Times New Roman"/>
          <w:sz w:val="28"/>
          <w:szCs w:val="28"/>
          <w:lang w:eastAsia="en-GB"/>
        </w:rPr>
        <w:t>.1999/008402/07), a close corporation duly registered and in terms of the Close Corporations A</w:t>
      </w:r>
      <w:r w:rsidR="00E63421" w:rsidRPr="0037662C">
        <w:rPr>
          <w:rFonts w:ascii="Times New Roman" w:eastAsia="Times New Roman" w:hAnsi="Times New Roman" w:cs="Times New Roman"/>
          <w:sz w:val="28"/>
          <w:szCs w:val="28"/>
          <w:lang w:eastAsia="en-GB"/>
        </w:rPr>
        <w:t>ct</w:t>
      </w:r>
      <w:r w:rsidR="009D1914" w:rsidRPr="0037662C">
        <w:rPr>
          <w:rFonts w:ascii="Times New Roman" w:eastAsia="Times New Roman" w:hAnsi="Times New Roman" w:cs="Times New Roman"/>
          <w:sz w:val="28"/>
          <w:szCs w:val="28"/>
          <w:lang w:eastAsia="en-GB"/>
        </w:rPr>
        <w:t>, 69 of 1984 with principal place of business at 100 Market Street, Cnr Kaap and Market Streets, Boksbu</w:t>
      </w:r>
      <w:r w:rsidR="00746102" w:rsidRPr="0037662C">
        <w:rPr>
          <w:rFonts w:ascii="Times New Roman" w:eastAsia="Times New Roman" w:hAnsi="Times New Roman" w:cs="Times New Roman"/>
          <w:sz w:val="28"/>
          <w:szCs w:val="28"/>
          <w:lang w:eastAsia="en-GB"/>
        </w:rPr>
        <w:t>rg, Gauteng province, for purpose of this judgement the parties will be referred to as applicant and respondent respectively.</w:t>
      </w:r>
    </w:p>
    <w:p w14:paraId="353D4AF8" w14:textId="77777777" w:rsidR="00E63421" w:rsidRPr="00E63421" w:rsidRDefault="00E63421" w:rsidP="00E63421">
      <w:pPr>
        <w:pStyle w:val="ListParagraph"/>
        <w:rPr>
          <w:rFonts w:ascii="Times New Roman" w:eastAsia="Times New Roman" w:hAnsi="Times New Roman" w:cs="Times New Roman"/>
          <w:sz w:val="28"/>
          <w:szCs w:val="28"/>
          <w:lang w:eastAsia="en-GB"/>
        </w:rPr>
      </w:pPr>
    </w:p>
    <w:p w14:paraId="42C3C23E" w14:textId="646C5EE0" w:rsidR="00E63421" w:rsidRPr="0037662C" w:rsidRDefault="0037662C" w:rsidP="0037662C">
      <w:pPr>
        <w:tabs>
          <w:tab w:val="left" w:pos="6237"/>
          <w:tab w:val="left" w:pos="6521"/>
          <w:tab w:val="left" w:pos="6946"/>
        </w:tabs>
        <w:spacing w:after="0" w:line="360" w:lineRule="auto"/>
        <w:ind w:left="502"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w:t>
      </w:r>
      <w:r>
        <w:rPr>
          <w:rFonts w:ascii="Times New Roman" w:eastAsia="Times New Roman" w:hAnsi="Times New Roman" w:cs="Times New Roman"/>
          <w:sz w:val="28"/>
          <w:szCs w:val="28"/>
          <w:lang w:eastAsia="en-GB"/>
        </w:rPr>
        <w:tab/>
      </w:r>
      <w:r w:rsidR="00E63421" w:rsidRPr="0037662C">
        <w:rPr>
          <w:rFonts w:ascii="Times New Roman" w:eastAsia="Times New Roman" w:hAnsi="Times New Roman" w:cs="Times New Roman"/>
          <w:sz w:val="28"/>
          <w:szCs w:val="28"/>
          <w:lang w:eastAsia="en-GB"/>
        </w:rPr>
        <w:t xml:space="preserve">The respondent </w:t>
      </w:r>
      <w:r w:rsidR="00D168D6" w:rsidRPr="0037662C">
        <w:rPr>
          <w:rFonts w:ascii="Times New Roman" w:eastAsia="Times New Roman" w:hAnsi="Times New Roman" w:cs="Times New Roman"/>
          <w:sz w:val="28"/>
          <w:szCs w:val="28"/>
          <w:lang w:eastAsia="en-GB"/>
        </w:rPr>
        <w:t xml:space="preserve">is </w:t>
      </w:r>
      <w:r w:rsidR="00E63421" w:rsidRPr="0037662C">
        <w:rPr>
          <w:rFonts w:ascii="Times New Roman" w:eastAsia="Times New Roman" w:hAnsi="Times New Roman" w:cs="Times New Roman"/>
          <w:sz w:val="28"/>
          <w:szCs w:val="28"/>
          <w:lang w:eastAsia="en-GB"/>
        </w:rPr>
        <w:t>duly register</w:t>
      </w:r>
      <w:r w:rsidR="00D168D6" w:rsidRPr="0037662C">
        <w:rPr>
          <w:rFonts w:ascii="Times New Roman" w:eastAsia="Times New Roman" w:hAnsi="Times New Roman" w:cs="Times New Roman"/>
          <w:sz w:val="28"/>
          <w:szCs w:val="28"/>
          <w:lang w:eastAsia="en-GB"/>
        </w:rPr>
        <w:t>ed as a private security</w:t>
      </w:r>
      <w:r w:rsidR="00E63421" w:rsidRPr="0037662C">
        <w:rPr>
          <w:rFonts w:ascii="Times New Roman" w:eastAsia="Times New Roman" w:hAnsi="Times New Roman" w:cs="Times New Roman"/>
          <w:sz w:val="28"/>
          <w:szCs w:val="28"/>
          <w:lang w:eastAsia="en-GB"/>
        </w:rPr>
        <w:t xml:space="preserve"> provider with the Private Security industry regulatory Authority in terms of the Private Security Industry Regulatory Act, 56 of 2001. </w:t>
      </w:r>
    </w:p>
    <w:p w14:paraId="4B472627" w14:textId="77777777" w:rsidR="00E63421" w:rsidRPr="00E63421" w:rsidRDefault="00E63421" w:rsidP="00E63421">
      <w:pPr>
        <w:pStyle w:val="ListParagraph"/>
        <w:rPr>
          <w:rFonts w:ascii="Times New Roman" w:eastAsia="Times New Roman" w:hAnsi="Times New Roman" w:cs="Times New Roman"/>
          <w:sz w:val="28"/>
          <w:szCs w:val="28"/>
          <w:lang w:eastAsia="en-GB"/>
        </w:rPr>
      </w:pPr>
    </w:p>
    <w:p w14:paraId="0EFEA713" w14:textId="26837700" w:rsidR="00E63421" w:rsidRPr="0037662C" w:rsidRDefault="0037662C" w:rsidP="0037662C">
      <w:pPr>
        <w:tabs>
          <w:tab w:val="left" w:pos="6237"/>
          <w:tab w:val="left" w:pos="6521"/>
          <w:tab w:val="left" w:pos="6946"/>
        </w:tabs>
        <w:spacing w:after="0" w:line="360" w:lineRule="auto"/>
        <w:ind w:left="502"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w:t>
      </w:r>
      <w:r>
        <w:rPr>
          <w:rFonts w:ascii="Times New Roman" w:eastAsia="Times New Roman" w:hAnsi="Times New Roman" w:cs="Times New Roman"/>
          <w:sz w:val="28"/>
          <w:szCs w:val="28"/>
          <w:lang w:eastAsia="en-GB"/>
        </w:rPr>
        <w:tab/>
      </w:r>
      <w:r w:rsidR="00E63421" w:rsidRPr="0037662C">
        <w:rPr>
          <w:rFonts w:ascii="Times New Roman" w:eastAsia="Times New Roman" w:hAnsi="Times New Roman" w:cs="Times New Roman"/>
          <w:sz w:val="28"/>
          <w:szCs w:val="28"/>
          <w:lang w:eastAsia="en-GB"/>
        </w:rPr>
        <w:t>During 2011 the</w:t>
      </w:r>
      <w:r w:rsidR="00746102" w:rsidRPr="0037662C">
        <w:rPr>
          <w:rFonts w:ascii="Times New Roman" w:eastAsia="Times New Roman" w:hAnsi="Times New Roman" w:cs="Times New Roman"/>
          <w:sz w:val="28"/>
          <w:szCs w:val="28"/>
          <w:lang w:eastAsia="en-GB"/>
        </w:rPr>
        <w:t xml:space="preserve"> applicant advertised a security</w:t>
      </w:r>
      <w:r w:rsidR="00E63421" w:rsidRPr="0037662C">
        <w:rPr>
          <w:rFonts w:ascii="Times New Roman" w:eastAsia="Times New Roman" w:hAnsi="Times New Roman" w:cs="Times New Roman"/>
          <w:sz w:val="28"/>
          <w:szCs w:val="28"/>
          <w:lang w:eastAsia="en-GB"/>
        </w:rPr>
        <w:t xml:space="preserve"> tender under re</w:t>
      </w:r>
      <w:r w:rsidR="00D168D6" w:rsidRPr="0037662C">
        <w:rPr>
          <w:rFonts w:ascii="Times New Roman" w:eastAsia="Times New Roman" w:hAnsi="Times New Roman" w:cs="Times New Roman"/>
          <w:sz w:val="28"/>
          <w:szCs w:val="28"/>
          <w:lang w:eastAsia="en-GB"/>
        </w:rPr>
        <w:t>ference PRAS</w:t>
      </w:r>
      <w:bookmarkStart w:id="0" w:name="_GoBack"/>
      <w:bookmarkEnd w:id="0"/>
      <w:r w:rsidR="00D168D6" w:rsidRPr="0037662C">
        <w:rPr>
          <w:rFonts w:ascii="Times New Roman" w:eastAsia="Times New Roman" w:hAnsi="Times New Roman" w:cs="Times New Roman"/>
          <w:sz w:val="28"/>
          <w:szCs w:val="28"/>
          <w:lang w:eastAsia="en-GB"/>
        </w:rPr>
        <w:t>A/LS/GB/2011/05 Which was awarded to the respondent.</w:t>
      </w:r>
    </w:p>
    <w:p w14:paraId="38AA8742" w14:textId="77777777" w:rsidR="00D168D6" w:rsidRPr="00D168D6" w:rsidRDefault="00D168D6" w:rsidP="00D168D6">
      <w:pPr>
        <w:pStyle w:val="ListParagraph"/>
        <w:rPr>
          <w:rFonts w:ascii="Times New Roman" w:eastAsia="Times New Roman" w:hAnsi="Times New Roman" w:cs="Times New Roman"/>
          <w:sz w:val="28"/>
          <w:szCs w:val="28"/>
          <w:lang w:eastAsia="en-GB"/>
        </w:rPr>
      </w:pPr>
    </w:p>
    <w:p w14:paraId="1B8B3C32" w14:textId="02F9C637" w:rsidR="00D168D6" w:rsidRPr="0037662C" w:rsidRDefault="0037662C" w:rsidP="0037662C">
      <w:pPr>
        <w:tabs>
          <w:tab w:val="left" w:pos="6237"/>
          <w:tab w:val="left" w:pos="6521"/>
          <w:tab w:val="left" w:pos="6946"/>
        </w:tabs>
        <w:spacing w:after="0" w:line="360" w:lineRule="auto"/>
        <w:ind w:left="502"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5)</w:t>
      </w:r>
      <w:r>
        <w:rPr>
          <w:rFonts w:ascii="Times New Roman" w:eastAsia="Times New Roman" w:hAnsi="Times New Roman" w:cs="Times New Roman"/>
          <w:sz w:val="28"/>
          <w:szCs w:val="28"/>
          <w:lang w:eastAsia="en-GB"/>
        </w:rPr>
        <w:tab/>
      </w:r>
      <w:r w:rsidR="00D168D6" w:rsidRPr="0037662C">
        <w:rPr>
          <w:rFonts w:ascii="Times New Roman" w:eastAsia="Times New Roman" w:hAnsi="Times New Roman" w:cs="Times New Roman"/>
          <w:sz w:val="28"/>
          <w:szCs w:val="28"/>
          <w:lang w:eastAsia="en-GB"/>
        </w:rPr>
        <w:t>In a letter dated 28/02/20 the applicant terminated the Respondents appointment with effect from 30 April 2020.On the 24 July 2020 respondent institutes summons against the applicant. The pleadings closed in November 2020.</w:t>
      </w:r>
    </w:p>
    <w:p w14:paraId="2455C547" w14:textId="77777777" w:rsidR="00D168D6" w:rsidRPr="00D168D6" w:rsidRDefault="00D168D6" w:rsidP="00D168D6">
      <w:pPr>
        <w:pStyle w:val="ListParagraph"/>
        <w:rPr>
          <w:rFonts w:ascii="Times New Roman" w:eastAsia="Times New Roman" w:hAnsi="Times New Roman" w:cs="Times New Roman"/>
          <w:sz w:val="28"/>
          <w:szCs w:val="28"/>
          <w:lang w:eastAsia="en-GB"/>
        </w:rPr>
      </w:pPr>
    </w:p>
    <w:p w14:paraId="2B36B4BD" w14:textId="66DBA2ED" w:rsidR="00D168D6" w:rsidRPr="0037662C" w:rsidRDefault="0037662C" w:rsidP="0037662C">
      <w:pPr>
        <w:tabs>
          <w:tab w:val="left" w:pos="6237"/>
          <w:tab w:val="left" w:pos="6521"/>
          <w:tab w:val="left" w:pos="6946"/>
        </w:tabs>
        <w:spacing w:after="0" w:line="360" w:lineRule="auto"/>
        <w:ind w:left="502"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6)</w:t>
      </w:r>
      <w:r>
        <w:rPr>
          <w:rFonts w:ascii="Times New Roman" w:eastAsia="Times New Roman" w:hAnsi="Times New Roman" w:cs="Times New Roman"/>
          <w:sz w:val="28"/>
          <w:szCs w:val="28"/>
          <w:lang w:eastAsia="en-GB"/>
        </w:rPr>
        <w:tab/>
      </w:r>
      <w:r w:rsidR="00D168D6" w:rsidRPr="0037662C">
        <w:rPr>
          <w:rFonts w:ascii="Times New Roman" w:eastAsia="Times New Roman" w:hAnsi="Times New Roman" w:cs="Times New Roman"/>
          <w:sz w:val="28"/>
          <w:szCs w:val="28"/>
          <w:lang w:eastAsia="en-GB"/>
        </w:rPr>
        <w:t>In May 2022 The respondent gave notice of its intention to amend the particulars of claim. The respondent effected the amendment under Rule 28</w:t>
      </w:r>
      <w:r w:rsidR="001B6D2F" w:rsidRPr="0037662C">
        <w:rPr>
          <w:rFonts w:ascii="Times New Roman" w:eastAsia="Times New Roman" w:hAnsi="Times New Roman" w:cs="Times New Roman"/>
          <w:sz w:val="28"/>
          <w:szCs w:val="28"/>
          <w:lang w:eastAsia="en-GB"/>
        </w:rPr>
        <w:t xml:space="preserve"> of the uniform Rules of court. In July 2022 the applicant delivered its </w:t>
      </w:r>
      <w:r w:rsidR="001B6D2F" w:rsidRPr="0037662C">
        <w:rPr>
          <w:rFonts w:ascii="Times New Roman" w:eastAsia="Times New Roman" w:hAnsi="Times New Roman" w:cs="Times New Roman"/>
          <w:sz w:val="28"/>
          <w:szCs w:val="28"/>
          <w:lang w:eastAsia="en-GB"/>
        </w:rPr>
        <w:lastRenderedPageBreak/>
        <w:t>exception to the respondent’s particulars of claim on the basis that the particulars of claim do not disclose a cause of action.</w:t>
      </w:r>
    </w:p>
    <w:p w14:paraId="26EECDB8" w14:textId="77777777" w:rsidR="001B6D2F" w:rsidRPr="001B6D2F" w:rsidRDefault="001B6D2F" w:rsidP="001B6D2F">
      <w:pPr>
        <w:pStyle w:val="ListParagraph"/>
        <w:rPr>
          <w:rFonts w:ascii="Times New Roman" w:eastAsia="Times New Roman" w:hAnsi="Times New Roman" w:cs="Times New Roman"/>
          <w:sz w:val="28"/>
          <w:szCs w:val="28"/>
          <w:lang w:eastAsia="en-GB"/>
        </w:rPr>
      </w:pPr>
    </w:p>
    <w:p w14:paraId="52635908" w14:textId="55694E65" w:rsidR="001B6D2F" w:rsidRPr="0037662C" w:rsidRDefault="0037662C" w:rsidP="0037662C">
      <w:pPr>
        <w:tabs>
          <w:tab w:val="left" w:pos="6237"/>
          <w:tab w:val="left" w:pos="6521"/>
          <w:tab w:val="left" w:pos="6946"/>
        </w:tabs>
        <w:spacing w:after="0" w:line="360" w:lineRule="auto"/>
        <w:ind w:left="502"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w:t>
      </w:r>
      <w:r>
        <w:rPr>
          <w:rFonts w:ascii="Times New Roman" w:eastAsia="Times New Roman" w:hAnsi="Times New Roman" w:cs="Times New Roman"/>
          <w:sz w:val="28"/>
          <w:szCs w:val="28"/>
          <w:lang w:eastAsia="en-GB"/>
        </w:rPr>
        <w:tab/>
      </w:r>
      <w:r w:rsidR="006727CF" w:rsidRPr="0037662C">
        <w:rPr>
          <w:rFonts w:ascii="Times New Roman" w:eastAsia="Times New Roman" w:hAnsi="Times New Roman" w:cs="Times New Roman"/>
          <w:sz w:val="28"/>
          <w:szCs w:val="28"/>
          <w:lang w:eastAsia="en-GB"/>
        </w:rPr>
        <w:t>The main issue between the parties is that the respondent in its amended particulars of claim, claims that the applicant failed to pay the PSIRA (the Private Security Industry Regulatory Authority) increases for certain periods of time. However, the respondent does not allege that any of its invoices remain unpaid.</w:t>
      </w:r>
    </w:p>
    <w:p w14:paraId="0D153C64" w14:textId="77777777" w:rsidR="006727CF" w:rsidRPr="006727CF" w:rsidRDefault="006727CF" w:rsidP="006727CF">
      <w:pPr>
        <w:pStyle w:val="ListParagraph"/>
        <w:rPr>
          <w:rFonts w:ascii="Times New Roman" w:eastAsia="Times New Roman" w:hAnsi="Times New Roman" w:cs="Times New Roman"/>
          <w:sz w:val="28"/>
          <w:szCs w:val="28"/>
          <w:lang w:eastAsia="en-GB"/>
        </w:rPr>
      </w:pPr>
    </w:p>
    <w:p w14:paraId="5438638D" w14:textId="10873AFE" w:rsidR="00E42D15" w:rsidRPr="0037662C" w:rsidRDefault="0037662C" w:rsidP="0037662C">
      <w:pPr>
        <w:tabs>
          <w:tab w:val="left" w:pos="6237"/>
          <w:tab w:val="left" w:pos="6521"/>
          <w:tab w:val="left" w:pos="6946"/>
        </w:tabs>
        <w:spacing w:after="0" w:line="360" w:lineRule="auto"/>
        <w:ind w:left="502"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8)</w:t>
      </w:r>
      <w:r>
        <w:rPr>
          <w:rFonts w:ascii="Times New Roman" w:eastAsia="Times New Roman" w:hAnsi="Times New Roman" w:cs="Times New Roman"/>
          <w:sz w:val="28"/>
          <w:szCs w:val="28"/>
          <w:lang w:eastAsia="en-GB"/>
        </w:rPr>
        <w:tab/>
      </w:r>
      <w:r w:rsidR="006727CF" w:rsidRPr="0037662C">
        <w:rPr>
          <w:rFonts w:ascii="Times New Roman" w:eastAsia="Times New Roman" w:hAnsi="Times New Roman" w:cs="Times New Roman"/>
          <w:sz w:val="28"/>
          <w:szCs w:val="28"/>
          <w:lang w:eastAsia="en-GB"/>
        </w:rPr>
        <w:t>According to the amendments</w:t>
      </w:r>
      <w:r w:rsidR="00E42D15" w:rsidRPr="0037662C">
        <w:rPr>
          <w:rFonts w:ascii="Times New Roman" w:eastAsia="Times New Roman" w:hAnsi="Times New Roman" w:cs="Times New Roman"/>
          <w:sz w:val="28"/>
          <w:szCs w:val="28"/>
          <w:lang w:eastAsia="en-GB"/>
        </w:rPr>
        <w:t>, the respondent claims that the applicant’s failure to pay the PSIRA increases was a breach of the contract between the parties at the time.</w:t>
      </w:r>
    </w:p>
    <w:p w14:paraId="591CFB8B" w14:textId="77777777" w:rsidR="00E42D15" w:rsidRPr="00E42D15" w:rsidRDefault="00E42D15" w:rsidP="00E42D15">
      <w:pPr>
        <w:pStyle w:val="ListParagraph"/>
        <w:rPr>
          <w:rFonts w:ascii="Times New Roman" w:eastAsia="Times New Roman" w:hAnsi="Times New Roman" w:cs="Times New Roman"/>
          <w:sz w:val="28"/>
          <w:szCs w:val="28"/>
          <w:lang w:eastAsia="en-GB"/>
        </w:rPr>
      </w:pPr>
    </w:p>
    <w:p w14:paraId="74BFC641" w14:textId="3915E94B" w:rsidR="00E42D15" w:rsidRPr="0037662C" w:rsidRDefault="0037662C" w:rsidP="0037662C">
      <w:pPr>
        <w:tabs>
          <w:tab w:val="left" w:pos="6237"/>
          <w:tab w:val="left" w:pos="6521"/>
          <w:tab w:val="left" w:pos="6946"/>
        </w:tabs>
        <w:spacing w:after="0" w:line="360" w:lineRule="auto"/>
        <w:ind w:left="502"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9)</w:t>
      </w:r>
      <w:r>
        <w:rPr>
          <w:rFonts w:ascii="Times New Roman" w:eastAsia="Times New Roman" w:hAnsi="Times New Roman" w:cs="Times New Roman"/>
          <w:sz w:val="28"/>
          <w:szCs w:val="28"/>
          <w:lang w:eastAsia="en-GB"/>
        </w:rPr>
        <w:tab/>
      </w:r>
      <w:r w:rsidR="00E42D15" w:rsidRPr="0037662C">
        <w:rPr>
          <w:rFonts w:ascii="Times New Roman" w:eastAsia="Times New Roman" w:hAnsi="Times New Roman" w:cs="Times New Roman"/>
          <w:sz w:val="28"/>
          <w:szCs w:val="28"/>
          <w:lang w:eastAsia="en-GB"/>
        </w:rPr>
        <w:t xml:space="preserve">In his submissions before this court counsel for the applicant summarize the applicant’s case as follows </w:t>
      </w:r>
    </w:p>
    <w:p w14:paraId="14490415" w14:textId="77777777" w:rsidR="00E42D15" w:rsidRPr="00E42D15" w:rsidRDefault="00E42D15" w:rsidP="00E42D15">
      <w:pPr>
        <w:pStyle w:val="ListParagraph"/>
        <w:rPr>
          <w:rFonts w:ascii="Times New Roman" w:eastAsia="Times New Roman" w:hAnsi="Times New Roman" w:cs="Times New Roman"/>
          <w:sz w:val="28"/>
          <w:szCs w:val="28"/>
          <w:lang w:eastAsia="en-GB"/>
        </w:rPr>
      </w:pPr>
    </w:p>
    <w:p w14:paraId="63F49848" w14:textId="179F77E2" w:rsidR="004570D1" w:rsidRPr="0037662C" w:rsidRDefault="0037662C" w:rsidP="0037662C">
      <w:pPr>
        <w:tabs>
          <w:tab w:val="left" w:pos="6237"/>
          <w:tab w:val="left" w:pos="6521"/>
          <w:tab w:val="left" w:pos="6946"/>
        </w:tabs>
        <w:spacing w:after="0" w:line="360" w:lineRule="auto"/>
        <w:ind w:left="180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w:t>
      </w:r>
      <w:r>
        <w:rPr>
          <w:rFonts w:ascii="Times New Roman" w:eastAsia="Times New Roman" w:hAnsi="Times New Roman" w:cs="Times New Roman"/>
          <w:sz w:val="28"/>
          <w:szCs w:val="28"/>
          <w:lang w:eastAsia="en-GB"/>
        </w:rPr>
        <w:tab/>
      </w:r>
      <w:r w:rsidR="00E42D15" w:rsidRPr="0037662C">
        <w:rPr>
          <w:rFonts w:ascii="Times New Roman" w:eastAsia="Times New Roman" w:hAnsi="Times New Roman" w:cs="Times New Roman"/>
          <w:sz w:val="28"/>
          <w:szCs w:val="28"/>
          <w:lang w:eastAsia="en-GB"/>
        </w:rPr>
        <w:t>The respondent can only seek payment if it has performed its obligations in terms of the agreement.</w:t>
      </w:r>
    </w:p>
    <w:p w14:paraId="3E7B8B67" w14:textId="77777777" w:rsidR="00746102" w:rsidRPr="00746102" w:rsidRDefault="00746102" w:rsidP="00746102">
      <w:pPr>
        <w:pStyle w:val="ListParagraph"/>
        <w:tabs>
          <w:tab w:val="left" w:pos="6237"/>
          <w:tab w:val="left" w:pos="6521"/>
          <w:tab w:val="left" w:pos="6946"/>
        </w:tabs>
        <w:spacing w:after="0" w:line="360" w:lineRule="auto"/>
        <w:ind w:left="1800"/>
        <w:jc w:val="both"/>
        <w:rPr>
          <w:rFonts w:ascii="Times New Roman" w:eastAsia="Times New Roman" w:hAnsi="Times New Roman" w:cs="Times New Roman"/>
          <w:sz w:val="28"/>
          <w:szCs w:val="28"/>
          <w:lang w:eastAsia="en-GB"/>
        </w:rPr>
      </w:pPr>
    </w:p>
    <w:p w14:paraId="5BC3F401" w14:textId="20760C04" w:rsidR="004570D1" w:rsidRPr="0037662C" w:rsidRDefault="0037662C" w:rsidP="0037662C">
      <w:pPr>
        <w:tabs>
          <w:tab w:val="left" w:pos="6237"/>
          <w:tab w:val="left" w:pos="6521"/>
          <w:tab w:val="left" w:pos="6946"/>
        </w:tabs>
        <w:spacing w:after="0" w:line="360" w:lineRule="auto"/>
        <w:ind w:left="180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w:t>
      </w:r>
      <w:r>
        <w:rPr>
          <w:rFonts w:ascii="Times New Roman" w:eastAsia="Times New Roman" w:hAnsi="Times New Roman" w:cs="Times New Roman"/>
          <w:sz w:val="28"/>
          <w:szCs w:val="28"/>
          <w:lang w:eastAsia="en-GB"/>
        </w:rPr>
        <w:tab/>
      </w:r>
      <w:r w:rsidR="00E42D15" w:rsidRPr="0037662C">
        <w:rPr>
          <w:rFonts w:ascii="Times New Roman" w:eastAsia="Times New Roman" w:hAnsi="Times New Roman" w:cs="Times New Roman"/>
          <w:sz w:val="28"/>
          <w:szCs w:val="28"/>
          <w:lang w:eastAsia="en-GB"/>
        </w:rPr>
        <w:t>The issuing of a correct invoice is obviously a pre-requisite for being paid the correct amount.</w:t>
      </w:r>
    </w:p>
    <w:p w14:paraId="15AB2836" w14:textId="5654907B" w:rsidR="00746102" w:rsidRPr="00746102" w:rsidRDefault="00746102" w:rsidP="00746102">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0D60F175" w14:textId="1F8C857B" w:rsidR="004570D1" w:rsidRPr="0037662C" w:rsidRDefault="0037662C" w:rsidP="0037662C">
      <w:pPr>
        <w:tabs>
          <w:tab w:val="left" w:pos="6237"/>
          <w:tab w:val="left" w:pos="6521"/>
          <w:tab w:val="left" w:pos="6946"/>
        </w:tabs>
        <w:spacing w:after="0" w:line="360" w:lineRule="auto"/>
        <w:ind w:left="180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w:t>
      </w:r>
      <w:r>
        <w:rPr>
          <w:rFonts w:ascii="Times New Roman" w:eastAsia="Times New Roman" w:hAnsi="Times New Roman" w:cs="Times New Roman"/>
          <w:sz w:val="28"/>
          <w:szCs w:val="28"/>
          <w:lang w:eastAsia="en-GB"/>
        </w:rPr>
        <w:tab/>
      </w:r>
      <w:r w:rsidR="00E42D15" w:rsidRPr="0037662C">
        <w:rPr>
          <w:rFonts w:ascii="Times New Roman" w:eastAsia="Times New Roman" w:hAnsi="Times New Roman" w:cs="Times New Roman"/>
          <w:sz w:val="28"/>
          <w:szCs w:val="28"/>
          <w:lang w:eastAsia="en-GB"/>
        </w:rPr>
        <w:t>On the respondent’s own version, it has not corrected its monthly invoice.</w:t>
      </w:r>
    </w:p>
    <w:p w14:paraId="71AEE705" w14:textId="77777777" w:rsidR="00746102" w:rsidRPr="00746102" w:rsidRDefault="00746102" w:rsidP="00746102">
      <w:pPr>
        <w:pStyle w:val="ListParagraph"/>
        <w:tabs>
          <w:tab w:val="left" w:pos="6237"/>
          <w:tab w:val="left" w:pos="6521"/>
          <w:tab w:val="left" w:pos="6946"/>
        </w:tabs>
        <w:spacing w:after="0" w:line="360" w:lineRule="auto"/>
        <w:ind w:left="1800"/>
        <w:jc w:val="both"/>
        <w:rPr>
          <w:rFonts w:ascii="Times New Roman" w:eastAsia="Times New Roman" w:hAnsi="Times New Roman" w:cs="Times New Roman"/>
          <w:sz w:val="28"/>
          <w:szCs w:val="28"/>
          <w:lang w:eastAsia="en-GB"/>
        </w:rPr>
      </w:pPr>
    </w:p>
    <w:p w14:paraId="51C43EFF" w14:textId="262F698C" w:rsidR="00A654EF" w:rsidRPr="0037662C" w:rsidRDefault="0037662C" w:rsidP="0037662C">
      <w:pPr>
        <w:tabs>
          <w:tab w:val="left" w:pos="6237"/>
          <w:tab w:val="left" w:pos="6521"/>
          <w:tab w:val="left" w:pos="6946"/>
        </w:tabs>
        <w:spacing w:after="0" w:line="360" w:lineRule="auto"/>
        <w:ind w:left="180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w:t>
      </w:r>
      <w:r>
        <w:rPr>
          <w:rFonts w:ascii="Times New Roman" w:eastAsia="Times New Roman" w:hAnsi="Times New Roman" w:cs="Times New Roman"/>
          <w:sz w:val="28"/>
          <w:szCs w:val="28"/>
          <w:lang w:eastAsia="en-GB"/>
        </w:rPr>
        <w:tab/>
      </w:r>
      <w:r w:rsidR="00E42D15" w:rsidRPr="0037662C">
        <w:rPr>
          <w:rFonts w:ascii="Times New Roman" w:eastAsia="Times New Roman" w:hAnsi="Times New Roman" w:cs="Times New Roman"/>
          <w:sz w:val="28"/>
          <w:szCs w:val="28"/>
          <w:lang w:eastAsia="en-GB"/>
        </w:rPr>
        <w:t>Respondent cannot claim payment for the correct amount when correct</w:t>
      </w:r>
      <w:r w:rsidR="000A47AC" w:rsidRPr="0037662C">
        <w:rPr>
          <w:rFonts w:ascii="Times New Roman" w:eastAsia="Times New Roman" w:hAnsi="Times New Roman" w:cs="Times New Roman"/>
          <w:sz w:val="28"/>
          <w:szCs w:val="28"/>
          <w:lang w:eastAsia="en-GB"/>
        </w:rPr>
        <w:t xml:space="preserve"> invoice were not issued. for this reason, the particulars of claim disclose no cause of action. Respondent has not alleged that the essential </w:t>
      </w:r>
      <w:r w:rsidR="00746102" w:rsidRPr="0037662C">
        <w:rPr>
          <w:rFonts w:ascii="Times New Roman" w:eastAsia="Times New Roman" w:hAnsi="Times New Roman" w:cs="Times New Roman"/>
          <w:sz w:val="28"/>
          <w:szCs w:val="28"/>
          <w:lang w:eastAsia="en-GB"/>
        </w:rPr>
        <w:t>pre</w:t>
      </w:r>
      <w:r w:rsidR="000A47AC" w:rsidRPr="0037662C">
        <w:rPr>
          <w:rFonts w:ascii="Times New Roman" w:eastAsia="Times New Roman" w:hAnsi="Times New Roman" w:cs="Times New Roman"/>
          <w:sz w:val="28"/>
          <w:szCs w:val="28"/>
          <w:lang w:eastAsia="en-GB"/>
        </w:rPr>
        <w:t>requisite for payment has occurred.</w:t>
      </w:r>
    </w:p>
    <w:p w14:paraId="5CD97BD5" w14:textId="7AB91C59" w:rsidR="00A654EF"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10)</w:t>
      </w:r>
      <w:r>
        <w:rPr>
          <w:rFonts w:ascii="Times New Roman" w:eastAsia="Times New Roman" w:hAnsi="Times New Roman" w:cs="Times New Roman"/>
          <w:sz w:val="28"/>
          <w:szCs w:val="28"/>
          <w:lang w:eastAsia="en-GB"/>
        </w:rPr>
        <w:tab/>
      </w:r>
      <w:r w:rsidR="006421E3" w:rsidRPr="0037662C">
        <w:rPr>
          <w:rFonts w:ascii="Times New Roman" w:eastAsia="Times New Roman" w:hAnsi="Times New Roman" w:cs="Times New Roman"/>
          <w:sz w:val="28"/>
          <w:szCs w:val="28"/>
          <w:lang w:eastAsia="en-GB"/>
        </w:rPr>
        <w:t xml:space="preserve"> </w:t>
      </w:r>
      <w:r w:rsidR="00A654EF" w:rsidRPr="0037662C">
        <w:rPr>
          <w:rFonts w:ascii="Times New Roman" w:eastAsia="Times New Roman" w:hAnsi="Times New Roman" w:cs="Times New Roman"/>
          <w:sz w:val="28"/>
          <w:szCs w:val="28"/>
          <w:lang w:eastAsia="en-GB"/>
        </w:rPr>
        <w:t xml:space="preserve">For the above reasons the applicant referred the court to the locus classicus </w:t>
      </w:r>
      <w:r w:rsidR="00336720" w:rsidRPr="0037662C">
        <w:rPr>
          <w:rFonts w:ascii="Times New Roman" w:eastAsia="Times New Roman" w:hAnsi="Times New Roman" w:cs="Times New Roman"/>
          <w:sz w:val="28"/>
          <w:szCs w:val="28"/>
          <w:lang w:eastAsia="en-GB"/>
        </w:rPr>
        <w:t xml:space="preserve">       </w:t>
      </w:r>
      <w:r w:rsidR="00A654EF" w:rsidRPr="0037662C">
        <w:rPr>
          <w:rFonts w:ascii="Times New Roman" w:eastAsia="Times New Roman" w:hAnsi="Times New Roman" w:cs="Times New Roman"/>
          <w:sz w:val="28"/>
          <w:szCs w:val="28"/>
          <w:lang w:eastAsia="en-GB"/>
        </w:rPr>
        <w:t>case on reciprocal performance</w:t>
      </w:r>
      <w:r w:rsidR="00A654EF">
        <w:rPr>
          <w:rStyle w:val="FootnoteReference"/>
          <w:rFonts w:ascii="Times New Roman" w:eastAsia="Times New Roman" w:hAnsi="Times New Roman" w:cs="Times New Roman"/>
          <w:sz w:val="28"/>
          <w:szCs w:val="28"/>
          <w:lang w:eastAsia="en-GB"/>
        </w:rPr>
        <w:footnoteReference w:id="1"/>
      </w:r>
    </w:p>
    <w:p w14:paraId="6D88AFAF" w14:textId="77777777" w:rsidR="004570D1" w:rsidRPr="004570D1" w:rsidRDefault="004570D1" w:rsidP="004570D1">
      <w:pPr>
        <w:spacing w:after="0" w:line="360" w:lineRule="auto"/>
        <w:jc w:val="both"/>
        <w:rPr>
          <w:rFonts w:ascii="Times New Roman" w:eastAsia="Times New Roman" w:hAnsi="Times New Roman" w:cs="Times New Roman"/>
          <w:sz w:val="28"/>
          <w:szCs w:val="28"/>
          <w:lang w:eastAsia="en-GB"/>
        </w:rPr>
      </w:pPr>
    </w:p>
    <w:p w14:paraId="24F5DBF0" w14:textId="356DC3ED" w:rsidR="00A654EF"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11)</w:t>
      </w:r>
      <w:r>
        <w:rPr>
          <w:rFonts w:ascii="Times New Roman" w:eastAsia="Times New Roman" w:hAnsi="Times New Roman" w:cs="Times New Roman"/>
          <w:sz w:val="28"/>
          <w:szCs w:val="28"/>
          <w:lang w:eastAsia="en-GB"/>
        </w:rPr>
        <w:tab/>
      </w:r>
      <w:r w:rsidR="006421E3" w:rsidRPr="0037662C">
        <w:rPr>
          <w:rFonts w:ascii="Times New Roman" w:eastAsia="Times New Roman" w:hAnsi="Times New Roman" w:cs="Times New Roman"/>
          <w:sz w:val="28"/>
          <w:szCs w:val="28"/>
          <w:lang w:eastAsia="en-GB"/>
        </w:rPr>
        <w:t xml:space="preserve"> </w:t>
      </w:r>
      <w:r w:rsidR="00BE6A42" w:rsidRPr="0037662C">
        <w:rPr>
          <w:rFonts w:ascii="Times New Roman" w:eastAsia="Times New Roman" w:hAnsi="Times New Roman" w:cs="Times New Roman"/>
          <w:sz w:val="28"/>
          <w:szCs w:val="28"/>
          <w:lang w:eastAsia="en-GB"/>
        </w:rPr>
        <w:t xml:space="preserve">The respondent submitted to this court that, the respondent effected the amendment by serving its amended pages on 6 June 2022 and the applicant did not object to the respondent affecting the </w:t>
      </w:r>
      <w:r w:rsidR="004337E2" w:rsidRPr="0037662C">
        <w:rPr>
          <w:rFonts w:ascii="Times New Roman" w:eastAsia="Times New Roman" w:hAnsi="Times New Roman" w:cs="Times New Roman"/>
          <w:sz w:val="28"/>
          <w:szCs w:val="28"/>
          <w:lang w:eastAsia="en-GB"/>
        </w:rPr>
        <w:t>amendment</w:t>
      </w:r>
      <w:r w:rsidR="00BE6A42" w:rsidRPr="0037662C">
        <w:rPr>
          <w:rFonts w:ascii="Times New Roman" w:eastAsia="Times New Roman" w:hAnsi="Times New Roman" w:cs="Times New Roman"/>
          <w:sz w:val="28"/>
          <w:szCs w:val="28"/>
          <w:lang w:eastAsia="en-GB"/>
        </w:rPr>
        <w:t>. In this regards the respondent relies on rule 28(8)</w:t>
      </w:r>
    </w:p>
    <w:p w14:paraId="4F35B177" w14:textId="4B1A9994" w:rsidR="004570D1" w:rsidRPr="004570D1" w:rsidRDefault="004570D1" w:rsidP="004570D1">
      <w:pPr>
        <w:spacing w:after="0" w:line="360" w:lineRule="auto"/>
        <w:jc w:val="both"/>
        <w:rPr>
          <w:rFonts w:ascii="Times New Roman" w:eastAsia="Times New Roman" w:hAnsi="Times New Roman" w:cs="Times New Roman"/>
          <w:sz w:val="28"/>
          <w:szCs w:val="28"/>
          <w:lang w:eastAsia="en-GB"/>
        </w:rPr>
      </w:pPr>
    </w:p>
    <w:p w14:paraId="5AD74E7B" w14:textId="4E0E917B" w:rsidR="00BE6A42"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w:t>
      </w:r>
      <w:r>
        <w:rPr>
          <w:rFonts w:ascii="Times New Roman" w:eastAsia="Times New Roman" w:hAnsi="Times New Roman" w:cs="Times New Roman"/>
          <w:sz w:val="28"/>
          <w:szCs w:val="28"/>
          <w:lang w:eastAsia="en-GB"/>
        </w:rPr>
        <w:tab/>
      </w:r>
      <w:r w:rsidR="006421E3" w:rsidRPr="0037662C">
        <w:rPr>
          <w:rFonts w:ascii="Times New Roman" w:eastAsia="Times New Roman" w:hAnsi="Times New Roman" w:cs="Times New Roman"/>
          <w:sz w:val="28"/>
          <w:szCs w:val="28"/>
          <w:lang w:eastAsia="en-GB"/>
        </w:rPr>
        <w:t xml:space="preserve"> </w:t>
      </w:r>
      <w:r w:rsidR="004337E2" w:rsidRPr="0037662C">
        <w:rPr>
          <w:rFonts w:ascii="Times New Roman" w:eastAsia="Times New Roman" w:hAnsi="Times New Roman" w:cs="Times New Roman"/>
          <w:sz w:val="28"/>
          <w:szCs w:val="28"/>
          <w:lang w:eastAsia="en-GB"/>
        </w:rPr>
        <w:t>The Respondent submit</w:t>
      </w:r>
      <w:r w:rsidR="00746102" w:rsidRPr="0037662C">
        <w:rPr>
          <w:rFonts w:ascii="Times New Roman" w:eastAsia="Times New Roman" w:hAnsi="Times New Roman" w:cs="Times New Roman"/>
          <w:sz w:val="28"/>
          <w:szCs w:val="28"/>
          <w:lang w:eastAsia="en-GB"/>
        </w:rPr>
        <w:t>ted further that the applicant</w:t>
      </w:r>
      <w:r w:rsidR="004337E2" w:rsidRPr="0037662C">
        <w:rPr>
          <w:rFonts w:ascii="Times New Roman" w:eastAsia="Times New Roman" w:hAnsi="Times New Roman" w:cs="Times New Roman"/>
          <w:sz w:val="28"/>
          <w:szCs w:val="28"/>
          <w:lang w:eastAsia="en-GB"/>
        </w:rPr>
        <w:t xml:space="preserve"> did not serve and file its notice of exception within 15 days as per rule 28(8) but waited until 25 July 2022 before it served the plaintiff with the notice of exception. On this </w:t>
      </w:r>
      <w:r w:rsidR="00F000AC" w:rsidRPr="0037662C">
        <w:rPr>
          <w:rFonts w:ascii="Times New Roman" w:eastAsia="Times New Roman" w:hAnsi="Times New Roman" w:cs="Times New Roman"/>
          <w:sz w:val="28"/>
          <w:szCs w:val="28"/>
          <w:lang w:eastAsia="en-GB"/>
        </w:rPr>
        <w:t>ground</w:t>
      </w:r>
      <w:r w:rsidR="004337E2" w:rsidRPr="0037662C">
        <w:rPr>
          <w:rFonts w:ascii="Times New Roman" w:eastAsia="Times New Roman" w:hAnsi="Times New Roman" w:cs="Times New Roman"/>
          <w:sz w:val="28"/>
          <w:szCs w:val="28"/>
          <w:lang w:eastAsia="en-GB"/>
        </w:rPr>
        <w:t xml:space="preserve"> alone the respondent asked the court to dismiss the exception. The respondent denies that the amendment creates a ripple effect for the pleadings already filed.</w:t>
      </w:r>
    </w:p>
    <w:p w14:paraId="6831CE6B" w14:textId="77777777" w:rsidR="004570D1" w:rsidRDefault="004570D1" w:rsidP="004570D1">
      <w:pPr>
        <w:pStyle w:val="ListParagraph"/>
        <w:spacing w:after="0" w:line="360" w:lineRule="auto"/>
        <w:ind w:left="360"/>
        <w:jc w:val="both"/>
        <w:rPr>
          <w:rFonts w:ascii="Times New Roman" w:eastAsia="Times New Roman" w:hAnsi="Times New Roman" w:cs="Times New Roman"/>
          <w:sz w:val="28"/>
          <w:szCs w:val="28"/>
          <w:lang w:eastAsia="en-GB"/>
        </w:rPr>
      </w:pPr>
    </w:p>
    <w:p w14:paraId="57E6D133" w14:textId="39EC1A9F" w:rsidR="004570D1"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13)</w:t>
      </w:r>
      <w:r>
        <w:rPr>
          <w:rFonts w:ascii="Times New Roman" w:eastAsia="Times New Roman" w:hAnsi="Times New Roman" w:cs="Times New Roman"/>
          <w:sz w:val="28"/>
          <w:szCs w:val="28"/>
          <w:lang w:eastAsia="en-GB"/>
        </w:rPr>
        <w:tab/>
      </w:r>
      <w:r w:rsidR="00336720" w:rsidRPr="0037662C">
        <w:rPr>
          <w:rFonts w:ascii="Times New Roman" w:eastAsia="Times New Roman" w:hAnsi="Times New Roman" w:cs="Times New Roman"/>
          <w:sz w:val="28"/>
          <w:szCs w:val="28"/>
          <w:lang w:eastAsia="en-GB"/>
        </w:rPr>
        <w:t xml:space="preserve"> </w:t>
      </w:r>
      <w:r w:rsidR="00F000AC" w:rsidRPr="0037662C">
        <w:rPr>
          <w:rFonts w:ascii="Times New Roman" w:eastAsia="Times New Roman" w:hAnsi="Times New Roman" w:cs="Times New Roman"/>
          <w:sz w:val="28"/>
          <w:szCs w:val="28"/>
          <w:lang w:eastAsia="en-GB"/>
        </w:rPr>
        <w:t xml:space="preserve">Counsel for the respondent asserts that in interpreting the </w:t>
      </w:r>
      <w:r w:rsidR="00F30816" w:rsidRPr="0037662C">
        <w:rPr>
          <w:rFonts w:ascii="Times New Roman" w:eastAsia="Times New Roman" w:hAnsi="Times New Roman" w:cs="Times New Roman"/>
          <w:sz w:val="28"/>
          <w:szCs w:val="28"/>
          <w:lang w:eastAsia="en-GB"/>
        </w:rPr>
        <w:t>respondent’s</w:t>
      </w:r>
      <w:r w:rsidR="00F000AC" w:rsidRPr="0037662C">
        <w:rPr>
          <w:rFonts w:ascii="Times New Roman" w:eastAsia="Times New Roman" w:hAnsi="Times New Roman" w:cs="Times New Roman"/>
          <w:sz w:val="28"/>
          <w:szCs w:val="28"/>
          <w:lang w:eastAsia="en-GB"/>
        </w:rPr>
        <w:t xml:space="preserve"> particulars of claim as a whole </w:t>
      </w:r>
      <w:r w:rsidR="00F30816" w:rsidRPr="0037662C">
        <w:rPr>
          <w:rFonts w:ascii="Times New Roman" w:eastAsia="Times New Roman" w:hAnsi="Times New Roman" w:cs="Times New Roman"/>
          <w:sz w:val="28"/>
          <w:szCs w:val="28"/>
          <w:lang w:eastAsia="en-GB"/>
        </w:rPr>
        <w:t>the respondent amended particulars of claim disclose a cause of action.</w:t>
      </w:r>
    </w:p>
    <w:p w14:paraId="62D71B22" w14:textId="6C10A32E" w:rsidR="006421E3" w:rsidRPr="006421E3" w:rsidRDefault="006421E3" w:rsidP="006421E3">
      <w:pPr>
        <w:spacing w:after="0" w:line="360" w:lineRule="auto"/>
        <w:jc w:val="both"/>
        <w:rPr>
          <w:rFonts w:ascii="Times New Roman" w:eastAsia="Times New Roman" w:hAnsi="Times New Roman" w:cs="Times New Roman"/>
          <w:sz w:val="28"/>
          <w:szCs w:val="28"/>
          <w:lang w:eastAsia="en-GB"/>
        </w:rPr>
      </w:pPr>
    </w:p>
    <w:p w14:paraId="4FB2280A" w14:textId="745504DE" w:rsidR="00F30816"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14)</w:t>
      </w:r>
      <w:r>
        <w:rPr>
          <w:rFonts w:ascii="Times New Roman" w:eastAsia="Times New Roman" w:hAnsi="Times New Roman" w:cs="Times New Roman"/>
          <w:sz w:val="28"/>
          <w:szCs w:val="28"/>
          <w:lang w:eastAsia="en-GB"/>
        </w:rPr>
        <w:tab/>
      </w:r>
      <w:r w:rsidR="00336720" w:rsidRPr="0037662C">
        <w:rPr>
          <w:rFonts w:ascii="Times New Roman" w:eastAsia="Times New Roman" w:hAnsi="Times New Roman" w:cs="Times New Roman"/>
          <w:sz w:val="28"/>
          <w:szCs w:val="28"/>
          <w:lang w:eastAsia="en-GB"/>
        </w:rPr>
        <w:t xml:space="preserve"> </w:t>
      </w:r>
      <w:r w:rsidR="00F30816" w:rsidRPr="0037662C">
        <w:rPr>
          <w:rFonts w:ascii="Times New Roman" w:eastAsia="Times New Roman" w:hAnsi="Times New Roman" w:cs="Times New Roman"/>
          <w:sz w:val="28"/>
          <w:szCs w:val="28"/>
          <w:lang w:eastAsia="en-GB"/>
        </w:rPr>
        <w:t>In Pretorius V TPF</w:t>
      </w:r>
      <w:r w:rsidR="004F67E8">
        <w:rPr>
          <w:rStyle w:val="FootnoteReference"/>
          <w:rFonts w:ascii="Times New Roman" w:eastAsia="Times New Roman" w:hAnsi="Times New Roman" w:cs="Times New Roman"/>
          <w:sz w:val="28"/>
          <w:szCs w:val="28"/>
          <w:lang w:eastAsia="en-GB"/>
        </w:rPr>
        <w:footnoteReference w:id="2"/>
      </w:r>
      <w:r w:rsidR="00F30816" w:rsidRPr="0037662C">
        <w:rPr>
          <w:rFonts w:ascii="Times New Roman" w:eastAsia="Times New Roman" w:hAnsi="Times New Roman" w:cs="Times New Roman"/>
          <w:sz w:val="28"/>
          <w:szCs w:val="28"/>
          <w:lang w:eastAsia="en-GB"/>
        </w:rPr>
        <w:t xml:space="preserve"> in paragraph 15 the court said the following:</w:t>
      </w:r>
    </w:p>
    <w:p w14:paraId="54A365D7" w14:textId="081A47A7" w:rsidR="004F261A" w:rsidRDefault="004F261A" w:rsidP="001E4A2A">
      <w:pPr>
        <w:spacing w:after="0" w:line="360" w:lineRule="auto"/>
        <w:ind w:left="1440"/>
        <w:jc w:val="both"/>
        <w:rPr>
          <w:rFonts w:ascii="Times New Roman" w:eastAsia="Times New Roman" w:hAnsi="Times New Roman" w:cs="Times New Roman"/>
          <w:sz w:val="28"/>
          <w:szCs w:val="28"/>
          <w:lang w:eastAsia="en-GB"/>
        </w:rPr>
      </w:pPr>
      <w:r w:rsidRPr="004F67E8">
        <w:rPr>
          <w:rFonts w:ascii="Times New Roman" w:eastAsia="Times New Roman" w:hAnsi="Times New Roman" w:cs="Times New Roman"/>
          <w:i/>
          <w:sz w:val="28"/>
          <w:szCs w:val="28"/>
          <w:lang w:eastAsia="en-GB"/>
        </w:rPr>
        <w:t>“In</w:t>
      </w:r>
      <w:r w:rsidR="00F30816" w:rsidRPr="004F67E8">
        <w:rPr>
          <w:rFonts w:ascii="Times New Roman" w:eastAsia="Times New Roman" w:hAnsi="Times New Roman" w:cs="Times New Roman"/>
          <w:i/>
          <w:sz w:val="28"/>
          <w:szCs w:val="28"/>
          <w:lang w:eastAsia="en-GB"/>
        </w:rPr>
        <w:t xml:space="preserve"> deciding an excep</w:t>
      </w:r>
      <w:r w:rsidRPr="004F67E8">
        <w:rPr>
          <w:rFonts w:ascii="Times New Roman" w:eastAsia="Times New Roman" w:hAnsi="Times New Roman" w:cs="Times New Roman"/>
          <w:i/>
          <w:sz w:val="28"/>
          <w:szCs w:val="28"/>
          <w:lang w:eastAsia="en-GB"/>
        </w:rPr>
        <w:t>tion a court must accept all allegations of fact made in the particulars of claim as true; may not have regard to any other extraneous facts or documents; and may uphold the exception to the pleading only when the excipient- has satisfied the court that the cause of action or conclusion of law in the pleading cannot be</w:t>
      </w:r>
      <w:r w:rsidRPr="001E4A2A">
        <w:rPr>
          <w:rFonts w:ascii="Times New Roman" w:eastAsia="Times New Roman" w:hAnsi="Times New Roman" w:cs="Times New Roman"/>
          <w:sz w:val="28"/>
          <w:szCs w:val="28"/>
          <w:lang w:eastAsia="en-GB"/>
        </w:rPr>
        <w:t xml:space="preserve"> </w:t>
      </w:r>
      <w:r w:rsidRPr="004F67E8">
        <w:rPr>
          <w:rFonts w:ascii="Times New Roman" w:eastAsia="Times New Roman" w:hAnsi="Times New Roman" w:cs="Times New Roman"/>
          <w:i/>
          <w:sz w:val="28"/>
          <w:szCs w:val="28"/>
          <w:lang w:eastAsia="en-GB"/>
        </w:rPr>
        <w:t xml:space="preserve">supported on every interpretation that can be put on the facts. The purpose of an exception is to protect litigants against claims that are </w:t>
      </w:r>
      <w:r w:rsidRPr="004F67E8">
        <w:rPr>
          <w:rFonts w:ascii="Times New Roman" w:eastAsia="Times New Roman" w:hAnsi="Times New Roman" w:cs="Times New Roman"/>
          <w:i/>
          <w:sz w:val="28"/>
          <w:szCs w:val="28"/>
          <w:lang w:eastAsia="en-GB"/>
        </w:rPr>
        <w:lastRenderedPageBreak/>
        <w:t>bad in law or against an embarrassment which is so serious as to merit the costs even of an exception. It is a useful procedural tool to weed out bad claims at an early stage, but an overly technical approach must be avoided.”</w:t>
      </w:r>
    </w:p>
    <w:p w14:paraId="733B8118" w14:textId="77777777" w:rsidR="004570D1" w:rsidRDefault="004570D1" w:rsidP="001E4A2A">
      <w:pPr>
        <w:spacing w:after="0" w:line="360" w:lineRule="auto"/>
        <w:ind w:left="1440"/>
        <w:jc w:val="both"/>
        <w:rPr>
          <w:rFonts w:ascii="Times New Roman" w:eastAsia="Times New Roman" w:hAnsi="Times New Roman" w:cs="Times New Roman"/>
          <w:sz w:val="28"/>
          <w:szCs w:val="28"/>
          <w:lang w:eastAsia="en-GB"/>
        </w:rPr>
      </w:pPr>
    </w:p>
    <w:p w14:paraId="0637437B" w14:textId="5FFBAD01" w:rsidR="001E4A2A"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15)</w:t>
      </w:r>
      <w:r>
        <w:rPr>
          <w:rFonts w:ascii="Times New Roman" w:eastAsia="Times New Roman" w:hAnsi="Times New Roman" w:cs="Times New Roman"/>
          <w:sz w:val="28"/>
          <w:szCs w:val="28"/>
          <w:lang w:eastAsia="en-GB"/>
        </w:rPr>
        <w:tab/>
      </w:r>
      <w:r w:rsidR="00336720" w:rsidRPr="0037662C">
        <w:rPr>
          <w:rFonts w:ascii="Times New Roman" w:eastAsia="Times New Roman" w:hAnsi="Times New Roman" w:cs="Times New Roman"/>
          <w:sz w:val="28"/>
          <w:szCs w:val="28"/>
          <w:lang w:eastAsia="en-GB"/>
        </w:rPr>
        <w:t xml:space="preserve"> </w:t>
      </w:r>
      <w:r w:rsidR="001E4A2A" w:rsidRPr="0037662C">
        <w:rPr>
          <w:rFonts w:ascii="Times New Roman" w:eastAsia="Times New Roman" w:hAnsi="Times New Roman" w:cs="Times New Roman"/>
          <w:sz w:val="28"/>
          <w:szCs w:val="28"/>
          <w:lang w:eastAsia="en-GB"/>
        </w:rPr>
        <w:t>Rule 23 (1) allows a defendant to deliver a notice of exception within the time allowed if the particulars of claim fail to make out a cause of action</w:t>
      </w:r>
      <w:r w:rsidR="001E4A2A">
        <w:rPr>
          <w:rStyle w:val="FootnoteReference"/>
          <w:rFonts w:ascii="Times New Roman" w:eastAsia="Times New Roman" w:hAnsi="Times New Roman" w:cs="Times New Roman"/>
          <w:sz w:val="28"/>
          <w:szCs w:val="28"/>
          <w:lang w:eastAsia="en-GB"/>
        </w:rPr>
        <w:footnoteReference w:id="3"/>
      </w:r>
      <w:r w:rsidR="001E4A2A" w:rsidRPr="0037662C">
        <w:rPr>
          <w:rFonts w:ascii="Times New Roman" w:eastAsia="Times New Roman" w:hAnsi="Times New Roman" w:cs="Times New Roman"/>
          <w:sz w:val="28"/>
          <w:szCs w:val="28"/>
          <w:lang w:eastAsia="en-GB"/>
        </w:rPr>
        <w:t>.</w:t>
      </w:r>
    </w:p>
    <w:p w14:paraId="47C3D902" w14:textId="77777777" w:rsidR="004570D1" w:rsidRPr="004570D1" w:rsidRDefault="004570D1" w:rsidP="004570D1">
      <w:pPr>
        <w:spacing w:after="0" w:line="360" w:lineRule="auto"/>
        <w:jc w:val="both"/>
        <w:rPr>
          <w:rFonts w:ascii="Times New Roman" w:eastAsia="Times New Roman" w:hAnsi="Times New Roman" w:cs="Times New Roman"/>
          <w:sz w:val="28"/>
          <w:szCs w:val="28"/>
          <w:lang w:eastAsia="en-GB"/>
        </w:rPr>
      </w:pPr>
    </w:p>
    <w:p w14:paraId="147476AA" w14:textId="75C5ABD6" w:rsidR="001E4A2A" w:rsidRPr="0037662C" w:rsidRDefault="0037662C" w:rsidP="0037662C">
      <w:pPr>
        <w:spacing w:after="0" w:line="360" w:lineRule="auto"/>
        <w:ind w:left="502" w:hanging="502"/>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16)</w:t>
      </w:r>
      <w:r>
        <w:rPr>
          <w:rFonts w:ascii="Times New Roman" w:eastAsia="Times New Roman" w:hAnsi="Times New Roman" w:cs="Times New Roman"/>
          <w:sz w:val="28"/>
          <w:szCs w:val="28"/>
          <w:lang w:eastAsia="en-GB"/>
        </w:rPr>
        <w:tab/>
      </w:r>
      <w:r w:rsidR="004F67E8" w:rsidRPr="0037662C">
        <w:rPr>
          <w:rFonts w:ascii="Times New Roman" w:eastAsia="Times New Roman" w:hAnsi="Times New Roman" w:cs="Times New Roman"/>
          <w:sz w:val="28"/>
          <w:szCs w:val="28"/>
          <w:lang w:eastAsia="en-GB"/>
        </w:rPr>
        <w:t>Thus therefore in</w:t>
      </w:r>
      <w:r w:rsidR="001E4A2A" w:rsidRPr="0037662C">
        <w:rPr>
          <w:rFonts w:ascii="Times New Roman" w:eastAsia="Times New Roman" w:hAnsi="Times New Roman" w:cs="Times New Roman"/>
          <w:sz w:val="28"/>
          <w:szCs w:val="28"/>
          <w:lang w:eastAsia="en-GB"/>
        </w:rPr>
        <w:t xml:space="preserve"> terms of Rule 28 an exception is allowed for 15 days</w:t>
      </w:r>
      <w:r w:rsidR="004F67E8" w:rsidRPr="0037662C">
        <w:rPr>
          <w:rFonts w:ascii="Times New Roman" w:eastAsia="Times New Roman" w:hAnsi="Times New Roman" w:cs="Times New Roman"/>
          <w:sz w:val="28"/>
          <w:szCs w:val="28"/>
          <w:lang w:eastAsia="en-GB"/>
        </w:rPr>
        <w:t xml:space="preserve"> after a</w:t>
      </w:r>
      <w:r w:rsidR="001E4A2A" w:rsidRPr="0037662C">
        <w:rPr>
          <w:rFonts w:ascii="Times New Roman" w:eastAsia="Times New Roman" w:hAnsi="Times New Roman" w:cs="Times New Roman"/>
          <w:sz w:val="28"/>
          <w:szCs w:val="28"/>
          <w:lang w:eastAsia="en-GB"/>
        </w:rPr>
        <w:t xml:space="preserve"> party has </w:t>
      </w:r>
      <w:r w:rsidR="00DD4790" w:rsidRPr="0037662C">
        <w:rPr>
          <w:rFonts w:ascii="Times New Roman" w:eastAsia="Times New Roman" w:hAnsi="Times New Roman" w:cs="Times New Roman"/>
          <w:sz w:val="28"/>
          <w:szCs w:val="28"/>
          <w:lang w:eastAsia="en-GB"/>
        </w:rPr>
        <w:t>effected an amendment to a pleading. The amendment may be effected at any stage before the court hands down judgement.</w:t>
      </w:r>
    </w:p>
    <w:p w14:paraId="46B8C03C" w14:textId="7E90581C" w:rsidR="004570D1" w:rsidRPr="006421E3" w:rsidRDefault="004570D1" w:rsidP="006421E3">
      <w:pPr>
        <w:spacing w:after="0" w:line="360" w:lineRule="auto"/>
        <w:jc w:val="both"/>
        <w:rPr>
          <w:rFonts w:ascii="Times New Roman" w:eastAsia="Times New Roman" w:hAnsi="Times New Roman" w:cs="Times New Roman"/>
          <w:sz w:val="28"/>
          <w:szCs w:val="28"/>
          <w:lang w:eastAsia="en-GB"/>
        </w:rPr>
      </w:pPr>
    </w:p>
    <w:p w14:paraId="628932F8" w14:textId="69D288E8" w:rsidR="00DD4790"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17)</w:t>
      </w:r>
      <w:r>
        <w:rPr>
          <w:rFonts w:ascii="Times New Roman" w:eastAsia="Times New Roman" w:hAnsi="Times New Roman" w:cs="Times New Roman"/>
          <w:sz w:val="28"/>
          <w:szCs w:val="28"/>
          <w:lang w:eastAsia="en-GB"/>
        </w:rPr>
        <w:tab/>
      </w:r>
      <w:r w:rsidR="00336720" w:rsidRPr="0037662C">
        <w:rPr>
          <w:rFonts w:ascii="Times New Roman" w:eastAsia="Times New Roman" w:hAnsi="Times New Roman" w:cs="Times New Roman"/>
          <w:sz w:val="28"/>
          <w:szCs w:val="28"/>
          <w:lang w:eastAsia="en-GB"/>
        </w:rPr>
        <w:t xml:space="preserve"> </w:t>
      </w:r>
      <w:r w:rsidR="00DD4790" w:rsidRPr="0037662C">
        <w:rPr>
          <w:rFonts w:ascii="Times New Roman" w:eastAsia="Times New Roman" w:hAnsi="Times New Roman" w:cs="Times New Roman"/>
          <w:sz w:val="28"/>
          <w:szCs w:val="28"/>
          <w:lang w:eastAsia="en-GB"/>
        </w:rPr>
        <w:t>It is not in dispute that the applicant did not serve and file its notice of exception withi</w:t>
      </w:r>
      <w:r w:rsidR="004F67E8" w:rsidRPr="0037662C">
        <w:rPr>
          <w:rFonts w:ascii="Times New Roman" w:eastAsia="Times New Roman" w:hAnsi="Times New Roman" w:cs="Times New Roman"/>
          <w:sz w:val="28"/>
          <w:szCs w:val="28"/>
          <w:lang w:eastAsia="en-GB"/>
        </w:rPr>
        <w:t>n 15 days after the respondent effected the amendment. On this ground alone the exception must be dismissed.</w:t>
      </w:r>
    </w:p>
    <w:p w14:paraId="03C12832" w14:textId="77777777" w:rsidR="004570D1" w:rsidRDefault="004570D1" w:rsidP="004570D1">
      <w:pPr>
        <w:pStyle w:val="ListParagraph"/>
        <w:spacing w:after="0" w:line="360" w:lineRule="auto"/>
        <w:ind w:left="360"/>
        <w:jc w:val="both"/>
        <w:rPr>
          <w:rFonts w:ascii="Times New Roman" w:eastAsia="Times New Roman" w:hAnsi="Times New Roman" w:cs="Times New Roman"/>
          <w:sz w:val="28"/>
          <w:szCs w:val="28"/>
          <w:lang w:eastAsia="en-GB"/>
        </w:rPr>
      </w:pPr>
    </w:p>
    <w:p w14:paraId="7009725A" w14:textId="3A92C38D" w:rsidR="00DD4790"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18)</w:t>
      </w:r>
      <w:r>
        <w:rPr>
          <w:rFonts w:ascii="Times New Roman" w:eastAsia="Times New Roman" w:hAnsi="Times New Roman" w:cs="Times New Roman"/>
          <w:sz w:val="28"/>
          <w:szCs w:val="28"/>
          <w:lang w:eastAsia="en-GB"/>
        </w:rPr>
        <w:tab/>
      </w:r>
      <w:r w:rsidR="00336720" w:rsidRPr="0037662C">
        <w:rPr>
          <w:rFonts w:ascii="Times New Roman" w:eastAsia="Times New Roman" w:hAnsi="Times New Roman" w:cs="Times New Roman"/>
          <w:sz w:val="28"/>
          <w:szCs w:val="28"/>
          <w:lang w:eastAsia="en-GB"/>
        </w:rPr>
        <w:t xml:space="preserve"> </w:t>
      </w:r>
      <w:r w:rsidR="00DD4790" w:rsidRPr="0037662C">
        <w:rPr>
          <w:rFonts w:ascii="Times New Roman" w:eastAsia="Times New Roman" w:hAnsi="Times New Roman" w:cs="Times New Roman"/>
          <w:sz w:val="28"/>
          <w:szCs w:val="28"/>
          <w:lang w:eastAsia="en-GB"/>
        </w:rPr>
        <w:t>Again the excipient must show the court that upon every interpretation upon which the pleadings are based, no cause of action is disclosed.</w:t>
      </w:r>
    </w:p>
    <w:p w14:paraId="3C85DAF1" w14:textId="1A9D51D2" w:rsidR="004570D1" w:rsidRPr="006421E3" w:rsidRDefault="004570D1" w:rsidP="006421E3">
      <w:pPr>
        <w:spacing w:after="0" w:line="360" w:lineRule="auto"/>
        <w:jc w:val="both"/>
        <w:rPr>
          <w:rFonts w:ascii="Times New Roman" w:eastAsia="Times New Roman" w:hAnsi="Times New Roman" w:cs="Times New Roman"/>
          <w:sz w:val="28"/>
          <w:szCs w:val="28"/>
          <w:lang w:eastAsia="en-GB"/>
        </w:rPr>
      </w:pPr>
    </w:p>
    <w:p w14:paraId="6D663709" w14:textId="14008512" w:rsidR="00DD4790"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19)</w:t>
      </w:r>
      <w:r>
        <w:rPr>
          <w:rFonts w:ascii="Times New Roman" w:eastAsia="Times New Roman" w:hAnsi="Times New Roman" w:cs="Times New Roman"/>
          <w:sz w:val="28"/>
          <w:szCs w:val="28"/>
          <w:lang w:eastAsia="en-GB"/>
        </w:rPr>
        <w:tab/>
      </w:r>
      <w:r w:rsidR="00336720" w:rsidRPr="0037662C">
        <w:rPr>
          <w:rFonts w:ascii="Times New Roman" w:eastAsia="Times New Roman" w:hAnsi="Times New Roman" w:cs="Times New Roman"/>
          <w:sz w:val="28"/>
          <w:szCs w:val="28"/>
          <w:lang w:eastAsia="en-GB"/>
        </w:rPr>
        <w:t xml:space="preserve"> </w:t>
      </w:r>
      <w:r w:rsidR="00DD4790" w:rsidRPr="0037662C">
        <w:rPr>
          <w:rFonts w:ascii="Times New Roman" w:eastAsia="Times New Roman" w:hAnsi="Times New Roman" w:cs="Times New Roman"/>
          <w:sz w:val="28"/>
          <w:szCs w:val="28"/>
          <w:lang w:eastAsia="en-GB"/>
        </w:rPr>
        <w:t xml:space="preserve">A cause of action can be described as every fact which would be necessary for the plaintiff to prove </w:t>
      </w:r>
      <w:r w:rsidR="00DD4790">
        <w:rPr>
          <w:rStyle w:val="FootnoteReference"/>
          <w:rFonts w:ascii="Times New Roman" w:eastAsia="Times New Roman" w:hAnsi="Times New Roman" w:cs="Times New Roman"/>
          <w:sz w:val="28"/>
          <w:szCs w:val="28"/>
          <w:lang w:eastAsia="en-GB"/>
        </w:rPr>
        <w:footnoteReference w:id="4"/>
      </w:r>
      <w:r w:rsidR="00CD6C73" w:rsidRPr="0037662C">
        <w:rPr>
          <w:rFonts w:ascii="Times New Roman" w:eastAsia="Times New Roman" w:hAnsi="Times New Roman" w:cs="Times New Roman"/>
          <w:sz w:val="28"/>
          <w:szCs w:val="28"/>
          <w:lang w:eastAsia="en-GB"/>
        </w:rPr>
        <w:t xml:space="preserve"> The exception must go to roof of the claim.</w:t>
      </w:r>
    </w:p>
    <w:p w14:paraId="149FE74B" w14:textId="26628B7D" w:rsidR="006421E3" w:rsidRPr="006421E3" w:rsidRDefault="006421E3" w:rsidP="006421E3">
      <w:pPr>
        <w:spacing w:after="0" w:line="360" w:lineRule="auto"/>
        <w:jc w:val="both"/>
        <w:rPr>
          <w:rFonts w:ascii="Times New Roman" w:eastAsia="Times New Roman" w:hAnsi="Times New Roman" w:cs="Times New Roman"/>
          <w:sz w:val="28"/>
          <w:szCs w:val="28"/>
          <w:lang w:eastAsia="en-GB"/>
        </w:rPr>
      </w:pPr>
    </w:p>
    <w:p w14:paraId="7BBD2503" w14:textId="29526271" w:rsidR="00CD6C73"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20)</w:t>
      </w:r>
      <w:r>
        <w:rPr>
          <w:rFonts w:ascii="Times New Roman" w:eastAsia="Times New Roman" w:hAnsi="Times New Roman" w:cs="Times New Roman"/>
          <w:sz w:val="28"/>
          <w:szCs w:val="28"/>
          <w:lang w:eastAsia="en-GB"/>
        </w:rPr>
        <w:tab/>
      </w:r>
      <w:r w:rsidR="00336720" w:rsidRPr="0037662C">
        <w:rPr>
          <w:rFonts w:ascii="Times New Roman" w:eastAsia="Times New Roman" w:hAnsi="Times New Roman" w:cs="Times New Roman"/>
          <w:sz w:val="28"/>
          <w:szCs w:val="28"/>
          <w:lang w:eastAsia="en-GB"/>
        </w:rPr>
        <w:t xml:space="preserve"> </w:t>
      </w:r>
      <w:r w:rsidR="004F67E8" w:rsidRPr="0037662C">
        <w:rPr>
          <w:rFonts w:ascii="Times New Roman" w:eastAsia="Times New Roman" w:hAnsi="Times New Roman" w:cs="Times New Roman"/>
          <w:sz w:val="28"/>
          <w:szCs w:val="28"/>
          <w:lang w:eastAsia="en-GB"/>
        </w:rPr>
        <w:t>The submissions to</w:t>
      </w:r>
      <w:r w:rsidR="00CD6C73" w:rsidRPr="0037662C">
        <w:rPr>
          <w:rFonts w:ascii="Times New Roman" w:eastAsia="Times New Roman" w:hAnsi="Times New Roman" w:cs="Times New Roman"/>
          <w:sz w:val="28"/>
          <w:szCs w:val="28"/>
          <w:lang w:eastAsia="en-GB"/>
        </w:rPr>
        <w:t xml:space="preserve"> by co</w:t>
      </w:r>
      <w:r w:rsidR="004F67E8" w:rsidRPr="0037662C">
        <w:rPr>
          <w:rFonts w:ascii="Times New Roman" w:eastAsia="Times New Roman" w:hAnsi="Times New Roman" w:cs="Times New Roman"/>
          <w:sz w:val="28"/>
          <w:szCs w:val="28"/>
          <w:lang w:eastAsia="en-GB"/>
        </w:rPr>
        <w:t>unsel for applicant, especially</w:t>
      </w:r>
      <w:r w:rsidR="00CD6C73" w:rsidRPr="0037662C">
        <w:rPr>
          <w:rFonts w:ascii="Times New Roman" w:eastAsia="Times New Roman" w:hAnsi="Times New Roman" w:cs="Times New Roman"/>
          <w:sz w:val="28"/>
          <w:szCs w:val="28"/>
          <w:lang w:eastAsia="en-GB"/>
        </w:rPr>
        <w:t xml:space="preserve"> in paragraph nine of this judgement are </w:t>
      </w:r>
      <w:r w:rsidR="004F67E8" w:rsidRPr="0037662C">
        <w:rPr>
          <w:rFonts w:ascii="Times New Roman" w:eastAsia="Times New Roman" w:hAnsi="Times New Roman" w:cs="Times New Roman"/>
          <w:sz w:val="28"/>
          <w:szCs w:val="28"/>
          <w:lang w:eastAsia="en-GB"/>
        </w:rPr>
        <w:t xml:space="preserve">cogent but with respect in my view </w:t>
      </w:r>
      <w:r w:rsidR="00CD6C73" w:rsidRPr="0037662C">
        <w:rPr>
          <w:rFonts w:ascii="Times New Roman" w:eastAsia="Times New Roman" w:hAnsi="Times New Roman" w:cs="Times New Roman"/>
          <w:sz w:val="28"/>
          <w:szCs w:val="28"/>
          <w:lang w:eastAsia="en-GB"/>
        </w:rPr>
        <w:t>do not render the amendment of the further particulars excipiable</w:t>
      </w:r>
    </w:p>
    <w:p w14:paraId="7D2D8CC8" w14:textId="77777777" w:rsidR="004570D1" w:rsidRDefault="004570D1" w:rsidP="004570D1">
      <w:pPr>
        <w:pStyle w:val="ListParagraph"/>
        <w:spacing w:after="0" w:line="360" w:lineRule="auto"/>
        <w:ind w:left="360"/>
        <w:jc w:val="both"/>
        <w:rPr>
          <w:rFonts w:ascii="Times New Roman" w:eastAsia="Times New Roman" w:hAnsi="Times New Roman" w:cs="Times New Roman"/>
          <w:sz w:val="28"/>
          <w:szCs w:val="28"/>
          <w:lang w:eastAsia="en-GB"/>
        </w:rPr>
      </w:pPr>
    </w:p>
    <w:p w14:paraId="5BCFFADE" w14:textId="6EFA0D86" w:rsidR="00CD6C73"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21)</w:t>
      </w:r>
      <w:r>
        <w:rPr>
          <w:rFonts w:ascii="Times New Roman" w:eastAsia="Times New Roman" w:hAnsi="Times New Roman" w:cs="Times New Roman"/>
          <w:sz w:val="28"/>
          <w:szCs w:val="28"/>
          <w:lang w:eastAsia="en-GB"/>
        </w:rPr>
        <w:tab/>
      </w:r>
      <w:r w:rsidR="00336720" w:rsidRPr="0037662C">
        <w:rPr>
          <w:rFonts w:ascii="Times New Roman" w:eastAsia="Times New Roman" w:hAnsi="Times New Roman" w:cs="Times New Roman"/>
          <w:sz w:val="28"/>
          <w:szCs w:val="28"/>
          <w:lang w:eastAsia="en-GB"/>
        </w:rPr>
        <w:t xml:space="preserve"> </w:t>
      </w:r>
      <w:r w:rsidR="00CD6C73" w:rsidRPr="0037662C">
        <w:rPr>
          <w:rFonts w:ascii="Times New Roman" w:eastAsia="Times New Roman" w:hAnsi="Times New Roman" w:cs="Times New Roman"/>
          <w:sz w:val="28"/>
          <w:szCs w:val="28"/>
          <w:lang w:eastAsia="en-GB"/>
        </w:rPr>
        <w:t>I am therefore of the view that the applicant (defendants) failed to make out a proper case, the Respondent (defendants) amended particulars of claim disclose a cause of action on this ground as well the exception ought to be dismissed.</w:t>
      </w:r>
      <w:r w:rsidR="004570D1" w:rsidRPr="0037662C">
        <w:rPr>
          <w:rFonts w:ascii="Times New Roman" w:eastAsia="Times New Roman" w:hAnsi="Times New Roman" w:cs="Times New Roman"/>
          <w:sz w:val="28"/>
          <w:szCs w:val="28"/>
          <w:lang w:eastAsia="en-GB"/>
        </w:rPr>
        <w:t xml:space="preserve"> </w:t>
      </w:r>
    </w:p>
    <w:p w14:paraId="1393628B" w14:textId="73434BF7" w:rsidR="004570D1" w:rsidRPr="006421E3" w:rsidRDefault="004570D1" w:rsidP="006421E3">
      <w:pPr>
        <w:spacing w:after="0" w:line="360" w:lineRule="auto"/>
        <w:jc w:val="both"/>
        <w:rPr>
          <w:rFonts w:ascii="Times New Roman" w:eastAsia="Times New Roman" w:hAnsi="Times New Roman" w:cs="Times New Roman"/>
          <w:sz w:val="28"/>
          <w:szCs w:val="28"/>
          <w:lang w:eastAsia="en-GB"/>
        </w:rPr>
      </w:pPr>
    </w:p>
    <w:p w14:paraId="20294FDE" w14:textId="3C632A07" w:rsidR="00CD6C73" w:rsidRPr="0037662C" w:rsidRDefault="0037662C" w:rsidP="0037662C">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22)</w:t>
      </w:r>
      <w:r>
        <w:rPr>
          <w:rFonts w:ascii="Times New Roman" w:eastAsia="Times New Roman" w:hAnsi="Times New Roman" w:cs="Times New Roman"/>
          <w:sz w:val="28"/>
          <w:szCs w:val="28"/>
          <w:lang w:eastAsia="en-GB"/>
        </w:rPr>
        <w:tab/>
      </w:r>
      <w:r w:rsidR="00336720" w:rsidRPr="0037662C">
        <w:rPr>
          <w:rFonts w:ascii="Times New Roman" w:eastAsia="Times New Roman" w:hAnsi="Times New Roman" w:cs="Times New Roman"/>
          <w:sz w:val="28"/>
          <w:szCs w:val="28"/>
          <w:lang w:eastAsia="en-GB"/>
        </w:rPr>
        <w:t xml:space="preserve"> </w:t>
      </w:r>
      <w:r w:rsidR="00CD6C73" w:rsidRPr="0037662C">
        <w:rPr>
          <w:rFonts w:ascii="Times New Roman" w:eastAsia="Times New Roman" w:hAnsi="Times New Roman" w:cs="Times New Roman"/>
          <w:sz w:val="28"/>
          <w:szCs w:val="28"/>
          <w:lang w:eastAsia="en-GB"/>
        </w:rPr>
        <w:t>A request was made by counsel for the respondent for a punitive costs order. However, there is not enough reasons</w:t>
      </w:r>
      <w:r w:rsidR="004570D1" w:rsidRPr="0037662C">
        <w:rPr>
          <w:rFonts w:ascii="Times New Roman" w:eastAsia="Times New Roman" w:hAnsi="Times New Roman" w:cs="Times New Roman"/>
          <w:sz w:val="28"/>
          <w:szCs w:val="28"/>
          <w:lang w:eastAsia="en-GB"/>
        </w:rPr>
        <w:t xml:space="preserve"> furnished for a punitive costs order.</w:t>
      </w:r>
    </w:p>
    <w:p w14:paraId="5A89CCAE" w14:textId="77777777" w:rsidR="004570D1" w:rsidRDefault="004570D1" w:rsidP="004570D1">
      <w:pPr>
        <w:pStyle w:val="ListParagraph"/>
        <w:spacing w:after="0" w:line="360" w:lineRule="auto"/>
        <w:ind w:left="360"/>
        <w:jc w:val="both"/>
        <w:rPr>
          <w:rFonts w:ascii="Times New Roman" w:eastAsia="Times New Roman" w:hAnsi="Times New Roman" w:cs="Times New Roman"/>
          <w:sz w:val="28"/>
          <w:szCs w:val="28"/>
          <w:lang w:eastAsia="en-GB"/>
        </w:rPr>
      </w:pPr>
    </w:p>
    <w:p w14:paraId="0F43EAD2" w14:textId="77CB69FC" w:rsidR="004570D1" w:rsidRPr="0037662C" w:rsidRDefault="0037662C" w:rsidP="0037662C">
      <w:pPr>
        <w:spacing w:after="0" w:line="360" w:lineRule="auto"/>
        <w:ind w:left="502" w:hanging="502"/>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23)</w:t>
      </w:r>
      <w:r>
        <w:rPr>
          <w:rFonts w:ascii="Times New Roman" w:eastAsia="Times New Roman" w:hAnsi="Times New Roman" w:cs="Times New Roman"/>
          <w:sz w:val="28"/>
          <w:szCs w:val="28"/>
          <w:lang w:eastAsia="en-GB"/>
        </w:rPr>
        <w:tab/>
      </w:r>
      <w:r w:rsidR="004570D1" w:rsidRPr="0037662C">
        <w:rPr>
          <w:rFonts w:ascii="Times New Roman" w:eastAsia="Times New Roman" w:hAnsi="Times New Roman" w:cs="Times New Roman"/>
          <w:sz w:val="28"/>
          <w:szCs w:val="28"/>
          <w:lang w:eastAsia="en-GB"/>
        </w:rPr>
        <w:t>I make the following order:</w:t>
      </w:r>
    </w:p>
    <w:p w14:paraId="3E4224D7" w14:textId="07687B21" w:rsidR="004570D1" w:rsidRPr="006421E3" w:rsidRDefault="004570D1" w:rsidP="006421E3">
      <w:pPr>
        <w:spacing w:after="0" w:line="360" w:lineRule="auto"/>
        <w:jc w:val="both"/>
        <w:rPr>
          <w:rFonts w:ascii="Times New Roman" w:eastAsia="Times New Roman" w:hAnsi="Times New Roman" w:cs="Times New Roman"/>
          <w:sz w:val="28"/>
          <w:szCs w:val="28"/>
          <w:lang w:eastAsia="en-GB"/>
        </w:rPr>
      </w:pPr>
    </w:p>
    <w:p w14:paraId="6B39B852" w14:textId="622E8DD0" w:rsidR="004570D1" w:rsidRPr="0037662C" w:rsidRDefault="0037662C" w:rsidP="0037662C">
      <w:pPr>
        <w:spacing w:after="0" w:line="360" w:lineRule="auto"/>
        <w:ind w:left="180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w:t>
      </w:r>
      <w:r>
        <w:rPr>
          <w:rFonts w:ascii="Times New Roman" w:eastAsia="Times New Roman" w:hAnsi="Times New Roman" w:cs="Times New Roman"/>
          <w:sz w:val="28"/>
          <w:szCs w:val="28"/>
          <w:lang w:eastAsia="en-GB"/>
        </w:rPr>
        <w:tab/>
      </w:r>
      <w:r w:rsidR="004570D1" w:rsidRPr="0037662C">
        <w:rPr>
          <w:rFonts w:ascii="Times New Roman" w:eastAsia="Times New Roman" w:hAnsi="Times New Roman" w:cs="Times New Roman"/>
          <w:sz w:val="28"/>
          <w:szCs w:val="28"/>
          <w:lang w:eastAsia="en-GB"/>
        </w:rPr>
        <w:t>The exception is dismissed with cost including the costs of two counsel.</w:t>
      </w:r>
    </w:p>
    <w:p w14:paraId="2584DA06" w14:textId="60895278" w:rsidR="005178CF" w:rsidRPr="004570D1" w:rsidRDefault="005178CF" w:rsidP="004570D1">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35584776" w14:textId="77777777" w:rsidR="005178CF" w:rsidRDefault="005178CF"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37443F7A" w14:textId="77777777" w:rsidR="005178CF" w:rsidRDefault="005178CF"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448D3614" w14:textId="1FD7DCF4"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___________________</w:t>
      </w:r>
    </w:p>
    <w:p w14:paraId="448D3615"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 MAKHOBA</w:t>
      </w:r>
    </w:p>
    <w:p w14:paraId="448D3616"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JUDGE OF THE HIGH COURT</w:t>
      </w:r>
    </w:p>
    <w:p w14:paraId="448D3617" w14:textId="3C033514"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GAUTENG DIVISION, PRETORIA</w:t>
      </w:r>
    </w:p>
    <w:p w14:paraId="6218159B" w14:textId="35BAA7A2" w:rsidR="001A2A86" w:rsidRDefault="001A2A86"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54BDC0FA" w14:textId="264FAA1F" w:rsidR="001A2A86" w:rsidRDefault="001A2A86"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20C6C850" w14:textId="77777777" w:rsidR="001A2A86" w:rsidRPr="009D3C84" w:rsidRDefault="001A2A86" w:rsidP="001A2A86">
      <w:pPr>
        <w:rPr>
          <w:rFonts w:ascii="Times New Roman" w:hAnsi="Times New Roman" w:cs="Times New Roman"/>
          <w:b/>
          <w:bCs/>
          <w:sz w:val="28"/>
          <w:szCs w:val="28"/>
        </w:rPr>
      </w:pPr>
      <w:r w:rsidRPr="009D3C84">
        <w:rPr>
          <w:rFonts w:ascii="Times New Roman" w:hAnsi="Times New Roman" w:cs="Times New Roman"/>
          <w:b/>
          <w:bCs/>
          <w:sz w:val="28"/>
          <w:szCs w:val="28"/>
        </w:rPr>
        <w:t>APPEARANCES</w:t>
      </w:r>
    </w:p>
    <w:p w14:paraId="04FF6488" w14:textId="0E37F663" w:rsidR="001A2A86" w:rsidRPr="009D3C84" w:rsidRDefault="00D04624" w:rsidP="001A2A86">
      <w:pPr>
        <w:rPr>
          <w:rFonts w:ascii="Times New Roman" w:hAnsi="Times New Roman" w:cs="Times New Roman"/>
          <w:b/>
          <w:bCs/>
          <w:sz w:val="28"/>
          <w:szCs w:val="28"/>
        </w:rPr>
      </w:pPr>
      <w:r>
        <w:rPr>
          <w:rFonts w:ascii="Times New Roman" w:hAnsi="Times New Roman" w:cs="Times New Roman"/>
          <w:b/>
          <w:bCs/>
          <w:sz w:val="28"/>
          <w:szCs w:val="28"/>
        </w:rPr>
        <w:t>For the Plaintiff:</w:t>
      </w:r>
      <w:r w:rsidR="001A2A86" w:rsidRPr="009D3C84">
        <w:rPr>
          <w:rFonts w:ascii="Times New Roman" w:hAnsi="Times New Roman" w:cs="Times New Roman"/>
          <w:b/>
          <w:bCs/>
          <w:sz w:val="28"/>
          <w:szCs w:val="28"/>
        </w:rPr>
        <w:t xml:space="preserve"> </w:t>
      </w:r>
      <w:r w:rsidR="001A2A86">
        <w:rPr>
          <w:rFonts w:ascii="Times New Roman" w:hAnsi="Times New Roman" w:cs="Times New Roman"/>
          <w:b/>
          <w:bCs/>
          <w:sz w:val="28"/>
          <w:szCs w:val="28"/>
        </w:rPr>
        <w:tab/>
      </w:r>
      <w:r w:rsidR="001A2A86">
        <w:rPr>
          <w:rFonts w:ascii="Times New Roman" w:hAnsi="Times New Roman" w:cs="Times New Roman"/>
          <w:b/>
          <w:bCs/>
          <w:sz w:val="28"/>
          <w:szCs w:val="28"/>
        </w:rPr>
        <w:tab/>
      </w:r>
      <w:r w:rsidR="001A2A86">
        <w:rPr>
          <w:rFonts w:ascii="Times New Roman" w:hAnsi="Times New Roman" w:cs="Times New Roman"/>
          <w:b/>
          <w:bCs/>
          <w:sz w:val="28"/>
          <w:szCs w:val="28"/>
        </w:rPr>
        <w:tab/>
      </w:r>
      <w:r w:rsidR="001A2A86">
        <w:rPr>
          <w:rFonts w:ascii="Times New Roman" w:hAnsi="Times New Roman" w:cs="Times New Roman"/>
          <w:b/>
          <w:bCs/>
          <w:sz w:val="28"/>
          <w:szCs w:val="28"/>
        </w:rPr>
        <w:tab/>
      </w:r>
      <w:r w:rsidR="00132A1B">
        <w:rPr>
          <w:rFonts w:ascii="Times New Roman" w:hAnsi="Times New Roman" w:cs="Times New Roman"/>
          <w:b/>
          <w:bCs/>
          <w:sz w:val="28"/>
          <w:szCs w:val="28"/>
        </w:rPr>
        <w:t xml:space="preserve">Adv </w:t>
      </w:r>
      <w:r w:rsidR="007D2A34">
        <w:rPr>
          <w:rFonts w:ascii="Times New Roman" w:hAnsi="Times New Roman" w:cs="Times New Roman"/>
          <w:b/>
          <w:bCs/>
          <w:sz w:val="28"/>
          <w:szCs w:val="28"/>
        </w:rPr>
        <w:t xml:space="preserve">L </w:t>
      </w:r>
      <w:r w:rsidR="004F67E8">
        <w:rPr>
          <w:rFonts w:ascii="Times New Roman" w:hAnsi="Times New Roman" w:cs="Times New Roman"/>
          <w:b/>
          <w:bCs/>
          <w:sz w:val="28"/>
          <w:szCs w:val="28"/>
        </w:rPr>
        <w:t>J Morison SC</w:t>
      </w:r>
    </w:p>
    <w:p w14:paraId="73A721BB" w14:textId="5377D133" w:rsidR="001A2A86" w:rsidRPr="009D3C84" w:rsidRDefault="001A2A86" w:rsidP="001A2A86">
      <w:pPr>
        <w:rPr>
          <w:rFonts w:ascii="Times New Roman" w:hAnsi="Times New Roman" w:cs="Times New Roman"/>
          <w:b/>
          <w:bCs/>
          <w:sz w:val="28"/>
          <w:szCs w:val="28"/>
        </w:rPr>
      </w:pPr>
      <w:r w:rsidRPr="009D3C84">
        <w:rPr>
          <w:rFonts w:ascii="Times New Roman" w:hAnsi="Times New Roman" w:cs="Times New Roman"/>
          <w:b/>
          <w:bCs/>
          <w:sz w:val="28"/>
          <w:szCs w:val="28"/>
        </w:rPr>
        <w:t xml:space="preserve">Instruction: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4F67E8">
        <w:rPr>
          <w:rFonts w:ascii="Times New Roman" w:hAnsi="Times New Roman" w:cs="Times New Roman"/>
          <w:b/>
          <w:bCs/>
          <w:sz w:val="28"/>
          <w:szCs w:val="28"/>
        </w:rPr>
        <w:t>Cliffe Dekker Hofmeyr Inc</w:t>
      </w:r>
    </w:p>
    <w:p w14:paraId="6DC5E6BC" w14:textId="77777777" w:rsidR="001A2A86" w:rsidRPr="009D3C84" w:rsidRDefault="001A2A86" w:rsidP="001A2A86">
      <w:pPr>
        <w:rPr>
          <w:rFonts w:ascii="Times New Roman" w:hAnsi="Times New Roman" w:cs="Times New Roman"/>
          <w:b/>
          <w:bCs/>
          <w:sz w:val="28"/>
          <w:szCs w:val="28"/>
        </w:rPr>
      </w:pPr>
    </w:p>
    <w:p w14:paraId="5C31B866" w14:textId="07E0D7B5" w:rsidR="001A2A86" w:rsidRPr="009D3C84" w:rsidRDefault="001A2A86" w:rsidP="001A2A86">
      <w:pPr>
        <w:rPr>
          <w:rFonts w:ascii="Times New Roman" w:hAnsi="Times New Roman" w:cs="Times New Roman"/>
          <w:b/>
          <w:bCs/>
          <w:sz w:val="28"/>
          <w:szCs w:val="28"/>
        </w:rPr>
      </w:pPr>
      <w:r w:rsidRPr="009D3C84">
        <w:rPr>
          <w:rFonts w:ascii="Times New Roman" w:hAnsi="Times New Roman" w:cs="Times New Roman"/>
          <w:b/>
          <w:bCs/>
          <w:sz w:val="28"/>
          <w:szCs w:val="28"/>
        </w:rPr>
        <w:t xml:space="preserve">For the </w:t>
      </w:r>
      <w:r w:rsidR="00D04624">
        <w:rPr>
          <w:rFonts w:ascii="Times New Roman" w:hAnsi="Times New Roman" w:cs="Times New Roman"/>
          <w:b/>
          <w:bCs/>
          <w:sz w:val="28"/>
          <w:szCs w:val="28"/>
        </w:rPr>
        <w:t>Defendant:</w:t>
      </w:r>
      <w:r w:rsidRPr="009D3C84">
        <w:rPr>
          <w:rFonts w:ascii="Times New Roman" w:hAnsi="Times New Roman" w:cs="Times New Roman"/>
          <w:b/>
          <w:bCs/>
          <w:sz w:val="28"/>
          <w:szCs w:val="28"/>
        </w:rPr>
        <w:t xml:space="preserve"> </w:t>
      </w:r>
      <w:r>
        <w:rPr>
          <w:rFonts w:ascii="Times New Roman" w:hAnsi="Times New Roman" w:cs="Times New Roman"/>
          <w:b/>
          <w:bCs/>
          <w:sz w:val="28"/>
          <w:szCs w:val="28"/>
        </w:rPr>
        <w:tab/>
      </w:r>
      <w:r w:rsidR="006421E3">
        <w:rPr>
          <w:rFonts w:ascii="Times New Roman" w:hAnsi="Times New Roman" w:cs="Times New Roman"/>
          <w:b/>
          <w:bCs/>
          <w:sz w:val="28"/>
          <w:szCs w:val="28"/>
        </w:rPr>
        <w:t xml:space="preserve">                    Adv Van den Berg SC</w:t>
      </w:r>
      <w:r w:rsidR="006421E3">
        <w:rPr>
          <w:rFonts w:ascii="Times New Roman" w:hAnsi="Times New Roman" w:cs="Times New Roman"/>
          <w:b/>
          <w:bCs/>
          <w:sz w:val="28"/>
          <w:szCs w:val="28"/>
        </w:rPr>
        <w:tab/>
      </w:r>
      <w:r w:rsidR="006421E3">
        <w:rPr>
          <w:rFonts w:ascii="Times New Roman" w:hAnsi="Times New Roman" w:cs="Times New Roman"/>
          <w:b/>
          <w:bCs/>
          <w:sz w:val="28"/>
          <w:szCs w:val="28"/>
        </w:rPr>
        <w:tab/>
      </w:r>
    </w:p>
    <w:p w14:paraId="6927A4E4" w14:textId="3B24A7C9" w:rsidR="00D04624" w:rsidRDefault="001A2A86" w:rsidP="00D04624">
      <w:pPr>
        <w:rPr>
          <w:rFonts w:ascii="Times New Roman" w:hAnsi="Times New Roman" w:cs="Times New Roman"/>
          <w:b/>
          <w:bCs/>
          <w:sz w:val="28"/>
          <w:szCs w:val="28"/>
        </w:rPr>
      </w:pPr>
      <w:r w:rsidRPr="009D3C84">
        <w:rPr>
          <w:rFonts w:ascii="Times New Roman" w:hAnsi="Times New Roman" w:cs="Times New Roman"/>
          <w:b/>
          <w:bCs/>
          <w:sz w:val="28"/>
          <w:szCs w:val="28"/>
        </w:rPr>
        <w:t xml:space="preserve">Instructed by: </w:t>
      </w:r>
      <w:r>
        <w:rPr>
          <w:rFonts w:ascii="Times New Roman" w:hAnsi="Times New Roman" w:cs="Times New Roman"/>
          <w:b/>
          <w:bCs/>
          <w:sz w:val="28"/>
          <w:szCs w:val="28"/>
        </w:rPr>
        <w:tab/>
      </w:r>
      <w:r w:rsidR="004F67E8">
        <w:rPr>
          <w:rFonts w:ascii="Times New Roman" w:hAnsi="Times New Roman" w:cs="Times New Roman"/>
          <w:b/>
          <w:bCs/>
          <w:sz w:val="28"/>
          <w:szCs w:val="28"/>
        </w:rPr>
        <w:t xml:space="preserve">                               Albert Hibbert Attorneys</w:t>
      </w:r>
    </w:p>
    <w:p w14:paraId="4EBD23C0" w14:textId="77777777" w:rsidR="00D04624" w:rsidRDefault="00D04624" w:rsidP="00D04624">
      <w:pPr>
        <w:rPr>
          <w:rFonts w:ascii="Times New Roman" w:hAnsi="Times New Roman" w:cs="Times New Roman"/>
          <w:b/>
          <w:bCs/>
          <w:sz w:val="28"/>
          <w:szCs w:val="28"/>
        </w:rPr>
      </w:pPr>
    </w:p>
    <w:p w14:paraId="22F6AE58" w14:textId="4824864D" w:rsidR="00FD1D0E" w:rsidRDefault="00FD1D0E" w:rsidP="00D04624">
      <w:pPr>
        <w:rPr>
          <w:rFonts w:ascii="Times New Roman" w:hAnsi="Times New Roman" w:cs="Times New Roman"/>
          <w:b/>
          <w:bCs/>
          <w:sz w:val="28"/>
          <w:szCs w:val="28"/>
        </w:rPr>
      </w:pPr>
      <w:r>
        <w:rPr>
          <w:rFonts w:ascii="Times New Roman" w:hAnsi="Times New Roman" w:cs="Times New Roman"/>
          <w:b/>
          <w:bCs/>
          <w:sz w:val="28"/>
          <w:szCs w:val="28"/>
        </w:rPr>
        <w:t xml:space="preserve">Date heard:                                         </w:t>
      </w:r>
      <w:r w:rsidR="007D2A34">
        <w:rPr>
          <w:rFonts w:ascii="Times New Roman" w:hAnsi="Times New Roman" w:cs="Times New Roman"/>
          <w:b/>
          <w:bCs/>
          <w:sz w:val="28"/>
          <w:szCs w:val="28"/>
        </w:rPr>
        <w:t>28/02</w:t>
      </w:r>
      <w:r>
        <w:rPr>
          <w:rFonts w:ascii="Times New Roman" w:hAnsi="Times New Roman" w:cs="Times New Roman"/>
          <w:b/>
          <w:bCs/>
          <w:sz w:val="28"/>
          <w:szCs w:val="28"/>
        </w:rPr>
        <w:t>/2023</w:t>
      </w:r>
    </w:p>
    <w:p w14:paraId="7DB4DBB3" w14:textId="77777777" w:rsidR="00FD1D0E" w:rsidRDefault="00FD1D0E" w:rsidP="00D04624">
      <w:pPr>
        <w:rPr>
          <w:rFonts w:ascii="Times New Roman" w:hAnsi="Times New Roman" w:cs="Times New Roman"/>
          <w:b/>
          <w:bCs/>
          <w:sz w:val="28"/>
          <w:szCs w:val="28"/>
        </w:rPr>
      </w:pPr>
    </w:p>
    <w:p w14:paraId="593E218E" w14:textId="68607587" w:rsidR="001A2A86" w:rsidRPr="00FD1D0E" w:rsidRDefault="00FD1D0E" w:rsidP="00D04624">
      <w:pPr>
        <w:rPr>
          <w:rFonts w:ascii="Times New Roman" w:eastAsia="Times New Roman" w:hAnsi="Times New Roman" w:cs="Times New Roman"/>
          <w:sz w:val="28"/>
          <w:szCs w:val="28"/>
          <w:lang w:eastAsia="en-GB"/>
        </w:rPr>
      </w:pPr>
      <w:r>
        <w:rPr>
          <w:rFonts w:ascii="Times New Roman" w:hAnsi="Times New Roman" w:cs="Times New Roman"/>
          <w:b/>
          <w:bCs/>
          <w:sz w:val="28"/>
          <w:szCs w:val="28"/>
        </w:rPr>
        <w:t xml:space="preserve">Date delivered:  </w:t>
      </w:r>
      <w:r w:rsidR="00D04624">
        <w:rPr>
          <w:rFonts w:ascii="Times New Roman" w:hAnsi="Times New Roman" w:cs="Times New Roman"/>
          <w:b/>
          <w:bCs/>
          <w:sz w:val="28"/>
          <w:szCs w:val="28"/>
        </w:rPr>
        <w:t xml:space="preserve">     </w:t>
      </w:r>
      <w:r w:rsidR="00D04624">
        <w:rPr>
          <w:rFonts w:ascii="Times New Roman" w:hAnsi="Times New Roman" w:cs="Times New Roman"/>
          <w:b/>
          <w:bCs/>
          <w:sz w:val="28"/>
          <w:szCs w:val="28"/>
        </w:rPr>
        <w:tab/>
      </w:r>
      <w:r w:rsidR="00D04624">
        <w:rPr>
          <w:rFonts w:ascii="Times New Roman" w:hAnsi="Times New Roman" w:cs="Times New Roman"/>
          <w:b/>
          <w:bCs/>
          <w:sz w:val="28"/>
          <w:szCs w:val="28"/>
        </w:rPr>
        <w:tab/>
        <w:t xml:space="preserve">   </w:t>
      </w:r>
      <w:r w:rsidR="001A2A86">
        <w:rPr>
          <w:rFonts w:ascii="Times New Roman" w:hAnsi="Times New Roman" w:cs="Times New Roman"/>
          <w:b/>
          <w:bCs/>
          <w:sz w:val="28"/>
          <w:szCs w:val="28"/>
        </w:rPr>
        <w:tab/>
      </w:r>
      <w:r w:rsidR="001A2A86" w:rsidRPr="00FD1D0E">
        <w:rPr>
          <w:rFonts w:ascii="Times New Roman" w:hAnsi="Times New Roman" w:cs="Times New Roman"/>
          <w:b/>
          <w:bCs/>
          <w:sz w:val="28"/>
          <w:szCs w:val="28"/>
          <w:u w:val="single"/>
        </w:rPr>
        <w:tab/>
      </w:r>
      <w:r w:rsidR="001A2A86" w:rsidRPr="00FD1D0E">
        <w:rPr>
          <w:rFonts w:ascii="Times New Roman" w:hAnsi="Times New Roman" w:cs="Times New Roman"/>
          <w:b/>
          <w:bCs/>
          <w:sz w:val="28"/>
          <w:szCs w:val="28"/>
          <w:u w:val="single"/>
        </w:rPr>
        <w:tab/>
      </w:r>
      <w:r w:rsidR="001A2A86" w:rsidRPr="00FD1D0E">
        <w:rPr>
          <w:rFonts w:ascii="Times New Roman" w:hAnsi="Times New Roman" w:cs="Times New Roman"/>
          <w:b/>
          <w:bCs/>
          <w:sz w:val="28"/>
          <w:szCs w:val="28"/>
          <w:u w:val="single"/>
        </w:rPr>
        <w:tab/>
      </w:r>
      <w:r w:rsidRPr="00FD1D0E">
        <w:rPr>
          <w:rFonts w:ascii="Times New Roman" w:hAnsi="Times New Roman" w:cs="Times New Roman"/>
          <w:b/>
          <w:bCs/>
          <w:sz w:val="28"/>
          <w:szCs w:val="28"/>
        </w:rPr>
        <w:t xml:space="preserve">          </w:t>
      </w:r>
    </w:p>
    <w:p w14:paraId="448D3618"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448D3619"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5C4281F6" w14:textId="77777777" w:rsidR="0028707E" w:rsidRDefault="0028707E"/>
    <w:sectPr w:rsidR="002870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230D" w14:textId="77777777" w:rsidR="00807EFE" w:rsidRDefault="00807EFE" w:rsidP="00FB0A11">
      <w:pPr>
        <w:spacing w:after="0" w:line="240" w:lineRule="auto"/>
      </w:pPr>
      <w:r>
        <w:separator/>
      </w:r>
    </w:p>
  </w:endnote>
  <w:endnote w:type="continuationSeparator" w:id="0">
    <w:p w14:paraId="10ACC5ED" w14:textId="77777777" w:rsidR="00807EFE" w:rsidRDefault="00807EFE" w:rsidP="00FB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103A" w14:textId="77777777" w:rsidR="00A654EF" w:rsidRDefault="00A65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47967"/>
      <w:docPartObj>
        <w:docPartGallery w:val="Page Numbers (Bottom of Page)"/>
        <w:docPartUnique/>
      </w:docPartObj>
    </w:sdtPr>
    <w:sdtEndPr>
      <w:rPr>
        <w:noProof/>
      </w:rPr>
    </w:sdtEndPr>
    <w:sdtContent>
      <w:p w14:paraId="448D3630" w14:textId="38956B12" w:rsidR="00E6083A" w:rsidRDefault="00E6083A">
        <w:pPr>
          <w:pStyle w:val="Footer"/>
          <w:jc w:val="right"/>
        </w:pPr>
        <w:r>
          <w:fldChar w:fldCharType="begin"/>
        </w:r>
        <w:r>
          <w:instrText xml:space="preserve"> PAGE   \* MERGEFORMAT </w:instrText>
        </w:r>
        <w:r>
          <w:fldChar w:fldCharType="separate"/>
        </w:r>
        <w:r w:rsidR="0037662C">
          <w:rPr>
            <w:noProof/>
          </w:rPr>
          <w:t>3</w:t>
        </w:r>
        <w:r>
          <w:rPr>
            <w:noProof/>
          </w:rPr>
          <w:fldChar w:fldCharType="end"/>
        </w:r>
      </w:p>
    </w:sdtContent>
  </w:sdt>
  <w:p w14:paraId="448D3631" w14:textId="77777777" w:rsidR="00E6083A" w:rsidRDefault="00E60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214C" w14:textId="77777777" w:rsidR="00A654EF" w:rsidRDefault="00A65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F2AA1" w14:textId="77777777" w:rsidR="00807EFE" w:rsidRDefault="00807EFE" w:rsidP="00FB0A11">
      <w:pPr>
        <w:spacing w:after="0" w:line="240" w:lineRule="auto"/>
      </w:pPr>
      <w:r>
        <w:separator/>
      </w:r>
    </w:p>
  </w:footnote>
  <w:footnote w:type="continuationSeparator" w:id="0">
    <w:p w14:paraId="21C5755F" w14:textId="77777777" w:rsidR="00807EFE" w:rsidRDefault="00807EFE" w:rsidP="00FB0A11">
      <w:pPr>
        <w:spacing w:after="0" w:line="240" w:lineRule="auto"/>
      </w:pPr>
      <w:r>
        <w:continuationSeparator/>
      </w:r>
    </w:p>
  </w:footnote>
  <w:footnote w:id="1">
    <w:p w14:paraId="2936DDBD" w14:textId="2554CC09" w:rsidR="00A654EF" w:rsidRPr="004570D1" w:rsidRDefault="00A654EF">
      <w:pPr>
        <w:pStyle w:val="FootnoteText"/>
        <w:rPr>
          <w:i/>
          <w:lang w:val="en-GB"/>
        </w:rPr>
      </w:pPr>
      <w:r w:rsidRPr="004570D1">
        <w:rPr>
          <w:rStyle w:val="FootnoteReference"/>
          <w:i/>
        </w:rPr>
        <w:footnoteRef/>
      </w:r>
      <w:r w:rsidRPr="004570D1">
        <w:rPr>
          <w:i/>
        </w:rPr>
        <w:t xml:space="preserve"> </w:t>
      </w:r>
      <w:r w:rsidRPr="004570D1">
        <w:rPr>
          <w:i/>
          <w:lang w:val="en-GB"/>
        </w:rPr>
        <w:t>BK Tooling (PTY) Ltd V Scope Engineering (</w:t>
      </w:r>
      <w:r w:rsidR="00E90579" w:rsidRPr="004570D1">
        <w:rPr>
          <w:i/>
          <w:lang w:val="en-GB"/>
        </w:rPr>
        <w:t>Pty) Ltd [1978] ZASCA 1</w:t>
      </w:r>
    </w:p>
  </w:footnote>
  <w:footnote w:id="2">
    <w:p w14:paraId="22333C3C" w14:textId="0DF960B7" w:rsidR="004F67E8" w:rsidRPr="004F67E8" w:rsidRDefault="004F67E8" w:rsidP="004F67E8">
      <w:pPr>
        <w:pStyle w:val="FootnoteText"/>
        <w:rPr>
          <w:lang w:val="en-GB"/>
        </w:rPr>
      </w:pPr>
      <w:r>
        <w:rPr>
          <w:rStyle w:val="FootnoteReference"/>
        </w:rPr>
        <w:footnoteRef/>
      </w:r>
      <w:r>
        <w:t xml:space="preserve"> </w:t>
      </w:r>
      <w:r w:rsidRPr="004F67E8">
        <w:t>2019 (2) SA 37 (CC)</w:t>
      </w:r>
      <w:r>
        <w:t xml:space="preserve"> in paragraph 15</w:t>
      </w:r>
    </w:p>
  </w:footnote>
  <w:footnote w:id="3">
    <w:p w14:paraId="41CDD56A" w14:textId="49B23126" w:rsidR="001E4A2A" w:rsidRPr="001E4A2A" w:rsidRDefault="001E4A2A">
      <w:pPr>
        <w:pStyle w:val="FootnoteText"/>
        <w:rPr>
          <w:lang w:val="en-GB"/>
        </w:rPr>
      </w:pPr>
      <w:r>
        <w:rPr>
          <w:rStyle w:val="FootnoteReference"/>
        </w:rPr>
        <w:footnoteRef/>
      </w:r>
      <w:r>
        <w:t xml:space="preserve"> </w:t>
      </w:r>
      <w:r w:rsidRPr="001E4A2A">
        <w:rPr>
          <w:i/>
          <w:lang w:val="en-GB"/>
        </w:rPr>
        <w:t>Rule 23(1) provides: Where any pleading is vague and embarrassing, or lacks averments which are necessary to sustain an action or defence, as the case may be, the opposing party may, within the period allowed for filing any sub</w:t>
      </w:r>
      <w:r>
        <w:rPr>
          <w:i/>
          <w:lang w:val="en-GB"/>
        </w:rPr>
        <w:t xml:space="preserve">sequent </w:t>
      </w:r>
      <w:r w:rsidR="00DD4790">
        <w:rPr>
          <w:i/>
          <w:lang w:val="en-GB"/>
        </w:rPr>
        <w:t>pleading,</w:t>
      </w:r>
      <w:r>
        <w:rPr>
          <w:i/>
          <w:lang w:val="en-GB"/>
        </w:rPr>
        <w:t xml:space="preserve"> deliver an exception thereto and may apply to the registrar to set it down for hearing within 15 days after the delivery of such exception. </w:t>
      </w:r>
    </w:p>
  </w:footnote>
  <w:footnote w:id="4">
    <w:p w14:paraId="60289EC3" w14:textId="509DC9FC" w:rsidR="00DD4790" w:rsidRPr="00DD4790" w:rsidRDefault="00DD4790">
      <w:pPr>
        <w:pStyle w:val="FootnoteText"/>
        <w:rPr>
          <w:lang w:val="en-GB"/>
        </w:rPr>
      </w:pPr>
      <w:r>
        <w:rPr>
          <w:rStyle w:val="FootnoteReference"/>
        </w:rPr>
        <w:footnoteRef/>
      </w:r>
      <w:r>
        <w:t xml:space="preserve"> </w:t>
      </w:r>
      <w:r w:rsidRPr="004570D1">
        <w:rPr>
          <w:i/>
          <w:lang w:val="en-GB"/>
        </w:rPr>
        <w:t>Mckenzie V Farmers Cooperative Meat Industries Ltd Mckenzie V Farmers’ Cooperative Meat Industries Ltd. 1922AD 16 See also Barclays National Bank Ltd V Thompson 1989 (1) SA 547(A)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6497A" w14:textId="77777777" w:rsidR="00A654EF" w:rsidRDefault="00A65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A10AE" w14:textId="77777777" w:rsidR="00A654EF" w:rsidRDefault="00A65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5BC3" w14:textId="77777777" w:rsidR="00A654EF" w:rsidRDefault="00A65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162"/>
    <w:multiLevelType w:val="multilevel"/>
    <w:tmpl w:val="BAFC0660"/>
    <w:lvl w:ilvl="0">
      <w:start w:val="11"/>
      <w:numFmt w:val="decimal"/>
      <w:lvlText w:val="%1"/>
      <w:lvlJc w:val="left"/>
      <w:pPr>
        <w:ind w:left="490" w:hanging="490"/>
      </w:pPr>
      <w:rPr>
        <w:rFonts w:hint="default"/>
      </w:rPr>
    </w:lvl>
    <w:lvl w:ilvl="1">
      <w:start w:val="1"/>
      <w:numFmt w:val="decimal"/>
      <w:lvlText w:val="%1.%2"/>
      <w:lvlJc w:val="left"/>
      <w:pPr>
        <w:ind w:left="1282" w:hanging="4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
    <w:nsid w:val="065C315F"/>
    <w:multiLevelType w:val="hybridMultilevel"/>
    <w:tmpl w:val="71C4CE7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nsid w:val="10681807"/>
    <w:multiLevelType w:val="hybridMultilevel"/>
    <w:tmpl w:val="F1BEC38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5632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B64018"/>
    <w:multiLevelType w:val="hybridMultilevel"/>
    <w:tmpl w:val="17D46BA8"/>
    <w:lvl w:ilvl="0" w:tplc="C994C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4840C2E"/>
    <w:multiLevelType w:val="hybridMultilevel"/>
    <w:tmpl w:val="BCB4F3BA"/>
    <w:lvl w:ilvl="0" w:tplc="3A10ED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1DE42E2"/>
    <w:multiLevelType w:val="multilevel"/>
    <w:tmpl w:val="8D2417A6"/>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3C10D33"/>
    <w:multiLevelType w:val="hybridMultilevel"/>
    <w:tmpl w:val="9296196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034DBD"/>
    <w:multiLevelType w:val="multilevel"/>
    <w:tmpl w:val="534054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20B5A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6"/>
  </w:num>
  <w:num w:numId="4">
    <w:abstractNumId w:val="5"/>
  </w:num>
  <w:num w:numId="5">
    <w:abstractNumId w:val="10"/>
  </w:num>
  <w:num w:numId="6">
    <w:abstractNumId w:val="0"/>
  </w:num>
  <w:num w:numId="7">
    <w:abstractNumId w:val="4"/>
  </w:num>
  <w:num w:numId="8">
    <w:abstractNumId w:val="8"/>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0F"/>
    <w:rsid w:val="00007BAB"/>
    <w:rsid w:val="00022644"/>
    <w:rsid w:val="0002488B"/>
    <w:rsid w:val="000316D4"/>
    <w:rsid w:val="00052B6E"/>
    <w:rsid w:val="00060C31"/>
    <w:rsid w:val="000611E1"/>
    <w:rsid w:val="00077B14"/>
    <w:rsid w:val="000A47AC"/>
    <w:rsid w:val="000D26BC"/>
    <w:rsid w:val="000D6E4E"/>
    <w:rsid w:val="000D733F"/>
    <w:rsid w:val="000E3584"/>
    <w:rsid w:val="000F2F0F"/>
    <w:rsid w:val="00126918"/>
    <w:rsid w:val="00127D70"/>
    <w:rsid w:val="00132A1B"/>
    <w:rsid w:val="00172FDA"/>
    <w:rsid w:val="001A2A86"/>
    <w:rsid w:val="001B6D2F"/>
    <w:rsid w:val="001B7EE7"/>
    <w:rsid w:val="001E4A2A"/>
    <w:rsid w:val="001F1E9B"/>
    <w:rsid w:val="001F4272"/>
    <w:rsid w:val="00236CA2"/>
    <w:rsid w:val="002652E8"/>
    <w:rsid w:val="00275DAB"/>
    <w:rsid w:val="0027698B"/>
    <w:rsid w:val="0028707E"/>
    <w:rsid w:val="002A01B8"/>
    <w:rsid w:val="002C2C42"/>
    <w:rsid w:val="002E44FF"/>
    <w:rsid w:val="002F33D8"/>
    <w:rsid w:val="00301408"/>
    <w:rsid w:val="00310F1B"/>
    <w:rsid w:val="0031561A"/>
    <w:rsid w:val="00321FD3"/>
    <w:rsid w:val="003341C8"/>
    <w:rsid w:val="0033579A"/>
    <w:rsid w:val="00336720"/>
    <w:rsid w:val="003472D9"/>
    <w:rsid w:val="00357AA6"/>
    <w:rsid w:val="00375ACA"/>
    <w:rsid w:val="0037662C"/>
    <w:rsid w:val="00386034"/>
    <w:rsid w:val="003B6545"/>
    <w:rsid w:val="003D4D8A"/>
    <w:rsid w:val="003E71F5"/>
    <w:rsid w:val="003F6C3F"/>
    <w:rsid w:val="003F6DF8"/>
    <w:rsid w:val="004214BB"/>
    <w:rsid w:val="004337E2"/>
    <w:rsid w:val="004538FC"/>
    <w:rsid w:val="004570D1"/>
    <w:rsid w:val="0048482A"/>
    <w:rsid w:val="004C667F"/>
    <w:rsid w:val="004F063A"/>
    <w:rsid w:val="004F261A"/>
    <w:rsid w:val="004F5230"/>
    <w:rsid w:val="004F67E8"/>
    <w:rsid w:val="005106A9"/>
    <w:rsid w:val="00514678"/>
    <w:rsid w:val="0051695A"/>
    <w:rsid w:val="005178CF"/>
    <w:rsid w:val="00522048"/>
    <w:rsid w:val="00543B76"/>
    <w:rsid w:val="005A2D47"/>
    <w:rsid w:val="005D7598"/>
    <w:rsid w:val="00626421"/>
    <w:rsid w:val="006421E3"/>
    <w:rsid w:val="00642671"/>
    <w:rsid w:val="00662920"/>
    <w:rsid w:val="006727CF"/>
    <w:rsid w:val="00672D0F"/>
    <w:rsid w:val="006B76C8"/>
    <w:rsid w:val="006E1AD5"/>
    <w:rsid w:val="007252E9"/>
    <w:rsid w:val="007424E4"/>
    <w:rsid w:val="00746102"/>
    <w:rsid w:val="00750EC2"/>
    <w:rsid w:val="00755D8D"/>
    <w:rsid w:val="00797600"/>
    <w:rsid w:val="007B0535"/>
    <w:rsid w:val="007D2A34"/>
    <w:rsid w:val="007D336C"/>
    <w:rsid w:val="007E4236"/>
    <w:rsid w:val="007E544F"/>
    <w:rsid w:val="00802235"/>
    <w:rsid w:val="00807EFE"/>
    <w:rsid w:val="0081264B"/>
    <w:rsid w:val="0081364D"/>
    <w:rsid w:val="00840E2F"/>
    <w:rsid w:val="00852CD9"/>
    <w:rsid w:val="00853482"/>
    <w:rsid w:val="00862137"/>
    <w:rsid w:val="008C3A69"/>
    <w:rsid w:val="008D52D7"/>
    <w:rsid w:val="008F28EC"/>
    <w:rsid w:val="008F6897"/>
    <w:rsid w:val="00924A42"/>
    <w:rsid w:val="009D1914"/>
    <w:rsid w:val="009D3C84"/>
    <w:rsid w:val="009F4669"/>
    <w:rsid w:val="009F7B9A"/>
    <w:rsid w:val="00A35526"/>
    <w:rsid w:val="00A378CD"/>
    <w:rsid w:val="00A42FFD"/>
    <w:rsid w:val="00A61E64"/>
    <w:rsid w:val="00A654EF"/>
    <w:rsid w:val="00A754CD"/>
    <w:rsid w:val="00AA3CBC"/>
    <w:rsid w:val="00AA7639"/>
    <w:rsid w:val="00AB0494"/>
    <w:rsid w:val="00AC3C76"/>
    <w:rsid w:val="00AD2AAE"/>
    <w:rsid w:val="00AF38AE"/>
    <w:rsid w:val="00AF47E2"/>
    <w:rsid w:val="00B03BDE"/>
    <w:rsid w:val="00B33CEF"/>
    <w:rsid w:val="00B43E87"/>
    <w:rsid w:val="00B53FA6"/>
    <w:rsid w:val="00B608F2"/>
    <w:rsid w:val="00B90292"/>
    <w:rsid w:val="00B95EC0"/>
    <w:rsid w:val="00BA76EF"/>
    <w:rsid w:val="00BD0C3A"/>
    <w:rsid w:val="00BD23CD"/>
    <w:rsid w:val="00BD4F44"/>
    <w:rsid w:val="00BE6A42"/>
    <w:rsid w:val="00C00FA1"/>
    <w:rsid w:val="00C1507A"/>
    <w:rsid w:val="00C44B45"/>
    <w:rsid w:val="00CC46FF"/>
    <w:rsid w:val="00CD6C73"/>
    <w:rsid w:val="00CE6D05"/>
    <w:rsid w:val="00CF4C1F"/>
    <w:rsid w:val="00CF628A"/>
    <w:rsid w:val="00D04624"/>
    <w:rsid w:val="00D168D6"/>
    <w:rsid w:val="00D314E9"/>
    <w:rsid w:val="00D3635C"/>
    <w:rsid w:val="00DA3DAC"/>
    <w:rsid w:val="00DB3B08"/>
    <w:rsid w:val="00DB496B"/>
    <w:rsid w:val="00DC552C"/>
    <w:rsid w:val="00DC6D98"/>
    <w:rsid w:val="00DD4790"/>
    <w:rsid w:val="00DE1AA2"/>
    <w:rsid w:val="00DF396F"/>
    <w:rsid w:val="00DF69A9"/>
    <w:rsid w:val="00E244D8"/>
    <w:rsid w:val="00E42D15"/>
    <w:rsid w:val="00E55964"/>
    <w:rsid w:val="00E6083A"/>
    <w:rsid w:val="00E63421"/>
    <w:rsid w:val="00E6762A"/>
    <w:rsid w:val="00E76ECD"/>
    <w:rsid w:val="00E90579"/>
    <w:rsid w:val="00E941AE"/>
    <w:rsid w:val="00EE2EF8"/>
    <w:rsid w:val="00EE4B3E"/>
    <w:rsid w:val="00EE706D"/>
    <w:rsid w:val="00EF3462"/>
    <w:rsid w:val="00EF35B7"/>
    <w:rsid w:val="00F000AC"/>
    <w:rsid w:val="00F23BB1"/>
    <w:rsid w:val="00F277F5"/>
    <w:rsid w:val="00F30816"/>
    <w:rsid w:val="00F35A3C"/>
    <w:rsid w:val="00F56ACC"/>
    <w:rsid w:val="00F611AB"/>
    <w:rsid w:val="00F72C8B"/>
    <w:rsid w:val="00F94836"/>
    <w:rsid w:val="00F968DA"/>
    <w:rsid w:val="00FA3946"/>
    <w:rsid w:val="00FA6E37"/>
    <w:rsid w:val="00FB0A11"/>
    <w:rsid w:val="00FD1D0E"/>
    <w:rsid w:val="00FF05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35A0"/>
  <w15:chartTrackingRefBased/>
  <w15:docId w15:val="{598FC554-9513-43A2-A4EA-69C319B1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0F"/>
    <w:pPr>
      <w:ind w:left="720"/>
      <w:contextualSpacing/>
    </w:pPr>
  </w:style>
  <w:style w:type="paragraph" w:styleId="FootnoteText">
    <w:name w:val="footnote text"/>
    <w:basedOn w:val="Normal"/>
    <w:link w:val="FootnoteTextChar"/>
    <w:uiPriority w:val="99"/>
    <w:semiHidden/>
    <w:unhideWhenUsed/>
    <w:rsid w:val="00FB0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A11"/>
    <w:rPr>
      <w:sz w:val="20"/>
      <w:szCs w:val="20"/>
    </w:rPr>
  </w:style>
  <w:style w:type="character" w:styleId="FootnoteReference">
    <w:name w:val="footnote reference"/>
    <w:basedOn w:val="DefaultParagraphFont"/>
    <w:uiPriority w:val="99"/>
    <w:semiHidden/>
    <w:unhideWhenUsed/>
    <w:rsid w:val="00FB0A11"/>
    <w:rPr>
      <w:vertAlign w:val="superscript"/>
    </w:rPr>
  </w:style>
  <w:style w:type="paragraph" w:styleId="Header">
    <w:name w:val="header"/>
    <w:basedOn w:val="Normal"/>
    <w:link w:val="HeaderChar"/>
    <w:uiPriority w:val="99"/>
    <w:unhideWhenUsed/>
    <w:rsid w:val="00E6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A"/>
  </w:style>
  <w:style w:type="paragraph" w:styleId="Footer">
    <w:name w:val="footer"/>
    <w:basedOn w:val="Normal"/>
    <w:link w:val="FooterChar"/>
    <w:uiPriority w:val="99"/>
    <w:unhideWhenUsed/>
    <w:rsid w:val="00E6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A"/>
  </w:style>
  <w:style w:type="paragraph" w:styleId="BalloonText">
    <w:name w:val="Balloon Text"/>
    <w:basedOn w:val="Normal"/>
    <w:link w:val="BalloonTextChar"/>
    <w:uiPriority w:val="99"/>
    <w:semiHidden/>
    <w:unhideWhenUsed/>
    <w:rsid w:val="001A2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3A27-D61B-4730-9ABA-59B0CFE9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Mampa</dc:creator>
  <cp:keywords/>
  <dc:description/>
  <cp:lastModifiedBy>Mokone</cp:lastModifiedBy>
  <cp:revision>3</cp:revision>
  <cp:lastPrinted>2023-02-06T09:44:00Z</cp:lastPrinted>
  <dcterms:created xsi:type="dcterms:W3CDTF">2023-03-29T14:41:00Z</dcterms:created>
  <dcterms:modified xsi:type="dcterms:W3CDTF">2023-03-29T14:43:00Z</dcterms:modified>
</cp:coreProperties>
</file>