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D12D" w14:textId="145356DA" w:rsidR="0093216C" w:rsidRPr="008443EF" w:rsidRDefault="00502160" w:rsidP="004B12E3">
      <w:pPr>
        <w:ind w:right="-144"/>
        <w:jc w:val="center"/>
        <w:rPr>
          <w:rFonts w:ascii="Arial" w:hAnsi="Arial" w:cs="Arial"/>
          <w:b/>
          <w:sz w:val="24"/>
          <w:szCs w:val="24"/>
        </w:rPr>
      </w:pPr>
      <w:bookmarkStart w:id="0" w:name="_GoBack"/>
      <w:bookmarkEnd w:id="0"/>
      <w:r w:rsidRPr="008443EF">
        <w:rPr>
          <w:rFonts w:ascii="Arial" w:hAnsi="Arial" w:cs="Arial"/>
          <w:b/>
          <w:sz w:val="24"/>
          <w:szCs w:val="24"/>
        </w:rPr>
        <w:t>REPUBLIC OF SOUTH AFRICA</w:t>
      </w:r>
    </w:p>
    <w:p w14:paraId="76269212" w14:textId="49195199" w:rsidR="00502160" w:rsidRPr="008443EF" w:rsidRDefault="00A41DE8" w:rsidP="004B12E3">
      <w:pPr>
        <w:ind w:right="-144"/>
        <w:jc w:val="center"/>
        <w:rPr>
          <w:rFonts w:ascii="Arial" w:hAnsi="Arial" w:cs="Arial"/>
          <w:sz w:val="24"/>
          <w:szCs w:val="24"/>
        </w:rPr>
      </w:pPr>
      <w:r w:rsidRPr="008443EF">
        <w:rPr>
          <w:rFonts w:ascii="Arial" w:hAnsi="Arial" w:cs="Arial"/>
          <w:sz w:val="24"/>
          <w:szCs w:val="24"/>
        </w:rPr>
        <w:t xml:space="preserve"> </w:t>
      </w:r>
      <w:r w:rsidR="00B765DB" w:rsidRPr="008443EF">
        <w:rPr>
          <w:rFonts w:ascii="Arial" w:hAnsi="Arial" w:cs="Arial"/>
          <w:b/>
          <w:bCs/>
          <w:noProof/>
          <w:sz w:val="24"/>
          <w:szCs w:val="24"/>
          <w:lang w:eastAsia="en-ZA"/>
        </w:rPr>
        <w:drawing>
          <wp:inline distT="0" distB="0" distL="0" distR="0" wp14:anchorId="6B5C44E7" wp14:editId="3DF4E5DB">
            <wp:extent cx="1400175" cy="1193800"/>
            <wp:effectExtent l="0" t="0" r="9525"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1400175" cy="1193800"/>
                    </a:xfrm>
                    <a:prstGeom prst="rect">
                      <a:avLst/>
                    </a:prstGeom>
                    <a:ln w="12700" cap="flat">
                      <a:noFill/>
                      <a:miter lim="400000"/>
                    </a:ln>
                    <a:effectLst/>
                  </pic:spPr>
                </pic:pic>
              </a:graphicData>
            </a:graphic>
          </wp:inline>
        </w:drawing>
      </w:r>
    </w:p>
    <w:p w14:paraId="40BEBDDE" w14:textId="77777777" w:rsidR="00502160" w:rsidRPr="008443EF" w:rsidRDefault="00502160" w:rsidP="001A40F8">
      <w:pPr>
        <w:spacing w:line="240" w:lineRule="auto"/>
        <w:ind w:right="-144"/>
        <w:jc w:val="center"/>
        <w:rPr>
          <w:rFonts w:ascii="Arial" w:hAnsi="Arial" w:cs="Arial"/>
          <w:b/>
          <w:sz w:val="24"/>
          <w:szCs w:val="24"/>
        </w:rPr>
      </w:pPr>
      <w:r w:rsidRPr="008443EF">
        <w:rPr>
          <w:rFonts w:ascii="Arial" w:hAnsi="Arial" w:cs="Arial"/>
          <w:b/>
          <w:sz w:val="24"/>
          <w:szCs w:val="24"/>
        </w:rPr>
        <w:t>IN THE HIGH COURT OF SOUTH AFRICA</w:t>
      </w:r>
    </w:p>
    <w:p w14:paraId="7086B4E7" w14:textId="77777777" w:rsidR="00502160" w:rsidRPr="008443EF" w:rsidRDefault="00502160" w:rsidP="001A40F8">
      <w:pPr>
        <w:spacing w:line="240" w:lineRule="auto"/>
        <w:ind w:right="-144"/>
        <w:jc w:val="center"/>
        <w:rPr>
          <w:rFonts w:ascii="Arial" w:hAnsi="Arial" w:cs="Arial"/>
          <w:b/>
          <w:sz w:val="24"/>
          <w:szCs w:val="24"/>
        </w:rPr>
      </w:pPr>
      <w:r w:rsidRPr="008443EF">
        <w:rPr>
          <w:rFonts w:ascii="Arial" w:hAnsi="Arial" w:cs="Arial"/>
          <w:b/>
          <w:sz w:val="24"/>
          <w:szCs w:val="24"/>
        </w:rPr>
        <w:t>GAUTENG DIVISION, PRETORIA</w:t>
      </w:r>
    </w:p>
    <w:p w14:paraId="7AD6F827" w14:textId="77777777" w:rsidR="00502160" w:rsidRPr="008443EF" w:rsidRDefault="00502160" w:rsidP="004B12E3">
      <w:pPr>
        <w:ind w:right="-144"/>
        <w:rPr>
          <w:rFonts w:ascii="Arial" w:hAnsi="Arial" w:cs="Arial"/>
          <w:sz w:val="24"/>
          <w:szCs w:val="24"/>
        </w:rPr>
      </w:pPr>
    </w:p>
    <w:p w14:paraId="23FAE249" w14:textId="29F92ADC" w:rsidR="00502160" w:rsidRPr="008443EF" w:rsidRDefault="00502160" w:rsidP="004B12E3">
      <w:pPr>
        <w:ind w:right="-144"/>
        <w:jc w:val="right"/>
        <w:rPr>
          <w:rFonts w:ascii="Arial" w:hAnsi="Arial" w:cs="Arial"/>
          <w:sz w:val="24"/>
          <w:szCs w:val="24"/>
        </w:rPr>
      </w:pPr>
      <w:r w:rsidRPr="008443EF">
        <w:rPr>
          <w:rFonts w:ascii="Arial" w:hAnsi="Arial" w:cs="Arial"/>
          <w:sz w:val="24"/>
          <w:szCs w:val="24"/>
        </w:rPr>
        <w:t xml:space="preserve">Case Number: </w:t>
      </w:r>
      <w:r w:rsidR="00035C41" w:rsidRPr="008443EF">
        <w:rPr>
          <w:rFonts w:ascii="Arial" w:hAnsi="Arial" w:cs="Arial"/>
          <w:sz w:val="24"/>
          <w:szCs w:val="24"/>
        </w:rPr>
        <w:t>050968/2022</w:t>
      </w:r>
    </w:p>
    <w:p w14:paraId="6AC7D692" w14:textId="77777777" w:rsidR="00502160" w:rsidRPr="008443EF" w:rsidRDefault="00502160" w:rsidP="004B12E3">
      <w:pPr>
        <w:ind w:right="-144"/>
        <w:jc w:val="right"/>
        <w:rPr>
          <w:rFonts w:ascii="Arial" w:hAnsi="Arial" w:cs="Arial"/>
          <w:sz w:val="24"/>
          <w:szCs w:val="24"/>
        </w:rPr>
      </w:pPr>
    </w:p>
    <w:p w14:paraId="14B90B4E" w14:textId="457C3A8D" w:rsidR="003766E7" w:rsidRDefault="003766E7" w:rsidP="00F6166D">
      <w:pPr>
        <w:ind w:right="-144"/>
        <w:rPr>
          <w:rFonts w:ascii="Arial" w:hAnsi="Arial" w:cs="Arial"/>
          <w:sz w:val="24"/>
          <w:szCs w:val="24"/>
        </w:rPr>
      </w:pPr>
      <w:r>
        <w:rPr>
          <w:noProof/>
          <w:color w:val="000000"/>
          <w:sz w:val="28"/>
          <w:szCs w:val="28"/>
          <w:lang w:eastAsia="en-ZA"/>
        </w:rPr>
        <mc:AlternateContent>
          <mc:Choice Requires="wps">
            <w:drawing>
              <wp:anchor distT="0" distB="0" distL="114300" distR="114300" simplePos="0" relativeHeight="251663360" behindDoc="0" locked="0" layoutInCell="1" allowOverlap="1" wp14:anchorId="7AD6A639" wp14:editId="6C9DA173">
                <wp:simplePos x="0" y="0"/>
                <wp:positionH relativeFrom="column">
                  <wp:posOffset>441960</wp:posOffset>
                </wp:positionH>
                <wp:positionV relativeFrom="paragraph">
                  <wp:posOffset>36195</wp:posOffset>
                </wp:positionV>
                <wp:extent cx="3590925" cy="1635760"/>
                <wp:effectExtent l="0" t="0" r="2857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635760"/>
                        </a:xfrm>
                        <a:prstGeom prst="rect">
                          <a:avLst/>
                        </a:prstGeom>
                        <a:solidFill>
                          <a:srgbClr val="FFFFFF"/>
                        </a:solidFill>
                        <a:ln w="9525">
                          <a:solidFill>
                            <a:srgbClr val="000000"/>
                          </a:solidFill>
                          <a:miter lim="800000"/>
                          <a:headEnd/>
                          <a:tailEnd/>
                        </a:ln>
                      </wps:spPr>
                      <wps:txbx>
                        <w:txbxContent>
                          <w:p w14:paraId="12012A65" w14:textId="58DF6754"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(1)</w:t>
                            </w:r>
                            <w:r w:rsidRPr="004B0651">
                              <w:rPr>
                                <w:rFonts w:ascii="Century Gothic" w:hAnsi="Century Gothic"/>
                                <w:sz w:val="20"/>
                                <w:szCs w:val="20"/>
                              </w:rPr>
                              <w:tab/>
                            </w:r>
                            <w:r w:rsidR="003766E7" w:rsidRPr="004B0651">
                              <w:rPr>
                                <w:rFonts w:ascii="Century Gothic" w:hAnsi="Century Gothic"/>
                                <w:sz w:val="20"/>
                                <w:szCs w:val="20"/>
                              </w:rPr>
                              <w:t>REPORTABLE:  NO</w:t>
                            </w:r>
                          </w:p>
                          <w:p w14:paraId="51C41821" w14:textId="1F27E741"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(2)</w:t>
                            </w:r>
                            <w:r w:rsidRPr="004B0651">
                              <w:rPr>
                                <w:rFonts w:ascii="Century Gothic" w:hAnsi="Century Gothic"/>
                                <w:sz w:val="20"/>
                                <w:szCs w:val="20"/>
                              </w:rPr>
                              <w:tab/>
                            </w:r>
                            <w:r w:rsidR="003766E7" w:rsidRPr="004B0651">
                              <w:rPr>
                                <w:rFonts w:ascii="Century Gothic" w:hAnsi="Century Gothic"/>
                                <w:sz w:val="20"/>
                                <w:szCs w:val="20"/>
                              </w:rPr>
                              <w:t>OF INTEREST TO OTHER JUDGES: NO</w:t>
                            </w:r>
                          </w:p>
                          <w:p w14:paraId="6ADE8B5B" w14:textId="302F3C45"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(3)</w:t>
                            </w:r>
                            <w:r w:rsidRPr="004B0651">
                              <w:rPr>
                                <w:rFonts w:ascii="Century Gothic" w:hAnsi="Century Gothic"/>
                                <w:sz w:val="20"/>
                                <w:szCs w:val="20"/>
                              </w:rPr>
                              <w:tab/>
                            </w:r>
                            <w:r w:rsidR="003766E7" w:rsidRPr="004B0651">
                              <w:rPr>
                                <w:rFonts w:ascii="Century Gothic" w:hAnsi="Century Gothic"/>
                                <w:sz w:val="20"/>
                                <w:szCs w:val="20"/>
                              </w:rPr>
                              <w:t xml:space="preserve">REVISED. </w:t>
                            </w:r>
                          </w:p>
                          <w:p w14:paraId="736A9991" w14:textId="77777777" w:rsidR="00DC4D81" w:rsidRDefault="00DC4D81" w:rsidP="003766E7">
                            <w:pPr>
                              <w:rPr>
                                <w:rFonts w:ascii="Century Gothic" w:hAnsi="Century Gothic"/>
                                <w:b/>
                                <w:sz w:val="18"/>
                                <w:szCs w:val="18"/>
                              </w:rPr>
                            </w:pPr>
                          </w:p>
                          <w:p w14:paraId="04097F22" w14:textId="32B20B5C" w:rsidR="003766E7" w:rsidRDefault="002F6105" w:rsidP="003766E7">
                            <w:pPr>
                              <w:rPr>
                                <w:rFonts w:ascii="Century Gothic" w:hAnsi="Century Gothic"/>
                                <w:b/>
                                <w:sz w:val="18"/>
                                <w:szCs w:val="18"/>
                              </w:rPr>
                            </w:pPr>
                            <w:r>
                              <w:rPr>
                                <w:rFonts w:ascii="Century Gothic" w:hAnsi="Century Gothic"/>
                                <w:b/>
                                <w:sz w:val="18"/>
                                <w:szCs w:val="18"/>
                              </w:rPr>
                              <w:t>16</w:t>
                            </w:r>
                            <w:r w:rsidR="003766E7">
                              <w:rPr>
                                <w:rFonts w:ascii="Century Gothic" w:hAnsi="Century Gothic"/>
                                <w:b/>
                                <w:sz w:val="18"/>
                                <w:szCs w:val="18"/>
                              </w:rPr>
                              <w:t>/01/2023</w:t>
                            </w:r>
                            <w:r w:rsidR="003766E7">
                              <w:rPr>
                                <w:rFonts w:ascii="Century Gothic" w:hAnsi="Century Gothic"/>
                                <w:b/>
                                <w:sz w:val="18"/>
                                <w:szCs w:val="18"/>
                              </w:rPr>
                              <w:tab/>
                            </w:r>
                            <w:r w:rsidR="003766E7">
                              <w:rPr>
                                <w:rFonts w:ascii="Century Gothic" w:hAnsi="Century Gothic"/>
                                <w:b/>
                                <w:sz w:val="18"/>
                                <w:szCs w:val="18"/>
                              </w:rPr>
                              <w:tab/>
                            </w:r>
                          </w:p>
                          <w:p w14:paraId="7B5EF292" w14:textId="77777777" w:rsidR="003766E7" w:rsidRPr="00AD3886" w:rsidRDefault="003766E7" w:rsidP="003766E7">
                            <w:pPr>
                              <w:rPr>
                                <w:rFonts w:ascii="Century Gothic" w:hAnsi="Century Gothic"/>
                                <w:b/>
                                <w:sz w:val="18"/>
                                <w:szCs w:val="18"/>
                              </w:rPr>
                            </w:pPr>
                            <w:r w:rsidRPr="00AD3886">
                              <w:rPr>
                                <w:rFonts w:ascii="Century Gothic" w:hAnsi="Century Gothic"/>
                                <w:b/>
                                <w:sz w:val="18"/>
                                <w:szCs w:val="18"/>
                              </w:rPr>
                              <w:t>………</w:t>
                            </w:r>
                            <w:r>
                              <w:rPr>
                                <w:rFonts w:ascii="Century Gothic" w:hAnsi="Century Gothic"/>
                                <w:b/>
                                <w:sz w:val="18"/>
                                <w:szCs w:val="18"/>
                              </w:rPr>
                              <w:t>……….</w:t>
                            </w:r>
                            <w:r w:rsidRPr="00AD3886">
                              <w:rPr>
                                <w:rFonts w:ascii="Century Gothic" w:hAnsi="Century Gothic"/>
                                <w:b/>
                                <w:sz w:val="18"/>
                                <w:szCs w:val="18"/>
                              </w:rPr>
                              <w:t>………..</w:t>
                            </w:r>
                            <w:r w:rsidRPr="00AD3886">
                              <w:rPr>
                                <w:rFonts w:ascii="Century Gothic" w:hAnsi="Century Gothic"/>
                                <w:b/>
                                <w:sz w:val="18"/>
                                <w:szCs w:val="18"/>
                              </w:rPr>
                              <w:tab/>
                            </w:r>
                            <w:r w:rsidRPr="00AD3886">
                              <w:rPr>
                                <w:rFonts w:ascii="Century Gothic" w:hAnsi="Century Gothic"/>
                                <w:b/>
                                <w:sz w:val="18"/>
                                <w:szCs w:val="18"/>
                              </w:rPr>
                              <w:tab/>
                              <w:t>………………………...</w:t>
                            </w:r>
                          </w:p>
                          <w:p w14:paraId="048CC63A" w14:textId="77777777" w:rsidR="003766E7" w:rsidRPr="00AD3886" w:rsidRDefault="003766E7" w:rsidP="003766E7">
                            <w:pPr>
                              <w:rPr>
                                <w:rFonts w:ascii="Century Gothic" w:hAnsi="Century Gothic"/>
                                <w:b/>
                                <w:sz w:val="18"/>
                                <w:szCs w:val="18"/>
                              </w:rPr>
                            </w:pPr>
                            <w:r>
                              <w:rPr>
                                <w:rFonts w:ascii="Century Gothic" w:hAnsi="Century Gothic"/>
                                <w:b/>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sidRPr="00AD3886">
                              <w:rPr>
                                <w:rFonts w:ascii="Century Gothic" w:hAnsi="Century Gothic"/>
                                <w:b/>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6A639" id="_x0000_t202" coordsize="21600,21600" o:spt="202" path="m,l,21600r21600,l21600,xe">
                <v:stroke joinstyle="miter"/>
                <v:path gradientshapeok="t" o:connecttype="rect"/>
              </v:shapetype>
              <v:shape id="Text Box 3" o:spid="_x0000_s1026" type="#_x0000_t202" style="position:absolute;margin-left:34.8pt;margin-top:2.85pt;width:282.75pt;height:1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">
                <v:textbox>
                  <w:txbxContent>
                    <w:p w14:paraId="12012A65" w14:textId="58DF6754"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(1)</w:t>
                      </w:r>
                      <w:r w:rsidRPr="004B0651">
                        <w:rPr>
                          <w:rFonts w:ascii="Century Gothic" w:hAnsi="Century Gothic"/>
                          <w:sz w:val="20"/>
                          <w:szCs w:val="20"/>
                        </w:rPr>
                        <w:tab/>
                      </w:r>
                      <w:r w:rsidR="003766E7" w:rsidRPr="004B0651">
                        <w:rPr>
                          <w:rFonts w:ascii="Century Gothic" w:hAnsi="Century Gothic"/>
                          <w:sz w:val="20"/>
                          <w:szCs w:val="20"/>
                        </w:rPr>
                        <w:t>REPORTABLE:  NO</w:t>
                      </w:r>
                    </w:p>
                    <w:p w14:paraId="51C41821" w14:textId="1F27E741"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(2)</w:t>
                      </w:r>
                      <w:r w:rsidRPr="004B0651">
                        <w:rPr>
                          <w:rFonts w:ascii="Century Gothic" w:hAnsi="Century Gothic"/>
                          <w:sz w:val="20"/>
                          <w:szCs w:val="20"/>
                        </w:rPr>
                        <w:tab/>
                      </w:r>
                      <w:r w:rsidR="003766E7" w:rsidRPr="004B0651">
                        <w:rPr>
                          <w:rFonts w:ascii="Century Gothic" w:hAnsi="Century Gothic"/>
                          <w:sz w:val="20"/>
                          <w:szCs w:val="20"/>
                        </w:rPr>
                        <w:t>OF INTEREST TO OTHER JUDGES: NO</w:t>
                      </w:r>
                    </w:p>
                    <w:p w14:paraId="6ADE8B5B" w14:textId="302F3C45" w:rsidR="003766E7" w:rsidRPr="004B0651" w:rsidRDefault="00424122" w:rsidP="00424122">
                      <w:pPr>
                        <w:tabs>
                          <w:tab w:val="left" w:pos="900"/>
                        </w:tabs>
                        <w:spacing w:after="0" w:line="240" w:lineRule="auto"/>
                        <w:ind w:left="900" w:hanging="720"/>
                        <w:rPr>
                          <w:rFonts w:ascii="Century Gothic" w:hAnsi="Century Gothic"/>
                          <w:sz w:val="20"/>
                          <w:szCs w:val="20"/>
                        </w:rPr>
                      </w:pPr>
                      <w:r w:rsidRPr="004B0651">
                        <w:rPr>
                          <w:rFonts w:ascii="Century Gothic" w:hAnsi="Century Gothic"/>
                          <w:sz w:val="20"/>
                          <w:szCs w:val="20"/>
                        </w:rPr>
                        <w:t>(3)</w:t>
                      </w:r>
                      <w:r w:rsidRPr="004B0651">
                        <w:rPr>
                          <w:rFonts w:ascii="Century Gothic" w:hAnsi="Century Gothic"/>
                          <w:sz w:val="20"/>
                          <w:szCs w:val="20"/>
                        </w:rPr>
                        <w:tab/>
                      </w:r>
                      <w:r w:rsidR="003766E7" w:rsidRPr="004B0651">
                        <w:rPr>
                          <w:rFonts w:ascii="Century Gothic" w:hAnsi="Century Gothic"/>
                          <w:sz w:val="20"/>
                          <w:szCs w:val="20"/>
                        </w:rPr>
                        <w:t xml:space="preserve">REVISED. </w:t>
                      </w:r>
                    </w:p>
                    <w:p w14:paraId="736A9991" w14:textId="77777777" w:rsidR="00DC4D81" w:rsidRDefault="00DC4D81" w:rsidP="003766E7">
                      <w:pPr>
                        <w:rPr>
                          <w:rFonts w:ascii="Century Gothic" w:hAnsi="Century Gothic"/>
                          <w:b/>
                          <w:sz w:val="18"/>
                          <w:szCs w:val="18"/>
                        </w:rPr>
                      </w:pPr>
                    </w:p>
                    <w:p w14:paraId="04097F22" w14:textId="32B20B5C" w:rsidR="003766E7" w:rsidRDefault="002F6105" w:rsidP="003766E7">
                      <w:pPr>
                        <w:rPr>
                          <w:rFonts w:ascii="Century Gothic" w:hAnsi="Century Gothic"/>
                          <w:b/>
                          <w:sz w:val="18"/>
                          <w:szCs w:val="18"/>
                        </w:rPr>
                      </w:pPr>
                      <w:r>
                        <w:rPr>
                          <w:rFonts w:ascii="Century Gothic" w:hAnsi="Century Gothic"/>
                          <w:b/>
                          <w:sz w:val="18"/>
                          <w:szCs w:val="18"/>
                        </w:rPr>
                        <w:t>16</w:t>
                      </w:r>
                      <w:r w:rsidR="003766E7">
                        <w:rPr>
                          <w:rFonts w:ascii="Century Gothic" w:hAnsi="Century Gothic"/>
                          <w:b/>
                          <w:sz w:val="18"/>
                          <w:szCs w:val="18"/>
                        </w:rPr>
                        <w:t>/01/2023</w:t>
                      </w:r>
                      <w:r w:rsidR="003766E7">
                        <w:rPr>
                          <w:rFonts w:ascii="Century Gothic" w:hAnsi="Century Gothic"/>
                          <w:b/>
                          <w:sz w:val="18"/>
                          <w:szCs w:val="18"/>
                        </w:rPr>
                        <w:tab/>
                      </w:r>
                      <w:r w:rsidR="003766E7">
                        <w:rPr>
                          <w:rFonts w:ascii="Century Gothic" w:hAnsi="Century Gothic"/>
                          <w:b/>
                          <w:sz w:val="18"/>
                          <w:szCs w:val="18"/>
                        </w:rPr>
                        <w:tab/>
                      </w:r>
                    </w:p>
                    <w:p w14:paraId="7B5EF292" w14:textId="77777777" w:rsidR="003766E7" w:rsidRPr="00AD3886" w:rsidRDefault="003766E7" w:rsidP="003766E7">
                      <w:pPr>
                        <w:rPr>
                          <w:rFonts w:ascii="Century Gothic" w:hAnsi="Century Gothic"/>
                          <w:b/>
                          <w:sz w:val="18"/>
                          <w:szCs w:val="18"/>
                        </w:rPr>
                      </w:pPr>
                      <w:r w:rsidRPr="00AD3886">
                        <w:rPr>
                          <w:rFonts w:ascii="Century Gothic" w:hAnsi="Century Gothic"/>
                          <w:b/>
                          <w:sz w:val="18"/>
                          <w:szCs w:val="18"/>
                        </w:rPr>
                        <w:t>………</w:t>
                      </w:r>
                      <w:r>
                        <w:rPr>
                          <w:rFonts w:ascii="Century Gothic" w:hAnsi="Century Gothic"/>
                          <w:b/>
                          <w:sz w:val="18"/>
                          <w:szCs w:val="18"/>
                        </w:rPr>
                        <w:t>……….</w:t>
                      </w:r>
                      <w:r w:rsidRPr="00AD3886">
                        <w:rPr>
                          <w:rFonts w:ascii="Century Gothic" w:hAnsi="Century Gothic"/>
                          <w:b/>
                          <w:sz w:val="18"/>
                          <w:szCs w:val="18"/>
                        </w:rPr>
                        <w:t>………..</w:t>
                      </w:r>
                      <w:r w:rsidRPr="00AD3886">
                        <w:rPr>
                          <w:rFonts w:ascii="Century Gothic" w:hAnsi="Century Gothic"/>
                          <w:b/>
                          <w:sz w:val="18"/>
                          <w:szCs w:val="18"/>
                        </w:rPr>
                        <w:tab/>
                      </w:r>
                      <w:r w:rsidRPr="00AD3886">
                        <w:rPr>
                          <w:rFonts w:ascii="Century Gothic" w:hAnsi="Century Gothic"/>
                          <w:b/>
                          <w:sz w:val="18"/>
                          <w:szCs w:val="18"/>
                        </w:rPr>
                        <w:tab/>
                        <w:t>………………………...</w:t>
                      </w:r>
                    </w:p>
                    <w:p w14:paraId="048CC63A" w14:textId="77777777" w:rsidR="003766E7" w:rsidRPr="00AD3886" w:rsidRDefault="003766E7" w:rsidP="003766E7">
                      <w:pPr>
                        <w:rPr>
                          <w:rFonts w:ascii="Century Gothic" w:hAnsi="Century Gothic"/>
                          <w:b/>
                          <w:sz w:val="18"/>
                          <w:szCs w:val="18"/>
                        </w:rPr>
                      </w:pPr>
                      <w:r>
                        <w:rPr>
                          <w:rFonts w:ascii="Century Gothic" w:hAnsi="Century Gothic"/>
                          <w:b/>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sidRPr="00AD3886">
                        <w:rPr>
                          <w:rFonts w:ascii="Century Gothic" w:hAnsi="Century Gothic"/>
                          <w:b/>
                          <w:sz w:val="18"/>
                          <w:szCs w:val="18"/>
                        </w:rPr>
                        <w:t xml:space="preserve">        SIGNATURE</w:t>
                      </w:r>
                    </w:p>
                  </w:txbxContent>
                </v:textbox>
              </v:shape>
            </w:pict>
          </mc:Fallback>
        </mc:AlternateContent>
      </w:r>
    </w:p>
    <w:p w14:paraId="59A0995A" w14:textId="77777777" w:rsidR="003766E7" w:rsidRDefault="003766E7" w:rsidP="00F6166D">
      <w:pPr>
        <w:ind w:right="-144"/>
        <w:rPr>
          <w:rFonts w:ascii="Arial" w:hAnsi="Arial" w:cs="Arial"/>
          <w:sz w:val="24"/>
          <w:szCs w:val="24"/>
        </w:rPr>
      </w:pPr>
    </w:p>
    <w:p w14:paraId="7B4C9C54" w14:textId="66938C5A" w:rsidR="003766E7" w:rsidRDefault="003766E7" w:rsidP="00F6166D">
      <w:pPr>
        <w:ind w:right="-144"/>
        <w:rPr>
          <w:rFonts w:ascii="Arial" w:hAnsi="Arial" w:cs="Arial"/>
          <w:sz w:val="24"/>
          <w:szCs w:val="24"/>
        </w:rPr>
      </w:pPr>
    </w:p>
    <w:p w14:paraId="4BCF4B71" w14:textId="77777777" w:rsidR="003766E7" w:rsidRDefault="003766E7" w:rsidP="00F6166D">
      <w:pPr>
        <w:ind w:right="-144"/>
        <w:rPr>
          <w:rFonts w:ascii="Arial" w:hAnsi="Arial" w:cs="Arial"/>
          <w:sz w:val="24"/>
          <w:szCs w:val="24"/>
        </w:rPr>
      </w:pPr>
    </w:p>
    <w:p w14:paraId="06045914" w14:textId="77777777" w:rsidR="003766E7" w:rsidRDefault="003766E7" w:rsidP="00F6166D">
      <w:pPr>
        <w:ind w:right="-144"/>
        <w:rPr>
          <w:rFonts w:ascii="Arial" w:hAnsi="Arial" w:cs="Arial"/>
          <w:sz w:val="24"/>
          <w:szCs w:val="24"/>
        </w:rPr>
      </w:pPr>
    </w:p>
    <w:p w14:paraId="5DCE10E8" w14:textId="77777777" w:rsidR="003766E7" w:rsidRDefault="003766E7" w:rsidP="00F6166D">
      <w:pPr>
        <w:ind w:right="-144"/>
        <w:rPr>
          <w:rFonts w:ascii="Arial" w:hAnsi="Arial" w:cs="Arial"/>
          <w:sz w:val="24"/>
          <w:szCs w:val="24"/>
        </w:rPr>
      </w:pPr>
    </w:p>
    <w:p w14:paraId="00AED036" w14:textId="77777777" w:rsidR="00DC4D81" w:rsidRDefault="00DC4D81" w:rsidP="00F6166D">
      <w:pPr>
        <w:ind w:right="-144"/>
        <w:rPr>
          <w:rFonts w:ascii="Arial" w:hAnsi="Arial" w:cs="Arial"/>
          <w:sz w:val="24"/>
          <w:szCs w:val="24"/>
        </w:rPr>
      </w:pPr>
    </w:p>
    <w:p w14:paraId="0F7F86E5" w14:textId="19D7A3AC" w:rsidR="00502160" w:rsidRPr="008443EF" w:rsidRDefault="00502160" w:rsidP="00F6166D">
      <w:pPr>
        <w:ind w:right="-144"/>
        <w:rPr>
          <w:rFonts w:ascii="Arial" w:hAnsi="Arial" w:cs="Arial"/>
          <w:sz w:val="24"/>
          <w:szCs w:val="24"/>
        </w:rPr>
      </w:pPr>
      <w:r w:rsidRPr="008443EF">
        <w:rPr>
          <w:rFonts w:ascii="Arial" w:hAnsi="Arial" w:cs="Arial"/>
          <w:sz w:val="24"/>
          <w:szCs w:val="24"/>
        </w:rPr>
        <w:t>In the matter between:</w:t>
      </w:r>
    </w:p>
    <w:p w14:paraId="2A66A961" w14:textId="77777777" w:rsidR="00502160" w:rsidRPr="008443EF" w:rsidRDefault="00502160" w:rsidP="00F6166D">
      <w:pPr>
        <w:ind w:right="-144"/>
        <w:rPr>
          <w:rFonts w:ascii="Arial" w:hAnsi="Arial" w:cs="Arial"/>
          <w:sz w:val="24"/>
          <w:szCs w:val="24"/>
        </w:rPr>
      </w:pPr>
    </w:p>
    <w:p w14:paraId="3F7CABD4" w14:textId="0388CBF7" w:rsidR="00502160" w:rsidRPr="008443EF" w:rsidRDefault="00035C41" w:rsidP="00F6166D">
      <w:pPr>
        <w:ind w:left="6480" w:right="-144" w:hanging="6480"/>
        <w:rPr>
          <w:rFonts w:ascii="Arial" w:hAnsi="Arial" w:cs="Arial"/>
          <w:sz w:val="24"/>
          <w:szCs w:val="24"/>
        </w:rPr>
      </w:pPr>
      <w:r w:rsidRPr="008443EF">
        <w:rPr>
          <w:rFonts w:ascii="Arial" w:hAnsi="Arial" w:cs="Arial"/>
          <w:b/>
          <w:sz w:val="24"/>
          <w:szCs w:val="24"/>
        </w:rPr>
        <w:t>PRETORIA FM NPC</w:t>
      </w:r>
      <w:r w:rsidR="00502160" w:rsidRPr="008443EF">
        <w:rPr>
          <w:rFonts w:ascii="Arial" w:hAnsi="Arial" w:cs="Arial"/>
          <w:sz w:val="24"/>
          <w:szCs w:val="24"/>
        </w:rPr>
        <w:tab/>
      </w:r>
      <w:r w:rsidRPr="008443EF">
        <w:rPr>
          <w:rFonts w:ascii="Arial" w:hAnsi="Arial" w:cs="Arial"/>
          <w:sz w:val="24"/>
          <w:szCs w:val="24"/>
        </w:rPr>
        <w:tab/>
      </w:r>
      <w:r w:rsidR="00502160" w:rsidRPr="008443EF">
        <w:rPr>
          <w:rFonts w:ascii="Arial" w:hAnsi="Arial" w:cs="Arial"/>
          <w:sz w:val="24"/>
          <w:szCs w:val="24"/>
        </w:rPr>
        <w:t>Applicant</w:t>
      </w:r>
    </w:p>
    <w:p w14:paraId="2CD8C9B2" w14:textId="77777777" w:rsidR="00502160" w:rsidRPr="008443EF" w:rsidRDefault="00502160" w:rsidP="00364DF8">
      <w:pPr>
        <w:ind w:hanging="6480"/>
        <w:rPr>
          <w:rFonts w:ascii="Arial" w:hAnsi="Arial" w:cs="Arial"/>
          <w:sz w:val="24"/>
          <w:szCs w:val="24"/>
        </w:rPr>
      </w:pPr>
    </w:p>
    <w:p w14:paraId="13BE77CD" w14:textId="77777777" w:rsidR="00502160" w:rsidRPr="008443EF" w:rsidRDefault="00502160" w:rsidP="00F6166D">
      <w:pPr>
        <w:ind w:left="6480" w:right="-144" w:hanging="6480"/>
        <w:rPr>
          <w:rFonts w:ascii="Arial" w:hAnsi="Arial" w:cs="Arial"/>
          <w:sz w:val="24"/>
          <w:szCs w:val="24"/>
        </w:rPr>
      </w:pPr>
      <w:r w:rsidRPr="008443EF">
        <w:rPr>
          <w:rFonts w:ascii="Arial" w:hAnsi="Arial" w:cs="Arial"/>
          <w:sz w:val="24"/>
          <w:szCs w:val="24"/>
        </w:rPr>
        <w:t>and</w:t>
      </w:r>
    </w:p>
    <w:p w14:paraId="0D06A78D" w14:textId="77777777" w:rsidR="00502160" w:rsidRPr="008443EF" w:rsidRDefault="00502160" w:rsidP="00364DF8">
      <w:pPr>
        <w:ind w:hanging="6480"/>
        <w:rPr>
          <w:rFonts w:ascii="Arial" w:hAnsi="Arial" w:cs="Arial"/>
          <w:sz w:val="24"/>
          <w:szCs w:val="24"/>
        </w:rPr>
      </w:pPr>
    </w:p>
    <w:p w14:paraId="4371414E" w14:textId="77777777" w:rsidR="00836FE5" w:rsidRPr="008443EF" w:rsidRDefault="00035C41" w:rsidP="00F6166D">
      <w:pPr>
        <w:ind w:left="6480" w:right="-144" w:hanging="6480"/>
        <w:rPr>
          <w:rFonts w:ascii="Arial" w:hAnsi="Arial" w:cs="Arial"/>
          <w:b/>
          <w:sz w:val="24"/>
          <w:szCs w:val="24"/>
        </w:rPr>
      </w:pPr>
      <w:r w:rsidRPr="008443EF">
        <w:rPr>
          <w:rFonts w:ascii="Arial" w:hAnsi="Arial" w:cs="Arial"/>
          <w:b/>
          <w:sz w:val="24"/>
          <w:szCs w:val="24"/>
        </w:rPr>
        <w:t>THE CHAIRMAN OF THE INDEPENDENT</w:t>
      </w:r>
    </w:p>
    <w:p w14:paraId="535688EA" w14:textId="7D691FAF" w:rsidR="00502160" w:rsidRPr="008443EF" w:rsidRDefault="00035C41" w:rsidP="00F6166D">
      <w:pPr>
        <w:ind w:left="6480" w:right="-144" w:hanging="6480"/>
        <w:rPr>
          <w:rFonts w:ascii="Arial" w:hAnsi="Arial" w:cs="Arial"/>
          <w:sz w:val="24"/>
          <w:szCs w:val="24"/>
        </w:rPr>
      </w:pPr>
      <w:r w:rsidRPr="008443EF">
        <w:rPr>
          <w:rFonts w:ascii="Arial" w:hAnsi="Arial" w:cs="Arial"/>
          <w:b/>
          <w:sz w:val="24"/>
          <w:szCs w:val="24"/>
        </w:rPr>
        <w:t>COMMUNICATIONS</w:t>
      </w:r>
      <w:r w:rsidR="00836FE5" w:rsidRPr="008443EF">
        <w:rPr>
          <w:rFonts w:ascii="Arial" w:hAnsi="Arial" w:cs="Arial"/>
          <w:b/>
          <w:sz w:val="24"/>
          <w:szCs w:val="24"/>
        </w:rPr>
        <w:t xml:space="preserve"> </w:t>
      </w:r>
      <w:r w:rsidRPr="008443EF">
        <w:rPr>
          <w:rFonts w:ascii="Arial" w:hAnsi="Arial" w:cs="Arial"/>
          <w:b/>
          <w:sz w:val="24"/>
          <w:szCs w:val="24"/>
        </w:rPr>
        <w:t>AUTHORITY OF SOUTH AFRICA</w:t>
      </w:r>
      <w:r w:rsidR="00836FE5" w:rsidRPr="008443EF">
        <w:rPr>
          <w:rFonts w:ascii="Arial" w:hAnsi="Arial" w:cs="Arial"/>
          <w:b/>
          <w:sz w:val="24"/>
          <w:szCs w:val="24"/>
        </w:rPr>
        <w:tab/>
      </w:r>
      <w:r w:rsidR="00836FE5" w:rsidRPr="008443EF">
        <w:rPr>
          <w:rFonts w:ascii="Arial" w:hAnsi="Arial" w:cs="Arial"/>
          <w:b/>
          <w:sz w:val="24"/>
          <w:szCs w:val="24"/>
        </w:rPr>
        <w:tab/>
      </w:r>
      <w:r w:rsidRPr="008443EF">
        <w:rPr>
          <w:rFonts w:ascii="Arial" w:hAnsi="Arial" w:cs="Arial"/>
          <w:sz w:val="24"/>
          <w:szCs w:val="24"/>
        </w:rPr>
        <w:t>Respondent</w:t>
      </w:r>
    </w:p>
    <w:p w14:paraId="44D51B09" w14:textId="77777777" w:rsidR="00502160" w:rsidRPr="008443EF" w:rsidRDefault="00502160" w:rsidP="00223FF1">
      <w:pPr>
        <w:spacing w:line="240" w:lineRule="auto"/>
        <w:ind w:left="6480" w:right="-144" w:hanging="6480"/>
        <w:rPr>
          <w:rFonts w:ascii="Arial" w:hAnsi="Arial" w:cs="Arial"/>
          <w:sz w:val="24"/>
          <w:szCs w:val="24"/>
        </w:rPr>
      </w:pPr>
    </w:p>
    <w:p w14:paraId="76C2B3B6" w14:textId="77777777" w:rsidR="00223FF1" w:rsidRPr="008443EF" w:rsidRDefault="00223FF1" w:rsidP="00223FF1">
      <w:pPr>
        <w:pBdr>
          <w:top w:val="single" w:sz="12" w:space="1" w:color="auto"/>
          <w:bottom w:val="single" w:sz="12" w:space="1" w:color="auto"/>
        </w:pBdr>
        <w:spacing w:line="240" w:lineRule="auto"/>
        <w:ind w:left="6480" w:right="-144" w:hanging="6480"/>
        <w:jc w:val="center"/>
        <w:rPr>
          <w:rFonts w:ascii="Arial" w:hAnsi="Arial" w:cs="Arial"/>
          <w:b/>
          <w:sz w:val="24"/>
          <w:szCs w:val="24"/>
        </w:rPr>
      </w:pPr>
    </w:p>
    <w:p w14:paraId="3E7B0F39" w14:textId="6B8967C6" w:rsidR="00502160" w:rsidRPr="008443EF" w:rsidRDefault="00502160" w:rsidP="00223FF1">
      <w:pPr>
        <w:pBdr>
          <w:top w:val="single" w:sz="12" w:space="1" w:color="auto"/>
          <w:bottom w:val="single" w:sz="12" w:space="1" w:color="auto"/>
        </w:pBdr>
        <w:spacing w:line="240" w:lineRule="auto"/>
        <w:ind w:left="6480" w:right="-144" w:hanging="6480"/>
        <w:jc w:val="center"/>
        <w:rPr>
          <w:rFonts w:ascii="Arial" w:hAnsi="Arial" w:cs="Arial"/>
          <w:b/>
          <w:sz w:val="24"/>
          <w:szCs w:val="24"/>
        </w:rPr>
      </w:pPr>
      <w:r w:rsidRPr="008443EF">
        <w:rPr>
          <w:rFonts w:ascii="Arial" w:hAnsi="Arial" w:cs="Arial"/>
          <w:b/>
          <w:sz w:val="24"/>
          <w:szCs w:val="24"/>
        </w:rPr>
        <w:t>JUDGMENT</w:t>
      </w:r>
    </w:p>
    <w:p w14:paraId="115F02AE" w14:textId="77777777" w:rsidR="00223FF1" w:rsidRPr="008443EF" w:rsidRDefault="00223FF1" w:rsidP="00223FF1">
      <w:pPr>
        <w:pBdr>
          <w:top w:val="single" w:sz="12" w:space="1" w:color="auto"/>
          <w:bottom w:val="single" w:sz="12" w:space="1" w:color="auto"/>
        </w:pBdr>
        <w:spacing w:line="240" w:lineRule="auto"/>
        <w:ind w:left="6480" w:right="-144" w:hanging="6480"/>
        <w:jc w:val="center"/>
        <w:rPr>
          <w:rFonts w:ascii="Arial" w:hAnsi="Arial" w:cs="Arial"/>
          <w:b/>
          <w:sz w:val="24"/>
          <w:szCs w:val="24"/>
        </w:rPr>
      </w:pPr>
    </w:p>
    <w:p w14:paraId="31D2904A" w14:textId="77777777" w:rsidR="009E3E3C" w:rsidRPr="008443EF" w:rsidRDefault="009E3E3C" w:rsidP="00223FF1">
      <w:pPr>
        <w:spacing w:line="240" w:lineRule="auto"/>
        <w:ind w:hanging="6480"/>
        <w:rPr>
          <w:rFonts w:ascii="Arial" w:hAnsi="Arial" w:cs="Arial"/>
          <w:b/>
          <w:sz w:val="24"/>
          <w:szCs w:val="24"/>
          <w:u w:val="single"/>
        </w:rPr>
      </w:pPr>
    </w:p>
    <w:p w14:paraId="35FE43BA" w14:textId="1ACFD2B1" w:rsidR="00502160" w:rsidRPr="008443EF" w:rsidRDefault="00502160" w:rsidP="00836FE5">
      <w:pPr>
        <w:spacing w:line="480" w:lineRule="auto"/>
        <w:ind w:left="6480" w:right="-144" w:hanging="6480"/>
        <w:rPr>
          <w:rFonts w:ascii="Arial" w:hAnsi="Arial" w:cs="Arial"/>
          <w:b/>
          <w:sz w:val="24"/>
          <w:szCs w:val="24"/>
          <w:u w:val="single"/>
        </w:rPr>
      </w:pPr>
      <w:r w:rsidRPr="008443EF">
        <w:rPr>
          <w:rFonts w:ascii="Arial" w:hAnsi="Arial" w:cs="Arial"/>
          <w:b/>
          <w:sz w:val="24"/>
          <w:szCs w:val="24"/>
          <w:u w:val="single"/>
        </w:rPr>
        <w:lastRenderedPageBreak/>
        <w:t>MNGQIBISA-THUSI J</w:t>
      </w:r>
    </w:p>
    <w:p w14:paraId="7678F9A1" w14:textId="77777777" w:rsidR="00502160" w:rsidRPr="008443EF" w:rsidRDefault="00502160" w:rsidP="00AA6670">
      <w:pPr>
        <w:spacing w:line="360" w:lineRule="auto"/>
        <w:ind w:left="6480" w:right="-144" w:hanging="6480"/>
        <w:rPr>
          <w:rFonts w:ascii="Arial" w:hAnsi="Arial" w:cs="Arial"/>
          <w:sz w:val="24"/>
          <w:szCs w:val="24"/>
        </w:rPr>
      </w:pPr>
    </w:p>
    <w:p w14:paraId="20FCDB5B" w14:textId="5C11C13E" w:rsidR="002E51D0"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w:t>
      </w:r>
      <w:r w:rsidRPr="008443EF">
        <w:rPr>
          <w:rFonts w:ascii="Arial" w:hAnsi="Arial" w:cs="Arial"/>
          <w:sz w:val="24"/>
          <w:szCs w:val="24"/>
        </w:rPr>
        <w:tab/>
      </w:r>
      <w:r w:rsidR="00836FE5" w:rsidRPr="00424122">
        <w:rPr>
          <w:rFonts w:ascii="Arial" w:hAnsi="Arial" w:cs="Arial"/>
          <w:sz w:val="24"/>
          <w:szCs w:val="24"/>
        </w:rPr>
        <w:t>In Part A of its application, t</w:t>
      </w:r>
      <w:r w:rsidR="002E51D0" w:rsidRPr="00424122">
        <w:rPr>
          <w:rFonts w:ascii="Arial" w:hAnsi="Arial" w:cs="Arial"/>
          <w:sz w:val="24"/>
          <w:szCs w:val="24"/>
        </w:rPr>
        <w:t xml:space="preserve">he </w:t>
      </w:r>
      <w:r w:rsidR="001A40F8" w:rsidRPr="00424122">
        <w:rPr>
          <w:rFonts w:ascii="Arial" w:hAnsi="Arial" w:cs="Arial"/>
          <w:sz w:val="24"/>
          <w:szCs w:val="24"/>
        </w:rPr>
        <w:t>a</w:t>
      </w:r>
      <w:r w:rsidR="00A31711" w:rsidRPr="00424122">
        <w:rPr>
          <w:rFonts w:ascii="Arial" w:hAnsi="Arial" w:cs="Arial"/>
          <w:sz w:val="24"/>
          <w:szCs w:val="24"/>
        </w:rPr>
        <w:t>pplicant</w:t>
      </w:r>
      <w:r w:rsidR="002E51D0" w:rsidRPr="00424122">
        <w:rPr>
          <w:rFonts w:ascii="Arial" w:hAnsi="Arial" w:cs="Arial"/>
          <w:sz w:val="24"/>
          <w:szCs w:val="24"/>
        </w:rPr>
        <w:t xml:space="preserve">, </w:t>
      </w:r>
      <w:r w:rsidR="001A40F8" w:rsidRPr="00424122">
        <w:rPr>
          <w:rFonts w:ascii="Arial" w:hAnsi="Arial" w:cs="Arial"/>
          <w:sz w:val="24"/>
          <w:szCs w:val="24"/>
        </w:rPr>
        <w:t xml:space="preserve">Pretoria FM NPC, </w:t>
      </w:r>
      <w:r w:rsidR="002E51D0" w:rsidRPr="00424122">
        <w:rPr>
          <w:rFonts w:ascii="Arial" w:hAnsi="Arial" w:cs="Arial"/>
          <w:sz w:val="24"/>
          <w:szCs w:val="24"/>
        </w:rPr>
        <w:t xml:space="preserve">seeks </w:t>
      </w:r>
      <w:r w:rsidR="00AA792C" w:rsidRPr="00424122">
        <w:rPr>
          <w:rFonts w:ascii="Arial" w:hAnsi="Arial" w:cs="Arial"/>
          <w:sz w:val="24"/>
          <w:szCs w:val="24"/>
        </w:rPr>
        <w:t xml:space="preserve">on an urgent basis, </w:t>
      </w:r>
      <w:r w:rsidR="001A40F8" w:rsidRPr="00424122">
        <w:rPr>
          <w:rFonts w:ascii="Arial" w:hAnsi="Arial" w:cs="Arial"/>
          <w:sz w:val="24"/>
          <w:szCs w:val="24"/>
        </w:rPr>
        <w:t xml:space="preserve">an interim </w:t>
      </w:r>
      <w:r w:rsidR="007E5336" w:rsidRPr="00424122">
        <w:rPr>
          <w:rFonts w:ascii="Arial" w:hAnsi="Arial" w:cs="Arial"/>
          <w:sz w:val="24"/>
          <w:szCs w:val="24"/>
        </w:rPr>
        <w:t>order</w:t>
      </w:r>
      <w:r w:rsidR="001A40F8" w:rsidRPr="00424122">
        <w:rPr>
          <w:rFonts w:ascii="Arial" w:hAnsi="Arial" w:cs="Arial"/>
          <w:sz w:val="24"/>
          <w:szCs w:val="24"/>
        </w:rPr>
        <w:t xml:space="preserve"> against the respondent, the Chairman of the Independent Communications Authority of South Africa</w:t>
      </w:r>
      <w:r w:rsidR="00836FE5" w:rsidRPr="00424122">
        <w:rPr>
          <w:rFonts w:ascii="Arial" w:hAnsi="Arial" w:cs="Arial"/>
          <w:sz w:val="24"/>
          <w:szCs w:val="24"/>
        </w:rPr>
        <w:t xml:space="preserve"> (“ICASA”), restraining and interdicting the respondent from considering pre-registration applications for prospective community and sound broadcasting services and radio frequencies as advertised </w:t>
      </w:r>
      <w:r w:rsidR="00511891" w:rsidRPr="00424122">
        <w:rPr>
          <w:rFonts w:ascii="Arial" w:hAnsi="Arial" w:cs="Arial"/>
          <w:sz w:val="24"/>
          <w:szCs w:val="24"/>
        </w:rPr>
        <w:t>on 15 December 2021, pending the determination of Part B of the application.</w:t>
      </w:r>
    </w:p>
    <w:p w14:paraId="57D296FA" w14:textId="77777777" w:rsidR="00511891" w:rsidRPr="008443EF" w:rsidRDefault="00511891" w:rsidP="00511891">
      <w:pPr>
        <w:pStyle w:val="ListParagraph"/>
        <w:spacing w:line="360" w:lineRule="auto"/>
        <w:ind w:left="0" w:right="-144"/>
        <w:jc w:val="both"/>
        <w:rPr>
          <w:rFonts w:ascii="Arial" w:hAnsi="Arial" w:cs="Arial"/>
          <w:sz w:val="24"/>
          <w:szCs w:val="24"/>
        </w:rPr>
      </w:pPr>
    </w:p>
    <w:p w14:paraId="11208261" w14:textId="21A22BAA" w:rsidR="00511891"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[2]</w:t>
      </w:r>
      <w:r w:rsidRPr="008443EF">
        <w:rPr>
          <w:rFonts w:ascii="Arial" w:hAnsi="Arial" w:cs="Arial"/>
          <w:sz w:val="24"/>
          <w:szCs w:val="24"/>
        </w:rPr>
        <w:tab/>
      </w:r>
      <w:r w:rsidR="00511891" w:rsidRPr="00424122">
        <w:rPr>
          <w:rFonts w:ascii="Arial" w:hAnsi="Arial" w:cs="Arial"/>
          <w:sz w:val="24"/>
          <w:szCs w:val="24"/>
        </w:rPr>
        <w:t>In Part B of the application the applicant seeks an order reviewing and setting aside the respondent’s decision of 18 November 20</w:t>
      </w:r>
      <w:r w:rsidR="006C3970" w:rsidRPr="00424122">
        <w:rPr>
          <w:rFonts w:ascii="Arial" w:hAnsi="Arial" w:cs="Arial"/>
          <w:sz w:val="24"/>
          <w:szCs w:val="24"/>
        </w:rPr>
        <w:t>22</w:t>
      </w:r>
      <w:r w:rsidR="00511891" w:rsidRPr="00424122">
        <w:rPr>
          <w:rFonts w:ascii="Arial" w:hAnsi="Arial" w:cs="Arial"/>
          <w:sz w:val="24"/>
          <w:szCs w:val="24"/>
        </w:rPr>
        <w:t>, disqualifying</w:t>
      </w:r>
      <w:r w:rsidR="006C3970" w:rsidRPr="00424122">
        <w:rPr>
          <w:rFonts w:ascii="Arial" w:hAnsi="Arial" w:cs="Arial"/>
          <w:sz w:val="24"/>
          <w:szCs w:val="24"/>
        </w:rPr>
        <w:t>, amongst others,</w:t>
      </w:r>
      <w:r w:rsidR="00511891" w:rsidRPr="00424122">
        <w:rPr>
          <w:rFonts w:ascii="Arial" w:hAnsi="Arial" w:cs="Arial"/>
          <w:sz w:val="24"/>
          <w:szCs w:val="24"/>
        </w:rPr>
        <w:t xml:space="preserve"> the applicant’s 1</w:t>
      </w:r>
      <w:r w:rsidR="007E7C06" w:rsidRPr="00424122">
        <w:rPr>
          <w:rFonts w:ascii="Arial" w:hAnsi="Arial" w:cs="Arial"/>
          <w:sz w:val="24"/>
          <w:szCs w:val="24"/>
        </w:rPr>
        <w:t>7</w:t>
      </w:r>
      <w:r w:rsidR="00511891" w:rsidRPr="00424122">
        <w:rPr>
          <w:rFonts w:ascii="Arial" w:hAnsi="Arial" w:cs="Arial"/>
          <w:sz w:val="24"/>
          <w:szCs w:val="24"/>
        </w:rPr>
        <w:t xml:space="preserve"> applications for radio licences</w:t>
      </w:r>
      <w:r w:rsidR="006B638B" w:rsidRPr="00424122">
        <w:rPr>
          <w:rFonts w:ascii="Arial" w:hAnsi="Arial" w:cs="Arial"/>
          <w:sz w:val="24"/>
          <w:szCs w:val="24"/>
        </w:rPr>
        <w:t>, and other ancillary relief</w:t>
      </w:r>
      <w:r w:rsidR="00511891" w:rsidRPr="00424122">
        <w:rPr>
          <w:rFonts w:ascii="Arial" w:hAnsi="Arial" w:cs="Arial"/>
          <w:sz w:val="24"/>
          <w:szCs w:val="24"/>
        </w:rPr>
        <w:t>.</w:t>
      </w:r>
    </w:p>
    <w:p w14:paraId="0EDCDB62" w14:textId="77777777" w:rsidR="006B638B" w:rsidRPr="008443EF" w:rsidRDefault="006B638B" w:rsidP="006B638B">
      <w:pPr>
        <w:pStyle w:val="ListParagraph"/>
        <w:rPr>
          <w:rFonts w:ascii="Arial" w:hAnsi="Arial" w:cs="Arial"/>
          <w:sz w:val="24"/>
          <w:szCs w:val="24"/>
        </w:rPr>
      </w:pPr>
    </w:p>
    <w:p w14:paraId="4013F26F" w14:textId="339922F9" w:rsidR="006B638B"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[3]</w:t>
      </w:r>
      <w:r w:rsidRPr="008443EF">
        <w:rPr>
          <w:rFonts w:ascii="Arial" w:hAnsi="Arial" w:cs="Arial"/>
          <w:sz w:val="24"/>
          <w:szCs w:val="24"/>
        </w:rPr>
        <w:tab/>
      </w:r>
      <w:r w:rsidR="006B638B" w:rsidRPr="00424122">
        <w:rPr>
          <w:rFonts w:ascii="Arial" w:hAnsi="Arial" w:cs="Arial"/>
          <w:sz w:val="24"/>
          <w:szCs w:val="24"/>
        </w:rPr>
        <w:t>The applicant grounds its application for the review and setting aside of the decision of 18 November 2022 on the following grounds:</w:t>
      </w:r>
    </w:p>
    <w:p w14:paraId="671771CE" w14:textId="77777777" w:rsidR="006B638B" w:rsidRPr="008443EF" w:rsidRDefault="006B638B" w:rsidP="006B638B">
      <w:pPr>
        <w:pStyle w:val="ListParagraph"/>
        <w:rPr>
          <w:rFonts w:ascii="Arial" w:hAnsi="Arial" w:cs="Arial"/>
          <w:sz w:val="24"/>
          <w:szCs w:val="24"/>
        </w:rPr>
      </w:pPr>
    </w:p>
    <w:p w14:paraId="0337E923" w14:textId="77777777" w:rsidR="000962B0" w:rsidRDefault="006B638B" w:rsidP="006B638B">
      <w:pPr>
        <w:pStyle w:val="ListParagraph"/>
        <w:spacing w:line="480" w:lineRule="auto"/>
        <w:ind w:left="1440" w:right="-144" w:hanging="720"/>
        <w:jc w:val="both"/>
        <w:rPr>
          <w:rFonts w:ascii="Arial" w:hAnsi="Arial" w:cs="Arial"/>
          <w:sz w:val="24"/>
          <w:szCs w:val="24"/>
        </w:rPr>
      </w:pPr>
      <w:r w:rsidRPr="008443EF">
        <w:rPr>
          <w:rFonts w:ascii="Arial" w:hAnsi="Arial" w:cs="Arial"/>
          <w:sz w:val="24"/>
          <w:szCs w:val="24"/>
        </w:rPr>
        <w:t>3.1</w:t>
      </w:r>
      <w:r w:rsidRPr="008443EF">
        <w:rPr>
          <w:rFonts w:ascii="Arial" w:hAnsi="Arial" w:cs="Arial"/>
          <w:sz w:val="24"/>
          <w:szCs w:val="24"/>
        </w:rPr>
        <w:tab/>
        <w:t>that ICASA’s decision is materially influenced by an error of law;</w:t>
      </w:r>
    </w:p>
    <w:p w14:paraId="00233C10" w14:textId="211DB854" w:rsidR="006B638B" w:rsidRPr="008443EF" w:rsidRDefault="000962B0" w:rsidP="006B638B">
      <w:pPr>
        <w:pStyle w:val="ListParagraph"/>
        <w:spacing w:line="480" w:lineRule="auto"/>
        <w:ind w:left="1440" w:right="-144"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067EB">
        <w:rPr>
          <w:rFonts w:ascii="Arial" w:hAnsi="Arial" w:cs="Arial"/>
          <w:sz w:val="24"/>
          <w:szCs w:val="24"/>
        </w:rPr>
        <w:t xml:space="preserve">that </w:t>
      </w:r>
      <w:r w:rsidR="006B638B" w:rsidRPr="008443EF">
        <w:rPr>
          <w:rFonts w:ascii="Arial" w:hAnsi="Arial" w:cs="Arial"/>
          <w:sz w:val="24"/>
          <w:szCs w:val="24"/>
        </w:rPr>
        <w:t>the impugned decision was irrational and unreasonable;</w:t>
      </w:r>
    </w:p>
    <w:p w14:paraId="39594D04" w14:textId="1EAD1916" w:rsidR="00F95279" w:rsidRPr="008443EF" w:rsidRDefault="000962B0" w:rsidP="006B638B">
      <w:pPr>
        <w:pStyle w:val="ListParagraph"/>
        <w:spacing w:line="480" w:lineRule="auto"/>
        <w:ind w:left="1440" w:right="-144" w:hanging="720"/>
        <w:jc w:val="both"/>
        <w:rPr>
          <w:rFonts w:ascii="Arial" w:hAnsi="Arial" w:cs="Arial"/>
          <w:sz w:val="24"/>
          <w:szCs w:val="24"/>
        </w:rPr>
      </w:pPr>
      <w:r>
        <w:rPr>
          <w:rFonts w:ascii="Arial" w:hAnsi="Arial" w:cs="Arial"/>
          <w:sz w:val="24"/>
          <w:szCs w:val="24"/>
        </w:rPr>
        <w:t>3.3</w:t>
      </w:r>
      <w:r w:rsidR="006B638B" w:rsidRPr="008443EF">
        <w:rPr>
          <w:rFonts w:ascii="Arial" w:hAnsi="Arial" w:cs="Arial"/>
          <w:sz w:val="24"/>
          <w:szCs w:val="24"/>
        </w:rPr>
        <w:tab/>
        <w:t>that the decision is not rationally connected to the information that served before it</w:t>
      </w:r>
      <w:r w:rsidR="00F95279" w:rsidRPr="008443EF">
        <w:rPr>
          <w:rFonts w:ascii="Arial" w:hAnsi="Arial" w:cs="Arial"/>
          <w:sz w:val="24"/>
          <w:szCs w:val="24"/>
        </w:rPr>
        <w:t>; and</w:t>
      </w:r>
    </w:p>
    <w:p w14:paraId="06432916" w14:textId="212D6798" w:rsidR="006B638B" w:rsidRPr="008443EF" w:rsidRDefault="000962B0" w:rsidP="006B638B">
      <w:pPr>
        <w:pStyle w:val="ListParagraph"/>
        <w:spacing w:line="480" w:lineRule="auto"/>
        <w:ind w:left="1440" w:right="-144" w:hanging="720"/>
        <w:jc w:val="both"/>
        <w:rPr>
          <w:rFonts w:ascii="Arial" w:hAnsi="Arial" w:cs="Arial"/>
          <w:sz w:val="24"/>
          <w:szCs w:val="24"/>
        </w:rPr>
      </w:pPr>
      <w:r>
        <w:rPr>
          <w:rFonts w:ascii="Arial" w:hAnsi="Arial" w:cs="Arial"/>
          <w:sz w:val="24"/>
          <w:szCs w:val="24"/>
        </w:rPr>
        <w:t>3.4</w:t>
      </w:r>
      <w:r w:rsidR="00F95279" w:rsidRPr="008443EF">
        <w:rPr>
          <w:rFonts w:ascii="Arial" w:hAnsi="Arial" w:cs="Arial"/>
          <w:sz w:val="24"/>
          <w:szCs w:val="24"/>
        </w:rPr>
        <w:tab/>
        <w:t xml:space="preserve">that </w:t>
      </w:r>
      <w:r w:rsidR="006B638B" w:rsidRPr="008443EF">
        <w:rPr>
          <w:rFonts w:ascii="Arial" w:hAnsi="Arial" w:cs="Arial"/>
          <w:sz w:val="24"/>
          <w:szCs w:val="24"/>
        </w:rPr>
        <w:t xml:space="preserve">ICASA took into account irrelevant considerations and failed to consider relevant considerations. </w:t>
      </w:r>
    </w:p>
    <w:p w14:paraId="5C08013C" w14:textId="77777777" w:rsidR="00511891" w:rsidRPr="008443EF" w:rsidRDefault="00511891" w:rsidP="00500C1E">
      <w:pPr>
        <w:pStyle w:val="ListParagraph"/>
        <w:spacing w:line="360" w:lineRule="auto"/>
        <w:ind w:left="0"/>
        <w:rPr>
          <w:rFonts w:ascii="Arial" w:hAnsi="Arial" w:cs="Arial"/>
          <w:sz w:val="24"/>
          <w:szCs w:val="24"/>
        </w:rPr>
      </w:pPr>
    </w:p>
    <w:p w14:paraId="5E0AF3D3" w14:textId="13560B10" w:rsidR="00511891"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[4]</w:t>
      </w:r>
      <w:r w:rsidRPr="008443EF">
        <w:rPr>
          <w:rFonts w:ascii="Arial" w:hAnsi="Arial" w:cs="Arial"/>
          <w:sz w:val="24"/>
          <w:szCs w:val="24"/>
        </w:rPr>
        <w:tab/>
      </w:r>
      <w:r w:rsidR="00511891" w:rsidRPr="00424122">
        <w:rPr>
          <w:rFonts w:ascii="Arial" w:hAnsi="Arial" w:cs="Arial"/>
          <w:sz w:val="24"/>
          <w:szCs w:val="24"/>
        </w:rPr>
        <w:t>These proceedings relate to Part A of the application.</w:t>
      </w:r>
    </w:p>
    <w:p w14:paraId="3F3D0890" w14:textId="77777777" w:rsidR="007E5336" w:rsidRPr="008443EF" w:rsidRDefault="007E5336" w:rsidP="007E5336">
      <w:pPr>
        <w:pStyle w:val="ListParagraph"/>
        <w:rPr>
          <w:rFonts w:ascii="Arial" w:hAnsi="Arial" w:cs="Arial"/>
          <w:sz w:val="24"/>
          <w:szCs w:val="24"/>
        </w:rPr>
      </w:pPr>
    </w:p>
    <w:p w14:paraId="700CF729" w14:textId="21007FB7" w:rsidR="007E5336"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[5]</w:t>
      </w:r>
      <w:r w:rsidRPr="008443EF">
        <w:rPr>
          <w:rFonts w:ascii="Arial" w:hAnsi="Arial" w:cs="Arial"/>
          <w:sz w:val="24"/>
          <w:szCs w:val="24"/>
        </w:rPr>
        <w:tab/>
      </w:r>
      <w:r w:rsidR="007E5336" w:rsidRPr="00424122">
        <w:rPr>
          <w:rFonts w:ascii="Arial" w:hAnsi="Arial" w:cs="Arial"/>
          <w:sz w:val="24"/>
          <w:szCs w:val="24"/>
        </w:rPr>
        <w:t>The respondent is of the view that the matter is not urgent and should be struck of the roll with costs.</w:t>
      </w:r>
    </w:p>
    <w:p w14:paraId="2404FC36" w14:textId="77777777" w:rsidR="007E5336" w:rsidRPr="008443EF" w:rsidRDefault="007E5336" w:rsidP="007E5336">
      <w:pPr>
        <w:pStyle w:val="ListParagraph"/>
        <w:rPr>
          <w:rFonts w:ascii="Arial" w:hAnsi="Arial" w:cs="Arial"/>
          <w:sz w:val="24"/>
          <w:szCs w:val="24"/>
        </w:rPr>
      </w:pPr>
    </w:p>
    <w:p w14:paraId="7FA69ADC" w14:textId="6C06D34B" w:rsidR="006C3970" w:rsidRPr="00424122" w:rsidRDefault="00424122" w:rsidP="00424122">
      <w:pPr>
        <w:spacing w:line="480" w:lineRule="auto"/>
        <w:ind w:right="-144"/>
        <w:jc w:val="both"/>
        <w:rPr>
          <w:rFonts w:ascii="Arial" w:hAnsi="Arial" w:cs="Arial"/>
          <w:sz w:val="24"/>
          <w:szCs w:val="24"/>
        </w:rPr>
      </w:pPr>
      <w:r w:rsidRPr="005067EB">
        <w:rPr>
          <w:rFonts w:ascii="Arial" w:hAnsi="Arial" w:cs="Arial"/>
          <w:sz w:val="24"/>
          <w:szCs w:val="24"/>
        </w:rPr>
        <w:t>[6]</w:t>
      </w:r>
      <w:r w:rsidRPr="005067EB">
        <w:rPr>
          <w:rFonts w:ascii="Arial" w:hAnsi="Arial" w:cs="Arial"/>
          <w:sz w:val="24"/>
          <w:szCs w:val="24"/>
        </w:rPr>
        <w:tab/>
      </w:r>
      <w:r w:rsidR="007E5336" w:rsidRPr="00424122">
        <w:rPr>
          <w:rFonts w:ascii="Arial" w:hAnsi="Arial" w:cs="Arial"/>
          <w:sz w:val="24"/>
          <w:szCs w:val="24"/>
        </w:rPr>
        <w:t xml:space="preserve">On 15 December 2021 </w:t>
      </w:r>
      <w:r w:rsidR="005067EB" w:rsidRPr="00424122">
        <w:rPr>
          <w:rFonts w:ascii="Arial" w:hAnsi="Arial" w:cs="Arial"/>
          <w:sz w:val="24"/>
          <w:szCs w:val="24"/>
        </w:rPr>
        <w:t>ICASA</w:t>
      </w:r>
      <w:r w:rsidR="007E5336" w:rsidRPr="00424122">
        <w:rPr>
          <w:rFonts w:ascii="Arial" w:hAnsi="Arial" w:cs="Arial"/>
          <w:sz w:val="24"/>
          <w:szCs w:val="24"/>
        </w:rPr>
        <w:t xml:space="preserve"> advertised an invitation in the Government Gazette Number 45650, under Government Notice 728 (“the ITP-R</w:t>
      </w:r>
      <w:r w:rsidR="005067EB" w:rsidRPr="00424122">
        <w:rPr>
          <w:rFonts w:ascii="Arial" w:hAnsi="Arial" w:cs="Arial"/>
          <w:sz w:val="24"/>
          <w:szCs w:val="24"/>
        </w:rPr>
        <w:t xml:space="preserve"> invitation</w:t>
      </w:r>
      <w:r w:rsidR="007E5336" w:rsidRPr="00424122">
        <w:rPr>
          <w:rFonts w:ascii="Arial" w:hAnsi="Arial" w:cs="Arial"/>
          <w:sz w:val="24"/>
          <w:szCs w:val="24"/>
        </w:rPr>
        <w:t xml:space="preserve">”) for applications </w:t>
      </w:r>
      <w:r w:rsidR="006C3970" w:rsidRPr="00424122">
        <w:rPr>
          <w:rFonts w:ascii="Arial" w:hAnsi="Arial" w:cs="Arial"/>
          <w:sz w:val="24"/>
          <w:szCs w:val="24"/>
        </w:rPr>
        <w:t>to pre-register for community sound broadcasting services and radio frequency spectrum, with a closing date of 30 June 2022.</w:t>
      </w:r>
    </w:p>
    <w:p w14:paraId="75854815" w14:textId="77777777" w:rsidR="00552D93" w:rsidRPr="008443EF" w:rsidRDefault="00552D93" w:rsidP="004C445D">
      <w:pPr>
        <w:pStyle w:val="ListParagraph"/>
        <w:spacing w:line="360" w:lineRule="auto"/>
        <w:ind w:left="0" w:right="-144"/>
        <w:jc w:val="both"/>
        <w:rPr>
          <w:rFonts w:ascii="Arial" w:hAnsi="Arial" w:cs="Arial"/>
          <w:sz w:val="24"/>
          <w:szCs w:val="24"/>
        </w:rPr>
      </w:pPr>
    </w:p>
    <w:p w14:paraId="679EC4FE" w14:textId="19E9442F" w:rsidR="00552D93"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[7]</w:t>
      </w:r>
      <w:r w:rsidRPr="008443EF">
        <w:rPr>
          <w:rFonts w:ascii="Arial" w:hAnsi="Arial" w:cs="Arial"/>
          <w:sz w:val="24"/>
          <w:szCs w:val="24"/>
        </w:rPr>
        <w:tab/>
      </w:r>
      <w:r w:rsidR="005067EB" w:rsidRPr="00424122">
        <w:rPr>
          <w:rFonts w:ascii="Arial" w:hAnsi="Arial" w:cs="Arial"/>
          <w:sz w:val="24"/>
          <w:szCs w:val="24"/>
        </w:rPr>
        <w:t xml:space="preserve">The </w:t>
      </w:r>
      <w:r w:rsidR="00552D93" w:rsidRPr="00424122">
        <w:rPr>
          <w:rFonts w:ascii="Arial" w:hAnsi="Arial" w:cs="Arial"/>
          <w:sz w:val="24"/>
          <w:szCs w:val="24"/>
        </w:rPr>
        <w:t>ITP-R</w:t>
      </w:r>
      <w:r w:rsidR="005067EB" w:rsidRPr="00424122">
        <w:rPr>
          <w:rFonts w:ascii="Arial" w:hAnsi="Arial" w:cs="Arial"/>
          <w:sz w:val="24"/>
          <w:szCs w:val="24"/>
        </w:rPr>
        <w:t xml:space="preserve"> invitation set-out, </w:t>
      </w:r>
      <w:r w:rsidR="005067EB" w:rsidRPr="00424122">
        <w:rPr>
          <w:rFonts w:ascii="Arial" w:hAnsi="Arial" w:cs="Arial"/>
          <w:i/>
          <w:sz w:val="24"/>
          <w:szCs w:val="24"/>
        </w:rPr>
        <w:t>inter alia</w:t>
      </w:r>
      <w:r w:rsidR="005067EB" w:rsidRPr="00424122">
        <w:rPr>
          <w:rFonts w:ascii="Arial" w:hAnsi="Arial" w:cs="Arial"/>
          <w:sz w:val="24"/>
          <w:szCs w:val="24"/>
        </w:rPr>
        <w:t>, the</w:t>
      </w:r>
      <w:r w:rsidR="00552D93" w:rsidRPr="00424122">
        <w:rPr>
          <w:rFonts w:ascii="Arial" w:hAnsi="Arial" w:cs="Arial"/>
          <w:sz w:val="24"/>
          <w:szCs w:val="24"/>
        </w:rPr>
        <w:t xml:space="preserve"> </w:t>
      </w:r>
      <w:r w:rsidR="005067EB" w:rsidRPr="00424122">
        <w:rPr>
          <w:rFonts w:ascii="Arial" w:hAnsi="Arial" w:cs="Arial"/>
          <w:sz w:val="24"/>
          <w:szCs w:val="24"/>
        </w:rPr>
        <w:t xml:space="preserve">following </w:t>
      </w:r>
      <w:r w:rsidR="00552D93" w:rsidRPr="00424122">
        <w:rPr>
          <w:rFonts w:ascii="Arial" w:hAnsi="Arial" w:cs="Arial"/>
          <w:sz w:val="24"/>
          <w:szCs w:val="24"/>
        </w:rPr>
        <w:t>prescribed conditions in order for an application to pass the pre-registration threshold:</w:t>
      </w:r>
    </w:p>
    <w:p w14:paraId="50F82C46" w14:textId="77777777" w:rsidR="00552D93" w:rsidRPr="008443EF" w:rsidRDefault="00552D93" w:rsidP="00552D93">
      <w:pPr>
        <w:pStyle w:val="ListParagraph"/>
        <w:spacing w:line="360" w:lineRule="auto"/>
        <w:ind w:left="0" w:right="-144"/>
        <w:jc w:val="both"/>
        <w:rPr>
          <w:rFonts w:ascii="Arial" w:hAnsi="Arial" w:cs="Arial"/>
          <w:sz w:val="24"/>
          <w:szCs w:val="24"/>
        </w:rPr>
      </w:pPr>
    </w:p>
    <w:p w14:paraId="5BC7633A" w14:textId="2D41BD9C" w:rsidR="00552D93" w:rsidRPr="008443EF" w:rsidRDefault="005067EB" w:rsidP="00552D93">
      <w:pPr>
        <w:pStyle w:val="ListParagraph"/>
        <w:spacing w:line="480" w:lineRule="auto"/>
        <w:ind w:left="1440" w:right="-144" w:hanging="720"/>
        <w:jc w:val="both"/>
        <w:rPr>
          <w:rFonts w:ascii="Arial" w:hAnsi="Arial" w:cs="Arial"/>
          <w:sz w:val="24"/>
          <w:szCs w:val="24"/>
        </w:rPr>
      </w:pPr>
      <w:r>
        <w:rPr>
          <w:rFonts w:ascii="Arial" w:hAnsi="Arial" w:cs="Arial"/>
          <w:sz w:val="24"/>
          <w:szCs w:val="24"/>
        </w:rPr>
        <w:t>7</w:t>
      </w:r>
      <w:r w:rsidR="00552D93" w:rsidRPr="008443EF">
        <w:rPr>
          <w:rFonts w:ascii="Arial" w:hAnsi="Arial" w:cs="Arial"/>
          <w:sz w:val="24"/>
          <w:szCs w:val="24"/>
        </w:rPr>
        <w:t>.1</w:t>
      </w:r>
      <w:r w:rsidR="00552D93" w:rsidRPr="008443EF">
        <w:rPr>
          <w:rFonts w:ascii="Arial" w:hAnsi="Arial" w:cs="Arial"/>
          <w:sz w:val="24"/>
          <w:szCs w:val="24"/>
        </w:rPr>
        <w:tab/>
        <w:t xml:space="preserve">that non-compliance with the provisions of the ECA, the ITP-R and/or any applicable regulations will result in the </w:t>
      </w:r>
      <w:r w:rsidR="000962B0" w:rsidRPr="008443EF">
        <w:rPr>
          <w:rFonts w:ascii="Arial" w:hAnsi="Arial" w:cs="Arial"/>
          <w:sz w:val="24"/>
          <w:szCs w:val="24"/>
        </w:rPr>
        <w:t>rejection of</w:t>
      </w:r>
      <w:r w:rsidR="00552D93" w:rsidRPr="008443EF">
        <w:rPr>
          <w:rFonts w:ascii="Arial" w:hAnsi="Arial" w:cs="Arial"/>
          <w:sz w:val="24"/>
          <w:szCs w:val="24"/>
        </w:rPr>
        <w:t xml:space="preserve"> the non-compliant pre-registration notice;</w:t>
      </w:r>
    </w:p>
    <w:p w14:paraId="0B369432" w14:textId="2A302CDB" w:rsidR="00552D93" w:rsidRPr="008443EF" w:rsidRDefault="005067EB" w:rsidP="00552D93">
      <w:pPr>
        <w:pStyle w:val="ListParagraph"/>
        <w:spacing w:line="480" w:lineRule="auto"/>
        <w:ind w:left="1440" w:right="-144" w:hanging="720"/>
        <w:jc w:val="both"/>
        <w:rPr>
          <w:rFonts w:ascii="Arial" w:hAnsi="Arial" w:cs="Arial"/>
          <w:sz w:val="24"/>
          <w:szCs w:val="24"/>
        </w:rPr>
      </w:pPr>
      <w:r>
        <w:rPr>
          <w:rFonts w:ascii="Arial" w:hAnsi="Arial" w:cs="Arial"/>
          <w:sz w:val="24"/>
          <w:szCs w:val="24"/>
        </w:rPr>
        <w:t>7</w:t>
      </w:r>
      <w:r w:rsidR="00552D93" w:rsidRPr="008443EF">
        <w:rPr>
          <w:rFonts w:ascii="Arial" w:hAnsi="Arial" w:cs="Arial"/>
          <w:sz w:val="24"/>
          <w:szCs w:val="24"/>
        </w:rPr>
        <w:t>.2</w:t>
      </w:r>
      <w:r w:rsidR="00552D93" w:rsidRPr="008443EF">
        <w:rPr>
          <w:rFonts w:ascii="Arial" w:hAnsi="Arial" w:cs="Arial"/>
          <w:sz w:val="24"/>
          <w:szCs w:val="24"/>
        </w:rPr>
        <w:tab/>
        <w:t>that every pre-registration notice must be accompanied by proof of payment of the non-refundable application fee of R4, 118.00, which payment must be made by an electronic funds transfer or via a direct deposit in the given bank account before the submission closing date and the time indicated.</w:t>
      </w:r>
    </w:p>
    <w:p w14:paraId="47DFF9C3" w14:textId="67BAF6A8" w:rsidR="00552D93" w:rsidRPr="008443EF" w:rsidRDefault="005067EB" w:rsidP="00552D93">
      <w:pPr>
        <w:pStyle w:val="ListParagraph"/>
        <w:spacing w:line="480" w:lineRule="auto"/>
        <w:ind w:left="1440" w:right="-144" w:hanging="720"/>
        <w:jc w:val="both"/>
        <w:rPr>
          <w:rFonts w:ascii="Arial" w:hAnsi="Arial" w:cs="Arial"/>
          <w:sz w:val="24"/>
          <w:szCs w:val="24"/>
        </w:rPr>
      </w:pPr>
      <w:r>
        <w:rPr>
          <w:rFonts w:ascii="Arial" w:hAnsi="Arial" w:cs="Arial"/>
          <w:sz w:val="24"/>
          <w:szCs w:val="24"/>
        </w:rPr>
        <w:t>7</w:t>
      </w:r>
      <w:r w:rsidR="00552D93" w:rsidRPr="008443EF">
        <w:rPr>
          <w:rFonts w:ascii="Arial" w:hAnsi="Arial" w:cs="Arial"/>
          <w:sz w:val="24"/>
          <w:szCs w:val="24"/>
        </w:rPr>
        <w:t>.3</w:t>
      </w:r>
      <w:r w:rsidR="00552D93" w:rsidRPr="008443EF">
        <w:rPr>
          <w:rFonts w:ascii="Arial" w:hAnsi="Arial" w:cs="Arial"/>
          <w:sz w:val="24"/>
          <w:szCs w:val="24"/>
        </w:rPr>
        <w:tab/>
        <w:t>that the closing date for the submission of pre-registration notices shall be 16h30 on 30 June 2022.</w:t>
      </w:r>
    </w:p>
    <w:p w14:paraId="767D7F22" w14:textId="77A3478A" w:rsidR="00552D93" w:rsidRPr="008443EF" w:rsidRDefault="005067EB" w:rsidP="00552D93">
      <w:pPr>
        <w:pStyle w:val="ListParagraph"/>
        <w:spacing w:line="480" w:lineRule="auto"/>
        <w:ind w:left="1440" w:right="-144" w:hanging="720"/>
        <w:jc w:val="both"/>
        <w:rPr>
          <w:rFonts w:ascii="Arial" w:hAnsi="Arial" w:cs="Arial"/>
          <w:sz w:val="24"/>
          <w:szCs w:val="24"/>
        </w:rPr>
      </w:pPr>
      <w:r>
        <w:rPr>
          <w:rFonts w:ascii="Arial" w:hAnsi="Arial" w:cs="Arial"/>
          <w:sz w:val="24"/>
          <w:szCs w:val="24"/>
        </w:rPr>
        <w:t>7</w:t>
      </w:r>
      <w:r w:rsidR="00552D93" w:rsidRPr="008443EF">
        <w:rPr>
          <w:rFonts w:ascii="Arial" w:hAnsi="Arial" w:cs="Arial"/>
          <w:sz w:val="24"/>
          <w:szCs w:val="24"/>
        </w:rPr>
        <w:t>.4</w:t>
      </w:r>
      <w:r w:rsidR="00552D93" w:rsidRPr="008443EF">
        <w:rPr>
          <w:rFonts w:ascii="Arial" w:hAnsi="Arial" w:cs="Arial"/>
          <w:sz w:val="24"/>
          <w:szCs w:val="24"/>
        </w:rPr>
        <w:tab/>
        <w:t>that ICASA reserves the right not to consider a pre-registration notice should an applicant not meet the requirements set out in the ITP-R or applicable legislation and regulations.</w:t>
      </w:r>
    </w:p>
    <w:p w14:paraId="47833EA0" w14:textId="77777777" w:rsidR="00552D93" w:rsidRPr="008443EF" w:rsidRDefault="00552D93" w:rsidP="00552D93">
      <w:pPr>
        <w:pStyle w:val="ListParagraph"/>
        <w:spacing w:line="360" w:lineRule="auto"/>
        <w:ind w:left="0" w:right="-144"/>
        <w:jc w:val="both"/>
        <w:rPr>
          <w:rFonts w:ascii="Arial" w:hAnsi="Arial" w:cs="Arial"/>
          <w:sz w:val="24"/>
          <w:szCs w:val="24"/>
        </w:rPr>
      </w:pPr>
    </w:p>
    <w:p w14:paraId="7196BDFF" w14:textId="081405C8" w:rsidR="006C3970" w:rsidRPr="00424122" w:rsidRDefault="00424122" w:rsidP="00424122">
      <w:pPr>
        <w:spacing w:line="480" w:lineRule="auto"/>
        <w:ind w:right="-144"/>
        <w:jc w:val="both"/>
        <w:rPr>
          <w:rFonts w:ascii="Arial" w:hAnsi="Arial" w:cs="Arial"/>
          <w:sz w:val="24"/>
          <w:szCs w:val="24"/>
        </w:rPr>
      </w:pPr>
      <w:r w:rsidRPr="005067EB">
        <w:rPr>
          <w:rFonts w:ascii="Arial" w:hAnsi="Arial" w:cs="Arial"/>
          <w:sz w:val="24"/>
          <w:szCs w:val="24"/>
        </w:rPr>
        <w:t>[8]</w:t>
      </w:r>
      <w:r w:rsidRPr="005067EB">
        <w:rPr>
          <w:rFonts w:ascii="Arial" w:hAnsi="Arial" w:cs="Arial"/>
          <w:sz w:val="24"/>
          <w:szCs w:val="24"/>
        </w:rPr>
        <w:tab/>
      </w:r>
      <w:r w:rsidR="005067EB" w:rsidRPr="00424122">
        <w:rPr>
          <w:rFonts w:ascii="Arial" w:hAnsi="Arial" w:cs="Arial"/>
          <w:sz w:val="24"/>
          <w:szCs w:val="24"/>
        </w:rPr>
        <w:t>ICASA</w:t>
      </w:r>
      <w:r w:rsidR="00552D93" w:rsidRPr="00424122">
        <w:rPr>
          <w:rFonts w:ascii="Arial" w:hAnsi="Arial" w:cs="Arial"/>
          <w:sz w:val="24"/>
          <w:szCs w:val="24"/>
        </w:rPr>
        <w:t xml:space="preserve"> received 105 pre-registration applications</w:t>
      </w:r>
      <w:r w:rsidR="005067EB" w:rsidRPr="00424122">
        <w:rPr>
          <w:rFonts w:ascii="Arial" w:hAnsi="Arial" w:cs="Arial"/>
          <w:sz w:val="24"/>
          <w:szCs w:val="24"/>
        </w:rPr>
        <w:t xml:space="preserve"> and </w:t>
      </w:r>
      <w:r w:rsidR="006C3970" w:rsidRPr="00424122">
        <w:rPr>
          <w:rFonts w:ascii="Arial" w:hAnsi="Arial" w:cs="Arial"/>
          <w:sz w:val="24"/>
          <w:szCs w:val="24"/>
        </w:rPr>
        <w:t>held workshops for Licensing Framework for Community Radio and Television Broadcasting Services</w:t>
      </w:r>
      <w:r w:rsidR="00C94DA5" w:rsidRPr="00424122">
        <w:rPr>
          <w:rFonts w:ascii="Arial" w:hAnsi="Arial" w:cs="Arial"/>
          <w:sz w:val="24"/>
          <w:szCs w:val="24"/>
        </w:rPr>
        <w:t xml:space="preserve"> </w:t>
      </w:r>
      <w:r w:rsidR="000962B0" w:rsidRPr="00424122">
        <w:rPr>
          <w:rFonts w:ascii="Arial" w:hAnsi="Arial" w:cs="Arial"/>
          <w:sz w:val="24"/>
          <w:szCs w:val="24"/>
        </w:rPr>
        <w:t>(on</w:t>
      </w:r>
      <w:r w:rsidR="00C94DA5" w:rsidRPr="00424122">
        <w:rPr>
          <w:rFonts w:ascii="Arial" w:hAnsi="Arial" w:cs="Arial"/>
          <w:sz w:val="24"/>
          <w:szCs w:val="24"/>
        </w:rPr>
        <w:t xml:space="preserve"> 16 and 17 February and 9 June 2022)</w:t>
      </w:r>
      <w:r w:rsidR="006C3970" w:rsidRPr="00424122">
        <w:rPr>
          <w:rFonts w:ascii="Arial" w:hAnsi="Arial" w:cs="Arial"/>
          <w:sz w:val="24"/>
          <w:szCs w:val="24"/>
        </w:rPr>
        <w:t>.</w:t>
      </w:r>
      <w:r w:rsidR="00F95279" w:rsidRPr="00424122">
        <w:rPr>
          <w:rFonts w:ascii="Arial" w:hAnsi="Arial" w:cs="Arial"/>
          <w:sz w:val="24"/>
          <w:szCs w:val="24"/>
        </w:rPr>
        <w:t xml:space="preserve">  During the workshops </w:t>
      </w:r>
      <w:r w:rsidR="00EB678B" w:rsidRPr="00424122">
        <w:rPr>
          <w:rFonts w:ascii="Arial" w:hAnsi="Arial" w:cs="Arial"/>
          <w:sz w:val="24"/>
          <w:szCs w:val="24"/>
        </w:rPr>
        <w:t>the ITP-R process was expla</w:t>
      </w:r>
      <w:r w:rsidR="00EC60BF" w:rsidRPr="00424122">
        <w:rPr>
          <w:rFonts w:ascii="Arial" w:hAnsi="Arial" w:cs="Arial"/>
          <w:sz w:val="24"/>
          <w:szCs w:val="24"/>
        </w:rPr>
        <w:t>i</w:t>
      </w:r>
      <w:r w:rsidR="00EB678B" w:rsidRPr="00424122">
        <w:rPr>
          <w:rFonts w:ascii="Arial" w:hAnsi="Arial" w:cs="Arial"/>
          <w:sz w:val="24"/>
          <w:szCs w:val="24"/>
        </w:rPr>
        <w:t>ned.</w:t>
      </w:r>
    </w:p>
    <w:p w14:paraId="0F393EB8" w14:textId="77777777" w:rsidR="006C3970" w:rsidRPr="008443EF" w:rsidRDefault="006C3970" w:rsidP="006C3970">
      <w:pPr>
        <w:pStyle w:val="ListParagraph"/>
        <w:rPr>
          <w:rFonts w:ascii="Arial" w:hAnsi="Arial" w:cs="Arial"/>
          <w:sz w:val="24"/>
          <w:szCs w:val="24"/>
        </w:rPr>
      </w:pPr>
    </w:p>
    <w:p w14:paraId="36C6D54A" w14:textId="522FA4BD" w:rsidR="005067EB"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[9]</w:t>
      </w:r>
      <w:r>
        <w:rPr>
          <w:rFonts w:ascii="Arial" w:hAnsi="Arial" w:cs="Arial"/>
          <w:sz w:val="24"/>
          <w:szCs w:val="24"/>
        </w:rPr>
        <w:tab/>
      </w:r>
      <w:r w:rsidR="006B638B" w:rsidRPr="00424122">
        <w:rPr>
          <w:rFonts w:ascii="Arial" w:hAnsi="Arial" w:cs="Arial"/>
          <w:sz w:val="24"/>
          <w:szCs w:val="24"/>
        </w:rPr>
        <w:t xml:space="preserve">On </w:t>
      </w:r>
      <w:r w:rsidR="00C94DA5" w:rsidRPr="00424122">
        <w:rPr>
          <w:rFonts w:ascii="Arial" w:hAnsi="Arial" w:cs="Arial"/>
          <w:sz w:val="24"/>
          <w:szCs w:val="24"/>
        </w:rPr>
        <w:t>9</w:t>
      </w:r>
      <w:r w:rsidR="00EC60BF" w:rsidRPr="00424122">
        <w:rPr>
          <w:rFonts w:ascii="Arial" w:hAnsi="Arial" w:cs="Arial"/>
          <w:sz w:val="24"/>
          <w:szCs w:val="24"/>
        </w:rPr>
        <w:t xml:space="preserve"> June 2022 the applicant (through </w:t>
      </w:r>
      <w:r w:rsidR="00D2394E" w:rsidRPr="00424122">
        <w:rPr>
          <w:rFonts w:ascii="Arial" w:hAnsi="Arial" w:cs="Arial"/>
          <w:sz w:val="24"/>
          <w:szCs w:val="24"/>
        </w:rPr>
        <w:t xml:space="preserve">Linda </w:t>
      </w:r>
      <w:r w:rsidR="00607711" w:rsidRPr="00424122">
        <w:rPr>
          <w:rFonts w:ascii="Arial" w:hAnsi="Arial" w:cs="Arial"/>
          <w:sz w:val="24"/>
          <w:szCs w:val="24"/>
        </w:rPr>
        <w:t>van Schalkwyk</w:t>
      </w:r>
      <w:r w:rsidR="00EC60BF" w:rsidRPr="00424122">
        <w:rPr>
          <w:rFonts w:ascii="Arial" w:hAnsi="Arial" w:cs="Arial"/>
          <w:sz w:val="24"/>
          <w:szCs w:val="24"/>
        </w:rPr>
        <w:t>) inquir</w:t>
      </w:r>
      <w:r w:rsidR="005067EB" w:rsidRPr="00424122">
        <w:rPr>
          <w:rFonts w:ascii="Arial" w:hAnsi="Arial" w:cs="Arial"/>
          <w:sz w:val="24"/>
          <w:szCs w:val="24"/>
        </w:rPr>
        <w:t>ed</w:t>
      </w:r>
      <w:r w:rsidR="00EC60BF" w:rsidRPr="00424122">
        <w:rPr>
          <w:rFonts w:ascii="Arial" w:hAnsi="Arial" w:cs="Arial"/>
          <w:sz w:val="24"/>
          <w:szCs w:val="24"/>
        </w:rPr>
        <w:t xml:space="preserve"> about the amount payable in respect of Frequency Spectrum Registration Fees </w:t>
      </w:r>
      <w:r w:rsidR="00C94DA5" w:rsidRPr="00424122">
        <w:rPr>
          <w:rFonts w:ascii="Arial" w:hAnsi="Arial" w:cs="Arial"/>
          <w:sz w:val="24"/>
          <w:szCs w:val="24"/>
        </w:rPr>
        <w:t xml:space="preserve">in relation </w:t>
      </w:r>
      <w:r w:rsidR="00607711" w:rsidRPr="00424122">
        <w:rPr>
          <w:rFonts w:ascii="Arial" w:hAnsi="Arial" w:cs="Arial"/>
          <w:sz w:val="24"/>
          <w:szCs w:val="24"/>
        </w:rPr>
        <w:t>to Form</w:t>
      </w:r>
      <w:r w:rsidR="00EC60BF" w:rsidRPr="00424122">
        <w:rPr>
          <w:rFonts w:ascii="Arial" w:hAnsi="Arial" w:cs="Arial"/>
          <w:sz w:val="24"/>
          <w:szCs w:val="24"/>
        </w:rPr>
        <w:t xml:space="preserve"> P.  On the same day Ms Bongiwe Shabane </w:t>
      </w:r>
      <w:r w:rsidR="005067EB" w:rsidRPr="00424122">
        <w:rPr>
          <w:rFonts w:ascii="Arial" w:hAnsi="Arial" w:cs="Arial"/>
          <w:sz w:val="24"/>
          <w:szCs w:val="24"/>
        </w:rPr>
        <w:t xml:space="preserve">of ICASA </w:t>
      </w:r>
      <w:r w:rsidR="00EC60BF" w:rsidRPr="00424122">
        <w:rPr>
          <w:rFonts w:ascii="Arial" w:hAnsi="Arial" w:cs="Arial"/>
          <w:sz w:val="24"/>
          <w:szCs w:val="24"/>
        </w:rPr>
        <w:t xml:space="preserve">responded </w:t>
      </w:r>
      <w:r w:rsidR="005067EB" w:rsidRPr="00424122">
        <w:rPr>
          <w:rFonts w:ascii="Arial" w:hAnsi="Arial" w:cs="Arial"/>
          <w:sz w:val="24"/>
          <w:szCs w:val="24"/>
        </w:rPr>
        <w:t xml:space="preserve">by sending </w:t>
      </w:r>
      <w:r w:rsidR="00D2394E" w:rsidRPr="00424122">
        <w:rPr>
          <w:rFonts w:ascii="Arial" w:hAnsi="Arial" w:cs="Arial"/>
          <w:sz w:val="24"/>
          <w:szCs w:val="24"/>
        </w:rPr>
        <w:t xml:space="preserve">van </w:t>
      </w:r>
      <w:r w:rsidR="00EC60BF" w:rsidRPr="00424122">
        <w:rPr>
          <w:rFonts w:ascii="Arial" w:hAnsi="Arial" w:cs="Arial"/>
          <w:sz w:val="24"/>
          <w:szCs w:val="24"/>
        </w:rPr>
        <w:t>Schalk</w:t>
      </w:r>
      <w:r w:rsidR="00D2394E" w:rsidRPr="00424122">
        <w:rPr>
          <w:rFonts w:ascii="Arial" w:hAnsi="Arial" w:cs="Arial"/>
          <w:sz w:val="24"/>
          <w:szCs w:val="24"/>
        </w:rPr>
        <w:t>wyk</w:t>
      </w:r>
      <w:r w:rsidR="005067EB" w:rsidRPr="00424122">
        <w:rPr>
          <w:rFonts w:ascii="Arial" w:hAnsi="Arial" w:cs="Arial"/>
          <w:sz w:val="24"/>
          <w:szCs w:val="24"/>
        </w:rPr>
        <w:t xml:space="preserve"> a schedule of the administrative fees.  </w:t>
      </w:r>
      <w:r w:rsidR="00EC60BF" w:rsidRPr="00424122">
        <w:rPr>
          <w:rFonts w:ascii="Arial" w:hAnsi="Arial" w:cs="Arial"/>
          <w:sz w:val="24"/>
          <w:szCs w:val="24"/>
        </w:rPr>
        <w:t>On 20 June 2022, Schalk</w:t>
      </w:r>
      <w:r w:rsidR="00D2394E" w:rsidRPr="00424122">
        <w:rPr>
          <w:rFonts w:ascii="Arial" w:hAnsi="Arial" w:cs="Arial"/>
          <w:sz w:val="24"/>
          <w:szCs w:val="24"/>
        </w:rPr>
        <w:t>wyk</w:t>
      </w:r>
      <w:r w:rsidR="005067EB" w:rsidRPr="00424122">
        <w:rPr>
          <w:rFonts w:ascii="Arial" w:hAnsi="Arial" w:cs="Arial"/>
          <w:sz w:val="24"/>
          <w:szCs w:val="24"/>
        </w:rPr>
        <w:t xml:space="preserve"> sought clarification about the Frequency Spectrum Registration Fee and ICASA responded by email stating that:</w:t>
      </w:r>
    </w:p>
    <w:p w14:paraId="596DF0D0" w14:textId="77777777" w:rsidR="005067EB" w:rsidRPr="005067EB" w:rsidRDefault="005067EB" w:rsidP="005067EB">
      <w:pPr>
        <w:pStyle w:val="ListParagraph"/>
        <w:spacing w:line="360" w:lineRule="auto"/>
        <w:rPr>
          <w:rFonts w:ascii="Arial" w:hAnsi="Arial" w:cs="Arial"/>
        </w:rPr>
      </w:pPr>
    </w:p>
    <w:p w14:paraId="23EF3117" w14:textId="00E06D95" w:rsidR="005067EB" w:rsidRPr="005067EB" w:rsidRDefault="005067EB" w:rsidP="005067EB">
      <w:pPr>
        <w:pStyle w:val="ListParagraph"/>
        <w:spacing w:line="360" w:lineRule="auto"/>
        <w:ind w:right="-144"/>
        <w:jc w:val="both"/>
        <w:rPr>
          <w:rFonts w:ascii="Arial" w:hAnsi="Arial" w:cs="Arial"/>
        </w:rPr>
      </w:pPr>
      <w:r w:rsidRPr="005067EB">
        <w:rPr>
          <w:rFonts w:ascii="Arial" w:hAnsi="Arial" w:cs="Arial"/>
        </w:rPr>
        <w:t>‘It is a flat rate as Class Licence application fees, amendments and renewals are R1,388.00.’</w:t>
      </w:r>
    </w:p>
    <w:p w14:paraId="2833CD83" w14:textId="77777777" w:rsidR="005067EB" w:rsidRPr="005067EB" w:rsidRDefault="005067EB" w:rsidP="00174CC1">
      <w:pPr>
        <w:pStyle w:val="ListParagraph"/>
        <w:spacing w:line="360" w:lineRule="auto"/>
        <w:rPr>
          <w:rFonts w:ascii="Arial" w:hAnsi="Arial" w:cs="Arial"/>
          <w:sz w:val="24"/>
          <w:szCs w:val="24"/>
        </w:rPr>
      </w:pPr>
    </w:p>
    <w:p w14:paraId="5617AB8D" w14:textId="1D055BB1" w:rsidR="00552D93" w:rsidRPr="00424122" w:rsidRDefault="00424122" w:rsidP="00424122">
      <w:pPr>
        <w:spacing w:line="480" w:lineRule="auto"/>
        <w:ind w:right="-144"/>
        <w:jc w:val="both"/>
        <w:rPr>
          <w:rFonts w:ascii="Arial" w:hAnsi="Arial" w:cs="Arial"/>
          <w:sz w:val="24"/>
          <w:szCs w:val="24"/>
        </w:rPr>
      </w:pPr>
      <w:r w:rsidRPr="00174CC1">
        <w:rPr>
          <w:rFonts w:ascii="Arial" w:hAnsi="Arial" w:cs="Arial"/>
          <w:sz w:val="24"/>
          <w:szCs w:val="24"/>
        </w:rPr>
        <w:t>[10]</w:t>
      </w:r>
      <w:r w:rsidRPr="00174CC1">
        <w:rPr>
          <w:rFonts w:ascii="Arial" w:hAnsi="Arial" w:cs="Arial"/>
          <w:sz w:val="24"/>
          <w:szCs w:val="24"/>
        </w:rPr>
        <w:tab/>
      </w:r>
      <w:r w:rsidR="00174CC1" w:rsidRPr="00424122">
        <w:rPr>
          <w:rFonts w:ascii="Arial" w:hAnsi="Arial" w:cs="Arial"/>
          <w:sz w:val="24"/>
          <w:szCs w:val="24"/>
        </w:rPr>
        <w:t>O</w:t>
      </w:r>
      <w:r w:rsidR="00552D93" w:rsidRPr="00424122">
        <w:rPr>
          <w:rFonts w:ascii="Arial" w:hAnsi="Arial" w:cs="Arial"/>
          <w:sz w:val="24"/>
          <w:szCs w:val="24"/>
        </w:rPr>
        <w:t xml:space="preserve">n 21 June 2022, </w:t>
      </w:r>
      <w:r w:rsidR="00A93CBB" w:rsidRPr="00424122">
        <w:rPr>
          <w:rFonts w:ascii="Arial" w:hAnsi="Arial" w:cs="Arial"/>
          <w:sz w:val="24"/>
          <w:szCs w:val="24"/>
        </w:rPr>
        <w:t xml:space="preserve">the applicant </w:t>
      </w:r>
      <w:r w:rsidR="00552D93" w:rsidRPr="00424122">
        <w:rPr>
          <w:rFonts w:ascii="Arial" w:hAnsi="Arial" w:cs="Arial"/>
          <w:sz w:val="24"/>
          <w:szCs w:val="24"/>
        </w:rPr>
        <w:t xml:space="preserve">paid the </w:t>
      </w:r>
      <w:r w:rsidR="00A93CBB" w:rsidRPr="00424122">
        <w:rPr>
          <w:rFonts w:ascii="Arial" w:hAnsi="Arial" w:cs="Arial"/>
          <w:sz w:val="24"/>
          <w:szCs w:val="24"/>
        </w:rPr>
        <w:t>amount of R</w:t>
      </w:r>
      <w:r w:rsidR="00552D93" w:rsidRPr="00424122">
        <w:rPr>
          <w:rFonts w:ascii="Arial" w:hAnsi="Arial" w:cs="Arial"/>
          <w:sz w:val="24"/>
          <w:szCs w:val="24"/>
        </w:rPr>
        <w:t xml:space="preserve">2,776.00 </w:t>
      </w:r>
      <w:r w:rsidR="00A93CBB" w:rsidRPr="00424122">
        <w:rPr>
          <w:rFonts w:ascii="Arial" w:hAnsi="Arial" w:cs="Arial"/>
          <w:sz w:val="24"/>
          <w:szCs w:val="24"/>
        </w:rPr>
        <w:t xml:space="preserve">for each of its </w:t>
      </w:r>
      <w:r w:rsidR="00552D93" w:rsidRPr="00424122">
        <w:rPr>
          <w:rFonts w:ascii="Arial" w:hAnsi="Arial" w:cs="Arial"/>
          <w:sz w:val="24"/>
          <w:szCs w:val="24"/>
        </w:rPr>
        <w:t xml:space="preserve">17 </w:t>
      </w:r>
      <w:r w:rsidR="00A93CBB" w:rsidRPr="00424122">
        <w:rPr>
          <w:rFonts w:ascii="Arial" w:hAnsi="Arial" w:cs="Arial"/>
          <w:sz w:val="24"/>
          <w:szCs w:val="24"/>
        </w:rPr>
        <w:t>applications.</w:t>
      </w:r>
    </w:p>
    <w:p w14:paraId="094EAD24" w14:textId="77777777" w:rsidR="00552D93" w:rsidRPr="008443EF" w:rsidRDefault="00552D93" w:rsidP="00552D93">
      <w:pPr>
        <w:pStyle w:val="ListParagraph"/>
        <w:rPr>
          <w:rFonts w:ascii="Arial" w:hAnsi="Arial" w:cs="Arial"/>
          <w:sz w:val="24"/>
          <w:szCs w:val="24"/>
        </w:rPr>
      </w:pPr>
    </w:p>
    <w:p w14:paraId="51DADE79" w14:textId="583A7130" w:rsidR="00A93CBB"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[11]</w:t>
      </w:r>
      <w:r w:rsidRPr="008443EF">
        <w:rPr>
          <w:rFonts w:ascii="Arial" w:hAnsi="Arial" w:cs="Arial"/>
          <w:sz w:val="24"/>
          <w:szCs w:val="24"/>
        </w:rPr>
        <w:tab/>
      </w:r>
      <w:r w:rsidR="00552D93" w:rsidRPr="00424122">
        <w:rPr>
          <w:rFonts w:ascii="Arial" w:hAnsi="Arial" w:cs="Arial"/>
          <w:sz w:val="24"/>
          <w:szCs w:val="24"/>
        </w:rPr>
        <w:t xml:space="preserve">On 18 November 2022, ICASA </w:t>
      </w:r>
      <w:r w:rsidR="00A93CBB" w:rsidRPr="00424122">
        <w:rPr>
          <w:rFonts w:ascii="Arial" w:hAnsi="Arial" w:cs="Arial"/>
          <w:sz w:val="24"/>
          <w:szCs w:val="24"/>
        </w:rPr>
        <w:t xml:space="preserve">disqualified all 17 applications of the applicant on the ground that it had failed to comply </w:t>
      </w:r>
      <w:r w:rsidR="00552D93" w:rsidRPr="00424122">
        <w:rPr>
          <w:rFonts w:ascii="Arial" w:hAnsi="Arial" w:cs="Arial"/>
          <w:sz w:val="24"/>
          <w:szCs w:val="24"/>
        </w:rPr>
        <w:t xml:space="preserve">with </w:t>
      </w:r>
      <w:r w:rsidR="00174CC1" w:rsidRPr="00424122">
        <w:rPr>
          <w:rFonts w:ascii="Arial" w:hAnsi="Arial" w:cs="Arial"/>
          <w:sz w:val="24"/>
          <w:szCs w:val="24"/>
        </w:rPr>
        <w:t xml:space="preserve">one of the pre-registration conditions </w:t>
      </w:r>
      <w:r w:rsidR="00A93CBB" w:rsidRPr="00424122">
        <w:rPr>
          <w:rFonts w:ascii="Arial" w:hAnsi="Arial" w:cs="Arial"/>
          <w:sz w:val="24"/>
          <w:szCs w:val="24"/>
        </w:rPr>
        <w:t xml:space="preserve">by failing to pay the full pre-registration amount of R4,118.00 for </w:t>
      </w:r>
      <w:r w:rsidR="00552D93" w:rsidRPr="00424122">
        <w:rPr>
          <w:rFonts w:ascii="Arial" w:hAnsi="Arial" w:cs="Arial"/>
          <w:sz w:val="24"/>
          <w:szCs w:val="24"/>
        </w:rPr>
        <w:t xml:space="preserve">each of </w:t>
      </w:r>
      <w:r w:rsidR="00A93CBB" w:rsidRPr="00424122">
        <w:rPr>
          <w:rFonts w:ascii="Arial" w:hAnsi="Arial" w:cs="Arial"/>
          <w:sz w:val="24"/>
          <w:szCs w:val="24"/>
        </w:rPr>
        <w:t>the applications submitted.</w:t>
      </w:r>
    </w:p>
    <w:p w14:paraId="51F766AE" w14:textId="77777777" w:rsidR="00552D93" w:rsidRPr="008443EF" w:rsidRDefault="00552D93" w:rsidP="00552D93">
      <w:pPr>
        <w:pStyle w:val="ListParagraph"/>
        <w:rPr>
          <w:rFonts w:ascii="Arial" w:hAnsi="Arial" w:cs="Arial"/>
          <w:sz w:val="24"/>
          <w:szCs w:val="24"/>
        </w:rPr>
      </w:pPr>
    </w:p>
    <w:p w14:paraId="3912EABB" w14:textId="0371B044" w:rsidR="00552D93"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[12]</w:t>
      </w:r>
      <w:r w:rsidRPr="008443EF">
        <w:rPr>
          <w:rFonts w:ascii="Arial" w:hAnsi="Arial" w:cs="Arial"/>
          <w:sz w:val="24"/>
          <w:szCs w:val="24"/>
        </w:rPr>
        <w:tab/>
      </w:r>
      <w:r w:rsidR="00552D93" w:rsidRPr="00424122">
        <w:rPr>
          <w:rFonts w:ascii="Arial" w:hAnsi="Arial" w:cs="Arial"/>
          <w:sz w:val="24"/>
          <w:szCs w:val="24"/>
        </w:rPr>
        <w:t xml:space="preserve">On the day that the applicant received correspondence from ICASA informing </w:t>
      </w:r>
      <w:r w:rsidR="00174CC1" w:rsidRPr="00424122">
        <w:rPr>
          <w:rFonts w:ascii="Arial" w:hAnsi="Arial" w:cs="Arial"/>
          <w:sz w:val="24"/>
          <w:szCs w:val="24"/>
        </w:rPr>
        <w:t xml:space="preserve">about </w:t>
      </w:r>
      <w:r w:rsidR="00552D93" w:rsidRPr="00424122">
        <w:rPr>
          <w:rFonts w:ascii="Arial" w:hAnsi="Arial" w:cs="Arial"/>
          <w:sz w:val="24"/>
          <w:szCs w:val="24"/>
        </w:rPr>
        <w:t xml:space="preserve">the disqualification of its applications, the applicant’s attorneys of record wrote a letter to ICASA in which it indicated, </w:t>
      </w:r>
      <w:r w:rsidR="00552D93" w:rsidRPr="00424122">
        <w:rPr>
          <w:rFonts w:ascii="Arial" w:hAnsi="Arial" w:cs="Arial"/>
          <w:i/>
          <w:sz w:val="24"/>
          <w:szCs w:val="24"/>
        </w:rPr>
        <w:t>inter alia</w:t>
      </w:r>
      <w:r w:rsidR="00552D93" w:rsidRPr="00424122">
        <w:rPr>
          <w:rFonts w:ascii="Arial" w:hAnsi="Arial" w:cs="Arial"/>
          <w:sz w:val="24"/>
          <w:szCs w:val="24"/>
        </w:rPr>
        <w:t>, that:</w:t>
      </w:r>
    </w:p>
    <w:p w14:paraId="5784F2E5" w14:textId="77777777" w:rsidR="00552D93" w:rsidRPr="008443EF" w:rsidRDefault="00552D93" w:rsidP="00552D93">
      <w:pPr>
        <w:pStyle w:val="ListParagraph"/>
        <w:rPr>
          <w:rFonts w:ascii="Arial" w:hAnsi="Arial" w:cs="Arial"/>
          <w:sz w:val="24"/>
          <w:szCs w:val="24"/>
        </w:rPr>
      </w:pPr>
    </w:p>
    <w:p w14:paraId="23B02615" w14:textId="212DE671" w:rsidR="0072425E" w:rsidRPr="008443EF" w:rsidRDefault="00174CC1" w:rsidP="00D2394E">
      <w:pPr>
        <w:pStyle w:val="ListParagraph"/>
        <w:spacing w:line="480" w:lineRule="auto"/>
        <w:ind w:left="1440" w:right="-144" w:hanging="720"/>
        <w:jc w:val="both"/>
        <w:rPr>
          <w:rFonts w:ascii="Arial" w:hAnsi="Arial" w:cs="Arial"/>
          <w:sz w:val="24"/>
          <w:szCs w:val="24"/>
        </w:rPr>
      </w:pPr>
      <w:r>
        <w:rPr>
          <w:rFonts w:ascii="Arial" w:hAnsi="Arial" w:cs="Arial"/>
          <w:sz w:val="24"/>
          <w:szCs w:val="24"/>
        </w:rPr>
        <w:t>12</w:t>
      </w:r>
      <w:r w:rsidR="00552D93" w:rsidRPr="008443EF">
        <w:rPr>
          <w:rFonts w:ascii="Arial" w:hAnsi="Arial" w:cs="Arial"/>
          <w:sz w:val="24"/>
          <w:szCs w:val="24"/>
        </w:rPr>
        <w:t>.1</w:t>
      </w:r>
      <w:r w:rsidR="00552D93" w:rsidRPr="008443EF">
        <w:rPr>
          <w:rFonts w:ascii="Arial" w:hAnsi="Arial" w:cs="Arial"/>
          <w:sz w:val="24"/>
          <w:szCs w:val="24"/>
        </w:rPr>
        <w:tab/>
        <w:t>the short-payments made by the applicant were immaterial and were mainly due to the applicant being misinformed by ICASA’s officials</w:t>
      </w:r>
      <w:r w:rsidR="008364C0" w:rsidRPr="008443EF">
        <w:rPr>
          <w:rFonts w:ascii="Arial" w:hAnsi="Arial" w:cs="Arial"/>
          <w:sz w:val="24"/>
          <w:szCs w:val="24"/>
        </w:rPr>
        <w:t xml:space="preserve">, which </w:t>
      </w:r>
      <w:r w:rsidR="008364C0" w:rsidRPr="008443EF">
        <w:rPr>
          <w:rFonts w:ascii="Arial" w:hAnsi="Arial" w:cs="Arial"/>
          <w:sz w:val="24"/>
          <w:szCs w:val="24"/>
        </w:rPr>
        <w:lastRenderedPageBreak/>
        <w:t>information was acted upon</w:t>
      </w:r>
      <w:r w:rsidR="00552D93" w:rsidRPr="008443EF">
        <w:rPr>
          <w:rFonts w:ascii="Arial" w:hAnsi="Arial" w:cs="Arial"/>
          <w:sz w:val="24"/>
          <w:szCs w:val="24"/>
        </w:rPr>
        <w:t xml:space="preserve"> </w:t>
      </w:r>
      <w:r w:rsidR="0072425E" w:rsidRPr="008443EF">
        <w:rPr>
          <w:rFonts w:ascii="Arial" w:hAnsi="Arial" w:cs="Arial"/>
          <w:sz w:val="24"/>
          <w:szCs w:val="24"/>
        </w:rPr>
        <w:t>and that the short-payments were a bona fide error.</w:t>
      </w:r>
    </w:p>
    <w:p w14:paraId="0C392529" w14:textId="65244977" w:rsidR="00552D93" w:rsidRPr="008443EF" w:rsidRDefault="00174CC1" w:rsidP="00D2394E">
      <w:pPr>
        <w:pStyle w:val="ListParagraph"/>
        <w:spacing w:line="480" w:lineRule="auto"/>
        <w:ind w:left="1440" w:right="-144" w:hanging="720"/>
        <w:jc w:val="both"/>
        <w:rPr>
          <w:rFonts w:ascii="Arial" w:hAnsi="Arial" w:cs="Arial"/>
          <w:sz w:val="24"/>
          <w:szCs w:val="24"/>
        </w:rPr>
      </w:pPr>
      <w:r>
        <w:rPr>
          <w:rFonts w:ascii="Arial" w:hAnsi="Arial" w:cs="Arial"/>
          <w:sz w:val="24"/>
          <w:szCs w:val="24"/>
        </w:rPr>
        <w:t>12</w:t>
      </w:r>
      <w:r w:rsidR="0072425E" w:rsidRPr="008443EF">
        <w:rPr>
          <w:rFonts w:ascii="Arial" w:hAnsi="Arial" w:cs="Arial"/>
          <w:sz w:val="24"/>
          <w:szCs w:val="24"/>
        </w:rPr>
        <w:t>.2</w:t>
      </w:r>
      <w:r w:rsidR="0072425E" w:rsidRPr="008443EF">
        <w:rPr>
          <w:rFonts w:ascii="Arial" w:hAnsi="Arial" w:cs="Arial"/>
          <w:sz w:val="24"/>
          <w:szCs w:val="24"/>
        </w:rPr>
        <w:tab/>
        <w:t>ICASA should reconsider its decision to disqualify the applicant’s pre-registration notices and give an undertaking that it would not proceed with the consideration</w:t>
      </w:r>
      <w:r w:rsidR="00D2394E" w:rsidRPr="008443EF">
        <w:rPr>
          <w:rFonts w:ascii="Arial" w:hAnsi="Arial" w:cs="Arial"/>
          <w:sz w:val="24"/>
          <w:szCs w:val="24"/>
        </w:rPr>
        <w:t xml:space="preserve"> of applications until its intended review application is determined.</w:t>
      </w:r>
      <w:r w:rsidR="0072425E" w:rsidRPr="008443EF">
        <w:rPr>
          <w:rFonts w:ascii="Arial" w:hAnsi="Arial" w:cs="Arial"/>
          <w:sz w:val="24"/>
          <w:szCs w:val="24"/>
        </w:rPr>
        <w:t xml:space="preserve"> </w:t>
      </w:r>
      <w:r w:rsidR="00552D93" w:rsidRPr="008443EF">
        <w:rPr>
          <w:rFonts w:ascii="Arial" w:hAnsi="Arial" w:cs="Arial"/>
          <w:sz w:val="24"/>
          <w:szCs w:val="24"/>
        </w:rPr>
        <w:t xml:space="preserve"> </w:t>
      </w:r>
    </w:p>
    <w:p w14:paraId="5495B115" w14:textId="77777777" w:rsidR="00A93CBB" w:rsidRPr="008443EF" w:rsidRDefault="00A93CBB" w:rsidP="00A93CBB">
      <w:pPr>
        <w:pStyle w:val="ListParagraph"/>
        <w:spacing w:line="360" w:lineRule="auto"/>
        <w:ind w:left="0"/>
        <w:rPr>
          <w:rFonts w:ascii="Arial" w:hAnsi="Arial" w:cs="Arial"/>
          <w:sz w:val="24"/>
          <w:szCs w:val="24"/>
        </w:rPr>
      </w:pPr>
    </w:p>
    <w:p w14:paraId="0DB74667" w14:textId="3C3388BD" w:rsidR="00A93CBB"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[13]</w:t>
      </w:r>
      <w:r w:rsidRPr="008443EF">
        <w:rPr>
          <w:rFonts w:ascii="Arial" w:hAnsi="Arial" w:cs="Arial"/>
          <w:sz w:val="24"/>
          <w:szCs w:val="24"/>
        </w:rPr>
        <w:tab/>
      </w:r>
      <w:r w:rsidR="00D2394E" w:rsidRPr="00424122">
        <w:rPr>
          <w:rFonts w:ascii="Arial" w:hAnsi="Arial" w:cs="Arial"/>
          <w:sz w:val="24"/>
          <w:szCs w:val="24"/>
        </w:rPr>
        <w:t xml:space="preserve">On the same day, the applicant also </w:t>
      </w:r>
      <w:r w:rsidR="00A93CBB" w:rsidRPr="00424122">
        <w:rPr>
          <w:rFonts w:ascii="Arial" w:hAnsi="Arial" w:cs="Arial"/>
          <w:sz w:val="24"/>
          <w:szCs w:val="24"/>
        </w:rPr>
        <w:t xml:space="preserve">paid the </w:t>
      </w:r>
      <w:r w:rsidR="00D2394E" w:rsidRPr="00424122">
        <w:rPr>
          <w:rFonts w:ascii="Arial" w:hAnsi="Arial" w:cs="Arial"/>
          <w:sz w:val="24"/>
          <w:szCs w:val="24"/>
        </w:rPr>
        <w:t xml:space="preserve">pre-registration </w:t>
      </w:r>
      <w:r w:rsidR="00174CC1" w:rsidRPr="00424122">
        <w:rPr>
          <w:rFonts w:ascii="Arial" w:hAnsi="Arial" w:cs="Arial"/>
          <w:sz w:val="24"/>
          <w:szCs w:val="24"/>
        </w:rPr>
        <w:t xml:space="preserve">fee </w:t>
      </w:r>
      <w:r w:rsidR="00A93CBB" w:rsidRPr="00424122">
        <w:rPr>
          <w:rFonts w:ascii="Arial" w:hAnsi="Arial" w:cs="Arial"/>
          <w:sz w:val="24"/>
          <w:szCs w:val="24"/>
        </w:rPr>
        <w:t>shortfall amounts.</w:t>
      </w:r>
    </w:p>
    <w:p w14:paraId="68A385D6" w14:textId="0A0C7DFF" w:rsidR="00D2394E" w:rsidRPr="008443EF" w:rsidRDefault="00D2394E" w:rsidP="00D2394E">
      <w:pPr>
        <w:pStyle w:val="ListParagraph"/>
        <w:spacing w:line="360" w:lineRule="auto"/>
        <w:ind w:left="0" w:right="-144"/>
        <w:jc w:val="both"/>
        <w:rPr>
          <w:rFonts w:ascii="Arial" w:hAnsi="Arial" w:cs="Arial"/>
          <w:sz w:val="24"/>
          <w:szCs w:val="24"/>
        </w:rPr>
      </w:pPr>
    </w:p>
    <w:p w14:paraId="6FCEC8DD" w14:textId="48A2C353" w:rsidR="00D2394E"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[14]</w:t>
      </w:r>
      <w:r w:rsidRPr="008443EF">
        <w:rPr>
          <w:rFonts w:ascii="Arial" w:hAnsi="Arial" w:cs="Arial"/>
          <w:sz w:val="24"/>
          <w:szCs w:val="24"/>
        </w:rPr>
        <w:tab/>
      </w:r>
      <w:r w:rsidR="00D2394E" w:rsidRPr="00424122">
        <w:rPr>
          <w:rFonts w:ascii="Arial" w:hAnsi="Arial" w:cs="Arial"/>
          <w:sz w:val="24"/>
          <w:szCs w:val="24"/>
        </w:rPr>
        <w:t>On 23 November 2022, ICASA responded to the applicant’s attorneys</w:t>
      </w:r>
      <w:r w:rsidR="00F22603" w:rsidRPr="00424122">
        <w:rPr>
          <w:rFonts w:ascii="Arial" w:hAnsi="Arial" w:cs="Arial"/>
          <w:sz w:val="24"/>
          <w:szCs w:val="24"/>
        </w:rPr>
        <w:t>’</w:t>
      </w:r>
      <w:r w:rsidR="00D2394E" w:rsidRPr="00424122">
        <w:rPr>
          <w:rFonts w:ascii="Arial" w:hAnsi="Arial" w:cs="Arial"/>
          <w:sz w:val="24"/>
          <w:szCs w:val="24"/>
        </w:rPr>
        <w:t xml:space="preserve"> letter by indicating that </w:t>
      </w:r>
      <w:r w:rsidR="0024737C" w:rsidRPr="00424122">
        <w:rPr>
          <w:rFonts w:ascii="Arial" w:hAnsi="Arial" w:cs="Arial"/>
          <w:sz w:val="24"/>
          <w:szCs w:val="24"/>
        </w:rPr>
        <w:t>its contents were being reviewed.</w:t>
      </w:r>
    </w:p>
    <w:p w14:paraId="6CEF1805" w14:textId="77777777" w:rsidR="00F22603" w:rsidRPr="008443EF" w:rsidRDefault="00F22603" w:rsidP="0066396C">
      <w:pPr>
        <w:pStyle w:val="ListParagraph"/>
        <w:spacing w:line="360" w:lineRule="auto"/>
        <w:ind w:left="0"/>
        <w:rPr>
          <w:rFonts w:ascii="Arial" w:hAnsi="Arial" w:cs="Arial"/>
          <w:sz w:val="24"/>
          <w:szCs w:val="24"/>
        </w:rPr>
      </w:pPr>
    </w:p>
    <w:p w14:paraId="1FA21603" w14:textId="0A9E3168" w:rsidR="00A93CBB"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[15]</w:t>
      </w:r>
      <w:r w:rsidRPr="008443EF">
        <w:rPr>
          <w:rFonts w:ascii="Arial" w:hAnsi="Arial" w:cs="Arial"/>
          <w:sz w:val="24"/>
          <w:szCs w:val="24"/>
        </w:rPr>
        <w:tab/>
      </w:r>
      <w:r w:rsidR="0024737C" w:rsidRPr="00424122">
        <w:rPr>
          <w:rFonts w:ascii="Arial" w:hAnsi="Arial" w:cs="Arial"/>
          <w:sz w:val="24"/>
          <w:szCs w:val="24"/>
        </w:rPr>
        <w:t>On 24 November 2022, the applicant launched these urgent proceedings.</w:t>
      </w:r>
    </w:p>
    <w:p w14:paraId="273AFBEE" w14:textId="77777777" w:rsidR="0066396C" w:rsidRPr="008443EF" w:rsidRDefault="0066396C" w:rsidP="004C445D">
      <w:pPr>
        <w:pStyle w:val="ListParagraph"/>
        <w:spacing w:line="360" w:lineRule="auto"/>
        <w:ind w:left="0"/>
        <w:rPr>
          <w:rFonts w:ascii="Arial" w:hAnsi="Arial" w:cs="Arial"/>
          <w:sz w:val="24"/>
          <w:szCs w:val="24"/>
        </w:rPr>
      </w:pPr>
    </w:p>
    <w:p w14:paraId="4AE3491D" w14:textId="252E8F2D" w:rsidR="0066396C"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[16]</w:t>
      </w:r>
      <w:r w:rsidRPr="008443EF">
        <w:rPr>
          <w:rFonts w:ascii="Arial" w:hAnsi="Arial" w:cs="Arial"/>
          <w:sz w:val="24"/>
          <w:szCs w:val="24"/>
        </w:rPr>
        <w:tab/>
      </w:r>
      <w:r w:rsidR="0066396C" w:rsidRPr="00424122">
        <w:rPr>
          <w:rFonts w:ascii="Arial" w:hAnsi="Arial" w:cs="Arial"/>
          <w:sz w:val="24"/>
          <w:szCs w:val="24"/>
        </w:rPr>
        <w:t>In considering whether to allow this matter to be</w:t>
      </w:r>
      <w:r w:rsidR="003766E7" w:rsidRPr="00424122">
        <w:rPr>
          <w:rFonts w:ascii="Arial" w:hAnsi="Arial" w:cs="Arial"/>
          <w:sz w:val="24"/>
          <w:szCs w:val="24"/>
        </w:rPr>
        <w:t xml:space="preserve"> heard on an urgent basis </w:t>
      </w:r>
      <w:r w:rsidR="0066396C" w:rsidRPr="00424122">
        <w:rPr>
          <w:rFonts w:ascii="Arial" w:hAnsi="Arial" w:cs="Arial"/>
          <w:sz w:val="24"/>
          <w:szCs w:val="24"/>
        </w:rPr>
        <w:t>the main considerations to be taken into account are the prejudice the applicant might suffer if the order is not granted and the prejudic</w:t>
      </w:r>
      <w:r w:rsidR="00174CC1" w:rsidRPr="00424122">
        <w:rPr>
          <w:rFonts w:ascii="Arial" w:hAnsi="Arial" w:cs="Arial"/>
          <w:sz w:val="24"/>
          <w:szCs w:val="24"/>
        </w:rPr>
        <w:t>e the respondent might suffer if</w:t>
      </w:r>
      <w:r w:rsidR="0066396C" w:rsidRPr="00424122">
        <w:rPr>
          <w:rFonts w:ascii="Arial" w:hAnsi="Arial" w:cs="Arial"/>
          <w:sz w:val="24"/>
          <w:szCs w:val="24"/>
        </w:rPr>
        <w:t xml:space="preserve"> the order is granted by the abridgement of the prescribed time period.</w:t>
      </w:r>
    </w:p>
    <w:p w14:paraId="0C78C70A" w14:textId="77777777" w:rsidR="0066396C" w:rsidRPr="008443EF" w:rsidRDefault="0066396C" w:rsidP="0066396C">
      <w:pPr>
        <w:pStyle w:val="ListParagraph"/>
        <w:spacing w:line="360" w:lineRule="auto"/>
        <w:ind w:left="0" w:right="-144"/>
        <w:jc w:val="both"/>
        <w:rPr>
          <w:rFonts w:ascii="Arial" w:hAnsi="Arial" w:cs="Arial"/>
          <w:sz w:val="24"/>
          <w:szCs w:val="24"/>
        </w:rPr>
      </w:pPr>
    </w:p>
    <w:p w14:paraId="41170F80" w14:textId="6FFD397A" w:rsidR="008364C0"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[17]</w:t>
      </w:r>
      <w:r w:rsidRPr="008443EF">
        <w:rPr>
          <w:rFonts w:ascii="Arial" w:hAnsi="Arial" w:cs="Arial"/>
          <w:sz w:val="24"/>
          <w:szCs w:val="24"/>
        </w:rPr>
        <w:tab/>
      </w:r>
      <w:r w:rsidR="008364C0" w:rsidRPr="00424122">
        <w:rPr>
          <w:rFonts w:ascii="Arial" w:hAnsi="Arial" w:cs="Arial"/>
          <w:sz w:val="24"/>
          <w:szCs w:val="24"/>
        </w:rPr>
        <w:t xml:space="preserve">It is the applicant’s contention that the matter is urgent because the applicant’s disqualification was an ongoing illegality which would </w:t>
      </w:r>
      <w:r w:rsidR="00BC1E66" w:rsidRPr="00424122">
        <w:rPr>
          <w:rFonts w:ascii="Arial" w:hAnsi="Arial" w:cs="Arial"/>
          <w:sz w:val="24"/>
          <w:szCs w:val="24"/>
        </w:rPr>
        <w:t xml:space="preserve">negatively impact on </w:t>
      </w:r>
      <w:r w:rsidR="008364C0" w:rsidRPr="00424122">
        <w:rPr>
          <w:rFonts w:ascii="Arial" w:hAnsi="Arial" w:cs="Arial"/>
          <w:sz w:val="24"/>
          <w:szCs w:val="24"/>
        </w:rPr>
        <w:t>any relief eventually granted in</w:t>
      </w:r>
      <w:r w:rsidR="00BC1E66" w:rsidRPr="00424122">
        <w:rPr>
          <w:rFonts w:ascii="Arial" w:hAnsi="Arial" w:cs="Arial"/>
          <w:sz w:val="24"/>
          <w:szCs w:val="24"/>
        </w:rPr>
        <w:t xml:space="preserve"> the main application.</w:t>
      </w:r>
      <w:r w:rsidR="008364C0" w:rsidRPr="00424122">
        <w:rPr>
          <w:rFonts w:ascii="Arial" w:hAnsi="Arial" w:cs="Arial"/>
          <w:sz w:val="24"/>
          <w:szCs w:val="24"/>
        </w:rPr>
        <w:t xml:space="preserve"> </w:t>
      </w:r>
    </w:p>
    <w:p w14:paraId="75F01E09" w14:textId="77777777" w:rsidR="008364C0" w:rsidRPr="008443EF" w:rsidRDefault="008364C0" w:rsidP="008364C0">
      <w:pPr>
        <w:pStyle w:val="ListParagraph"/>
        <w:rPr>
          <w:rFonts w:ascii="Arial" w:hAnsi="Arial" w:cs="Arial"/>
          <w:sz w:val="24"/>
          <w:szCs w:val="24"/>
        </w:rPr>
      </w:pPr>
    </w:p>
    <w:p w14:paraId="39394ADB" w14:textId="3FCF6835" w:rsidR="0066396C" w:rsidRPr="00424122" w:rsidRDefault="00424122" w:rsidP="00424122">
      <w:pPr>
        <w:spacing w:line="480" w:lineRule="auto"/>
        <w:ind w:right="-144"/>
        <w:jc w:val="both"/>
        <w:rPr>
          <w:rFonts w:ascii="Arial" w:hAnsi="Arial" w:cs="Arial"/>
          <w:sz w:val="24"/>
          <w:szCs w:val="24"/>
        </w:rPr>
      </w:pPr>
      <w:r w:rsidRPr="00174CC1">
        <w:rPr>
          <w:rFonts w:ascii="Arial" w:hAnsi="Arial" w:cs="Arial"/>
          <w:sz w:val="24"/>
          <w:szCs w:val="24"/>
        </w:rPr>
        <w:t>[18]</w:t>
      </w:r>
      <w:r w:rsidRPr="00174CC1">
        <w:rPr>
          <w:rFonts w:ascii="Arial" w:hAnsi="Arial" w:cs="Arial"/>
          <w:sz w:val="24"/>
          <w:szCs w:val="24"/>
        </w:rPr>
        <w:tab/>
      </w:r>
      <w:r w:rsidR="00174CC1" w:rsidRPr="00424122">
        <w:rPr>
          <w:rFonts w:ascii="Arial" w:hAnsi="Arial" w:cs="Arial"/>
          <w:sz w:val="24"/>
          <w:szCs w:val="24"/>
        </w:rPr>
        <w:t>Taking into account that t</w:t>
      </w:r>
      <w:r w:rsidR="0066396C" w:rsidRPr="00424122">
        <w:rPr>
          <w:rFonts w:ascii="Arial" w:hAnsi="Arial" w:cs="Arial"/>
          <w:sz w:val="24"/>
          <w:szCs w:val="24"/>
        </w:rPr>
        <w:t xml:space="preserve">he decision precipitating the launching of these urgent proceedings was taken on 18 November 2021 and these proceedings were instituted </w:t>
      </w:r>
      <w:r w:rsidR="000962B0" w:rsidRPr="00424122">
        <w:rPr>
          <w:rFonts w:ascii="Arial" w:hAnsi="Arial" w:cs="Arial"/>
          <w:sz w:val="24"/>
          <w:szCs w:val="24"/>
        </w:rPr>
        <w:t>on</w:t>
      </w:r>
      <w:r w:rsidR="0066396C" w:rsidRPr="00424122">
        <w:rPr>
          <w:rFonts w:ascii="Arial" w:hAnsi="Arial" w:cs="Arial"/>
          <w:sz w:val="24"/>
          <w:szCs w:val="24"/>
        </w:rPr>
        <w:t xml:space="preserve"> 24 November 2022</w:t>
      </w:r>
      <w:r w:rsidR="00174CC1" w:rsidRPr="00424122">
        <w:rPr>
          <w:rFonts w:ascii="Arial" w:hAnsi="Arial" w:cs="Arial"/>
          <w:sz w:val="24"/>
          <w:szCs w:val="24"/>
        </w:rPr>
        <w:t xml:space="preserve">, </w:t>
      </w:r>
      <w:r w:rsidR="0066396C" w:rsidRPr="00424122">
        <w:rPr>
          <w:rFonts w:ascii="Arial" w:hAnsi="Arial" w:cs="Arial"/>
          <w:sz w:val="24"/>
          <w:szCs w:val="24"/>
        </w:rPr>
        <w:t xml:space="preserve">I am </w:t>
      </w:r>
      <w:r w:rsidR="00174CC1" w:rsidRPr="00424122">
        <w:rPr>
          <w:rFonts w:ascii="Arial" w:hAnsi="Arial" w:cs="Arial"/>
          <w:sz w:val="24"/>
          <w:szCs w:val="24"/>
        </w:rPr>
        <w:t xml:space="preserve">satisfied that there was </w:t>
      </w:r>
      <w:r w:rsidR="0066396C" w:rsidRPr="00424122">
        <w:rPr>
          <w:rFonts w:ascii="Arial" w:hAnsi="Arial" w:cs="Arial"/>
          <w:sz w:val="24"/>
          <w:szCs w:val="24"/>
        </w:rPr>
        <w:t xml:space="preserve">no undue delay in bringing this </w:t>
      </w:r>
      <w:r w:rsidR="0066396C" w:rsidRPr="00424122">
        <w:rPr>
          <w:rFonts w:ascii="Arial" w:hAnsi="Arial" w:cs="Arial"/>
          <w:sz w:val="24"/>
          <w:szCs w:val="24"/>
        </w:rPr>
        <w:lastRenderedPageBreak/>
        <w:t xml:space="preserve">application.  I am satisfied that the applicant has shown sufficient cause and grounds for the matter to be heard on an urgent basis. </w:t>
      </w:r>
    </w:p>
    <w:p w14:paraId="695359B5" w14:textId="196D4835" w:rsidR="0024737C" w:rsidRPr="008443EF" w:rsidRDefault="0024737C" w:rsidP="0066396C">
      <w:pPr>
        <w:pStyle w:val="ListParagraph"/>
        <w:spacing w:line="360" w:lineRule="auto"/>
        <w:ind w:left="0" w:right="-144"/>
        <w:jc w:val="both"/>
        <w:rPr>
          <w:rFonts w:ascii="Arial" w:hAnsi="Arial" w:cs="Arial"/>
          <w:sz w:val="24"/>
          <w:szCs w:val="24"/>
        </w:rPr>
      </w:pPr>
    </w:p>
    <w:p w14:paraId="1F5E0722" w14:textId="61753714" w:rsidR="004C60C7"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067EB" w:rsidRPr="00424122">
        <w:rPr>
          <w:rFonts w:ascii="Arial" w:hAnsi="Arial" w:cs="Arial"/>
          <w:sz w:val="24"/>
          <w:szCs w:val="24"/>
        </w:rPr>
        <w:t>Besides opposing the granting of an interim interdict, the respondent has raised non</w:t>
      </w:r>
      <w:r w:rsidR="00174CC1" w:rsidRPr="00424122">
        <w:rPr>
          <w:rFonts w:ascii="Arial" w:hAnsi="Arial" w:cs="Arial"/>
          <w:sz w:val="24"/>
          <w:szCs w:val="24"/>
        </w:rPr>
        <w:t>.</w:t>
      </w:r>
      <w:r w:rsidR="005067EB" w:rsidRPr="00424122">
        <w:rPr>
          <w:rFonts w:ascii="Arial" w:hAnsi="Arial" w:cs="Arial"/>
          <w:sz w:val="24"/>
          <w:szCs w:val="24"/>
        </w:rPr>
        <w:t>-joinder as a point in limine.</w:t>
      </w:r>
    </w:p>
    <w:p w14:paraId="37233DA0" w14:textId="2D87B653" w:rsidR="004C60C7"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C60C7" w:rsidRPr="00424122">
        <w:rPr>
          <w:rFonts w:ascii="Arial" w:hAnsi="Arial" w:cs="Arial"/>
          <w:sz w:val="24"/>
          <w:szCs w:val="24"/>
        </w:rPr>
        <w:t>It was submitted on behalf of the respondent that the applicant should be non-suited as it failed to join other applicants involved in the ITP-R process even though these parties had a substantial interest in the outcome of this application.</w:t>
      </w:r>
    </w:p>
    <w:p w14:paraId="207CACED" w14:textId="1FEDF596" w:rsidR="004C60C7"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C60C7" w:rsidRPr="00424122">
        <w:rPr>
          <w:rFonts w:ascii="Arial" w:hAnsi="Arial" w:cs="Arial"/>
          <w:sz w:val="24"/>
          <w:szCs w:val="24"/>
        </w:rPr>
        <w:t>In its replying affidavit the applicant in this regard avers that it did not join the other applicants as it did not know who they were.  It was further submitted that the joinder issue was only relevant with regard to those areas where there were other applicants for licences besides the applicant and not relevant in those areas where the applicant was the only applicant.</w:t>
      </w:r>
    </w:p>
    <w:p w14:paraId="66BF705F" w14:textId="77777777" w:rsidR="00607711" w:rsidRDefault="00607711" w:rsidP="00607711">
      <w:pPr>
        <w:pStyle w:val="ListParagraph"/>
        <w:spacing w:line="480" w:lineRule="auto"/>
        <w:ind w:left="0" w:right="-144"/>
        <w:jc w:val="both"/>
        <w:rPr>
          <w:rFonts w:ascii="Arial" w:hAnsi="Arial" w:cs="Arial"/>
          <w:sz w:val="24"/>
          <w:szCs w:val="24"/>
        </w:rPr>
      </w:pPr>
    </w:p>
    <w:p w14:paraId="55FAF606" w14:textId="5EF2DBCA" w:rsidR="0073375D"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C60C7" w:rsidRPr="00424122">
        <w:rPr>
          <w:rFonts w:ascii="Arial" w:hAnsi="Arial" w:cs="Arial"/>
          <w:sz w:val="24"/>
          <w:szCs w:val="24"/>
        </w:rPr>
        <w:t xml:space="preserve">In </w:t>
      </w:r>
      <w:r w:rsidR="0073375D" w:rsidRPr="00424122">
        <w:rPr>
          <w:rFonts w:ascii="Arial" w:hAnsi="Arial" w:cs="Arial"/>
          <w:i/>
          <w:sz w:val="24"/>
          <w:szCs w:val="24"/>
        </w:rPr>
        <w:t xml:space="preserve">City of Johannesburg and Others v South African Local </w:t>
      </w:r>
      <w:r w:rsidR="00607711" w:rsidRPr="00424122">
        <w:rPr>
          <w:rFonts w:ascii="Arial" w:hAnsi="Arial" w:cs="Arial"/>
          <w:i/>
          <w:sz w:val="24"/>
          <w:szCs w:val="24"/>
        </w:rPr>
        <w:t>Authorities</w:t>
      </w:r>
      <w:r w:rsidR="0073375D" w:rsidRPr="00424122">
        <w:rPr>
          <w:rFonts w:ascii="Arial" w:hAnsi="Arial" w:cs="Arial"/>
          <w:i/>
          <w:sz w:val="24"/>
          <w:szCs w:val="24"/>
        </w:rPr>
        <w:t xml:space="preserve"> Pension Fund and Others</w:t>
      </w:r>
      <w:r w:rsidR="0073375D" w:rsidRPr="00424122">
        <w:rPr>
          <w:rFonts w:ascii="Arial" w:hAnsi="Arial" w:cs="Arial"/>
          <w:sz w:val="24"/>
          <w:szCs w:val="24"/>
        </w:rPr>
        <w:t xml:space="preserve"> said that:</w:t>
      </w:r>
    </w:p>
    <w:p w14:paraId="77FD199B" w14:textId="5526A85B" w:rsidR="0073375D" w:rsidRDefault="0073375D" w:rsidP="0073375D">
      <w:pPr>
        <w:pStyle w:val="ListParagraph"/>
        <w:spacing w:line="360" w:lineRule="auto"/>
        <w:ind w:left="0" w:right="-144"/>
        <w:jc w:val="both"/>
        <w:rPr>
          <w:rFonts w:ascii="Arial" w:hAnsi="Arial" w:cs="Arial"/>
          <w:sz w:val="24"/>
          <w:szCs w:val="24"/>
        </w:rPr>
      </w:pPr>
    </w:p>
    <w:p w14:paraId="471583A0" w14:textId="1C532404" w:rsidR="0073375D" w:rsidRDefault="0073375D" w:rsidP="0073375D">
      <w:pPr>
        <w:pStyle w:val="ListParagraph"/>
        <w:spacing w:line="360" w:lineRule="auto"/>
        <w:ind w:left="1440" w:right="-144"/>
        <w:jc w:val="both"/>
        <w:rPr>
          <w:rFonts w:ascii="Arial" w:hAnsi="Arial" w:cs="Arial"/>
          <w:sz w:val="24"/>
          <w:szCs w:val="24"/>
        </w:rPr>
      </w:pPr>
      <w:r>
        <w:rPr>
          <w:rFonts w:ascii="Arial" w:hAnsi="Arial" w:cs="Arial"/>
        </w:rPr>
        <w:t>“</w:t>
      </w:r>
      <w:r w:rsidRPr="00D716E3">
        <w:rPr>
          <w:rFonts w:ascii="Arial" w:hAnsi="Arial" w:cs="Arial"/>
        </w:rPr>
        <w:t>[9]</w:t>
      </w:r>
      <w:r w:rsidRPr="00D716E3">
        <w:rPr>
          <w:rFonts w:ascii="Arial" w:hAnsi="Arial" w:cs="Arial"/>
        </w:rPr>
        <w:tab/>
        <w:t xml:space="preserve">As to the relevant principles of law, it has by now become well-established that, in the exercise of its inherent power, a court will refrain from deciding a dispute unless and until all persons who have a direct and substantial interest in both the subject matter and the outcome of the litigation, have been joined as parties (see eg </w:t>
      </w:r>
      <w:r w:rsidRPr="00D716E3">
        <w:rPr>
          <w:rFonts w:ascii="Arial" w:hAnsi="Arial" w:cs="Arial"/>
          <w:i/>
        </w:rPr>
        <w:t xml:space="preserve">Amalgamated Engineering Union v Minister of Labour </w:t>
      </w:r>
      <w:r w:rsidRPr="00D716E3">
        <w:rPr>
          <w:rFonts w:ascii="Arial" w:hAnsi="Arial" w:cs="Arial"/>
        </w:rPr>
        <w:t xml:space="preserve">1949 (3) SA 637 (A) at 657 and 659; </w:t>
      </w:r>
      <w:r w:rsidRPr="00D716E3">
        <w:rPr>
          <w:rFonts w:ascii="Arial" w:hAnsi="Arial" w:cs="Arial"/>
          <w:i/>
        </w:rPr>
        <w:t xml:space="preserve">Gordon v Department of Health, KwaZulu-Natal </w:t>
      </w:r>
      <w:r w:rsidRPr="00D716E3">
        <w:rPr>
          <w:rFonts w:ascii="Arial" w:hAnsi="Arial" w:cs="Arial"/>
        </w:rPr>
        <w:t xml:space="preserve">2008 (6) SA 522 (SCA) para 9). A ‘direct and substantial interest’ is more than a financial interest in the outcome of the litigation. A test often employed to determine whether a particular interest of a third party is the one or the other, is to examine whether a situation could arise in which, because the third party had not been joined, any order the court might make would not be </w:t>
      </w:r>
      <w:r w:rsidRPr="00D716E3">
        <w:rPr>
          <w:rFonts w:ascii="Arial" w:hAnsi="Arial" w:cs="Arial"/>
          <w:i/>
        </w:rPr>
        <w:t>res judicata</w:t>
      </w:r>
      <w:r w:rsidRPr="00D716E3">
        <w:rPr>
          <w:rFonts w:ascii="Arial" w:hAnsi="Arial" w:cs="Arial"/>
        </w:rPr>
        <w:t xml:space="preserve"> against that party, entitling him or her to approach the court again concerning the same subject matter and possibly obtain an order irreconcilable with the order made in </w:t>
      </w:r>
      <w:r w:rsidRPr="00D716E3">
        <w:rPr>
          <w:rFonts w:ascii="Arial" w:hAnsi="Arial" w:cs="Arial"/>
        </w:rPr>
        <w:lastRenderedPageBreak/>
        <w:t xml:space="preserve">the first place (see eg </w:t>
      </w:r>
      <w:r w:rsidRPr="00D716E3">
        <w:rPr>
          <w:rFonts w:ascii="Arial" w:hAnsi="Arial" w:cs="Arial"/>
          <w:i/>
        </w:rPr>
        <w:t xml:space="preserve">Amalgamated Engineering Union </w:t>
      </w:r>
      <w:r w:rsidRPr="00D716E3">
        <w:rPr>
          <w:rFonts w:ascii="Arial" w:hAnsi="Arial" w:cs="Arial"/>
        </w:rPr>
        <w:t xml:space="preserve">at 661; </w:t>
      </w:r>
      <w:r w:rsidRPr="00D716E3">
        <w:rPr>
          <w:rFonts w:ascii="Arial" w:hAnsi="Arial" w:cs="Arial"/>
          <w:i/>
        </w:rPr>
        <w:t xml:space="preserve">Transvaal Agricultural Union v Minister of Agriculture and Land Affairs &amp; others </w:t>
      </w:r>
      <w:r w:rsidRPr="00D716E3">
        <w:rPr>
          <w:rFonts w:ascii="Arial" w:hAnsi="Arial" w:cs="Arial"/>
        </w:rPr>
        <w:t>2005 (4) SA 212 (SCA) paras 64-66).</w:t>
      </w:r>
      <w:r>
        <w:rPr>
          <w:rFonts w:ascii="Arial" w:hAnsi="Arial" w:cs="Arial"/>
        </w:rPr>
        <w:t>”</w:t>
      </w:r>
    </w:p>
    <w:p w14:paraId="67D1D0BB" w14:textId="77777777" w:rsidR="0073375D" w:rsidRDefault="0073375D" w:rsidP="0073375D">
      <w:pPr>
        <w:pStyle w:val="ListParagraph"/>
        <w:spacing w:line="480" w:lineRule="auto"/>
        <w:ind w:left="0" w:right="-144"/>
        <w:jc w:val="both"/>
        <w:rPr>
          <w:rFonts w:ascii="Arial" w:hAnsi="Arial" w:cs="Arial"/>
          <w:sz w:val="24"/>
          <w:szCs w:val="24"/>
        </w:rPr>
      </w:pPr>
    </w:p>
    <w:p w14:paraId="316EC045" w14:textId="2BA6666A" w:rsidR="0073375D"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3375D" w:rsidRPr="00424122">
        <w:rPr>
          <w:rFonts w:ascii="Arial" w:hAnsi="Arial" w:cs="Arial"/>
          <w:sz w:val="24"/>
          <w:szCs w:val="24"/>
        </w:rPr>
        <w:t>As correctly pointed out by counsel for the respondent, t</w:t>
      </w:r>
      <w:r w:rsidR="002A4BA8" w:rsidRPr="00424122">
        <w:rPr>
          <w:rFonts w:ascii="Arial" w:hAnsi="Arial" w:cs="Arial"/>
          <w:sz w:val="24"/>
          <w:szCs w:val="24"/>
        </w:rPr>
        <w:t>he other applicants in the ITP-R process do have a vested interest in the issues raised and the outcome of this application and should have been joined.  The fact that the applicant did not know the identity of the other applicants is no excuse and this could have easily been obtained from ICASA.  Under the circumstances I am of the view that the issue of non-joinder raised by the respondent should succeed and the application should be dismissed with costs.</w:t>
      </w:r>
    </w:p>
    <w:p w14:paraId="71BD6034" w14:textId="3AB2B949" w:rsidR="0073375D" w:rsidRDefault="0073375D" w:rsidP="002A4BA8">
      <w:pPr>
        <w:pStyle w:val="ListParagraph"/>
        <w:spacing w:line="360" w:lineRule="auto"/>
        <w:ind w:left="0" w:right="-144"/>
        <w:jc w:val="both"/>
        <w:rPr>
          <w:rFonts w:ascii="Arial" w:hAnsi="Arial" w:cs="Arial"/>
          <w:sz w:val="24"/>
          <w:szCs w:val="24"/>
        </w:rPr>
      </w:pPr>
    </w:p>
    <w:p w14:paraId="65F08B87" w14:textId="57FF779E" w:rsidR="007E5336"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t>[24]</w:t>
      </w:r>
      <w:r w:rsidRPr="008443EF">
        <w:rPr>
          <w:rFonts w:ascii="Arial" w:hAnsi="Arial" w:cs="Arial"/>
          <w:sz w:val="24"/>
          <w:szCs w:val="24"/>
        </w:rPr>
        <w:tab/>
      </w:r>
      <w:r w:rsidR="00607711" w:rsidRPr="00424122">
        <w:rPr>
          <w:rFonts w:ascii="Arial" w:hAnsi="Arial" w:cs="Arial"/>
          <w:sz w:val="24"/>
          <w:szCs w:val="24"/>
        </w:rPr>
        <w:t>In spite</w:t>
      </w:r>
      <w:r w:rsidR="002A4BA8" w:rsidRPr="00424122">
        <w:rPr>
          <w:rFonts w:ascii="Arial" w:hAnsi="Arial" w:cs="Arial"/>
          <w:sz w:val="24"/>
          <w:szCs w:val="24"/>
        </w:rPr>
        <w:t xml:space="preserve"> of the finding made in respect of the issue of non-joinder above, I will proceed to deal with the application for an interim interdict, in the event that the finding on non-joinder is wrong.</w:t>
      </w:r>
      <w:r w:rsidR="004C60C7" w:rsidRPr="00424122">
        <w:rPr>
          <w:rFonts w:ascii="Arial" w:hAnsi="Arial" w:cs="Arial"/>
          <w:sz w:val="24"/>
          <w:szCs w:val="24"/>
        </w:rPr>
        <w:t xml:space="preserve"> </w:t>
      </w:r>
      <w:r w:rsidR="005067EB" w:rsidRPr="00424122">
        <w:rPr>
          <w:rFonts w:ascii="Arial" w:hAnsi="Arial" w:cs="Arial"/>
          <w:sz w:val="24"/>
          <w:szCs w:val="24"/>
        </w:rPr>
        <w:t xml:space="preserve">   </w:t>
      </w:r>
    </w:p>
    <w:p w14:paraId="58259634" w14:textId="77777777" w:rsidR="007E5336" w:rsidRPr="008443EF" w:rsidRDefault="007E5336" w:rsidP="007E5336">
      <w:pPr>
        <w:pStyle w:val="ListParagraph"/>
        <w:spacing w:line="360" w:lineRule="auto"/>
        <w:ind w:left="0" w:right="-144"/>
        <w:jc w:val="both"/>
        <w:rPr>
          <w:rFonts w:ascii="Arial" w:hAnsi="Arial" w:cs="Arial"/>
          <w:sz w:val="24"/>
          <w:szCs w:val="24"/>
        </w:rPr>
      </w:pPr>
    </w:p>
    <w:p w14:paraId="5EB68E05" w14:textId="79199E0D" w:rsidR="0035210F" w:rsidRPr="00424122" w:rsidRDefault="00424122" w:rsidP="00424122">
      <w:pPr>
        <w:spacing w:line="480" w:lineRule="auto"/>
        <w:ind w:right="-144"/>
        <w:jc w:val="both"/>
        <w:rPr>
          <w:rFonts w:ascii="Arial" w:hAnsi="Arial" w:cs="Arial"/>
          <w:sz w:val="24"/>
          <w:szCs w:val="24"/>
        </w:rPr>
      </w:pPr>
      <w:r w:rsidRPr="002A4BA8">
        <w:rPr>
          <w:rFonts w:ascii="Arial" w:hAnsi="Arial" w:cs="Arial"/>
          <w:sz w:val="24"/>
          <w:szCs w:val="24"/>
        </w:rPr>
        <w:t>[25]</w:t>
      </w:r>
      <w:r w:rsidRPr="002A4BA8">
        <w:rPr>
          <w:rFonts w:ascii="Arial" w:hAnsi="Arial" w:cs="Arial"/>
          <w:sz w:val="24"/>
          <w:szCs w:val="24"/>
        </w:rPr>
        <w:tab/>
      </w:r>
      <w:r w:rsidR="0035210F" w:rsidRPr="00424122">
        <w:rPr>
          <w:rFonts w:ascii="Arial" w:hAnsi="Arial" w:cs="Arial"/>
          <w:sz w:val="24"/>
          <w:szCs w:val="24"/>
        </w:rPr>
        <w:t xml:space="preserve">An applicant seeking an interim interdict has to </w:t>
      </w:r>
      <w:r w:rsidR="00174CC1" w:rsidRPr="00424122">
        <w:rPr>
          <w:rFonts w:ascii="Arial" w:hAnsi="Arial" w:cs="Arial"/>
          <w:sz w:val="24"/>
          <w:szCs w:val="24"/>
        </w:rPr>
        <w:t xml:space="preserve">satisfy </w:t>
      </w:r>
      <w:r w:rsidR="0035210F" w:rsidRPr="00424122">
        <w:rPr>
          <w:rFonts w:ascii="Arial" w:hAnsi="Arial" w:cs="Arial"/>
          <w:sz w:val="24"/>
          <w:szCs w:val="24"/>
        </w:rPr>
        <w:t>the following requirements:</w:t>
      </w:r>
    </w:p>
    <w:p w14:paraId="1C73325B" w14:textId="77777777" w:rsidR="0035210F" w:rsidRPr="008443EF" w:rsidRDefault="0035210F" w:rsidP="0035210F">
      <w:pPr>
        <w:pStyle w:val="ListParagraph"/>
        <w:spacing w:line="360" w:lineRule="auto"/>
        <w:ind w:left="0"/>
        <w:rPr>
          <w:rFonts w:ascii="Arial" w:hAnsi="Arial" w:cs="Arial"/>
          <w:sz w:val="24"/>
          <w:szCs w:val="24"/>
        </w:rPr>
      </w:pPr>
    </w:p>
    <w:p w14:paraId="0A5F8D0D" w14:textId="5431DB7F" w:rsidR="0035210F" w:rsidRPr="008A5B04" w:rsidRDefault="00D9207F" w:rsidP="0035210F">
      <w:pPr>
        <w:pStyle w:val="ListParagraph"/>
        <w:spacing w:line="480" w:lineRule="auto"/>
        <w:ind w:left="1440" w:right="-144" w:hanging="720"/>
        <w:jc w:val="both"/>
        <w:rPr>
          <w:rFonts w:ascii="Arial" w:hAnsi="Arial" w:cs="Arial"/>
          <w:sz w:val="24"/>
          <w:szCs w:val="24"/>
        </w:rPr>
      </w:pPr>
      <w:r w:rsidRPr="008443EF">
        <w:rPr>
          <w:rFonts w:ascii="Arial" w:hAnsi="Arial" w:cs="Arial"/>
          <w:sz w:val="24"/>
          <w:szCs w:val="24"/>
        </w:rPr>
        <w:t>2</w:t>
      </w:r>
      <w:r w:rsidR="002A4BA8">
        <w:rPr>
          <w:rFonts w:ascii="Arial" w:hAnsi="Arial" w:cs="Arial"/>
          <w:sz w:val="24"/>
          <w:szCs w:val="24"/>
        </w:rPr>
        <w:t>5</w:t>
      </w:r>
      <w:r w:rsidR="0035210F" w:rsidRPr="008443EF">
        <w:rPr>
          <w:rFonts w:ascii="Arial" w:hAnsi="Arial" w:cs="Arial"/>
          <w:sz w:val="24"/>
          <w:szCs w:val="24"/>
        </w:rPr>
        <w:t>.1</w:t>
      </w:r>
      <w:r w:rsidR="0035210F" w:rsidRPr="008443EF">
        <w:rPr>
          <w:rFonts w:ascii="Arial" w:hAnsi="Arial" w:cs="Arial"/>
          <w:sz w:val="24"/>
          <w:szCs w:val="24"/>
        </w:rPr>
        <w:tab/>
      </w:r>
      <w:r w:rsidR="00174CC1" w:rsidRPr="008A5B04">
        <w:rPr>
          <w:rFonts w:ascii="Arial" w:hAnsi="Arial" w:cs="Arial"/>
          <w:sz w:val="24"/>
          <w:szCs w:val="24"/>
          <w:lang w:val="en-US"/>
        </w:rPr>
        <w:t xml:space="preserve">a right which, though </w:t>
      </w:r>
      <w:r w:rsidR="00174CC1" w:rsidRPr="008A5B04">
        <w:rPr>
          <w:rFonts w:ascii="Arial" w:hAnsi="Arial" w:cs="Arial"/>
          <w:i/>
          <w:sz w:val="24"/>
          <w:szCs w:val="24"/>
          <w:lang w:val="en-US"/>
        </w:rPr>
        <w:t>prima facie</w:t>
      </w:r>
      <w:r w:rsidR="00174CC1" w:rsidRPr="008A5B04">
        <w:rPr>
          <w:rFonts w:ascii="Arial" w:hAnsi="Arial" w:cs="Arial"/>
          <w:sz w:val="24"/>
          <w:szCs w:val="24"/>
          <w:lang w:val="en-US"/>
        </w:rPr>
        <w:t xml:space="preserve"> established is open to some doubt;</w:t>
      </w:r>
    </w:p>
    <w:p w14:paraId="0EB2E3D9" w14:textId="575024D7" w:rsidR="0035210F" w:rsidRPr="008443EF" w:rsidRDefault="002A4BA8" w:rsidP="0035210F">
      <w:pPr>
        <w:pStyle w:val="ListParagraph"/>
        <w:spacing w:line="480" w:lineRule="auto"/>
        <w:ind w:left="1440" w:right="-144" w:hanging="720"/>
        <w:jc w:val="both"/>
        <w:rPr>
          <w:rFonts w:ascii="Arial" w:hAnsi="Arial" w:cs="Arial"/>
          <w:sz w:val="24"/>
          <w:szCs w:val="24"/>
        </w:rPr>
      </w:pPr>
      <w:r>
        <w:rPr>
          <w:rFonts w:ascii="Arial" w:hAnsi="Arial" w:cs="Arial"/>
          <w:sz w:val="24"/>
          <w:szCs w:val="24"/>
        </w:rPr>
        <w:t>25</w:t>
      </w:r>
      <w:r w:rsidR="0035210F" w:rsidRPr="008443EF">
        <w:rPr>
          <w:rFonts w:ascii="Arial" w:hAnsi="Arial" w:cs="Arial"/>
          <w:sz w:val="24"/>
          <w:szCs w:val="24"/>
        </w:rPr>
        <w:t>.2</w:t>
      </w:r>
      <w:r w:rsidR="0035210F" w:rsidRPr="008443EF">
        <w:rPr>
          <w:rFonts w:ascii="Arial" w:hAnsi="Arial" w:cs="Arial"/>
          <w:sz w:val="24"/>
          <w:szCs w:val="24"/>
        </w:rPr>
        <w:tab/>
        <w:t xml:space="preserve">a </w:t>
      </w:r>
      <w:r w:rsidR="00A31EAD" w:rsidRPr="008443EF">
        <w:rPr>
          <w:rFonts w:ascii="Arial" w:hAnsi="Arial" w:cs="Arial"/>
          <w:sz w:val="24"/>
          <w:szCs w:val="24"/>
        </w:rPr>
        <w:t xml:space="preserve">reasonable </w:t>
      </w:r>
      <w:r w:rsidR="0035210F" w:rsidRPr="008443EF">
        <w:rPr>
          <w:rFonts w:ascii="Arial" w:hAnsi="Arial" w:cs="Arial"/>
          <w:sz w:val="24"/>
          <w:szCs w:val="24"/>
        </w:rPr>
        <w:t>apprehension of irreparable harm if the interim relief is not granted and the ultimate relief is eventually granted;</w:t>
      </w:r>
    </w:p>
    <w:p w14:paraId="7FDBB12D" w14:textId="6FC7BAA7" w:rsidR="0035210F" w:rsidRPr="008443EF" w:rsidRDefault="002A4BA8" w:rsidP="0035210F">
      <w:pPr>
        <w:pStyle w:val="ListParagraph"/>
        <w:spacing w:line="480" w:lineRule="auto"/>
        <w:ind w:left="1440" w:right="-144" w:hanging="720"/>
        <w:jc w:val="both"/>
        <w:rPr>
          <w:rFonts w:ascii="Arial" w:hAnsi="Arial" w:cs="Arial"/>
          <w:sz w:val="24"/>
          <w:szCs w:val="24"/>
        </w:rPr>
      </w:pPr>
      <w:r>
        <w:rPr>
          <w:rFonts w:ascii="Arial" w:hAnsi="Arial" w:cs="Arial"/>
          <w:sz w:val="24"/>
          <w:szCs w:val="24"/>
        </w:rPr>
        <w:t>25</w:t>
      </w:r>
      <w:r w:rsidR="0035210F" w:rsidRPr="008443EF">
        <w:rPr>
          <w:rFonts w:ascii="Arial" w:hAnsi="Arial" w:cs="Arial"/>
          <w:sz w:val="24"/>
          <w:szCs w:val="24"/>
        </w:rPr>
        <w:t>.3</w:t>
      </w:r>
      <w:r w:rsidR="0035210F" w:rsidRPr="008443EF">
        <w:rPr>
          <w:rFonts w:ascii="Arial" w:hAnsi="Arial" w:cs="Arial"/>
          <w:sz w:val="24"/>
          <w:szCs w:val="24"/>
        </w:rPr>
        <w:tab/>
      </w:r>
      <w:r w:rsidR="008A5B04">
        <w:rPr>
          <w:rFonts w:ascii="Arial" w:hAnsi="Arial" w:cs="Arial"/>
          <w:sz w:val="24"/>
          <w:szCs w:val="24"/>
        </w:rPr>
        <w:t xml:space="preserve">a </w:t>
      </w:r>
      <w:r w:rsidR="0035210F" w:rsidRPr="008443EF">
        <w:rPr>
          <w:rFonts w:ascii="Arial" w:hAnsi="Arial" w:cs="Arial"/>
          <w:sz w:val="24"/>
          <w:szCs w:val="24"/>
        </w:rPr>
        <w:t>balance of convenience favours the granting of interim relief; and</w:t>
      </w:r>
    </w:p>
    <w:p w14:paraId="2A291824" w14:textId="00952803" w:rsidR="0035210F" w:rsidRPr="008443EF" w:rsidRDefault="002A4BA8" w:rsidP="0035210F">
      <w:pPr>
        <w:pStyle w:val="ListParagraph"/>
        <w:spacing w:line="480" w:lineRule="auto"/>
        <w:ind w:left="1440" w:right="-144" w:hanging="720"/>
        <w:jc w:val="both"/>
        <w:rPr>
          <w:rFonts w:ascii="Arial" w:hAnsi="Arial" w:cs="Arial"/>
          <w:sz w:val="24"/>
          <w:szCs w:val="24"/>
        </w:rPr>
      </w:pPr>
      <w:r>
        <w:rPr>
          <w:rFonts w:ascii="Arial" w:hAnsi="Arial" w:cs="Arial"/>
          <w:sz w:val="24"/>
          <w:szCs w:val="24"/>
        </w:rPr>
        <w:t>25</w:t>
      </w:r>
      <w:r w:rsidR="0035210F" w:rsidRPr="008443EF">
        <w:rPr>
          <w:rFonts w:ascii="Arial" w:hAnsi="Arial" w:cs="Arial"/>
          <w:sz w:val="24"/>
          <w:szCs w:val="24"/>
        </w:rPr>
        <w:t>.4</w:t>
      </w:r>
      <w:r w:rsidR="0035210F" w:rsidRPr="008443EF">
        <w:rPr>
          <w:rFonts w:ascii="Arial" w:hAnsi="Arial" w:cs="Arial"/>
          <w:sz w:val="24"/>
          <w:szCs w:val="24"/>
        </w:rPr>
        <w:tab/>
      </w:r>
      <w:r w:rsidR="008A5B04">
        <w:rPr>
          <w:rFonts w:ascii="Arial" w:hAnsi="Arial" w:cs="Arial"/>
          <w:sz w:val="24"/>
          <w:szCs w:val="24"/>
        </w:rPr>
        <w:t xml:space="preserve">there is no other satisfactory </w:t>
      </w:r>
      <w:r w:rsidR="00A31EAD" w:rsidRPr="008443EF">
        <w:rPr>
          <w:rFonts w:ascii="Arial" w:hAnsi="Arial" w:cs="Arial"/>
          <w:sz w:val="24"/>
          <w:szCs w:val="24"/>
        </w:rPr>
        <w:t>remedy available</w:t>
      </w:r>
      <w:r w:rsidR="0035210F" w:rsidRPr="008443EF">
        <w:rPr>
          <w:rFonts w:ascii="Arial" w:hAnsi="Arial" w:cs="Arial"/>
          <w:sz w:val="24"/>
          <w:szCs w:val="24"/>
        </w:rPr>
        <w:t>.</w:t>
      </w:r>
    </w:p>
    <w:p w14:paraId="058FDC3F" w14:textId="77777777" w:rsidR="0035210F" w:rsidRPr="008443EF" w:rsidRDefault="0035210F" w:rsidP="0035210F">
      <w:pPr>
        <w:pStyle w:val="ListParagraph"/>
        <w:spacing w:line="360" w:lineRule="auto"/>
        <w:ind w:left="0" w:right="-144"/>
        <w:jc w:val="both"/>
        <w:rPr>
          <w:rFonts w:ascii="Arial" w:hAnsi="Arial" w:cs="Arial"/>
          <w:sz w:val="24"/>
          <w:szCs w:val="24"/>
        </w:rPr>
      </w:pPr>
    </w:p>
    <w:p w14:paraId="6BBD2613" w14:textId="2DB61758" w:rsidR="006C60E7" w:rsidRPr="00424122" w:rsidRDefault="00424122" w:rsidP="00424122">
      <w:pPr>
        <w:spacing w:line="480" w:lineRule="auto"/>
        <w:ind w:right="-144"/>
        <w:jc w:val="both"/>
        <w:rPr>
          <w:rFonts w:ascii="Arial" w:hAnsi="Arial" w:cs="Arial"/>
          <w:sz w:val="24"/>
          <w:szCs w:val="24"/>
        </w:rPr>
      </w:pPr>
      <w:r w:rsidRPr="008443EF">
        <w:rPr>
          <w:rFonts w:ascii="Arial" w:hAnsi="Arial" w:cs="Arial"/>
          <w:sz w:val="24"/>
          <w:szCs w:val="24"/>
        </w:rPr>
        <w:lastRenderedPageBreak/>
        <w:t>[26]</w:t>
      </w:r>
      <w:r w:rsidRPr="008443EF">
        <w:rPr>
          <w:rFonts w:ascii="Arial" w:hAnsi="Arial" w:cs="Arial"/>
          <w:sz w:val="24"/>
          <w:szCs w:val="24"/>
        </w:rPr>
        <w:tab/>
      </w:r>
      <w:r w:rsidR="006C60E7" w:rsidRPr="00424122">
        <w:rPr>
          <w:rFonts w:ascii="Arial" w:hAnsi="Arial" w:cs="Arial"/>
          <w:sz w:val="24"/>
          <w:szCs w:val="24"/>
        </w:rPr>
        <w:t xml:space="preserve">In </w:t>
      </w:r>
      <w:r w:rsidR="006C60E7" w:rsidRPr="00424122">
        <w:rPr>
          <w:rFonts w:ascii="Arial" w:hAnsi="Arial" w:cs="Arial"/>
          <w:i/>
          <w:sz w:val="24"/>
          <w:szCs w:val="24"/>
        </w:rPr>
        <w:t>Erikson Motors (Welkom) Ltd v Protea Motors Warrenton and Another</w:t>
      </w:r>
      <w:r w:rsidR="006C60E7" w:rsidRPr="008443EF">
        <w:rPr>
          <w:rStyle w:val="FootnoteReference"/>
          <w:rFonts w:ascii="Arial" w:hAnsi="Arial" w:cs="Arial"/>
          <w:sz w:val="24"/>
          <w:szCs w:val="24"/>
        </w:rPr>
        <w:footnoteReference w:id="1"/>
      </w:r>
      <w:r w:rsidR="006C60E7" w:rsidRPr="00424122">
        <w:rPr>
          <w:rFonts w:ascii="Arial" w:hAnsi="Arial" w:cs="Arial"/>
          <w:sz w:val="24"/>
          <w:szCs w:val="24"/>
        </w:rPr>
        <w:t xml:space="preserve"> the Appellate Division as it then was held that none of the above-mentioned requirements were decisive.</w:t>
      </w:r>
    </w:p>
    <w:p w14:paraId="4AF967F2" w14:textId="77777777" w:rsidR="006C60E7" w:rsidRDefault="006C60E7" w:rsidP="006C60E7">
      <w:pPr>
        <w:pStyle w:val="ListParagraph"/>
        <w:spacing w:line="480" w:lineRule="auto"/>
        <w:ind w:left="0" w:right="-144"/>
        <w:jc w:val="both"/>
        <w:rPr>
          <w:rFonts w:ascii="Arial" w:hAnsi="Arial" w:cs="Arial"/>
          <w:sz w:val="24"/>
          <w:szCs w:val="24"/>
        </w:rPr>
      </w:pPr>
    </w:p>
    <w:p w14:paraId="54E6357C" w14:textId="5B352B49" w:rsidR="0073205E"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3205E" w:rsidRPr="00424122">
        <w:rPr>
          <w:rFonts w:ascii="Arial" w:hAnsi="Arial" w:cs="Arial"/>
          <w:sz w:val="24"/>
          <w:szCs w:val="24"/>
        </w:rPr>
        <w:t xml:space="preserve">With regard to a </w:t>
      </w:r>
      <w:r w:rsidR="0073205E" w:rsidRPr="00424122">
        <w:rPr>
          <w:rFonts w:ascii="Arial" w:hAnsi="Arial" w:cs="Arial"/>
          <w:i/>
          <w:sz w:val="24"/>
          <w:szCs w:val="24"/>
        </w:rPr>
        <w:t>prima facie</w:t>
      </w:r>
      <w:r w:rsidR="0073205E" w:rsidRPr="00424122">
        <w:rPr>
          <w:rFonts w:ascii="Arial" w:hAnsi="Arial" w:cs="Arial"/>
          <w:sz w:val="24"/>
          <w:szCs w:val="24"/>
        </w:rPr>
        <w:t xml:space="preserve"> right, in </w:t>
      </w:r>
      <w:r w:rsidR="0073205E" w:rsidRPr="00424122">
        <w:rPr>
          <w:rFonts w:ascii="Arial" w:hAnsi="Arial" w:cs="Arial"/>
          <w:i/>
          <w:sz w:val="24"/>
          <w:szCs w:val="24"/>
        </w:rPr>
        <w:t>Simon NO v Air Operations of Europe AB and Others</w:t>
      </w:r>
      <w:r w:rsidR="0073205E">
        <w:rPr>
          <w:rStyle w:val="FootnoteReference"/>
          <w:rFonts w:ascii="Arial" w:hAnsi="Arial" w:cs="Arial"/>
          <w:i/>
          <w:sz w:val="24"/>
          <w:szCs w:val="24"/>
        </w:rPr>
        <w:footnoteReference w:id="2"/>
      </w:r>
      <w:r w:rsidR="0073205E" w:rsidRPr="00424122">
        <w:rPr>
          <w:rFonts w:ascii="Arial" w:hAnsi="Arial" w:cs="Arial"/>
          <w:i/>
          <w:sz w:val="24"/>
          <w:szCs w:val="24"/>
        </w:rPr>
        <w:t xml:space="preserve"> </w:t>
      </w:r>
      <w:r w:rsidR="0073205E" w:rsidRPr="00424122">
        <w:rPr>
          <w:rFonts w:ascii="Arial" w:hAnsi="Arial" w:cs="Arial"/>
          <w:sz w:val="24"/>
          <w:szCs w:val="24"/>
        </w:rPr>
        <w:t>the court stated that:</w:t>
      </w:r>
    </w:p>
    <w:p w14:paraId="4E2D1543" w14:textId="77777777" w:rsidR="002A4BA8" w:rsidRDefault="002A4BA8" w:rsidP="00475059">
      <w:pPr>
        <w:pStyle w:val="ListParagraph"/>
        <w:spacing w:line="480" w:lineRule="auto"/>
        <w:ind w:left="1440" w:right="-144"/>
        <w:jc w:val="both"/>
        <w:rPr>
          <w:rFonts w:ascii="Arial" w:hAnsi="Arial" w:cs="Arial"/>
        </w:rPr>
      </w:pPr>
    </w:p>
    <w:p w14:paraId="63B1BE7E" w14:textId="5A5D73B7" w:rsidR="00475059" w:rsidRDefault="00475059" w:rsidP="00475059">
      <w:pPr>
        <w:pStyle w:val="ListParagraph"/>
        <w:spacing w:line="480" w:lineRule="auto"/>
        <w:ind w:left="1440" w:right="-144"/>
        <w:jc w:val="both"/>
        <w:rPr>
          <w:rFonts w:ascii="Arial" w:hAnsi="Arial" w:cs="Arial"/>
          <w:sz w:val="24"/>
          <w:szCs w:val="24"/>
        </w:rPr>
      </w:pPr>
      <w:r w:rsidRPr="00B132A8">
        <w:rPr>
          <w:rFonts w:ascii="Arial" w:hAnsi="Arial" w:cs="Arial"/>
        </w:rPr>
        <w:t>“The accepted test for a prima facie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w:t>
      </w:r>
    </w:p>
    <w:p w14:paraId="2FCE3519" w14:textId="77777777" w:rsidR="00475059" w:rsidRPr="00475059" w:rsidRDefault="00475059" w:rsidP="00475059">
      <w:pPr>
        <w:pStyle w:val="ListParagraph"/>
        <w:rPr>
          <w:rFonts w:ascii="Arial" w:hAnsi="Arial" w:cs="Arial"/>
          <w:sz w:val="24"/>
          <w:szCs w:val="24"/>
        </w:rPr>
      </w:pPr>
    </w:p>
    <w:p w14:paraId="7B63E7A6" w14:textId="49582E9C" w:rsidR="00475059"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6C60E7" w:rsidRPr="00424122">
        <w:rPr>
          <w:rFonts w:ascii="Arial" w:hAnsi="Arial" w:cs="Arial"/>
          <w:sz w:val="24"/>
          <w:szCs w:val="24"/>
        </w:rPr>
        <w:t xml:space="preserve">If the applicant’s prospects of success in the review application are weak, the balance of convenience should favour of the granting of the interim interdict.  </w:t>
      </w:r>
      <w:r w:rsidR="00E12276" w:rsidRPr="00424122">
        <w:rPr>
          <w:rFonts w:ascii="Arial" w:hAnsi="Arial" w:cs="Arial"/>
          <w:sz w:val="24"/>
          <w:szCs w:val="24"/>
        </w:rPr>
        <w:t xml:space="preserve">In </w:t>
      </w:r>
      <w:r w:rsidR="006C60E7" w:rsidRPr="00424122">
        <w:rPr>
          <w:rFonts w:ascii="Arial" w:hAnsi="Arial" w:cs="Arial"/>
          <w:sz w:val="24"/>
          <w:szCs w:val="24"/>
        </w:rPr>
        <w:t xml:space="preserve">Furthermore, where the granting of the interim interdict will have an impact on </w:t>
      </w:r>
      <w:r w:rsidR="00E12276" w:rsidRPr="00424122">
        <w:rPr>
          <w:rFonts w:ascii="Arial" w:hAnsi="Arial" w:cs="Arial"/>
          <w:sz w:val="24"/>
          <w:szCs w:val="24"/>
        </w:rPr>
        <w:t xml:space="preserve">the performance of a </w:t>
      </w:r>
      <w:r w:rsidR="006C60E7" w:rsidRPr="00424122">
        <w:rPr>
          <w:rFonts w:ascii="Arial" w:hAnsi="Arial" w:cs="Arial"/>
          <w:sz w:val="24"/>
          <w:szCs w:val="24"/>
        </w:rPr>
        <w:t xml:space="preserve">statutory function, an interim interdict can only be granted </w:t>
      </w:r>
      <w:r w:rsidR="00475059" w:rsidRPr="00424122">
        <w:rPr>
          <w:rFonts w:ascii="Arial" w:hAnsi="Arial" w:cs="Arial"/>
          <w:sz w:val="24"/>
          <w:szCs w:val="24"/>
        </w:rPr>
        <w:t xml:space="preserve">in the clearest of cases.  In </w:t>
      </w:r>
      <w:r w:rsidR="00475059" w:rsidRPr="00424122">
        <w:rPr>
          <w:rFonts w:ascii="Arial" w:hAnsi="Arial" w:cs="Arial"/>
          <w:i/>
          <w:sz w:val="24"/>
          <w:szCs w:val="24"/>
        </w:rPr>
        <w:t>National Treasury and Others v Opposition to Urban Tolling and Others</w:t>
      </w:r>
      <w:r w:rsidR="00475059">
        <w:rPr>
          <w:rStyle w:val="FootnoteReference"/>
          <w:rFonts w:ascii="Arial" w:hAnsi="Arial" w:cs="Arial"/>
          <w:i/>
          <w:sz w:val="24"/>
          <w:szCs w:val="24"/>
        </w:rPr>
        <w:footnoteReference w:id="3"/>
      </w:r>
      <w:r w:rsidR="00475059" w:rsidRPr="00424122">
        <w:rPr>
          <w:rFonts w:ascii="Arial" w:hAnsi="Arial" w:cs="Arial"/>
          <w:sz w:val="24"/>
          <w:szCs w:val="24"/>
        </w:rPr>
        <w:t xml:space="preserve"> the court held that:</w:t>
      </w:r>
    </w:p>
    <w:p w14:paraId="2C28466E" w14:textId="77777777" w:rsidR="00F779E6" w:rsidRDefault="00F779E6" w:rsidP="00F779E6">
      <w:pPr>
        <w:pStyle w:val="ListParagraph"/>
        <w:spacing w:line="360" w:lineRule="auto"/>
        <w:ind w:left="0" w:right="-144"/>
        <w:jc w:val="both"/>
        <w:rPr>
          <w:rFonts w:ascii="Arial" w:hAnsi="Arial" w:cs="Arial"/>
          <w:sz w:val="24"/>
          <w:szCs w:val="24"/>
        </w:rPr>
      </w:pPr>
    </w:p>
    <w:p w14:paraId="72F8C439" w14:textId="176286A7" w:rsidR="00F779E6" w:rsidRDefault="00F779E6" w:rsidP="00F779E6">
      <w:pPr>
        <w:pStyle w:val="BodyText0"/>
        <w:kinsoku w:val="0"/>
        <w:overflowPunct w:val="0"/>
        <w:spacing w:line="360" w:lineRule="auto"/>
        <w:ind w:left="720" w:firstLine="0"/>
        <w:jc w:val="both"/>
        <w:rPr>
          <w:sz w:val="22"/>
          <w:szCs w:val="22"/>
        </w:rPr>
      </w:pPr>
      <w:r w:rsidRPr="00F779E6">
        <w:rPr>
          <w:sz w:val="22"/>
          <w:szCs w:val="22"/>
        </w:rPr>
        <w:t xml:space="preserve">“[46]: "... Similarly, when a court weighs up where the balance of convenience rests, it may not fail to consider the probable impact of the restraining order on the constitutional and statutory powers and duties of the state functionary or organ of state </w:t>
      </w:r>
      <w:r w:rsidRPr="00F779E6">
        <w:rPr>
          <w:sz w:val="22"/>
          <w:szCs w:val="22"/>
        </w:rPr>
        <w:lastRenderedPageBreak/>
        <w:t>against which the interim order is sought.</w:t>
      </w:r>
    </w:p>
    <w:p w14:paraId="39D46CF1" w14:textId="77777777" w:rsidR="00F779E6" w:rsidRPr="00F779E6" w:rsidRDefault="00F779E6" w:rsidP="00F779E6">
      <w:pPr>
        <w:pStyle w:val="BodyText0"/>
        <w:kinsoku w:val="0"/>
        <w:overflowPunct w:val="0"/>
        <w:spacing w:line="360" w:lineRule="auto"/>
        <w:ind w:left="720" w:firstLine="0"/>
        <w:jc w:val="both"/>
        <w:rPr>
          <w:sz w:val="22"/>
          <w:szCs w:val="22"/>
        </w:rPr>
      </w:pPr>
    </w:p>
    <w:p w14:paraId="63A49867" w14:textId="1F59B357" w:rsidR="00F779E6" w:rsidRDefault="00F779E6" w:rsidP="00F779E6">
      <w:pPr>
        <w:pStyle w:val="ListParagraph"/>
        <w:spacing w:after="0" w:line="360" w:lineRule="auto"/>
        <w:jc w:val="both"/>
        <w:rPr>
          <w:rFonts w:ascii="Arial" w:hAnsi="Arial" w:cs="Arial"/>
        </w:rPr>
      </w:pPr>
      <w:r w:rsidRPr="00F779E6">
        <w:rPr>
          <w:rFonts w:ascii="Arial" w:hAnsi="Arial" w:cs="Arial"/>
        </w:rPr>
        <w:t>[47]: "The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A court must keep in mind that a temporary restraint against the exercise of statutory power well ahead of the final adjudication of a claimant's case may be granted only in the clearest of cases and after a careful consideration of</w:t>
      </w:r>
      <w:r>
        <w:rPr>
          <w:rFonts w:ascii="Arial" w:hAnsi="Arial" w:cs="Arial"/>
        </w:rPr>
        <w:t xml:space="preserve"> the separation of powers harm.</w:t>
      </w:r>
    </w:p>
    <w:p w14:paraId="4F41CD12" w14:textId="1BB0B366" w:rsidR="00F779E6" w:rsidRPr="00F779E6" w:rsidRDefault="00F779E6" w:rsidP="00F779E6">
      <w:pPr>
        <w:pStyle w:val="ListParagraph"/>
        <w:spacing w:after="0" w:line="360" w:lineRule="auto"/>
        <w:jc w:val="both"/>
        <w:rPr>
          <w:rFonts w:ascii="Arial" w:hAnsi="Arial" w:cs="Arial"/>
        </w:rPr>
      </w:pPr>
      <w:r>
        <w:rPr>
          <w:rFonts w:ascii="Arial" w:hAnsi="Arial" w:cs="Arial"/>
        </w:rPr>
        <w:t>…</w:t>
      </w:r>
    </w:p>
    <w:p w14:paraId="0EDD671E" w14:textId="77777777" w:rsidR="00F779E6" w:rsidRDefault="00F779E6" w:rsidP="00F779E6">
      <w:pPr>
        <w:pStyle w:val="ListParagraph"/>
        <w:spacing w:after="0" w:line="360" w:lineRule="auto"/>
        <w:jc w:val="both"/>
        <w:rPr>
          <w:rFonts w:ascii="Arial" w:hAnsi="Arial" w:cs="Arial"/>
          <w:szCs w:val="26"/>
        </w:rPr>
      </w:pPr>
    </w:p>
    <w:p w14:paraId="3AAF6FB8" w14:textId="451D4498" w:rsidR="00F779E6" w:rsidRPr="00475059" w:rsidRDefault="00F779E6" w:rsidP="00F779E6">
      <w:pPr>
        <w:pStyle w:val="ListParagraph"/>
        <w:spacing w:after="0" w:line="360" w:lineRule="auto"/>
        <w:jc w:val="both"/>
        <w:rPr>
          <w:rFonts w:ascii="Arial" w:hAnsi="Arial" w:cs="Arial"/>
          <w:szCs w:val="26"/>
        </w:rPr>
      </w:pPr>
      <w:r w:rsidRPr="00475059">
        <w:rPr>
          <w:rFonts w:ascii="Arial" w:hAnsi="Arial" w:cs="Arial"/>
          <w:szCs w:val="26"/>
        </w:rPr>
        <w:t>[65]</w:t>
      </w:r>
      <w:r w:rsidRPr="00475059">
        <w:rPr>
          <w:rFonts w:ascii="Arial" w:hAnsi="Arial" w:cs="Arial"/>
          <w:szCs w:val="26"/>
        </w:rPr>
        <w:tab/>
        <w:t xml:space="preserve">When it evaluates where the balance of convenience rests, a court must recognise that it is invited to restrain the exercise of statutory power within the exclusive terrain of the Executive or Legislative branches of Government.  It must assess carefully how and to what extent its interdict will disrupt executive or legislative functions conferred by the law and thus whether its restraining order will implicate the tenet of division of powers.  Whilst a court has the power to grant a restraining order of that kind, it does not readily do so except when a proper and strong case has been made out for the relief and, even so, only in the clearest of cases. </w:t>
      </w:r>
    </w:p>
    <w:p w14:paraId="775DB32B" w14:textId="77777777" w:rsidR="00F779E6" w:rsidRPr="00F779E6" w:rsidRDefault="00F779E6" w:rsidP="00F779E6">
      <w:pPr>
        <w:pStyle w:val="ListParagraph"/>
        <w:spacing w:line="360" w:lineRule="auto"/>
        <w:rPr>
          <w:rFonts w:ascii="Arial" w:hAnsi="Arial" w:cs="Arial"/>
          <w:szCs w:val="26"/>
        </w:rPr>
      </w:pPr>
    </w:p>
    <w:p w14:paraId="41A4FE37" w14:textId="60AF63D8" w:rsidR="00F779E6" w:rsidRDefault="00F779E6" w:rsidP="00F779E6">
      <w:pPr>
        <w:pStyle w:val="ListParagraph"/>
        <w:spacing w:line="360" w:lineRule="auto"/>
        <w:ind w:right="-144"/>
        <w:jc w:val="both"/>
        <w:rPr>
          <w:rFonts w:ascii="Arial" w:hAnsi="Arial" w:cs="Arial"/>
          <w:sz w:val="24"/>
          <w:szCs w:val="24"/>
        </w:rPr>
      </w:pPr>
      <w:r w:rsidRPr="00475059">
        <w:rPr>
          <w:rFonts w:ascii="Arial" w:hAnsi="Arial" w:cs="Arial"/>
          <w:szCs w:val="26"/>
        </w:rPr>
        <w:t>[66]</w:t>
      </w:r>
      <w:r w:rsidRPr="00475059">
        <w:rPr>
          <w:rFonts w:ascii="Arial" w:hAnsi="Arial" w:cs="Arial"/>
          <w:szCs w:val="26"/>
        </w:rPr>
        <w:tab/>
        <w:t>A court must carefully consider whether the grant of the temporary restraining order pending a review will cut across or prevent the proper exercise of a power or duty that the law has vested in the authority to be interdicted.  Thus courts are obliged to recognise and assess the impact of temporary restraining orders when dealing with those matters pertaining to the best application, operation and dissemination of public resources.  What this means is that a court is obliged to ask itself not whether an interim interdict against an authorised state functionary is competent but rather whether it is constitutionally appropriate to grant the interdict.</w:t>
      </w:r>
      <w:r>
        <w:rPr>
          <w:rFonts w:ascii="Arial" w:hAnsi="Arial" w:cs="Arial"/>
          <w:szCs w:val="26"/>
        </w:rPr>
        <w:t>”</w:t>
      </w:r>
    </w:p>
    <w:p w14:paraId="42BB45E5" w14:textId="77777777" w:rsidR="00F779E6" w:rsidRDefault="00F779E6" w:rsidP="00F779E6">
      <w:pPr>
        <w:pStyle w:val="ListParagraph"/>
        <w:spacing w:line="480" w:lineRule="auto"/>
        <w:ind w:right="-144"/>
        <w:jc w:val="both"/>
        <w:rPr>
          <w:rFonts w:ascii="Arial" w:hAnsi="Arial" w:cs="Arial"/>
          <w:sz w:val="24"/>
          <w:szCs w:val="24"/>
        </w:rPr>
      </w:pPr>
    </w:p>
    <w:p w14:paraId="22D0B95E" w14:textId="5CADE800" w:rsidR="00F779E6" w:rsidRPr="00424122" w:rsidRDefault="00424122" w:rsidP="00424122">
      <w:pPr>
        <w:spacing w:line="480" w:lineRule="auto"/>
        <w:ind w:right="-144"/>
        <w:jc w:val="both"/>
        <w:rPr>
          <w:rFonts w:ascii="Arial" w:hAnsi="Arial" w:cs="Arial"/>
          <w:sz w:val="24"/>
          <w:szCs w:val="24"/>
        </w:rPr>
      </w:pPr>
      <w:r w:rsidRPr="00F779E6">
        <w:rPr>
          <w:rFonts w:ascii="Arial" w:hAnsi="Arial" w:cs="Arial"/>
          <w:sz w:val="24"/>
          <w:szCs w:val="24"/>
        </w:rPr>
        <w:t>[29]</w:t>
      </w:r>
      <w:r w:rsidRPr="00F779E6">
        <w:rPr>
          <w:rFonts w:ascii="Arial" w:hAnsi="Arial" w:cs="Arial"/>
          <w:sz w:val="24"/>
          <w:szCs w:val="24"/>
        </w:rPr>
        <w:tab/>
      </w:r>
      <w:r w:rsidR="00F779E6" w:rsidRPr="00424122">
        <w:rPr>
          <w:rFonts w:ascii="Arial" w:hAnsi="Arial" w:cs="Arial"/>
          <w:sz w:val="24"/>
          <w:szCs w:val="24"/>
        </w:rPr>
        <w:t xml:space="preserve">The Constitutional Court in the </w:t>
      </w:r>
      <w:r w:rsidR="00F779E6" w:rsidRPr="00424122">
        <w:rPr>
          <w:rFonts w:ascii="Arial" w:hAnsi="Arial" w:cs="Arial"/>
          <w:i/>
          <w:sz w:val="24"/>
          <w:szCs w:val="24"/>
        </w:rPr>
        <w:t>OUTA</w:t>
      </w:r>
      <w:r w:rsidR="00F779E6" w:rsidRPr="00424122">
        <w:rPr>
          <w:rFonts w:ascii="Arial" w:hAnsi="Arial" w:cs="Arial"/>
          <w:sz w:val="24"/>
          <w:szCs w:val="24"/>
        </w:rPr>
        <w:t xml:space="preserve"> matter went further and stated that:</w:t>
      </w:r>
    </w:p>
    <w:p w14:paraId="581557F5" w14:textId="0AFB3777" w:rsidR="00F779E6" w:rsidRDefault="00F779E6" w:rsidP="00F779E6">
      <w:pPr>
        <w:pStyle w:val="ListParagraph"/>
        <w:spacing w:line="480" w:lineRule="auto"/>
        <w:ind w:left="0" w:right="-144"/>
        <w:jc w:val="both"/>
        <w:rPr>
          <w:rFonts w:ascii="Arial" w:hAnsi="Arial" w:cs="Arial"/>
          <w:sz w:val="24"/>
          <w:szCs w:val="24"/>
        </w:rPr>
      </w:pPr>
    </w:p>
    <w:p w14:paraId="628B7B03" w14:textId="5FA61A07" w:rsidR="00F779E6" w:rsidRPr="00F779E6" w:rsidRDefault="00F779E6" w:rsidP="00F779E6">
      <w:pPr>
        <w:pStyle w:val="ListParagraph"/>
        <w:spacing w:line="360" w:lineRule="auto"/>
        <w:ind w:right="-144"/>
        <w:jc w:val="both"/>
        <w:rPr>
          <w:rFonts w:ascii="Arial" w:hAnsi="Arial" w:cs="Arial"/>
        </w:rPr>
      </w:pPr>
      <w:r w:rsidRPr="00F779E6">
        <w:rPr>
          <w:rFonts w:ascii="Arial" w:hAnsi="Arial" w:cs="Arial"/>
        </w:rPr>
        <w:t>“[71]</w:t>
      </w:r>
      <w:r w:rsidRPr="00F779E6">
        <w:rPr>
          <w:rFonts w:ascii="Arial" w:hAnsi="Arial" w:cs="Arial"/>
        </w:rPr>
        <w:tab/>
        <w:t>… Before granting interdictory relief pending a review a court must, in the absence of mala fides</w:t>
      </w:r>
      <w:r w:rsidRPr="00F779E6">
        <w:rPr>
          <w:rFonts w:ascii="Arial" w:hAnsi="Arial" w:cs="Arial"/>
          <w:i/>
        </w:rPr>
        <w:t>,</w:t>
      </w:r>
      <w:r w:rsidRPr="00F779E6">
        <w:rPr>
          <w:rFonts w:ascii="Arial" w:hAnsi="Arial" w:cs="Arial"/>
        </w:rPr>
        <w:t xml:space="preserve"> fraud or corruption, examine carefully whether its order will trespass upon the terrain of another arm of Government in a manner inconsistent with the doctrine of separation of powers.  That would ordinarily be so, if, as in the present </w:t>
      </w:r>
      <w:r w:rsidRPr="00F779E6">
        <w:rPr>
          <w:rFonts w:ascii="Arial" w:hAnsi="Arial" w:cs="Arial"/>
        </w:rPr>
        <w:lastRenderedPageBreak/>
        <w:t>case, a state functionary is restrained from exercising statutory or constitutionally authorised power.  In that event, a court should caution itself not to stall the exercise unless a compelling case has been made out for a temporary interdict.  Even so, it should be done only in the clearest of cases.  This is so because in the ordinary course valid law must be given effect to or implemented, except when the resultant harm and balance of convenience warrants otherwise.</w:t>
      </w:r>
      <w:r>
        <w:rPr>
          <w:rFonts w:ascii="Arial" w:hAnsi="Arial" w:cs="Arial"/>
        </w:rPr>
        <w:t>”</w:t>
      </w:r>
    </w:p>
    <w:p w14:paraId="64459166" w14:textId="33F75660" w:rsidR="00F779E6" w:rsidRDefault="00F779E6" w:rsidP="00873683">
      <w:pPr>
        <w:pStyle w:val="ListParagraph"/>
        <w:spacing w:line="480" w:lineRule="auto"/>
        <w:ind w:left="0" w:right="-144"/>
        <w:jc w:val="both"/>
        <w:rPr>
          <w:rFonts w:ascii="Arial" w:hAnsi="Arial" w:cs="Arial"/>
          <w:sz w:val="24"/>
          <w:szCs w:val="24"/>
        </w:rPr>
      </w:pPr>
    </w:p>
    <w:p w14:paraId="326F027D" w14:textId="5EF8F8AC" w:rsidR="00D43556" w:rsidRPr="00424122" w:rsidRDefault="00424122" w:rsidP="00424122">
      <w:pPr>
        <w:spacing w:line="480" w:lineRule="auto"/>
        <w:ind w:right="-144"/>
        <w:jc w:val="both"/>
        <w:rPr>
          <w:rFonts w:ascii="Arial" w:hAnsi="Arial" w:cs="Arial"/>
          <w:sz w:val="24"/>
          <w:szCs w:val="24"/>
        </w:rPr>
      </w:pPr>
      <w:r w:rsidRPr="00D43556">
        <w:rPr>
          <w:rFonts w:ascii="Arial" w:hAnsi="Arial" w:cs="Arial"/>
          <w:sz w:val="24"/>
          <w:szCs w:val="24"/>
        </w:rPr>
        <w:t>[30]</w:t>
      </w:r>
      <w:r w:rsidRPr="00D43556">
        <w:rPr>
          <w:rFonts w:ascii="Arial" w:hAnsi="Arial" w:cs="Arial"/>
          <w:sz w:val="24"/>
          <w:szCs w:val="24"/>
        </w:rPr>
        <w:tab/>
      </w:r>
      <w:r w:rsidR="00E630C3" w:rsidRPr="00424122">
        <w:rPr>
          <w:rFonts w:ascii="Arial" w:hAnsi="Arial" w:cs="Arial"/>
          <w:sz w:val="24"/>
          <w:szCs w:val="24"/>
        </w:rPr>
        <w:t xml:space="preserve">In its founding affidavit the applicant asserts that it has a </w:t>
      </w:r>
      <w:r w:rsidR="00E630C3" w:rsidRPr="00424122">
        <w:rPr>
          <w:rFonts w:ascii="Arial" w:hAnsi="Arial" w:cs="Arial"/>
          <w:i/>
          <w:sz w:val="24"/>
          <w:szCs w:val="24"/>
        </w:rPr>
        <w:t>prima facie</w:t>
      </w:r>
      <w:r w:rsidR="00E630C3" w:rsidRPr="00424122">
        <w:rPr>
          <w:rFonts w:ascii="Arial" w:hAnsi="Arial" w:cs="Arial"/>
          <w:sz w:val="24"/>
          <w:szCs w:val="24"/>
        </w:rPr>
        <w:t xml:space="preserve"> right, if not a clear right </w:t>
      </w:r>
      <w:r w:rsidR="000962B0" w:rsidRPr="00424122">
        <w:rPr>
          <w:rFonts w:ascii="Arial" w:hAnsi="Arial" w:cs="Arial"/>
          <w:sz w:val="24"/>
          <w:szCs w:val="24"/>
        </w:rPr>
        <w:t>to</w:t>
      </w:r>
      <w:r w:rsidR="00E630C3" w:rsidRPr="00424122">
        <w:rPr>
          <w:rFonts w:ascii="Arial" w:hAnsi="Arial" w:cs="Arial"/>
          <w:sz w:val="24"/>
          <w:szCs w:val="24"/>
        </w:rPr>
        <w:t xml:space="preserve"> be granted an</w:t>
      </w:r>
      <w:r w:rsidR="00620D1F" w:rsidRPr="00424122">
        <w:rPr>
          <w:rFonts w:ascii="Arial" w:hAnsi="Arial" w:cs="Arial"/>
          <w:sz w:val="24"/>
          <w:szCs w:val="24"/>
        </w:rPr>
        <w:t xml:space="preserve"> </w:t>
      </w:r>
      <w:r w:rsidR="00E630C3" w:rsidRPr="00424122">
        <w:rPr>
          <w:rFonts w:ascii="Arial" w:hAnsi="Arial" w:cs="Arial"/>
          <w:sz w:val="24"/>
          <w:szCs w:val="24"/>
        </w:rPr>
        <w:t xml:space="preserve">interim interdict.  </w:t>
      </w:r>
      <w:r w:rsidR="00873683" w:rsidRPr="00424122">
        <w:rPr>
          <w:rFonts w:ascii="Arial" w:hAnsi="Arial" w:cs="Arial"/>
          <w:sz w:val="24"/>
          <w:szCs w:val="24"/>
        </w:rPr>
        <w:t>However, the applicant failed to substantiate its claim to a prima facie right.  It was on</w:t>
      </w:r>
      <w:r w:rsidR="00D43556" w:rsidRPr="00424122">
        <w:rPr>
          <w:rFonts w:ascii="Arial" w:hAnsi="Arial" w:cs="Arial"/>
          <w:sz w:val="24"/>
          <w:szCs w:val="24"/>
        </w:rPr>
        <w:t>l</w:t>
      </w:r>
      <w:r w:rsidR="00873683" w:rsidRPr="00424122">
        <w:rPr>
          <w:rFonts w:ascii="Arial" w:hAnsi="Arial" w:cs="Arial"/>
          <w:sz w:val="24"/>
          <w:szCs w:val="24"/>
        </w:rPr>
        <w:t xml:space="preserve">y in </w:t>
      </w:r>
      <w:r w:rsidR="00D43556" w:rsidRPr="00424122">
        <w:rPr>
          <w:rFonts w:ascii="Arial" w:hAnsi="Arial" w:cs="Arial"/>
          <w:sz w:val="24"/>
          <w:szCs w:val="24"/>
        </w:rPr>
        <w:t>i</w:t>
      </w:r>
      <w:r w:rsidR="00873683" w:rsidRPr="00424122">
        <w:rPr>
          <w:rFonts w:ascii="Arial" w:hAnsi="Arial" w:cs="Arial"/>
          <w:sz w:val="24"/>
          <w:szCs w:val="24"/>
        </w:rPr>
        <w:t xml:space="preserve">ts replying </w:t>
      </w:r>
      <w:r w:rsidR="00D43556" w:rsidRPr="00424122">
        <w:rPr>
          <w:rFonts w:ascii="Arial" w:hAnsi="Arial" w:cs="Arial"/>
          <w:sz w:val="24"/>
          <w:szCs w:val="24"/>
        </w:rPr>
        <w:t xml:space="preserve">affidavit that the applicant claimed to have a prima facie right in that </w:t>
      </w:r>
      <w:r w:rsidR="00A31EAD" w:rsidRPr="00424122">
        <w:rPr>
          <w:rFonts w:ascii="Arial" w:hAnsi="Arial" w:cs="Arial"/>
          <w:sz w:val="24"/>
          <w:szCs w:val="24"/>
        </w:rPr>
        <w:t>it has a right to administrative action in order to avoid the proverbial horse from bolting.</w:t>
      </w:r>
      <w:r w:rsidR="00E630C3" w:rsidRPr="00424122">
        <w:rPr>
          <w:rFonts w:ascii="Arial" w:hAnsi="Arial" w:cs="Arial"/>
          <w:sz w:val="24"/>
          <w:szCs w:val="24"/>
        </w:rPr>
        <w:t xml:space="preserve">  </w:t>
      </w:r>
      <w:r w:rsidR="00C04771" w:rsidRPr="00424122">
        <w:rPr>
          <w:rFonts w:ascii="Arial" w:hAnsi="Arial" w:cs="Arial"/>
          <w:sz w:val="24"/>
          <w:szCs w:val="24"/>
        </w:rPr>
        <w:t>It is the applicant’s contention that its review application has prospects of success</w:t>
      </w:r>
      <w:r w:rsidR="00D43556" w:rsidRPr="00424122">
        <w:rPr>
          <w:rFonts w:ascii="Arial" w:hAnsi="Arial" w:cs="Arial"/>
          <w:sz w:val="24"/>
          <w:szCs w:val="24"/>
        </w:rPr>
        <w:t xml:space="preserve"> and that the balance of convenience is in favour of the interim interdict being granted</w:t>
      </w:r>
      <w:r w:rsidR="00C04771" w:rsidRPr="00424122">
        <w:rPr>
          <w:rFonts w:ascii="Arial" w:hAnsi="Arial" w:cs="Arial"/>
          <w:sz w:val="24"/>
          <w:szCs w:val="24"/>
        </w:rPr>
        <w:t>.</w:t>
      </w:r>
      <w:r w:rsidR="00D43556" w:rsidRPr="00424122">
        <w:rPr>
          <w:rFonts w:ascii="Arial" w:hAnsi="Arial" w:cs="Arial"/>
          <w:sz w:val="24"/>
          <w:szCs w:val="24"/>
        </w:rPr>
        <w:t xml:space="preserve">  Further in argument it was submitted that the applicant has a reasonable apprehension of </w:t>
      </w:r>
      <w:r w:rsidR="00A717A8" w:rsidRPr="00424122">
        <w:rPr>
          <w:rFonts w:ascii="Arial" w:hAnsi="Arial" w:cs="Arial"/>
          <w:sz w:val="24"/>
          <w:szCs w:val="24"/>
        </w:rPr>
        <w:t xml:space="preserve">irreparable </w:t>
      </w:r>
      <w:r w:rsidR="00D43556" w:rsidRPr="00424122">
        <w:rPr>
          <w:rFonts w:ascii="Arial" w:hAnsi="Arial" w:cs="Arial"/>
          <w:sz w:val="24"/>
          <w:szCs w:val="24"/>
        </w:rPr>
        <w:t>harm if interim interdict is not granted, in that it will suffer prejudice where the impugned administrative action continues unabated and contrary to the applicant’s rights to just and fair administrative action.  It is further the applicant’s contention that should the interim interdict not be granted and the applicant becomes successful in its review application, the applicant has no satisfactory remedy available to the applicant.</w:t>
      </w:r>
    </w:p>
    <w:p w14:paraId="7738F90F" w14:textId="77777777" w:rsidR="00D43556" w:rsidRDefault="00D43556" w:rsidP="00D43556">
      <w:pPr>
        <w:pStyle w:val="ListParagraph"/>
        <w:spacing w:line="360" w:lineRule="auto"/>
        <w:ind w:left="0" w:right="-144"/>
        <w:jc w:val="both"/>
        <w:rPr>
          <w:rFonts w:ascii="Arial" w:hAnsi="Arial" w:cs="Arial"/>
          <w:sz w:val="24"/>
          <w:szCs w:val="24"/>
        </w:rPr>
      </w:pPr>
    </w:p>
    <w:p w14:paraId="29D0E442" w14:textId="690AD35B" w:rsidR="00C04771" w:rsidRPr="00424122" w:rsidRDefault="00424122" w:rsidP="00424122">
      <w:pPr>
        <w:spacing w:line="480" w:lineRule="auto"/>
        <w:ind w:right="-144"/>
        <w:jc w:val="both"/>
        <w:rPr>
          <w:rFonts w:ascii="Arial" w:hAnsi="Arial" w:cs="Arial"/>
          <w:sz w:val="24"/>
          <w:szCs w:val="24"/>
        </w:rPr>
      </w:pPr>
      <w:r w:rsidRPr="00873683">
        <w:rPr>
          <w:rFonts w:ascii="Arial" w:hAnsi="Arial" w:cs="Arial"/>
          <w:sz w:val="24"/>
          <w:szCs w:val="24"/>
        </w:rPr>
        <w:t>[31]</w:t>
      </w:r>
      <w:r w:rsidRPr="00873683">
        <w:rPr>
          <w:rFonts w:ascii="Arial" w:hAnsi="Arial" w:cs="Arial"/>
          <w:sz w:val="24"/>
          <w:szCs w:val="24"/>
        </w:rPr>
        <w:tab/>
      </w:r>
      <w:r w:rsidR="00620D1F" w:rsidRPr="00424122">
        <w:rPr>
          <w:rFonts w:ascii="Arial" w:hAnsi="Arial" w:cs="Arial"/>
          <w:sz w:val="24"/>
          <w:szCs w:val="24"/>
        </w:rPr>
        <w:t xml:space="preserve">According to the applicant, the non-payment of the correct pre-registration fee was as a result of a bona fide mistake due to the misinformation van Schalkwyk received from ICASA’s officials.  </w:t>
      </w:r>
      <w:r w:rsidR="00E630C3" w:rsidRPr="00424122">
        <w:rPr>
          <w:rFonts w:ascii="Arial" w:hAnsi="Arial" w:cs="Arial"/>
          <w:sz w:val="24"/>
          <w:szCs w:val="24"/>
        </w:rPr>
        <w:t xml:space="preserve">It was </w:t>
      </w:r>
      <w:r w:rsidR="00C04771" w:rsidRPr="00424122">
        <w:rPr>
          <w:rFonts w:ascii="Arial" w:hAnsi="Arial" w:cs="Arial"/>
          <w:sz w:val="24"/>
          <w:szCs w:val="24"/>
        </w:rPr>
        <w:t>submitted applicant that the mistake made in not paying the full prescribed pre-registration fee is immaterial and that the decision by the respondent refusing to condone the mistake was unreasonable</w:t>
      </w:r>
      <w:r w:rsidR="00EC23E1" w:rsidRPr="00424122">
        <w:rPr>
          <w:rFonts w:ascii="Arial" w:hAnsi="Arial" w:cs="Arial"/>
          <w:sz w:val="24"/>
          <w:szCs w:val="24"/>
        </w:rPr>
        <w:t xml:space="preserve"> and procedurally unfair</w:t>
      </w:r>
      <w:r w:rsidR="00C04771" w:rsidRPr="00424122">
        <w:rPr>
          <w:rFonts w:ascii="Arial" w:hAnsi="Arial" w:cs="Arial"/>
          <w:sz w:val="24"/>
          <w:szCs w:val="24"/>
        </w:rPr>
        <w:t xml:space="preserve">.  </w:t>
      </w:r>
      <w:r w:rsidR="009E3B83" w:rsidRPr="00424122">
        <w:rPr>
          <w:rFonts w:ascii="Arial" w:hAnsi="Arial" w:cs="Arial"/>
          <w:sz w:val="24"/>
          <w:szCs w:val="24"/>
        </w:rPr>
        <w:t>I</w:t>
      </w:r>
      <w:r w:rsidR="00A40B18" w:rsidRPr="00424122">
        <w:rPr>
          <w:rFonts w:ascii="Arial" w:hAnsi="Arial" w:cs="Arial"/>
          <w:sz w:val="24"/>
          <w:szCs w:val="24"/>
        </w:rPr>
        <w:t xml:space="preserve">n this regard reference was made to the </w:t>
      </w:r>
      <w:r w:rsidR="009E3B83" w:rsidRPr="00424122">
        <w:rPr>
          <w:rFonts w:ascii="Arial" w:hAnsi="Arial" w:cs="Arial"/>
          <w:sz w:val="24"/>
          <w:szCs w:val="24"/>
        </w:rPr>
        <w:t xml:space="preserve">decision in </w:t>
      </w:r>
      <w:r w:rsidR="00C04771" w:rsidRPr="00424122">
        <w:rPr>
          <w:rFonts w:ascii="Arial" w:hAnsi="Arial" w:cs="Arial"/>
          <w:i/>
          <w:sz w:val="24"/>
          <w:szCs w:val="24"/>
        </w:rPr>
        <w:t xml:space="preserve">Milleneum </w:t>
      </w:r>
      <w:r w:rsidR="0050757D" w:rsidRPr="00424122">
        <w:rPr>
          <w:rFonts w:ascii="Arial" w:hAnsi="Arial" w:cs="Arial"/>
          <w:i/>
          <w:sz w:val="24"/>
          <w:szCs w:val="24"/>
        </w:rPr>
        <w:t xml:space="preserve">Waste Management </w:t>
      </w:r>
      <w:r w:rsidR="009E3B83" w:rsidRPr="00424122">
        <w:rPr>
          <w:rFonts w:ascii="Arial" w:hAnsi="Arial" w:cs="Arial"/>
          <w:i/>
          <w:sz w:val="24"/>
          <w:szCs w:val="24"/>
        </w:rPr>
        <w:lastRenderedPageBreak/>
        <w:t xml:space="preserve">(Pty) Ltd </w:t>
      </w:r>
      <w:r w:rsidR="00C04771" w:rsidRPr="00424122">
        <w:rPr>
          <w:rFonts w:ascii="Arial" w:hAnsi="Arial" w:cs="Arial"/>
          <w:i/>
          <w:sz w:val="24"/>
          <w:szCs w:val="24"/>
        </w:rPr>
        <w:t xml:space="preserve">v </w:t>
      </w:r>
      <w:r w:rsidR="0050757D" w:rsidRPr="00424122">
        <w:rPr>
          <w:rFonts w:ascii="Arial" w:hAnsi="Arial" w:cs="Arial"/>
          <w:i/>
          <w:sz w:val="24"/>
          <w:szCs w:val="24"/>
        </w:rPr>
        <w:t>Chairperson</w:t>
      </w:r>
      <w:r w:rsidR="009E3B83" w:rsidRPr="00424122">
        <w:rPr>
          <w:rFonts w:ascii="Arial" w:hAnsi="Arial" w:cs="Arial"/>
          <w:i/>
          <w:sz w:val="24"/>
          <w:szCs w:val="24"/>
        </w:rPr>
        <w:t xml:space="preserve"> of the </w:t>
      </w:r>
      <w:r w:rsidR="0050757D" w:rsidRPr="00424122">
        <w:rPr>
          <w:rFonts w:ascii="Arial" w:hAnsi="Arial" w:cs="Arial"/>
          <w:i/>
          <w:sz w:val="24"/>
          <w:szCs w:val="24"/>
        </w:rPr>
        <w:t>Tender Board</w:t>
      </w:r>
      <w:r w:rsidR="009E3B83" w:rsidRPr="00424122">
        <w:rPr>
          <w:rFonts w:ascii="Arial" w:hAnsi="Arial" w:cs="Arial"/>
          <w:i/>
          <w:sz w:val="24"/>
          <w:szCs w:val="24"/>
        </w:rPr>
        <w:t>: Limpopo Province and Others</w:t>
      </w:r>
      <w:r w:rsidR="009E3B83" w:rsidRPr="00A40B18">
        <w:rPr>
          <w:rStyle w:val="FootnoteReference"/>
          <w:rFonts w:ascii="Arial" w:hAnsi="Arial" w:cs="Arial"/>
          <w:sz w:val="24"/>
          <w:szCs w:val="24"/>
        </w:rPr>
        <w:footnoteReference w:id="4"/>
      </w:r>
      <w:r w:rsidR="009E3B83" w:rsidRPr="00424122">
        <w:rPr>
          <w:rFonts w:ascii="Arial" w:hAnsi="Arial" w:cs="Arial"/>
          <w:sz w:val="24"/>
          <w:szCs w:val="24"/>
        </w:rPr>
        <w:t xml:space="preserve"> </w:t>
      </w:r>
      <w:r w:rsidR="00C04771" w:rsidRPr="00424122">
        <w:rPr>
          <w:rFonts w:ascii="Arial" w:hAnsi="Arial" w:cs="Arial"/>
          <w:sz w:val="24"/>
          <w:szCs w:val="24"/>
        </w:rPr>
        <w:t>where the court held that</w:t>
      </w:r>
      <w:r w:rsidR="0050757D" w:rsidRPr="00424122">
        <w:rPr>
          <w:rFonts w:ascii="Arial" w:hAnsi="Arial" w:cs="Arial"/>
          <w:sz w:val="24"/>
          <w:szCs w:val="24"/>
        </w:rPr>
        <w:t>:</w:t>
      </w:r>
    </w:p>
    <w:p w14:paraId="23899699" w14:textId="77777777" w:rsidR="0050757D" w:rsidRPr="008443EF" w:rsidRDefault="0050757D" w:rsidP="00EC23E1">
      <w:pPr>
        <w:pStyle w:val="ListParagraph"/>
        <w:spacing w:line="360" w:lineRule="auto"/>
        <w:ind w:left="0"/>
        <w:rPr>
          <w:rFonts w:ascii="Arial" w:hAnsi="Arial" w:cs="Arial"/>
        </w:rPr>
      </w:pPr>
    </w:p>
    <w:p w14:paraId="1251FE52" w14:textId="3F4E8002" w:rsidR="009E3B83" w:rsidRPr="008443EF" w:rsidRDefault="0050757D" w:rsidP="0050757D">
      <w:pPr>
        <w:pStyle w:val="1AutoList1"/>
        <w:tabs>
          <w:tab w:val="left" w:pos="1440"/>
        </w:tabs>
        <w:spacing w:line="360" w:lineRule="auto"/>
        <w:ind w:left="1440" w:firstLine="0"/>
        <w:rPr>
          <w:rFonts w:ascii="Arial" w:hAnsi="Arial" w:cs="Arial"/>
          <w:sz w:val="22"/>
          <w:szCs w:val="22"/>
        </w:rPr>
      </w:pPr>
      <w:r w:rsidRPr="008443EF">
        <w:rPr>
          <w:rFonts w:ascii="Arial" w:hAnsi="Arial" w:cs="Arial"/>
          <w:sz w:val="22"/>
          <w:szCs w:val="22"/>
        </w:rPr>
        <w:t>“[17]</w:t>
      </w:r>
      <w:r w:rsidRPr="008443EF">
        <w:rPr>
          <w:rFonts w:ascii="Arial" w:hAnsi="Arial" w:cs="Arial"/>
          <w:sz w:val="22"/>
          <w:szCs w:val="22"/>
        </w:rPr>
        <w:tab/>
        <w:t>Moreover, our law permits condonation of non-compliance with peremptory requirements in cases where condonation is not incompatible with public interest and if such condonation is granted by the body in whose benefit the provision was enacted (</w:t>
      </w:r>
      <w:r w:rsidRPr="008443EF">
        <w:rPr>
          <w:rFonts w:ascii="Arial" w:hAnsi="Arial" w:cs="Arial"/>
          <w:i/>
          <w:iCs/>
          <w:sz w:val="22"/>
          <w:szCs w:val="22"/>
        </w:rPr>
        <w:t>SA Eagle Co Ltd v Bavuma</w:t>
      </w:r>
      <w:r w:rsidRPr="008443EF">
        <w:rPr>
          <w:rFonts w:ascii="Arial" w:hAnsi="Arial" w:cs="Arial"/>
          <w:sz w:val="22"/>
          <w:szCs w:val="22"/>
        </w:rPr>
        <w:t>).</w:t>
      </w:r>
    </w:p>
    <w:p w14:paraId="771DE9E7" w14:textId="51946AE3" w:rsidR="009E3B83" w:rsidRPr="008443EF" w:rsidRDefault="009E3B83" w:rsidP="009E3B83">
      <w:pPr>
        <w:pStyle w:val="1AutoList1"/>
        <w:tabs>
          <w:tab w:val="left" w:pos="1440"/>
        </w:tabs>
        <w:spacing w:line="276" w:lineRule="auto"/>
        <w:ind w:left="1440" w:firstLine="0"/>
        <w:rPr>
          <w:rFonts w:ascii="Arial" w:hAnsi="Arial" w:cs="Arial"/>
          <w:sz w:val="22"/>
          <w:szCs w:val="22"/>
        </w:rPr>
      </w:pPr>
      <w:r w:rsidRPr="008443EF">
        <w:rPr>
          <w:rFonts w:ascii="Arial" w:hAnsi="Arial" w:cs="Arial"/>
          <w:sz w:val="22"/>
          <w:szCs w:val="22"/>
        </w:rPr>
        <w:t>…</w:t>
      </w:r>
    </w:p>
    <w:p w14:paraId="25C49C59" w14:textId="33786DEE" w:rsidR="0050757D" w:rsidRPr="008443EF" w:rsidRDefault="009E3B83" w:rsidP="009E3B83">
      <w:pPr>
        <w:pStyle w:val="1AutoList1"/>
        <w:tabs>
          <w:tab w:val="left" w:pos="1440"/>
        </w:tabs>
        <w:spacing w:line="360" w:lineRule="auto"/>
        <w:ind w:left="1440" w:firstLine="0"/>
        <w:rPr>
          <w:rFonts w:ascii="Arial" w:hAnsi="Arial" w:cs="Arial"/>
        </w:rPr>
      </w:pPr>
      <w:r w:rsidRPr="008443EF">
        <w:rPr>
          <w:rFonts w:ascii="Arial" w:hAnsi="Arial" w:cs="Arial"/>
          <w:sz w:val="22"/>
          <w:szCs w:val="22"/>
        </w:rPr>
        <w:t>[21]</w:t>
      </w:r>
      <w:r w:rsidRPr="008443EF">
        <w:rPr>
          <w:rFonts w:ascii="Arial" w:hAnsi="Arial" w:cs="Arial"/>
          <w:sz w:val="22"/>
          <w:szCs w:val="22"/>
        </w:rPr>
        <w:tab/>
        <w:t>Since the adjudication of tenders constitutes administrative action, of necessity the process must be conducted in a manner that promotes the administrative justice rights while satisfying the requirements of PAJA (</w:t>
      </w:r>
      <w:r w:rsidRPr="008443EF">
        <w:rPr>
          <w:rFonts w:ascii="Arial" w:hAnsi="Arial" w:cs="Arial"/>
          <w:i/>
          <w:iCs/>
          <w:sz w:val="22"/>
          <w:szCs w:val="22"/>
        </w:rPr>
        <w:t>Du Toit v Minister of Transport</w:t>
      </w:r>
      <w:r w:rsidRPr="008443EF">
        <w:rPr>
          <w:rFonts w:ascii="Arial" w:hAnsi="Arial" w:cs="Arial"/>
          <w:sz w:val="22"/>
          <w:szCs w:val="22"/>
        </w:rPr>
        <w:t>). Conditions such as the one relied on by the tender committee should not be mechanically applied with no regard to a tenderer’s constitutional rights.</w:t>
      </w:r>
      <w:r w:rsidR="00A717A8">
        <w:rPr>
          <w:rFonts w:ascii="Arial" w:hAnsi="Arial" w:cs="Arial"/>
          <w:sz w:val="22"/>
          <w:szCs w:val="22"/>
        </w:rPr>
        <w:t>”</w:t>
      </w:r>
    </w:p>
    <w:p w14:paraId="3855366C" w14:textId="77777777" w:rsidR="00873683" w:rsidRPr="00873683" w:rsidRDefault="00873683" w:rsidP="00873683">
      <w:pPr>
        <w:pStyle w:val="ListParagraph"/>
        <w:rPr>
          <w:rFonts w:ascii="Arial" w:hAnsi="Arial" w:cs="Arial"/>
          <w:sz w:val="24"/>
          <w:szCs w:val="24"/>
        </w:rPr>
      </w:pPr>
    </w:p>
    <w:p w14:paraId="4193A6D6" w14:textId="1C10385F" w:rsidR="00D632B6"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04771" w:rsidRPr="00424122">
        <w:rPr>
          <w:rFonts w:ascii="Arial" w:hAnsi="Arial" w:cs="Arial"/>
          <w:sz w:val="24"/>
          <w:szCs w:val="24"/>
        </w:rPr>
        <w:t>On behalf of the respondent it was submitted that the applicant has not established a prima facie right warranting the granting of an interim interdict.  Further, it was submitted</w:t>
      </w:r>
      <w:r w:rsidR="00623BE8" w:rsidRPr="00424122">
        <w:rPr>
          <w:rFonts w:ascii="Arial" w:hAnsi="Arial" w:cs="Arial"/>
          <w:sz w:val="24"/>
          <w:szCs w:val="24"/>
        </w:rPr>
        <w:t xml:space="preserve">, with regard to the applicant’s assertion that it has prospects of success in the review, </w:t>
      </w:r>
      <w:r w:rsidR="00C04771" w:rsidRPr="00424122">
        <w:rPr>
          <w:rFonts w:ascii="Arial" w:hAnsi="Arial" w:cs="Arial"/>
          <w:sz w:val="24"/>
          <w:szCs w:val="24"/>
        </w:rPr>
        <w:t xml:space="preserve">that the applicant has </w:t>
      </w:r>
      <w:r w:rsidR="004C445D" w:rsidRPr="00424122">
        <w:rPr>
          <w:rFonts w:ascii="Arial" w:hAnsi="Arial" w:cs="Arial"/>
          <w:sz w:val="24"/>
          <w:szCs w:val="24"/>
        </w:rPr>
        <w:t xml:space="preserve">incorrectly relied on the Milleneum decision </w:t>
      </w:r>
      <w:r w:rsidR="00D632B6" w:rsidRPr="00424122">
        <w:rPr>
          <w:rFonts w:ascii="Arial" w:hAnsi="Arial" w:cs="Arial"/>
          <w:sz w:val="24"/>
          <w:szCs w:val="24"/>
        </w:rPr>
        <w:t xml:space="preserve">with regard to whether non-compliance with peremptory requirements could be condoned.  In this regard counsel for the respondent made reference to the decision in </w:t>
      </w:r>
      <w:r w:rsidR="00725826" w:rsidRPr="00424122">
        <w:rPr>
          <w:rFonts w:ascii="Arial" w:hAnsi="Arial" w:cs="Arial"/>
          <w:i/>
          <w:sz w:val="24"/>
          <w:szCs w:val="24"/>
        </w:rPr>
        <w:t>Minister of Environmental Affairs and Tourism v Pepper Bay Fishing (Pty) Ltd; Minister of Environmental Affairs v Smith</w:t>
      </w:r>
      <w:r w:rsidR="00725826">
        <w:rPr>
          <w:rStyle w:val="FootnoteReference"/>
          <w:rFonts w:ascii="Arial" w:hAnsi="Arial" w:cs="Arial"/>
          <w:i/>
          <w:sz w:val="24"/>
          <w:szCs w:val="24"/>
        </w:rPr>
        <w:footnoteReference w:id="5"/>
      </w:r>
      <w:r w:rsidR="00725826" w:rsidRPr="00424122">
        <w:rPr>
          <w:rFonts w:ascii="Arial" w:hAnsi="Arial" w:cs="Arial"/>
        </w:rPr>
        <w:t xml:space="preserve"> </w:t>
      </w:r>
      <w:r w:rsidR="004C445D" w:rsidRPr="00424122">
        <w:rPr>
          <w:rFonts w:ascii="Arial" w:hAnsi="Arial" w:cs="Arial"/>
          <w:sz w:val="24"/>
          <w:szCs w:val="24"/>
        </w:rPr>
        <w:t>where the court held that</w:t>
      </w:r>
      <w:r w:rsidR="00D632B6" w:rsidRPr="00424122">
        <w:rPr>
          <w:rFonts w:ascii="Arial" w:hAnsi="Arial" w:cs="Arial"/>
          <w:sz w:val="24"/>
          <w:szCs w:val="24"/>
        </w:rPr>
        <w:t>:</w:t>
      </w:r>
    </w:p>
    <w:p w14:paraId="33AE8914" w14:textId="77777777" w:rsidR="00725826" w:rsidRPr="00725826" w:rsidRDefault="00725826" w:rsidP="00725826">
      <w:pPr>
        <w:pStyle w:val="ListParagraph"/>
        <w:spacing w:line="360" w:lineRule="auto"/>
        <w:rPr>
          <w:rFonts w:ascii="Arial" w:hAnsi="Arial" w:cs="Arial"/>
        </w:rPr>
      </w:pPr>
    </w:p>
    <w:p w14:paraId="5E7240B8" w14:textId="3A3FB073" w:rsidR="00725826" w:rsidRPr="00725826" w:rsidRDefault="00725826" w:rsidP="00725826">
      <w:pPr>
        <w:pStyle w:val="BodyText1"/>
        <w:shd w:val="clear" w:color="auto" w:fill="auto"/>
        <w:spacing w:before="0" w:after="397" w:line="360" w:lineRule="auto"/>
        <w:ind w:left="2160" w:right="20" w:firstLine="0"/>
        <w:jc w:val="both"/>
      </w:pPr>
      <w:r w:rsidRPr="00725826">
        <w:t>“[31]</w:t>
      </w:r>
      <w:r w:rsidRPr="00725826">
        <w:tab/>
        <w:t>As a general principle an administrative authority has no inherent power to condone failure to comply with a peremptory requirement. It only has such power if it has been afforded the discretion to do so.”</w:t>
      </w:r>
    </w:p>
    <w:p w14:paraId="55D4005E" w14:textId="77777777" w:rsidR="00D632B6" w:rsidRPr="00D632B6" w:rsidRDefault="00D632B6" w:rsidP="00623BE8">
      <w:pPr>
        <w:pStyle w:val="ListParagraph"/>
        <w:spacing w:line="360" w:lineRule="auto"/>
        <w:rPr>
          <w:rFonts w:ascii="Arial" w:hAnsi="Arial" w:cs="Arial"/>
          <w:sz w:val="24"/>
          <w:szCs w:val="24"/>
        </w:rPr>
      </w:pPr>
    </w:p>
    <w:p w14:paraId="3F45165B" w14:textId="6958BF4A" w:rsidR="00F264EF"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264EF" w:rsidRPr="00424122">
        <w:rPr>
          <w:rFonts w:ascii="Arial" w:hAnsi="Arial" w:cs="Arial"/>
          <w:sz w:val="24"/>
          <w:szCs w:val="24"/>
        </w:rPr>
        <w:t>As indicated above, the applicant did not make out its case in the founding affidavit that it has a prima facie right though open to some doubt.  Nothing turn on the fact that the applicant has instituted review proceedings against the impugned decision.  In the OUTA matter, the court stated that:</w:t>
      </w:r>
    </w:p>
    <w:p w14:paraId="2E1D1CB0" w14:textId="3E566A94" w:rsidR="00F264EF" w:rsidRPr="00D26B03" w:rsidRDefault="00F264EF" w:rsidP="00D26B03">
      <w:pPr>
        <w:pStyle w:val="ListParagraph"/>
        <w:spacing w:line="360" w:lineRule="auto"/>
        <w:ind w:left="0" w:right="-144"/>
        <w:jc w:val="both"/>
        <w:rPr>
          <w:rFonts w:ascii="Arial" w:hAnsi="Arial" w:cs="Arial"/>
        </w:rPr>
      </w:pPr>
    </w:p>
    <w:p w14:paraId="385F853F" w14:textId="14146B9C" w:rsidR="00F264EF" w:rsidRPr="00F264EF" w:rsidRDefault="00F264EF" w:rsidP="00D26B03">
      <w:pPr>
        <w:pStyle w:val="ListParagraph"/>
        <w:spacing w:line="360" w:lineRule="auto"/>
        <w:ind w:right="-144"/>
        <w:jc w:val="both"/>
        <w:rPr>
          <w:rFonts w:ascii="Arial" w:hAnsi="Arial" w:cs="Arial"/>
          <w:sz w:val="24"/>
          <w:szCs w:val="24"/>
        </w:rPr>
      </w:pPr>
      <w:r w:rsidRPr="00D26B03">
        <w:rPr>
          <w:rFonts w:ascii="Arial" w:hAnsi="Arial" w:cs="Arial"/>
        </w:rPr>
        <w:t>“[50]</w:t>
      </w:r>
      <w:r w:rsidRPr="00D26B03">
        <w:rPr>
          <w:rFonts w:ascii="Arial" w:hAnsi="Arial" w:cs="Arial"/>
        </w:rPr>
        <w:tab/>
        <w:t xml:space="preserve">Under the </w:t>
      </w:r>
      <w:r w:rsidRPr="00D26B03">
        <w:rPr>
          <w:rFonts w:ascii="Arial" w:hAnsi="Arial" w:cs="Arial"/>
          <w:i/>
        </w:rPr>
        <w:t>Setlogelo</w:t>
      </w:r>
      <w:r w:rsidRPr="00D26B03">
        <w:rPr>
          <w:rFonts w:ascii="Arial" w:hAnsi="Arial" w:cs="Arial"/>
        </w:rPr>
        <w:t xml:space="preserve"> test, the prima facie right a claimant must establish is not merely the right to approach a court in order to review an administrative decision.</w:t>
      </w:r>
      <w:r w:rsidRPr="00D26B03">
        <w:rPr>
          <w:rStyle w:val="FootnoteReference"/>
          <w:rFonts w:ascii="Arial" w:hAnsi="Arial" w:cs="Arial"/>
        </w:rPr>
        <w:footnoteReference w:id="6"/>
      </w:r>
      <w:r w:rsidRPr="00D26B03">
        <w:rPr>
          <w:rFonts w:ascii="Arial" w:hAnsi="Arial" w:cs="Arial"/>
        </w:rPr>
        <w:t xml:space="preserve">  It is a right to which, if not protected by an interdict, irreparable harm would ensue.  An interdict is meant to prevent future conduct and not decisions already made.  Quite apart from the right to review and to set aside impugned decisions, the applicants should have demonstrated a prima facie right that is threatened by an impending or imminent irreparable harm.  The right to review the impugned decisions did not require any preservation </w:t>
      </w:r>
      <w:r w:rsidRPr="00D26B03">
        <w:rPr>
          <w:rFonts w:ascii="Arial" w:hAnsi="Arial" w:cs="Arial"/>
          <w:i/>
        </w:rPr>
        <w:t>pendente lite.</w:t>
      </w:r>
      <w:r w:rsidR="00D26B03">
        <w:rPr>
          <w:rFonts w:ascii="Arial" w:hAnsi="Arial" w:cs="Arial"/>
        </w:rPr>
        <w:t>”</w:t>
      </w:r>
    </w:p>
    <w:p w14:paraId="32C8CD68" w14:textId="77777777" w:rsidR="00F264EF" w:rsidRDefault="00F264EF" w:rsidP="00F264EF">
      <w:pPr>
        <w:pStyle w:val="ListParagraph"/>
        <w:spacing w:line="480" w:lineRule="auto"/>
        <w:ind w:left="0" w:right="-144"/>
        <w:jc w:val="both"/>
        <w:rPr>
          <w:rFonts w:ascii="Arial" w:hAnsi="Arial" w:cs="Arial"/>
          <w:sz w:val="24"/>
          <w:szCs w:val="24"/>
        </w:rPr>
      </w:pPr>
    </w:p>
    <w:p w14:paraId="7D54C557" w14:textId="2916BC44" w:rsidR="00B95601"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26B03" w:rsidRPr="00424122">
        <w:rPr>
          <w:rFonts w:ascii="Arial" w:hAnsi="Arial" w:cs="Arial"/>
          <w:sz w:val="24"/>
          <w:szCs w:val="24"/>
        </w:rPr>
        <w:t xml:space="preserve">The applicant has also not shown that </w:t>
      </w:r>
      <w:r w:rsidR="00F83C8B" w:rsidRPr="00424122">
        <w:rPr>
          <w:rFonts w:ascii="Arial" w:hAnsi="Arial" w:cs="Arial"/>
          <w:sz w:val="24"/>
          <w:szCs w:val="24"/>
        </w:rPr>
        <w:t>a reasonable apprehension of harm exists if the interim interdict is granted and the final relief sought is eventually granted.  Nothing stops the reviewing court, if the applicant is successful, from making an order for its applications to be considered.  Even if the balance of convenience may favour the granting of the interim interdict, the applicant has failed to show that it has prospects of success in the review application.</w:t>
      </w:r>
    </w:p>
    <w:p w14:paraId="1A1305BF" w14:textId="77777777" w:rsidR="00B95601" w:rsidRDefault="00B95601" w:rsidP="00B95601">
      <w:pPr>
        <w:pStyle w:val="ListParagraph"/>
        <w:spacing w:line="480" w:lineRule="auto"/>
        <w:ind w:left="0" w:right="-144"/>
        <w:jc w:val="both"/>
        <w:rPr>
          <w:rFonts w:ascii="Arial" w:hAnsi="Arial" w:cs="Arial"/>
          <w:sz w:val="24"/>
          <w:szCs w:val="24"/>
        </w:rPr>
      </w:pPr>
    </w:p>
    <w:p w14:paraId="13752D58" w14:textId="68BF43BE" w:rsidR="00F264EF" w:rsidRPr="00424122" w:rsidRDefault="00424122" w:rsidP="00424122">
      <w:pPr>
        <w:spacing w:line="480" w:lineRule="auto"/>
        <w:ind w:right="-144"/>
        <w:jc w:val="both"/>
        <w:rPr>
          <w:rFonts w:ascii="Arial" w:hAnsi="Arial" w:cs="Arial"/>
          <w:sz w:val="24"/>
          <w:szCs w:val="24"/>
        </w:rPr>
      </w:pPr>
      <w:r w:rsidRPr="00B95601">
        <w:rPr>
          <w:rFonts w:ascii="Arial" w:hAnsi="Arial" w:cs="Arial"/>
          <w:sz w:val="24"/>
          <w:szCs w:val="24"/>
        </w:rPr>
        <w:t>[35]</w:t>
      </w:r>
      <w:r w:rsidRPr="00B95601">
        <w:rPr>
          <w:rFonts w:ascii="Arial" w:hAnsi="Arial" w:cs="Arial"/>
          <w:sz w:val="24"/>
          <w:szCs w:val="24"/>
        </w:rPr>
        <w:tab/>
      </w:r>
      <w:r w:rsidR="00B95601" w:rsidRPr="00424122">
        <w:rPr>
          <w:rFonts w:ascii="Arial" w:hAnsi="Arial" w:cs="Arial"/>
          <w:sz w:val="24"/>
          <w:szCs w:val="24"/>
        </w:rPr>
        <w:t>In the main, the applicant has placed its argument in favour of the granting of an interim interdict on the ground that its review application has prospects of success as condonation of its non-compliance with a peremptory requirement of the ITP-R invitation ought to have been granted as it was in the public interest.  However, i</w:t>
      </w:r>
      <w:r w:rsidR="00F83C8B" w:rsidRPr="00424122">
        <w:rPr>
          <w:rFonts w:ascii="Arial" w:hAnsi="Arial" w:cs="Arial"/>
          <w:sz w:val="24"/>
          <w:szCs w:val="24"/>
        </w:rPr>
        <w:t xml:space="preserve">n </w:t>
      </w:r>
      <w:r w:rsidR="00F83C8B" w:rsidRPr="00424122">
        <w:rPr>
          <w:rFonts w:ascii="Arial" w:hAnsi="Arial" w:cs="Arial"/>
          <w:i/>
          <w:sz w:val="24"/>
          <w:szCs w:val="24"/>
        </w:rPr>
        <w:t xml:space="preserve">Dr JS Moroka </w:t>
      </w:r>
      <w:r w:rsidR="00F83C8B" w:rsidRPr="00424122">
        <w:rPr>
          <w:rFonts w:ascii="Arial" w:hAnsi="Arial" w:cs="Arial"/>
          <w:i/>
          <w:sz w:val="24"/>
          <w:szCs w:val="24"/>
        </w:rPr>
        <w:lastRenderedPageBreak/>
        <w:t>Municipality  v The Chairperson of the Tender Board of the Limpopo Province</w:t>
      </w:r>
      <w:r w:rsidR="00F83C8B">
        <w:rPr>
          <w:rStyle w:val="FootnoteReference"/>
          <w:rFonts w:ascii="Arial" w:hAnsi="Arial" w:cs="Arial"/>
          <w:i/>
          <w:sz w:val="24"/>
          <w:szCs w:val="24"/>
        </w:rPr>
        <w:footnoteReference w:id="7"/>
      </w:r>
      <w:r w:rsidR="00F83C8B" w:rsidRPr="00424122">
        <w:rPr>
          <w:rFonts w:ascii="Arial" w:hAnsi="Arial" w:cs="Arial"/>
          <w:sz w:val="24"/>
          <w:szCs w:val="24"/>
        </w:rPr>
        <w:t>the court held that:</w:t>
      </w:r>
    </w:p>
    <w:p w14:paraId="10B2E6B7" w14:textId="5BA11DFD" w:rsidR="00F264EF" w:rsidRDefault="00F264EF" w:rsidP="00F83C8B">
      <w:pPr>
        <w:pStyle w:val="ListParagraph"/>
        <w:spacing w:line="480" w:lineRule="auto"/>
        <w:ind w:left="0" w:right="-144"/>
        <w:jc w:val="both"/>
        <w:rPr>
          <w:rFonts w:ascii="Arial" w:hAnsi="Arial" w:cs="Arial"/>
          <w:sz w:val="24"/>
          <w:szCs w:val="24"/>
        </w:rPr>
      </w:pPr>
    </w:p>
    <w:p w14:paraId="6B173872" w14:textId="77777777" w:rsidR="00F83C8B" w:rsidRPr="000962B0" w:rsidRDefault="00F83C8B" w:rsidP="00F83C8B">
      <w:pPr>
        <w:pStyle w:val="ListParagraph"/>
        <w:spacing w:line="360" w:lineRule="auto"/>
        <w:ind w:left="1440" w:right="-144"/>
        <w:jc w:val="both"/>
        <w:rPr>
          <w:rFonts w:ascii="Arial" w:hAnsi="Arial" w:cs="Arial"/>
        </w:rPr>
      </w:pPr>
      <w:r w:rsidRPr="000962B0">
        <w:rPr>
          <w:rFonts w:ascii="Arial" w:hAnsi="Arial" w:cs="Arial"/>
        </w:rPr>
        <w:t>“[18]</w:t>
      </w:r>
      <w:r w:rsidRPr="000962B0">
        <w:rPr>
          <w:rFonts w:ascii="Arial" w:hAnsi="Arial" w:cs="Arial"/>
        </w:rPr>
        <w:tab/>
        <w:t xml:space="preserve">… Accordingly, in my respectful view, insofar as the judgment in </w:t>
      </w:r>
      <w:r w:rsidRPr="000962B0">
        <w:rPr>
          <w:rStyle w:val="BodytextItalic"/>
        </w:rPr>
        <w:t xml:space="preserve">Millennium Waste Management </w:t>
      </w:r>
      <w:r w:rsidRPr="000962B0">
        <w:rPr>
          <w:rFonts w:ascii="Arial" w:hAnsi="Arial" w:cs="Arial"/>
        </w:rPr>
        <w:t>may be construed as accepting that a failure to comply with the peremptory requirement of a tender may be condoned by a municipal functionary who is of the view that it would be in the public interest for such tender to be accepted, it should be regarded as incorrect.</w:t>
      </w:r>
      <w:r>
        <w:rPr>
          <w:rFonts w:ascii="Arial" w:hAnsi="Arial" w:cs="Arial"/>
        </w:rPr>
        <w:t>”</w:t>
      </w:r>
    </w:p>
    <w:p w14:paraId="4F0850A5" w14:textId="77777777" w:rsidR="00F83C8B" w:rsidRDefault="00F83C8B" w:rsidP="00F83C8B">
      <w:pPr>
        <w:pStyle w:val="ListParagraph"/>
        <w:spacing w:line="480" w:lineRule="auto"/>
        <w:ind w:left="0" w:right="-144"/>
        <w:jc w:val="both"/>
        <w:rPr>
          <w:rFonts w:ascii="Arial" w:hAnsi="Arial" w:cs="Arial"/>
          <w:sz w:val="24"/>
          <w:szCs w:val="24"/>
        </w:rPr>
      </w:pPr>
    </w:p>
    <w:p w14:paraId="6332DAB6" w14:textId="071D0D11" w:rsidR="00F83C8B" w:rsidRDefault="00F83C8B" w:rsidP="00C70FDD">
      <w:pPr>
        <w:pStyle w:val="ListParagraph"/>
        <w:spacing w:line="480" w:lineRule="auto"/>
        <w:ind w:right="-144"/>
        <w:jc w:val="both"/>
        <w:rPr>
          <w:rFonts w:ascii="Arial" w:hAnsi="Arial" w:cs="Arial"/>
          <w:sz w:val="24"/>
          <w:szCs w:val="24"/>
        </w:rPr>
      </w:pPr>
      <w:r>
        <w:rPr>
          <w:rFonts w:ascii="Arial" w:hAnsi="Arial" w:cs="Arial"/>
          <w:sz w:val="24"/>
          <w:szCs w:val="24"/>
        </w:rPr>
        <w:t>ICASA does not have the discretion to condone the applicant’s non-compliance with peremptory requirements of the ITP-R invitation.</w:t>
      </w:r>
    </w:p>
    <w:p w14:paraId="121E9C7F" w14:textId="77777777" w:rsidR="00F83C8B" w:rsidRDefault="00F83C8B" w:rsidP="00F83C8B">
      <w:pPr>
        <w:pStyle w:val="ListParagraph"/>
        <w:spacing w:line="480" w:lineRule="auto"/>
        <w:ind w:left="0" w:right="-144"/>
        <w:jc w:val="both"/>
        <w:rPr>
          <w:rFonts w:ascii="Arial" w:hAnsi="Arial" w:cs="Arial"/>
          <w:sz w:val="24"/>
          <w:szCs w:val="24"/>
        </w:rPr>
      </w:pPr>
    </w:p>
    <w:p w14:paraId="7FB93E9E" w14:textId="1B2D7F78" w:rsidR="00F264EF"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F83C8B" w:rsidRPr="00424122">
        <w:rPr>
          <w:rFonts w:ascii="Arial" w:hAnsi="Arial" w:cs="Arial"/>
          <w:sz w:val="24"/>
          <w:szCs w:val="24"/>
        </w:rPr>
        <w:t xml:space="preserve">The applicant failed to deal with the issue of whether the granting of the interim interdict would violate the doctrine of separation of powers, save to say it was not applicable.  </w:t>
      </w:r>
      <w:r w:rsidR="00B95601" w:rsidRPr="00424122">
        <w:rPr>
          <w:rFonts w:ascii="Arial" w:hAnsi="Arial" w:cs="Arial"/>
          <w:sz w:val="24"/>
          <w:szCs w:val="24"/>
        </w:rPr>
        <w:t xml:space="preserve">As correctly pointed out by counsel for the respondent, if the interim interdict is granted, it would stymie ICASA from proceeding with the processing of the successful applicants.  In view of the fact that the applicant has failed to establish a prima facie right in the clearest terms, I am of the view that if the interim interdict is granted it would </w:t>
      </w:r>
      <w:r w:rsidR="00DF236E" w:rsidRPr="00424122">
        <w:rPr>
          <w:rFonts w:ascii="Arial" w:hAnsi="Arial" w:cs="Arial"/>
          <w:sz w:val="24"/>
          <w:szCs w:val="24"/>
        </w:rPr>
        <w:t xml:space="preserve">interfere with </w:t>
      </w:r>
      <w:r w:rsidR="00B95601" w:rsidRPr="00424122">
        <w:rPr>
          <w:rFonts w:ascii="Arial" w:hAnsi="Arial" w:cs="Arial"/>
          <w:sz w:val="24"/>
          <w:szCs w:val="24"/>
        </w:rPr>
        <w:t>ICASA</w:t>
      </w:r>
      <w:r w:rsidR="00DF236E" w:rsidRPr="00424122">
        <w:rPr>
          <w:rFonts w:ascii="Arial" w:hAnsi="Arial" w:cs="Arial"/>
          <w:sz w:val="24"/>
          <w:szCs w:val="24"/>
        </w:rPr>
        <w:t>’s statutory obligations.</w:t>
      </w:r>
      <w:r w:rsidR="00B95601" w:rsidRPr="00424122">
        <w:rPr>
          <w:rFonts w:ascii="Arial" w:hAnsi="Arial" w:cs="Arial"/>
          <w:sz w:val="24"/>
          <w:szCs w:val="24"/>
        </w:rPr>
        <w:t xml:space="preserve"> </w:t>
      </w:r>
    </w:p>
    <w:p w14:paraId="3EE6B539" w14:textId="75950F56" w:rsidR="00F264EF" w:rsidRDefault="00F264EF" w:rsidP="00DF236E">
      <w:pPr>
        <w:pStyle w:val="ListParagraph"/>
        <w:spacing w:line="360" w:lineRule="auto"/>
        <w:ind w:left="0" w:right="-144"/>
        <w:jc w:val="both"/>
        <w:rPr>
          <w:rFonts w:ascii="Arial" w:hAnsi="Arial" w:cs="Arial"/>
          <w:sz w:val="24"/>
          <w:szCs w:val="24"/>
        </w:rPr>
      </w:pPr>
    </w:p>
    <w:p w14:paraId="54CD685B" w14:textId="59690C4B" w:rsidR="00DF236E"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F236E" w:rsidRPr="00424122">
        <w:rPr>
          <w:rFonts w:ascii="Arial" w:hAnsi="Arial" w:cs="Arial"/>
          <w:sz w:val="24"/>
          <w:szCs w:val="24"/>
        </w:rPr>
        <w:t>In the result, I am satisfied that the applicant has not established the requirements of an interim interdict and that its application ought to fail.</w:t>
      </w:r>
    </w:p>
    <w:p w14:paraId="0FD60D0C" w14:textId="77777777" w:rsidR="00680EC9" w:rsidRPr="00680EC9" w:rsidRDefault="00680EC9" w:rsidP="00680EC9">
      <w:pPr>
        <w:pStyle w:val="ListParagraph"/>
        <w:rPr>
          <w:rFonts w:ascii="Arial" w:hAnsi="Arial" w:cs="Arial"/>
          <w:sz w:val="24"/>
          <w:szCs w:val="24"/>
        </w:rPr>
      </w:pPr>
    </w:p>
    <w:p w14:paraId="0CED31AA" w14:textId="2E31E28F" w:rsidR="00680EC9"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80EC9" w:rsidRPr="00424122">
        <w:rPr>
          <w:rFonts w:ascii="Arial" w:hAnsi="Arial" w:cs="Arial"/>
          <w:sz w:val="24"/>
          <w:szCs w:val="24"/>
        </w:rPr>
        <w:t xml:space="preserve">It is trite that costs follow the cause.  On behalf of the applicant it was submitted that should it not be successful in its application, the </w:t>
      </w:r>
      <w:r w:rsidR="00680EC9" w:rsidRPr="00424122">
        <w:rPr>
          <w:rFonts w:ascii="Arial" w:hAnsi="Arial" w:cs="Arial"/>
          <w:i/>
          <w:sz w:val="24"/>
          <w:szCs w:val="24"/>
        </w:rPr>
        <w:t>Biowatch</w:t>
      </w:r>
      <w:r w:rsidR="00680EC9" w:rsidRPr="00424122">
        <w:rPr>
          <w:rFonts w:ascii="Arial" w:hAnsi="Arial" w:cs="Arial"/>
          <w:sz w:val="24"/>
          <w:szCs w:val="24"/>
        </w:rPr>
        <w:t xml:space="preserve"> principle</w:t>
      </w:r>
      <w:r w:rsidR="004C60C7">
        <w:rPr>
          <w:rStyle w:val="FootnoteReference"/>
          <w:rFonts w:ascii="Arial" w:hAnsi="Arial" w:cs="Arial"/>
          <w:sz w:val="24"/>
          <w:szCs w:val="24"/>
        </w:rPr>
        <w:footnoteReference w:id="8"/>
      </w:r>
      <w:r w:rsidR="00680EC9" w:rsidRPr="00424122">
        <w:rPr>
          <w:rFonts w:ascii="Arial" w:hAnsi="Arial" w:cs="Arial"/>
          <w:sz w:val="24"/>
          <w:szCs w:val="24"/>
        </w:rPr>
        <w:t xml:space="preserve"> should be applied and that it should not be mulcted with costs as it was pursuing its constitutional </w:t>
      </w:r>
      <w:r w:rsidR="00680EC9" w:rsidRPr="00424122">
        <w:rPr>
          <w:rFonts w:ascii="Arial" w:hAnsi="Arial" w:cs="Arial"/>
          <w:sz w:val="24"/>
          <w:szCs w:val="24"/>
        </w:rPr>
        <w:lastRenderedPageBreak/>
        <w:t>rights to administrative action.  The respondent has argued that the matter does not fall within the purview of the Biowatch principle and that in the event of it being successful, the applicant should be liable for costs.</w:t>
      </w:r>
    </w:p>
    <w:p w14:paraId="41A37E4B" w14:textId="77777777" w:rsidR="00680EC9" w:rsidRPr="00680EC9" w:rsidRDefault="00680EC9" w:rsidP="00680EC9">
      <w:pPr>
        <w:pStyle w:val="ListParagraph"/>
        <w:rPr>
          <w:rFonts w:ascii="Arial" w:hAnsi="Arial" w:cs="Arial"/>
          <w:sz w:val="24"/>
          <w:szCs w:val="24"/>
        </w:rPr>
      </w:pPr>
    </w:p>
    <w:p w14:paraId="7AF8197C" w14:textId="42AB7C5D" w:rsidR="00680EC9"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80EC9" w:rsidRPr="00424122">
        <w:rPr>
          <w:rFonts w:ascii="Arial" w:hAnsi="Arial" w:cs="Arial"/>
          <w:sz w:val="24"/>
          <w:szCs w:val="24"/>
        </w:rPr>
        <w:t xml:space="preserve">In </w:t>
      </w:r>
      <w:r w:rsidR="00946444" w:rsidRPr="00424122">
        <w:rPr>
          <w:rFonts w:ascii="Arial" w:hAnsi="Arial" w:cs="Arial"/>
          <w:i/>
          <w:iCs/>
          <w:color w:val="242121"/>
          <w:sz w:val="24"/>
          <w:szCs w:val="24"/>
        </w:rPr>
        <w:t>Economic Freedom Fighters v Gordhan and Others; Public Protector and Another v Gordhan and Others</w:t>
      </w:r>
      <w:r w:rsidR="00946444">
        <w:rPr>
          <w:rStyle w:val="FootnoteReference"/>
          <w:rFonts w:ascii="Arial" w:hAnsi="Arial" w:cs="Arial"/>
          <w:i/>
          <w:iCs/>
          <w:color w:val="242121"/>
          <w:sz w:val="24"/>
          <w:szCs w:val="24"/>
        </w:rPr>
        <w:footnoteReference w:id="9"/>
      </w:r>
      <w:r w:rsidR="00946444" w:rsidRPr="00424122">
        <w:rPr>
          <w:rFonts w:ascii="Arial" w:hAnsi="Arial" w:cs="Arial"/>
          <w:sz w:val="24"/>
          <w:szCs w:val="24"/>
        </w:rPr>
        <w:t xml:space="preserve">  </w:t>
      </w:r>
      <w:r w:rsidR="00680EC9" w:rsidRPr="00424122">
        <w:rPr>
          <w:rFonts w:ascii="Arial" w:hAnsi="Arial" w:cs="Arial"/>
          <w:sz w:val="24"/>
          <w:szCs w:val="24"/>
        </w:rPr>
        <w:t>the court stated that:</w:t>
      </w:r>
    </w:p>
    <w:p w14:paraId="521A35BD" w14:textId="77777777" w:rsidR="00680EC9" w:rsidRPr="00946444" w:rsidRDefault="00680EC9" w:rsidP="00946444">
      <w:pPr>
        <w:pStyle w:val="ListParagraph"/>
        <w:spacing w:line="360" w:lineRule="auto"/>
        <w:jc w:val="both"/>
        <w:rPr>
          <w:rFonts w:ascii="Arial" w:hAnsi="Arial" w:cs="Arial"/>
          <w:sz w:val="24"/>
          <w:szCs w:val="24"/>
        </w:rPr>
      </w:pPr>
    </w:p>
    <w:p w14:paraId="531A95A0" w14:textId="1E1444B6" w:rsidR="00946444" w:rsidRPr="00946444" w:rsidRDefault="00946444" w:rsidP="00607711">
      <w:pPr>
        <w:spacing w:after="0" w:line="360" w:lineRule="auto"/>
        <w:ind w:left="1440"/>
        <w:jc w:val="both"/>
        <w:rPr>
          <w:rFonts w:ascii="Arial" w:hAnsi="Arial" w:cs="Arial"/>
        </w:rPr>
      </w:pPr>
      <w:r w:rsidRPr="00946444">
        <w:rPr>
          <w:rFonts w:ascii="Arial" w:hAnsi="Arial" w:cs="Arial"/>
        </w:rPr>
        <w:t>“[77]</w:t>
      </w:r>
      <w:r w:rsidRPr="00946444">
        <w:rPr>
          <w:rFonts w:ascii="Arial" w:hAnsi="Arial" w:cs="Arial"/>
        </w:rPr>
        <w:tab/>
        <w:t xml:space="preserve">This Court has reiterated on numerous occasions that the crucial consideration in determining whether the principle set out in </w:t>
      </w:r>
      <w:r w:rsidRPr="00946444">
        <w:rPr>
          <w:rFonts w:ascii="Arial" w:hAnsi="Arial" w:cs="Arial"/>
          <w:i/>
        </w:rPr>
        <w:t xml:space="preserve">Biowatch </w:t>
      </w:r>
      <w:r w:rsidRPr="00946444">
        <w:rPr>
          <w:rFonts w:ascii="Arial" w:hAnsi="Arial" w:cs="Arial"/>
        </w:rPr>
        <w:t xml:space="preserve">should apply is not the character of the parties, but the nature of the litigation at issue.  This Court in </w:t>
      </w:r>
      <w:r w:rsidRPr="00946444">
        <w:rPr>
          <w:rFonts w:ascii="Arial" w:hAnsi="Arial" w:cs="Arial"/>
          <w:i/>
        </w:rPr>
        <w:t xml:space="preserve">Biowatch </w:t>
      </w:r>
      <w:r w:rsidRPr="00946444">
        <w:rPr>
          <w:rFonts w:ascii="Arial" w:hAnsi="Arial" w:cs="Arial"/>
        </w:rPr>
        <w:t>succinctly stated the principle as follows:</w:t>
      </w:r>
    </w:p>
    <w:p w14:paraId="3DEAF94F" w14:textId="77777777" w:rsidR="00946444" w:rsidRPr="00946444" w:rsidRDefault="00946444" w:rsidP="00946444">
      <w:pPr>
        <w:spacing w:line="360" w:lineRule="auto"/>
        <w:ind w:left="720" w:right="720"/>
        <w:jc w:val="both"/>
        <w:rPr>
          <w:rFonts w:ascii="Arial" w:hAnsi="Arial" w:cs="Arial"/>
        </w:rPr>
      </w:pPr>
    </w:p>
    <w:p w14:paraId="7A6B31E6" w14:textId="4D53912E" w:rsidR="00946444" w:rsidRPr="00270EDF" w:rsidRDefault="00946444" w:rsidP="00607711">
      <w:pPr>
        <w:spacing w:line="360" w:lineRule="auto"/>
        <w:ind w:left="2160" w:right="720"/>
        <w:jc w:val="both"/>
      </w:pPr>
      <w:r w:rsidRPr="00946444">
        <w:rPr>
          <w:rFonts w:ascii="Arial" w:hAnsi="Arial" w:cs="Arial"/>
        </w:rPr>
        <w:t>“It bears repeating that what matters is not the nature of the parties or the causes they advance but the character of the litigation and their conduct in pursuit of it.  This means paying due regard to whether it has been undertaken to assert constitutional rights and whether there has been impropriety in the manner in which the litigation has been undertaken.”</w:t>
      </w:r>
    </w:p>
    <w:p w14:paraId="085C4760" w14:textId="77777777" w:rsidR="00680EC9" w:rsidRPr="00680EC9" w:rsidRDefault="00680EC9" w:rsidP="00680EC9">
      <w:pPr>
        <w:pStyle w:val="ListParagraph"/>
        <w:rPr>
          <w:rFonts w:ascii="Arial" w:hAnsi="Arial" w:cs="Arial"/>
          <w:sz w:val="24"/>
          <w:szCs w:val="24"/>
        </w:rPr>
      </w:pPr>
    </w:p>
    <w:p w14:paraId="4342BF5E" w14:textId="5E377F6E" w:rsidR="00946444"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[40]</w:t>
      </w:r>
      <w:r>
        <w:rPr>
          <w:rFonts w:ascii="Arial" w:hAnsi="Arial" w:cs="Arial"/>
          <w:sz w:val="24"/>
          <w:szCs w:val="24"/>
        </w:rPr>
        <w:tab/>
      </w:r>
      <w:r w:rsidR="00946444" w:rsidRPr="00424122">
        <w:rPr>
          <w:rFonts w:ascii="Arial" w:hAnsi="Arial" w:cs="Arial"/>
          <w:sz w:val="24"/>
          <w:szCs w:val="24"/>
        </w:rPr>
        <w:t xml:space="preserve">Taking into account that the application raised constitutional issues, I am satisfied that the </w:t>
      </w:r>
      <w:r w:rsidR="00946444" w:rsidRPr="00424122">
        <w:rPr>
          <w:rFonts w:ascii="Arial" w:hAnsi="Arial" w:cs="Arial"/>
          <w:i/>
          <w:sz w:val="24"/>
          <w:szCs w:val="24"/>
        </w:rPr>
        <w:t>Biowatch</w:t>
      </w:r>
      <w:r w:rsidR="00946444" w:rsidRPr="00424122">
        <w:rPr>
          <w:rFonts w:ascii="Arial" w:hAnsi="Arial" w:cs="Arial"/>
          <w:sz w:val="24"/>
          <w:szCs w:val="24"/>
        </w:rPr>
        <w:t xml:space="preserve"> principle is applicable and that </w:t>
      </w:r>
      <w:r w:rsidR="00607711" w:rsidRPr="00424122">
        <w:rPr>
          <w:rFonts w:ascii="Arial" w:hAnsi="Arial" w:cs="Arial"/>
          <w:sz w:val="24"/>
          <w:szCs w:val="24"/>
        </w:rPr>
        <w:t xml:space="preserve">ordinarily, </w:t>
      </w:r>
      <w:r w:rsidR="00946444" w:rsidRPr="00424122">
        <w:rPr>
          <w:rFonts w:ascii="Arial" w:hAnsi="Arial" w:cs="Arial"/>
          <w:sz w:val="24"/>
          <w:szCs w:val="24"/>
        </w:rPr>
        <w:t>even though the applicant is unsuccessful, it should not be directed to pay the costs of this application.</w:t>
      </w:r>
      <w:r w:rsidR="00607711" w:rsidRPr="00424122">
        <w:rPr>
          <w:rFonts w:ascii="Arial" w:hAnsi="Arial" w:cs="Arial"/>
          <w:sz w:val="24"/>
          <w:szCs w:val="24"/>
        </w:rPr>
        <w:t xml:space="preserve">  However, in view of the finding made with respect to the point limine, I am of the view that the applicant should be liable for the costs of the application.</w:t>
      </w:r>
    </w:p>
    <w:p w14:paraId="406AF446" w14:textId="77777777" w:rsidR="004C60C7" w:rsidRDefault="004C60C7" w:rsidP="004C60C7">
      <w:pPr>
        <w:pStyle w:val="ListParagraph"/>
        <w:spacing w:line="360" w:lineRule="auto"/>
        <w:ind w:left="0" w:right="-144"/>
        <w:jc w:val="both"/>
        <w:rPr>
          <w:rFonts w:ascii="Arial" w:hAnsi="Arial" w:cs="Arial"/>
          <w:sz w:val="24"/>
          <w:szCs w:val="24"/>
        </w:rPr>
      </w:pPr>
    </w:p>
    <w:p w14:paraId="18A1B8E0" w14:textId="2751FFB3" w:rsidR="00946444" w:rsidRPr="00424122" w:rsidRDefault="00424122" w:rsidP="00424122">
      <w:pPr>
        <w:spacing w:line="480" w:lineRule="auto"/>
        <w:ind w:right="-144"/>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46444" w:rsidRPr="00424122">
        <w:rPr>
          <w:rFonts w:ascii="Arial" w:hAnsi="Arial" w:cs="Arial"/>
          <w:sz w:val="24"/>
          <w:szCs w:val="24"/>
        </w:rPr>
        <w:t>In the result the following order is made:</w:t>
      </w:r>
    </w:p>
    <w:p w14:paraId="156B2C01" w14:textId="77777777" w:rsidR="004C60C7" w:rsidRDefault="004C60C7" w:rsidP="004C60C7">
      <w:pPr>
        <w:pStyle w:val="ListParagraph"/>
        <w:spacing w:line="360" w:lineRule="auto"/>
        <w:ind w:right="-144"/>
        <w:jc w:val="both"/>
        <w:rPr>
          <w:rFonts w:ascii="Arial" w:hAnsi="Arial" w:cs="Arial"/>
          <w:sz w:val="24"/>
          <w:szCs w:val="24"/>
        </w:rPr>
      </w:pPr>
    </w:p>
    <w:p w14:paraId="66F21881" w14:textId="0E962871" w:rsidR="00946444" w:rsidRPr="00424122" w:rsidRDefault="00424122" w:rsidP="00424122">
      <w:pPr>
        <w:spacing w:line="480" w:lineRule="auto"/>
        <w:ind w:left="1440" w:right="-144"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46444" w:rsidRPr="00424122">
        <w:rPr>
          <w:rFonts w:ascii="Arial" w:hAnsi="Arial" w:cs="Arial"/>
          <w:sz w:val="24"/>
          <w:szCs w:val="24"/>
        </w:rPr>
        <w:t>The application is dismissed.</w:t>
      </w:r>
    </w:p>
    <w:p w14:paraId="7A0F52EC" w14:textId="0243B775" w:rsidR="00680EC9" w:rsidRPr="00424122" w:rsidRDefault="00424122" w:rsidP="00424122">
      <w:pPr>
        <w:spacing w:line="480" w:lineRule="auto"/>
        <w:ind w:left="1440" w:right="-144" w:hanging="720"/>
        <w:jc w:val="both"/>
        <w:rPr>
          <w:rFonts w:ascii="Arial" w:hAnsi="Arial" w:cs="Arial"/>
          <w:sz w:val="24"/>
          <w:szCs w:val="24"/>
        </w:rPr>
      </w:pPr>
      <w:r w:rsidRPr="00680EC9">
        <w:rPr>
          <w:rFonts w:ascii="Arial" w:hAnsi="Arial" w:cs="Arial"/>
          <w:sz w:val="24"/>
          <w:szCs w:val="24"/>
        </w:rPr>
        <w:lastRenderedPageBreak/>
        <w:t>2.</w:t>
      </w:r>
      <w:r w:rsidRPr="00680EC9">
        <w:rPr>
          <w:rFonts w:ascii="Arial" w:hAnsi="Arial" w:cs="Arial"/>
          <w:sz w:val="24"/>
          <w:szCs w:val="24"/>
        </w:rPr>
        <w:tab/>
      </w:r>
      <w:r w:rsidR="00607711" w:rsidRPr="00424122">
        <w:rPr>
          <w:rFonts w:ascii="Arial" w:hAnsi="Arial" w:cs="Arial"/>
          <w:sz w:val="24"/>
          <w:szCs w:val="24"/>
        </w:rPr>
        <w:t>The applicant to pay the costs consequent on the employment of senior Counsel.</w:t>
      </w:r>
      <w:r w:rsidR="00946444" w:rsidRPr="00424122">
        <w:rPr>
          <w:rFonts w:ascii="Arial" w:hAnsi="Arial" w:cs="Arial"/>
          <w:sz w:val="24"/>
          <w:szCs w:val="24"/>
        </w:rPr>
        <w:t xml:space="preserve"> </w:t>
      </w:r>
    </w:p>
    <w:p w14:paraId="27563A5B" w14:textId="5482DE64" w:rsidR="00C46E44" w:rsidRPr="00836FE5" w:rsidRDefault="00C46E44" w:rsidP="00836FE5">
      <w:pPr>
        <w:pStyle w:val="ListParagraph"/>
        <w:spacing w:line="480" w:lineRule="auto"/>
        <w:ind w:left="1440" w:right="-144" w:hanging="720"/>
        <w:jc w:val="both"/>
        <w:rPr>
          <w:rFonts w:ascii="Times New Roman" w:hAnsi="Times New Roman" w:cs="Times New Roman"/>
          <w:sz w:val="28"/>
          <w:szCs w:val="28"/>
        </w:rPr>
      </w:pPr>
    </w:p>
    <w:p w14:paraId="6B559852" w14:textId="4EC404A0" w:rsidR="0039599E" w:rsidRPr="00836FE5" w:rsidRDefault="0039599E" w:rsidP="003766E7">
      <w:pPr>
        <w:pStyle w:val="ListParagraph"/>
        <w:spacing w:line="480" w:lineRule="auto"/>
        <w:ind w:left="0" w:right="-144"/>
        <w:jc w:val="both"/>
        <w:rPr>
          <w:rFonts w:ascii="Times New Roman" w:hAnsi="Times New Roman" w:cs="Times New Roman"/>
          <w:sz w:val="28"/>
          <w:szCs w:val="28"/>
        </w:rPr>
      </w:pPr>
    </w:p>
    <w:p w14:paraId="710CA3AB" w14:textId="50AA358C" w:rsidR="003766E7" w:rsidRDefault="003766E7" w:rsidP="00946444">
      <w:pPr>
        <w:pStyle w:val="ListParagraph"/>
        <w:spacing w:line="276" w:lineRule="auto"/>
        <w:ind w:left="0"/>
        <w:rPr>
          <w:rFonts w:ascii="Arial" w:hAnsi="Arial" w:cs="Arial"/>
          <w:b/>
          <w:sz w:val="24"/>
          <w:szCs w:val="24"/>
        </w:rPr>
      </w:pPr>
    </w:p>
    <w:p w14:paraId="6CAB76D0" w14:textId="2BBC476B" w:rsidR="00977FFD" w:rsidRPr="00946444" w:rsidRDefault="00977FFD" w:rsidP="00946444">
      <w:pPr>
        <w:pStyle w:val="ListParagraph"/>
        <w:spacing w:line="276" w:lineRule="auto"/>
        <w:ind w:left="0"/>
        <w:rPr>
          <w:rFonts w:ascii="Arial" w:hAnsi="Arial" w:cs="Arial"/>
          <w:b/>
          <w:sz w:val="24"/>
          <w:szCs w:val="24"/>
        </w:rPr>
      </w:pPr>
      <w:r w:rsidRPr="00946444">
        <w:rPr>
          <w:rFonts w:ascii="Arial" w:hAnsi="Arial" w:cs="Arial"/>
          <w:b/>
          <w:sz w:val="24"/>
          <w:szCs w:val="24"/>
        </w:rPr>
        <w:t>____________________</w:t>
      </w:r>
    </w:p>
    <w:p w14:paraId="23F43695" w14:textId="4A45B9F6" w:rsidR="00977FFD" w:rsidRPr="00946444" w:rsidRDefault="00977FFD" w:rsidP="00946444">
      <w:pPr>
        <w:pStyle w:val="ListParagraph"/>
        <w:spacing w:line="276" w:lineRule="auto"/>
        <w:ind w:left="0"/>
        <w:rPr>
          <w:rFonts w:ascii="Arial" w:hAnsi="Arial" w:cs="Arial"/>
          <w:b/>
          <w:sz w:val="24"/>
          <w:szCs w:val="24"/>
        </w:rPr>
      </w:pPr>
      <w:r w:rsidRPr="00946444">
        <w:rPr>
          <w:rFonts w:ascii="Arial" w:hAnsi="Arial" w:cs="Arial"/>
          <w:b/>
          <w:sz w:val="24"/>
          <w:szCs w:val="24"/>
        </w:rPr>
        <w:t>N P MNGQIBISA-THUSI</w:t>
      </w:r>
    </w:p>
    <w:p w14:paraId="6FFBEA7B" w14:textId="3F35B449" w:rsidR="00977FFD" w:rsidRDefault="00977FFD" w:rsidP="00946444">
      <w:pPr>
        <w:pStyle w:val="ListParagraph"/>
        <w:spacing w:line="276" w:lineRule="auto"/>
        <w:ind w:left="0"/>
        <w:rPr>
          <w:rFonts w:ascii="Arial" w:hAnsi="Arial" w:cs="Arial"/>
          <w:sz w:val="24"/>
          <w:szCs w:val="24"/>
        </w:rPr>
      </w:pPr>
      <w:r w:rsidRPr="00946444">
        <w:rPr>
          <w:rFonts w:ascii="Arial" w:hAnsi="Arial" w:cs="Arial"/>
          <w:sz w:val="24"/>
          <w:szCs w:val="24"/>
        </w:rPr>
        <w:t>Judge of the High Court</w:t>
      </w:r>
    </w:p>
    <w:p w14:paraId="0A523974" w14:textId="46CF7F4E" w:rsidR="00A75EDD" w:rsidRDefault="00A75EDD" w:rsidP="00946444">
      <w:pPr>
        <w:pStyle w:val="ListParagraph"/>
        <w:spacing w:line="276" w:lineRule="auto"/>
        <w:ind w:left="0"/>
        <w:rPr>
          <w:rFonts w:ascii="Arial" w:hAnsi="Arial" w:cs="Arial"/>
          <w:sz w:val="24"/>
          <w:szCs w:val="24"/>
        </w:rPr>
      </w:pPr>
    </w:p>
    <w:p w14:paraId="766D2B30" w14:textId="7AED1B1D" w:rsidR="00A75EDD" w:rsidRDefault="00A75EDD" w:rsidP="00946444">
      <w:pPr>
        <w:pStyle w:val="ListParagraph"/>
        <w:spacing w:line="276" w:lineRule="auto"/>
        <w:ind w:left="0"/>
        <w:rPr>
          <w:rFonts w:ascii="Arial" w:hAnsi="Arial" w:cs="Arial"/>
          <w:sz w:val="24"/>
          <w:szCs w:val="24"/>
        </w:rPr>
      </w:pPr>
      <w:r>
        <w:rPr>
          <w:rFonts w:ascii="Arial" w:hAnsi="Arial" w:cs="Arial"/>
          <w:sz w:val="24"/>
          <w:szCs w:val="24"/>
        </w:rPr>
        <w:t>Date of hearing</w:t>
      </w:r>
      <w:r>
        <w:rPr>
          <w:rFonts w:ascii="Arial" w:hAnsi="Arial" w:cs="Arial"/>
          <w:sz w:val="24"/>
          <w:szCs w:val="24"/>
        </w:rPr>
        <w:tab/>
        <w:t>:</w:t>
      </w:r>
      <w:r w:rsidR="00DC4D81">
        <w:rPr>
          <w:rFonts w:ascii="Arial" w:hAnsi="Arial" w:cs="Arial"/>
          <w:sz w:val="24"/>
          <w:szCs w:val="24"/>
        </w:rPr>
        <w:t xml:space="preserve"> 08 December 2022</w:t>
      </w:r>
      <w:r>
        <w:rPr>
          <w:rFonts w:ascii="Arial" w:hAnsi="Arial" w:cs="Arial"/>
          <w:sz w:val="24"/>
          <w:szCs w:val="24"/>
        </w:rPr>
        <w:tab/>
      </w:r>
    </w:p>
    <w:p w14:paraId="4A23B866" w14:textId="7429D327" w:rsidR="00A75EDD" w:rsidRPr="00946444" w:rsidRDefault="00A75EDD" w:rsidP="00946444">
      <w:pPr>
        <w:pStyle w:val="ListParagraph"/>
        <w:spacing w:line="276" w:lineRule="auto"/>
        <w:ind w:left="0"/>
        <w:rPr>
          <w:rFonts w:ascii="Arial" w:hAnsi="Arial" w:cs="Arial"/>
          <w:sz w:val="24"/>
          <w:szCs w:val="24"/>
        </w:rPr>
      </w:pPr>
      <w:r>
        <w:rPr>
          <w:rFonts w:ascii="Arial" w:hAnsi="Arial" w:cs="Arial"/>
          <w:sz w:val="24"/>
          <w:szCs w:val="24"/>
        </w:rPr>
        <w:t>Date of judgment</w:t>
      </w:r>
      <w:r>
        <w:rPr>
          <w:rFonts w:ascii="Arial" w:hAnsi="Arial" w:cs="Arial"/>
          <w:sz w:val="24"/>
          <w:szCs w:val="24"/>
        </w:rPr>
        <w:tab/>
        <w:t>: 16 January 2023</w:t>
      </w:r>
      <w:r>
        <w:rPr>
          <w:rFonts w:ascii="Arial" w:hAnsi="Arial" w:cs="Arial"/>
          <w:sz w:val="24"/>
          <w:szCs w:val="24"/>
        </w:rPr>
        <w:tab/>
      </w:r>
    </w:p>
    <w:p w14:paraId="666F931F" w14:textId="4411E238" w:rsidR="00DC59A4" w:rsidRPr="00836FE5" w:rsidRDefault="00DC59A4" w:rsidP="00946444">
      <w:pPr>
        <w:pStyle w:val="ListParagraph"/>
        <w:spacing w:line="360" w:lineRule="auto"/>
        <w:ind w:left="0"/>
        <w:rPr>
          <w:rFonts w:ascii="Times New Roman" w:hAnsi="Times New Roman" w:cs="Times New Roman"/>
          <w:sz w:val="28"/>
          <w:szCs w:val="28"/>
        </w:rPr>
      </w:pPr>
    </w:p>
    <w:p w14:paraId="7D204692" w14:textId="02A66C8A" w:rsidR="00DC59A4" w:rsidRPr="00946444" w:rsidRDefault="00DC59A4" w:rsidP="00836FE5">
      <w:pPr>
        <w:pStyle w:val="ListParagraph"/>
        <w:spacing w:line="480" w:lineRule="auto"/>
        <w:ind w:left="0"/>
        <w:rPr>
          <w:rFonts w:ascii="Arial" w:hAnsi="Arial" w:cs="Arial"/>
          <w:sz w:val="24"/>
          <w:szCs w:val="24"/>
          <w:u w:val="single"/>
        </w:rPr>
      </w:pPr>
      <w:r w:rsidRPr="00946444">
        <w:rPr>
          <w:rFonts w:ascii="Arial" w:hAnsi="Arial" w:cs="Arial"/>
          <w:sz w:val="24"/>
          <w:szCs w:val="24"/>
          <w:u w:val="single"/>
        </w:rPr>
        <w:t>Appearances</w:t>
      </w:r>
    </w:p>
    <w:p w14:paraId="459E8BA0" w14:textId="1D9FE322" w:rsidR="00DC59A4" w:rsidRPr="00946444" w:rsidRDefault="00DC59A4" w:rsidP="00946444">
      <w:pPr>
        <w:pStyle w:val="ListParagraph"/>
        <w:spacing w:line="360" w:lineRule="auto"/>
        <w:ind w:left="0"/>
        <w:rPr>
          <w:rFonts w:ascii="Arial" w:hAnsi="Arial" w:cs="Arial"/>
          <w:sz w:val="24"/>
          <w:szCs w:val="24"/>
        </w:rPr>
      </w:pPr>
    </w:p>
    <w:p w14:paraId="19D94DC5" w14:textId="5E6C3E2E" w:rsidR="00DC59A4" w:rsidRPr="00946444" w:rsidRDefault="00DC59A4" w:rsidP="00364DF8">
      <w:pPr>
        <w:pStyle w:val="ListParagraph"/>
        <w:spacing w:line="360" w:lineRule="auto"/>
        <w:ind w:left="0"/>
        <w:rPr>
          <w:rFonts w:ascii="Arial" w:hAnsi="Arial" w:cs="Arial"/>
          <w:sz w:val="24"/>
          <w:szCs w:val="24"/>
        </w:rPr>
      </w:pPr>
      <w:r w:rsidRPr="00946444">
        <w:rPr>
          <w:rFonts w:ascii="Arial" w:hAnsi="Arial" w:cs="Arial"/>
          <w:sz w:val="24"/>
          <w:szCs w:val="24"/>
        </w:rPr>
        <w:t xml:space="preserve">For Applicant: Adv </w:t>
      </w:r>
      <w:r w:rsidR="00946444" w:rsidRPr="00946444">
        <w:rPr>
          <w:rFonts w:ascii="Arial" w:hAnsi="Arial" w:cs="Arial"/>
          <w:sz w:val="24"/>
          <w:szCs w:val="24"/>
        </w:rPr>
        <w:t>FJ Mphahlele SC</w:t>
      </w:r>
      <w:r w:rsidR="002F6105">
        <w:rPr>
          <w:rFonts w:ascii="Arial" w:hAnsi="Arial" w:cs="Arial"/>
          <w:sz w:val="24"/>
          <w:szCs w:val="24"/>
        </w:rPr>
        <w:t xml:space="preserve"> with </w:t>
      </w:r>
      <w:r w:rsidR="00A75EDD">
        <w:rPr>
          <w:rFonts w:ascii="Arial" w:hAnsi="Arial" w:cs="Arial"/>
          <w:sz w:val="24"/>
          <w:szCs w:val="24"/>
        </w:rPr>
        <w:t>Adv. F J Labuschagne</w:t>
      </w:r>
      <w:r w:rsidRPr="00946444">
        <w:rPr>
          <w:rFonts w:ascii="Arial" w:hAnsi="Arial" w:cs="Arial"/>
          <w:sz w:val="24"/>
          <w:szCs w:val="24"/>
        </w:rPr>
        <w:t xml:space="preserve"> (instructed by </w:t>
      </w:r>
      <w:r w:rsidR="003A38C8">
        <w:rPr>
          <w:rFonts w:ascii="Arial" w:hAnsi="Arial" w:cs="Arial"/>
          <w:sz w:val="24"/>
          <w:szCs w:val="24"/>
        </w:rPr>
        <w:t>Hurter Spies Inc</w:t>
      </w:r>
      <w:r w:rsidRPr="00946444">
        <w:rPr>
          <w:rFonts w:ascii="Arial" w:hAnsi="Arial" w:cs="Arial"/>
          <w:sz w:val="24"/>
          <w:szCs w:val="24"/>
        </w:rPr>
        <w:t>)</w:t>
      </w:r>
    </w:p>
    <w:p w14:paraId="14637C27" w14:textId="2FD08CA3" w:rsidR="00DC59A4" w:rsidRPr="00946444" w:rsidRDefault="00DC59A4" w:rsidP="00364DF8">
      <w:pPr>
        <w:pStyle w:val="ListParagraph"/>
        <w:spacing w:line="360" w:lineRule="auto"/>
        <w:ind w:left="0"/>
        <w:rPr>
          <w:rFonts w:ascii="Arial" w:hAnsi="Arial" w:cs="Arial"/>
          <w:sz w:val="24"/>
          <w:szCs w:val="24"/>
        </w:rPr>
      </w:pPr>
      <w:r w:rsidRPr="00946444">
        <w:rPr>
          <w:rFonts w:ascii="Arial" w:hAnsi="Arial" w:cs="Arial"/>
          <w:sz w:val="24"/>
          <w:szCs w:val="24"/>
        </w:rPr>
        <w:t xml:space="preserve">For Respondent: Adv </w:t>
      </w:r>
      <w:r w:rsidR="00946444" w:rsidRPr="00946444">
        <w:rPr>
          <w:rFonts w:ascii="Arial" w:hAnsi="Arial" w:cs="Arial"/>
          <w:sz w:val="24"/>
          <w:szCs w:val="24"/>
        </w:rPr>
        <w:t>T Motau</w:t>
      </w:r>
      <w:r w:rsidRPr="00946444">
        <w:rPr>
          <w:rFonts w:ascii="Arial" w:hAnsi="Arial" w:cs="Arial"/>
          <w:sz w:val="24"/>
          <w:szCs w:val="24"/>
        </w:rPr>
        <w:t xml:space="preserve"> SC</w:t>
      </w:r>
      <w:r w:rsidR="002F6105">
        <w:rPr>
          <w:rFonts w:ascii="Arial" w:hAnsi="Arial" w:cs="Arial"/>
          <w:sz w:val="24"/>
          <w:szCs w:val="24"/>
        </w:rPr>
        <w:t xml:space="preserve"> with Adv. M Musandiwa</w:t>
      </w:r>
      <w:r w:rsidRPr="00946444">
        <w:rPr>
          <w:rFonts w:ascii="Arial" w:hAnsi="Arial" w:cs="Arial"/>
          <w:sz w:val="24"/>
          <w:szCs w:val="24"/>
        </w:rPr>
        <w:t xml:space="preserve"> (instructed by </w:t>
      </w:r>
      <w:r w:rsidR="003A38C8">
        <w:rPr>
          <w:rFonts w:ascii="Arial" w:hAnsi="Arial" w:cs="Arial"/>
          <w:sz w:val="24"/>
          <w:szCs w:val="24"/>
        </w:rPr>
        <w:t>Motsoeneng Bill</w:t>
      </w:r>
      <w:r w:rsidR="00085204" w:rsidRPr="00946444">
        <w:rPr>
          <w:rFonts w:ascii="Arial" w:hAnsi="Arial" w:cs="Arial"/>
          <w:sz w:val="24"/>
          <w:szCs w:val="24"/>
        </w:rPr>
        <w:t xml:space="preserve"> Attorney</w:t>
      </w:r>
      <w:r w:rsidR="003A38C8">
        <w:rPr>
          <w:rFonts w:ascii="Arial" w:hAnsi="Arial" w:cs="Arial"/>
          <w:sz w:val="24"/>
          <w:szCs w:val="24"/>
        </w:rPr>
        <w:t>s</w:t>
      </w:r>
      <w:r w:rsidRPr="00946444">
        <w:rPr>
          <w:rFonts w:ascii="Arial" w:hAnsi="Arial" w:cs="Arial"/>
          <w:sz w:val="24"/>
          <w:szCs w:val="24"/>
        </w:rPr>
        <w:t>)</w:t>
      </w:r>
    </w:p>
    <w:sectPr w:rsidR="00DC59A4" w:rsidRPr="00946444" w:rsidSect="00EE61BA">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D01E" w14:textId="77777777" w:rsidR="007458EF" w:rsidRDefault="007458EF" w:rsidP="005C7C2E">
      <w:pPr>
        <w:spacing w:after="0" w:line="240" w:lineRule="auto"/>
      </w:pPr>
      <w:r>
        <w:separator/>
      </w:r>
    </w:p>
  </w:endnote>
  <w:endnote w:type="continuationSeparator" w:id="0">
    <w:p w14:paraId="5F178106" w14:textId="77777777" w:rsidR="007458EF" w:rsidRDefault="007458EF" w:rsidP="005C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70260"/>
      <w:docPartObj>
        <w:docPartGallery w:val="Page Numbers (Bottom of Page)"/>
        <w:docPartUnique/>
      </w:docPartObj>
    </w:sdtPr>
    <w:sdtEndPr>
      <w:rPr>
        <w:noProof/>
      </w:rPr>
    </w:sdtEndPr>
    <w:sdtContent>
      <w:p w14:paraId="3907F4B4" w14:textId="5EAA5B43" w:rsidR="00607711" w:rsidRDefault="00607711">
        <w:pPr>
          <w:pStyle w:val="Footer"/>
          <w:jc w:val="center"/>
        </w:pPr>
        <w:r>
          <w:fldChar w:fldCharType="begin"/>
        </w:r>
        <w:r>
          <w:instrText xml:space="preserve"> PAGE   \* MERGEFORMAT </w:instrText>
        </w:r>
        <w:r>
          <w:fldChar w:fldCharType="separate"/>
        </w:r>
        <w:r w:rsidR="00424122">
          <w:rPr>
            <w:noProof/>
          </w:rPr>
          <w:t>1</w:t>
        </w:r>
        <w:r>
          <w:rPr>
            <w:noProof/>
          </w:rPr>
          <w:fldChar w:fldCharType="end"/>
        </w:r>
      </w:p>
    </w:sdtContent>
  </w:sdt>
  <w:p w14:paraId="01436254" w14:textId="77777777" w:rsidR="00607711" w:rsidRDefault="006077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46A1" w14:textId="77777777" w:rsidR="007458EF" w:rsidRDefault="007458EF" w:rsidP="005C7C2E">
      <w:pPr>
        <w:spacing w:after="0" w:line="240" w:lineRule="auto"/>
      </w:pPr>
      <w:r>
        <w:separator/>
      </w:r>
    </w:p>
  </w:footnote>
  <w:footnote w:type="continuationSeparator" w:id="0">
    <w:p w14:paraId="0D861213" w14:textId="77777777" w:rsidR="007458EF" w:rsidRDefault="007458EF" w:rsidP="005C7C2E">
      <w:pPr>
        <w:spacing w:after="0" w:line="240" w:lineRule="auto"/>
      </w:pPr>
      <w:r>
        <w:continuationSeparator/>
      </w:r>
    </w:p>
  </w:footnote>
  <w:footnote w:id="1">
    <w:p w14:paraId="526A950C" w14:textId="510DEC37" w:rsidR="00607711" w:rsidRPr="002A4BA8" w:rsidRDefault="00607711" w:rsidP="006C60E7">
      <w:pPr>
        <w:pStyle w:val="FootnoteText"/>
        <w:rPr>
          <w:rFonts w:ascii="Arial" w:hAnsi="Arial" w:cs="Arial"/>
          <w:lang w:val="en-US"/>
        </w:rPr>
      </w:pPr>
      <w:r w:rsidRPr="002A4BA8">
        <w:rPr>
          <w:rStyle w:val="FootnoteReference"/>
          <w:rFonts w:ascii="Arial" w:hAnsi="Arial" w:cs="Arial"/>
        </w:rPr>
        <w:footnoteRef/>
      </w:r>
      <w:r w:rsidRPr="002A4BA8">
        <w:rPr>
          <w:rFonts w:ascii="Arial" w:hAnsi="Arial" w:cs="Arial"/>
        </w:rPr>
        <w:t xml:space="preserve"> </w:t>
      </w:r>
      <w:r w:rsidRPr="002A4BA8">
        <w:rPr>
          <w:rFonts w:ascii="Arial" w:hAnsi="Arial" w:cs="Arial"/>
          <w:lang w:val="en-US"/>
        </w:rPr>
        <w:t xml:space="preserve">1973 (3) SA 685 (A). </w:t>
      </w:r>
    </w:p>
  </w:footnote>
  <w:footnote w:id="2">
    <w:p w14:paraId="7D984614" w14:textId="04608672" w:rsidR="00607711" w:rsidRPr="00607711" w:rsidRDefault="00607711">
      <w:pPr>
        <w:pStyle w:val="FootnoteText"/>
        <w:rPr>
          <w:rFonts w:ascii="Arial" w:hAnsi="Arial" w:cs="Arial"/>
          <w:lang w:val="en-US"/>
        </w:rPr>
      </w:pPr>
      <w:r w:rsidRPr="00607711">
        <w:rPr>
          <w:rStyle w:val="FootnoteReference"/>
          <w:rFonts w:ascii="Arial" w:hAnsi="Arial" w:cs="Arial"/>
        </w:rPr>
        <w:footnoteRef/>
      </w:r>
      <w:r w:rsidRPr="00607711">
        <w:rPr>
          <w:rFonts w:ascii="Arial" w:hAnsi="Arial" w:cs="Arial"/>
        </w:rPr>
        <w:t xml:space="preserve"> </w:t>
      </w:r>
      <w:r w:rsidRPr="00607711">
        <w:rPr>
          <w:rFonts w:ascii="Arial" w:hAnsi="Arial" w:cs="Arial"/>
          <w:lang w:val="en-US"/>
        </w:rPr>
        <w:t>1999 (1) SA 217 (SCA).</w:t>
      </w:r>
    </w:p>
  </w:footnote>
  <w:footnote w:id="3">
    <w:p w14:paraId="2CE82D90" w14:textId="2CD0334B" w:rsidR="00607711" w:rsidRPr="00475059" w:rsidRDefault="00607711">
      <w:pPr>
        <w:pStyle w:val="FootnoteText"/>
        <w:rPr>
          <w:lang w:val="en-US"/>
        </w:rPr>
      </w:pPr>
      <w:r w:rsidRPr="00607711">
        <w:rPr>
          <w:rStyle w:val="FootnoteReference"/>
          <w:rFonts w:ascii="Arial" w:hAnsi="Arial" w:cs="Arial"/>
        </w:rPr>
        <w:footnoteRef/>
      </w:r>
      <w:r w:rsidRPr="00607711">
        <w:rPr>
          <w:rFonts w:ascii="Arial" w:hAnsi="Arial" w:cs="Arial"/>
        </w:rPr>
        <w:t xml:space="preserve"> 2012 (6) SA 223 (CC).</w:t>
      </w:r>
    </w:p>
  </w:footnote>
  <w:footnote w:id="4">
    <w:p w14:paraId="21742300" w14:textId="21A7B3CC" w:rsidR="00607711" w:rsidRPr="00A717A8" w:rsidRDefault="00607711">
      <w:pPr>
        <w:pStyle w:val="FootnoteText"/>
        <w:rPr>
          <w:rFonts w:ascii="Arial" w:hAnsi="Arial" w:cs="Arial"/>
          <w:lang w:val="en-US"/>
        </w:rPr>
      </w:pPr>
      <w:r w:rsidRPr="00A717A8">
        <w:rPr>
          <w:rStyle w:val="FootnoteReference"/>
          <w:rFonts w:ascii="Arial" w:hAnsi="Arial" w:cs="Arial"/>
        </w:rPr>
        <w:footnoteRef/>
      </w:r>
      <w:r w:rsidRPr="00A717A8">
        <w:rPr>
          <w:rFonts w:ascii="Arial" w:hAnsi="Arial" w:cs="Arial"/>
        </w:rPr>
        <w:t xml:space="preserve"> </w:t>
      </w:r>
      <w:r w:rsidRPr="00A717A8">
        <w:rPr>
          <w:rFonts w:ascii="Arial" w:hAnsi="Arial" w:cs="Arial"/>
          <w:lang w:val="en-US"/>
        </w:rPr>
        <w:t>2008 (2) SA 481 (SCA).</w:t>
      </w:r>
    </w:p>
  </w:footnote>
  <w:footnote w:id="5">
    <w:p w14:paraId="62BFDB81" w14:textId="37440FBB" w:rsidR="00607711" w:rsidRPr="00D26B03" w:rsidRDefault="00607711">
      <w:pPr>
        <w:pStyle w:val="FootnoteText"/>
        <w:rPr>
          <w:rFonts w:ascii="Arial" w:hAnsi="Arial" w:cs="Arial"/>
          <w:lang w:val="en-US"/>
        </w:rPr>
      </w:pPr>
      <w:r w:rsidRPr="00D26B03">
        <w:rPr>
          <w:rStyle w:val="FootnoteReference"/>
          <w:rFonts w:ascii="Arial" w:hAnsi="Arial" w:cs="Arial"/>
        </w:rPr>
        <w:footnoteRef/>
      </w:r>
      <w:r w:rsidRPr="00D26B03">
        <w:rPr>
          <w:rFonts w:ascii="Arial" w:hAnsi="Arial" w:cs="Arial"/>
        </w:rPr>
        <w:t xml:space="preserve"> 2004(1) SA 308 (SCA).</w:t>
      </w:r>
    </w:p>
  </w:footnote>
  <w:footnote w:id="6">
    <w:p w14:paraId="670D989C" w14:textId="77777777" w:rsidR="00607711" w:rsidRPr="00D26B03" w:rsidRDefault="00607711" w:rsidP="00F264EF">
      <w:pPr>
        <w:pStyle w:val="FootnoteText"/>
        <w:spacing w:after="120"/>
        <w:rPr>
          <w:rFonts w:ascii="Arial" w:hAnsi="Arial" w:cs="Arial"/>
        </w:rPr>
      </w:pPr>
      <w:r w:rsidRPr="00D26B03">
        <w:rPr>
          <w:rStyle w:val="FootnoteReference"/>
          <w:rFonts w:ascii="Arial" w:hAnsi="Arial" w:cs="Arial"/>
        </w:rPr>
        <w:footnoteRef/>
      </w:r>
      <w:r w:rsidRPr="00D26B03">
        <w:rPr>
          <w:rFonts w:ascii="Arial" w:hAnsi="Arial" w:cs="Arial"/>
        </w:rPr>
        <w:t xml:space="preserve"> </w:t>
      </w:r>
      <w:r w:rsidRPr="00D26B03">
        <w:rPr>
          <w:rFonts w:ascii="Arial" w:hAnsi="Arial" w:cs="Arial"/>
          <w:i/>
        </w:rPr>
        <w:t>Setlogelo</w:t>
      </w:r>
      <w:r w:rsidRPr="00D26B03">
        <w:rPr>
          <w:rFonts w:ascii="Arial" w:hAnsi="Arial" w:cs="Arial"/>
        </w:rPr>
        <w:t xml:space="preserve"> above n 28 at 227.</w:t>
      </w:r>
    </w:p>
  </w:footnote>
  <w:footnote w:id="7">
    <w:p w14:paraId="6052FED9" w14:textId="77777777" w:rsidR="00607711" w:rsidRPr="000962B0" w:rsidRDefault="00607711" w:rsidP="00F83C8B">
      <w:pPr>
        <w:pStyle w:val="FootnoteText"/>
        <w:rPr>
          <w:rFonts w:ascii="Arial" w:hAnsi="Arial" w:cs="Arial"/>
          <w:lang w:val="en-US"/>
        </w:rPr>
      </w:pPr>
      <w:r w:rsidRPr="000962B0">
        <w:rPr>
          <w:rStyle w:val="FootnoteReference"/>
          <w:rFonts w:ascii="Arial" w:hAnsi="Arial" w:cs="Arial"/>
        </w:rPr>
        <w:footnoteRef/>
      </w:r>
      <w:r w:rsidRPr="000962B0">
        <w:rPr>
          <w:rFonts w:ascii="Arial" w:hAnsi="Arial" w:cs="Arial"/>
        </w:rPr>
        <w:t xml:space="preserve"> </w:t>
      </w:r>
      <w:r w:rsidRPr="000962B0">
        <w:rPr>
          <w:rFonts w:ascii="Arial" w:hAnsi="Arial" w:cs="Arial"/>
          <w:lang w:val="en-US"/>
        </w:rPr>
        <w:t>[2014] All SA 545 (SCA).</w:t>
      </w:r>
    </w:p>
  </w:footnote>
  <w:footnote w:id="8">
    <w:p w14:paraId="31C5539B" w14:textId="590F4725" w:rsidR="00607711" w:rsidRPr="004C60C7" w:rsidRDefault="00607711">
      <w:pPr>
        <w:pStyle w:val="FootnoteText"/>
        <w:rPr>
          <w:rFonts w:ascii="Arial" w:hAnsi="Arial" w:cs="Arial"/>
          <w:lang w:val="en-US"/>
        </w:rPr>
      </w:pPr>
      <w:r w:rsidRPr="004C60C7">
        <w:rPr>
          <w:rStyle w:val="FootnoteReference"/>
          <w:rFonts w:ascii="Arial" w:hAnsi="Arial" w:cs="Arial"/>
        </w:rPr>
        <w:footnoteRef/>
      </w:r>
      <w:r w:rsidRPr="004C60C7">
        <w:rPr>
          <w:rFonts w:ascii="Arial" w:hAnsi="Arial" w:cs="Arial"/>
        </w:rPr>
        <w:t xml:space="preserve"> </w:t>
      </w:r>
      <w:r w:rsidRPr="004C60C7">
        <w:rPr>
          <w:rFonts w:ascii="Arial" w:hAnsi="Arial" w:cs="Arial"/>
          <w:i/>
          <w:lang w:val="en-US"/>
        </w:rPr>
        <w:t>Biowatch Trust v Registrar, Genetic Resources</w:t>
      </w:r>
      <w:r w:rsidRPr="004C60C7">
        <w:rPr>
          <w:rFonts w:ascii="Arial" w:hAnsi="Arial" w:cs="Arial"/>
          <w:lang w:val="en-US"/>
        </w:rPr>
        <w:t xml:space="preserve"> 2009 (6) SA 232 (CC).</w:t>
      </w:r>
    </w:p>
  </w:footnote>
  <w:footnote w:id="9">
    <w:p w14:paraId="1F423338" w14:textId="6F6E82C6" w:rsidR="00607711" w:rsidRPr="004C60C7" w:rsidRDefault="00607711">
      <w:pPr>
        <w:pStyle w:val="FootnoteText"/>
        <w:rPr>
          <w:rFonts w:ascii="Arial" w:hAnsi="Arial" w:cs="Arial"/>
          <w:lang w:val="en-US"/>
        </w:rPr>
      </w:pPr>
      <w:r w:rsidRPr="004C60C7">
        <w:rPr>
          <w:rStyle w:val="FootnoteReference"/>
          <w:rFonts w:ascii="Arial" w:hAnsi="Arial" w:cs="Arial"/>
        </w:rPr>
        <w:footnoteRef/>
      </w:r>
      <w:r w:rsidRPr="004C60C7">
        <w:rPr>
          <w:rFonts w:ascii="Arial" w:hAnsi="Arial" w:cs="Arial"/>
        </w:rPr>
        <w:t xml:space="preserve"> </w:t>
      </w:r>
      <w:r w:rsidRPr="004C60C7">
        <w:rPr>
          <w:rFonts w:ascii="Arial" w:hAnsi="Arial" w:cs="Arial"/>
          <w:lang w:val="en-US"/>
        </w:rPr>
        <w:t>2020 (6) SA 325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A"/>
    <w:multiLevelType w:val="hybridMultilevel"/>
    <w:tmpl w:val="670CB78E"/>
    <w:lvl w:ilvl="0" w:tplc="D5107CE2">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A26"/>
    <w:multiLevelType w:val="hybridMultilevel"/>
    <w:tmpl w:val="7EC6FE82"/>
    <w:lvl w:ilvl="0" w:tplc="704231AA">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4C3394"/>
    <w:multiLevelType w:val="hybridMultilevel"/>
    <w:tmpl w:val="D676E8CE"/>
    <w:lvl w:ilvl="0" w:tplc="AAFE634A">
      <w:start w:val="1"/>
      <w:numFmt w:val="decimal"/>
      <w:lvlText w:val="[%1]"/>
      <w:lvlJc w:val="left"/>
      <w:pPr>
        <w:ind w:left="360" w:hanging="360"/>
      </w:pPr>
      <w:rPr>
        <w:rFonts w:ascii="Times New Roman" w:hAnsi="Times New Roman" w:cs="Times New Roman" w:hint="default"/>
        <w:i w:val="0"/>
        <w:caps w:val="0"/>
        <w:strike w:val="0"/>
        <w:dstrike w:val="0"/>
        <w:shadow w:val="0"/>
        <w:emboss w:val="0"/>
        <w:imprint w:val="0"/>
        <w:vanish w:val="0"/>
        <w:sz w:val="26"/>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11F76B8"/>
    <w:multiLevelType w:val="hybridMultilevel"/>
    <w:tmpl w:val="B3D8ED32"/>
    <w:lvl w:ilvl="0" w:tplc="35707B4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60B5E"/>
    <w:multiLevelType w:val="hybridMultilevel"/>
    <w:tmpl w:val="799E2278"/>
    <w:lvl w:ilvl="0" w:tplc="9AA095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261A49"/>
    <w:multiLevelType w:val="hybridMultilevel"/>
    <w:tmpl w:val="20FA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3D0B"/>
    <w:multiLevelType w:val="hybridMultilevel"/>
    <w:tmpl w:val="670CB78E"/>
    <w:lvl w:ilvl="0" w:tplc="D5107CE2">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D13BD"/>
    <w:multiLevelType w:val="multilevel"/>
    <w:tmpl w:val="92D0E282"/>
    <w:lvl w:ilvl="0">
      <w:start w:val="1"/>
      <w:numFmt w:val="decimal"/>
      <w:pStyle w:val="JUGMENTNUMBERED"/>
      <w:lvlText w:val="[%1]"/>
      <w:lvlJc w:val="left"/>
      <w:pPr>
        <w:tabs>
          <w:tab w:val="num" w:pos="68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CBD175F"/>
    <w:multiLevelType w:val="hybridMultilevel"/>
    <w:tmpl w:val="670CB78E"/>
    <w:lvl w:ilvl="0" w:tplc="D5107CE2">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3"/>
  </w:num>
  <w:num w:numId="6">
    <w:abstractNumId w:val="8"/>
  </w:num>
  <w:num w:numId="7">
    <w:abstractNumId w:val="0"/>
  </w:num>
  <w:num w:numId="8">
    <w:abstractNumId w:val="7"/>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0"/>
    <w:rsid w:val="00001B3C"/>
    <w:rsid w:val="000020B1"/>
    <w:rsid w:val="00002166"/>
    <w:rsid w:val="00010D1D"/>
    <w:rsid w:val="00011D93"/>
    <w:rsid w:val="000123F4"/>
    <w:rsid w:val="00012C1E"/>
    <w:rsid w:val="00013748"/>
    <w:rsid w:val="000151BC"/>
    <w:rsid w:val="00030CDE"/>
    <w:rsid w:val="00031E5B"/>
    <w:rsid w:val="00035C41"/>
    <w:rsid w:val="00042441"/>
    <w:rsid w:val="0004702D"/>
    <w:rsid w:val="00047C0E"/>
    <w:rsid w:val="00047FCB"/>
    <w:rsid w:val="000527B3"/>
    <w:rsid w:val="00056D81"/>
    <w:rsid w:val="0005700E"/>
    <w:rsid w:val="000575AE"/>
    <w:rsid w:val="00057B52"/>
    <w:rsid w:val="00063EB3"/>
    <w:rsid w:val="00070BE3"/>
    <w:rsid w:val="000720C8"/>
    <w:rsid w:val="00075D0F"/>
    <w:rsid w:val="000848E6"/>
    <w:rsid w:val="00085204"/>
    <w:rsid w:val="00087057"/>
    <w:rsid w:val="000962B0"/>
    <w:rsid w:val="000A0942"/>
    <w:rsid w:val="000A0E4C"/>
    <w:rsid w:val="000A22B8"/>
    <w:rsid w:val="000B1516"/>
    <w:rsid w:val="000B331C"/>
    <w:rsid w:val="000B7946"/>
    <w:rsid w:val="000C7D35"/>
    <w:rsid w:val="000D452E"/>
    <w:rsid w:val="000D6B47"/>
    <w:rsid w:val="000E0BD1"/>
    <w:rsid w:val="000E5C52"/>
    <w:rsid w:val="000F781B"/>
    <w:rsid w:val="00103695"/>
    <w:rsid w:val="001048A9"/>
    <w:rsid w:val="00120859"/>
    <w:rsid w:val="00125084"/>
    <w:rsid w:val="00132F8D"/>
    <w:rsid w:val="00137E66"/>
    <w:rsid w:val="001473A5"/>
    <w:rsid w:val="00155621"/>
    <w:rsid w:val="00156FE8"/>
    <w:rsid w:val="00174CC1"/>
    <w:rsid w:val="0017755B"/>
    <w:rsid w:val="00183659"/>
    <w:rsid w:val="0018539B"/>
    <w:rsid w:val="001912E5"/>
    <w:rsid w:val="00193C0D"/>
    <w:rsid w:val="001967CD"/>
    <w:rsid w:val="001A088D"/>
    <w:rsid w:val="001A40F8"/>
    <w:rsid w:val="001A6A39"/>
    <w:rsid w:val="001C0023"/>
    <w:rsid w:val="001C4C6F"/>
    <w:rsid w:val="001C5876"/>
    <w:rsid w:val="001C6867"/>
    <w:rsid w:val="001D462C"/>
    <w:rsid w:val="001D50EF"/>
    <w:rsid w:val="001D6EEB"/>
    <w:rsid w:val="001D778B"/>
    <w:rsid w:val="001E1760"/>
    <w:rsid w:val="001E566E"/>
    <w:rsid w:val="001E6046"/>
    <w:rsid w:val="001E6268"/>
    <w:rsid w:val="001F6431"/>
    <w:rsid w:val="00201D35"/>
    <w:rsid w:val="00205E77"/>
    <w:rsid w:val="002073F8"/>
    <w:rsid w:val="00210833"/>
    <w:rsid w:val="00216E13"/>
    <w:rsid w:val="002234DF"/>
    <w:rsid w:val="00223919"/>
    <w:rsid w:val="00223FF1"/>
    <w:rsid w:val="00232466"/>
    <w:rsid w:val="00235F97"/>
    <w:rsid w:val="002365C7"/>
    <w:rsid w:val="00236721"/>
    <w:rsid w:val="002431E2"/>
    <w:rsid w:val="0024737C"/>
    <w:rsid w:val="00251D07"/>
    <w:rsid w:val="0025215D"/>
    <w:rsid w:val="00255F88"/>
    <w:rsid w:val="00280D9B"/>
    <w:rsid w:val="00282E92"/>
    <w:rsid w:val="00284CD9"/>
    <w:rsid w:val="002A4BA8"/>
    <w:rsid w:val="002A4CDE"/>
    <w:rsid w:val="002B2965"/>
    <w:rsid w:val="002B382A"/>
    <w:rsid w:val="002B5846"/>
    <w:rsid w:val="002C0241"/>
    <w:rsid w:val="002C2C4D"/>
    <w:rsid w:val="002D05F1"/>
    <w:rsid w:val="002D2062"/>
    <w:rsid w:val="002D4E3E"/>
    <w:rsid w:val="002D50D7"/>
    <w:rsid w:val="002E43FF"/>
    <w:rsid w:val="002E4A7B"/>
    <w:rsid w:val="002E4EED"/>
    <w:rsid w:val="002E51D0"/>
    <w:rsid w:val="002E569E"/>
    <w:rsid w:val="002E67E7"/>
    <w:rsid w:val="002F03E7"/>
    <w:rsid w:val="002F25C6"/>
    <w:rsid w:val="002F4C0A"/>
    <w:rsid w:val="002F6105"/>
    <w:rsid w:val="003035B4"/>
    <w:rsid w:val="003137B6"/>
    <w:rsid w:val="003336FD"/>
    <w:rsid w:val="00333757"/>
    <w:rsid w:val="00340E3E"/>
    <w:rsid w:val="0034376F"/>
    <w:rsid w:val="00343EF2"/>
    <w:rsid w:val="00345ABD"/>
    <w:rsid w:val="00351EB7"/>
    <w:rsid w:val="0035210F"/>
    <w:rsid w:val="00352C06"/>
    <w:rsid w:val="003646FF"/>
    <w:rsid w:val="00364DF8"/>
    <w:rsid w:val="0037352C"/>
    <w:rsid w:val="003766E7"/>
    <w:rsid w:val="00380516"/>
    <w:rsid w:val="00385A98"/>
    <w:rsid w:val="0038766F"/>
    <w:rsid w:val="00390ED1"/>
    <w:rsid w:val="0039495C"/>
    <w:rsid w:val="0039599E"/>
    <w:rsid w:val="003A38C8"/>
    <w:rsid w:val="003A5676"/>
    <w:rsid w:val="003A7975"/>
    <w:rsid w:val="003B11F2"/>
    <w:rsid w:val="003C1C1F"/>
    <w:rsid w:val="003C6A5F"/>
    <w:rsid w:val="003D44C7"/>
    <w:rsid w:val="003D4688"/>
    <w:rsid w:val="003E1B80"/>
    <w:rsid w:val="003E5A37"/>
    <w:rsid w:val="003E5A51"/>
    <w:rsid w:val="003E7597"/>
    <w:rsid w:val="0040260A"/>
    <w:rsid w:val="00404AB1"/>
    <w:rsid w:val="00415CE9"/>
    <w:rsid w:val="00416880"/>
    <w:rsid w:val="00424122"/>
    <w:rsid w:val="00437C15"/>
    <w:rsid w:val="00445D21"/>
    <w:rsid w:val="00445FA0"/>
    <w:rsid w:val="00462A2F"/>
    <w:rsid w:val="00467D0D"/>
    <w:rsid w:val="00470DA0"/>
    <w:rsid w:val="00472DF3"/>
    <w:rsid w:val="0047379D"/>
    <w:rsid w:val="00473C1D"/>
    <w:rsid w:val="00475059"/>
    <w:rsid w:val="0047572B"/>
    <w:rsid w:val="004814AD"/>
    <w:rsid w:val="00481F83"/>
    <w:rsid w:val="00484545"/>
    <w:rsid w:val="00487121"/>
    <w:rsid w:val="00491619"/>
    <w:rsid w:val="00494CFB"/>
    <w:rsid w:val="004B12E3"/>
    <w:rsid w:val="004B3A85"/>
    <w:rsid w:val="004B6ABC"/>
    <w:rsid w:val="004C001F"/>
    <w:rsid w:val="004C32B1"/>
    <w:rsid w:val="004C445D"/>
    <w:rsid w:val="004C60C7"/>
    <w:rsid w:val="004D26D8"/>
    <w:rsid w:val="004D2C3F"/>
    <w:rsid w:val="004D6FF7"/>
    <w:rsid w:val="004E31B5"/>
    <w:rsid w:val="004E5A75"/>
    <w:rsid w:val="004F3BD9"/>
    <w:rsid w:val="004F4E0C"/>
    <w:rsid w:val="00500C1E"/>
    <w:rsid w:val="00502160"/>
    <w:rsid w:val="0050455F"/>
    <w:rsid w:val="005067EB"/>
    <w:rsid w:val="0050757D"/>
    <w:rsid w:val="00511891"/>
    <w:rsid w:val="00527593"/>
    <w:rsid w:val="00532D18"/>
    <w:rsid w:val="005369F8"/>
    <w:rsid w:val="00540AA4"/>
    <w:rsid w:val="00545965"/>
    <w:rsid w:val="00552D93"/>
    <w:rsid w:val="005643A8"/>
    <w:rsid w:val="005659E9"/>
    <w:rsid w:val="005764A3"/>
    <w:rsid w:val="00584F2E"/>
    <w:rsid w:val="00587263"/>
    <w:rsid w:val="00595DFE"/>
    <w:rsid w:val="00596FDB"/>
    <w:rsid w:val="005A1149"/>
    <w:rsid w:val="005C409C"/>
    <w:rsid w:val="005C7260"/>
    <w:rsid w:val="005C7C2E"/>
    <w:rsid w:val="005D4071"/>
    <w:rsid w:val="005E4851"/>
    <w:rsid w:val="005E58AA"/>
    <w:rsid w:val="005F0227"/>
    <w:rsid w:val="005F462E"/>
    <w:rsid w:val="005F587F"/>
    <w:rsid w:val="00607711"/>
    <w:rsid w:val="00610145"/>
    <w:rsid w:val="00620D1F"/>
    <w:rsid w:val="00621AAB"/>
    <w:rsid w:val="00623BE8"/>
    <w:rsid w:val="006269E8"/>
    <w:rsid w:val="00627710"/>
    <w:rsid w:val="0063103C"/>
    <w:rsid w:val="00654EAF"/>
    <w:rsid w:val="006607A7"/>
    <w:rsid w:val="0066396C"/>
    <w:rsid w:val="0066485C"/>
    <w:rsid w:val="00664CE5"/>
    <w:rsid w:val="00667304"/>
    <w:rsid w:val="00672B64"/>
    <w:rsid w:val="006758C3"/>
    <w:rsid w:val="006802FF"/>
    <w:rsid w:val="006804A1"/>
    <w:rsid w:val="00680EC9"/>
    <w:rsid w:val="00683361"/>
    <w:rsid w:val="006953E7"/>
    <w:rsid w:val="006B24B4"/>
    <w:rsid w:val="006B41D8"/>
    <w:rsid w:val="006B4CAF"/>
    <w:rsid w:val="006B5213"/>
    <w:rsid w:val="006B638B"/>
    <w:rsid w:val="006C3970"/>
    <w:rsid w:val="006C5477"/>
    <w:rsid w:val="006C60E7"/>
    <w:rsid w:val="006D02D7"/>
    <w:rsid w:val="006D5D36"/>
    <w:rsid w:val="006E0C15"/>
    <w:rsid w:val="006E4EBD"/>
    <w:rsid w:val="006E556F"/>
    <w:rsid w:val="006F419C"/>
    <w:rsid w:val="007122A8"/>
    <w:rsid w:val="00716B05"/>
    <w:rsid w:val="0072166F"/>
    <w:rsid w:val="0072425E"/>
    <w:rsid w:val="00724656"/>
    <w:rsid w:val="00725826"/>
    <w:rsid w:val="0073205E"/>
    <w:rsid w:val="0073322E"/>
    <w:rsid w:val="0073375D"/>
    <w:rsid w:val="007436E0"/>
    <w:rsid w:val="007458EF"/>
    <w:rsid w:val="00750095"/>
    <w:rsid w:val="00761EA4"/>
    <w:rsid w:val="00762686"/>
    <w:rsid w:val="00765CF1"/>
    <w:rsid w:val="00766251"/>
    <w:rsid w:val="00774811"/>
    <w:rsid w:val="00781CB5"/>
    <w:rsid w:val="00783DDA"/>
    <w:rsid w:val="00790EB6"/>
    <w:rsid w:val="007949CD"/>
    <w:rsid w:val="0079668F"/>
    <w:rsid w:val="007A014F"/>
    <w:rsid w:val="007A6967"/>
    <w:rsid w:val="007A6FEB"/>
    <w:rsid w:val="007B0E47"/>
    <w:rsid w:val="007B5250"/>
    <w:rsid w:val="007B66F1"/>
    <w:rsid w:val="007D1D08"/>
    <w:rsid w:val="007D315C"/>
    <w:rsid w:val="007D341C"/>
    <w:rsid w:val="007D5BA7"/>
    <w:rsid w:val="007D6E6E"/>
    <w:rsid w:val="007E1AF6"/>
    <w:rsid w:val="007E5336"/>
    <w:rsid w:val="007E7C06"/>
    <w:rsid w:val="007F5D18"/>
    <w:rsid w:val="007F7B65"/>
    <w:rsid w:val="0080016E"/>
    <w:rsid w:val="00803C15"/>
    <w:rsid w:val="00803D40"/>
    <w:rsid w:val="00810A54"/>
    <w:rsid w:val="00810D2C"/>
    <w:rsid w:val="00811B93"/>
    <w:rsid w:val="00814744"/>
    <w:rsid w:val="00823949"/>
    <w:rsid w:val="0082433C"/>
    <w:rsid w:val="008364C0"/>
    <w:rsid w:val="00836FE5"/>
    <w:rsid w:val="00842671"/>
    <w:rsid w:val="008431E7"/>
    <w:rsid w:val="008443EF"/>
    <w:rsid w:val="00863135"/>
    <w:rsid w:val="00864E70"/>
    <w:rsid w:val="0087341F"/>
    <w:rsid w:val="00873683"/>
    <w:rsid w:val="00882CE0"/>
    <w:rsid w:val="00884602"/>
    <w:rsid w:val="00890A73"/>
    <w:rsid w:val="00891A0B"/>
    <w:rsid w:val="00895882"/>
    <w:rsid w:val="00896CFB"/>
    <w:rsid w:val="008A1710"/>
    <w:rsid w:val="008A52AF"/>
    <w:rsid w:val="008A5B04"/>
    <w:rsid w:val="008D32EC"/>
    <w:rsid w:val="008D39D8"/>
    <w:rsid w:val="008D5CB4"/>
    <w:rsid w:val="008D6415"/>
    <w:rsid w:val="008E0896"/>
    <w:rsid w:val="008E2EAA"/>
    <w:rsid w:val="008E4C67"/>
    <w:rsid w:val="008E4D59"/>
    <w:rsid w:val="008E75CD"/>
    <w:rsid w:val="008F0D5C"/>
    <w:rsid w:val="008F4542"/>
    <w:rsid w:val="008F7F8F"/>
    <w:rsid w:val="009019F6"/>
    <w:rsid w:val="00902123"/>
    <w:rsid w:val="0090477F"/>
    <w:rsid w:val="00905764"/>
    <w:rsid w:val="00906B3D"/>
    <w:rsid w:val="00930ADB"/>
    <w:rsid w:val="0093216C"/>
    <w:rsid w:val="00936C10"/>
    <w:rsid w:val="00936DFE"/>
    <w:rsid w:val="00940AED"/>
    <w:rsid w:val="00942DCE"/>
    <w:rsid w:val="00946051"/>
    <w:rsid w:val="00946444"/>
    <w:rsid w:val="009547FE"/>
    <w:rsid w:val="0095691E"/>
    <w:rsid w:val="00957A7D"/>
    <w:rsid w:val="009629E3"/>
    <w:rsid w:val="009631BC"/>
    <w:rsid w:val="00963E5A"/>
    <w:rsid w:val="00967227"/>
    <w:rsid w:val="0097312E"/>
    <w:rsid w:val="00976774"/>
    <w:rsid w:val="00977141"/>
    <w:rsid w:val="00977FFD"/>
    <w:rsid w:val="009814E9"/>
    <w:rsid w:val="00983A6F"/>
    <w:rsid w:val="009A10D4"/>
    <w:rsid w:val="009A778E"/>
    <w:rsid w:val="009B2627"/>
    <w:rsid w:val="009C04C2"/>
    <w:rsid w:val="009C475C"/>
    <w:rsid w:val="009E3B83"/>
    <w:rsid w:val="009E3E3C"/>
    <w:rsid w:val="009E7CE1"/>
    <w:rsid w:val="009F4B60"/>
    <w:rsid w:val="009F6F1D"/>
    <w:rsid w:val="00A03522"/>
    <w:rsid w:val="00A25DA7"/>
    <w:rsid w:val="00A30F73"/>
    <w:rsid w:val="00A31711"/>
    <w:rsid w:val="00A31B2B"/>
    <w:rsid w:val="00A31EAD"/>
    <w:rsid w:val="00A40B18"/>
    <w:rsid w:val="00A41DE8"/>
    <w:rsid w:val="00A455A4"/>
    <w:rsid w:val="00A53D2E"/>
    <w:rsid w:val="00A548D7"/>
    <w:rsid w:val="00A55FE9"/>
    <w:rsid w:val="00A574EF"/>
    <w:rsid w:val="00A62AE9"/>
    <w:rsid w:val="00A717A8"/>
    <w:rsid w:val="00A75687"/>
    <w:rsid w:val="00A75EDD"/>
    <w:rsid w:val="00A84CED"/>
    <w:rsid w:val="00A85472"/>
    <w:rsid w:val="00A87CBF"/>
    <w:rsid w:val="00A92B5F"/>
    <w:rsid w:val="00A93CBB"/>
    <w:rsid w:val="00A97483"/>
    <w:rsid w:val="00AA0005"/>
    <w:rsid w:val="00AA002F"/>
    <w:rsid w:val="00AA0C8D"/>
    <w:rsid w:val="00AA2B1D"/>
    <w:rsid w:val="00AA33DD"/>
    <w:rsid w:val="00AA6670"/>
    <w:rsid w:val="00AA7504"/>
    <w:rsid w:val="00AA792C"/>
    <w:rsid w:val="00AB517B"/>
    <w:rsid w:val="00AC0ABB"/>
    <w:rsid w:val="00AC1DDB"/>
    <w:rsid w:val="00AC5E92"/>
    <w:rsid w:val="00AC66CF"/>
    <w:rsid w:val="00AC6F12"/>
    <w:rsid w:val="00AD04B8"/>
    <w:rsid w:val="00AD1160"/>
    <w:rsid w:val="00AD1738"/>
    <w:rsid w:val="00AD216A"/>
    <w:rsid w:val="00AD24EA"/>
    <w:rsid w:val="00AE32B6"/>
    <w:rsid w:val="00AE4A20"/>
    <w:rsid w:val="00AE79DE"/>
    <w:rsid w:val="00AF2F0F"/>
    <w:rsid w:val="00B1203A"/>
    <w:rsid w:val="00B132A8"/>
    <w:rsid w:val="00B139FF"/>
    <w:rsid w:val="00B23D9A"/>
    <w:rsid w:val="00B275A9"/>
    <w:rsid w:val="00B35BEC"/>
    <w:rsid w:val="00B3652F"/>
    <w:rsid w:val="00B365BA"/>
    <w:rsid w:val="00B42597"/>
    <w:rsid w:val="00B45CBE"/>
    <w:rsid w:val="00B45D5B"/>
    <w:rsid w:val="00B46DF3"/>
    <w:rsid w:val="00B50875"/>
    <w:rsid w:val="00B51F04"/>
    <w:rsid w:val="00B55667"/>
    <w:rsid w:val="00B55B5C"/>
    <w:rsid w:val="00B55F74"/>
    <w:rsid w:val="00B57940"/>
    <w:rsid w:val="00B65431"/>
    <w:rsid w:val="00B67DD0"/>
    <w:rsid w:val="00B765DB"/>
    <w:rsid w:val="00B90043"/>
    <w:rsid w:val="00B95601"/>
    <w:rsid w:val="00B95AFA"/>
    <w:rsid w:val="00BA0B4E"/>
    <w:rsid w:val="00BA1B5F"/>
    <w:rsid w:val="00BA26E1"/>
    <w:rsid w:val="00BB3607"/>
    <w:rsid w:val="00BB6DC5"/>
    <w:rsid w:val="00BB71AD"/>
    <w:rsid w:val="00BB7BC4"/>
    <w:rsid w:val="00BC1E66"/>
    <w:rsid w:val="00BC6F8F"/>
    <w:rsid w:val="00BC7F4D"/>
    <w:rsid w:val="00BD1242"/>
    <w:rsid w:val="00BD14F8"/>
    <w:rsid w:val="00BD3174"/>
    <w:rsid w:val="00BD6479"/>
    <w:rsid w:val="00BD7053"/>
    <w:rsid w:val="00BE2C43"/>
    <w:rsid w:val="00BF4DA1"/>
    <w:rsid w:val="00BF5114"/>
    <w:rsid w:val="00C04771"/>
    <w:rsid w:val="00C11359"/>
    <w:rsid w:val="00C13A1C"/>
    <w:rsid w:val="00C3404E"/>
    <w:rsid w:val="00C346D9"/>
    <w:rsid w:val="00C34BAC"/>
    <w:rsid w:val="00C35F91"/>
    <w:rsid w:val="00C41E09"/>
    <w:rsid w:val="00C4245F"/>
    <w:rsid w:val="00C46E44"/>
    <w:rsid w:val="00C54046"/>
    <w:rsid w:val="00C55298"/>
    <w:rsid w:val="00C60D0A"/>
    <w:rsid w:val="00C610E5"/>
    <w:rsid w:val="00C67E6E"/>
    <w:rsid w:val="00C70FDD"/>
    <w:rsid w:val="00C71932"/>
    <w:rsid w:val="00C734CD"/>
    <w:rsid w:val="00C91FEE"/>
    <w:rsid w:val="00C94507"/>
    <w:rsid w:val="00C94DA5"/>
    <w:rsid w:val="00C97172"/>
    <w:rsid w:val="00CA5125"/>
    <w:rsid w:val="00CB4C18"/>
    <w:rsid w:val="00CB4F92"/>
    <w:rsid w:val="00CB6B0D"/>
    <w:rsid w:val="00CB6C7E"/>
    <w:rsid w:val="00CC2192"/>
    <w:rsid w:val="00CC7B98"/>
    <w:rsid w:val="00CD29CA"/>
    <w:rsid w:val="00CD29F9"/>
    <w:rsid w:val="00CD2BA8"/>
    <w:rsid w:val="00CD43B8"/>
    <w:rsid w:val="00CD5C7D"/>
    <w:rsid w:val="00CE34A2"/>
    <w:rsid w:val="00CE45DE"/>
    <w:rsid w:val="00D00B29"/>
    <w:rsid w:val="00D02D40"/>
    <w:rsid w:val="00D1676C"/>
    <w:rsid w:val="00D179EB"/>
    <w:rsid w:val="00D20551"/>
    <w:rsid w:val="00D22C4F"/>
    <w:rsid w:val="00D2394E"/>
    <w:rsid w:val="00D260C7"/>
    <w:rsid w:val="00D26B03"/>
    <w:rsid w:val="00D32BDB"/>
    <w:rsid w:val="00D361D7"/>
    <w:rsid w:val="00D43556"/>
    <w:rsid w:val="00D45FCB"/>
    <w:rsid w:val="00D462D3"/>
    <w:rsid w:val="00D4647A"/>
    <w:rsid w:val="00D51104"/>
    <w:rsid w:val="00D558ED"/>
    <w:rsid w:val="00D6141A"/>
    <w:rsid w:val="00D632B6"/>
    <w:rsid w:val="00D67D97"/>
    <w:rsid w:val="00D71F7D"/>
    <w:rsid w:val="00D73DB1"/>
    <w:rsid w:val="00D73FE4"/>
    <w:rsid w:val="00D82922"/>
    <w:rsid w:val="00D846AE"/>
    <w:rsid w:val="00D9053D"/>
    <w:rsid w:val="00D9207F"/>
    <w:rsid w:val="00D96AE6"/>
    <w:rsid w:val="00D979D1"/>
    <w:rsid w:val="00DA5ABE"/>
    <w:rsid w:val="00DB3387"/>
    <w:rsid w:val="00DB40BB"/>
    <w:rsid w:val="00DB497D"/>
    <w:rsid w:val="00DB60AB"/>
    <w:rsid w:val="00DC4678"/>
    <w:rsid w:val="00DC4D81"/>
    <w:rsid w:val="00DC59A4"/>
    <w:rsid w:val="00DC65B9"/>
    <w:rsid w:val="00DD016F"/>
    <w:rsid w:val="00DD233A"/>
    <w:rsid w:val="00DD532E"/>
    <w:rsid w:val="00DD6B43"/>
    <w:rsid w:val="00DD7DFE"/>
    <w:rsid w:val="00DE6CD1"/>
    <w:rsid w:val="00DF080E"/>
    <w:rsid w:val="00DF236E"/>
    <w:rsid w:val="00E0058E"/>
    <w:rsid w:val="00E03C20"/>
    <w:rsid w:val="00E12276"/>
    <w:rsid w:val="00E16AEE"/>
    <w:rsid w:val="00E21A05"/>
    <w:rsid w:val="00E25135"/>
    <w:rsid w:val="00E313FF"/>
    <w:rsid w:val="00E40ADB"/>
    <w:rsid w:val="00E460E8"/>
    <w:rsid w:val="00E50179"/>
    <w:rsid w:val="00E5374D"/>
    <w:rsid w:val="00E56200"/>
    <w:rsid w:val="00E562B3"/>
    <w:rsid w:val="00E623A8"/>
    <w:rsid w:val="00E62D00"/>
    <w:rsid w:val="00E630C3"/>
    <w:rsid w:val="00E67608"/>
    <w:rsid w:val="00E80883"/>
    <w:rsid w:val="00E80EF8"/>
    <w:rsid w:val="00E829D7"/>
    <w:rsid w:val="00E93AFC"/>
    <w:rsid w:val="00EA055A"/>
    <w:rsid w:val="00EB164A"/>
    <w:rsid w:val="00EB2D19"/>
    <w:rsid w:val="00EB678B"/>
    <w:rsid w:val="00EC23E1"/>
    <w:rsid w:val="00EC2BCE"/>
    <w:rsid w:val="00EC395B"/>
    <w:rsid w:val="00EC5C97"/>
    <w:rsid w:val="00EC60BF"/>
    <w:rsid w:val="00EC6394"/>
    <w:rsid w:val="00EE1046"/>
    <w:rsid w:val="00EE50F6"/>
    <w:rsid w:val="00EE61BA"/>
    <w:rsid w:val="00EE767E"/>
    <w:rsid w:val="00EF007F"/>
    <w:rsid w:val="00F0207F"/>
    <w:rsid w:val="00F02165"/>
    <w:rsid w:val="00F046A6"/>
    <w:rsid w:val="00F21307"/>
    <w:rsid w:val="00F22603"/>
    <w:rsid w:val="00F24BD9"/>
    <w:rsid w:val="00F264EF"/>
    <w:rsid w:val="00F3081D"/>
    <w:rsid w:val="00F315AA"/>
    <w:rsid w:val="00F37942"/>
    <w:rsid w:val="00F41A08"/>
    <w:rsid w:val="00F42E16"/>
    <w:rsid w:val="00F51443"/>
    <w:rsid w:val="00F52772"/>
    <w:rsid w:val="00F52E4B"/>
    <w:rsid w:val="00F6166D"/>
    <w:rsid w:val="00F63060"/>
    <w:rsid w:val="00F66F5C"/>
    <w:rsid w:val="00F70978"/>
    <w:rsid w:val="00F719C5"/>
    <w:rsid w:val="00F75436"/>
    <w:rsid w:val="00F779E6"/>
    <w:rsid w:val="00F80EC4"/>
    <w:rsid w:val="00F81E6F"/>
    <w:rsid w:val="00F8361C"/>
    <w:rsid w:val="00F83C8B"/>
    <w:rsid w:val="00F847EE"/>
    <w:rsid w:val="00F95279"/>
    <w:rsid w:val="00F95CCA"/>
    <w:rsid w:val="00FA1B59"/>
    <w:rsid w:val="00FA3CE3"/>
    <w:rsid w:val="00FA41BB"/>
    <w:rsid w:val="00FB718E"/>
    <w:rsid w:val="00FB7D9A"/>
    <w:rsid w:val="00FC0C28"/>
    <w:rsid w:val="00FC3747"/>
    <w:rsid w:val="00FC4DF1"/>
    <w:rsid w:val="00FC521B"/>
    <w:rsid w:val="00FC7348"/>
    <w:rsid w:val="00FC7699"/>
    <w:rsid w:val="00FD53B5"/>
    <w:rsid w:val="00FD71AA"/>
    <w:rsid w:val="00FD7987"/>
    <w:rsid w:val="00FE192C"/>
    <w:rsid w:val="00FE6653"/>
    <w:rsid w:val="00FF0408"/>
    <w:rsid w:val="00FF3E14"/>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168B"/>
  <w15:chartTrackingRefBased/>
  <w15:docId w15:val="{572C9597-8390-4DAB-A3AA-BFEFDC17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2">
    <w:name w:val="heading 2"/>
    <w:basedOn w:val="Normal"/>
    <w:link w:val="Heading2Char"/>
    <w:uiPriority w:val="9"/>
    <w:qFormat/>
    <w:rsid w:val="00470DA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60"/>
    <w:pPr>
      <w:ind w:left="720"/>
      <w:contextualSpacing/>
    </w:pPr>
  </w:style>
  <w:style w:type="paragraph" w:styleId="Header">
    <w:name w:val="header"/>
    <w:basedOn w:val="Normal"/>
    <w:link w:val="HeaderChar"/>
    <w:uiPriority w:val="99"/>
    <w:unhideWhenUsed/>
    <w:rsid w:val="005C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E"/>
  </w:style>
  <w:style w:type="paragraph" w:styleId="Footer">
    <w:name w:val="footer"/>
    <w:basedOn w:val="Normal"/>
    <w:link w:val="FooterChar"/>
    <w:uiPriority w:val="99"/>
    <w:unhideWhenUsed/>
    <w:rsid w:val="005C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E"/>
  </w:style>
  <w:style w:type="paragraph" w:styleId="FootnoteText">
    <w:name w:val="footnote text"/>
    <w:aliases w:val="Footnote Text Char1,Footnote Text Char Char,Footnote Text Char1 Char,Footnote Text Char Char Char,Footnote Text Char Char1,Char Char Char,Char Char,Footnote Text Char1 Char Char Char Char,Footnote Text Char Char Char Char Char Char Char"/>
    <w:basedOn w:val="Normal"/>
    <w:link w:val="FootnoteTextChar"/>
    <w:uiPriority w:val="99"/>
    <w:unhideWhenUsed/>
    <w:qFormat/>
    <w:rsid w:val="003035B4"/>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 Char Char Char Char"/>
    <w:basedOn w:val="DefaultParagraphFont"/>
    <w:link w:val="FootnoteText"/>
    <w:uiPriority w:val="99"/>
    <w:qFormat/>
    <w:rsid w:val="003035B4"/>
    <w:rPr>
      <w:sz w:val="20"/>
      <w:szCs w:val="20"/>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3035B4"/>
    <w:rPr>
      <w:vertAlign w:val="superscript"/>
    </w:rPr>
  </w:style>
  <w:style w:type="paragraph" w:styleId="BalloonText">
    <w:name w:val="Balloon Text"/>
    <w:basedOn w:val="Normal"/>
    <w:link w:val="BalloonTextChar"/>
    <w:uiPriority w:val="99"/>
    <w:semiHidden/>
    <w:unhideWhenUsed/>
    <w:rsid w:val="0094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ED"/>
    <w:rPr>
      <w:rFonts w:ascii="Segoe UI" w:hAnsi="Segoe UI" w:cs="Segoe UI"/>
      <w:sz w:val="18"/>
      <w:szCs w:val="18"/>
      <w:lang w:val="en-ZA"/>
    </w:rPr>
  </w:style>
  <w:style w:type="character" w:styleId="CommentReference">
    <w:name w:val="annotation reference"/>
    <w:basedOn w:val="DefaultParagraphFont"/>
    <w:uiPriority w:val="99"/>
    <w:semiHidden/>
    <w:unhideWhenUsed/>
    <w:rsid w:val="00132F8D"/>
    <w:rPr>
      <w:sz w:val="16"/>
      <w:szCs w:val="16"/>
    </w:rPr>
  </w:style>
  <w:style w:type="paragraph" w:styleId="CommentText">
    <w:name w:val="annotation text"/>
    <w:basedOn w:val="Normal"/>
    <w:link w:val="CommentTextChar"/>
    <w:uiPriority w:val="99"/>
    <w:semiHidden/>
    <w:unhideWhenUsed/>
    <w:rsid w:val="00132F8D"/>
    <w:pPr>
      <w:spacing w:line="240" w:lineRule="auto"/>
    </w:pPr>
    <w:rPr>
      <w:sz w:val="20"/>
      <w:szCs w:val="20"/>
    </w:rPr>
  </w:style>
  <w:style w:type="character" w:customStyle="1" w:styleId="CommentTextChar">
    <w:name w:val="Comment Text Char"/>
    <w:basedOn w:val="DefaultParagraphFont"/>
    <w:link w:val="CommentText"/>
    <w:uiPriority w:val="99"/>
    <w:semiHidden/>
    <w:rsid w:val="00132F8D"/>
    <w:rPr>
      <w:sz w:val="20"/>
      <w:szCs w:val="20"/>
      <w:lang w:val="en-ZA"/>
    </w:rPr>
  </w:style>
  <w:style w:type="paragraph" w:styleId="CommentSubject">
    <w:name w:val="annotation subject"/>
    <w:basedOn w:val="CommentText"/>
    <w:next w:val="CommentText"/>
    <w:link w:val="CommentSubjectChar"/>
    <w:uiPriority w:val="99"/>
    <w:semiHidden/>
    <w:unhideWhenUsed/>
    <w:rsid w:val="00132F8D"/>
    <w:rPr>
      <w:b/>
      <w:bCs/>
    </w:rPr>
  </w:style>
  <w:style w:type="character" w:customStyle="1" w:styleId="CommentSubjectChar">
    <w:name w:val="Comment Subject Char"/>
    <w:basedOn w:val="CommentTextChar"/>
    <w:link w:val="CommentSubject"/>
    <w:uiPriority w:val="99"/>
    <w:semiHidden/>
    <w:rsid w:val="00132F8D"/>
    <w:rPr>
      <w:b/>
      <w:bCs/>
      <w:sz w:val="20"/>
      <w:szCs w:val="20"/>
      <w:lang w:val="en-ZA"/>
    </w:rPr>
  </w:style>
  <w:style w:type="paragraph" w:customStyle="1" w:styleId="JUDGMENTNUMBERED">
    <w:name w:val="JUDGMENT NUMBERED"/>
    <w:basedOn w:val="Normal"/>
    <w:next w:val="JUDGMENTCONTINUED"/>
    <w:link w:val="JUDGMENTNUMBEREDChar"/>
    <w:qFormat/>
    <w:rsid w:val="0097312E"/>
    <w:pPr>
      <w:numPr>
        <w:numId w:val="2"/>
      </w:numPr>
      <w:tabs>
        <w:tab w:val="left" w:pos="680"/>
      </w:tabs>
      <w:spacing w:after="0" w:line="48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97312E"/>
    <w:pPr>
      <w:numPr>
        <w:numId w:val="0"/>
      </w:numPr>
    </w:pPr>
  </w:style>
  <w:style w:type="paragraph" w:customStyle="1" w:styleId="QUOTATION">
    <w:name w:val="QUOTATION"/>
    <w:basedOn w:val="Normal"/>
    <w:next w:val="JUDGMENTCONTINUED"/>
    <w:qFormat/>
    <w:rsid w:val="0097312E"/>
    <w:pPr>
      <w:spacing w:after="0" w:line="360" w:lineRule="auto"/>
      <w:ind w:left="720" w:right="720"/>
      <w:jc w:val="both"/>
    </w:pPr>
    <w:rPr>
      <w:rFonts w:ascii="Times New Roman" w:eastAsia="Times New Roman" w:hAnsi="Times New Roman" w:cs="Times New Roman"/>
    </w:rPr>
  </w:style>
  <w:style w:type="paragraph" w:customStyle="1" w:styleId="FootnoteText1">
    <w:name w:val="Footnote Text1"/>
    <w:basedOn w:val="Normal"/>
    <w:qFormat/>
    <w:rsid w:val="0097312E"/>
    <w:pPr>
      <w:spacing w:after="120" w:line="240" w:lineRule="auto"/>
      <w:jc w:val="both"/>
    </w:pPr>
    <w:rPr>
      <w:rFonts w:ascii="Times New Roman" w:eastAsia="Times New Roman" w:hAnsi="Times New Roman" w:cs="Times New Roman"/>
      <w:sz w:val="20"/>
    </w:rPr>
  </w:style>
  <w:style w:type="paragraph" w:customStyle="1" w:styleId="QUOTEINFOOTNOTE">
    <w:name w:val="QUOTE IN FOOTNOTE"/>
    <w:basedOn w:val="FootnoteText1"/>
    <w:next w:val="FootnoteText1"/>
    <w:qFormat/>
    <w:rsid w:val="0097312E"/>
    <w:pPr>
      <w:ind w:left="720" w:right="720"/>
    </w:pPr>
  </w:style>
  <w:style w:type="paragraph" w:customStyle="1" w:styleId="HEADING">
    <w:name w:val="HEADING"/>
    <w:basedOn w:val="JUDGMENTNUMBERED"/>
    <w:next w:val="JUDGMENTNUMBERED"/>
    <w:link w:val="HEADINGChar"/>
    <w:qFormat/>
    <w:rsid w:val="0097312E"/>
    <w:pPr>
      <w:keepNext/>
      <w:numPr>
        <w:numId w:val="0"/>
      </w:numPr>
    </w:pPr>
    <w:rPr>
      <w:i/>
    </w:rPr>
  </w:style>
  <w:style w:type="character" w:customStyle="1" w:styleId="JUDGMENTNUMBEREDChar">
    <w:name w:val="JUDGMENT NUMBERED Char"/>
    <w:basedOn w:val="DefaultParagraphFont"/>
    <w:link w:val="JUDGMENTNUMBERED"/>
    <w:qFormat/>
    <w:locked/>
    <w:rsid w:val="0097312E"/>
    <w:rPr>
      <w:rFonts w:ascii="Times New Roman" w:eastAsia="Times New Roman" w:hAnsi="Times New Roman" w:cs="Times New Roman"/>
      <w:sz w:val="26"/>
      <w:lang w:val="en-ZA"/>
    </w:rPr>
  </w:style>
  <w:style w:type="character" w:customStyle="1" w:styleId="HEADINGChar">
    <w:name w:val="HEADING Char"/>
    <w:basedOn w:val="JUDGMENTNUMBEREDChar"/>
    <w:link w:val="HEADING"/>
    <w:locked/>
    <w:rsid w:val="0097312E"/>
    <w:rPr>
      <w:rFonts w:ascii="Times New Roman" w:eastAsia="Times New Roman" w:hAnsi="Times New Roman" w:cs="Times New Roman"/>
      <w:i/>
      <w:sz w:val="26"/>
      <w:lang w:val="en-ZA"/>
    </w:rPr>
  </w:style>
  <w:style w:type="paragraph" w:customStyle="1" w:styleId="FootnoteText11">
    <w:name w:val="Footnote Text11"/>
    <w:basedOn w:val="Normal"/>
    <w:qFormat/>
    <w:rsid w:val="0097312E"/>
    <w:pPr>
      <w:spacing w:after="120" w:line="240" w:lineRule="auto"/>
      <w:jc w:val="both"/>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470DA0"/>
    <w:rPr>
      <w:rFonts w:ascii="Times New Roman" w:eastAsia="Times New Roman" w:hAnsi="Times New Roman" w:cs="Times New Roman"/>
      <w:b/>
      <w:bCs/>
      <w:sz w:val="36"/>
      <w:szCs w:val="36"/>
      <w:lang w:val="en-ZA" w:eastAsia="en-ZA"/>
    </w:rPr>
  </w:style>
  <w:style w:type="character" w:customStyle="1" w:styleId="apple-converted-space">
    <w:name w:val="apple-converted-space"/>
    <w:basedOn w:val="DefaultParagraphFont"/>
    <w:rsid w:val="00CE45DE"/>
    <w:rPr>
      <w:rFonts w:cs="Times New Roman"/>
    </w:rPr>
  </w:style>
  <w:style w:type="paragraph" w:styleId="Revision">
    <w:name w:val="Revision"/>
    <w:hidden/>
    <w:uiPriority w:val="99"/>
    <w:semiHidden/>
    <w:rsid w:val="00A31711"/>
    <w:pPr>
      <w:spacing w:after="0" w:line="240" w:lineRule="auto"/>
    </w:pPr>
    <w:rPr>
      <w:lang w:val="en-ZA"/>
    </w:rPr>
  </w:style>
  <w:style w:type="paragraph" w:customStyle="1" w:styleId="1AutoList1">
    <w:name w:val="1AutoList1"/>
    <w:uiPriority w:val="99"/>
    <w:rsid w:val="0050757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eastAsia="en-GB"/>
    </w:rPr>
  </w:style>
  <w:style w:type="character" w:customStyle="1" w:styleId="Bodytext">
    <w:name w:val="Body text_"/>
    <w:basedOn w:val="DefaultParagraphFont"/>
    <w:link w:val="BodyText1"/>
    <w:locked/>
    <w:rsid w:val="00725826"/>
    <w:rPr>
      <w:rFonts w:ascii="Arial" w:hAnsi="Arial" w:cs="Arial"/>
      <w:shd w:val="clear" w:color="auto" w:fill="FFFFFF"/>
    </w:rPr>
  </w:style>
  <w:style w:type="paragraph" w:customStyle="1" w:styleId="BodyText1">
    <w:name w:val="Body Text1"/>
    <w:basedOn w:val="Normal"/>
    <w:link w:val="Bodytext"/>
    <w:rsid w:val="00725826"/>
    <w:pPr>
      <w:widowControl w:val="0"/>
      <w:shd w:val="clear" w:color="auto" w:fill="FFFFFF"/>
      <w:spacing w:before="300" w:after="300" w:line="278" w:lineRule="exact"/>
      <w:ind w:hanging="720"/>
      <w:jc w:val="right"/>
    </w:pPr>
    <w:rPr>
      <w:rFonts w:ascii="Arial" w:hAnsi="Arial" w:cs="Arial"/>
      <w:lang w:val="en-US"/>
    </w:rPr>
  </w:style>
  <w:style w:type="character" w:customStyle="1" w:styleId="BodytextItalic">
    <w:name w:val="Body text + Italic"/>
    <w:basedOn w:val="Bodytext"/>
    <w:rsid w:val="00070BE3"/>
    <w:rPr>
      <w:rFonts w:ascii="Arial" w:hAnsi="Arial" w:cs="Arial"/>
      <w:i/>
      <w:iCs/>
      <w:color w:val="000000"/>
      <w:spacing w:val="0"/>
      <w:w w:val="100"/>
      <w:position w:val="0"/>
      <w:shd w:val="clear" w:color="auto" w:fill="FFFFFF"/>
      <w:lang w:val="en-US" w:eastAsia="x-none"/>
    </w:rPr>
  </w:style>
  <w:style w:type="paragraph" w:customStyle="1" w:styleId="JUGMENTNUMBERED">
    <w:name w:val="JUGMENT NUMBERED"/>
    <w:basedOn w:val="Normal"/>
    <w:rsid w:val="005659E9"/>
    <w:pPr>
      <w:numPr>
        <w:numId w:val="6"/>
      </w:numPr>
      <w:spacing w:after="0" w:line="480" w:lineRule="auto"/>
      <w:jc w:val="both"/>
    </w:pPr>
    <w:rPr>
      <w:rFonts w:ascii="Times New Roman" w:eastAsia="Times New Roman" w:hAnsi="Times New Roman" w:cs="Times New Roman"/>
      <w:sz w:val="26"/>
      <w:szCs w:val="26"/>
      <w:lang w:eastAsia="en-ZA"/>
    </w:rPr>
  </w:style>
  <w:style w:type="paragraph" w:styleId="BodyText0">
    <w:name w:val="Body Text"/>
    <w:basedOn w:val="Normal"/>
    <w:link w:val="BodyTextChar"/>
    <w:uiPriority w:val="1"/>
    <w:qFormat/>
    <w:rsid w:val="00A31B2B"/>
    <w:pPr>
      <w:widowControl w:val="0"/>
      <w:autoSpaceDE w:val="0"/>
      <w:autoSpaceDN w:val="0"/>
      <w:adjustRightInd w:val="0"/>
      <w:spacing w:after="0" w:line="240" w:lineRule="auto"/>
      <w:ind w:left="938" w:hanging="677"/>
    </w:pPr>
    <w:rPr>
      <w:rFonts w:ascii="Arial" w:eastAsiaTheme="minorEastAsia" w:hAnsi="Arial" w:cs="Arial"/>
      <w:sz w:val="23"/>
      <w:szCs w:val="23"/>
      <w:lang w:eastAsia="en-ZA"/>
    </w:rPr>
  </w:style>
  <w:style w:type="character" w:customStyle="1" w:styleId="BodyTextChar">
    <w:name w:val="Body Text Char"/>
    <w:basedOn w:val="DefaultParagraphFont"/>
    <w:link w:val="BodyText0"/>
    <w:uiPriority w:val="1"/>
    <w:rsid w:val="00A31B2B"/>
    <w:rPr>
      <w:rFonts w:ascii="Arial" w:eastAsiaTheme="minorEastAsia" w:hAnsi="Arial" w:cs="Arial"/>
      <w:sz w:val="23"/>
      <w:szCs w:val="23"/>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A8D564-E47D-2349-96A5-A3A7D4E7C46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8A35-BD0B-4A19-BEAE-CBCC22CA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Judge-Nomonde Mngqibisa-Thusi</dc:creator>
  <cp:keywords/>
  <dc:description/>
  <cp:lastModifiedBy>Mary Bruce</cp:lastModifiedBy>
  <cp:revision>3</cp:revision>
  <cp:lastPrinted>2023-01-16T09:50:00Z</cp:lastPrinted>
  <dcterms:created xsi:type="dcterms:W3CDTF">2023-01-16T09:51:00Z</dcterms:created>
  <dcterms:modified xsi:type="dcterms:W3CDTF">2023-01-23T12:49:00Z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documentId_2380</vt:lpwstr>
  </property>
  <property fmtid="{D5CDD505-2E9C-101B-9397-08002B2CF9AE}" pid="3" name="grammarly_documentContext">
    <vt:lpwstr>{"goals":[],"domain":"general","emotions":[],"dialect":"british"}</vt:lpwstr>
  </property>
</Properties>
</file>