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DA1" w:rsidRPr="0084067A" w:rsidRDefault="001C2DA1" w:rsidP="0084067A">
      <w:pPr>
        <w:jc w:val="center"/>
        <w:rPr>
          <w:b/>
          <w:u w:val="none"/>
        </w:rPr>
      </w:pPr>
      <w:bookmarkStart w:id="0" w:name="_GoBack"/>
      <w:bookmarkEnd w:id="0"/>
    </w:p>
    <w:p w:rsidR="001C2DA1" w:rsidRDefault="001C2DA1" w:rsidP="0084067A">
      <w:pPr>
        <w:jc w:val="center"/>
        <w:rPr>
          <w:b/>
          <w:u w:val="none"/>
        </w:rPr>
      </w:pPr>
      <w:r w:rsidRPr="0084067A">
        <w:rPr>
          <w:b/>
          <w:u w:val="none"/>
        </w:rPr>
        <w:t xml:space="preserve">IN THE HIGH COURT OF </w:t>
      </w:r>
      <w:r w:rsidR="00371B79" w:rsidRPr="0084067A">
        <w:rPr>
          <w:b/>
          <w:u w:val="none"/>
        </w:rPr>
        <w:t>SOUTH AFRICA</w:t>
      </w:r>
    </w:p>
    <w:p w:rsidR="008037EC" w:rsidRPr="0084067A" w:rsidRDefault="008037EC" w:rsidP="0084067A">
      <w:pPr>
        <w:jc w:val="center"/>
        <w:rPr>
          <w:b/>
          <w:u w:val="none"/>
        </w:rPr>
      </w:pPr>
    </w:p>
    <w:p w:rsidR="001C2DA1" w:rsidRPr="0084067A" w:rsidRDefault="001C2DA1" w:rsidP="0084067A">
      <w:pPr>
        <w:jc w:val="center"/>
        <w:rPr>
          <w:b/>
          <w:u w:val="none"/>
        </w:rPr>
      </w:pPr>
      <w:r w:rsidRPr="0084067A">
        <w:rPr>
          <w:b/>
          <w:u w:val="none"/>
        </w:rPr>
        <w:t>(</w:t>
      </w:r>
      <w:r w:rsidR="00371B79" w:rsidRPr="0084067A">
        <w:rPr>
          <w:b/>
          <w:u w:val="none"/>
        </w:rPr>
        <w:t>GAUTENG DIVISION, PRETORIA</w:t>
      </w:r>
      <w:r w:rsidRPr="0084067A">
        <w:rPr>
          <w:b/>
          <w:u w:val="none"/>
        </w:rPr>
        <w:t>)</w:t>
      </w:r>
    </w:p>
    <w:p w:rsidR="002F4398" w:rsidRPr="0084067A" w:rsidRDefault="002F4398" w:rsidP="00D3790A">
      <w:pPr>
        <w:rPr>
          <w:b/>
          <w:u w:val="none"/>
        </w:rPr>
      </w:pPr>
    </w:p>
    <w:p w:rsidR="002F4398" w:rsidRDefault="00694469" w:rsidP="0084067A">
      <w:pPr>
        <w:jc w:val="center"/>
        <w:rPr>
          <w:b/>
          <w:u w:val="none"/>
        </w:rPr>
      </w:pPr>
      <w:r w:rsidRPr="0084067A">
        <w:rPr>
          <w:b/>
          <w:noProof/>
          <w:u w:val="none"/>
          <w:lang w:val="en-US" w:eastAsia="en-US"/>
        </w:rPr>
        <mc:AlternateContent>
          <mc:Choice Requires="wpc">
            <w:drawing>
              <wp:inline distT="0" distB="0" distL="0" distR="0" wp14:anchorId="17A09FDF" wp14:editId="0821FD70">
                <wp:extent cx="1162050" cy="1247774"/>
                <wp:effectExtent l="0" t="0" r="0" b="0"/>
                <wp:docPr id="3"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6" name="Picture 6" descr="Description: Description: cid:image002.jpg@01D019DE.127D259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62050" cy="1190624"/>
                          </a:xfrm>
                          <a:prstGeom prst="rect">
                            <a:avLst/>
                          </a:prstGeom>
                          <a:noFill/>
                          <a:ln>
                            <a:noFill/>
                          </a:ln>
                        </pic:spPr>
                      </pic:pic>
                    </wpc:wpc>
                  </a:graphicData>
                </a:graphic>
              </wp:inline>
            </w:drawing>
          </mc:Choice>
          <mc:Fallback xmlns:w16se="http://schemas.microsoft.com/office/word/2015/wordml/symex" xmlns:cx="http://schemas.microsoft.com/office/drawing/2014/chartex">
            <w:pict>
              <v:group w14:anchorId="6D279EB2" id="Canvas 2" o:spid="_x0000_s1026" editas="canvas" style="width:91.5pt;height:98.25pt;mso-position-horizontal-relative:char;mso-position-vertical-relative:line" coordsize="11620,124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620;height:12471;visibility:visible;mso-wrap-style:square">
                  <v:fill o:detectmouseclick="t"/>
                  <v:path o:connecttype="none"/>
                </v:shape>
                <v:shape id="Picture 6" o:spid="_x0000_s1028" type="#_x0000_t75" alt="Description: Description: cid:image002.jpg@01D019DE.127D2590" style="position:absolute;width:11620;height:11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">
                  <v:imagedata r:id="rId10" r:href="rId11"/>
                </v:shape>
                <w10:anchorlock/>
              </v:group>
            </w:pict>
          </mc:Fallback>
        </mc:AlternateContent>
      </w:r>
    </w:p>
    <w:p w:rsidR="0086145C" w:rsidRDefault="0086145C" w:rsidP="0084067A">
      <w:pPr>
        <w:jc w:val="center"/>
        <w:rPr>
          <w:b/>
          <w:u w:val="none"/>
        </w:rPr>
      </w:pPr>
    </w:p>
    <w:p w:rsidR="007C20F4" w:rsidRDefault="007C20F4" w:rsidP="0084067A">
      <w:pPr>
        <w:jc w:val="center"/>
        <w:rPr>
          <w:b/>
          <w:u w:val="none"/>
        </w:rPr>
      </w:pPr>
    </w:p>
    <w:p w:rsidR="007C20F4" w:rsidRDefault="00A369F3" w:rsidP="0084067A">
      <w:pPr>
        <w:jc w:val="center"/>
        <w:rPr>
          <w:b/>
          <w:u w:val="none"/>
        </w:rPr>
      </w:pPr>
      <w:r>
        <w:rPr>
          <w:b/>
          <w:u w:val="none"/>
        </w:rPr>
        <w:tab/>
      </w:r>
    </w:p>
    <w:p w:rsidR="00A369F3" w:rsidRDefault="007C20F4" w:rsidP="00A369F3">
      <w:pPr>
        <w:tabs>
          <w:tab w:val="right" w:pos="8199"/>
        </w:tabs>
        <w:spacing w:line="360" w:lineRule="auto"/>
        <w:jc w:val="right"/>
        <w:rPr>
          <w:u w:val="none"/>
        </w:rPr>
      </w:pPr>
      <w:r>
        <w:rPr>
          <w:u w:val="none"/>
        </w:rPr>
        <w:tab/>
      </w:r>
      <w:r w:rsidRPr="007C20F4">
        <w:rPr>
          <w:u w:val="none"/>
        </w:rPr>
        <w:t xml:space="preserve">Case number: </w:t>
      </w:r>
      <w:r w:rsidR="00F62AF0">
        <w:rPr>
          <w:u w:val="none"/>
        </w:rPr>
        <w:t xml:space="preserve"> </w:t>
      </w:r>
      <w:r w:rsidR="00907698">
        <w:rPr>
          <w:u w:val="none"/>
        </w:rPr>
        <w:t>77678/2019</w:t>
      </w:r>
    </w:p>
    <w:p w:rsidR="00A369F3" w:rsidRPr="007C20F4" w:rsidRDefault="00A369F3" w:rsidP="00A369F3">
      <w:pPr>
        <w:tabs>
          <w:tab w:val="right" w:pos="8199"/>
        </w:tabs>
        <w:spacing w:line="360" w:lineRule="auto"/>
        <w:jc w:val="center"/>
        <w:rPr>
          <w:u w:val="none"/>
        </w:rPr>
      </w:pPr>
      <w:r>
        <w:rPr>
          <w:u w:val="none"/>
        </w:rPr>
        <w:t xml:space="preserve">                                              </w:t>
      </w:r>
      <w:r w:rsidR="00481F36">
        <w:rPr>
          <w:u w:val="none"/>
        </w:rPr>
        <w:t xml:space="preserve">    Date :</w:t>
      </w:r>
    </w:p>
    <w:p w:rsidR="007C20F4" w:rsidRDefault="007C20F4" w:rsidP="00542156">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right"/>
        <w:rPr>
          <w:u w:val="none"/>
        </w:rPr>
      </w:pPr>
      <w:r w:rsidRPr="007C20F4">
        <w:rPr>
          <w:u w:val="none"/>
        </w:rPr>
        <w:tab/>
      </w:r>
      <w:r w:rsidRPr="007C20F4">
        <w:rPr>
          <w:u w:val="none"/>
        </w:rPr>
        <w:tab/>
      </w:r>
      <w:r w:rsidR="00A369F3">
        <w:rPr>
          <w:u w:val="none"/>
        </w:rPr>
        <w:t xml:space="preserve">                                                    </w:t>
      </w:r>
      <w:r w:rsidRPr="007C20F4">
        <w:rPr>
          <w:u w:val="none"/>
        </w:rPr>
        <w:tab/>
      </w:r>
      <w:r w:rsidRPr="007C20F4">
        <w:rPr>
          <w:u w:val="none"/>
        </w:rPr>
        <w:tab/>
      </w:r>
      <w:r w:rsidRPr="007C20F4">
        <w:rPr>
          <w:u w:val="none"/>
        </w:rPr>
        <w:tab/>
      </w:r>
      <w:r w:rsidRPr="007C20F4">
        <w:rPr>
          <w:u w:val="none"/>
        </w:rPr>
        <w:tab/>
        <w:t xml:space="preserve">      </w:t>
      </w:r>
      <w:r w:rsidR="00C14708">
        <w:rPr>
          <w:u w:val="none"/>
        </w:rPr>
        <w:t xml:space="preserve">    </w:t>
      </w:r>
    </w:p>
    <w:p w:rsidR="0086145C" w:rsidRDefault="0086145C" w:rsidP="00542156">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right"/>
        <w:rPr>
          <w:u w:val="none"/>
        </w:rPr>
      </w:pPr>
    </w:p>
    <w:p w:rsidR="0086145C" w:rsidRPr="007C20F4" w:rsidRDefault="0086145C" w:rsidP="00542156">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right"/>
        <w:rPr>
          <w:u w:val="none"/>
        </w:rPr>
      </w:pPr>
    </w:p>
    <w:p w:rsidR="00052F10" w:rsidRPr="0084067A" w:rsidRDefault="007C20F4" w:rsidP="008037EC">
      <w:pPr>
        <w:rPr>
          <w:b/>
          <w:u w:val="none"/>
        </w:rPr>
      </w:pPr>
      <w:r w:rsidRPr="0084067A">
        <w:rPr>
          <w:b/>
          <w:noProof/>
          <w:lang w:val="en-US" w:eastAsia="en-US"/>
        </w:rPr>
        <mc:AlternateContent>
          <mc:Choice Requires="wps">
            <w:drawing>
              <wp:anchor distT="0" distB="0" distL="114300" distR="114300" simplePos="0" relativeHeight="251659264" behindDoc="0" locked="0" layoutInCell="1" allowOverlap="1" wp14:anchorId="1B0479D9" wp14:editId="15C32A3D">
                <wp:simplePos x="0" y="0"/>
                <wp:positionH relativeFrom="column">
                  <wp:posOffset>-161925</wp:posOffset>
                </wp:positionH>
                <wp:positionV relativeFrom="paragraph">
                  <wp:posOffset>35560</wp:posOffset>
                </wp:positionV>
                <wp:extent cx="2933700" cy="1569720"/>
                <wp:effectExtent l="0" t="0" r="19050" b="1143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569720"/>
                        </a:xfrm>
                        <a:prstGeom prst="rect">
                          <a:avLst/>
                        </a:prstGeom>
                        <a:solidFill>
                          <a:srgbClr val="FFFFFF"/>
                        </a:solidFill>
                        <a:ln w="9525">
                          <a:solidFill>
                            <a:srgbClr val="000000"/>
                          </a:solidFill>
                          <a:miter lim="800000"/>
                          <a:headEnd/>
                          <a:tailEnd/>
                        </a:ln>
                      </wps:spPr>
                      <wps:txbx>
                        <w:txbxContent>
                          <w:p w:rsidR="006029B4" w:rsidRPr="00913F95" w:rsidRDefault="006029B4" w:rsidP="00D3790A">
                            <w:pPr>
                              <w:jc w:val="center"/>
                              <w:rPr>
                                <w:rFonts w:ascii="Century Gothic" w:hAnsi="Century Gothic"/>
                                <w:b/>
                                <w:sz w:val="20"/>
                                <w:szCs w:val="20"/>
                              </w:rPr>
                            </w:pPr>
                          </w:p>
                          <w:p w:rsidR="006029B4" w:rsidRPr="007C20F4" w:rsidRDefault="006029B4" w:rsidP="007C20F4">
                            <w:pPr>
                              <w:widowControl w:val="0"/>
                              <w:tabs>
                                <w:tab w:val="center" w:pos="4320"/>
                                <w:tab w:val="right" w:pos="8640"/>
                              </w:tabs>
                              <w:autoSpaceDE w:val="0"/>
                              <w:autoSpaceDN w:val="0"/>
                              <w:adjustRightInd w:val="0"/>
                              <w:rPr>
                                <w:rFonts w:ascii="Calibri" w:hAnsi="Calibri" w:cs="Times New Roman"/>
                                <w:sz w:val="20"/>
                                <w:szCs w:val="20"/>
                                <w:u w:val="none"/>
                              </w:rPr>
                            </w:pPr>
                            <w:r w:rsidRPr="007C20F4">
                              <w:rPr>
                                <w:rFonts w:ascii="Calibri" w:hAnsi="Calibri" w:cs="Times New Roman"/>
                                <w:sz w:val="20"/>
                                <w:szCs w:val="20"/>
                                <w:u w:val="none"/>
                              </w:rPr>
                              <w:t>DELETE WHICHEVER IS NOT APPLICABLE</w:t>
                            </w:r>
                          </w:p>
                          <w:p w:rsidR="006029B4" w:rsidRPr="007C20F4" w:rsidRDefault="006029B4" w:rsidP="00A941DD">
                            <w:pPr>
                              <w:widowControl w:val="0"/>
                              <w:numPr>
                                <w:ilvl w:val="0"/>
                                <w:numId w:val="2"/>
                              </w:numPr>
                              <w:autoSpaceDE w:val="0"/>
                              <w:autoSpaceDN w:val="0"/>
                              <w:adjustRightInd w:val="0"/>
                              <w:ind w:left="426" w:hanging="426"/>
                              <w:contextualSpacing/>
                              <w:rPr>
                                <w:rFonts w:ascii="Calibri" w:eastAsia="Calibri" w:hAnsi="Calibri" w:cs="Times New Roman"/>
                                <w:sz w:val="20"/>
                                <w:szCs w:val="20"/>
                                <w:u w:val="none"/>
                                <w:lang w:val="af-ZA" w:eastAsia="en-US"/>
                              </w:rPr>
                            </w:pPr>
                            <w:r w:rsidRPr="007C20F4">
                              <w:rPr>
                                <w:rFonts w:ascii="Calibri" w:eastAsia="Calibri" w:hAnsi="Calibri" w:cs="Times New Roman"/>
                                <w:sz w:val="20"/>
                                <w:szCs w:val="20"/>
                                <w:u w:val="none"/>
                                <w:lang w:val="af-ZA" w:eastAsia="en-US"/>
                              </w:rPr>
                              <w:t>REPORTABLE: YES/NO</w:t>
                            </w:r>
                          </w:p>
                          <w:p w:rsidR="006029B4" w:rsidRPr="007C20F4" w:rsidRDefault="006029B4" w:rsidP="00A941DD">
                            <w:pPr>
                              <w:widowControl w:val="0"/>
                              <w:numPr>
                                <w:ilvl w:val="0"/>
                                <w:numId w:val="2"/>
                              </w:numPr>
                              <w:autoSpaceDE w:val="0"/>
                              <w:autoSpaceDN w:val="0"/>
                              <w:adjustRightInd w:val="0"/>
                              <w:ind w:left="426" w:hanging="426"/>
                              <w:contextualSpacing/>
                              <w:rPr>
                                <w:rFonts w:ascii="Calibri" w:eastAsia="Calibri" w:hAnsi="Calibri" w:cs="Times New Roman"/>
                                <w:sz w:val="20"/>
                                <w:szCs w:val="20"/>
                                <w:u w:val="none"/>
                                <w:lang w:val="af-ZA" w:eastAsia="en-US"/>
                              </w:rPr>
                            </w:pPr>
                            <w:r w:rsidRPr="007C20F4">
                              <w:rPr>
                                <w:rFonts w:ascii="Calibri" w:eastAsia="Calibri" w:hAnsi="Calibri" w:cs="Times New Roman"/>
                                <w:sz w:val="20"/>
                                <w:szCs w:val="20"/>
                                <w:u w:val="none"/>
                                <w:lang w:val="af-ZA" w:eastAsia="en-US"/>
                              </w:rPr>
                              <w:t>OF INTEREST TO OTHERS JUDGES: YES/NO</w:t>
                            </w:r>
                          </w:p>
                          <w:p w:rsidR="006029B4" w:rsidRPr="007C20F4" w:rsidRDefault="006029B4" w:rsidP="00A941DD">
                            <w:pPr>
                              <w:widowControl w:val="0"/>
                              <w:numPr>
                                <w:ilvl w:val="0"/>
                                <w:numId w:val="2"/>
                              </w:numPr>
                              <w:autoSpaceDE w:val="0"/>
                              <w:autoSpaceDN w:val="0"/>
                              <w:adjustRightInd w:val="0"/>
                              <w:ind w:left="426" w:hanging="426"/>
                              <w:contextualSpacing/>
                              <w:rPr>
                                <w:rFonts w:ascii="Calibri" w:eastAsia="Calibri" w:hAnsi="Calibri" w:cs="Times New Roman"/>
                                <w:sz w:val="20"/>
                                <w:szCs w:val="20"/>
                                <w:u w:val="none"/>
                                <w:lang w:val="af-ZA" w:eastAsia="en-US"/>
                              </w:rPr>
                            </w:pPr>
                            <w:r w:rsidRPr="007C20F4">
                              <w:rPr>
                                <w:rFonts w:ascii="Calibri" w:eastAsia="Calibri" w:hAnsi="Calibri" w:cs="Times New Roman"/>
                                <w:sz w:val="20"/>
                                <w:szCs w:val="20"/>
                                <w:u w:val="none"/>
                                <w:lang w:val="af-ZA" w:eastAsia="en-US"/>
                              </w:rPr>
                              <w:t>REVISED</w:t>
                            </w:r>
                          </w:p>
                          <w:p w:rsidR="006029B4" w:rsidRPr="007C20F4" w:rsidRDefault="006029B4" w:rsidP="007C20F4">
                            <w:pPr>
                              <w:tabs>
                                <w:tab w:val="center" w:pos="4320"/>
                                <w:tab w:val="right" w:pos="8640"/>
                              </w:tabs>
                              <w:spacing w:after="200" w:line="276" w:lineRule="auto"/>
                              <w:ind w:left="720"/>
                              <w:contextualSpacing/>
                              <w:rPr>
                                <w:rFonts w:ascii="Calibri" w:eastAsia="Calibri" w:hAnsi="Calibri" w:cs="Times New Roman"/>
                                <w:sz w:val="20"/>
                                <w:szCs w:val="20"/>
                                <w:u w:val="none"/>
                                <w:lang w:val="af-ZA" w:eastAsia="en-US"/>
                              </w:rPr>
                            </w:pPr>
                          </w:p>
                          <w:p w:rsidR="006029B4" w:rsidRPr="007C20F4" w:rsidRDefault="006029B4" w:rsidP="007C20F4">
                            <w:pPr>
                              <w:widowControl w:val="0"/>
                              <w:tabs>
                                <w:tab w:val="center" w:pos="4320"/>
                                <w:tab w:val="right" w:pos="8640"/>
                              </w:tabs>
                              <w:autoSpaceDE w:val="0"/>
                              <w:autoSpaceDN w:val="0"/>
                              <w:adjustRightInd w:val="0"/>
                              <w:rPr>
                                <w:rFonts w:ascii="Calibri" w:hAnsi="Calibri" w:cs="Times New Roman"/>
                                <w:sz w:val="20"/>
                                <w:szCs w:val="20"/>
                                <w:u w:val="none"/>
                              </w:rPr>
                            </w:pPr>
                            <w:r w:rsidRPr="007C20F4">
                              <w:rPr>
                                <w:rFonts w:ascii="Calibri" w:hAnsi="Calibri" w:cs="Times New Roman"/>
                                <w:sz w:val="20"/>
                                <w:szCs w:val="20"/>
                                <w:u w:val="none"/>
                              </w:rPr>
                              <w:t>.............................    ..............................................</w:t>
                            </w:r>
                          </w:p>
                          <w:p w:rsidR="006029B4" w:rsidRPr="00D3790A" w:rsidRDefault="006029B4" w:rsidP="007C20F4">
                            <w:pPr>
                              <w:rPr>
                                <w:rFonts w:ascii="Century Gothic" w:hAnsi="Century Gothic"/>
                                <w:sz w:val="18"/>
                                <w:szCs w:val="18"/>
                                <w:u w:val="none"/>
                              </w:rPr>
                            </w:pPr>
                            <w:r w:rsidRPr="007C20F4">
                              <w:rPr>
                                <w:rFonts w:ascii="Calibri" w:hAnsi="Calibri" w:cs="Times New Roman"/>
                                <w:sz w:val="20"/>
                                <w:szCs w:val="20"/>
                                <w:u w:val="none"/>
                              </w:rPr>
                              <w:t xml:space="preserve">         DATE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B0479D9" id="_x0000_t202" coordsize="21600,21600" o:spt="202" path="m,l,21600r21600,l21600,xe">
                <v:stroke joinstyle="miter"/>
                <v:path gradientshapeok="t" o:connecttype="rect"/>
              </v:shapetype>
              <v:shape id="Text Box 5" o:spid="_x0000_s1026" type="#_x0000_t202" style="position:absolute;margin-left:-12.75pt;margin-top:2.8pt;width:231pt;height:1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">
                <v:textbox>
                  <w:txbxContent>
                    <w:p w:rsidR="006029B4" w:rsidRPr="00913F95" w:rsidRDefault="006029B4" w:rsidP="00D3790A">
                      <w:pPr>
                        <w:jc w:val="center"/>
                        <w:rPr>
                          <w:rFonts w:ascii="Century Gothic" w:hAnsi="Century Gothic"/>
                          <w:b/>
                          <w:sz w:val="20"/>
                          <w:szCs w:val="20"/>
                        </w:rPr>
                      </w:pPr>
                    </w:p>
                    <w:p w:rsidR="006029B4" w:rsidRPr="007C20F4" w:rsidRDefault="006029B4" w:rsidP="007C20F4">
                      <w:pPr>
                        <w:widowControl w:val="0"/>
                        <w:tabs>
                          <w:tab w:val="center" w:pos="4320"/>
                          <w:tab w:val="right" w:pos="8640"/>
                        </w:tabs>
                        <w:autoSpaceDE w:val="0"/>
                        <w:autoSpaceDN w:val="0"/>
                        <w:adjustRightInd w:val="0"/>
                        <w:rPr>
                          <w:rFonts w:ascii="Calibri" w:hAnsi="Calibri" w:cs="Times New Roman"/>
                          <w:sz w:val="20"/>
                          <w:szCs w:val="20"/>
                          <w:u w:val="none"/>
                        </w:rPr>
                      </w:pPr>
                      <w:r w:rsidRPr="007C20F4">
                        <w:rPr>
                          <w:rFonts w:ascii="Calibri" w:hAnsi="Calibri" w:cs="Times New Roman"/>
                          <w:sz w:val="20"/>
                          <w:szCs w:val="20"/>
                          <w:u w:val="none"/>
                        </w:rPr>
                        <w:t>DELETE WHICHEVER IS NOT APPLICABLE</w:t>
                      </w:r>
                    </w:p>
                    <w:p w:rsidR="006029B4" w:rsidRPr="007C20F4" w:rsidRDefault="006029B4" w:rsidP="00A941DD">
                      <w:pPr>
                        <w:widowControl w:val="0"/>
                        <w:numPr>
                          <w:ilvl w:val="0"/>
                          <w:numId w:val="2"/>
                        </w:numPr>
                        <w:autoSpaceDE w:val="0"/>
                        <w:autoSpaceDN w:val="0"/>
                        <w:adjustRightInd w:val="0"/>
                        <w:ind w:left="426" w:hanging="426"/>
                        <w:contextualSpacing/>
                        <w:rPr>
                          <w:rFonts w:ascii="Calibri" w:eastAsia="Calibri" w:hAnsi="Calibri" w:cs="Times New Roman"/>
                          <w:sz w:val="20"/>
                          <w:szCs w:val="20"/>
                          <w:u w:val="none"/>
                          <w:lang w:val="af-ZA" w:eastAsia="en-US"/>
                        </w:rPr>
                      </w:pPr>
                      <w:r w:rsidRPr="007C20F4">
                        <w:rPr>
                          <w:rFonts w:ascii="Calibri" w:eastAsia="Calibri" w:hAnsi="Calibri" w:cs="Times New Roman"/>
                          <w:sz w:val="20"/>
                          <w:szCs w:val="20"/>
                          <w:u w:val="none"/>
                          <w:lang w:val="af-ZA" w:eastAsia="en-US"/>
                        </w:rPr>
                        <w:t>REPORTABLE: YES/NO</w:t>
                      </w:r>
                    </w:p>
                    <w:p w:rsidR="006029B4" w:rsidRPr="007C20F4" w:rsidRDefault="006029B4" w:rsidP="00A941DD">
                      <w:pPr>
                        <w:widowControl w:val="0"/>
                        <w:numPr>
                          <w:ilvl w:val="0"/>
                          <w:numId w:val="2"/>
                        </w:numPr>
                        <w:autoSpaceDE w:val="0"/>
                        <w:autoSpaceDN w:val="0"/>
                        <w:adjustRightInd w:val="0"/>
                        <w:ind w:left="426" w:hanging="426"/>
                        <w:contextualSpacing/>
                        <w:rPr>
                          <w:rFonts w:ascii="Calibri" w:eastAsia="Calibri" w:hAnsi="Calibri" w:cs="Times New Roman"/>
                          <w:sz w:val="20"/>
                          <w:szCs w:val="20"/>
                          <w:u w:val="none"/>
                          <w:lang w:val="af-ZA" w:eastAsia="en-US"/>
                        </w:rPr>
                      </w:pPr>
                      <w:r w:rsidRPr="007C20F4">
                        <w:rPr>
                          <w:rFonts w:ascii="Calibri" w:eastAsia="Calibri" w:hAnsi="Calibri" w:cs="Times New Roman"/>
                          <w:sz w:val="20"/>
                          <w:szCs w:val="20"/>
                          <w:u w:val="none"/>
                          <w:lang w:val="af-ZA" w:eastAsia="en-US"/>
                        </w:rPr>
                        <w:t>OF INTEREST TO OTHERS JUDGES: YES/NO</w:t>
                      </w:r>
                    </w:p>
                    <w:p w:rsidR="006029B4" w:rsidRPr="007C20F4" w:rsidRDefault="006029B4" w:rsidP="00A941DD">
                      <w:pPr>
                        <w:widowControl w:val="0"/>
                        <w:numPr>
                          <w:ilvl w:val="0"/>
                          <w:numId w:val="2"/>
                        </w:numPr>
                        <w:autoSpaceDE w:val="0"/>
                        <w:autoSpaceDN w:val="0"/>
                        <w:adjustRightInd w:val="0"/>
                        <w:ind w:left="426" w:hanging="426"/>
                        <w:contextualSpacing/>
                        <w:rPr>
                          <w:rFonts w:ascii="Calibri" w:eastAsia="Calibri" w:hAnsi="Calibri" w:cs="Times New Roman"/>
                          <w:sz w:val="20"/>
                          <w:szCs w:val="20"/>
                          <w:u w:val="none"/>
                          <w:lang w:val="af-ZA" w:eastAsia="en-US"/>
                        </w:rPr>
                      </w:pPr>
                      <w:r w:rsidRPr="007C20F4">
                        <w:rPr>
                          <w:rFonts w:ascii="Calibri" w:eastAsia="Calibri" w:hAnsi="Calibri" w:cs="Times New Roman"/>
                          <w:sz w:val="20"/>
                          <w:szCs w:val="20"/>
                          <w:u w:val="none"/>
                          <w:lang w:val="af-ZA" w:eastAsia="en-US"/>
                        </w:rPr>
                        <w:t>REVISED</w:t>
                      </w:r>
                    </w:p>
                    <w:p w:rsidR="006029B4" w:rsidRPr="007C20F4" w:rsidRDefault="006029B4" w:rsidP="007C20F4">
                      <w:pPr>
                        <w:tabs>
                          <w:tab w:val="center" w:pos="4320"/>
                          <w:tab w:val="right" w:pos="8640"/>
                        </w:tabs>
                        <w:spacing w:after="200" w:line="276" w:lineRule="auto"/>
                        <w:ind w:left="720"/>
                        <w:contextualSpacing/>
                        <w:rPr>
                          <w:rFonts w:ascii="Calibri" w:eastAsia="Calibri" w:hAnsi="Calibri" w:cs="Times New Roman"/>
                          <w:sz w:val="20"/>
                          <w:szCs w:val="20"/>
                          <w:u w:val="none"/>
                          <w:lang w:val="af-ZA" w:eastAsia="en-US"/>
                        </w:rPr>
                      </w:pPr>
                    </w:p>
                    <w:p w:rsidR="006029B4" w:rsidRPr="007C20F4" w:rsidRDefault="006029B4" w:rsidP="007C20F4">
                      <w:pPr>
                        <w:widowControl w:val="0"/>
                        <w:tabs>
                          <w:tab w:val="center" w:pos="4320"/>
                          <w:tab w:val="right" w:pos="8640"/>
                        </w:tabs>
                        <w:autoSpaceDE w:val="0"/>
                        <w:autoSpaceDN w:val="0"/>
                        <w:adjustRightInd w:val="0"/>
                        <w:rPr>
                          <w:rFonts w:ascii="Calibri" w:hAnsi="Calibri" w:cs="Times New Roman"/>
                          <w:sz w:val="20"/>
                          <w:szCs w:val="20"/>
                          <w:u w:val="none"/>
                        </w:rPr>
                      </w:pPr>
                      <w:r w:rsidRPr="007C20F4">
                        <w:rPr>
                          <w:rFonts w:ascii="Calibri" w:hAnsi="Calibri" w:cs="Times New Roman"/>
                          <w:sz w:val="20"/>
                          <w:szCs w:val="20"/>
                          <w:u w:val="none"/>
                        </w:rPr>
                        <w:t>.............................    ..............................................</w:t>
                      </w:r>
                    </w:p>
                    <w:p w:rsidR="006029B4" w:rsidRPr="00D3790A" w:rsidRDefault="006029B4" w:rsidP="007C20F4">
                      <w:pPr>
                        <w:rPr>
                          <w:rFonts w:ascii="Century Gothic" w:hAnsi="Century Gothic"/>
                          <w:sz w:val="18"/>
                          <w:szCs w:val="18"/>
                          <w:u w:val="none"/>
                        </w:rPr>
                      </w:pPr>
                      <w:r w:rsidRPr="007C20F4">
                        <w:rPr>
                          <w:rFonts w:ascii="Calibri" w:hAnsi="Calibri" w:cs="Times New Roman"/>
                          <w:sz w:val="20"/>
                          <w:szCs w:val="20"/>
                          <w:u w:val="none"/>
                        </w:rPr>
                        <w:t xml:space="preserve">         DATE                           SIGNATURE</w:t>
                      </w:r>
                    </w:p>
                  </w:txbxContent>
                </v:textbox>
              </v:shape>
            </w:pict>
          </mc:Fallback>
        </mc:AlternateContent>
      </w:r>
    </w:p>
    <w:p w:rsidR="00052F10" w:rsidRPr="0084067A" w:rsidRDefault="00052F10" w:rsidP="0084067A">
      <w:pPr>
        <w:jc w:val="center"/>
        <w:rPr>
          <w:b/>
          <w:u w:val="none"/>
        </w:rPr>
      </w:pPr>
    </w:p>
    <w:p w:rsidR="007C20F4" w:rsidRPr="007C20F4" w:rsidRDefault="00AE0757" w:rsidP="007C20F4">
      <w:pPr>
        <w:tabs>
          <w:tab w:val="right" w:pos="8199"/>
        </w:tabs>
        <w:spacing w:line="360" w:lineRule="auto"/>
        <w:rPr>
          <w:u w:val="none"/>
        </w:rPr>
      </w:pPr>
      <w:r w:rsidRPr="00AE0757">
        <w:rPr>
          <w:b/>
          <w:u w:val="none"/>
        </w:rPr>
        <w:tab/>
      </w:r>
      <w:r w:rsidRPr="00AE0757">
        <w:rPr>
          <w:b/>
          <w:u w:val="none"/>
        </w:rPr>
        <w:tab/>
      </w:r>
      <w:r w:rsidRPr="00AE0757">
        <w:rPr>
          <w:b/>
          <w:u w:val="none"/>
        </w:rPr>
        <w:tab/>
      </w:r>
      <w:r w:rsidRPr="00AE0757">
        <w:rPr>
          <w:b/>
          <w:u w:val="none"/>
        </w:rPr>
        <w:tab/>
      </w:r>
      <w:r w:rsidRPr="00AE0757">
        <w:rPr>
          <w:b/>
          <w:u w:val="none"/>
        </w:rPr>
        <w:tab/>
      </w:r>
      <w:r w:rsidRPr="00AE0757">
        <w:rPr>
          <w:b/>
          <w:u w:val="none"/>
        </w:rPr>
        <w:tab/>
      </w:r>
      <w:r w:rsidRPr="00AE0757">
        <w:rPr>
          <w:b/>
          <w:u w:val="none"/>
        </w:rPr>
        <w:tab/>
      </w:r>
    </w:p>
    <w:p w:rsidR="007C20F4" w:rsidRDefault="007C20F4" w:rsidP="007C20F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u w:val="none"/>
        </w:rPr>
      </w:pPr>
      <w:r w:rsidRPr="007C20F4">
        <w:rPr>
          <w:u w:val="none"/>
        </w:rPr>
        <w:t>In the matter between:</w:t>
      </w:r>
    </w:p>
    <w:p w:rsidR="00907698" w:rsidRDefault="00907698" w:rsidP="007C20F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u w:val="none"/>
        </w:rPr>
      </w:pPr>
    </w:p>
    <w:p w:rsidR="00907698" w:rsidRPr="00907698" w:rsidRDefault="00907698" w:rsidP="007C20F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u w:val="none"/>
        </w:rPr>
      </w:pPr>
      <w:r w:rsidRPr="00907698">
        <w:rPr>
          <w:b/>
          <w:u w:val="none"/>
        </w:rPr>
        <w:t>MIKAKOR CC</w:t>
      </w:r>
      <w:r w:rsidRPr="00907698">
        <w:rPr>
          <w:b/>
          <w:u w:val="none"/>
        </w:rPr>
        <w:tab/>
      </w:r>
      <w:r w:rsidRPr="00907698">
        <w:rPr>
          <w:b/>
          <w:u w:val="none"/>
        </w:rPr>
        <w:tab/>
      </w:r>
      <w:r w:rsidRPr="00907698">
        <w:rPr>
          <w:b/>
          <w:u w:val="none"/>
        </w:rPr>
        <w:tab/>
      </w:r>
      <w:r w:rsidRPr="00907698">
        <w:rPr>
          <w:b/>
          <w:u w:val="none"/>
        </w:rPr>
        <w:tab/>
        <w:t xml:space="preserve">          </w:t>
      </w:r>
      <w:r>
        <w:rPr>
          <w:b/>
          <w:u w:val="none"/>
        </w:rPr>
        <w:t xml:space="preserve">                </w:t>
      </w:r>
      <w:r w:rsidRPr="00907698">
        <w:rPr>
          <w:b/>
          <w:u w:val="none"/>
        </w:rPr>
        <w:t xml:space="preserve"> FIRST APPLICANT</w:t>
      </w:r>
    </w:p>
    <w:p w:rsidR="00907698" w:rsidRPr="00907698" w:rsidRDefault="00907698" w:rsidP="007C20F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u w:val="none"/>
        </w:rPr>
      </w:pPr>
      <w:r w:rsidRPr="00907698">
        <w:rPr>
          <w:u w:val="none"/>
        </w:rPr>
        <w:t>(Registration Number: 2005/150983/23)</w:t>
      </w:r>
    </w:p>
    <w:p w:rsidR="00907698" w:rsidRPr="00907698" w:rsidRDefault="00907698" w:rsidP="007C20F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u w:val="none"/>
        </w:rPr>
      </w:pPr>
      <w:r w:rsidRPr="00907698">
        <w:rPr>
          <w:b/>
          <w:u w:val="none"/>
        </w:rPr>
        <w:t xml:space="preserve">PIETER JACOBUS WIESE                                 </w:t>
      </w:r>
      <w:r>
        <w:rPr>
          <w:b/>
          <w:u w:val="none"/>
        </w:rPr>
        <w:t xml:space="preserve">         </w:t>
      </w:r>
      <w:r w:rsidR="005E0522">
        <w:rPr>
          <w:b/>
          <w:u w:val="none"/>
        </w:rPr>
        <w:tab/>
      </w:r>
      <w:r w:rsidRPr="00907698">
        <w:rPr>
          <w:b/>
          <w:u w:val="none"/>
        </w:rPr>
        <w:t>SECOND APPLICANT</w:t>
      </w:r>
    </w:p>
    <w:p w:rsidR="00907698" w:rsidRPr="00907698" w:rsidRDefault="00907698" w:rsidP="007C20F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u w:val="none"/>
        </w:rPr>
      </w:pPr>
      <w:r w:rsidRPr="00907698">
        <w:rPr>
          <w:b/>
          <w:u w:val="none"/>
        </w:rPr>
        <w:t xml:space="preserve">CHRISTO FLORIS WIESE                                      </w:t>
      </w:r>
      <w:r>
        <w:rPr>
          <w:b/>
          <w:u w:val="none"/>
        </w:rPr>
        <w:t xml:space="preserve">     </w:t>
      </w:r>
      <w:r w:rsidR="005E0522">
        <w:rPr>
          <w:b/>
          <w:u w:val="none"/>
        </w:rPr>
        <w:tab/>
        <w:t xml:space="preserve">     </w:t>
      </w:r>
      <w:r w:rsidRPr="00907698">
        <w:rPr>
          <w:b/>
          <w:u w:val="none"/>
        </w:rPr>
        <w:t>THIRD APPLICANT</w:t>
      </w:r>
    </w:p>
    <w:p w:rsidR="00907698" w:rsidRPr="00907698" w:rsidRDefault="00907698" w:rsidP="007C20F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u w:val="none"/>
        </w:rPr>
      </w:pPr>
      <w:r w:rsidRPr="00907698">
        <w:rPr>
          <w:b/>
          <w:u w:val="none"/>
        </w:rPr>
        <w:t xml:space="preserve">HEINE JAN VAN NIEKERK                                     </w:t>
      </w:r>
      <w:r>
        <w:rPr>
          <w:b/>
          <w:u w:val="none"/>
        </w:rPr>
        <w:t xml:space="preserve">  </w:t>
      </w:r>
      <w:r w:rsidRPr="00907698">
        <w:rPr>
          <w:b/>
          <w:u w:val="none"/>
        </w:rPr>
        <w:t xml:space="preserve">  </w:t>
      </w:r>
      <w:r w:rsidR="005E0522">
        <w:rPr>
          <w:b/>
          <w:u w:val="none"/>
        </w:rPr>
        <w:t xml:space="preserve">  </w:t>
      </w:r>
      <w:r w:rsidRPr="00907698">
        <w:rPr>
          <w:b/>
          <w:u w:val="none"/>
        </w:rPr>
        <w:t>FOURTH APPLICANT</w:t>
      </w:r>
    </w:p>
    <w:p w:rsidR="00907698" w:rsidRPr="00907698" w:rsidRDefault="00907698" w:rsidP="007C20F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u w:val="none"/>
        </w:rPr>
      </w:pPr>
      <w:r w:rsidRPr="00907698">
        <w:rPr>
          <w:b/>
          <w:u w:val="none"/>
        </w:rPr>
        <w:t xml:space="preserve">HEINE JAN VAN NIEKER N.O.                                   </w:t>
      </w:r>
      <w:r w:rsidR="005E0522">
        <w:rPr>
          <w:b/>
          <w:u w:val="none"/>
        </w:rPr>
        <w:t xml:space="preserve">     </w:t>
      </w:r>
      <w:r w:rsidRPr="00907698">
        <w:rPr>
          <w:b/>
          <w:u w:val="none"/>
        </w:rPr>
        <w:t xml:space="preserve"> FIFTH APPLICANT</w:t>
      </w:r>
    </w:p>
    <w:p w:rsidR="00907698" w:rsidRPr="00907698" w:rsidRDefault="0079031F" w:rsidP="007C20F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u w:val="none"/>
        </w:rPr>
      </w:pPr>
      <w:r>
        <w:rPr>
          <w:u w:val="none"/>
        </w:rPr>
        <w:t>(In his capacity as trustee</w:t>
      </w:r>
      <w:r w:rsidR="00907698" w:rsidRPr="00907698">
        <w:rPr>
          <w:u w:val="none"/>
        </w:rPr>
        <w:t xml:space="preserve"> of the Avalon Trust)</w:t>
      </w:r>
    </w:p>
    <w:p w:rsidR="00907698" w:rsidRPr="00907698" w:rsidRDefault="00907698" w:rsidP="007C20F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u w:val="none"/>
        </w:rPr>
      </w:pPr>
      <w:r w:rsidRPr="00907698">
        <w:rPr>
          <w:u w:val="none"/>
        </w:rPr>
        <w:lastRenderedPageBreak/>
        <w:t>(Registration Number: IT7451/2003)</w:t>
      </w:r>
    </w:p>
    <w:p w:rsidR="00907698" w:rsidRPr="00907698" w:rsidRDefault="00907698" w:rsidP="007C20F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u w:val="none"/>
        </w:rPr>
      </w:pPr>
    </w:p>
    <w:p w:rsidR="00907698" w:rsidRPr="00907698" w:rsidRDefault="00907698" w:rsidP="007C20F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u w:val="none"/>
        </w:rPr>
      </w:pPr>
      <w:r w:rsidRPr="00907698">
        <w:rPr>
          <w:b/>
          <w:u w:val="none"/>
        </w:rPr>
        <w:t>And</w:t>
      </w:r>
    </w:p>
    <w:p w:rsidR="00907698" w:rsidRPr="00907698" w:rsidRDefault="00907698" w:rsidP="007C20F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u w:val="none"/>
        </w:rPr>
      </w:pPr>
    </w:p>
    <w:p w:rsidR="00907698" w:rsidRPr="00907698" w:rsidRDefault="00907698" w:rsidP="007C20F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u w:val="none"/>
        </w:rPr>
      </w:pPr>
      <w:r w:rsidRPr="00907698">
        <w:rPr>
          <w:b/>
          <w:u w:val="none"/>
        </w:rPr>
        <w:t xml:space="preserve">LEXHELL 824 INVESTMENTS (PTY) LTD                  </w:t>
      </w:r>
      <w:r>
        <w:rPr>
          <w:b/>
          <w:u w:val="none"/>
        </w:rPr>
        <w:t xml:space="preserve">           </w:t>
      </w:r>
      <w:r w:rsidRPr="00907698">
        <w:rPr>
          <w:b/>
          <w:u w:val="none"/>
        </w:rPr>
        <w:t xml:space="preserve"> RESPONDENT</w:t>
      </w:r>
    </w:p>
    <w:p w:rsidR="00907698" w:rsidRPr="0079031F" w:rsidRDefault="00907698" w:rsidP="007C20F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u w:val="none"/>
        </w:rPr>
      </w:pPr>
      <w:r w:rsidRPr="0079031F">
        <w:rPr>
          <w:u w:val="none"/>
        </w:rPr>
        <w:t xml:space="preserve">(Registration Number: 2010/007434/07)     </w:t>
      </w:r>
    </w:p>
    <w:p w:rsidR="00907698" w:rsidRPr="00907698" w:rsidRDefault="00907698" w:rsidP="007C20F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u w:val="none"/>
        </w:rPr>
      </w:pPr>
    </w:p>
    <w:p w:rsidR="00907698" w:rsidRPr="00907698" w:rsidRDefault="00907698" w:rsidP="007C20F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u w:val="none"/>
        </w:rPr>
      </w:pPr>
      <w:r w:rsidRPr="00907698">
        <w:rPr>
          <w:b/>
          <w:u w:val="none"/>
        </w:rPr>
        <w:t>In re:</w:t>
      </w:r>
    </w:p>
    <w:p w:rsidR="00907698" w:rsidRPr="00907698" w:rsidRDefault="00907698" w:rsidP="007C20F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u w:val="none"/>
        </w:rPr>
      </w:pPr>
    </w:p>
    <w:p w:rsidR="00907698" w:rsidRPr="00907698" w:rsidRDefault="00907698" w:rsidP="00907698">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u w:val="none"/>
        </w:rPr>
      </w:pPr>
      <w:r w:rsidRPr="00907698">
        <w:rPr>
          <w:b/>
          <w:u w:val="none"/>
        </w:rPr>
        <w:t xml:space="preserve">LEXHELL 824 INVESTMENTS (PTY) LTD                </w:t>
      </w:r>
      <w:r>
        <w:rPr>
          <w:b/>
          <w:u w:val="none"/>
        </w:rPr>
        <w:t xml:space="preserve">               </w:t>
      </w:r>
      <w:r w:rsidRPr="00907698">
        <w:rPr>
          <w:b/>
          <w:u w:val="none"/>
        </w:rPr>
        <w:t xml:space="preserve">  APPLICANT </w:t>
      </w:r>
    </w:p>
    <w:p w:rsidR="00907698" w:rsidRPr="0079031F" w:rsidRDefault="00907698" w:rsidP="00907698">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u w:val="none"/>
        </w:rPr>
      </w:pPr>
      <w:r w:rsidRPr="0079031F">
        <w:rPr>
          <w:u w:val="none"/>
        </w:rPr>
        <w:t xml:space="preserve">(Registration Number: 2010/007434/07)     </w:t>
      </w:r>
    </w:p>
    <w:p w:rsidR="00907698" w:rsidRPr="00907698" w:rsidRDefault="00907698" w:rsidP="00907698">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u w:val="none"/>
        </w:rPr>
      </w:pPr>
    </w:p>
    <w:p w:rsidR="00907698" w:rsidRPr="00907698" w:rsidRDefault="00907698" w:rsidP="00907698">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u w:val="none"/>
        </w:rPr>
      </w:pPr>
      <w:r w:rsidRPr="00907698">
        <w:rPr>
          <w:b/>
          <w:u w:val="none"/>
        </w:rPr>
        <w:t>And</w:t>
      </w:r>
    </w:p>
    <w:p w:rsidR="00907698" w:rsidRPr="00907698" w:rsidRDefault="00907698" w:rsidP="00907698">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u w:val="none"/>
        </w:rPr>
      </w:pPr>
    </w:p>
    <w:p w:rsidR="00907698" w:rsidRDefault="00907698" w:rsidP="00B953CF">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ind w:right="-240"/>
        <w:rPr>
          <w:b/>
          <w:u w:val="none"/>
        </w:rPr>
      </w:pPr>
      <w:r w:rsidRPr="00907698">
        <w:rPr>
          <w:b/>
          <w:u w:val="none"/>
        </w:rPr>
        <w:t>MIKAKOR CC</w:t>
      </w:r>
      <w:r w:rsidR="00B953CF">
        <w:rPr>
          <w:b/>
          <w:u w:val="none"/>
        </w:rPr>
        <w:t xml:space="preserve">                                                          FIRST RESPONDENT</w:t>
      </w:r>
      <w:r w:rsidR="00B953CF">
        <w:rPr>
          <w:b/>
          <w:u w:val="none"/>
        </w:rPr>
        <w:tab/>
        <w:t xml:space="preserve">                                                 </w:t>
      </w:r>
      <w:r w:rsidR="00B953CF">
        <w:rPr>
          <w:b/>
          <w:u w:val="none"/>
        </w:rPr>
        <w:tab/>
      </w:r>
      <w:r w:rsidR="00B953CF">
        <w:rPr>
          <w:b/>
          <w:u w:val="none"/>
        </w:rPr>
        <w:tab/>
      </w:r>
      <w:r w:rsidR="00B953CF">
        <w:rPr>
          <w:b/>
          <w:u w:val="none"/>
        </w:rPr>
        <w:tab/>
      </w:r>
      <w:r w:rsidRPr="00907698">
        <w:rPr>
          <w:b/>
          <w:u w:val="none"/>
        </w:rPr>
        <w:tab/>
      </w:r>
      <w:r w:rsidRPr="00907698">
        <w:rPr>
          <w:b/>
          <w:u w:val="none"/>
        </w:rPr>
        <w:tab/>
      </w:r>
      <w:r>
        <w:rPr>
          <w:b/>
          <w:u w:val="none"/>
        </w:rPr>
        <w:t xml:space="preserve">                                          </w:t>
      </w:r>
      <w:r>
        <w:rPr>
          <w:b/>
          <w:u w:val="none"/>
        </w:rPr>
        <w:tab/>
      </w:r>
      <w:r>
        <w:rPr>
          <w:b/>
          <w:u w:val="none"/>
        </w:rPr>
        <w:tab/>
        <w:t xml:space="preserve"> </w:t>
      </w:r>
    </w:p>
    <w:p w:rsidR="00907698" w:rsidRDefault="00907698" w:rsidP="00907698">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u w:val="none"/>
        </w:rPr>
      </w:pPr>
      <w:r>
        <w:rPr>
          <w:u w:val="none"/>
        </w:rPr>
        <w:t>(Registration Number: 2005/150983/23)</w:t>
      </w:r>
    </w:p>
    <w:p w:rsidR="00907698" w:rsidRPr="00907698" w:rsidRDefault="00907698" w:rsidP="00907698">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u w:val="none"/>
        </w:rPr>
      </w:pPr>
      <w:r w:rsidRPr="00907698">
        <w:rPr>
          <w:b/>
          <w:u w:val="none"/>
        </w:rPr>
        <w:t xml:space="preserve">PIETER JACOBUS WIESE                                 </w:t>
      </w:r>
      <w:r>
        <w:rPr>
          <w:b/>
          <w:u w:val="none"/>
        </w:rPr>
        <w:t xml:space="preserve">    </w:t>
      </w:r>
      <w:r w:rsidR="005E0522">
        <w:rPr>
          <w:b/>
          <w:u w:val="none"/>
        </w:rPr>
        <w:t xml:space="preserve">   </w:t>
      </w:r>
      <w:r w:rsidRPr="00907698">
        <w:rPr>
          <w:b/>
          <w:u w:val="none"/>
        </w:rPr>
        <w:t>SECOND RESPONDENT</w:t>
      </w:r>
    </w:p>
    <w:p w:rsidR="00907698" w:rsidRPr="00907698" w:rsidRDefault="00907698" w:rsidP="00907698">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u w:val="none"/>
        </w:rPr>
      </w:pPr>
      <w:r w:rsidRPr="00907698">
        <w:rPr>
          <w:b/>
          <w:u w:val="none"/>
        </w:rPr>
        <w:t xml:space="preserve">CHRISTO FLORIS WIESE                                      </w:t>
      </w:r>
      <w:r w:rsidR="005E0522">
        <w:rPr>
          <w:b/>
          <w:u w:val="none"/>
        </w:rPr>
        <w:t xml:space="preserve">      </w:t>
      </w:r>
      <w:r w:rsidRPr="00907698">
        <w:rPr>
          <w:b/>
          <w:u w:val="none"/>
        </w:rPr>
        <w:t>THIRD RESPONDENT</w:t>
      </w:r>
    </w:p>
    <w:p w:rsidR="00907698" w:rsidRPr="00907698" w:rsidRDefault="00907698" w:rsidP="00907698">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u w:val="none"/>
        </w:rPr>
      </w:pPr>
      <w:r w:rsidRPr="00907698">
        <w:rPr>
          <w:b/>
          <w:u w:val="none"/>
        </w:rPr>
        <w:t xml:space="preserve">HEINE JAN VAN NIEKERK       </w:t>
      </w:r>
      <w:r>
        <w:rPr>
          <w:b/>
          <w:u w:val="none"/>
        </w:rPr>
        <w:t xml:space="preserve">                             </w:t>
      </w:r>
      <w:r w:rsidR="005E0522">
        <w:rPr>
          <w:b/>
          <w:u w:val="none"/>
        </w:rPr>
        <w:t xml:space="preserve"> </w:t>
      </w:r>
      <w:r>
        <w:rPr>
          <w:b/>
          <w:u w:val="none"/>
        </w:rPr>
        <w:t xml:space="preserve"> </w:t>
      </w:r>
      <w:r w:rsidRPr="00907698">
        <w:rPr>
          <w:b/>
          <w:u w:val="none"/>
        </w:rPr>
        <w:t>FOURTH RESPONDENT</w:t>
      </w:r>
    </w:p>
    <w:p w:rsidR="00907698" w:rsidRPr="00907698" w:rsidRDefault="00907698" w:rsidP="00907698">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u w:val="none"/>
        </w:rPr>
      </w:pPr>
      <w:r w:rsidRPr="00907698">
        <w:rPr>
          <w:b/>
          <w:u w:val="none"/>
        </w:rPr>
        <w:t xml:space="preserve">HEINE JAN VAN NIEKER N.O.                               </w:t>
      </w:r>
      <w:r w:rsidR="005E0522">
        <w:rPr>
          <w:b/>
          <w:u w:val="none"/>
        </w:rPr>
        <w:t xml:space="preserve">     </w:t>
      </w:r>
      <w:r w:rsidRPr="00907698">
        <w:rPr>
          <w:b/>
          <w:u w:val="none"/>
        </w:rPr>
        <w:t xml:space="preserve"> FIFTH RESPONDENT</w:t>
      </w:r>
    </w:p>
    <w:p w:rsidR="00907698" w:rsidRDefault="00E03417" w:rsidP="00907698">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u w:val="none"/>
        </w:rPr>
      </w:pPr>
      <w:r>
        <w:rPr>
          <w:u w:val="none"/>
        </w:rPr>
        <w:t>(In his capacity as trustee</w:t>
      </w:r>
      <w:r w:rsidR="00907698">
        <w:rPr>
          <w:u w:val="none"/>
        </w:rPr>
        <w:t xml:space="preserve"> of the Avalon Trust)</w:t>
      </w:r>
    </w:p>
    <w:p w:rsidR="00907698" w:rsidRDefault="00907698" w:rsidP="00907698">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u w:val="none"/>
        </w:rPr>
      </w:pPr>
      <w:r>
        <w:rPr>
          <w:u w:val="none"/>
        </w:rPr>
        <w:t>(Registration Number: IT7451/2003)</w:t>
      </w:r>
    </w:p>
    <w:p w:rsidR="00F62AF0" w:rsidRPr="00907698" w:rsidRDefault="00F62AF0" w:rsidP="007C20F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u w:val="none"/>
        </w:rPr>
      </w:pPr>
    </w:p>
    <w:p w:rsidR="00907698" w:rsidRPr="00907698" w:rsidRDefault="00907698" w:rsidP="007C20F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u w:val="none"/>
        </w:rPr>
      </w:pPr>
      <w:r w:rsidRPr="00907698">
        <w:rPr>
          <w:b/>
          <w:u w:val="none"/>
        </w:rPr>
        <w:t>_____________________________________________________________</w:t>
      </w:r>
    </w:p>
    <w:p w:rsidR="00F62AF0" w:rsidRPr="00907698" w:rsidRDefault="00F62AF0" w:rsidP="00F62AF0">
      <w:pPr>
        <w:widowControl w:val="0"/>
        <w:pBdr>
          <w:bottom w:val="single" w:sz="12" w:space="1" w:color="auto"/>
        </w:pBd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center"/>
        <w:rPr>
          <w:b/>
          <w:u w:val="none"/>
        </w:rPr>
      </w:pPr>
      <w:r w:rsidRPr="00907698">
        <w:rPr>
          <w:b/>
          <w:u w:val="none"/>
        </w:rPr>
        <w:t>JUDGMENT</w:t>
      </w:r>
    </w:p>
    <w:p w:rsidR="00907698" w:rsidRDefault="00907698" w:rsidP="00F62AF0">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rPr>
      </w:pPr>
    </w:p>
    <w:p w:rsidR="00F62AF0" w:rsidRDefault="00F62AF0" w:rsidP="00F62AF0">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rPr>
      </w:pPr>
      <w:r w:rsidRPr="00F62AF0">
        <w:rPr>
          <w:b/>
        </w:rPr>
        <w:t>TOLMAY, J:</w:t>
      </w:r>
    </w:p>
    <w:p w:rsidR="004E53FD" w:rsidRDefault="004E53FD" w:rsidP="00F62AF0">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rPr>
      </w:pPr>
    </w:p>
    <w:p w:rsidR="004E53FD" w:rsidRDefault="004E53FD" w:rsidP="00F62AF0">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360" w:lineRule="auto"/>
        <w:jc w:val="both"/>
        <w:rPr>
          <w:b/>
        </w:rPr>
      </w:pPr>
      <w:r>
        <w:rPr>
          <w:b/>
        </w:rPr>
        <w:t>INTRODUCTION</w:t>
      </w:r>
    </w:p>
    <w:p w:rsidR="00907698" w:rsidRDefault="00907698" w:rsidP="00907698">
      <w:pPr>
        <w:spacing w:line="480" w:lineRule="auto"/>
        <w:jc w:val="both"/>
        <w:rPr>
          <w:u w:val="none"/>
          <w:lang w:val="en-US"/>
        </w:rPr>
      </w:pPr>
    </w:p>
    <w:p w:rsidR="00F62AF0" w:rsidRDefault="00F62AF0" w:rsidP="00907698">
      <w:pPr>
        <w:spacing w:line="480" w:lineRule="auto"/>
        <w:jc w:val="both"/>
        <w:rPr>
          <w:u w:val="none"/>
          <w:lang w:val="en-US"/>
        </w:rPr>
      </w:pPr>
      <w:r>
        <w:rPr>
          <w:u w:val="none"/>
          <w:lang w:val="en-US"/>
        </w:rPr>
        <w:t>[1]</w:t>
      </w:r>
      <w:r w:rsidR="00907698">
        <w:rPr>
          <w:u w:val="none"/>
          <w:lang w:val="en-US"/>
        </w:rPr>
        <w:t xml:space="preserve">This is an application for </w:t>
      </w:r>
      <w:r w:rsidR="00735291">
        <w:rPr>
          <w:u w:val="none"/>
          <w:lang w:val="en-US"/>
        </w:rPr>
        <w:t>rescission</w:t>
      </w:r>
      <w:r w:rsidR="00907698">
        <w:rPr>
          <w:u w:val="none"/>
          <w:lang w:val="en-US"/>
        </w:rPr>
        <w:t xml:space="preserve"> of an enforcement order granted on 8 July 2020</w:t>
      </w:r>
      <w:r w:rsidR="00735291">
        <w:rPr>
          <w:u w:val="none"/>
          <w:lang w:val="en-US"/>
        </w:rPr>
        <w:t xml:space="preserve"> by this court</w:t>
      </w:r>
      <w:r w:rsidR="00907698">
        <w:rPr>
          <w:u w:val="none"/>
          <w:lang w:val="en-US"/>
        </w:rPr>
        <w:t>.</w:t>
      </w:r>
    </w:p>
    <w:p w:rsidR="00907698" w:rsidRDefault="00907698" w:rsidP="00907698">
      <w:pPr>
        <w:spacing w:line="480" w:lineRule="auto"/>
        <w:jc w:val="both"/>
        <w:rPr>
          <w:u w:val="none"/>
          <w:lang w:val="en-US"/>
        </w:rPr>
      </w:pPr>
    </w:p>
    <w:p w:rsidR="00907698" w:rsidRDefault="00907698" w:rsidP="00907698">
      <w:pPr>
        <w:spacing w:line="480" w:lineRule="auto"/>
        <w:jc w:val="both"/>
        <w:rPr>
          <w:u w:val="none"/>
          <w:lang w:val="en-US"/>
        </w:rPr>
      </w:pPr>
      <w:r>
        <w:rPr>
          <w:u w:val="none"/>
          <w:lang w:val="en-US"/>
        </w:rPr>
        <w:t>[2]The matter has a long and protracted history. On 12 July 2017 the High Court of Justice Queen’s Bench Division Commercial Court in the United Kingdom (the Commerc</w:t>
      </w:r>
      <w:r w:rsidR="0015084D">
        <w:rPr>
          <w:u w:val="none"/>
          <w:lang w:val="en-US"/>
        </w:rPr>
        <w:t>ial Court) handed down an order</w:t>
      </w:r>
      <w:r>
        <w:rPr>
          <w:u w:val="none"/>
          <w:lang w:val="en-US"/>
        </w:rPr>
        <w:t xml:space="preserve"> to which the parties have consented. In terms of this order, the applicant</w:t>
      </w:r>
      <w:r w:rsidR="004E53FD">
        <w:rPr>
          <w:u w:val="none"/>
          <w:lang w:val="en-US"/>
        </w:rPr>
        <w:t>s</w:t>
      </w:r>
      <w:r>
        <w:rPr>
          <w:u w:val="none"/>
          <w:lang w:val="en-US"/>
        </w:rPr>
        <w:t xml:space="preserve"> were ordered to </w:t>
      </w:r>
      <w:r w:rsidR="00D23C2E">
        <w:rPr>
          <w:u w:val="none"/>
          <w:lang w:val="en-US"/>
        </w:rPr>
        <w:t>pay US</w:t>
      </w:r>
      <w:r w:rsidR="0071375A">
        <w:rPr>
          <w:u w:val="none"/>
          <w:lang w:val="en-US"/>
        </w:rPr>
        <w:t xml:space="preserve"> $ 10 2</w:t>
      </w:r>
      <w:r w:rsidR="0074296B">
        <w:rPr>
          <w:u w:val="none"/>
          <w:lang w:val="en-US"/>
        </w:rPr>
        <w:t>3</w:t>
      </w:r>
      <w:r w:rsidR="0071375A">
        <w:rPr>
          <w:u w:val="none"/>
          <w:lang w:val="en-US"/>
        </w:rPr>
        <w:t>9 483 (ten million two hundred and thirty</w:t>
      </w:r>
      <w:r w:rsidR="004561D5">
        <w:rPr>
          <w:u w:val="none"/>
          <w:lang w:val="en-US"/>
        </w:rPr>
        <w:t xml:space="preserve"> -</w:t>
      </w:r>
      <w:r w:rsidR="0071375A">
        <w:rPr>
          <w:u w:val="none"/>
          <w:lang w:val="en-US"/>
        </w:rPr>
        <w:t xml:space="preserve"> nine thousand four hundred and </w:t>
      </w:r>
      <w:r w:rsidR="004561D5">
        <w:rPr>
          <w:u w:val="none"/>
          <w:lang w:val="en-US"/>
        </w:rPr>
        <w:t>thirty-eight</w:t>
      </w:r>
      <w:r w:rsidR="004E53FD">
        <w:rPr>
          <w:u w:val="none"/>
          <w:lang w:val="en-US"/>
        </w:rPr>
        <w:t xml:space="preserve"> dollars</w:t>
      </w:r>
      <w:r w:rsidR="0071375A">
        <w:rPr>
          <w:u w:val="none"/>
          <w:lang w:val="en-US"/>
        </w:rPr>
        <w:t xml:space="preserve">) plus interest in the sum of US $ 2 </w:t>
      </w:r>
      <w:r w:rsidR="00735291">
        <w:rPr>
          <w:u w:val="none"/>
          <w:lang w:val="en-US"/>
        </w:rPr>
        <w:t>4</w:t>
      </w:r>
      <w:r w:rsidR="0071375A">
        <w:rPr>
          <w:u w:val="none"/>
          <w:lang w:val="en-US"/>
        </w:rPr>
        <w:t xml:space="preserve">93 373.29 (two million four hundred and </w:t>
      </w:r>
      <w:r w:rsidR="004561D5">
        <w:rPr>
          <w:u w:val="none"/>
          <w:lang w:val="en-US"/>
        </w:rPr>
        <w:t>ninety-three</w:t>
      </w:r>
      <w:r w:rsidR="0071375A">
        <w:rPr>
          <w:u w:val="none"/>
          <w:lang w:val="en-US"/>
        </w:rPr>
        <w:t xml:space="preserve"> thousand three hundred and </w:t>
      </w:r>
      <w:r w:rsidR="004561D5">
        <w:rPr>
          <w:u w:val="none"/>
          <w:lang w:val="en-US"/>
        </w:rPr>
        <w:t>seventy-three</w:t>
      </w:r>
      <w:r w:rsidR="0071375A">
        <w:rPr>
          <w:u w:val="none"/>
          <w:lang w:val="en-US"/>
        </w:rPr>
        <w:t xml:space="preserve"> dollars and </w:t>
      </w:r>
      <w:r w:rsidR="004561D5">
        <w:rPr>
          <w:u w:val="none"/>
          <w:lang w:val="en-US"/>
        </w:rPr>
        <w:t>twenty-nine</w:t>
      </w:r>
      <w:r w:rsidR="0071375A">
        <w:rPr>
          <w:u w:val="none"/>
          <w:lang w:val="en-US"/>
        </w:rPr>
        <w:t xml:space="preserve"> cents)</w:t>
      </w:r>
      <w:r w:rsidR="006C68A8">
        <w:rPr>
          <w:u w:val="none"/>
          <w:lang w:val="en-US"/>
        </w:rPr>
        <w:t xml:space="preserve"> to the respondent (Lexshell)</w:t>
      </w:r>
      <w:r w:rsidR="0071375A">
        <w:rPr>
          <w:u w:val="none"/>
          <w:lang w:val="en-US"/>
        </w:rPr>
        <w:t>. The applicant</w:t>
      </w:r>
      <w:r w:rsidR="00735291">
        <w:rPr>
          <w:u w:val="none"/>
          <w:lang w:val="en-US"/>
        </w:rPr>
        <w:t>s</w:t>
      </w:r>
      <w:r w:rsidR="0071375A">
        <w:rPr>
          <w:u w:val="none"/>
          <w:lang w:val="en-US"/>
        </w:rPr>
        <w:t xml:space="preserve"> were also ordered to pay </w:t>
      </w:r>
      <w:r w:rsidR="00735291">
        <w:rPr>
          <w:u w:val="none"/>
          <w:lang w:val="en-US"/>
        </w:rPr>
        <w:t xml:space="preserve">further </w:t>
      </w:r>
      <w:r w:rsidR="004E53FD">
        <w:rPr>
          <w:u w:val="none"/>
          <w:lang w:val="en-US"/>
        </w:rPr>
        <w:t xml:space="preserve">costs </w:t>
      </w:r>
      <w:r w:rsidR="0071375A">
        <w:rPr>
          <w:u w:val="none"/>
          <w:lang w:val="en-US"/>
        </w:rPr>
        <w:t>which was summarily assessed at £45 000 (</w:t>
      </w:r>
      <w:r w:rsidR="004561D5">
        <w:rPr>
          <w:u w:val="none"/>
          <w:lang w:val="en-US"/>
        </w:rPr>
        <w:t>forty-five</w:t>
      </w:r>
      <w:r w:rsidR="00735291">
        <w:rPr>
          <w:u w:val="none"/>
          <w:lang w:val="en-US"/>
        </w:rPr>
        <w:t xml:space="preserve"> thousand pounds</w:t>
      </w:r>
      <w:r w:rsidR="0071375A">
        <w:rPr>
          <w:u w:val="none"/>
          <w:lang w:val="en-US"/>
        </w:rPr>
        <w:t xml:space="preserve">), together with costs which was to be assessed. In this order the terms of payment </w:t>
      </w:r>
      <w:r w:rsidR="004561D5">
        <w:rPr>
          <w:u w:val="none"/>
          <w:lang w:val="en-US"/>
        </w:rPr>
        <w:t>were</w:t>
      </w:r>
      <w:r w:rsidR="0071375A">
        <w:rPr>
          <w:u w:val="none"/>
          <w:lang w:val="en-US"/>
        </w:rPr>
        <w:t xml:space="preserve"> set out, as well as further terms of the settlement in full and final settlement of </w:t>
      </w:r>
      <w:r w:rsidR="00EB0448">
        <w:rPr>
          <w:u w:val="none"/>
          <w:lang w:val="en-US"/>
        </w:rPr>
        <w:t>all the claims, demands and actions between the parties</w:t>
      </w:r>
      <w:r w:rsidR="0074296B">
        <w:rPr>
          <w:u w:val="none"/>
          <w:lang w:val="en-US"/>
        </w:rPr>
        <w:t xml:space="preserve"> and related parties</w:t>
      </w:r>
      <w:r w:rsidR="006C68A8">
        <w:rPr>
          <w:u w:val="none"/>
          <w:lang w:val="en-US"/>
        </w:rPr>
        <w:t>,</w:t>
      </w:r>
      <w:r w:rsidR="00EB0448">
        <w:rPr>
          <w:u w:val="none"/>
          <w:lang w:val="en-US"/>
        </w:rPr>
        <w:t xml:space="preserve"> in that jurisdiction and other jurisdictions.</w:t>
      </w:r>
    </w:p>
    <w:p w:rsidR="0071375A" w:rsidRDefault="0071375A" w:rsidP="00907698">
      <w:pPr>
        <w:spacing w:line="480" w:lineRule="auto"/>
        <w:jc w:val="both"/>
        <w:rPr>
          <w:u w:val="none"/>
          <w:lang w:val="en-US"/>
        </w:rPr>
      </w:pPr>
    </w:p>
    <w:p w:rsidR="0071375A" w:rsidRDefault="0071375A" w:rsidP="00907698">
      <w:pPr>
        <w:spacing w:line="480" w:lineRule="auto"/>
        <w:jc w:val="both"/>
        <w:rPr>
          <w:u w:val="none"/>
          <w:lang w:val="en-US"/>
        </w:rPr>
      </w:pPr>
      <w:r>
        <w:rPr>
          <w:u w:val="none"/>
          <w:lang w:val="en-US"/>
        </w:rPr>
        <w:t>[3]On 18 October 2019</w:t>
      </w:r>
      <w:r w:rsidR="00A369F3">
        <w:rPr>
          <w:u w:val="none"/>
          <w:lang w:val="en-US"/>
        </w:rPr>
        <w:t xml:space="preserve"> </w:t>
      </w:r>
      <w:r w:rsidR="00735291">
        <w:rPr>
          <w:u w:val="none"/>
          <w:lang w:val="en-US"/>
        </w:rPr>
        <w:t xml:space="preserve">Lexshell </w:t>
      </w:r>
      <w:r>
        <w:rPr>
          <w:u w:val="none"/>
          <w:lang w:val="en-US"/>
        </w:rPr>
        <w:t>issued an application in this court, seeking recognition and enforcement of</w:t>
      </w:r>
      <w:r w:rsidR="00735291">
        <w:rPr>
          <w:u w:val="none"/>
          <w:lang w:val="en-US"/>
        </w:rPr>
        <w:t xml:space="preserve"> the aforementioned Commercial C</w:t>
      </w:r>
      <w:r>
        <w:rPr>
          <w:u w:val="none"/>
          <w:lang w:val="en-US"/>
        </w:rPr>
        <w:t>ourt order</w:t>
      </w:r>
      <w:r w:rsidR="004E53FD">
        <w:rPr>
          <w:u w:val="none"/>
          <w:lang w:val="en-US"/>
        </w:rPr>
        <w:t xml:space="preserve"> (the enforcement application)</w:t>
      </w:r>
      <w:r>
        <w:rPr>
          <w:u w:val="none"/>
          <w:lang w:val="en-US"/>
        </w:rPr>
        <w:t xml:space="preserve">. On 8 July 2020 such an order </w:t>
      </w:r>
      <w:r w:rsidR="00EB0448">
        <w:rPr>
          <w:u w:val="none"/>
          <w:lang w:val="en-US"/>
        </w:rPr>
        <w:t xml:space="preserve">(the enforcement order) </w:t>
      </w:r>
      <w:r>
        <w:rPr>
          <w:u w:val="none"/>
          <w:lang w:val="en-US"/>
        </w:rPr>
        <w:t>was granted by default. The applicant</w:t>
      </w:r>
      <w:r w:rsidR="0074296B">
        <w:rPr>
          <w:u w:val="none"/>
          <w:lang w:val="en-US"/>
        </w:rPr>
        <w:t>s</w:t>
      </w:r>
      <w:r>
        <w:rPr>
          <w:u w:val="none"/>
          <w:lang w:val="en-US"/>
        </w:rPr>
        <w:t xml:space="preserve"> delivered the rescission application on 5 November 2020.</w:t>
      </w:r>
    </w:p>
    <w:p w:rsidR="0071375A" w:rsidRDefault="0071375A" w:rsidP="00907698">
      <w:pPr>
        <w:spacing w:line="480" w:lineRule="auto"/>
        <w:jc w:val="both"/>
        <w:rPr>
          <w:u w:val="none"/>
          <w:lang w:val="en-US"/>
        </w:rPr>
      </w:pPr>
    </w:p>
    <w:p w:rsidR="0071375A" w:rsidRDefault="0071375A" w:rsidP="00907698">
      <w:pPr>
        <w:spacing w:line="480" w:lineRule="auto"/>
        <w:jc w:val="both"/>
        <w:rPr>
          <w:u w:val="none"/>
          <w:lang w:val="en-US"/>
        </w:rPr>
      </w:pPr>
      <w:r>
        <w:rPr>
          <w:u w:val="none"/>
          <w:lang w:val="en-US"/>
        </w:rPr>
        <w:t xml:space="preserve">[4]The following issues need to be decided, whether this application was brought within a reasonable time, or whether a reasonable explanation for any delay exists and whether the applicants have a </w:t>
      </w:r>
      <w:r w:rsidRPr="0071375A">
        <w:rPr>
          <w:i/>
          <w:u w:val="none"/>
          <w:lang w:val="en-US"/>
        </w:rPr>
        <w:t>bona fide</w:t>
      </w:r>
      <w:r>
        <w:rPr>
          <w:u w:val="none"/>
          <w:lang w:val="en-US"/>
        </w:rPr>
        <w:t xml:space="preserve"> defence.</w:t>
      </w:r>
    </w:p>
    <w:p w:rsidR="0071375A" w:rsidRDefault="0071375A" w:rsidP="00907698">
      <w:pPr>
        <w:spacing w:line="480" w:lineRule="auto"/>
        <w:jc w:val="both"/>
        <w:rPr>
          <w:u w:val="none"/>
          <w:lang w:val="en-US"/>
        </w:rPr>
      </w:pPr>
      <w:r>
        <w:rPr>
          <w:u w:val="none"/>
          <w:lang w:val="en-US"/>
        </w:rPr>
        <w:lastRenderedPageBreak/>
        <w:t>[5]The litigation between the parties started during 2010</w:t>
      </w:r>
      <w:r w:rsidR="00EB0448">
        <w:rPr>
          <w:u w:val="none"/>
          <w:lang w:val="en-US"/>
        </w:rPr>
        <w:t xml:space="preserve"> in the United Kingdom</w:t>
      </w:r>
      <w:r>
        <w:rPr>
          <w:u w:val="none"/>
          <w:lang w:val="en-US"/>
        </w:rPr>
        <w:t xml:space="preserve">. For purposes of this application, it is not necessary to deal with </w:t>
      </w:r>
      <w:r w:rsidR="00481F36">
        <w:rPr>
          <w:u w:val="none"/>
          <w:lang w:val="en-US"/>
        </w:rPr>
        <w:t>whole history of</w:t>
      </w:r>
      <w:r>
        <w:rPr>
          <w:u w:val="none"/>
          <w:lang w:val="en-US"/>
        </w:rPr>
        <w:t xml:space="preserve"> the parties’ engagement </w:t>
      </w:r>
      <w:r w:rsidR="00735291">
        <w:rPr>
          <w:u w:val="none"/>
          <w:lang w:val="en-US"/>
        </w:rPr>
        <w:t xml:space="preserve">and litigation </w:t>
      </w:r>
      <w:r>
        <w:rPr>
          <w:u w:val="none"/>
          <w:lang w:val="en-US"/>
        </w:rPr>
        <w:t>with each other and reference will be made to the historical facts only as far as it may be relevant.</w:t>
      </w:r>
    </w:p>
    <w:p w:rsidR="0071375A" w:rsidRDefault="0071375A" w:rsidP="00907698">
      <w:pPr>
        <w:spacing w:line="480" w:lineRule="auto"/>
        <w:jc w:val="both"/>
        <w:rPr>
          <w:u w:val="none"/>
          <w:lang w:val="en-US"/>
        </w:rPr>
      </w:pPr>
    </w:p>
    <w:p w:rsidR="00735291" w:rsidRDefault="0071375A" w:rsidP="00EB0448">
      <w:pPr>
        <w:spacing w:line="480" w:lineRule="auto"/>
        <w:jc w:val="both"/>
        <w:rPr>
          <w:u w:val="none"/>
          <w:lang w:val="en-US"/>
        </w:rPr>
      </w:pPr>
      <w:r>
        <w:rPr>
          <w:u w:val="none"/>
          <w:lang w:val="en-US"/>
        </w:rPr>
        <w:t xml:space="preserve">[6]The applicants alleged that the delay </w:t>
      </w:r>
      <w:r w:rsidR="00EB0448">
        <w:rPr>
          <w:u w:val="none"/>
          <w:lang w:val="en-US"/>
        </w:rPr>
        <w:t xml:space="preserve">in launching the rescission application, </w:t>
      </w:r>
      <w:r>
        <w:rPr>
          <w:u w:val="none"/>
          <w:lang w:val="en-US"/>
        </w:rPr>
        <w:t>was a result of the failure of their erstwhile attorney, Mr Van Staden, who failed to attend to this matter</w:t>
      </w:r>
      <w:r w:rsidR="0015084D">
        <w:rPr>
          <w:u w:val="none"/>
          <w:lang w:val="en-US"/>
        </w:rPr>
        <w:t xml:space="preserve"> </w:t>
      </w:r>
      <w:r w:rsidR="004E53FD">
        <w:rPr>
          <w:u w:val="none"/>
          <w:lang w:val="en-US"/>
        </w:rPr>
        <w:t>timeously</w:t>
      </w:r>
      <w:r>
        <w:rPr>
          <w:u w:val="none"/>
          <w:lang w:val="en-US"/>
        </w:rPr>
        <w:t>.</w:t>
      </w:r>
      <w:r w:rsidR="004E53FD">
        <w:rPr>
          <w:u w:val="none"/>
          <w:lang w:val="en-US"/>
        </w:rPr>
        <w:t xml:space="preserve"> </w:t>
      </w:r>
      <w:r>
        <w:rPr>
          <w:u w:val="none"/>
          <w:lang w:val="en-US"/>
        </w:rPr>
        <w:t>They</w:t>
      </w:r>
      <w:r w:rsidR="00481F36">
        <w:rPr>
          <w:u w:val="none"/>
          <w:lang w:val="en-US"/>
        </w:rPr>
        <w:t xml:space="preserve"> also</w:t>
      </w:r>
      <w:r>
        <w:rPr>
          <w:u w:val="none"/>
          <w:lang w:val="en-US"/>
        </w:rPr>
        <w:t xml:space="preserve"> raise</w:t>
      </w:r>
      <w:r w:rsidR="00EB0448">
        <w:rPr>
          <w:u w:val="none"/>
          <w:lang w:val="en-US"/>
        </w:rPr>
        <w:t xml:space="preserve">d a number of defences which will be dealt with. </w:t>
      </w:r>
    </w:p>
    <w:p w:rsidR="00EB0448" w:rsidRDefault="00EB0448" w:rsidP="00EB0448">
      <w:pPr>
        <w:spacing w:line="480" w:lineRule="auto"/>
        <w:jc w:val="both"/>
        <w:rPr>
          <w:u w:val="none"/>
          <w:lang w:val="en-US"/>
        </w:rPr>
      </w:pPr>
    </w:p>
    <w:p w:rsidR="00553D8C" w:rsidRPr="004E53FD" w:rsidRDefault="00553D8C" w:rsidP="0024574A">
      <w:pPr>
        <w:spacing w:line="480" w:lineRule="auto"/>
        <w:jc w:val="both"/>
        <w:rPr>
          <w:b/>
          <w:lang w:val="en-US"/>
        </w:rPr>
      </w:pPr>
      <w:r w:rsidRPr="004E53FD">
        <w:rPr>
          <w:b/>
          <w:lang w:val="en-US"/>
        </w:rPr>
        <w:t>THE RELEVANT BACKGROUND FACTS</w:t>
      </w:r>
    </w:p>
    <w:p w:rsidR="00EB0448" w:rsidRDefault="00553D8C" w:rsidP="00EB0448">
      <w:pPr>
        <w:spacing w:line="480" w:lineRule="auto"/>
        <w:ind w:left="720" w:hanging="720"/>
        <w:jc w:val="both"/>
        <w:rPr>
          <w:u w:val="none"/>
          <w:lang w:val="en-US"/>
        </w:rPr>
      </w:pPr>
      <w:r>
        <w:rPr>
          <w:u w:val="none"/>
          <w:lang w:val="en-US"/>
        </w:rPr>
        <w:t>[7]</w:t>
      </w:r>
      <w:r w:rsidR="004E53FD">
        <w:rPr>
          <w:u w:val="none"/>
          <w:lang w:val="en-US"/>
        </w:rPr>
        <w:t>On 19 January 2010,</w:t>
      </w:r>
      <w:r w:rsidR="00EB0448">
        <w:rPr>
          <w:u w:val="none"/>
          <w:lang w:val="en-US"/>
        </w:rPr>
        <w:t xml:space="preserve"> </w:t>
      </w:r>
      <w:r w:rsidRPr="002C2AFA">
        <w:rPr>
          <w:u w:val="none"/>
          <w:lang w:val="en-US"/>
        </w:rPr>
        <w:t xml:space="preserve">the applicants, </w:t>
      </w:r>
      <w:r w:rsidR="00EB0448">
        <w:rPr>
          <w:u w:val="none"/>
          <w:lang w:val="en-US"/>
        </w:rPr>
        <w:t>and a UK-based and incorporated</w:t>
      </w:r>
    </w:p>
    <w:p w:rsidR="00EB0448" w:rsidRDefault="00EB0448" w:rsidP="00EB0448">
      <w:pPr>
        <w:spacing w:line="480" w:lineRule="auto"/>
        <w:ind w:left="720" w:hanging="720"/>
        <w:jc w:val="both"/>
        <w:rPr>
          <w:u w:val="none"/>
          <w:lang w:val="en-US"/>
        </w:rPr>
      </w:pPr>
      <w:r w:rsidRPr="002C2AFA">
        <w:rPr>
          <w:u w:val="none"/>
          <w:lang w:val="en-US"/>
        </w:rPr>
        <w:t>C</w:t>
      </w:r>
      <w:r w:rsidR="00553D8C" w:rsidRPr="002C2AFA">
        <w:rPr>
          <w:u w:val="none"/>
          <w:lang w:val="en-US"/>
        </w:rPr>
        <w:t>ompany</w:t>
      </w:r>
      <w:r>
        <w:rPr>
          <w:u w:val="none"/>
          <w:lang w:val="en-US"/>
        </w:rPr>
        <w:t xml:space="preserve">, </w:t>
      </w:r>
      <w:r w:rsidR="004E53FD">
        <w:rPr>
          <w:u w:val="none"/>
          <w:lang w:val="en-US"/>
        </w:rPr>
        <w:t xml:space="preserve"> Rannerdale</w:t>
      </w:r>
      <w:r>
        <w:rPr>
          <w:u w:val="none"/>
          <w:lang w:val="en-US"/>
        </w:rPr>
        <w:t xml:space="preserve"> </w:t>
      </w:r>
      <w:r w:rsidR="00553D8C" w:rsidRPr="002C2AFA">
        <w:rPr>
          <w:u w:val="none"/>
          <w:lang w:val="en-US"/>
        </w:rPr>
        <w:t>Limited (</w:t>
      </w:r>
      <w:r w:rsidR="00553D8C" w:rsidRPr="002C2AFA">
        <w:rPr>
          <w:bCs/>
          <w:u w:val="none"/>
          <w:lang w:val="en-US"/>
        </w:rPr>
        <w:t>Rannerdale</w:t>
      </w:r>
      <w:r>
        <w:rPr>
          <w:u w:val="none"/>
          <w:lang w:val="en-US"/>
        </w:rPr>
        <w:t xml:space="preserve">), </w:t>
      </w:r>
      <w:r w:rsidR="00553D8C" w:rsidRPr="002C2AFA">
        <w:rPr>
          <w:u w:val="none"/>
          <w:lang w:val="en-US"/>
        </w:rPr>
        <w:t xml:space="preserve"> concluded a written agree</w:t>
      </w:r>
      <w:r>
        <w:rPr>
          <w:u w:val="none"/>
          <w:lang w:val="en-US"/>
        </w:rPr>
        <w:t>ment</w:t>
      </w:r>
    </w:p>
    <w:p w:rsidR="00553D8C" w:rsidRPr="002C2AFA" w:rsidRDefault="00553D8C" w:rsidP="00EB0448">
      <w:pPr>
        <w:spacing w:line="480" w:lineRule="auto"/>
        <w:ind w:left="720" w:hanging="720"/>
        <w:jc w:val="both"/>
        <w:rPr>
          <w:u w:val="none"/>
          <w:lang w:val="en-US"/>
        </w:rPr>
      </w:pPr>
      <w:r w:rsidRPr="002C2AFA">
        <w:rPr>
          <w:u w:val="none"/>
          <w:lang w:val="en-US"/>
        </w:rPr>
        <w:t>(</w:t>
      </w:r>
      <w:r w:rsidR="004E53FD">
        <w:rPr>
          <w:bCs/>
          <w:u w:val="none"/>
          <w:lang w:val="en-US"/>
        </w:rPr>
        <w:t>Downside Protection</w:t>
      </w:r>
      <w:r w:rsidR="00EB0448">
        <w:rPr>
          <w:u w:val="none"/>
          <w:lang w:val="en-US"/>
        </w:rPr>
        <w:t xml:space="preserve"> </w:t>
      </w:r>
      <w:r w:rsidR="004E53FD">
        <w:rPr>
          <w:bCs/>
          <w:u w:val="none"/>
          <w:lang w:val="en-US"/>
        </w:rPr>
        <w:t>A</w:t>
      </w:r>
      <w:r w:rsidRPr="002C2AFA">
        <w:rPr>
          <w:bCs/>
          <w:u w:val="none"/>
          <w:lang w:val="en-US"/>
        </w:rPr>
        <w:t>greement</w:t>
      </w:r>
      <w:r w:rsidRPr="002C2AFA">
        <w:rPr>
          <w:u w:val="none"/>
          <w:lang w:val="en-US"/>
        </w:rPr>
        <w:t>).</w:t>
      </w:r>
    </w:p>
    <w:p w:rsidR="007953EE" w:rsidRDefault="007953EE" w:rsidP="00553D8C">
      <w:pPr>
        <w:snapToGrid w:val="0"/>
        <w:spacing w:before="240" w:after="240" w:line="480" w:lineRule="auto"/>
        <w:jc w:val="both"/>
        <w:rPr>
          <w:u w:val="none"/>
          <w:lang w:val="en-US"/>
        </w:rPr>
      </w:pPr>
    </w:p>
    <w:p w:rsidR="00553D8C" w:rsidRDefault="004E53FD" w:rsidP="00553D8C">
      <w:pPr>
        <w:snapToGrid w:val="0"/>
        <w:spacing w:before="240" w:after="240" w:line="480" w:lineRule="auto"/>
        <w:jc w:val="both"/>
        <w:rPr>
          <w:bCs/>
          <w:u w:val="none"/>
        </w:rPr>
      </w:pPr>
      <w:r>
        <w:rPr>
          <w:u w:val="none"/>
          <w:lang w:val="en-US"/>
        </w:rPr>
        <w:t>[8</w:t>
      </w:r>
      <w:r w:rsidR="00553D8C" w:rsidRPr="002C2AFA">
        <w:rPr>
          <w:u w:val="none"/>
          <w:lang w:val="en-US"/>
        </w:rPr>
        <w:t xml:space="preserve">]Rannerdale and, </w:t>
      </w:r>
      <w:r w:rsidR="00553D8C" w:rsidRPr="002C2AFA">
        <w:rPr>
          <w:i/>
          <w:iCs/>
          <w:u w:val="none"/>
          <w:lang w:val="en-US"/>
        </w:rPr>
        <w:t>inter alia</w:t>
      </w:r>
      <w:r w:rsidR="00553D8C" w:rsidRPr="002C2AFA">
        <w:rPr>
          <w:u w:val="none"/>
          <w:lang w:val="en-US"/>
        </w:rPr>
        <w:t>, its affiliated companies had concluded other agreements with one or more of the applicants governing joint investments that the parties intended pursuing in South Africa and across the SADC region</w:t>
      </w:r>
      <w:r w:rsidR="00EB0448">
        <w:rPr>
          <w:u w:val="none"/>
          <w:lang w:val="en-US"/>
        </w:rPr>
        <w:t>,</w:t>
      </w:r>
      <w:r w:rsidR="00553D8C" w:rsidRPr="002C2AFA">
        <w:rPr>
          <w:u w:val="none"/>
          <w:lang w:val="en-US"/>
        </w:rPr>
        <w:t xml:space="preserve"> in various companies that held mining licenses. One such company was </w:t>
      </w:r>
      <w:r w:rsidR="00553D8C" w:rsidRPr="002C2AFA">
        <w:rPr>
          <w:bCs/>
          <w:u w:val="none"/>
        </w:rPr>
        <w:t>Delta Mining Consolidated Proprietary Limited (DMC).</w:t>
      </w:r>
    </w:p>
    <w:p w:rsidR="007953EE" w:rsidRDefault="007953EE" w:rsidP="002C2AFA">
      <w:pPr>
        <w:snapToGrid w:val="0"/>
        <w:spacing w:before="240" w:after="240" w:line="480" w:lineRule="auto"/>
        <w:jc w:val="both"/>
        <w:rPr>
          <w:bCs/>
          <w:u w:val="none"/>
        </w:rPr>
      </w:pPr>
    </w:p>
    <w:p w:rsidR="00553D8C" w:rsidRPr="002C2AFA" w:rsidRDefault="004E53FD" w:rsidP="002C2AFA">
      <w:pPr>
        <w:snapToGrid w:val="0"/>
        <w:spacing w:before="240" w:after="240" w:line="480" w:lineRule="auto"/>
        <w:jc w:val="both"/>
        <w:rPr>
          <w:bCs/>
          <w:u w:val="none"/>
        </w:rPr>
      </w:pPr>
      <w:r>
        <w:rPr>
          <w:bCs/>
          <w:u w:val="none"/>
        </w:rPr>
        <w:t>[9</w:t>
      </w:r>
      <w:r w:rsidR="002C2AFA" w:rsidRPr="002C2AFA">
        <w:rPr>
          <w:bCs/>
          <w:u w:val="none"/>
        </w:rPr>
        <w:t>]</w:t>
      </w:r>
      <w:r w:rsidR="00553D8C" w:rsidRPr="002C2AFA">
        <w:rPr>
          <w:bCs/>
          <w:u w:val="none"/>
        </w:rPr>
        <w:t>By</w:t>
      </w:r>
      <w:r>
        <w:rPr>
          <w:bCs/>
          <w:u w:val="none"/>
        </w:rPr>
        <w:t xml:space="preserve"> its structure and design, the </w:t>
      </w:r>
      <w:r w:rsidR="00EB0448">
        <w:rPr>
          <w:bCs/>
          <w:u w:val="none"/>
        </w:rPr>
        <w:t xml:space="preserve">Downside </w:t>
      </w:r>
      <w:r>
        <w:rPr>
          <w:bCs/>
          <w:u w:val="none"/>
        </w:rPr>
        <w:t>P</w:t>
      </w:r>
      <w:r w:rsidR="00A5222B">
        <w:rPr>
          <w:bCs/>
          <w:u w:val="none"/>
        </w:rPr>
        <w:t>rotection A</w:t>
      </w:r>
      <w:r w:rsidR="00553D8C" w:rsidRPr="002C2AFA">
        <w:rPr>
          <w:bCs/>
          <w:u w:val="none"/>
        </w:rPr>
        <w:t xml:space="preserve">greement’s purpose was to ensure that if there ever was a sale or listing of at least 50% of the shares in </w:t>
      </w:r>
      <w:r w:rsidR="00553D8C" w:rsidRPr="002C2AFA">
        <w:rPr>
          <w:u w:val="none"/>
        </w:rPr>
        <w:t>DMC</w:t>
      </w:r>
      <w:r w:rsidR="00553D8C" w:rsidRPr="002C2AFA">
        <w:rPr>
          <w:bCs/>
          <w:u w:val="none"/>
        </w:rPr>
        <w:t xml:space="preserve">, Rannerdale would receive back at least US$29 million of its </w:t>
      </w:r>
      <w:r w:rsidR="00553D8C" w:rsidRPr="002C2AFA">
        <w:rPr>
          <w:bCs/>
          <w:u w:val="none"/>
        </w:rPr>
        <w:lastRenderedPageBreak/>
        <w:t xml:space="preserve">initial investment and </w:t>
      </w:r>
      <w:r w:rsidR="00A5222B">
        <w:rPr>
          <w:bCs/>
          <w:u w:val="none"/>
        </w:rPr>
        <w:t xml:space="preserve">a </w:t>
      </w:r>
      <w:r w:rsidR="00553D8C" w:rsidRPr="002C2AFA">
        <w:rPr>
          <w:bCs/>
          <w:u w:val="none"/>
        </w:rPr>
        <w:t xml:space="preserve">cash injection of US$35 million in DMC, and in some events more, depending on the sale price. </w:t>
      </w:r>
    </w:p>
    <w:p w:rsidR="007953EE" w:rsidRDefault="007953EE" w:rsidP="002C2AFA">
      <w:pPr>
        <w:snapToGrid w:val="0"/>
        <w:spacing w:before="240" w:after="240" w:line="480" w:lineRule="auto"/>
        <w:jc w:val="both"/>
        <w:rPr>
          <w:bCs/>
          <w:u w:val="none"/>
        </w:rPr>
      </w:pPr>
    </w:p>
    <w:p w:rsidR="0015084D" w:rsidRPr="002C2AFA" w:rsidRDefault="00A5222B" w:rsidP="0015084D">
      <w:pPr>
        <w:snapToGrid w:val="0"/>
        <w:spacing w:before="240" w:after="240" w:line="480" w:lineRule="auto"/>
        <w:jc w:val="both"/>
        <w:rPr>
          <w:bCs/>
          <w:u w:val="none"/>
        </w:rPr>
      </w:pPr>
      <w:r>
        <w:rPr>
          <w:bCs/>
          <w:u w:val="none"/>
        </w:rPr>
        <w:t>[10</w:t>
      </w:r>
      <w:r w:rsidR="002C2AFA" w:rsidRPr="002C2AFA">
        <w:rPr>
          <w:bCs/>
          <w:u w:val="none"/>
        </w:rPr>
        <w:t>]</w:t>
      </w:r>
      <w:r w:rsidR="00553D8C" w:rsidRPr="002C2AFA">
        <w:rPr>
          <w:bCs/>
          <w:u w:val="none"/>
        </w:rPr>
        <w:t>By April 2010, a sale t</w:t>
      </w:r>
      <w:r>
        <w:rPr>
          <w:bCs/>
          <w:u w:val="none"/>
        </w:rPr>
        <w:t>ransaction contemplated in the Downside Protection A</w:t>
      </w:r>
      <w:r w:rsidR="00553D8C" w:rsidRPr="002C2AFA">
        <w:rPr>
          <w:bCs/>
          <w:u w:val="none"/>
        </w:rPr>
        <w:t>greement involving DMC occurred. This triggered the applicants’ obligations u</w:t>
      </w:r>
      <w:r w:rsidR="0015084D">
        <w:rPr>
          <w:bCs/>
          <w:u w:val="none"/>
        </w:rPr>
        <w:t>nder that agreement to deliver</w:t>
      </w:r>
      <w:r w:rsidR="006C68A8">
        <w:rPr>
          <w:bCs/>
          <w:u w:val="none"/>
        </w:rPr>
        <w:t>,</w:t>
      </w:r>
      <w:r w:rsidR="0015084D">
        <w:rPr>
          <w:bCs/>
          <w:u w:val="none"/>
        </w:rPr>
        <w:t xml:space="preserve"> or procure the delivery of</w:t>
      </w:r>
      <w:r w:rsidR="00553D8C" w:rsidRPr="002C2AFA">
        <w:rPr>
          <w:bCs/>
          <w:u w:val="none"/>
        </w:rPr>
        <w:t xml:space="preserve"> shares having a value, at the “</w:t>
      </w:r>
      <w:r w:rsidR="00553D8C" w:rsidRPr="002C2AFA">
        <w:rPr>
          <w:bCs/>
          <w:i/>
          <w:iCs/>
          <w:u w:val="none"/>
        </w:rPr>
        <w:t>Sale Price</w:t>
      </w:r>
      <w:r w:rsidR="00553D8C" w:rsidRPr="002C2AFA">
        <w:rPr>
          <w:bCs/>
          <w:u w:val="none"/>
        </w:rPr>
        <w:t>”, of the shortfall between the price payable to Rannerdale for its DMC shares and the “</w:t>
      </w:r>
      <w:r w:rsidR="00553D8C" w:rsidRPr="002C2AFA">
        <w:rPr>
          <w:bCs/>
          <w:i/>
          <w:iCs/>
          <w:u w:val="none"/>
        </w:rPr>
        <w:t>Agreed Amount</w:t>
      </w:r>
      <w:r w:rsidR="00553D8C" w:rsidRPr="002C2AFA">
        <w:rPr>
          <w:bCs/>
          <w:u w:val="none"/>
        </w:rPr>
        <w:t xml:space="preserve">” (as </w:t>
      </w:r>
      <w:r w:rsidR="00EB0448">
        <w:rPr>
          <w:bCs/>
          <w:u w:val="none"/>
        </w:rPr>
        <w:t>these terms are defined in the Downside Protection A</w:t>
      </w:r>
      <w:r w:rsidR="00553D8C" w:rsidRPr="002C2AFA">
        <w:rPr>
          <w:bCs/>
          <w:u w:val="none"/>
        </w:rPr>
        <w:t>greement).</w:t>
      </w:r>
      <w:bookmarkStart w:id="1" w:name="_Ref113476387"/>
      <w:r w:rsidR="006C68A8">
        <w:rPr>
          <w:bCs/>
          <w:u w:val="none"/>
        </w:rPr>
        <w:t xml:space="preserve"> </w:t>
      </w:r>
      <w:r w:rsidR="0015084D" w:rsidRPr="002C2AFA">
        <w:rPr>
          <w:bCs/>
          <w:u w:val="none"/>
        </w:rPr>
        <w:t>Despi</w:t>
      </w:r>
      <w:r w:rsidR="0015084D">
        <w:rPr>
          <w:bCs/>
          <w:u w:val="none"/>
        </w:rPr>
        <w:t xml:space="preserve">te their obligations under the Downside Protection Agreement </w:t>
      </w:r>
      <w:r w:rsidR="0015084D" w:rsidRPr="002C2AFA">
        <w:rPr>
          <w:bCs/>
          <w:u w:val="none"/>
        </w:rPr>
        <w:t>the applicants failed to honour their contractual undertakings</w:t>
      </w:r>
      <w:r w:rsidR="0015084D">
        <w:rPr>
          <w:bCs/>
          <w:u w:val="none"/>
        </w:rPr>
        <w:t>.</w:t>
      </w:r>
    </w:p>
    <w:p w:rsidR="0015084D" w:rsidRPr="002C2AFA" w:rsidRDefault="0015084D" w:rsidP="002C2AFA">
      <w:pPr>
        <w:snapToGrid w:val="0"/>
        <w:spacing w:before="240" w:after="240" w:line="480" w:lineRule="auto"/>
        <w:jc w:val="both"/>
        <w:rPr>
          <w:bCs/>
          <w:u w:val="none"/>
        </w:rPr>
      </w:pPr>
    </w:p>
    <w:p w:rsidR="00553D8C" w:rsidRDefault="006C68A8" w:rsidP="002C2AFA">
      <w:pPr>
        <w:widowControl w:val="0"/>
        <w:snapToGrid w:val="0"/>
        <w:spacing w:before="240" w:after="240" w:line="480" w:lineRule="auto"/>
        <w:jc w:val="both"/>
        <w:rPr>
          <w:bCs/>
          <w:u w:val="none"/>
        </w:rPr>
      </w:pPr>
      <w:r>
        <w:rPr>
          <w:bCs/>
          <w:u w:val="none"/>
        </w:rPr>
        <w:t>[11</w:t>
      </w:r>
      <w:r w:rsidR="002C2AFA" w:rsidRPr="002C2AFA">
        <w:rPr>
          <w:bCs/>
          <w:u w:val="none"/>
        </w:rPr>
        <w:t>]</w:t>
      </w:r>
      <w:r w:rsidR="00553D8C" w:rsidRPr="002C2AFA">
        <w:rPr>
          <w:bCs/>
          <w:u w:val="none"/>
        </w:rPr>
        <w:t xml:space="preserve">In June 2010, Rannerdale ceded all its </w:t>
      </w:r>
      <w:r w:rsidR="00A5222B">
        <w:rPr>
          <w:bCs/>
          <w:u w:val="none"/>
        </w:rPr>
        <w:t>rights and interests under the Downside Protection A</w:t>
      </w:r>
      <w:r w:rsidR="00553D8C" w:rsidRPr="002C2AFA">
        <w:rPr>
          <w:bCs/>
          <w:u w:val="none"/>
        </w:rPr>
        <w:t xml:space="preserve">greement to Lexshell under a written assignment agreement dated </w:t>
      </w:r>
      <w:r w:rsidR="00553D8C" w:rsidRPr="002C2AFA">
        <w:rPr>
          <w:u w:val="none"/>
        </w:rPr>
        <w:t>1 June 2010</w:t>
      </w:r>
      <w:r w:rsidR="00553D8C" w:rsidRPr="002C2AFA">
        <w:rPr>
          <w:bCs/>
          <w:u w:val="none"/>
        </w:rPr>
        <w:t xml:space="preserve">. </w:t>
      </w:r>
      <w:r w:rsidR="0015084D">
        <w:rPr>
          <w:bCs/>
          <w:u w:val="none"/>
        </w:rPr>
        <w:t xml:space="preserve">Each of the applicants </w:t>
      </w:r>
      <w:r w:rsidR="00D23C2E">
        <w:rPr>
          <w:bCs/>
          <w:u w:val="none"/>
        </w:rPr>
        <w:t xml:space="preserve">were </w:t>
      </w:r>
      <w:r w:rsidR="00D23C2E" w:rsidRPr="002C2AFA">
        <w:rPr>
          <w:bCs/>
          <w:u w:val="none"/>
        </w:rPr>
        <w:t>notified</w:t>
      </w:r>
      <w:r w:rsidR="00553D8C" w:rsidRPr="002C2AFA">
        <w:rPr>
          <w:bCs/>
          <w:u w:val="none"/>
        </w:rPr>
        <w:t xml:space="preserve"> of the cession and/or assignment </w:t>
      </w:r>
      <w:r w:rsidR="00553D8C" w:rsidRPr="002C2AFA">
        <w:rPr>
          <w:u w:val="none"/>
        </w:rPr>
        <w:t>on 20 August 2010</w:t>
      </w:r>
      <w:r w:rsidR="00553D8C" w:rsidRPr="002C2AFA">
        <w:rPr>
          <w:bCs/>
          <w:u w:val="none"/>
        </w:rPr>
        <w:t>.</w:t>
      </w:r>
      <w:bookmarkEnd w:id="1"/>
    </w:p>
    <w:p w:rsidR="007953EE" w:rsidRDefault="007953EE" w:rsidP="002C2AFA">
      <w:pPr>
        <w:snapToGrid w:val="0"/>
        <w:spacing w:before="240" w:after="240" w:line="480" w:lineRule="auto"/>
        <w:jc w:val="both"/>
        <w:rPr>
          <w:bCs/>
          <w:u w:val="none"/>
        </w:rPr>
      </w:pPr>
    </w:p>
    <w:p w:rsidR="00553D8C" w:rsidRPr="002C2AFA" w:rsidRDefault="0015084D" w:rsidP="002C2AFA">
      <w:pPr>
        <w:snapToGrid w:val="0"/>
        <w:spacing w:before="240" w:after="240" w:line="480" w:lineRule="auto"/>
        <w:jc w:val="both"/>
        <w:rPr>
          <w:bCs/>
          <w:u w:val="none"/>
        </w:rPr>
      </w:pPr>
      <w:r>
        <w:rPr>
          <w:bCs/>
          <w:u w:val="none"/>
        </w:rPr>
        <w:t xml:space="preserve"> </w:t>
      </w:r>
      <w:r w:rsidR="006C68A8">
        <w:rPr>
          <w:bCs/>
          <w:u w:val="none"/>
        </w:rPr>
        <w:t>[12</w:t>
      </w:r>
      <w:r w:rsidR="002C2AFA" w:rsidRPr="002C2AFA">
        <w:rPr>
          <w:bCs/>
          <w:u w:val="none"/>
        </w:rPr>
        <w:t>]</w:t>
      </w:r>
      <w:r w:rsidR="00553D8C" w:rsidRPr="002C2AFA">
        <w:rPr>
          <w:bCs/>
          <w:u w:val="none"/>
        </w:rPr>
        <w:t>This resulted in Rannerdale and Lexshell launching proceedings t</w:t>
      </w:r>
      <w:r w:rsidR="00A5222B">
        <w:rPr>
          <w:bCs/>
          <w:u w:val="none"/>
        </w:rPr>
        <w:t>o enforce the rights under the Downside P</w:t>
      </w:r>
      <w:r w:rsidR="00553D8C" w:rsidRPr="002C2AFA">
        <w:rPr>
          <w:bCs/>
          <w:u w:val="none"/>
        </w:rPr>
        <w:t>rotectio</w:t>
      </w:r>
      <w:r w:rsidR="00A5222B">
        <w:rPr>
          <w:bCs/>
          <w:u w:val="none"/>
        </w:rPr>
        <w:t>n A</w:t>
      </w:r>
      <w:r w:rsidR="00553D8C" w:rsidRPr="002C2AFA">
        <w:rPr>
          <w:bCs/>
          <w:u w:val="none"/>
        </w:rPr>
        <w:t>greement before the Commercial Court during December 2010.</w:t>
      </w:r>
    </w:p>
    <w:p w:rsidR="005E0522" w:rsidRDefault="005E0522" w:rsidP="002C2AFA">
      <w:pPr>
        <w:snapToGrid w:val="0"/>
        <w:spacing w:before="240" w:after="240" w:line="480" w:lineRule="auto"/>
        <w:jc w:val="both"/>
        <w:rPr>
          <w:bCs/>
          <w:u w:val="none"/>
        </w:rPr>
      </w:pPr>
    </w:p>
    <w:p w:rsidR="00553D8C" w:rsidRPr="002C2AFA" w:rsidRDefault="006C68A8" w:rsidP="002C2AFA">
      <w:pPr>
        <w:snapToGrid w:val="0"/>
        <w:spacing w:before="240" w:after="240" w:line="480" w:lineRule="auto"/>
        <w:jc w:val="both"/>
        <w:rPr>
          <w:bCs/>
          <w:u w:val="none"/>
        </w:rPr>
      </w:pPr>
      <w:r>
        <w:rPr>
          <w:bCs/>
          <w:u w:val="none"/>
        </w:rPr>
        <w:lastRenderedPageBreak/>
        <w:t>[13</w:t>
      </w:r>
      <w:r w:rsidR="002C2AFA" w:rsidRPr="002C2AFA">
        <w:rPr>
          <w:bCs/>
          <w:u w:val="none"/>
        </w:rPr>
        <w:t>]</w:t>
      </w:r>
      <w:r w:rsidR="00553D8C" w:rsidRPr="002C2AFA">
        <w:rPr>
          <w:bCs/>
          <w:u w:val="none"/>
        </w:rPr>
        <w:t xml:space="preserve">After several unsuccessful attempts by, </w:t>
      </w:r>
      <w:r w:rsidR="00553D8C" w:rsidRPr="002C2AFA">
        <w:rPr>
          <w:bCs/>
          <w:i/>
          <w:iCs/>
          <w:u w:val="none"/>
        </w:rPr>
        <w:t>inter alia</w:t>
      </w:r>
      <w:r w:rsidR="00553D8C" w:rsidRPr="002C2AFA">
        <w:rPr>
          <w:bCs/>
          <w:u w:val="none"/>
        </w:rPr>
        <w:t xml:space="preserve">, Lexshell and the applicants to reach a negotiated settlement and an aborted attempt by the applicants to challenge certain admissions they had made in a statement of defence they had filed before the Commercial Court had failed, Lexshell, and the applicants reached </w:t>
      </w:r>
      <w:r w:rsidR="00EB0448">
        <w:rPr>
          <w:bCs/>
          <w:u w:val="none"/>
        </w:rPr>
        <w:t xml:space="preserve">an </w:t>
      </w:r>
      <w:r w:rsidR="00553D8C" w:rsidRPr="002C2AFA">
        <w:rPr>
          <w:bCs/>
          <w:u w:val="none"/>
        </w:rPr>
        <w:t xml:space="preserve">agreement to settle the litigation before the Commercial Court. </w:t>
      </w:r>
    </w:p>
    <w:p w:rsidR="007953EE" w:rsidRDefault="007953EE" w:rsidP="002C2AFA">
      <w:pPr>
        <w:snapToGrid w:val="0"/>
        <w:spacing w:before="240" w:after="240" w:line="480" w:lineRule="auto"/>
        <w:jc w:val="both"/>
        <w:rPr>
          <w:bCs/>
          <w:u w:val="none"/>
        </w:rPr>
      </w:pPr>
    </w:p>
    <w:p w:rsidR="002C2AFA" w:rsidRDefault="006C68A8" w:rsidP="002C2AFA">
      <w:pPr>
        <w:snapToGrid w:val="0"/>
        <w:spacing w:before="240" w:after="240" w:line="480" w:lineRule="auto"/>
        <w:jc w:val="both"/>
        <w:rPr>
          <w:bCs/>
          <w:u w:val="none"/>
        </w:rPr>
      </w:pPr>
      <w:r>
        <w:rPr>
          <w:bCs/>
          <w:u w:val="none"/>
        </w:rPr>
        <w:t>[14</w:t>
      </w:r>
      <w:r w:rsidR="002C2AFA" w:rsidRPr="002C2AFA">
        <w:rPr>
          <w:bCs/>
          <w:u w:val="none"/>
        </w:rPr>
        <w:t>]</w:t>
      </w:r>
      <w:r w:rsidR="00553D8C" w:rsidRPr="002C2AFA">
        <w:rPr>
          <w:bCs/>
          <w:u w:val="none"/>
        </w:rPr>
        <w:t>This settlement agreement was reached while all the applicants were represented</w:t>
      </w:r>
      <w:r>
        <w:rPr>
          <w:bCs/>
          <w:u w:val="none"/>
        </w:rPr>
        <w:t xml:space="preserve"> </w:t>
      </w:r>
      <w:r w:rsidR="004561D5">
        <w:rPr>
          <w:bCs/>
          <w:u w:val="none"/>
        </w:rPr>
        <w:t xml:space="preserve">by </w:t>
      </w:r>
      <w:r w:rsidR="004561D5" w:rsidRPr="002C2AFA">
        <w:rPr>
          <w:bCs/>
          <w:u w:val="none"/>
        </w:rPr>
        <w:t>recognised</w:t>
      </w:r>
      <w:r w:rsidR="00553D8C" w:rsidRPr="002C2AFA">
        <w:rPr>
          <w:bCs/>
          <w:u w:val="none"/>
        </w:rPr>
        <w:t xml:space="preserve"> law firms and </w:t>
      </w:r>
      <w:r w:rsidR="00A5222B">
        <w:rPr>
          <w:bCs/>
          <w:u w:val="none"/>
        </w:rPr>
        <w:t xml:space="preserve">barristers </w:t>
      </w:r>
      <w:r w:rsidR="00553D8C" w:rsidRPr="002C2AFA">
        <w:rPr>
          <w:bCs/>
          <w:u w:val="none"/>
        </w:rPr>
        <w:t>practising in London.</w:t>
      </w:r>
      <w:r w:rsidR="00A5222B">
        <w:rPr>
          <w:bCs/>
          <w:u w:val="none"/>
        </w:rPr>
        <w:t xml:space="preserve"> </w:t>
      </w:r>
      <w:r w:rsidR="002C2AFA">
        <w:rPr>
          <w:bCs/>
          <w:u w:val="none"/>
        </w:rPr>
        <w:t xml:space="preserve">It was under these circumstance that the </w:t>
      </w:r>
      <w:r w:rsidR="00EB0448">
        <w:rPr>
          <w:bCs/>
          <w:u w:val="none"/>
        </w:rPr>
        <w:t xml:space="preserve">Commercial Court </w:t>
      </w:r>
      <w:r w:rsidR="002C2AFA">
        <w:rPr>
          <w:bCs/>
          <w:u w:val="none"/>
        </w:rPr>
        <w:t>order was obtained.</w:t>
      </w:r>
    </w:p>
    <w:p w:rsidR="007953EE" w:rsidRDefault="007953EE" w:rsidP="002C2AFA">
      <w:pPr>
        <w:snapToGrid w:val="0"/>
        <w:spacing w:before="240" w:after="240" w:line="480" w:lineRule="auto"/>
        <w:jc w:val="both"/>
        <w:rPr>
          <w:b/>
          <w:bCs/>
          <w:u w:val="none"/>
        </w:rPr>
      </w:pPr>
    </w:p>
    <w:p w:rsidR="002C2AFA" w:rsidRPr="00E03417" w:rsidRDefault="002C2AFA" w:rsidP="002C2AFA">
      <w:pPr>
        <w:snapToGrid w:val="0"/>
        <w:spacing w:before="240" w:after="240" w:line="480" w:lineRule="auto"/>
        <w:jc w:val="both"/>
        <w:rPr>
          <w:b/>
          <w:bCs/>
        </w:rPr>
      </w:pPr>
      <w:r w:rsidRPr="00E03417">
        <w:rPr>
          <w:b/>
          <w:bCs/>
        </w:rPr>
        <w:t>THE DELAY</w:t>
      </w:r>
    </w:p>
    <w:p w:rsidR="002C2AFA" w:rsidRDefault="006C68A8" w:rsidP="002C2AFA">
      <w:pPr>
        <w:snapToGrid w:val="0"/>
        <w:spacing w:before="240" w:after="240" w:line="480" w:lineRule="auto"/>
        <w:jc w:val="both"/>
        <w:rPr>
          <w:bCs/>
          <w:u w:val="none"/>
        </w:rPr>
      </w:pPr>
      <w:r>
        <w:rPr>
          <w:bCs/>
          <w:u w:val="none"/>
        </w:rPr>
        <w:t>[15</w:t>
      </w:r>
      <w:r w:rsidR="002C2AFA">
        <w:rPr>
          <w:bCs/>
          <w:u w:val="none"/>
        </w:rPr>
        <w:t xml:space="preserve">]On 18 October 2019 the enforcement application </w:t>
      </w:r>
      <w:r w:rsidR="00735291">
        <w:rPr>
          <w:bCs/>
          <w:u w:val="none"/>
        </w:rPr>
        <w:t>w</w:t>
      </w:r>
      <w:r w:rsidR="002C2AFA">
        <w:rPr>
          <w:bCs/>
          <w:u w:val="none"/>
        </w:rPr>
        <w:t>as launched in this court. A notice of intention to oppose was filed during December 2019. The applicants failed to file an answering affidavit. A notice of set down was delivered by e-mail</w:t>
      </w:r>
      <w:r w:rsidR="00EB0448">
        <w:rPr>
          <w:bCs/>
          <w:u w:val="none"/>
        </w:rPr>
        <w:t>. N</w:t>
      </w:r>
      <w:r w:rsidR="00735291">
        <w:rPr>
          <w:bCs/>
          <w:u w:val="none"/>
        </w:rPr>
        <w:t>o answering affidavit was f</w:t>
      </w:r>
      <w:r w:rsidR="00A5222B">
        <w:rPr>
          <w:bCs/>
          <w:u w:val="none"/>
        </w:rPr>
        <w:t>il</w:t>
      </w:r>
      <w:r w:rsidR="00735291">
        <w:rPr>
          <w:bCs/>
          <w:u w:val="none"/>
        </w:rPr>
        <w:t>ed and o</w:t>
      </w:r>
      <w:r w:rsidR="002C2AFA">
        <w:rPr>
          <w:bCs/>
          <w:u w:val="none"/>
        </w:rPr>
        <w:t>n 8 July 2020 the enforcement order was granted.</w:t>
      </w:r>
      <w:r w:rsidR="00735291">
        <w:rPr>
          <w:bCs/>
          <w:u w:val="none"/>
        </w:rPr>
        <w:t xml:space="preserve"> </w:t>
      </w:r>
      <w:r w:rsidR="002C2AFA">
        <w:rPr>
          <w:bCs/>
          <w:u w:val="none"/>
        </w:rPr>
        <w:t>The applicant</w:t>
      </w:r>
      <w:r w:rsidR="0045157B">
        <w:rPr>
          <w:bCs/>
          <w:u w:val="none"/>
        </w:rPr>
        <w:t>s</w:t>
      </w:r>
      <w:r w:rsidR="002C2AFA">
        <w:rPr>
          <w:bCs/>
          <w:u w:val="none"/>
        </w:rPr>
        <w:t xml:space="preserve"> delivered the rescission application on 5 November 2020.</w:t>
      </w:r>
    </w:p>
    <w:p w:rsidR="006C68A8" w:rsidRDefault="006C68A8" w:rsidP="002C2AFA">
      <w:pPr>
        <w:snapToGrid w:val="0"/>
        <w:spacing w:before="240" w:after="240" w:line="480" w:lineRule="auto"/>
        <w:jc w:val="both"/>
        <w:rPr>
          <w:bCs/>
          <w:u w:val="none"/>
        </w:rPr>
      </w:pPr>
    </w:p>
    <w:p w:rsidR="002C2AFA" w:rsidRDefault="006C68A8" w:rsidP="002C2AFA">
      <w:pPr>
        <w:snapToGrid w:val="0"/>
        <w:spacing w:before="240" w:after="240" w:line="480" w:lineRule="auto"/>
        <w:jc w:val="both"/>
        <w:rPr>
          <w:bCs/>
          <w:u w:val="none"/>
        </w:rPr>
      </w:pPr>
      <w:r>
        <w:rPr>
          <w:bCs/>
          <w:u w:val="none"/>
        </w:rPr>
        <w:t>[16</w:t>
      </w:r>
      <w:r w:rsidR="002C2AFA">
        <w:rPr>
          <w:bCs/>
          <w:u w:val="none"/>
        </w:rPr>
        <w:t xml:space="preserve">]The applicants state that they became aware of the </w:t>
      </w:r>
      <w:r w:rsidR="00A5222B">
        <w:rPr>
          <w:bCs/>
          <w:u w:val="none"/>
        </w:rPr>
        <w:t xml:space="preserve">enforcement </w:t>
      </w:r>
      <w:r w:rsidR="002C2AFA">
        <w:rPr>
          <w:bCs/>
          <w:u w:val="none"/>
        </w:rPr>
        <w:t>application on 31 October 2019. From 1 November 2019</w:t>
      </w:r>
      <w:r w:rsidR="003916AB">
        <w:rPr>
          <w:bCs/>
          <w:u w:val="none"/>
        </w:rPr>
        <w:t xml:space="preserve"> to </w:t>
      </w:r>
      <w:r w:rsidR="004561D5">
        <w:rPr>
          <w:bCs/>
          <w:u w:val="none"/>
        </w:rPr>
        <w:t>8 July 2020,</w:t>
      </w:r>
      <w:r w:rsidR="003916AB">
        <w:rPr>
          <w:bCs/>
          <w:u w:val="none"/>
        </w:rPr>
        <w:t xml:space="preserve"> they failed to file an answering affidavit. The explanation given indicate</w:t>
      </w:r>
      <w:r w:rsidR="00EB0448">
        <w:rPr>
          <w:bCs/>
          <w:u w:val="none"/>
        </w:rPr>
        <w:t>s</w:t>
      </w:r>
      <w:r w:rsidR="003916AB">
        <w:rPr>
          <w:bCs/>
          <w:u w:val="none"/>
        </w:rPr>
        <w:t xml:space="preserve"> that on 12 </w:t>
      </w:r>
      <w:r w:rsidR="003916AB">
        <w:rPr>
          <w:bCs/>
          <w:u w:val="none"/>
        </w:rPr>
        <w:lastRenderedPageBreak/>
        <w:t>March 202</w:t>
      </w:r>
      <w:r w:rsidR="00735291">
        <w:rPr>
          <w:bCs/>
          <w:u w:val="none"/>
        </w:rPr>
        <w:t>0</w:t>
      </w:r>
      <w:r w:rsidR="003916AB">
        <w:rPr>
          <w:bCs/>
          <w:u w:val="none"/>
        </w:rPr>
        <w:t xml:space="preserve"> </w:t>
      </w:r>
      <w:r w:rsidR="00735291">
        <w:rPr>
          <w:bCs/>
          <w:u w:val="none"/>
        </w:rPr>
        <w:t>t</w:t>
      </w:r>
      <w:r w:rsidR="003916AB">
        <w:rPr>
          <w:bCs/>
          <w:u w:val="none"/>
        </w:rPr>
        <w:t>he deponent requested a meeting</w:t>
      </w:r>
      <w:r w:rsidR="00A85EB7">
        <w:rPr>
          <w:bCs/>
          <w:u w:val="none"/>
        </w:rPr>
        <w:t xml:space="preserve"> with</w:t>
      </w:r>
      <w:r w:rsidR="003916AB">
        <w:rPr>
          <w:bCs/>
          <w:u w:val="none"/>
        </w:rPr>
        <w:t xml:space="preserve"> </w:t>
      </w:r>
      <w:r>
        <w:rPr>
          <w:bCs/>
          <w:u w:val="none"/>
        </w:rPr>
        <w:t>their attorney</w:t>
      </w:r>
      <w:r w:rsidR="00A85EB7">
        <w:rPr>
          <w:bCs/>
          <w:u w:val="none"/>
        </w:rPr>
        <w:t xml:space="preserve"> Mr.</w:t>
      </w:r>
      <w:r w:rsidR="003916AB">
        <w:rPr>
          <w:bCs/>
          <w:u w:val="none"/>
        </w:rPr>
        <w:t xml:space="preserve"> Van Staden</w:t>
      </w:r>
      <w:r w:rsidR="00A85EB7">
        <w:rPr>
          <w:bCs/>
          <w:u w:val="none"/>
        </w:rPr>
        <w:t>’s clerk</w:t>
      </w:r>
      <w:r>
        <w:rPr>
          <w:bCs/>
          <w:u w:val="none"/>
        </w:rPr>
        <w:t>,</w:t>
      </w:r>
      <w:r w:rsidR="00EB0448">
        <w:rPr>
          <w:bCs/>
          <w:u w:val="none"/>
        </w:rPr>
        <w:t xml:space="preserve"> </w:t>
      </w:r>
      <w:r w:rsidR="003916AB">
        <w:rPr>
          <w:bCs/>
          <w:u w:val="none"/>
        </w:rPr>
        <w:t xml:space="preserve">as he was apparently struggling with his health. </w:t>
      </w:r>
      <w:r w:rsidR="00EB0448">
        <w:rPr>
          <w:bCs/>
          <w:u w:val="none"/>
        </w:rPr>
        <w:t xml:space="preserve">From this it can be gleaned </w:t>
      </w:r>
      <w:r w:rsidR="003916AB">
        <w:rPr>
          <w:bCs/>
          <w:u w:val="none"/>
        </w:rPr>
        <w:t>that from 1 November until 12 March, a period of three months, the applicants did nothing</w:t>
      </w:r>
      <w:r w:rsidR="00A5222B">
        <w:rPr>
          <w:bCs/>
          <w:u w:val="none"/>
        </w:rPr>
        <w:t xml:space="preserve"> to pursue their opposition to the enforcement application. </w:t>
      </w:r>
      <w:r w:rsidR="00EB0448">
        <w:rPr>
          <w:bCs/>
          <w:u w:val="none"/>
        </w:rPr>
        <w:t xml:space="preserve">It </w:t>
      </w:r>
      <w:r w:rsidR="00A5222B">
        <w:rPr>
          <w:bCs/>
          <w:u w:val="none"/>
        </w:rPr>
        <w:t xml:space="preserve">seems to be a case where clients failed to keep </w:t>
      </w:r>
      <w:r w:rsidR="00EB0448">
        <w:rPr>
          <w:bCs/>
          <w:u w:val="none"/>
        </w:rPr>
        <w:t xml:space="preserve">in </w:t>
      </w:r>
      <w:r w:rsidR="00A5222B">
        <w:rPr>
          <w:bCs/>
          <w:u w:val="none"/>
        </w:rPr>
        <w:t>contact with their attorney</w:t>
      </w:r>
      <w:r w:rsidR="00EB0448">
        <w:rPr>
          <w:bCs/>
          <w:u w:val="none"/>
        </w:rPr>
        <w:t>,</w:t>
      </w:r>
      <w:r w:rsidR="0074296B">
        <w:rPr>
          <w:bCs/>
          <w:u w:val="none"/>
        </w:rPr>
        <w:t xml:space="preserve"> under circumstances where they should have.</w:t>
      </w:r>
      <w:r w:rsidR="00A5222B">
        <w:rPr>
          <w:rStyle w:val="FootnoteReference"/>
          <w:bCs/>
          <w:u w:val="none"/>
        </w:rPr>
        <w:footnoteReference w:id="1"/>
      </w:r>
      <w:r w:rsidR="003916AB">
        <w:rPr>
          <w:bCs/>
          <w:u w:val="none"/>
        </w:rPr>
        <w:t xml:space="preserve"> </w:t>
      </w:r>
      <w:r w:rsidR="00EB0448">
        <w:rPr>
          <w:bCs/>
          <w:u w:val="none"/>
        </w:rPr>
        <w:t xml:space="preserve"> </w:t>
      </w:r>
      <w:r w:rsidR="003916AB">
        <w:rPr>
          <w:bCs/>
          <w:u w:val="none"/>
        </w:rPr>
        <w:t>Subsequent to this</w:t>
      </w:r>
      <w:r w:rsidR="00A85EB7">
        <w:rPr>
          <w:bCs/>
          <w:u w:val="none"/>
        </w:rPr>
        <w:t>,</w:t>
      </w:r>
      <w:r w:rsidR="0015084D">
        <w:rPr>
          <w:bCs/>
          <w:u w:val="none"/>
        </w:rPr>
        <w:t xml:space="preserve"> the National State of Disaster</w:t>
      </w:r>
      <w:r w:rsidR="00A85EB7">
        <w:rPr>
          <w:bCs/>
          <w:u w:val="none"/>
        </w:rPr>
        <w:t xml:space="preserve"> </w:t>
      </w:r>
      <w:r w:rsidR="0015084D">
        <w:rPr>
          <w:bCs/>
          <w:u w:val="none"/>
        </w:rPr>
        <w:t>apparently led to a failure to act.</w:t>
      </w:r>
      <w:r w:rsidR="003916AB">
        <w:rPr>
          <w:bCs/>
          <w:u w:val="none"/>
        </w:rPr>
        <w:t xml:space="preserve"> </w:t>
      </w:r>
      <w:r w:rsidR="00EB0448">
        <w:rPr>
          <w:bCs/>
          <w:u w:val="none"/>
        </w:rPr>
        <w:t>Reliance on the National State of Disaster</w:t>
      </w:r>
      <w:r w:rsidR="0074296B">
        <w:rPr>
          <w:bCs/>
          <w:u w:val="none"/>
        </w:rPr>
        <w:t xml:space="preserve">, for a </w:t>
      </w:r>
      <w:r w:rsidR="0015084D">
        <w:rPr>
          <w:bCs/>
          <w:u w:val="none"/>
        </w:rPr>
        <w:t xml:space="preserve">failure to </w:t>
      </w:r>
      <w:r w:rsidR="0074296B">
        <w:rPr>
          <w:bCs/>
          <w:u w:val="none"/>
        </w:rPr>
        <w:t>act,</w:t>
      </w:r>
      <w:r w:rsidR="00EB0448">
        <w:rPr>
          <w:bCs/>
          <w:u w:val="none"/>
        </w:rPr>
        <w:t xml:space="preserve"> </w:t>
      </w:r>
      <w:r w:rsidR="003916AB">
        <w:rPr>
          <w:bCs/>
          <w:u w:val="none"/>
        </w:rPr>
        <w:t xml:space="preserve">does not </w:t>
      </w:r>
      <w:r w:rsidR="00735291">
        <w:rPr>
          <w:bCs/>
          <w:u w:val="none"/>
        </w:rPr>
        <w:t>satisfy</w:t>
      </w:r>
      <w:r w:rsidR="003916AB">
        <w:rPr>
          <w:bCs/>
          <w:u w:val="none"/>
        </w:rPr>
        <w:t xml:space="preserve"> as the attorneys of the applicant</w:t>
      </w:r>
      <w:r w:rsidR="00735291">
        <w:rPr>
          <w:bCs/>
          <w:u w:val="none"/>
        </w:rPr>
        <w:t>s</w:t>
      </w:r>
      <w:r w:rsidR="003916AB">
        <w:rPr>
          <w:bCs/>
          <w:u w:val="none"/>
        </w:rPr>
        <w:t xml:space="preserve"> is a prominent firm and they themselves are clearly astute business people</w:t>
      </w:r>
      <w:r w:rsidR="00EB0448">
        <w:rPr>
          <w:bCs/>
          <w:u w:val="none"/>
        </w:rPr>
        <w:t>,</w:t>
      </w:r>
      <w:r w:rsidR="003916AB">
        <w:rPr>
          <w:bCs/>
          <w:u w:val="none"/>
        </w:rPr>
        <w:t xml:space="preserve"> who would have had access to electronic means to communicate with their lawyers</w:t>
      </w:r>
      <w:r w:rsidR="00A5222B">
        <w:rPr>
          <w:bCs/>
          <w:u w:val="none"/>
        </w:rPr>
        <w:t>. I</w:t>
      </w:r>
      <w:r w:rsidR="003916AB">
        <w:rPr>
          <w:bCs/>
          <w:u w:val="none"/>
        </w:rPr>
        <w:t xml:space="preserve">f Mr Van Staden was incapacitated there would certainly have been someone else in the firm who could have dealt with the matter. </w:t>
      </w:r>
      <w:r w:rsidR="00735291">
        <w:rPr>
          <w:bCs/>
          <w:u w:val="none"/>
        </w:rPr>
        <w:t xml:space="preserve">Our courts have pronounced </w:t>
      </w:r>
      <w:r w:rsidR="00A5222B">
        <w:rPr>
          <w:bCs/>
          <w:u w:val="none"/>
        </w:rPr>
        <w:t xml:space="preserve">on </w:t>
      </w:r>
      <w:r w:rsidR="00735291">
        <w:rPr>
          <w:bCs/>
          <w:u w:val="none"/>
        </w:rPr>
        <w:t>the tendency of litigants to attempt to rely on the State of Disaster under cir</w:t>
      </w:r>
      <w:r w:rsidR="00A5222B">
        <w:rPr>
          <w:bCs/>
          <w:u w:val="none"/>
        </w:rPr>
        <w:t xml:space="preserve">cumstances </w:t>
      </w:r>
      <w:r w:rsidR="0074296B">
        <w:rPr>
          <w:bCs/>
          <w:u w:val="none"/>
        </w:rPr>
        <w:t>that do not justify it, in particular if no reasons are provided to explain why they were unable to act</w:t>
      </w:r>
      <w:r w:rsidR="00387178">
        <w:rPr>
          <w:bCs/>
          <w:u w:val="none"/>
        </w:rPr>
        <w:t>.</w:t>
      </w:r>
      <w:r w:rsidR="00387178">
        <w:rPr>
          <w:rStyle w:val="FootnoteReference"/>
          <w:bCs/>
          <w:u w:val="none"/>
        </w:rPr>
        <w:footnoteReference w:id="2"/>
      </w:r>
      <w:r w:rsidR="0074296B">
        <w:rPr>
          <w:bCs/>
          <w:u w:val="none"/>
        </w:rPr>
        <w:t xml:space="preserve"> </w:t>
      </w:r>
      <w:r w:rsidR="00387178">
        <w:rPr>
          <w:bCs/>
          <w:u w:val="none"/>
        </w:rPr>
        <w:t xml:space="preserve"> S</w:t>
      </w:r>
      <w:r w:rsidR="0074296B">
        <w:rPr>
          <w:bCs/>
          <w:u w:val="none"/>
        </w:rPr>
        <w:t>eeing that the courts were functional from 1 May 202</w:t>
      </w:r>
      <w:r>
        <w:rPr>
          <w:bCs/>
          <w:u w:val="none"/>
        </w:rPr>
        <w:t>0</w:t>
      </w:r>
      <w:r w:rsidR="0074296B">
        <w:rPr>
          <w:bCs/>
          <w:u w:val="none"/>
        </w:rPr>
        <w:t xml:space="preserve">. </w:t>
      </w:r>
      <w:r w:rsidR="00950161">
        <w:rPr>
          <w:bCs/>
          <w:u w:val="none"/>
        </w:rPr>
        <w:t>The applicants on their</w:t>
      </w:r>
      <w:r w:rsidR="003916AB">
        <w:rPr>
          <w:bCs/>
          <w:u w:val="none"/>
        </w:rPr>
        <w:t xml:space="preserve"> own version waited until 3 August 2020 to request a meeting wit</w:t>
      </w:r>
      <w:r w:rsidR="00735291">
        <w:rPr>
          <w:bCs/>
          <w:u w:val="none"/>
        </w:rPr>
        <w:t>h</w:t>
      </w:r>
      <w:r w:rsidR="00950161">
        <w:rPr>
          <w:bCs/>
          <w:u w:val="none"/>
        </w:rPr>
        <w:t xml:space="preserve"> Mr Van Staden. </w:t>
      </w:r>
      <w:r>
        <w:rPr>
          <w:bCs/>
          <w:u w:val="none"/>
        </w:rPr>
        <w:t>During t</w:t>
      </w:r>
      <w:r w:rsidR="00D23C2E">
        <w:rPr>
          <w:bCs/>
          <w:u w:val="none"/>
        </w:rPr>
        <w:t>hat meeting</w:t>
      </w:r>
      <w:r w:rsidR="003916AB">
        <w:rPr>
          <w:bCs/>
          <w:u w:val="none"/>
        </w:rPr>
        <w:t xml:space="preserve"> </w:t>
      </w:r>
      <w:r>
        <w:rPr>
          <w:bCs/>
          <w:u w:val="none"/>
        </w:rPr>
        <w:t xml:space="preserve">that </w:t>
      </w:r>
      <w:r w:rsidR="003916AB">
        <w:rPr>
          <w:bCs/>
          <w:u w:val="none"/>
        </w:rPr>
        <w:t>took place on 12 August 2020, they were informed about the enforcement order that was granted.</w:t>
      </w:r>
    </w:p>
    <w:p w:rsidR="006C68A8" w:rsidRDefault="006C68A8" w:rsidP="002C2AFA">
      <w:pPr>
        <w:snapToGrid w:val="0"/>
        <w:spacing w:before="240" w:after="240" w:line="480" w:lineRule="auto"/>
        <w:jc w:val="both"/>
        <w:rPr>
          <w:bCs/>
          <w:u w:val="none"/>
        </w:rPr>
      </w:pPr>
    </w:p>
    <w:p w:rsidR="003916AB" w:rsidRDefault="006C68A8" w:rsidP="002C2AFA">
      <w:pPr>
        <w:snapToGrid w:val="0"/>
        <w:spacing w:before="240" w:after="240" w:line="480" w:lineRule="auto"/>
        <w:jc w:val="both"/>
        <w:rPr>
          <w:bCs/>
          <w:u w:val="none"/>
        </w:rPr>
      </w:pPr>
      <w:r>
        <w:rPr>
          <w:bCs/>
          <w:u w:val="none"/>
        </w:rPr>
        <w:t>[17</w:t>
      </w:r>
      <w:r w:rsidR="003916AB">
        <w:rPr>
          <w:bCs/>
          <w:u w:val="none"/>
        </w:rPr>
        <w:t xml:space="preserve">]On 25 August 2020 Mr Van Staden, via WhatsApp informed the </w:t>
      </w:r>
      <w:r w:rsidR="004561D5">
        <w:rPr>
          <w:bCs/>
          <w:u w:val="none"/>
        </w:rPr>
        <w:t>applicants</w:t>
      </w:r>
      <w:r w:rsidR="003916AB">
        <w:rPr>
          <w:bCs/>
          <w:u w:val="none"/>
        </w:rPr>
        <w:t xml:space="preserve"> about his unavailability to attend to their matter and advised them to obtain the </w:t>
      </w:r>
      <w:r w:rsidR="003916AB">
        <w:rPr>
          <w:bCs/>
          <w:u w:val="none"/>
        </w:rPr>
        <w:lastRenderedPageBreak/>
        <w:t>services of another attorney.</w:t>
      </w:r>
      <w:r w:rsidR="00735291">
        <w:rPr>
          <w:bCs/>
          <w:u w:val="none"/>
        </w:rPr>
        <w:t xml:space="preserve"> </w:t>
      </w:r>
      <w:r w:rsidR="003916AB">
        <w:rPr>
          <w:bCs/>
          <w:u w:val="none"/>
        </w:rPr>
        <w:t xml:space="preserve">On 29 September 2020 Mr Van Staden </w:t>
      </w:r>
      <w:r w:rsidR="00A5222B">
        <w:rPr>
          <w:bCs/>
          <w:u w:val="none"/>
        </w:rPr>
        <w:t>sent an e-mail to the applicant</w:t>
      </w:r>
      <w:r w:rsidR="003916AB">
        <w:rPr>
          <w:bCs/>
          <w:u w:val="none"/>
        </w:rPr>
        <w:t>s</w:t>
      </w:r>
      <w:r w:rsidR="00A5222B">
        <w:rPr>
          <w:bCs/>
          <w:u w:val="none"/>
        </w:rPr>
        <w:t xml:space="preserve">’ newly </w:t>
      </w:r>
      <w:r w:rsidR="00D23C2E">
        <w:rPr>
          <w:bCs/>
          <w:u w:val="none"/>
        </w:rPr>
        <w:t>appointed attorneys</w:t>
      </w:r>
      <w:r w:rsidR="003916AB">
        <w:rPr>
          <w:bCs/>
          <w:u w:val="none"/>
        </w:rPr>
        <w:t xml:space="preserve"> explaining the reason for the delay. It must be noted that the content of this e-mail differs from the explanation given in</w:t>
      </w:r>
      <w:r w:rsidR="00EB0448">
        <w:rPr>
          <w:bCs/>
          <w:u w:val="none"/>
        </w:rPr>
        <w:t>itially by</w:t>
      </w:r>
      <w:r w:rsidR="00A85EB7">
        <w:rPr>
          <w:bCs/>
          <w:u w:val="none"/>
        </w:rPr>
        <w:t xml:space="preserve"> the</w:t>
      </w:r>
      <w:r w:rsidR="00EB0448">
        <w:rPr>
          <w:bCs/>
          <w:u w:val="none"/>
        </w:rPr>
        <w:t xml:space="preserve"> applicants</w:t>
      </w:r>
      <w:r w:rsidR="003916AB">
        <w:rPr>
          <w:bCs/>
          <w:u w:val="none"/>
        </w:rPr>
        <w:t>. In this e-mail he explained that his brother-in-law fell ill during December 2019</w:t>
      </w:r>
      <w:r w:rsidR="00EB0448">
        <w:rPr>
          <w:bCs/>
          <w:u w:val="none"/>
        </w:rPr>
        <w:t>, which apparently caused difficulties for him to attend to the applicants</w:t>
      </w:r>
      <w:r w:rsidR="00950161">
        <w:rPr>
          <w:bCs/>
          <w:u w:val="none"/>
        </w:rPr>
        <w:t>’</w:t>
      </w:r>
      <w:r w:rsidR="00EB0448">
        <w:rPr>
          <w:bCs/>
          <w:u w:val="none"/>
        </w:rPr>
        <w:t xml:space="preserve"> case</w:t>
      </w:r>
      <w:r w:rsidR="003916AB">
        <w:rPr>
          <w:bCs/>
          <w:u w:val="none"/>
        </w:rPr>
        <w:t>.</w:t>
      </w:r>
    </w:p>
    <w:p w:rsidR="007953EE" w:rsidRDefault="007953EE" w:rsidP="002C2AFA">
      <w:pPr>
        <w:snapToGrid w:val="0"/>
        <w:spacing w:before="240" w:after="240" w:line="480" w:lineRule="auto"/>
        <w:jc w:val="both"/>
        <w:rPr>
          <w:bCs/>
          <w:u w:val="none"/>
        </w:rPr>
      </w:pPr>
    </w:p>
    <w:p w:rsidR="003916AB" w:rsidRDefault="006C68A8" w:rsidP="002C2AFA">
      <w:pPr>
        <w:snapToGrid w:val="0"/>
        <w:spacing w:before="240" w:after="240" w:line="480" w:lineRule="auto"/>
        <w:jc w:val="both"/>
        <w:rPr>
          <w:bCs/>
          <w:u w:val="none"/>
        </w:rPr>
      </w:pPr>
      <w:r>
        <w:rPr>
          <w:bCs/>
          <w:u w:val="none"/>
        </w:rPr>
        <w:t>[18</w:t>
      </w:r>
      <w:r w:rsidR="003916AB">
        <w:rPr>
          <w:bCs/>
          <w:u w:val="none"/>
        </w:rPr>
        <w:t xml:space="preserve">]The applicants did not explain the full period of the delay in opposing the </w:t>
      </w:r>
      <w:r w:rsidR="00A5222B">
        <w:rPr>
          <w:bCs/>
          <w:u w:val="none"/>
        </w:rPr>
        <w:t xml:space="preserve">enforcement </w:t>
      </w:r>
      <w:r w:rsidR="003916AB">
        <w:rPr>
          <w:bCs/>
          <w:u w:val="none"/>
        </w:rPr>
        <w:t>application, and such failure</w:t>
      </w:r>
      <w:r w:rsidR="00154300">
        <w:rPr>
          <w:bCs/>
          <w:u w:val="none"/>
        </w:rPr>
        <w:t xml:space="preserve"> cannot merely be condoned. There is an obligation on a</w:t>
      </w:r>
      <w:r w:rsidR="00387178">
        <w:rPr>
          <w:bCs/>
          <w:u w:val="none"/>
        </w:rPr>
        <w:t xml:space="preserve"> party</w:t>
      </w:r>
      <w:r w:rsidR="00154300">
        <w:rPr>
          <w:bCs/>
          <w:u w:val="none"/>
        </w:rPr>
        <w:t xml:space="preserve"> to give a full </w:t>
      </w:r>
      <w:r w:rsidR="00EB0448">
        <w:rPr>
          <w:bCs/>
          <w:u w:val="none"/>
        </w:rPr>
        <w:t xml:space="preserve">and reasonable </w:t>
      </w:r>
      <w:r w:rsidR="00154300">
        <w:rPr>
          <w:bCs/>
          <w:u w:val="none"/>
        </w:rPr>
        <w:t>explanation for the whole duration of the delay</w:t>
      </w:r>
      <w:r w:rsidR="003916AB">
        <w:rPr>
          <w:bCs/>
          <w:u w:val="none"/>
        </w:rPr>
        <w:t>.</w:t>
      </w:r>
      <w:r w:rsidR="00FC26C2">
        <w:rPr>
          <w:rStyle w:val="FootnoteReference"/>
          <w:bCs/>
          <w:u w:val="none"/>
        </w:rPr>
        <w:footnoteReference w:id="3"/>
      </w:r>
    </w:p>
    <w:p w:rsidR="007953EE" w:rsidRDefault="007953EE" w:rsidP="002C2AFA">
      <w:pPr>
        <w:snapToGrid w:val="0"/>
        <w:spacing w:before="240" w:after="240" w:line="480" w:lineRule="auto"/>
        <w:jc w:val="both"/>
        <w:rPr>
          <w:bCs/>
          <w:u w:val="none"/>
        </w:rPr>
      </w:pPr>
    </w:p>
    <w:p w:rsidR="00384DA3" w:rsidRDefault="006C68A8" w:rsidP="002C2AFA">
      <w:pPr>
        <w:snapToGrid w:val="0"/>
        <w:spacing w:before="240" w:after="240" w:line="480" w:lineRule="auto"/>
        <w:jc w:val="both"/>
        <w:rPr>
          <w:bCs/>
          <w:u w:val="none"/>
        </w:rPr>
      </w:pPr>
      <w:r>
        <w:rPr>
          <w:bCs/>
          <w:u w:val="none"/>
        </w:rPr>
        <w:t>[19</w:t>
      </w:r>
      <w:r w:rsidR="00384DA3">
        <w:rPr>
          <w:bCs/>
          <w:u w:val="none"/>
        </w:rPr>
        <w:t>]Furthermore, especially in the light of the applicants clearly being experience</w:t>
      </w:r>
      <w:r w:rsidR="005A360B">
        <w:rPr>
          <w:bCs/>
          <w:u w:val="none"/>
        </w:rPr>
        <w:t>d</w:t>
      </w:r>
      <w:r w:rsidR="00384DA3">
        <w:rPr>
          <w:bCs/>
          <w:u w:val="none"/>
        </w:rPr>
        <w:t xml:space="preserve"> business people</w:t>
      </w:r>
      <w:r w:rsidR="00387178">
        <w:rPr>
          <w:bCs/>
          <w:u w:val="none"/>
        </w:rPr>
        <w:t xml:space="preserve"> and the magnitude of the claim against </w:t>
      </w:r>
      <w:r w:rsidR="00D23C2E">
        <w:rPr>
          <w:bCs/>
          <w:u w:val="none"/>
        </w:rPr>
        <w:t>them, their</w:t>
      </w:r>
      <w:r w:rsidR="00384DA3">
        <w:rPr>
          <w:bCs/>
          <w:u w:val="none"/>
        </w:rPr>
        <w:t xml:space="preserve"> failure to keep in contact with their attorney and to follow up regarding this matter </w:t>
      </w:r>
      <w:r w:rsidR="00387178">
        <w:rPr>
          <w:bCs/>
          <w:u w:val="none"/>
        </w:rPr>
        <w:t>is inexplicable.</w:t>
      </w:r>
      <w:r w:rsidR="00384DA3">
        <w:rPr>
          <w:bCs/>
          <w:u w:val="none"/>
        </w:rPr>
        <w:t xml:space="preserve"> They have been litigating extensively over a protracted period of time</w:t>
      </w:r>
      <w:r w:rsidR="00083835">
        <w:rPr>
          <w:bCs/>
          <w:u w:val="none"/>
        </w:rPr>
        <w:t>.</w:t>
      </w:r>
      <w:r w:rsidR="00384DA3">
        <w:rPr>
          <w:bCs/>
          <w:u w:val="none"/>
        </w:rPr>
        <w:t xml:space="preserve"> </w:t>
      </w:r>
      <w:r w:rsidR="00083835">
        <w:rPr>
          <w:bCs/>
          <w:u w:val="none"/>
        </w:rPr>
        <w:t>L</w:t>
      </w:r>
      <w:r w:rsidR="005A360B">
        <w:rPr>
          <w:bCs/>
          <w:u w:val="none"/>
        </w:rPr>
        <w:t>itigants, especially sophisticated business</w:t>
      </w:r>
      <w:r w:rsidR="00083835">
        <w:rPr>
          <w:bCs/>
          <w:u w:val="none"/>
        </w:rPr>
        <w:t xml:space="preserve"> people</w:t>
      </w:r>
      <w:r w:rsidR="005A360B">
        <w:rPr>
          <w:bCs/>
          <w:u w:val="none"/>
        </w:rPr>
        <w:t xml:space="preserve">, cannot merely blame their legal representative, </w:t>
      </w:r>
      <w:r w:rsidR="00083835">
        <w:rPr>
          <w:bCs/>
          <w:u w:val="none"/>
        </w:rPr>
        <w:t xml:space="preserve">they </w:t>
      </w:r>
      <w:r w:rsidR="005A360B">
        <w:rPr>
          <w:bCs/>
          <w:u w:val="none"/>
        </w:rPr>
        <w:t>have a duty to follow up on their matters, within a reasonable period of time</w:t>
      </w:r>
      <w:r w:rsidR="00950161">
        <w:rPr>
          <w:bCs/>
          <w:u w:val="none"/>
        </w:rPr>
        <w:t>, it can certainly not be said that they are free from any blame for the delay</w:t>
      </w:r>
      <w:r w:rsidR="005A360B">
        <w:rPr>
          <w:bCs/>
          <w:u w:val="none"/>
        </w:rPr>
        <w:t>.</w:t>
      </w:r>
      <w:r w:rsidR="00384DA3">
        <w:rPr>
          <w:rStyle w:val="FootnoteReference"/>
          <w:bCs/>
          <w:u w:val="none"/>
        </w:rPr>
        <w:footnoteReference w:id="4"/>
      </w:r>
    </w:p>
    <w:p w:rsidR="005A360B" w:rsidRDefault="006C68A8" w:rsidP="002C2AFA">
      <w:pPr>
        <w:snapToGrid w:val="0"/>
        <w:spacing w:before="240" w:after="240" w:line="480" w:lineRule="auto"/>
        <w:jc w:val="both"/>
        <w:rPr>
          <w:bCs/>
          <w:u w:val="none"/>
        </w:rPr>
      </w:pPr>
      <w:r>
        <w:rPr>
          <w:bCs/>
          <w:u w:val="none"/>
        </w:rPr>
        <w:lastRenderedPageBreak/>
        <w:t>[20</w:t>
      </w:r>
      <w:r w:rsidR="00384DA3">
        <w:rPr>
          <w:bCs/>
          <w:u w:val="none"/>
        </w:rPr>
        <w:t xml:space="preserve">]I am accordingly not satisfied that the applicants gave a reasonable explanation for their failure to either oppose the </w:t>
      </w:r>
      <w:r w:rsidR="00154300">
        <w:rPr>
          <w:bCs/>
          <w:u w:val="none"/>
        </w:rPr>
        <w:t xml:space="preserve">enforcement </w:t>
      </w:r>
      <w:r w:rsidR="00384DA3">
        <w:rPr>
          <w:bCs/>
          <w:u w:val="none"/>
        </w:rPr>
        <w:t>application</w:t>
      </w:r>
      <w:r w:rsidR="005106C4">
        <w:rPr>
          <w:bCs/>
          <w:u w:val="none"/>
        </w:rPr>
        <w:t>,</w:t>
      </w:r>
      <w:r w:rsidR="00384DA3">
        <w:rPr>
          <w:bCs/>
          <w:u w:val="none"/>
        </w:rPr>
        <w:t xml:space="preserve"> or the delay </w:t>
      </w:r>
      <w:r w:rsidR="00083835">
        <w:rPr>
          <w:bCs/>
          <w:u w:val="none"/>
        </w:rPr>
        <w:t xml:space="preserve">in </w:t>
      </w:r>
      <w:r w:rsidR="00384DA3">
        <w:rPr>
          <w:bCs/>
          <w:u w:val="none"/>
        </w:rPr>
        <w:t>bringing this application.</w:t>
      </w:r>
      <w:r w:rsidR="00950161">
        <w:rPr>
          <w:bCs/>
          <w:u w:val="none"/>
        </w:rPr>
        <w:t xml:space="preserve"> </w:t>
      </w:r>
      <w:r w:rsidR="005106C4">
        <w:rPr>
          <w:bCs/>
          <w:u w:val="none"/>
        </w:rPr>
        <w:t>It is trite that condonation is not merely a formality.</w:t>
      </w:r>
      <w:r w:rsidR="005106C4" w:rsidRPr="005106C4">
        <w:rPr>
          <w:rStyle w:val="FootnoteReference"/>
          <w:bCs/>
          <w:u w:val="none"/>
        </w:rPr>
        <w:t xml:space="preserve"> </w:t>
      </w:r>
      <w:r w:rsidR="005106C4">
        <w:rPr>
          <w:rStyle w:val="FootnoteReference"/>
          <w:bCs/>
          <w:u w:val="none"/>
        </w:rPr>
        <w:footnoteReference w:id="5"/>
      </w:r>
      <w:r>
        <w:rPr>
          <w:bCs/>
          <w:u w:val="none"/>
        </w:rPr>
        <w:t xml:space="preserve"> </w:t>
      </w:r>
      <w:r w:rsidR="005106C4">
        <w:rPr>
          <w:bCs/>
          <w:u w:val="none"/>
        </w:rPr>
        <w:t xml:space="preserve">It is </w:t>
      </w:r>
      <w:r>
        <w:rPr>
          <w:bCs/>
          <w:u w:val="none"/>
        </w:rPr>
        <w:t>also well established that</w:t>
      </w:r>
      <w:r w:rsidR="005106C4">
        <w:rPr>
          <w:bCs/>
          <w:u w:val="none"/>
        </w:rPr>
        <w:t xml:space="preserve"> condonation could be granted if it would be in the interest of justice.</w:t>
      </w:r>
      <w:r w:rsidR="005106C4">
        <w:rPr>
          <w:rStyle w:val="FootnoteReference"/>
          <w:bCs/>
          <w:u w:val="none"/>
        </w:rPr>
        <w:footnoteReference w:id="6"/>
      </w:r>
      <w:r w:rsidR="005106C4">
        <w:rPr>
          <w:bCs/>
          <w:u w:val="none"/>
        </w:rPr>
        <w:t xml:space="preserve"> T</w:t>
      </w:r>
      <w:r w:rsidR="003D7266">
        <w:rPr>
          <w:bCs/>
          <w:u w:val="none"/>
        </w:rPr>
        <w:t>he Court</w:t>
      </w:r>
      <w:r w:rsidR="005106C4">
        <w:rPr>
          <w:bCs/>
          <w:u w:val="none"/>
        </w:rPr>
        <w:t>,</w:t>
      </w:r>
      <w:r w:rsidR="003D7266">
        <w:rPr>
          <w:bCs/>
          <w:u w:val="none"/>
        </w:rPr>
        <w:t xml:space="preserve"> </w:t>
      </w:r>
      <w:r w:rsidR="005106C4">
        <w:rPr>
          <w:bCs/>
          <w:u w:val="none"/>
        </w:rPr>
        <w:t>in doing so</w:t>
      </w:r>
      <w:r w:rsidR="003D7266">
        <w:rPr>
          <w:bCs/>
          <w:u w:val="none"/>
        </w:rPr>
        <w:t xml:space="preserve"> considered whether the applicants are bona fide and have raised defences</w:t>
      </w:r>
      <w:r w:rsidR="005106C4">
        <w:rPr>
          <w:bCs/>
          <w:u w:val="none"/>
        </w:rPr>
        <w:t xml:space="preserve"> with some prospects of success.</w:t>
      </w:r>
      <w:r w:rsidR="003D7266">
        <w:rPr>
          <w:bCs/>
          <w:u w:val="none"/>
        </w:rPr>
        <w:t xml:space="preserve"> A court is enjoined to examine whether the defence raised by the person who seeks relief </w:t>
      </w:r>
      <w:r w:rsidR="00D23C2E">
        <w:rPr>
          <w:bCs/>
          <w:u w:val="none"/>
        </w:rPr>
        <w:t>shows the</w:t>
      </w:r>
      <w:r w:rsidR="003D7266">
        <w:rPr>
          <w:bCs/>
          <w:u w:val="none"/>
        </w:rPr>
        <w:t xml:space="preserve"> ex</w:t>
      </w:r>
      <w:r w:rsidR="005106C4">
        <w:rPr>
          <w:bCs/>
          <w:u w:val="none"/>
        </w:rPr>
        <w:t>istence of an issue which is fit</w:t>
      </w:r>
      <w:r w:rsidR="003D7266">
        <w:rPr>
          <w:bCs/>
          <w:u w:val="none"/>
        </w:rPr>
        <w:t xml:space="preserve"> for trial. It is </w:t>
      </w:r>
      <w:r>
        <w:rPr>
          <w:bCs/>
          <w:u w:val="none"/>
        </w:rPr>
        <w:t xml:space="preserve">while </w:t>
      </w:r>
      <w:r w:rsidR="003D7266">
        <w:rPr>
          <w:bCs/>
          <w:u w:val="none"/>
        </w:rPr>
        <w:t xml:space="preserve">keeping the aforesaid in mind that the defences raised </w:t>
      </w:r>
      <w:r w:rsidR="00D90D52">
        <w:rPr>
          <w:bCs/>
          <w:u w:val="none"/>
        </w:rPr>
        <w:t>were</w:t>
      </w:r>
      <w:r w:rsidR="003D7266">
        <w:rPr>
          <w:bCs/>
          <w:u w:val="none"/>
        </w:rPr>
        <w:t xml:space="preserve">  considered. </w:t>
      </w:r>
    </w:p>
    <w:p w:rsidR="005106C4" w:rsidRDefault="005106C4" w:rsidP="002C2AFA">
      <w:pPr>
        <w:snapToGrid w:val="0"/>
        <w:spacing w:before="240" w:after="240" w:line="480" w:lineRule="auto"/>
        <w:jc w:val="both"/>
        <w:rPr>
          <w:b/>
          <w:bCs/>
        </w:rPr>
      </w:pPr>
    </w:p>
    <w:p w:rsidR="00CE6505" w:rsidRDefault="00CE6505" w:rsidP="002C2AFA">
      <w:pPr>
        <w:snapToGrid w:val="0"/>
        <w:spacing w:before="240" w:after="240" w:line="480" w:lineRule="auto"/>
        <w:jc w:val="both"/>
        <w:rPr>
          <w:b/>
          <w:bCs/>
        </w:rPr>
      </w:pPr>
      <w:r w:rsidRPr="00CE6505">
        <w:rPr>
          <w:b/>
          <w:bCs/>
        </w:rPr>
        <w:t>THE APPLICANT</w:t>
      </w:r>
      <w:r w:rsidR="003C1E6E">
        <w:rPr>
          <w:b/>
          <w:bCs/>
        </w:rPr>
        <w:t>S’</w:t>
      </w:r>
      <w:r w:rsidRPr="00CE6505">
        <w:rPr>
          <w:b/>
          <w:bCs/>
        </w:rPr>
        <w:t xml:space="preserve"> DEFENCES</w:t>
      </w:r>
    </w:p>
    <w:p w:rsidR="005106C4" w:rsidRDefault="006C68A8" w:rsidP="005106C4">
      <w:pPr>
        <w:snapToGrid w:val="0"/>
        <w:spacing w:before="240" w:after="240" w:line="480" w:lineRule="auto"/>
        <w:jc w:val="both"/>
        <w:rPr>
          <w:bCs/>
          <w:u w:val="none"/>
        </w:rPr>
      </w:pPr>
      <w:r>
        <w:rPr>
          <w:bCs/>
          <w:u w:val="none"/>
        </w:rPr>
        <w:t>[21</w:t>
      </w:r>
      <w:r w:rsidR="005106C4">
        <w:rPr>
          <w:bCs/>
          <w:u w:val="none"/>
        </w:rPr>
        <w:t xml:space="preserve">]What distinguishes this matter from other rescission applications is that the defences raised, were not raised in the Commercial Court. In so far as certain defences were initially </w:t>
      </w:r>
      <w:r w:rsidR="004561D5">
        <w:rPr>
          <w:bCs/>
          <w:u w:val="none"/>
        </w:rPr>
        <w:t>raised,</w:t>
      </w:r>
      <w:r w:rsidR="005106C4">
        <w:rPr>
          <w:bCs/>
          <w:u w:val="none"/>
        </w:rPr>
        <w:t xml:space="preserve"> they were withdrawn and a settlement was reached. Th</w:t>
      </w:r>
      <w:r w:rsidR="003C1E6E">
        <w:rPr>
          <w:bCs/>
          <w:u w:val="none"/>
        </w:rPr>
        <w:t xml:space="preserve">e appropriate forum where these defences should have been raised was the Commercial Court as that court had been seized with the litigation between the parties since at least 2010. </w:t>
      </w:r>
    </w:p>
    <w:p w:rsidR="005106C4" w:rsidRPr="005106C4" w:rsidRDefault="005106C4" w:rsidP="002C2AFA">
      <w:pPr>
        <w:snapToGrid w:val="0"/>
        <w:spacing w:before="240" w:after="240" w:line="480" w:lineRule="auto"/>
        <w:jc w:val="both"/>
        <w:rPr>
          <w:bCs/>
          <w:u w:val="none"/>
        </w:rPr>
      </w:pPr>
    </w:p>
    <w:p w:rsidR="00384DA3" w:rsidRDefault="005971F7" w:rsidP="002C2AFA">
      <w:pPr>
        <w:snapToGrid w:val="0"/>
        <w:spacing w:before="240" w:after="240" w:line="480" w:lineRule="auto"/>
        <w:jc w:val="both"/>
        <w:rPr>
          <w:b/>
          <w:bCs/>
        </w:rPr>
      </w:pPr>
      <w:r w:rsidRPr="005971F7">
        <w:rPr>
          <w:b/>
          <w:bCs/>
          <w:u w:val="none"/>
        </w:rPr>
        <w:t>(a)</w:t>
      </w:r>
      <w:r w:rsidR="00CE6505" w:rsidRPr="00CE6505">
        <w:rPr>
          <w:b/>
          <w:bCs/>
        </w:rPr>
        <w:t>Lack of jurisdiction of the Commercial Court</w:t>
      </w:r>
    </w:p>
    <w:p w:rsidR="00CE6505" w:rsidRDefault="006C68A8" w:rsidP="002C2AFA">
      <w:pPr>
        <w:snapToGrid w:val="0"/>
        <w:spacing w:before="240" w:after="240" w:line="480" w:lineRule="auto"/>
        <w:jc w:val="both"/>
        <w:rPr>
          <w:bCs/>
          <w:u w:val="none"/>
        </w:rPr>
      </w:pPr>
      <w:r>
        <w:rPr>
          <w:bCs/>
          <w:u w:val="none"/>
        </w:rPr>
        <w:lastRenderedPageBreak/>
        <w:t>[22</w:t>
      </w:r>
      <w:r w:rsidR="00CE6505">
        <w:rPr>
          <w:bCs/>
          <w:u w:val="none"/>
        </w:rPr>
        <w:t xml:space="preserve">]The applicants aver that they were neither </w:t>
      </w:r>
      <w:r w:rsidR="00D23C2E" w:rsidRPr="00CE6505">
        <w:rPr>
          <w:bCs/>
          <w:i/>
          <w:u w:val="none"/>
        </w:rPr>
        <w:t>domiciled</w:t>
      </w:r>
      <w:r w:rsidR="00D23C2E">
        <w:rPr>
          <w:bCs/>
          <w:i/>
          <w:u w:val="none"/>
        </w:rPr>
        <w:t>,</w:t>
      </w:r>
      <w:r w:rsidR="00D23C2E">
        <w:rPr>
          <w:bCs/>
          <w:u w:val="none"/>
        </w:rPr>
        <w:t xml:space="preserve"> nor</w:t>
      </w:r>
      <w:r w:rsidR="00CE6505">
        <w:rPr>
          <w:bCs/>
          <w:u w:val="none"/>
        </w:rPr>
        <w:t xml:space="preserve"> resident in the United Kingdom at the time of the commencement of proceedings</w:t>
      </w:r>
      <w:r w:rsidR="00154300">
        <w:rPr>
          <w:bCs/>
          <w:u w:val="none"/>
        </w:rPr>
        <w:t>,</w:t>
      </w:r>
      <w:r w:rsidR="00CE6505">
        <w:rPr>
          <w:bCs/>
          <w:u w:val="none"/>
        </w:rPr>
        <w:t xml:space="preserve"> or when judgment was granted. They furthermore aver that the Commercial Court merely assumed jurisdiction pursuant to clause 29 of the Downside Protection </w:t>
      </w:r>
      <w:r w:rsidR="003C1E6E">
        <w:rPr>
          <w:bCs/>
          <w:u w:val="none"/>
        </w:rPr>
        <w:t>Agreement</w:t>
      </w:r>
      <w:r w:rsidR="00CE6505">
        <w:rPr>
          <w:bCs/>
          <w:u w:val="none"/>
        </w:rPr>
        <w:t>, which on the face of it constitutes a submission to jurisdiction by the first, second</w:t>
      </w:r>
      <w:r w:rsidR="003C1E6E">
        <w:rPr>
          <w:bCs/>
          <w:u w:val="none"/>
        </w:rPr>
        <w:t>,</w:t>
      </w:r>
      <w:r w:rsidR="00CE6505">
        <w:rPr>
          <w:bCs/>
          <w:u w:val="none"/>
        </w:rPr>
        <w:t xml:space="preserve"> fourth and fifth applicant.</w:t>
      </w:r>
      <w:r w:rsidR="00083835">
        <w:rPr>
          <w:bCs/>
          <w:u w:val="none"/>
        </w:rPr>
        <w:t xml:space="preserve"> </w:t>
      </w:r>
      <w:r w:rsidR="00154300">
        <w:rPr>
          <w:bCs/>
          <w:u w:val="none"/>
        </w:rPr>
        <w:t>The parties ha</w:t>
      </w:r>
      <w:r w:rsidR="003C1E6E">
        <w:rPr>
          <w:bCs/>
          <w:u w:val="none"/>
        </w:rPr>
        <w:t>d</w:t>
      </w:r>
      <w:r w:rsidR="00154300">
        <w:rPr>
          <w:bCs/>
          <w:u w:val="none"/>
        </w:rPr>
        <w:t xml:space="preserve"> been litigating in the United Kingdom since 2010 and no evidence was provided that they </w:t>
      </w:r>
      <w:r w:rsidR="003D7266">
        <w:rPr>
          <w:bCs/>
          <w:u w:val="none"/>
        </w:rPr>
        <w:t xml:space="preserve">ever </w:t>
      </w:r>
      <w:r w:rsidR="00154300">
        <w:rPr>
          <w:bCs/>
          <w:u w:val="none"/>
        </w:rPr>
        <w:t>objected to the jurisdiction of the Commercial Court</w:t>
      </w:r>
      <w:r w:rsidR="003D7266">
        <w:rPr>
          <w:bCs/>
          <w:u w:val="none"/>
        </w:rPr>
        <w:t>.</w:t>
      </w:r>
      <w:r w:rsidR="00083835">
        <w:rPr>
          <w:bCs/>
          <w:u w:val="none"/>
        </w:rPr>
        <w:t xml:space="preserve"> </w:t>
      </w:r>
      <w:r w:rsidR="00154300">
        <w:rPr>
          <w:bCs/>
          <w:u w:val="none"/>
        </w:rPr>
        <w:t>T</w:t>
      </w:r>
      <w:r w:rsidR="00CE6505">
        <w:rPr>
          <w:bCs/>
          <w:u w:val="none"/>
        </w:rPr>
        <w:t xml:space="preserve">he 2017 consent order was the result of a settlement which was negotiated </w:t>
      </w:r>
      <w:r w:rsidR="003D7266">
        <w:rPr>
          <w:bCs/>
          <w:u w:val="none"/>
        </w:rPr>
        <w:t xml:space="preserve">and which should </w:t>
      </w:r>
      <w:r w:rsidR="00A723A0">
        <w:rPr>
          <w:bCs/>
          <w:u w:val="none"/>
        </w:rPr>
        <w:t xml:space="preserve">have </w:t>
      </w:r>
      <w:r w:rsidR="003D7266">
        <w:rPr>
          <w:bCs/>
          <w:u w:val="none"/>
        </w:rPr>
        <w:t xml:space="preserve">resulted in </w:t>
      </w:r>
      <w:r w:rsidR="005A360B">
        <w:rPr>
          <w:bCs/>
          <w:u w:val="none"/>
        </w:rPr>
        <w:t xml:space="preserve">the end of </w:t>
      </w:r>
      <w:r w:rsidR="00CE6505">
        <w:rPr>
          <w:bCs/>
          <w:u w:val="none"/>
        </w:rPr>
        <w:t>litigation between the parties</w:t>
      </w:r>
      <w:r w:rsidR="005A360B">
        <w:rPr>
          <w:bCs/>
          <w:u w:val="none"/>
        </w:rPr>
        <w:t>. I</w:t>
      </w:r>
      <w:r w:rsidR="00CE6505">
        <w:rPr>
          <w:bCs/>
          <w:u w:val="none"/>
        </w:rPr>
        <w:t>t is undisputed that the applicants had at all times been represented by solicitors with a global presence, including in South Africa</w:t>
      </w:r>
      <w:r w:rsidR="003D7266">
        <w:rPr>
          <w:bCs/>
          <w:u w:val="none"/>
        </w:rPr>
        <w:t xml:space="preserve">. </w:t>
      </w:r>
    </w:p>
    <w:p w:rsidR="00154300" w:rsidRDefault="00154300" w:rsidP="00360B3E">
      <w:pPr>
        <w:snapToGrid w:val="0"/>
        <w:spacing w:before="240" w:after="240" w:line="480" w:lineRule="auto"/>
        <w:jc w:val="both"/>
        <w:rPr>
          <w:u w:val="none"/>
        </w:rPr>
      </w:pPr>
    </w:p>
    <w:p w:rsidR="00360B3E" w:rsidRPr="00360B3E" w:rsidRDefault="006C68A8" w:rsidP="00360B3E">
      <w:pPr>
        <w:snapToGrid w:val="0"/>
        <w:spacing w:before="240" w:after="240" w:line="480" w:lineRule="auto"/>
        <w:jc w:val="both"/>
        <w:rPr>
          <w:u w:val="none"/>
        </w:rPr>
      </w:pPr>
      <w:r>
        <w:rPr>
          <w:u w:val="none"/>
        </w:rPr>
        <w:t>[23</w:t>
      </w:r>
      <w:r w:rsidR="00360B3E">
        <w:rPr>
          <w:u w:val="none"/>
        </w:rPr>
        <w:t>]</w:t>
      </w:r>
      <w:r w:rsidR="00360B3E" w:rsidRPr="00360B3E">
        <w:rPr>
          <w:u w:val="none"/>
        </w:rPr>
        <w:t>T</w:t>
      </w:r>
      <w:r w:rsidR="00083835">
        <w:rPr>
          <w:u w:val="none"/>
        </w:rPr>
        <w:t>he</w:t>
      </w:r>
      <w:r w:rsidR="00360B3E" w:rsidRPr="00360B3E">
        <w:rPr>
          <w:u w:val="none"/>
        </w:rPr>
        <w:t xml:space="preserve"> applicants</w:t>
      </w:r>
      <w:r w:rsidR="003D7266">
        <w:rPr>
          <w:u w:val="none"/>
        </w:rPr>
        <w:t>, through their solicitors</w:t>
      </w:r>
      <w:r w:rsidR="00050A76">
        <w:rPr>
          <w:u w:val="none"/>
        </w:rPr>
        <w:t>,</w:t>
      </w:r>
      <w:r w:rsidR="003D7266">
        <w:rPr>
          <w:u w:val="none"/>
        </w:rPr>
        <w:t xml:space="preserve"> </w:t>
      </w:r>
      <w:r w:rsidR="00083835">
        <w:rPr>
          <w:u w:val="none"/>
        </w:rPr>
        <w:t xml:space="preserve"> </w:t>
      </w:r>
      <w:r w:rsidR="00360B3E" w:rsidRPr="00360B3E">
        <w:rPr>
          <w:u w:val="none"/>
        </w:rPr>
        <w:t xml:space="preserve">accepted that the Commercial Court had jurisdiction to adjudicate the parties’ dispute by advising that court </w:t>
      </w:r>
      <w:r w:rsidR="00154300">
        <w:rPr>
          <w:u w:val="none"/>
        </w:rPr>
        <w:t xml:space="preserve">that </w:t>
      </w:r>
      <w:r w:rsidR="00360B3E" w:rsidRPr="00360B3E">
        <w:rPr>
          <w:u w:val="none"/>
        </w:rPr>
        <w:t>they intended to defend</w:t>
      </w:r>
      <w:r w:rsidR="00083835">
        <w:rPr>
          <w:u w:val="none"/>
        </w:rPr>
        <w:t xml:space="preserve"> Lexshell’s claim</w:t>
      </w:r>
      <w:r w:rsidR="00A723A0">
        <w:rPr>
          <w:u w:val="none"/>
        </w:rPr>
        <w:t xml:space="preserve">. The </w:t>
      </w:r>
      <w:r w:rsidR="00360B3E" w:rsidRPr="00360B3E">
        <w:rPr>
          <w:u w:val="none"/>
        </w:rPr>
        <w:t>“</w:t>
      </w:r>
      <w:r w:rsidR="00360B3E" w:rsidRPr="00A723A0">
        <w:rPr>
          <w:i/>
          <w:u w:val="none"/>
        </w:rPr>
        <w:t>Acknowled</w:t>
      </w:r>
      <w:r w:rsidR="00154300" w:rsidRPr="00A723A0">
        <w:rPr>
          <w:i/>
          <w:u w:val="none"/>
        </w:rPr>
        <w:t>gment of Service”</w:t>
      </w:r>
      <w:r w:rsidR="00154300">
        <w:rPr>
          <w:u w:val="none"/>
        </w:rPr>
        <w:t xml:space="preserve"> expressly</w:t>
      </w:r>
      <w:r w:rsidR="00360B3E" w:rsidRPr="00360B3E">
        <w:rPr>
          <w:u w:val="none"/>
        </w:rPr>
        <w:t xml:space="preserve"> warned them that</w:t>
      </w:r>
      <w:r w:rsidR="00083835">
        <w:rPr>
          <w:u w:val="none"/>
        </w:rPr>
        <w:t>:</w:t>
      </w:r>
    </w:p>
    <w:p w:rsidR="00360B3E" w:rsidRPr="00E03417" w:rsidRDefault="00360B3E" w:rsidP="00360B3E">
      <w:pPr>
        <w:numPr>
          <w:ilvl w:val="1"/>
          <w:numId w:val="17"/>
        </w:numPr>
        <w:tabs>
          <w:tab w:val="num" w:pos="1276"/>
        </w:tabs>
        <w:snapToGrid w:val="0"/>
        <w:spacing w:before="240" w:after="240" w:line="480" w:lineRule="auto"/>
        <w:ind w:left="1276" w:hanging="567"/>
        <w:jc w:val="both"/>
        <w:rPr>
          <w:i/>
          <w:u w:val="none"/>
        </w:rPr>
      </w:pPr>
      <w:r w:rsidRPr="00360B3E">
        <w:rPr>
          <w:u w:val="none"/>
        </w:rPr>
        <w:t>“</w:t>
      </w:r>
      <w:r w:rsidRPr="00E03417">
        <w:rPr>
          <w:i/>
          <w:u w:val="none"/>
        </w:rPr>
        <w:t xml:space="preserve">If you file an acknowledgment of service but do not file a defence within … 36 days … of the date of service of the particulars of claim, and </w:t>
      </w:r>
      <w:r w:rsidRPr="00E03417">
        <w:rPr>
          <w:bCs/>
          <w:i/>
          <w:u w:val="none"/>
        </w:rPr>
        <w:t>you have not indicated that you intend to contest jurisdiction, judgment may be taken against you</w:t>
      </w:r>
      <w:r w:rsidRPr="00E03417">
        <w:rPr>
          <w:i/>
          <w:u w:val="none"/>
        </w:rPr>
        <w:t xml:space="preserve">”; </w:t>
      </w:r>
    </w:p>
    <w:p w:rsidR="00360B3E" w:rsidRPr="00E03417" w:rsidRDefault="00360B3E" w:rsidP="00360B3E">
      <w:pPr>
        <w:numPr>
          <w:ilvl w:val="1"/>
          <w:numId w:val="17"/>
        </w:numPr>
        <w:tabs>
          <w:tab w:val="num" w:pos="1276"/>
        </w:tabs>
        <w:snapToGrid w:val="0"/>
        <w:spacing w:before="240" w:after="240" w:line="480" w:lineRule="auto"/>
        <w:ind w:left="1276" w:hanging="567"/>
        <w:jc w:val="both"/>
        <w:rPr>
          <w:i/>
          <w:u w:val="none"/>
        </w:rPr>
      </w:pPr>
      <w:r w:rsidRPr="00E03417">
        <w:rPr>
          <w:i/>
          <w:u w:val="none"/>
        </w:rPr>
        <w:t xml:space="preserve">“If you do not file an application to contest the jurisdiction within 28 days of filing an acknowledgment of service, </w:t>
      </w:r>
      <w:r w:rsidRPr="00E03417">
        <w:rPr>
          <w:bCs/>
          <w:i/>
          <w:u w:val="none"/>
        </w:rPr>
        <w:t>it will be assumed that you accept the court’s jurisdiction</w:t>
      </w:r>
      <w:r w:rsidRPr="00E03417">
        <w:rPr>
          <w:i/>
          <w:u w:val="none"/>
        </w:rPr>
        <w:t>”.</w:t>
      </w:r>
    </w:p>
    <w:p w:rsidR="00050A76" w:rsidRDefault="006C68A8" w:rsidP="005971F7">
      <w:pPr>
        <w:snapToGrid w:val="0"/>
        <w:spacing w:before="240" w:after="240" w:line="480" w:lineRule="auto"/>
        <w:jc w:val="both"/>
        <w:rPr>
          <w:u w:val="none"/>
        </w:rPr>
      </w:pPr>
      <w:r>
        <w:rPr>
          <w:u w:val="none"/>
        </w:rPr>
        <w:lastRenderedPageBreak/>
        <w:t>[24</w:t>
      </w:r>
      <w:r w:rsidR="005971F7">
        <w:rPr>
          <w:u w:val="none"/>
        </w:rPr>
        <w:t>]It is clear that the applicants submitted to the jurisdiction of the Commercial Court by partici</w:t>
      </w:r>
      <w:r w:rsidR="00154300">
        <w:rPr>
          <w:u w:val="none"/>
        </w:rPr>
        <w:t>pating in the proceedings of that Court.</w:t>
      </w:r>
      <w:r w:rsidR="00154300">
        <w:rPr>
          <w:rStyle w:val="FootnoteReference"/>
          <w:u w:val="none"/>
        </w:rPr>
        <w:footnoteReference w:id="7"/>
      </w:r>
      <w:r w:rsidR="00083835">
        <w:rPr>
          <w:u w:val="none"/>
        </w:rPr>
        <w:t xml:space="preserve"> </w:t>
      </w:r>
      <w:r w:rsidR="00050A76">
        <w:rPr>
          <w:u w:val="none"/>
        </w:rPr>
        <w:t>“</w:t>
      </w:r>
      <w:r w:rsidR="00083835">
        <w:rPr>
          <w:u w:val="none"/>
        </w:rPr>
        <w:t>Once a</w:t>
      </w:r>
      <w:r w:rsidR="005971F7">
        <w:rPr>
          <w:u w:val="none"/>
        </w:rPr>
        <w:t xml:space="preserve"> litigant has chosen specific grounds for impugning the jurisdiction of a court it may not in later proceedings attack the jurisdiction of the first court on new or fresh grounds</w:t>
      </w:r>
      <w:r w:rsidR="00050A76">
        <w:rPr>
          <w:u w:val="none"/>
        </w:rPr>
        <w:t>”</w:t>
      </w:r>
      <w:r w:rsidR="00083835">
        <w:rPr>
          <w:u w:val="none"/>
        </w:rPr>
        <w:t>.</w:t>
      </w:r>
      <w:r w:rsidR="003F38DE">
        <w:rPr>
          <w:rStyle w:val="FootnoteReference"/>
          <w:u w:val="none"/>
        </w:rPr>
        <w:footnoteReference w:id="8"/>
      </w:r>
      <w:r w:rsidR="005971F7">
        <w:rPr>
          <w:u w:val="none"/>
        </w:rPr>
        <w:t xml:space="preserve"> The</w:t>
      </w:r>
      <w:r w:rsidR="00050A76">
        <w:rPr>
          <w:u w:val="none"/>
        </w:rPr>
        <w:t xml:space="preserve"> applicants </w:t>
      </w:r>
      <w:r w:rsidR="00E362AD">
        <w:rPr>
          <w:u w:val="none"/>
        </w:rPr>
        <w:t xml:space="preserve">litigated in the United Kingdom </w:t>
      </w:r>
      <w:r w:rsidR="00050A76">
        <w:rPr>
          <w:u w:val="none"/>
        </w:rPr>
        <w:t xml:space="preserve">without ever raising an objection to jurisdiction, if they had any qualms about jurisdiction, they should have raised it </w:t>
      </w:r>
      <w:r w:rsidR="00A723A0">
        <w:rPr>
          <w:u w:val="none"/>
        </w:rPr>
        <w:t>in the Commercial Court. There is accordingly no merit i</w:t>
      </w:r>
      <w:r w:rsidR="00A85EB7">
        <w:rPr>
          <w:u w:val="none"/>
        </w:rPr>
        <w:t>n</w:t>
      </w:r>
      <w:r w:rsidR="00A723A0">
        <w:rPr>
          <w:u w:val="none"/>
        </w:rPr>
        <w:t xml:space="preserve"> this defence.</w:t>
      </w:r>
    </w:p>
    <w:p w:rsidR="007953EE" w:rsidRDefault="00050A76" w:rsidP="005971F7">
      <w:pPr>
        <w:snapToGrid w:val="0"/>
        <w:spacing w:before="240" w:after="240" w:line="480" w:lineRule="auto"/>
        <w:jc w:val="both"/>
        <w:rPr>
          <w:b/>
          <w:u w:val="none"/>
        </w:rPr>
      </w:pPr>
      <w:r>
        <w:rPr>
          <w:b/>
          <w:u w:val="none"/>
        </w:rPr>
        <w:t xml:space="preserve"> </w:t>
      </w:r>
    </w:p>
    <w:p w:rsidR="005971F7" w:rsidRPr="005971F7" w:rsidRDefault="005971F7" w:rsidP="005971F7">
      <w:pPr>
        <w:snapToGrid w:val="0"/>
        <w:spacing w:before="240" w:after="240" w:line="480" w:lineRule="auto"/>
        <w:jc w:val="both"/>
        <w:rPr>
          <w:b/>
          <w:u w:val="none"/>
        </w:rPr>
      </w:pPr>
      <w:r w:rsidRPr="005971F7">
        <w:rPr>
          <w:b/>
          <w:u w:val="none"/>
        </w:rPr>
        <w:t>(b)</w:t>
      </w:r>
      <w:r w:rsidR="00083835">
        <w:rPr>
          <w:b/>
        </w:rPr>
        <w:t>The alleged fraud on</w:t>
      </w:r>
      <w:r w:rsidR="005A360B">
        <w:rPr>
          <w:b/>
        </w:rPr>
        <w:t xml:space="preserve"> the SARB </w:t>
      </w:r>
      <w:r w:rsidRPr="005971F7">
        <w:rPr>
          <w:b/>
        </w:rPr>
        <w:t>defence</w:t>
      </w:r>
    </w:p>
    <w:p w:rsidR="005971F7" w:rsidRPr="002E7CD2" w:rsidRDefault="006C68A8" w:rsidP="002E7CD2">
      <w:pPr>
        <w:snapToGrid w:val="0"/>
        <w:spacing w:before="240" w:after="240" w:line="480" w:lineRule="auto"/>
        <w:jc w:val="both"/>
        <w:rPr>
          <w:i/>
          <w:iCs/>
          <w:u w:val="none"/>
        </w:rPr>
      </w:pPr>
      <w:r>
        <w:rPr>
          <w:u w:val="none"/>
        </w:rPr>
        <w:t>[25</w:t>
      </w:r>
      <w:r w:rsidR="005971F7">
        <w:rPr>
          <w:u w:val="none"/>
        </w:rPr>
        <w:t>]The applicants allege</w:t>
      </w:r>
      <w:r w:rsidR="00083835">
        <w:rPr>
          <w:u w:val="none"/>
        </w:rPr>
        <w:t>d</w:t>
      </w:r>
      <w:r w:rsidR="005971F7">
        <w:rPr>
          <w:u w:val="none"/>
        </w:rPr>
        <w:t xml:space="preserve"> that a rescission is warranted</w:t>
      </w:r>
      <w:r w:rsidR="00A85EB7">
        <w:rPr>
          <w:u w:val="none"/>
        </w:rPr>
        <w:t>,</w:t>
      </w:r>
      <w:r w:rsidR="005971F7">
        <w:rPr>
          <w:u w:val="none"/>
        </w:rPr>
        <w:t xml:space="preserve"> </w:t>
      </w:r>
      <w:r w:rsidR="002E7CD2">
        <w:rPr>
          <w:u w:val="none"/>
        </w:rPr>
        <w:t>becau</w:t>
      </w:r>
      <w:r w:rsidR="00083835">
        <w:rPr>
          <w:u w:val="none"/>
        </w:rPr>
        <w:t>se Lexshell did not inform the C</w:t>
      </w:r>
      <w:r w:rsidR="002E7CD2">
        <w:rPr>
          <w:u w:val="none"/>
        </w:rPr>
        <w:t xml:space="preserve">ommercial Court </w:t>
      </w:r>
      <w:r w:rsidR="005971F7" w:rsidRPr="002E7CD2">
        <w:rPr>
          <w:iCs/>
          <w:u w:val="none"/>
        </w:rPr>
        <w:t xml:space="preserve"> that the </w:t>
      </w:r>
      <w:r w:rsidR="005971F7" w:rsidRPr="002E7CD2">
        <w:rPr>
          <w:bCs/>
          <w:iCs/>
          <w:u w:val="none"/>
        </w:rPr>
        <w:t>suspensive condition</w:t>
      </w:r>
      <w:r w:rsidR="00A85EB7">
        <w:rPr>
          <w:bCs/>
          <w:iCs/>
          <w:u w:val="none"/>
        </w:rPr>
        <w:t xml:space="preserve"> (</w:t>
      </w:r>
      <w:r w:rsidR="00050A76">
        <w:rPr>
          <w:bCs/>
          <w:iCs/>
          <w:u w:val="none"/>
        </w:rPr>
        <w:t>approval by</w:t>
      </w:r>
      <w:r w:rsidR="00A85EB7">
        <w:rPr>
          <w:bCs/>
          <w:iCs/>
          <w:u w:val="none"/>
        </w:rPr>
        <w:t xml:space="preserve"> the</w:t>
      </w:r>
      <w:r w:rsidR="00050A76">
        <w:rPr>
          <w:bCs/>
          <w:iCs/>
          <w:u w:val="none"/>
        </w:rPr>
        <w:t xml:space="preserve"> </w:t>
      </w:r>
      <w:r w:rsidR="005971F7" w:rsidRPr="002E7CD2">
        <w:rPr>
          <w:bCs/>
          <w:iCs/>
          <w:u w:val="none"/>
        </w:rPr>
        <w:t>SARB</w:t>
      </w:r>
      <w:r w:rsidR="00A85EB7">
        <w:rPr>
          <w:bCs/>
          <w:iCs/>
          <w:u w:val="none"/>
        </w:rPr>
        <w:t>)</w:t>
      </w:r>
      <w:r w:rsidR="005971F7" w:rsidRPr="002E7CD2">
        <w:rPr>
          <w:bCs/>
          <w:iCs/>
          <w:u w:val="none"/>
        </w:rPr>
        <w:t xml:space="preserve"> had not been </w:t>
      </w:r>
      <w:r w:rsidR="00A85EB7">
        <w:rPr>
          <w:bCs/>
          <w:iCs/>
          <w:u w:val="none"/>
        </w:rPr>
        <w:t>fulfilled and consequently</w:t>
      </w:r>
      <w:r w:rsidR="00083835">
        <w:rPr>
          <w:bCs/>
          <w:iCs/>
          <w:u w:val="none"/>
        </w:rPr>
        <w:t>,</w:t>
      </w:r>
      <w:r w:rsidR="005971F7" w:rsidRPr="002E7CD2">
        <w:rPr>
          <w:bCs/>
          <w:iCs/>
          <w:u w:val="none"/>
        </w:rPr>
        <w:t xml:space="preserve"> the Downside Protection </w:t>
      </w:r>
      <w:r w:rsidR="00E362AD">
        <w:rPr>
          <w:bCs/>
          <w:iCs/>
          <w:u w:val="none"/>
        </w:rPr>
        <w:t>Agreement</w:t>
      </w:r>
      <w:r w:rsidR="005971F7" w:rsidRPr="002E7CD2">
        <w:rPr>
          <w:bCs/>
          <w:iCs/>
          <w:u w:val="none"/>
        </w:rPr>
        <w:t xml:space="preserve"> had lapsed and was of no force and effect</w:t>
      </w:r>
      <w:r w:rsidR="005971F7" w:rsidRPr="005971F7">
        <w:rPr>
          <w:u w:val="none"/>
        </w:rPr>
        <w:t>.</w:t>
      </w:r>
    </w:p>
    <w:p w:rsidR="002E7CD2" w:rsidRDefault="002E7CD2" w:rsidP="003F38DE">
      <w:pPr>
        <w:snapToGrid w:val="0"/>
        <w:spacing w:before="240" w:after="240" w:line="480" w:lineRule="auto"/>
        <w:jc w:val="both"/>
        <w:rPr>
          <w:u w:val="none"/>
        </w:rPr>
      </w:pPr>
    </w:p>
    <w:p w:rsidR="005971F7" w:rsidRDefault="006C68A8" w:rsidP="003F38DE">
      <w:pPr>
        <w:snapToGrid w:val="0"/>
        <w:spacing w:before="240" w:after="240" w:line="480" w:lineRule="auto"/>
        <w:jc w:val="both"/>
        <w:rPr>
          <w:u w:val="none"/>
        </w:rPr>
      </w:pPr>
      <w:r>
        <w:rPr>
          <w:u w:val="none"/>
        </w:rPr>
        <w:t>[26</w:t>
      </w:r>
      <w:r w:rsidR="005971F7">
        <w:rPr>
          <w:u w:val="none"/>
        </w:rPr>
        <w:t>]The applicants originally sought to</w:t>
      </w:r>
      <w:r w:rsidR="003F38DE">
        <w:rPr>
          <w:u w:val="none"/>
        </w:rPr>
        <w:t xml:space="preserve"> raise the alleged lack of</w:t>
      </w:r>
      <w:r w:rsidR="001821F7">
        <w:rPr>
          <w:u w:val="none"/>
        </w:rPr>
        <w:t xml:space="preserve"> the</w:t>
      </w:r>
      <w:r w:rsidR="003F38DE">
        <w:rPr>
          <w:u w:val="none"/>
        </w:rPr>
        <w:t xml:space="preserve"> SARB approval defence before the Co</w:t>
      </w:r>
      <w:r w:rsidR="005A360B">
        <w:rPr>
          <w:u w:val="none"/>
        </w:rPr>
        <w:t>mmercial Court by applying to a</w:t>
      </w:r>
      <w:r w:rsidR="003F38DE">
        <w:rPr>
          <w:u w:val="none"/>
        </w:rPr>
        <w:t>mend their pleading</w:t>
      </w:r>
      <w:r w:rsidR="005A360B">
        <w:rPr>
          <w:u w:val="none"/>
        </w:rPr>
        <w:t>s</w:t>
      </w:r>
      <w:r w:rsidR="003F38DE">
        <w:rPr>
          <w:u w:val="none"/>
        </w:rPr>
        <w:t xml:space="preserve"> to incorporate such</w:t>
      </w:r>
      <w:r w:rsidR="00050A76">
        <w:rPr>
          <w:u w:val="none"/>
        </w:rPr>
        <w:t xml:space="preserve"> a</w:t>
      </w:r>
      <w:r w:rsidR="003F38DE">
        <w:rPr>
          <w:u w:val="none"/>
        </w:rPr>
        <w:t xml:space="preserve"> defence. This application was however withdrawn and </w:t>
      </w:r>
      <w:r w:rsidR="002E7CD2">
        <w:rPr>
          <w:u w:val="none"/>
        </w:rPr>
        <w:t xml:space="preserve">they </w:t>
      </w:r>
      <w:r w:rsidR="003F38DE">
        <w:rPr>
          <w:u w:val="none"/>
        </w:rPr>
        <w:t xml:space="preserve">entered into the </w:t>
      </w:r>
      <w:r w:rsidR="00083835">
        <w:rPr>
          <w:u w:val="none"/>
        </w:rPr>
        <w:t xml:space="preserve">aforementioned </w:t>
      </w:r>
      <w:r w:rsidR="003F38DE">
        <w:rPr>
          <w:u w:val="none"/>
        </w:rPr>
        <w:t>settlement agreement</w:t>
      </w:r>
      <w:r w:rsidR="002E7CD2">
        <w:rPr>
          <w:u w:val="none"/>
        </w:rPr>
        <w:t>.</w:t>
      </w:r>
    </w:p>
    <w:p w:rsidR="00050A76" w:rsidRDefault="00050A76" w:rsidP="003F38DE">
      <w:pPr>
        <w:snapToGrid w:val="0"/>
        <w:spacing w:before="240" w:after="240" w:line="480" w:lineRule="auto"/>
        <w:jc w:val="both"/>
        <w:rPr>
          <w:u w:val="none"/>
        </w:rPr>
      </w:pPr>
    </w:p>
    <w:p w:rsidR="00050A76" w:rsidRPr="00E03417" w:rsidRDefault="00EF5D00" w:rsidP="00050A76">
      <w:pPr>
        <w:snapToGrid w:val="0"/>
        <w:spacing w:before="240" w:after="240" w:line="480" w:lineRule="auto"/>
        <w:jc w:val="both"/>
        <w:rPr>
          <w:i/>
          <w:u w:val="none"/>
        </w:rPr>
      </w:pPr>
      <w:r>
        <w:rPr>
          <w:u w:val="none"/>
        </w:rPr>
        <w:lastRenderedPageBreak/>
        <w:t>[27</w:t>
      </w:r>
      <w:r w:rsidR="00050A76" w:rsidRPr="0037031B">
        <w:rPr>
          <w:u w:val="none"/>
        </w:rPr>
        <w:t xml:space="preserve">]The contention that </w:t>
      </w:r>
      <w:r w:rsidR="00050A76">
        <w:rPr>
          <w:u w:val="none"/>
        </w:rPr>
        <w:t xml:space="preserve">the </w:t>
      </w:r>
      <w:r w:rsidR="00050A76" w:rsidRPr="0037031B">
        <w:rPr>
          <w:u w:val="none"/>
        </w:rPr>
        <w:t>SA</w:t>
      </w:r>
      <w:r w:rsidR="00050A76">
        <w:rPr>
          <w:u w:val="none"/>
        </w:rPr>
        <w:t xml:space="preserve">RB’s </w:t>
      </w:r>
      <w:r w:rsidR="00D23C2E">
        <w:rPr>
          <w:u w:val="none"/>
        </w:rPr>
        <w:t>initial refusal</w:t>
      </w:r>
      <w:r w:rsidR="00050A76">
        <w:rPr>
          <w:u w:val="none"/>
        </w:rPr>
        <w:t xml:space="preserve"> to consent to a proposed transaction in April 2010 was fatal to the Downside Protection A</w:t>
      </w:r>
      <w:r w:rsidR="00050A76" w:rsidRPr="0037031B">
        <w:rPr>
          <w:u w:val="none"/>
        </w:rPr>
        <w:t xml:space="preserve">greement as of 28 April 2010 is not borne out by the </w:t>
      </w:r>
      <w:r w:rsidR="00050A76">
        <w:rPr>
          <w:u w:val="none"/>
        </w:rPr>
        <w:t>provisions of clause 35 of the Downside Protection Agreement. That clause provides that the Letter of Agreement shall be of immediate force and effect and is subject to the approval of the SARB and all parties will use their best endeavours to procure</w:t>
      </w:r>
      <w:r w:rsidR="00E362AD">
        <w:rPr>
          <w:u w:val="none"/>
        </w:rPr>
        <w:t xml:space="preserve"> it</w:t>
      </w:r>
      <w:r w:rsidR="00050A76">
        <w:rPr>
          <w:u w:val="none"/>
        </w:rPr>
        <w:t xml:space="preserve"> at their joint costs</w:t>
      </w:r>
      <w:r w:rsidR="00E362AD">
        <w:rPr>
          <w:u w:val="none"/>
        </w:rPr>
        <w:t>.</w:t>
      </w:r>
    </w:p>
    <w:p w:rsidR="00050A76" w:rsidRDefault="00050A76" w:rsidP="00050A76">
      <w:pPr>
        <w:snapToGrid w:val="0"/>
        <w:spacing w:before="240" w:after="240" w:line="480" w:lineRule="auto"/>
        <w:jc w:val="both"/>
        <w:rPr>
          <w:u w:val="none"/>
        </w:rPr>
      </w:pPr>
    </w:p>
    <w:p w:rsidR="00050A76" w:rsidRDefault="00EF5D00" w:rsidP="00050A76">
      <w:pPr>
        <w:snapToGrid w:val="0"/>
        <w:spacing w:before="240" w:after="240" w:line="480" w:lineRule="auto"/>
        <w:jc w:val="both"/>
        <w:rPr>
          <w:u w:val="none"/>
        </w:rPr>
      </w:pPr>
      <w:r>
        <w:rPr>
          <w:u w:val="none"/>
        </w:rPr>
        <w:t>[28]</w:t>
      </w:r>
      <w:r w:rsidR="00050A76" w:rsidRPr="0037031B">
        <w:rPr>
          <w:u w:val="none"/>
        </w:rPr>
        <w:t xml:space="preserve">There was no definitive </w:t>
      </w:r>
      <w:r w:rsidR="00050A76">
        <w:rPr>
          <w:u w:val="none"/>
        </w:rPr>
        <w:t>final</w:t>
      </w:r>
      <w:r w:rsidR="00050A76" w:rsidRPr="0037031B">
        <w:rPr>
          <w:u w:val="none"/>
        </w:rPr>
        <w:t xml:space="preserve"> </w:t>
      </w:r>
      <w:r w:rsidR="00050A76">
        <w:rPr>
          <w:u w:val="none"/>
        </w:rPr>
        <w:t xml:space="preserve">date </w:t>
      </w:r>
      <w:r w:rsidR="00050A76" w:rsidRPr="0037031B">
        <w:rPr>
          <w:u w:val="none"/>
        </w:rPr>
        <w:t>by when the SARB approval had to be obtained</w:t>
      </w:r>
      <w:r w:rsidR="00050A76">
        <w:rPr>
          <w:u w:val="none"/>
        </w:rPr>
        <w:t xml:space="preserve">, </w:t>
      </w:r>
      <w:r w:rsidR="00050A76" w:rsidRPr="0037031B">
        <w:rPr>
          <w:u w:val="none"/>
        </w:rPr>
        <w:t xml:space="preserve">failing which it would cease to be of further force and effect. </w:t>
      </w:r>
      <w:r w:rsidR="00050A76">
        <w:rPr>
          <w:u w:val="none"/>
        </w:rPr>
        <w:t>T</w:t>
      </w:r>
      <w:r w:rsidR="00050A76" w:rsidRPr="0037031B">
        <w:rPr>
          <w:u w:val="none"/>
        </w:rPr>
        <w:t xml:space="preserve">he agreement stated that the </w:t>
      </w:r>
      <w:r w:rsidR="00050A76">
        <w:rPr>
          <w:u w:val="none"/>
        </w:rPr>
        <w:t>parties</w:t>
      </w:r>
      <w:r w:rsidR="00050A76" w:rsidRPr="0037031B">
        <w:rPr>
          <w:u w:val="none"/>
        </w:rPr>
        <w:t xml:space="preserve"> would “</w:t>
      </w:r>
      <w:r w:rsidR="00050A76" w:rsidRPr="0037031B">
        <w:rPr>
          <w:i/>
          <w:iCs/>
          <w:u w:val="none"/>
        </w:rPr>
        <w:t>use their best endeavours to procure the satisfaction at their joint cost</w:t>
      </w:r>
      <w:r w:rsidR="00050A76">
        <w:rPr>
          <w:i/>
          <w:iCs/>
          <w:u w:val="none"/>
        </w:rPr>
        <w:t>s</w:t>
      </w:r>
      <w:r w:rsidR="00050A76" w:rsidRPr="0037031B">
        <w:rPr>
          <w:i/>
          <w:iCs/>
          <w:u w:val="none"/>
        </w:rPr>
        <w:t>, of the Resolutive Condition no later than the earlier of the Trigger Date or the Listing Trigger Date</w:t>
      </w:r>
      <w:r w:rsidR="00050A76">
        <w:rPr>
          <w:i/>
          <w:iCs/>
          <w:u w:val="none"/>
        </w:rPr>
        <w:t>.</w:t>
      </w:r>
      <w:r w:rsidR="00050A76">
        <w:rPr>
          <w:u w:val="none"/>
        </w:rPr>
        <w:t>”</w:t>
      </w:r>
    </w:p>
    <w:p w:rsidR="00EF5D00" w:rsidRDefault="00EF5D00" w:rsidP="00050A76">
      <w:pPr>
        <w:snapToGrid w:val="0"/>
        <w:spacing w:before="240" w:after="240" w:line="480" w:lineRule="auto"/>
        <w:jc w:val="both"/>
        <w:rPr>
          <w:u w:val="none"/>
        </w:rPr>
      </w:pPr>
    </w:p>
    <w:p w:rsidR="00050A76" w:rsidRDefault="00EF5D00" w:rsidP="00544EC0">
      <w:pPr>
        <w:snapToGrid w:val="0"/>
        <w:spacing w:before="240" w:after="240" w:line="480" w:lineRule="auto"/>
        <w:jc w:val="both"/>
        <w:rPr>
          <w:u w:val="none"/>
          <w:lang w:eastAsia="en-US"/>
        </w:rPr>
      </w:pPr>
      <w:r>
        <w:rPr>
          <w:u w:val="none"/>
        </w:rPr>
        <w:t>[29</w:t>
      </w:r>
      <w:r w:rsidR="00050A76">
        <w:rPr>
          <w:u w:val="none"/>
          <w:lang w:eastAsia="en-US"/>
        </w:rPr>
        <w:t>]</w:t>
      </w:r>
      <w:r w:rsidR="00050A76" w:rsidRPr="0037031B">
        <w:rPr>
          <w:u w:val="none"/>
          <w:lang w:eastAsia="en-US"/>
        </w:rPr>
        <w:t xml:space="preserve">On </w:t>
      </w:r>
      <w:r w:rsidR="00050A76">
        <w:rPr>
          <w:u w:val="none"/>
          <w:lang w:eastAsia="en-US"/>
        </w:rPr>
        <w:t xml:space="preserve">perusal of </w:t>
      </w:r>
      <w:r w:rsidR="00050A76" w:rsidRPr="0037031B">
        <w:rPr>
          <w:u w:val="none"/>
          <w:lang w:eastAsia="en-US"/>
        </w:rPr>
        <w:t>the correspondence from</w:t>
      </w:r>
      <w:r w:rsidR="00E362AD">
        <w:rPr>
          <w:u w:val="none"/>
          <w:lang w:eastAsia="en-US"/>
        </w:rPr>
        <w:t xml:space="preserve"> the</w:t>
      </w:r>
      <w:r w:rsidR="00050A76" w:rsidRPr="0037031B">
        <w:rPr>
          <w:u w:val="none"/>
          <w:lang w:eastAsia="en-US"/>
        </w:rPr>
        <w:t xml:space="preserve"> SARB, it is clear that the SARB</w:t>
      </w:r>
      <w:r w:rsidR="00E362AD">
        <w:rPr>
          <w:u w:val="none"/>
          <w:lang w:eastAsia="en-US"/>
        </w:rPr>
        <w:t>’s</w:t>
      </w:r>
      <w:r w:rsidR="00050A76" w:rsidRPr="0037031B">
        <w:rPr>
          <w:u w:val="none"/>
          <w:lang w:eastAsia="en-US"/>
        </w:rPr>
        <w:t xml:space="preserve"> refusal of 28 April 2010 was primarily directed at declining to approve the terms and conditions of the transaction that the applicants contemplated implementing at the time of swapping their effective shareholding in DMC for shares in </w:t>
      </w:r>
      <w:r w:rsidR="00050A76" w:rsidRPr="0037031B">
        <w:rPr>
          <w:bCs/>
          <w:u w:val="none"/>
        </w:rPr>
        <w:t>Sable Mining Africa Limited (</w:t>
      </w:r>
      <w:r w:rsidR="00050A76" w:rsidRPr="0037031B">
        <w:rPr>
          <w:u w:val="none"/>
        </w:rPr>
        <w:t>Sable Mining</w:t>
      </w:r>
      <w:r w:rsidR="00050A76" w:rsidRPr="0037031B">
        <w:rPr>
          <w:bCs/>
          <w:u w:val="none"/>
        </w:rPr>
        <w:t xml:space="preserve">) </w:t>
      </w:r>
      <w:r w:rsidR="00050A76">
        <w:rPr>
          <w:u w:val="none"/>
          <w:lang w:eastAsia="en-US"/>
        </w:rPr>
        <w:t>coupled with those of the Downside Protection A</w:t>
      </w:r>
      <w:r w:rsidR="00050A76" w:rsidRPr="0037031B">
        <w:rPr>
          <w:u w:val="none"/>
          <w:lang w:eastAsia="en-US"/>
        </w:rPr>
        <w:t>greement.</w:t>
      </w:r>
      <w:r w:rsidR="007F07F6">
        <w:rPr>
          <w:u w:val="none"/>
          <w:lang w:eastAsia="en-US"/>
        </w:rPr>
        <w:t xml:space="preserve"> </w:t>
      </w:r>
      <w:r w:rsidR="00050A76">
        <w:rPr>
          <w:u w:val="none"/>
          <w:lang w:eastAsia="en-US"/>
        </w:rPr>
        <w:t xml:space="preserve">The SARB warned that the proposed transaction would create a loop </w:t>
      </w:r>
      <w:r w:rsidR="0089448F">
        <w:rPr>
          <w:u w:val="none"/>
          <w:lang w:eastAsia="en-US"/>
        </w:rPr>
        <w:t>structure</w:t>
      </w:r>
      <w:r w:rsidR="00E362AD">
        <w:rPr>
          <w:u w:val="none"/>
        </w:rPr>
        <w:t>, which</w:t>
      </w:r>
      <w:r w:rsidR="001821F7">
        <w:rPr>
          <w:u w:val="none"/>
        </w:rPr>
        <w:t xml:space="preserve"> is</w:t>
      </w:r>
      <w:r w:rsidR="00050A76">
        <w:rPr>
          <w:u w:val="none"/>
        </w:rPr>
        <w:t xml:space="preserve"> prohibited by section 10 of the Exchange Control Regulations. </w:t>
      </w:r>
    </w:p>
    <w:p w:rsidR="00050A76" w:rsidRDefault="00050A76" w:rsidP="00050A76">
      <w:pPr>
        <w:spacing w:line="480" w:lineRule="auto"/>
        <w:ind w:right="282"/>
        <w:jc w:val="both"/>
        <w:rPr>
          <w:u w:val="none"/>
        </w:rPr>
      </w:pPr>
    </w:p>
    <w:p w:rsidR="00050A76" w:rsidRDefault="00EF5D00" w:rsidP="00050A76">
      <w:pPr>
        <w:spacing w:line="480" w:lineRule="auto"/>
        <w:ind w:right="282"/>
        <w:jc w:val="both"/>
        <w:rPr>
          <w:u w:val="none"/>
        </w:rPr>
      </w:pPr>
      <w:r>
        <w:rPr>
          <w:u w:val="none"/>
        </w:rPr>
        <w:lastRenderedPageBreak/>
        <w:t>[3</w:t>
      </w:r>
      <w:r w:rsidR="00544EC0">
        <w:rPr>
          <w:u w:val="none"/>
        </w:rPr>
        <w:t>0</w:t>
      </w:r>
      <w:r w:rsidR="00050A76">
        <w:rPr>
          <w:u w:val="none"/>
        </w:rPr>
        <w:t>]The 10 April 2010 refusal by the SARB ma</w:t>
      </w:r>
      <w:r w:rsidR="00E362AD">
        <w:rPr>
          <w:u w:val="none"/>
        </w:rPr>
        <w:t>de</w:t>
      </w:r>
      <w:r w:rsidR="00050A76">
        <w:rPr>
          <w:u w:val="none"/>
        </w:rPr>
        <w:t xml:space="preserve"> it clear that a loop structure would have resulted in the applicants, who are South African residents, being compensated with shares in Sable Mining as part of the acquisition transaction of DMC. It is accordingly not the conclusion of the Downside Protection Agreement</w:t>
      </w:r>
      <w:r>
        <w:rPr>
          <w:u w:val="none"/>
        </w:rPr>
        <w:t>,</w:t>
      </w:r>
      <w:r w:rsidR="00050A76">
        <w:rPr>
          <w:u w:val="none"/>
        </w:rPr>
        <w:t xml:space="preserve"> or the cession that would have resulted in a loop structure. Rannerdale was an English incorporated company.</w:t>
      </w:r>
    </w:p>
    <w:p w:rsidR="00050A76" w:rsidRDefault="00050A76" w:rsidP="00050A76">
      <w:pPr>
        <w:spacing w:line="480" w:lineRule="auto"/>
        <w:ind w:right="282"/>
        <w:jc w:val="both"/>
        <w:rPr>
          <w:u w:val="none"/>
        </w:rPr>
      </w:pPr>
    </w:p>
    <w:p w:rsidR="00050A76" w:rsidRPr="00E8495B" w:rsidRDefault="00EF5D00" w:rsidP="00050A76">
      <w:pPr>
        <w:snapToGrid w:val="0"/>
        <w:spacing w:before="240" w:after="240" w:line="480" w:lineRule="auto"/>
        <w:jc w:val="both"/>
        <w:rPr>
          <w:bCs/>
          <w:u w:val="none"/>
        </w:rPr>
      </w:pPr>
      <w:r>
        <w:rPr>
          <w:bCs/>
          <w:u w:val="none"/>
          <w:lang w:eastAsia="en-US"/>
        </w:rPr>
        <w:t>[3</w:t>
      </w:r>
      <w:r w:rsidR="00B06032">
        <w:rPr>
          <w:bCs/>
          <w:u w:val="none"/>
          <w:lang w:eastAsia="en-US"/>
        </w:rPr>
        <w:t>1</w:t>
      </w:r>
      <w:r w:rsidR="00050A76">
        <w:rPr>
          <w:bCs/>
          <w:u w:val="none"/>
          <w:lang w:eastAsia="en-US"/>
        </w:rPr>
        <w:t>]T</w:t>
      </w:r>
      <w:r w:rsidR="00050A76" w:rsidRPr="0037031B">
        <w:rPr>
          <w:bCs/>
          <w:u w:val="none"/>
          <w:lang w:eastAsia="en-US"/>
        </w:rPr>
        <w:t xml:space="preserve">he applicants fail to disclose in their affidavits that they themselves made a further application to SARB </w:t>
      </w:r>
      <w:r w:rsidR="00050A76" w:rsidRPr="0037031B">
        <w:rPr>
          <w:bCs/>
          <w:u w:val="none"/>
        </w:rPr>
        <w:t xml:space="preserve">in May 2010 for approval of, </w:t>
      </w:r>
      <w:r w:rsidR="00050A76" w:rsidRPr="0037031B">
        <w:rPr>
          <w:bCs/>
          <w:i/>
          <w:iCs/>
          <w:u w:val="none"/>
        </w:rPr>
        <w:t>inter alia</w:t>
      </w:r>
      <w:r w:rsidR="00050A76">
        <w:rPr>
          <w:bCs/>
          <w:u w:val="none"/>
        </w:rPr>
        <w:t>, the Downside Protection A</w:t>
      </w:r>
      <w:r w:rsidR="00050A76" w:rsidRPr="0037031B">
        <w:rPr>
          <w:bCs/>
          <w:u w:val="none"/>
        </w:rPr>
        <w:t xml:space="preserve">greement. As part of the litigation that ensued before the </w:t>
      </w:r>
      <w:r w:rsidR="00050A76">
        <w:rPr>
          <w:bCs/>
          <w:u w:val="none"/>
        </w:rPr>
        <w:t>Commercial Court</w:t>
      </w:r>
      <w:r w:rsidR="00050A76" w:rsidRPr="0037031B">
        <w:rPr>
          <w:bCs/>
          <w:u w:val="none"/>
        </w:rPr>
        <w:t>, the second applicant</w:t>
      </w:r>
      <w:r w:rsidR="00050A76">
        <w:rPr>
          <w:bCs/>
          <w:u w:val="none"/>
        </w:rPr>
        <w:t>,</w:t>
      </w:r>
      <w:r w:rsidR="00050A76" w:rsidRPr="0037031B">
        <w:rPr>
          <w:bCs/>
          <w:u w:val="none"/>
        </w:rPr>
        <w:t xml:space="preserve"> delivered a witness statement dated </w:t>
      </w:r>
      <w:r w:rsidR="00050A76" w:rsidRPr="00474195">
        <w:rPr>
          <w:u w:val="none"/>
        </w:rPr>
        <w:t>17 May 2017</w:t>
      </w:r>
      <w:r w:rsidR="00050A76" w:rsidRPr="00474195">
        <w:rPr>
          <w:bCs/>
          <w:u w:val="none"/>
        </w:rPr>
        <w:t xml:space="preserve"> </w:t>
      </w:r>
      <w:r w:rsidR="00050A76" w:rsidRPr="0037031B">
        <w:rPr>
          <w:bCs/>
          <w:u w:val="none"/>
        </w:rPr>
        <w:t xml:space="preserve">in support of an application to withdraw admissions previously made by the applicants in those proceedings. </w:t>
      </w:r>
      <w:r w:rsidR="00050A76">
        <w:rPr>
          <w:bCs/>
          <w:u w:val="none"/>
        </w:rPr>
        <w:t xml:space="preserve">He is also </w:t>
      </w:r>
      <w:r w:rsidR="00050A76" w:rsidRPr="00C71B8A">
        <w:rPr>
          <w:u w:val="none"/>
          <w:lang w:val="en-US"/>
        </w:rPr>
        <w:t>the deponent to the applicants’ founding affidavit in these proceedings.</w:t>
      </w:r>
      <w:r w:rsidR="00050A76">
        <w:rPr>
          <w:b/>
          <w:u w:val="none"/>
        </w:rPr>
        <w:t xml:space="preserve"> </w:t>
      </w:r>
      <w:r w:rsidR="00050A76" w:rsidRPr="00C71B8A">
        <w:rPr>
          <w:bCs/>
          <w:u w:val="none"/>
        </w:rPr>
        <w:t xml:space="preserve">In that witness statement, </w:t>
      </w:r>
      <w:r w:rsidR="00050A76">
        <w:rPr>
          <w:bCs/>
          <w:u w:val="none"/>
        </w:rPr>
        <w:t xml:space="preserve">he </w:t>
      </w:r>
      <w:r w:rsidR="00050A76" w:rsidRPr="00C71B8A">
        <w:rPr>
          <w:u w:val="none"/>
        </w:rPr>
        <w:t>asserts on behalf of all applicants</w:t>
      </w:r>
      <w:r w:rsidR="00050A76" w:rsidRPr="00C71B8A">
        <w:rPr>
          <w:bCs/>
          <w:u w:val="none"/>
        </w:rPr>
        <w:t>—</w:t>
      </w:r>
    </w:p>
    <w:p w:rsidR="00050A76" w:rsidRPr="00E03417" w:rsidRDefault="00050A76" w:rsidP="00050A76">
      <w:pPr>
        <w:pStyle w:val="DPLevel2List"/>
        <w:numPr>
          <w:ilvl w:val="0"/>
          <w:numId w:val="0"/>
        </w:numPr>
        <w:ind w:left="1417" w:right="261" w:hanging="850"/>
        <w:rPr>
          <w:rFonts w:ascii="Arial" w:hAnsi="Arial"/>
          <w:i/>
          <w:szCs w:val="24"/>
        </w:rPr>
      </w:pPr>
      <w:r>
        <w:rPr>
          <w:rFonts w:cs="Times New Roman"/>
          <w:szCs w:val="24"/>
        </w:rPr>
        <w:t xml:space="preserve">  “</w:t>
      </w:r>
      <w:r w:rsidRPr="00E03417">
        <w:rPr>
          <w:rFonts w:ascii="Arial" w:hAnsi="Arial"/>
          <w:i/>
          <w:szCs w:val="24"/>
        </w:rPr>
        <w:t>In fulfilment of their Clause 35 Downside Letter obligation, Avalon</w:t>
      </w:r>
    </w:p>
    <w:p w:rsidR="00050A76" w:rsidRPr="00E03417" w:rsidRDefault="00050A76" w:rsidP="00050A76">
      <w:pPr>
        <w:pStyle w:val="DPLevel2List"/>
        <w:numPr>
          <w:ilvl w:val="0"/>
          <w:numId w:val="0"/>
        </w:numPr>
        <w:ind w:left="1417" w:right="261" w:hanging="697"/>
        <w:rPr>
          <w:rFonts w:ascii="Arial" w:hAnsi="Arial"/>
          <w:i/>
          <w:szCs w:val="24"/>
        </w:rPr>
      </w:pPr>
      <w:r w:rsidRPr="00E03417">
        <w:rPr>
          <w:rFonts w:ascii="Arial" w:hAnsi="Arial"/>
          <w:i/>
          <w:szCs w:val="24"/>
        </w:rPr>
        <w:t>and Mikakor applied (via their bank, FirstRand Bank Limited) to the</w:t>
      </w:r>
    </w:p>
    <w:p w:rsidR="00050A76" w:rsidRPr="00E03417" w:rsidRDefault="00050A76" w:rsidP="00050A76">
      <w:pPr>
        <w:pStyle w:val="DPLevel2List"/>
        <w:numPr>
          <w:ilvl w:val="0"/>
          <w:numId w:val="0"/>
        </w:numPr>
        <w:ind w:left="1417" w:right="261" w:hanging="697"/>
        <w:rPr>
          <w:rFonts w:ascii="Arial" w:hAnsi="Arial"/>
          <w:i/>
          <w:szCs w:val="24"/>
        </w:rPr>
      </w:pPr>
      <w:r w:rsidRPr="00E03417">
        <w:rPr>
          <w:rFonts w:ascii="Arial" w:hAnsi="Arial"/>
          <w:i/>
          <w:szCs w:val="24"/>
        </w:rPr>
        <w:t>Exchange Control Department of the SARB on the 16 April 2010 for</w:t>
      </w:r>
    </w:p>
    <w:p w:rsidR="00050A76" w:rsidRPr="00E03417" w:rsidRDefault="00050A76" w:rsidP="00050A76">
      <w:pPr>
        <w:pStyle w:val="DPLevel2List"/>
        <w:numPr>
          <w:ilvl w:val="0"/>
          <w:numId w:val="0"/>
        </w:numPr>
        <w:ind w:left="1417" w:right="261" w:hanging="697"/>
        <w:rPr>
          <w:rFonts w:ascii="Arial" w:hAnsi="Arial"/>
          <w:i/>
          <w:szCs w:val="24"/>
        </w:rPr>
      </w:pPr>
      <w:r w:rsidRPr="00E03417">
        <w:rPr>
          <w:rFonts w:ascii="Arial" w:hAnsi="Arial"/>
          <w:i/>
          <w:szCs w:val="24"/>
        </w:rPr>
        <w:t>approval of the agreement in the Downside Letter. …”</w:t>
      </w:r>
    </w:p>
    <w:p w:rsidR="00050A76" w:rsidRDefault="00050A76" w:rsidP="00050A76">
      <w:pPr>
        <w:pStyle w:val="DPLevel2List"/>
        <w:numPr>
          <w:ilvl w:val="0"/>
          <w:numId w:val="0"/>
        </w:numPr>
        <w:ind w:right="261"/>
        <w:rPr>
          <w:rFonts w:ascii="Arial" w:hAnsi="Arial"/>
          <w:szCs w:val="24"/>
        </w:rPr>
      </w:pPr>
    </w:p>
    <w:p w:rsidR="00050A76" w:rsidRPr="00474195" w:rsidRDefault="00EF5D00" w:rsidP="00050A76">
      <w:pPr>
        <w:pStyle w:val="DPLevel2List"/>
        <w:numPr>
          <w:ilvl w:val="0"/>
          <w:numId w:val="0"/>
        </w:numPr>
        <w:rPr>
          <w:rFonts w:ascii="Arial" w:hAnsi="Arial"/>
          <w:szCs w:val="24"/>
        </w:rPr>
      </w:pPr>
      <w:r>
        <w:rPr>
          <w:rFonts w:ascii="Arial" w:hAnsi="Arial"/>
          <w:bCs/>
          <w:szCs w:val="24"/>
        </w:rPr>
        <w:t>[3</w:t>
      </w:r>
      <w:r w:rsidR="00B06032">
        <w:rPr>
          <w:rFonts w:ascii="Arial" w:hAnsi="Arial"/>
          <w:bCs/>
          <w:szCs w:val="24"/>
        </w:rPr>
        <w:t>2</w:t>
      </w:r>
      <w:r w:rsidR="00050A76">
        <w:rPr>
          <w:rFonts w:ascii="Arial" w:hAnsi="Arial"/>
          <w:bCs/>
          <w:szCs w:val="24"/>
        </w:rPr>
        <w:t>]</w:t>
      </w:r>
      <w:r w:rsidR="00050A76" w:rsidRPr="00474195">
        <w:rPr>
          <w:rFonts w:ascii="Arial" w:hAnsi="Arial"/>
          <w:bCs/>
          <w:szCs w:val="24"/>
        </w:rPr>
        <w:t xml:space="preserve">Following the SARB’s rejection of this application, on 12 May 2010 Avalon applied (via FirstRand) to the SARB for the SARB to approve the Downside </w:t>
      </w:r>
      <w:r w:rsidR="00E362AD">
        <w:rPr>
          <w:rFonts w:ascii="Arial" w:hAnsi="Arial"/>
          <w:bCs/>
          <w:szCs w:val="24"/>
        </w:rPr>
        <w:t>Protection Agreement</w:t>
      </w:r>
      <w:r w:rsidR="00050A76" w:rsidRPr="00474195">
        <w:rPr>
          <w:rFonts w:ascii="Arial" w:hAnsi="Arial"/>
          <w:bCs/>
          <w:szCs w:val="24"/>
        </w:rPr>
        <w:t xml:space="preserve"> as a stand-alone request, without reference</w:t>
      </w:r>
      <w:r w:rsidR="00050A76">
        <w:rPr>
          <w:rFonts w:ascii="Arial" w:hAnsi="Arial"/>
          <w:bCs/>
          <w:szCs w:val="24"/>
        </w:rPr>
        <w:t xml:space="preserve"> to the Sable </w:t>
      </w:r>
      <w:r w:rsidR="00050A76">
        <w:rPr>
          <w:rFonts w:ascii="Arial" w:hAnsi="Arial"/>
          <w:bCs/>
          <w:szCs w:val="24"/>
        </w:rPr>
        <w:lastRenderedPageBreak/>
        <w:t xml:space="preserve">share transaction. </w:t>
      </w:r>
      <w:r w:rsidR="00050A76" w:rsidRPr="00474195">
        <w:rPr>
          <w:rFonts w:ascii="Arial" w:hAnsi="Arial"/>
          <w:bCs/>
          <w:szCs w:val="24"/>
        </w:rPr>
        <w:t>Having considered that request, the SARB on 18 May 2010</w:t>
      </w:r>
      <w:r w:rsidR="00050A76">
        <w:rPr>
          <w:rFonts w:ascii="Arial" w:hAnsi="Arial"/>
          <w:bCs/>
          <w:szCs w:val="24"/>
        </w:rPr>
        <w:t xml:space="preserve"> </w:t>
      </w:r>
      <w:r w:rsidR="00050A76" w:rsidRPr="00474195">
        <w:rPr>
          <w:rFonts w:ascii="Arial" w:hAnsi="Arial"/>
          <w:bCs/>
          <w:szCs w:val="24"/>
        </w:rPr>
        <w:t xml:space="preserve">declined to immediately approve the Downside </w:t>
      </w:r>
      <w:r w:rsidR="001E1324">
        <w:rPr>
          <w:rFonts w:ascii="Arial" w:hAnsi="Arial"/>
          <w:bCs/>
          <w:szCs w:val="24"/>
        </w:rPr>
        <w:t>Protection Agreement</w:t>
      </w:r>
      <w:r w:rsidR="00F031C5">
        <w:rPr>
          <w:rFonts w:ascii="Arial" w:hAnsi="Arial"/>
          <w:bCs/>
          <w:szCs w:val="24"/>
        </w:rPr>
        <w:t>,</w:t>
      </w:r>
      <w:r w:rsidR="00050A76" w:rsidRPr="00474195">
        <w:rPr>
          <w:rFonts w:ascii="Arial" w:hAnsi="Arial"/>
          <w:bCs/>
          <w:szCs w:val="24"/>
        </w:rPr>
        <w:t xml:space="preserve"> but instead requested Avalon, Mikakor and DMC, to attend a meeting with the SARB to discuss the matter. </w:t>
      </w:r>
      <w:r w:rsidR="00050A76">
        <w:rPr>
          <w:rFonts w:ascii="Arial" w:hAnsi="Arial"/>
          <w:bCs/>
          <w:szCs w:val="24"/>
        </w:rPr>
        <w:t>N</w:t>
      </w:r>
      <w:r w:rsidR="00050A76" w:rsidRPr="00474195">
        <w:rPr>
          <w:rFonts w:ascii="Arial" w:hAnsi="Arial"/>
          <w:bCs/>
          <w:szCs w:val="24"/>
        </w:rPr>
        <w:t>o meeting was ever held and the matter did not progress any further</w:t>
      </w:r>
      <w:r w:rsidR="00050A76">
        <w:rPr>
          <w:rFonts w:ascii="Arial" w:hAnsi="Arial"/>
          <w:bCs/>
          <w:szCs w:val="24"/>
        </w:rPr>
        <w:t>.</w:t>
      </w:r>
    </w:p>
    <w:p w:rsidR="00050A76" w:rsidRDefault="00050A76" w:rsidP="00050A76">
      <w:pPr>
        <w:snapToGrid w:val="0"/>
        <w:spacing w:before="240" w:after="240" w:line="480" w:lineRule="auto"/>
        <w:jc w:val="both"/>
        <w:rPr>
          <w:bCs/>
          <w:u w:val="none"/>
        </w:rPr>
      </w:pPr>
    </w:p>
    <w:p w:rsidR="00050A76" w:rsidRPr="00474195" w:rsidRDefault="00EF5D00" w:rsidP="00050A76">
      <w:pPr>
        <w:snapToGrid w:val="0"/>
        <w:spacing w:before="240" w:after="240" w:line="480" w:lineRule="auto"/>
        <w:jc w:val="both"/>
        <w:rPr>
          <w:b/>
          <w:bCs/>
        </w:rPr>
      </w:pPr>
      <w:r>
        <w:rPr>
          <w:bCs/>
          <w:u w:val="none"/>
        </w:rPr>
        <w:t>[3</w:t>
      </w:r>
      <w:r w:rsidR="00B06032">
        <w:rPr>
          <w:bCs/>
          <w:u w:val="none"/>
        </w:rPr>
        <w:t>3</w:t>
      </w:r>
      <w:r>
        <w:rPr>
          <w:bCs/>
          <w:u w:val="none"/>
        </w:rPr>
        <w:t>]</w:t>
      </w:r>
      <w:r w:rsidR="00050A76">
        <w:rPr>
          <w:bCs/>
          <w:u w:val="none"/>
        </w:rPr>
        <w:t>T</w:t>
      </w:r>
      <w:r w:rsidR="00050A76" w:rsidRPr="0037031B">
        <w:rPr>
          <w:bCs/>
          <w:u w:val="none"/>
        </w:rPr>
        <w:t>he fact that the applicants themselves made a further appeal with SARB in earl</w:t>
      </w:r>
      <w:r w:rsidR="00050A76">
        <w:rPr>
          <w:bCs/>
          <w:u w:val="none"/>
        </w:rPr>
        <w:t>y May 2010 for approval of the Downside Protection A</w:t>
      </w:r>
      <w:r w:rsidR="00050A76" w:rsidRPr="0037031B">
        <w:rPr>
          <w:bCs/>
          <w:u w:val="none"/>
        </w:rPr>
        <w:t xml:space="preserve">greement </w:t>
      </w:r>
      <w:r w:rsidR="00050A76">
        <w:rPr>
          <w:bCs/>
          <w:u w:val="none"/>
        </w:rPr>
        <w:t xml:space="preserve">contradicts the allegation by the </w:t>
      </w:r>
      <w:r w:rsidR="00050A76" w:rsidRPr="0037031B">
        <w:rPr>
          <w:bCs/>
          <w:u w:val="none"/>
        </w:rPr>
        <w:t>applicants that when Rannerdale</w:t>
      </w:r>
      <w:r w:rsidR="00050A76">
        <w:rPr>
          <w:bCs/>
          <w:u w:val="none"/>
        </w:rPr>
        <w:t>,</w:t>
      </w:r>
      <w:r w:rsidR="00B06032">
        <w:rPr>
          <w:bCs/>
          <w:u w:val="none"/>
        </w:rPr>
        <w:t xml:space="preserve"> </w:t>
      </w:r>
      <w:r w:rsidR="00050A76" w:rsidRPr="0037031B">
        <w:rPr>
          <w:bCs/>
          <w:u w:val="none"/>
        </w:rPr>
        <w:t>subsequently in July 2010 applied to SARB for approval its representative</w:t>
      </w:r>
      <w:r w:rsidR="00050A76">
        <w:rPr>
          <w:bCs/>
          <w:u w:val="none"/>
        </w:rPr>
        <w:t xml:space="preserve">, failed to </w:t>
      </w:r>
      <w:r w:rsidR="00050A76" w:rsidRPr="00C71B8A">
        <w:rPr>
          <w:bCs/>
          <w:u w:val="none"/>
        </w:rPr>
        <w:t>inf</w:t>
      </w:r>
      <w:r w:rsidR="00050A76">
        <w:rPr>
          <w:bCs/>
          <w:u w:val="none"/>
        </w:rPr>
        <w:t xml:space="preserve">orm the SARB that the </w:t>
      </w:r>
      <w:r w:rsidR="00766F3A">
        <w:rPr>
          <w:bCs/>
          <w:u w:val="none"/>
        </w:rPr>
        <w:t>a</w:t>
      </w:r>
      <w:r w:rsidR="00050A76" w:rsidRPr="00C71B8A">
        <w:rPr>
          <w:bCs/>
          <w:u w:val="none"/>
        </w:rPr>
        <w:t>greement had by that time already lapsed</w:t>
      </w:r>
      <w:r w:rsidR="00050A76" w:rsidRPr="00474195">
        <w:rPr>
          <w:bCs/>
        </w:rPr>
        <w:t>.</w:t>
      </w:r>
    </w:p>
    <w:p w:rsidR="00050A76" w:rsidRDefault="00050A76" w:rsidP="00050A76">
      <w:pPr>
        <w:spacing w:line="480" w:lineRule="auto"/>
        <w:ind w:right="282"/>
        <w:jc w:val="both"/>
        <w:rPr>
          <w:u w:val="none"/>
        </w:rPr>
      </w:pPr>
    </w:p>
    <w:p w:rsidR="00050A76" w:rsidRDefault="00EF5D00" w:rsidP="00050A76">
      <w:pPr>
        <w:spacing w:line="480" w:lineRule="auto"/>
        <w:ind w:right="282"/>
        <w:jc w:val="both"/>
        <w:rPr>
          <w:u w:val="none"/>
        </w:rPr>
      </w:pPr>
      <w:r>
        <w:rPr>
          <w:u w:val="none"/>
        </w:rPr>
        <w:t>[3</w:t>
      </w:r>
      <w:r w:rsidR="00766F3A">
        <w:rPr>
          <w:u w:val="none"/>
        </w:rPr>
        <w:t>4</w:t>
      </w:r>
      <w:r w:rsidR="00050A76">
        <w:rPr>
          <w:u w:val="none"/>
        </w:rPr>
        <w:t xml:space="preserve">]Consequently there is no merit in the claim that, had the SARB been made aware of the fact that the Downside Protection </w:t>
      </w:r>
      <w:r w:rsidR="00766F3A">
        <w:rPr>
          <w:u w:val="none"/>
        </w:rPr>
        <w:t>Agreement</w:t>
      </w:r>
      <w:r w:rsidR="00050A76">
        <w:rPr>
          <w:u w:val="none"/>
        </w:rPr>
        <w:t xml:space="preserve"> had lapsed it would not have considered the application at all. It must in any event be noted that the rescission application was served on the SARB. The SARB advised the applicant </w:t>
      </w:r>
      <w:r w:rsidR="00544EC0">
        <w:rPr>
          <w:u w:val="none"/>
        </w:rPr>
        <w:t xml:space="preserve"> on</w:t>
      </w:r>
      <w:r w:rsidR="00414D36">
        <w:rPr>
          <w:u w:val="none"/>
        </w:rPr>
        <w:t xml:space="preserve"> </w:t>
      </w:r>
      <w:r w:rsidR="00544EC0">
        <w:rPr>
          <w:u w:val="none"/>
        </w:rPr>
        <w:t>21</w:t>
      </w:r>
      <w:r w:rsidR="00414D36">
        <w:rPr>
          <w:u w:val="none"/>
        </w:rPr>
        <w:t xml:space="preserve"> January 2011 </w:t>
      </w:r>
      <w:r w:rsidR="00050A76">
        <w:rPr>
          <w:u w:val="none"/>
        </w:rPr>
        <w:t xml:space="preserve">that it would not withdraw the approval for the Downside Protection Agreement </w:t>
      </w:r>
      <w:r w:rsidR="00414D36">
        <w:rPr>
          <w:u w:val="none"/>
        </w:rPr>
        <w:t xml:space="preserve">which was granted </w:t>
      </w:r>
      <w:r w:rsidR="001E1324">
        <w:rPr>
          <w:u w:val="none"/>
        </w:rPr>
        <w:t>in August</w:t>
      </w:r>
      <w:r w:rsidR="00050A76">
        <w:rPr>
          <w:u w:val="none"/>
        </w:rPr>
        <w:t xml:space="preserve"> 2010. </w:t>
      </w:r>
      <w:r w:rsidR="004561D5">
        <w:rPr>
          <w:u w:val="none"/>
        </w:rPr>
        <w:t>Furthermore,</w:t>
      </w:r>
      <w:r w:rsidR="00050A76">
        <w:rPr>
          <w:u w:val="none"/>
        </w:rPr>
        <w:t xml:space="preserve"> the applicants abandoned any reliance on fraud on the SARB defence before the Commercial Court, and can hardly be seen to revisit it in this application.</w:t>
      </w:r>
    </w:p>
    <w:p w:rsidR="00050A76" w:rsidRDefault="00050A76" w:rsidP="00050A76">
      <w:pPr>
        <w:spacing w:line="480" w:lineRule="auto"/>
        <w:ind w:right="282"/>
        <w:jc w:val="both"/>
        <w:rPr>
          <w:u w:val="none"/>
        </w:rPr>
      </w:pPr>
    </w:p>
    <w:p w:rsidR="00050A76" w:rsidRDefault="00EF5D00" w:rsidP="00050A76">
      <w:pPr>
        <w:spacing w:line="480" w:lineRule="auto"/>
        <w:ind w:right="282"/>
        <w:jc w:val="both"/>
        <w:rPr>
          <w:u w:val="none"/>
        </w:rPr>
      </w:pPr>
      <w:r>
        <w:rPr>
          <w:u w:val="none"/>
        </w:rPr>
        <w:t>[3</w:t>
      </w:r>
      <w:r w:rsidR="00766F3A">
        <w:rPr>
          <w:u w:val="none"/>
        </w:rPr>
        <w:t>5</w:t>
      </w:r>
      <w:r w:rsidR="00050A76">
        <w:rPr>
          <w:u w:val="none"/>
        </w:rPr>
        <w:t xml:space="preserve">]On 17 May 2017 the applicants withdrew their application for the Commercial Court’s leave to allow them to withdraw their admission and to </w:t>
      </w:r>
      <w:r w:rsidR="00050A76">
        <w:rPr>
          <w:u w:val="none"/>
        </w:rPr>
        <w:lastRenderedPageBreak/>
        <w:t>rely on the illegality defence pertaining to the Downside Protection Agreement and SARB’s approval of 10 August 2010. The applicants subsequently signed a consent order agreeing to withdraw their application for leave to amend on 28 June 2017. Applicant’s solicitors in correspondence informed Lexshell that they did not continue to contest the entitlement to judgment. In the replying affidavit the applicants do not deal at all with the aforesaid assertions, which renders it uncontested.</w:t>
      </w:r>
    </w:p>
    <w:p w:rsidR="00050A76" w:rsidRDefault="00050A76" w:rsidP="003F38DE">
      <w:pPr>
        <w:snapToGrid w:val="0"/>
        <w:spacing w:before="240" w:after="240" w:line="480" w:lineRule="auto"/>
        <w:jc w:val="both"/>
        <w:rPr>
          <w:u w:val="none"/>
        </w:rPr>
      </w:pPr>
    </w:p>
    <w:p w:rsidR="003F38DE" w:rsidRPr="003F38DE" w:rsidRDefault="00EF5D00" w:rsidP="003F38DE">
      <w:pPr>
        <w:spacing w:before="120" w:after="240" w:line="480" w:lineRule="auto"/>
        <w:jc w:val="both"/>
        <w:rPr>
          <w:u w:val="none"/>
        </w:rPr>
      </w:pPr>
      <w:r>
        <w:rPr>
          <w:u w:val="none"/>
        </w:rPr>
        <w:t>[3</w:t>
      </w:r>
      <w:r w:rsidR="00766F3A">
        <w:rPr>
          <w:u w:val="none"/>
        </w:rPr>
        <w:t>6</w:t>
      </w:r>
      <w:r>
        <w:rPr>
          <w:u w:val="none"/>
        </w:rPr>
        <w:t>]</w:t>
      </w:r>
      <w:r w:rsidR="003F38DE" w:rsidRPr="003F38DE">
        <w:rPr>
          <w:u w:val="none"/>
        </w:rPr>
        <w:t xml:space="preserve">In </w:t>
      </w:r>
      <w:r w:rsidR="003F38DE" w:rsidRPr="003F38DE">
        <w:rPr>
          <w:b/>
          <w:iCs/>
          <w:u w:val="none"/>
        </w:rPr>
        <w:t>Eke v Parsons</w:t>
      </w:r>
      <w:r w:rsidR="003F38DE" w:rsidRPr="003F38DE">
        <w:rPr>
          <w:u w:val="none"/>
        </w:rPr>
        <w:t>,</w:t>
      </w:r>
      <w:r w:rsidR="00050A76">
        <w:rPr>
          <w:rStyle w:val="FootnoteReference"/>
          <w:u w:val="none"/>
        </w:rPr>
        <w:footnoteReference w:id="9"/>
      </w:r>
      <w:r w:rsidR="003F38DE" w:rsidRPr="003F38DE">
        <w:rPr>
          <w:u w:val="none"/>
        </w:rPr>
        <w:t xml:space="preserve"> </w:t>
      </w:r>
      <w:r w:rsidR="005A360B">
        <w:rPr>
          <w:u w:val="none"/>
        </w:rPr>
        <w:t xml:space="preserve">the </w:t>
      </w:r>
      <w:r w:rsidR="003F38DE" w:rsidRPr="003F38DE">
        <w:rPr>
          <w:u w:val="none"/>
        </w:rPr>
        <w:t xml:space="preserve">Constitutional Court stated as follows regarding the status of settlement agreements that have been made </w:t>
      </w:r>
      <w:r w:rsidR="00F031C5">
        <w:rPr>
          <w:u w:val="none"/>
        </w:rPr>
        <w:t xml:space="preserve">by </w:t>
      </w:r>
      <w:r w:rsidR="003F38DE" w:rsidRPr="003F38DE">
        <w:rPr>
          <w:u w:val="none"/>
        </w:rPr>
        <w:t xml:space="preserve">consent </w:t>
      </w:r>
      <w:r w:rsidR="00F031C5">
        <w:rPr>
          <w:u w:val="none"/>
        </w:rPr>
        <w:t>an order of court:</w:t>
      </w:r>
    </w:p>
    <w:p w:rsidR="003F38DE" w:rsidRPr="00213A71" w:rsidRDefault="003F38DE" w:rsidP="003F38DE">
      <w:pPr>
        <w:spacing w:line="480" w:lineRule="auto"/>
        <w:ind w:left="1134" w:right="282"/>
        <w:jc w:val="both"/>
        <w:rPr>
          <w:u w:val="none"/>
        </w:rPr>
      </w:pPr>
      <w:r w:rsidRPr="003F38DE">
        <w:rPr>
          <w:u w:val="none"/>
        </w:rPr>
        <w:t>“</w:t>
      </w:r>
      <w:r w:rsidRPr="00E03417">
        <w:rPr>
          <w:i/>
          <w:u w:val="none"/>
        </w:rPr>
        <w:t>Where the parties themselves, through a settlement agreement reached with legal representatives present on each side, prefer to dispense with the strictures of a rule and request that the court recognise this preference by means of a consent order, for one party suddenly to perform a volte-face and demand strict adherence with that self-same rule borders on the ludicrous.  Justice between the two litigants demands that their settlement agreement, which was made an order of Court, must be given effect.  After all, a court’s duty is to do justice between litigants</w:t>
      </w:r>
      <w:r w:rsidR="00050A76">
        <w:rPr>
          <w:i/>
          <w:u w:val="none"/>
        </w:rPr>
        <w:t>….</w:t>
      </w:r>
      <w:r w:rsidRPr="00E03417">
        <w:rPr>
          <w:i/>
          <w:u w:val="none"/>
        </w:rPr>
        <w:t>”</w:t>
      </w:r>
      <w:r w:rsidR="00213A71">
        <w:rPr>
          <w:rStyle w:val="FootnoteReference"/>
          <w:i/>
          <w:u w:val="none"/>
        </w:rPr>
        <w:footnoteReference w:id="10"/>
      </w:r>
    </w:p>
    <w:p w:rsidR="003F38DE" w:rsidRDefault="003F38DE" w:rsidP="003F38DE">
      <w:pPr>
        <w:spacing w:line="480" w:lineRule="auto"/>
        <w:ind w:right="282"/>
        <w:jc w:val="both"/>
        <w:rPr>
          <w:u w:val="none"/>
        </w:rPr>
      </w:pPr>
    </w:p>
    <w:p w:rsidR="00213A71" w:rsidRDefault="00EF5D00" w:rsidP="00213A71">
      <w:pPr>
        <w:spacing w:line="480" w:lineRule="auto"/>
        <w:ind w:right="282"/>
        <w:jc w:val="both"/>
        <w:rPr>
          <w:u w:val="none"/>
        </w:rPr>
      </w:pPr>
      <w:r>
        <w:rPr>
          <w:u w:val="none"/>
        </w:rPr>
        <w:lastRenderedPageBreak/>
        <w:t>[3</w:t>
      </w:r>
      <w:r w:rsidR="00766F3A">
        <w:rPr>
          <w:u w:val="none"/>
        </w:rPr>
        <w:t>7</w:t>
      </w:r>
      <w:r w:rsidR="00083835">
        <w:rPr>
          <w:u w:val="none"/>
        </w:rPr>
        <w:t>]</w:t>
      </w:r>
      <w:r w:rsidR="00213A71">
        <w:rPr>
          <w:u w:val="none"/>
        </w:rPr>
        <w:t xml:space="preserve">Once parties have come to an agreement, </w:t>
      </w:r>
      <w:r>
        <w:rPr>
          <w:u w:val="none"/>
        </w:rPr>
        <w:t xml:space="preserve">especially when </w:t>
      </w:r>
      <w:r w:rsidR="004561D5">
        <w:rPr>
          <w:u w:val="none"/>
        </w:rPr>
        <w:t>they</w:t>
      </w:r>
      <w:r>
        <w:rPr>
          <w:u w:val="none"/>
        </w:rPr>
        <w:t xml:space="preserve"> are </w:t>
      </w:r>
      <w:r w:rsidR="00213A71">
        <w:rPr>
          <w:u w:val="none"/>
        </w:rPr>
        <w:t xml:space="preserve">represented by legal representatives, </w:t>
      </w:r>
      <w:r w:rsidR="00F031C5">
        <w:rPr>
          <w:u w:val="none"/>
        </w:rPr>
        <w:t>and in the absence of fraud or j</w:t>
      </w:r>
      <w:r w:rsidR="00213A71">
        <w:rPr>
          <w:u w:val="none"/>
        </w:rPr>
        <w:t>ustus error, they should be held to that agreement</w:t>
      </w:r>
      <w:r w:rsidR="00083835">
        <w:rPr>
          <w:u w:val="none"/>
        </w:rPr>
        <w:t>.</w:t>
      </w:r>
      <w:r w:rsidR="00213A71">
        <w:rPr>
          <w:rStyle w:val="FootnoteReference"/>
          <w:u w:val="none"/>
        </w:rPr>
        <w:footnoteReference w:id="11"/>
      </w:r>
      <w:r w:rsidR="00F031C5">
        <w:rPr>
          <w:u w:val="none"/>
        </w:rPr>
        <w:t xml:space="preserve"> There is no indication at all that the agreement was</w:t>
      </w:r>
      <w:r w:rsidR="00586BE8">
        <w:rPr>
          <w:u w:val="none"/>
        </w:rPr>
        <w:t xml:space="preserve"> </w:t>
      </w:r>
      <w:r w:rsidR="004561D5">
        <w:rPr>
          <w:u w:val="none"/>
        </w:rPr>
        <w:t>tainted by</w:t>
      </w:r>
      <w:r w:rsidR="00F031C5">
        <w:rPr>
          <w:u w:val="none"/>
        </w:rPr>
        <w:t xml:space="preserve"> fraud </w:t>
      </w:r>
      <w:r w:rsidR="005F7E18">
        <w:rPr>
          <w:u w:val="none"/>
        </w:rPr>
        <w:t xml:space="preserve">or </w:t>
      </w:r>
      <w:r w:rsidR="00586BE8">
        <w:rPr>
          <w:u w:val="none"/>
        </w:rPr>
        <w:t>j</w:t>
      </w:r>
      <w:r w:rsidR="00F031C5">
        <w:rPr>
          <w:u w:val="none"/>
        </w:rPr>
        <w:t>ustus error.</w:t>
      </w:r>
    </w:p>
    <w:p w:rsidR="00213A71" w:rsidRDefault="00213A71" w:rsidP="00213A71">
      <w:pPr>
        <w:spacing w:line="480" w:lineRule="auto"/>
        <w:ind w:right="282"/>
        <w:jc w:val="both"/>
        <w:rPr>
          <w:u w:val="none"/>
        </w:rPr>
      </w:pPr>
    </w:p>
    <w:p w:rsidR="003F38DE" w:rsidRDefault="005F7E18" w:rsidP="00213A71">
      <w:pPr>
        <w:spacing w:line="480" w:lineRule="auto"/>
        <w:ind w:right="282"/>
        <w:jc w:val="both"/>
        <w:rPr>
          <w:u w:val="none"/>
        </w:rPr>
      </w:pPr>
      <w:r>
        <w:rPr>
          <w:u w:val="none"/>
        </w:rPr>
        <w:t>[3</w:t>
      </w:r>
      <w:r w:rsidR="00766F3A">
        <w:rPr>
          <w:u w:val="none"/>
        </w:rPr>
        <w:t>8</w:t>
      </w:r>
      <w:r w:rsidR="003F38DE">
        <w:rPr>
          <w:u w:val="none"/>
        </w:rPr>
        <w:t>]The applicants never sought to appeal or set aside the order of the Commercial Court on any basis.</w:t>
      </w:r>
      <w:r w:rsidR="005A360B" w:rsidRPr="005A360B">
        <w:rPr>
          <w:u w:val="none"/>
          <w:lang w:val="en-US"/>
        </w:rPr>
        <w:t xml:space="preserve"> </w:t>
      </w:r>
      <w:r w:rsidR="00A624BC">
        <w:rPr>
          <w:u w:val="none"/>
          <w:lang w:val="en-US"/>
        </w:rPr>
        <w:t xml:space="preserve"> This is telling and underscores an inference that an attempt is made</w:t>
      </w:r>
      <w:r w:rsidR="00870EA3">
        <w:rPr>
          <w:u w:val="none"/>
          <w:lang w:val="en-US"/>
        </w:rPr>
        <w:t>,</w:t>
      </w:r>
      <w:r w:rsidR="00A624BC">
        <w:rPr>
          <w:u w:val="none"/>
          <w:lang w:val="en-US"/>
        </w:rPr>
        <w:t xml:space="preserve"> to belatedly avoid the consequences of </w:t>
      </w:r>
      <w:r w:rsidR="00870EA3">
        <w:rPr>
          <w:u w:val="none"/>
          <w:lang w:val="en-US"/>
        </w:rPr>
        <w:t xml:space="preserve">the </w:t>
      </w:r>
      <w:r w:rsidR="00A624BC">
        <w:rPr>
          <w:u w:val="none"/>
          <w:lang w:val="en-US"/>
        </w:rPr>
        <w:t>settlement.</w:t>
      </w:r>
    </w:p>
    <w:p w:rsidR="003F38DE" w:rsidRDefault="003F38DE" w:rsidP="003F38DE">
      <w:pPr>
        <w:spacing w:line="480" w:lineRule="auto"/>
        <w:ind w:right="282"/>
        <w:jc w:val="both"/>
        <w:rPr>
          <w:u w:val="none"/>
        </w:rPr>
      </w:pPr>
    </w:p>
    <w:p w:rsidR="003F38DE" w:rsidRDefault="005F7E18" w:rsidP="003F38DE">
      <w:pPr>
        <w:spacing w:line="480" w:lineRule="auto"/>
        <w:ind w:right="282"/>
        <w:jc w:val="both"/>
        <w:rPr>
          <w:u w:val="none"/>
        </w:rPr>
      </w:pPr>
      <w:r>
        <w:rPr>
          <w:u w:val="none"/>
        </w:rPr>
        <w:t>[</w:t>
      </w:r>
      <w:r w:rsidR="00766F3A">
        <w:rPr>
          <w:u w:val="none"/>
        </w:rPr>
        <w:t>39</w:t>
      </w:r>
      <w:r w:rsidR="003F38DE">
        <w:rPr>
          <w:u w:val="none"/>
        </w:rPr>
        <w:t>]In</w:t>
      </w:r>
      <w:r w:rsidR="003F38DE" w:rsidRPr="00462A14">
        <w:rPr>
          <w:b/>
          <w:u w:val="none"/>
        </w:rPr>
        <w:t xml:space="preserve"> M</w:t>
      </w:r>
      <w:r w:rsidR="00462A14" w:rsidRPr="00462A14">
        <w:rPr>
          <w:b/>
          <w:u w:val="none"/>
        </w:rPr>
        <w:t>orait</w:t>
      </w:r>
      <w:r w:rsidR="003F38DE" w:rsidRPr="00462A14">
        <w:rPr>
          <w:b/>
          <w:u w:val="none"/>
        </w:rPr>
        <w:t>is</w:t>
      </w:r>
      <w:r w:rsidR="00213A71">
        <w:rPr>
          <w:rStyle w:val="FootnoteReference"/>
          <w:b/>
          <w:u w:val="none"/>
        </w:rPr>
        <w:footnoteReference w:id="12"/>
      </w:r>
      <w:r w:rsidR="00462A14">
        <w:rPr>
          <w:b/>
          <w:u w:val="none"/>
        </w:rPr>
        <w:t xml:space="preserve"> </w:t>
      </w:r>
      <w:r w:rsidR="00462A14">
        <w:rPr>
          <w:u w:val="none"/>
        </w:rPr>
        <w:t xml:space="preserve">it was held that the approach </w:t>
      </w:r>
      <w:r w:rsidR="00586BE8">
        <w:rPr>
          <w:u w:val="none"/>
        </w:rPr>
        <w:t xml:space="preserve">also </w:t>
      </w:r>
      <w:r w:rsidR="00462A14">
        <w:rPr>
          <w:u w:val="none"/>
        </w:rPr>
        <w:t>differs depending on whether a judgment was granted by default</w:t>
      </w:r>
      <w:r w:rsidR="00C71B8A">
        <w:rPr>
          <w:u w:val="none"/>
        </w:rPr>
        <w:t>,</w:t>
      </w:r>
      <w:r w:rsidR="00462A14">
        <w:rPr>
          <w:u w:val="none"/>
        </w:rPr>
        <w:t xml:space="preserve"> or in the course of contested proceedings. The test is more stringent in contested proceedings and such a judgment can only be set aside </w:t>
      </w:r>
      <w:r w:rsidR="00C71B8A">
        <w:rPr>
          <w:u w:val="none"/>
        </w:rPr>
        <w:t>in the case of either fraud or j</w:t>
      </w:r>
      <w:r w:rsidR="00462A14">
        <w:rPr>
          <w:u w:val="none"/>
        </w:rPr>
        <w:t xml:space="preserve">ustus error. </w:t>
      </w:r>
    </w:p>
    <w:p w:rsidR="00586BE8" w:rsidRDefault="00586BE8" w:rsidP="003F38DE">
      <w:pPr>
        <w:spacing w:line="480" w:lineRule="auto"/>
        <w:ind w:right="282"/>
        <w:jc w:val="both"/>
        <w:rPr>
          <w:u w:val="none"/>
        </w:rPr>
      </w:pPr>
    </w:p>
    <w:p w:rsidR="00E91E7C" w:rsidRDefault="00870EA3" w:rsidP="003F38DE">
      <w:pPr>
        <w:spacing w:line="480" w:lineRule="auto"/>
        <w:ind w:right="282"/>
        <w:jc w:val="both"/>
        <w:rPr>
          <w:u w:val="none"/>
        </w:rPr>
      </w:pPr>
      <w:r>
        <w:rPr>
          <w:u w:val="none"/>
        </w:rPr>
        <w:t>[</w:t>
      </w:r>
      <w:r w:rsidR="005F7E18">
        <w:rPr>
          <w:u w:val="none"/>
        </w:rPr>
        <w:t>4</w:t>
      </w:r>
      <w:r w:rsidR="009B7675">
        <w:rPr>
          <w:u w:val="none"/>
        </w:rPr>
        <w:t>0</w:t>
      </w:r>
      <w:r w:rsidR="00144556">
        <w:rPr>
          <w:u w:val="none"/>
        </w:rPr>
        <w:t>]The applicants furthermore allege</w:t>
      </w:r>
      <w:r w:rsidR="005F7E18">
        <w:rPr>
          <w:u w:val="none"/>
        </w:rPr>
        <w:t>d</w:t>
      </w:r>
      <w:r w:rsidR="00144556">
        <w:rPr>
          <w:u w:val="none"/>
        </w:rPr>
        <w:t xml:space="preserve"> </w:t>
      </w:r>
      <w:r w:rsidR="00E91E7C">
        <w:rPr>
          <w:u w:val="none"/>
        </w:rPr>
        <w:t xml:space="preserve">that the cession and/or </w:t>
      </w:r>
      <w:r w:rsidR="00E8495B">
        <w:rPr>
          <w:u w:val="none"/>
        </w:rPr>
        <w:t>assignment of rights under the Downside Protection A</w:t>
      </w:r>
      <w:r w:rsidR="00E91E7C">
        <w:rPr>
          <w:u w:val="none"/>
        </w:rPr>
        <w:t xml:space="preserve">greement by Rannerdale to the respondent was </w:t>
      </w:r>
      <w:r w:rsidR="008C34E9">
        <w:rPr>
          <w:u w:val="none"/>
        </w:rPr>
        <w:t xml:space="preserve">a </w:t>
      </w:r>
      <w:r w:rsidR="00E91E7C">
        <w:rPr>
          <w:u w:val="none"/>
        </w:rPr>
        <w:t>simulated transaction</w:t>
      </w:r>
      <w:r w:rsidR="008C34E9">
        <w:rPr>
          <w:u w:val="none"/>
        </w:rPr>
        <w:t>,</w:t>
      </w:r>
      <w:r w:rsidR="00E91E7C">
        <w:rPr>
          <w:u w:val="none"/>
        </w:rPr>
        <w:t xml:space="preserve"> purely intended at circumventing exchange control laws.</w:t>
      </w:r>
      <w:r w:rsidR="00E8495B">
        <w:rPr>
          <w:u w:val="none"/>
        </w:rPr>
        <w:t xml:space="preserve"> </w:t>
      </w:r>
      <w:r w:rsidR="005A3A5E">
        <w:rPr>
          <w:u w:val="none"/>
        </w:rPr>
        <w:t>T</w:t>
      </w:r>
      <w:r w:rsidR="00E91E7C">
        <w:rPr>
          <w:u w:val="none"/>
        </w:rPr>
        <w:t>he applicants were notified of the cession and/or assignment on 20 August 2010 and they did not take issue with this and admitted it in their original defence and their amended defence statement</w:t>
      </w:r>
      <w:r w:rsidR="008C34E9">
        <w:rPr>
          <w:u w:val="none"/>
        </w:rPr>
        <w:t xml:space="preserve"> in the Commercial Court</w:t>
      </w:r>
      <w:r w:rsidR="00E91E7C">
        <w:rPr>
          <w:u w:val="none"/>
        </w:rPr>
        <w:t>.</w:t>
      </w:r>
    </w:p>
    <w:p w:rsidR="00DA11EE" w:rsidRDefault="00DA11EE" w:rsidP="003F38DE">
      <w:pPr>
        <w:spacing w:line="480" w:lineRule="auto"/>
        <w:ind w:right="282"/>
        <w:jc w:val="both"/>
        <w:rPr>
          <w:u w:val="none"/>
        </w:rPr>
      </w:pPr>
    </w:p>
    <w:p w:rsidR="007F3B0D" w:rsidRDefault="005F7E18" w:rsidP="003F38DE">
      <w:pPr>
        <w:spacing w:line="480" w:lineRule="auto"/>
        <w:ind w:right="282"/>
        <w:jc w:val="both"/>
        <w:rPr>
          <w:u w:val="none"/>
        </w:rPr>
      </w:pPr>
      <w:r>
        <w:rPr>
          <w:u w:val="none"/>
        </w:rPr>
        <w:lastRenderedPageBreak/>
        <w:t>[4</w:t>
      </w:r>
      <w:r w:rsidR="009B7675">
        <w:rPr>
          <w:u w:val="none"/>
        </w:rPr>
        <w:t>1</w:t>
      </w:r>
      <w:r w:rsidR="00E91E7C">
        <w:rPr>
          <w:u w:val="none"/>
        </w:rPr>
        <w:t>]The deed of assignment makes it clear that the assignment is conditional on written approval from t</w:t>
      </w:r>
      <w:r w:rsidR="00E8495B">
        <w:rPr>
          <w:u w:val="none"/>
        </w:rPr>
        <w:t>he Exchange Control Department o</w:t>
      </w:r>
      <w:r w:rsidR="00E91E7C">
        <w:rPr>
          <w:u w:val="none"/>
        </w:rPr>
        <w:t>f the SARB, without such approval the assignment would have been ineffective.</w:t>
      </w:r>
      <w:r>
        <w:rPr>
          <w:u w:val="none"/>
        </w:rPr>
        <w:t xml:space="preserve"> </w:t>
      </w:r>
      <w:r w:rsidR="00F565D6">
        <w:rPr>
          <w:u w:val="none"/>
        </w:rPr>
        <w:t>Th</w:t>
      </w:r>
      <w:r w:rsidR="008C34E9">
        <w:rPr>
          <w:u w:val="none"/>
        </w:rPr>
        <w:t>ere is accor</w:t>
      </w:r>
      <w:r>
        <w:rPr>
          <w:u w:val="none"/>
        </w:rPr>
        <w:t>dingly no merit in this defence</w:t>
      </w:r>
      <w:r w:rsidR="008C34E9">
        <w:rPr>
          <w:u w:val="none"/>
        </w:rPr>
        <w:t xml:space="preserve">, it neither has merit nor </w:t>
      </w:r>
      <w:r w:rsidR="007F3B0D">
        <w:rPr>
          <w:u w:val="none"/>
        </w:rPr>
        <w:t xml:space="preserve">can it be </w:t>
      </w:r>
      <w:r w:rsidR="008C34E9" w:rsidRPr="008C34E9">
        <w:rPr>
          <w:i/>
          <w:u w:val="none"/>
        </w:rPr>
        <w:t>bona fide</w:t>
      </w:r>
      <w:r w:rsidR="007F3B0D">
        <w:rPr>
          <w:i/>
          <w:u w:val="none"/>
        </w:rPr>
        <w:t xml:space="preserve"> </w:t>
      </w:r>
      <w:r w:rsidR="007F3B0D">
        <w:rPr>
          <w:u w:val="none"/>
        </w:rPr>
        <w:t>in the light of the facts set out above.</w:t>
      </w:r>
    </w:p>
    <w:p w:rsidR="005F7E18" w:rsidRPr="007F3B0D" w:rsidRDefault="005F7E18" w:rsidP="003F38DE">
      <w:pPr>
        <w:spacing w:line="480" w:lineRule="auto"/>
        <w:ind w:right="282"/>
        <w:jc w:val="both"/>
        <w:rPr>
          <w:u w:val="none"/>
        </w:rPr>
      </w:pPr>
    </w:p>
    <w:p w:rsidR="005A3A5E" w:rsidRDefault="00F40632" w:rsidP="003F38DE">
      <w:pPr>
        <w:spacing w:line="480" w:lineRule="auto"/>
        <w:ind w:right="282"/>
        <w:jc w:val="both"/>
        <w:rPr>
          <w:b/>
        </w:rPr>
      </w:pPr>
      <w:r w:rsidRPr="00F40632">
        <w:rPr>
          <w:b/>
          <w:u w:val="none"/>
        </w:rPr>
        <w:t>(</w:t>
      </w:r>
      <w:r w:rsidR="008C34E9">
        <w:rPr>
          <w:b/>
          <w:u w:val="none"/>
        </w:rPr>
        <w:t>c)</w:t>
      </w:r>
      <w:r w:rsidR="008C34E9" w:rsidRPr="00346720">
        <w:rPr>
          <w:b/>
        </w:rPr>
        <w:t xml:space="preserve">The </w:t>
      </w:r>
      <w:r w:rsidR="005A3A5E">
        <w:rPr>
          <w:b/>
        </w:rPr>
        <w:t xml:space="preserve"> defence that third applicant, Rannerdale and/or Lexshell did not sign the Downside Protection</w:t>
      </w:r>
      <w:r w:rsidR="005F7E18">
        <w:rPr>
          <w:b/>
        </w:rPr>
        <w:t xml:space="preserve"> Agreement</w:t>
      </w:r>
      <w:r w:rsidR="005A3A5E">
        <w:rPr>
          <w:b/>
        </w:rPr>
        <w:t>.</w:t>
      </w:r>
    </w:p>
    <w:p w:rsidR="00F565D6" w:rsidRDefault="005F7E18" w:rsidP="003F38DE">
      <w:pPr>
        <w:spacing w:line="480" w:lineRule="auto"/>
        <w:ind w:right="282"/>
        <w:jc w:val="both"/>
        <w:rPr>
          <w:u w:val="none"/>
        </w:rPr>
      </w:pPr>
      <w:r>
        <w:rPr>
          <w:u w:val="none"/>
        </w:rPr>
        <w:t>[4</w:t>
      </w:r>
      <w:r w:rsidR="009B7675">
        <w:rPr>
          <w:u w:val="none"/>
        </w:rPr>
        <w:t>2</w:t>
      </w:r>
      <w:r w:rsidR="00F565D6">
        <w:rPr>
          <w:u w:val="none"/>
        </w:rPr>
        <w:t>]Lexshell was not an original party to the agreement in January 2010. R</w:t>
      </w:r>
      <w:r w:rsidR="008C34E9">
        <w:rPr>
          <w:u w:val="none"/>
        </w:rPr>
        <w:t>annerdale assigned its rights, title and interest under the Downside Protection A</w:t>
      </w:r>
      <w:r w:rsidR="00DA11EE">
        <w:rPr>
          <w:u w:val="none"/>
        </w:rPr>
        <w:t xml:space="preserve">greement to </w:t>
      </w:r>
      <w:r>
        <w:rPr>
          <w:u w:val="none"/>
        </w:rPr>
        <w:t xml:space="preserve">Lexshell </w:t>
      </w:r>
      <w:r w:rsidR="00DA11EE">
        <w:rPr>
          <w:u w:val="none"/>
        </w:rPr>
        <w:t>in A</w:t>
      </w:r>
      <w:r w:rsidR="00F565D6">
        <w:rPr>
          <w:u w:val="none"/>
        </w:rPr>
        <w:t>ugust</w:t>
      </w:r>
      <w:r w:rsidR="00DA11EE">
        <w:rPr>
          <w:u w:val="none"/>
        </w:rPr>
        <w:t xml:space="preserve"> 2010. Rannerdale did si</w:t>
      </w:r>
      <w:r w:rsidR="008C34E9">
        <w:rPr>
          <w:u w:val="none"/>
        </w:rPr>
        <w:t>gn the Downside Protection A</w:t>
      </w:r>
      <w:r w:rsidR="00F565D6">
        <w:rPr>
          <w:u w:val="none"/>
        </w:rPr>
        <w:t>greement.</w:t>
      </w:r>
    </w:p>
    <w:p w:rsidR="005A3A5E" w:rsidRPr="005A3A5E" w:rsidRDefault="005A3A5E" w:rsidP="003F38DE">
      <w:pPr>
        <w:spacing w:line="480" w:lineRule="auto"/>
        <w:ind w:right="282"/>
        <w:jc w:val="both"/>
        <w:rPr>
          <w:b/>
        </w:rPr>
      </w:pPr>
    </w:p>
    <w:p w:rsidR="007F3B0D" w:rsidRDefault="005E0522" w:rsidP="003F38DE">
      <w:pPr>
        <w:spacing w:line="480" w:lineRule="auto"/>
        <w:ind w:right="282"/>
        <w:jc w:val="both"/>
        <w:rPr>
          <w:u w:val="none"/>
        </w:rPr>
      </w:pPr>
      <w:r>
        <w:rPr>
          <w:u w:val="none"/>
        </w:rPr>
        <w:t>[43</w:t>
      </w:r>
      <w:r w:rsidR="00F565D6">
        <w:rPr>
          <w:u w:val="none"/>
        </w:rPr>
        <w:t xml:space="preserve">]The </w:t>
      </w:r>
      <w:r w:rsidR="008C34E9">
        <w:rPr>
          <w:u w:val="none"/>
        </w:rPr>
        <w:t xml:space="preserve">answering affidavit </w:t>
      </w:r>
      <w:r w:rsidR="005A3A5E">
        <w:rPr>
          <w:u w:val="none"/>
        </w:rPr>
        <w:t xml:space="preserve">and annexures thereto </w:t>
      </w:r>
      <w:r w:rsidR="00E8495B">
        <w:rPr>
          <w:u w:val="none"/>
        </w:rPr>
        <w:t xml:space="preserve">indicate that the </w:t>
      </w:r>
      <w:r w:rsidR="00F565D6">
        <w:rPr>
          <w:u w:val="none"/>
        </w:rPr>
        <w:t>third applicant ha</w:t>
      </w:r>
      <w:r w:rsidR="001E1324">
        <w:rPr>
          <w:u w:val="none"/>
        </w:rPr>
        <w:t>d</w:t>
      </w:r>
      <w:r w:rsidR="00F565D6">
        <w:rPr>
          <w:u w:val="none"/>
        </w:rPr>
        <w:t xml:space="preserve"> </w:t>
      </w:r>
      <w:r w:rsidR="00DA11EE">
        <w:rPr>
          <w:u w:val="none"/>
        </w:rPr>
        <w:t xml:space="preserve">also </w:t>
      </w:r>
      <w:r w:rsidR="00F565D6">
        <w:rPr>
          <w:u w:val="none"/>
        </w:rPr>
        <w:t>conceded in sequestration pr</w:t>
      </w:r>
      <w:r w:rsidR="00E8495B">
        <w:rPr>
          <w:u w:val="none"/>
        </w:rPr>
        <w:t>oceedings that he did sign the Downside Protection A</w:t>
      </w:r>
      <w:r w:rsidR="00F565D6">
        <w:rPr>
          <w:u w:val="none"/>
        </w:rPr>
        <w:t xml:space="preserve">greement. The conclusion and validity </w:t>
      </w:r>
      <w:r w:rsidR="00E8495B">
        <w:rPr>
          <w:u w:val="none"/>
        </w:rPr>
        <w:t>of the Downside Protection A</w:t>
      </w:r>
      <w:r w:rsidR="00F565D6">
        <w:rPr>
          <w:u w:val="none"/>
        </w:rPr>
        <w:t>greeme</w:t>
      </w:r>
      <w:r w:rsidR="008C34E9">
        <w:rPr>
          <w:u w:val="none"/>
        </w:rPr>
        <w:t>nt was</w:t>
      </w:r>
      <w:r w:rsidR="00F565D6">
        <w:rPr>
          <w:u w:val="none"/>
        </w:rPr>
        <w:t xml:space="preserve"> never in</w:t>
      </w:r>
      <w:r w:rsidR="00DA11EE">
        <w:rPr>
          <w:u w:val="none"/>
        </w:rPr>
        <w:t xml:space="preserve"> dispute before the Commercial C</w:t>
      </w:r>
      <w:r w:rsidR="00F565D6">
        <w:rPr>
          <w:u w:val="none"/>
        </w:rPr>
        <w:t>ourt. The applicants did not take issue with any of the afor</w:t>
      </w:r>
      <w:r w:rsidR="005A3A5E">
        <w:rPr>
          <w:u w:val="none"/>
        </w:rPr>
        <w:t xml:space="preserve">esaid in the replying affidavit, which must result in this court accepting </w:t>
      </w:r>
      <w:r w:rsidR="005F7E18">
        <w:rPr>
          <w:u w:val="none"/>
        </w:rPr>
        <w:t xml:space="preserve">the veracity of these allegations. </w:t>
      </w:r>
      <w:r w:rsidR="004561D5">
        <w:rPr>
          <w:u w:val="none"/>
        </w:rPr>
        <w:t>Consequently,</w:t>
      </w:r>
      <w:r w:rsidR="007F3B0D">
        <w:rPr>
          <w:u w:val="none"/>
        </w:rPr>
        <w:t xml:space="preserve"> there can be no merit in this defence. The fact that the third applicant contradicts his own previous statement</w:t>
      </w:r>
      <w:r w:rsidR="00F40632">
        <w:rPr>
          <w:u w:val="none"/>
        </w:rPr>
        <w:t xml:space="preserve"> </w:t>
      </w:r>
      <w:r w:rsidR="00D23C2E">
        <w:rPr>
          <w:u w:val="none"/>
        </w:rPr>
        <w:t>also illustrates</w:t>
      </w:r>
      <w:r w:rsidR="007F3B0D">
        <w:rPr>
          <w:u w:val="none"/>
        </w:rPr>
        <w:t xml:space="preserve"> a lack of </w:t>
      </w:r>
      <w:r w:rsidR="007F3B0D" w:rsidRPr="007F3B0D">
        <w:rPr>
          <w:i/>
          <w:u w:val="none"/>
        </w:rPr>
        <w:t>bona fides</w:t>
      </w:r>
      <w:r w:rsidR="007F3B0D">
        <w:rPr>
          <w:u w:val="none"/>
        </w:rPr>
        <w:t>.</w:t>
      </w:r>
    </w:p>
    <w:p w:rsidR="007F3B0D" w:rsidRDefault="007F3B0D" w:rsidP="003F38DE">
      <w:pPr>
        <w:spacing w:line="480" w:lineRule="auto"/>
        <w:ind w:right="282"/>
        <w:jc w:val="both"/>
        <w:rPr>
          <w:u w:val="none"/>
        </w:rPr>
      </w:pPr>
    </w:p>
    <w:p w:rsidR="008C34E9" w:rsidRDefault="007F3B0D" w:rsidP="003F38DE">
      <w:pPr>
        <w:spacing w:line="480" w:lineRule="auto"/>
        <w:ind w:right="282"/>
        <w:jc w:val="both"/>
        <w:rPr>
          <w:b/>
        </w:rPr>
      </w:pPr>
      <w:r>
        <w:rPr>
          <w:b/>
          <w:u w:val="none"/>
        </w:rPr>
        <w:t>(</w:t>
      </w:r>
      <w:r w:rsidR="00E348EE">
        <w:rPr>
          <w:b/>
          <w:u w:val="none"/>
        </w:rPr>
        <w:t xml:space="preserve">d) </w:t>
      </w:r>
      <w:r w:rsidR="00F565D6" w:rsidRPr="00F565D6">
        <w:rPr>
          <w:b/>
        </w:rPr>
        <w:t>T</w:t>
      </w:r>
      <w:r>
        <w:rPr>
          <w:b/>
        </w:rPr>
        <w:t>he S</w:t>
      </w:r>
      <w:r w:rsidR="00E348EE">
        <w:rPr>
          <w:b/>
        </w:rPr>
        <w:t>uretyship Defence</w:t>
      </w:r>
    </w:p>
    <w:p w:rsidR="00F565D6" w:rsidRDefault="005F7E18" w:rsidP="003F38DE">
      <w:pPr>
        <w:spacing w:line="480" w:lineRule="auto"/>
        <w:ind w:right="282"/>
        <w:jc w:val="both"/>
        <w:rPr>
          <w:u w:val="none"/>
        </w:rPr>
      </w:pPr>
      <w:r>
        <w:rPr>
          <w:u w:val="none"/>
        </w:rPr>
        <w:lastRenderedPageBreak/>
        <w:t>[</w:t>
      </w:r>
      <w:r w:rsidR="009B7675">
        <w:rPr>
          <w:u w:val="none"/>
        </w:rPr>
        <w:t>44</w:t>
      </w:r>
      <w:r w:rsidR="00F565D6">
        <w:rPr>
          <w:u w:val="none"/>
        </w:rPr>
        <w:t>]The applicants mad</w:t>
      </w:r>
      <w:r w:rsidR="00E8495B">
        <w:rPr>
          <w:u w:val="none"/>
        </w:rPr>
        <w:t>e the bold allegation that the Downside Protection A</w:t>
      </w:r>
      <w:r w:rsidR="00F565D6">
        <w:rPr>
          <w:u w:val="none"/>
        </w:rPr>
        <w:t xml:space="preserve">greement is a suretyship, without laying any factual basis for the </w:t>
      </w:r>
      <w:r w:rsidR="009B7675">
        <w:rPr>
          <w:u w:val="none"/>
        </w:rPr>
        <w:t>allegation</w:t>
      </w:r>
      <w:r w:rsidR="00F565D6">
        <w:rPr>
          <w:u w:val="none"/>
        </w:rPr>
        <w:t>.</w:t>
      </w:r>
    </w:p>
    <w:p w:rsidR="007953EE" w:rsidRDefault="007953EE" w:rsidP="003F38DE">
      <w:pPr>
        <w:spacing w:line="480" w:lineRule="auto"/>
        <w:ind w:right="282"/>
        <w:jc w:val="both"/>
        <w:rPr>
          <w:u w:val="none"/>
        </w:rPr>
      </w:pPr>
    </w:p>
    <w:p w:rsidR="00F565D6" w:rsidRDefault="005F7E18" w:rsidP="003F38DE">
      <w:pPr>
        <w:spacing w:line="480" w:lineRule="auto"/>
        <w:ind w:right="282"/>
        <w:jc w:val="both"/>
        <w:rPr>
          <w:u w:val="none"/>
        </w:rPr>
      </w:pPr>
      <w:r>
        <w:rPr>
          <w:u w:val="none"/>
        </w:rPr>
        <w:t>[4</w:t>
      </w:r>
      <w:r w:rsidR="009B7675">
        <w:rPr>
          <w:u w:val="none"/>
        </w:rPr>
        <w:t>5</w:t>
      </w:r>
      <w:r w:rsidR="00F565D6">
        <w:rPr>
          <w:u w:val="none"/>
        </w:rPr>
        <w:t xml:space="preserve">]A perusal of the agreement makes it clear that all of the applicants are </w:t>
      </w:r>
      <w:r w:rsidR="00995111">
        <w:rPr>
          <w:u w:val="none"/>
        </w:rPr>
        <w:t>b</w:t>
      </w:r>
      <w:r w:rsidR="007953EE">
        <w:rPr>
          <w:u w:val="none"/>
        </w:rPr>
        <w:t>ound</w:t>
      </w:r>
      <w:r w:rsidR="00F565D6">
        <w:rPr>
          <w:u w:val="none"/>
        </w:rPr>
        <w:t xml:space="preserve"> as principal debtors. </w:t>
      </w:r>
      <w:r w:rsidR="007F3B0D">
        <w:rPr>
          <w:u w:val="none"/>
        </w:rPr>
        <w:t>On a perusal of the agreement, n</w:t>
      </w:r>
      <w:r w:rsidR="00F565D6">
        <w:rPr>
          <w:u w:val="none"/>
        </w:rPr>
        <w:t>one</w:t>
      </w:r>
      <w:r w:rsidR="00995111">
        <w:rPr>
          <w:u w:val="none"/>
        </w:rPr>
        <w:t xml:space="preserve"> of them seem</w:t>
      </w:r>
      <w:r>
        <w:rPr>
          <w:u w:val="none"/>
        </w:rPr>
        <w:t>s</w:t>
      </w:r>
      <w:r w:rsidR="00995111">
        <w:rPr>
          <w:u w:val="none"/>
        </w:rPr>
        <w:t xml:space="preserve"> to have a right of</w:t>
      </w:r>
      <w:r w:rsidR="00F565D6">
        <w:rPr>
          <w:u w:val="none"/>
        </w:rPr>
        <w:t xml:space="preserve"> recourse against a </w:t>
      </w:r>
      <w:r w:rsidR="007F3B0D">
        <w:rPr>
          <w:u w:val="none"/>
        </w:rPr>
        <w:t>principal debtor</w:t>
      </w:r>
      <w:r w:rsidR="009B7675">
        <w:rPr>
          <w:u w:val="none"/>
        </w:rPr>
        <w:t>,</w:t>
      </w:r>
      <w:r w:rsidR="00F565D6">
        <w:rPr>
          <w:u w:val="none"/>
        </w:rPr>
        <w:t xml:space="preserve"> if they settle any </w:t>
      </w:r>
      <w:r w:rsidR="007F3B0D">
        <w:rPr>
          <w:u w:val="none"/>
        </w:rPr>
        <w:t>part of the obligations in the Downside Protection A</w:t>
      </w:r>
      <w:r w:rsidR="00F565D6">
        <w:rPr>
          <w:u w:val="none"/>
        </w:rPr>
        <w:t>greement.</w:t>
      </w:r>
    </w:p>
    <w:p w:rsidR="00995111" w:rsidRDefault="00995111" w:rsidP="003F38DE">
      <w:pPr>
        <w:spacing w:line="480" w:lineRule="auto"/>
        <w:ind w:right="282"/>
        <w:jc w:val="both"/>
        <w:rPr>
          <w:u w:val="none"/>
        </w:rPr>
      </w:pPr>
    </w:p>
    <w:p w:rsidR="00995111" w:rsidRDefault="005F7E18" w:rsidP="003F38DE">
      <w:pPr>
        <w:spacing w:line="480" w:lineRule="auto"/>
        <w:ind w:right="282"/>
        <w:jc w:val="both"/>
        <w:rPr>
          <w:u w:val="none"/>
        </w:rPr>
      </w:pPr>
      <w:r>
        <w:rPr>
          <w:u w:val="none"/>
        </w:rPr>
        <w:t>[4</w:t>
      </w:r>
      <w:r w:rsidR="009B7675">
        <w:rPr>
          <w:u w:val="none"/>
        </w:rPr>
        <w:t>6</w:t>
      </w:r>
      <w:r>
        <w:rPr>
          <w:u w:val="none"/>
        </w:rPr>
        <w:t>]</w:t>
      </w:r>
      <w:r w:rsidR="00F565D6">
        <w:rPr>
          <w:u w:val="none"/>
        </w:rPr>
        <w:t>It is trite that a contract of suretyship is an accessory contract, by which the surety undertakes to the creditor of the principal debtor to</w:t>
      </w:r>
      <w:r w:rsidR="00995111">
        <w:rPr>
          <w:u w:val="none"/>
        </w:rPr>
        <w:t>,</w:t>
      </w:r>
      <w:r w:rsidR="00F565D6">
        <w:rPr>
          <w:u w:val="none"/>
        </w:rPr>
        <w:t xml:space="preserve"> if and in so far as the principal debtor may fail to do so,</w:t>
      </w:r>
      <w:r w:rsidR="008C34E9">
        <w:rPr>
          <w:u w:val="none"/>
        </w:rPr>
        <w:t xml:space="preserve"> to</w:t>
      </w:r>
      <w:r w:rsidR="00F565D6">
        <w:rPr>
          <w:u w:val="none"/>
        </w:rPr>
        <w:t xml:space="preserve"> indemnify the creditor.</w:t>
      </w:r>
      <w:r w:rsidR="00F565D6">
        <w:rPr>
          <w:rStyle w:val="FootnoteReference"/>
          <w:u w:val="none"/>
        </w:rPr>
        <w:footnoteReference w:id="13"/>
      </w:r>
    </w:p>
    <w:p w:rsidR="007F3B0D" w:rsidRDefault="007F3B0D" w:rsidP="003F38DE">
      <w:pPr>
        <w:spacing w:line="480" w:lineRule="auto"/>
        <w:ind w:right="282"/>
        <w:jc w:val="both"/>
        <w:rPr>
          <w:u w:val="none"/>
        </w:rPr>
      </w:pPr>
    </w:p>
    <w:p w:rsidR="007F3B0D" w:rsidRDefault="005F7E18" w:rsidP="003F38DE">
      <w:pPr>
        <w:spacing w:line="480" w:lineRule="auto"/>
        <w:ind w:right="282"/>
        <w:jc w:val="both"/>
        <w:rPr>
          <w:u w:val="none"/>
        </w:rPr>
      </w:pPr>
      <w:r>
        <w:rPr>
          <w:u w:val="none"/>
        </w:rPr>
        <w:t>[4</w:t>
      </w:r>
      <w:r w:rsidR="009B7675">
        <w:rPr>
          <w:u w:val="none"/>
        </w:rPr>
        <w:t>7</w:t>
      </w:r>
      <w:r w:rsidR="007F3B0D">
        <w:rPr>
          <w:u w:val="none"/>
        </w:rPr>
        <w:t>]In this instance there is no such indemnity. They all warrant compliance as principal debtors.</w:t>
      </w:r>
    </w:p>
    <w:p w:rsidR="00E348EE" w:rsidRDefault="00E348EE" w:rsidP="003F38DE">
      <w:pPr>
        <w:spacing w:line="480" w:lineRule="auto"/>
        <w:ind w:right="282"/>
        <w:jc w:val="both"/>
        <w:rPr>
          <w:u w:val="none"/>
        </w:rPr>
      </w:pPr>
    </w:p>
    <w:p w:rsidR="00E348EE" w:rsidRPr="00E348EE" w:rsidRDefault="00E348EE" w:rsidP="003F38DE">
      <w:pPr>
        <w:spacing w:line="480" w:lineRule="auto"/>
        <w:ind w:right="282"/>
        <w:jc w:val="both"/>
        <w:rPr>
          <w:b/>
        </w:rPr>
      </w:pPr>
      <w:r>
        <w:rPr>
          <w:b/>
          <w:u w:val="none"/>
        </w:rPr>
        <w:t>e)</w:t>
      </w:r>
      <w:r>
        <w:rPr>
          <w:b/>
        </w:rPr>
        <w:t>Lack of Authority Defence</w:t>
      </w:r>
    </w:p>
    <w:p w:rsidR="006E3A9E" w:rsidRDefault="005F7E18" w:rsidP="006E3A9E">
      <w:pPr>
        <w:spacing w:line="480" w:lineRule="auto"/>
        <w:ind w:right="282"/>
        <w:jc w:val="both"/>
        <w:rPr>
          <w:bCs/>
          <w:u w:val="none"/>
        </w:rPr>
      </w:pPr>
      <w:r>
        <w:rPr>
          <w:u w:val="none"/>
        </w:rPr>
        <w:t>[4</w:t>
      </w:r>
      <w:r w:rsidR="009B7675">
        <w:rPr>
          <w:u w:val="none"/>
        </w:rPr>
        <w:t>8</w:t>
      </w:r>
      <w:r>
        <w:rPr>
          <w:u w:val="none"/>
        </w:rPr>
        <w:t>]The a</w:t>
      </w:r>
      <w:r w:rsidR="00F40632">
        <w:rPr>
          <w:u w:val="none"/>
        </w:rPr>
        <w:t>pplicants</w:t>
      </w:r>
      <w:r w:rsidR="006E3A9E">
        <w:rPr>
          <w:u w:val="none"/>
        </w:rPr>
        <w:t xml:space="preserve"> </w:t>
      </w:r>
      <w:r w:rsidR="006029B4">
        <w:rPr>
          <w:u w:val="none"/>
        </w:rPr>
        <w:t>a</w:t>
      </w:r>
      <w:r w:rsidR="006E3A9E">
        <w:rPr>
          <w:u w:val="none"/>
        </w:rPr>
        <w:t xml:space="preserve">lleged that </w:t>
      </w:r>
      <w:r w:rsidR="003A77AB">
        <w:rPr>
          <w:u w:val="none"/>
        </w:rPr>
        <w:t>Avalon</w:t>
      </w:r>
      <w:r w:rsidR="00C522CC">
        <w:rPr>
          <w:u w:val="none"/>
        </w:rPr>
        <w:t xml:space="preserve"> trus</w:t>
      </w:r>
      <w:r w:rsidR="006E3A9E">
        <w:rPr>
          <w:u w:val="none"/>
        </w:rPr>
        <w:t xml:space="preserve">t lacked authority to sign the Downside Protection Agreement. On the pleadings the Downside Protection Agreement </w:t>
      </w:r>
      <w:r w:rsidR="003A77AB" w:rsidRPr="003A77AB">
        <w:rPr>
          <w:bCs/>
          <w:u w:val="none"/>
        </w:rPr>
        <w:t xml:space="preserve">is not the only written agreement that the Avalon Trust signed with Rannerdale. </w:t>
      </w:r>
      <w:r w:rsidR="00DF641A">
        <w:rPr>
          <w:bCs/>
          <w:u w:val="none"/>
        </w:rPr>
        <w:t>The answering</w:t>
      </w:r>
      <w:r w:rsidR="006E3A9E">
        <w:rPr>
          <w:bCs/>
          <w:u w:val="none"/>
        </w:rPr>
        <w:t xml:space="preserve"> affidavit points out that </w:t>
      </w:r>
      <w:r w:rsidR="00F40632">
        <w:rPr>
          <w:bCs/>
          <w:u w:val="none"/>
        </w:rPr>
        <w:t xml:space="preserve">Mr Van Niekerk (the fourth applicant) </w:t>
      </w:r>
      <w:r>
        <w:rPr>
          <w:bCs/>
          <w:u w:val="none"/>
        </w:rPr>
        <w:t>had</w:t>
      </w:r>
      <w:r w:rsidR="003A77AB" w:rsidRPr="003A77AB">
        <w:rPr>
          <w:bCs/>
          <w:u w:val="none"/>
        </w:rPr>
        <w:t xml:space="preserve"> transacted business through the Avalon Trust with Rannerdale and its principals</w:t>
      </w:r>
      <w:r w:rsidR="003A77AB" w:rsidRPr="003A77AB">
        <w:rPr>
          <w:b/>
          <w:u w:val="none"/>
        </w:rPr>
        <w:t xml:space="preserve"> </w:t>
      </w:r>
      <w:r w:rsidR="003A77AB" w:rsidRPr="003A77AB">
        <w:rPr>
          <w:u w:val="none"/>
        </w:rPr>
        <w:t>since July 2008</w:t>
      </w:r>
      <w:r w:rsidR="003A77AB" w:rsidRPr="003A77AB">
        <w:rPr>
          <w:bCs/>
          <w:u w:val="none"/>
        </w:rPr>
        <w:t xml:space="preserve">. </w:t>
      </w:r>
      <w:r w:rsidR="006E3A9E">
        <w:rPr>
          <w:bCs/>
          <w:u w:val="none"/>
        </w:rPr>
        <w:t>F</w:t>
      </w:r>
      <w:r w:rsidR="003A77AB" w:rsidRPr="003A77AB">
        <w:rPr>
          <w:bCs/>
          <w:u w:val="none"/>
        </w:rPr>
        <w:t xml:space="preserve">rom that time, the Avalon Trust concluded various written agreements with Rannerdale and its then </w:t>
      </w:r>
      <w:r w:rsidR="003A77AB" w:rsidRPr="003A77AB">
        <w:rPr>
          <w:bCs/>
          <w:u w:val="none"/>
        </w:rPr>
        <w:lastRenderedPageBreak/>
        <w:t xml:space="preserve">principals. These include, </w:t>
      </w:r>
      <w:r w:rsidR="006E3A9E">
        <w:rPr>
          <w:bCs/>
          <w:u w:val="none"/>
        </w:rPr>
        <w:t>on the applicants</w:t>
      </w:r>
      <w:r w:rsidR="004561D5">
        <w:rPr>
          <w:bCs/>
          <w:u w:val="none"/>
        </w:rPr>
        <w:t>’</w:t>
      </w:r>
      <w:r w:rsidR="006E3A9E">
        <w:rPr>
          <w:bCs/>
          <w:u w:val="none"/>
        </w:rPr>
        <w:t xml:space="preserve"> own version</w:t>
      </w:r>
      <w:r w:rsidR="00F40632">
        <w:rPr>
          <w:bCs/>
          <w:u w:val="none"/>
        </w:rPr>
        <w:t>,</w:t>
      </w:r>
      <w:r w:rsidR="006E3A9E">
        <w:rPr>
          <w:bCs/>
          <w:u w:val="none"/>
        </w:rPr>
        <w:t xml:space="preserve"> </w:t>
      </w:r>
      <w:r w:rsidR="00E348EE">
        <w:rPr>
          <w:bCs/>
          <w:u w:val="none"/>
        </w:rPr>
        <w:t>Restated</w:t>
      </w:r>
      <w:r w:rsidR="006E3A9E">
        <w:rPr>
          <w:bCs/>
          <w:u w:val="none"/>
        </w:rPr>
        <w:t xml:space="preserve"> Heads of Agreement, Loan and Subscription Agreement</w:t>
      </w:r>
      <w:r w:rsidR="00E348EE">
        <w:rPr>
          <w:bCs/>
          <w:u w:val="none"/>
        </w:rPr>
        <w:t xml:space="preserve"> and</w:t>
      </w:r>
      <w:r w:rsidR="006E3A9E">
        <w:rPr>
          <w:bCs/>
          <w:u w:val="none"/>
        </w:rPr>
        <w:t xml:space="preserve"> a funding agreement.</w:t>
      </w:r>
    </w:p>
    <w:p w:rsidR="003A77AB" w:rsidRPr="00C522CC" w:rsidRDefault="003A77AB" w:rsidP="006E3A9E">
      <w:pPr>
        <w:spacing w:line="480" w:lineRule="auto"/>
        <w:ind w:right="282"/>
        <w:jc w:val="both"/>
        <w:rPr>
          <w:bCs/>
          <w:i/>
          <w:u w:val="none"/>
        </w:rPr>
      </w:pPr>
      <w:r w:rsidRPr="00C522CC">
        <w:rPr>
          <w:bCs/>
          <w:i/>
          <w:u w:val="none"/>
        </w:rPr>
        <w:t xml:space="preserve"> </w:t>
      </w:r>
    </w:p>
    <w:p w:rsidR="003A77AB" w:rsidRDefault="00C522CC" w:rsidP="003A77AB">
      <w:pPr>
        <w:spacing w:before="120" w:after="240" w:line="480" w:lineRule="auto"/>
        <w:jc w:val="both"/>
        <w:rPr>
          <w:bCs/>
          <w:u w:val="none"/>
        </w:rPr>
      </w:pPr>
      <w:r>
        <w:rPr>
          <w:bCs/>
          <w:u w:val="none"/>
        </w:rPr>
        <w:t>[</w:t>
      </w:r>
      <w:r w:rsidR="009B7675">
        <w:rPr>
          <w:bCs/>
          <w:u w:val="none"/>
        </w:rPr>
        <w:t>49</w:t>
      </w:r>
      <w:r>
        <w:rPr>
          <w:bCs/>
          <w:u w:val="none"/>
        </w:rPr>
        <w:t>] The applicants do not e</w:t>
      </w:r>
      <w:r w:rsidR="006E3A9E">
        <w:rPr>
          <w:bCs/>
          <w:u w:val="none"/>
        </w:rPr>
        <w:t>xplain how it is that only the Downside P</w:t>
      </w:r>
      <w:r>
        <w:rPr>
          <w:bCs/>
          <w:u w:val="none"/>
        </w:rPr>
        <w:t xml:space="preserve">rotection </w:t>
      </w:r>
      <w:r w:rsidR="006E3A9E">
        <w:rPr>
          <w:bCs/>
          <w:u w:val="none"/>
        </w:rPr>
        <w:t>A</w:t>
      </w:r>
      <w:r w:rsidR="003A77AB">
        <w:rPr>
          <w:bCs/>
          <w:u w:val="none"/>
        </w:rPr>
        <w:t xml:space="preserve">greement is </w:t>
      </w:r>
      <w:r w:rsidR="004561D5">
        <w:rPr>
          <w:bCs/>
          <w:u w:val="none"/>
        </w:rPr>
        <w:t>affected</w:t>
      </w:r>
      <w:r w:rsidR="003A77AB">
        <w:rPr>
          <w:bCs/>
          <w:u w:val="none"/>
        </w:rPr>
        <w:t xml:space="preserve"> by lack of competency. Furthermore, in the founding affidavit, the applicants concede</w:t>
      </w:r>
      <w:r w:rsidR="00E348EE">
        <w:rPr>
          <w:bCs/>
          <w:u w:val="none"/>
        </w:rPr>
        <w:t>d</w:t>
      </w:r>
      <w:r w:rsidR="003A77AB">
        <w:rPr>
          <w:bCs/>
          <w:u w:val="none"/>
        </w:rPr>
        <w:t xml:space="preserve"> that the Avalon Trust considered itself bound by </w:t>
      </w:r>
      <w:r w:rsidR="006E3A9E">
        <w:rPr>
          <w:bCs/>
          <w:u w:val="none"/>
        </w:rPr>
        <w:t>the provisions of the Downside Protection A</w:t>
      </w:r>
      <w:r w:rsidR="003A77AB">
        <w:rPr>
          <w:bCs/>
          <w:u w:val="none"/>
        </w:rPr>
        <w:t xml:space="preserve">greement. </w:t>
      </w:r>
      <w:r w:rsidR="006029B4">
        <w:rPr>
          <w:bCs/>
          <w:u w:val="none"/>
        </w:rPr>
        <w:t xml:space="preserve">Surprisingly, in the light of the alleged lack of authority the </w:t>
      </w:r>
      <w:r w:rsidR="003A77AB">
        <w:rPr>
          <w:bCs/>
          <w:u w:val="none"/>
        </w:rPr>
        <w:t xml:space="preserve">trustees of the Avalon Trust, </w:t>
      </w:r>
      <w:r w:rsidR="00E348EE">
        <w:rPr>
          <w:bCs/>
          <w:u w:val="none"/>
        </w:rPr>
        <w:t>applied to SARB fo</w:t>
      </w:r>
      <w:r w:rsidR="003A77AB">
        <w:rPr>
          <w:bCs/>
          <w:u w:val="none"/>
        </w:rPr>
        <w:t>r approval of the transaction, which they now allege was never authorised</w:t>
      </w:r>
      <w:r w:rsidR="001E1324">
        <w:rPr>
          <w:bCs/>
          <w:u w:val="none"/>
        </w:rPr>
        <w:t xml:space="preserve"> to do so.</w:t>
      </w:r>
    </w:p>
    <w:p w:rsidR="007953EE" w:rsidRDefault="007953EE" w:rsidP="003A77AB">
      <w:pPr>
        <w:spacing w:before="120" w:after="240" w:line="480" w:lineRule="auto"/>
        <w:jc w:val="both"/>
        <w:rPr>
          <w:bCs/>
          <w:u w:val="none"/>
        </w:rPr>
      </w:pPr>
    </w:p>
    <w:p w:rsidR="00F779D6" w:rsidRDefault="005F7E18" w:rsidP="003A77AB">
      <w:pPr>
        <w:spacing w:before="120" w:after="240" w:line="480" w:lineRule="auto"/>
        <w:jc w:val="both"/>
        <w:rPr>
          <w:bCs/>
          <w:u w:val="none"/>
        </w:rPr>
      </w:pPr>
      <w:r>
        <w:rPr>
          <w:bCs/>
          <w:u w:val="none"/>
        </w:rPr>
        <w:t>[5</w:t>
      </w:r>
      <w:r w:rsidR="009B7675">
        <w:rPr>
          <w:bCs/>
          <w:u w:val="none"/>
        </w:rPr>
        <w:t>0</w:t>
      </w:r>
      <w:r w:rsidR="006E3A9E">
        <w:rPr>
          <w:bCs/>
          <w:u w:val="none"/>
        </w:rPr>
        <w:t>]In terms of the Downside Protection A</w:t>
      </w:r>
      <w:r w:rsidR="00F779D6">
        <w:rPr>
          <w:bCs/>
          <w:u w:val="none"/>
        </w:rPr>
        <w:t>greement, each signatory also warranted in Rannerdale’s favour that they had the required corporate power and authority.</w:t>
      </w:r>
      <w:r w:rsidR="00C522CC">
        <w:rPr>
          <w:bCs/>
          <w:u w:val="none"/>
        </w:rPr>
        <w:t xml:space="preserve"> </w:t>
      </w:r>
      <w:r w:rsidR="00F779D6">
        <w:rPr>
          <w:bCs/>
          <w:u w:val="none"/>
        </w:rPr>
        <w:t xml:space="preserve">It is unclear why Mr Van Niekerk in this one instance lacked authority to sign on behalf </w:t>
      </w:r>
      <w:r w:rsidR="00E348EE">
        <w:rPr>
          <w:bCs/>
          <w:u w:val="none"/>
        </w:rPr>
        <w:t>o</w:t>
      </w:r>
      <w:r w:rsidR="00F779D6">
        <w:rPr>
          <w:bCs/>
          <w:u w:val="none"/>
        </w:rPr>
        <w:t>f the Avalon Trust</w:t>
      </w:r>
      <w:r w:rsidR="006029B4">
        <w:rPr>
          <w:bCs/>
          <w:u w:val="none"/>
        </w:rPr>
        <w:t>. The evidence accordingly does not support the defence that Mr Van Niekerk lacked authority. Accordingly in the light of any factual evidence this defence should be rejected</w:t>
      </w:r>
      <w:r w:rsidR="00F779D6">
        <w:rPr>
          <w:bCs/>
          <w:u w:val="none"/>
        </w:rPr>
        <w:t>.</w:t>
      </w:r>
      <w:r w:rsidR="00F779D6">
        <w:rPr>
          <w:rStyle w:val="FootnoteReference"/>
          <w:bCs/>
          <w:u w:val="none"/>
        </w:rPr>
        <w:footnoteReference w:id="14"/>
      </w:r>
    </w:p>
    <w:p w:rsidR="005E0522" w:rsidRDefault="005E0522" w:rsidP="003A77AB">
      <w:pPr>
        <w:spacing w:before="120" w:after="240" w:line="480" w:lineRule="auto"/>
        <w:jc w:val="both"/>
        <w:rPr>
          <w:b/>
          <w:bCs/>
          <w:u w:val="none"/>
        </w:rPr>
      </w:pPr>
    </w:p>
    <w:p w:rsidR="00E348EE" w:rsidRDefault="005E0522" w:rsidP="003A77AB">
      <w:pPr>
        <w:spacing w:before="120" w:after="240" w:line="480" w:lineRule="auto"/>
        <w:jc w:val="both"/>
        <w:rPr>
          <w:b/>
          <w:bCs/>
        </w:rPr>
      </w:pPr>
      <w:r>
        <w:rPr>
          <w:b/>
          <w:bCs/>
          <w:u w:val="none"/>
        </w:rPr>
        <w:t>(</w:t>
      </w:r>
      <w:r w:rsidR="00E348EE">
        <w:rPr>
          <w:b/>
          <w:bCs/>
          <w:u w:val="none"/>
        </w:rPr>
        <w:t>e)</w:t>
      </w:r>
      <w:r w:rsidR="00F779D6" w:rsidRPr="00F779D6">
        <w:rPr>
          <w:b/>
          <w:bCs/>
        </w:rPr>
        <w:t>T</w:t>
      </w:r>
      <w:r w:rsidR="00E348EE">
        <w:rPr>
          <w:b/>
          <w:bCs/>
        </w:rPr>
        <w:t>he Protection of Businesses Act Defences</w:t>
      </w:r>
    </w:p>
    <w:p w:rsidR="00F779D6" w:rsidRDefault="005F7E18" w:rsidP="003A77AB">
      <w:pPr>
        <w:spacing w:before="120" w:after="240" w:line="480" w:lineRule="auto"/>
        <w:jc w:val="both"/>
        <w:rPr>
          <w:bCs/>
          <w:u w:val="none"/>
        </w:rPr>
      </w:pPr>
      <w:r>
        <w:rPr>
          <w:bCs/>
          <w:u w:val="none"/>
        </w:rPr>
        <w:t>[5</w:t>
      </w:r>
      <w:r w:rsidR="009B7675">
        <w:rPr>
          <w:bCs/>
          <w:u w:val="none"/>
        </w:rPr>
        <w:t>1</w:t>
      </w:r>
      <w:r w:rsidR="00F779D6">
        <w:rPr>
          <w:bCs/>
          <w:u w:val="none"/>
        </w:rPr>
        <w:t xml:space="preserve">]It is alleged by the applicants that the enforcement of the </w:t>
      </w:r>
      <w:r w:rsidR="00F7358E">
        <w:rPr>
          <w:bCs/>
          <w:u w:val="none"/>
        </w:rPr>
        <w:t>C</w:t>
      </w:r>
      <w:r w:rsidR="00F779D6">
        <w:rPr>
          <w:bCs/>
          <w:u w:val="none"/>
        </w:rPr>
        <w:t xml:space="preserve">ommercial Court’s order is prohibited by virtue of section 1 of the Protection </w:t>
      </w:r>
      <w:r w:rsidR="006E3A9E">
        <w:rPr>
          <w:bCs/>
          <w:u w:val="none"/>
        </w:rPr>
        <w:t>of Business</w:t>
      </w:r>
      <w:r w:rsidR="00F7358E">
        <w:rPr>
          <w:bCs/>
          <w:u w:val="none"/>
        </w:rPr>
        <w:t>es</w:t>
      </w:r>
      <w:r w:rsidR="006E3A9E">
        <w:rPr>
          <w:bCs/>
          <w:u w:val="none"/>
        </w:rPr>
        <w:t xml:space="preserve"> </w:t>
      </w:r>
      <w:r w:rsidR="006E3A9E">
        <w:rPr>
          <w:bCs/>
          <w:u w:val="none"/>
        </w:rPr>
        <w:lastRenderedPageBreak/>
        <w:t xml:space="preserve">Act </w:t>
      </w:r>
      <w:r w:rsidR="00E348EE">
        <w:rPr>
          <w:bCs/>
          <w:u w:val="none"/>
        </w:rPr>
        <w:t xml:space="preserve">99 </w:t>
      </w:r>
      <w:r w:rsidR="006E3A9E">
        <w:rPr>
          <w:bCs/>
          <w:u w:val="none"/>
        </w:rPr>
        <w:t>of 1978</w:t>
      </w:r>
      <w:r w:rsidR="006029B4">
        <w:rPr>
          <w:bCs/>
          <w:u w:val="none"/>
        </w:rPr>
        <w:t>,</w:t>
      </w:r>
      <w:r w:rsidR="006E3A9E">
        <w:rPr>
          <w:bCs/>
          <w:u w:val="none"/>
        </w:rPr>
        <w:t xml:space="preserve"> as the C</w:t>
      </w:r>
      <w:r w:rsidR="00F779D6">
        <w:rPr>
          <w:bCs/>
          <w:u w:val="none"/>
        </w:rPr>
        <w:t>ommercial Court granted punitive damages against the applicants.</w:t>
      </w:r>
      <w:r w:rsidR="00E348EE">
        <w:rPr>
          <w:bCs/>
          <w:u w:val="none"/>
        </w:rPr>
        <w:t xml:space="preserve"> </w:t>
      </w:r>
      <w:r w:rsidR="00F779D6">
        <w:rPr>
          <w:bCs/>
          <w:u w:val="none"/>
        </w:rPr>
        <w:t>A perusal of the papers reveal that the applicants’ affidavit does not make out a case that punitive damages w</w:t>
      </w:r>
      <w:r w:rsidR="00F7358E">
        <w:rPr>
          <w:bCs/>
          <w:u w:val="none"/>
        </w:rPr>
        <w:t>ere</w:t>
      </w:r>
      <w:r w:rsidR="00F779D6">
        <w:rPr>
          <w:bCs/>
          <w:u w:val="none"/>
        </w:rPr>
        <w:t xml:space="preserve"> awarded. It was a consent order made as a result of </w:t>
      </w:r>
      <w:r w:rsidR="006E3A9E">
        <w:rPr>
          <w:bCs/>
          <w:u w:val="none"/>
        </w:rPr>
        <w:t>a negotiated settlement.</w:t>
      </w:r>
    </w:p>
    <w:p w:rsidR="007953EE" w:rsidRDefault="007953EE" w:rsidP="00F779D6">
      <w:pPr>
        <w:snapToGrid w:val="0"/>
        <w:spacing w:before="240" w:after="240" w:line="480" w:lineRule="auto"/>
        <w:jc w:val="both"/>
        <w:rPr>
          <w:bCs/>
          <w:u w:val="none"/>
        </w:rPr>
      </w:pPr>
    </w:p>
    <w:p w:rsidR="00F779D6" w:rsidRPr="00F779D6" w:rsidRDefault="007953EE" w:rsidP="00F779D6">
      <w:pPr>
        <w:snapToGrid w:val="0"/>
        <w:spacing w:before="240" w:after="240" w:line="480" w:lineRule="auto"/>
        <w:jc w:val="both"/>
        <w:rPr>
          <w:bCs/>
          <w:u w:val="none"/>
        </w:rPr>
      </w:pPr>
      <w:r>
        <w:rPr>
          <w:bCs/>
          <w:u w:val="none"/>
        </w:rPr>
        <w:t>[</w:t>
      </w:r>
      <w:r w:rsidR="005F7E18">
        <w:rPr>
          <w:bCs/>
          <w:u w:val="none"/>
        </w:rPr>
        <w:t>5</w:t>
      </w:r>
      <w:r w:rsidR="00A354C5">
        <w:rPr>
          <w:bCs/>
          <w:u w:val="none"/>
        </w:rPr>
        <w:t>2</w:t>
      </w:r>
      <w:r w:rsidR="00E03417">
        <w:rPr>
          <w:bCs/>
          <w:u w:val="none"/>
        </w:rPr>
        <w:t>]</w:t>
      </w:r>
      <w:r w:rsidR="00F779D6" w:rsidRPr="00F779D6">
        <w:rPr>
          <w:bCs/>
          <w:u w:val="none"/>
        </w:rPr>
        <w:t>Section 1(1)(a) of the Protection of Businesses Act states, among others, that – notwithstanding anything to the contrary contained in any law or other legal rule, and except with the permission of the Minister of Economic Affairs – no judgement, order and/or delivered, given or issued or emanating from outside the Republic in connection with any civil proceedings and arising from any act or transaction contemplated in section 1(3) shall be enforced in the Republic.</w:t>
      </w:r>
    </w:p>
    <w:p w:rsidR="00F779D6" w:rsidRPr="00F779D6" w:rsidRDefault="00F779D6" w:rsidP="00F779D6">
      <w:pPr>
        <w:snapToGrid w:val="0"/>
        <w:spacing w:before="240" w:after="240" w:line="480" w:lineRule="auto"/>
        <w:ind w:left="709"/>
        <w:jc w:val="both"/>
        <w:rPr>
          <w:bCs/>
          <w:u w:val="none"/>
        </w:rPr>
      </w:pPr>
      <w:r w:rsidRPr="00F779D6">
        <w:rPr>
          <w:bCs/>
          <w:u w:val="none"/>
        </w:rPr>
        <w:t>Section 1(3) reads—</w:t>
      </w:r>
    </w:p>
    <w:p w:rsidR="00F779D6" w:rsidRPr="00C522CC" w:rsidRDefault="00F779D6" w:rsidP="00F779D6">
      <w:pPr>
        <w:pStyle w:val="DPLevel3List"/>
        <w:numPr>
          <w:ilvl w:val="0"/>
          <w:numId w:val="0"/>
        </w:numPr>
        <w:snapToGrid w:val="0"/>
        <w:ind w:left="851" w:right="284"/>
        <w:rPr>
          <w:rFonts w:ascii="Arial" w:hAnsi="Arial"/>
          <w:i/>
          <w:szCs w:val="24"/>
        </w:rPr>
      </w:pPr>
      <w:r w:rsidRPr="00F779D6">
        <w:rPr>
          <w:rFonts w:ascii="Arial" w:hAnsi="Arial"/>
          <w:szCs w:val="24"/>
        </w:rPr>
        <w:t>“</w:t>
      </w:r>
      <w:r w:rsidRPr="00C522CC">
        <w:rPr>
          <w:rFonts w:ascii="Arial" w:hAnsi="Arial"/>
          <w:i/>
          <w:szCs w:val="24"/>
        </w:rPr>
        <w:t>In the application of subsection (1) (a) an act or transaction shall be an act or transaction which took place at any time, whether before or after the commencement of this Act, and is connected with the mining, production, importation, exportation, refinement, possession, use or sale of or ownership to any matter or material, of whatever nature, whether within, outside, into or from the Republic.”</w:t>
      </w:r>
    </w:p>
    <w:p w:rsidR="007953EE" w:rsidRDefault="007953EE" w:rsidP="00F779D6">
      <w:pPr>
        <w:snapToGrid w:val="0"/>
        <w:spacing w:before="240" w:after="240" w:line="480" w:lineRule="auto"/>
        <w:jc w:val="both"/>
        <w:rPr>
          <w:bCs/>
          <w:u w:val="none"/>
        </w:rPr>
      </w:pPr>
    </w:p>
    <w:p w:rsidR="00E348EE" w:rsidRDefault="005F7E18" w:rsidP="006E3A9E">
      <w:pPr>
        <w:pStyle w:val="DPLevel3List"/>
        <w:numPr>
          <w:ilvl w:val="0"/>
          <w:numId w:val="0"/>
        </w:numPr>
        <w:snapToGrid w:val="0"/>
        <w:ind w:right="284"/>
        <w:rPr>
          <w:rFonts w:ascii="Arial" w:hAnsi="Arial"/>
          <w:szCs w:val="24"/>
        </w:rPr>
      </w:pPr>
      <w:r>
        <w:rPr>
          <w:rFonts w:ascii="Arial" w:hAnsi="Arial"/>
          <w:szCs w:val="24"/>
        </w:rPr>
        <w:t>[5</w:t>
      </w:r>
      <w:r w:rsidR="00A354C5">
        <w:rPr>
          <w:rFonts w:ascii="Arial" w:hAnsi="Arial"/>
          <w:szCs w:val="24"/>
        </w:rPr>
        <w:t>3</w:t>
      </w:r>
      <w:r w:rsidR="006E3A9E">
        <w:rPr>
          <w:rFonts w:ascii="Arial" w:hAnsi="Arial"/>
          <w:szCs w:val="24"/>
        </w:rPr>
        <w:t xml:space="preserve">]It was held that the </w:t>
      </w:r>
      <w:r w:rsidR="00E348EE">
        <w:rPr>
          <w:rFonts w:ascii="Arial" w:hAnsi="Arial"/>
          <w:szCs w:val="24"/>
        </w:rPr>
        <w:t>Protection</w:t>
      </w:r>
      <w:r w:rsidR="006233A1">
        <w:rPr>
          <w:rFonts w:ascii="Arial" w:hAnsi="Arial"/>
          <w:szCs w:val="24"/>
        </w:rPr>
        <w:t xml:space="preserve"> of</w:t>
      </w:r>
      <w:r w:rsidR="00E348EE">
        <w:rPr>
          <w:rFonts w:ascii="Arial" w:hAnsi="Arial"/>
          <w:szCs w:val="24"/>
        </w:rPr>
        <w:t xml:space="preserve"> Businesses</w:t>
      </w:r>
      <w:r w:rsidR="006E3A9E">
        <w:rPr>
          <w:rFonts w:ascii="Arial" w:hAnsi="Arial"/>
          <w:szCs w:val="24"/>
        </w:rPr>
        <w:t xml:space="preserve"> Act ought to be applied and interpreted in a manner that respects and advances constitutional rights, that is important due to its dubious origin as protectionist legislation which found </w:t>
      </w:r>
      <w:r w:rsidR="006E3A9E">
        <w:rPr>
          <w:rFonts w:ascii="Arial" w:hAnsi="Arial"/>
          <w:szCs w:val="24"/>
        </w:rPr>
        <w:lastRenderedPageBreak/>
        <w:t>its roots in the apartheid regime</w:t>
      </w:r>
      <w:r w:rsidR="006029B4">
        <w:rPr>
          <w:rFonts w:ascii="Arial" w:hAnsi="Arial"/>
          <w:szCs w:val="24"/>
        </w:rPr>
        <w:t xml:space="preserve"> and in the light that our law recognizes and enforces foreign judgments in general</w:t>
      </w:r>
      <w:r w:rsidR="006E3A9E">
        <w:rPr>
          <w:rFonts w:ascii="Arial" w:hAnsi="Arial"/>
          <w:szCs w:val="24"/>
        </w:rPr>
        <w:t>.</w:t>
      </w:r>
      <w:r w:rsidR="006E3A9E">
        <w:rPr>
          <w:rStyle w:val="FootnoteReference"/>
          <w:rFonts w:ascii="Arial" w:hAnsi="Arial"/>
          <w:szCs w:val="24"/>
        </w:rPr>
        <w:footnoteReference w:id="15"/>
      </w:r>
    </w:p>
    <w:p w:rsidR="005E0522" w:rsidRDefault="005E0522" w:rsidP="00E348EE">
      <w:pPr>
        <w:pStyle w:val="DPLevel3List"/>
        <w:numPr>
          <w:ilvl w:val="0"/>
          <w:numId w:val="0"/>
        </w:numPr>
        <w:snapToGrid w:val="0"/>
        <w:ind w:right="284"/>
        <w:rPr>
          <w:rFonts w:cs="Times New Roman"/>
          <w:szCs w:val="24"/>
        </w:rPr>
      </w:pPr>
    </w:p>
    <w:p w:rsidR="00E348EE" w:rsidRDefault="00E348EE" w:rsidP="00E348EE">
      <w:pPr>
        <w:pStyle w:val="DPLevel3List"/>
        <w:numPr>
          <w:ilvl w:val="0"/>
          <w:numId w:val="0"/>
        </w:numPr>
        <w:snapToGrid w:val="0"/>
        <w:ind w:right="284"/>
        <w:rPr>
          <w:rFonts w:ascii="Arial" w:hAnsi="Arial"/>
          <w:szCs w:val="24"/>
        </w:rPr>
      </w:pPr>
      <w:r w:rsidRPr="00F271D5">
        <w:rPr>
          <w:rFonts w:cs="Times New Roman"/>
          <w:szCs w:val="24"/>
        </w:rPr>
        <w:t>[</w:t>
      </w:r>
      <w:r w:rsidR="005F7E18">
        <w:rPr>
          <w:rFonts w:ascii="Arial" w:hAnsi="Arial"/>
          <w:szCs w:val="24"/>
        </w:rPr>
        <w:t>5</w:t>
      </w:r>
      <w:r w:rsidR="00A354C5">
        <w:rPr>
          <w:rFonts w:ascii="Arial" w:hAnsi="Arial"/>
          <w:szCs w:val="24"/>
        </w:rPr>
        <w:t>4</w:t>
      </w:r>
      <w:r w:rsidRPr="00F271D5">
        <w:rPr>
          <w:rFonts w:cs="Times New Roman"/>
          <w:szCs w:val="24"/>
        </w:rPr>
        <w:t>]</w:t>
      </w:r>
      <w:r>
        <w:rPr>
          <w:rFonts w:ascii="Arial" w:hAnsi="Arial"/>
          <w:szCs w:val="24"/>
        </w:rPr>
        <w:t xml:space="preserve">In </w:t>
      </w:r>
      <w:r w:rsidRPr="00F779D6">
        <w:rPr>
          <w:rFonts w:ascii="Arial" w:hAnsi="Arial"/>
          <w:b/>
          <w:szCs w:val="24"/>
        </w:rPr>
        <w:t>Trademore</w:t>
      </w:r>
      <w:r>
        <w:rPr>
          <w:rStyle w:val="FootnoteReference"/>
          <w:rFonts w:ascii="Arial" w:hAnsi="Arial"/>
          <w:b/>
          <w:szCs w:val="24"/>
        </w:rPr>
        <w:footnoteReference w:id="16"/>
      </w:r>
      <w:r>
        <w:rPr>
          <w:rFonts w:ascii="Arial" w:hAnsi="Arial"/>
          <w:b/>
          <w:szCs w:val="24"/>
        </w:rPr>
        <w:t xml:space="preserve"> </w:t>
      </w:r>
      <w:r>
        <w:rPr>
          <w:rFonts w:ascii="Arial" w:hAnsi="Arial"/>
          <w:szCs w:val="24"/>
        </w:rPr>
        <w:t>it was recognized that a party who obtains judgment and seeks to enforce and execute it in South Africa seeks to invoke section 34  of the Constitution, that guarantees access to Courts and section 39 and 233 which require the Minister to facilitate the International Principles of Comity, reciprocity and orderly conduct and exigency of international trade.</w:t>
      </w:r>
      <w:r>
        <w:rPr>
          <w:rStyle w:val="FootnoteReference"/>
          <w:rFonts w:ascii="Arial" w:hAnsi="Arial"/>
          <w:szCs w:val="24"/>
        </w:rPr>
        <w:footnoteReference w:id="17"/>
      </w:r>
    </w:p>
    <w:p w:rsidR="005E0522" w:rsidRDefault="005E0522" w:rsidP="005F7E18">
      <w:pPr>
        <w:snapToGrid w:val="0"/>
        <w:spacing w:before="240" w:after="240" w:line="480" w:lineRule="auto"/>
        <w:jc w:val="both"/>
        <w:rPr>
          <w:bCs/>
          <w:u w:val="none"/>
        </w:rPr>
      </w:pPr>
    </w:p>
    <w:p w:rsidR="003B7144" w:rsidRDefault="005F7E18" w:rsidP="005F7E18">
      <w:pPr>
        <w:snapToGrid w:val="0"/>
        <w:spacing w:before="240" w:after="240" w:line="480" w:lineRule="auto"/>
        <w:jc w:val="both"/>
        <w:rPr>
          <w:bCs/>
          <w:u w:val="none"/>
        </w:rPr>
      </w:pPr>
      <w:r>
        <w:rPr>
          <w:bCs/>
          <w:u w:val="none"/>
        </w:rPr>
        <w:t>[5</w:t>
      </w:r>
      <w:r w:rsidR="00A354C5">
        <w:rPr>
          <w:bCs/>
          <w:u w:val="none"/>
        </w:rPr>
        <w:t>5</w:t>
      </w:r>
      <w:r w:rsidR="006E3A9E">
        <w:rPr>
          <w:bCs/>
          <w:u w:val="none"/>
        </w:rPr>
        <w:t>]The Downside Protection A</w:t>
      </w:r>
      <w:r w:rsidR="006E3A9E" w:rsidRPr="00F271D5">
        <w:rPr>
          <w:bCs/>
          <w:u w:val="none"/>
        </w:rPr>
        <w:t>greement does not govern terms and conditions amongst its parties for the sale or export of raw materials</w:t>
      </w:r>
      <w:r w:rsidR="006E3A9E">
        <w:rPr>
          <w:bCs/>
          <w:u w:val="none"/>
        </w:rPr>
        <w:t>,</w:t>
      </w:r>
      <w:r w:rsidR="006E3A9E" w:rsidRPr="00F271D5">
        <w:rPr>
          <w:bCs/>
          <w:u w:val="none"/>
        </w:rPr>
        <w:t xml:space="preserve"> or substances from which physical things are made</w:t>
      </w:r>
      <w:r w:rsidR="006029B4">
        <w:rPr>
          <w:bCs/>
          <w:u w:val="none"/>
        </w:rPr>
        <w:t>,</w:t>
      </w:r>
      <w:r w:rsidR="006029B4" w:rsidRPr="00F271D5">
        <w:rPr>
          <w:bCs/>
          <w:u w:val="none"/>
        </w:rPr>
        <w:t xml:space="preserve"> </w:t>
      </w:r>
      <w:r w:rsidR="006029B4">
        <w:rPr>
          <w:bCs/>
          <w:u w:val="none"/>
        </w:rPr>
        <w:t>i</w:t>
      </w:r>
      <w:r w:rsidR="006E3A9E" w:rsidRPr="00F271D5">
        <w:rPr>
          <w:bCs/>
          <w:u w:val="none"/>
        </w:rPr>
        <w:t>t is simply a</w:t>
      </w:r>
      <w:r w:rsidR="00E348EE">
        <w:rPr>
          <w:bCs/>
          <w:u w:val="none"/>
        </w:rPr>
        <w:t xml:space="preserve"> financial </w:t>
      </w:r>
      <w:r w:rsidR="006E3A9E" w:rsidRPr="00F271D5">
        <w:rPr>
          <w:bCs/>
          <w:u w:val="none"/>
        </w:rPr>
        <w:t xml:space="preserve">agreement ensuring that a foreign based investor who had </w:t>
      </w:r>
      <w:r w:rsidR="00D23C2E">
        <w:rPr>
          <w:bCs/>
          <w:u w:val="none"/>
        </w:rPr>
        <w:t>apparently</w:t>
      </w:r>
      <w:r w:rsidR="006029B4">
        <w:rPr>
          <w:bCs/>
          <w:u w:val="none"/>
        </w:rPr>
        <w:t xml:space="preserve"> assisted </w:t>
      </w:r>
      <w:r w:rsidR="006E3A9E" w:rsidRPr="00F271D5">
        <w:rPr>
          <w:bCs/>
          <w:u w:val="none"/>
        </w:rPr>
        <w:t>shareholders of DMC from their funding obligations and DMC itself would be rewarded for taking such risks.</w:t>
      </w:r>
      <w:r w:rsidR="006E3A9E" w:rsidRPr="00F271D5">
        <w:rPr>
          <w:rStyle w:val="FootnoteReference"/>
          <w:bCs/>
          <w:u w:val="none"/>
        </w:rPr>
        <w:t xml:space="preserve"> </w:t>
      </w:r>
      <w:r w:rsidR="00977918">
        <w:rPr>
          <w:bCs/>
          <w:u w:val="none"/>
        </w:rPr>
        <w:t xml:space="preserve"> </w:t>
      </w:r>
      <w:r w:rsidR="008107AE">
        <w:rPr>
          <w:bCs/>
          <w:u w:val="none"/>
        </w:rPr>
        <w:t xml:space="preserve">In the light of the </w:t>
      </w:r>
      <w:r w:rsidR="006029B4">
        <w:rPr>
          <w:bCs/>
          <w:u w:val="none"/>
        </w:rPr>
        <w:t>facts there is no merit in this defence.</w:t>
      </w:r>
    </w:p>
    <w:p w:rsidR="005E0522" w:rsidRDefault="005E0522" w:rsidP="005F7E18">
      <w:pPr>
        <w:snapToGrid w:val="0"/>
        <w:spacing w:before="240" w:after="240" w:line="480" w:lineRule="auto"/>
        <w:jc w:val="both"/>
        <w:rPr>
          <w:b/>
          <w:bCs/>
          <w:u w:val="none"/>
        </w:rPr>
      </w:pPr>
    </w:p>
    <w:p w:rsidR="008107AE" w:rsidRPr="005F7E18" w:rsidRDefault="003B7144" w:rsidP="005F7E18">
      <w:pPr>
        <w:snapToGrid w:val="0"/>
        <w:spacing w:before="240" w:after="240" w:line="480" w:lineRule="auto"/>
        <w:jc w:val="both"/>
        <w:rPr>
          <w:bCs/>
          <w:u w:val="none"/>
        </w:rPr>
      </w:pPr>
      <w:r>
        <w:rPr>
          <w:b/>
          <w:bCs/>
          <w:u w:val="none"/>
        </w:rPr>
        <w:t>(f</w:t>
      </w:r>
      <w:r w:rsidR="00E348EE">
        <w:rPr>
          <w:b/>
          <w:bCs/>
          <w:u w:val="none"/>
        </w:rPr>
        <w:t>)</w:t>
      </w:r>
      <w:r w:rsidR="008107AE" w:rsidRPr="008107AE">
        <w:rPr>
          <w:b/>
          <w:bCs/>
        </w:rPr>
        <w:t>T</w:t>
      </w:r>
      <w:r w:rsidR="00346720">
        <w:rPr>
          <w:b/>
          <w:bCs/>
        </w:rPr>
        <w:t>he defence that the Commercial Court order violates Public Policy</w:t>
      </w:r>
    </w:p>
    <w:p w:rsidR="00D4651B" w:rsidRDefault="005F7E18" w:rsidP="00F271D5">
      <w:pPr>
        <w:snapToGrid w:val="0"/>
        <w:spacing w:before="240" w:after="240" w:line="480" w:lineRule="auto"/>
        <w:jc w:val="both"/>
        <w:rPr>
          <w:bCs/>
          <w:u w:val="none"/>
        </w:rPr>
      </w:pPr>
      <w:r>
        <w:rPr>
          <w:bCs/>
          <w:u w:val="none"/>
        </w:rPr>
        <w:lastRenderedPageBreak/>
        <w:t>[5</w:t>
      </w:r>
      <w:r w:rsidR="00A354C5">
        <w:rPr>
          <w:bCs/>
          <w:u w:val="none"/>
        </w:rPr>
        <w:t>6</w:t>
      </w:r>
      <w:r w:rsidR="008107AE">
        <w:rPr>
          <w:bCs/>
          <w:u w:val="none"/>
        </w:rPr>
        <w:t>]On a perusal of the founding affidavit it is not clear on what basis this defence is raised</w:t>
      </w:r>
      <w:r w:rsidR="006029B4">
        <w:rPr>
          <w:bCs/>
          <w:u w:val="none"/>
        </w:rPr>
        <w:t>, it is essential that the basis of the case be set out properly</w:t>
      </w:r>
      <w:r w:rsidR="00977918">
        <w:rPr>
          <w:bCs/>
          <w:u w:val="none"/>
        </w:rPr>
        <w:t xml:space="preserve"> in the founding affidavit</w:t>
      </w:r>
      <w:r w:rsidR="008107AE">
        <w:rPr>
          <w:bCs/>
          <w:u w:val="none"/>
        </w:rPr>
        <w:t>.</w:t>
      </w:r>
      <w:r w:rsidR="006029B4">
        <w:rPr>
          <w:rStyle w:val="FootnoteReference"/>
          <w:bCs/>
          <w:u w:val="none"/>
        </w:rPr>
        <w:footnoteReference w:id="18"/>
      </w:r>
      <w:r w:rsidR="00C522CC">
        <w:rPr>
          <w:bCs/>
          <w:u w:val="none"/>
        </w:rPr>
        <w:t xml:space="preserve"> </w:t>
      </w:r>
      <w:r w:rsidR="008107AE">
        <w:rPr>
          <w:bCs/>
          <w:u w:val="none"/>
        </w:rPr>
        <w:t>It is required of parties who wish to raise issues that implicate constitutional values and public policy considerations to do so clearly.</w:t>
      </w:r>
      <w:r w:rsidR="008107AE">
        <w:rPr>
          <w:rStyle w:val="FootnoteReference"/>
          <w:bCs/>
          <w:u w:val="none"/>
        </w:rPr>
        <w:footnoteReference w:id="19"/>
      </w:r>
      <w:r w:rsidR="00C522CC">
        <w:rPr>
          <w:bCs/>
          <w:u w:val="none"/>
        </w:rPr>
        <w:t xml:space="preserve"> </w:t>
      </w:r>
      <w:r w:rsidR="008107AE">
        <w:rPr>
          <w:bCs/>
          <w:u w:val="none"/>
        </w:rPr>
        <w:t>In</w:t>
      </w:r>
      <w:r w:rsidR="00C522CC">
        <w:rPr>
          <w:bCs/>
          <w:u w:val="none"/>
        </w:rPr>
        <w:t xml:space="preserve"> the absence of a factual matrix</w:t>
      </w:r>
      <w:r w:rsidR="008107AE">
        <w:rPr>
          <w:bCs/>
          <w:u w:val="none"/>
        </w:rPr>
        <w:t xml:space="preserve"> to substantiate </w:t>
      </w:r>
      <w:r w:rsidR="00A354C5">
        <w:rPr>
          <w:bCs/>
          <w:u w:val="none"/>
        </w:rPr>
        <w:t>it</w:t>
      </w:r>
      <w:r w:rsidR="008107AE">
        <w:rPr>
          <w:bCs/>
          <w:u w:val="none"/>
        </w:rPr>
        <w:t xml:space="preserve"> there cannot be any basis for such a defence, to the contrary it is imperative that as part of the international community and with due defe</w:t>
      </w:r>
      <w:r w:rsidR="00E348EE">
        <w:rPr>
          <w:bCs/>
          <w:u w:val="none"/>
        </w:rPr>
        <w:t>re</w:t>
      </w:r>
      <w:r w:rsidR="008107AE">
        <w:rPr>
          <w:bCs/>
          <w:u w:val="none"/>
        </w:rPr>
        <w:t>nce to the Constitution legitimate foreign orders should be respected and enforced.</w:t>
      </w:r>
      <w:r w:rsidR="008107AE">
        <w:rPr>
          <w:rStyle w:val="FootnoteReference"/>
          <w:bCs/>
          <w:u w:val="none"/>
        </w:rPr>
        <w:footnoteReference w:id="20"/>
      </w:r>
      <w:r w:rsidR="00E348EE">
        <w:rPr>
          <w:bCs/>
          <w:u w:val="none"/>
        </w:rPr>
        <w:t xml:space="preserve"> </w:t>
      </w:r>
      <w:r w:rsidR="00D4651B">
        <w:rPr>
          <w:bCs/>
          <w:u w:val="none"/>
        </w:rPr>
        <w:t>This defence is farfetched and ignore all principles of comity of nations and international trade.</w:t>
      </w:r>
    </w:p>
    <w:p w:rsidR="00D4651B" w:rsidRDefault="00D4651B" w:rsidP="00F271D5">
      <w:pPr>
        <w:snapToGrid w:val="0"/>
        <w:spacing w:before="240" w:after="240" w:line="480" w:lineRule="auto"/>
        <w:jc w:val="both"/>
        <w:rPr>
          <w:bCs/>
          <w:u w:val="none"/>
        </w:rPr>
      </w:pPr>
    </w:p>
    <w:p w:rsidR="008107AE" w:rsidRPr="008107AE" w:rsidRDefault="005E0522" w:rsidP="00F271D5">
      <w:pPr>
        <w:snapToGrid w:val="0"/>
        <w:spacing w:before="240" w:after="240" w:line="480" w:lineRule="auto"/>
        <w:jc w:val="both"/>
        <w:rPr>
          <w:b/>
          <w:bCs/>
        </w:rPr>
      </w:pPr>
      <w:r>
        <w:rPr>
          <w:b/>
          <w:bCs/>
        </w:rPr>
        <w:t>(g)</w:t>
      </w:r>
      <w:r w:rsidR="00D4651B">
        <w:rPr>
          <w:b/>
          <w:bCs/>
        </w:rPr>
        <w:t>T</w:t>
      </w:r>
      <w:r w:rsidR="00A22C40">
        <w:rPr>
          <w:b/>
          <w:bCs/>
        </w:rPr>
        <w:t xml:space="preserve">he </w:t>
      </w:r>
      <w:r w:rsidR="008107AE" w:rsidRPr="008107AE">
        <w:rPr>
          <w:b/>
          <w:bCs/>
        </w:rPr>
        <w:t>D</w:t>
      </w:r>
      <w:r w:rsidR="00A22C40">
        <w:rPr>
          <w:b/>
          <w:bCs/>
        </w:rPr>
        <w:t>efence</w:t>
      </w:r>
      <w:r w:rsidR="008107AE" w:rsidRPr="008107AE">
        <w:rPr>
          <w:b/>
          <w:bCs/>
        </w:rPr>
        <w:t xml:space="preserve"> </w:t>
      </w:r>
      <w:r w:rsidR="00A22C40">
        <w:rPr>
          <w:b/>
          <w:bCs/>
        </w:rPr>
        <w:t xml:space="preserve">that the </w:t>
      </w:r>
      <w:r w:rsidR="008107AE" w:rsidRPr="008107AE">
        <w:rPr>
          <w:b/>
          <w:bCs/>
        </w:rPr>
        <w:t>D</w:t>
      </w:r>
      <w:r w:rsidR="00A22C40">
        <w:rPr>
          <w:b/>
          <w:bCs/>
        </w:rPr>
        <w:t>ownside</w:t>
      </w:r>
      <w:r w:rsidR="008107AE" w:rsidRPr="008107AE">
        <w:rPr>
          <w:b/>
          <w:bCs/>
        </w:rPr>
        <w:t xml:space="preserve"> </w:t>
      </w:r>
      <w:r w:rsidR="00A22C40" w:rsidRPr="008107AE">
        <w:rPr>
          <w:b/>
          <w:bCs/>
        </w:rPr>
        <w:t>P</w:t>
      </w:r>
      <w:r w:rsidR="00A22C40">
        <w:rPr>
          <w:b/>
          <w:bCs/>
        </w:rPr>
        <w:t>rotection</w:t>
      </w:r>
      <w:r w:rsidR="008107AE" w:rsidRPr="008107AE">
        <w:rPr>
          <w:b/>
          <w:bCs/>
        </w:rPr>
        <w:t xml:space="preserve"> A</w:t>
      </w:r>
      <w:r w:rsidR="00A22C40">
        <w:rPr>
          <w:b/>
          <w:bCs/>
        </w:rPr>
        <w:t xml:space="preserve">greement is </w:t>
      </w:r>
      <w:r w:rsidR="008107AE" w:rsidRPr="008107AE">
        <w:rPr>
          <w:b/>
          <w:bCs/>
        </w:rPr>
        <w:t>P</w:t>
      </w:r>
      <w:r w:rsidR="00A22C40">
        <w:rPr>
          <w:b/>
          <w:bCs/>
        </w:rPr>
        <w:t xml:space="preserve">rohibited by </w:t>
      </w:r>
      <w:r w:rsidR="008107AE" w:rsidRPr="008107AE">
        <w:rPr>
          <w:b/>
          <w:bCs/>
        </w:rPr>
        <w:t>S</w:t>
      </w:r>
      <w:r w:rsidR="00A22C40">
        <w:rPr>
          <w:b/>
          <w:bCs/>
        </w:rPr>
        <w:t>ection</w:t>
      </w:r>
      <w:r w:rsidR="008107AE" w:rsidRPr="008107AE">
        <w:rPr>
          <w:b/>
          <w:bCs/>
        </w:rPr>
        <w:t xml:space="preserve"> 52 OF T</w:t>
      </w:r>
      <w:r w:rsidR="00A22C40">
        <w:rPr>
          <w:b/>
          <w:bCs/>
        </w:rPr>
        <w:t xml:space="preserve">he </w:t>
      </w:r>
      <w:r w:rsidR="008107AE" w:rsidRPr="008107AE">
        <w:rPr>
          <w:b/>
          <w:bCs/>
        </w:rPr>
        <w:t>C</w:t>
      </w:r>
      <w:r w:rsidR="00A22C40">
        <w:rPr>
          <w:b/>
          <w:bCs/>
        </w:rPr>
        <w:t>lose</w:t>
      </w:r>
      <w:r w:rsidR="008107AE" w:rsidRPr="008107AE">
        <w:rPr>
          <w:b/>
          <w:bCs/>
        </w:rPr>
        <w:t xml:space="preserve"> C</w:t>
      </w:r>
      <w:r w:rsidR="00A22C40">
        <w:rPr>
          <w:b/>
          <w:bCs/>
        </w:rPr>
        <w:t xml:space="preserve">orporation </w:t>
      </w:r>
      <w:r w:rsidR="008107AE" w:rsidRPr="008107AE">
        <w:rPr>
          <w:b/>
          <w:bCs/>
        </w:rPr>
        <w:t xml:space="preserve"> A</w:t>
      </w:r>
      <w:r w:rsidR="00A22C40">
        <w:rPr>
          <w:b/>
          <w:bCs/>
        </w:rPr>
        <w:t>ct</w:t>
      </w:r>
    </w:p>
    <w:p w:rsidR="006778C9" w:rsidRPr="00EC32E9" w:rsidRDefault="003B7144" w:rsidP="00EC32E9">
      <w:pPr>
        <w:snapToGrid w:val="0"/>
        <w:spacing w:before="240" w:after="240" w:line="480" w:lineRule="auto"/>
        <w:jc w:val="both"/>
        <w:rPr>
          <w:bCs/>
          <w:u w:val="none"/>
        </w:rPr>
      </w:pPr>
      <w:r>
        <w:rPr>
          <w:bCs/>
          <w:u w:val="none"/>
        </w:rPr>
        <w:t>[</w:t>
      </w:r>
      <w:r w:rsidR="00A354C5">
        <w:rPr>
          <w:bCs/>
          <w:u w:val="none"/>
        </w:rPr>
        <w:t>57</w:t>
      </w:r>
      <w:r w:rsidR="00977918">
        <w:rPr>
          <w:bCs/>
          <w:u w:val="none"/>
        </w:rPr>
        <w:t>]I</w:t>
      </w:r>
      <w:r w:rsidR="008107AE">
        <w:rPr>
          <w:bCs/>
          <w:u w:val="none"/>
        </w:rPr>
        <w:t>n the affidavits the applicants did not clarify how this provision find application in the present matter.</w:t>
      </w:r>
      <w:r w:rsidR="00A22C40">
        <w:rPr>
          <w:bCs/>
          <w:u w:val="none"/>
        </w:rPr>
        <w:t xml:space="preserve"> A perusal of the section leaves one confused as how this section could be applied. In any event no factual matrix is set to explain how and why it should find application.</w:t>
      </w:r>
      <w:r w:rsidR="00D4651B">
        <w:rPr>
          <w:u w:val="none"/>
        </w:rPr>
        <w:t xml:space="preserve"> </w:t>
      </w:r>
      <w:r w:rsidR="006778C9">
        <w:rPr>
          <w:u w:val="none"/>
        </w:rPr>
        <w:t>The reference to this section of the Close Corporation Act is made in</w:t>
      </w:r>
      <w:r w:rsidR="00C522CC">
        <w:rPr>
          <w:u w:val="none"/>
        </w:rPr>
        <w:t xml:space="preserve"> a total vacuum and it do</w:t>
      </w:r>
      <w:r w:rsidR="006778C9">
        <w:rPr>
          <w:u w:val="none"/>
        </w:rPr>
        <w:t xml:space="preserve">es obviously not constitute a </w:t>
      </w:r>
      <w:r w:rsidR="006778C9" w:rsidRPr="00DF641A">
        <w:rPr>
          <w:i/>
          <w:u w:val="none"/>
        </w:rPr>
        <w:t>bona fide</w:t>
      </w:r>
      <w:r w:rsidR="006778C9">
        <w:rPr>
          <w:u w:val="none"/>
        </w:rPr>
        <w:t xml:space="preserve"> defence.</w:t>
      </w:r>
    </w:p>
    <w:p w:rsidR="007953EE" w:rsidRDefault="007953EE" w:rsidP="008107AE">
      <w:pPr>
        <w:snapToGrid w:val="0"/>
        <w:spacing w:before="120" w:after="120" w:line="480" w:lineRule="auto"/>
        <w:ind w:left="720" w:hanging="720"/>
        <w:jc w:val="both"/>
        <w:rPr>
          <w:b/>
        </w:rPr>
      </w:pPr>
    </w:p>
    <w:p w:rsidR="006778C9" w:rsidRPr="006778C9" w:rsidRDefault="006778C9" w:rsidP="008107AE">
      <w:pPr>
        <w:snapToGrid w:val="0"/>
        <w:spacing w:before="120" w:after="120" w:line="480" w:lineRule="auto"/>
        <w:ind w:left="720" w:hanging="720"/>
        <w:jc w:val="both"/>
        <w:rPr>
          <w:b/>
        </w:rPr>
      </w:pPr>
      <w:r w:rsidRPr="006778C9">
        <w:rPr>
          <w:b/>
        </w:rPr>
        <w:t>CONCLUSION</w:t>
      </w:r>
    </w:p>
    <w:p w:rsidR="0033100C" w:rsidRDefault="003B7144" w:rsidP="005E0522">
      <w:pPr>
        <w:snapToGrid w:val="0"/>
        <w:spacing w:before="120" w:after="120" w:line="480" w:lineRule="auto"/>
        <w:jc w:val="both"/>
        <w:rPr>
          <w:u w:val="none"/>
        </w:rPr>
      </w:pPr>
      <w:r>
        <w:rPr>
          <w:u w:val="none"/>
        </w:rPr>
        <w:lastRenderedPageBreak/>
        <w:t>[</w:t>
      </w:r>
      <w:r w:rsidR="00EC32E9">
        <w:rPr>
          <w:u w:val="none"/>
        </w:rPr>
        <w:t>58</w:t>
      </w:r>
      <w:r w:rsidR="0033100C">
        <w:rPr>
          <w:u w:val="none"/>
        </w:rPr>
        <w:t>]</w:t>
      </w:r>
      <w:r w:rsidR="005E0522">
        <w:rPr>
          <w:u w:val="none"/>
        </w:rPr>
        <w:t>The applicant</w:t>
      </w:r>
      <w:r w:rsidR="00B953CF">
        <w:rPr>
          <w:u w:val="none"/>
        </w:rPr>
        <w:t>s</w:t>
      </w:r>
      <w:r w:rsidR="005E0522">
        <w:rPr>
          <w:u w:val="none"/>
        </w:rPr>
        <w:t xml:space="preserve"> did not satisfy the requirements for a rescission of the enforcement order to be granted. The delay in bringing this application was not </w:t>
      </w:r>
      <w:r w:rsidR="00B953CF">
        <w:rPr>
          <w:u w:val="none"/>
        </w:rPr>
        <w:t>satisfactorily</w:t>
      </w:r>
      <w:r w:rsidR="005E0522">
        <w:rPr>
          <w:u w:val="none"/>
        </w:rPr>
        <w:t xml:space="preserve"> explained, and the defences raised is not </w:t>
      </w:r>
      <w:r w:rsidR="005E0522" w:rsidRPr="005E0522">
        <w:rPr>
          <w:i/>
          <w:u w:val="none"/>
        </w:rPr>
        <w:t>bona fide</w:t>
      </w:r>
      <w:r w:rsidR="005E0522">
        <w:rPr>
          <w:u w:val="none"/>
        </w:rPr>
        <w:t>, nor are they borne out by the facts. Importantly they were never raised in the Commercial Court, when an order by consent was obtained. Despite the plethora of pleadings in this Court and the Commercial Court, there is no objective evidence to support any of these defences in the applicants</w:t>
      </w:r>
      <w:r w:rsidR="00B953CF">
        <w:rPr>
          <w:u w:val="none"/>
        </w:rPr>
        <w:t>’</w:t>
      </w:r>
      <w:r w:rsidR="005E0522">
        <w:rPr>
          <w:u w:val="none"/>
        </w:rPr>
        <w:t xml:space="preserve"> affidavits.</w:t>
      </w:r>
    </w:p>
    <w:p w:rsidR="00A22C40" w:rsidRPr="00D4651B" w:rsidRDefault="0033100C" w:rsidP="0033100C">
      <w:pPr>
        <w:snapToGrid w:val="0"/>
        <w:spacing w:before="120" w:after="120" w:line="480" w:lineRule="auto"/>
        <w:ind w:left="720" w:hanging="720"/>
        <w:jc w:val="both"/>
        <w:rPr>
          <w:bCs/>
          <w:u w:val="none"/>
          <w:lang w:val="en-US"/>
        </w:rPr>
      </w:pPr>
      <w:r w:rsidRPr="00D4651B">
        <w:rPr>
          <w:bCs/>
          <w:u w:val="none"/>
          <w:lang w:val="en-US"/>
        </w:rPr>
        <w:t xml:space="preserve"> </w:t>
      </w:r>
    </w:p>
    <w:p w:rsidR="006778C9" w:rsidRPr="00825C38" w:rsidRDefault="003B7144" w:rsidP="006778C9">
      <w:pPr>
        <w:snapToGrid w:val="0"/>
        <w:spacing w:before="240" w:after="240" w:line="480" w:lineRule="auto"/>
        <w:jc w:val="both"/>
        <w:rPr>
          <w:color w:val="242121"/>
          <w:u w:val="none"/>
        </w:rPr>
      </w:pPr>
      <w:r>
        <w:rPr>
          <w:color w:val="242121"/>
          <w:u w:val="none"/>
        </w:rPr>
        <w:t>[</w:t>
      </w:r>
      <w:r w:rsidR="00EC32E9">
        <w:rPr>
          <w:color w:val="242121"/>
          <w:u w:val="none"/>
        </w:rPr>
        <w:t>59</w:t>
      </w:r>
      <w:r w:rsidR="006778C9">
        <w:rPr>
          <w:color w:val="242121"/>
          <w:u w:val="none"/>
        </w:rPr>
        <w:t xml:space="preserve">]The applicants have no defence, let alone a </w:t>
      </w:r>
      <w:r w:rsidR="006778C9" w:rsidRPr="006778C9">
        <w:rPr>
          <w:i/>
          <w:color w:val="242121"/>
          <w:u w:val="none"/>
        </w:rPr>
        <w:t>bona fide</w:t>
      </w:r>
      <w:r w:rsidR="006778C9">
        <w:rPr>
          <w:color w:val="242121"/>
          <w:u w:val="none"/>
        </w:rPr>
        <w:t xml:space="preserve"> defence. The manner in which the defences were raised in the founding affidavit and the paucity of information and the inadequate replying affidavit can only point to a total lack of </w:t>
      </w:r>
      <w:r w:rsidR="006778C9" w:rsidRPr="006778C9">
        <w:rPr>
          <w:i/>
          <w:color w:val="242121"/>
          <w:u w:val="none"/>
        </w:rPr>
        <w:t>bona fides.</w:t>
      </w:r>
      <w:r w:rsidR="00825C38">
        <w:rPr>
          <w:i/>
          <w:color w:val="242121"/>
          <w:u w:val="none"/>
        </w:rPr>
        <w:t xml:space="preserve"> </w:t>
      </w:r>
      <w:r w:rsidR="00825C38">
        <w:rPr>
          <w:color w:val="242121"/>
          <w:u w:val="none"/>
        </w:rPr>
        <w:t>The Court has a wide discretion to grant a rescission application, in this instance however</w:t>
      </w:r>
      <w:r w:rsidR="003A1E48">
        <w:rPr>
          <w:color w:val="242121"/>
          <w:u w:val="none"/>
        </w:rPr>
        <w:t>,</w:t>
      </w:r>
      <w:r w:rsidR="00825C38">
        <w:rPr>
          <w:color w:val="242121"/>
          <w:u w:val="none"/>
        </w:rPr>
        <w:t xml:space="preserve"> to grant such an application will not constitute a proper exercise of </w:t>
      </w:r>
      <w:r w:rsidR="005F7E18">
        <w:rPr>
          <w:color w:val="242121"/>
          <w:u w:val="none"/>
        </w:rPr>
        <w:t>such</w:t>
      </w:r>
      <w:r w:rsidR="00825C38">
        <w:rPr>
          <w:color w:val="242121"/>
          <w:u w:val="none"/>
        </w:rPr>
        <w:t xml:space="preserve"> discretion.</w:t>
      </w:r>
    </w:p>
    <w:p w:rsidR="005E0522" w:rsidRDefault="005E0522" w:rsidP="001F10F7">
      <w:pPr>
        <w:snapToGrid w:val="0"/>
        <w:spacing w:before="240" w:after="240" w:line="480" w:lineRule="auto"/>
        <w:jc w:val="both"/>
        <w:rPr>
          <w:u w:val="none"/>
        </w:rPr>
      </w:pPr>
    </w:p>
    <w:p w:rsidR="001F10F7" w:rsidRPr="001F10F7" w:rsidRDefault="003B7144" w:rsidP="001F10F7">
      <w:pPr>
        <w:snapToGrid w:val="0"/>
        <w:spacing w:before="240" w:after="240" w:line="480" w:lineRule="auto"/>
        <w:jc w:val="both"/>
        <w:rPr>
          <w:u w:val="none"/>
        </w:rPr>
      </w:pPr>
      <w:r>
        <w:rPr>
          <w:u w:val="none"/>
        </w:rPr>
        <w:t>[6</w:t>
      </w:r>
      <w:r w:rsidR="00EC32E9">
        <w:rPr>
          <w:u w:val="none"/>
        </w:rPr>
        <w:t>0</w:t>
      </w:r>
      <w:r w:rsidR="001F10F7">
        <w:rPr>
          <w:u w:val="none"/>
        </w:rPr>
        <w:t>]</w:t>
      </w:r>
      <w:r w:rsidR="003B1230">
        <w:rPr>
          <w:u w:val="none"/>
        </w:rPr>
        <w:t>C</w:t>
      </w:r>
      <w:r w:rsidR="001F10F7" w:rsidRPr="001F10F7">
        <w:rPr>
          <w:u w:val="none"/>
        </w:rPr>
        <w:t>ourts have awarded costs on an attorney and client scale to mark their disapproval of fraudulent, dishonest</w:t>
      </w:r>
      <w:r w:rsidR="00825C38">
        <w:rPr>
          <w:u w:val="none"/>
        </w:rPr>
        <w:t>,</w:t>
      </w:r>
      <w:r w:rsidR="001F10F7" w:rsidRPr="001F10F7">
        <w:rPr>
          <w:u w:val="none"/>
        </w:rPr>
        <w:t xml:space="preserve"> </w:t>
      </w:r>
      <w:r w:rsidR="001F10F7" w:rsidRPr="00A22C40">
        <w:rPr>
          <w:i/>
          <w:u w:val="none"/>
        </w:rPr>
        <w:t>mala fide</w:t>
      </w:r>
      <w:r w:rsidR="00825C38">
        <w:rPr>
          <w:i/>
          <w:u w:val="none"/>
        </w:rPr>
        <w:t>,</w:t>
      </w:r>
      <w:r w:rsidR="001F10F7" w:rsidRPr="001F10F7">
        <w:rPr>
          <w:u w:val="none"/>
        </w:rPr>
        <w:t xml:space="preserve"> vexatious conduct or conduct that amounts to an abuse of the process of court</w:t>
      </w:r>
      <w:r w:rsidR="00D4651B">
        <w:rPr>
          <w:u w:val="none"/>
        </w:rPr>
        <w:t>.</w:t>
      </w:r>
      <w:r w:rsidR="001F10F7" w:rsidRPr="001F10F7">
        <w:rPr>
          <w:u w:val="none"/>
        </w:rPr>
        <w:t xml:space="preserve"> </w:t>
      </w:r>
      <w:r w:rsidR="003B1230">
        <w:rPr>
          <w:u w:val="none"/>
        </w:rPr>
        <w:t>In my view this rescission application is nothing but an abuse of the process of the Court. The conduct of the applicants is also severally prejudicial to Lexshell</w:t>
      </w:r>
      <w:r w:rsidR="00825C38">
        <w:rPr>
          <w:u w:val="none"/>
        </w:rPr>
        <w:t>, in the light of a court order that was obtained during 2017.</w:t>
      </w:r>
    </w:p>
    <w:p w:rsidR="005E0522" w:rsidRDefault="005E0522" w:rsidP="001F10F7">
      <w:pPr>
        <w:snapToGrid w:val="0"/>
        <w:spacing w:before="240" w:after="240" w:line="480" w:lineRule="auto"/>
        <w:jc w:val="both"/>
        <w:rPr>
          <w:u w:val="none"/>
        </w:rPr>
      </w:pPr>
    </w:p>
    <w:p w:rsidR="001F10F7" w:rsidRDefault="003B7144" w:rsidP="001F10F7">
      <w:pPr>
        <w:snapToGrid w:val="0"/>
        <w:spacing w:before="240" w:after="240" w:line="480" w:lineRule="auto"/>
        <w:jc w:val="both"/>
        <w:rPr>
          <w:u w:val="none"/>
        </w:rPr>
      </w:pPr>
      <w:r>
        <w:rPr>
          <w:u w:val="none"/>
        </w:rPr>
        <w:lastRenderedPageBreak/>
        <w:t>[6</w:t>
      </w:r>
      <w:r w:rsidR="00EC32E9">
        <w:rPr>
          <w:u w:val="none"/>
        </w:rPr>
        <w:t>1</w:t>
      </w:r>
      <w:r w:rsidR="001F10F7">
        <w:rPr>
          <w:u w:val="none"/>
        </w:rPr>
        <w:t>]</w:t>
      </w:r>
      <w:r w:rsidR="001F10F7" w:rsidRPr="001F10F7">
        <w:rPr>
          <w:u w:val="none"/>
        </w:rPr>
        <w:t xml:space="preserve">In this </w:t>
      </w:r>
      <w:r w:rsidR="006233A1">
        <w:rPr>
          <w:u w:val="none"/>
        </w:rPr>
        <w:t>instance</w:t>
      </w:r>
      <w:r w:rsidR="001F10F7" w:rsidRPr="001F10F7">
        <w:rPr>
          <w:u w:val="none"/>
        </w:rPr>
        <w:t>, the applicants clearly brought their application to subvert the course of justice. Theirs was an application merely intended to further delay and frustrate Lexshell in ensuring that the applicants comply with the terms of a monetary judgment handed down by the Commercial Court more than five years ago.</w:t>
      </w:r>
      <w:r w:rsidR="003B1230">
        <w:rPr>
          <w:u w:val="none"/>
        </w:rPr>
        <w:t xml:space="preserve"> </w:t>
      </w:r>
      <w:r w:rsidR="001F10F7">
        <w:rPr>
          <w:u w:val="none"/>
        </w:rPr>
        <w:t>In the light of all the above the applicants should be penalised with a punitive costs order.</w:t>
      </w:r>
    </w:p>
    <w:p w:rsidR="007953EE" w:rsidRDefault="007953EE" w:rsidP="001F10F7">
      <w:pPr>
        <w:snapToGrid w:val="0"/>
        <w:spacing w:before="240" w:after="240" w:line="480" w:lineRule="auto"/>
        <w:jc w:val="both"/>
        <w:rPr>
          <w:u w:val="none"/>
        </w:rPr>
      </w:pPr>
    </w:p>
    <w:p w:rsidR="001F10F7" w:rsidRPr="007953EE" w:rsidRDefault="003B7144" w:rsidP="001F10F7">
      <w:pPr>
        <w:snapToGrid w:val="0"/>
        <w:spacing w:before="240" w:after="240" w:line="480" w:lineRule="auto"/>
        <w:jc w:val="both"/>
        <w:rPr>
          <w:b/>
          <w:u w:val="none"/>
        </w:rPr>
      </w:pPr>
      <w:r>
        <w:rPr>
          <w:u w:val="none"/>
        </w:rPr>
        <w:t>[6</w:t>
      </w:r>
      <w:r w:rsidR="00EC32E9">
        <w:rPr>
          <w:u w:val="none"/>
        </w:rPr>
        <w:t>2</w:t>
      </w:r>
      <w:r>
        <w:rPr>
          <w:u w:val="none"/>
        </w:rPr>
        <w:t>]</w:t>
      </w:r>
      <w:r w:rsidR="001F10F7" w:rsidRPr="007953EE">
        <w:rPr>
          <w:b/>
          <w:u w:val="none"/>
        </w:rPr>
        <w:t>The following order is made:</w:t>
      </w:r>
    </w:p>
    <w:p w:rsidR="001F10F7" w:rsidRPr="007953EE" w:rsidRDefault="0033100C" w:rsidP="001F10F7">
      <w:pPr>
        <w:snapToGrid w:val="0"/>
        <w:spacing w:before="240" w:after="240" w:line="480" w:lineRule="auto"/>
        <w:jc w:val="both"/>
        <w:rPr>
          <w:b/>
          <w:u w:val="none"/>
        </w:rPr>
      </w:pPr>
      <w:r>
        <w:rPr>
          <w:b/>
          <w:u w:val="none"/>
        </w:rPr>
        <w:tab/>
        <w:t>62</w:t>
      </w:r>
      <w:r w:rsidR="001F10F7" w:rsidRPr="007953EE">
        <w:rPr>
          <w:b/>
          <w:u w:val="none"/>
        </w:rPr>
        <w:t>.1</w:t>
      </w:r>
      <w:r w:rsidR="001F10F7" w:rsidRPr="007953EE">
        <w:rPr>
          <w:b/>
          <w:u w:val="none"/>
        </w:rPr>
        <w:tab/>
        <w:t>The application is dismissed; and</w:t>
      </w:r>
    </w:p>
    <w:p w:rsidR="001F10F7" w:rsidRDefault="0033100C" w:rsidP="007953EE">
      <w:pPr>
        <w:snapToGrid w:val="0"/>
        <w:spacing w:before="240" w:after="240" w:line="480" w:lineRule="auto"/>
        <w:ind w:left="1440" w:hanging="720"/>
        <w:jc w:val="both"/>
        <w:rPr>
          <w:b/>
          <w:u w:val="none"/>
        </w:rPr>
      </w:pPr>
      <w:r>
        <w:rPr>
          <w:b/>
          <w:u w:val="none"/>
        </w:rPr>
        <w:t>62</w:t>
      </w:r>
      <w:r w:rsidR="001F10F7" w:rsidRPr="007953EE">
        <w:rPr>
          <w:b/>
          <w:u w:val="none"/>
        </w:rPr>
        <w:t>.2</w:t>
      </w:r>
      <w:r w:rsidR="001F10F7" w:rsidRPr="007953EE">
        <w:rPr>
          <w:b/>
          <w:u w:val="none"/>
        </w:rPr>
        <w:tab/>
        <w:t xml:space="preserve">The applicants must pay the costs </w:t>
      </w:r>
      <w:r w:rsidR="005F7E18">
        <w:rPr>
          <w:b/>
          <w:u w:val="none"/>
        </w:rPr>
        <w:t>of the respondent, j</w:t>
      </w:r>
      <w:r w:rsidR="00825C38">
        <w:rPr>
          <w:b/>
          <w:u w:val="none"/>
        </w:rPr>
        <w:t>ointly and severally the one paying the other to be absolved</w:t>
      </w:r>
      <w:r w:rsidR="006233A1">
        <w:rPr>
          <w:b/>
          <w:u w:val="none"/>
        </w:rPr>
        <w:t>,</w:t>
      </w:r>
      <w:r w:rsidR="003B1230">
        <w:rPr>
          <w:b/>
          <w:u w:val="none"/>
        </w:rPr>
        <w:t xml:space="preserve"> </w:t>
      </w:r>
      <w:r w:rsidR="001F10F7" w:rsidRPr="007953EE">
        <w:rPr>
          <w:b/>
          <w:u w:val="none"/>
        </w:rPr>
        <w:t>on an attorney and client scale.</w:t>
      </w:r>
    </w:p>
    <w:p w:rsidR="00DF641A" w:rsidRPr="007953EE" w:rsidRDefault="00DF641A" w:rsidP="007953EE">
      <w:pPr>
        <w:snapToGrid w:val="0"/>
        <w:spacing w:before="240" w:after="240" w:line="480" w:lineRule="auto"/>
        <w:ind w:left="1440" w:hanging="720"/>
        <w:jc w:val="both"/>
        <w:rPr>
          <w:b/>
          <w:u w:val="none"/>
        </w:rPr>
      </w:pPr>
    </w:p>
    <w:p w:rsidR="001F10F7" w:rsidRDefault="001F10F7" w:rsidP="001F10F7">
      <w:pPr>
        <w:snapToGrid w:val="0"/>
        <w:spacing w:before="240" w:after="240" w:line="480" w:lineRule="auto"/>
        <w:ind w:left="1440" w:hanging="720"/>
        <w:jc w:val="right"/>
        <w:rPr>
          <w:u w:val="none"/>
        </w:rPr>
      </w:pPr>
      <w:r>
        <w:rPr>
          <w:u w:val="none"/>
        </w:rPr>
        <w:t>________________________</w:t>
      </w:r>
    </w:p>
    <w:p w:rsidR="001F10F7" w:rsidRDefault="001F10F7" w:rsidP="001F10F7">
      <w:pPr>
        <w:snapToGrid w:val="0"/>
        <w:spacing w:before="240" w:after="240" w:line="480" w:lineRule="auto"/>
        <w:ind w:left="1440" w:hanging="720"/>
        <w:jc w:val="right"/>
        <w:rPr>
          <w:b/>
          <w:u w:val="none"/>
        </w:rPr>
      </w:pPr>
      <w:r>
        <w:rPr>
          <w:b/>
          <w:u w:val="none"/>
        </w:rPr>
        <w:t>R G TOLMAY</w:t>
      </w:r>
    </w:p>
    <w:p w:rsidR="001F10F7" w:rsidRDefault="001F10F7" w:rsidP="001F10F7">
      <w:pPr>
        <w:snapToGrid w:val="0"/>
        <w:spacing w:before="240" w:after="240" w:line="480" w:lineRule="auto"/>
        <w:ind w:left="1440" w:hanging="720"/>
        <w:jc w:val="right"/>
        <w:rPr>
          <w:b/>
          <w:u w:val="none"/>
        </w:rPr>
      </w:pPr>
      <w:r>
        <w:rPr>
          <w:b/>
          <w:u w:val="none"/>
        </w:rPr>
        <w:t>JUDGE OF THE HIGH COURT, PRETORIA</w:t>
      </w:r>
    </w:p>
    <w:p w:rsidR="00E03417" w:rsidRDefault="00E03417" w:rsidP="001F10F7">
      <w:pPr>
        <w:snapToGrid w:val="0"/>
        <w:spacing w:before="240" w:after="240" w:line="480" w:lineRule="auto"/>
        <w:ind w:left="1440" w:hanging="720"/>
        <w:jc w:val="both"/>
        <w:rPr>
          <w:b/>
          <w:u w:val="none"/>
        </w:rPr>
      </w:pPr>
    </w:p>
    <w:p w:rsidR="001F10F7" w:rsidRDefault="001F10F7" w:rsidP="001F10F7">
      <w:pPr>
        <w:snapToGrid w:val="0"/>
        <w:spacing w:before="240" w:after="240" w:line="480" w:lineRule="auto"/>
        <w:ind w:left="1440" w:hanging="720"/>
        <w:jc w:val="both"/>
        <w:rPr>
          <w:b/>
          <w:u w:val="none"/>
        </w:rPr>
      </w:pPr>
      <w:r>
        <w:rPr>
          <w:b/>
          <w:u w:val="none"/>
        </w:rPr>
        <w:t>DATE OF HEARING:</w:t>
      </w:r>
      <w:r w:rsidR="0033100C">
        <w:rPr>
          <w:b/>
          <w:u w:val="none"/>
        </w:rPr>
        <w:tab/>
      </w:r>
      <w:r w:rsidR="0033100C">
        <w:rPr>
          <w:b/>
          <w:u w:val="none"/>
        </w:rPr>
        <w:tab/>
      </w:r>
      <w:r w:rsidR="0033100C">
        <w:rPr>
          <w:b/>
          <w:u w:val="none"/>
        </w:rPr>
        <w:tab/>
        <w:t>23 JANAURY 2023</w:t>
      </w:r>
    </w:p>
    <w:p w:rsidR="001F10F7" w:rsidRDefault="000724F0" w:rsidP="001F10F7">
      <w:pPr>
        <w:snapToGrid w:val="0"/>
        <w:spacing w:before="240" w:after="240" w:line="480" w:lineRule="auto"/>
        <w:ind w:left="1440" w:hanging="720"/>
        <w:jc w:val="both"/>
        <w:rPr>
          <w:b/>
          <w:u w:val="none"/>
        </w:rPr>
      </w:pPr>
      <w:r>
        <w:rPr>
          <w:b/>
          <w:u w:val="none"/>
        </w:rPr>
        <w:t>DATE OF J</w:t>
      </w:r>
      <w:r w:rsidR="001F10F7">
        <w:rPr>
          <w:b/>
          <w:u w:val="none"/>
        </w:rPr>
        <w:t>U</w:t>
      </w:r>
      <w:r>
        <w:rPr>
          <w:b/>
          <w:u w:val="none"/>
        </w:rPr>
        <w:t>D</w:t>
      </w:r>
      <w:r w:rsidR="001F10F7">
        <w:rPr>
          <w:b/>
          <w:u w:val="none"/>
        </w:rPr>
        <w:t>GMENT</w:t>
      </w:r>
      <w:r w:rsidR="0033100C">
        <w:rPr>
          <w:b/>
          <w:u w:val="none"/>
        </w:rPr>
        <w:t>:</w:t>
      </w:r>
      <w:r w:rsidR="0033100C">
        <w:rPr>
          <w:b/>
          <w:u w:val="none"/>
        </w:rPr>
        <w:tab/>
      </w:r>
      <w:r w:rsidR="0033100C">
        <w:rPr>
          <w:b/>
          <w:u w:val="none"/>
        </w:rPr>
        <w:tab/>
      </w:r>
      <w:r w:rsidR="0033100C">
        <w:rPr>
          <w:b/>
          <w:u w:val="none"/>
        </w:rPr>
        <w:tab/>
        <w:t>20 MARCH 2023</w:t>
      </w:r>
    </w:p>
    <w:p w:rsidR="00E03417" w:rsidRDefault="00E03417" w:rsidP="001F10F7">
      <w:pPr>
        <w:snapToGrid w:val="0"/>
        <w:spacing w:before="240" w:after="240" w:line="480" w:lineRule="auto"/>
        <w:ind w:left="1440" w:hanging="720"/>
        <w:jc w:val="both"/>
        <w:rPr>
          <w:b/>
          <w:u w:val="none"/>
        </w:rPr>
      </w:pPr>
    </w:p>
    <w:p w:rsidR="001F10F7" w:rsidRDefault="001F10F7" w:rsidP="001F10F7">
      <w:pPr>
        <w:snapToGrid w:val="0"/>
        <w:spacing w:before="240" w:after="240" w:line="480" w:lineRule="auto"/>
        <w:ind w:left="1440" w:hanging="720"/>
        <w:jc w:val="both"/>
        <w:rPr>
          <w:b/>
          <w:u w:val="none"/>
        </w:rPr>
      </w:pPr>
      <w:r>
        <w:rPr>
          <w:b/>
          <w:u w:val="none"/>
        </w:rPr>
        <w:lastRenderedPageBreak/>
        <w:t>ATTORNEY FOR APPLICANTS:</w:t>
      </w:r>
      <w:r w:rsidR="0033100C">
        <w:rPr>
          <w:b/>
          <w:u w:val="none"/>
        </w:rPr>
        <w:tab/>
      </w:r>
      <w:r w:rsidR="0033100C">
        <w:rPr>
          <w:b/>
          <w:u w:val="none"/>
        </w:rPr>
        <w:tab/>
        <w:t>JULIAN KNIGHT &amp; ASS INC</w:t>
      </w:r>
    </w:p>
    <w:p w:rsidR="001F10F7" w:rsidRDefault="001F10F7" w:rsidP="001F10F7">
      <w:pPr>
        <w:snapToGrid w:val="0"/>
        <w:spacing w:before="240" w:after="240" w:line="480" w:lineRule="auto"/>
        <w:ind w:left="1440" w:hanging="720"/>
        <w:jc w:val="both"/>
        <w:rPr>
          <w:b/>
          <w:u w:val="none"/>
        </w:rPr>
      </w:pPr>
      <w:r>
        <w:rPr>
          <w:b/>
          <w:u w:val="none"/>
        </w:rPr>
        <w:t>ADVOCATE FOR APPLICANTS:</w:t>
      </w:r>
      <w:r w:rsidR="0033100C">
        <w:rPr>
          <w:b/>
          <w:u w:val="none"/>
        </w:rPr>
        <w:tab/>
        <w:t>ADV D P VILLER</w:t>
      </w:r>
    </w:p>
    <w:p w:rsidR="001F10F7" w:rsidRDefault="001F10F7" w:rsidP="001F10F7">
      <w:pPr>
        <w:snapToGrid w:val="0"/>
        <w:spacing w:before="240" w:after="240" w:line="480" w:lineRule="auto"/>
        <w:ind w:left="1440" w:hanging="720"/>
        <w:jc w:val="both"/>
        <w:rPr>
          <w:b/>
          <w:u w:val="none"/>
        </w:rPr>
      </w:pPr>
    </w:p>
    <w:p w:rsidR="001F10F7" w:rsidRDefault="001F10F7" w:rsidP="001F10F7">
      <w:pPr>
        <w:snapToGrid w:val="0"/>
        <w:spacing w:before="240" w:after="240" w:line="480" w:lineRule="auto"/>
        <w:ind w:left="1440" w:hanging="720"/>
        <w:jc w:val="both"/>
        <w:rPr>
          <w:b/>
          <w:u w:val="none"/>
        </w:rPr>
      </w:pPr>
      <w:r>
        <w:rPr>
          <w:b/>
          <w:u w:val="none"/>
        </w:rPr>
        <w:t>ATTORNEYS FOR RESPONDENTS;</w:t>
      </w:r>
      <w:r w:rsidR="0033100C">
        <w:rPr>
          <w:b/>
          <w:u w:val="none"/>
        </w:rPr>
        <w:tab/>
        <w:t>FASKEN ATTORNEYS</w:t>
      </w:r>
    </w:p>
    <w:p w:rsidR="001F10F7" w:rsidRDefault="001F10F7" w:rsidP="001F10F7">
      <w:pPr>
        <w:snapToGrid w:val="0"/>
        <w:spacing w:before="240" w:after="240" w:line="480" w:lineRule="auto"/>
        <w:ind w:left="1440" w:hanging="720"/>
        <w:jc w:val="both"/>
        <w:rPr>
          <w:b/>
          <w:u w:val="none"/>
        </w:rPr>
      </w:pPr>
      <w:r>
        <w:rPr>
          <w:b/>
          <w:u w:val="none"/>
        </w:rPr>
        <w:t>ADVOCATE FOR RESPONDENTS:</w:t>
      </w:r>
      <w:r w:rsidR="0033100C">
        <w:rPr>
          <w:b/>
          <w:u w:val="none"/>
        </w:rPr>
        <w:tab/>
        <w:t>T R SEROTO</w:t>
      </w:r>
    </w:p>
    <w:sectPr w:rsidR="001F10F7" w:rsidSect="00F43516">
      <w:headerReference w:type="default" r:id="rId12"/>
      <w:pgSz w:w="11906" w:h="16838"/>
      <w:pgMar w:top="1440" w:right="1841"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EF5" w:rsidRDefault="002B3EF5" w:rsidP="00BA7B3F">
      <w:r>
        <w:separator/>
      </w:r>
    </w:p>
  </w:endnote>
  <w:endnote w:type="continuationSeparator" w:id="0">
    <w:p w:rsidR="002B3EF5" w:rsidRDefault="002B3EF5" w:rsidP="00BA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EF5" w:rsidRDefault="002B3EF5" w:rsidP="00BA7B3F">
      <w:r>
        <w:separator/>
      </w:r>
    </w:p>
  </w:footnote>
  <w:footnote w:type="continuationSeparator" w:id="0">
    <w:p w:rsidR="002B3EF5" w:rsidRDefault="002B3EF5" w:rsidP="00BA7B3F">
      <w:r>
        <w:continuationSeparator/>
      </w:r>
    </w:p>
  </w:footnote>
  <w:footnote w:id="1">
    <w:p w:rsidR="006029B4" w:rsidRPr="00A5222B" w:rsidRDefault="006029B4">
      <w:pPr>
        <w:pStyle w:val="FootnoteText"/>
        <w:rPr>
          <w:u w:val="none"/>
          <w:lang w:val="en-US"/>
        </w:rPr>
      </w:pPr>
      <w:r w:rsidRPr="00A5222B">
        <w:rPr>
          <w:rStyle w:val="FootnoteReference"/>
          <w:u w:val="none"/>
        </w:rPr>
        <w:footnoteRef/>
      </w:r>
      <w:r w:rsidRPr="00A5222B">
        <w:rPr>
          <w:u w:val="none"/>
        </w:rPr>
        <w:t xml:space="preserve"> </w:t>
      </w:r>
      <w:r w:rsidRPr="00A5222B">
        <w:rPr>
          <w:u w:val="none"/>
          <w:lang w:val="en-US"/>
        </w:rPr>
        <w:t>Bristow v Hill 1975(2) SA 505 (N) at 507 E- G.</w:t>
      </w:r>
    </w:p>
  </w:footnote>
  <w:footnote w:id="2">
    <w:p w:rsidR="00387178" w:rsidRPr="00950161" w:rsidRDefault="00387178" w:rsidP="00387178">
      <w:pPr>
        <w:pStyle w:val="FootnoteText"/>
        <w:rPr>
          <w:u w:val="none"/>
          <w:lang w:val="en-US"/>
        </w:rPr>
      </w:pPr>
      <w:r w:rsidRPr="00950161">
        <w:rPr>
          <w:rStyle w:val="FootnoteReference"/>
          <w:u w:val="none"/>
        </w:rPr>
        <w:footnoteRef/>
      </w:r>
      <w:r w:rsidRPr="00950161">
        <w:rPr>
          <w:u w:val="none"/>
        </w:rPr>
        <w:t xml:space="preserve"> </w:t>
      </w:r>
      <w:r w:rsidRPr="00950161">
        <w:rPr>
          <w:u w:val="none"/>
          <w:lang w:val="en-US"/>
        </w:rPr>
        <w:t>Ocular Technologies (Pty) Ltd v A I Limited Consulting (Pty) Limited [2022] ZAGPJHC 62 para 14, Siantha (Pty) Ltd v Khumalo [2022] JDR 0545 (GJ) para</w:t>
      </w:r>
      <w:r>
        <w:rPr>
          <w:u w:val="none"/>
          <w:lang w:val="en-US"/>
        </w:rPr>
        <w:t xml:space="preserve"> 45</w:t>
      </w:r>
      <w:r w:rsidRPr="00950161">
        <w:rPr>
          <w:u w:val="none"/>
          <w:lang w:val="en-US"/>
        </w:rPr>
        <w:t>.</w:t>
      </w:r>
    </w:p>
  </w:footnote>
  <w:footnote w:id="3">
    <w:p w:rsidR="006029B4" w:rsidRPr="00FC26C2" w:rsidRDefault="006029B4">
      <w:pPr>
        <w:pStyle w:val="FootnoteText"/>
        <w:rPr>
          <w:u w:val="none"/>
        </w:rPr>
      </w:pPr>
      <w:r w:rsidRPr="00FC26C2">
        <w:rPr>
          <w:rStyle w:val="FootnoteReference"/>
          <w:u w:val="none"/>
        </w:rPr>
        <w:footnoteRef/>
      </w:r>
      <w:r w:rsidRPr="00FC26C2">
        <w:rPr>
          <w:u w:val="none"/>
        </w:rPr>
        <w:t xml:space="preserve"> Mashego-Dlamini v Dlamini  2020 J</w:t>
      </w:r>
      <w:r>
        <w:rPr>
          <w:u w:val="none"/>
        </w:rPr>
        <w:t>DR 2607 (GP) para 5.1 &amp; para 5.2 (Dlamini)</w:t>
      </w:r>
      <w:r w:rsidR="00387178">
        <w:rPr>
          <w:u w:val="none"/>
        </w:rPr>
        <w:t>, Basson NO &amp; Another v Ocrest Properties</w:t>
      </w:r>
      <w:r w:rsidR="006C68A8">
        <w:rPr>
          <w:u w:val="none"/>
        </w:rPr>
        <w:t xml:space="preserve"> and two related matters, 2016(4) ALL SA 363 (WCC).</w:t>
      </w:r>
    </w:p>
  </w:footnote>
  <w:footnote w:id="4">
    <w:p w:rsidR="006029B4" w:rsidRPr="00384DA3" w:rsidRDefault="006029B4">
      <w:pPr>
        <w:pStyle w:val="FootnoteText"/>
        <w:rPr>
          <w:u w:val="none"/>
        </w:rPr>
      </w:pPr>
      <w:r w:rsidRPr="00384DA3">
        <w:rPr>
          <w:rStyle w:val="FootnoteReference"/>
          <w:u w:val="none"/>
        </w:rPr>
        <w:footnoteRef/>
      </w:r>
      <w:r w:rsidRPr="00384DA3">
        <w:rPr>
          <w:u w:val="none"/>
        </w:rPr>
        <w:t xml:space="preserve"> Bristow </w:t>
      </w:r>
      <w:r>
        <w:rPr>
          <w:u w:val="none"/>
        </w:rPr>
        <w:t>(</w:t>
      </w:r>
      <w:r w:rsidRPr="00950161">
        <w:rPr>
          <w:i/>
          <w:u w:val="none"/>
        </w:rPr>
        <w:t>supra)</w:t>
      </w:r>
      <w:r w:rsidRPr="00384DA3">
        <w:rPr>
          <w:u w:val="none"/>
        </w:rPr>
        <w:t>, see also Chetty v Law Society, Transvaal 1985(2) SA 756 (A) at 765 D-F, Zuma v Secretary of the Judicial Commission of Inquiry into Allegations of State Capture, corruption and Fraud in the Public Sector Including Organ of State [2021] ZACC 28, para 74, para 76.</w:t>
      </w:r>
    </w:p>
  </w:footnote>
  <w:footnote w:id="5">
    <w:p w:rsidR="005106C4" w:rsidRPr="003D7266" w:rsidRDefault="005106C4" w:rsidP="005106C4">
      <w:pPr>
        <w:pStyle w:val="FootnoteText"/>
        <w:rPr>
          <w:u w:val="none"/>
          <w:lang w:val="en-US"/>
        </w:rPr>
      </w:pPr>
      <w:r w:rsidRPr="003D7266">
        <w:rPr>
          <w:rStyle w:val="FootnoteReference"/>
          <w:u w:val="none"/>
        </w:rPr>
        <w:footnoteRef/>
      </w:r>
      <w:r w:rsidRPr="003D7266">
        <w:rPr>
          <w:u w:val="none"/>
        </w:rPr>
        <w:t xml:space="preserve"> </w:t>
      </w:r>
      <w:r w:rsidRPr="003D7266">
        <w:rPr>
          <w:u w:val="none"/>
          <w:lang w:val="en-US"/>
        </w:rPr>
        <w:t>EH Hassim Hardware (Pty) Ltd v Fab Tanks [2017] ZASC 145 para 17 – 18, Breitenbach v Fiat SA (Edms) Bpk 1976(2) SA 226 T at 227 H – 228 B</w:t>
      </w:r>
    </w:p>
  </w:footnote>
  <w:footnote w:id="6">
    <w:p w:rsidR="005106C4" w:rsidRPr="003D7266" w:rsidRDefault="005106C4" w:rsidP="005106C4">
      <w:pPr>
        <w:pStyle w:val="FootnoteText"/>
        <w:rPr>
          <w:u w:val="none"/>
          <w:lang w:val="en-US"/>
        </w:rPr>
      </w:pPr>
      <w:r w:rsidRPr="003D7266">
        <w:rPr>
          <w:rStyle w:val="FootnoteReference"/>
          <w:u w:val="none"/>
        </w:rPr>
        <w:footnoteRef/>
      </w:r>
      <w:r w:rsidRPr="003D7266">
        <w:rPr>
          <w:u w:val="none"/>
        </w:rPr>
        <w:t xml:space="preserve"> </w:t>
      </w:r>
      <w:r w:rsidRPr="003D7266">
        <w:rPr>
          <w:u w:val="none"/>
          <w:lang w:val="en-US"/>
        </w:rPr>
        <w:t>S v Ndlovu [2017] JOL 38060 (CC), Government of Republic of Zimbabwe v Fick &amp; Others 2013(5) SA 325 CC</w:t>
      </w:r>
      <w:r w:rsidR="00A723A0">
        <w:rPr>
          <w:u w:val="none"/>
          <w:lang w:val="en-US"/>
        </w:rPr>
        <w:t xml:space="preserve"> (Fick)</w:t>
      </w:r>
      <w:r w:rsidRPr="003D7266">
        <w:rPr>
          <w:u w:val="none"/>
          <w:lang w:val="en-US"/>
        </w:rPr>
        <w:t xml:space="preserve">, Melane v Santam Insurance Co Ltd 1962(4) SA 531 (AD) 532 B-G, Minister of Police &amp; Another </w:t>
      </w:r>
      <w:r w:rsidR="00A723A0">
        <w:rPr>
          <w:u w:val="none"/>
          <w:lang w:val="en-US"/>
        </w:rPr>
        <w:t>v Phung</w:t>
      </w:r>
      <w:r w:rsidRPr="003D7266">
        <w:rPr>
          <w:u w:val="none"/>
          <w:lang w:val="en-US"/>
        </w:rPr>
        <w:t>ula 25067/2017 (GJ)</w:t>
      </w:r>
    </w:p>
  </w:footnote>
  <w:footnote w:id="7">
    <w:p w:rsidR="006029B4" w:rsidRPr="00154300" w:rsidRDefault="006029B4">
      <w:pPr>
        <w:pStyle w:val="FootnoteText"/>
        <w:rPr>
          <w:lang w:val="en-US"/>
        </w:rPr>
      </w:pPr>
      <w:r w:rsidRPr="002E7CD2">
        <w:rPr>
          <w:rStyle w:val="FootnoteReference"/>
          <w:u w:val="none"/>
        </w:rPr>
        <w:footnoteRef/>
      </w:r>
      <w:r w:rsidRPr="002E7CD2">
        <w:rPr>
          <w:u w:val="none"/>
        </w:rPr>
        <w:t xml:space="preserve"> </w:t>
      </w:r>
      <w:r w:rsidRPr="005971F7">
        <w:rPr>
          <w:u w:val="none"/>
        </w:rPr>
        <w:t>Government of the R</w:t>
      </w:r>
      <w:r>
        <w:rPr>
          <w:u w:val="none"/>
        </w:rPr>
        <w:t>epubli</w:t>
      </w:r>
      <w:r w:rsidRPr="005971F7">
        <w:rPr>
          <w:u w:val="none"/>
        </w:rPr>
        <w:t>c of Zimbabwe v Fick 2013(5) SA 325 (CC) par 43 -49 (Fick).</w:t>
      </w:r>
    </w:p>
  </w:footnote>
  <w:footnote w:id="8">
    <w:p w:rsidR="006029B4" w:rsidRPr="003F38DE" w:rsidRDefault="006029B4">
      <w:pPr>
        <w:pStyle w:val="FootnoteText"/>
        <w:rPr>
          <w:u w:val="none"/>
        </w:rPr>
      </w:pPr>
      <w:r w:rsidRPr="003F38DE">
        <w:rPr>
          <w:rStyle w:val="FootnoteReference"/>
          <w:u w:val="none"/>
        </w:rPr>
        <w:footnoteRef/>
      </w:r>
      <w:r w:rsidR="006C68A8">
        <w:rPr>
          <w:u w:val="none"/>
        </w:rPr>
        <w:t xml:space="preserve"> </w:t>
      </w:r>
      <w:r>
        <w:rPr>
          <w:u w:val="none"/>
        </w:rPr>
        <w:t>Fick para 46.</w:t>
      </w:r>
    </w:p>
  </w:footnote>
  <w:footnote w:id="9">
    <w:p w:rsidR="006029B4" w:rsidRPr="00050A76" w:rsidRDefault="006029B4">
      <w:pPr>
        <w:pStyle w:val="FootnoteText"/>
        <w:rPr>
          <w:u w:val="none"/>
          <w:lang w:val="en-US"/>
        </w:rPr>
      </w:pPr>
      <w:r w:rsidRPr="00050A76">
        <w:rPr>
          <w:rStyle w:val="FootnoteReference"/>
          <w:u w:val="none"/>
        </w:rPr>
        <w:footnoteRef/>
      </w:r>
      <w:r w:rsidRPr="00050A76">
        <w:rPr>
          <w:u w:val="none"/>
        </w:rPr>
        <w:t xml:space="preserve"> </w:t>
      </w:r>
      <w:r w:rsidRPr="00050A76">
        <w:rPr>
          <w:u w:val="none"/>
          <w:lang w:val="en-US"/>
        </w:rPr>
        <w:t>2016(3) SA 37 (CC) (Parsons)</w:t>
      </w:r>
    </w:p>
  </w:footnote>
  <w:footnote w:id="10">
    <w:p w:rsidR="006029B4" w:rsidRPr="00213A71" w:rsidRDefault="006029B4">
      <w:pPr>
        <w:pStyle w:val="FootnoteText"/>
        <w:rPr>
          <w:u w:val="none"/>
          <w:lang w:val="en-US"/>
        </w:rPr>
      </w:pPr>
      <w:r w:rsidRPr="00213A71">
        <w:rPr>
          <w:rStyle w:val="FootnoteReference"/>
          <w:u w:val="none"/>
        </w:rPr>
        <w:footnoteRef/>
      </w:r>
      <w:r w:rsidRPr="00213A71">
        <w:rPr>
          <w:u w:val="none"/>
        </w:rPr>
        <w:t xml:space="preserve"> </w:t>
      </w:r>
      <w:r w:rsidR="00F031C5">
        <w:rPr>
          <w:u w:val="none"/>
          <w:lang w:val="en-US"/>
        </w:rPr>
        <w:t xml:space="preserve">Parsons para </w:t>
      </w:r>
      <w:r w:rsidRPr="00213A71">
        <w:rPr>
          <w:u w:val="none"/>
          <w:lang w:val="en-US"/>
        </w:rPr>
        <w:t>4</w:t>
      </w:r>
      <w:r w:rsidR="00F031C5">
        <w:rPr>
          <w:u w:val="none"/>
          <w:lang w:val="en-US"/>
        </w:rPr>
        <w:t>1</w:t>
      </w:r>
      <w:r w:rsidRPr="00213A71">
        <w:rPr>
          <w:u w:val="none"/>
          <w:lang w:val="en-US"/>
        </w:rPr>
        <w:t>.</w:t>
      </w:r>
    </w:p>
  </w:footnote>
  <w:footnote w:id="11">
    <w:p w:rsidR="006029B4" w:rsidRPr="00213A71" w:rsidRDefault="006029B4">
      <w:pPr>
        <w:pStyle w:val="FootnoteText"/>
        <w:rPr>
          <w:u w:val="none"/>
          <w:lang w:val="en-US"/>
        </w:rPr>
      </w:pPr>
      <w:r w:rsidRPr="00213A71">
        <w:rPr>
          <w:rStyle w:val="FootnoteReference"/>
          <w:u w:val="none"/>
        </w:rPr>
        <w:footnoteRef/>
      </w:r>
      <w:r w:rsidRPr="00213A71">
        <w:rPr>
          <w:u w:val="none"/>
        </w:rPr>
        <w:t xml:space="preserve"> </w:t>
      </w:r>
      <w:r w:rsidRPr="00213A71">
        <w:rPr>
          <w:u w:val="none"/>
          <w:lang w:val="en-US"/>
        </w:rPr>
        <w:t>Gollach &amp; Comperts (1967) (Pty) Ltd v Universal Mills &amp; Produce Co (Pty) Ltd 1978(1) SA 914 (A).</w:t>
      </w:r>
    </w:p>
  </w:footnote>
  <w:footnote w:id="12">
    <w:p w:rsidR="006029B4" w:rsidRPr="00213A71" w:rsidRDefault="006029B4">
      <w:pPr>
        <w:pStyle w:val="FootnoteText"/>
        <w:rPr>
          <w:lang w:val="en-US"/>
        </w:rPr>
      </w:pPr>
      <w:r w:rsidRPr="00213A71">
        <w:rPr>
          <w:rStyle w:val="FootnoteReference"/>
          <w:u w:val="none"/>
        </w:rPr>
        <w:footnoteRef/>
      </w:r>
      <w:r w:rsidRPr="00213A71">
        <w:rPr>
          <w:u w:val="none"/>
        </w:rPr>
        <w:t xml:space="preserve"> </w:t>
      </w:r>
      <w:r w:rsidRPr="00213A71">
        <w:rPr>
          <w:u w:val="none"/>
          <w:lang w:val="en-US"/>
        </w:rPr>
        <w:t>Moraitis Investments (PtyL Ltd v Montic Dairy (Pty) Ltd 2017(5) SA 508 (SCA) para 10 – 13 &amp; 16 (Moraitis)</w:t>
      </w:r>
    </w:p>
  </w:footnote>
  <w:footnote w:id="13">
    <w:p w:rsidR="006029B4" w:rsidRPr="00F565D6" w:rsidRDefault="006029B4">
      <w:pPr>
        <w:pStyle w:val="FootnoteText"/>
        <w:rPr>
          <w:u w:val="none"/>
        </w:rPr>
      </w:pPr>
      <w:r w:rsidRPr="00F565D6">
        <w:rPr>
          <w:rStyle w:val="FootnoteReference"/>
          <w:u w:val="none"/>
        </w:rPr>
        <w:footnoteRef/>
      </w:r>
      <w:r w:rsidRPr="00F565D6">
        <w:rPr>
          <w:u w:val="none"/>
        </w:rPr>
        <w:t xml:space="preserve"> Nedban</w:t>
      </w:r>
      <w:r w:rsidR="00F40632">
        <w:rPr>
          <w:u w:val="none"/>
        </w:rPr>
        <w:t>k v Van Zyl 1990 (2) SA 469 (A), see also Liberty Group (Pty) Ltd v Illman 2020(5) 397 (SCA)</w:t>
      </w:r>
    </w:p>
  </w:footnote>
  <w:footnote w:id="14">
    <w:p w:rsidR="006029B4" w:rsidRPr="00F779D6" w:rsidRDefault="006029B4">
      <w:pPr>
        <w:pStyle w:val="FootnoteText"/>
        <w:rPr>
          <w:u w:val="none"/>
        </w:rPr>
      </w:pPr>
      <w:r w:rsidRPr="00F779D6">
        <w:rPr>
          <w:rStyle w:val="FootnoteReference"/>
          <w:u w:val="none"/>
        </w:rPr>
        <w:footnoteRef/>
      </w:r>
      <w:r>
        <w:rPr>
          <w:u w:val="none"/>
        </w:rPr>
        <w:t xml:space="preserve"> Mo</w:t>
      </w:r>
      <w:r w:rsidRPr="00F779D6">
        <w:rPr>
          <w:u w:val="none"/>
        </w:rPr>
        <w:t>raitis, par 21 – 22, 25, 32 -34.</w:t>
      </w:r>
    </w:p>
  </w:footnote>
  <w:footnote w:id="15">
    <w:p w:rsidR="006029B4" w:rsidRPr="00F271D5" w:rsidRDefault="006029B4" w:rsidP="006E3A9E">
      <w:pPr>
        <w:pStyle w:val="FootnoteText"/>
        <w:rPr>
          <w:u w:val="none"/>
        </w:rPr>
      </w:pPr>
      <w:r w:rsidRPr="00F271D5">
        <w:rPr>
          <w:rStyle w:val="FootnoteReference"/>
          <w:u w:val="none"/>
        </w:rPr>
        <w:footnoteRef/>
      </w:r>
      <w:r w:rsidRPr="00F271D5">
        <w:rPr>
          <w:u w:val="none"/>
        </w:rPr>
        <w:t xml:space="preserve"> International Fruit Genetics LLC v Redelinghuys 2019 (4) SA 174 (WCC) (International Fruit)</w:t>
      </w:r>
      <w:r w:rsidR="00977918">
        <w:rPr>
          <w:u w:val="none"/>
        </w:rPr>
        <w:t xml:space="preserve"> para 16, see also Fatto</w:t>
      </w:r>
      <w:r>
        <w:rPr>
          <w:u w:val="none"/>
        </w:rPr>
        <w:t>u</w:t>
      </w:r>
      <w:r w:rsidRPr="00F271D5">
        <w:rPr>
          <w:u w:val="none"/>
        </w:rPr>
        <w:t>che v Khumalo [2014] ZAGPJHC 102 para 29 -30, Tradex Ocean Transportation SA v Silvergate 1994 (3) SA 119 (D) and Chinatex Oriental Trading Co v Erskine 1998(4) SA 1057 C at 1095 I – 1096 C, Richman v Ben-Tovim 2007 (2) SA 283 (SCA) para 11, D</w:t>
      </w:r>
      <w:r>
        <w:rPr>
          <w:u w:val="none"/>
        </w:rPr>
        <w:t>an</w:t>
      </w:r>
      <w:r w:rsidRPr="00F271D5">
        <w:rPr>
          <w:u w:val="none"/>
        </w:rPr>
        <w:t>iels</w:t>
      </w:r>
      <w:r w:rsidR="00977918">
        <w:rPr>
          <w:u w:val="none"/>
        </w:rPr>
        <w:t>on v Human 2017 (1) SA 141 (WCC)</w:t>
      </w:r>
      <w:r w:rsidRPr="00F271D5">
        <w:rPr>
          <w:u w:val="none"/>
        </w:rPr>
        <w:t xml:space="preserve"> para 15, Balkan Energy Limited v Government of the Republic of Ghana 2017 (5) SA 488 (GJ)</w:t>
      </w:r>
      <w:r>
        <w:rPr>
          <w:u w:val="none"/>
        </w:rPr>
        <w:t xml:space="preserve"> (Balkan)</w:t>
      </w:r>
      <w:r w:rsidRPr="00F271D5">
        <w:rPr>
          <w:u w:val="none"/>
        </w:rPr>
        <w:t>.</w:t>
      </w:r>
    </w:p>
  </w:footnote>
  <w:footnote w:id="16">
    <w:p w:rsidR="006029B4" w:rsidRPr="00F779D6" w:rsidRDefault="006029B4" w:rsidP="00E348EE">
      <w:pPr>
        <w:pStyle w:val="FootnoteText"/>
        <w:rPr>
          <w:u w:val="none"/>
        </w:rPr>
      </w:pPr>
      <w:r w:rsidRPr="00F779D6">
        <w:rPr>
          <w:rStyle w:val="FootnoteReference"/>
          <w:u w:val="none"/>
        </w:rPr>
        <w:footnoteRef/>
      </w:r>
      <w:r w:rsidRPr="00F779D6">
        <w:rPr>
          <w:u w:val="none"/>
        </w:rPr>
        <w:t xml:space="preserve"> Trademore (Pty) Ltd v Minister of Trade &amp; Industry [2019] ZAGPPHC 591 (Trademore)</w:t>
      </w:r>
    </w:p>
  </w:footnote>
  <w:footnote w:id="17">
    <w:p w:rsidR="006029B4" w:rsidRPr="00F271D5" w:rsidRDefault="006029B4" w:rsidP="00E348EE">
      <w:pPr>
        <w:pStyle w:val="FootnoteText"/>
        <w:rPr>
          <w:u w:val="none"/>
        </w:rPr>
      </w:pPr>
      <w:r w:rsidRPr="00F271D5">
        <w:rPr>
          <w:rStyle w:val="FootnoteReference"/>
          <w:u w:val="none"/>
        </w:rPr>
        <w:footnoteRef/>
      </w:r>
      <w:r>
        <w:rPr>
          <w:u w:val="none"/>
        </w:rPr>
        <w:t xml:space="preserve"> Trademore para</w:t>
      </w:r>
      <w:r w:rsidR="00977918">
        <w:rPr>
          <w:u w:val="none"/>
        </w:rPr>
        <w:t>s</w:t>
      </w:r>
      <w:r>
        <w:rPr>
          <w:u w:val="none"/>
        </w:rPr>
        <w:t xml:space="preserve"> 40, 47</w:t>
      </w:r>
      <w:r w:rsidRPr="00F271D5">
        <w:rPr>
          <w:u w:val="none"/>
        </w:rPr>
        <w:t>.</w:t>
      </w:r>
    </w:p>
  </w:footnote>
  <w:footnote w:id="18">
    <w:p w:rsidR="006029B4" w:rsidRPr="006029B4" w:rsidRDefault="006029B4">
      <w:pPr>
        <w:pStyle w:val="FootnoteText"/>
        <w:rPr>
          <w:lang w:val="en-US"/>
        </w:rPr>
      </w:pPr>
      <w:r w:rsidRPr="00A22C40">
        <w:rPr>
          <w:rStyle w:val="FootnoteReference"/>
          <w:u w:val="none"/>
        </w:rPr>
        <w:footnoteRef/>
      </w:r>
      <w:r w:rsidRPr="00A22C40">
        <w:rPr>
          <w:u w:val="none"/>
        </w:rPr>
        <w:t xml:space="preserve"> </w:t>
      </w:r>
      <w:r w:rsidR="00A22C40" w:rsidRPr="008107AE">
        <w:rPr>
          <w:u w:val="none"/>
        </w:rPr>
        <w:t>Minister of Land Affairs and Agriculture v D&amp; F Wovell Tru</w:t>
      </w:r>
      <w:r w:rsidR="00A22C40">
        <w:rPr>
          <w:u w:val="none"/>
        </w:rPr>
        <w:t>st 2008 (2) SA 184 (SCA).</w:t>
      </w:r>
    </w:p>
  </w:footnote>
  <w:footnote w:id="19">
    <w:p w:rsidR="006029B4" w:rsidRPr="008107AE" w:rsidRDefault="006029B4">
      <w:pPr>
        <w:pStyle w:val="FootnoteText"/>
        <w:rPr>
          <w:u w:val="none"/>
        </w:rPr>
      </w:pPr>
      <w:r w:rsidRPr="008107AE">
        <w:rPr>
          <w:rStyle w:val="FootnoteReference"/>
          <w:u w:val="none"/>
        </w:rPr>
        <w:footnoteRef/>
      </w:r>
      <w:r w:rsidRPr="008107AE">
        <w:rPr>
          <w:u w:val="none"/>
        </w:rPr>
        <w:t xml:space="preserve"> Prince v President of the Law Society of the Cape of Good Hope 2001 (2) SA 388 para 22.</w:t>
      </w:r>
    </w:p>
  </w:footnote>
  <w:footnote w:id="20">
    <w:p w:rsidR="006029B4" w:rsidRPr="008107AE" w:rsidRDefault="006029B4">
      <w:pPr>
        <w:pStyle w:val="FootnoteText"/>
        <w:rPr>
          <w:u w:val="none"/>
        </w:rPr>
      </w:pPr>
      <w:r w:rsidRPr="008107AE">
        <w:rPr>
          <w:rStyle w:val="FootnoteReference"/>
          <w:u w:val="none"/>
        </w:rPr>
        <w:footnoteRef/>
      </w:r>
      <w:r w:rsidRPr="008107AE">
        <w:rPr>
          <w:u w:val="none"/>
        </w:rPr>
        <w:t xml:space="preserve"> Society of Lloyds v Price, Society of Lloyds v Lee [2006] ZASCA 88 para 28, Fick para 54 - 57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980973"/>
      <w:docPartObj>
        <w:docPartGallery w:val="Page Numbers (Top of Page)"/>
        <w:docPartUnique/>
      </w:docPartObj>
    </w:sdtPr>
    <w:sdtEndPr>
      <w:rPr>
        <w:noProof/>
      </w:rPr>
    </w:sdtEndPr>
    <w:sdtContent>
      <w:p w:rsidR="006029B4" w:rsidRDefault="006029B4">
        <w:pPr>
          <w:pStyle w:val="Header"/>
          <w:jc w:val="center"/>
        </w:pPr>
        <w:r>
          <w:fldChar w:fldCharType="begin"/>
        </w:r>
        <w:r>
          <w:instrText xml:space="preserve"> PAGE   \* MERGEFORMAT </w:instrText>
        </w:r>
        <w:r>
          <w:fldChar w:fldCharType="separate"/>
        </w:r>
        <w:r w:rsidR="00A72C4B">
          <w:rPr>
            <w:noProof/>
          </w:rPr>
          <w:t>2</w:t>
        </w:r>
        <w:r>
          <w:rPr>
            <w:noProof/>
          </w:rPr>
          <w:fldChar w:fldCharType="end"/>
        </w:r>
      </w:p>
    </w:sdtContent>
  </w:sdt>
  <w:p w:rsidR="006029B4" w:rsidRDefault="006029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07622"/>
    <w:multiLevelType w:val="hybridMultilevel"/>
    <w:tmpl w:val="A7060C9C"/>
    <w:lvl w:ilvl="0" w:tplc="1C090001">
      <w:start w:val="1"/>
      <w:numFmt w:val="bullet"/>
      <w:lvlText w:val=""/>
      <w:lvlJc w:val="left"/>
      <w:pPr>
        <w:ind w:left="3195" w:hanging="360"/>
      </w:pPr>
      <w:rPr>
        <w:rFonts w:ascii="Symbol" w:hAnsi="Symbol" w:hint="default"/>
      </w:rPr>
    </w:lvl>
    <w:lvl w:ilvl="1" w:tplc="1C090003" w:tentative="1">
      <w:start w:val="1"/>
      <w:numFmt w:val="bullet"/>
      <w:lvlText w:val="o"/>
      <w:lvlJc w:val="left"/>
      <w:pPr>
        <w:ind w:left="3915" w:hanging="360"/>
      </w:pPr>
      <w:rPr>
        <w:rFonts w:ascii="Courier New" w:hAnsi="Courier New" w:cs="Courier New" w:hint="default"/>
      </w:rPr>
    </w:lvl>
    <w:lvl w:ilvl="2" w:tplc="1C090005">
      <w:start w:val="1"/>
      <w:numFmt w:val="bullet"/>
      <w:lvlText w:val=""/>
      <w:lvlJc w:val="left"/>
      <w:pPr>
        <w:ind w:left="4635" w:hanging="360"/>
      </w:pPr>
      <w:rPr>
        <w:rFonts w:ascii="Wingdings" w:hAnsi="Wingdings" w:hint="default"/>
      </w:rPr>
    </w:lvl>
    <w:lvl w:ilvl="3" w:tplc="1C090001" w:tentative="1">
      <w:start w:val="1"/>
      <w:numFmt w:val="bullet"/>
      <w:lvlText w:val=""/>
      <w:lvlJc w:val="left"/>
      <w:pPr>
        <w:ind w:left="5355" w:hanging="360"/>
      </w:pPr>
      <w:rPr>
        <w:rFonts w:ascii="Symbol" w:hAnsi="Symbol" w:hint="default"/>
      </w:rPr>
    </w:lvl>
    <w:lvl w:ilvl="4" w:tplc="1C090003" w:tentative="1">
      <w:start w:val="1"/>
      <w:numFmt w:val="bullet"/>
      <w:lvlText w:val="o"/>
      <w:lvlJc w:val="left"/>
      <w:pPr>
        <w:ind w:left="6075" w:hanging="360"/>
      </w:pPr>
      <w:rPr>
        <w:rFonts w:ascii="Courier New" w:hAnsi="Courier New" w:cs="Courier New" w:hint="default"/>
      </w:rPr>
    </w:lvl>
    <w:lvl w:ilvl="5" w:tplc="1C090005" w:tentative="1">
      <w:start w:val="1"/>
      <w:numFmt w:val="bullet"/>
      <w:lvlText w:val=""/>
      <w:lvlJc w:val="left"/>
      <w:pPr>
        <w:ind w:left="6795" w:hanging="360"/>
      </w:pPr>
      <w:rPr>
        <w:rFonts w:ascii="Wingdings" w:hAnsi="Wingdings" w:hint="default"/>
      </w:rPr>
    </w:lvl>
    <w:lvl w:ilvl="6" w:tplc="1C090001" w:tentative="1">
      <w:start w:val="1"/>
      <w:numFmt w:val="bullet"/>
      <w:lvlText w:val=""/>
      <w:lvlJc w:val="left"/>
      <w:pPr>
        <w:ind w:left="7515" w:hanging="360"/>
      </w:pPr>
      <w:rPr>
        <w:rFonts w:ascii="Symbol" w:hAnsi="Symbol" w:hint="default"/>
      </w:rPr>
    </w:lvl>
    <w:lvl w:ilvl="7" w:tplc="1C090003" w:tentative="1">
      <w:start w:val="1"/>
      <w:numFmt w:val="bullet"/>
      <w:lvlText w:val="o"/>
      <w:lvlJc w:val="left"/>
      <w:pPr>
        <w:ind w:left="8235" w:hanging="360"/>
      </w:pPr>
      <w:rPr>
        <w:rFonts w:ascii="Courier New" w:hAnsi="Courier New" w:cs="Courier New" w:hint="default"/>
      </w:rPr>
    </w:lvl>
    <w:lvl w:ilvl="8" w:tplc="1C090005" w:tentative="1">
      <w:start w:val="1"/>
      <w:numFmt w:val="bullet"/>
      <w:lvlText w:val=""/>
      <w:lvlJc w:val="left"/>
      <w:pPr>
        <w:ind w:left="8955" w:hanging="360"/>
      </w:pPr>
      <w:rPr>
        <w:rFonts w:ascii="Wingdings" w:hAnsi="Wingdings" w:hint="default"/>
      </w:rPr>
    </w:lvl>
  </w:abstractNum>
  <w:abstractNum w:abstractNumId="1">
    <w:nsid w:val="03700744"/>
    <w:multiLevelType w:val="hybridMultilevel"/>
    <w:tmpl w:val="CCF2F6F2"/>
    <w:lvl w:ilvl="0" w:tplc="888CFF98">
      <w:start w:val="1"/>
      <w:numFmt w:val="decimal"/>
      <w:lvlText w:val="[%1]"/>
      <w:lvlJc w:val="left"/>
      <w:pPr>
        <w:ind w:left="1287" w:hanging="360"/>
      </w:pPr>
      <w:rPr>
        <w:rFonts w:cs="Times New Roman" w:hint="default"/>
        <w:b w:val="0"/>
        <w:i w:val="0"/>
        <w:color w:val="auto"/>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
    <w:nsid w:val="051A69F5"/>
    <w:multiLevelType w:val="hybridMultilevel"/>
    <w:tmpl w:val="76F05FD6"/>
    <w:lvl w:ilvl="0" w:tplc="1C090001">
      <w:start w:val="1"/>
      <w:numFmt w:val="bullet"/>
      <w:lvlText w:val=""/>
      <w:lvlJc w:val="left"/>
      <w:pPr>
        <w:ind w:left="2858" w:hanging="360"/>
      </w:pPr>
      <w:rPr>
        <w:rFonts w:ascii="Symbol" w:hAnsi="Symbol" w:hint="default"/>
      </w:rPr>
    </w:lvl>
    <w:lvl w:ilvl="1" w:tplc="1C090003" w:tentative="1">
      <w:start w:val="1"/>
      <w:numFmt w:val="bullet"/>
      <w:lvlText w:val="o"/>
      <w:lvlJc w:val="left"/>
      <w:pPr>
        <w:ind w:left="3578" w:hanging="360"/>
      </w:pPr>
      <w:rPr>
        <w:rFonts w:ascii="Courier New" w:hAnsi="Courier New" w:cs="Courier New" w:hint="default"/>
      </w:rPr>
    </w:lvl>
    <w:lvl w:ilvl="2" w:tplc="1C090005" w:tentative="1">
      <w:start w:val="1"/>
      <w:numFmt w:val="bullet"/>
      <w:lvlText w:val=""/>
      <w:lvlJc w:val="left"/>
      <w:pPr>
        <w:ind w:left="4298" w:hanging="360"/>
      </w:pPr>
      <w:rPr>
        <w:rFonts w:ascii="Wingdings" w:hAnsi="Wingdings" w:hint="default"/>
      </w:rPr>
    </w:lvl>
    <w:lvl w:ilvl="3" w:tplc="1C090001" w:tentative="1">
      <w:start w:val="1"/>
      <w:numFmt w:val="bullet"/>
      <w:lvlText w:val=""/>
      <w:lvlJc w:val="left"/>
      <w:pPr>
        <w:ind w:left="5018" w:hanging="360"/>
      </w:pPr>
      <w:rPr>
        <w:rFonts w:ascii="Symbol" w:hAnsi="Symbol" w:hint="default"/>
      </w:rPr>
    </w:lvl>
    <w:lvl w:ilvl="4" w:tplc="1C090003" w:tentative="1">
      <w:start w:val="1"/>
      <w:numFmt w:val="bullet"/>
      <w:lvlText w:val="o"/>
      <w:lvlJc w:val="left"/>
      <w:pPr>
        <w:ind w:left="5738" w:hanging="360"/>
      </w:pPr>
      <w:rPr>
        <w:rFonts w:ascii="Courier New" w:hAnsi="Courier New" w:cs="Courier New" w:hint="default"/>
      </w:rPr>
    </w:lvl>
    <w:lvl w:ilvl="5" w:tplc="1C090005" w:tentative="1">
      <w:start w:val="1"/>
      <w:numFmt w:val="bullet"/>
      <w:lvlText w:val=""/>
      <w:lvlJc w:val="left"/>
      <w:pPr>
        <w:ind w:left="6458" w:hanging="360"/>
      </w:pPr>
      <w:rPr>
        <w:rFonts w:ascii="Wingdings" w:hAnsi="Wingdings" w:hint="default"/>
      </w:rPr>
    </w:lvl>
    <w:lvl w:ilvl="6" w:tplc="1C090001" w:tentative="1">
      <w:start w:val="1"/>
      <w:numFmt w:val="bullet"/>
      <w:lvlText w:val=""/>
      <w:lvlJc w:val="left"/>
      <w:pPr>
        <w:ind w:left="7178" w:hanging="360"/>
      </w:pPr>
      <w:rPr>
        <w:rFonts w:ascii="Symbol" w:hAnsi="Symbol" w:hint="default"/>
      </w:rPr>
    </w:lvl>
    <w:lvl w:ilvl="7" w:tplc="1C090003" w:tentative="1">
      <w:start w:val="1"/>
      <w:numFmt w:val="bullet"/>
      <w:lvlText w:val="o"/>
      <w:lvlJc w:val="left"/>
      <w:pPr>
        <w:ind w:left="7898" w:hanging="360"/>
      </w:pPr>
      <w:rPr>
        <w:rFonts w:ascii="Courier New" w:hAnsi="Courier New" w:cs="Courier New" w:hint="default"/>
      </w:rPr>
    </w:lvl>
    <w:lvl w:ilvl="8" w:tplc="1C090005" w:tentative="1">
      <w:start w:val="1"/>
      <w:numFmt w:val="bullet"/>
      <w:lvlText w:val=""/>
      <w:lvlJc w:val="left"/>
      <w:pPr>
        <w:ind w:left="8618" w:hanging="360"/>
      </w:pPr>
      <w:rPr>
        <w:rFonts w:ascii="Wingdings" w:hAnsi="Wingdings" w:hint="default"/>
      </w:rPr>
    </w:lvl>
  </w:abstractNum>
  <w:abstractNum w:abstractNumId="3">
    <w:nsid w:val="0E0C0413"/>
    <w:multiLevelType w:val="multilevel"/>
    <w:tmpl w:val="17568826"/>
    <w:lvl w:ilvl="0">
      <w:start w:val="1"/>
      <w:numFmt w:val="decimal"/>
      <w:lvlText w:val="%1."/>
      <w:lvlJc w:val="left"/>
      <w:rPr>
        <w:rFonts w:ascii="Times New Roman" w:hAnsi="Times New Roman" w:cs="Times New Roman" w:hint="default"/>
        <w:b w:val="0"/>
        <w:i w:val="0"/>
        <w:color w:val="000000"/>
        <w:sz w:val="24"/>
        <w:szCs w:val="24"/>
      </w:rPr>
    </w:lvl>
    <w:lvl w:ilvl="1">
      <w:start w:val="1"/>
      <w:numFmt w:val="lowerLetter"/>
      <w:lvlText w:val="(%2)"/>
      <w:lvlJc w:val="left"/>
      <w:rPr>
        <w:rFonts w:ascii="Times New Roman" w:eastAsia="Times New Roman" w:hAnsi="Times New Roman" w:cs="Times New Roman" w:hint="default"/>
        <w:b w:val="0"/>
        <w:bCs/>
      </w:rPr>
    </w:lvl>
    <w:lvl w:ilvl="2">
      <w:start w:val="1"/>
      <w:numFmt w:val="decimal"/>
      <w:lvlText w:val="%1.%2.%3."/>
      <w:lvlJc w:val="left"/>
      <w:pPr>
        <w:tabs>
          <w:tab w:val="num" w:pos="2552"/>
        </w:tabs>
        <w:ind w:left="2552" w:hanging="1134"/>
      </w:pPr>
      <w:rPr>
        <w:rFonts w:hint="default"/>
      </w:rPr>
    </w:lvl>
    <w:lvl w:ilvl="3">
      <w:start w:val="1"/>
      <w:numFmt w:val="decimal"/>
      <w:lvlText w:val="%1.%2.%3.%4."/>
      <w:lvlJc w:val="left"/>
      <w:pPr>
        <w:tabs>
          <w:tab w:val="num" w:pos="3799"/>
        </w:tabs>
        <w:ind w:left="3799" w:hanging="124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FC3549A"/>
    <w:multiLevelType w:val="hybridMultilevel"/>
    <w:tmpl w:val="4CA6EA92"/>
    <w:lvl w:ilvl="0" w:tplc="21E26300">
      <w:start w:val="1"/>
      <w:numFmt w:val="decimal"/>
      <w:lvlText w:val="%1."/>
      <w:lvlJc w:val="left"/>
      <w:pPr>
        <w:ind w:left="1815" w:hanging="360"/>
      </w:pPr>
      <w:rPr>
        <w:rFonts w:hint="default"/>
      </w:rPr>
    </w:lvl>
    <w:lvl w:ilvl="1" w:tplc="1C090019" w:tentative="1">
      <w:start w:val="1"/>
      <w:numFmt w:val="lowerLetter"/>
      <w:lvlText w:val="%2."/>
      <w:lvlJc w:val="left"/>
      <w:pPr>
        <w:ind w:left="2535" w:hanging="360"/>
      </w:pPr>
    </w:lvl>
    <w:lvl w:ilvl="2" w:tplc="1C09001B" w:tentative="1">
      <w:start w:val="1"/>
      <w:numFmt w:val="lowerRoman"/>
      <w:lvlText w:val="%3."/>
      <w:lvlJc w:val="right"/>
      <w:pPr>
        <w:ind w:left="3255" w:hanging="180"/>
      </w:pPr>
    </w:lvl>
    <w:lvl w:ilvl="3" w:tplc="1C09000F" w:tentative="1">
      <w:start w:val="1"/>
      <w:numFmt w:val="decimal"/>
      <w:lvlText w:val="%4."/>
      <w:lvlJc w:val="left"/>
      <w:pPr>
        <w:ind w:left="3975" w:hanging="360"/>
      </w:pPr>
    </w:lvl>
    <w:lvl w:ilvl="4" w:tplc="1C090019" w:tentative="1">
      <w:start w:val="1"/>
      <w:numFmt w:val="lowerLetter"/>
      <w:lvlText w:val="%5."/>
      <w:lvlJc w:val="left"/>
      <w:pPr>
        <w:ind w:left="4695" w:hanging="360"/>
      </w:pPr>
    </w:lvl>
    <w:lvl w:ilvl="5" w:tplc="1C09001B" w:tentative="1">
      <w:start w:val="1"/>
      <w:numFmt w:val="lowerRoman"/>
      <w:lvlText w:val="%6."/>
      <w:lvlJc w:val="right"/>
      <w:pPr>
        <w:ind w:left="5415" w:hanging="180"/>
      </w:pPr>
    </w:lvl>
    <w:lvl w:ilvl="6" w:tplc="1C09000F" w:tentative="1">
      <w:start w:val="1"/>
      <w:numFmt w:val="decimal"/>
      <w:lvlText w:val="%7."/>
      <w:lvlJc w:val="left"/>
      <w:pPr>
        <w:ind w:left="6135" w:hanging="360"/>
      </w:pPr>
    </w:lvl>
    <w:lvl w:ilvl="7" w:tplc="1C090019" w:tentative="1">
      <w:start w:val="1"/>
      <w:numFmt w:val="lowerLetter"/>
      <w:lvlText w:val="%8."/>
      <w:lvlJc w:val="left"/>
      <w:pPr>
        <w:ind w:left="6855" w:hanging="360"/>
      </w:pPr>
    </w:lvl>
    <w:lvl w:ilvl="8" w:tplc="1C09001B" w:tentative="1">
      <w:start w:val="1"/>
      <w:numFmt w:val="lowerRoman"/>
      <w:lvlText w:val="%9."/>
      <w:lvlJc w:val="right"/>
      <w:pPr>
        <w:ind w:left="7575" w:hanging="180"/>
      </w:pPr>
    </w:lvl>
  </w:abstractNum>
  <w:abstractNum w:abstractNumId="5">
    <w:nsid w:val="1893791B"/>
    <w:multiLevelType w:val="hybridMultilevel"/>
    <w:tmpl w:val="A7F61F30"/>
    <w:lvl w:ilvl="0" w:tplc="D02240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0749E7"/>
    <w:multiLevelType w:val="multilevel"/>
    <w:tmpl w:val="17568826"/>
    <w:lvl w:ilvl="0">
      <w:start w:val="1"/>
      <w:numFmt w:val="decimal"/>
      <w:lvlText w:val="%1."/>
      <w:lvlJc w:val="left"/>
      <w:rPr>
        <w:rFonts w:ascii="Times New Roman" w:hAnsi="Times New Roman" w:cs="Times New Roman" w:hint="default"/>
        <w:b w:val="0"/>
        <w:i w:val="0"/>
        <w:color w:val="000000"/>
        <w:sz w:val="24"/>
        <w:szCs w:val="24"/>
      </w:rPr>
    </w:lvl>
    <w:lvl w:ilvl="1">
      <w:start w:val="1"/>
      <w:numFmt w:val="lowerLetter"/>
      <w:lvlText w:val="(%2)"/>
      <w:lvlJc w:val="left"/>
      <w:rPr>
        <w:rFonts w:ascii="Times New Roman" w:eastAsia="Times New Roman" w:hAnsi="Times New Roman" w:cs="Times New Roman" w:hint="default"/>
        <w:b w:val="0"/>
        <w:bCs/>
      </w:rPr>
    </w:lvl>
    <w:lvl w:ilvl="2">
      <w:start w:val="1"/>
      <w:numFmt w:val="decimal"/>
      <w:lvlText w:val="%1.%2.%3."/>
      <w:lvlJc w:val="left"/>
      <w:pPr>
        <w:tabs>
          <w:tab w:val="num" w:pos="2552"/>
        </w:tabs>
        <w:ind w:left="2552" w:hanging="1134"/>
      </w:pPr>
      <w:rPr>
        <w:rFonts w:hint="default"/>
      </w:rPr>
    </w:lvl>
    <w:lvl w:ilvl="3">
      <w:start w:val="1"/>
      <w:numFmt w:val="decimal"/>
      <w:lvlText w:val="%1.%2.%3.%4."/>
      <w:lvlJc w:val="left"/>
      <w:pPr>
        <w:tabs>
          <w:tab w:val="num" w:pos="3799"/>
        </w:tabs>
        <w:ind w:left="3799" w:hanging="124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28521A10"/>
    <w:multiLevelType w:val="hybridMultilevel"/>
    <w:tmpl w:val="B0321B22"/>
    <w:lvl w:ilvl="0" w:tplc="540E0944">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nsid w:val="29322042"/>
    <w:multiLevelType w:val="hybridMultilevel"/>
    <w:tmpl w:val="551A577E"/>
    <w:lvl w:ilvl="0" w:tplc="E59E80A8">
      <w:start w:val="1"/>
      <w:numFmt w:val="decimal"/>
      <w:lvlText w:val="(%1)"/>
      <w:lvlJc w:val="left"/>
      <w:pPr>
        <w:ind w:left="720" w:hanging="360"/>
      </w:pPr>
      <w:rPr>
        <w:rFonts w:ascii="Calibri" w:eastAsia="Calibri" w:hAnsi="Calibri"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B1F083F"/>
    <w:multiLevelType w:val="hybridMultilevel"/>
    <w:tmpl w:val="C7941EC8"/>
    <w:lvl w:ilvl="0" w:tplc="5962814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C6D1B82"/>
    <w:multiLevelType w:val="multilevel"/>
    <w:tmpl w:val="E3781324"/>
    <w:lvl w:ilvl="0">
      <w:start w:val="3"/>
      <w:numFmt w:val="decimal"/>
      <w:lvlText w:val="%1"/>
      <w:lvlJc w:val="left"/>
      <w:pPr>
        <w:ind w:left="360" w:hanging="360"/>
      </w:pPr>
      <w:rPr>
        <w:rFonts w:hint="default"/>
      </w:rPr>
    </w:lvl>
    <w:lvl w:ilvl="1">
      <w:start w:val="2"/>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7680" w:hanging="1800"/>
      </w:pPr>
      <w:rPr>
        <w:rFonts w:hint="default"/>
      </w:rPr>
    </w:lvl>
  </w:abstractNum>
  <w:abstractNum w:abstractNumId="11">
    <w:nsid w:val="2FDE204B"/>
    <w:multiLevelType w:val="multilevel"/>
    <w:tmpl w:val="EC5292E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48A5EA3"/>
    <w:multiLevelType w:val="hybridMultilevel"/>
    <w:tmpl w:val="6A98DB6A"/>
    <w:lvl w:ilvl="0" w:tplc="BF6AD650">
      <w:start w:val="1"/>
      <w:numFmt w:val="decimal"/>
      <w:lvlText w:val="%1."/>
      <w:lvlJc w:val="left"/>
      <w:pPr>
        <w:ind w:left="1233" w:hanging="360"/>
      </w:pPr>
      <w:rPr>
        <w:rFonts w:hint="default"/>
      </w:rPr>
    </w:lvl>
    <w:lvl w:ilvl="1" w:tplc="1C090019" w:tentative="1">
      <w:start w:val="1"/>
      <w:numFmt w:val="lowerLetter"/>
      <w:lvlText w:val="%2."/>
      <w:lvlJc w:val="left"/>
      <w:pPr>
        <w:ind w:left="1953" w:hanging="360"/>
      </w:pPr>
    </w:lvl>
    <w:lvl w:ilvl="2" w:tplc="1C09001B" w:tentative="1">
      <w:start w:val="1"/>
      <w:numFmt w:val="lowerRoman"/>
      <w:lvlText w:val="%3."/>
      <w:lvlJc w:val="right"/>
      <w:pPr>
        <w:ind w:left="2673" w:hanging="180"/>
      </w:pPr>
    </w:lvl>
    <w:lvl w:ilvl="3" w:tplc="1C09000F" w:tentative="1">
      <w:start w:val="1"/>
      <w:numFmt w:val="decimal"/>
      <w:lvlText w:val="%4."/>
      <w:lvlJc w:val="left"/>
      <w:pPr>
        <w:ind w:left="3393" w:hanging="360"/>
      </w:pPr>
    </w:lvl>
    <w:lvl w:ilvl="4" w:tplc="1C090019" w:tentative="1">
      <w:start w:val="1"/>
      <w:numFmt w:val="lowerLetter"/>
      <w:lvlText w:val="%5."/>
      <w:lvlJc w:val="left"/>
      <w:pPr>
        <w:ind w:left="4113" w:hanging="360"/>
      </w:pPr>
    </w:lvl>
    <w:lvl w:ilvl="5" w:tplc="1C09001B" w:tentative="1">
      <w:start w:val="1"/>
      <w:numFmt w:val="lowerRoman"/>
      <w:lvlText w:val="%6."/>
      <w:lvlJc w:val="right"/>
      <w:pPr>
        <w:ind w:left="4833" w:hanging="180"/>
      </w:pPr>
    </w:lvl>
    <w:lvl w:ilvl="6" w:tplc="1C09000F" w:tentative="1">
      <w:start w:val="1"/>
      <w:numFmt w:val="decimal"/>
      <w:lvlText w:val="%7."/>
      <w:lvlJc w:val="left"/>
      <w:pPr>
        <w:ind w:left="5553" w:hanging="360"/>
      </w:pPr>
    </w:lvl>
    <w:lvl w:ilvl="7" w:tplc="1C090019" w:tentative="1">
      <w:start w:val="1"/>
      <w:numFmt w:val="lowerLetter"/>
      <w:lvlText w:val="%8."/>
      <w:lvlJc w:val="left"/>
      <w:pPr>
        <w:ind w:left="6273" w:hanging="360"/>
      </w:pPr>
    </w:lvl>
    <w:lvl w:ilvl="8" w:tplc="1C09001B" w:tentative="1">
      <w:start w:val="1"/>
      <w:numFmt w:val="lowerRoman"/>
      <w:lvlText w:val="%9."/>
      <w:lvlJc w:val="right"/>
      <w:pPr>
        <w:ind w:left="6993" w:hanging="180"/>
      </w:pPr>
    </w:lvl>
  </w:abstractNum>
  <w:abstractNum w:abstractNumId="13">
    <w:nsid w:val="3B92192A"/>
    <w:multiLevelType w:val="hybridMultilevel"/>
    <w:tmpl w:val="A2BE0226"/>
    <w:lvl w:ilvl="0" w:tplc="AC4C7FC8">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nsid w:val="3F2E06F1"/>
    <w:multiLevelType w:val="multilevel"/>
    <w:tmpl w:val="67E4F5AA"/>
    <w:styleLink w:val="DPlstMain"/>
    <w:lvl w:ilvl="0">
      <w:start w:val="1"/>
      <w:numFmt w:val="decimal"/>
      <w:pStyle w:val="DPLevel1Heading"/>
      <w:lvlText w:val="%1."/>
      <w:lvlJc w:val="left"/>
      <w:pPr>
        <w:tabs>
          <w:tab w:val="num" w:pos="2997"/>
        </w:tabs>
        <w:ind w:left="2997" w:hanging="567"/>
      </w:pPr>
      <w:rPr>
        <w:rFonts w:hint="default"/>
        <w:b w:val="0"/>
        <w:i w:val="0"/>
      </w:rPr>
    </w:lvl>
    <w:lvl w:ilvl="1">
      <w:start w:val="1"/>
      <w:numFmt w:val="decimal"/>
      <w:pStyle w:val="DPLevel2List"/>
      <w:lvlText w:val="%1.%2"/>
      <w:lvlJc w:val="left"/>
      <w:pPr>
        <w:tabs>
          <w:tab w:val="num" w:pos="1417"/>
        </w:tabs>
        <w:ind w:left="1417" w:hanging="850"/>
      </w:pPr>
      <w:rPr>
        <w:rFonts w:hint="default"/>
        <w:b w:val="0"/>
        <w:i w:val="0"/>
      </w:rPr>
    </w:lvl>
    <w:lvl w:ilvl="2">
      <w:start w:val="1"/>
      <w:numFmt w:val="decimal"/>
      <w:pStyle w:val="DPLevel3List"/>
      <w:lvlText w:val="%1.%2.%3"/>
      <w:lvlJc w:val="left"/>
      <w:pPr>
        <w:tabs>
          <w:tab w:val="num" w:pos="1701"/>
        </w:tabs>
        <w:ind w:left="1701" w:hanging="1134"/>
      </w:pPr>
      <w:rPr>
        <w:rFonts w:hint="default"/>
        <w:b w:val="0"/>
        <w:i w:val="0"/>
      </w:rPr>
    </w:lvl>
    <w:lvl w:ilvl="3">
      <w:start w:val="1"/>
      <w:numFmt w:val="decimal"/>
      <w:pStyle w:val="DPLevel4List"/>
      <w:lvlText w:val="%1.%2.%3.%4"/>
      <w:lvlJc w:val="left"/>
      <w:pPr>
        <w:tabs>
          <w:tab w:val="num" w:pos="1984"/>
        </w:tabs>
        <w:ind w:left="1984" w:hanging="1417"/>
      </w:pPr>
      <w:rPr>
        <w:rFonts w:hint="default"/>
        <w:b w:val="0"/>
        <w:i w:val="0"/>
      </w:rPr>
    </w:lvl>
    <w:lvl w:ilvl="4">
      <w:start w:val="1"/>
      <w:numFmt w:val="decimal"/>
      <w:pStyle w:val="DPLevel5List"/>
      <w:lvlText w:val="%1.%2.%3.%4.%5"/>
      <w:lvlJc w:val="left"/>
      <w:pPr>
        <w:tabs>
          <w:tab w:val="num" w:pos="2268"/>
        </w:tabs>
        <w:ind w:left="2268" w:hanging="1701"/>
      </w:pPr>
      <w:rPr>
        <w:rFonts w:hint="default"/>
        <w:b w:val="0"/>
        <w:i w:val="0"/>
      </w:rPr>
    </w:lvl>
    <w:lvl w:ilvl="5">
      <w:start w:val="1"/>
      <w:numFmt w:val="decimal"/>
      <w:pStyle w:val="DPLevel6List"/>
      <w:lvlText w:val="%1.%2.%3.%4.%5.%6"/>
      <w:lvlJc w:val="left"/>
      <w:pPr>
        <w:tabs>
          <w:tab w:val="num" w:pos="2551"/>
        </w:tabs>
        <w:ind w:left="2551" w:hanging="1984"/>
      </w:pPr>
      <w:rPr>
        <w:rFonts w:hint="default"/>
        <w:b w:val="0"/>
        <w:i w:val="0"/>
      </w:rPr>
    </w:lvl>
    <w:lvl w:ilvl="6">
      <w:start w:val="1"/>
      <w:numFmt w:val="decimal"/>
      <w:pStyle w:val="DPLevel7List"/>
      <w:lvlText w:val="%1.%2.%3.%4.%5.%6.%7"/>
      <w:lvlJc w:val="left"/>
      <w:pPr>
        <w:tabs>
          <w:tab w:val="num" w:pos="2835"/>
        </w:tabs>
        <w:ind w:left="2835" w:hanging="2268"/>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2FB476E"/>
    <w:multiLevelType w:val="hybridMultilevel"/>
    <w:tmpl w:val="80C2370E"/>
    <w:lvl w:ilvl="0" w:tplc="1C09000F">
      <w:start w:val="1"/>
      <w:numFmt w:val="decimal"/>
      <w:lvlText w:val="%1."/>
      <w:lvlJc w:val="left"/>
      <w:pPr>
        <w:ind w:left="2988" w:hanging="360"/>
      </w:pPr>
    </w:lvl>
    <w:lvl w:ilvl="1" w:tplc="1C09000F">
      <w:start w:val="1"/>
      <w:numFmt w:val="decimal"/>
      <w:lvlText w:val="%2."/>
      <w:lvlJc w:val="left"/>
      <w:pPr>
        <w:ind w:left="3708" w:hanging="360"/>
      </w:pPr>
    </w:lvl>
    <w:lvl w:ilvl="2" w:tplc="1C09001B" w:tentative="1">
      <w:start w:val="1"/>
      <w:numFmt w:val="lowerRoman"/>
      <w:lvlText w:val="%3."/>
      <w:lvlJc w:val="right"/>
      <w:pPr>
        <w:ind w:left="4428" w:hanging="180"/>
      </w:pPr>
    </w:lvl>
    <w:lvl w:ilvl="3" w:tplc="1C09000F" w:tentative="1">
      <w:start w:val="1"/>
      <w:numFmt w:val="decimal"/>
      <w:lvlText w:val="%4."/>
      <w:lvlJc w:val="left"/>
      <w:pPr>
        <w:ind w:left="5148" w:hanging="360"/>
      </w:pPr>
    </w:lvl>
    <w:lvl w:ilvl="4" w:tplc="1C090019" w:tentative="1">
      <w:start w:val="1"/>
      <w:numFmt w:val="lowerLetter"/>
      <w:lvlText w:val="%5."/>
      <w:lvlJc w:val="left"/>
      <w:pPr>
        <w:ind w:left="5868" w:hanging="360"/>
      </w:pPr>
    </w:lvl>
    <w:lvl w:ilvl="5" w:tplc="1C09001B" w:tentative="1">
      <w:start w:val="1"/>
      <w:numFmt w:val="lowerRoman"/>
      <w:lvlText w:val="%6."/>
      <w:lvlJc w:val="right"/>
      <w:pPr>
        <w:ind w:left="6588" w:hanging="180"/>
      </w:pPr>
    </w:lvl>
    <w:lvl w:ilvl="6" w:tplc="1C09000F" w:tentative="1">
      <w:start w:val="1"/>
      <w:numFmt w:val="decimal"/>
      <w:lvlText w:val="%7."/>
      <w:lvlJc w:val="left"/>
      <w:pPr>
        <w:ind w:left="7308" w:hanging="360"/>
      </w:pPr>
    </w:lvl>
    <w:lvl w:ilvl="7" w:tplc="1C090019" w:tentative="1">
      <w:start w:val="1"/>
      <w:numFmt w:val="lowerLetter"/>
      <w:lvlText w:val="%8."/>
      <w:lvlJc w:val="left"/>
      <w:pPr>
        <w:ind w:left="8028" w:hanging="360"/>
      </w:pPr>
    </w:lvl>
    <w:lvl w:ilvl="8" w:tplc="1C09001B" w:tentative="1">
      <w:start w:val="1"/>
      <w:numFmt w:val="lowerRoman"/>
      <w:lvlText w:val="%9."/>
      <w:lvlJc w:val="right"/>
      <w:pPr>
        <w:ind w:left="8748" w:hanging="180"/>
      </w:pPr>
    </w:lvl>
  </w:abstractNum>
  <w:abstractNum w:abstractNumId="16">
    <w:nsid w:val="43491C14"/>
    <w:multiLevelType w:val="hybridMultilevel"/>
    <w:tmpl w:val="720814E8"/>
    <w:lvl w:ilvl="0" w:tplc="90464DB4">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nsid w:val="48EE0ED2"/>
    <w:multiLevelType w:val="hybridMultilevel"/>
    <w:tmpl w:val="5C2EED60"/>
    <w:lvl w:ilvl="0" w:tplc="888CFF98">
      <w:start w:val="1"/>
      <w:numFmt w:val="decimal"/>
      <w:lvlText w:val="[%1]"/>
      <w:lvlJc w:val="left"/>
      <w:pPr>
        <w:ind w:left="720" w:hanging="360"/>
      </w:pPr>
      <w:rPr>
        <w:rFonts w:cs="Times New Roman" w:hint="default"/>
        <w:b w:val="0"/>
        <w:i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C316BAE"/>
    <w:multiLevelType w:val="hybridMultilevel"/>
    <w:tmpl w:val="A8AC6250"/>
    <w:lvl w:ilvl="0" w:tplc="739CB57A">
      <w:start w:val="1"/>
      <w:numFmt w:val="lowerLetter"/>
      <w:lvlText w:val="(%1)"/>
      <w:lvlJc w:val="left"/>
      <w:pPr>
        <w:ind w:left="2010" w:hanging="390"/>
      </w:pPr>
      <w:rPr>
        <w:rFonts w:hint="default"/>
      </w:r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9">
    <w:nsid w:val="6DF52499"/>
    <w:multiLevelType w:val="hybridMultilevel"/>
    <w:tmpl w:val="98ACADC8"/>
    <w:lvl w:ilvl="0" w:tplc="888CFF98">
      <w:start w:val="1"/>
      <w:numFmt w:val="decimal"/>
      <w:lvlText w:val="[%1]"/>
      <w:lvlJc w:val="left"/>
      <w:pPr>
        <w:ind w:left="720" w:hanging="360"/>
      </w:pPr>
      <w:rPr>
        <w:rFonts w:cs="Times New Roman" w:hint="default"/>
        <w:b w:val="0"/>
        <w:i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F3B0C74"/>
    <w:multiLevelType w:val="hybridMultilevel"/>
    <w:tmpl w:val="15E2F1B0"/>
    <w:lvl w:ilvl="0" w:tplc="FEB27F76">
      <w:start w:val="1"/>
      <w:numFmt w:val="decimal"/>
      <w:lvlText w:val="[%1]"/>
      <w:lvlJc w:val="left"/>
      <w:pPr>
        <w:ind w:left="360" w:hanging="360"/>
      </w:pPr>
      <w:rPr>
        <w:rFonts w:cs="Times New Roman" w:hint="default"/>
        <w:i w:val="0"/>
        <w:color w:val="auto"/>
      </w:rPr>
    </w:lvl>
    <w:lvl w:ilvl="1" w:tplc="E21CDDA0">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815AFE"/>
    <w:multiLevelType w:val="multilevel"/>
    <w:tmpl w:val="EC5292E4"/>
    <w:lvl w:ilvl="0">
      <w:start w:val="1"/>
      <w:numFmt w:val="decimal"/>
      <w:lvlText w:val="%1."/>
      <w:lvlJc w:val="left"/>
      <w:pPr>
        <w:ind w:left="360" w:hanging="360"/>
      </w:pPr>
    </w:lvl>
    <w:lvl w:ilvl="1">
      <w:start w:val="1"/>
      <w:numFmt w:val="decimal"/>
      <w:lvlText w:val="%1.%2."/>
      <w:lvlJc w:val="left"/>
      <w:pPr>
        <w:ind w:left="2417"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8"/>
  </w:num>
  <w:num w:numId="3">
    <w:abstractNumId w:val="11"/>
  </w:num>
  <w:num w:numId="4">
    <w:abstractNumId w:val="21"/>
  </w:num>
  <w:num w:numId="5">
    <w:abstractNumId w:val="0"/>
  </w:num>
  <w:num w:numId="6">
    <w:abstractNumId w:val="15"/>
  </w:num>
  <w:num w:numId="7">
    <w:abstractNumId w:val="2"/>
  </w:num>
  <w:num w:numId="8">
    <w:abstractNumId w:val="10"/>
  </w:num>
  <w:num w:numId="9">
    <w:abstractNumId w:val="19"/>
  </w:num>
  <w:num w:numId="10">
    <w:abstractNumId w:val="4"/>
  </w:num>
  <w:num w:numId="11">
    <w:abstractNumId w:val="17"/>
  </w:num>
  <w:num w:numId="12">
    <w:abstractNumId w:val="12"/>
  </w:num>
  <w:num w:numId="13">
    <w:abstractNumId w:val="1"/>
  </w:num>
  <w:num w:numId="14">
    <w:abstractNumId w:val="13"/>
  </w:num>
  <w:num w:numId="15">
    <w:abstractNumId w:val="16"/>
  </w:num>
  <w:num w:numId="16">
    <w:abstractNumId w:val="18"/>
  </w:num>
  <w:num w:numId="17">
    <w:abstractNumId w:val="6"/>
  </w:num>
  <w:num w:numId="18">
    <w:abstractNumId w:val="5"/>
  </w:num>
  <w:num w:numId="19">
    <w:abstractNumId w:val="3"/>
  </w:num>
  <w:num w:numId="20">
    <w:abstractNumId w:val="14"/>
  </w:num>
  <w:num w:numId="21">
    <w:abstractNumId w:val="7"/>
  </w:num>
  <w:num w:numId="2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98"/>
    <w:rsid w:val="00000302"/>
    <w:rsid w:val="00000FE5"/>
    <w:rsid w:val="0000344F"/>
    <w:rsid w:val="00004F65"/>
    <w:rsid w:val="00010C00"/>
    <w:rsid w:val="00012406"/>
    <w:rsid w:val="00013E20"/>
    <w:rsid w:val="00014B11"/>
    <w:rsid w:val="00014EC7"/>
    <w:rsid w:val="00021812"/>
    <w:rsid w:val="00022777"/>
    <w:rsid w:val="000227D6"/>
    <w:rsid w:val="000255CC"/>
    <w:rsid w:val="00027E3C"/>
    <w:rsid w:val="00032B72"/>
    <w:rsid w:val="00032FE7"/>
    <w:rsid w:val="00035791"/>
    <w:rsid w:val="00037E83"/>
    <w:rsid w:val="00041FC7"/>
    <w:rsid w:val="0004375D"/>
    <w:rsid w:val="00047B67"/>
    <w:rsid w:val="00050A76"/>
    <w:rsid w:val="00052296"/>
    <w:rsid w:val="0005291E"/>
    <w:rsid w:val="00052973"/>
    <w:rsid w:val="00052D61"/>
    <w:rsid w:val="00052F10"/>
    <w:rsid w:val="00053534"/>
    <w:rsid w:val="000537F3"/>
    <w:rsid w:val="00055CD8"/>
    <w:rsid w:val="00057BC2"/>
    <w:rsid w:val="000612F5"/>
    <w:rsid w:val="00062888"/>
    <w:rsid w:val="000643BA"/>
    <w:rsid w:val="0007237C"/>
    <w:rsid w:val="000724F0"/>
    <w:rsid w:val="00072D01"/>
    <w:rsid w:val="00077462"/>
    <w:rsid w:val="00080621"/>
    <w:rsid w:val="00082DAB"/>
    <w:rsid w:val="00083835"/>
    <w:rsid w:val="00084232"/>
    <w:rsid w:val="000854E8"/>
    <w:rsid w:val="000909DF"/>
    <w:rsid w:val="00095039"/>
    <w:rsid w:val="00095934"/>
    <w:rsid w:val="00095D38"/>
    <w:rsid w:val="000A124A"/>
    <w:rsid w:val="000A1427"/>
    <w:rsid w:val="000A1855"/>
    <w:rsid w:val="000A3641"/>
    <w:rsid w:val="000A4A12"/>
    <w:rsid w:val="000A5059"/>
    <w:rsid w:val="000A613E"/>
    <w:rsid w:val="000B0A73"/>
    <w:rsid w:val="000B0CA5"/>
    <w:rsid w:val="000B291A"/>
    <w:rsid w:val="000B370E"/>
    <w:rsid w:val="000B3AC7"/>
    <w:rsid w:val="000C0ADC"/>
    <w:rsid w:val="000C150F"/>
    <w:rsid w:val="000C5CA7"/>
    <w:rsid w:val="000C6905"/>
    <w:rsid w:val="000C690A"/>
    <w:rsid w:val="000C6B8C"/>
    <w:rsid w:val="000D367A"/>
    <w:rsid w:val="000D5866"/>
    <w:rsid w:val="000D64B0"/>
    <w:rsid w:val="000D6A47"/>
    <w:rsid w:val="000E08BD"/>
    <w:rsid w:val="000E13B0"/>
    <w:rsid w:val="000E681E"/>
    <w:rsid w:val="000F1480"/>
    <w:rsid w:val="000F2671"/>
    <w:rsid w:val="00100A30"/>
    <w:rsid w:val="00104CA2"/>
    <w:rsid w:val="001061DD"/>
    <w:rsid w:val="00106C0E"/>
    <w:rsid w:val="001074D6"/>
    <w:rsid w:val="0011019A"/>
    <w:rsid w:val="0011098B"/>
    <w:rsid w:val="001127A7"/>
    <w:rsid w:val="001132B9"/>
    <w:rsid w:val="00116AA7"/>
    <w:rsid w:val="00122426"/>
    <w:rsid w:val="00124024"/>
    <w:rsid w:val="0012424E"/>
    <w:rsid w:val="00125367"/>
    <w:rsid w:val="00125451"/>
    <w:rsid w:val="00126D6C"/>
    <w:rsid w:val="00131EB4"/>
    <w:rsid w:val="00132F91"/>
    <w:rsid w:val="00133ACD"/>
    <w:rsid w:val="001345E7"/>
    <w:rsid w:val="00135550"/>
    <w:rsid w:val="00136B15"/>
    <w:rsid w:val="00136B2F"/>
    <w:rsid w:val="00136C1C"/>
    <w:rsid w:val="00140E14"/>
    <w:rsid w:val="00144556"/>
    <w:rsid w:val="00147AA3"/>
    <w:rsid w:val="00147D65"/>
    <w:rsid w:val="0015084D"/>
    <w:rsid w:val="0015259D"/>
    <w:rsid w:val="00153DE4"/>
    <w:rsid w:val="00154300"/>
    <w:rsid w:val="0016537F"/>
    <w:rsid w:val="00177D10"/>
    <w:rsid w:val="00181391"/>
    <w:rsid w:val="001816D2"/>
    <w:rsid w:val="00181EAA"/>
    <w:rsid w:val="001821F7"/>
    <w:rsid w:val="001824F7"/>
    <w:rsid w:val="00182D80"/>
    <w:rsid w:val="00187667"/>
    <w:rsid w:val="0019283F"/>
    <w:rsid w:val="00193571"/>
    <w:rsid w:val="00194B51"/>
    <w:rsid w:val="001A1BA4"/>
    <w:rsid w:val="001A492C"/>
    <w:rsid w:val="001A521F"/>
    <w:rsid w:val="001A5986"/>
    <w:rsid w:val="001B1BC7"/>
    <w:rsid w:val="001B2C0F"/>
    <w:rsid w:val="001C13DA"/>
    <w:rsid w:val="001C2DA1"/>
    <w:rsid w:val="001C405F"/>
    <w:rsid w:val="001C45D9"/>
    <w:rsid w:val="001C5B52"/>
    <w:rsid w:val="001C633E"/>
    <w:rsid w:val="001C69F0"/>
    <w:rsid w:val="001D0235"/>
    <w:rsid w:val="001D2EC5"/>
    <w:rsid w:val="001D3713"/>
    <w:rsid w:val="001D42B2"/>
    <w:rsid w:val="001D4636"/>
    <w:rsid w:val="001D4C92"/>
    <w:rsid w:val="001D5BE0"/>
    <w:rsid w:val="001E06DC"/>
    <w:rsid w:val="001E0DE4"/>
    <w:rsid w:val="001E1324"/>
    <w:rsid w:val="001E22FD"/>
    <w:rsid w:val="001E2ED7"/>
    <w:rsid w:val="001E3A61"/>
    <w:rsid w:val="001E3C8B"/>
    <w:rsid w:val="001E4751"/>
    <w:rsid w:val="001E4A7B"/>
    <w:rsid w:val="001E5C67"/>
    <w:rsid w:val="001E6EE5"/>
    <w:rsid w:val="001E738F"/>
    <w:rsid w:val="001F10F7"/>
    <w:rsid w:val="001F5A2B"/>
    <w:rsid w:val="001F639B"/>
    <w:rsid w:val="001F662A"/>
    <w:rsid w:val="001F6A27"/>
    <w:rsid w:val="001F7056"/>
    <w:rsid w:val="001F731A"/>
    <w:rsid w:val="002114B7"/>
    <w:rsid w:val="00212C2E"/>
    <w:rsid w:val="00213A71"/>
    <w:rsid w:val="00213F6B"/>
    <w:rsid w:val="002151AC"/>
    <w:rsid w:val="002154CE"/>
    <w:rsid w:val="002173B2"/>
    <w:rsid w:val="00220735"/>
    <w:rsid w:val="00221D68"/>
    <w:rsid w:val="0022500D"/>
    <w:rsid w:val="00226E10"/>
    <w:rsid w:val="002301B2"/>
    <w:rsid w:val="00230B2D"/>
    <w:rsid w:val="00232F4A"/>
    <w:rsid w:val="0023306D"/>
    <w:rsid w:val="00236EDA"/>
    <w:rsid w:val="0024574A"/>
    <w:rsid w:val="0024591F"/>
    <w:rsid w:val="00251DCE"/>
    <w:rsid w:val="00261E27"/>
    <w:rsid w:val="00264A57"/>
    <w:rsid w:val="00266249"/>
    <w:rsid w:val="002675D3"/>
    <w:rsid w:val="00267E59"/>
    <w:rsid w:val="002701E0"/>
    <w:rsid w:val="00272A12"/>
    <w:rsid w:val="00273E8F"/>
    <w:rsid w:val="00273EEB"/>
    <w:rsid w:val="002772C5"/>
    <w:rsid w:val="0027762C"/>
    <w:rsid w:val="00277A0E"/>
    <w:rsid w:val="00277B86"/>
    <w:rsid w:val="002807FF"/>
    <w:rsid w:val="00284BB7"/>
    <w:rsid w:val="002867A9"/>
    <w:rsid w:val="00292E1D"/>
    <w:rsid w:val="002953D1"/>
    <w:rsid w:val="00295A13"/>
    <w:rsid w:val="00295F34"/>
    <w:rsid w:val="00296734"/>
    <w:rsid w:val="00296D2E"/>
    <w:rsid w:val="002976F0"/>
    <w:rsid w:val="002A06EE"/>
    <w:rsid w:val="002A20BA"/>
    <w:rsid w:val="002B0B99"/>
    <w:rsid w:val="002B3EF5"/>
    <w:rsid w:val="002B4A13"/>
    <w:rsid w:val="002B799F"/>
    <w:rsid w:val="002B7BA9"/>
    <w:rsid w:val="002C2AFA"/>
    <w:rsid w:val="002C33BF"/>
    <w:rsid w:val="002C61DF"/>
    <w:rsid w:val="002D25AA"/>
    <w:rsid w:val="002D342D"/>
    <w:rsid w:val="002D4045"/>
    <w:rsid w:val="002D6E87"/>
    <w:rsid w:val="002E1712"/>
    <w:rsid w:val="002E3412"/>
    <w:rsid w:val="002E3A7E"/>
    <w:rsid w:val="002E5FA3"/>
    <w:rsid w:val="002E72DB"/>
    <w:rsid w:val="002E7CD2"/>
    <w:rsid w:val="002F4398"/>
    <w:rsid w:val="002F447F"/>
    <w:rsid w:val="002F5147"/>
    <w:rsid w:val="00304B7A"/>
    <w:rsid w:val="00304D35"/>
    <w:rsid w:val="00305105"/>
    <w:rsid w:val="00307629"/>
    <w:rsid w:val="00307716"/>
    <w:rsid w:val="0031134D"/>
    <w:rsid w:val="00313AB8"/>
    <w:rsid w:val="00321543"/>
    <w:rsid w:val="0033068F"/>
    <w:rsid w:val="00330B77"/>
    <w:rsid w:val="00330F64"/>
    <w:rsid w:val="0033100C"/>
    <w:rsid w:val="003310E5"/>
    <w:rsid w:val="00331F67"/>
    <w:rsid w:val="00332D59"/>
    <w:rsid w:val="0033337E"/>
    <w:rsid w:val="00334912"/>
    <w:rsid w:val="003372F8"/>
    <w:rsid w:val="00341FA5"/>
    <w:rsid w:val="003453FD"/>
    <w:rsid w:val="00346410"/>
    <w:rsid w:val="00346720"/>
    <w:rsid w:val="00346C5F"/>
    <w:rsid w:val="00351D10"/>
    <w:rsid w:val="00353093"/>
    <w:rsid w:val="00353FB9"/>
    <w:rsid w:val="00355D99"/>
    <w:rsid w:val="00356115"/>
    <w:rsid w:val="003574AF"/>
    <w:rsid w:val="00360B3E"/>
    <w:rsid w:val="00361E4B"/>
    <w:rsid w:val="003627FC"/>
    <w:rsid w:val="00362E4A"/>
    <w:rsid w:val="003662D5"/>
    <w:rsid w:val="003667CA"/>
    <w:rsid w:val="00366B7A"/>
    <w:rsid w:val="00367B5B"/>
    <w:rsid w:val="0037031B"/>
    <w:rsid w:val="00370D8F"/>
    <w:rsid w:val="003715EA"/>
    <w:rsid w:val="00371B79"/>
    <w:rsid w:val="00372047"/>
    <w:rsid w:val="00374EAD"/>
    <w:rsid w:val="003837F4"/>
    <w:rsid w:val="00383941"/>
    <w:rsid w:val="00384DA3"/>
    <w:rsid w:val="003861CF"/>
    <w:rsid w:val="00387178"/>
    <w:rsid w:val="00387183"/>
    <w:rsid w:val="00387591"/>
    <w:rsid w:val="003916AB"/>
    <w:rsid w:val="00392DD2"/>
    <w:rsid w:val="00395101"/>
    <w:rsid w:val="003A1E48"/>
    <w:rsid w:val="003A3B9C"/>
    <w:rsid w:val="003A77AB"/>
    <w:rsid w:val="003B1230"/>
    <w:rsid w:val="003B1A79"/>
    <w:rsid w:val="003B1B97"/>
    <w:rsid w:val="003B20DB"/>
    <w:rsid w:val="003B6017"/>
    <w:rsid w:val="003B7144"/>
    <w:rsid w:val="003C1E6E"/>
    <w:rsid w:val="003C275F"/>
    <w:rsid w:val="003C31D4"/>
    <w:rsid w:val="003C6CA8"/>
    <w:rsid w:val="003C7BBF"/>
    <w:rsid w:val="003D50B1"/>
    <w:rsid w:val="003D54FD"/>
    <w:rsid w:val="003D5899"/>
    <w:rsid w:val="003D7266"/>
    <w:rsid w:val="003E2094"/>
    <w:rsid w:val="003E5AA6"/>
    <w:rsid w:val="003E6A5B"/>
    <w:rsid w:val="003F20D1"/>
    <w:rsid w:val="003F35C1"/>
    <w:rsid w:val="003F3699"/>
    <w:rsid w:val="003F38DE"/>
    <w:rsid w:val="003F7F12"/>
    <w:rsid w:val="00401168"/>
    <w:rsid w:val="00401C8C"/>
    <w:rsid w:val="004021A9"/>
    <w:rsid w:val="00402609"/>
    <w:rsid w:val="004148C8"/>
    <w:rsid w:val="00414D36"/>
    <w:rsid w:val="00417F03"/>
    <w:rsid w:val="00421057"/>
    <w:rsid w:val="00422953"/>
    <w:rsid w:val="00423710"/>
    <w:rsid w:val="0043066C"/>
    <w:rsid w:val="0043225F"/>
    <w:rsid w:val="004328D2"/>
    <w:rsid w:val="004339CB"/>
    <w:rsid w:val="00434E61"/>
    <w:rsid w:val="0043724E"/>
    <w:rsid w:val="0043725C"/>
    <w:rsid w:val="0044733A"/>
    <w:rsid w:val="00450952"/>
    <w:rsid w:val="0045157B"/>
    <w:rsid w:val="00453E78"/>
    <w:rsid w:val="0045617C"/>
    <w:rsid w:val="004561D5"/>
    <w:rsid w:val="00460F6B"/>
    <w:rsid w:val="0046139D"/>
    <w:rsid w:val="00462A14"/>
    <w:rsid w:val="004643C2"/>
    <w:rsid w:val="004651AF"/>
    <w:rsid w:val="00467977"/>
    <w:rsid w:val="00470FB3"/>
    <w:rsid w:val="0047100D"/>
    <w:rsid w:val="0047167F"/>
    <w:rsid w:val="00471E6C"/>
    <w:rsid w:val="00474195"/>
    <w:rsid w:val="0048075A"/>
    <w:rsid w:val="00481188"/>
    <w:rsid w:val="00481206"/>
    <w:rsid w:val="00481F36"/>
    <w:rsid w:val="00483891"/>
    <w:rsid w:val="0048512E"/>
    <w:rsid w:val="00493727"/>
    <w:rsid w:val="0049440D"/>
    <w:rsid w:val="004A02DC"/>
    <w:rsid w:val="004A3D79"/>
    <w:rsid w:val="004A53A5"/>
    <w:rsid w:val="004A5917"/>
    <w:rsid w:val="004B7248"/>
    <w:rsid w:val="004C1469"/>
    <w:rsid w:val="004C19DF"/>
    <w:rsid w:val="004C5AD1"/>
    <w:rsid w:val="004C6093"/>
    <w:rsid w:val="004D002B"/>
    <w:rsid w:val="004D0C44"/>
    <w:rsid w:val="004D1395"/>
    <w:rsid w:val="004D452F"/>
    <w:rsid w:val="004D5E37"/>
    <w:rsid w:val="004E24B9"/>
    <w:rsid w:val="004E26BD"/>
    <w:rsid w:val="004E36B9"/>
    <w:rsid w:val="004E53FD"/>
    <w:rsid w:val="004E5573"/>
    <w:rsid w:val="004E5A13"/>
    <w:rsid w:val="004E5EE4"/>
    <w:rsid w:val="004E7116"/>
    <w:rsid w:val="004F3F18"/>
    <w:rsid w:val="004F4009"/>
    <w:rsid w:val="004F42EB"/>
    <w:rsid w:val="004F46CA"/>
    <w:rsid w:val="004F4A4D"/>
    <w:rsid w:val="0050361A"/>
    <w:rsid w:val="005068A7"/>
    <w:rsid w:val="0051048D"/>
    <w:rsid w:val="005106C4"/>
    <w:rsid w:val="00510EDF"/>
    <w:rsid w:val="00513ADC"/>
    <w:rsid w:val="005150F5"/>
    <w:rsid w:val="0051516A"/>
    <w:rsid w:val="005155BC"/>
    <w:rsid w:val="00515C37"/>
    <w:rsid w:val="00516BB5"/>
    <w:rsid w:val="005175F2"/>
    <w:rsid w:val="005224BA"/>
    <w:rsid w:val="00522B82"/>
    <w:rsid w:val="005230AF"/>
    <w:rsid w:val="005235BF"/>
    <w:rsid w:val="00526254"/>
    <w:rsid w:val="005276B2"/>
    <w:rsid w:val="005309A7"/>
    <w:rsid w:val="005309FB"/>
    <w:rsid w:val="00531731"/>
    <w:rsid w:val="0053181A"/>
    <w:rsid w:val="005329A9"/>
    <w:rsid w:val="00535DB9"/>
    <w:rsid w:val="00535FBE"/>
    <w:rsid w:val="005360B4"/>
    <w:rsid w:val="005408ED"/>
    <w:rsid w:val="0054105C"/>
    <w:rsid w:val="00541244"/>
    <w:rsid w:val="00541291"/>
    <w:rsid w:val="00542156"/>
    <w:rsid w:val="00544EC0"/>
    <w:rsid w:val="00546A64"/>
    <w:rsid w:val="005529D3"/>
    <w:rsid w:val="00553D8C"/>
    <w:rsid w:val="00555F17"/>
    <w:rsid w:val="00557576"/>
    <w:rsid w:val="00557B2D"/>
    <w:rsid w:val="005601DE"/>
    <w:rsid w:val="005615D7"/>
    <w:rsid w:val="005630D4"/>
    <w:rsid w:val="00565A56"/>
    <w:rsid w:val="00565BF6"/>
    <w:rsid w:val="00574B67"/>
    <w:rsid w:val="00577207"/>
    <w:rsid w:val="00580DD1"/>
    <w:rsid w:val="0058346E"/>
    <w:rsid w:val="00586BE8"/>
    <w:rsid w:val="0059045C"/>
    <w:rsid w:val="005934E3"/>
    <w:rsid w:val="005971F7"/>
    <w:rsid w:val="005A0EAD"/>
    <w:rsid w:val="005A360B"/>
    <w:rsid w:val="005A3A5E"/>
    <w:rsid w:val="005A62B4"/>
    <w:rsid w:val="005A64BD"/>
    <w:rsid w:val="005B2241"/>
    <w:rsid w:val="005B6963"/>
    <w:rsid w:val="005B7423"/>
    <w:rsid w:val="005B7EF7"/>
    <w:rsid w:val="005C318F"/>
    <w:rsid w:val="005C34AF"/>
    <w:rsid w:val="005C445A"/>
    <w:rsid w:val="005C4CB8"/>
    <w:rsid w:val="005D4718"/>
    <w:rsid w:val="005E0522"/>
    <w:rsid w:val="005E3D31"/>
    <w:rsid w:val="005E79C3"/>
    <w:rsid w:val="005F0792"/>
    <w:rsid w:val="005F117A"/>
    <w:rsid w:val="005F1D17"/>
    <w:rsid w:val="005F66C9"/>
    <w:rsid w:val="005F7E18"/>
    <w:rsid w:val="006029B4"/>
    <w:rsid w:val="00604E69"/>
    <w:rsid w:val="00606B47"/>
    <w:rsid w:val="00613D18"/>
    <w:rsid w:val="00614803"/>
    <w:rsid w:val="0061571A"/>
    <w:rsid w:val="006165BB"/>
    <w:rsid w:val="00617300"/>
    <w:rsid w:val="00622B15"/>
    <w:rsid w:val="006233A1"/>
    <w:rsid w:val="006264E3"/>
    <w:rsid w:val="006277BD"/>
    <w:rsid w:val="00630149"/>
    <w:rsid w:val="006336DC"/>
    <w:rsid w:val="006343FD"/>
    <w:rsid w:val="00634F22"/>
    <w:rsid w:val="00637AF2"/>
    <w:rsid w:val="006429BC"/>
    <w:rsid w:val="00643654"/>
    <w:rsid w:val="006530EB"/>
    <w:rsid w:val="0065431A"/>
    <w:rsid w:val="0065563E"/>
    <w:rsid w:val="006563BF"/>
    <w:rsid w:val="006639C2"/>
    <w:rsid w:val="00663E7F"/>
    <w:rsid w:val="006655EF"/>
    <w:rsid w:val="00666255"/>
    <w:rsid w:val="006667B8"/>
    <w:rsid w:val="0067096B"/>
    <w:rsid w:val="006709B2"/>
    <w:rsid w:val="00673631"/>
    <w:rsid w:val="00674A38"/>
    <w:rsid w:val="006778C9"/>
    <w:rsid w:val="00680548"/>
    <w:rsid w:val="00680FF0"/>
    <w:rsid w:val="00685324"/>
    <w:rsid w:val="00694469"/>
    <w:rsid w:val="006A674D"/>
    <w:rsid w:val="006A7D0D"/>
    <w:rsid w:val="006B0E4E"/>
    <w:rsid w:val="006B1EB7"/>
    <w:rsid w:val="006B6C3C"/>
    <w:rsid w:val="006C0CA6"/>
    <w:rsid w:val="006C1891"/>
    <w:rsid w:val="006C38B1"/>
    <w:rsid w:val="006C45D9"/>
    <w:rsid w:val="006C68A8"/>
    <w:rsid w:val="006D22B0"/>
    <w:rsid w:val="006D2DF7"/>
    <w:rsid w:val="006D4CB9"/>
    <w:rsid w:val="006E3A9E"/>
    <w:rsid w:val="006E3F24"/>
    <w:rsid w:val="006E48D0"/>
    <w:rsid w:val="006E61EE"/>
    <w:rsid w:val="006E74A4"/>
    <w:rsid w:val="00701836"/>
    <w:rsid w:val="00702348"/>
    <w:rsid w:val="0071375A"/>
    <w:rsid w:val="007143C5"/>
    <w:rsid w:val="00715DC4"/>
    <w:rsid w:val="00717026"/>
    <w:rsid w:val="00717919"/>
    <w:rsid w:val="007213CE"/>
    <w:rsid w:val="007232D8"/>
    <w:rsid w:val="00727682"/>
    <w:rsid w:val="00727779"/>
    <w:rsid w:val="00735291"/>
    <w:rsid w:val="007355AB"/>
    <w:rsid w:val="00735E39"/>
    <w:rsid w:val="0073729B"/>
    <w:rsid w:val="00737654"/>
    <w:rsid w:val="0074081F"/>
    <w:rsid w:val="0074296B"/>
    <w:rsid w:val="00750EA0"/>
    <w:rsid w:val="00754688"/>
    <w:rsid w:val="007547DA"/>
    <w:rsid w:val="007610F3"/>
    <w:rsid w:val="00762AC7"/>
    <w:rsid w:val="00762B65"/>
    <w:rsid w:val="007641B7"/>
    <w:rsid w:val="007652F3"/>
    <w:rsid w:val="00766F3A"/>
    <w:rsid w:val="00767716"/>
    <w:rsid w:val="00767807"/>
    <w:rsid w:val="00771896"/>
    <w:rsid w:val="00774892"/>
    <w:rsid w:val="00774A3E"/>
    <w:rsid w:val="00775D68"/>
    <w:rsid w:val="007769EF"/>
    <w:rsid w:val="00776EA8"/>
    <w:rsid w:val="007770D6"/>
    <w:rsid w:val="0078073D"/>
    <w:rsid w:val="00782310"/>
    <w:rsid w:val="00784264"/>
    <w:rsid w:val="00787CB6"/>
    <w:rsid w:val="0079031F"/>
    <w:rsid w:val="00793590"/>
    <w:rsid w:val="007953EE"/>
    <w:rsid w:val="00795F67"/>
    <w:rsid w:val="007960E4"/>
    <w:rsid w:val="00796593"/>
    <w:rsid w:val="007A13E7"/>
    <w:rsid w:val="007A1687"/>
    <w:rsid w:val="007A2542"/>
    <w:rsid w:val="007A70F2"/>
    <w:rsid w:val="007B07F5"/>
    <w:rsid w:val="007B1902"/>
    <w:rsid w:val="007B222E"/>
    <w:rsid w:val="007B5E81"/>
    <w:rsid w:val="007B601B"/>
    <w:rsid w:val="007B671F"/>
    <w:rsid w:val="007C20F4"/>
    <w:rsid w:val="007C3117"/>
    <w:rsid w:val="007C4DF3"/>
    <w:rsid w:val="007D3D14"/>
    <w:rsid w:val="007D6358"/>
    <w:rsid w:val="007D657D"/>
    <w:rsid w:val="007D75FE"/>
    <w:rsid w:val="007E1A41"/>
    <w:rsid w:val="007E2762"/>
    <w:rsid w:val="007E4339"/>
    <w:rsid w:val="007E5558"/>
    <w:rsid w:val="007F0074"/>
    <w:rsid w:val="007F07F6"/>
    <w:rsid w:val="007F0CED"/>
    <w:rsid w:val="007F10D6"/>
    <w:rsid w:val="007F32EE"/>
    <w:rsid w:val="007F3B0D"/>
    <w:rsid w:val="007F47F2"/>
    <w:rsid w:val="00802072"/>
    <w:rsid w:val="00803181"/>
    <w:rsid w:val="008037EC"/>
    <w:rsid w:val="00805234"/>
    <w:rsid w:val="00805395"/>
    <w:rsid w:val="00805971"/>
    <w:rsid w:val="008060DD"/>
    <w:rsid w:val="00806491"/>
    <w:rsid w:val="008107AE"/>
    <w:rsid w:val="00811263"/>
    <w:rsid w:val="00813612"/>
    <w:rsid w:val="008142D8"/>
    <w:rsid w:val="00815098"/>
    <w:rsid w:val="008155B2"/>
    <w:rsid w:val="00816EFF"/>
    <w:rsid w:val="00817C0F"/>
    <w:rsid w:val="00820264"/>
    <w:rsid w:val="00822B86"/>
    <w:rsid w:val="0082339A"/>
    <w:rsid w:val="00825C38"/>
    <w:rsid w:val="00826091"/>
    <w:rsid w:val="008268C9"/>
    <w:rsid w:val="00827B78"/>
    <w:rsid w:val="00831339"/>
    <w:rsid w:val="008360C6"/>
    <w:rsid w:val="0084067A"/>
    <w:rsid w:val="008423DB"/>
    <w:rsid w:val="00842714"/>
    <w:rsid w:val="00842F8F"/>
    <w:rsid w:val="008467D9"/>
    <w:rsid w:val="008501FB"/>
    <w:rsid w:val="008512F2"/>
    <w:rsid w:val="008604C7"/>
    <w:rsid w:val="00860B57"/>
    <w:rsid w:val="0086145C"/>
    <w:rsid w:val="00863C58"/>
    <w:rsid w:val="008645DE"/>
    <w:rsid w:val="00864AE0"/>
    <w:rsid w:val="0087031E"/>
    <w:rsid w:val="00870EA3"/>
    <w:rsid w:val="008716C1"/>
    <w:rsid w:val="00871B23"/>
    <w:rsid w:val="00871E62"/>
    <w:rsid w:val="008728B6"/>
    <w:rsid w:val="008729D8"/>
    <w:rsid w:val="008731F6"/>
    <w:rsid w:val="00876495"/>
    <w:rsid w:val="0087717F"/>
    <w:rsid w:val="00880C9F"/>
    <w:rsid w:val="0088127A"/>
    <w:rsid w:val="008875A4"/>
    <w:rsid w:val="00892D0A"/>
    <w:rsid w:val="0089448F"/>
    <w:rsid w:val="00897BA8"/>
    <w:rsid w:val="008A1085"/>
    <w:rsid w:val="008A13BD"/>
    <w:rsid w:val="008A309D"/>
    <w:rsid w:val="008A39F2"/>
    <w:rsid w:val="008A3FD6"/>
    <w:rsid w:val="008A435B"/>
    <w:rsid w:val="008A5459"/>
    <w:rsid w:val="008A73B2"/>
    <w:rsid w:val="008B0B42"/>
    <w:rsid w:val="008B1854"/>
    <w:rsid w:val="008B3C9D"/>
    <w:rsid w:val="008B45B1"/>
    <w:rsid w:val="008B56BA"/>
    <w:rsid w:val="008B58E6"/>
    <w:rsid w:val="008B6A4B"/>
    <w:rsid w:val="008C0A76"/>
    <w:rsid w:val="008C34E9"/>
    <w:rsid w:val="008C5EAF"/>
    <w:rsid w:val="008D17AE"/>
    <w:rsid w:val="008D2311"/>
    <w:rsid w:val="008D332C"/>
    <w:rsid w:val="008D5DD8"/>
    <w:rsid w:val="008D658C"/>
    <w:rsid w:val="008E2028"/>
    <w:rsid w:val="008E3F62"/>
    <w:rsid w:val="008F7797"/>
    <w:rsid w:val="00900EA9"/>
    <w:rsid w:val="00903272"/>
    <w:rsid w:val="0090515A"/>
    <w:rsid w:val="00907698"/>
    <w:rsid w:val="00910DE6"/>
    <w:rsid w:val="00911423"/>
    <w:rsid w:val="00913DDB"/>
    <w:rsid w:val="009175F8"/>
    <w:rsid w:val="009204B1"/>
    <w:rsid w:val="009209E1"/>
    <w:rsid w:val="009253DD"/>
    <w:rsid w:val="00933157"/>
    <w:rsid w:val="0093663C"/>
    <w:rsid w:val="00940F74"/>
    <w:rsid w:val="00942C6D"/>
    <w:rsid w:val="00944281"/>
    <w:rsid w:val="00950161"/>
    <w:rsid w:val="009502A6"/>
    <w:rsid w:val="009559DA"/>
    <w:rsid w:val="00955D8E"/>
    <w:rsid w:val="00957B9B"/>
    <w:rsid w:val="00961C94"/>
    <w:rsid w:val="009627D3"/>
    <w:rsid w:val="0096554D"/>
    <w:rsid w:val="00966D5B"/>
    <w:rsid w:val="00972793"/>
    <w:rsid w:val="00977918"/>
    <w:rsid w:val="0097797E"/>
    <w:rsid w:val="00981B5C"/>
    <w:rsid w:val="00984BFA"/>
    <w:rsid w:val="00985363"/>
    <w:rsid w:val="0099035A"/>
    <w:rsid w:val="009904CD"/>
    <w:rsid w:val="0099075E"/>
    <w:rsid w:val="00991DEE"/>
    <w:rsid w:val="0099454D"/>
    <w:rsid w:val="00994559"/>
    <w:rsid w:val="0099458C"/>
    <w:rsid w:val="00995111"/>
    <w:rsid w:val="009955FB"/>
    <w:rsid w:val="00995DB7"/>
    <w:rsid w:val="00996C9B"/>
    <w:rsid w:val="00997C55"/>
    <w:rsid w:val="00997D48"/>
    <w:rsid w:val="009A177E"/>
    <w:rsid w:val="009A2D3E"/>
    <w:rsid w:val="009A54B0"/>
    <w:rsid w:val="009B7675"/>
    <w:rsid w:val="009B7C4D"/>
    <w:rsid w:val="009C243F"/>
    <w:rsid w:val="009C59AB"/>
    <w:rsid w:val="009C68FF"/>
    <w:rsid w:val="009D1955"/>
    <w:rsid w:val="009D4A08"/>
    <w:rsid w:val="009D714E"/>
    <w:rsid w:val="009E02FA"/>
    <w:rsid w:val="009E17C4"/>
    <w:rsid w:val="009E43AE"/>
    <w:rsid w:val="009E7726"/>
    <w:rsid w:val="009F07B8"/>
    <w:rsid w:val="009F1F3D"/>
    <w:rsid w:val="009F25C1"/>
    <w:rsid w:val="009F3EFC"/>
    <w:rsid w:val="009F4489"/>
    <w:rsid w:val="009F46B1"/>
    <w:rsid w:val="00A02A8F"/>
    <w:rsid w:val="00A03511"/>
    <w:rsid w:val="00A04332"/>
    <w:rsid w:val="00A15381"/>
    <w:rsid w:val="00A20C31"/>
    <w:rsid w:val="00A22C40"/>
    <w:rsid w:val="00A23A3A"/>
    <w:rsid w:val="00A2741C"/>
    <w:rsid w:val="00A308CD"/>
    <w:rsid w:val="00A33F0A"/>
    <w:rsid w:val="00A354C5"/>
    <w:rsid w:val="00A3697E"/>
    <w:rsid w:val="00A369F3"/>
    <w:rsid w:val="00A37E49"/>
    <w:rsid w:val="00A4393E"/>
    <w:rsid w:val="00A466BC"/>
    <w:rsid w:val="00A47C3E"/>
    <w:rsid w:val="00A50786"/>
    <w:rsid w:val="00A5094F"/>
    <w:rsid w:val="00A5222B"/>
    <w:rsid w:val="00A53264"/>
    <w:rsid w:val="00A617B8"/>
    <w:rsid w:val="00A624BC"/>
    <w:rsid w:val="00A625DE"/>
    <w:rsid w:val="00A6483E"/>
    <w:rsid w:val="00A65269"/>
    <w:rsid w:val="00A65B96"/>
    <w:rsid w:val="00A67088"/>
    <w:rsid w:val="00A67A9E"/>
    <w:rsid w:val="00A723A0"/>
    <w:rsid w:val="00A72C4B"/>
    <w:rsid w:val="00A73C01"/>
    <w:rsid w:val="00A74BB7"/>
    <w:rsid w:val="00A7552D"/>
    <w:rsid w:val="00A75E18"/>
    <w:rsid w:val="00A83B54"/>
    <w:rsid w:val="00A83FF6"/>
    <w:rsid w:val="00A850BB"/>
    <w:rsid w:val="00A85EB7"/>
    <w:rsid w:val="00A941DD"/>
    <w:rsid w:val="00A97409"/>
    <w:rsid w:val="00A97C4A"/>
    <w:rsid w:val="00AA166E"/>
    <w:rsid w:val="00AA1A12"/>
    <w:rsid w:val="00AA1B9D"/>
    <w:rsid w:val="00AA41B0"/>
    <w:rsid w:val="00AA4292"/>
    <w:rsid w:val="00AA4E63"/>
    <w:rsid w:val="00AA624A"/>
    <w:rsid w:val="00AA7542"/>
    <w:rsid w:val="00AB64CE"/>
    <w:rsid w:val="00AC0890"/>
    <w:rsid w:val="00AC5A6C"/>
    <w:rsid w:val="00AD117D"/>
    <w:rsid w:val="00AD22EC"/>
    <w:rsid w:val="00AD34D4"/>
    <w:rsid w:val="00AD4120"/>
    <w:rsid w:val="00AD798C"/>
    <w:rsid w:val="00AD7CA5"/>
    <w:rsid w:val="00AE0757"/>
    <w:rsid w:val="00AE0A01"/>
    <w:rsid w:val="00AE134E"/>
    <w:rsid w:val="00AE1B96"/>
    <w:rsid w:val="00AE4357"/>
    <w:rsid w:val="00AE760B"/>
    <w:rsid w:val="00AE7F9A"/>
    <w:rsid w:val="00AF18A0"/>
    <w:rsid w:val="00AF1B8A"/>
    <w:rsid w:val="00AF2FE9"/>
    <w:rsid w:val="00AF38DB"/>
    <w:rsid w:val="00AF6BC9"/>
    <w:rsid w:val="00B01163"/>
    <w:rsid w:val="00B03AEF"/>
    <w:rsid w:val="00B04800"/>
    <w:rsid w:val="00B06032"/>
    <w:rsid w:val="00B12D14"/>
    <w:rsid w:val="00B13281"/>
    <w:rsid w:val="00B140FC"/>
    <w:rsid w:val="00B206DA"/>
    <w:rsid w:val="00B24A98"/>
    <w:rsid w:val="00B262C5"/>
    <w:rsid w:val="00B3323E"/>
    <w:rsid w:val="00B34400"/>
    <w:rsid w:val="00B422FE"/>
    <w:rsid w:val="00B42833"/>
    <w:rsid w:val="00B50E77"/>
    <w:rsid w:val="00B520D5"/>
    <w:rsid w:val="00B53A9E"/>
    <w:rsid w:val="00B53C93"/>
    <w:rsid w:val="00B60EAA"/>
    <w:rsid w:val="00B615D6"/>
    <w:rsid w:val="00B636C2"/>
    <w:rsid w:val="00B638C8"/>
    <w:rsid w:val="00B64313"/>
    <w:rsid w:val="00B644D4"/>
    <w:rsid w:val="00B64A71"/>
    <w:rsid w:val="00B655A8"/>
    <w:rsid w:val="00B726DB"/>
    <w:rsid w:val="00B76CA9"/>
    <w:rsid w:val="00B828E8"/>
    <w:rsid w:val="00B82CF9"/>
    <w:rsid w:val="00B844A8"/>
    <w:rsid w:val="00B919F3"/>
    <w:rsid w:val="00B953CF"/>
    <w:rsid w:val="00B96098"/>
    <w:rsid w:val="00B9688C"/>
    <w:rsid w:val="00B96E75"/>
    <w:rsid w:val="00BA1ADB"/>
    <w:rsid w:val="00BA38BC"/>
    <w:rsid w:val="00BA5B93"/>
    <w:rsid w:val="00BA72F4"/>
    <w:rsid w:val="00BA7A68"/>
    <w:rsid w:val="00BA7B3F"/>
    <w:rsid w:val="00BB0E6C"/>
    <w:rsid w:val="00BB316D"/>
    <w:rsid w:val="00BB7F07"/>
    <w:rsid w:val="00BD00E8"/>
    <w:rsid w:val="00BD0720"/>
    <w:rsid w:val="00BD3D63"/>
    <w:rsid w:val="00BE2EC2"/>
    <w:rsid w:val="00BE3922"/>
    <w:rsid w:val="00BE6A48"/>
    <w:rsid w:val="00BE72ED"/>
    <w:rsid w:val="00BF3A7C"/>
    <w:rsid w:val="00BF511A"/>
    <w:rsid w:val="00BF65C4"/>
    <w:rsid w:val="00C0031D"/>
    <w:rsid w:val="00C02622"/>
    <w:rsid w:val="00C044B0"/>
    <w:rsid w:val="00C057E4"/>
    <w:rsid w:val="00C05E9F"/>
    <w:rsid w:val="00C0619C"/>
    <w:rsid w:val="00C064AB"/>
    <w:rsid w:val="00C07765"/>
    <w:rsid w:val="00C1077F"/>
    <w:rsid w:val="00C12449"/>
    <w:rsid w:val="00C12477"/>
    <w:rsid w:val="00C13F51"/>
    <w:rsid w:val="00C14708"/>
    <w:rsid w:val="00C151FD"/>
    <w:rsid w:val="00C342A7"/>
    <w:rsid w:val="00C42307"/>
    <w:rsid w:val="00C43149"/>
    <w:rsid w:val="00C44631"/>
    <w:rsid w:val="00C45058"/>
    <w:rsid w:val="00C4537C"/>
    <w:rsid w:val="00C461F0"/>
    <w:rsid w:val="00C503F8"/>
    <w:rsid w:val="00C51829"/>
    <w:rsid w:val="00C522CC"/>
    <w:rsid w:val="00C56554"/>
    <w:rsid w:val="00C56741"/>
    <w:rsid w:val="00C5768D"/>
    <w:rsid w:val="00C57996"/>
    <w:rsid w:val="00C60843"/>
    <w:rsid w:val="00C62859"/>
    <w:rsid w:val="00C656E7"/>
    <w:rsid w:val="00C71132"/>
    <w:rsid w:val="00C71B8A"/>
    <w:rsid w:val="00C71E29"/>
    <w:rsid w:val="00C74443"/>
    <w:rsid w:val="00C77A34"/>
    <w:rsid w:val="00C81400"/>
    <w:rsid w:val="00C84BA1"/>
    <w:rsid w:val="00C97235"/>
    <w:rsid w:val="00CA46BF"/>
    <w:rsid w:val="00CA5BAD"/>
    <w:rsid w:val="00CA66E3"/>
    <w:rsid w:val="00CA75CF"/>
    <w:rsid w:val="00CB04D7"/>
    <w:rsid w:val="00CB178D"/>
    <w:rsid w:val="00CB59EB"/>
    <w:rsid w:val="00CB5CF9"/>
    <w:rsid w:val="00CC0732"/>
    <w:rsid w:val="00CC2815"/>
    <w:rsid w:val="00CC35E5"/>
    <w:rsid w:val="00CC5805"/>
    <w:rsid w:val="00CC77EE"/>
    <w:rsid w:val="00CD1593"/>
    <w:rsid w:val="00CD22E3"/>
    <w:rsid w:val="00CD440D"/>
    <w:rsid w:val="00CD634C"/>
    <w:rsid w:val="00CD6C53"/>
    <w:rsid w:val="00CD6EF8"/>
    <w:rsid w:val="00CD76AC"/>
    <w:rsid w:val="00CE0FCA"/>
    <w:rsid w:val="00CE3029"/>
    <w:rsid w:val="00CE6505"/>
    <w:rsid w:val="00CF02F2"/>
    <w:rsid w:val="00CF6174"/>
    <w:rsid w:val="00D0004A"/>
    <w:rsid w:val="00D00912"/>
    <w:rsid w:val="00D01C34"/>
    <w:rsid w:val="00D05E9F"/>
    <w:rsid w:val="00D064BF"/>
    <w:rsid w:val="00D06697"/>
    <w:rsid w:val="00D07904"/>
    <w:rsid w:val="00D12B50"/>
    <w:rsid w:val="00D13241"/>
    <w:rsid w:val="00D15854"/>
    <w:rsid w:val="00D1666C"/>
    <w:rsid w:val="00D21C49"/>
    <w:rsid w:val="00D22A77"/>
    <w:rsid w:val="00D23C2E"/>
    <w:rsid w:val="00D33684"/>
    <w:rsid w:val="00D3790A"/>
    <w:rsid w:val="00D4184D"/>
    <w:rsid w:val="00D440A3"/>
    <w:rsid w:val="00D4651B"/>
    <w:rsid w:val="00D46B52"/>
    <w:rsid w:val="00D51322"/>
    <w:rsid w:val="00D5661B"/>
    <w:rsid w:val="00D617CC"/>
    <w:rsid w:val="00D6596A"/>
    <w:rsid w:val="00D65C10"/>
    <w:rsid w:val="00D71D91"/>
    <w:rsid w:val="00D72425"/>
    <w:rsid w:val="00D7583B"/>
    <w:rsid w:val="00D75D18"/>
    <w:rsid w:val="00D776A1"/>
    <w:rsid w:val="00D80BDF"/>
    <w:rsid w:val="00D819D7"/>
    <w:rsid w:val="00D84C93"/>
    <w:rsid w:val="00D86480"/>
    <w:rsid w:val="00D9004B"/>
    <w:rsid w:val="00D90D52"/>
    <w:rsid w:val="00D9248E"/>
    <w:rsid w:val="00D92A99"/>
    <w:rsid w:val="00D93B34"/>
    <w:rsid w:val="00D94DA3"/>
    <w:rsid w:val="00D94DA9"/>
    <w:rsid w:val="00DA11EE"/>
    <w:rsid w:val="00DA2470"/>
    <w:rsid w:val="00DA4E65"/>
    <w:rsid w:val="00DA564D"/>
    <w:rsid w:val="00DA63AC"/>
    <w:rsid w:val="00DB3C37"/>
    <w:rsid w:val="00DB3E9A"/>
    <w:rsid w:val="00DB5150"/>
    <w:rsid w:val="00DB5C46"/>
    <w:rsid w:val="00DB6302"/>
    <w:rsid w:val="00DC0A86"/>
    <w:rsid w:val="00DC1C19"/>
    <w:rsid w:val="00DC2BC3"/>
    <w:rsid w:val="00DC3982"/>
    <w:rsid w:val="00DC5780"/>
    <w:rsid w:val="00DC66DD"/>
    <w:rsid w:val="00DC704C"/>
    <w:rsid w:val="00DD00F6"/>
    <w:rsid w:val="00DD0659"/>
    <w:rsid w:val="00DD1C3B"/>
    <w:rsid w:val="00DD287D"/>
    <w:rsid w:val="00DD333A"/>
    <w:rsid w:val="00DD4061"/>
    <w:rsid w:val="00DD4DFB"/>
    <w:rsid w:val="00DE3015"/>
    <w:rsid w:val="00DE47B7"/>
    <w:rsid w:val="00DE4CCC"/>
    <w:rsid w:val="00DE60AE"/>
    <w:rsid w:val="00DE6B09"/>
    <w:rsid w:val="00DF1D24"/>
    <w:rsid w:val="00DF641A"/>
    <w:rsid w:val="00E020A6"/>
    <w:rsid w:val="00E03417"/>
    <w:rsid w:val="00E04110"/>
    <w:rsid w:val="00E056E8"/>
    <w:rsid w:val="00E07309"/>
    <w:rsid w:val="00E1114F"/>
    <w:rsid w:val="00E111FE"/>
    <w:rsid w:val="00E14FB6"/>
    <w:rsid w:val="00E16418"/>
    <w:rsid w:val="00E164D1"/>
    <w:rsid w:val="00E24EE0"/>
    <w:rsid w:val="00E27E27"/>
    <w:rsid w:val="00E3095B"/>
    <w:rsid w:val="00E31DF4"/>
    <w:rsid w:val="00E32B78"/>
    <w:rsid w:val="00E330F5"/>
    <w:rsid w:val="00E348EE"/>
    <w:rsid w:val="00E34C43"/>
    <w:rsid w:val="00E351B5"/>
    <w:rsid w:val="00E362AD"/>
    <w:rsid w:val="00E42172"/>
    <w:rsid w:val="00E426E1"/>
    <w:rsid w:val="00E46C50"/>
    <w:rsid w:val="00E50390"/>
    <w:rsid w:val="00E51087"/>
    <w:rsid w:val="00E520D0"/>
    <w:rsid w:val="00E53722"/>
    <w:rsid w:val="00E54D1A"/>
    <w:rsid w:val="00E5648B"/>
    <w:rsid w:val="00E5743C"/>
    <w:rsid w:val="00E57E04"/>
    <w:rsid w:val="00E57F3C"/>
    <w:rsid w:val="00E73D09"/>
    <w:rsid w:val="00E777B7"/>
    <w:rsid w:val="00E82950"/>
    <w:rsid w:val="00E84628"/>
    <w:rsid w:val="00E8495B"/>
    <w:rsid w:val="00E85447"/>
    <w:rsid w:val="00E862F3"/>
    <w:rsid w:val="00E90002"/>
    <w:rsid w:val="00E91E7C"/>
    <w:rsid w:val="00E926A9"/>
    <w:rsid w:val="00E93A42"/>
    <w:rsid w:val="00E96273"/>
    <w:rsid w:val="00EA0D1D"/>
    <w:rsid w:val="00EA104B"/>
    <w:rsid w:val="00EA3922"/>
    <w:rsid w:val="00EA3C9E"/>
    <w:rsid w:val="00EA46B8"/>
    <w:rsid w:val="00EA7836"/>
    <w:rsid w:val="00EB013F"/>
    <w:rsid w:val="00EB0448"/>
    <w:rsid w:val="00EB1483"/>
    <w:rsid w:val="00EB1D70"/>
    <w:rsid w:val="00EB1EF7"/>
    <w:rsid w:val="00EB2DC7"/>
    <w:rsid w:val="00EB6475"/>
    <w:rsid w:val="00EB658D"/>
    <w:rsid w:val="00EC033F"/>
    <w:rsid w:val="00EC11D5"/>
    <w:rsid w:val="00EC32E9"/>
    <w:rsid w:val="00EC3445"/>
    <w:rsid w:val="00EC35AB"/>
    <w:rsid w:val="00EC423D"/>
    <w:rsid w:val="00EC5C00"/>
    <w:rsid w:val="00EC6D21"/>
    <w:rsid w:val="00ED3D78"/>
    <w:rsid w:val="00ED6920"/>
    <w:rsid w:val="00ED69A7"/>
    <w:rsid w:val="00ED7D0F"/>
    <w:rsid w:val="00EE2143"/>
    <w:rsid w:val="00EE6BFA"/>
    <w:rsid w:val="00EF1892"/>
    <w:rsid w:val="00EF5D00"/>
    <w:rsid w:val="00F01ED9"/>
    <w:rsid w:val="00F022DF"/>
    <w:rsid w:val="00F031C5"/>
    <w:rsid w:val="00F0778D"/>
    <w:rsid w:val="00F13C8D"/>
    <w:rsid w:val="00F17154"/>
    <w:rsid w:val="00F271D5"/>
    <w:rsid w:val="00F27699"/>
    <w:rsid w:val="00F27FCD"/>
    <w:rsid w:val="00F3186E"/>
    <w:rsid w:val="00F3419B"/>
    <w:rsid w:val="00F348E3"/>
    <w:rsid w:val="00F37ECB"/>
    <w:rsid w:val="00F40632"/>
    <w:rsid w:val="00F40B63"/>
    <w:rsid w:val="00F43516"/>
    <w:rsid w:val="00F45DA6"/>
    <w:rsid w:val="00F46415"/>
    <w:rsid w:val="00F46515"/>
    <w:rsid w:val="00F51443"/>
    <w:rsid w:val="00F514B5"/>
    <w:rsid w:val="00F548E5"/>
    <w:rsid w:val="00F54D1D"/>
    <w:rsid w:val="00F55A67"/>
    <w:rsid w:val="00F565D6"/>
    <w:rsid w:val="00F57B63"/>
    <w:rsid w:val="00F57B9A"/>
    <w:rsid w:val="00F57FC0"/>
    <w:rsid w:val="00F60F01"/>
    <w:rsid w:val="00F62665"/>
    <w:rsid w:val="00F62AF0"/>
    <w:rsid w:val="00F64BB2"/>
    <w:rsid w:val="00F72DEE"/>
    <w:rsid w:val="00F7358E"/>
    <w:rsid w:val="00F75929"/>
    <w:rsid w:val="00F76CBB"/>
    <w:rsid w:val="00F77799"/>
    <w:rsid w:val="00F779D6"/>
    <w:rsid w:val="00F806F2"/>
    <w:rsid w:val="00F82740"/>
    <w:rsid w:val="00F92645"/>
    <w:rsid w:val="00F9743C"/>
    <w:rsid w:val="00F97664"/>
    <w:rsid w:val="00FA0022"/>
    <w:rsid w:val="00FA77FD"/>
    <w:rsid w:val="00FA7D81"/>
    <w:rsid w:val="00FB06A7"/>
    <w:rsid w:val="00FB0D08"/>
    <w:rsid w:val="00FB5994"/>
    <w:rsid w:val="00FB7788"/>
    <w:rsid w:val="00FC02D1"/>
    <w:rsid w:val="00FC04EF"/>
    <w:rsid w:val="00FC1495"/>
    <w:rsid w:val="00FC1EFD"/>
    <w:rsid w:val="00FC2233"/>
    <w:rsid w:val="00FC2642"/>
    <w:rsid w:val="00FC26C2"/>
    <w:rsid w:val="00FD2B91"/>
    <w:rsid w:val="00FD38F1"/>
    <w:rsid w:val="00FD3C75"/>
    <w:rsid w:val="00FD3E39"/>
    <w:rsid w:val="00FD7B2D"/>
    <w:rsid w:val="00FE3554"/>
    <w:rsid w:val="00FE59DE"/>
    <w:rsid w:val="00FF25F4"/>
    <w:rsid w:val="00FF5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A010FE-089D-4B25-B832-3447F64F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398"/>
    <w:rPr>
      <w:rFonts w:ascii="Arial" w:hAnsi="Arial" w:cs="Arial"/>
      <w:sz w:val="24"/>
      <w:szCs w:val="24"/>
      <w:u w:val="single"/>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A3"/>
    <w:pPr>
      <w:ind w:left="720"/>
      <w:contextualSpacing/>
    </w:pPr>
  </w:style>
  <w:style w:type="paragraph" w:styleId="BalloonText">
    <w:name w:val="Balloon Text"/>
    <w:basedOn w:val="Normal"/>
    <w:link w:val="BalloonTextChar"/>
    <w:rsid w:val="005B7423"/>
    <w:rPr>
      <w:rFonts w:ascii="Tahoma" w:hAnsi="Tahoma" w:cs="Tahoma"/>
      <w:sz w:val="16"/>
      <w:szCs w:val="16"/>
    </w:rPr>
  </w:style>
  <w:style w:type="character" w:customStyle="1" w:styleId="BalloonTextChar">
    <w:name w:val="Balloon Text Char"/>
    <w:basedOn w:val="DefaultParagraphFont"/>
    <w:link w:val="BalloonText"/>
    <w:rsid w:val="005B7423"/>
    <w:rPr>
      <w:rFonts w:ascii="Tahoma" w:hAnsi="Tahoma" w:cs="Tahoma"/>
      <w:sz w:val="16"/>
      <w:szCs w:val="16"/>
      <w:u w:val="single"/>
      <w:lang w:val="en-GB" w:eastAsia="en-GB"/>
    </w:rPr>
  </w:style>
  <w:style w:type="paragraph" w:styleId="Header">
    <w:name w:val="header"/>
    <w:basedOn w:val="Normal"/>
    <w:link w:val="HeaderChar"/>
    <w:uiPriority w:val="99"/>
    <w:rsid w:val="00BA7B3F"/>
    <w:pPr>
      <w:tabs>
        <w:tab w:val="center" w:pos="4513"/>
        <w:tab w:val="right" w:pos="9026"/>
      </w:tabs>
    </w:pPr>
  </w:style>
  <w:style w:type="character" w:customStyle="1" w:styleId="HeaderChar">
    <w:name w:val="Header Char"/>
    <w:basedOn w:val="DefaultParagraphFont"/>
    <w:link w:val="Header"/>
    <w:uiPriority w:val="99"/>
    <w:rsid w:val="00BA7B3F"/>
    <w:rPr>
      <w:rFonts w:ascii="Arial" w:hAnsi="Arial" w:cs="Arial"/>
      <w:sz w:val="24"/>
      <w:szCs w:val="24"/>
      <w:u w:val="single"/>
      <w:lang w:val="en-GB" w:eastAsia="en-GB"/>
    </w:rPr>
  </w:style>
  <w:style w:type="paragraph" w:styleId="Footer">
    <w:name w:val="footer"/>
    <w:basedOn w:val="Normal"/>
    <w:link w:val="FooterChar"/>
    <w:rsid w:val="00BA7B3F"/>
    <w:pPr>
      <w:tabs>
        <w:tab w:val="center" w:pos="4513"/>
        <w:tab w:val="right" w:pos="9026"/>
      </w:tabs>
    </w:pPr>
  </w:style>
  <w:style w:type="character" w:customStyle="1" w:styleId="FooterChar">
    <w:name w:val="Footer Char"/>
    <w:basedOn w:val="DefaultParagraphFont"/>
    <w:link w:val="Footer"/>
    <w:rsid w:val="00BA7B3F"/>
    <w:rPr>
      <w:rFonts w:ascii="Arial" w:hAnsi="Arial" w:cs="Arial"/>
      <w:sz w:val="24"/>
      <w:szCs w:val="24"/>
      <w:u w:val="single"/>
      <w:lang w:val="en-GB" w:eastAsia="en-GB"/>
    </w:rPr>
  </w:style>
  <w:style w:type="paragraph" w:customStyle="1" w:styleId="lg-annotation">
    <w:name w:val="lg-annotation"/>
    <w:basedOn w:val="Normal"/>
    <w:rsid w:val="00DB6302"/>
    <w:pPr>
      <w:spacing w:before="40"/>
      <w:ind w:left="567" w:right="567"/>
      <w:jc w:val="center"/>
    </w:pPr>
    <w:rPr>
      <w:rFonts w:ascii="Verdana" w:hAnsi="Verdana" w:cs="Times New Roman"/>
      <w:color w:val="000000"/>
      <w:sz w:val="16"/>
      <w:szCs w:val="16"/>
      <w:u w:val="none"/>
      <w:lang w:val="en-US" w:eastAsia="en-US"/>
    </w:rPr>
  </w:style>
  <w:style w:type="paragraph" w:customStyle="1" w:styleId="lg-section">
    <w:name w:val="lg-section"/>
    <w:basedOn w:val="Normal"/>
    <w:rsid w:val="00DB6302"/>
    <w:pPr>
      <w:spacing w:before="300"/>
      <w:ind w:firstLine="403"/>
      <w:jc w:val="both"/>
    </w:pPr>
    <w:rPr>
      <w:rFonts w:ascii="Verdana" w:hAnsi="Verdana" w:cs="Times New Roman"/>
      <w:color w:val="000000"/>
      <w:sz w:val="18"/>
      <w:szCs w:val="18"/>
      <w:u w:val="none"/>
      <w:lang w:val="en-US" w:eastAsia="en-US"/>
    </w:rPr>
  </w:style>
  <w:style w:type="paragraph" w:customStyle="1" w:styleId="ws-link">
    <w:name w:val="ws-link"/>
    <w:basedOn w:val="Normal"/>
    <w:rsid w:val="00DB6302"/>
    <w:pPr>
      <w:jc w:val="center"/>
    </w:pPr>
    <w:rPr>
      <w:rFonts w:ascii="Verdana" w:hAnsi="Verdana" w:cs="Times New Roman"/>
      <w:color w:val="000000"/>
      <w:sz w:val="18"/>
      <w:szCs w:val="18"/>
      <w:u w:val="none"/>
      <w:lang w:val="en-US" w:eastAsia="en-US"/>
    </w:rPr>
  </w:style>
  <w:style w:type="paragraph" w:customStyle="1" w:styleId="lg-para3">
    <w:name w:val="lg-para3"/>
    <w:basedOn w:val="Normal"/>
    <w:rsid w:val="00DB6302"/>
    <w:pPr>
      <w:spacing w:before="120"/>
      <w:ind w:firstLine="601"/>
      <w:jc w:val="both"/>
    </w:pPr>
    <w:rPr>
      <w:rFonts w:ascii="Verdana" w:hAnsi="Verdana" w:cs="Times New Roman"/>
      <w:color w:val="000000"/>
      <w:sz w:val="18"/>
      <w:szCs w:val="18"/>
      <w:u w:val="none"/>
      <w:lang w:val="en-US" w:eastAsia="en-US"/>
    </w:rPr>
  </w:style>
  <w:style w:type="paragraph" w:styleId="FootnoteText">
    <w:name w:val="footnote text"/>
    <w:aliases w:val="FOOTNOTES,fn,single space,Footnotes,Footnote ak,ft,fn cafc,footnote text,ALTS FOOTNOTE Char,Footnote Text Char1 Char,Footnote Text Char Char Char,Footnote Text Char1 Char Char Char,Footnote Text Char Char Char Char Char,ALTS FOOTNOTE,FA Fu"/>
    <w:basedOn w:val="Normal"/>
    <w:link w:val="FootnoteTextChar"/>
    <w:unhideWhenUsed/>
    <w:qFormat/>
    <w:rsid w:val="00510EDF"/>
    <w:rPr>
      <w:sz w:val="20"/>
      <w:szCs w:val="20"/>
    </w:rPr>
  </w:style>
  <w:style w:type="character" w:customStyle="1" w:styleId="FootnoteTextChar">
    <w:name w:val="Footnote Text Char"/>
    <w:aliases w:val="FOOTNOTES Char,fn Char,single space Char,Footnotes Char,Footnote ak Char,ft Char,fn cafc Char,footnote text Char,ALTS FOOTNOTE Char Char,Footnote Text Char1 Char Char,Footnote Text Char Char Char Char,ALTS FOOTNOTE Char1,FA Fu Char"/>
    <w:basedOn w:val="DefaultParagraphFont"/>
    <w:link w:val="FootnoteText"/>
    <w:rsid w:val="00510EDF"/>
    <w:rPr>
      <w:rFonts w:ascii="Arial" w:hAnsi="Arial" w:cs="Arial"/>
      <w:u w:val="single"/>
      <w:lang w:val="en-GB" w:eastAsia="en-GB"/>
    </w:rPr>
  </w:style>
  <w:style w:type="character" w:styleId="FootnoteReference">
    <w:name w:val="footnote reference"/>
    <w:aliases w:val="Ref,de nota al pie,註腳內容,Footnotes refss,(NECG) Footnote Reference,Footnote symbol,Style 12,Appel note de bas de page,fr,Footnote Reference in text,Footnote Reference Superscript,Footnote Reference + Superscript,Heading 6 Char1,Ref1"/>
    <w:basedOn w:val="DefaultParagraphFont"/>
    <w:unhideWhenUsed/>
    <w:qFormat/>
    <w:rsid w:val="00510EDF"/>
    <w:rPr>
      <w:vertAlign w:val="superscript"/>
    </w:rPr>
  </w:style>
  <w:style w:type="character" w:styleId="Hyperlink">
    <w:name w:val="Hyperlink"/>
    <w:basedOn w:val="DefaultParagraphFont"/>
    <w:unhideWhenUsed/>
    <w:rsid w:val="00CE0FCA"/>
    <w:rPr>
      <w:color w:val="0000FF" w:themeColor="hyperlink"/>
      <w:u w:val="single"/>
    </w:rPr>
  </w:style>
  <w:style w:type="character" w:styleId="CommentReference">
    <w:name w:val="annotation reference"/>
    <w:basedOn w:val="DefaultParagraphFont"/>
    <w:semiHidden/>
    <w:unhideWhenUsed/>
    <w:rsid w:val="00C461F0"/>
    <w:rPr>
      <w:sz w:val="16"/>
      <w:szCs w:val="16"/>
    </w:rPr>
  </w:style>
  <w:style w:type="paragraph" w:styleId="CommentText">
    <w:name w:val="annotation text"/>
    <w:basedOn w:val="Normal"/>
    <w:link w:val="CommentTextChar"/>
    <w:semiHidden/>
    <w:unhideWhenUsed/>
    <w:rsid w:val="00C461F0"/>
    <w:rPr>
      <w:sz w:val="20"/>
      <w:szCs w:val="20"/>
    </w:rPr>
  </w:style>
  <w:style w:type="character" w:customStyle="1" w:styleId="CommentTextChar">
    <w:name w:val="Comment Text Char"/>
    <w:basedOn w:val="DefaultParagraphFont"/>
    <w:link w:val="CommentText"/>
    <w:semiHidden/>
    <w:rsid w:val="00C461F0"/>
    <w:rPr>
      <w:rFonts w:ascii="Arial" w:hAnsi="Arial" w:cs="Arial"/>
      <w:u w:val="single"/>
      <w:lang w:val="en-GB" w:eastAsia="en-GB"/>
    </w:rPr>
  </w:style>
  <w:style w:type="paragraph" w:styleId="CommentSubject">
    <w:name w:val="annotation subject"/>
    <w:basedOn w:val="CommentText"/>
    <w:next w:val="CommentText"/>
    <w:link w:val="CommentSubjectChar"/>
    <w:semiHidden/>
    <w:unhideWhenUsed/>
    <w:rsid w:val="00C461F0"/>
    <w:rPr>
      <w:b/>
      <w:bCs/>
    </w:rPr>
  </w:style>
  <w:style w:type="character" w:customStyle="1" w:styleId="CommentSubjectChar">
    <w:name w:val="Comment Subject Char"/>
    <w:basedOn w:val="CommentTextChar"/>
    <w:link w:val="CommentSubject"/>
    <w:semiHidden/>
    <w:rsid w:val="00C461F0"/>
    <w:rPr>
      <w:rFonts w:ascii="Arial" w:hAnsi="Arial" w:cs="Arial"/>
      <w:b/>
      <w:bCs/>
      <w:u w:val="single"/>
      <w:lang w:val="en-GB" w:eastAsia="en-GB"/>
    </w:rPr>
  </w:style>
  <w:style w:type="paragraph" w:customStyle="1" w:styleId="DPLevel1Heading">
    <w:name w:val="DP_Level 1 Heading"/>
    <w:basedOn w:val="Normal"/>
    <w:next w:val="DPLevel2List"/>
    <w:link w:val="DPLevel1HeadingChar"/>
    <w:rsid w:val="0037031B"/>
    <w:pPr>
      <w:keepNext/>
      <w:numPr>
        <w:numId w:val="20"/>
      </w:numPr>
      <w:spacing w:before="240" w:after="120" w:line="480" w:lineRule="auto"/>
      <w:jc w:val="both"/>
      <w:outlineLvl w:val="0"/>
    </w:pPr>
    <w:rPr>
      <w:rFonts w:ascii="Times New Roman" w:hAnsi="Times New Roman"/>
      <w:b/>
      <w:szCs w:val="22"/>
      <w:u w:val="none"/>
      <w:lang w:val="en-US" w:eastAsia="zh-CN"/>
    </w:rPr>
  </w:style>
  <w:style w:type="character" w:customStyle="1" w:styleId="DPLevel1HeadingChar">
    <w:name w:val="DP_Level 1 Heading Char"/>
    <w:link w:val="DPLevel1Heading"/>
    <w:rsid w:val="0037031B"/>
    <w:rPr>
      <w:rFonts w:cs="Arial"/>
      <w:b/>
      <w:sz w:val="24"/>
      <w:szCs w:val="22"/>
      <w:lang w:eastAsia="zh-CN"/>
    </w:rPr>
  </w:style>
  <w:style w:type="paragraph" w:customStyle="1" w:styleId="DPLevel2List">
    <w:name w:val="DP_Level 2 List"/>
    <w:basedOn w:val="Normal"/>
    <w:link w:val="DPLevel2ListChar"/>
    <w:rsid w:val="0037031B"/>
    <w:pPr>
      <w:numPr>
        <w:ilvl w:val="1"/>
        <w:numId w:val="20"/>
      </w:numPr>
      <w:spacing w:before="120" w:after="120" w:line="480" w:lineRule="auto"/>
      <w:jc w:val="both"/>
      <w:outlineLvl w:val="1"/>
    </w:pPr>
    <w:rPr>
      <w:rFonts w:ascii="Times New Roman" w:hAnsi="Times New Roman"/>
      <w:szCs w:val="22"/>
      <w:u w:val="none"/>
      <w:lang w:val="en-US" w:eastAsia="zh-CN"/>
    </w:rPr>
  </w:style>
  <w:style w:type="paragraph" w:customStyle="1" w:styleId="DPLevel3List">
    <w:name w:val="DP_Level 3 List"/>
    <w:basedOn w:val="Normal"/>
    <w:link w:val="DPLevel3ListChar"/>
    <w:rsid w:val="0037031B"/>
    <w:pPr>
      <w:numPr>
        <w:ilvl w:val="2"/>
        <w:numId w:val="20"/>
      </w:numPr>
      <w:spacing w:before="120" w:after="120" w:line="480" w:lineRule="auto"/>
      <w:jc w:val="both"/>
      <w:outlineLvl w:val="2"/>
    </w:pPr>
    <w:rPr>
      <w:rFonts w:ascii="Times New Roman" w:hAnsi="Times New Roman"/>
      <w:szCs w:val="22"/>
      <w:u w:val="none"/>
      <w:lang w:val="en-US" w:eastAsia="zh-CN"/>
    </w:rPr>
  </w:style>
  <w:style w:type="paragraph" w:customStyle="1" w:styleId="DPLevel4List">
    <w:name w:val="DP_Level 4 List"/>
    <w:basedOn w:val="Normal"/>
    <w:rsid w:val="0037031B"/>
    <w:pPr>
      <w:numPr>
        <w:ilvl w:val="3"/>
        <w:numId w:val="20"/>
      </w:numPr>
      <w:spacing w:before="120" w:after="120" w:line="480" w:lineRule="auto"/>
      <w:jc w:val="both"/>
      <w:outlineLvl w:val="3"/>
    </w:pPr>
    <w:rPr>
      <w:rFonts w:ascii="Times New Roman" w:hAnsi="Times New Roman"/>
      <w:szCs w:val="22"/>
      <w:u w:val="none"/>
      <w:lang w:val="en-US" w:eastAsia="zh-CN"/>
    </w:rPr>
  </w:style>
  <w:style w:type="paragraph" w:customStyle="1" w:styleId="DPLevel5List">
    <w:name w:val="DP_Level 5 List"/>
    <w:basedOn w:val="Normal"/>
    <w:rsid w:val="0037031B"/>
    <w:pPr>
      <w:numPr>
        <w:ilvl w:val="4"/>
        <w:numId w:val="20"/>
      </w:numPr>
      <w:spacing w:before="120" w:after="120" w:line="480" w:lineRule="auto"/>
      <w:jc w:val="both"/>
      <w:outlineLvl w:val="4"/>
    </w:pPr>
    <w:rPr>
      <w:rFonts w:ascii="Times New Roman" w:hAnsi="Times New Roman"/>
      <w:szCs w:val="22"/>
      <w:u w:val="none"/>
      <w:lang w:val="en-US" w:eastAsia="zh-CN"/>
    </w:rPr>
  </w:style>
  <w:style w:type="paragraph" w:customStyle="1" w:styleId="DPLevel6List">
    <w:name w:val="DP_Level 6 List"/>
    <w:basedOn w:val="Normal"/>
    <w:rsid w:val="0037031B"/>
    <w:pPr>
      <w:numPr>
        <w:ilvl w:val="5"/>
        <w:numId w:val="20"/>
      </w:numPr>
      <w:spacing w:before="120" w:after="120" w:line="480" w:lineRule="auto"/>
      <w:jc w:val="both"/>
      <w:outlineLvl w:val="5"/>
    </w:pPr>
    <w:rPr>
      <w:rFonts w:ascii="Times New Roman" w:hAnsi="Times New Roman"/>
      <w:szCs w:val="22"/>
      <w:u w:val="none"/>
      <w:lang w:val="en-US" w:eastAsia="zh-CN"/>
    </w:rPr>
  </w:style>
  <w:style w:type="paragraph" w:customStyle="1" w:styleId="DPLevel7List">
    <w:name w:val="DP_Level 7 List"/>
    <w:basedOn w:val="Normal"/>
    <w:rsid w:val="0037031B"/>
    <w:pPr>
      <w:numPr>
        <w:ilvl w:val="6"/>
        <w:numId w:val="20"/>
      </w:numPr>
      <w:spacing w:before="120" w:after="120" w:line="480" w:lineRule="auto"/>
      <w:jc w:val="both"/>
      <w:outlineLvl w:val="6"/>
    </w:pPr>
    <w:rPr>
      <w:rFonts w:ascii="Times New Roman" w:hAnsi="Times New Roman"/>
      <w:szCs w:val="22"/>
      <w:u w:val="none"/>
      <w:lang w:val="en-US" w:eastAsia="zh-CN"/>
    </w:rPr>
  </w:style>
  <w:style w:type="numbering" w:customStyle="1" w:styleId="DPlstMain">
    <w:name w:val="DPlst_Main"/>
    <w:uiPriority w:val="99"/>
    <w:rsid w:val="0037031B"/>
    <w:pPr>
      <w:numPr>
        <w:numId w:val="20"/>
      </w:numPr>
    </w:pPr>
  </w:style>
  <w:style w:type="character" w:customStyle="1" w:styleId="DPLevel2ListChar">
    <w:name w:val="DP_Level 2 List Char"/>
    <w:link w:val="DPLevel2List"/>
    <w:rsid w:val="0037031B"/>
    <w:rPr>
      <w:rFonts w:cs="Arial"/>
      <w:sz w:val="24"/>
      <w:szCs w:val="22"/>
      <w:lang w:eastAsia="zh-CN"/>
    </w:rPr>
  </w:style>
  <w:style w:type="character" w:customStyle="1" w:styleId="DPLevel3ListChar">
    <w:name w:val="DP_Level 3 List Char"/>
    <w:link w:val="DPLevel3List"/>
    <w:rsid w:val="00F779D6"/>
    <w:rPr>
      <w:rFonts w:cs="Arial"/>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48834">
      <w:bodyDiv w:val="1"/>
      <w:marLeft w:val="0"/>
      <w:marRight w:val="0"/>
      <w:marTop w:val="0"/>
      <w:marBottom w:val="0"/>
      <w:divBdr>
        <w:top w:val="none" w:sz="0" w:space="0" w:color="auto"/>
        <w:left w:val="none" w:sz="0" w:space="0" w:color="auto"/>
        <w:bottom w:val="none" w:sz="0" w:space="0" w:color="auto"/>
        <w:right w:val="none" w:sz="0" w:space="0" w:color="auto"/>
      </w:divBdr>
    </w:div>
    <w:div w:id="2004628463">
      <w:bodyDiv w:val="1"/>
      <w:marLeft w:val="0"/>
      <w:marRight w:val="0"/>
      <w:marTop w:val="0"/>
      <w:marBottom w:val="0"/>
      <w:divBdr>
        <w:top w:val="none" w:sz="0" w:space="0" w:color="auto"/>
        <w:left w:val="none" w:sz="0" w:space="0" w:color="auto"/>
        <w:bottom w:val="none" w:sz="0" w:space="0" w:color="auto"/>
        <w:right w:val="none" w:sz="0" w:space="0" w:color="auto"/>
      </w:divBdr>
    </w:div>
    <w:div w:id="202493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jpg@01D0409E.93246230"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2.jpg@01D0409E.932462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4B826-1FFF-453B-A6CE-FF1330965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4611</Words>
  <Characters>26284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REPUBLIC OF SOUTH AFRICA</vt:lpstr>
    </vt:vector>
  </TitlesOfParts>
  <Company>Dept. of Justice</Company>
  <LinksUpToDate>false</LinksUpToDate>
  <CharactersWithSpaces>30834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SOUTH AFRICA</dc:title>
  <dc:creator>tmaponya</dc:creator>
  <cp:lastModifiedBy>Mokone</cp:lastModifiedBy>
  <cp:revision>2</cp:revision>
  <cp:lastPrinted>2023-03-17T11:36:00Z</cp:lastPrinted>
  <dcterms:created xsi:type="dcterms:W3CDTF">2023-03-30T08:39:00Z</dcterms:created>
  <dcterms:modified xsi:type="dcterms:W3CDTF">2023-03-30T08:39:00Z</dcterms:modified>
</cp:coreProperties>
</file>